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autoSpaceDE w:val="0"/>
        <w:autoSpaceDN w:val="0"/>
        <w:adjustRightInd w:val="0"/>
        <w:spacing w:line="360" w:lineRule="auto"/>
        <w:jc w:val="center"/>
        <w:rPr>
          <w:rFonts w:hAnsi="宋体"/>
          <w:b/>
          <w:kern w:val="0"/>
          <w:sz w:val="52"/>
          <w:szCs w:val="52"/>
          <w:highlight w:val="none"/>
        </w:rPr>
      </w:pPr>
    </w:p>
    <w:p>
      <w:pPr>
        <w:pStyle w:val="15"/>
        <w:autoSpaceDE w:val="0"/>
        <w:autoSpaceDN w:val="0"/>
        <w:adjustRightInd w:val="0"/>
        <w:spacing w:line="360" w:lineRule="auto"/>
        <w:jc w:val="center"/>
        <w:rPr>
          <w:rFonts w:hint="default" w:hAnsi="宋体"/>
          <w:b/>
          <w:kern w:val="0"/>
          <w:sz w:val="52"/>
          <w:szCs w:val="52"/>
          <w:highlight w:val="none"/>
          <w:lang w:val="en-US"/>
        </w:rPr>
      </w:pPr>
      <w:r>
        <w:rPr>
          <w:rFonts w:hint="eastAsia" w:hAnsi="宋体"/>
          <w:b/>
          <w:kern w:val="0"/>
          <w:sz w:val="52"/>
          <w:szCs w:val="52"/>
          <w:highlight w:val="none"/>
        </w:rPr>
        <w:t>云南省大理州自然灾害应急能力提升工程基层防灾项目</w:t>
      </w:r>
      <w:r>
        <w:rPr>
          <w:rFonts w:hint="eastAsia" w:hAnsi="宋体"/>
          <w:b/>
          <w:kern w:val="0"/>
          <w:sz w:val="52"/>
          <w:szCs w:val="52"/>
          <w:highlight w:val="none"/>
          <w:lang w:val="en-US" w:eastAsia="zh-CN"/>
        </w:rPr>
        <w:t>第十标段</w:t>
      </w:r>
    </w:p>
    <w:p>
      <w:pPr>
        <w:rPr>
          <w:highlight w:val="none"/>
        </w:rPr>
      </w:pPr>
    </w:p>
    <w:p>
      <w:pPr>
        <w:pStyle w:val="15"/>
        <w:autoSpaceDE w:val="0"/>
        <w:autoSpaceDN w:val="0"/>
        <w:adjustRightInd w:val="0"/>
        <w:spacing w:line="360" w:lineRule="auto"/>
        <w:rPr>
          <w:rFonts w:hAnsi="宋体"/>
          <w:b/>
          <w:bCs/>
          <w:kern w:val="0"/>
          <w:sz w:val="84"/>
          <w:szCs w:val="84"/>
          <w:highlight w:val="none"/>
        </w:rPr>
      </w:pPr>
    </w:p>
    <w:p>
      <w:pPr>
        <w:pStyle w:val="15"/>
        <w:autoSpaceDE w:val="0"/>
        <w:autoSpaceDN w:val="0"/>
        <w:adjustRightInd w:val="0"/>
        <w:spacing w:line="360" w:lineRule="auto"/>
        <w:jc w:val="center"/>
        <w:rPr>
          <w:rFonts w:hAnsi="宋体"/>
          <w:b/>
          <w:bCs/>
          <w:kern w:val="0"/>
          <w:sz w:val="84"/>
          <w:szCs w:val="84"/>
          <w:highlight w:val="none"/>
        </w:rPr>
      </w:pPr>
    </w:p>
    <w:p>
      <w:pPr>
        <w:pStyle w:val="15"/>
        <w:autoSpaceDE w:val="0"/>
        <w:autoSpaceDN w:val="0"/>
        <w:adjustRightInd w:val="0"/>
        <w:spacing w:line="360" w:lineRule="auto"/>
        <w:jc w:val="center"/>
        <w:rPr>
          <w:rFonts w:hint="eastAsia" w:hAnsi="宋体" w:eastAsia="宋体"/>
          <w:bCs/>
          <w:sz w:val="44"/>
          <w:szCs w:val="44"/>
          <w:highlight w:val="none"/>
          <w:lang w:eastAsia="zh-CN"/>
        </w:rPr>
      </w:pPr>
      <w:r>
        <w:rPr>
          <w:rFonts w:hint="eastAsia" w:hAnsi="宋体"/>
          <w:b/>
          <w:bCs/>
          <w:kern w:val="0"/>
          <w:sz w:val="84"/>
          <w:szCs w:val="84"/>
          <w:highlight w:val="none"/>
          <w:lang w:eastAsia="zh-CN"/>
        </w:rPr>
        <w:t>采购文件</w:t>
      </w:r>
    </w:p>
    <w:p>
      <w:pPr>
        <w:pStyle w:val="15"/>
        <w:autoSpaceDE w:val="0"/>
        <w:autoSpaceDN w:val="0"/>
        <w:adjustRightInd w:val="0"/>
        <w:spacing w:line="360" w:lineRule="auto"/>
        <w:jc w:val="center"/>
        <w:rPr>
          <w:rFonts w:hAnsi="宋体"/>
          <w:bCs/>
          <w:sz w:val="32"/>
          <w:szCs w:val="32"/>
          <w:highlight w:val="none"/>
          <w:u w:val="single"/>
        </w:rPr>
      </w:pPr>
      <w:r>
        <w:rPr>
          <w:rFonts w:hint="eastAsia" w:hAnsi="宋体"/>
          <w:b/>
          <w:bCs/>
          <w:kern w:val="0"/>
          <w:sz w:val="32"/>
          <w:szCs w:val="32"/>
          <w:highlight w:val="none"/>
        </w:rPr>
        <w:t>项目编号：</w:t>
      </w:r>
      <w:bookmarkStart w:id="145" w:name="_GoBack"/>
      <w:bookmarkEnd w:id="145"/>
      <w:r>
        <w:rPr>
          <w:rFonts w:hint="eastAsia" w:hAnsi="宋体"/>
          <w:b/>
          <w:bCs/>
          <w:kern w:val="0"/>
          <w:sz w:val="32"/>
          <w:szCs w:val="32"/>
          <w:highlight w:val="none"/>
          <w:lang w:eastAsia="zh-CN"/>
        </w:rPr>
        <w:t>DLZC2024-G1-00384-YNYX-0001</w:t>
      </w:r>
      <w:r>
        <w:rPr>
          <w:rFonts w:hint="eastAsia" w:hAnsi="宋体"/>
          <w:b/>
          <w:bCs/>
          <w:kern w:val="0"/>
          <w:sz w:val="32"/>
          <w:szCs w:val="32"/>
          <w:highlight w:val="none"/>
        </w:rPr>
        <w:t xml:space="preserve">  </w:t>
      </w:r>
    </w:p>
    <w:p>
      <w:pPr>
        <w:pStyle w:val="15"/>
        <w:rPr>
          <w:rFonts w:hAnsi="宋体"/>
          <w:szCs w:val="21"/>
          <w:highlight w:val="none"/>
        </w:rPr>
      </w:pPr>
    </w:p>
    <w:p>
      <w:pPr>
        <w:pStyle w:val="15"/>
        <w:rPr>
          <w:rFonts w:hAnsi="宋体"/>
          <w:szCs w:val="21"/>
          <w:highlight w:val="none"/>
        </w:rPr>
      </w:pPr>
    </w:p>
    <w:p>
      <w:pPr>
        <w:pStyle w:val="15"/>
        <w:rPr>
          <w:rFonts w:hAnsi="宋体"/>
          <w:szCs w:val="21"/>
          <w:highlight w:val="none"/>
        </w:rPr>
      </w:pPr>
    </w:p>
    <w:p>
      <w:pPr>
        <w:pStyle w:val="15"/>
        <w:rPr>
          <w:rFonts w:hAnsi="宋体"/>
          <w:szCs w:val="21"/>
          <w:highlight w:val="none"/>
        </w:rPr>
      </w:pPr>
    </w:p>
    <w:p>
      <w:pPr>
        <w:pStyle w:val="15"/>
        <w:rPr>
          <w:rFonts w:hAnsi="宋体"/>
          <w:bCs/>
          <w:szCs w:val="21"/>
          <w:highlight w:val="none"/>
        </w:rPr>
      </w:pPr>
    </w:p>
    <w:p>
      <w:pPr>
        <w:pStyle w:val="15"/>
        <w:rPr>
          <w:rFonts w:hAnsi="宋体"/>
          <w:bCs/>
          <w:szCs w:val="21"/>
          <w:highlight w:val="none"/>
        </w:rPr>
      </w:pPr>
    </w:p>
    <w:p>
      <w:pPr>
        <w:pStyle w:val="7"/>
        <w:ind w:firstLine="0" w:firstLineChars="0"/>
        <w:rPr>
          <w:rFonts w:hAnsi="宋体"/>
          <w:bCs/>
          <w:szCs w:val="21"/>
          <w:highlight w:val="none"/>
        </w:rPr>
      </w:pPr>
    </w:p>
    <w:p>
      <w:pPr>
        <w:pStyle w:val="7"/>
        <w:ind w:firstLine="400"/>
        <w:rPr>
          <w:rFonts w:hAnsi="宋体"/>
          <w:bCs/>
          <w:szCs w:val="21"/>
          <w:highlight w:val="none"/>
        </w:rPr>
      </w:pPr>
    </w:p>
    <w:p>
      <w:pPr>
        <w:pStyle w:val="15"/>
        <w:rPr>
          <w:rFonts w:hAnsi="宋体"/>
          <w:bCs/>
          <w:szCs w:val="21"/>
          <w:highlight w:val="none"/>
        </w:rPr>
      </w:pPr>
    </w:p>
    <w:p>
      <w:pPr>
        <w:pStyle w:val="15"/>
        <w:ind w:firstLine="1606" w:firstLineChars="500"/>
        <w:jc w:val="both"/>
        <w:rPr>
          <w:rFonts w:hAnsi="宋体"/>
          <w:b/>
          <w:bCs/>
          <w:sz w:val="32"/>
          <w:szCs w:val="32"/>
          <w:highlight w:val="none"/>
        </w:rPr>
      </w:pPr>
      <w:r>
        <w:rPr>
          <w:rFonts w:hint="eastAsia" w:hAnsi="宋体"/>
          <w:b/>
          <w:bCs/>
          <w:sz w:val="32"/>
          <w:szCs w:val="32"/>
          <w:highlight w:val="none"/>
          <w:lang w:val="en-US" w:eastAsia="zh-CN"/>
        </w:rPr>
        <w:t xml:space="preserve">采   购   </w:t>
      </w:r>
      <w:r>
        <w:rPr>
          <w:rFonts w:hint="eastAsia" w:hAnsi="宋体"/>
          <w:b/>
          <w:bCs/>
          <w:sz w:val="32"/>
          <w:szCs w:val="32"/>
          <w:highlight w:val="none"/>
        </w:rPr>
        <w:t>人：大理白族自治州应急管理局</w:t>
      </w:r>
    </w:p>
    <w:p>
      <w:pPr>
        <w:pStyle w:val="15"/>
        <w:ind w:firstLine="1606" w:firstLineChars="500"/>
        <w:jc w:val="both"/>
        <w:rPr>
          <w:rFonts w:hint="eastAsia" w:hAnsi="宋体" w:eastAsia="宋体"/>
          <w:b/>
          <w:bCs/>
          <w:sz w:val="32"/>
          <w:szCs w:val="32"/>
          <w:highlight w:val="none"/>
          <w:lang w:eastAsia="zh-CN"/>
        </w:rPr>
      </w:pPr>
      <w:r>
        <w:rPr>
          <w:rFonts w:hint="eastAsia" w:hAnsi="宋体"/>
          <w:b/>
          <w:bCs/>
          <w:sz w:val="32"/>
          <w:szCs w:val="32"/>
          <w:highlight w:val="none"/>
          <w:lang w:eastAsia="zh-CN"/>
        </w:rPr>
        <w:t>采购代理机构</w:t>
      </w:r>
      <w:r>
        <w:rPr>
          <w:rFonts w:hint="eastAsia" w:hAnsi="宋体"/>
          <w:b/>
          <w:bCs/>
          <w:sz w:val="32"/>
          <w:szCs w:val="32"/>
          <w:highlight w:val="none"/>
        </w:rPr>
        <w:t>：</w:t>
      </w:r>
      <w:r>
        <w:rPr>
          <w:rFonts w:hint="eastAsia" w:hAnsi="宋体"/>
          <w:b/>
          <w:bCs/>
          <w:sz w:val="32"/>
          <w:szCs w:val="32"/>
          <w:highlight w:val="none"/>
          <w:lang w:eastAsia="zh-CN"/>
        </w:rPr>
        <w:t>云南耀鑫工程招标代理有限公司</w:t>
      </w:r>
    </w:p>
    <w:p>
      <w:pPr>
        <w:pStyle w:val="15"/>
        <w:ind w:firstLine="1606" w:firstLineChars="500"/>
        <w:jc w:val="both"/>
        <w:rPr>
          <w:rFonts w:hAnsi="宋体"/>
          <w:b/>
          <w:szCs w:val="21"/>
          <w:highlight w:val="none"/>
        </w:rPr>
      </w:pPr>
      <w:r>
        <w:rPr>
          <w:rFonts w:hint="eastAsia" w:hAnsi="宋体"/>
          <w:b/>
          <w:bCs/>
          <w:sz w:val="32"/>
          <w:szCs w:val="32"/>
          <w:highlight w:val="none"/>
          <w:lang w:val="en-US" w:eastAsia="zh-CN"/>
        </w:rPr>
        <w:t>日        期：二〇二四</w:t>
      </w:r>
      <w:r>
        <w:rPr>
          <w:rFonts w:hint="eastAsia" w:hAnsi="宋体"/>
          <w:b/>
          <w:bCs/>
          <w:sz w:val="32"/>
          <w:szCs w:val="32"/>
          <w:highlight w:val="none"/>
        </w:rPr>
        <w:t>年</w:t>
      </w:r>
      <w:r>
        <w:rPr>
          <w:rFonts w:hint="eastAsia" w:hAnsi="宋体"/>
          <w:b/>
          <w:bCs/>
          <w:sz w:val="32"/>
          <w:szCs w:val="32"/>
          <w:highlight w:val="none"/>
          <w:lang w:val="en-US" w:eastAsia="zh-CN"/>
        </w:rPr>
        <w:t>七</w:t>
      </w:r>
      <w:r>
        <w:rPr>
          <w:rFonts w:hint="eastAsia" w:hAnsi="宋体"/>
          <w:b/>
          <w:bCs/>
          <w:sz w:val="32"/>
          <w:szCs w:val="32"/>
          <w:highlight w:val="none"/>
        </w:rPr>
        <w:t>月</w:t>
      </w:r>
    </w:p>
    <w:p>
      <w:pPr>
        <w:pStyle w:val="15"/>
        <w:rPr>
          <w:rFonts w:hAnsi="宋体"/>
          <w:b/>
          <w:szCs w:val="21"/>
          <w:highlight w:val="none"/>
        </w:rPr>
      </w:pPr>
    </w:p>
    <w:p>
      <w:pPr>
        <w:pStyle w:val="15"/>
        <w:spacing w:line="400" w:lineRule="exact"/>
        <w:rPr>
          <w:rFonts w:hAnsi="宋体"/>
          <w:b/>
          <w:szCs w:val="21"/>
          <w:highlight w:val="none"/>
        </w:rPr>
        <w:sectPr>
          <w:headerReference r:id="rId4" w:type="first"/>
          <w:footerReference r:id="rId7" w:type="first"/>
          <w:headerReference r:id="rId3" w:type="default"/>
          <w:footerReference r:id="rId5" w:type="default"/>
          <w:footerReference r:id="rId6" w:type="even"/>
          <w:pgSz w:w="11906" w:h="16838"/>
          <w:pgMar w:top="1191" w:right="1219" w:bottom="1134" w:left="1219" w:header="567" w:footer="567" w:gutter="0"/>
          <w:pgBorders>
            <w:top w:val="none" w:sz="0" w:space="0"/>
            <w:left w:val="none" w:sz="0" w:space="0"/>
            <w:bottom w:val="none" w:sz="0" w:space="0"/>
            <w:right w:val="none" w:sz="0" w:space="0"/>
          </w:pgBorders>
          <w:pgNumType w:start="1"/>
          <w:cols w:space="720" w:num="1"/>
          <w:titlePg/>
          <w:docGrid w:type="lines" w:linePitch="331" w:charSpace="0"/>
        </w:sectPr>
      </w:pPr>
    </w:p>
    <w:p>
      <w:pPr>
        <w:pStyle w:val="15"/>
        <w:spacing w:line="400" w:lineRule="exact"/>
        <w:jc w:val="center"/>
        <w:rPr>
          <w:rFonts w:hAnsi="宋体"/>
          <w:sz w:val="24"/>
          <w:szCs w:val="24"/>
          <w:highlight w:val="none"/>
        </w:rPr>
      </w:pPr>
      <w:r>
        <w:rPr>
          <w:rFonts w:hint="eastAsia" w:hAnsi="宋体"/>
          <w:b/>
          <w:sz w:val="24"/>
          <w:szCs w:val="24"/>
          <w:highlight w:val="none"/>
        </w:rPr>
        <w:t>目   录</w:t>
      </w:r>
    </w:p>
    <w:p>
      <w:pPr>
        <w:pStyle w:val="21"/>
        <w:keepNext w:val="0"/>
        <w:keepLines w:val="0"/>
        <w:pageBreakBefore w:val="0"/>
        <w:widowControl w:val="0"/>
        <w:tabs>
          <w:tab w:val="right" w:leader="dot" w:pos="9468"/>
          <w:tab w:val="clear" w:pos="9628"/>
        </w:tabs>
        <w:kinsoku/>
        <w:wordWrap/>
        <w:overflowPunct/>
        <w:topLinePunct w:val="0"/>
        <w:autoSpaceDE/>
        <w:autoSpaceDN/>
        <w:bidi w:val="0"/>
        <w:adjustRightInd/>
        <w:snapToGrid/>
        <w:spacing w:before="0" w:after="0" w:line="240" w:lineRule="auto"/>
        <w:ind w:firstLine="156"/>
        <w:textAlignment w:val="auto"/>
        <w:rPr>
          <w:sz w:val="24"/>
          <w:szCs w:val="24"/>
          <w:highlight w:val="none"/>
        </w:rPr>
      </w:pPr>
      <w:r>
        <w:rPr>
          <w:rFonts w:ascii="宋体" w:hAnsi="宋体"/>
          <w:bCs w:val="0"/>
          <w:caps w:val="0"/>
          <w:smallCaps/>
          <w:sz w:val="24"/>
          <w:szCs w:val="24"/>
          <w:highlight w:val="none"/>
        </w:rPr>
        <w:fldChar w:fldCharType="begin"/>
      </w:r>
      <w:r>
        <w:rPr>
          <w:rFonts w:ascii="宋体" w:hAnsi="宋体"/>
          <w:bCs w:val="0"/>
          <w:caps w:val="0"/>
          <w:smallCaps/>
          <w:sz w:val="24"/>
          <w:szCs w:val="24"/>
          <w:highlight w:val="none"/>
        </w:rPr>
        <w:instrText xml:space="preserve"> TOC \o "1-2" \h \z \u </w:instrText>
      </w:r>
      <w:r>
        <w:rPr>
          <w:rFonts w:ascii="宋体" w:hAnsi="宋体"/>
          <w:bCs w:val="0"/>
          <w:caps w:val="0"/>
          <w:smallCaps/>
          <w:sz w:val="24"/>
          <w:szCs w:val="24"/>
          <w:highlight w:val="none"/>
        </w:rPr>
        <w:fldChar w:fldCharType="separate"/>
      </w:r>
      <w:r>
        <w:rPr>
          <w:sz w:val="24"/>
          <w:szCs w:val="24"/>
          <w:highlight w:val="none"/>
        </w:rPr>
        <w:fldChar w:fldCharType="begin"/>
      </w:r>
      <w:r>
        <w:rPr>
          <w:sz w:val="24"/>
          <w:szCs w:val="24"/>
          <w:highlight w:val="none"/>
        </w:rPr>
        <w:instrText xml:space="preserve"> HYPERLINK \l "_Toc7233" </w:instrText>
      </w:r>
      <w:r>
        <w:rPr>
          <w:sz w:val="24"/>
          <w:szCs w:val="24"/>
          <w:highlight w:val="none"/>
        </w:rPr>
        <w:fldChar w:fldCharType="separate"/>
      </w:r>
      <w:r>
        <w:rPr>
          <w:rFonts w:hint="eastAsia" w:ascii="宋体" w:hAnsi="宋体"/>
          <w:sz w:val="24"/>
          <w:szCs w:val="24"/>
          <w:highlight w:val="none"/>
        </w:rPr>
        <w:t>第一章</w:t>
      </w:r>
      <w:r>
        <w:rPr>
          <w:rFonts w:ascii="宋体" w:hAnsi="宋体"/>
          <w:sz w:val="24"/>
          <w:szCs w:val="24"/>
          <w:highlight w:val="none"/>
        </w:rPr>
        <w:t xml:space="preserve"> </w:t>
      </w:r>
      <w:r>
        <w:rPr>
          <w:rFonts w:hint="eastAsia" w:ascii="宋体" w:hAnsi="宋体"/>
          <w:sz w:val="24"/>
          <w:szCs w:val="24"/>
          <w:highlight w:val="none"/>
        </w:rPr>
        <w:t>招标公告</w:t>
      </w:r>
      <w:r>
        <w:rPr>
          <w:sz w:val="24"/>
          <w:szCs w:val="24"/>
          <w:highlight w:val="none"/>
        </w:rPr>
        <w:tab/>
      </w:r>
      <w:r>
        <w:rPr>
          <w:sz w:val="24"/>
          <w:szCs w:val="24"/>
          <w:highlight w:val="none"/>
        </w:rPr>
        <w:fldChar w:fldCharType="begin"/>
      </w:r>
      <w:r>
        <w:rPr>
          <w:sz w:val="24"/>
          <w:szCs w:val="24"/>
          <w:highlight w:val="none"/>
        </w:rPr>
        <w:instrText xml:space="preserve"> PAGEREF _Toc7233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pPr>
        <w:pStyle w:val="21"/>
        <w:keepNext w:val="0"/>
        <w:keepLines w:val="0"/>
        <w:pageBreakBefore w:val="0"/>
        <w:widowControl w:val="0"/>
        <w:tabs>
          <w:tab w:val="right" w:leader="dot" w:pos="9468"/>
          <w:tab w:val="clear" w:pos="9628"/>
        </w:tabs>
        <w:kinsoku/>
        <w:wordWrap/>
        <w:overflowPunct/>
        <w:topLinePunct w:val="0"/>
        <w:autoSpaceDE/>
        <w:autoSpaceDN/>
        <w:bidi w:val="0"/>
        <w:adjustRightInd/>
        <w:snapToGrid/>
        <w:spacing w:before="0" w:after="0" w:line="240" w:lineRule="auto"/>
        <w:ind w:firstLine="149"/>
        <w:textAlignment w:val="auto"/>
        <w:rPr>
          <w:sz w:val="24"/>
          <w:szCs w:val="24"/>
          <w:highlight w:val="none"/>
        </w:rPr>
      </w:pPr>
      <w:r>
        <w:rPr>
          <w:sz w:val="24"/>
          <w:szCs w:val="24"/>
          <w:highlight w:val="none"/>
        </w:rPr>
        <w:fldChar w:fldCharType="begin"/>
      </w:r>
      <w:r>
        <w:rPr>
          <w:sz w:val="24"/>
          <w:szCs w:val="24"/>
          <w:highlight w:val="none"/>
        </w:rPr>
        <w:instrText xml:space="preserve"> HYPERLINK \l "_Toc9500" </w:instrText>
      </w:r>
      <w:r>
        <w:rPr>
          <w:sz w:val="24"/>
          <w:szCs w:val="24"/>
          <w:highlight w:val="none"/>
        </w:rPr>
        <w:fldChar w:fldCharType="separate"/>
      </w:r>
      <w:r>
        <w:rPr>
          <w:rFonts w:hint="eastAsia" w:ascii="宋体" w:hAnsi="宋体"/>
          <w:sz w:val="24"/>
          <w:szCs w:val="24"/>
          <w:highlight w:val="none"/>
        </w:rPr>
        <w:t>第二章</w:t>
      </w:r>
      <w:r>
        <w:rPr>
          <w:rFonts w:ascii="宋体" w:hAnsi="宋体"/>
          <w:sz w:val="24"/>
          <w:szCs w:val="24"/>
          <w:highlight w:val="none"/>
        </w:rPr>
        <w:t xml:space="preserve"> </w:t>
      </w:r>
      <w:r>
        <w:rPr>
          <w:rFonts w:hint="eastAsia" w:ascii="宋体" w:hAnsi="宋体"/>
          <w:sz w:val="24"/>
          <w:szCs w:val="24"/>
          <w:highlight w:val="none"/>
        </w:rPr>
        <w:t>投标人须知</w:t>
      </w:r>
      <w:r>
        <w:rPr>
          <w:sz w:val="24"/>
          <w:szCs w:val="24"/>
          <w:highlight w:val="none"/>
        </w:rPr>
        <w:tab/>
      </w:r>
      <w:r>
        <w:rPr>
          <w:sz w:val="24"/>
          <w:szCs w:val="24"/>
          <w:highlight w:val="none"/>
        </w:rPr>
        <w:fldChar w:fldCharType="begin"/>
      </w:r>
      <w:r>
        <w:rPr>
          <w:sz w:val="24"/>
          <w:szCs w:val="24"/>
          <w:highlight w:val="none"/>
        </w:rPr>
        <w:instrText xml:space="preserve"> PAGEREF _Toc9500 \h </w:instrText>
      </w:r>
      <w:r>
        <w:rPr>
          <w:sz w:val="24"/>
          <w:szCs w:val="24"/>
          <w:highlight w:val="none"/>
        </w:rPr>
        <w:fldChar w:fldCharType="separate"/>
      </w:r>
      <w:r>
        <w:rPr>
          <w:sz w:val="24"/>
          <w:szCs w:val="24"/>
          <w:highlight w:val="none"/>
        </w:rPr>
        <w:t>5</w:t>
      </w:r>
      <w:r>
        <w:rPr>
          <w:sz w:val="24"/>
          <w:szCs w:val="24"/>
          <w:highlight w:val="none"/>
        </w:rPr>
        <w:fldChar w:fldCharType="end"/>
      </w:r>
      <w:r>
        <w:rPr>
          <w:sz w:val="24"/>
          <w:szCs w:val="24"/>
          <w:highlight w:val="none"/>
        </w:rPr>
        <w:fldChar w:fldCharType="end"/>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sz w:val="24"/>
          <w:szCs w:val="24"/>
          <w:highlight w:val="none"/>
        </w:rPr>
      </w:pPr>
      <w:r>
        <w:rPr>
          <w:sz w:val="24"/>
          <w:szCs w:val="24"/>
          <w:highlight w:val="none"/>
        </w:rPr>
        <w:fldChar w:fldCharType="begin"/>
      </w:r>
      <w:r>
        <w:rPr>
          <w:sz w:val="24"/>
          <w:szCs w:val="24"/>
          <w:highlight w:val="none"/>
        </w:rPr>
        <w:instrText xml:space="preserve"> HYPERLINK \l "_Toc24057" </w:instrText>
      </w:r>
      <w:r>
        <w:rPr>
          <w:sz w:val="24"/>
          <w:szCs w:val="24"/>
          <w:highlight w:val="none"/>
        </w:rPr>
        <w:fldChar w:fldCharType="separate"/>
      </w:r>
      <w:r>
        <w:rPr>
          <w:rFonts w:hint="eastAsia" w:ascii="宋体" w:hAnsi="宋体"/>
          <w:bCs/>
          <w:sz w:val="24"/>
          <w:szCs w:val="24"/>
          <w:highlight w:val="none"/>
        </w:rPr>
        <w:t>投标人须知前附表</w:t>
      </w:r>
      <w:r>
        <w:rPr>
          <w:sz w:val="24"/>
          <w:szCs w:val="24"/>
          <w:highlight w:val="none"/>
        </w:rPr>
        <w:tab/>
      </w:r>
      <w:r>
        <w:rPr>
          <w:sz w:val="24"/>
          <w:szCs w:val="24"/>
          <w:highlight w:val="none"/>
        </w:rPr>
        <w:fldChar w:fldCharType="begin"/>
      </w:r>
      <w:r>
        <w:rPr>
          <w:sz w:val="24"/>
          <w:szCs w:val="24"/>
          <w:highlight w:val="none"/>
        </w:rPr>
        <w:instrText xml:space="preserve"> PAGEREF _Toc24057 \h </w:instrText>
      </w:r>
      <w:r>
        <w:rPr>
          <w:sz w:val="24"/>
          <w:szCs w:val="24"/>
          <w:highlight w:val="none"/>
        </w:rPr>
        <w:fldChar w:fldCharType="separate"/>
      </w:r>
      <w:r>
        <w:rPr>
          <w:sz w:val="24"/>
          <w:szCs w:val="24"/>
          <w:highlight w:val="none"/>
        </w:rPr>
        <w:t>5</w:t>
      </w:r>
      <w:r>
        <w:rPr>
          <w:sz w:val="24"/>
          <w:szCs w:val="24"/>
          <w:highlight w:val="none"/>
        </w:rPr>
        <w:fldChar w:fldCharType="end"/>
      </w:r>
      <w:r>
        <w:rPr>
          <w:sz w:val="24"/>
          <w:szCs w:val="24"/>
          <w:highlight w:val="none"/>
        </w:rPr>
        <w:fldChar w:fldCharType="end"/>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sz w:val="24"/>
          <w:szCs w:val="24"/>
          <w:highlight w:val="none"/>
        </w:rPr>
      </w:pPr>
      <w:r>
        <w:rPr>
          <w:sz w:val="24"/>
          <w:szCs w:val="24"/>
          <w:highlight w:val="none"/>
        </w:rPr>
        <w:fldChar w:fldCharType="begin"/>
      </w:r>
      <w:r>
        <w:rPr>
          <w:sz w:val="24"/>
          <w:szCs w:val="24"/>
          <w:highlight w:val="none"/>
        </w:rPr>
        <w:instrText xml:space="preserve"> HYPERLINK \l "_Toc21042" </w:instrText>
      </w:r>
      <w:r>
        <w:rPr>
          <w:sz w:val="24"/>
          <w:szCs w:val="24"/>
          <w:highlight w:val="none"/>
        </w:rPr>
        <w:fldChar w:fldCharType="separate"/>
      </w:r>
      <w:r>
        <w:rPr>
          <w:rFonts w:hint="eastAsia" w:ascii="宋体" w:hAnsi="宋体"/>
          <w:bCs/>
          <w:sz w:val="24"/>
          <w:szCs w:val="24"/>
          <w:highlight w:val="none"/>
        </w:rPr>
        <w:t>一</w:t>
      </w:r>
      <w:r>
        <w:rPr>
          <w:rFonts w:hint="eastAsia" w:ascii="宋体" w:hAnsi="宋体"/>
          <w:bCs/>
          <w:kern w:val="44"/>
          <w:sz w:val="24"/>
          <w:szCs w:val="24"/>
          <w:highlight w:val="none"/>
        </w:rPr>
        <w:t>、总则</w:t>
      </w:r>
      <w:r>
        <w:rPr>
          <w:sz w:val="24"/>
          <w:szCs w:val="24"/>
          <w:highlight w:val="none"/>
        </w:rPr>
        <w:tab/>
      </w:r>
      <w:r>
        <w:rPr>
          <w:sz w:val="24"/>
          <w:szCs w:val="24"/>
          <w:highlight w:val="none"/>
        </w:rPr>
        <w:fldChar w:fldCharType="begin"/>
      </w:r>
      <w:r>
        <w:rPr>
          <w:sz w:val="24"/>
          <w:szCs w:val="24"/>
          <w:highlight w:val="none"/>
        </w:rPr>
        <w:instrText xml:space="preserve"> PAGEREF _Toc21042 \h </w:instrText>
      </w:r>
      <w:r>
        <w:rPr>
          <w:sz w:val="24"/>
          <w:szCs w:val="24"/>
          <w:highlight w:val="none"/>
        </w:rPr>
        <w:fldChar w:fldCharType="separate"/>
      </w:r>
      <w:r>
        <w:rPr>
          <w:sz w:val="24"/>
          <w:szCs w:val="24"/>
          <w:highlight w:val="none"/>
        </w:rPr>
        <w:t>8</w:t>
      </w:r>
      <w:r>
        <w:rPr>
          <w:sz w:val="24"/>
          <w:szCs w:val="24"/>
          <w:highlight w:val="none"/>
        </w:rPr>
        <w:fldChar w:fldCharType="end"/>
      </w:r>
      <w:r>
        <w:rPr>
          <w:sz w:val="24"/>
          <w:szCs w:val="24"/>
          <w:highlight w:val="none"/>
        </w:rPr>
        <w:fldChar w:fldCharType="end"/>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sz w:val="24"/>
          <w:szCs w:val="24"/>
          <w:highlight w:val="none"/>
        </w:rPr>
      </w:pPr>
      <w:r>
        <w:rPr>
          <w:sz w:val="24"/>
          <w:szCs w:val="24"/>
          <w:highlight w:val="none"/>
        </w:rPr>
        <w:fldChar w:fldCharType="begin"/>
      </w:r>
      <w:r>
        <w:rPr>
          <w:sz w:val="24"/>
          <w:szCs w:val="24"/>
          <w:highlight w:val="none"/>
        </w:rPr>
        <w:instrText xml:space="preserve"> HYPERLINK \l "_Toc12104" </w:instrText>
      </w:r>
      <w:r>
        <w:rPr>
          <w:sz w:val="24"/>
          <w:szCs w:val="24"/>
          <w:highlight w:val="none"/>
        </w:rPr>
        <w:fldChar w:fldCharType="separate"/>
      </w:r>
      <w:r>
        <w:rPr>
          <w:rFonts w:hint="eastAsia" w:ascii="宋体" w:hAnsi="宋体"/>
          <w:bCs/>
          <w:kern w:val="44"/>
          <w:sz w:val="24"/>
          <w:szCs w:val="24"/>
          <w:highlight w:val="none"/>
        </w:rPr>
        <w:t>二、</w:t>
      </w:r>
      <w:r>
        <w:rPr>
          <w:rFonts w:hint="eastAsia" w:ascii="宋体" w:hAnsi="宋体"/>
          <w:bCs/>
          <w:kern w:val="44"/>
          <w:sz w:val="24"/>
          <w:szCs w:val="24"/>
          <w:highlight w:val="none"/>
          <w:lang w:eastAsia="zh-CN"/>
        </w:rPr>
        <w:t>采购文件</w:t>
      </w:r>
      <w:r>
        <w:rPr>
          <w:sz w:val="24"/>
          <w:szCs w:val="24"/>
          <w:highlight w:val="none"/>
        </w:rPr>
        <w:tab/>
      </w:r>
      <w:r>
        <w:rPr>
          <w:sz w:val="24"/>
          <w:szCs w:val="24"/>
          <w:highlight w:val="none"/>
        </w:rPr>
        <w:fldChar w:fldCharType="begin"/>
      </w:r>
      <w:r>
        <w:rPr>
          <w:sz w:val="24"/>
          <w:szCs w:val="24"/>
          <w:highlight w:val="none"/>
        </w:rPr>
        <w:instrText xml:space="preserve"> PAGEREF _Toc12104 \h </w:instrText>
      </w:r>
      <w:r>
        <w:rPr>
          <w:sz w:val="24"/>
          <w:szCs w:val="24"/>
          <w:highlight w:val="none"/>
        </w:rPr>
        <w:fldChar w:fldCharType="separate"/>
      </w:r>
      <w:r>
        <w:rPr>
          <w:sz w:val="24"/>
          <w:szCs w:val="24"/>
          <w:highlight w:val="none"/>
        </w:rPr>
        <w:t>10</w:t>
      </w:r>
      <w:r>
        <w:rPr>
          <w:sz w:val="24"/>
          <w:szCs w:val="24"/>
          <w:highlight w:val="none"/>
        </w:rPr>
        <w:fldChar w:fldCharType="end"/>
      </w:r>
      <w:r>
        <w:rPr>
          <w:sz w:val="24"/>
          <w:szCs w:val="24"/>
          <w:highlight w:val="none"/>
        </w:rPr>
        <w:fldChar w:fldCharType="end"/>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sz w:val="24"/>
          <w:szCs w:val="24"/>
          <w:highlight w:val="none"/>
        </w:rPr>
      </w:pPr>
      <w:r>
        <w:rPr>
          <w:sz w:val="24"/>
          <w:szCs w:val="24"/>
          <w:highlight w:val="none"/>
        </w:rPr>
        <w:fldChar w:fldCharType="begin"/>
      </w:r>
      <w:r>
        <w:rPr>
          <w:sz w:val="24"/>
          <w:szCs w:val="24"/>
          <w:highlight w:val="none"/>
        </w:rPr>
        <w:instrText xml:space="preserve"> HYPERLINK \l "_Toc26676" </w:instrText>
      </w:r>
      <w:r>
        <w:rPr>
          <w:sz w:val="24"/>
          <w:szCs w:val="24"/>
          <w:highlight w:val="none"/>
        </w:rPr>
        <w:fldChar w:fldCharType="separate"/>
      </w:r>
      <w:r>
        <w:rPr>
          <w:rFonts w:hint="eastAsia" w:ascii="宋体" w:hAnsi="宋体"/>
          <w:bCs/>
          <w:kern w:val="44"/>
          <w:sz w:val="24"/>
          <w:szCs w:val="24"/>
          <w:highlight w:val="none"/>
        </w:rPr>
        <w:t>三、投标文件</w:t>
      </w:r>
      <w:r>
        <w:rPr>
          <w:sz w:val="24"/>
          <w:szCs w:val="24"/>
          <w:highlight w:val="none"/>
        </w:rPr>
        <w:tab/>
      </w:r>
      <w:r>
        <w:rPr>
          <w:sz w:val="24"/>
          <w:szCs w:val="24"/>
          <w:highlight w:val="none"/>
        </w:rPr>
        <w:fldChar w:fldCharType="begin"/>
      </w:r>
      <w:r>
        <w:rPr>
          <w:sz w:val="24"/>
          <w:szCs w:val="24"/>
          <w:highlight w:val="none"/>
        </w:rPr>
        <w:instrText xml:space="preserve"> PAGEREF _Toc26676 \h </w:instrText>
      </w:r>
      <w:r>
        <w:rPr>
          <w:sz w:val="24"/>
          <w:szCs w:val="24"/>
          <w:highlight w:val="none"/>
        </w:rPr>
        <w:fldChar w:fldCharType="separate"/>
      </w:r>
      <w:r>
        <w:rPr>
          <w:sz w:val="24"/>
          <w:szCs w:val="24"/>
          <w:highlight w:val="none"/>
        </w:rPr>
        <w:t>10</w:t>
      </w:r>
      <w:r>
        <w:rPr>
          <w:sz w:val="24"/>
          <w:szCs w:val="24"/>
          <w:highlight w:val="none"/>
        </w:rPr>
        <w:fldChar w:fldCharType="end"/>
      </w:r>
      <w:r>
        <w:rPr>
          <w:sz w:val="24"/>
          <w:szCs w:val="24"/>
          <w:highlight w:val="none"/>
        </w:rPr>
        <w:fldChar w:fldCharType="end"/>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sz w:val="24"/>
          <w:szCs w:val="24"/>
          <w:highlight w:val="none"/>
        </w:rPr>
      </w:pPr>
      <w:r>
        <w:rPr>
          <w:sz w:val="24"/>
          <w:szCs w:val="24"/>
          <w:highlight w:val="none"/>
        </w:rPr>
        <w:fldChar w:fldCharType="begin"/>
      </w:r>
      <w:r>
        <w:rPr>
          <w:sz w:val="24"/>
          <w:szCs w:val="24"/>
          <w:highlight w:val="none"/>
        </w:rPr>
        <w:instrText xml:space="preserve"> HYPERLINK \l "_Toc5269" </w:instrText>
      </w:r>
      <w:r>
        <w:rPr>
          <w:sz w:val="24"/>
          <w:szCs w:val="24"/>
          <w:highlight w:val="none"/>
        </w:rPr>
        <w:fldChar w:fldCharType="separate"/>
      </w:r>
      <w:r>
        <w:rPr>
          <w:rFonts w:hint="eastAsia" w:ascii="宋体" w:hAnsi="宋体"/>
          <w:bCs/>
          <w:kern w:val="44"/>
          <w:sz w:val="24"/>
          <w:szCs w:val="24"/>
          <w:highlight w:val="none"/>
        </w:rPr>
        <w:t>四、投标文件的提交</w:t>
      </w:r>
      <w:r>
        <w:rPr>
          <w:sz w:val="24"/>
          <w:szCs w:val="24"/>
          <w:highlight w:val="none"/>
        </w:rPr>
        <w:tab/>
      </w:r>
      <w:r>
        <w:rPr>
          <w:sz w:val="24"/>
          <w:szCs w:val="24"/>
          <w:highlight w:val="none"/>
        </w:rPr>
        <w:fldChar w:fldCharType="begin"/>
      </w:r>
      <w:r>
        <w:rPr>
          <w:sz w:val="24"/>
          <w:szCs w:val="24"/>
          <w:highlight w:val="none"/>
        </w:rPr>
        <w:instrText xml:space="preserve"> PAGEREF _Toc5269 \h </w:instrText>
      </w:r>
      <w:r>
        <w:rPr>
          <w:sz w:val="24"/>
          <w:szCs w:val="24"/>
          <w:highlight w:val="none"/>
        </w:rPr>
        <w:fldChar w:fldCharType="separate"/>
      </w:r>
      <w:r>
        <w:rPr>
          <w:sz w:val="24"/>
          <w:szCs w:val="24"/>
          <w:highlight w:val="none"/>
        </w:rPr>
        <w:t>13</w:t>
      </w:r>
      <w:r>
        <w:rPr>
          <w:sz w:val="24"/>
          <w:szCs w:val="24"/>
          <w:highlight w:val="none"/>
        </w:rPr>
        <w:fldChar w:fldCharType="end"/>
      </w:r>
      <w:r>
        <w:rPr>
          <w:sz w:val="24"/>
          <w:szCs w:val="24"/>
          <w:highlight w:val="none"/>
        </w:rPr>
        <w:fldChar w:fldCharType="end"/>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sz w:val="24"/>
          <w:szCs w:val="24"/>
          <w:highlight w:val="none"/>
        </w:rPr>
      </w:pPr>
      <w:r>
        <w:rPr>
          <w:sz w:val="24"/>
          <w:szCs w:val="24"/>
          <w:highlight w:val="none"/>
        </w:rPr>
        <w:fldChar w:fldCharType="begin"/>
      </w:r>
      <w:r>
        <w:rPr>
          <w:sz w:val="24"/>
          <w:szCs w:val="24"/>
          <w:highlight w:val="none"/>
        </w:rPr>
        <w:instrText xml:space="preserve"> HYPERLINK \l "_Toc29426" </w:instrText>
      </w:r>
      <w:r>
        <w:rPr>
          <w:sz w:val="24"/>
          <w:szCs w:val="24"/>
          <w:highlight w:val="none"/>
        </w:rPr>
        <w:fldChar w:fldCharType="separate"/>
      </w:r>
      <w:r>
        <w:rPr>
          <w:rFonts w:hint="eastAsia" w:ascii="宋体" w:hAnsi="宋体"/>
          <w:bCs/>
          <w:kern w:val="44"/>
          <w:sz w:val="24"/>
          <w:szCs w:val="24"/>
          <w:highlight w:val="none"/>
        </w:rPr>
        <w:t>五、开标与评标</w:t>
      </w:r>
      <w:r>
        <w:rPr>
          <w:sz w:val="24"/>
          <w:szCs w:val="24"/>
          <w:highlight w:val="none"/>
        </w:rPr>
        <w:tab/>
      </w:r>
      <w:r>
        <w:rPr>
          <w:sz w:val="24"/>
          <w:szCs w:val="24"/>
          <w:highlight w:val="none"/>
        </w:rPr>
        <w:fldChar w:fldCharType="begin"/>
      </w:r>
      <w:r>
        <w:rPr>
          <w:sz w:val="24"/>
          <w:szCs w:val="24"/>
          <w:highlight w:val="none"/>
        </w:rPr>
        <w:instrText xml:space="preserve"> PAGEREF _Toc29426 \h </w:instrText>
      </w:r>
      <w:r>
        <w:rPr>
          <w:sz w:val="24"/>
          <w:szCs w:val="24"/>
          <w:highlight w:val="none"/>
        </w:rPr>
        <w:fldChar w:fldCharType="separate"/>
      </w:r>
      <w:r>
        <w:rPr>
          <w:sz w:val="24"/>
          <w:szCs w:val="24"/>
          <w:highlight w:val="none"/>
        </w:rPr>
        <w:t>13</w:t>
      </w:r>
      <w:r>
        <w:rPr>
          <w:sz w:val="24"/>
          <w:szCs w:val="24"/>
          <w:highlight w:val="none"/>
        </w:rPr>
        <w:fldChar w:fldCharType="end"/>
      </w:r>
      <w:r>
        <w:rPr>
          <w:sz w:val="24"/>
          <w:szCs w:val="24"/>
          <w:highlight w:val="none"/>
        </w:rPr>
        <w:fldChar w:fldCharType="end"/>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sz w:val="24"/>
          <w:szCs w:val="24"/>
          <w:highlight w:val="none"/>
        </w:rPr>
      </w:pPr>
      <w:r>
        <w:rPr>
          <w:sz w:val="24"/>
          <w:szCs w:val="24"/>
          <w:highlight w:val="none"/>
        </w:rPr>
        <w:fldChar w:fldCharType="begin"/>
      </w:r>
      <w:r>
        <w:rPr>
          <w:sz w:val="24"/>
          <w:szCs w:val="24"/>
          <w:highlight w:val="none"/>
        </w:rPr>
        <w:instrText xml:space="preserve"> HYPERLINK \l "_Toc12941" </w:instrText>
      </w:r>
      <w:r>
        <w:rPr>
          <w:sz w:val="24"/>
          <w:szCs w:val="24"/>
          <w:highlight w:val="none"/>
        </w:rPr>
        <w:fldChar w:fldCharType="separate"/>
      </w:r>
      <w:r>
        <w:rPr>
          <w:rFonts w:hint="eastAsia" w:ascii="宋体" w:hAnsi="宋体"/>
          <w:bCs/>
          <w:kern w:val="44"/>
          <w:sz w:val="24"/>
          <w:szCs w:val="24"/>
          <w:highlight w:val="none"/>
        </w:rPr>
        <w:t>六、中标结果</w:t>
      </w:r>
      <w:r>
        <w:rPr>
          <w:sz w:val="24"/>
          <w:szCs w:val="24"/>
          <w:highlight w:val="none"/>
        </w:rPr>
        <w:tab/>
      </w:r>
      <w:r>
        <w:rPr>
          <w:sz w:val="24"/>
          <w:szCs w:val="24"/>
          <w:highlight w:val="none"/>
        </w:rPr>
        <w:fldChar w:fldCharType="begin"/>
      </w:r>
      <w:r>
        <w:rPr>
          <w:sz w:val="24"/>
          <w:szCs w:val="24"/>
          <w:highlight w:val="none"/>
        </w:rPr>
        <w:instrText xml:space="preserve"> PAGEREF _Toc12941 \h </w:instrText>
      </w:r>
      <w:r>
        <w:rPr>
          <w:sz w:val="24"/>
          <w:szCs w:val="24"/>
          <w:highlight w:val="none"/>
        </w:rPr>
        <w:fldChar w:fldCharType="separate"/>
      </w:r>
      <w:r>
        <w:rPr>
          <w:sz w:val="24"/>
          <w:szCs w:val="24"/>
          <w:highlight w:val="none"/>
        </w:rPr>
        <w:t>15</w:t>
      </w:r>
      <w:r>
        <w:rPr>
          <w:sz w:val="24"/>
          <w:szCs w:val="24"/>
          <w:highlight w:val="none"/>
        </w:rPr>
        <w:fldChar w:fldCharType="end"/>
      </w:r>
      <w:r>
        <w:rPr>
          <w:sz w:val="24"/>
          <w:szCs w:val="24"/>
          <w:highlight w:val="none"/>
        </w:rPr>
        <w:fldChar w:fldCharType="end"/>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sz w:val="24"/>
          <w:szCs w:val="24"/>
          <w:highlight w:val="none"/>
        </w:rPr>
      </w:pPr>
      <w:r>
        <w:rPr>
          <w:sz w:val="24"/>
          <w:szCs w:val="24"/>
          <w:highlight w:val="none"/>
        </w:rPr>
        <w:fldChar w:fldCharType="begin"/>
      </w:r>
      <w:r>
        <w:rPr>
          <w:sz w:val="24"/>
          <w:szCs w:val="24"/>
          <w:highlight w:val="none"/>
        </w:rPr>
        <w:instrText xml:space="preserve"> HYPERLINK \l "_Toc5145" </w:instrText>
      </w:r>
      <w:r>
        <w:rPr>
          <w:sz w:val="24"/>
          <w:szCs w:val="24"/>
          <w:highlight w:val="none"/>
        </w:rPr>
        <w:fldChar w:fldCharType="separate"/>
      </w:r>
      <w:r>
        <w:rPr>
          <w:rFonts w:hint="eastAsia" w:ascii="宋体" w:hAnsi="宋体"/>
          <w:bCs/>
          <w:kern w:val="44"/>
          <w:sz w:val="24"/>
          <w:szCs w:val="24"/>
          <w:highlight w:val="none"/>
        </w:rPr>
        <w:t>七、纪律和监督</w:t>
      </w:r>
      <w:r>
        <w:rPr>
          <w:sz w:val="24"/>
          <w:szCs w:val="24"/>
          <w:highlight w:val="none"/>
        </w:rPr>
        <w:tab/>
      </w:r>
      <w:r>
        <w:rPr>
          <w:sz w:val="24"/>
          <w:szCs w:val="24"/>
          <w:highlight w:val="none"/>
        </w:rPr>
        <w:fldChar w:fldCharType="begin"/>
      </w:r>
      <w:r>
        <w:rPr>
          <w:sz w:val="24"/>
          <w:szCs w:val="24"/>
          <w:highlight w:val="none"/>
        </w:rPr>
        <w:instrText xml:space="preserve"> PAGEREF _Toc5145 \h </w:instrText>
      </w:r>
      <w:r>
        <w:rPr>
          <w:sz w:val="24"/>
          <w:szCs w:val="24"/>
          <w:highlight w:val="none"/>
        </w:rPr>
        <w:fldChar w:fldCharType="separate"/>
      </w:r>
      <w:r>
        <w:rPr>
          <w:sz w:val="24"/>
          <w:szCs w:val="24"/>
          <w:highlight w:val="none"/>
        </w:rPr>
        <w:t>16</w:t>
      </w:r>
      <w:r>
        <w:rPr>
          <w:sz w:val="24"/>
          <w:szCs w:val="24"/>
          <w:highlight w:val="none"/>
        </w:rPr>
        <w:fldChar w:fldCharType="end"/>
      </w:r>
      <w:r>
        <w:rPr>
          <w:sz w:val="24"/>
          <w:szCs w:val="24"/>
          <w:highlight w:val="none"/>
        </w:rPr>
        <w:fldChar w:fldCharType="end"/>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sz w:val="24"/>
          <w:szCs w:val="24"/>
          <w:highlight w:val="none"/>
        </w:rPr>
      </w:pPr>
      <w:r>
        <w:rPr>
          <w:sz w:val="24"/>
          <w:szCs w:val="24"/>
          <w:highlight w:val="none"/>
        </w:rPr>
        <w:fldChar w:fldCharType="begin"/>
      </w:r>
      <w:r>
        <w:rPr>
          <w:sz w:val="24"/>
          <w:szCs w:val="24"/>
          <w:highlight w:val="none"/>
        </w:rPr>
        <w:instrText xml:space="preserve"> HYPERLINK \l "_Toc15633" </w:instrText>
      </w:r>
      <w:r>
        <w:rPr>
          <w:sz w:val="24"/>
          <w:szCs w:val="24"/>
          <w:highlight w:val="none"/>
        </w:rPr>
        <w:fldChar w:fldCharType="separate"/>
      </w:r>
      <w:r>
        <w:rPr>
          <w:rFonts w:hint="eastAsia" w:ascii="宋体" w:hAnsi="宋体"/>
          <w:bCs/>
          <w:kern w:val="44"/>
          <w:sz w:val="24"/>
          <w:szCs w:val="24"/>
          <w:highlight w:val="none"/>
        </w:rPr>
        <w:t>八、政府采购需要落实的政策</w:t>
      </w:r>
      <w:r>
        <w:rPr>
          <w:sz w:val="24"/>
          <w:szCs w:val="24"/>
          <w:highlight w:val="none"/>
        </w:rPr>
        <w:tab/>
      </w:r>
      <w:r>
        <w:rPr>
          <w:sz w:val="24"/>
          <w:szCs w:val="24"/>
          <w:highlight w:val="none"/>
        </w:rPr>
        <w:fldChar w:fldCharType="begin"/>
      </w:r>
      <w:r>
        <w:rPr>
          <w:sz w:val="24"/>
          <w:szCs w:val="24"/>
          <w:highlight w:val="none"/>
        </w:rPr>
        <w:instrText xml:space="preserve"> PAGEREF _Toc15633 \h </w:instrText>
      </w:r>
      <w:r>
        <w:rPr>
          <w:sz w:val="24"/>
          <w:szCs w:val="24"/>
          <w:highlight w:val="none"/>
        </w:rPr>
        <w:fldChar w:fldCharType="separate"/>
      </w:r>
      <w:r>
        <w:rPr>
          <w:sz w:val="24"/>
          <w:szCs w:val="24"/>
          <w:highlight w:val="none"/>
        </w:rPr>
        <w:t>17</w:t>
      </w:r>
      <w:r>
        <w:rPr>
          <w:sz w:val="24"/>
          <w:szCs w:val="24"/>
          <w:highlight w:val="none"/>
        </w:rPr>
        <w:fldChar w:fldCharType="end"/>
      </w:r>
      <w:r>
        <w:rPr>
          <w:sz w:val="24"/>
          <w:szCs w:val="24"/>
          <w:highlight w:val="none"/>
        </w:rPr>
        <w:fldChar w:fldCharType="end"/>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sz w:val="24"/>
          <w:szCs w:val="24"/>
          <w:highlight w:val="none"/>
        </w:rPr>
      </w:pPr>
      <w:r>
        <w:rPr>
          <w:sz w:val="24"/>
          <w:szCs w:val="24"/>
          <w:highlight w:val="none"/>
        </w:rPr>
        <w:fldChar w:fldCharType="begin"/>
      </w:r>
      <w:r>
        <w:rPr>
          <w:sz w:val="24"/>
          <w:szCs w:val="24"/>
          <w:highlight w:val="none"/>
        </w:rPr>
        <w:instrText xml:space="preserve"> HYPERLINK \l "_Toc3395" </w:instrText>
      </w:r>
      <w:r>
        <w:rPr>
          <w:sz w:val="24"/>
          <w:szCs w:val="24"/>
          <w:highlight w:val="none"/>
        </w:rPr>
        <w:fldChar w:fldCharType="separate"/>
      </w:r>
      <w:r>
        <w:rPr>
          <w:rFonts w:hint="eastAsia" w:ascii="宋体" w:hAnsi="宋体"/>
          <w:bCs/>
          <w:kern w:val="44"/>
          <w:sz w:val="24"/>
          <w:szCs w:val="24"/>
          <w:highlight w:val="none"/>
        </w:rPr>
        <w:t>九、</w:t>
      </w:r>
      <w:r>
        <w:rPr>
          <w:rFonts w:hint="eastAsia" w:ascii="宋体" w:hAnsi="宋体"/>
          <w:bCs/>
          <w:kern w:val="44"/>
          <w:sz w:val="24"/>
          <w:szCs w:val="24"/>
          <w:highlight w:val="none"/>
          <w:lang w:val="en-US" w:eastAsia="zh-CN"/>
        </w:rPr>
        <w:t>需要补充的其他内容</w:t>
      </w:r>
      <w:r>
        <w:rPr>
          <w:sz w:val="24"/>
          <w:szCs w:val="24"/>
          <w:highlight w:val="none"/>
        </w:rPr>
        <w:tab/>
      </w:r>
      <w:r>
        <w:rPr>
          <w:sz w:val="24"/>
          <w:szCs w:val="24"/>
          <w:highlight w:val="none"/>
        </w:rPr>
        <w:fldChar w:fldCharType="begin"/>
      </w:r>
      <w:r>
        <w:rPr>
          <w:sz w:val="24"/>
          <w:szCs w:val="24"/>
          <w:highlight w:val="none"/>
        </w:rPr>
        <w:instrText xml:space="preserve"> PAGEREF _Toc3395 \h </w:instrText>
      </w:r>
      <w:r>
        <w:rPr>
          <w:sz w:val="24"/>
          <w:szCs w:val="24"/>
          <w:highlight w:val="none"/>
        </w:rPr>
        <w:fldChar w:fldCharType="separate"/>
      </w:r>
      <w:r>
        <w:rPr>
          <w:sz w:val="24"/>
          <w:szCs w:val="24"/>
          <w:highlight w:val="none"/>
        </w:rPr>
        <w:t>19</w:t>
      </w:r>
      <w:r>
        <w:rPr>
          <w:sz w:val="24"/>
          <w:szCs w:val="24"/>
          <w:highlight w:val="none"/>
        </w:rPr>
        <w:fldChar w:fldCharType="end"/>
      </w:r>
      <w:r>
        <w:rPr>
          <w:sz w:val="24"/>
          <w:szCs w:val="24"/>
          <w:highlight w:val="none"/>
        </w:rPr>
        <w:fldChar w:fldCharType="end"/>
      </w:r>
    </w:p>
    <w:p>
      <w:pPr>
        <w:pStyle w:val="21"/>
        <w:keepNext w:val="0"/>
        <w:keepLines w:val="0"/>
        <w:pageBreakBefore w:val="0"/>
        <w:widowControl w:val="0"/>
        <w:tabs>
          <w:tab w:val="right" w:leader="dot" w:pos="9468"/>
          <w:tab w:val="clear" w:pos="9628"/>
        </w:tabs>
        <w:kinsoku/>
        <w:wordWrap/>
        <w:overflowPunct/>
        <w:topLinePunct w:val="0"/>
        <w:autoSpaceDE/>
        <w:autoSpaceDN/>
        <w:bidi w:val="0"/>
        <w:adjustRightInd/>
        <w:snapToGrid/>
        <w:spacing w:before="0" w:after="0" w:line="240" w:lineRule="auto"/>
        <w:ind w:firstLine="149"/>
        <w:textAlignment w:val="auto"/>
        <w:rPr>
          <w:sz w:val="24"/>
          <w:szCs w:val="24"/>
          <w:highlight w:val="none"/>
        </w:rPr>
      </w:pPr>
      <w:r>
        <w:rPr>
          <w:sz w:val="24"/>
          <w:szCs w:val="24"/>
          <w:highlight w:val="none"/>
        </w:rPr>
        <w:fldChar w:fldCharType="begin"/>
      </w:r>
      <w:r>
        <w:rPr>
          <w:sz w:val="24"/>
          <w:szCs w:val="24"/>
          <w:highlight w:val="none"/>
        </w:rPr>
        <w:instrText xml:space="preserve"> HYPERLINK \l "_Toc29573" </w:instrText>
      </w:r>
      <w:r>
        <w:rPr>
          <w:sz w:val="24"/>
          <w:szCs w:val="24"/>
          <w:highlight w:val="none"/>
        </w:rPr>
        <w:fldChar w:fldCharType="separate"/>
      </w:r>
      <w:r>
        <w:rPr>
          <w:rFonts w:hint="eastAsia" w:ascii="宋体" w:hAnsi="宋体"/>
          <w:sz w:val="24"/>
          <w:szCs w:val="24"/>
          <w:highlight w:val="none"/>
        </w:rPr>
        <w:t>第三章</w:t>
      </w:r>
      <w:r>
        <w:rPr>
          <w:rFonts w:ascii="宋体" w:hAnsi="宋体"/>
          <w:sz w:val="24"/>
          <w:szCs w:val="24"/>
          <w:highlight w:val="none"/>
        </w:rPr>
        <w:t xml:space="preserve"> </w:t>
      </w:r>
      <w:r>
        <w:rPr>
          <w:rFonts w:hint="eastAsia" w:ascii="宋体" w:hAnsi="宋体"/>
          <w:sz w:val="24"/>
          <w:szCs w:val="24"/>
          <w:highlight w:val="none"/>
        </w:rPr>
        <w:t>合同书样式及主要条款</w:t>
      </w:r>
      <w:r>
        <w:rPr>
          <w:sz w:val="24"/>
          <w:szCs w:val="24"/>
          <w:highlight w:val="none"/>
        </w:rPr>
        <w:tab/>
      </w:r>
      <w:r>
        <w:rPr>
          <w:sz w:val="24"/>
          <w:szCs w:val="24"/>
          <w:highlight w:val="none"/>
        </w:rPr>
        <w:fldChar w:fldCharType="begin"/>
      </w:r>
      <w:r>
        <w:rPr>
          <w:sz w:val="24"/>
          <w:szCs w:val="24"/>
          <w:highlight w:val="none"/>
        </w:rPr>
        <w:instrText xml:space="preserve"> PAGEREF _Toc29573 \h </w:instrText>
      </w:r>
      <w:r>
        <w:rPr>
          <w:sz w:val="24"/>
          <w:szCs w:val="24"/>
          <w:highlight w:val="none"/>
        </w:rPr>
        <w:fldChar w:fldCharType="separate"/>
      </w:r>
      <w:r>
        <w:rPr>
          <w:sz w:val="24"/>
          <w:szCs w:val="24"/>
          <w:highlight w:val="none"/>
        </w:rPr>
        <w:t>20</w:t>
      </w:r>
      <w:r>
        <w:rPr>
          <w:sz w:val="24"/>
          <w:szCs w:val="24"/>
          <w:highlight w:val="none"/>
        </w:rPr>
        <w:fldChar w:fldCharType="end"/>
      </w:r>
      <w:r>
        <w:rPr>
          <w:sz w:val="24"/>
          <w:szCs w:val="24"/>
          <w:highlight w:val="none"/>
        </w:rPr>
        <w:fldChar w:fldCharType="end"/>
      </w:r>
    </w:p>
    <w:p>
      <w:pPr>
        <w:pStyle w:val="21"/>
        <w:keepNext w:val="0"/>
        <w:keepLines w:val="0"/>
        <w:pageBreakBefore w:val="0"/>
        <w:widowControl w:val="0"/>
        <w:tabs>
          <w:tab w:val="right" w:leader="dot" w:pos="9468"/>
          <w:tab w:val="clear" w:pos="9628"/>
        </w:tabs>
        <w:kinsoku/>
        <w:wordWrap/>
        <w:overflowPunct/>
        <w:topLinePunct w:val="0"/>
        <w:autoSpaceDE/>
        <w:autoSpaceDN/>
        <w:bidi w:val="0"/>
        <w:adjustRightInd/>
        <w:snapToGrid/>
        <w:spacing w:before="0" w:after="0" w:line="240" w:lineRule="auto"/>
        <w:ind w:firstLine="149"/>
        <w:textAlignment w:val="auto"/>
        <w:rPr>
          <w:sz w:val="24"/>
          <w:szCs w:val="24"/>
          <w:highlight w:val="none"/>
        </w:rPr>
      </w:pPr>
      <w:r>
        <w:rPr>
          <w:sz w:val="24"/>
          <w:szCs w:val="24"/>
          <w:highlight w:val="none"/>
        </w:rPr>
        <w:fldChar w:fldCharType="begin"/>
      </w:r>
      <w:r>
        <w:rPr>
          <w:sz w:val="24"/>
          <w:szCs w:val="24"/>
          <w:highlight w:val="none"/>
        </w:rPr>
        <w:instrText xml:space="preserve"> HYPERLINK \l "_Toc23753" </w:instrText>
      </w:r>
      <w:r>
        <w:rPr>
          <w:sz w:val="24"/>
          <w:szCs w:val="24"/>
          <w:highlight w:val="none"/>
        </w:rPr>
        <w:fldChar w:fldCharType="separate"/>
      </w:r>
      <w:r>
        <w:rPr>
          <w:rFonts w:hint="eastAsia" w:ascii="宋体" w:hAnsi="宋体"/>
          <w:bCs w:val="0"/>
          <w:sz w:val="24"/>
          <w:szCs w:val="24"/>
          <w:highlight w:val="none"/>
        </w:rPr>
        <w:t>第四章</w:t>
      </w:r>
      <w:r>
        <w:rPr>
          <w:rFonts w:ascii="宋体" w:hAnsi="宋体"/>
          <w:bCs w:val="0"/>
          <w:sz w:val="24"/>
          <w:szCs w:val="24"/>
          <w:highlight w:val="none"/>
        </w:rPr>
        <w:t xml:space="preserve"> </w:t>
      </w:r>
      <w:r>
        <w:rPr>
          <w:rFonts w:hint="eastAsia" w:ascii="宋体" w:hAnsi="宋体"/>
          <w:bCs w:val="0"/>
          <w:sz w:val="24"/>
          <w:szCs w:val="24"/>
          <w:highlight w:val="none"/>
        </w:rPr>
        <w:t>投标文件格式</w:t>
      </w:r>
      <w:r>
        <w:rPr>
          <w:sz w:val="24"/>
          <w:szCs w:val="24"/>
          <w:highlight w:val="none"/>
        </w:rPr>
        <w:tab/>
      </w:r>
      <w:r>
        <w:rPr>
          <w:sz w:val="24"/>
          <w:szCs w:val="24"/>
          <w:highlight w:val="none"/>
        </w:rPr>
        <w:fldChar w:fldCharType="begin"/>
      </w:r>
      <w:r>
        <w:rPr>
          <w:sz w:val="24"/>
          <w:szCs w:val="24"/>
          <w:highlight w:val="none"/>
        </w:rPr>
        <w:instrText xml:space="preserve"> PAGEREF _Toc23753 \h </w:instrText>
      </w:r>
      <w:r>
        <w:rPr>
          <w:sz w:val="24"/>
          <w:szCs w:val="24"/>
          <w:highlight w:val="none"/>
        </w:rPr>
        <w:fldChar w:fldCharType="separate"/>
      </w:r>
      <w:r>
        <w:rPr>
          <w:sz w:val="24"/>
          <w:szCs w:val="24"/>
          <w:highlight w:val="none"/>
        </w:rPr>
        <w:t>25</w:t>
      </w:r>
      <w:r>
        <w:rPr>
          <w:sz w:val="24"/>
          <w:szCs w:val="24"/>
          <w:highlight w:val="none"/>
        </w:rPr>
        <w:fldChar w:fldCharType="end"/>
      </w:r>
      <w:r>
        <w:rPr>
          <w:sz w:val="24"/>
          <w:szCs w:val="24"/>
          <w:highlight w:val="none"/>
        </w:rPr>
        <w:fldChar w:fldCharType="end"/>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rFonts w:hint="eastAsia" w:eastAsia="宋体"/>
          <w:sz w:val="24"/>
          <w:szCs w:val="24"/>
          <w:highlight w:val="none"/>
          <w:lang w:val="en-US" w:eastAsia="zh-CN"/>
        </w:rPr>
      </w:pPr>
      <w:r>
        <w:rPr>
          <w:rFonts w:hint="eastAsia"/>
          <w:sz w:val="24"/>
          <w:szCs w:val="24"/>
          <w:highlight w:val="none"/>
          <w:lang w:val="en-US" w:eastAsia="zh-CN"/>
        </w:rPr>
        <w:t>一、</w:t>
      </w:r>
      <w:r>
        <w:rPr>
          <w:sz w:val="24"/>
          <w:szCs w:val="24"/>
          <w:highlight w:val="none"/>
        </w:rPr>
        <w:fldChar w:fldCharType="begin"/>
      </w:r>
      <w:r>
        <w:rPr>
          <w:sz w:val="24"/>
          <w:szCs w:val="24"/>
          <w:highlight w:val="none"/>
        </w:rPr>
        <w:instrText xml:space="preserve"> HYPERLINK \l "_Toc8289" </w:instrText>
      </w:r>
      <w:r>
        <w:rPr>
          <w:sz w:val="24"/>
          <w:szCs w:val="24"/>
          <w:highlight w:val="none"/>
        </w:rPr>
        <w:fldChar w:fldCharType="separate"/>
      </w:r>
      <w:r>
        <w:rPr>
          <w:rFonts w:hint="eastAsia" w:ascii="宋体" w:hAnsi="宋体"/>
          <w:sz w:val="24"/>
          <w:szCs w:val="24"/>
          <w:highlight w:val="none"/>
        </w:rPr>
        <w:t>开标一览表</w:t>
      </w:r>
      <w:r>
        <w:rPr>
          <w:rFonts w:hint="eastAsia" w:ascii="宋体" w:hAnsi="宋体"/>
          <w:sz w:val="24"/>
          <w:szCs w:val="24"/>
          <w:highlight w:val="none"/>
          <w:lang w:val="en-US" w:eastAsia="zh-CN"/>
        </w:rPr>
        <w:t>及</w:t>
      </w:r>
      <w:r>
        <w:rPr>
          <w:rFonts w:hint="eastAsia" w:ascii="宋体" w:hAnsi="宋体"/>
          <w:kern w:val="0"/>
          <w:sz w:val="24"/>
          <w:szCs w:val="24"/>
          <w:highlight w:val="none"/>
          <w:lang w:val="en-US" w:eastAsia="zh-CN"/>
        </w:rPr>
        <w:t>投标报价</w:t>
      </w:r>
      <w:r>
        <w:rPr>
          <w:rFonts w:hint="eastAsia" w:ascii="宋体" w:hAnsi="宋体"/>
          <w:kern w:val="0"/>
          <w:sz w:val="24"/>
          <w:szCs w:val="24"/>
          <w:highlight w:val="none"/>
        </w:rPr>
        <w:t>明细表</w:t>
      </w:r>
      <w:r>
        <w:rPr>
          <w:sz w:val="24"/>
          <w:szCs w:val="24"/>
          <w:highlight w:val="none"/>
        </w:rPr>
        <w:tab/>
      </w:r>
      <w:r>
        <w:rPr>
          <w:rFonts w:hint="eastAsia"/>
          <w:sz w:val="24"/>
          <w:szCs w:val="24"/>
          <w:highlight w:val="none"/>
          <w:lang w:val="en-US" w:eastAsia="zh-CN"/>
        </w:rPr>
        <w:t>2</w:t>
      </w:r>
      <w:r>
        <w:rPr>
          <w:sz w:val="24"/>
          <w:szCs w:val="24"/>
          <w:highlight w:val="none"/>
        </w:rPr>
        <w:fldChar w:fldCharType="end"/>
      </w:r>
      <w:r>
        <w:rPr>
          <w:rFonts w:hint="eastAsia"/>
          <w:sz w:val="24"/>
          <w:szCs w:val="24"/>
          <w:highlight w:val="none"/>
          <w:lang w:val="en-US" w:eastAsia="zh-CN"/>
        </w:rPr>
        <w:t>6</w:t>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rFonts w:hint="eastAsia"/>
          <w:sz w:val="24"/>
          <w:szCs w:val="24"/>
          <w:highlight w:val="none"/>
          <w:lang w:val="en-US" w:eastAsia="zh-CN"/>
        </w:rPr>
      </w:pPr>
      <w:r>
        <w:rPr>
          <w:rFonts w:hint="eastAsia"/>
          <w:sz w:val="24"/>
          <w:szCs w:val="24"/>
          <w:highlight w:val="none"/>
          <w:lang w:val="en-US" w:eastAsia="zh-CN"/>
        </w:rPr>
        <w:t>二、</w:t>
      </w:r>
      <w:r>
        <w:rPr>
          <w:sz w:val="24"/>
          <w:szCs w:val="24"/>
          <w:highlight w:val="none"/>
        </w:rPr>
        <w:fldChar w:fldCharType="begin"/>
      </w:r>
      <w:r>
        <w:rPr>
          <w:sz w:val="24"/>
          <w:szCs w:val="24"/>
          <w:highlight w:val="none"/>
        </w:rPr>
        <w:instrText xml:space="preserve"> HYPERLINK \l "_Toc19103" </w:instrText>
      </w:r>
      <w:r>
        <w:rPr>
          <w:sz w:val="24"/>
          <w:szCs w:val="24"/>
          <w:highlight w:val="none"/>
        </w:rPr>
        <w:fldChar w:fldCharType="separate"/>
      </w:r>
      <w:r>
        <w:rPr>
          <w:rFonts w:hint="eastAsia" w:ascii="宋体" w:hAnsi="宋体"/>
          <w:kern w:val="0"/>
          <w:sz w:val="24"/>
          <w:szCs w:val="24"/>
          <w:highlight w:val="none"/>
          <w:lang w:val="en-US" w:eastAsia="zh-CN"/>
        </w:rPr>
        <w:t>投标函</w:t>
      </w:r>
      <w:r>
        <w:rPr>
          <w:sz w:val="24"/>
          <w:szCs w:val="24"/>
          <w:highlight w:val="none"/>
        </w:rPr>
        <w:tab/>
      </w:r>
      <w:r>
        <w:rPr>
          <w:rFonts w:hint="eastAsia"/>
          <w:sz w:val="24"/>
          <w:szCs w:val="24"/>
          <w:highlight w:val="none"/>
          <w:lang w:val="en-US" w:eastAsia="zh-CN"/>
        </w:rPr>
        <w:t>2</w:t>
      </w:r>
      <w:r>
        <w:rPr>
          <w:sz w:val="24"/>
          <w:szCs w:val="24"/>
          <w:highlight w:val="none"/>
        </w:rPr>
        <w:fldChar w:fldCharType="end"/>
      </w:r>
      <w:r>
        <w:rPr>
          <w:rFonts w:hint="eastAsia"/>
          <w:sz w:val="24"/>
          <w:szCs w:val="24"/>
          <w:highlight w:val="none"/>
          <w:lang w:val="en-US" w:eastAsia="zh-CN"/>
        </w:rPr>
        <w:t>8</w:t>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rFonts w:hint="eastAsia" w:eastAsia="宋体"/>
          <w:sz w:val="24"/>
          <w:szCs w:val="24"/>
          <w:highlight w:val="none"/>
          <w:lang w:val="en-US" w:eastAsia="zh-CN"/>
        </w:rPr>
      </w:pPr>
      <w:r>
        <w:rPr>
          <w:rFonts w:hint="eastAsia"/>
          <w:sz w:val="24"/>
          <w:szCs w:val="24"/>
          <w:highlight w:val="none"/>
          <w:lang w:val="en-US" w:eastAsia="zh-CN"/>
        </w:rPr>
        <w:t>三、</w:t>
      </w:r>
      <w:r>
        <w:rPr>
          <w:sz w:val="24"/>
          <w:szCs w:val="24"/>
          <w:highlight w:val="none"/>
        </w:rPr>
        <w:fldChar w:fldCharType="begin"/>
      </w:r>
      <w:r>
        <w:rPr>
          <w:sz w:val="24"/>
          <w:szCs w:val="24"/>
          <w:highlight w:val="none"/>
        </w:rPr>
        <w:instrText xml:space="preserve"> HYPERLINK \l "_Toc19103" </w:instrText>
      </w:r>
      <w:r>
        <w:rPr>
          <w:sz w:val="24"/>
          <w:szCs w:val="24"/>
          <w:highlight w:val="none"/>
        </w:rPr>
        <w:fldChar w:fldCharType="separate"/>
      </w:r>
      <w:r>
        <w:rPr>
          <w:rFonts w:hint="eastAsia" w:ascii="宋体" w:hAnsi="宋体"/>
          <w:kern w:val="0"/>
          <w:sz w:val="24"/>
          <w:szCs w:val="24"/>
          <w:highlight w:val="none"/>
          <w:lang w:val="en-US" w:eastAsia="zh-CN"/>
        </w:rPr>
        <w:t>法定代表人身份证明书</w:t>
      </w:r>
      <w:r>
        <w:rPr>
          <w:sz w:val="24"/>
          <w:szCs w:val="24"/>
          <w:highlight w:val="none"/>
        </w:rPr>
        <w:tab/>
      </w:r>
      <w:r>
        <w:rPr>
          <w:rFonts w:hint="eastAsia"/>
          <w:sz w:val="24"/>
          <w:szCs w:val="24"/>
          <w:highlight w:val="none"/>
          <w:lang w:val="en-US" w:eastAsia="zh-CN"/>
        </w:rPr>
        <w:t>2</w:t>
      </w:r>
      <w:r>
        <w:rPr>
          <w:sz w:val="24"/>
          <w:szCs w:val="24"/>
          <w:highlight w:val="none"/>
        </w:rPr>
        <w:fldChar w:fldCharType="end"/>
      </w:r>
      <w:r>
        <w:rPr>
          <w:rFonts w:hint="eastAsia"/>
          <w:sz w:val="24"/>
          <w:szCs w:val="24"/>
          <w:highlight w:val="none"/>
          <w:lang w:val="en-US" w:eastAsia="zh-CN"/>
        </w:rPr>
        <w:t>9</w:t>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rFonts w:hint="eastAsia" w:eastAsia="宋体"/>
          <w:sz w:val="24"/>
          <w:szCs w:val="24"/>
          <w:highlight w:val="none"/>
          <w:lang w:val="en-US" w:eastAsia="zh-CN"/>
        </w:rPr>
      </w:pPr>
      <w:r>
        <w:rPr>
          <w:rFonts w:hint="eastAsia"/>
          <w:sz w:val="24"/>
          <w:szCs w:val="24"/>
          <w:highlight w:val="none"/>
          <w:lang w:val="en-US" w:eastAsia="zh-CN"/>
        </w:rPr>
        <w:t>四、</w:t>
      </w:r>
      <w:r>
        <w:rPr>
          <w:sz w:val="24"/>
          <w:szCs w:val="24"/>
          <w:highlight w:val="none"/>
        </w:rPr>
        <w:fldChar w:fldCharType="begin"/>
      </w:r>
      <w:r>
        <w:rPr>
          <w:sz w:val="24"/>
          <w:szCs w:val="24"/>
          <w:highlight w:val="none"/>
        </w:rPr>
        <w:instrText xml:space="preserve"> HYPERLINK \l "_Toc19103" </w:instrText>
      </w:r>
      <w:r>
        <w:rPr>
          <w:sz w:val="24"/>
          <w:szCs w:val="24"/>
          <w:highlight w:val="none"/>
        </w:rPr>
        <w:fldChar w:fldCharType="separate"/>
      </w:r>
      <w:r>
        <w:rPr>
          <w:rFonts w:hint="eastAsia" w:ascii="宋体" w:hAnsi="宋体"/>
          <w:kern w:val="0"/>
          <w:sz w:val="24"/>
          <w:szCs w:val="24"/>
          <w:highlight w:val="none"/>
          <w:lang w:val="en-US" w:eastAsia="zh-CN"/>
        </w:rPr>
        <w:t>法定代表人授权委托书</w:t>
      </w:r>
      <w:r>
        <w:rPr>
          <w:sz w:val="24"/>
          <w:szCs w:val="24"/>
          <w:highlight w:val="none"/>
        </w:rPr>
        <w:tab/>
      </w:r>
      <w:r>
        <w:rPr>
          <w:rFonts w:hint="eastAsia"/>
          <w:sz w:val="24"/>
          <w:szCs w:val="24"/>
          <w:highlight w:val="none"/>
          <w:lang w:val="en-US" w:eastAsia="zh-CN"/>
        </w:rPr>
        <w:t>3</w:t>
      </w:r>
      <w:r>
        <w:rPr>
          <w:sz w:val="24"/>
          <w:szCs w:val="24"/>
          <w:highlight w:val="none"/>
        </w:rPr>
        <w:fldChar w:fldCharType="end"/>
      </w:r>
      <w:r>
        <w:rPr>
          <w:rFonts w:hint="eastAsia"/>
          <w:sz w:val="24"/>
          <w:szCs w:val="24"/>
          <w:highlight w:val="none"/>
          <w:lang w:val="en-US" w:eastAsia="zh-CN"/>
        </w:rPr>
        <w:t>0</w:t>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rFonts w:hint="eastAsia" w:eastAsia="宋体"/>
          <w:sz w:val="24"/>
          <w:szCs w:val="24"/>
          <w:highlight w:val="none"/>
          <w:lang w:val="en-US" w:eastAsia="zh-CN"/>
        </w:rPr>
      </w:pPr>
      <w:r>
        <w:rPr>
          <w:rFonts w:hint="eastAsia"/>
          <w:sz w:val="24"/>
          <w:szCs w:val="24"/>
          <w:highlight w:val="none"/>
          <w:lang w:val="en-US" w:eastAsia="zh-CN"/>
        </w:rPr>
        <w:t>五、</w:t>
      </w:r>
      <w:r>
        <w:rPr>
          <w:sz w:val="24"/>
          <w:szCs w:val="24"/>
          <w:highlight w:val="none"/>
        </w:rPr>
        <w:fldChar w:fldCharType="begin"/>
      </w:r>
      <w:r>
        <w:rPr>
          <w:sz w:val="24"/>
          <w:szCs w:val="24"/>
          <w:highlight w:val="none"/>
        </w:rPr>
        <w:instrText xml:space="preserve"> HYPERLINK \l "_Toc19103" </w:instrText>
      </w:r>
      <w:r>
        <w:rPr>
          <w:sz w:val="24"/>
          <w:szCs w:val="24"/>
          <w:highlight w:val="none"/>
        </w:rPr>
        <w:fldChar w:fldCharType="separate"/>
      </w:r>
      <w:r>
        <w:rPr>
          <w:rFonts w:hint="eastAsia" w:ascii="宋体" w:hAnsi="宋体"/>
          <w:kern w:val="0"/>
          <w:sz w:val="24"/>
          <w:szCs w:val="24"/>
          <w:highlight w:val="none"/>
          <w:lang w:val="en-US" w:eastAsia="zh-CN"/>
        </w:rPr>
        <w:t>合同履约承诺书</w:t>
      </w:r>
      <w:r>
        <w:rPr>
          <w:sz w:val="24"/>
          <w:szCs w:val="24"/>
          <w:highlight w:val="none"/>
        </w:rPr>
        <w:tab/>
      </w:r>
      <w:r>
        <w:rPr>
          <w:rFonts w:hint="eastAsia"/>
          <w:sz w:val="24"/>
          <w:szCs w:val="24"/>
          <w:highlight w:val="none"/>
          <w:lang w:val="en-US" w:eastAsia="zh-CN"/>
        </w:rPr>
        <w:t>3</w:t>
      </w:r>
      <w:r>
        <w:rPr>
          <w:sz w:val="24"/>
          <w:szCs w:val="24"/>
          <w:highlight w:val="none"/>
        </w:rPr>
        <w:fldChar w:fldCharType="end"/>
      </w:r>
      <w:r>
        <w:rPr>
          <w:rFonts w:hint="eastAsia"/>
          <w:sz w:val="24"/>
          <w:szCs w:val="24"/>
          <w:highlight w:val="none"/>
          <w:lang w:val="en-US" w:eastAsia="zh-CN"/>
        </w:rPr>
        <w:t>1</w:t>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rFonts w:hint="eastAsia" w:eastAsia="宋体"/>
          <w:sz w:val="24"/>
          <w:szCs w:val="24"/>
          <w:highlight w:val="none"/>
          <w:lang w:val="en-US" w:eastAsia="zh-CN"/>
        </w:rPr>
      </w:pPr>
      <w:r>
        <w:rPr>
          <w:rFonts w:hint="eastAsia"/>
          <w:sz w:val="24"/>
          <w:szCs w:val="24"/>
          <w:highlight w:val="none"/>
          <w:lang w:val="en-US" w:eastAsia="zh-CN"/>
        </w:rPr>
        <w:t>六、</w:t>
      </w:r>
      <w:r>
        <w:rPr>
          <w:sz w:val="24"/>
          <w:szCs w:val="24"/>
          <w:highlight w:val="none"/>
        </w:rPr>
        <w:fldChar w:fldCharType="begin"/>
      </w:r>
      <w:r>
        <w:rPr>
          <w:sz w:val="24"/>
          <w:szCs w:val="24"/>
          <w:highlight w:val="none"/>
        </w:rPr>
        <w:instrText xml:space="preserve"> HYPERLINK \l "_Toc19103" </w:instrText>
      </w:r>
      <w:r>
        <w:rPr>
          <w:sz w:val="24"/>
          <w:szCs w:val="24"/>
          <w:highlight w:val="none"/>
        </w:rPr>
        <w:fldChar w:fldCharType="separate"/>
      </w:r>
      <w:r>
        <w:rPr>
          <w:rFonts w:hint="eastAsia" w:ascii="宋体" w:hAnsi="宋体"/>
          <w:kern w:val="0"/>
          <w:sz w:val="24"/>
          <w:szCs w:val="24"/>
          <w:highlight w:val="none"/>
          <w:lang w:val="en-US" w:eastAsia="zh-CN"/>
        </w:rPr>
        <w:t>中小企业优惠政策</w:t>
      </w:r>
      <w:r>
        <w:rPr>
          <w:sz w:val="24"/>
          <w:szCs w:val="24"/>
          <w:highlight w:val="none"/>
        </w:rPr>
        <w:tab/>
      </w:r>
      <w:r>
        <w:rPr>
          <w:rFonts w:hint="eastAsia"/>
          <w:sz w:val="24"/>
          <w:szCs w:val="24"/>
          <w:highlight w:val="none"/>
          <w:lang w:val="en-US" w:eastAsia="zh-CN"/>
        </w:rPr>
        <w:t>3</w:t>
      </w:r>
      <w:r>
        <w:rPr>
          <w:sz w:val="24"/>
          <w:szCs w:val="24"/>
          <w:highlight w:val="none"/>
        </w:rPr>
        <w:fldChar w:fldCharType="end"/>
      </w:r>
      <w:r>
        <w:rPr>
          <w:rFonts w:hint="eastAsia"/>
          <w:sz w:val="24"/>
          <w:szCs w:val="24"/>
          <w:highlight w:val="none"/>
          <w:lang w:val="en-US" w:eastAsia="zh-CN"/>
        </w:rPr>
        <w:t>2</w:t>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rFonts w:hint="eastAsia" w:eastAsia="宋体"/>
          <w:sz w:val="24"/>
          <w:szCs w:val="24"/>
          <w:highlight w:val="none"/>
          <w:lang w:val="en-US" w:eastAsia="zh-CN"/>
        </w:rPr>
      </w:pPr>
      <w:r>
        <w:rPr>
          <w:rFonts w:hint="eastAsia"/>
          <w:sz w:val="24"/>
          <w:szCs w:val="24"/>
          <w:highlight w:val="none"/>
          <w:lang w:val="en-US" w:eastAsia="zh-CN"/>
        </w:rPr>
        <w:t>七、</w:t>
      </w:r>
      <w:r>
        <w:rPr>
          <w:sz w:val="24"/>
          <w:szCs w:val="24"/>
          <w:highlight w:val="none"/>
        </w:rPr>
        <w:fldChar w:fldCharType="begin"/>
      </w:r>
      <w:r>
        <w:rPr>
          <w:sz w:val="24"/>
          <w:szCs w:val="24"/>
          <w:highlight w:val="none"/>
        </w:rPr>
        <w:instrText xml:space="preserve"> HYPERLINK \l "_Toc19103" </w:instrText>
      </w:r>
      <w:r>
        <w:rPr>
          <w:sz w:val="24"/>
          <w:szCs w:val="24"/>
          <w:highlight w:val="none"/>
        </w:rPr>
        <w:fldChar w:fldCharType="separate"/>
      </w:r>
      <w:r>
        <w:rPr>
          <w:rFonts w:hint="eastAsia" w:ascii="宋体" w:hAnsi="宋体"/>
          <w:kern w:val="0"/>
          <w:sz w:val="24"/>
          <w:szCs w:val="24"/>
          <w:highlight w:val="none"/>
          <w:lang w:val="en-US" w:eastAsia="zh-CN"/>
        </w:rPr>
        <w:t>投标人信息表</w:t>
      </w:r>
      <w:r>
        <w:rPr>
          <w:sz w:val="24"/>
          <w:szCs w:val="24"/>
          <w:highlight w:val="none"/>
        </w:rPr>
        <w:tab/>
      </w:r>
      <w:r>
        <w:rPr>
          <w:rFonts w:hint="eastAsia"/>
          <w:sz w:val="24"/>
          <w:szCs w:val="24"/>
          <w:highlight w:val="none"/>
          <w:lang w:val="en-US" w:eastAsia="zh-CN"/>
        </w:rPr>
        <w:t>3</w:t>
      </w:r>
      <w:r>
        <w:rPr>
          <w:sz w:val="24"/>
          <w:szCs w:val="24"/>
          <w:highlight w:val="none"/>
        </w:rPr>
        <w:fldChar w:fldCharType="end"/>
      </w:r>
      <w:r>
        <w:rPr>
          <w:rFonts w:hint="eastAsia"/>
          <w:sz w:val="24"/>
          <w:szCs w:val="24"/>
          <w:highlight w:val="none"/>
          <w:lang w:val="en-US" w:eastAsia="zh-CN"/>
        </w:rPr>
        <w:t>5</w:t>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rFonts w:hint="eastAsia" w:eastAsia="宋体"/>
          <w:sz w:val="24"/>
          <w:szCs w:val="24"/>
          <w:highlight w:val="none"/>
          <w:lang w:val="en-US" w:eastAsia="zh-CN"/>
        </w:rPr>
      </w:pPr>
      <w:r>
        <w:rPr>
          <w:rFonts w:hint="eastAsia"/>
          <w:sz w:val="24"/>
          <w:szCs w:val="24"/>
          <w:highlight w:val="none"/>
          <w:lang w:val="en-US" w:eastAsia="zh-CN"/>
        </w:rPr>
        <w:t>八、</w:t>
      </w:r>
      <w:r>
        <w:rPr>
          <w:sz w:val="24"/>
          <w:szCs w:val="24"/>
          <w:highlight w:val="none"/>
        </w:rPr>
        <w:fldChar w:fldCharType="begin"/>
      </w:r>
      <w:r>
        <w:rPr>
          <w:sz w:val="24"/>
          <w:szCs w:val="24"/>
          <w:highlight w:val="none"/>
        </w:rPr>
        <w:instrText xml:space="preserve"> HYPERLINK \l "_Toc19103" </w:instrText>
      </w:r>
      <w:r>
        <w:rPr>
          <w:sz w:val="24"/>
          <w:szCs w:val="24"/>
          <w:highlight w:val="none"/>
        </w:rPr>
        <w:fldChar w:fldCharType="separate"/>
      </w:r>
      <w:r>
        <w:rPr>
          <w:rFonts w:hint="eastAsia" w:ascii="宋体" w:hAnsi="宋体"/>
          <w:kern w:val="0"/>
          <w:sz w:val="24"/>
          <w:szCs w:val="24"/>
          <w:highlight w:val="none"/>
          <w:lang w:val="en-US" w:eastAsia="zh-CN"/>
        </w:rPr>
        <w:t>资格审查材料</w:t>
      </w:r>
      <w:r>
        <w:rPr>
          <w:sz w:val="24"/>
          <w:szCs w:val="24"/>
          <w:highlight w:val="none"/>
        </w:rPr>
        <w:tab/>
      </w:r>
      <w:r>
        <w:rPr>
          <w:rFonts w:hint="eastAsia"/>
          <w:sz w:val="24"/>
          <w:szCs w:val="24"/>
          <w:highlight w:val="none"/>
          <w:lang w:val="en-US" w:eastAsia="zh-CN"/>
        </w:rPr>
        <w:t>3</w:t>
      </w:r>
      <w:r>
        <w:rPr>
          <w:sz w:val="24"/>
          <w:szCs w:val="24"/>
          <w:highlight w:val="none"/>
        </w:rPr>
        <w:fldChar w:fldCharType="end"/>
      </w:r>
      <w:r>
        <w:rPr>
          <w:rFonts w:hint="eastAsia"/>
          <w:sz w:val="24"/>
          <w:szCs w:val="24"/>
          <w:highlight w:val="none"/>
          <w:lang w:val="en-US" w:eastAsia="zh-CN"/>
        </w:rPr>
        <w:t>6</w:t>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rFonts w:hint="eastAsia" w:eastAsia="宋体"/>
          <w:sz w:val="24"/>
          <w:szCs w:val="24"/>
          <w:highlight w:val="none"/>
          <w:lang w:val="en-US" w:eastAsia="zh-CN"/>
        </w:rPr>
      </w:pPr>
      <w:r>
        <w:rPr>
          <w:rFonts w:hint="eastAsia"/>
          <w:sz w:val="24"/>
          <w:szCs w:val="24"/>
          <w:highlight w:val="none"/>
          <w:lang w:val="en-US" w:eastAsia="zh-CN"/>
        </w:rPr>
        <w:t>九、</w:t>
      </w:r>
      <w:r>
        <w:rPr>
          <w:sz w:val="24"/>
          <w:szCs w:val="24"/>
          <w:highlight w:val="none"/>
        </w:rPr>
        <w:fldChar w:fldCharType="begin"/>
      </w:r>
      <w:r>
        <w:rPr>
          <w:sz w:val="24"/>
          <w:szCs w:val="24"/>
          <w:highlight w:val="none"/>
        </w:rPr>
        <w:instrText xml:space="preserve"> HYPERLINK \l "_Toc19103" </w:instrText>
      </w:r>
      <w:r>
        <w:rPr>
          <w:sz w:val="24"/>
          <w:szCs w:val="24"/>
          <w:highlight w:val="none"/>
        </w:rPr>
        <w:fldChar w:fldCharType="separate"/>
      </w:r>
      <w:r>
        <w:rPr>
          <w:rFonts w:hint="eastAsia" w:ascii="宋体" w:hAnsi="宋体"/>
          <w:kern w:val="0"/>
          <w:sz w:val="24"/>
          <w:szCs w:val="24"/>
          <w:highlight w:val="none"/>
          <w:lang w:val="en-US" w:eastAsia="zh-CN"/>
        </w:rPr>
        <w:t>技术参数说明及偏离表</w:t>
      </w:r>
      <w:r>
        <w:rPr>
          <w:sz w:val="24"/>
          <w:szCs w:val="24"/>
          <w:highlight w:val="none"/>
        </w:rPr>
        <w:tab/>
      </w:r>
      <w:r>
        <w:rPr>
          <w:rFonts w:hint="eastAsia"/>
          <w:sz w:val="24"/>
          <w:szCs w:val="24"/>
          <w:highlight w:val="none"/>
          <w:lang w:val="en-US" w:eastAsia="zh-CN"/>
        </w:rPr>
        <w:t>3</w:t>
      </w:r>
      <w:r>
        <w:rPr>
          <w:sz w:val="24"/>
          <w:szCs w:val="24"/>
          <w:highlight w:val="none"/>
        </w:rPr>
        <w:fldChar w:fldCharType="end"/>
      </w:r>
      <w:r>
        <w:rPr>
          <w:rFonts w:hint="eastAsia"/>
          <w:sz w:val="24"/>
          <w:szCs w:val="24"/>
          <w:highlight w:val="none"/>
          <w:lang w:val="en-US" w:eastAsia="zh-CN"/>
        </w:rPr>
        <w:t>7</w:t>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rFonts w:hint="eastAsia" w:eastAsia="宋体"/>
          <w:sz w:val="24"/>
          <w:szCs w:val="24"/>
          <w:highlight w:val="none"/>
          <w:lang w:val="en-US" w:eastAsia="zh-CN"/>
        </w:rPr>
      </w:pPr>
      <w:r>
        <w:rPr>
          <w:rFonts w:hint="eastAsia"/>
          <w:sz w:val="24"/>
          <w:szCs w:val="24"/>
          <w:highlight w:val="none"/>
          <w:lang w:val="en-US" w:eastAsia="zh-CN"/>
        </w:rPr>
        <w:t>十、</w:t>
      </w:r>
      <w:r>
        <w:rPr>
          <w:sz w:val="24"/>
          <w:szCs w:val="24"/>
          <w:highlight w:val="none"/>
        </w:rPr>
        <w:fldChar w:fldCharType="begin"/>
      </w:r>
      <w:r>
        <w:rPr>
          <w:sz w:val="24"/>
          <w:szCs w:val="24"/>
          <w:highlight w:val="none"/>
        </w:rPr>
        <w:instrText xml:space="preserve"> HYPERLINK \l "_Toc19103" </w:instrText>
      </w:r>
      <w:r>
        <w:rPr>
          <w:sz w:val="24"/>
          <w:szCs w:val="24"/>
          <w:highlight w:val="none"/>
        </w:rPr>
        <w:fldChar w:fldCharType="separate"/>
      </w:r>
      <w:r>
        <w:rPr>
          <w:rFonts w:hint="eastAsia" w:ascii="宋体" w:hAnsi="宋体"/>
          <w:kern w:val="0"/>
          <w:sz w:val="24"/>
          <w:szCs w:val="24"/>
          <w:highlight w:val="none"/>
          <w:lang w:val="en-US" w:eastAsia="zh-CN"/>
        </w:rPr>
        <w:t>商务条款偏离表</w:t>
      </w:r>
      <w:r>
        <w:rPr>
          <w:sz w:val="24"/>
          <w:szCs w:val="24"/>
          <w:highlight w:val="none"/>
        </w:rPr>
        <w:tab/>
      </w:r>
      <w:r>
        <w:rPr>
          <w:rFonts w:hint="eastAsia"/>
          <w:sz w:val="24"/>
          <w:szCs w:val="24"/>
          <w:highlight w:val="none"/>
          <w:lang w:val="en-US" w:eastAsia="zh-CN"/>
        </w:rPr>
        <w:t>3</w:t>
      </w:r>
      <w:r>
        <w:rPr>
          <w:sz w:val="24"/>
          <w:szCs w:val="24"/>
          <w:highlight w:val="none"/>
        </w:rPr>
        <w:fldChar w:fldCharType="end"/>
      </w:r>
      <w:r>
        <w:rPr>
          <w:rFonts w:hint="eastAsia"/>
          <w:sz w:val="24"/>
          <w:szCs w:val="24"/>
          <w:highlight w:val="none"/>
          <w:lang w:val="en-US" w:eastAsia="zh-CN"/>
        </w:rPr>
        <w:t>9</w:t>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rFonts w:hint="eastAsia" w:eastAsia="宋体"/>
          <w:sz w:val="24"/>
          <w:szCs w:val="24"/>
          <w:highlight w:val="none"/>
          <w:lang w:val="en-US" w:eastAsia="zh-CN"/>
        </w:rPr>
      </w:pPr>
      <w:r>
        <w:rPr>
          <w:rFonts w:hint="eastAsia"/>
          <w:sz w:val="24"/>
          <w:szCs w:val="24"/>
          <w:highlight w:val="none"/>
          <w:lang w:val="en-US" w:eastAsia="zh-CN"/>
        </w:rPr>
        <w:t>十一、</w:t>
      </w:r>
      <w:r>
        <w:rPr>
          <w:sz w:val="24"/>
          <w:szCs w:val="24"/>
          <w:highlight w:val="none"/>
        </w:rPr>
        <w:fldChar w:fldCharType="begin"/>
      </w:r>
      <w:r>
        <w:rPr>
          <w:sz w:val="24"/>
          <w:szCs w:val="24"/>
          <w:highlight w:val="none"/>
        </w:rPr>
        <w:instrText xml:space="preserve"> HYPERLINK \l "_Toc19103" </w:instrText>
      </w:r>
      <w:r>
        <w:rPr>
          <w:sz w:val="24"/>
          <w:szCs w:val="24"/>
          <w:highlight w:val="none"/>
        </w:rPr>
        <w:fldChar w:fldCharType="separate"/>
      </w:r>
      <w:r>
        <w:rPr>
          <w:rFonts w:hint="eastAsia" w:ascii="宋体" w:hAnsi="宋体"/>
          <w:kern w:val="0"/>
          <w:sz w:val="24"/>
          <w:szCs w:val="24"/>
          <w:highlight w:val="none"/>
          <w:lang w:val="en-US" w:eastAsia="zh-CN"/>
        </w:rPr>
        <w:t>供货方案</w:t>
      </w:r>
      <w:r>
        <w:rPr>
          <w:sz w:val="24"/>
          <w:szCs w:val="24"/>
          <w:highlight w:val="none"/>
        </w:rPr>
        <w:tab/>
      </w:r>
      <w:r>
        <w:rPr>
          <w:rFonts w:hint="eastAsia"/>
          <w:sz w:val="24"/>
          <w:szCs w:val="24"/>
          <w:highlight w:val="none"/>
          <w:lang w:val="en-US" w:eastAsia="zh-CN"/>
        </w:rPr>
        <w:t>4</w:t>
      </w:r>
      <w:r>
        <w:rPr>
          <w:sz w:val="24"/>
          <w:szCs w:val="24"/>
          <w:highlight w:val="none"/>
        </w:rPr>
        <w:fldChar w:fldCharType="end"/>
      </w:r>
      <w:r>
        <w:rPr>
          <w:rFonts w:hint="eastAsia"/>
          <w:sz w:val="24"/>
          <w:szCs w:val="24"/>
          <w:highlight w:val="none"/>
          <w:lang w:val="en-US" w:eastAsia="zh-CN"/>
        </w:rPr>
        <w:t>0</w:t>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rFonts w:hint="default" w:eastAsia="宋体"/>
          <w:sz w:val="24"/>
          <w:szCs w:val="24"/>
          <w:highlight w:val="none"/>
          <w:lang w:val="en-US" w:eastAsia="zh-CN"/>
        </w:rPr>
      </w:pPr>
      <w:r>
        <w:rPr>
          <w:rFonts w:hint="eastAsia"/>
          <w:sz w:val="24"/>
          <w:szCs w:val="24"/>
          <w:highlight w:val="none"/>
          <w:lang w:val="en-US" w:eastAsia="zh-CN"/>
        </w:rPr>
        <w:t>十二、</w:t>
      </w:r>
      <w:r>
        <w:rPr>
          <w:sz w:val="24"/>
          <w:szCs w:val="24"/>
          <w:highlight w:val="none"/>
        </w:rPr>
        <w:fldChar w:fldCharType="begin"/>
      </w:r>
      <w:r>
        <w:rPr>
          <w:sz w:val="24"/>
          <w:szCs w:val="24"/>
          <w:highlight w:val="none"/>
        </w:rPr>
        <w:instrText xml:space="preserve"> HYPERLINK \l "_Toc19103" </w:instrText>
      </w:r>
      <w:r>
        <w:rPr>
          <w:sz w:val="24"/>
          <w:szCs w:val="24"/>
          <w:highlight w:val="none"/>
        </w:rPr>
        <w:fldChar w:fldCharType="separate"/>
      </w:r>
      <w:r>
        <w:rPr>
          <w:rFonts w:hint="eastAsia" w:ascii="宋体" w:hAnsi="宋体"/>
          <w:kern w:val="0"/>
          <w:sz w:val="24"/>
          <w:szCs w:val="24"/>
          <w:highlight w:val="none"/>
          <w:lang w:val="en-US" w:eastAsia="zh-CN"/>
        </w:rPr>
        <w:t>质量保证措施及承诺</w:t>
      </w:r>
      <w:r>
        <w:rPr>
          <w:sz w:val="24"/>
          <w:szCs w:val="24"/>
          <w:highlight w:val="none"/>
        </w:rPr>
        <w:tab/>
      </w:r>
      <w:r>
        <w:rPr>
          <w:sz w:val="24"/>
          <w:szCs w:val="24"/>
          <w:highlight w:val="none"/>
        </w:rPr>
        <w:fldChar w:fldCharType="end"/>
      </w:r>
      <w:r>
        <w:rPr>
          <w:rFonts w:hint="eastAsia"/>
          <w:sz w:val="24"/>
          <w:szCs w:val="24"/>
          <w:highlight w:val="none"/>
          <w:lang w:val="en-US" w:eastAsia="zh-CN"/>
        </w:rPr>
        <w:t>41</w:t>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rFonts w:hint="default" w:eastAsia="宋体"/>
          <w:sz w:val="24"/>
          <w:szCs w:val="24"/>
          <w:highlight w:val="none"/>
          <w:lang w:val="en-US" w:eastAsia="zh-CN"/>
        </w:rPr>
      </w:pPr>
      <w:r>
        <w:rPr>
          <w:rFonts w:hint="eastAsia"/>
          <w:sz w:val="24"/>
          <w:szCs w:val="24"/>
          <w:highlight w:val="none"/>
          <w:lang w:val="en-US" w:eastAsia="zh-CN"/>
        </w:rPr>
        <w:t>十三、</w:t>
      </w:r>
      <w:r>
        <w:rPr>
          <w:sz w:val="24"/>
          <w:szCs w:val="24"/>
          <w:highlight w:val="none"/>
        </w:rPr>
        <w:fldChar w:fldCharType="begin"/>
      </w:r>
      <w:r>
        <w:rPr>
          <w:sz w:val="24"/>
          <w:szCs w:val="24"/>
          <w:highlight w:val="none"/>
        </w:rPr>
        <w:instrText xml:space="preserve"> HYPERLINK \l "_Toc19103" </w:instrText>
      </w:r>
      <w:r>
        <w:rPr>
          <w:sz w:val="24"/>
          <w:szCs w:val="24"/>
          <w:highlight w:val="none"/>
        </w:rPr>
        <w:fldChar w:fldCharType="separate"/>
      </w:r>
      <w:r>
        <w:rPr>
          <w:rFonts w:hint="eastAsia" w:ascii="宋体" w:hAnsi="宋体"/>
          <w:kern w:val="0"/>
          <w:sz w:val="24"/>
          <w:szCs w:val="24"/>
          <w:highlight w:val="none"/>
          <w:lang w:val="en-US" w:eastAsia="zh-CN"/>
        </w:rPr>
        <w:t>培训方案</w:t>
      </w:r>
      <w:r>
        <w:rPr>
          <w:sz w:val="24"/>
          <w:szCs w:val="24"/>
          <w:highlight w:val="none"/>
        </w:rPr>
        <w:tab/>
      </w:r>
      <w:r>
        <w:rPr>
          <w:sz w:val="24"/>
          <w:szCs w:val="24"/>
          <w:highlight w:val="none"/>
        </w:rPr>
        <w:fldChar w:fldCharType="end"/>
      </w:r>
      <w:r>
        <w:rPr>
          <w:rFonts w:hint="eastAsia"/>
          <w:sz w:val="24"/>
          <w:szCs w:val="24"/>
          <w:highlight w:val="none"/>
          <w:lang w:val="en-US" w:eastAsia="zh-CN"/>
        </w:rPr>
        <w:t>42</w:t>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rFonts w:hint="default" w:eastAsia="宋体"/>
          <w:sz w:val="24"/>
          <w:szCs w:val="24"/>
          <w:highlight w:val="none"/>
          <w:lang w:val="en-US" w:eastAsia="zh-CN"/>
        </w:rPr>
      </w:pPr>
      <w:r>
        <w:rPr>
          <w:rFonts w:hint="eastAsia"/>
          <w:sz w:val="24"/>
          <w:szCs w:val="24"/>
          <w:highlight w:val="none"/>
          <w:lang w:val="en-US" w:eastAsia="zh-CN"/>
        </w:rPr>
        <w:t>十四、</w:t>
      </w:r>
      <w:r>
        <w:rPr>
          <w:sz w:val="24"/>
          <w:szCs w:val="24"/>
          <w:highlight w:val="none"/>
        </w:rPr>
        <w:fldChar w:fldCharType="begin"/>
      </w:r>
      <w:r>
        <w:rPr>
          <w:sz w:val="24"/>
          <w:szCs w:val="24"/>
          <w:highlight w:val="none"/>
        </w:rPr>
        <w:instrText xml:space="preserve"> HYPERLINK \l "_Toc19103" </w:instrText>
      </w:r>
      <w:r>
        <w:rPr>
          <w:sz w:val="24"/>
          <w:szCs w:val="24"/>
          <w:highlight w:val="none"/>
        </w:rPr>
        <w:fldChar w:fldCharType="separate"/>
      </w:r>
      <w:r>
        <w:rPr>
          <w:rFonts w:hint="eastAsia" w:ascii="宋体" w:hAnsi="宋体"/>
          <w:kern w:val="0"/>
          <w:sz w:val="24"/>
          <w:szCs w:val="24"/>
          <w:highlight w:val="none"/>
          <w:lang w:val="en-US" w:eastAsia="zh-CN"/>
        </w:rPr>
        <w:t>售后服务承诺及保障措施</w:t>
      </w:r>
      <w:r>
        <w:rPr>
          <w:sz w:val="24"/>
          <w:szCs w:val="24"/>
          <w:highlight w:val="none"/>
        </w:rPr>
        <w:tab/>
      </w:r>
      <w:r>
        <w:rPr>
          <w:sz w:val="24"/>
          <w:szCs w:val="24"/>
          <w:highlight w:val="none"/>
        </w:rPr>
        <w:fldChar w:fldCharType="end"/>
      </w:r>
      <w:r>
        <w:rPr>
          <w:rFonts w:hint="eastAsia"/>
          <w:sz w:val="24"/>
          <w:szCs w:val="24"/>
          <w:highlight w:val="none"/>
          <w:lang w:val="en-US" w:eastAsia="zh-CN"/>
        </w:rPr>
        <w:t>43</w:t>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rFonts w:hint="default" w:eastAsia="宋体"/>
          <w:sz w:val="24"/>
          <w:szCs w:val="24"/>
          <w:highlight w:val="none"/>
          <w:lang w:val="en-US" w:eastAsia="zh-CN"/>
        </w:rPr>
      </w:pPr>
      <w:r>
        <w:rPr>
          <w:rFonts w:hint="eastAsia"/>
          <w:sz w:val="24"/>
          <w:szCs w:val="24"/>
          <w:highlight w:val="none"/>
          <w:lang w:val="en-US" w:eastAsia="zh-CN"/>
        </w:rPr>
        <w:t>十五、</w:t>
      </w:r>
      <w:r>
        <w:rPr>
          <w:sz w:val="24"/>
          <w:szCs w:val="24"/>
          <w:highlight w:val="none"/>
        </w:rPr>
        <w:fldChar w:fldCharType="begin"/>
      </w:r>
      <w:r>
        <w:rPr>
          <w:sz w:val="24"/>
          <w:szCs w:val="24"/>
          <w:highlight w:val="none"/>
        </w:rPr>
        <w:instrText xml:space="preserve"> HYPERLINK \l "_Toc19103" </w:instrText>
      </w:r>
      <w:r>
        <w:rPr>
          <w:sz w:val="24"/>
          <w:szCs w:val="24"/>
          <w:highlight w:val="none"/>
        </w:rPr>
        <w:fldChar w:fldCharType="separate"/>
      </w:r>
      <w:r>
        <w:rPr>
          <w:rFonts w:hint="eastAsia" w:ascii="宋体" w:hAnsi="宋体"/>
          <w:kern w:val="0"/>
          <w:sz w:val="24"/>
          <w:szCs w:val="24"/>
          <w:highlight w:val="none"/>
          <w:lang w:val="en-US" w:eastAsia="zh-CN"/>
        </w:rPr>
        <w:t>类似业绩</w:t>
      </w:r>
      <w:r>
        <w:rPr>
          <w:sz w:val="24"/>
          <w:szCs w:val="24"/>
          <w:highlight w:val="none"/>
        </w:rPr>
        <w:tab/>
      </w:r>
      <w:r>
        <w:rPr>
          <w:sz w:val="24"/>
          <w:szCs w:val="24"/>
          <w:highlight w:val="none"/>
        </w:rPr>
        <w:fldChar w:fldCharType="end"/>
      </w:r>
      <w:r>
        <w:rPr>
          <w:rFonts w:hint="eastAsia"/>
          <w:sz w:val="24"/>
          <w:szCs w:val="24"/>
          <w:highlight w:val="none"/>
          <w:lang w:val="en-US" w:eastAsia="zh-CN"/>
        </w:rPr>
        <w:t>44</w:t>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sz w:val="24"/>
          <w:szCs w:val="24"/>
          <w:highlight w:val="none"/>
        </w:rPr>
      </w:pPr>
      <w:r>
        <w:rPr>
          <w:rFonts w:hint="eastAsia"/>
          <w:sz w:val="24"/>
          <w:szCs w:val="24"/>
          <w:highlight w:val="none"/>
          <w:lang w:val="en-US" w:eastAsia="zh-CN"/>
        </w:rPr>
        <w:t>十六、</w:t>
      </w:r>
      <w:r>
        <w:rPr>
          <w:sz w:val="24"/>
          <w:szCs w:val="24"/>
          <w:highlight w:val="none"/>
        </w:rPr>
        <w:fldChar w:fldCharType="begin"/>
      </w:r>
      <w:r>
        <w:rPr>
          <w:sz w:val="24"/>
          <w:szCs w:val="24"/>
          <w:highlight w:val="none"/>
        </w:rPr>
        <w:instrText xml:space="preserve"> HYPERLINK \l "_Toc19103" </w:instrText>
      </w:r>
      <w:r>
        <w:rPr>
          <w:sz w:val="24"/>
          <w:szCs w:val="24"/>
          <w:highlight w:val="none"/>
        </w:rPr>
        <w:fldChar w:fldCharType="separate"/>
      </w:r>
      <w:r>
        <w:rPr>
          <w:rFonts w:hint="eastAsia" w:ascii="宋体" w:hAnsi="宋体"/>
          <w:kern w:val="0"/>
          <w:sz w:val="24"/>
          <w:szCs w:val="24"/>
          <w:highlight w:val="none"/>
          <w:lang w:val="en-US" w:eastAsia="zh-CN"/>
        </w:rPr>
        <w:t>其他相关资料</w:t>
      </w:r>
      <w:r>
        <w:rPr>
          <w:sz w:val="24"/>
          <w:szCs w:val="24"/>
          <w:highlight w:val="none"/>
        </w:rPr>
        <w:tab/>
      </w:r>
      <w:r>
        <w:rPr>
          <w:sz w:val="24"/>
          <w:szCs w:val="24"/>
          <w:highlight w:val="none"/>
        </w:rPr>
        <w:fldChar w:fldCharType="end"/>
      </w:r>
      <w:r>
        <w:rPr>
          <w:rFonts w:hint="eastAsia"/>
          <w:sz w:val="24"/>
          <w:szCs w:val="24"/>
          <w:highlight w:val="none"/>
          <w:lang w:val="en-US" w:eastAsia="zh-CN"/>
        </w:rPr>
        <w:t>45</w:t>
      </w:r>
    </w:p>
    <w:p>
      <w:pPr>
        <w:pStyle w:val="21"/>
        <w:keepNext w:val="0"/>
        <w:keepLines w:val="0"/>
        <w:pageBreakBefore w:val="0"/>
        <w:widowControl w:val="0"/>
        <w:tabs>
          <w:tab w:val="right" w:leader="dot" w:pos="9468"/>
          <w:tab w:val="clear" w:pos="9628"/>
        </w:tabs>
        <w:kinsoku/>
        <w:wordWrap/>
        <w:overflowPunct/>
        <w:topLinePunct w:val="0"/>
        <w:autoSpaceDE/>
        <w:autoSpaceDN/>
        <w:bidi w:val="0"/>
        <w:adjustRightInd/>
        <w:snapToGrid/>
        <w:spacing w:before="0" w:after="0" w:line="240" w:lineRule="auto"/>
        <w:ind w:firstLine="149"/>
        <w:textAlignment w:val="auto"/>
        <w:rPr>
          <w:sz w:val="24"/>
          <w:szCs w:val="24"/>
          <w:highlight w:val="none"/>
        </w:rPr>
      </w:pPr>
      <w:r>
        <w:rPr>
          <w:sz w:val="24"/>
          <w:szCs w:val="24"/>
          <w:highlight w:val="none"/>
        </w:rPr>
        <w:fldChar w:fldCharType="begin"/>
      </w:r>
      <w:r>
        <w:rPr>
          <w:sz w:val="24"/>
          <w:szCs w:val="24"/>
          <w:highlight w:val="none"/>
        </w:rPr>
        <w:instrText xml:space="preserve"> HYPERLINK \l "_Toc10905" </w:instrText>
      </w:r>
      <w:r>
        <w:rPr>
          <w:sz w:val="24"/>
          <w:szCs w:val="24"/>
          <w:highlight w:val="none"/>
        </w:rPr>
        <w:fldChar w:fldCharType="separate"/>
      </w:r>
      <w:r>
        <w:rPr>
          <w:rFonts w:hint="eastAsia" w:ascii="宋体" w:hAnsi="宋体"/>
          <w:sz w:val="24"/>
          <w:szCs w:val="24"/>
          <w:highlight w:val="none"/>
        </w:rPr>
        <w:t>第五章 采购需求</w:t>
      </w:r>
      <w:r>
        <w:rPr>
          <w:sz w:val="24"/>
          <w:szCs w:val="24"/>
          <w:highlight w:val="none"/>
        </w:rPr>
        <w:tab/>
      </w:r>
      <w:r>
        <w:rPr>
          <w:sz w:val="24"/>
          <w:szCs w:val="24"/>
          <w:highlight w:val="none"/>
        </w:rPr>
        <w:fldChar w:fldCharType="begin"/>
      </w:r>
      <w:r>
        <w:rPr>
          <w:sz w:val="24"/>
          <w:szCs w:val="24"/>
          <w:highlight w:val="none"/>
        </w:rPr>
        <w:instrText xml:space="preserve"> PAGEREF _Toc10905 \h </w:instrText>
      </w:r>
      <w:r>
        <w:rPr>
          <w:sz w:val="24"/>
          <w:szCs w:val="24"/>
          <w:highlight w:val="none"/>
        </w:rPr>
        <w:fldChar w:fldCharType="separate"/>
      </w:r>
      <w:r>
        <w:rPr>
          <w:sz w:val="24"/>
          <w:szCs w:val="24"/>
          <w:highlight w:val="none"/>
        </w:rPr>
        <w:t>46</w:t>
      </w:r>
      <w:r>
        <w:rPr>
          <w:sz w:val="24"/>
          <w:szCs w:val="24"/>
          <w:highlight w:val="none"/>
        </w:rPr>
        <w:fldChar w:fldCharType="end"/>
      </w:r>
      <w:r>
        <w:rPr>
          <w:sz w:val="24"/>
          <w:szCs w:val="24"/>
          <w:highlight w:val="none"/>
        </w:rPr>
        <w:fldChar w:fldCharType="end"/>
      </w:r>
    </w:p>
    <w:p>
      <w:pPr>
        <w:pStyle w:val="21"/>
        <w:keepNext w:val="0"/>
        <w:keepLines w:val="0"/>
        <w:pageBreakBefore w:val="0"/>
        <w:widowControl w:val="0"/>
        <w:tabs>
          <w:tab w:val="right" w:leader="dot" w:pos="9468"/>
          <w:tab w:val="clear" w:pos="9628"/>
        </w:tabs>
        <w:kinsoku/>
        <w:wordWrap/>
        <w:overflowPunct/>
        <w:topLinePunct w:val="0"/>
        <w:autoSpaceDE/>
        <w:autoSpaceDN/>
        <w:bidi w:val="0"/>
        <w:adjustRightInd/>
        <w:snapToGrid/>
        <w:spacing w:before="0" w:after="0" w:line="240" w:lineRule="auto"/>
        <w:ind w:firstLine="149"/>
        <w:textAlignment w:val="auto"/>
        <w:rPr>
          <w:sz w:val="24"/>
          <w:szCs w:val="24"/>
          <w:highlight w:val="none"/>
        </w:rPr>
      </w:pPr>
      <w:r>
        <w:rPr>
          <w:sz w:val="24"/>
          <w:szCs w:val="24"/>
          <w:highlight w:val="none"/>
        </w:rPr>
        <w:fldChar w:fldCharType="begin"/>
      </w:r>
      <w:r>
        <w:rPr>
          <w:sz w:val="24"/>
          <w:szCs w:val="24"/>
          <w:highlight w:val="none"/>
        </w:rPr>
        <w:instrText xml:space="preserve"> HYPERLINK \l "_Toc1931" </w:instrText>
      </w:r>
      <w:r>
        <w:rPr>
          <w:sz w:val="24"/>
          <w:szCs w:val="24"/>
          <w:highlight w:val="none"/>
        </w:rPr>
        <w:fldChar w:fldCharType="separate"/>
      </w:r>
      <w:r>
        <w:rPr>
          <w:rFonts w:hint="eastAsia" w:ascii="宋体" w:hAnsi="宋体"/>
          <w:sz w:val="24"/>
          <w:szCs w:val="24"/>
          <w:highlight w:val="none"/>
        </w:rPr>
        <w:t>第六章 资格评审标准</w:t>
      </w:r>
      <w:r>
        <w:rPr>
          <w:sz w:val="24"/>
          <w:szCs w:val="24"/>
          <w:highlight w:val="none"/>
        </w:rPr>
        <w:tab/>
      </w:r>
      <w:r>
        <w:rPr>
          <w:sz w:val="24"/>
          <w:szCs w:val="24"/>
          <w:highlight w:val="none"/>
        </w:rPr>
        <w:fldChar w:fldCharType="begin"/>
      </w:r>
      <w:r>
        <w:rPr>
          <w:sz w:val="24"/>
          <w:szCs w:val="24"/>
          <w:highlight w:val="none"/>
        </w:rPr>
        <w:instrText xml:space="preserve"> PAGEREF _Toc1931 \h </w:instrText>
      </w:r>
      <w:r>
        <w:rPr>
          <w:sz w:val="24"/>
          <w:szCs w:val="24"/>
          <w:highlight w:val="none"/>
        </w:rPr>
        <w:fldChar w:fldCharType="separate"/>
      </w:r>
      <w:r>
        <w:rPr>
          <w:sz w:val="24"/>
          <w:szCs w:val="24"/>
          <w:highlight w:val="none"/>
        </w:rPr>
        <w:t>49</w:t>
      </w:r>
      <w:r>
        <w:rPr>
          <w:sz w:val="24"/>
          <w:szCs w:val="24"/>
          <w:highlight w:val="none"/>
        </w:rPr>
        <w:fldChar w:fldCharType="end"/>
      </w:r>
      <w:r>
        <w:rPr>
          <w:sz w:val="24"/>
          <w:szCs w:val="24"/>
          <w:highlight w:val="none"/>
        </w:rPr>
        <w:fldChar w:fldCharType="end"/>
      </w:r>
    </w:p>
    <w:p>
      <w:pPr>
        <w:pStyle w:val="21"/>
        <w:keepNext w:val="0"/>
        <w:keepLines w:val="0"/>
        <w:pageBreakBefore w:val="0"/>
        <w:widowControl w:val="0"/>
        <w:tabs>
          <w:tab w:val="right" w:leader="dot" w:pos="9468"/>
          <w:tab w:val="clear" w:pos="9628"/>
        </w:tabs>
        <w:kinsoku/>
        <w:wordWrap/>
        <w:overflowPunct/>
        <w:topLinePunct w:val="0"/>
        <w:autoSpaceDE/>
        <w:autoSpaceDN/>
        <w:bidi w:val="0"/>
        <w:adjustRightInd/>
        <w:snapToGrid/>
        <w:spacing w:before="0" w:after="0" w:line="240" w:lineRule="auto"/>
        <w:ind w:firstLine="149"/>
        <w:textAlignment w:val="auto"/>
        <w:rPr>
          <w:sz w:val="24"/>
          <w:szCs w:val="24"/>
          <w:highlight w:val="none"/>
        </w:rPr>
      </w:pPr>
      <w:r>
        <w:rPr>
          <w:sz w:val="24"/>
          <w:szCs w:val="24"/>
          <w:highlight w:val="none"/>
        </w:rPr>
        <w:fldChar w:fldCharType="begin"/>
      </w:r>
      <w:r>
        <w:rPr>
          <w:sz w:val="24"/>
          <w:szCs w:val="24"/>
          <w:highlight w:val="none"/>
        </w:rPr>
        <w:instrText xml:space="preserve"> HYPERLINK \l "_Toc16262" </w:instrText>
      </w:r>
      <w:r>
        <w:rPr>
          <w:sz w:val="24"/>
          <w:szCs w:val="24"/>
          <w:highlight w:val="none"/>
        </w:rPr>
        <w:fldChar w:fldCharType="separate"/>
      </w:r>
      <w:r>
        <w:rPr>
          <w:rFonts w:hint="eastAsia" w:ascii="宋体" w:hAnsi="宋体"/>
          <w:sz w:val="24"/>
          <w:szCs w:val="24"/>
          <w:highlight w:val="none"/>
        </w:rPr>
        <w:t>第七章</w:t>
      </w:r>
      <w:r>
        <w:rPr>
          <w:rFonts w:ascii="宋体" w:hAnsi="宋体"/>
          <w:sz w:val="24"/>
          <w:szCs w:val="24"/>
          <w:highlight w:val="none"/>
        </w:rPr>
        <w:t xml:space="preserve"> </w:t>
      </w:r>
      <w:r>
        <w:rPr>
          <w:rFonts w:hint="eastAsia" w:ascii="宋体" w:hAnsi="宋体"/>
          <w:sz w:val="24"/>
          <w:szCs w:val="24"/>
          <w:highlight w:val="none"/>
        </w:rPr>
        <w:t>评标方法（综合评分法）</w:t>
      </w:r>
      <w:r>
        <w:rPr>
          <w:sz w:val="24"/>
          <w:szCs w:val="24"/>
          <w:highlight w:val="none"/>
        </w:rPr>
        <w:tab/>
      </w:r>
      <w:r>
        <w:rPr>
          <w:sz w:val="24"/>
          <w:szCs w:val="24"/>
          <w:highlight w:val="none"/>
        </w:rPr>
        <w:fldChar w:fldCharType="begin"/>
      </w:r>
      <w:r>
        <w:rPr>
          <w:sz w:val="24"/>
          <w:szCs w:val="24"/>
          <w:highlight w:val="none"/>
        </w:rPr>
        <w:instrText xml:space="preserve"> PAGEREF _Toc16262 \h </w:instrText>
      </w:r>
      <w:r>
        <w:rPr>
          <w:sz w:val="24"/>
          <w:szCs w:val="24"/>
          <w:highlight w:val="none"/>
        </w:rPr>
        <w:fldChar w:fldCharType="separate"/>
      </w:r>
      <w:r>
        <w:rPr>
          <w:sz w:val="24"/>
          <w:szCs w:val="24"/>
          <w:highlight w:val="none"/>
        </w:rPr>
        <w:t>50</w:t>
      </w:r>
      <w:r>
        <w:rPr>
          <w:sz w:val="24"/>
          <w:szCs w:val="24"/>
          <w:highlight w:val="none"/>
        </w:rPr>
        <w:fldChar w:fldCharType="end"/>
      </w:r>
      <w:r>
        <w:rPr>
          <w:sz w:val="24"/>
          <w:szCs w:val="24"/>
          <w:highlight w:val="none"/>
        </w:rPr>
        <w:fldChar w:fldCharType="end"/>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sz w:val="24"/>
          <w:szCs w:val="24"/>
          <w:highlight w:val="none"/>
        </w:rPr>
      </w:pPr>
      <w:r>
        <w:rPr>
          <w:rFonts w:hint="eastAsia"/>
          <w:sz w:val="24"/>
          <w:szCs w:val="24"/>
          <w:highlight w:val="none"/>
          <w:lang w:val="en-US" w:eastAsia="zh-CN"/>
        </w:rPr>
        <w:t>一、</w:t>
      </w:r>
      <w:r>
        <w:rPr>
          <w:sz w:val="24"/>
          <w:szCs w:val="24"/>
          <w:highlight w:val="none"/>
        </w:rPr>
        <w:fldChar w:fldCharType="begin"/>
      </w:r>
      <w:r>
        <w:rPr>
          <w:sz w:val="24"/>
          <w:szCs w:val="24"/>
          <w:highlight w:val="none"/>
        </w:rPr>
        <w:instrText xml:space="preserve"> HYPERLINK \l "_Toc24785" </w:instrText>
      </w:r>
      <w:r>
        <w:rPr>
          <w:sz w:val="24"/>
          <w:szCs w:val="24"/>
          <w:highlight w:val="none"/>
        </w:rPr>
        <w:fldChar w:fldCharType="separate"/>
      </w:r>
      <w:r>
        <w:rPr>
          <w:rFonts w:hint="eastAsia" w:ascii="宋体" w:hAnsi="宋体"/>
          <w:sz w:val="24"/>
          <w:szCs w:val="24"/>
          <w:highlight w:val="none"/>
        </w:rPr>
        <w:t>评标方法前附表</w:t>
      </w:r>
      <w:r>
        <w:rPr>
          <w:sz w:val="24"/>
          <w:szCs w:val="24"/>
          <w:highlight w:val="none"/>
        </w:rPr>
        <w:tab/>
      </w:r>
      <w:r>
        <w:rPr>
          <w:sz w:val="24"/>
          <w:szCs w:val="24"/>
          <w:highlight w:val="none"/>
        </w:rPr>
        <w:fldChar w:fldCharType="begin"/>
      </w:r>
      <w:r>
        <w:rPr>
          <w:sz w:val="24"/>
          <w:szCs w:val="24"/>
          <w:highlight w:val="none"/>
        </w:rPr>
        <w:instrText xml:space="preserve"> PAGEREF _Toc24785 \h </w:instrText>
      </w:r>
      <w:r>
        <w:rPr>
          <w:sz w:val="24"/>
          <w:szCs w:val="24"/>
          <w:highlight w:val="none"/>
        </w:rPr>
        <w:fldChar w:fldCharType="separate"/>
      </w:r>
      <w:r>
        <w:rPr>
          <w:sz w:val="24"/>
          <w:szCs w:val="24"/>
          <w:highlight w:val="none"/>
        </w:rPr>
        <w:t>50</w:t>
      </w:r>
      <w:r>
        <w:rPr>
          <w:sz w:val="24"/>
          <w:szCs w:val="24"/>
          <w:highlight w:val="none"/>
        </w:rPr>
        <w:fldChar w:fldCharType="end"/>
      </w:r>
      <w:r>
        <w:rPr>
          <w:sz w:val="24"/>
          <w:szCs w:val="24"/>
          <w:highlight w:val="none"/>
        </w:rPr>
        <w:fldChar w:fldCharType="end"/>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sz w:val="24"/>
          <w:szCs w:val="24"/>
          <w:highlight w:val="none"/>
        </w:rPr>
      </w:pPr>
      <w:r>
        <w:rPr>
          <w:sz w:val="24"/>
          <w:szCs w:val="24"/>
          <w:highlight w:val="none"/>
        </w:rPr>
        <w:fldChar w:fldCharType="begin"/>
      </w:r>
      <w:r>
        <w:rPr>
          <w:sz w:val="24"/>
          <w:szCs w:val="24"/>
          <w:highlight w:val="none"/>
        </w:rPr>
        <w:instrText xml:space="preserve"> HYPERLINK \l "_Toc16431" </w:instrText>
      </w:r>
      <w:r>
        <w:rPr>
          <w:sz w:val="24"/>
          <w:szCs w:val="24"/>
          <w:highlight w:val="none"/>
        </w:rPr>
        <w:fldChar w:fldCharType="separate"/>
      </w:r>
      <w:r>
        <w:rPr>
          <w:rFonts w:hint="eastAsia" w:ascii="宋体" w:hAnsi="宋体"/>
          <w:sz w:val="24"/>
          <w:szCs w:val="24"/>
          <w:highlight w:val="none"/>
        </w:rPr>
        <w:t>二、评标方法</w:t>
      </w:r>
      <w:r>
        <w:rPr>
          <w:sz w:val="24"/>
          <w:szCs w:val="24"/>
          <w:highlight w:val="none"/>
        </w:rPr>
        <w:tab/>
      </w:r>
      <w:r>
        <w:rPr>
          <w:sz w:val="24"/>
          <w:szCs w:val="24"/>
          <w:highlight w:val="none"/>
        </w:rPr>
        <w:fldChar w:fldCharType="begin"/>
      </w:r>
      <w:r>
        <w:rPr>
          <w:sz w:val="24"/>
          <w:szCs w:val="24"/>
          <w:highlight w:val="none"/>
        </w:rPr>
        <w:instrText xml:space="preserve"> PAGEREF _Toc16431 \h </w:instrText>
      </w:r>
      <w:r>
        <w:rPr>
          <w:sz w:val="24"/>
          <w:szCs w:val="24"/>
          <w:highlight w:val="none"/>
        </w:rPr>
        <w:fldChar w:fldCharType="separate"/>
      </w:r>
      <w:r>
        <w:rPr>
          <w:sz w:val="24"/>
          <w:szCs w:val="24"/>
          <w:highlight w:val="none"/>
        </w:rPr>
        <w:t>52</w:t>
      </w:r>
      <w:r>
        <w:rPr>
          <w:sz w:val="24"/>
          <w:szCs w:val="24"/>
          <w:highlight w:val="none"/>
        </w:rPr>
        <w:fldChar w:fldCharType="end"/>
      </w:r>
      <w:r>
        <w:rPr>
          <w:sz w:val="24"/>
          <w:szCs w:val="24"/>
          <w:highlight w:val="none"/>
        </w:rPr>
        <w:fldChar w:fldCharType="end"/>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sz w:val="24"/>
          <w:szCs w:val="24"/>
          <w:highlight w:val="none"/>
        </w:rPr>
      </w:pPr>
      <w:r>
        <w:rPr>
          <w:sz w:val="24"/>
          <w:szCs w:val="24"/>
          <w:highlight w:val="none"/>
        </w:rPr>
        <w:fldChar w:fldCharType="begin"/>
      </w:r>
      <w:r>
        <w:rPr>
          <w:sz w:val="24"/>
          <w:szCs w:val="24"/>
          <w:highlight w:val="none"/>
        </w:rPr>
        <w:instrText xml:space="preserve"> HYPERLINK \l "_Toc15238" </w:instrText>
      </w:r>
      <w:r>
        <w:rPr>
          <w:sz w:val="24"/>
          <w:szCs w:val="24"/>
          <w:highlight w:val="none"/>
        </w:rPr>
        <w:fldChar w:fldCharType="separate"/>
      </w:r>
      <w:r>
        <w:rPr>
          <w:rFonts w:hint="eastAsia" w:ascii="宋体" w:hAnsi="宋体"/>
          <w:sz w:val="24"/>
          <w:szCs w:val="24"/>
          <w:highlight w:val="none"/>
        </w:rPr>
        <w:t>三、评标程序</w:t>
      </w:r>
      <w:r>
        <w:rPr>
          <w:sz w:val="24"/>
          <w:szCs w:val="24"/>
          <w:highlight w:val="none"/>
        </w:rPr>
        <w:tab/>
      </w:r>
      <w:r>
        <w:rPr>
          <w:sz w:val="24"/>
          <w:szCs w:val="24"/>
          <w:highlight w:val="none"/>
        </w:rPr>
        <w:fldChar w:fldCharType="begin"/>
      </w:r>
      <w:r>
        <w:rPr>
          <w:sz w:val="24"/>
          <w:szCs w:val="24"/>
          <w:highlight w:val="none"/>
        </w:rPr>
        <w:instrText xml:space="preserve"> PAGEREF _Toc15238 \h </w:instrText>
      </w:r>
      <w:r>
        <w:rPr>
          <w:sz w:val="24"/>
          <w:szCs w:val="24"/>
          <w:highlight w:val="none"/>
        </w:rPr>
        <w:fldChar w:fldCharType="separate"/>
      </w:r>
      <w:r>
        <w:rPr>
          <w:sz w:val="24"/>
          <w:szCs w:val="24"/>
          <w:highlight w:val="none"/>
        </w:rPr>
        <w:t>54</w:t>
      </w:r>
      <w:r>
        <w:rPr>
          <w:sz w:val="24"/>
          <w:szCs w:val="24"/>
          <w:highlight w:val="none"/>
        </w:rPr>
        <w:fldChar w:fldCharType="end"/>
      </w:r>
      <w:r>
        <w:rPr>
          <w:sz w:val="24"/>
          <w:szCs w:val="24"/>
          <w:highlight w:val="none"/>
        </w:rPr>
        <w:fldChar w:fldCharType="end"/>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sz w:val="24"/>
          <w:szCs w:val="24"/>
          <w:highlight w:val="none"/>
        </w:rPr>
      </w:pPr>
      <w:r>
        <w:rPr>
          <w:sz w:val="24"/>
          <w:szCs w:val="24"/>
          <w:highlight w:val="none"/>
        </w:rPr>
        <w:fldChar w:fldCharType="begin"/>
      </w:r>
      <w:r>
        <w:rPr>
          <w:sz w:val="24"/>
          <w:szCs w:val="24"/>
          <w:highlight w:val="none"/>
        </w:rPr>
        <w:instrText xml:space="preserve"> HYPERLINK \l "_Toc5017" </w:instrText>
      </w:r>
      <w:r>
        <w:rPr>
          <w:sz w:val="24"/>
          <w:szCs w:val="24"/>
          <w:highlight w:val="none"/>
        </w:rPr>
        <w:fldChar w:fldCharType="separate"/>
      </w:r>
      <w:r>
        <w:rPr>
          <w:rFonts w:hint="eastAsia" w:ascii="宋体" w:hAnsi="宋体"/>
          <w:kern w:val="0"/>
          <w:sz w:val="24"/>
          <w:szCs w:val="24"/>
          <w:highlight w:val="none"/>
        </w:rPr>
        <w:t>四、汇总评标结果</w:t>
      </w:r>
      <w:r>
        <w:rPr>
          <w:sz w:val="24"/>
          <w:szCs w:val="24"/>
          <w:highlight w:val="none"/>
        </w:rPr>
        <w:tab/>
      </w:r>
      <w:r>
        <w:rPr>
          <w:sz w:val="24"/>
          <w:szCs w:val="24"/>
          <w:highlight w:val="none"/>
        </w:rPr>
        <w:fldChar w:fldCharType="begin"/>
      </w:r>
      <w:r>
        <w:rPr>
          <w:sz w:val="24"/>
          <w:szCs w:val="24"/>
          <w:highlight w:val="none"/>
        </w:rPr>
        <w:instrText xml:space="preserve"> PAGEREF _Toc5017 \h </w:instrText>
      </w:r>
      <w:r>
        <w:rPr>
          <w:sz w:val="24"/>
          <w:szCs w:val="24"/>
          <w:highlight w:val="none"/>
        </w:rPr>
        <w:fldChar w:fldCharType="separate"/>
      </w:r>
      <w:r>
        <w:rPr>
          <w:sz w:val="24"/>
          <w:szCs w:val="24"/>
          <w:highlight w:val="none"/>
        </w:rPr>
        <w:t>56</w:t>
      </w:r>
      <w:r>
        <w:rPr>
          <w:sz w:val="24"/>
          <w:szCs w:val="24"/>
          <w:highlight w:val="none"/>
        </w:rPr>
        <w:fldChar w:fldCharType="end"/>
      </w:r>
      <w:r>
        <w:rPr>
          <w:sz w:val="24"/>
          <w:szCs w:val="24"/>
          <w:highlight w:val="none"/>
        </w:rPr>
        <w:fldChar w:fldCharType="end"/>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sz w:val="24"/>
          <w:szCs w:val="24"/>
          <w:highlight w:val="none"/>
        </w:rPr>
      </w:pPr>
      <w:r>
        <w:rPr>
          <w:sz w:val="24"/>
          <w:szCs w:val="24"/>
          <w:highlight w:val="none"/>
        </w:rPr>
        <w:fldChar w:fldCharType="begin"/>
      </w:r>
      <w:r>
        <w:rPr>
          <w:sz w:val="24"/>
          <w:szCs w:val="24"/>
          <w:highlight w:val="none"/>
        </w:rPr>
        <w:instrText xml:space="preserve"> HYPERLINK \l "_Toc10698" </w:instrText>
      </w:r>
      <w:r>
        <w:rPr>
          <w:sz w:val="24"/>
          <w:szCs w:val="24"/>
          <w:highlight w:val="none"/>
        </w:rPr>
        <w:fldChar w:fldCharType="separate"/>
      </w:r>
      <w:r>
        <w:rPr>
          <w:rFonts w:hint="eastAsia" w:ascii="宋体" w:hAnsi="宋体"/>
          <w:kern w:val="0"/>
          <w:sz w:val="24"/>
          <w:szCs w:val="24"/>
          <w:highlight w:val="none"/>
        </w:rPr>
        <w:t>五、推荐中标候选人</w:t>
      </w:r>
      <w:r>
        <w:rPr>
          <w:sz w:val="24"/>
          <w:szCs w:val="24"/>
          <w:highlight w:val="none"/>
        </w:rPr>
        <w:tab/>
      </w:r>
      <w:r>
        <w:rPr>
          <w:sz w:val="24"/>
          <w:szCs w:val="24"/>
          <w:highlight w:val="none"/>
        </w:rPr>
        <w:fldChar w:fldCharType="begin"/>
      </w:r>
      <w:r>
        <w:rPr>
          <w:sz w:val="24"/>
          <w:szCs w:val="24"/>
          <w:highlight w:val="none"/>
        </w:rPr>
        <w:instrText xml:space="preserve"> PAGEREF _Toc10698 \h </w:instrText>
      </w:r>
      <w:r>
        <w:rPr>
          <w:sz w:val="24"/>
          <w:szCs w:val="24"/>
          <w:highlight w:val="none"/>
        </w:rPr>
        <w:fldChar w:fldCharType="separate"/>
      </w:r>
      <w:r>
        <w:rPr>
          <w:sz w:val="24"/>
          <w:szCs w:val="24"/>
          <w:highlight w:val="none"/>
        </w:rPr>
        <w:t>56</w:t>
      </w:r>
      <w:r>
        <w:rPr>
          <w:sz w:val="24"/>
          <w:szCs w:val="24"/>
          <w:highlight w:val="none"/>
        </w:rPr>
        <w:fldChar w:fldCharType="end"/>
      </w:r>
      <w:r>
        <w:rPr>
          <w:sz w:val="24"/>
          <w:szCs w:val="24"/>
          <w:highlight w:val="none"/>
        </w:rPr>
        <w:fldChar w:fldCharType="end"/>
      </w:r>
    </w:p>
    <w:p>
      <w:pPr>
        <w:pStyle w:val="22"/>
        <w:keepNext w:val="0"/>
        <w:keepLines w:val="0"/>
        <w:pageBreakBefore w:val="0"/>
        <w:widowControl w:val="0"/>
        <w:tabs>
          <w:tab w:val="right" w:leader="dot" w:pos="9468"/>
          <w:tab w:val="clear" w:pos="9628"/>
        </w:tabs>
        <w:kinsoku/>
        <w:wordWrap/>
        <w:overflowPunct/>
        <w:topLinePunct w:val="0"/>
        <w:autoSpaceDE/>
        <w:autoSpaceDN/>
        <w:bidi w:val="0"/>
        <w:adjustRightInd/>
        <w:snapToGrid/>
        <w:spacing w:line="240" w:lineRule="auto"/>
        <w:textAlignment w:val="auto"/>
        <w:rPr>
          <w:sz w:val="24"/>
          <w:szCs w:val="24"/>
          <w:highlight w:val="none"/>
        </w:rPr>
      </w:pPr>
      <w:r>
        <w:rPr>
          <w:sz w:val="24"/>
          <w:szCs w:val="24"/>
          <w:highlight w:val="none"/>
        </w:rPr>
        <w:fldChar w:fldCharType="begin"/>
      </w:r>
      <w:r>
        <w:rPr>
          <w:sz w:val="24"/>
          <w:szCs w:val="24"/>
          <w:highlight w:val="none"/>
        </w:rPr>
        <w:instrText xml:space="preserve"> HYPERLINK \l "_Toc21993" </w:instrText>
      </w:r>
      <w:r>
        <w:rPr>
          <w:sz w:val="24"/>
          <w:szCs w:val="24"/>
          <w:highlight w:val="none"/>
        </w:rPr>
        <w:fldChar w:fldCharType="separate"/>
      </w:r>
      <w:r>
        <w:rPr>
          <w:rFonts w:hint="eastAsia" w:ascii="宋体" w:hAnsi="宋体"/>
          <w:kern w:val="0"/>
          <w:sz w:val="24"/>
          <w:szCs w:val="24"/>
          <w:highlight w:val="none"/>
        </w:rPr>
        <w:t>六、特殊情况的处置程序</w:t>
      </w:r>
      <w:r>
        <w:rPr>
          <w:sz w:val="24"/>
          <w:szCs w:val="24"/>
          <w:highlight w:val="none"/>
        </w:rPr>
        <w:tab/>
      </w:r>
      <w:r>
        <w:rPr>
          <w:sz w:val="24"/>
          <w:szCs w:val="24"/>
          <w:highlight w:val="none"/>
        </w:rPr>
        <w:fldChar w:fldCharType="begin"/>
      </w:r>
      <w:r>
        <w:rPr>
          <w:sz w:val="24"/>
          <w:szCs w:val="24"/>
          <w:highlight w:val="none"/>
        </w:rPr>
        <w:instrText xml:space="preserve"> PAGEREF _Toc21993 \h </w:instrText>
      </w:r>
      <w:r>
        <w:rPr>
          <w:sz w:val="24"/>
          <w:szCs w:val="24"/>
          <w:highlight w:val="none"/>
        </w:rPr>
        <w:fldChar w:fldCharType="separate"/>
      </w:r>
      <w:r>
        <w:rPr>
          <w:sz w:val="24"/>
          <w:szCs w:val="24"/>
          <w:highlight w:val="none"/>
        </w:rPr>
        <w:t>56</w:t>
      </w:r>
      <w:r>
        <w:rPr>
          <w:sz w:val="24"/>
          <w:szCs w:val="24"/>
          <w:highlight w:val="none"/>
        </w:rPr>
        <w:fldChar w:fldCharType="end"/>
      </w:r>
      <w:r>
        <w:rPr>
          <w:sz w:val="24"/>
          <w:szCs w:val="24"/>
          <w:highlight w:val="none"/>
        </w:rPr>
        <w:fldChar w:fldCharType="end"/>
      </w:r>
    </w:p>
    <w:p>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sz w:val="24"/>
          <w:szCs w:val="24"/>
          <w:highlight w:val="none"/>
        </w:rPr>
        <w:sectPr>
          <w:footerReference r:id="rId9" w:type="first"/>
          <w:footerReference r:id="rId8" w:type="default"/>
          <w:pgSz w:w="11906" w:h="16838"/>
          <w:pgMar w:top="1191" w:right="1219" w:bottom="1134" w:left="1219" w:header="567" w:footer="567" w:gutter="0"/>
          <w:pgBorders>
            <w:top w:val="none" w:sz="0" w:space="0"/>
            <w:left w:val="none" w:sz="0" w:space="0"/>
            <w:bottom w:val="none" w:sz="0" w:space="0"/>
            <w:right w:val="none" w:sz="0" w:space="0"/>
          </w:pgBorders>
          <w:cols w:space="720" w:num="1"/>
          <w:titlePg/>
          <w:docGrid w:type="lines" w:linePitch="331" w:charSpace="0"/>
        </w:sectPr>
      </w:pPr>
      <w:r>
        <w:rPr>
          <w:rFonts w:ascii="宋体" w:hAnsi="宋体"/>
          <w:bCs/>
          <w:caps/>
          <w:smallCaps w:val="0"/>
          <w:sz w:val="24"/>
          <w:szCs w:val="24"/>
          <w:highlight w:val="none"/>
        </w:rPr>
        <w:fldChar w:fldCharType="end"/>
      </w:r>
    </w:p>
    <w:p>
      <w:pPr>
        <w:pStyle w:val="2"/>
        <w:numPr>
          <w:ilvl w:val="0"/>
          <w:numId w:val="0"/>
        </w:numPr>
        <w:jc w:val="center"/>
        <w:rPr>
          <w:rFonts w:ascii="宋体" w:hAnsi="宋体" w:eastAsia="宋体"/>
          <w:sz w:val="32"/>
          <w:szCs w:val="32"/>
          <w:highlight w:val="none"/>
        </w:rPr>
      </w:pPr>
      <w:bookmarkStart w:id="0" w:name="_Toc393784369"/>
      <w:bookmarkStart w:id="1" w:name="_Toc7233"/>
      <w:bookmarkStart w:id="2" w:name="_Toc26443"/>
      <w:r>
        <w:rPr>
          <w:rFonts w:hint="eastAsia" w:ascii="宋体" w:hAnsi="宋体" w:eastAsia="宋体"/>
          <w:sz w:val="32"/>
          <w:szCs w:val="32"/>
          <w:highlight w:val="none"/>
        </w:rPr>
        <w:t>第一章</w:t>
      </w:r>
      <w:bookmarkEnd w:id="0"/>
      <w:r>
        <w:rPr>
          <w:rFonts w:ascii="宋体" w:hAnsi="宋体" w:eastAsia="宋体"/>
          <w:sz w:val="32"/>
          <w:szCs w:val="32"/>
          <w:highlight w:val="none"/>
        </w:rPr>
        <w:t xml:space="preserve"> </w:t>
      </w:r>
      <w:r>
        <w:rPr>
          <w:rFonts w:hint="eastAsia" w:ascii="宋体" w:hAnsi="宋体" w:eastAsia="宋体"/>
          <w:sz w:val="32"/>
          <w:szCs w:val="32"/>
          <w:highlight w:val="none"/>
        </w:rPr>
        <w:t>招标公告</w:t>
      </w:r>
      <w:bookmarkEnd w:id="1"/>
      <w:bookmarkEnd w:id="2"/>
    </w:p>
    <w:tbl>
      <w:tblPr>
        <w:tblStyle w:val="30"/>
        <w:tblW w:w="9150" w:type="dxa"/>
        <w:tblCellSpacing w:w="0" w:type="dxa"/>
        <w:tblInd w:w="-264"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15" w:type="dxa"/>
          <w:left w:w="15" w:type="dxa"/>
          <w:bottom w:w="15" w:type="dxa"/>
          <w:right w:w="15" w:type="dxa"/>
        </w:tblCellMar>
      </w:tblPr>
      <w:tblGrid>
        <w:gridCol w:w="9150"/>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cantSplit/>
          <w:trHeight w:val="746" w:hRule="atLeast"/>
          <w:tblCellSpacing w:w="0" w:type="dxa"/>
        </w:trPr>
        <w:tc>
          <w:tcPr>
            <w:tcW w:w="9150"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360" w:lineRule="auto"/>
              <w:ind w:firstLine="420" w:firstLineChars="200"/>
              <w:jc w:val="left"/>
              <w:rPr>
                <w:rFonts w:ascii="Arial" w:hAnsi="Arial" w:cs="Arial"/>
                <w:kern w:val="0"/>
                <w:sz w:val="18"/>
                <w:szCs w:val="18"/>
                <w:highlight w:val="none"/>
              </w:rPr>
            </w:pPr>
            <w:bookmarkStart w:id="3" w:name="OLE_LINK2"/>
            <w:bookmarkStart w:id="4" w:name="OLE_LINK1"/>
            <w:r>
              <w:rPr>
                <w:rFonts w:ascii="Arial" w:hAnsi="Arial" w:cs="Arial"/>
                <w:kern w:val="0"/>
                <w:szCs w:val="21"/>
                <w:highlight w:val="none"/>
              </w:rPr>
              <w:t>项目概况</w:t>
            </w:r>
            <w:r>
              <w:rPr>
                <w:rFonts w:hint="eastAsia" w:ascii="Arial" w:hAnsi="Arial" w:cs="Arial"/>
                <w:kern w:val="0"/>
                <w:szCs w:val="21"/>
                <w:highlight w:val="none"/>
              </w:rPr>
              <w:t>：</w:t>
            </w:r>
            <w:r>
              <w:rPr>
                <w:rFonts w:hint="eastAsia" w:ascii="Arial" w:hAnsi="Arial" w:cs="Arial"/>
                <w:kern w:val="0"/>
                <w:szCs w:val="21"/>
                <w:highlight w:val="none"/>
                <w:u w:val="single"/>
              </w:rPr>
              <w:t>云南省大理州自然灾害应急能力提升工程基层防灾项目</w:t>
            </w:r>
            <w:r>
              <w:rPr>
                <w:rFonts w:hint="eastAsia" w:ascii="Arial" w:hAnsi="Arial" w:cs="Arial"/>
                <w:kern w:val="0"/>
                <w:szCs w:val="21"/>
                <w:highlight w:val="none"/>
                <w:u w:val="single"/>
                <w:lang w:eastAsia="zh-CN"/>
              </w:rPr>
              <w:t>第十标段</w:t>
            </w:r>
            <w:r>
              <w:rPr>
                <w:rFonts w:hint="eastAsia" w:ascii="Arial" w:hAnsi="Arial" w:cs="Arial"/>
                <w:kern w:val="0"/>
                <w:szCs w:val="21"/>
                <w:highlight w:val="none"/>
              </w:rPr>
              <w:t>的潜在投标人应在政府采购云平台（</w:t>
            </w:r>
            <w:r>
              <w:rPr>
                <w:color w:val="auto"/>
                <w:highlight w:val="none"/>
                <w:u w:val="single"/>
              </w:rPr>
              <w:fldChar w:fldCharType="begin"/>
            </w:r>
            <w:r>
              <w:rPr>
                <w:color w:val="auto"/>
                <w:highlight w:val="none"/>
                <w:u w:val="single"/>
              </w:rPr>
              <w:instrText xml:space="preserve"> HYPERLINK "https://www.zcygov.cn/）获取（下载）获取采购文件，并于2022年" </w:instrText>
            </w:r>
            <w:r>
              <w:rPr>
                <w:color w:val="auto"/>
                <w:highlight w:val="none"/>
                <w:u w:val="single"/>
              </w:rPr>
              <w:fldChar w:fldCharType="separate"/>
            </w:r>
            <w:r>
              <w:rPr>
                <w:rFonts w:hint="eastAsia" w:ascii="Arial" w:hAnsi="Arial" w:cs="Arial"/>
                <w:color w:val="auto"/>
                <w:kern w:val="0"/>
                <w:szCs w:val="21"/>
                <w:highlight w:val="none"/>
                <w:u w:val="none"/>
              </w:rPr>
              <w:t>https://www.zcygov.cn/）获取</w:t>
            </w:r>
            <w:r>
              <w:rPr>
                <w:rFonts w:hint="eastAsia" w:ascii="Arial" w:hAnsi="Arial" w:cs="Arial"/>
                <w:color w:val="auto"/>
                <w:kern w:val="0"/>
                <w:szCs w:val="21"/>
                <w:highlight w:val="none"/>
                <w:u w:val="none"/>
                <w:lang w:eastAsia="zh-CN"/>
              </w:rPr>
              <w:t>采购文件</w:t>
            </w:r>
            <w:r>
              <w:rPr>
                <w:rFonts w:hint="eastAsia" w:ascii="Arial" w:hAnsi="Arial" w:cs="Arial"/>
                <w:color w:val="auto"/>
                <w:kern w:val="0"/>
                <w:szCs w:val="21"/>
                <w:highlight w:val="none"/>
                <w:u w:val="none"/>
              </w:rPr>
              <w:t>，并</w:t>
            </w:r>
            <w:r>
              <w:rPr>
                <w:rFonts w:hint="eastAsia" w:ascii="宋体" w:hAnsi="宋体" w:eastAsia="宋体" w:cs="宋体"/>
                <w:color w:val="auto"/>
                <w:kern w:val="0"/>
                <w:szCs w:val="21"/>
                <w:highlight w:val="none"/>
                <w:u w:val="none"/>
              </w:rPr>
              <w:t>于</w:t>
            </w:r>
            <w:r>
              <w:rPr>
                <w:rFonts w:hint="eastAsia" w:ascii="宋体" w:hAnsi="宋体" w:eastAsia="宋体" w:cs="宋体"/>
                <w:color w:val="auto"/>
                <w:kern w:val="0"/>
                <w:szCs w:val="21"/>
                <w:highlight w:val="none"/>
                <w:u w:val="single"/>
              </w:rPr>
              <w:t>2024年</w:t>
            </w:r>
            <w:r>
              <w:rPr>
                <w:rFonts w:hint="eastAsia" w:ascii="Arial" w:hAnsi="Arial" w:cs="Arial"/>
                <w:color w:val="auto"/>
                <w:kern w:val="0"/>
                <w:szCs w:val="21"/>
                <w:highlight w:val="none"/>
                <w:u w:val="single"/>
              </w:rPr>
              <w:fldChar w:fldCharType="end"/>
            </w:r>
            <w:r>
              <w:rPr>
                <w:rFonts w:hint="eastAsia" w:asciiTheme="minorEastAsia" w:hAnsiTheme="minorEastAsia" w:eastAsiaTheme="minorEastAsia" w:cstheme="minorEastAsia"/>
                <w:color w:val="auto"/>
                <w:kern w:val="0"/>
                <w:szCs w:val="21"/>
                <w:highlight w:val="none"/>
                <w:u w:val="single"/>
                <w:lang w:val="en-US" w:eastAsia="zh-CN"/>
              </w:rPr>
              <w:t>08</w:t>
            </w:r>
            <w:r>
              <w:rPr>
                <w:rFonts w:hint="eastAsia" w:asciiTheme="minorEastAsia" w:hAnsiTheme="minorEastAsia" w:eastAsiaTheme="minorEastAsia" w:cstheme="minorEastAsia"/>
                <w:color w:val="auto"/>
                <w:kern w:val="0"/>
                <w:szCs w:val="21"/>
                <w:highlight w:val="none"/>
                <w:u w:val="single"/>
              </w:rPr>
              <w:t>月</w:t>
            </w:r>
            <w:r>
              <w:rPr>
                <w:rFonts w:hint="eastAsia" w:asciiTheme="minorEastAsia" w:hAnsiTheme="minorEastAsia" w:eastAsiaTheme="minorEastAsia" w:cstheme="minorEastAsia"/>
                <w:color w:val="auto"/>
                <w:kern w:val="0"/>
                <w:szCs w:val="21"/>
                <w:highlight w:val="none"/>
                <w:u w:val="single"/>
                <w:lang w:val="en-US" w:eastAsia="zh-CN"/>
              </w:rPr>
              <w:t>13</w:t>
            </w:r>
            <w:r>
              <w:rPr>
                <w:rFonts w:hint="eastAsia" w:asciiTheme="minorEastAsia" w:hAnsiTheme="minorEastAsia" w:eastAsiaTheme="minorEastAsia" w:cstheme="minorEastAsia"/>
                <w:color w:val="auto"/>
                <w:kern w:val="0"/>
                <w:szCs w:val="21"/>
                <w:highlight w:val="none"/>
                <w:u w:val="single"/>
              </w:rPr>
              <w:t>日09时30分</w:t>
            </w:r>
            <w:r>
              <w:rPr>
                <w:rFonts w:hint="eastAsia" w:ascii="Arial" w:hAnsi="Arial" w:cs="Arial"/>
                <w:kern w:val="0"/>
                <w:szCs w:val="21"/>
                <w:highlight w:val="none"/>
              </w:rPr>
              <w:t>（北京时间）前提交投标文件。</w:t>
            </w:r>
          </w:p>
        </w:tc>
      </w:tr>
    </w:tbl>
    <w:p>
      <w:pPr>
        <w:spacing w:line="360" w:lineRule="auto"/>
        <w:jc w:val="left"/>
        <w:outlineLvl w:val="1"/>
        <w:rPr>
          <w:rFonts w:ascii="宋体" w:hAnsi="宋体"/>
          <w:b/>
          <w:bCs/>
          <w:szCs w:val="21"/>
          <w:highlight w:val="none"/>
        </w:rPr>
      </w:pPr>
      <w:bookmarkStart w:id="5" w:name="_Toc14419"/>
      <w:r>
        <w:rPr>
          <w:rFonts w:ascii="宋体" w:hAnsi="宋体"/>
          <w:b/>
          <w:bCs/>
          <w:szCs w:val="21"/>
          <w:highlight w:val="none"/>
        </w:rPr>
        <w:t>一、项目基本情况</w:t>
      </w:r>
      <w:bookmarkEnd w:id="5"/>
    </w:p>
    <w:p>
      <w:pPr>
        <w:spacing w:line="360" w:lineRule="auto"/>
        <w:ind w:left="424" w:leftChars="202" w:firstLine="2"/>
        <w:jc w:val="left"/>
        <w:rPr>
          <w:rFonts w:hint="eastAsia" w:ascii="宋体" w:hAnsi="宋体"/>
          <w:bCs/>
          <w:szCs w:val="21"/>
          <w:highlight w:val="none"/>
        </w:rPr>
      </w:pPr>
      <w:r>
        <w:rPr>
          <w:rFonts w:hint="eastAsia" w:ascii="宋体" w:hAnsi="宋体"/>
          <w:bCs/>
          <w:szCs w:val="21"/>
          <w:highlight w:val="none"/>
          <w:lang w:val="en-US" w:eastAsia="zh-CN"/>
        </w:rPr>
        <w:t>1</w:t>
      </w:r>
      <w:r>
        <w:rPr>
          <w:rFonts w:hint="eastAsia" w:ascii="宋体" w:hAnsi="宋体"/>
          <w:bCs/>
          <w:szCs w:val="21"/>
          <w:highlight w:val="none"/>
        </w:rPr>
        <w:t>.</w:t>
      </w:r>
      <w:r>
        <w:rPr>
          <w:rFonts w:ascii="宋体" w:hAnsi="宋体"/>
          <w:bCs/>
          <w:szCs w:val="21"/>
          <w:highlight w:val="none"/>
        </w:rPr>
        <w:t>项目编号：</w:t>
      </w:r>
      <w:r>
        <w:rPr>
          <w:rFonts w:hint="eastAsia" w:ascii="宋体" w:hAnsi="宋体"/>
          <w:bCs/>
          <w:szCs w:val="21"/>
          <w:highlight w:val="none"/>
          <w:lang w:eastAsia="zh-CN"/>
        </w:rPr>
        <w:t>DLZC2024-G1-00384-YNYX-0001。</w:t>
      </w:r>
    </w:p>
    <w:p>
      <w:pPr>
        <w:spacing w:line="360" w:lineRule="auto"/>
        <w:ind w:left="424" w:leftChars="202" w:firstLine="2"/>
        <w:jc w:val="left"/>
        <w:rPr>
          <w:rFonts w:ascii="宋体" w:hAnsi="宋体"/>
          <w:bCs/>
          <w:szCs w:val="21"/>
          <w:highlight w:val="none"/>
        </w:rPr>
      </w:pPr>
      <w:r>
        <w:rPr>
          <w:rFonts w:hint="eastAsia" w:ascii="宋体" w:hAnsi="宋体"/>
          <w:bCs/>
          <w:szCs w:val="21"/>
          <w:highlight w:val="none"/>
          <w:lang w:val="en-US" w:eastAsia="zh-CN"/>
        </w:rPr>
        <w:t>2</w:t>
      </w:r>
      <w:r>
        <w:rPr>
          <w:rFonts w:hint="eastAsia" w:ascii="宋体" w:hAnsi="宋体"/>
          <w:bCs/>
          <w:szCs w:val="21"/>
          <w:highlight w:val="none"/>
        </w:rPr>
        <w:t>.</w:t>
      </w:r>
      <w:r>
        <w:rPr>
          <w:rFonts w:ascii="宋体" w:hAnsi="宋体"/>
          <w:bCs/>
          <w:szCs w:val="21"/>
          <w:highlight w:val="none"/>
        </w:rPr>
        <w:t>项目名称：</w:t>
      </w:r>
      <w:r>
        <w:rPr>
          <w:rFonts w:hint="eastAsia" w:ascii="Arial" w:hAnsi="Arial" w:cs="Arial"/>
          <w:kern w:val="0"/>
          <w:szCs w:val="21"/>
          <w:highlight w:val="none"/>
        </w:rPr>
        <w:t>云南省大理州自然灾害应急能力提升工程基层防灾项目</w:t>
      </w:r>
      <w:r>
        <w:rPr>
          <w:rFonts w:hint="eastAsia" w:ascii="Arial" w:hAnsi="Arial" w:cs="Arial"/>
          <w:kern w:val="0"/>
          <w:szCs w:val="21"/>
          <w:highlight w:val="none"/>
          <w:lang w:eastAsia="zh-CN"/>
        </w:rPr>
        <w:t>第十标段。</w:t>
      </w:r>
    </w:p>
    <w:p>
      <w:pPr>
        <w:spacing w:line="360" w:lineRule="auto"/>
        <w:ind w:left="424" w:leftChars="202" w:firstLine="2"/>
        <w:jc w:val="left"/>
        <w:rPr>
          <w:rFonts w:hint="eastAsia" w:ascii="宋体" w:hAnsi="宋体" w:eastAsia="宋体"/>
          <w:bCs/>
          <w:color w:val="auto"/>
          <w:szCs w:val="21"/>
          <w:highlight w:val="none"/>
          <w:lang w:eastAsia="zh-CN"/>
        </w:rPr>
      </w:pPr>
      <w:r>
        <w:rPr>
          <w:rFonts w:hint="eastAsia" w:ascii="宋体" w:hAnsi="宋体"/>
          <w:bCs/>
          <w:szCs w:val="21"/>
          <w:highlight w:val="none"/>
        </w:rPr>
        <w:t>3.</w:t>
      </w:r>
      <w:r>
        <w:rPr>
          <w:rFonts w:ascii="宋体" w:hAnsi="宋体"/>
          <w:bCs/>
          <w:szCs w:val="21"/>
          <w:highlight w:val="none"/>
        </w:rPr>
        <w:t>预算金额</w:t>
      </w:r>
      <w:r>
        <w:rPr>
          <w:rFonts w:hint="eastAsia" w:ascii="宋体" w:hAnsi="宋体"/>
          <w:bCs/>
          <w:color w:val="auto"/>
          <w:szCs w:val="21"/>
          <w:highlight w:val="none"/>
        </w:rPr>
        <w:t>：</w:t>
      </w:r>
      <w:r>
        <w:rPr>
          <w:rFonts w:hint="eastAsia" w:ascii="宋体" w:hAnsi="宋体"/>
          <w:bCs/>
          <w:color w:val="auto"/>
          <w:szCs w:val="21"/>
          <w:highlight w:val="none"/>
          <w:lang w:val="en-US" w:eastAsia="zh-CN"/>
        </w:rPr>
        <w:t>460万元</w:t>
      </w:r>
      <w:r>
        <w:rPr>
          <w:rFonts w:hint="eastAsia" w:ascii="宋体" w:hAnsi="宋体"/>
          <w:bCs/>
          <w:color w:val="auto"/>
          <w:szCs w:val="21"/>
          <w:highlight w:val="none"/>
          <w:lang w:eastAsia="zh-CN"/>
        </w:rPr>
        <w:t>。</w:t>
      </w:r>
    </w:p>
    <w:p>
      <w:pPr>
        <w:spacing w:line="360" w:lineRule="auto"/>
        <w:ind w:left="424" w:leftChars="202" w:firstLine="2"/>
        <w:jc w:val="left"/>
        <w:rPr>
          <w:rFonts w:hint="eastAsia" w:ascii="宋体" w:hAnsi="宋体" w:eastAsia="宋体"/>
          <w:bCs/>
          <w:color w:val="auto"/>
          <w:szCs w:val="21"/>
          <w:highlight w:val="none"/>
          <w:lang w:eastAsia="zh-CN"/>
        </w:rPr>
      </w:pPr>
      <w:r>
        <w:rPr>
          <w:rFonts w:hint="eastAsia" w:ascii="宋体" w:hAnsi="宋体"/>
          <w:bCs/>
          <w:color w:val="auto"/>
          <w:szCs w:val="21"/>
          <w:highlight w:val="none"/>
        </w:rPr>
        <w:t>4.</w:t>
      </w:r>
      <w:r>
        <w:rPr>
          <w:rFonts w:ascii="宋体" w:hAnsi="宋体"/>
          <w:bCs/>
          <w:color w:val="auto"/>
          <w:szCs w:val="21"/>
          <w:highlight w:val="none"/>
        </w:rPr>
        <w:t>最高限价：</w:t>
      </w:r>
      <w:r>
        <w:rPr>
          <w:rFonts w:hint="eastAsia" w:ascii="宋体" w:hAnsi="宋体"/>
          <w:bCs/>
          <w:color w:val="auto"/>
          <w:szCs w:val="21"/>
          <w:highlight w:val="none"/>
          <w:lang w:val="en-US" w:eastAsia="zh-CN"/>
        </w:rPr>
        <w:t>460万元</w:t>
      </w:r>
      <w:r>
        <w:rPr>
          <w:rFonts w:hint="eastAsia" w:ascii="宋体" w:hAnsi="宋体"/>
          <w:bCs/>
          <w:color w:val="auto"/>
          <w:szCs w:val="21"/>
          <w:highlight w:val="none"/>
          <w:lang w:eastAsia="zh-CN"/>
        </w:rPr>
        <w:t>。</w:t>
      </w:r>
    </w:p>
    <w:p>
      <w:pPr>
        <w:spacing w:line="360" w:lineRule="auto"/>
        <w:ind w:firstLine="420" w:firstLineChars="200"/>
        <w:jc w:val="left"/>
        <w:rPr>
          <w:rFonts w:hint="eastAsia" w:ascii="宋体" w:hAnsi="宋体" w:eastAsia="宋体" w:cs="宋体"/>
          <w:szCs w:val="21"/>
          <w:highlight w:val="none"/>
          <w:lang w:eastAsia="zh-CN"/>
        </w:rPr>
      </w:pPr>
      <w:r>
        <w:rPr>
          <w:rFonts w:hint="eastAsia" w:ascii="宋体" w:hAnsi="宋体"/>
          <w:bCs/>
          <w:szCs w:val="21"/>
          <w:highlight w:val="none"/>
        </w:rPr>
        <w:t>5.</w:t>
      </w:r>
      <w:r>
        <w:rPr>
          <w:rFonts w:ascii="宋体" w:hAnsi="宋体"/>
          <w:bCs/>
          <w:szCs w:val="21"/>
          <w:highlight w:val="none"/>
        </w:rPr>
        <w:t>采购需求：</w:t>
      </w:r>
      <w:r>
        <w:rPr>
          <w:rFonts w:hint="eastAsia" w:ascii="宋体" w:hAnsi="宋体" w:cs="宋体"/>
          <w:color w:val="auto"/>
          <w:kern w:val="0"/>
          <w:szCs w:val="21"/>
          <w:highlight w:val="none"/>
        </w:rPr>
        <w:t>具体详见</w:t>
      </w:r>
      <w:r>
        <w:rPr>
          <w:rFonts w:hint="eastAsia" w:ascii="宋体" w:hAnsi="宋体" w:cs="宋体"/>
          <w:color w:val="auto"/>
          <w:kern w:val="0"/>
          <w:szCs w:val="21"/>
          <w:highlight w:val="none"/>
          <w:lang w:eastAsia="zh-CN"/>
        </w:rPr>
        <w:t>采购文件</w:t>
      </w:r>
      <w:r>
        <w:rPr>
          <w:rFonts w:hint="eastAsia" w:ascii="宋体" w:hAnsi="宋体" w:cs="宋体"/>
          <w:color w:val="auto"/>
          <w:kern w:val="0"/>
          <w:szCs w:val="21"/>
          <w:highlight w:val="none"/>
          <w:lang w:val="en-US" w:eastAsia="zh-CN"/>
        </w:rPr>
        <w:t>第五章 采购需求</w:t>
      </w:r>
      <w:r>
        <w:rPr>
          <w:rFonts w:hint="eastAsia" w:ascii="宋体" w:hAnsi="宋体" w:cs="宋体"/>
          <w:szCs w:val="21"/>
          <w:highlight w:val="none"/>
          <w:lang w:eastAsia="zh-CN"/>
        </w:rPr>
        <w:t>。</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2"/>
        <w:gridCol w:w="1558"/>
        <w:gridCol w:w="849"/>
        <w:gridCol w:w="1309"/>
        <w:gridCol w:w="840"/>
        <w:gridCol w:w="812"/>
        <w:gridCol w:w="992"/>
        <w:gridCol w:w="1025"/>
        <w:gridCol w:w="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32" w:type="dxa"/>
            <w:vAlign w:val="center"/>
          </w:tcPr>
          <w:p>
            <w:pPr>
              <w:widowControl/>
              <w:jc w:val="center"/>
              <w:textAlignment w:val="center"/>
              <w:rPr>
                <w:rFonts w:ascii="宋体" w:hAnsi="宋体" w:cs="宋体"/>
                <w:bCs/>
                <w:szCs w:val="21"/>
                <w:highlight w:val="none"/>
              </w:rPr>
            </w:pPr>
            <w:r>
              <w:rPr>
                <w:rFonts w:hint="eastAsia" w:ascii="宋体" w:hAnsi="宋体" w:cs="宋体"/>
                <w:bCs/>
                <w:kern w:val="0"/>
                <w:szCs w:val="21"/>
                <w:highlight w:val="none"/>
                <w:lang w:bidi="ar"/>
              </w:rPr>
              <w:t>序号</w:t>
            </w:r>
          </w:p>
        </w:tc>
        <w:tc>
          <w:tcPr>
            <w:tcW w:w="1558" w:type="dxa"/>
            <w:vAlign w:val="center"/>
          </w:tcPr>
          <w:p>
            <w:pPr>
              <w:widowControl/>
              <w:jc w:val="center"/>
              <w:textAlignment w:val="center"/>
              <w:rPr>
                <w:rFonts w:ascii="宋体" w:hAnsi="宋体" w:cs="宋体"/>
                <w:bCs/>
                <w:szCs w:val="21"/>
                <w:highlight w:val="none"/>
              </w:rPr>
            </w:pPr>
            <w:r>
              <w:rPr>
                <w:rFonts w:hint="eastAsia" w:ascii="宋体" w:hAnsi="宋体" w:cs="宋体"/>
                <w:bCs/>
                <w:kern w:val="0"/>
                <w:szCs w:val="21"/>
                <w:highlight w:val="none"/>
                <w:lang w:bidi="ar"/>
              </w:rPr>
              <w:t>产品（项目）名称</w:t>
            </w:r>
          </w:p>
        </w:tc>
        <w:tc>
          <w:tcPr>
            <w:tcW w:w="849" w:type="dxa"/>
            <w:vAlign w:val="center"/>
          </w:tcPr>
          <w:p>
            <w:pPr>
              <w:widowControl/>
              <w:jc w:val="center"/>
              <w:textAlignment w:val="center"/>
              <w:rPr>
                <w:rFonts w:ascii="宋体" w:hAnsi="宋体" w:cs="宋体"/>
                <w:bCs/>
                <w:szCs w:val="21"/>
                <w:highlight w:val="none"/>
              </w:rPr>
            </w:pPr>
            <w:r>
              <w:rPr>
                <w:rFonts w:hint="eastAsia" w:ascii="宋体" w:hAnsi="宋体" w:cs="宋体"/>
                <w:bCs/>
                <w:kern w:val="0"/>
                <w:szCs w:val="21"/>
                <w:highlight w:val="none"/>
                <w:lang w:bidi="ar"/>
              </w:rPr>
              <w:t>是否进口产品</w:t>
            </w:r>
          </w:p>
        </w:tc>
        <w:tc>
          <w:tcPr>
            <w:tcW w:w="1309" w:type="dxa"/>
            <w:vAlign w:val="center"/>
          </w:tcPr>
          <w:p>
            <w:pPr>
              <w:widowControl/>
              <w:ind w:firstLine="210" w:firstLineChars="100"/>
              <w:textAlignment w:val="center"/>
              <w:rPr>
                <w:rFonts w:ascii="宋体" w:hAnsi="宋体" w:cs="宋体"/>
                <w:bCs/>
                <w:szCs w:val="21"/>
                <w:highlight w:val="none"/>
              </w:rPr>
            </w:pPr>
            <w:r>
              <w:rPr>
                <w:rFonts w:hint="eastAsia" w:ascii="宋体" w:hAnsi="宋体" w:cs="宋体"/>
                <w:bCs/>
                <w:szCs w:val="21"/>
                <w:highlight w:val="none"/>
              </w:rPr>
              <w:t>技术参数</w:t>
            </w:r>
          </w:p>
        </w:tc>
        <w:tc>
          <w:tcPr>
            <w:tcW w:w="840" w:type="dxa"/>
            <w:vAlign w:val="center"/>
          </w:tcPr>
          <w:p>
            <w:pPr>
              <w:widowControl/>
              <w:jc w:val="center"/>
              <w:textAlignment w:val="center"/>
              <w:rPr>
                <w:rFonts w:ascii="宋体" w:hAnsi="宋体" w:cs="宋体"/>
                <w:bCs/>
                <w:kern w:val="0"/>
                <w:szCs w:val="21"/>
                <w:highlight w:val="none"/>
                <w:lang w:bidi="ar"/>
              </w:rPr>
            </w:pPr>
            <w:r>
              <w:rPr>
                <w:rFonts w:hint="eastAsia" w:ascii="宋体" w:hAnsi="宋体" w:cs="宋体"/>
                <w:color w:val="000000"/>
                <w:kern w:val="0"/>
                <w:sz w:val="22"/>
                <w:szCs w:val="22"/>
                <w:highlight w:val="none"/>
                <w:lang w:bidi="ar"/>
              </w:rPr>
              <w:t>台套数</w:t>
            </w:r>
          </w:p>
        </w:tc>
        <w:tc>
          <w:tcPr>
            <w:tcW w:w="812" w:type="dxa"/>
            <w:vAlign w:val="center"/>
          </w:tcPr>
          <w:p>
            <w:pPr>
              <w:widowControl/>
              <w:jc w:val="center"/>
              <w:textAlignment w:val="center"/>
              <w:rPr>
                <w:rFonts w:ascii="宋体" w:hAnsi="宋体" w:cs="宋体"/>
                <w:bCs/>
                <w:kern w:val="0"/>
                <w:szCs w:val="21"/>
                <w:highlight w:val="none"/>
                <w:lang w:bidi="ar"/>
              </w:rPr>
            </w:pPr>
            <w:r>
              <w:rPr>
                <w:rFonts w:hint="eastAsia" w:ascii="宋体" w:hAnsi="宋体" w:cs="宋体"/>
                <w:bCs/>
                <w:kern w:val="0"/>
                <w:szCs w:val="21"/>
                <w:highlight w:val="none"/>
                <w:lang w:bidi="ar"/>
              </w:rPr>
              <w:t>计量单位</w:t>
            </w:r>
          </w:p>
        </w:tc>
        <w:tc>
          <w:tcPr>
            <w:tcW w:w="992" w:type="dxa"/>
            <w:vAlign w:val="center"/>
          </w:tcPr>
          <w:p>
            <w:pPr>
              <w:widowControl/>
              <w:jc w:val="center"/>
              <w:textAlignment w:val="center"/>
              <w:rPr>
                <w:rFonts w:ascii="宋体" w:hAnsi="宋体" w:cs="宋体"/>
                <w:bCs/>
                <w:kern w:val="0"/>
                <w:szCs w:val="21"/>
                <w:highlight w:val="none"/>
                <w:lang w:bidi="ar"/>
              </w:rPr>
            </w:pPr>
            <w:r>
              <w:rPr>
                <w:rFonts w:hint="eastAsia" w:ascii="宋体" w:hAnsi="宋体" w:cs="宋体"/>
                <w:bCs/>
                <w:kern w:val="0"/>
                <w:szCs w:val="21"/>
                <w:highlight w:val="none"/>
                <w:lang w:bidi="ar"/>
              </w:rPr>
              <w:t>单价限价（万元）</w:t>
            </w:r>
          </w:p>
        </w:tc>
        <w:tc>
          <w:tcPr>
            <w:tcW w:w="1025" w:type="dxa"/>
            <w:vAlign w:val="center"/>
          </w:tcPr>
          <w:p>
            <w:pPr>
              <w:widowControl/>
              <w:jc w:val="center"/>
              <w:textAlignment w:val="center"/>
              <w:rPr>
                <w:rFonts w:ascii="宋体" w:hAnsi="宋体" w:cs="宋体"/>
                <w:bCs/>
                <w:kern w:val="0"/>
                <w:szCs w:val="21"/>
                <w:highlight w:val="none"/>
                <w:lang w:bidi="ar"/>
              </w:rPr>
            </w:pPr>
            <w:r>
              <w:rPr>
                <w:rFonts w:hint="eastAsia" w:ascii="宋体" w:hAnsi="宋体" w:cs="宋体"/>
                <w:bCs/>
                <w:kern w:val="0"/>
                <w:szCs w:val="21"/>
                <w:highlight w:val="none"/>
                <w:lang w:bidi="ar"/>
              </w:rPr>
              <w:t>金额（万元）</w:t>
            </w:r>
          </w:p>
        </w:tc>
        <w:tc>
          <w:tcPr>
            <w:tcW w:w="703" w:type="dxa"/>
            <w:vAlign w:val="center"/>
          </w:tcPr>
          <w:p>
            <w:pPr>
              <w:widowControl/>
              <w:jc w:val="center"/>
              <w:textAlignment w:val="center"/>
              <w:rPr>
                <w:rFonts w:ascii="宋体" w:hAnsi="宋体" w:cs="宋体"/>
                <w:bCs/>
                <w:kern w:val="0"/>
                <w:szCs w:val="21"/>
                <w:highlight w:val="none"/>
                <w:lang w:bidi="ar"/>
              </w:rPr>
            </w:pPr>
            <w:r>
              <w:rPr>
                <w:rFonts w:hint="eastAsia" w:ascii="宋体" w:hAnsi="宋体" w:cs="宋体"/>
                <w:bCs/>
                <w:kern w:val="0"/>
                <w:szCs w:val="21"/>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 w:type="dxa"/>
          </w:tcPr>
          <w:p>
            <w:pPr>
              <w:spacing w:line="360" w:lineRule="auto"/>
              <w:jc w:val="center"/>
              <w:rPr>
                <w:rFonts w:ascii="宋体" w:hAnsi="宋体" w:cs="宋体"/>
                <w:bCs/>
                <w:szCs w:val="21"/>
                <w:highlight w:val="none"/>
              </w:rPr>
            </w:pPr>
            <w:r>
              <w:rPr>
                <w:rFonts w:hint="eastAsia" w:ascii="宋体" w:hAnsi="宋体" w:cs="宋体"/>
                <w:bCs/>
                <w:szCs w:val="21"/>
                <w:highlight w:val="none"/>
              </w:rPr>
              <w:t>1</w:t>
            </w:r>
          </w:p>
        </w:tc>
        <w:tc>
          <w:tcPr>
            <w:tcW w:w="1558" w:type="dxa"/>
            <w:vAlign w:val="center"/>
          </w:tcPr>
          <w:p>
            <w:pPr>
              <w:keepNext w:val="0"/>
              <w:keepLines w:val="0"/>
              <w:widowControl/>
              <w:suppressLineNumbers w:val="0"/>
              <w:jc w:val="center"/>
              <w:textAlignment w:val="center"/>
              <w:rPr>
                <w:rFonts w:ascii="宋体" w:hAnsi="宋体" w:cs="宋体"/>
                <w:bCs/>
                <w:szCs w:val="21"/>
                <w:highlight w:val="none"/>
              </w:rPr>
            </w:pPr>
            <w:r>
              <w:rPr>
                <w:rFonts w:hint="eastAsia" w:ascii="宋体" w:hAnsi="宋体" w:eastAsia="宋体" w:cs="宋体"/>
                <w:i w:val="0"/>
                <w:iCs w:val="0"/>
                <w:color w:val="000000"/>
                <w:kern w:val="0"/>
                <w:sz w:val="22"/>
                <w:szCs w:val="22"/>
                <w:u w:val="none"/>
                <w:lang w:val="en-US" w:eastAsia="zh-CN" w:bidi="ar"/>
              </w:rPr>
              <w:t>液压破拆工具组</w:t>
            </w:r>
          </w:p>
        </w:tc>
        <w:tc>
          <w:tcPr>
            <w:tcW w:w="849" w:type="dxa"/>
            <w:vAlign w:val="center"/>
          </w:tcPr>
          <w:p>
            <w:pPr>
              <w:jc w:val="center"/>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否</w:t>
            </w:r>
          </w:p>
        </w:tc>
        <w:tc>
          <w:tcPr>
            <w:tcW w:w="1309" w:type="dxa"/>
            <w:vAlign w:val="center"/>
          </w:tcPr>
          <w:p>
            <w:pPr>
              <w:jc w:val="center"/>
              <w:rPr>
                <w:rFonts w:hint="eastAsia" w:ascii="宋体" w:hAnsi="宋体" w:eastAsia="宋体" w:cs="宋体"/>
                <w:bCs/>
                <w:szCs w:val="21"/>
                <w:highlight w:val="none"/>
                <w:lang w:eastAsia="zh-CN"/>
              </w:rPr>
            </w:pPr>
            <w:r>
              <w:rPr>
                <w:rFonts w:hint="eastAsia" w:ascii="宋体" w:hAnsi="宋体" w:cs="宋体"/>
                <w:bCs/>
                <w:szCs w:val="21"/>
                <w:highlight w:val="none"/>
              </w:rPr>
              <w:t>详见</w:t>
            </w:r>
            <w:r>
              <w:rPr>
                <w:rFonts w:hint="eastAsia" w:ascii="宋体" w:hAnsi="宋体" w:cs="宋体"/>
                <w:bCs/>
                <w:szCs w:val="21"/>
                <w:highlight w:val="none"/>
                <w:lang w:val="en-US" w:eastAsia="zh-CN"/>
              </w:rPr>
              <w:t>采购文件</w:t>
            </w:r>
            <w:r>
              <w:rPr>
                <w:rFonts w:hint="eastAsia" w:ascii="宋体" w:hAnsi="宋体" w:cs="宋体"/>
                <w:bCs/>
                <w:szCs w:val="21"/>
                <w:highlight w:val="none"/>
              </w:rPr>
              <w:t>第五章</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en-US" w:eastAsia="zh-CN"/>
              </w:rPr>
              <w:t>采购需求</w:t>
            </w:r>
          </w:p>
        </w:tc>
        <w:tc>
          <w:tcPr>
            <w:tcW w:w="840" w:type="dxa"/>
            <w:vAlign w:val="center"/>
          </w:tcPr>
          <w:p>
            <w:pPr>
              <w:keepNext w:val="0"/>
              <w:keepLines w:val="0"/>
              <w:widowControl/>
              <w:suppressLineNumbers w:val="0"/>
              <w:jc w:val="center"/>
              <w:textAlignment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20</w:t>
            </w:r>
          </w:p>
        </w:tc>
        <w:tc>
          <w:tcPr>
            <w:tcW w:w="812" w:type="dxa"/>
            <w:vAlign w:val="center"/>
          </w:tcPr>
          <w:p>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套</w:t>
            </w:r>
          </w:p>
        </w:tc>
        <w:tc>
          <w:tcPr>
            <w:tcW w:w="992" w:type="dxa"/>
            <w:vAlign w:val="center"/>
          </w:tcPr>
          <w:p>
            <w:pPr>
              <w:keepNext w:val="0"/>
              <w:keepLines w:val="0"/>
              <w:widowControl/>
              <w:suppressLineNumbers w:val="0"/>
              <w:jc w:val="center"/>
              <w:textAlignment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23</w:t>
            </w:r>
          </w:p>
        </w:tc>
        <w:tc>
          <w:tcPr>
            <w:tcW w:w="1025" w:type="dxa"/>
            <w:vAlign w:val="center"/>
          </w:tcPr>
          <w:p>
            <w:pPr>
              <w:keepNext w:val="0"/>
              <w:keepLines w:val="0"/>
              <w:widowControl/>
              <w:suppressLineNumbers w:val="0"/>
              <w:jc w:val="center"/>
              <w:textAlignment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460</w:t>
            </w:r>
          </w:p>
        </w:tc>
        <w:tc>
          <w:tcPr>
            <w:tcW w:w="703" w:type="dxa"/>
            <w:vAlign w:val="center"/>
          </w:tcPr>
          <w:p>
            <w:pPr>
              <w:jc w:val="center"/>
              <w:rPr>
                <w:rFonts w:ascii="宋体" w:hAnsi="宋体" w:cs="宋体"/>
                <w:bCs/>
                <w:szCs w:val="21"/>
                <w:highlight w:val="none"/>
              </w:rPr>
            </w:pPr>
          </w:p>
        </w:tc>
      </w:tr>
    </w:tbl>
    <w:p>
      <w:pPr>
        <w:numPr>
          <w:ilvl w:val="0"/>
          <w:numId w:val="0"/>
        </w:numPr>
        <w:spacing w:line="360" w:lineRule="auto"/>
        <w:ind w:firstLine="420" w:firstLineChars="200"/>
        <w:jc w:val="left"/>
        <w:rPr>
          <w:rFonts w:hint="eastAsia" w:ascii="宋体" w:hAnsi="宋体" w:eastAsia="宋体"/>
          <w:bCs/>
          <w:szCs w:val="21"/>
          <w:highlight w:val="none"/>
          <w:lang w:eastAsia="zh-CN"/>
        </w:rPr>
      </w:pPr>
      <w:r>
        <w:rPr>
          <w:rFonts w:hint="eastAsia" w:ascii="宋体" w:hAnsi="宋体"/>
          <w:bCs/>
          <w:szCs w:val="21"/>
          <w:highlight w:val="none"/>
          <w:lang w:val="en-US" w:eastAsia="zh-CN"/>
        </w:rPr>
        <w:t>6.</w:t>
      </w:r>
      <w:r>
        <w:rPr>
          <w:rFonts w:hint="eastAsia" w:ascii="宋体" w:hAnsi="宋体"/>
          <w:bCs/>
          <w:szCs w:val="21"/>
          <w:highlight w:val="none"/>
        </w:rPr>
        <w:t>▲交货期限：合同签订后60日内完成交货并安装调试、验收</w:t>
      </w:r>
      <w:r>
        <w:rPr>
          <w:rFonts w:hint="eastAsia" w:ascii="宋体" w:hAnsi="宋体"/>
          <w:bCs/>
          <w:szCs w:val="21"/>
          <w:highlight w:val="none"/>
          <w:lang w:eastAsia="zh-CN"/>
        </w:rPr>
        <w:t>。</w:t>
      </w:r>
    </w:p>
    <w:p>
      <w:pPr>
        <w:pStyle w:val="7"/>
        <w:ind w:left="0" w:leftChars="0" w:firstLine="420" w:firstLineChars="200"/>
        <w:rPr>
          <w:rFonts w:hint="eastAsia" w:ascii="宋体" w:hAnsi="宋体" w:eastAsia="宋体"/>
          <w:bCs/>
          <w:sz w:val="21"/>
          <w:szCs w:val="21"/>
          <w:highlight w:val="none"/>
          <w:lang w:eastAsia="zh-CN"/>
        </w:rPr>
      </w:pPr>
      <w:r>
        <w:rPr>
          <w:rFonts w:hint="eastAsia" w:ascii="宋体" w:hAnsi="宋体"/>
          <w:bCs/>
          <w:sz w:val="21"/>
          <w:szCs w:val="21"/>
          <w:highlight w:val="none"/>
          <w:lang w:val="en-US" w:eastAsia="zh-CN"/>
        </w:rPr>
        <w:t>7.</w:t>
      </w:r>
      <w:r>
        <w:rPr>
          <w:rFonts w:hint="eastAsia" w:ascii="宋体" w:hAnsi="宋体"/>
          <w:bCs/>
          <w:sz w:val="21"/>
          <w:szCs w:val="21"/>
          <w:highlight w:val="none"/>
        </w:rPr>
        <w:t>交货地点：</w:t>
      </w:r>
      <w:r>
        <w:rPr>
          <w:rFonts w:hint="eastAsia" w:ascii="宋体" w:hAnsi="宋体"/>
          <w:bCs/>
          <w:sz w:val="21"/>
          <w:szCs w:val="21"/>
          <w:highlight w:val="none"/>
          <w:lang w:eastAsia="zh-CN"/>
        </w:rPr>
        <w:t>采购人</w:t>
      </w:r>
      <w:r>
        <w:rPr>
          <w:rFonts w:hint="eastAsia" w:ascii="宋体" w:hAnsi="宋体"/>
          <w:bCs/>
          <w:sz w:val="21"/>
          <w:szCs w:val="21"/>
          <w:highlight w:val="none"/>
        </w:rPr>
        <w:t>指定地点</w:t>
      </w:r>
      <w:r>
        <w:rPr>
          <w:rFonts w:hint="eastAsia" w:ascii="宋体" w:hAnsi="宋体"/>
          <w:bCs/>
          <w:sz w:val="21"/>
          <w:szCs w:val="21"/>
          <w:highlight w:val="none"/>
          <w:lang w:eastAsia="zh-CN"/>
        </w:rPr>
        <w:t>。</w:t>
      </w:r>
    </w:p>
    <w:p>
      <w:pPr>
        <w:spacing w:line="360" w:lineRule="auto"/>
        <w:jc w:val="left"/>
        <w:outlineLvl w:val="1"/>
        <w:rPr>
          <w:rFonts w:ascii="宋体" w:hAnsi="宋体"/>
          <w:b/>
          <w:bCs w:val="0"/>
          <w:kern w:val="0"/>
          <w:sz w:val="20"/>
          <w:szCs w:val="21"/>
          <w:highlight w:val="none"/>
        </w:rPr>
      </w:pPr>
      <w:bookmarkStart w:id="6" w:name="_Toc30545"/>
      <w:r>
        <w:rPr>
          <w:rFonts w:hint="eastAsia" w:ascii="宋体" w:hAnsi="宋体"/>
          <w:b/>
          <w:bCs w:val="0"/>
          <w:kern w:val="0"/>
          <w:sz w:val="20"/>
          <w:szCs w:val="21"/>
          <w:highlight w:val="none"/>
        </w:rPr>
        <w:t>二、投标人的资格要求：</w:t>
      </w:r>
      <w:bookmarkEnd w:id="6"/>
    </w:p>
    <w:p>
      <w:pPr>
        <w:spacing w:line="360" w:lineRule="auto"/>
        <w:ind w:left="4" w:firstLine="420" w:firstLineChars="200"/>
        <w:jc w:val="left"/>
        <w:rPr>
          <w:rFonts w:ascii="宋体" w:hAnsi="宋体"/>
          <w:bCs/>
          <w:szCs w:val="21"/>
          <w:highlight w:val="none"/>
        </w:rPr>
      </w:pPr>
      <w:r>
        <w:rPr>
          <w:rFonts w:hint="eastAsia" w:ascii="宋体" w:hAnsi="宋体"/>
          <w:b w:val="0"/>
          <w:bCs/>
          <w:szCs w:val="21"/>
          <w:highlight w:val="none"/>
        </w:rPr>
        <w:t>1.满足《中华人民共和国政府采购法》第二十二条规定</w:t>
      </w:r>
      <w:r>
        <w:rPr>
          <w:rFonts w:hint="eastAsia" w:ascii="宋体" w:hAnsi="宋体"/>
          <w:b w:val="0"/>
          <w:bCs/>
          <w:szCs w:val="21"/>
          <w:highlight w:val="none"/>
          <w:lang w:eastAsia="zh-CN"/>
        </w:rPr>
        <w:t>。</w:t>
      </w:r>
      <w:r>
        <w:rPr>
          <w:rFonts w:hint="eastAsia" w:ascii="宋体" w:hAnsi="宋体"/>
          <w:bCs/>
          <w:szCs w:val="21"/>
          <w:highlight w:val="none"/>
        </w:rPr>
        <w:t xml:space="preserve"> </w:t>
      </w:r>
    </w:p>
    <w:p>
      <w:pPr>
        <w:spacing w:line="360" w:lineRule="auto"/>
        <w:ind w:left="4" w:firstLine="420" w:firstLineChars="200"/>
        <w:jc w:val="left"/>
        <w:rPr>
          <w:rFonts w:ascii="宋体" w:hAnsi="宋体"/>
          <w:bCs/>
          <w:szCs w:val="21"/>
          <w:highlight w:val="none"/>
        </w:rPr>
      </w:pPr>
      <w:r>
        <w:rPr>
          <w:rFonts w:hint="eastAsia" w:ascii="宋体" w:hAnsi="宋体"/>
          <w:bCs/>
          <w:szCs w:val="21"/>
          <w:highlight w:val="none"/>
        </w:rPr>
        <w:t>1.1</w:t>
      </w:r>
      <w:r>
        <w:rPr>
          <w:rFonts w:hint="eastAsia" w:ascii="宋体" w:hAnsi="宋体"/>
          <w:bCs/>
          <w:szCs w:val="21"/>
          <w:highlight w:val="none"/>
          <w:lang w:val="en-US" w:eastAsia="zh-CN"/>
        </w:rPr>
        <w:t xml:space="preserve"> </w:t>
      </w:r>
      <w:r>
        <w:rPr>
          <w:rFonts w:hint="eastAsia" w:ascii="宋体" w:hAnsi="宋体"/>
          <w:bCs/>
          <w:szCs w:val="21"/>
          <w:highlight w:val="none"/>
        </w:rPr>
        <w:t>具有独立承担民事责任的能力;提供营业执照</w:t>
      </w:r>
      <w:r>
        <w:rPr>
          <w:rFonts w:hint="eastAsia" w:ascii="宋体" w:hAnsi="宋体"/>
          <w:bCs/>
          <w:szCs w:val="21"/>
          <w:highlight w:val="none"/>
          <w:lang w:val="en-US" w:eastAsia="zh-CN"/>
        </w:rPr>
        <w:t>或独立法人证书</w:t>
      </w:r>
      <w:r>
        <w:rPr>
          <w:rFonts w:hint="eastAsia" w:ascii="宋体" w:hAnsi="宋体"/>
          <w:bCs/>
          <w:szCs w:val="21"/>
          <w:highlight w:val="none"/>
        </w:rPr>
        <w:t xml:space="preserve">。 </w:t>
      </w:r>
    </w:p>
    <w:p>
      <w:pPr>
        <w:spacing w:line="360" w:lineRule="auto"/>
        <w:ind w:left="4" w:firstLine="420" w:firstLineChars="200"/>
        <w:jc w:val="left"/>
        <w:rPr>
          <w:rFonts w:hint="eastAsia" w:ascii="宋体" w:hAnsi="宋体" w:cs="宋体"/>
          <w:szCs w:val="21"/>
          <w:highlight w:val="none"/>
        </w:rPr>
      </w:pPr>
      <w:r>
        <w:rPr>
          <w:rFonts w:hint="eastAsia" w:ascii="宋体" w:hAnsi="宋体"/>
          <w:bCs/>
          <w:szCs w:val="21"/>
          <w:highlight w:val="none"/>
        </w:rPr>
        <w:t>1.2 具有良好的商业信誉和健全的财务会计制度。提供2022年或2023年经过第三方</w:t>
      </w:r>
      <w:r>
        <w:rPr>
          <w:rFonts w:hint="eastAsia" w:ascii="宋体" w:hAnsi="宋体" w:cs="宋体"/>
          <w:szCs w:val="21"/>
        </w:rPr>
        <w:t>会计师事务所或审计机构</w:t>
      </w:r>
      <w:r>
        <w:rPr>
          <w:rFonts w:hint="eastAsia" w:ascii="宋体" w:hAnsi="宋体"/>
          <w:bCs/>
          <w:szCs w:val="21"/>
          <w:highlight w:val="none"/>
        </w:rPr>
        <w:t>审计的财务</w:t>
      </w:r>
      <w:r>
        <w:rPr>
          <w:rFonts w:hint="eastAsia" w:ascii="宋体" w:hAnsi="宋体"/>
          <w:bCs/>
          <w:szCs w:val="21"/>
          <w:highlight w:val="none"/>
          <w:lang w:val="en-US" w:eastAsia="zh-CN"/>
        </w:rPr>
        <w:t>审计报告</w:t>
      </w:r>
      <w:r>
        <w:rPr>
          <w:rFonts w:hint="eastAsia" w:ascii="宋体" w:hAnsi="宋体" w:cs="宋体"/>
          <w:szCs w:val="21"/>
          <w:highlight w:val="none"/>
        </w:rPr>
        <w:t>（包括资产负债表、现金流量表、</w:t>
      </w:r>
      <w:r>
        <w:rPr>
          <w:rFonts w:hint="eastAsia" w:ascii="宋体" w:hAnsi="宋体" w:cs="宋体"/>
          <w:szCs w:val="21"/>
        </w:rPr>
        <w:t>损益表或利润表</w:t>
      </w:r>
      <w:r>
        <w:rPr>
          <w:rFonts w:hint="eastAsia" w:ascii="宋体" w:hAnsi="宋体" w:cs="宋体"/>
          <w:szCs w:val="21"/>
          <w:highlight w:val="none"/>
        </w:rPr>
        <w:t>）</w:t>
      </w:r>
      <w:r>
        <w:rPr>
          <w:rFonts w:hint="eastAsia" w:ascii="宋体" w:hAnsi="宋体"/>
          <w:bCs/>
          <w:szCs w:val="21"/>
          <w:highlight w:val="none"/>
        </w:rPr>
        <w:t>，</w:t>
      </w:r>
      <w:r>
        <w:rPr>
          <w:rFonts w:hint="eastAsia" w:ascii="宋体" w:hAnsi="宋体" w:cs="宋体"/>
          <w:szCs w:val="21"/>
          <w:highlight w:val="none"/>
        </w:rPr>
        <w:t>成立时间不足一年的，可提供自投标文件提交截止时间前三个月内开户银行出具的资信证明或资金存款证明。</w:t>
      </w:r>
    </w:p>
    <w:p>
      <w:pPr>
        <w:spacing w:line="360" w:lineRule="auto"/>
        <w:ind w:firstLine="420" w:firstLineChars="200"/>
        <w:jc w:val="left"/>
        <w:rPr>
          <w:rFonts w:ascii="宋体" w:hAnsi="宋体"/>
          <w:bCs/>
          <w:szCs w:val="21"/>
          <w:highlight w:val="none"/>
        </w:rPr>
      </w:pPr>
      <w:r>
        <w:rPr>
          <w:rFonts w:hint="eastAsia" w:ascii="宋体" w:hAnsi="宋体"/>
          <w:bCs/>
          <w:szCs w:val="21"/>
          <w:highlight w:val="none"/>
        </w:rPr>
        <w:t>1.3 具有履行合同所必需的设备和专业技术能力。提供具备履行合同所必需的设备和专</w:t>
      </w:r>
    </w:p>
    <w:p>
      <w:pPr>
        <w:spacing w:line="360" w:lineRule="auto"/>
        <w:jc w:val="left"/>
        <w:rPr>
          <w:rFonts w:ascii="宋体" w:hAnsi="宋体"/>
          <w:bCs/>
          <w:szCs w:val="21"/>
          <w:highlight w:val="none"/>
        </w:rPr>
      </w:pPr>
      <w:r>
        <w:rPr>
          <w:rFonts w:hint="eastAsia" w:ascii="宋体" w:hAnsi="宋体"/>
          <w:bCs/>
          <w:szCs w:val="21"/>
          <w:highlight w:val="none"/>
        </w:rPr>
        <w:t>业技术能力的书面承诺</w:t>
      </w:r>
      <w:r>
        <w:rPr>
          <w:rFonts w:hint="eastAsia" w:ascii="宋体" w:hAnsi="宋体"/>
          <w:bCs/>
          <w:szCs w:val="21"/>
          <w:highlight w:val="none"/>
          <w:lang w:val="en-US" w:eastAsia="zh-CN"/>
        </w:rPr>
        <w:t>或证明材料</w:t>
      </w:r>
      <w:r>
        <w:rPr>
          <w:rFonts w:hint="eastAsia" w:ascii="宋体" w:hAnsi="宋体"/>
          <w:bCs/>
          <w:szCs w:val="21"/>
          <w:highlight w:val="none"/>
        </w:rPr>
        <w:t xml:space="preserve">。 </w:t>
      </w:r>
    </w:p>
    <w:p>
      <w:pPr>
        <w:spacing w:line="360" w:lineRule="auto"/>
        <w:ind w:left="4" w:firstLine="420" w:firstLineChars="200"/>
        <w:jc w:val="left"/>
        <w:rPr>
          <w:rFonts w:ascii="宋体" w:hAnsi="宋体"/>
          <w:bCs/>
          <w:szCs w:val="21"/>
          <w:highlight w:val="none"/>
        </w:rPr>
      </w:pPr>
      <w:r>
        <w:rPr>
          <w:rFonts w:hint="eastAsia" w:ascii="宋体" w:hAnsi="宋体"/>
          <w:bCs/>
          <w:szCs w:val="21"/>
          <w:highlight w:val="none"/>
        </w:rPr>
        <w:t>1.4 有依法缴纳税收和社会保障资金的良好记录（提供2023年至今任意</w:t>
      </w:r>
      <w:r>
        <w:rPr>
          <w:rFonts w:hint="eastAsia" w:ascii="宋体" w:hAnsi="宋体"/>
          <w:bCs/>
          <w:szCs w:val="21"/>
          <w:highlight w:val="none"/>
          <w:lang w:val="en-US" w:eastAsia="zh-CN"/>
        </w:rPr>
        <w:t>连续3</w:t>
      </w:r>
      <w:r>
        <w:rPr>
          <w:rFonts w:hint="eastAsia" w:ascii="宋体" w:hAnsi="宋体"/>
          <w:bCs/>
          <w:szCs w:val="21"/>
          <w:highlight w:val="none"/>
        </w:rPr>
        <w:t>个月的缴纳税收证明和任意</w:t>
      </w:r>
      <w:r>
        <w:rPr>
          <w:rFonts w:hint="eastAsia" w:ascii="宋体" w:hAnsi="宋体"/>
          <w:bCs/>
          <w:szCs w:val="21"/>
          <w:highlight w:val="none"/>
          <w:lang w:val="en-US" w:eastAsia="zh-CN"/>
        </w:rPr>
        <w:t>连续</w:t>
      </w:r>
      <w:r>
        <w:rPr>
          <w:rFonts w:hint="eastAsia" w:ascii="宋体" w:hAnsi="宋体"/>
          <w:bCs/>
          <w:szCs w:val="21"/>
          <w:highlight w:val="none"/>
        </w:rPr>
        <w:t>3个月的缴纳社保证明材料；成立时间不足</w:t>
      </w:r>
      <w:r>
        <w:rPr>
          <w:rFonts w:hint="eastAsia" w:ascii="宋体" w:hAnsi="宋体"/>
          <w:bCs/>
          <w:szCs w:val="21"/>
          <w:highlight w:val="none"/>
          <w:lang w:val="en-US" w:eastAsia="zh-CN"/>
        </w:rPr>
        <w:t>3</w:t>
      </w:r>
      <w:r>
        <w:rPr>
          <w:rFonts w:hint="eastAsia" w:ascii="宋体" w:hAnsi="宋体"/>
          <w:bCs/>
          <w:szCs w:val="21"/>
          <w:highlight w:val="none"/>
        </w:rPr>
        <w:t>个月的须提供相关证明材料。依法免税或</w:t>
      </w:r>
      <w:r>
        <w:rPr>
          <w:rFonts w:hint="eastAsia" w:ascii="宋体" w:hAnsi="宋体"/>
          <w:bCs/>
          <w:szCs w:val="21"/>
          <w:highlight w:val="none"/>
          <w:lang w:val="en-US" w:eastAsia="zh-CN"/>
        </w:rPr>
        <w:t>无需</w:t>
      </w:r>
      <w:r>
        <w:rPr>
          <w:rFonts w:hint="eastAsia" w:ascii="宋体" w:hAnsi="宋体"/>
          <w:bCs/>
          <w:szCs w:val="21"/>
          <w:highlight w:val="none"/>
        </w:rPr>
        <w:t>缴纳社会保障资金的投标人应提供依法免税或</w:t>
      </w:r>
      <w:r>
        <w:rPr>
          <w:rFonts w:hint="eastAsia" w:ascii="宋体" w:hAnsi="宋体"/>
          <w:bCs/>
          <w:szCs w:val="21"/>
          <w:highlight w:val="none"/>
          <w:lang w:val="en-US" w:eastAsia="zh-CN"/>
        </w:rPr>
        <w:t>无需</w:t>
      </w:r>
      <w:r>
        <w:rPr>
          <w:rFonts w:hint="eastAsia" w:ascii="宋体" w:hAnsi="宋体"/>
          <w:bCs/>
          <w:szCs w:val="21"/>
          <w:highlight w:val="none"/>
        </w:rPr>
        <w:t>缴纳社会保障资金</w:t>
      </w:r>
      <w:r>
        <w:rPr>
          <w:rFonts w:hint="eastAsia" w:ascii="宋体" w:hAnsi="宋体"/>
          <w:bCs/>
          <w:szCs w:val="21"/>
          <w:highlight w:val="none"/>
          <w:lang w:val="en-US" w:eastAsia="zh-CN"/>
        </w:rPr>
        <w:t>的</w:t>
      </w:r>
      <w:r>
        <w:rPr>
          <w:rFonts w:hint="eastAsia" w:ascii="宋体" w:hAnsi="宋体"/>
          <w:bCs/>
          <w:szCs w:val="21"/>
          <w:highlight w:val="none"/>
        </w:rPr>
        <w:t>证明</w:t>
      </w:r>
      <w:r>
        <w:rPr>
          <w:rFonts w:hint="eastAsia" w:ascii="宋体" w:hAnsi="宋体"/>
          <w:bCs/>
          <w:szCs w:val="21"/>
          <w:highlight w:val="none"/>
          <w:lang w:val="en-US" w:eastAsia="zh-CN"/>
        </w:rPr>
        <w:t>材料</w:t>
      </w:r>
      <w:r>
        <w:rPr>
          <w:rFonts w:hint="eastAsia" w:ascii="宋体" w:hAnsi="宋体"/>
          <w:bCs/>
          <w:szCs w:val="21"/>
          <w:highlight w:val="none"/>
        </w:rPr>
        <w:t xml:space="preserve">）。 </w:t>
      </w:r>
    </w:p>
    <w:p>
      <w:pPr>
        <w:spacing w:line="360" w:lineRule="auto"/>
        <w:ind w:left="4" w:firstLine="420" w:firstLineChars="200"/>
        <w:jc w:val="left"/>
        <w:rPr>
          <w:rFonts w:ascii="宋体" w:hAnsi="宋体"/>
          <w:bCs/>
          <w:szCs w:val="21"/>
          <w:highlight w:val="none"/>
        </w:rPr>
      </w:pPr>
      <w:r>
        <w:rPr>
          <w:rFonts w:hint="eastAsia" w:ascii="宋体" w:hAnsi="宋体"/>
          <w:bCs/>
          <w:szCs w:val="21"/>
          <w:highlight w:val="none"/>
        </w:rPr>
        <w:t xml:space="preserve">1.5 参加政府采购活动前三年内，在经营活动中没有重大违法记录。提供参加政府采购活动前三年内在经营活动中没有重大违法记录的书面声明（重大违法记录是指：因违法经营受到刑事处罚或者责令停产停业、吊销许可证或者执照、较大数额罚款等行政处罚）。 </w:t>
      </w:r>
    </w:p>
    <w:p>
      <w:pPr>
        <w:spacing w:line="360" w:lineRule="auto"/>
        <w:ind w:left="4" w:firstLine="420" w:firstLineChars="200"/>
        <w:jc w:val="left"/>
        <w:rPr>
          <w:rFonts w:ascii="宋体" w:hAnsi="宋体"/>
          <w:bCs/>
          <w:szCs w:val="21"/>
          <w:highlight w:val="none"/>
        </w:rPr>
      </w:pPr>
      <w:r>
        <w:rPr>
          <w:rFonts w:hint="eastAsia" w:ascii="宋体" w:hAnsi="宋体"/>
          <w:bCs/>
          <w:szCs w:val="21"/>
          <w:highlight w:val="none"/>
        </w:rPr>
        <w:t xml:space="preserve">1.6 法律、行政法规规定的其他条件。 </w:t>
      </w:r>
    </w:p>
    <w:p>
      <w:pPr>
        <w:spacing w:line="360" w:lineRule="auto"/>
        <w:ind w:left="4" w:firstLine="420" w:firstLineChars="200"/>
        <w:jc w:val="left"/>
        <w:rPr>
          <w:rFonts w:ascii="宋体" w:hAnsi="宋体"/>
          <w:bCs/>
          <w:szCs w:val="21"/>
          <w:highlight w:val="none"/>
        </w:rPr>
      </w:pPr>
      <w:r>
        <w:rPr>
          <w:rFonts w:hint="eastAsia" w:ascii="宋体" w:hAnsi="宋体"/>
          <w:bCs/>
          <w:szCs w:val="21"/>
          <w:highlight w:val="none"/>
        </w:rPr>
        <w:t>1.6.1 单位负责人为同一人或者存在直接控股、管理关系的不同投标人，不得参加同一</w:t>
      </w:r>
    </w:p>
    <w:p>
      <w:pPr>
        <w:spacing w:line="360" w:lineRule="auto"/>
        <w:jc w:val="left"/>
        <w:rPr>
          <w:rFonts w:ascii="宋体" w:hAnsi="宋体"/>
          <w:bCs/>
          <w:szCs w:val="21"/>
          <w:highlight w:val="none"/>
        </w:rPr>
      </w:pPr>
      <w:r>
        <w:rPr>
          <w:rFonts w:hint="eastAsia" w:ascii="宋体" w:hAnsi="宋体"/>
          <w:bCs/>
          <w:szCs w:val="21"/>
          <w:highlight w:val="none"/>
        </w:rPr>
        <w:t xml:space="preserve">合同项下的政府采购活动。 </w:t>
      </w:r>
    </w:p>
    <w:p>
      <w:pPr>
        <w:spacing w:line="360" w:lineRule="auto"/>
        <w:ind w:firstLine="420" w:firstLineChars="200"/>
        <w:jc w:val="left"/>
        <w:rPr>
          <w:rFonts w:ascii="宋体" w:hAnsi="宋体"/>
          <w:bCs/>
          <w:szCs w:val="21"/>
          <w:highlight w:val="none"/>
        </w:rPr>
      </w:pPr>
      <w:r>
        <w:rPr>
          <w:rFonts w:hint="eastAsia" w:ascii="宋体" w:hAnsi="宋体"/>
          <w:bCs/>
          <w:szCs w:val="21"/>
          <w:highlight w:val="none"/>
        </w:rPr>
        <w:t>1.6.</w:t>
      </w:r>
      <w:r>
        <w:rPr>
          <w:rFonts w:hint="eastAsia" w:ascii="宋体" w:hAnsi="宋体"/>
          <w:bCs/>
          <w:szCs w:val="21"/>
          <w:highlight w:val="none"/>
          <w:lang w:val="en-US" w:eastAsia="zh-CN"/>
        </w:rPr>
        <w:t>2</w:t>
      </w:r>
      <w:r>
        <w:rPr>
          <w:rFonts w:hint="eastAsia" w:ascii="宋体" w:hAnsi="宋体"/>
          <w:bCs/>
          <w:szCs w:val="21"/>
          <w:highlight w:val="none"/>
        </w:rPr>
        <w:t xml:space="preserve"> </w:t>
      </w:r>
      <w:r>
        <w:rPr>
          <w:rFonts w:hint="eastAsia" w:ascii="宋体" w:hAnsi="宋体" w:cs="宋体"/>
          <w:color w:val="auto"/>
          <w:kern w:val="0"/>
          <w:szCs w:val="21"/>
          <w:highlight w:val="none"/>
        </w:rPr>
        <w:t>根据财库〔2016〕125号文件《财政部关于在政府采购活动中查询及使用信用记录有关问题的通知》规定，投标人未被列入“信用中国（中国执行信息公开网）”网站失信被执行人、重大税收违法失信主体、政府采购严重违法失信行为记录名单及“中国政府采购网”政府采购严重违法失信行为记录名单</w:t>
      </w:r>
      <w:r>
        <w:rPr>
          <w:rFonts w:hint="eastAsia" w:ascii="宋体" w:hAnsi="宋体" w:cs="宋体"/>
          <w:color w:val="auto"/>
          <w:kern w:val="0"/>
          <w:szCs w:val="21"/>
          <w:highlight w:val="none"/>
          <w:lang w:eastAsia="zh-CN"/>
        </w:rPr>
        <w:t>。</w:t>
      </w:r>
      <w:r>
        <w:rPr>
          <w:rFonts w:hint="eastAsia"/>
        </w:rPr>
        <w:t>代理机构将于开标当天对投标人进行信用信息查询</w:t>
      </w:r>
      <w:r>
        <w:rPr>
          <w:rFonts w:hint="eastAsia" w:ascii="宋体" w:hAnsi="宋体"/>
          <w:bCs/>
          <w:szCs w:val="21"/>
          <w:highlight w:val="none"/>
        </w:rPr>
        <w:t xml:space="preserve">。 </w:t>
      </w:r>
    </w:p>
    <w:p>
      <w:pPr>
        <w:spacing w:line="360" w:lineRule="auto"/>
        <w:ind w:firstLine="420" w:firstLineChars="200"/>
        <w:rPr>
          <w:rFonts w:ascii="宋体" w:hAnsi="宋体"/>
          <w:bCs/>
          <w:szCs w:val="21"/>
          <w:highlight w:val="none"/>
        </w:rPr>
      </w:pPr>
      <w:r>
        <w:rPr>
          <w:rFonts w:hint="eastAsia" w:ascii="宋体" w:hAnsi="宋体"/>
          <w:b w:val="0"/>
          <w:bCs/>
          <w:szCs w:val="21"/>
          <w:highlight w:val="none"/>
        </w:rPr>
        <w:t>2.落实政府采购政策需满足的资格要求：</w:t>
      </w:r>
      <w:r>
        <w:rPr>
          <w:rFonts w:hint="eastAsia" w:ascii="宋体" w:hAnsi="宋体" w:eastAsia="宋体" w:cs="宋体"/>
          <w:color w:val="auto"/>
          <w:kern w:val="0"/>
          <w:szCs w:val="21"/>
          <w:highlight w:val="none"/>
        </w:rPr>
        <w:t>本项目非专门面向中小企业采购</w:t>
      </w:r>
      <w:r>
        <w:rPr>
          <w:rFonts w:hint="eastAsia" w:ascii="宋体" w:hAnsi="宋体" w:eastAsia="宋体" w:cs="宋体"/>
          <w:color w:val="auto"/>
          <w:kern w:val="0"/>
          <w:szCs w:val="21"/>
          <w:highlight w:val="none"/>
          <w:lang w:eastAsia="zh-CN"/>
        </w:rPr>
        <w:t>。</w:t>
      </w:r>
      <w:r>
        <w:rPr>
          <w:rFonts w:hint="eastAsia" w:ascii="Arial" w:hAnsi="Arial" w:cs="Arial"/>
          <w:kern w:val="0"/>
          <w:szCs w:val="21"/>
          <w:highlight w:val="none"/>
          <w:u w:val="none"/>
        </w:rPr>
        <w:t>云南省大理州自然灾害应急能力提升工程基层防灾项目</w:t>
      </w:r>
      <w:r>
        <w:rPr>
          <w:rFonts w:hint="eastAsia" w:ascii="Arial" w:hAnsi="Arial" w:cs="Arial"/>
          <w:kern w:val="0"/>
          <w:szCs w:val="21"/>
          <w:highlight w:val="none"/>
          <w:u w:val="none"/>
          <w:lang w:eastAsia="zh-CN"/>
        </w:rPr>
        <w:t>第十标段：</w:t>
      </w:r>
      <w:r>
        <w:rPr>
          <w:rFonts w:hint="eastAsia" w:ascii="Arial" w:hAnsi="Arial" w:cs="Arial"/>
          <w:kern w:val="0"/>
          <w:szCs w:val="21"/>
          <w:highlight w:val="none"/>
          <w:u w:val="none"/>
          <w:lang w:val="en-US" w:eastAsia="zh-CN"/>
        </w:rPr>
        <w:t>对</w:t>
      </w:r>
      <w:r>
        <w:rPr>
          <w:rFonts w:hint="eastAsia" w:ascii="宋体" w:hAnsi="宋体" w:cs="宋体"/>
          <w:szCs w:val="21"/>
        </w:rPr>
        <w:t>小微企业价格扣除优惠比例:10%</w:t>
      </w:r>
      <w:r>
        <w:rPr>
          <w:rFonts w:hint="eastAsia" w:ascii="宋体" w:hAnsi="宋体"/>
          <w:bCs/>
          <w:szCs w:val="21"/>
          <w:highlight w:val="none"/>
        </w:rPr>
        <w:t>。</w:t>
      </w:r>
    </w:p>
    <w:p>
      <w:pPr>
        <w:spacing w:line="360" w:lineRule="auto"/>
        <w:ind w:left="4" w:firstLine="420" w:firstLineChars="200"/>
        <w:jc w:val="left"/>
        <w:rPr>
          <w:rFonts w:hint="eastAsia" w:ascii="宋体" w:hAnsi="宋体"/>
          <w:b w:val="0"/>
          <w:bCs/>
          <w:szCs w:val="21"/>
          <w:highlight w:val="none"/>
        </w:rPr>
      </w:pPr>
      <w:r>
        <w:rPr>
          <w:rFonts w:hint="eastAsia" w:ascii="宋体" w:hAnsi="宋体"/>
          <w:b w:val="0"/>
          <w:bCs/>
          <w:szCs w:val="21"/>
          <w:highlight w:val="none"/>
        </w:rPr>
        <w:t>3.本项目的特定资格要求：无。</w:t>
      </w:r>
    </w:p>
    <w:p>
      <w:pPr>
        <w:spacing w:line="360" w:lineRule="auto"/>
        <w:ind w:firstLine="420" w:firstLineChars="200"/>
        <w:jc w:val="left"/>
        <w:rPr>
          <w:rFonts w:ascii="宋体" w:hAnsi="宋体"/>
          <w:bCs/>
          <w:szCs w:val="21"/>
          <w:highlight w:val="none"/>
        </w:rPr>
      </w:pPr>
      <w:r>
        <w:rPr>
          <w:rFonts w:hint="eastAsia" w:ascii="宋体" w:hAnsi="宋体"/>
          <w:b w:val="0"/>
          <w:bCs/>
          <w:szCs w:val="21"/>
          <w:highlight w:val="none"/>
          <w:lang w:val="en-US" w:eastAsia="zh-CN"/>
        </w:rPr>
        <w:t>4.</w:t>
      </w:r>
      <w:r>
        <w:rPr>
          <w:rFonts w:hint="eastAsia" w:ascii="宋体" w:hAnsi="宋体"/>
          <w:bCs/>
          <w:szCs w:val="21"/>
          <w:highlight w:val="none"/>
        </w:rPr>
        <w:t>本项目不接</w:t>
      </w:r>
      <w:r>
        <w:rPr>
          <w:rFonts w:hint="eastAsia" w:ascii="宋体" w:hAnsi="宋体"/>
          <w:bCs/>
          <w:kern w:val="0"/>
          <w:sz w:val="20"/>
          <w:szCs w:val="21"/>
          <w:highlight w:val="none"/>
        </w:rPr>
        <w:t>受联合体投标</w:t>
      </w:r>
      <w:r>
        <w:rPr>
          <w:rFonts w:hint="eastAsia" w:ascii="宋体" w:hAnsi="宋体"/>
          <w:bCs/>
          <w:kern w:val="0"/>
          <w:sz w:val="20"/>
          <w:szCs w:val="21"/>
          <w:highlight w:val="none"/>
          <w:lang w:eastAsia="zh-CN"/>
        </w:rPr>
        <w:t>。</w:t>
      </w:r>
      <w:r>
        <w:rPr>
          <w:rFonts w:hint="eastAsia" w:ascii="宋体" w:hAnsi="宋体"/>
          <w:b w:val="0"/>
          <w:bCs/>
          <w:szCs w:val="21"/>
          <w:highlight w:val="none"/>
        </w:rPr>
        <w:t xml:space="preserve"> </w:t>
      </w:r>
      <w:r>
        <w:rPr>
          <w:rFonts w:hint="eastAsia" w:ascii="宋体" w:hAnsi="宋体"/>
          <w:bCs/>
          <w:szCs w:val="21"/>
          <w:highlight w:val="none"/>
        </w:rPr>
        <w:t xml:space="preserve"> </w:t>
      </w:r>
    </w:p>
    <w:p>
      <w:pPr>
        <w:spacing w:line="360" w:lineRule="auto"/>
        <w:jc w:val="left"/>
        <w:outlineLvl w:val="1"/>
        <w:rPr>
          <w:rFonts w:hint="eastAsia" w:ascii="宋体" w:hAnsi="宋体" w:eastAsia="宋体"/>
          <w:b/>
          <w:bCs/>
          <w:szCs w:val="21"/>
          <w:highlight w:val="none"/>
          <w:lang w:eastAsia="zh-CN"/>
        </w:rPr>
      </w:pPr>
      <w:bookmarkStart w:id="7" w:name="_Toc18664"/>
      <w:r>
        <w:rPr>
          <w:rFonts w:ascii="宋体" w:hAnsi="宋体"/>
          <w:b/>
          <w:bCs/>
          <w:szCs w:val="21"/>
          <w:highlight w:val="none"/>
        </w:rPr>
        <w:t>三、获取</w:t>
      </w:r>
      <w:bookmarkEnd w:id="7"/>
      <w:r>
        <w:rPr>
          <w:rFonts w:hint="eastAsia" w:ascii="宋体" w:hAnsi="宋体"/>
          <w:b/>
          <w:bCs/>
          <w:szCs w:val="21"/>
          <w:highlight w:val="none"/>
          <w:lang w:eastAsia="zh-CN"/>
        </w:rPr>
        <w:t>采购文件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ascii="宋体" w:hAnsi="宋体"/>
          <w:bCs/>
          <w:szCs w:val="21"/>
          <w:highlight w:val="none"/>
        </w:rPr>
      </w:pPr>
      <w:r>
        <w:rPr>
          <w:rFonts w:hint="eastAsia" w:ascii="宋体" w:hAnsi="宋体"/>
          <w:bCs/>
          <w:szCs w:val="21"/>
          <w:highlight w:val="none"/>
        </w:rPr>
        <w:t>1.时间：</w:t>
      </w:r>
      <w:r>
        <w:rPr>
          <w:rFonts w:hint="eastAsia" w:ascii="宋体" w:hAnsi="宋体"/>
          <w:bCs/>
          <w:szCs w:val="21"/>
          <w:highlight w:val="none"/>
          <w:u w:val="single"/>
        </w:rPr>
        <w:t>2024年</w:t>
      </w:r>
      <w:r>
        <w:rPr>
          <w:rFonts w:hint="eastAsia" w:ascii="宋体" w:hAnsi="宋体"/>
          <w:bCs/>
          <w:szCs w:val="21"/>
          <w:highlight w:val="none"/>
          <w:u w:val="single"/>
          <w:lang w:val="en-US" w:eastAsia="zh-CN"/>
        </w:rPr>
        <w:t>07</w:t>
      </w:r>
      <w:r>
        <w:rPr>
          <w:rFonts w:hint="eastAsia" w:ascii="宋体" w:hAnsi="宋体"/>
          <w:bCs/>
          <w:szCs w:val="21"/>
          <w:highlight w:val="none"/>
          <w:u w:val="single"/>
        </w:rPr>
        <w:t>月</w:t>
      </w:r>
      <w:r>
        <w:rPr>
          <w:rFonts w:hint="eastAsia" w:ascii="宋体" w:hAnsi="宋体"/>
          <w:bCs/>
          <w:szCs w:val="21"/>
          <w:highlight w:val="none"/>
          <w:u w:val="single"/>
          <w:lang w:val="en-US" w:eastAsia="zh-CN"/>
        </w:rPr>
        <w:t>22</w:t>
      </w:r>
      <w:r>
        <w:rPr>
          <w:rFonts w:hint="eastAsia" w:ascii="宋体" w:hAnsi="宋体"/>
          <w:bCs/>
          <w:szCs w:val="21"/>
          <w:highlight w:val="none"/>
          <w:u w:val="single"/>
        </w:rPr>
        <w:t>日至2024年</w:t>
      </w:r>
      <w:r>
        <w:rPr>
          <w:rFonts w:hint="eastAsia" w:ascii="宋体" w:hAnsi="宋体"/>
          <w:bCs/>
          <w:szCs w:val="21"/>
          <w:highlight w:val="none"/>
          <w:u w:val="single"/>
          <w:lang w:val="en-US" w:eastAsia="zh-CN"/>
        </w:rPr>
        <w:t>07</w:t>
      </w:r>
      <w:r>
        <w:rPr>
          <w:rFonts w:hint="eastAsia" w:ascii="宋体" w:hAnsi="宋体"/>
          <w:bCs/>
          <w:szCs w:val="21"/>
          <w:highlight w:val="none"/>
          <w:u w:val="single"/>
        </w:rPr>
        <w:t>月</w:t>
      </w:r>
      <w:r>
        <w:rPr>
          <w:rFonts w:hint="eastAsia" w:ascii="宋体" w:hAnsi="宋体"/>
          <w:bCs/>
          <w:szCs w:val="21"/>
          <w:highlight w:val="none"/>
          <w:u w:val="single"/>
          <w:lang w:val="en-US" w:eastAsia="zh-CN"/>
        </w:rPr>
        <w:t>29</w:t>
      </w:r>
      <w:r>
        <w:rPr>
          <w:rFonts w:hint="eastAsia" w:ascii="宋体" w:hAnsi="宋体"/>
          <w:bCs/>
          <w:szCs w:val="21"/>
          <w:highlight w:val="none"/>
          <w:u w:val="single"/>
        </w:rPr>
        <w:t>日，每天上午00：00至12：00，下午12</w:t>
      </w:r>
      <w:r>
        <w:rPr>
          <w:rFonts w:hint="eastAsia" w:ascii="宋体" w:hAnsi="宋体"/>
          <w:bCs/>
          <w:szCs w:val="21"/>
          <w:highlight w:val="none"/>
          <w:u w:val="single"/>
          <w:lang w:eastAsia="zh-CN"/>
        </w:rPr>
        <w:t>：</w:t>
      </w:r>
      <w:r>
        <w:rPr>
          <w:rFonts w:hint="eastAsia" w:ascii="宋体" w:hAnsi="宋体"/>
          <w:bCs/>
          <w:szCs w:val="21"/>
          <w:highlight w:val="none"/>
          <w:u w:val="single"/>
        </w:rPr>
        <w:t>00至23：59分</w:t>
      </w:r>
      <w:r>
        <w:rPr>
          <w:rFonts w:hint="eastAsia" w:ascii="宋体" w:hAnsi="宋体"/>
          <w:bCs/>
          <w:szCs w:val="21"/>
          <w:highlight w:val="none"/>
        </w:rPr>
        <w:t>（北京时间）。</w:t>
      </w:r>
    </w:p>
    <w:p>
      <w:pPr>
        <w:spacing w:line="360" w:lineRule="auto"/>
        <w:ind w:firstLine="420" w:firstLineChars="200"/>
        <w:rPr>
          <w:rFonts w:hint="eastAsia" w:ascii="宋体" w:hAnsi="宋体" w:eastAsia="宋体" w:cs="宋体"/>
          <w:highlight w:val="none"/>
          <w:lang w:eastAsia="zh-CN"/>
        </w:rPr>
      </w:pPr>
      <w:r>
        <w:rPr>
          <w:rFonts w:hint="eastAsia" w:ascii="宋体" w:hAnsi="宋体" w:cs="宋体"/>
          <w:highlight w:val="none"/>
        </w:rPr>
        <w:t>2.地点：</w:t>
      </w:r>
      <w:r>
        <w:rPr>
          <w:rFonts w:hint="eastAsia" w:ascii="宋体" w:hAnsi="宋体"/>
          <w:bCs/>
          <w:szCs w:val="21"/>
          <w:highlight w:val="none"/>
        </w:rPr>
        <w:t>"</w:t>
      </w:r>
      <w:r>
        <w:rPr>
          <w:rFonts w:hint="eastAsia" w:ascii="宋体" w:hAnsi="宋体"/>
          <w:bCs/>
          <w:szCs w:val="21"/>
          <w:highlight w:val="none"/>
          <w:lang w:val="en-US" w:eastAsia="zh-CN"/>
        </w:rPr>
        <w:t>政采云</w:t>
      </w:r>
      <w:r>
        <w:rPr>
          <w:rFonts w:hint="eastAsia" w:ascii="宋体" w:hAnsi="宋体"/>
          <w:bCs/>
          <w:szCs w:val="21"/>
          <w:highlight w:val="none"/>
        </w:rPr>
        <w:t>"平台</w:t>
      </w:r>
      <w:r>
        <w:rPr>
          <w:rFonts w:hint="eastAsia" w:ascii="宋体" w:hAnsi="宋体" w:cs="宋体"/>
          <w:highlight w:val="none"/>
        </w:rPr>
        <w:t>（http：//www.zcygov.cn）</w:t>
      </w:r>
      <w:r>
        <w:rPr>
          <w:rFonts w:hint="eastAsia" w:ascii="宋体" w:hAnsi="宋体" w:cs="宋体"/>
          <w:highlight w:val="none"/>
          <w:lang w:eastAsia="zh-CN"/>
        </w:rPr>
        <w:t>。</w:t>
      </w:r>
    </w:p>
    <w:p>
      <w:pPr>
        <w:pStyle w:val="12"/>
        <w:spacing w:after="0" w:line="360" w:lineRule="auto"/>
        <w:ind w:left="0" w:leftChars="0" w:right="210" w:firstLine="420" w:firstLineChars="200"/>
        <w:jc w:val="left"/>
        <w:rPr>
          <w:rFonts w:hint="eastAsia" w:ascii="宋体" w:hAnsi="宋体" w:cs="宋体"/>
          <w:color w:val="auto"/>
          <w:kern w:val="0"/>
          <w:szCs w:val="21"/>
          <w:highlight w:val="none"/>
          <w:lang w:val="en-US" w:eastAsia="zh-CN"/>
        </w:rPr>
      </w:pPr>
      <w:r>
        <w:rPr>
          <w:rFonts w:hint="eastAsia" w:ascii="宋体" w:hAnsi="宋体" w:cs="宋体"/>
          <w:highlight w:val="none"/>
        </w:rPr>
        <w:t>3.方式：</w:t>
      </w:r>
      <w:r>
        <w:rPr>
          <w:rFonts w:hint="eastAsia" w:ascii="宋体" w:hAnsi="宋体" w:cs="宋体"/>
          <w:color w:val="auto"/>
          <w:kern w:val="0"/>
          <w:szCs w:val="21"/>
          <w:highlight w:val="none"/>
          <w:lang w:val="en-US" w:eastAsia="zh-CN"/>
        </w:rPr>
        <w:t>（1）凡有意参加投标者，须注册政府采购云平台账号并登录办理CA数字证书，CA申领链接：http://yzt.ynsmartcert.cn/cms/yztdlzbhj.html 或者https://middle.zcygov.cn/ca/apply/edit?certType=3云南壹证通CA可支持线上、线下两种办理方式，并提供7*24小时全天候客户服务支持，客服热线0871-67276028。（紧急CA办理电话：19988166369）。政府采购云平台支持多家CA服务商，投标人可自行选择办理。</w:t>
      </w:r>
    </w:p>
    <w:p>
      <w:pPr>
        <w:pStyle w:val="12"/>
        <w:spacing w:after="0" w:line="360" w:lineRule="auto"/>
        <w:ind w:left="0" w:leftChars="0" w:right="210" w:firstLine="420" w:firstLineChars="200"/>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（2）CA数字证书申领完成之后进入政府采购云平台，企业账号与CA数字证书进行绑定，凭企业CA数字证书进行项目投标确认及免费下载采购文件。</w:t>
      </w:r>
    </w:p>
    <w:p>
      <w:pPr>
        <w:pStyle w:val="12"/>
        <w:spacing w:after="0" w:line="360" w:lineRule="auto"/>
        <w:ind w:left="0" w:leftChars="0" w:right="210" w:firstLine="420" w:firstLineChars="200"/>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（3）按上述要求获取文件的投标人视为已合法获取本项目采购文件，具备本项目的投标资格。</w:t>
      </w:r>
    </w:p>
    <w:p>
      <w:pPr>
        <w:pStyle w:val="12"/>
        <w:spacing w:after="0" w:line="360" w:lineRule="auto"/>
        <w:ind w:left="0" w:leftChars="0" w:right="210" w:firstLine="420" w:firstLineChars="200"/>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（4）如有问题可拨打政采云客户服务热线：95763进行咨询，CA数字证书问题可咨询24小时技术支持热线：0871-67276028（紧急办理可拨：19988166369）。</w:t>
      </w:r>
    </w:p>
    <w:p>
      <w:pPr>
        <w:pStyle w:val="12"/>
        <w:spacing w:after="0" w:line="360" w:lineRule="auto"/>
        <w:ind w:left="0" w:leftChars="0" w:right="210"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注：投标人如之前已在云南 CA 在线数字证书办理网进行过注册并办理过企业CA数字证书的,直接绑定即可，无需重复办理（2022年1月1日前在云南省公共资源交易平台办理过云南CA证书的需到原办理点进行升级后方可使用）。外省投标人在政采云平台办理的其他CA可直接使用，无需重复办理。</w:t>
      </w:r>
    </w:p>
    <w:p>
      <w:pPr>
        <w:pStyle w:val="12"/>
        <w:spacing w:after="0" w:line="360" w:lineRule="auto"/>
        <w:ind w:left="0" w:leftChars="0" w:right="210" w:firstLine="420" w:firstLineChars="200"/>
        <w:rPr>
          <w:rFonts w:ascii="宋体" w:hAnsi="宋体"/>
          <w:bCs/>
          <w:szCs w:val="21"/>
          <w:highlight w:val="none"/>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5</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售价：0。</w:t>
      </w:r>
    </w:p>
    <w:p>
      <w:pPr>
        <w:spacing w:line="360" w:lineRule="auto"/>
        <w:jc w:val="left"/>
        <w:outlineLvl w:val="1"/>
        <w:rPr>
          <w:rFonts w:hint="default" w:ascii="宋体" w:hAnsi="宋体" w:eastAsia="宋体"/>
          <w:b/>
          <w:bCs/>
          <w:szCs w:val="21"/>
          <w:highlight w:val="none"/>
          <w:lang w:val="en-US" w:eastAsia="zh-CN"/>
        </w:rPr>
      </w:pPr>
      <w:bookmarkStart w:id="8" w:name="_Toc4060"/>
      <w:r>
        <w:rPr>
          <w:rFonts w:ascii="宋体" w:hAnsi="宋体"/>
          <w:b/>
          <w:bCs/>
          <w:szCs w:val="21"/>
          <w:highlight w:val="none"/>
        </w:rPr>
        <w:t>四、</w:t>
      </w:r>
      <w:r>
        <w:rPr>
          <w:rFonts w:hint="eastAsia" w:ascii="宋体" w:hAnsi="宋体"/>
          <w:b/>
          <w:bCs/>
          <w:szCs w:val="21"/>
          <w:highlight w:val="none"/>
          <w:lang w:val="en-US" w:eastAsia="zh-CN"/>
        </w:rPr>
        <w:t>投标文件的递交、</w:t>
      </w:r>
      <w:r>
        <w:rPr>
          <w:rFonts w:ascii="宋体" w:hAnsi="宋体"/>
          <w:b/>
          <w:bCs/>
          <w:szCs w:val="21"/>
          <w:highlight w:val="none"/>
        </w:rPr>
        <w:t>投标截止时间</w:t>
      </w:r>
      <w:bookmarkEnd w:id="8"/>
      <w:r>
        <w:rPr>
          <w:rFonts w:hint="eastAsia" w:ascii="宋体" w:hAnsi="宋体"/>
          <w:b/>
          <w:bCs/>
          <w:szCs w:val="21"/>
          <w:highlight w:val="none"/>
          <w:lang w:val="en-US" w:eastAsia="zh-CN"/>
        </w:rPr>
        <w:t>及地点</w:t>
      </w:r>
    </w:p>
    <w:p>
      <w:pPr>
        <w:pStyle w:val="12"/>
        <w:spacing w:after="0" w:line="360" w:lineRule="auto"/>
        <w:ind w:left="0" w:leftChars="0" w:right="210" w:firstLine="420" w:firstLineChars="200"/>
        <w:rPr>
          <w:rFonts w:hint="eastAsia" w:ascii="宋体" w:hAnsi="宋体" w:eastAsia="宋体" w:cs="宋体"/>
          <w:color w:val="auto"/>
          <w:kern w:val="0"/>
          <w:szCs w:val="21"/>
          <w:highlight w:val="none"/>
        </w:rPr>
      </w:pPr>
      <w:r>
        <w:rPr>
          <w:rFonts w:hint="eastAsia" w:ascii="宋体" w:hAnsi="宋体"/>
          <w:bCs/>
          <w:szCs w:val="21"/>
          <w:highlight w:val="none"/>
        </w:rPr>
        <w:t>1.</w:t>
      </w:r>
      <w:r>
        <w:rPr>
          <w:rFonts w:hint="eastAsia" w:ascii="宋体" w:hAnsi="宋体" w:eastAsia="宋体" w:cs="宋体"/>
          <w:color w:val="auto"/>
          <w:kern w:val="0"/>
          <w:szCs w:val="21"/>
          <w:highlight w:val="none"/>
        </w:rPr>
        <w:t>本项目评标采用电子评标，</w:t>
      </w:r>
      <w:r>
        <w:rPr>
          <w:rFonts w:hint="eastAsia" w:ascii="宋体" w:hAnsi="宋体" w:cs="宋体"/>
          <w:color w:val="auto"/>
          <w:kern w:val="0"/>
          <w:szCs w:val="21"/>
          <w:highlight w:val="none"/>
          <w:lang w:eastAsia="zh-CN"/>
        </w:rPr>
        <w:t>投标人</w:t>
      </w:r>
      <w:r>
        <w:rPr>
          <w:rFonts w:hint="eastAsia" w:ascii="宋体" w:hAnsi="宋体" w:eastAsia="宋体" w:cs="宋体"/>
          <w:color w:val="auto"/>
          <w:kern w:val="0"/>
          <w:szCs w:val="21"/>
          <w:highlight w:val="none"/>
        </w:rPr>
        <w:t>需在网上递交电子投标文件。</w:t>
      </w:r>
    </w:p>
    <w:p>
      <w:pPr>
        <w:pStyle w:val="12"/>
        <w:spacing w:after="0" w:line="360" w:lineRule="auto"/>
        <w:ind w:left="0" w:leftChars="0" w:right="210" w:firstLine="420" w:firstLineChars="200"/>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2.地点：</w:t>
      </w:r>
      <w:r>
        <w:rPr>
          <w:rFonts w:hint="eastAsia" w:ascii="宋体" w:hAnsi="宋体" w:cs="宋体"/>
          <w:color w:val="auto"/>
          <w:kern w:val="0"/>
          <w:szCs w:val="21"/>
          <w:highlight w:val="none"/>
          <w:lang w:eastAsia="zh-CN"/>
        </w:rPr>
        <w:t>投标人</w:t>
      </w:r>
      <w:r>
        <w:rPr>
          <w:rFonts w:hint="eastAsia" w:ascii="宋体" w:hAnsi="宋体" w:cs="宋体"/>
          <w:color w:val="auto"/>
          <w:kern w:val="0"/>
          <w:szCs w:val="21"/>
          <w:highlight w:val="none"/>
          <w:lang w:val="en-US" w:eastAsia="zh-CN"/>
        </w:rPr>
        <w:t>的投标文件</w:t>
      </w:r>
      <w:r>
        <w:rPr>
          <w:rFonts w:hint="eastAsia" w:ascii="宋体" w:hAnsi="宋体" w:eastAsia="宋体" w:cs="宋体"/>
          <w:color w:val="auto"/>
          <w:kern w:val="0"/>
          <w:szCs w:val="21"/>
          <w:highlight w:val="none"/>
        </w:rPr>
        <w:t>应按照本项目</w:t>
      </w:r>
      <w:r>
        <w:rPr>
          <w:rFonts w:hint="eastAsia" w:ascii="宋体" w:hAnsi="宋体" w:cs="宋体"/>
          <w:color w:val="auto"/>
          <w:kern w:val="0"/>
          <w:szCs w:val="21"/>
          <w:highlight w:val="none"/>
          <w:lang w:eastAsia="zh-CN"/>
        </w:rPr>
        <w:t>采购文件</w:t>
      </w:r>
      <w:r>
        <w:rPr>
          <w:rFonts w:hint="eastAsia" w:ascii="宋体" w:hAnsi="宋体" w:eastAsia="宋体" w:cs="宋体"/>
          <w:color w:val="auto"/>
          <w:kern w:val="0"/>
          <w:szCs w:val="21"/>
          <w:highlight w:val="none"/>
        </w:rPr>
        <w:t>和"政采云"平台的要求编制、加密后在投标文件提交截止时间前上传至"政采云"平台，投标文件提交截止时间前未完成投标文件上传的，视为撤回投标文件。</w:t>
      </w:r>
      <w:r>
        <w:rPr>
          <w:rFonts w:hint="eastAsia" w:ascii="宋体" w:hAnsi="宋体" w:cs="宋体"/>
          <w:b w:val="0"/>
          <w:bCs w:val="0"/>
          <w:color w:val="auto"/>
          <w:kern w:val="0"/>
          <w:szCs w:val="21"/>
          <w:highlight w:val="none"/>
          <w:lang w:eastAsia="zh-CN"/>
        </w:rPr>
        <w:t>投标人</w:t>
      </w:r>
      <w:r>
        <w:rPr>
          <w:rFonts w:hint="eastAsia" w:ascii="宋体" w:hAnsi="宋体" w:eastAsia="宋体" w:cs="宋体"/>
          <w:b w:val="0"/>
          <w:bCs w:val="0"/>
          <w:color w:val="auto"/>
          <w:kern w:val="0"/>
          <w:szCs w:val="21"/>
          <w:highlight w:val="none"/>
        </w:rPr>
        <w:t>在“政采云"平台提交电子版投标文件时，请填写参加远程采购活动经办人联系方式</w:t>
      </w:r>
      <w:r>
        <w:rPr>
          <w:rFonts w:hint="eastAsia" w:ascii="宋体" w:hAnsi="宋体" w:eastAsia="宋体" w:cs="宋体"/>
          <w:color w:val="auto"/>
          <w:kern w:val="0"/>
          <w:szCs w:val="21"/>
          <w:highlight w:val="none"/>
        </w:rPr>
        <w:t>。</w:t>
      </w:r>
    </w:p>
    <w:p>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rPr>
        <w:t>网上递交时间：</w:t>
      </w:r>
      <w:r>
        <w:rPr>
          <w:rFonts w:hint="eastAsia" w:ascii="宋体" w:hAnsi="宋体" w:eastAsia="宋体" w:cs="宋体"/>
          <w:color w:val="auto"/>
          <w:kern w:val="0"/>
          <w:szCs w:val="21"/>
          <w:highlight w:val="none"/>
          <w:lang w:val="en-US" w:eastAsia="zh-CN"/>
        </w:rPr>
        <w:t>投标人在获取</w:t>
      </w:r>
      <w:r>
        <w:rPr>
          <w:rFonts w:hint="eastAsia" w:ascii="宋体" w:hAnsi="宋体" w:cs="宋体"/>
          <w:color w:val="auto"/>
          <w:kern w:val="0"/>
          <w:szCs w:val="21"/>
          <w:highlight w:val="none"/>
          <w:lang w:val="en-US" w:eastAsia="zh-CN"/>
        </w:rPr>
        <w:t>采购文件</w:t>
      </w:r>
      <w:r>
        <w:rPr>
          <w:rFonts w:hint="eastAsia" w:ascii="宋体" w:hAnsi="宋体" w:eastAsia="宋体" w:cs="宋体"/>
          <w:color w:val="auto"/>
          <w:kern w:val="0"/>
          <w:szCs w:val="21"/>
          <w:highlight w:val="none"/>
          <w:lang w:val="en-US" w:eastAsia="zh-CN"/>
        </w:rPr>
        <w:t>后至投标截止时间前</w:t>
      </w:r>
      <w:r>
        <w:rPr>
          <w:rFonts w:hint="eastAsia" w:ascii="宋体" w:hAnsi="宋体" w:eastAsia="宋体" w:cs="宋体"/>
          <w:color w:val="auto"/>
          <w:kern w:val="0"/>
          <w:szCs w:val="21"/>
          <w:highlight w:val="none"/>
        </w:rPr>
        <w:t>均可递交。投标截止时间前未完成投标文件传输的，视为撤回投标文件。</w:t>
      </w:r>
    </w:p>
    <w:p>
      <w:pPr>
        <w:spacing w:line="360" w:lineRule="auto"/>
        <w:ind w:firstLine="420" w:firstLineChars="200"/>
        <w:rPr>
          <w:rFonts w:hint="eastAsia" w:ascii="宋体" w:hAnsi="宋体" w:eastAsia="宋体"/>
          <w:bCs/>
          <w:szCs w:val="21"/>
          <w:highlight w:val="none"/>
          <w:lang w:eastAsia="zh-CN"/>
        </w:rPr>
      </w:pPr>
      <w:r>
        <w:rPr>
          <w:rFonts w:hint="eastAsia" w:ascii="宋体" w:hAnsi="宋体" w:cs="宋体"/>
          <w:color w:val="auto"/>
          <w:kern w:val="0"/>
          <w:szCs w:val="21"/>
          <w:highlight w:val="none"/>
          <w:lang w:val="en-US" w:eastAsia="zh-CN"/>
        </w:rPr>
        <w:t>4.投标文件递交</w:t>
      </w:r>
      <w:r>
        <w:rPr>
          <w:rFonts w:hint="eastAsia" w:ascii="宋体" w:hAnsi="宋体"/>
          <w:bCs/>
          <w:szCs w:val="21"/>
          <w:highlight w:val="none"/>
        </w:rPr>
        <w:t>截止时间</w:t>
      </w:r>
      <w:r>
        <w:rPr>
          <w:rFonts w:hint="eastAsia" w:ascii="宋体" w:hAnsi="宋体"/>
          <w:bCs/>
          <w:szCs w:val="21"/>
          <w:highlight w:val="none"/>
          <w:lang w:eastAsia="zh-CN"/>
        </w:rPr>
        <w:t>（</w:t>
      </w:r>
      <w:r>
        <w:rPr>
          <w:rFonts w:hint="eastAsia" w:ascii="宋体" w:hAnsi="宋体"/>
          <w:bCs/>
          <w:szCs w:val="21"/>
          <w:highlight w:val="none"/>
          <w:lang w:val="en-US" w:eastAsia="zh-CN"/>
        </w:rPr>
        <w:t>开标时间</w:t>
      </w:r>
      <w:r>
        <w:rPr>
          <w:rFonts w:hint="eastAsia" w:ascii="宋体" w:hAnsi="宋体"/>
          <w:bCs/>
          <w:szCs w:val="21"/>
          <w:highlight w:val="none"/>
          <w:lang w:eastAsia="zh-CN"/>
        </w:rPr>
        <w:t>）</w:t>
      </w:r>
      <w:r>
        <w:rPr>
          <w:rFonts w:hint="eastAsia" w:ascii="宋体" w:hAnsi="宋体"/>
          <w:bCs/>
          <w:color w:val="auto"/>
          <w:szCs w:val="21"/>
          <w:highlight w:val="none"/>
        </w:rPr>
        <w:t>：</w:t>
      </w:r>
      <w:r>
        <w:rPr>
          <w:rFonts w:hint="eastAsia" w:ascii="宋体" w:hAnsi="宋体"/>
          <w:b/>
          <w:bCs w:val="0"/>
          <w:color w:val="auto"/>
          <w:szCs w:val="21"/>
          <w:highlight w:val="none"/>
          <w:lang w:eastAsia="zh-CN"/>
        </w:rPr>
        <w:t>2024年08月13日</w:t>
      </w:r>
      <w:r>
        <w:rPr>
          <w:rFonts w:hint="eastAsia" w:ascii="宋体" w:hAnsi="宋体"/>
          <w:b/>
          <w:bCs w:val="0"/>
          <w:color w:val="auto"/>
          <w:szCs w:val="21"/>
          <w:highlight w:val="none"/>
        </w:rPr>
        <w:t>09点30分</w:t>
      </w:r>
      <w:r>
        <w:rPr>
          <w:rFonts w:hint="eastAsia" w:ascii="宋体" w:hAnsi="宋体"/>
          <w:bCs/>
          <w:color w:val="auto"/>
          <w:szCs w:val="21"/>
          <w:highlight w:val="none"/>
        </w:rPr>
        <w:t>（北京时间）</w:t>
      </w:r>
      <w:r>
        <w:rPr>
          <w:rFonts w:hint="eastAsia" w:ascii="宋体" w:hAnsi="宋体"/>
          <w:bCs/>
          <w:color w:val="auto"/>
          <w:szCs w:val="21"/>
          <w:highlight w:val="none"/>
          <w:lang w:eastAsia="zh-CN"/>
        </w:rPr>
        <w:t>。</w:t>
      </w:r>
    </w:p>
    <w:p>
      <w:pPr>
        <w:spacing w:line="360" w:lineRule="auto"/>
        <w:jc w:val="left"/>
        <w:outlineLvl w:val="1"/>
        <w:rPr>
          <w:rFonts w:ascii="宋体" w:hAnsi="宋体"/>
          <w:b/>
          <w:bCs/>
          <w:szCs w:val="21"/>
          <w:highlight w:val="none"/>
        </w:rPr>
      </w:pPr>
      <w:bookmarkStart w:id="9" w:name="_Toc4492"/>
      <w:r>
        <w:rPr>
          <w:rFonts w:ascii="宋体" w:hAnsi="宋体"/>
          <w:b/>
          <w:bCs/>
          <w:szCs w:val="21"/>
          <w:highlight w:val="none"/>
        </w:rPr>
        <w:t>五、公告期限</w:t>
      </w:r>
      <w:bookmarkEnd w:id="9"/>
    </w:p>
    <w:p>
      <w:pPr>
        <w:spacing w:line="360" w:lineRule="auto"/>
        <w:ind w:left="424" w:leftChars="202" w:firstLine="2"/>
        <w:jc w:val="left"/>
        <w:rPr>
          <w:rFonts w:hint="eastAsia" w:ascii="宋体" w:hAnsi="宋体" w:eastAsia="宋体"/>
          <w:b/>
          <w:bCs/>
          <w:szCs w:val="21"/>
          <w:highlight w:val="none"/>
          <w:lang w:eastAsia="zh-CN"/>
        </w:rPr>
      </w:pPr>
      <w:r>
        <w:rPr>
          <w:rFonts w:ascii="宋体" w:hAnsi="宋体"/>
          <w:bCs/>
          <w:szCs w:val="21"/>
          <w:highlight w:val="none"/>
        </w:rPr>
        <w:t>自本公告发布之日起5个工作日</w:t>
      </w:r>
      <w:r>
        <w:rPr>
          <w:rFonts w:hint="eastAsia" w:ascii="宋体" w:hAnsi="宋体"/>
          <w:bCs/>
          <w:szCs w:val="21"/>
          <w:highlight w:val="none"/>
          <w:lang w:eastAsia="zh-CN"/>
        </w:rPr>
        <w:t>。</w:t>
      </w:r>
    </w:p>
    <w:p>
      <w:pPr>
        <w:spacing w:line="360" w:lineRule="auto"/>
        <w:jc w:val="left"/>
        <w:outlineLvl w:val="1"/>
        <w:rPr>
          <w:rFonts w:ascii="宋体" w:hAnsi="宋体"/>
          <w:b/>
          <w:bCs/>
          <w:szCs w:val="21"/>
          <w:highlight w:val="none"/>
        </w:rPr>
      </w:pPr>
      <w:bookmarkStart w:id="10" w:name="_Toc11207"/>
      <w:r>
        <w:rPr>
          <w:rFonts w:ascii="宋体" w:hAnsi="宋体"/>
          <w:b/>
          <w:bCs/>
          <w:szCs w:val="21"/>
          <w:highlight w:val="none"/>
        </w:rPr>
        <w:t>六、其他补充事宜</w:t>
      </w:r>
      <w:bookmarkEnd w:id="10"/>
    </w:p>
    <w:p>
      <w:pPr>
        <w:pStyle w:val="12"/>
        <w:spacing w:after="0" w:line="360" w:lineRule="auto"/>
        <w:ind w:left="0" w:leftChars="0" w:right="210" w:firstLine="422" w:firstLineChars="200"/>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lang w:val="en-US" w:eastAsia="zh-CN"/>
        </w:rPr>
        <w:t>1.</w:t>
      </w:r>
      <w:r>
        <w:rPr>
          <w:rFonts w:hint="eastAsia" w:ascii="宋体" w:hAnsi="宋体" w:eastAsia="宋体" w:cs="宋体"/>
          <w:b/>
          <w:bCs/>
          <w:color w:val="auto"/>
          <w:kern w:val="0"/>
          <w:szCs w:val="21"/>
          <w:highlight w:val="none"/>
        </w:rPr>
        <w:t>电子投标文件的编制</w:t>
      </w:r>
    </w:p>
    <w:p>
      <w:pPr>
        <w:pStyle w:val="12"/>
        <w:spacing w:after="0" w:line="360" w:lineRule="auto"/>
        <w:ind w:left="0" w:leftChars="0" w:right="210" w:firstLine="420" w:firstLineChars="200"/>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投标人</w:t>
      </w:r>
      <w:r>
        <w:rPr>
          <w:rFonts w:hint="eastAsia" w:ascii="宋体" w:hAnsi="宋体" w:eastAsia="宋体" w:cs="宋体"/>
          <w:color w:val="auto"/>
          <w:kern w:val="0"/>
          <w:szCs w:val="21"/>
          <w:highlight w:val="none"/>
          <w:lang w:val="en-US" w:eastAsia="zh-CN"/>
        </w:rPr>
        <w:t>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或5763进行咨询。如因</w:t>
      </w:r>
      <w:r>
        <w:rPr>
          <w:rFonts w:hint="eastAsia" w:ascii="宋体" w:hAnsi="宋体" w:cs="宋体"/>
          <w:color w:val="auto"/>
          <w:kern w:val="0"/>
          <w:szCs w:val="21"/>
          <w:highlight w:val="none"/>
          <w:lang w:val="en-US" w:eastAsia="zh-CN"/>
        </w:rPr>
        <w:t>投标人</w:t>
      </w:r>
      <w:r>
        <w:rPr>
          <w:rFonts w:hint="eastAsia" w:ascii="宋体" w:hAnsi="宋体" w:eastAsia="宋体" w:cs="宋体"/>
          <w:color w:val="auto"/>
          <w:kern w:val="0"/>
          <w:szCs w:val="21"/>
          <w:highlight w:val="none"/>
          <w:lang w:val="en-US" w:eastAsia="zh-CN"/>
        </w:rPr>
        <w:t>自身原因导致在规定时间内无法正常解密的（如：浏览器故障、未安装相关驱动、网络故障、加密CA与解密CA不一致等），代理机构不予异常处理，视为</w:t>
      </w:r>
      <w:r>
        <w:rPr>
          <w:rFonts w:hint="eastAsia" w:ascii="宋体" w:hAnsi="宋体" w:cs="宋体"/>
          <w:color w:val="auto"/>
          <w:kern w:val="0"/>
          <w:szCs w:val="21"/>
          <w:highlight w:val="none"/>
          <w:lang w:val="en-US" w:eastAsia="zh-CN"/>
        </w:rPr>
        <w:t>投标人</w:t>
      </w:r>
      <w:r>
        <w:rPr>
          <w:rFonts w:hint="eastAsia" w:ascii="宋体" w:hAnsi="宋体" w:eastAsia="宋体" w:cs="宋体"/>
          <w:color w:val="auto"/>
          <w:kern w:val="0"/>
          <w:szCs w:val="21"/>
          <w:highlight w:val="none"/>
          <w:lang w:val="en-US" w:eastAsia="zh-CN"/>
        </w:rPr>
        <w:t>自动</w:t>
      </w:r>
      <w:r>
        <w:rPr>
          <w:rFonts w:hint="eastAsia" w:ascii="宋体" w:hAnsi="宋体" w:cs="宋体"/>
          <w:color w:val="auto"/>
          <w:kern w:val="0"/>
          <w:szCs w:val="21"/>
          <w:highlight w:val="none"/>
          <w:lang w:val="en-US" w:eastAsia="zh-CN"/>
        </w:rPr>
        <w:t>放弃投标资格</w:t>
      </w:r>
      <w:r>
        <w:rPr>
          <w:rFonts w:hint="eastAsia" w:ascii="宋体" w:hAnsi="宋体" w:eastAsia="宋体" w:cs="宋体"/>
          <w:color w:val="auto"/>
          <w:kern w:val="0"/>
          <w:szCs w:val="21"/>
          <w:highlight w:val="none"/>
          <w:lang w:val="en-US" w:eastAsia="zh-CN"/>
        </w:rPr>
        <w:t>。</w:t>
      </w:r>
    </w:p>
    <w:p>
      <w:pPr>
        <w:spacing w:line="360" w:lineRule="auto"/>
        <w:ind w:firstLine="422" w:firstLineChars="200"/>
        <w:rPr>
          <w:rFonts w:ascii="宋体" w:hAnsi="宋体"/>
          <w:b/>
          <w:bCs w:val="0"/>
          <w:szCs w:val="21"/>
          <w:highlight w:val="none"/>
        </w:rPr>
      </w:pPr>
      <w:r>
        <w:rPr>
          <w:rFonts w:hint="eastAsia" w:ascii="宋体" w:hAnsi="宋体"/>
          <w:b/>
          <w:bCs w:val="0"/>
          <w:szCs w:val="21"/>
          <w:highlight w:val="none"/>
          <w:lang w:val="en-US" w:eastAsia="zh-CN"/>
        </w:rPr>
        <w:t>2</w:t>
      </w:r>
      <w:r>
        <w:rPr>
          <w:rFonts w:hint="eastAsia" w:ascii="宋体" w:hAnsi="宋体"/>
          <w:b/>
          <w:bCs w:val="0"/>
          <w:szCs w:val="21"/>
          <w:highlight w:val="none"/>
        </w:rPr>
        <w:t>.投标人</w:t>
      </w:r>
      <w:r>
        <w:rPr>
          <w:rFonts w:hint="eastAsia" w:ascii="宋体" w:hAnsi="宋体"/>
          <w:b/>
          <w:bCs w:val="0"/>
          <w:szCs w:val="21"/>
          <w:highlight w:val="none"/>
          <w:lang w:val="en-US" w:eastAsia="zh-CN"/>
        </w:rPr>
        <w:t>应</w:t>
      </w:r>
      <w:r>
        <w:rPr>
          <w:rFonts w:hint="eastAsia" w:ascii="宋体" w:hAnsi="宋体"/>
          <w:b/>
          <w:bCs w:val="0"/>
          <w:szCs w:val="21"/>
          <w:highlight w:val="none"/>
        </w:rPr>
        <w:t>以下方式参加投标</w:t>
      </w:r>
    </w:p>
    <w:p>
      <w:pPr>
        <w:spacing w:line="360" w:lineRule="auto"/>
        <w:ind w:firstLine="420" w:firstLineChars="200"/>
        <w:rPr>
          <w:rFonts w:hint="eastAsia" w:ascii="宋体" w:hAnsi="宋体"/>
          <w:bCs/>
          <w:szCs w:val="21"/>
          <w:highlight w:val="none"/>
        </w:rPr>
      </w:pPr>
      <w:r>
        <w:rPr>
          <w:rFonts w:hint="eastAsia" w:ascii="宋体" w:hAnsi="宋体"/>
          <w:bCs/>
          <w:szCs w:val="21"/>
          <w:highlight w:val="none"/>
        </w:rPr>
        <w:t>网上开标远程解密：投标人登录政府采购云平台（https://www.zcygov.cn/），按照《网上开标远程解密操作指南（投标人）》完成远程解密、查看开标一览表和签名确认等相关操作。本项目解密时间为60分钟，若投标人未在规定时间完成以上解密，则视为撤销其投标文件，不再进入评标阶段。开标过程中如有问题，可以在线提出异议，由代理机构给予对应的回复。在规定的签名确认时间内不进行开标一览表确认的，则视为对开标结果无异议。</w:t>
      </w:r>
    </w:p>
    <w:p>
      <w:pPr>
        <w:spacing w:line="360" w:lineRule="auto"/>
        <w:ind w:firstLine="422" w:firstLineChars="200"/>
        <w:rPr>
          <w:rFonts w:hint="default" w:ascii="宋体" w:hAnsi="宋体" w:eastAsia="宋体"/>
          <w:bCs/>
          <w:szCs w:val="21"/>
          <w:highlight w:val="none"/>
          <w:lang w:val="en-US" w:eastAsia="zh-CN"/>
        </w:rPr>
      </w:pPr>
      <w:r>
        <w:rPr>
          <w:rFonts w:hint="eastAsia" w:ascii="宋体" w:hAnsi="宋体"/>
          <w:b/>
          <w:bCs w:val="0"/>
          <w:szCs w:val="21"/>
          <w:highlight w:val="none"/>
          <w:lang w:val="en-US" w:eastAsia="zh-CN"/>
        </w:rPr>
        <w:t>3.</w:t>
      </w:r>
      <w:r>
        <w:rPr>
          <w:rFonts w:hint="eastAsia" w:ascii="宋体" w:hAnsi="宋体" w:eastAsia="宋体" w:cs="宋体"/>
          <w:b/>
          <w:bCs/>
          <w:color w:val="auto"/>
          <w:kern w:val="0"/>
          <w:szCs w:val="21"/>
          <w:highlight w:val="none"/>
          <w:lang w:val="en-US" w:eastAsia="zh-CN"/>
        </w:rPr>
        <w:t>采购信</w:t>
      </w:r>
      <w:r>
        <w:rPr>
          <w:rFonts w:hint="eastAsia" w:ascii="宋体" w:hAnsi="宋体" w:eastAsia="宋体" w:cs="宋体"/>
          <w:b/>
          <w:bCs/>
          <w:color w:val="auto"/>
          <w:kern w:val="0"/>
          <w:szCs w:val="21"/>
          <w:highlight w:val="none"/>
        </w:rPr>
        <w:t>息</w:t>
      </w:r>
      <w:r>
        <w:rPr>
          <w:rFonts w:hint="eastAsia" w:ascii="宋体" w:hAnsi="宋体" w:cs="宋体"/>
          <w:b/>
          <w:bCs/>
          <w:color w:val="auto"/>
          <w:kern w:val="0"/>
          <w:szCs w:val="21"/>
          <w:highlight w:val="none"/>
          <w:lang w:val="en-US" w:eastAsia="zh-CN"/>
        </w:rPr>
        <w:t>及采购结果</w:t>
      </w:r>
      <w:r>
        <w:rPr>
          <w:rFonts w:hint="eastAsia" w:ascii="宋体" w:hAnsi="宋体" w:eastAsia="宋体" w:cs="宋体"/>
          <w:b/>
          <w:bCs/>
          <w:color w:val="auto"/>
          <w:kern w:val="0"/>
          <w:szCs w:val="21"/>
          <w:highlight w:val="none"/>
        </w:rPr>
        <w:t>均在以下媒体发布</w:t>
      </w:r>
      <w:r>
        <w:rPr>
          <w:rFonts w:hint="eastAsia" w:ascii="宋体" w:hAnsi="宋体" w:eastAsia="宋体" w:cs="宋体"/>
          <w:color w:val="auto"/>
          <w:kern w:val="0"/>
          <w:szCs w:val="21"/>
          <w:highlight w:val="none"/>
        </w:rPr>
        <w:t>：云南省政府采购网</w:t>
      </w:r>
      <w:r>
        <w:rPr>
          <w:rFonts w:hint="eastAsia" w:ascii="宋体" w:hAnsi="宋体" w:eastAsia="宋体" w:cs="宋体"/>
          <w:color w:val="auto"/>
          <w:kern w:val="0"/>
          <w:szCs w:val="21"/>
          <w:highlight w:val="none"/>
          <w:lang w:val="en-US" w:eastAsia="zh-CN"/>
        </w:rPr>
        <w:t>及</w:t>
      </w:r>
      <w:r>
        <w:rPr>
          <w:rFonts w:hint="eastAsia" w:ascii="宋体" w:hAnsi="宋体" w:eastAsia="宋体" w:cs="宋体"/>
          <w:color w:val="auto"/>
          <w:kern w:val="0"/>
          <w:szCs w:val="21"/>
          <w:highlight w:val="none"/>
        </w:rPr>
        <w:t>政府采购云平台</w:t>
      </w:r>
      <w:r>
        <w:rPr>
          <w:rFonts w:hint="eastAsia" w:ascii="宋体" w:hAnsi="宋体" w:eastAsia="宋体" w:cs="宋体"/>
          <w:color w:val="auto"/>
          <w:kern w:val="0"/>
          <w:szCs w:val="21"/>
          <w:highlight w:val="none"/>
          <w:lang w:val="en-US" w:eastAsia="zh-CN"/>
        </w:rPr>
        <w:t>网站</w:t>
      </w:r>
      <w:r>
        <w:rPr>
          <w:rFonts w:hint="eastAsia" w:ascii="宋体" w:hAnsi="宋体" w:eastAsia="宋体" w:cs="宋体"/>
          <w:color w:val="auto"/>
          <w:kern w:val="0"/>
          <w:szCs w:val="21"/>
          <w:highlight w:val="none"/>
        </w:rPr>
        <w:t>，采购人及采购代理机构对其他网站或媒体转载的公告及内容概不负责。</w:t>
      </w:r>
    </w:p>
    <w:p>
      <w:pPr>
        <w:spacing w:line="360" w:lineRule="auto"/>
        <w:jc w:val="left"/>
        <w:outlineLvl w:val="1"/>
        <w:rPr>
          <w:rFonts w:ascii="宋体" w:hAnsi="宋体"/>
          <w:b/>
          <w:bCs/>
          <w:szCs w:val="21"/>
          <w:highlight w:val="none"/>
        </w:rPr>
      </w:pPr>
      <w:bookmarkStart w:id="11" w:name="_Toc22114"/>
      <w:r>
        <w:rPr>
          <w:rFonts w:ascii="宋体" w:hAnsi="宋体"/>
          <w:b/>
          <w:bCs/>
          <w:szCs w:val="21"/>
          <w:highlight w:val="none"/>
        </w:rPr>
        <w:t>七、对本次招标提出询问，请按以下方式联系。</w:t>
      </w:r>
      <w:bookmarkEnd w:id="11"/>
    </w:p>
    <w:bookmarkEnd w:id="3"/>
    <w:bookmarkEnd w:id="4"/>
    <w:p>
      <w:pPr>
        <w:spacing w:line="360" w:lineRule="auto"/>
        <w:ind w:firstLine="420" w:firstLineChars="200"/>
        <w:rPr>
          <w:rFonts w:ascii="宋体" w:hAnsi="宋体"/>
          <w:bCs/>
          <w:szCs w:val="21"/>
          <w:highlight w:val="none"/>
        </w:rPr>
      </w:pPr>
      <w:bookmarkStart w:id="12" w:name="_Toc35393637"/>
      <w:bookmarkStart w:id="13" w:name="_Toc28359096"/>
      <w:bookmarkStart w:id="14" w:name="_Toc35393806"/>
      <w:bookmarkStart w:id="15" w:name="_Toc28359019"/>
      <w:bookmarkStart w:id="16" w:name="_Toc9329"/>
      <w:r>
        <w:rPr>
          <w:rFonts w:hint="eastAsia" w:ascii="宋体" w:hAnsi="宋体"/>
          <w:bCs/>
          <w:szCs w:val="21"/>
          <w:highlight w:val="none"/>
        </w:rPr>
        <w:t>1.</w:t>
      </w:r>
      <w:r>
        <w:rPr>
          <w:rFonts w:hint="eastAsia" w:ascii="宋体" w:hAnsi="宋体"/>
          <w:bCs/>
          <w:szCs w:val="21"/>
          <w:highlight w:val="none"/>
          <w:lang w:eastAsia="zh-CN"/>
        </w:rPr>
        <w:t>采购人</w:t>
      </w:r>
      <w:r>
        <w:rPr>
          <w:rFonts w:hint="eastAsia" w:ascii="宋体" w:hAnsi="宋体"/>
          <w:bCs/>
          <w:szCs w:val="21"/>
          <w:highlight w:val="none"/>
        </w:rPr>
        <w:t>信息</w:t>
      </w:r>
      <w:bookmarkEnd w:id="12"/>
      <w:bookmarkEnd w:id="13"/>
      <w:bookmarkEnd w:id="14"/>
      <w:bookmarkEnd w:id="15"/>
    </w:p>
    <w:p>
      <w:pPr>
        <w:spacing w:line="360" w:lineRule="auto"/>
        <w:ind w:firstLine="420" w:firstLineChars="200"/>
        <w:rPr>
          <w:rFonts w:ascii="宋体" w:hAnsi="宋体"/>
          <w:bCs/>
          <w:szCs w:val="21"/>
          <w:highlight w:val="none"/>
        </w:rPr>
      </w:pPr>
      <w:r>
        <w:rPr>
          <w:rFonts w:hint="eastAsia" w:ascii="宋体" w:hAnsi="宋体"/>
          <w:bCs/>
          <w:szCs w:val="21"/>
          <w:highlight w:val="none"/>
        </w:rPr>
        <w:t>名</w:t>
      </w:r>
      <w:r>
        <w:rPr>
          <w:rFonts w:hint="eastAsia" w:ascii="宋体" w:hAnsi="宋体"/>
          <w:bCs/>
          <w:szCs w:val="21"/>
          <w:highlight w:val="none"/>
          <w:lang w:val="en-US" w:eastAsia="zh-CN"/>
        </w:rPr>
        <w:t xml:space="preserve">  </w:t>
      </w:r>
      <w:r>
        <w:rPr>
          <w:rFonts w:hint="eastAsia" w:ascii="宋体" w:hAnsi="宋体"/>
          <w:bCs/>
          <w:szCs w:val="21"/>
          <w:highlight w:val="none"/>
        </w:rPr>
        <w:t>称：大理白族自治州应急管理局</w:t>
      </w:r>
    </w:p>
    <w:p>
      <w:pPr>
        <w:spacing w:line="360" w:lineRule="auto"/>
        <w:ind w:firstLine="420" w:firstLineChars="200"/>
        <w:rPr>
          <w:rFonts w:ascii="宋体" w:hAnsi="宋体"/>
          <w:bCs/>
          <w:szCs w:val="21"/>
          <w:highlight w:val="none"/>
        </w:rPr>
      </w:pPr>
      <w:r>
        <w:rPr>
          <w:rFonts w:hint="eastAsia" w:ascii="宋体" w:hAnsi="宋体"/>
          <w:bCs/>
          <w:szCs w:val="21"/>
          <w:highlight w:val="none"/>
        </w:rPr>
        <w:t>地</w:t>
      </w:r>
      <w:r>
        <w:rPr>
          <w:rFonts w:hint="eastAsia" w:ascii="宋体" w:hAnsi="宋体"/>
          <w:bCs/>
          <w:szCs w:val="21"/>
          <w:highlight w:val="none"/>
          <w:lang w:val="en-US" w:eastAsia="zh-CN"/>
        </w:rPr>
        <w:t xml:space="preserve">  </w:t>
      </w:r>
      <w:r>
        <w:rPr>
          <w:rFonts w:hint="eastAsia" w:ascii="宋体" w:hAnsi="宋体"/>
          <w:bCs/>
          <w:szCs w:val="21"/>
          <w:highlight w:val="none"/>
        </w:rPr>
        <w:t>址：大理白族自治州大理市宾川路387号</w:t>
      </w:r>
    </w:p>
    <w:p>
      <w:pPr>
        <w:spacing w:line="360" w:lineRule="auto"/>
        <w:ind w:firstLine="420" w:firstLineChars="200"/>
        <w:rPr>
          <w:rFonts w:ascii="宋体" w:hAnsi="宋体"/>
          <w:bCs/>
          <w:szCs w:val="21"/>
          <w:highlight w:val="none"/>
        </w:rPr>
      </w:pPr>
      <w:r>
        <w:rPr>
          <w:rFonts w:hint="eastAsia" w:ascii="宋体" w:hAnsi="宋体"/>
          <w:bCs/>
          <w:szCs w:val="21"/>
          <w:highlight w:val="none"/>
        </w:rPr>
        <w:t>联系人：吴老师</w:t>
      </w:r>
    </w:p>
    <w:p>
      <w:pPr>
        <w:spacing w:line="360" w:lineRule="auto"/>
        <w:ind w:firstLine="420" w:firstLineChars="200"/>
        <w:rPr>
          <w:rFonts w:ascii="宋体" w:hAnsi="宋体"/>
          <w:bCs/>
          <w:szCs w:val="21"/>
          <w:highlight w:val="none"/>
        </w:rPr>
      </w:pPr>
      <w:r>
        <w:rPr>
          <w:rFonts w:hint="eastAsia" w:ascii="宋体" w:hAnsi="宋体"/>
          <w:bCs/>
          <w:szCs w:val="21"/>
          <w:highlight w:val="none"/>
        </w:rPr>
        <w:t>联系方式：</w:t>
      </w:r>
      <w:bookmarkStart w:id="17" w:name="_Toc35393807"/>
      <w:bookmarkStart w:id="18" w:name="_Toc28359020"/>
      <w:bookmarkStart w:id="19" w:name="_Toc35393638"/>
      <w:bookmarkStart w:id="20" w:name="_Toc28359097"/>
      <w:r>
        <w:rPr>
          <w:rFonts w:hint="eastAsia" w:ascii="宋体" w:hAnsi="宋体"/>
          <w:bCs/>
          <w:szCs w:val="21"/>
          <w:highlight w:val="none"/>
        </w:rPr>
        <w:t xml:space="preserve">13988566466 </w:t>
      </w:r>
    </w:p>
    <w:p>
      <w:pPr>
        <w:spacing w:line="360" w:lineRule="auto"/>
        <w:ind w:firstLine="420" w:firstLineChars="200"/>
        <w:rPr>
          <w:rFonts w:ascii="宋体" w:hAnsi="宋体"/>
          <w:bCs/>
          <w:szCs w:val="21"/>
          <w:highlight w:val="none"/>
        </w:rPr>
      </w:pPr>
      <w:r>
        <w:rPr>
          <w:rFonts w:hint="eastAsia" w:ascii="宋体" w:hAnsi="宋体"/>
          <w:bCs/>
          <w:szCs w:val="21"/>
          <w:highlight w:val="none"/>
        </w:rPr>
        <w:t>2.</w:t>
      </w:r>
      <w:r>
        <w:rPr>
          <w:rFonts w:hint="eastAsia" w:ascii="宋体" w:hAnsi="宋体"/>
          <w:bCs/>
          <w:szCs w:val="21"/>
          <w:highlight w:val="none"/>
          <w:lang w:eastAsia="zh-CN"/>
        </w:rPr>
        <w:t>采购代理机构</w:t>
      </w:r>
      <w:r>
        <w:rPr>
          <w:rFonts w:hint="eastAsia" w:ascii="宋体" w:hAnsi="宋体"/>
          <w:bCs/>
          <w:szCs w:val="21"/>
          <w:highlight w:val="none"/>
        </w:rPr>
        <w:t>信息</w:t>
      </w:r>
      <w:bookmarkEnd w:id="17"/>
      <w:bookmarkEnd w:id="18"/>
      <w:bookmarkEnd w:id="19"/>
      <w:bookmarkEnd w:id="20"/>
    </w:p>
    <w:p>
      <w:pPr>
        <w:spacing w:line="360" w:lineRule="auto"/>
        <w:ind w:firstLine="420" w:firstLineChars="200"/>
        <w:rPr>
          <w:rFonts w:hint="eastAsia" w:ascii="宋体" w:hAnsi="宋体" w:eastAsia="宋体"/>
          <w:bCs/>
          <w:szCs w:val="21"/>
          <w:highlight w:val="none"/>
          <w:lang w:eastAsia="zh-CN"/>
        </w:rPr>
      </w:pPr>
      <w:r>
        <w:rPr>
          <w:rFonts w:hint="eastAsia" w:ascii="宋体" w:hAnsi="宋体"/>
          <w:bCs/>
          <w:szCs w:val="21"/>
          <w:highlight w:val="none"/>
        </w:rPr>
        <w:t>名</w:t>
      </w:r>
      <w:r>
        <w:rPr>
          <w:rFonts w:hint="eastAsia" w:ascii="宋体" w:hAnsi="宋体"/>
          <w:bCs/>
          <w:szCs w:val="21"/>
          <w:highlight w:val="none"/>
          <w:lang w:val="en-US" w:eastAsia="zh-CN"/>
        </w:rPr>
        <w:t xml:space="preserve">  </w:t>
      </w:r>
      <w:r>
        <w:rPr>
          <w:rFonts w:hint="eastAsia" w:ascii="宋体" w:hAnsi="宋体"/>
          <w:bCs/>
          <w:szCs w:val="21"/>
          <w:highlight w:val="none"/>
        </w:rPr>
        <w:t>称：</w:t>
      </w:r>
      <w:r>
        <w:rPr>
          <w:rFonts w:hint="eastAsia" w:ascii="宋体" w:hAnsi="宋体"/>
          <w:bCs/>
          <w:szCs w:val="21"/>
          <w:highlight w:val="none"/>
          <w:lang w:eastAsia="zh-CN"/>
        </w:rPr>
        <w:t>云南耀鑫工程招标代理有限公司</w:t>
      </w:r>
    </w:p>
    <w:p>
      <w:pPr>
        <w:spacing w:line="360" w:lineRule="auto"/>
        <w:ind w:firstLine="420" w:firstLineChars="200"/>
        <w:rPr>
          <w:rFonts w:hint="eastAsia" w:ascii="宋体" w:hAnsi="宋体" w:eastAsia="宋体"/>
          <w:bCs/>
          <w:szCs w:val="21"/>
          <w:highlight w:val="none"/>
          <w:lang w:eastAsia="zh-CN"/>
        </w:rPr>
      </w:pPr>
      <w:r>
        <w:rPr>
          <w:rFonts w:hint="eastAsia" w:ascii="宋体" w:hAnsi="宋体"/>
          <w:bCs/>
          <w:szCs w:val="21"/>
          <w:highlight w:val="none"/>
        </w:rPr>
        <w:t>地</w:t>
      </w:r>
      <w:r>
        <w:rPr>
          <w:rFonts w:hint="eastAsia" w:ascii="宋体" w:hAnsi="宋体"/>
          <w:bCs/>
          <w:szCs w:val="21"/>
          <w:highlight w:val="none"/>
          <w:lang w:val="en-US" w:eastAsia="zh-CN"/>
        </w:rPr>
        <w:t xml:space="preserve">  </w:t>
      </w:r>
      <w:r>
        <w:rPr>
          <w:rFonts w:hint="eastAsia" w:ascii="宋体" w:hAnsi="宋体"/>
          <w:bCs/>
          <w:szCs w:val="21"/>
          <w:highlight w:val="none"/>
        </w:rPr>
        <w:t>址：</w:t>
      </w:r>
      <w:r>
        <w:rPr>
          <w:rFonts w:hint="eastAsia" w:ascii="宋体" w:hAnsi="宋体"/>
          <w:bCs/>
          <w:szCs w:val="21"/>
          <w:highlight w:val="none"/>
          <w:lang w:eastAsia="zh-CN"/>
        </w:rPr>
        <w:t>大理州下关镇经开区西屏路与宾川路交叉口东南侧办公楼4楼</w:t>
      </w:r>
    </w:p>
    <w:p>
      <w:pPr>
        <w:spacing w:line="360" w:lineRule="auto"/>
        <w:ind w:firstLine="420" w:firstLineChars="200"/>
        <w:rPr>
          <w:rFonts w:hint="default" w:ascii="宋体" w:hAnsi="宋体" w:eastAsia="宋体"/>
          <w:bCs/>
          <w:szCs w:val="21"/>
          <w:highlight w:val="none"/>
          <w:lang w:val="en-US" w:eastAsia="zh-CN"/>
        </w:rPr>
      </w:pPr>
      <w:r>
        <w:rPr>
          <w:rFonts w:hint="eastAsia" w:ascii="宋体" w:hAnsi="宋体"/>
          <w:bCs/>
          <w:szCs w:val="21"/>
          <w:highlight w:val="none"/>
        </w:rPr>
        <w:t>联系人：</w:t>
      </w:r>
      <w:r>
        <w:rPr>
          <w:rFonts w:hint="eastAsia" w:ascii="宋体" w:hAnsi="宋体"/>
          <w:bCs/>
          <w:szCs w:val="21"/>
          <w:highlight w:val="none"/>
          <w:lang w:val="en-US" w:eastAsia="zh-CN"/>
        </w:rPr>
        <w:t>李春元、刘青青</w:t>
      </w:r>
    </w:p>
    <w:p>
      <w:pPr>
        <w:spacing w:line="360" w:lineRule="auto"/>
        <w:ind w:firstLine="420" w:firstLineChars="200"/>
        <w:rPr>
          <w:rFonts w:hint="default" w:ascii="宋体" w:hAnsi="宋体" w:eastAsia="宋体"/>
          <w:bCs/>
          <w:szCs w:val="21"/>
          <w:highlight w:val="none"/>
          <w:lang w:val="en-US" w:eastAsia="zh-CN"/>
        </w:rPr>
      </w:pPr>
      <w:r>
        <w:rPr>
          <w:rFonts w:hint="eastAsia" w:ascii="宋体" w:hAnsi="宋体"/>
          <w:bCs/>
          <w:szCs w:val="21"/>
          <w:highlight w:val="none"/>
        </w:rPr>
        <w:t>联系</w:t>
      </w:r>
      <w:r>
        <w:rPr>
          <w:rFonts w:hint="eastAsia" w:ascii="宋体" w:hAnsi="宋体"/>
          <w:bCs/>
          <w:szCs w:val="21"/>
          <w:highlight w:val="none"/>
          <w:lang w:val="en-US" w:eastAsia="zh-CN"/>
        </w:rPr>
        <w:t>方式</w:t>
      </w:r>
      <w:r>
        <w:rPr>
          <w:rFonts w:hint="eastAsia" w:ascii="宋体" w:hAnsi="宋体"/>
          <w:bCs/>
          <w:szCs w:val="21"/>
          <w:highlight w:val="none"/>
        </w:rPr>
        <w:t>：</w:t>
      </w:r>
      <w:r>
        <w:rPr>
          <w:rFonts w:hint="eastAsia" w:ascii="宋体" w:hAnsi="宋体"/>
          <w:bCs/>
          <w:szCs w:val="21"/>
          <w:highlight w:val="none"/>
          <w:lang w:eastAsia="zh-CN"/>
        </w:rPr>
        <w:t>18787290601、</w:t>
      </w:r>
      <w:r>
        <w:rPr>
          <w:rFonts w:hint="eastAsia" w:ascii="宋体" w:hAnsi="宋体"/>
          <w:bCs/>
          <w:szCs w:val="21"/>
          <w:highlight w:val="none"/>
          <w:lang w:val="en-US" w:eastAsia="zh-CN"/>
        </w:rPr>
        <w:t>13648815125</w:t>
      </w:r>
    </w:p>
    <w:p>
      <w:pPr>
        <w:rPr>
          <w:rFonts w:ascii="宋体" w:hAnsi="宋体"/>
          <w:highlight w:val="none"/>
        </w:rPr>
      </w:pPr>
      <w:r>
        <w:rPr>
          <w:rFonts w:hint="eastAsia" w:ascii="宋体" w:hAnsi="宋体"/>
          <w:highlight w:val="none"/>
        </w:rPr>
        <w:br w:type="page"/>
      </w:r>
    </w:p>
    <w:p>
      <w:pPr>
        <w:pStyle w:val="26"/>
        <w:ind w:left="424" w:leftChars="202" w:firstLine="2"/>
        <w:rPr>
          <w:rFonts w:ascii="宋体" w:hAnsi="宋体"/>
          <w:highlight w:val="none"/>
        </w:rPr>
      </w:pPr>
      <w:bookmarkStart w:id="21" w:name="_Toc9500"/>
      <w:r>
        <w:rPr>
          <w:rFonts w:hint="eastAsia" w:ascii="宋体" w:hAnsi="宋体"/>
          <w:highlight w:val="none"/>
        </w:rPr>
        <w:t>第二章</w:t>
      </w:r>
      <w:r>
        <w:rPr>
          <w:rFonts w:ascii="宋体" w:hAnsi="宋体"/>
          <w:highlight w:val="none"/>
        </w:rPr>
        <w:t xml:space="preserve"> </w:t>
      </w:r>
      <w:r>
        <w:rPr>
          <w:rFonts w:hint="eastAsia" w:ascii="宋体" w:hAnsi="宋体"/>
          <w:highlight w:val="none"/>
        </w:rPr>
        <w:t>投标人须知</w:t>
      </w:r>
      <w:bookmarkEnd w:id="16"/>
      <w:bookmarkEnd w:id="21"/>
    </w:p>
    <w:p>
      <w:pPr>
        <w:pStyle w:val="3"/>
        <w:numPr>
          <w:ilvl w:val="0"/>
          <w:numId w:val="0"/>
        </w:numPr>
        <w:spacing w:before="0" w:line="240" w:lineRule="auto"/>
        <w:ind w:left="425"/>
        <w:jc w:val="center"/>
        <w:rPr>
          <w:rFonts w:ascii="宋体" w:hAnsi="宋体" w:eastAsia="宋体"/>
          <w:bCs/>
          <w:sz w:val="32"/>
          <w:szCs w:val="32"/>
          <w:highlight w:val="none"/>
        </w:rPr>
      </w:pPr>
      <w:bookmarkStart w:id="22" w:name="_Toc26546"/>
      <w:bookmarkStart w:id="23" w:name="_Toc24057"/>
      <w:r>
        <w:rPr>
          <w:rFonts w:hint="eastAsia" w:ascii="宋体" w:hAnsi="宋体" w:eastAsia="宋体"/>
          <w:bCs/>
          <w:sz w:val="32"/>
          <w:szCs w:val="32"/>
          <w:highlight w:val="none"/>
        </w:rPr>
        <w:t>投标人须知前附表</w:t>
      </w:r>
      <w:bookmarkEnd w:id="22"/>
      <w:bookmarkEnd w:id="23"/>
    </w:p>
    <w:tbl>
      <w:tblPr>
        <w:tblStyle w:val="30"/>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2958"/>
        <w:gridCol w:w="5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062" w:type="dxa"/>
            <w:vAlign w:val="center"/>
          </w:tcPr>
          <w:p>
            <w:pPr>
              <w:pStyle w:val="15"/>
              <w:spacing w:line="360" w:lineRule="auto"/>
              <w:jc w:val="center"/>
              <w:rPr>
                <w:rFonts w:hAnsi="宋体"/>
                <w:b/>
                <w:szCs w:val="21"/>
                <w:highlight w:val="none"/>
              </w:rPr>
            </w:pPr>
            <w:r>
              <w:rPr>
                <w:rFonts w:hint="eastAsia" w:hAnsi="宋体"/>
                <w:b/>
                <w:szCs w:val="21"/>
                <w:highlight w:val="none"/>
              </w:rPr>
              <w:t>条款号</w:t>
            </w:r>
          </w:p>
        </w:tc>
        <w:tc>
          <w:tcPr>
            <w:tcW w:w="2958" w:type="dxa"/>
            <w:vAlign w:val="center"/>
          </w:tcPr>
          <w:p>
            <w:pPr>
              <w:pStyle w:val="15"/>
              <w:spacing w:line="360" w:lineRule="auto"/>
              <w:jc w:val="center"/>
              <w:rPr>
                <w:rFonts w:hAnsi="宋体"/>
                <w:b/>
                <w:szCs w:val="21"/>
                <w:highlight w:val="none"/>
              </w:rPr>
            </w:pPr>
            <w:r>
              <w:rPr>
                <w:rFonts w:hint="eastAsia" w:hAnsi="宋体"/>
                <w:b/>
                <w:szCs w:val="21"/>
                <w:highlight w:val="none"/>
              </w:rPr>
              <w:t>条 款 名 称</w:t>
            </w:r>
          </w:p>
        </w:tc>
        <w:tc>
          <w:tcPr>
            <w:tcW w:w="5800" w:type="dxa"/>
            <w:vAlign w:val="center"/>
          </w:tcPr>
          <w:p>
            <w:pPr>
              <w:pStyle w:val="15"/>
              <w:spacing w:line="360" w:lineRule="auto"/>
              <w:jc w:val="center"/>
              <w:rPr>
                <w:rFonts w:hAnsi="宋体"/>
                <w:b/>
                <w:szCs w:val="21"/>
                <w:highlight w:val="none"/>
              </w:rPr>
            </w:pPr>
            <w:r>
              <w:rPr>
                <w:rFonts w:hint="eastAsia" w:hAnsi="宋体"/>
                <w:b/>
                <w:szCs w:val="21"/>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062" w:type="dxa"/>
            <w:vMerge w:val="restart"/>
            <w:vAlign w:val="center"/>
          </w:tcPr>
          <w:p>
            <w:pPr>
              <w:pStyle w:val="15"/>
              <w:spacing w:line="360" w:lineRule="auto"/>
              <w:jc w:val="center"/>
              <w:rPr>
                <w:rFonts w:hAnsi="宋体"/>
                <w:szCs w:val="21"/>
                <w:highlight w:val="none"/>
              </w:rPr>
            </w:pPr>
            <w:r>
              <w:rPr>
                <w:rFonts w:hint="eastAsia" w:hAnsi="宋体"/>
                <w:szCs w:val="21"/>
                <w:highlight w:val="none"/>
              </w:rPr>
              <w:t>1.2</w:t>
            </w:r>
          </w:p>
        </w:tc>
        <w:tc>
          <w:tcPr>
            <w:tcW w:w="2958" w:type="dxa"/>
            <w:vAlign w:val="center"/>
          </w:tcPr>
          <w:p>
            <w:pPr>
              <w:pStyle w:val="15"/>
              <w:spacing w:line="360" w:lineRule="auto"/>
              <w:jc w:val="center"/>
              <w:rPr>
                <w:rFonts w:hint="eastAsia" w:hAnsi="宋体" w:eastAsia="宋体"/>
                <w:szCs w:val="21"/>
                <w:highlight w:val="none"/>
                <w:u w:val="single"/>
                <w:lang w:eastAsia="zh-CN"/>
              </w:rPr>
            </w:pPr>
            <w:r>
              <w:rPr>
                <w:rFonts w:hint="eastAsia" w:hAnsi="宋体"/>
                <w:bCs/>
                <w:szCs w:val="21"/>
                <w:highlight w:val="none"/>
                <w:lang w:eastAsia="zh-CN"/>
              </w:rPr>
              <w:t>采购人</w:t>
            </w:r>
          </w:p>
        </w:tc>
        <w:tc>
          <w:tcPr>
            <w:tcW w:w="5800" w:type="dxa"/>
            <w:vAlign w:val="center"/>
          </w:tcPr>
          <w:p>
            <w:pPr>
              <w:spacing w:line="360" w:lineRule="auto"/>
              <w:rPr>
                <w:rFonts w:ascii="宋体" w:hAnsi="宋体"/>
                <w:bCs/>
                <w:szCs w:val="21"/>
                <w:highlight w:val="none"/>
              </w:rPr>
            </w:pPr>
            <w:r>
              <w:rPr>
                <w:rFonts w:hint="eastAsia" w:ascii="宋体" w:hAnsi="宋体"/>
                <w:bCs/>
                <w:szCs w:val="21"/>
                <w:highlight w:val="none"/>
              </w:rPr>
              <w:t>名</w:t>
            </w:r>
            <w:r>
              <w:rPr>
                <w:rFonts w:hint="eastAsia" w:ascii="宋体" w:hAnsi="宋体"/>
                <w:bCs/>
                <w:szCs w:val="21"/>
                <w:highlight w:val="none"/>
                <w:lang w:val="en-US" w:eastAsia="zh-CN"/>
              </w:rPr>
              <w:t xml:space="preserve">  </w:t>
            </w:r>
            <w:r>
              <w:rPr>
                <w:rFonts w:hint="eastAsia" w:ascii="宋体" w:hAnsi="宋体"/>
                <w:bCs/>
                <w:szCs w:val="21"/>
                <w:highlight w:val="none"/>
              </w:rPr>
              <w:t>称：大理白族自治州应急管理局</w:t>
            </w:r>
          </w:p>
          <w:p>
            <w:pPr>
              <w:spacing w:line="360" w:lineRule="auto"/>
              <w:rPr>
                <w:rFonts w:ascii="宋体" w:hAnsi="宋体"/>
                <w:bCs/>
                <w:szCs w:val="21"/>
                <w:highlight w:val="none"/>
              </w:rPr>
            </w:pPr>
            <w:r>
              <w:rPr>
                <w:rFonts w:hint="eastAsia" w:ascii="宋体" w:hAnsi="宋体"/>
                <w:bCs/>
                <w:szCs w:val="21"/>
                <w:highlight w:val="none"/>
              </w:rPr>
              <w:t>地</w:t>
            </w:r>
            <w:r>
              <w:rPr>
                <w:rFonts w:hint="eastAsia" w:ascii="宋体" w:hAnsi="宋体"/>
                <w:bCs/>
                <w:szCs w:val="21"/>
                <w:highlight w:val="none"/>
                <w:lang w:val="en-US" w:eastAsia="zh-CN"/>
              </w:rPr>
              <w:t xml:space="preserve">  </w:t>
            </w:r>
            <w:r>
              <w:rPr>
                <w:rFonts w:hint="eastAsia" w:ascii="宋体" w:hAnsi="宋体"/>
                <w:bCs/>
                <w:szCs w:val="21"/>
                <w:highlight w:val="none"/>
              </w:rPr>
              <w:t>址：大理白族自治州大理市宾川路387号</w:t>
            </w:r>
          </w:p>
          <w:p>
            <w:pPr>
              <w:spacing w:line="360" w:lineRule="auto"/>
              <w:rPr>
                <w:rFonts w:ascii="宋体" w:hAnsi="宋体"/>
                <w:bCs/>
                <w:szCs w:val="21"/>
                <w:highlight w:val="none"/>
              </w:rPr>
            </w:pPr>
            <w:r>
              <w:rPr>
                <w:rFonts w:hint="eastAsia" w:ascii="宋体" w:hAnsi="宋体"/>
                <w:bCs/>
                <w:szCs w:val="21"/>
                <w:highlight w:val="none"/>
              </w:rPr>
              <w:t>联系人：吴老师</w:t>
            </w:r>
          </w:p>
          <w:p>
            <w:pPr>
              <w:spacing w:line="360" w:lineRule="auto"/>
              <w:rPr>
                <w:rFonts w:hAnsi="宋体"/>
                <w:szCs w:val="21"/>
                <w:highlight w:val="none"/>
                <w:u w:val="single"/>
              </w:rPr>
            </w:pPr>
            <w:r>
              <w:rPr>
                <w:rFonts w:hint="eastAsia" w:ascii="宋体" w:hAnsi="宋体"/>
                <w:bCs/>
                <w:szCs w:val="21"/>
                <w:highlight w:val="none"/>
              </w:rPr>
              <w:t>联系方式：13988566466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062" w:type="dxa"/>
            <w:vMerge w:val="continue"/>
            <w:vAlign w:val="center"/>
          </w:tcPr>
          <w:p>
            <w:pPr>
              <w:spacing w:line="360" w:lineRule="auto"/>
              <w:rPr>
                <w:rFonts w:ascii="宋体" w:hAnsi="宋体"/>
                <w:szCs w:val="21"/>
                <w:highlight w:val="none"/>
              </w:rPr>
            </w:pPr>
          </w:p>
        </w:tc>
        <w:tc>
          <w:tcPr>
            <w:tcW w:w="2958" w:type="dxa"/>
            <w:vAlign w:val="center"/>
          </w:tcPr>
          <w:p>
            <w:pPr>
              <w:pStyle w:val="15"/>
              <w:spacing w:line="360" w:lineRule="auto"/>
              <w:jc w:val="center"/>
              <w:rPr>
                <w:rFonts w:hint="eastAsia" w:hAnsi="宋体" w:eastAsia="宋体"/>
                <w:bCs/>
                <w:szCs w:val="21"/>
                <w:highlight w:val="none"/>
                <w:lang w:eastAsia="zh-CN"/>
              </w:rPr>
            </w:pPr>
            <w:r>
              <w:rPr>
                <w:rFonts w:hint="eastAsia" w:hAnsi="宋体"/>
                <w:bCs/>
                <w:szCs w:val="21"/>
                <w:highlight w:val="none"/>
                <w:lang w:eastAsia="zh-CN"/>
              </w:rPr>
              <w:t>采购代理机构</w:t>
            </w:r>
          </w:p>
        </w:tc>
        <w:tc>
          <w:tcPr>
            <w:tcW w:w="5800" w:type="dxa"/>
            <w:vAlign w:val="center"/>
          </w:tcPr>
          <w:p>
            <w:pPr>
              <w:spacing w:line="360" w:lineRule="auto"/>
              <w:rPr>
                <w:rFonts w:hint="eastAsia" w:ascii="宋体" w:hAnsi="宋体" w:eastAsia="宋体"/>
                <w:bCs/>
                <w:szCs w:val="21"/>
                <w:highlight w:val="none"/>
                <w:lang w:eastAsia="zh-CN"/>
              </w:rPr>
            </w:pPr>
            <w:r>
              <w:rPr>
                <w:rFonts w:hint="eastAsia" w:ascii="宋体" w:hAnsi="宋体"/>
                <w:bCs/>
                <w:szCs w:val="21"/>
                <w:highlight w:val="none"/>
              </w:rPr>
              <w:t>名</w:t>
            </w:r>
            <w:r>
              <w:rPr>
                <w:rFonts w:hint="eastAsia" w:ascii="宋体" w:hAnsi="宋体"/>
                <w:bCs/>
                <w:szCs w:val="21"/>
                <w:highlight w:val="none"/>
                <w:lang w:val="en-US" w:eastAsia="zh-CN"/>
              </w:rPr>
              <w:t xml:space="preserve">  </w:t>
            </w:r>
            <w:r>
              <w:rPr>
                <w:rFonts w:hint="eastAsia" w:ascii="宋体" w:hAnsi="宋体"/>
                <w:bCs/>
                <w:szCs w:val="21"/>
                <w:highlight w:val="none"/>
              </w:rPr>
              <w:t>称：</w:t>
            </w:r>
            <w:r>
              <w:rPr>
                <w:rFonts w:hint="eastAsia" w:ascii="宋体" w:hAnsi="宋体"/>
                <w:bCs/>
                <w:szCs w:val="21"/>
                <w:highlight w:val="none"/>
                <w:lang w:eastAsia="zh-CN"/>
              </w:rPr>
              <w:t>云南耀鑫工程招标代理有限公司</w:t>
            </w:r>
          </w:p>
          <w:p>
            <w:pPr>
              <w:spacing w:line="360" w:lineRule="auto"/>
              <w:rPr>
                <w:rFonts w:hint="eastAsia" w:ascii="宋体" w:hAnsi="宋体" w:eastAsia="宋体"/>
                <w:bCs/>
                <w:szCs w:val="21"/>
                <w:highlight w:val="none"/>
                <w:lang w:eastAsia="zh-CN"/>
              </w:rPr>
            </w:pPr>
            <w:r>
              <w:rPr>
                <w:rFonts w:hint="eastAsia" w:ascii="宋体" w:hAnsi="宋体"/>
                <w:bCs/>
                <w:szCs w:val="21"/>
                <w:highlight w:val="none"/>
              </w:rPr>
              <w:t>地</w:t>
            </w:r>
            <w:r>
              <w:rPr>
                <w:rFonts w:hint="eastAsia" w:ascii="宋体" w:hAnsi="宋体"/>
                <w:bCs/>
                <w:szCs w:val="21"/>
                <w:highlight w:val="none"/>
                <w:lang w:val="en-US" w:eastAsia="zh-CN"/>
              </w:rPr>
              <w:t xml:space="preserve">  </w:t>
            </w:r>
            <w:r>
              <w:rPr>
                <w:rFonts w:hint="eastAsia" w:ascii="宋体" w:hAnsi="宋体"/>
                <w:bCs/>
                <w:szCs w:val="21"/>
                <w:highlight w:val="none"/>
              </w:rPr>
              <w:t>址：</w:t>
            </w:r>
            <w:r>
              <w:rPr>
                <w:rFonts w:hint="eastAsia" w:ascii="宋体" w:hAnsi="宋体"/>
                <w:bCs/>
                <w:szCs w:val="21"/>
                <w:highlight w:val="none"/>
                <w:lang w:eastAsia="zh-CN"/>
              </w:rPr>
              <w:t>大理州下关镇经开区西屏路与宾川路交叉口东南侧办公楼4楼</w:t>
            </w:r>
          </w:p>
          <w:p>
            <w:pPr>
              <w:spacing w:line="360" w:lineRule="auto"/>
              <w:rPr>
                <w:rFonts w:hint="default" w:ascii="宋体" w:hAnsi="宋体" w:eastAsia="宋体"/>
                <w:bCs/>
                <w:szCs w:val="21"/>
                <w:highlight w:val="none"/>
                <w:lang w:val="en-US" w:eastAsia="zh-CN"/>
              </w:rPr>
            </w:pPr>
            <w:r>
              <w:rPr>
                <w:rFonts w:hint="eastAsia" w:ascii="宋体" w:hAnsi="宋体"/>
                <w:bCs/>
                <w:szCs w:val="21"/>
                <w:highlight w:val="none"/>
              </w:rPr>
              <w:t>联系人：</w:t>
            </w:r>
            <w:r>
              <w:rPr>
                <w:rFonts w:hint="eastAsia" w:ascii="宋体" w:hAnsi="宋体"/>
                <w:bCs/>
                <w:szCs w:val="21"/>
                <w:highlight w:val="none"/>
                <w:lang w:val="en-US" w:eastAsia="zh-CN"/>
              </w:rPr>
              <w:t>李春元、刘青青</w:t>
            </w:r>
          </w:p>
          <w:p>
            <w:pPr>
              <w:spacing w:line="360" w:lineRule="auto"/>
              <w:rPr>
                <w:rFonts w:hint="eastAsia" w:hAnsi="宋体" w:eastAsia="宋体"/>
                <w:szCs w:val="21"/>
                <w:highlight w:val="none"/>
                <w:lang w:eastAsia="zh-CN"/>
              </w:rPr>
            </w:pPr>
            <w:r>
              <w:rPr>
                <w:rFonts w:hint="eastAsia" w:ascii="宋体" w:hAnsi="宋体"/>
                <w:bCs/>
                <w:szCs w:val="21"/>
                <w:highlight w:val="none"/>
              </w:rPr>
              <w:t>联系</w:t>
            </w:r>
            <w:r>
              <w:rPr>
                <w:rFonts w:hint="eastAsia" w:ascii="宋体" w:hAnsi="宋体"/>
                <w:bCs/>
                <w:szCs w:val="21"/>
                <w:highlight w:val="none"/>
                <w:lang w:val="en-US" w:eastAsia="zh-CN"/>
              </w:rPr>
              <w:t>方式</w:t>
            </w:r>
            <w:r>
              <w:rPr>
                <w:rFonts w:hint="eastAsia" w:ascii="宋体" w:hAnsi="宋体"/>
                <w:bCs/>
                <w:szCs w:val="21"/>
                <w:highlight w:val="none"/>
              </w:rPr>
              <w:t>：</w:t>
            </w:r>
            <w:r>
              <w:rPr>
                <w:rFonts w:hint="eastAsia" w:ascii="宋体" w:hAnsi="宋体"/>
                <w:bCs/>
                <w:szCs w:val="21"/>
                <w:highlight w:val="none"/>
                <w:lang w:eastAsia="zh-CN"/>
              </w:rPr>
              <w:t>18787290601、</w:t>
            </w:r>
            <w:r>
              <w:rPr>
                <w:rFonts w:hint="eastAsia" w:ascii="宋体" w:hAnsi="宋体"/>
                <w:bCs/>
                <w:szCs w:val="21"/>
                <w:highlight w:val="none"/>
                <w:lang w:val="en-US" w:eastAsia="zh-CN"/>
              </w:rPr>
              <w:t>13648815125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1062" w:type="dxa"/>
            <w:vMerge w:val="continue"/>
            <w:vAlign w:val="center"/>
          </w:tcPr>
          <w:p>
            <w:pPr>
              <w:spacing w:line="360" w:lineRule="auto"/>
              <w:rPr>
                <w:rFonts w:ascii="宋体" w:hAnsi="宋体"/>
                <w:szCs w:val="21"/>
                <w:highlight w:val="none"/>
              </w:rPr>
            </w:pPr>
          </w:p>
        </w:tc>
        <w:tc>
          <w:tcPr>
            <w:tcW w:w="2958" w:type="dxa"/>
            <w:vAlign w:val="center"/>
          </w:tcPr>
          <w:p>
            <w:pPr>
              <w:pStyle w:val="15"/>
              <w:spacing w:line="360" w:lineRule="auto"/>
              <w:jc w:val="center"/>
              <w:rPr>
                <w:rFonts w:hAnsi="宋体"/>
                <w:szCs w:val="21"/>
                <w:highlight w:val="none"/>
              </w:rPr>
            </w:pPr>
            <w:r>
              <w:rPr>
                <w:rFonts w:hint="eastAsia" w:hAnsi="宋体"/>
                <w:szCs w:val="21"/>
                <w:highlight w:val="none"/>
              </w:rPr>
              <w:t>项目名称及项目编号</w:t>
            </w:r>
          </w:p>
        </w:tc>
        <w:tc>
          <w:tcPr>
            <w:tcW w:w="5800" w:type="dxa"/>
            <w:vAlign w:val="center"/>
          </w:tcPr>
          <w:p>
            <w:pPr>
              <w:spacing w:line="360" w:lineRule="auto"/>
              <w:jc w:val="left"/>
              <w:rPr>
                <w:rFonts w:hint="eastAsia" w:ascii="Arial" w:hAnsi="Arial" w:cs="Arial"/>
                <w:kern w:val="0"/>
                <w:szCs w:val="21"/>
                <w:highlight w:val="none"/>
                <w:lang w:eastAsia="zh-CN"/>
              </w:rPr>
            </w:pPr>
            <w:r>
              <w:rPr>
                <w:rFonts w:ascii="宋体" w:hAnsi="宋体"/>
                <w:bCs/>
                <w:szCs w:val="21"/>
                <w:highlight w:val="none"/>
              </w:rPr>
              <w:t>项目名称：</w:t>
            </w:r>
            <w:r>
              <w:rPr>
                <w:rFonts w:hint="eastAsia" w:ascii="Arial" w:hAnsi="Arial" w:cs="Arial"/>
                <w:kern w:val="0"/>
                <w:szCs w:val="21"/>
                <w:highlight w:val="none"/>
              </w:rPr>
              <w:t>云南省大理州自然灾害应急能力提升工程基层防灾项目</w:t>
            </w:r>
            <w:r>
              <w:rPr>
                <w:rFonts w:hint="eastAsia" w:ascii="Arial" w:hAnsi="Arial" w:cs="Arial"/>
                <w:kern w:val="0"/>
                <w:szCs w:val="21"/>
                <w:highlight w:val="none"/>
                <w:lang w:eastAsia="zh-CN"/>
              </w:rPr>
              <w:t>第十标段</w:t>
            </w:r>
          </w:p>
          <w:p>
            <w:pPr>
              <w:spacing w:line="360" w:lineRule="auto"/>
              <w:jc w:val="left"/>
              <w:rPr>
                <w:rFonts w:hint="eastAsia" w:ascii="Arial" w:hAnsi="Arial" w:cs="Arial"/>
                <w:kern w:val="0"/>
                <w:szCs w:val="21"/>
                <w:highlight w:val="none"/>
                <w:lang w:eastAsia="zh-CN"/>
              </w:rPr>
            </w:pPr>
            <w:r>
              <w:rPr>
                <w:rFonts w:ascii="宋体" w:hAnsi="宋体"/>
                <w:bCs/>
                <w:szCs w:val="21"/>
                <w:highlight w:val="none"/>
              </w:rPr>
              <w:t>项目编号：</w:t>
            </w:r>
            <w:r>
              <w:rPr>
                <w:rFonts w:hint="eastAsia" w:ascii="宋体" w:hAnsi="宋体"/>
                <w:bCs/>
                <w:szCs w:val="21"/>
                <w:highlight w:val="none"/>
                <w:lang w:eastAsia="zh-CN"/>
              </w:rPr>
              <w:t>DLZC2024-G1-00384-YNYX-0001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1062" w:type="dxa"/>
            <w:vAlign w:val="center"/>
          </w:tcPr>
          <w:p>
            <w:pPr>
              <w:pStyle w:val="15"/>
              <w:spacing w:line="360" w:lineRule="auto"/>
              <w:jc w:val="center"/>
              <w:rPr>
                <w:rFonts w:hint="eastAsia" w:hAnsi="宋体" w:eastAsia="宋体"/>
                <w:szCs w:val="21"/>
                <w:highlight w:val="none"/>
                <w:lang w:eastAsia="zh-CN"/>
              </w:rPr>
            </w:pPr>
            <w:r>
              <w:rPr>
                <w:rFonts w:hint="eastAsia" w:hAnsi="宋体"/>
                <w:szCs w:val="21"/>
                <w:highlight w:val="none"/>
                <w:lang w:val="en-US" w:eastAsia="zh-CN"/>
              </w:rPr>
              <w:t>2</w:t>
            </w:r>
          </w:p>
        </w:tc>
        <w:tc>
          <w:tcPr>
            <w:tcW w:w="2958" w:type="dxa"/>
            <w:vAlign w:val="center"/>
          </w:tcPr>
          <w:p>
            <w:pPr>
              <w:pStyle w:val="15"/>
              <w:spacing w:line="360" w:lineRule="auto"/>
              <w:jc w:val="center"/>
              <w:rPr>
                <w:rFonts w:hint="eastAsia" w:hAnsi="宋体" w:eastAsia="宋体"/>
                <w:szCs w:val="21"/>
                <w:highlight w:val="none"/>
                <w:lang w:val="en-US" w:eastAsia="zh-CN"/>
              </w:rPr>
            </w:pPr>
            <w:r>
              <w:rPr>
                <w:rFonts w:hint="eastAsia" w:hAnsi="宋体"/>
                <w:szCs w:val="21"/>
                <w:highlight w:val="none"/>
                <w:lang w:val="en-US" w:eastAsia="zh-CN"/>
              </w:rPr>
              <w:t>资金来源</w:t>
            </w:r>
          </w:p>
        </w:tc>
        <w:tc>
          <w:tcPr>
            <w:tcW w:w="5800" w:type="dxa"/>
            <w:vAlign w:val="center"/>
          </w:tcPr>
          <w:p>
            <w:pPr>
              <w:pStyle w:val="15"/>
              <w:spacing w:line="360" w:lineRule="auto"/>
              <w:jc w:val="left"/>
              <w:rPr>
                <w:rFonts w:hint="default" w:hAnsi="宋体" w:eastAsia="宋体"/>
                <w:szCs w:val="21"/>
                <w:highlight w:val="none"/>
                <w:lang w:val="en-US" w:eastAsia="zh-CN"/>
              </w:rPr>
            </w:pPr>
            <w:r>
              <w:rPr>
                <w:rFonts w:hint="eastAsia" w:hAnsi="宋体"/>
                <w:szCs w:val="21"/>
                <w:highlight w:val="none"/>
                <w:lang w:val="en-US" w:eastAsia="zh-CN"/>
              </w:rPr>
              <w:t>财政资金 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1062" w:type="dxa"/>
            <w:vAlign w:val="center"/>
          </w:tcPr>
          <w:p>
            <w:pPr>
              <w:pStyle w:val="15"/>
              <w:spacing w:line="360" w:lineRule="auto"/>
              <w:jc w:val="center"/>
              <w:rPr>
                <w:rFonts w:hint="eastAsia" w:ascii="宋体" w:hAnsi="宋体" w:eastAsia="宋体" w:cs="Times New Roman"/>
                <w:b w:val="0"/>
                <w:bCs w:val="0"/>
                <w:kern w:val="2"/>
                <w:sz w:val="21"/>
                <w:szCs w:val="21"/>
                <w:highlight w:val="none"/>
                <w:lang w:val="en-US" w:eastAsia="zh-CN" w:bidi="ar-SA"/>
              </w:rPr>
            </w:pPr>
            <w:r>
              <w:rPr>
                <w:rFonts w:hint="eastAsia" w:hAnsi="宋体"/>
                <w:b w:val="0"/>
                <w:bCs w:val="0"/>
                <w:szCs w:val="21"/>
                <w:highlight w:val="none"/>
              </w:rPr>
              <w:t>3.1</w:t>
            </w:r>
          </w:p>
        </w:tc>
        <w:tc>
          <w:tcPr>
            <w:tcW w:w="2958" w:type="dxa"/>
            <w:vAlign w:val="center"/>
          </w:tcPr>
          <w:p>
            <w:pPr>
              <w:pStyle w:val="15"/>
              <w:spacing w:line="360" w:lineRule="auto"/>
              <w:jc w:val="center"/>
              <w:rPr>
                <w:rFonts w:hint="eastAsia" w:ascii="宋体" w:hAnsi="宋体" w:eastAsia="宋体" w:cs="Times New Roman"/>
                <w:b w:val="0"/>
                <w:bCs w:val="0"/>
                <w:kern w:val="2"/>
                <w:sz w:val="21"/>
                <w:szCs w:val="21"/>
                <w:highlight w:val="none"/>
                <w:lang w:val="en-US" w:eastAsia="zh-CN" w:bidi="ar-SA"/>
              </w:rPr>
            </w:pPr>
            <w:r>
              <w:rPr>
                <w:rFonts w:hint="eastAsia" w:hAnsi="宋体"/>
                <w:b w:val="0"/>
                <w:bCs w:val="0"/>
                <w:szCs w:val="21"/>
                <w:highlight w:val="none"/>
              </w:rPr>
              <w:t>招标范围</w:t>
            </w:r>
          </w:p>
        </w:tc>
        <w:tc>
          <w:tcPr>
            <w:tcW w:w="5800" w:type="dxa"/>
            <w:vAlign w:val="center"/>
          </w:tcPr>
          <w:p>
            <w:pPr>
              <w:pStyle w:val="15"/>
              <w:spacing w:line="360" w:lineRule="auto"/>
              <w:jc w:val="left"/>
              <w:rPr>
                <w:rFonts w:hint="eastAsia" w:ascii="宋体" w:hAnsi="宋体" w:eastAsia="宋体" w:cs="Times New Roman"/>
                <w:b w:val="0"/>
                <w:bCs w:val="0"/>
                <w:kern w:val="2"/>
                <w:sz w:val="21"/>
                <w:szCs w:val="21"/>
                <w:highlight w:val="none"/>
                <w:lang w:val="en-US" w:eastAsia="zh-CN" w:bidi="ar-SA"/>
              </w:rPr>
            </w:pPr>
            <w:r>
              <w:rPr>
                <w:rFonts w:hint="eastAsia" w:hAnsi="宋体"/>
                <w:b w:val="0"/>
                <w:bCs w:val="0"/>
                <w:szCs w:val="21"/>
                <w:highlight w:val="none"/>
              </w:rPr>
              <w:t>详见招标公告及</w:t>
            </w:r>
            <w:r>
              <w:rPr>
                <w:rFonts w:hint="eastAsia" w:hAnsi="宋体"/>
                <w:b w:val="0"/>
                <w:bCs w:val="0"/>
                <w:szCs w:val="21"/>
                <w:highlight w:val="none"/>
                <w:lang w:eastAsia="zh-CN"/>
              </w:rPr>
              <w:t>采购文件</w:t>
            </w:r>
            <w:r>
              <w:rPr>
                <w:rFonts w:hint="eastAsia" w:hAnsi="宋体"/>
                <w:b w:val="0"/>
                <w:bCs w:val="0"/>
                <w:szCs w:val="21"/>
                <w:highlight w:val="none"/>
              </w:rPr>
              <w:t>第五章</w:t>
            </w:r>
            <w:r>
              <w:rPr>
                <w:rFonts w:hint="eastAsia" w:hAnsi="宋体"/>
                <w:b w:val="0"/>
                <w:bCs w:val="0"/>
                <w:szCs w:val="21"/>
                <w:highlight w:val="none"/>
                <w:lang w:val="en-US" w:eastAsia="zh-CN"/>
              </w:rPr>
              <w:t xml:space="preserve"> </w:t>
            </w:r>
            <w:r>
              <w:rPr>
                <w:rFonts w:hint="eastAsia" w:ascii="宋体" w:hAnsi="宋体" w:cs="宋体"/>
                <w:b w:val="0"/>
                <w:bCs w:val="0"/>
                <w:color w:val="auto"/>
                <w:kern w:val="0"/>
                <w:szCs w:val="21"/>
                <w:highlight w:val="none"/>
                <w:lang w:val="en-US" w:eastAsia="zh-CN"/>
              </w:rPr>
              <w:t>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062" w:type="dxa"/>
            <w:vAlign w:val="center"/>
          </w:tcPr>
          <w:p>
            <w:pPr>
              <w:pStyle w:val="15"/>
              <w:spacing w:line="360" w:lineRule="auto"/>
              <w:jc w:val="center"/>
              <w:rPr>
                <w:rFonts w:hAnsi="宋体"/>
                <w:szCs w:val="21"/>
                <w:highlight w:val="none"/>
              </w:rPr>
            </w:pPr>
            <w:r>
              <w:rPr>
                <w:rFonts w:hint="eastAsia" w:hAnsi="宋体"/>
                <w:szCs w:val="21"/>
                <w:highlight w:val="none"/>
              </w:rPr>
              <w:t>3.2</w:t>
            </w:r>
          </w:p>
        </w:tc>
        <w:tc>
          <w:tcPr>
            <w:tcW w:w="2958" w:type="dxa"/>
            <w:vAlign w:val="center"/>
          </w:tcPr>
          <w:p>
            <w:pPr>
              <w:spacing w:line="360" w:lineRule="auto"/>
              <w:jc w:val="center"/>
              <w:rPr>
                <w:rFonts w:hint="default" w:hAnsi="宋体" w:eastAsia="宋体"/>
                <w:szCs w:val="21"/>
                <w:highlight w:val="none"/>
                <w:lang w:val="en-US" w:eastAsia="zh-CN"/>
              </w:rPr>
            </w:pPr>
            <w:r>
              <w:rPr>
                <w:rFonts w:hint="eastAsia" w:ascii="宋体" w:hAnsi="宋体"/>
                <w:bCs/>
                <w:szCs w:val="21"/>
                <w:highlight w:val="none"/>
              </w:rPr>
              <w:t>交货期限</w:t>
            </w:r>
            <w:r>
              <w:rPr>
                <w:rFonts w:hint="eastAsia" w:ascii="宋体" w:hAnsi="宋体"/>
                <w:bCs/>
                <w:szCs w:val="21"/>
                <w:highlight w:val="none"/>
                <w:lang w:eastAsia="zh-CN"/>
              </w:rPr>
              <w:t>、</w:t>
            </w:r>
            <w:r>
              <w:rPr>
                <w:rFonts w:hint="eastAsia" w:ascii="宋体" w:hAnsi="宋体"/>
                <w:bCs/>
                <w:szCs w:val="21"/>
                <w:highlight w:val="none"/>
                <w:lang w:val="en-US" w:eastAsia="zh-CN"/>
              </w:rPr>
              <w:t>地点</w:t>
            </w:r>
          </w:p>
        </w:tc>
        <w:tc>
          <w:tcPr>
            <w:tcW w:w="5800" w:type="dxa"/>
            <w:vAlign w:val="center"/>
          </w:tcPr>
          <w:p>
            <w:pPr>
              <w:spacing w:line="360" w:lineRule="auto"/>
              <w:jc w:val="left"/>
              <w:rPr>
                <w:rFonts w:hint="eastAsia" w:hAnsi="宋体"/>
                <w:szCs w:val="21"/>
                <w:highlight w:val="none"/>
              </w:rPr>
            </w:pPr>
            <w:r>
              <w:rPr>
                <w:rFonts w:hint="eastAsia" w:hAnsi="宋体"/>
                <w:szCs w:val="21"/>
                <w:highlight w:val="none"/>
                <w:lang w:val="en-US" w:eastAsia="zh-CN"/>
              </w:rPr>
              <w:t>交货期限：</w:t>
            </w:r>
            <w:r>
              <w:rPr>
                <w:rFonts w:hint="eastAsia" w:hAnsi="宋体"/>
                <w:b/>
                <w:bCs/>
                <w:szCs w:val="21"/>
                <w:highlight w:val="none"/>
              </w:rPr>
              <w:t>合同签订后60日内完成交货并安装调试、验收</w:t>
            </w:r>
          </w:p>
          <w:p>
            <w:pPr>
              <w:spacing w:line="360" w:lineRule="auto"/>
              <w:jc w:val="left"/>
              <w:rPr>
                <w:rFonts w:hint="default" w:hAnsi="宋体" w:eastAsia="宋体"/>
                <w:szCs w:val="21"/>
                <w:highlight w:val="none"/>
                <w:lang w:val="en-US" w:eastAsia="zh-CN"/>
              </w:rPr>
            </w:pPr>
            <w:r>
              <w:rPr>
                <w:rFonts w:hint="eastAsia" w:hAnsi="宋体"/>
                <w:szCs w:val="21"/>
                <w:highlight w:val="none"/>
                <w:lang w:val="en-US" w:eastAsia="zh-CN"/>
              </w:rPr>
              <w:t>交货地点：</w:t>
            </w:r>
            <w:r>
              <w:rPr>
                <w:rFonts w:hint="eastAsia" w:hAnsi="宋体"/>
                <w:b/>
                <w:bCs/>
                <w:szCs w:val="21"/>
                <w:highlight w:val="none"/>
                <w:lang w:val="en-US" w:eastAsia="zh-CN"/>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062" w:type="dxa"/>
            <w:vAlign w:val="center"/>
          </w:tcPr>
          <w:p>
            <w:pPr>
              <w:pStyle w:val="15"/>
              <w:spacing w:line="360" w:lineRule="auto"/>
              <w:jc w:val="center"/>
              <w:rPr>
                <w:rFonts w:hint="default" w:hAnsi="宋体" w:eastAsia="宋体"/>
                <w:szCs w:val="21"/>
                <w:highlight w:val="none"/>
                <w:lang w:val="en-US" w:eastAsia="zh-CN"/>
              </w:rPr>
            </w:pPr>
            <w:r>
              <w:rPr>
                <w:rFonts w:hint="eastAsia" w:hAnsi="宋体"/>
                <w:szCs w:val="21"/>
                <w:highlight w:val="none"/>
                <w:lang w:val="en-US" w:eastAsia="zh-CN"/>
              </w:rPr>
              <w:t>3.3</w:t>
            </w:r>
          </w:p>
        </w:tc>
        <w:tc>
          <w:tcPr>
            <w:tcW w:w="2958" w:type="dxa"/>
            <w:vAlign w:val="center"/>
          </w:tcPr>
          <w:p>
            <w:pPr>
              <w:pStyle w:val="15"/>
              <w:spacing w:line="360" w:lineRule="auto"/>
              <w:jc w:val="center"/>
              <w:rPr>
                <w:rFonts w:hint="default" w:hAnsi="宋体" w:eastAsia="宋体"/>
                <w:szCs w:val="21"/>
                <w:highlight w:val="none"/>
                <w:lang w:val="en-US" w:eastAsia="zh-CN"/>
              </w:rPr>
            </w:pPr>
            <w:r>
              <w:rPr>
                <w:rFonts w:hint="eastAsia" w:hAnsi="宋体"/>
                <w:szCs w:val="21"/>
                <w:highlight w:val="none"/>
                <w:lang w:val="en-US" w:eastAsia="zh-CN"/>
              </w:rPr>
              <w:t>质量要求</w:t>
            </w:r>
          </w:p>
        </w:tc>
        <w:tc>
          <w:tcPr>
            <w:tcW w:w="5800" w:type="dxa"/>
            <w:vAlign w:val="center"/>
          </w:tcPr>
          <w:p>
            <w:pPr>
              <w:autoSpaceDE w:val="0"/>
              <w:autoSpaceDN w:val="0"/>
              <w:snapToGrid w:val="0"/>
              <w:spacing w:line="360" w:lineRule="auto"/>
              <w:textAlignment w:val="bottom"/>
              <w:rPr>
                <w:rFonts w:ascii="宋体" w:hAnsi="宋体"/>
                <w:szCs w:val="21"/>
                <w:highlight w:val="none"/>
              </w:rPr>
            </w:pPr>
            <w:r>
              <w:rPr>
                <w:rFonts w:hint="eastAsia"/>
                <w:b/>
                <w:bCs/>
              </w:rPr>
              <w:t>有国家标准和行业标准的，按国家标准和行业标准执行，满足质量要求和使用需求的全新产品，一次验收合格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062" w:type="dxa"/>
            <w:vAlign w:val="center"/>
          </w:tcPr>
          <w:p>
            <w:pPr>
              <w:pStyle w:val="15"/>
              <w:spacing w:line="360" w:lineRule="auto"/>
              <w:jc w:val="center"/>
              <w:rPr>
                <w:rFonts w:hint="default" w:hAnsi="宋体"/>
                <w:szCs w:val="21"/>
                <w:highlight w:val="none"/>
                <w:lang w:val="en-US" w:eastAsia="zh-CN"/>
              </w:rPr>
            </w:pPr>
            <w:r>
              <w:rPr>
                <w:rFonts w:hint="eastAsia" w:hAnsi="宋体"/>
                <w:szCs w:val="21"/>
                <w:highlight w:val="none"/>
                <w:lang w:val="en-US" w:eastAsia="zh-CN"/>
              </w:rPr>
              <w:t>3.3</w:t>
            </w:r>
          </w:p>
        </w:tc>
        <w:tc>
          <w:tcPr>
            <w:tcW w:w="2958" w:type="dxa"/>
            <w:vAlign w:val="center"/>
          </w:tcPr>
          <w:p>
            <w:pPr>
              <w:pStyle w:val="15"/>
              <w:spacing w:line="360" w:lineRule="auto"/>
              <w:jc w:val="center"/>
              <w:rPr>
                <w:rFonts w:hint="default" w:hAnsi="宋体"/>
                <w:szCs w:val="21"/>
                <w:highlight w:val="none"/>
                <w:lang w:val="en-US" w:eastAsia="zh-CN"/>
              </w:rPr>
            </w:pPr>
            <w:r>
              <w:rPr>
                <w:rFonts w:hint="eastAsia" w:hAnsi="宋体"/>
                <w:szCs w:val="21"/>
                <w:highlight w:val="none"/>
                <w:lang w:val="en-US" w:eastAsia="zh-CN"/>
              </w:rPr>
              <w:t>质保要求</w:t>
            </w:r>
          </w:p>
        </w:tc>
        <w:tc>
          <w:tcPr>
            <w:tcW w:w="5800" w:type="dxa"/>
            <w:vAlign w:val="center"/>
          </w:tcPr>
          <w:p>
            <w:pPr>
              <w:autoSpaceDE w:val="0"/>
              <w:autoSpaceDN w:val="0"/>
              <w:snapToGrid w:val="0"/>
              <w:spacing w:line="360" w:lineRule="auto"/>
              <w:textAlignment w:val="bottom"/>
              <w:rPr>
                <w:rFonts w:hint="eastAsia" w:hAnsi="宋体" w:eastAsia="宋体"/>
                <w:szCs w:val="21"/>
                <w:highlight w:val="none"/>
                <w:lang w:val="en-US" w:eastAsia="zh-CN"/>
              </w:rPr>
            </w:pPr>
            <w:r>
              <w:rPr>
                <w:rFonts w:hint="eastAsia"/>
                <w:b/>
                <w:bCs/>
                <w:lang w:val="en-US" w:eastAsia="zh-CN"/>
              </w:rPr>
              <w:t>质保期：</w:t>
            </w:r>
            <w:r>
              <w:rPr>
                <w:rFonts w:hint="eastAsia"/>
                <w:b/>
                <w:bCs/>
              </w:rPr>
              <w:t>验收合格之日起不低于</w:t>
            </w:r>
            <w:r>
              <w:rPr>
                <w:rFonts w:hint="eastAsia"/>
                <w:b/>
                <w:bCs/>
                <w:lang w:val="en-US" w:eastAsia="zh-CN"/>
              </w:rPr>
              <w:t>2</w:t>
            </w:r>
            <w:r>
              <w:rPr>
                <w:rFonts w:hint="eastAsia"/>
                <w:b/>
                <w:bCs/>
              </w:rPr>
              <w:t>年（技术</w:t>
            </w:r>
            <w:r>
              <w:rPr>
                <w:rFonts w:hint="eastAsia"/>
                <w:b/>
                <w:bCs/>
                <w:lang w:val="en-US" w:eastAsia="zh-CN"/>
              </w:rPr>
              <w:t>标准</w:t>
            </w:r>
            <w:r>
              <w:rPr>
                <w:rFonts w:hint="eastAsia"/>
                <w:b/>
                <w:bCs/>
              </w:rPr>
              <w:t>要求中有相关要求的以技术</w:t>
            </w:r>
            <w:r>
              <w:rPr>
                <w:rFonts w:hint="eastAsia"/>
                <w:b/>
                <w:bCs/>
                <w:lang w:val="en-US" w:eastAsia="zh-CN"/>
              </w:rPr>
              <w:t>标准</w:t>
            </w:r>
            <w:r>
              <w:rPr>
                <w:rFonts w:hint="eastAsia"/>
                <w:b/>
                <w:bCs/>
              </w:rPr>
              <w:t>要求为准）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62" w:type="dxa"/>
            <w:vAlign w:val="center"/>
          </w:tcPr>
          <w:p>
            <w:pPr>
              <w:pStyle w:val="15"/>
              <w:spacing w:line="360" w:lineRule="auto"/>
              <w:jc w:val="center"/>
              <w:rPr>
                <w:rFonts w:hint="eastAsia" w:ascii="宋体" w:hAnsi="宋体" w:eastAsia="宋体" w:cs="Times New Roman"/>
                <w:kern w:val="2"/>
                <w:sz w:val="21"/>
                <w:szCs w:val="21"/>
                <w:highlight w:val="none"/>
                <w:lang w:val="en-US" w:eastAsia="zh-CN" w:bidi="ar-SA"/>
              </w:rPr>
            </w:pPr>
            <w:r>
              <w:rPr>
                <w:rFonts w:hint="eastAsia" w:hAnsi="宋体"/>
                <w:szCs w:val="21"/>
                <w:highlight w:val="none"/>
              </w:rPr>
              <w:t>4.</w:t>
            </w:r>
            <w:r>
              <w:rPr>
                <w:rFonts w:hint="eastAsia" w:hAnsi="宋体"/>
                <w:szCs w:val="21"/>
                <w:highlight w:val="none"/>
                <w:lang w:val="en-US" w:eastAsia="zh-CN"/>
              </w:rPr>
              <w:t>1</w:t>
            </w:r>
          </w:p>
        </w:tc>
        <w:tc>
          <w:tcPr>
            <w:tcW w:w="2958" w:type="dxa"/>
            <w:vAlign w:val="center"/>
          </w:tcPr>
          <w:p>
            <w:pPr>
              <w:pStyle w:val="15"/>
              <w:spacing w:line="360" w:lineRule="auto"/>
              <w:jc w:val="center"/>
              <w:rPr>
                <w:rFonts w:hint="eastAsia" w:ascii="宋体" w:hAnsi="宋体" w:eastAsia="宋体" w:cs="Times New Roman"/>
                <w:kern w:val="2"/>
                <w:sz w:val="21"/>
                <w:szCs w:val="21"/>
                <w:highlight w:val="none"/>
                <w:lang w:val="en-US" w:eastAsia="zh-CN" w:bidi="ar-SA"/>
              </w:rPr>
            </w:pPr>
            <w:r>
              <w:rPr>
                <w:rFonts w:hint="eastAsia" w:hAnsi="宋体"/>
                <w:szCs w:val="21"/>
                <w:highlight w:val="none"/>
                <w:lang w:val="en-US" w:eastAsia="zh-CN"/>
              </w:rPr>
              <w:t>投标人资格要求</w:t>
            </w:r>
          </w:p>
        </w:tc>
        <w:tc>
          <w:tcPr>
            <w:tcW w:w="5800" w:type="dxa"/>
            <w:vAlign w:val="center"/>
          </w:tcPr>
          <w:p>
            <w:pPr>
              <w:autoSpaceDE w:val="0"/>
              <w:autoSpaceDN w:val="0"/>
              <w:snapToGrid w:val="0"/>
              <w:spacing w:line="360" w:lineRule="auto"/>
              <w:textAlignment w:val="bottom"/>
              <w:rPr>
                <w:rFonts w:hint="default"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详见第一章 招标公告（二、投标人资格要求）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jc w:val="center"/>
        </w:trPr>
        <w:tc>
          <w:tcPr>
            <w:tcW w:w="1062" w:type="dxa"/>
            <w:vAlign w:val="center"/>
          </w:tcPr>
          <w:p>
            <w:pPr>
              <w:pStyle w:val="15"/>
              <w:spacing w:line="360" w:lineRule="auto"/>
              <w:jc w:val="center"/>
              <w:rPr>
                <w:rFonts w:hint="eastAsia" w:hAnsi="宋体" w:eastAsia="宋体"/>
                <w:szCs w:val="21"/>
                <w:highlight w:val="none"/>
                <w:lang w:eastAsia="zh-CN"/>
              </w:rPr>
            </w:pPr>
            <w:r>
              <w:rPr>
                <w:rFonts w:hint="eastAsia" w:hAnsi="宋体"/>
                <w:szCs w:val="21"/>
                <w:highlight w:val="none"/>
              </w:rPr>
              <w:t>4.</w:t>
            </w:r>
            <w:r>
              <w:rPr>
                <w:rFonts w:hint="eastAsia" w:hAnsi="宋体"/>
                <w:szCs w:val="21"/>
                <w:highlight w:val="none"/>
                <w:lang w:val="en-US" w:eastAsia="zh-CN"/>
              </w:rPr>
              <w:t>2</w:t>
            </w:r>
          </w:p>
        </w:tc>
        <w:tc>
          <w:tcPr>
            <w:tcW w:w="2958" w:type="dxa"/>
            <w:vAlign w:val="center"/>
          </w:tcPr>
          <w:p>
            <w:pPr>
              <w:pStyle w:val="15"/>
              <w:spacing w:line="360" w:lineRule="auto"/>
              <w:jc w:val="center"/>
              <w:rPr>
                <w:rFonts w:hAnsi="宋体"/>
                <w:szCs w:val="21"/>
                <w:highlight w:val="none"/>
              </w:rPr>
            </w:pPr>
            <w:r>
              <w:rPr>
                <w:rFonts w:hint="eastAsia" w:hAnsi="宋体"/>
                <w:szCs w:val="21"/>
                <w:highlight w:val="none"/>
              </w:rPr>
              <w:t>是否接受联合体投标</w:t>
            </w:r>
          </w:p>
        </w:tc>
        <w:tc>
          <w:tcPr>
            <w:tcW w:w="5800" w:type="dxa"/>
            <w:vAlign w:val="center"/>
          </w:tcPr>
          <w:p>
            <w:pPr>
              <w:pStyle w:val="15"/>
              <w:spacing w:line="360" w:lineRule="auto"/>
              <w:jc w:val="left"/>
              <w:rPr>
                <w:rFonts w:hAnsi="宋体"/>
                <w:szCs w:val="21"/>
                <w:highlight w:val="none"/>
              </w:rPr>
            </w:pPr>
            <w:r>
              <w:rPr>
                <w:rFonts w:hint="eastAsia" w:hAnsi="宋体"/>
                <w:szCs w:val="21"/>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062" w:type="dxa"/>
            <w:vAlign w:val="center"/>
          </w:tcPr>
          <w:p>
            <w:pPr>
              <w:pStyle w:val="15"/>
              <w:spacing w:line="360" w:lineRule="auto"/>
              <w:jc w:val="center"/>
              <w:rPr>
                <w:rFonts w:hint="default" w:hAnsi="宋体" w:eastAsia="宋体"/>
                <w:szCs w:val="21"/>
                <w:highlight w:val="none"/>
                <w:lang w:val="en-US" w:eastAsia="zh-CN"/>
              </w:rPr>
            </w:pPr>
            <w:r>
              <w:rPr>
                <w:rFonts w:hint="eastAsia" w:hAnsi="宋体"/>
                <w:szCs w:val="21"/>
                <w:highlight w:val="none"/>
                <w:lang w:val="en-US" w:eastAsia="zh-CN"/>
              </w:rPr>
              <w:t>10</w:t>
            </w:r>
          </w:p>
        </w:tc>
        <w:tc>
          <w:tcPr>
            <w:tcW w:w="2958" w:type="dxa"/>
            <w:vAlign w:val="center"/>
          </w:tcPr>
          <w:p>
            <w:pPr>
              <w:pStyle w:val="15"/>
              <w:spacing w:line="360" w:lineRule="auto"/>
              <w:jc w:val="center"/>
              <w:rPr>
                <w:rFonts w:hint="default" w:hAnsi="宋体" w:eastAsia="宋体"/>
                <w:szCs w:val="21"/>
                <w:highlight w:val="none"/>
                <w:lang w:val="en-US" w:eastAsia="zh-CN"/>
              </w:rPr>
            </w:pPr>
            <w:r>
              <w:rPr>
                <w:rFonts w:hint="eastAsia" w:hAnsi="宋体"/>
                <w:szCs w:val="21"/>
                <w:highlight w:val="none"/>
                <w:lang w:val="en-US" w:eastAsia="zh-CN"/>
              </w:rPr>
              <w:t>采购文件澄清截止时间</w:t>
            </w:r>
          </w:p>
        </w:tc>
        <w:tc>
          <w:tcPr>
            <w:tcW w:w="5800" w:type="dxa"/>
            <w:vAlign w:val="center"/>
          </w:tcPr>
          <w:p>
            <w:pPr>
              <w:autoSpaceDE w:val="0"/>
              <w:autoSpaceDN w:val="0"/>
              <w:snapToGrid w:val="0"/>
              <w:spacing w:line="360" w:lineRule="auto"/>
              <w:textAlignment w:val="bottom"/>
              <w:rPr>
                <w:rFonts w:hint="default" w:ascii="宋体" w:hAnsi="宋体" w:eastAsia="宋体"/>
                <w:bCs/>
                <w:szCs w:val="21"/>
                <w:highlight w:val="none"/>
                <w:lang w:val="en-US" w:eastAsia="zh-CN"/>
              </w:rPr>
            </w:pPr>
            <w:r>
              <w:rPr>
                <w:rFonts w:hint="eastAsia" w:ascii="宋体" w:hAnsi="宋体"/>
                <w:bCs/>
                <w:szCs w:val="21"/>
                <w:highlight w:val="none"/>
                <w:lang w:val="en-US" w:eastAsia="zh-CN"/>
              </w:rPr>
              <w:t>投标截止时间15日前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062" w:type="dxa"/>
            <w:vAlign w:val="center"/>
          </w:tcPr>
          <w:p>
            <w:pPr>
              <w:pStyle w:val="15"/>
              <w:spacing w:line="360" w:lineRule="auto"/>
              <w:jc w:val="center"/>
              <w:rPr>
                <w:rFonts w:hAnsi="宋体"/>
                <w:szCs w:val="21"/>
                <w:highlight w:val="none"/>
              </w:rPr>
            </w:pPr>
            <w:r>
              <w:rPr>
                <w:rFonts w:hAnsi="宋体"/>
                <w:szCs w:val="21"/>
                <w:highlight w:val="none"/>
              </w:rPr>
              <w:t>13</w:t>
            </w:r>
          </w:p>
        </w:tc>
        <w:tc>
          <w:tcPr>
            <w:tcW w:w="2958" w:type="dxa"/>
            <w:vAlign w:val="center"/>
          </w:tcPr>
          <w:p>
            <w:pPr>
              <w:pStyle w:val="15"/>
              <w:spacing w:line="360" w:lineRule="auto"/>
              <w:jc w:val="center"/>
              <w:rPr>
                <w:rFonts w:hAnsi="宋体"/>
                <w:szCs w:val="21"/>
                <w:highlight w:val="none"/>
              </w:rPr>
            </w:pPr>
            <w:r>
              <w:rPr>
                <w:rFonts w:hAnsi="宋体"/>
                <w:szCs w:val="21"/>
                <w:highlight w:val="none"/>
              </w:rPr>
              <w:t>构成投标文件的其他资料</w:t>
            </w:r>
          </w:p>
        </w:tc>
        <w:tc>
          <w:tcPr>
            <w:tcW w:w="5800" w:type="dxa"/>
            <w:vAlign w:val="center"/>
          </w:tcPr>
          <w:p>
            <w:pPr>
              <w:autoSpaceDE w:val="0"/>
              <w:autoSpaceDN w:val="0"/>
              <w:snapToGrid w:val="0"/>
              <w:spacing w:line="360" w:lineRule="auto"/>
              <w:textAlignment w:val="bottom"/>
              <w:rPr>
                <w:rFonts w:ascii="宋体" w:hAnsi="宋体"/>
                <w:bCs/>
                <w:szCs w:val="21"/>
                <w:highlight w:val="none"/>
              </w:rPr>
            </w:pPr>
            <w:r>
              <w:rPr>
                <w:rFonts w:hint="eastAsia" w:ascii="宋体" w:hAnsi="宋体"/>
                <w:bCs/>
                <w:szCs w:val="21"/>
                <w:highlight w:val="none"/>
              </w:rPr>
              <w:t>1、第五章“采购需求”中要求提供的其他资料；</w:t>
            </w:r>
          </w:p>
          <w:p>
            <w:pPr>
              <w:autoSpaceDE w:val="0"/>
              <w:autoSpaceDN w:val="0"/>
              <w:snapToGrid w:val="0"/>
              <w:spacing w:line="360" w:lineRule="auto"/>
              <w:textAlignment w:val="bottom"/>
              <w:rPr>
                <w:rFonts w:ascii="宋体" w:hAnsi="宋体"/>
                <w:bCs/>
                <w:szCs w:val="21"/>
                <w:highlight w:val="none"/>
              </w:rPr>
            </w:pPr>
            <w:r>
              <w:rPr>
                <w:rFonts w:ascii="宋体" w:hAnsi="宋体"/>
                <w:bCs/>
                <w:szCs w:val="21"/>
                <w:highlight w:val="none"/>
              </w:rPr>
              <w:t>2</w:t>
            </w:r>
            <w:r>
              <w:rPr>
                <w:rFonts w:hint="eastAsia" w:ascii="宋体" w:hAnsi="宋体"/>
                <w:bCs/>
                <w:szCs w:val="21"/>
                <w:highlight w:val="none"/>
              </w:rPr>
              <w:t xml:space="preserve">、 </w:t>
            </w:r>
            <w:r>
              <w:rPr>
                <w:rFonts w:hint="eastAsia" w:ascii="宋体" w:hAnsi="宋体"/>
                <w:bCs/>
                <w:szCs w:val="21"/>
                <w:highlight w:val="none"/>
                <w:lang w:eastAsia="zh-CN"/>
              </w:rPr>
              <w:t>采购文件</w:t>
            </w:r>
            <w:r>
              <w:rPr>
                <w:rFonts w:ascii="宋体" w:hAnsi="宋体"/>
                <w:bCs/>
                <w:szCs w:val="21"/>
                <w:highlight w:val="none"/>
              </w:rPr>
              <w:t>中所涉及到的相关资料及证明文件或</w:t>
            </w:r>
            <w:r>
              <w:rPr>
                <w:rFonts w:hint="eastAsia" w:ascii="宋体" w:hAnsi="宋体"/>
                <w:bCs/>
                <w:szCs w:val="21"/>
                <w:highlight w:val="none"/>
              </w:rPr>
              <w:t>投标人</w:t>
            </w:r>
            <w:r>
              <w:rPr>
                <w:rFonts w:ascii="宋体" w:hAnsi="宋体"/>
                <w:bCs/>
                <w:szCs w:val="21"/>
                <w:highlight w:val="none"/>
              </w:rPr>
              <w:t>认为必须提供的其他相关资料。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062" w:type="dxa"/>
            <w:vAlign w:val="center"/>
          </w:tcPr>
          <w:p>
            <w:pPr>
              <w:pStyle w:val="15"/>
              <w:spacing w:line="360" w:lineRule="auto"/>
              <w:jc w:val="center"/>
              <w:rPr>
                <w:rFonts w:hAnsi="宋体"/>
                <w:szCs w:val="21"/>
                <w:highlight w:val="none"/>
              </w:rPr>
            </w:pPr>
            <w:r>
              <w:rPr>
                <w:rFonts w:hint="eastAsia" w:hAnsi="宋体"/>
                <w:szCs w:val="21"/>
                <w:highlight w:val="none"/>
              </w:rPr>
              <w:t>15.1</w:t>
            </w:r>
          </w:p>
        </w:tc>
        <w:tc>
          <w:tcPr>
            <w:tcW w:w="2958" w:type="dxa"/>
            <w:vAlign w:val="center"/>
          </w:tcPr>
          <w:p>
            <w:pPr>
              <w:autoSpaceDE w:val="0"/>
              <w:autoSpaceDN w:val="0"/>
              <w:snapToGrid w:val="0"/>
              <w:spacing w:line="360" w:lineRule="auto"/>
              <w:jc w:val="center"/>
              <w:textAlignment w:val="bottom"/>
              <w:rPr>
                <w:rFonts w:ascii="宋体" w:hAnsi="宋体"/>
                <w:bCs/>
                <w:szCs w:val="21"/>
                <w:highlight w:val="none"/>
              </w:rPr>
            </w:pPr>
            <w:r>
              <w:rPr>
                <w:rFonts w:hint="eastAsia" w:ascii="宋体" w:hAnsi="宋体"/>
                <w:bCs/>
                <w:szCs w:val="21"/>
                <w:highlight w:val="none"/>
              </w:rPr>
              <w:t>本项目预算金额及最高限价</w:t>
            </w:r>
          </w:p>
        </w:tc>
        <w:tc>
          <w:tcPr>
            <w:tcW w:w="5800" w:type="dxa"/>
            <w:vAlign w:val="center"/>
          </w:tcPr>
          <w:p>
            <w:pPr>
              <w:autoSpaceDE w:val="0"/>
              <w:autoSpaceDN w:val="0"/>
              <w:snapToGrid w:val="0"/>
              <w:spacing w:line="360" w:lineRule="auto"/>
              <w:textAlignment w:val="bottom"/>
              <w:rPr>
                <w:rFonts w:hint="eastAsia" w:ascii="宋体" w:hAnsi="宋体"/>
                <w:b/>
                <w:bCs w:val="0"/>
                <w:szCs w:val="21"/>
                <w:highlight w:val="none"/>
                <w:lang w:val="en-US" w:eastAsia="zh-CN"/>
              </w:rPr>
            </w:pPr>
            <w:r>
              <w:rPr>
                <w:rFonts w:hint="eastAsia" w:ascii="宋体" w:hAnsi="宋体"/>
                <w:bCs/>
                <w:szCs w:val="21"/>
                <w:highlight w:val="none"/>
                <w:lang w:val="en-US" w:eastAsia="zh-CN"/>
              </w:rPr>
              <w:t>预算金额（最高限价）：</w:t>
            </w:r>
            <w:r>
              <w:rPr>
                <w:rFonts w:hint="eastAsia" w:ascii="宋体" w:hAnsi="宋体"/>
                <w:b/>
                <w:bCs w:val="0"/>
                <w:szCs w:val="21"/>
                <w:highlight w:val="none"/>
                <w:u w:val="single"/>
                <w:lang w:val="en-US" w:eastAsia="zh-CN"/>
              </w:rPr>
              <w:t>460万元</w:t>
            </w:r>
          </w:p>
          <w:p>
            <w:pPr>
              <w:pStyle w:val="15"/>
              <w:spacing w:line="360" w:lineRule="auto"/>
              <w:jc w:val="left"/>
              <w:rPr>
                <w:rFonts w:hAnsi="宋体"/>
                <w:bCs/>
                <w:szCs w:val="21"/>
                <w:highlight w:val="none"/>
              </w:rPr>
            </w:pPr>
            <w:r>
              <w:rPr>
                <w:rFonts w:hint="eastAsia" w:hAnsi="宋体"/>
                <w:b/>
                <w:bCs w:val="0"/>
                <w:szCs w:val="21"/>
                <w:highlight w:val="none"/>
                <w:lang w:val="en-US" w:eastAsia="zh-CN"/>
              </w:rPr>
              <w:t>投标报价要求：</w:t>
            </w:r>
            <w:r>
              <w:rPr>
                <w:rFonts w:hint="eastAsia" w:hAnsi="宋体"/>
                <w:b/>
                <w:bCs w:val="0"/>
                <w:szCs w:val="21"/>
                <w:highlight w:val="none"/>
                <w:u w:val="single"/>
              </w:rPr>
              <w:t>投标人须就“采购需求”中的所</w:t>
            </w:r>
            <w:r>
              <w:rPr>
                <w:rFonts w:hint="eastAsia" w:hAnsi="宋体"/>
                <w:b/>
                <w:bCs w:val="0"/>
                <w:szCs w:val="21"/>
                <w:highlight w:val="none"/>
                <w:u w:val="single"/>
                <w:lang w:val="en-US" w:eastAsia="zh-CN"/>
              </w:rPr>
              <w:t>包含的</w:t>
            </w:r>
            <w:r>
              <w:rPr>
                <w:rFonts w:hint="eastAsia" w:hAnsi="宋体"/>
                <w:b/>
                <w:bCs w:val="0"/>
                <w:szCs w:val="21"/>
                <w:highlight w:val="none"/>
                <w:u w:val="single"/>
              </w:rPr>
              <w:t>货物内容作完整唯一报价</w:t>
            </w:r>
            <w:r>
              <w:rPr>
                <w:rFonts w:hint="eastAsia" w:hAnsi="宋体"/>
                <w:b/>
                <w:bCs w:val="0"/>
                <w:szCs w:val="21"/>
                <w:highlight w:val="none"/>
                <w:u w:val="single"/>
                <w:lang w:eastAsia="zh-CN"/>
              </w:rPr>
              <w:t>，</w:t>
            </w:r>
            <w:r>
              <w:rPr>
                <w:rFonts w:hint="eastAsia" w:hAnsi="宋体"/>
                <w:b/>
                <w:bCs w:val="0"/>
                <w:szCs w:val="21"/>
                <w:highlight w:val="none"/>
                <w:u w:val="single"/>
                <w:lang w:val="en-US" w:eastAsia="zh-CN"/>
              </w:rPr>
              <w:t>投标报价单价及总价均不得高于最高限价，否则按否决投标处理</w:t>
            </w:r>
            <w:r>
              <w:rPr>
                <w:rFonts w:hint="eastAsia" w:hAnsi="宋体"/>
                <w:bCs/>
                <w:szCs w:val="21"/>
                <w:highlight w:val="none"/>
              </w:rPr>
              <w:t>。</w:t>
            </w:r>
          </w:p>
          <w:p>
            <w:pPr>
              <w:pStyle w:val="15"/>
              <w:spacing w:line="360" w:lineRule="auto"/>
              <w:jc w:val="left"/>
              <w:rPr>
                <w:rFonts w:hint="default" w:ascii="宋体" w:hAnsi="宋体"/>
                <w:b/>
                <w:bCs w:val="0"/>
                <w:szCs w:val="21"/>
                <w:highlight w:val="none"/>
                <w:lang w:val="en-US" w:eastAsia="zh-CN"/>
              </w:rPr>
            </w:pPr>
            <w:r>
              <w:rPr>
                <w:rFonts w:hint="eastAsia" w:hAnsi="宋体"/>
                <w:bCs/>
                <w:szCs w:val="21"/>
                <w:highlight w:val="none"/>
              </w:rPr>
              <w:t>投标人应依据</w:t>
            </w:r>
            <w:r>
              <w:rPr>
                <w:rFonts w:hint="eastAsia" w:hAnsi="宋体"/>
                <w:bCs/>
                <w:szCs w:val="21"/>
                <w:highlight w:val="none"/>
                <w:lang w:eastAsia="zh-CN"/>
              </w:rPr>
              <w:t>采购文件</w:t>
            </w:r>
            <w:r>
              <w:rPr>
                <w:rFonts w:hint="eastAsia" w:hAnsi="宋体"/>
                <w:bCs/>
                <w:szCs w:val="21"/>
                <w:highlight w:val="none"/>
              </w:rPr>
              <w:t>的要求及有关资料，按国家或行业现行技术标准、定额及规范，自行测算出满足</w:t>
            </w:r>
            <w:r>
              <w:rPr>
                <w:rFonts w:hint="eastAsia" w:hAnsi="宋体"/>
                <w:bCs/>
                <w:szCs w:val="21"/>
                <w:highlight w:val="none"/>
                <w:lang w:val="en-US" w:eastAsia="zh-CN"/>
              </w:rPr>
              <w:t>采购</w:t>
            </w:r>
            <w:r>
              <w:rPr>
                <w:rFonts w:hint="eastAsia" w:hAnsi="宋体"/>
                <w:bCs/>
                <w:szCs w:val="21"/>
                <w:highlight w:val="none"/>
              </w:rPr>
              <w:t>要求的投标货物的竞争性报价。投标报价包括但不仅限于货物的</w:t>
            </w:r>
            <w:r>
              <w:rPr>
                <w:rFonts w:hint="eastAsia" w:hAnsi="宋体"/>
                <w:bCs/>
                <w:szCs w:val="21"/>
                <w:highlight w:val="none"/>
                <w:lang w:val="en-US" w:eastAsia="zh-CN"/>
              </w:rPr>
              <w:t>出厂价格</w:t>
            </w:r>
            <w:r>
              <w:rPr>
                <w:rFonts w:hint="eastAsia" w:hAnsi="宋体"/>
                <w:bCs/>
                <w:szCs w:val="21"/>
                <w:highlight w:val="none"/>
              </w:rPr>
              <w:t>，项目特别要求的备品备件的价格、运杂费，投标人技术服务费，保证期内缺陷的修复补救</w:t>
            </w:r>
            <w:r>
              <w:rPr>
                <w:rFonts w:hint="eastAsia" w:hAnsi="宋体"/>
                <w:bCs/>
                <w:szCs w:val="21"/>
                <w:highlight w:val="none"/>
                <w:lang w:val="en-US" w:eastAsia="zh-CN"/>
              </w:rPr>
              <w:t>等</w:t>
            </w:r>
            <w:r>
              <w:rPr>
                <w:rFonts w:hint="eastAsia" w:hAnsi="宋体"/>
                <w:bCs/>
                <w:szCs w:val="21"/>
                <w:highlight w:val="none"/>
              </w:rPr>
              <w:t>费用，市场价格变化的风险费用、利润、税金等的总和，该报价应考虑市场风险、政策性风险、汇率风险等因素，并能保证投标人完成履行合同所需的全部工作</w:t>
            </w:r>
            <w:r>
              <w:rPr>
                <w:rFonts w:hint="eastAsia" w:hAnsi="宋体"/>
                <w:bCs/>
                <w:szCs w:val="21"/>
                <w:highlight w:val="none"/>
                <w:lang w:val="en-US" w:eastAsia="zh-CN"/>
              </w:rPr>
              <w:t>及质保期的服务工作</w:t>
            </w:r>
            <w:r>
              <w:rPr>
                <w:rFonts w:hint="eastAsia" w:hAnsi="宋体"/>
                <w:bCs/>
                <w:szCs w:val="21"/>
                <w:highlight w:val="none"/>
              </w:rPr>
              <w:t>，</w:t>
            </w:r>
            <w:r>
              <w:rPr>
                <w:rFonts w:hint="eastAsia" w:hAnsi="宋体"/>
                <w:bCs/>
                <w:szCs w:val="21"/>
                <w:highlight w:val="none"/>
                <w:lang w:val="en-US" w:eastAsia="zh-CN"/>
              </w:rPr>
              <w:t>中标</w:t>
            </w:r>
            <w:r>
              <w:rPr>
                <w:rFonts w:hint="eastAsia" w:hAnsi="宋体"/>
                <w:bCs/>
                <w:szCs w:val="21"/>
                <w:highlight w:val="none"/>
              </w:rPr>
              <w:t>价格在合同</w:t>
            </w:r>
            <w:r>
              <w:rPr>
                <w:rFonts w:hint="eastAsia" w:hAnsi="宋体"/>
                <w:bCs/>
                <w:szCs w:val="21"/>
                <w:highlight w:val="none"/>
                <w:lang w:val="en-US" w:eastAsia="zh-CN"/>
              </w:rPr>
              <w:t>执行期间</w:t>
            </w:r>
            <w:r>
              <w:rPr>
                <w:rFonts w:hint="eastAsia" w:hAnsi="宋体"/>
                <w:bCs/>
                <w:szCs w:val="21"/>
                <w:highlight w:val="none"/>
              </w:rPr>
              <w:t>将不作调整。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62" w:type="dxa"/>
            <w:vAlign w:val="center"/>
          </w:tcPr>
          <w:p>
            <w:pPr>
              <w:pStyle w:val="15"/>
              <w:spacing w:line="360" w:lineRule="auto"/>
              <w:jc w:val="center"/>
              <w:rPr>
                <w:rFonts w:hAnsi="宋体"/>
                <w:szCs w:val="21"/>
                <w:highlight w:val="none"/>
              </w:rPr>
            </w:pPr>
            <w:r>
              <w:rPr>
                <w:rFonts w:hint="eastAsia" w:hAnsi="宋体"/>
                <w:szCs w:val="21"/>
                <w:highlight w:val="none"/>
              </w:rPr>
              <w:t>17.1</w:t>
            </w:r>
          </w:p>
        </w:tc>
        <w:tc>
          <w:tcPr>
            <w:tcW w:w="2958" w:type="dxa"/>
            <w:vAlign w:val="center"/>
          </w:tcPr>
          <w:p>
            <w:pPr>
              <w:pStyle w:val="15"/>
              <w:spacing w:line="360" w:lineRule="auto"/>
              <w:jc w:val="center"/>
              <w:rPr>
                <w:rFonts w:hAnsi="宋体"/>
                <w:szCs w:val="21"/>
                <w:highlight w:val="none"/>
              </w:rPr>
            </w:pPr>
            <w:r>
              <w:rPr>
                <w:rFonts w:hint="eastAsia" w:hAnsi="宋体"/>
                <w:szCs w:val="21"/>
                <w:highlight w:val="none"/>
              </w:rPr>
              <w:t>投标文件有效期</w:t>
            </w:r>
          </w:p>
        </w:tc>
        <w:tc>
          <w:tcPr>
            <w:tcW w:w="5800" w:type="dxa"/>
            <w:vAlign w:val="center"/>
          </w:tcPr>
          <w:p>
            <w:pPr>
              <w:pStyle w:val="15"/>
              <w:spacing w:line="360" w:lineRule="auto"/>
              <w:rPr>
                <w:rFonts w:hAnsi="宋体"/>
                <w:szCs w:val="21"/>
                <w:highlight w:val="none"/>
              </w:rPr>
            </w:pPr>
            <w:r>
              <w:rPr>
                <w:rFonts w:hint="eastAsia" w:hAnsi="宋体"/>
                <w:szCs w:val="21"/>
                <w:highlight w:val="none"/>
              </w:rPr>
              <w:t>从提交投标文件截止之日起</w:t>
            </w:r>
            <w:r>
              <w:rPr>
                <w:rFonts w:hint="eastAsia" w:hAnsi="宋体"/>
                <w:szCs w:val="21"/>
                <w:highlight w:val="none"/>
                <w:u w:val="single"/>
              </w:rPr>
              <w:t>90</w:t>
            </w:r>
            <w:r>
              <w:rPr>
                <w:rFonts w:hint="eastAsia" w:hAnsi="宋体"/>
                <w:szCs w:val="21"/>
                <w:highlight w:val="none"/>
              </w:rPr>
              <w:t>日历天(从投标截止之日算起)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62" w:type="dxa"/>
            <w:vAlign w:val="center"/>
          </w:tcPr>
          <w:p>
            <w:pPr>
              <w:pStyle w:val="15"/>
              <w:spacing w:line="360" w:lineRule="auto"/>
              <w:jc w:val="center"/>
              <w:rPr>
                <w:rFonts w:hAnsi="宋体"/>
                <w:szCs w:val="21"/>
                <w:highlight w:val="none"/>
              </w:rPr>
            </w:pPr>
            <w:r>
              <w:rPr>
                <w:rFonts w:hint="eastAsia" w:hAnsi="宋体"/>
                <w:szCs w:val="21"/>
                <w:highlight w:val="none"/>
              </w:rPr>
              <w:t>18.1</w:t>
            </w:r>
          </w:p>
        </w:tc>
        <w:tc>
          <w:tcPr>
            <w:tcW w:w="2958" w:type="dxa"/>
            <w:vAlign w:val="center"/>
          </w:tcPr>
          <w:p>
            <w:pPr>
              <w:pStyle w:val="15"/>
              <w:spacing w:line="360" w:lineRule="auto"/>
              <w:jc w:val="center"/>
              <w:rPr>
                <w:rFonts w:hAnsi="宋体"/>
                <w:szCs w:val="21"/>
                <w:highlight w:val="none"/>
              </w:rPr>
            </w:pPr>
            <w:r>
              <w:rPr>
                <w:rFonts w:hint="eastAsia" w:hAnsi="宋体"/>
                <w:szCs w:val="21"/>
                <w:highlight w:val="none"/>
              </w:rPr>
              <w:t>分包</w:t>
            </w:r>
          </w:p>
        </w:tc>
        <w:tc>
          <w:tcPr>
            <w:tcW w:w="5800" w:type="dxa"/>
            <w:vAlign w:val="center"/>
          </w:tcPr>
          <w:p>
            <w:pPr>
              <w:pStyle w:val="15"/>
              <w:spacing w:line="360" w:lineRule="auto"/>
              <w:rPr>
                <w:rFonts w:hAnsi="宋体"/>
                <w:highlight w:val="none"/>
              </w:rPr>
            </w:pPr>
            <w:r>
              <w:rPr>
                <w:rFonts w:hint="eastAsia" w:hAnsi="宋体"/>
                <w:highlight w:val="none"/>
              </w:rPr>
              <w:t>■</w:t>
            </w:r>
            <w:r>
              <w:rPr>
                <w:rFonts w:hint="eastAsia" w:hAnsi="宋体"/>
                <w:szCs w:val="21"/>
                <w:highlight w:val="none"/>
              </w:rPr>
              <w:t>本项目不得分包</w:t>
            </w:r>
          </w:p>
          <w:p>
            <w:pPr>
              <w:pStyle w:val="15"/>
              <w:spacing w:line="360" w:lineRule="auto"/>
              <w:rPr>
                <w:rFonts w:hAnsi="宋体"/>
                <w:szCs w:val="21"/>
                <w:highlight w:val="none"/>
              </w:rPr>
            </w:pPr>
            <w:r>
              <w:rPr>
                <w:rFonts w:hAnsi="宋体"/>
                <w:highlight w:val="none"/>
              </w:rPr>
              <w:t>□本项目中</w:t>
            </w:r>
            <w:r>
              <w:rPr>
                <w:rFonts w:hint="eastAsia" w:hAnsi="宋体"/>
                <w:highlight w:val="none"/>
              </w:rPr>
              <w:t>，</w:t>
            </w:r>
            <w:r>
              <w:rPr>
                <w:rFonts w:hint="eastAsia" w:hAnsi="宋体"/>
                <w:highlight w:val="none"/>
                <w:u w:val="single"/>
              </w:rPr>
              <w:t xml:space="preserve">            </w:t>
            </w:r>
            <w:r>
              <w:rPr>
                <w:rFonts w:hint="eastAsia" w:hAnsi="宋体"/>
                <w:highlight w:val="none"/>
              </w:rPr>
              <w:t>可以分包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62" w:type="dxa"/>
            <w:vAlign w:val="center"/>
          </w:tcPr>
          <w:p>
            <w:pPr>
              <w:pStyle w:val="15"/>
              <w:spacing w:line="360" w:lineRule="auto"/>
              <w:jc w:val="center"/>
              <w:rPr>
                <w:rFonts w:hAnsi="宋体"/>
                <w:szCs w:val="21"/>
                <w:highlight w:val="none"/>
              </w:rPr>
            </w:pPr>
            <w:r>
              <w:rPr>
                <w:rFonts w:hAnsi="宋体"/>
                <w:szCs w:val="21"/>
                <w:highlight w:val="none"/>
              </w:rPr>
              <w:t>21</w:t>
            </w:r>
            <w:r>
              <w:rPr>
                <w:rFonts w:hint="eastAsia" w:hAnsi="宋体"/>
                <w:szCs w:val="21"/>
                <w:highlight w:val="none"/>
              </w:rPr>
              <w:t>.1</w:t>
            </w:r>
          </w:p>
        </w:tc>
        <w:tc>
          <w:tcPr>
            <w:tcW w:w="2958" w:type="dxa"/>
            <w:vAlign w:val="center"/>
          </w:tcPr>
          <w:p>
            <w:pPr>
              <w:pStyle w:val="15"/>
              <w:spacing w:line="360" w:lineRule="auto"/>
              <w:jc w:val="center"/>
              <w:rPr>
                <w:rFonts w:hAnsi="宋体"/>
                <w:szCs w:val="21"/>
                <w:highlight w:val="none"/>
              </w:rPr>
            </w:pPr>
            <w:r>
              <w:rPr>
                <w:rFonts w:hint="eastAsia" w:hAnsi="宋体"/>
                <w:szCs w:val="21"/>
                <w:highlight w:val="none"/>
              </w:rPr>
              <w:t>投标保证金</w:t>
            </w:r>
          </w:p>
        </w:tc>
        <w:tc>
          <w:tcPr>
            <w:tcW w:w="5800" w:type="dxa"/>
            <w:vAlign w:val="center"/>
          </w:tcPr>
          <w:p>
            <w:pPr>
              <w:widowControl/>
              <w:spacing w:line="360" w:lineRule="auto"/>
              <w:jc w:val="left"/>
              <w:rPr>
                <w:rFonts w:hint="default" w:eastAsia="宋体"/>
                <w:highlight w:val="none"/>
                <w:lang w:val="en-US" w:eastAsia="zh-CN"/>
              </w:rPr>
            </w:pPr>
            <w:r>
              <w:rPr>
                <w:rFonts w:hint="eastAsia"/>
                <w:highlight w:val="none"/>
                <w:lang w:val="en-US" w:eastAsia="zh-CN"/>
              </w:rPr>
              <w:t>本项目无需递交投标保证金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62" w:type="dxa"/>
            <w:vAlign w:val="center"/>
          </w:tcPr>
          <w:p>
            <w:pPr>
              <w:pStyle w:val="15"/>
              <w:spacing w:line="360" w:lineRule="auto"/>
              <w:jc w:val="center"/>
              <w:rPr>
                <w:rFonts w:hAnsi="宋体"/>
                <w:szCs w:val="21"/>
                <w:highlight w:val="none"/>
              </w:rPr>
            </w:pPr>
            <w:r>
              <w:rPr>
                <w:rFonts w:hAnsi="宋体"/>
                <w:szCs w:val="21"/>
                <w:highlight w:val="none"/>
              </w:rPr>
              <w:t>22.1</w:t>
            </w:r>
          </w:p>
        </w:tc>
        <w:tc>
          <w:tcPr>
            <w:tcW w:w="2958" w:type="dxa"/>
            <w:vAlign w:val="center"/>
          </w:tcPr>
          <w:p>
            <w:pPr>
              <w:pStyle w:val="15"/>
              <w:spacing w:line="360" w:lineRule="auto"/>
              <w:jc w:val="center"/>
              <w:rPr>
                <w:rFonts w:hAnsi="宋体"/>
                <w:szCs w:val="21"/>
                <w:highlight w:val="none"/>
              </w:rPr>
            </w:pPr>
            <w:r>
              <w:rPr>
                <w:rFonts w:hint="eastAsia" w:hAnsi="宋体"/>
                <w:szCs w:val="21"/>
                <w:highlight w:val="none"/>
              </w:rPr>
              <w:t>投标文件份数</w:t>
            </w:r>
          </w:p>
        </w:tc>
        <w:tc>
          <w:tcPr>
            <w:tcW w:w="5800" w:type="dxa"/>
            <w:vAlign w:val="center"/>
          </w:tcPr>
          <w:p>
            <w:pPr>
              <w:pStyle w:val="15"/>
              <w:spacing w:line="360" w:lineRule="auto"/>
              <w:rPr>
                <w:rFonts w:hAnsi="宋体"/>
                <w:szCs w:val="21"/>
                <w:highlight w:val="none"/>
              </w:rPr>
            </w:pPr>
            <w:r>
              <w:rPr>
                <w:rFonts w:hint="eastAsia" w:ascii="新宋体" w:hAnsi="新宋体" w:eastAsia="新宋体"/>
                <w:highlight w:val="none"/>
              </w:rPr>
              <w:t>按“</w:t>
            </w:r>
            <w:r>
              <w:rPr>
                <w:rFonts w:hint="eastAsia" w:ascii="新宋体" w:hAnsi="新宋体" w:eastAsia="新宋体"/>
                <w:highlight w:val="none"/>
                <w:lang w:val="en-US" w:eastAsia="zh-CN"/>
              </w:rPr>
              <w:t>政采云</w:t>
            </w:r>
            <w:r>
              <w:rPr>
                <w:rFonts w:hint="eastAsia" w:ascii="新宋体" w:hAnsi="新宋体" w:eastAsia="新宋体"/>
                <w:highlight w:val="none"/>
              </w:rPr>
              <w:t>”</w:t>
            </w:r>
            <w:r>
              <w:rPr>
                <w:rFonts w:hint="eastAsia" w:ascii="新宋体" w:hAnsi="新宋体" w:eastAsia="新宋体"/>
                <w:highlight w:val="none"/>
                <w:lang w:val="en-US" w:eastAsia="zh-CN"/>
              </w:rPr>
              <w:t>平台</w:t>
            </w:r>
            <w:r>
              <w:rPr>
                <w:rFonts w:hint="eastAsia" w:ascii="新宋体" w:hAnsi="新宋体" w:eastAsia="新宋体"/>
                <w:highlight w:val="none"/>
              </w:rPr>
              <w:t>要求，</w:t>
            </w:r>
            <w:r>
              <w:rPr>
                <w:rFonts w:hint="eastAsia" w:ascii="新宋体" w:hAnsi="新宋体" w:eastAsia="新宋体"/>
                <w:highlight w:val="none"/>
                <w:lang w:val="en-US" w:eastAsia="zh-CN"/>
              </w:rPr>
              <w:t>加密</w:t>
            </w:r>
            <w:r>
              <w:rPr>
                <w:rFonts w:hint="eastAsia" w:ascii="新宋体" w:hAnsi="新宋体" w:eastAsia="新宋体"/>
                <w:highlight w:val="none"/>
              </w:rPr>
              <w:t>上传电子</w:t>
            </w:r>
            <w:r>
              <w:rPr>
                <w:rFonts w:hint="eastAsia" w:ascii="新宋体" w:hAnsi="新宋体" w:eastAsia="新宋体"/>
                <w:highlight w:val="none"/>
                <w:lang w:val="en-US" w:eastAsia="zh-CN"/>
              </w:rPr>
              <w:t>版</w:t>
            </w:r>
            <w:r>
              <w:rPr>
                <w:rFonts w:hint="eastAsia" w:ascii="新宋体" w:hAnsi="新宋体" w:eastAsia="新宋体"/>
                <w:highlight w:val="none"/>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1062" w:type="dxa"/>
            <w:vAlign w:val="center"/>
          </w:tcPr>
          <w:p>
            <w:pPr>
              <w:pStyle w:val="15"/>
              <w:spacing w:line="360" w:lineRule="auto"/>
              <w:jc w:val="center"/>
              <w:rPr>
                <w:rFonts w:hAnsi="宋体"/>
                <w:szCs w:val="21"/>
                <w:highlight w:val="none"/>
              </w:rPr>
            </w:pPr>
            <w:r>
              <w:rPr>
                <w:rFonts w:hint="eastAsia" w:hAnsi="宋体"/>
                <w:szCs w:val="21"/>
                <w:highlight w:val="none"/>
              </w:rPr>
              <w:t>2</w:t>
            </w:r>
            <w:r>
              <w:rPr>
                <w:rFonts w:hAnsi="宋体"/>
                <w:szCs w:val="21"/>
                <w:highlight w:val="none"/>
              </w:rPr>
              <w:t>3</w:t>
            </w:r>
            <w:r>
              <w:rPr>
                <w:rFonts w:hint="eastAsia" w:hAnsi="宋体"/>
                <w:szCs w:val="21"/>
                <w:highlight w:val="none"/>
              </w:rPr>
              <w:t>.1</w:t>
            </w:r>
          </w:p>
        </w:tc>
        <w:tc>
          <w:tcPr>
            <w:tcW w:w="2958" w:type="dxa"/>
            <w:vAlign w:val="center"/>
          </w:tcPr>
          <w:p>
            <w:pPr>
              <w:pStyle w:val="15"/>
              <w:spacing w:line="360" w:lineRule="auto"/>
              <w:jc w:val="center"/>
              <w:rPr>
                <w:rFonts w:hint="eastAsia" w:hAnsi="宋体" w:eastAsia="宋体"/>
                <w:szCs w:val="21"/>
                <w:highlight w:val="none"/>
                <w:lang w:val="en-US" w:eastAsia="zh-CN"/>
              </w:rPr>
            </w:pPr>
            <w:r>
              <w:rPr>
                <w:rFonts w:hint="eastAsia" w:hAnsi="宋体"/>
                <w:szCs w:val="21"/>
                <w:highlight w:val="none"/>
              </w:rPr>
              <w:t>提交投标文件截止时间</w:t>
            </w:r>
            <w:r>
              <w:rPr>
                <w:rFonts w:hint="eastAsia" w:hAnsi="宋体"/>
                <w:szCs w:val="21"/>
                <w:highlight w:val="none"/>
                <w:lang w:val="en-US" w:eastAsia="zh-CN"/>
              </w:rPr>
              <w:t>及地点</w:t>
            </w:r>
          </w:p>
        </w:tc>
        <w:tc>
          <w:tcPr>
            <w:tcW w:w="5800" w:type="dxa"/>
            <w:vAlign w:val="center"/>
          </w:tcPr>
          <w:p>
            <w:pPr>
              <w:spacing w:line="360" w:lineRule="exact"/>
              <w:rPr>
                <w:rFonts w:hint="eastAsia" w:asciiTheme="minorEastAsia" w:hAnsiTheme="minorEastAsia" w:eastAsiaTheme="minorEastAsia" w:cstheme="minorEastAsia"/>
                <w:b/>
                <w:bCs w:val="0"/>
                <w:color w:val="auto"/>
                <w:szCs w:val="21"/>
                <w:highlight w:val="none"/>
              </w:rPr>
            </w:pPr>
            <w:r>
              <w:rPr>
                <w:rFonts w:hint="eastAsia" w:asciiTheme="minorEastAsia" w:hAnsiTheme="minorEastAsia" w:eastAsiaTheme="minorEastAsia" w:cstheme="minorEastAsia"/>
                <w:b w:val="0"/>
                <w:bCs/>
                <w:color w:val="auto"/>
                <w:szCs w:val="21"/>
                <w:highlight w:val="none"/>
              </w:rPr>
              <w:t>时间：</w:t>
            </w:r>
            <w:r>
              <w:rPr>
                <w:rFonts w:hint="eastAsia" w:asciiTheme="minorEastAsia" w:hAnsiTheme="minorEastAsia" w:eastAsiaTheme="minorEastAsia" w:cstheme="minorEastAsia"/>
                <w:b/>
                <w:bCs w:val="0"/>
                <w:color w:val="auto"/>
                <w:szCs w:val="21"/>
                <w:highlight w:val="none"/>
                <w:lang w:eastAsia="zh-CN"/>
              </w:rPr>
              <w:t>2024年08月13日</w:t>
            </w:r>
            <w:r>
              <w:rPr>
                <w:rFonts w:hint="eastAsia" w:asciiTheme="minorEastAsia" w:hAnsiTheme="minorEastAsia" w:eastAsiaTheme="minorEastAsia" w:cstheme="minorEastAsia"/>
                <w:b/>
                <w:bCs w:val="0"/>
                <w:color w:val="auto"/>
                <w:szCs w:val="21"/>
                <w:highlight w:val="none"/>
                <w:lang w:val="en-US" w:eastAsia="zh-CN"/>
              </w:rPr>
              <w:t>09</w:t>
            </w:r>
            <w:r>
              <w:rPr>
                <w:rFonts w:hint="eastAsia" w:asciiTheme="minorEastAsia" w:hAnsiTheme="minorEastAsia" w:eastAsiaTheme="minorEastAsia" w:cstheme="minorEastAsia"/>
                <w:b/>
                <w:bCs w:val="0"/>
                <w:color w:val="auto"/>
                <w:szCs w:val="21"/>
                <w:highlight w:val="none"/>
              </w:rPr>
              <w:t>时30分（北京时间）</w:t>
            </w:r>
          </w:p>
          <w:p>
            <w:pPr>
              <w:pStyle w:val="15"/>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val="0"/>
                <w:bCs/>
                <w:color w:val="auto"/>
                <w:szCs w:val="21"/>
                <w:highlight w:val="none"/>
              </w:rPr>
              <w:t>地点：</w:t>
            </w:r>
            <w:r>
              <w:rPr>
                <w:rFonts w:hint="eastAsia" w:asciiTheme="minorEastAsia" w:hAnsiTheme="minorEastAsia" w:eastAsiaTheme="minorEastAsia" w:cstheme="minorEastAsia"/>
                <w:b/>
                <w:bCs w:val="0"/>
                <w:color w:val="auto"/>
                <w:szCs w:val="21"/>
                <w:highlight w:val="none"/>
              </w:rPr>
              <w:t>政采云平台（https://www.zcygov.cn/）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062" w:type="dxa"/>
            <w:vAlign w:val="center"/>
          </w:tcPr>
          <w:p>
            <w:pPr>
              <w:pStyle w:val="15"/>
              <w:spacing w:line="360" w:lineRule="auto"/>
              <w:jc w:val="center"/>
              <w:rPr>
                <w:rFonts w:hint="eastAsia" w:hAnsi="宋体" w:eastAsia="宋体"/>
                <w:szCs w:val="21"/>
                <w:highlight w:val="none"/>
                <w:lang w:eastAsia="zh-CN"/>
              </w:rPr>
            </w:pPr>
            <w:r>
              <w:rPr>
                <w:rFonts w:hint="eastAsia" w:hAnsi="宋体"/>
                <w:szCs w:val="21"/>
                <w:highlight w:val="none"/>
              </w:rPr>
              <w:t>2</w:t>
            </w:r>
            <w:r>
              <w:rPr>
                <w:rFonts w:hAnsi="宋体"/>
                <w:szCs w:val="21"/>
                <w:highlight w:val="none"/>
              </w:rPr>
              <w:t>3</w:t>
            </w:r>
            <w:r>
              <w:rPr>
                <w:rFonts w:hint="eastAsia" w:hAnsi="宋体"/>
                <w:szCs w:val="21"/>
                <w:highlight w:val="none"/>
              </w:rPr>
              <w:t>.</w:t>
            </w:r>
            <w:r>
              <w:rPr>
                <w:rFonts w:hint="eastAsia" w:hAnsi="宋体"/>
                <w:szCs w:val="21"/>
                <w:highlight w:val="none"/>
                <w:lang w:val="en-US" w:eastAsia="zh-CN"/>
              </w:rPr>
              <w:t>2</w:t>
            </w:r>
          </w:p>
        </w:tc>
        <w:tc>
          <w:tcPr>
            <w:tcW w:w="2958" w:type="dxa"/>
            <w:vAlign w:val="center"/>
          </w:tcPr>
          <w:p>
            <w:pPr>
              <w:pStyle w:val="15"/>
              <w:spacing w:line="360" w:lineRule="auto"/>
              <w:jc w:val="center"/>
              <w:rPr>
                <w:rFonts w:hAnsi="宋体"/>
                <w:szCs w:val="21"/>
                <w:highlight w:val="none"/>
              </w:rPr>
            </w:pPr>
            <w:r>
              <w:rPr>
                <w:rFonts w:hint="eastAsia" w:hAnsi="宋体"/>
                <w:szCs w:val="21"/>
                <w:highlight w:val="none"/>
              </w:rPr>
              <w:t>投标文件的退还</w:t>
            </w:r>
          </w:p>
        </w:tc>
        <w:tc>
          <w:tcPr>
            <w:tcW w:w="5800" w:type="dxa"/>
            <w:vAlign w:val="center"/>
          </w:tcPr>
          <w:p>
            <w:pPr>
              <w:pStyle w:val="15"/>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1062" w:type="dxa"/>
            <w:vAlign w:val="center"/>
          </w:tcPr>
          <w:p>
            <w:pPr>
              <w:pStyle w:val="15"/>
              <w:spacing w:line="360" w:lineRule="auto"/>
              <w:jc w:val="center"/>
              <w:rPr>
                <w:rFonts w:hAnsi="宋体"/>
                <w:szCs w:val="21"/>
                <w:highlight w:val="none"/>
              </w:rPr>
            </w:pPr>
            <w:r>
              <w:rPr>
                <w:rFonts w:hint="eastAsia" w:hAnsi="宋体"/>
                <w:szCs w:val="21"/>
                <w:highlight w:val="none"/>
              </w:rPr>
              <w:t>2</w:t>
            </w:r>
            <w:r>
              <w:rPr>
                <w:rFonts w:hAnsi="宋体"/>
                <w:szCs w:val="21"/>
                <w:highlight w:val="none"/>
              </w:rPr>
              <w:t>4</w:t>
            </w:r>
            <w:r>
              <w:rPr>
                <w:rFonts w:hint="eastAsia" w:hAnsi="宋体"/>
                <w:szCs w:val="21"/>
                <w:highlight w:val="none"/>
              </w:rPr>
              <w:t>.1</w:t>
            </w:r>
          </w:p>
        </w:tc>
        <w:tc>
          <w:tcPr>
            <w:tcW w:w="2958" w:type="dxa"/>
            <w:vAlign w:val="center"/>
          </w:tcPr>
          <w:p>
            <w:pPr>
              <w:pStyle w:val="15"/>
              <w:spacing w:line="360" w:lineRule="auto"/>
              <w:jc w:val="center"/>
              <w:rPr>
                <w:rFonts w:hAnsi="宋体"/>
                <w:szCs w:val="21"/>
                <w:highlight w:val="none"/>
              </w:rPr>
            </w:pPr>
            <w:r>
              <w:rPr>
                <w:rFonts w:hint="eastAsia" w:hAnsi="宋体"/>
                <w:szCs w:val="21"/>
                <w:highlight w:val="none"/>
              </w:rPr>
              <w:t>开标时间和地点</w:t>
            </w:r>
          </w:p>
        </w:tc>
        <w:tc>
          <w:tcPr>
            <w:tcW w:w="5800" w:type="dxa"/>
            <w:vAlign w:val="center"/>
          </w:tcPr>
          <w:p>
            <w:pPr>
              <w:spacing w:line="360" w:lineRule="exact"/>
              <w:rPr>
                <w:rFonts w:hint="eastAsia" w:asciiTheme="minorEastAsia" w:hAnsiTheme="minorEastAsia" w:eastAsiaTheme="minorEastAsia" w:cstheme="minorEastAsia"/>
                <w:b/>
                <w:bCs w:val="0"/>
                <w:color w:val="auto"/>
                <w:szCs w:val="21"/>
                <w:highlight w:val="none"/>
              </w:rPr>
            </w:pPr>
            <w:r>
              <w:rPr>
                <w:rFonts w:hint="eastAsia" w:asciiTheme="minorEastAsia" w:hAnsiTheme="minorEastAsia" w:eastAsiaTheme="minorEastAsia" w:cstheme="minorEastAsia"/>
                <w:b w:val="0"/>
                <w:bCs/>
                <w:color w:val="auto"/>
                <w:szCs w:val="21"/>
                <w:highlight w:val="none"/>
              </w:rPr>
              <w:t>时间：</w:t>
            </w:r>
            <w:r>
              <w:rPr>
                <w:rFonts w:hint="eastAsia" w:asciiTheme="minorEastAsia" w:hAnsiTheme="minorEastAsia" w:eastAsiaTheme="minorEastAsia" w:cstheme="minorEastAsia"/>
                <w:b/>
                <w:bCs w:val="0"/>
                <w:color w:val="auto"/>
                <w:szCs w:val="21"/>
                <w:highlight w:val="none"/>
                <w:lang w:eastAsia="zh-CN"/>
              </w:rPr>
              <w:t>2024年08月13日</w:t>
            </w:r>
            <w:r>
              <w:rPr>
                <w:rFonts w:hint="eastAsia" w:asciiTheme="minorEastAsia" w:hAnsiTheme="minorEastAsia" w:eastAsiaTheme="minorEastAsia" w:cstheme="minorEastAsia"/>
                <w:b/>
                <w:bCs w:val="0"/>
                <w:color w:val="auto"/>
                <w:szCs w:val="21"/>
                <w:highlight w:val="none"/>
                <w:lang w:val="en-US" w:eastAsia="zh-CN"/>
              </w:rPr>
              <w:t>09</w:t>
            </w:r>
            <w:r>
              <w:rPr>
                <w:rFonts w:hint="eastAsia" w:asciiTheme="minorEastAsia" w:hAnsiTheme="minorEastAsia" w:eastAsiaTheme="minorEastAsia" w:cstheme="minorEastAsia"/>
                <w:b/>
                <w:bCs w:val="0"/>
                <w:color w:val="auto"/>
                <w:szCs w:val="21"/>
                <w:highlight w:val="none"/>
              </w:rPr>
              <w:t>时30分（北京时间）</w:t>
            </w:r>
          </w:p>
          <w:p>
            <w:pPr>
              <w:pStyle w:val="15"/>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val="0"/>
                <w:bCs/>
                <w:color w:val="auto"/>
                <w:szCs w:val="21"/>
                <w:highlight w:val="none"/>
              </w:rPr>
              <w:t>地点：</w:t>
            </w:r>
            <w:r>
              <w:rPr>
                <w:rFonts w:hint="eastAsia" w:asciiTheme="minorEastAsia" w:hAnsiTheme="minorEastAsia" w:eastAsiaTheme="minorEastAsia" w:cstheme="minorEastAsia"/>
                <w:b/>
                <w:bCs w:val="0"/>
                <w:color w:val="auto"/>
                <w:szCs w:val="21"/>
                <w:highlight w:val="none"/>
              </w:rPr>
              <w:t>政采云平台（https://www.zcygov.cn/）</w:t>
            </w:r>
            <w:r>
              <w:rPr>
                <w:rFonts w:hint="eastAsia" w:asciiTheme="minorEastAsia" w:hAnsiTheme="minorEastAsia" w:eastAsiaTheme="minorEastAsia" w:cstheme="minorEastAsia"/>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1062" w:type="dxa"/>
            <w:vAlign w:val="center"/>
          </w:tcPr>
          <w:p>
            <w:pPr>
              <w:pStyle w:val="15"/>
              <w:spacing w:line="360" w:lineRule="auto"/>
              <w:jc w:val="center"/>
              <w:rPr>
                <w:rFonts w:hAnsi="宋体"/>
                <w:szCs w:val="21"/>
                <w:highlight w:val="none"/>
              </w:rPr>
            </w:pPr>
            <w:r>
              <w:rPr>
                <w:rFonts w:hint="eastAsia" w:hAnsi="宋体"/>
                <w:szCs w:val="21"/>
                <w:highlight w:val="none"/>
              </w:rPr>
              <w:t>2</w:t>
            </w:r>
            <w:r>
              <w:rPr>
                <w:rFonts w:hint="eastAsia" w:hAnsi="宋体"/>
                <w:szCs w:val="21"/>
                <w:highlight w:val="none"/>
                <w:lang w:val="en-US" w:eastAsia="zh-CN"/>
              </w:rPr>
              <w:t>6</w:t>
            </w:r>
            <w:r>
              <w:rPr>
                <w:rFonts w:hint="eastAsia" w:hAnsi="宋体"/>
                <w:szCs w:val="21"/>
                <w:highlight w:val="none"/>
              </w:rPr>
              <w:t>.1</w:t>
            </w:r>
          </w:p>
        </w:tc>
        <w:tc>
          <w:tcPr>
            <w:tcW w:w="2958" w:type="dxa"/>
            <w:vAlign w:val="center"/>
          </w:tcPr>
          <w:p>
            <w:pPr>
              <w:pStyle w:val="15"/>
              <w:spacing w:line="360" w:lineRule="auto"/>
              <w:jc w:val="center"/>
              <w:rPr>
                <w:rFonts w:hAnsi="宋体"/>
                <w:szCs w:val="21"/>
                <w:highlight w:val="none"/>
              </w:rPr>
            </w:pPr>
            <w:r>
              <w:rPr>
                <w:rFonts w:hint="eastAsia" w:hAnsi="宋体"/>
                <w:szCs w:val="21"/>
                <w:highlight w:val="none"/>
              </w:rPr>
              <w:t>评标委员会的组成</w:t>
            </w:r>
          </w:p>
        </w:tc>
        <w:tc>
          <w:tcPr>
            <w:tcW w:w="5800" w:type="dxa"/>
            <w:vAlign w:val="center"/>
          </w:tcPr>
          <w:p>
            <w:pPr>
              <w:pStyle w:val="15"/>
              <w:spacing w:line="360" w:lineRule="auto"/>
              <w:rPr>
                <w:rFonts w:hAnsi="宋体"/>
                <w:szCs w:val="21"/>
                <w:highlight w:val="none"/>
              </w:rPr>
            </w:pPr>
            <w:r>
              <w:rPr>
                <w:rFonts w:hint="eastAsia" w:hAnsi="宋体"/>
                <w:szCs w:val="21"/>
                <w:highlight w:val="none"/>
              </w:rPr>
              <w:t>评标委员会由</w:t>
            </w:r>
            <w:r>
              <w:rPr>
                <w:rFonts w:hint="eastAsia" w:hAnsi="宋体"/>
                <w:szCs w:val="21"/>
                <w:highlight w:val="none"/>
                <w:lang w:eastAsia="zh-CN"/>
              </w:rPr>
              <w:t>采购人</w:t>
            </w:r>
            <w:r>
              <w:rPr>
                <w:rFonts w:hint="eastAsia" w:hAnsi="宋体"/>
                <w:szCs w:val="21"/>
                <w:highlight w:val="none"/>
              </w:rPr>
              <w:t>代表和</w:t>
            </w:r>
            <w:r>
              <w:rPr>
                <w:rFonts w:hint="eastAsia" w:hAnsi="宋体"/>
                <w:szCs w:val="21"/>
                <w:highlight w:val="none"/>
                <w:lang w:val="en-US" w:eastAsia="zh-CN"/>
              </w:rPr>
              <w:t>抽取的</w:t>
            </w:r>
            <w:r>
              <w:rPr>
                <w:rFonts w:hint="eastAsia" w:hAnsi="宋体"/>
                <w:szCs w:val="21"/>
                <w:highlight w:val="none"/>
              </w:rPr>
              <w:t>评审专家组成，成员人数为 5人</w:t>
            </w:r>
            <w:r>
              <w:rPr>
                <w:rFonts w:hint="eastAsia" w:hAnsi="宋体"/>
                <w:szCs w:val="21"/>
                <w:highlight w:val="none"/>
                <w:lang w:val="en-US" w:eastAsia="zh-CN"/>
              </w:rPr>
              <w:t>及</w:t>
            </w:r>
            <w:r>
              <w:rPr>
                <w:rFonts w:hint="eastAsia" w:hAnsi="宋体"/>
                <w:szCs w:val="21"/>
                <w:highlight w:val="none"/>
              </w:rPr>
              <w:t>以上单数，其中技术、经济专家不得少于成员总数的三分之二</w:t>
            </w:r>
          </w:p>
          <w:p>
            <w:pPr>
              <w:pStyle w:val="15"/>
              <w:spacing w:line="360" w:lineRule="auto"/>
              <w:rPr>
                <w:rFonts w:hAnsi="宋体"/>
                <w:szCs w:val="21"/>
                <w:highlight w:val="none"/>
              </w:rPr>
            </w:pPr>
            <w:r>
              <w:rPr>
                <w:rFonts w:hint="eastAsia" w:hAnsi="宋体"/>
                <w:szCs w:val="21"/>
                <w:highlight w:val="none"/>
              </w:rPr>
              <w:t>评标专家确定方式：从政府采购评审专家库中随机抽取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62" w:type="dxa"/>
            <w:vAlign w:val="center"/>
          </w:tcPr>
          <w:p>
            <w:pPr>
              <w:pStyle w:val="15"/>
              <w:spacing w:line="360" w:lineRule="auto"/>
              <w:jc w:val="center"/>
              <w:rPr>
                <w:rFonts w:hAnsi="宋体"/>
                <w:szCs w:val="21"/>
                <w:highlight w:val="none"/>
              </w:rPr>
            </w:pPr>
            <w:r>
              <w:rPr>
                <w:rFonts w:hint="eastAsia" w:hAnsi="宋体"/>
                <w:szCs w:val="21"/>
                <w:highlight w:val="none"/>
              </w:rPr>
              <w:t>26.3</w:t>
            </w:r>
          </w:p>
        </w:tc>
        <w:tc>
          <w:tcPr>
            <w:tcW w:w="2958" w:type="dxa"/>
            <w:vAlign w:val="center"/>
          </w:tcPr>
          <w:p>
            <w:pPr>
              <w:pStyle w:val="15"/>
              <w:spacing w:line="360" w:lineRule="auto"/>
              <w:jc w:val="center"/>
              <w:rPr>
                <w:rFonts w:hAnsi="宋体"/>
                <w:szCs w:val="21"/>
                <w:highlight w:val="none"/>
              </w:rPr>
            </w:pPr>
            <w:r>
              <w:rPr>
                <w:rFonts w:hint="eastAsia" w:hAnsi="宋体"/>
                <w:szCs w:val="21"/>
                <w:highlight w:val="none"/>
              </w:rPr>
              <w:t>评标方法</w:t>
            </w:r>
          </w:p>
        </w:tc>
        <w:tc>
          <w:tcPr>
            <w:tcW w:w="5800" w:type="dxa"/>
            <w:vAlign w:val="center"/>
          </w:tcPr>
          <w:p>
            <w:pPr>
              <w:spacing w:line="360" w:lineRule="auto"/>
              <w:rPr>
                <w:rFonts w:ascii="宋体" w:hAnsi="宋体"/>
                <w:szCs w:val="21"/>
                <w:highlight w:val="none"/>
              </w:rPr>
            </w:pPr>
            <w:r>
              <w:rPr>
                <w:rFonts w:hint="eastAsia" w:ascii="宋体" w:hAnsi="宋体"/>
                <w:szCs w:val="21"/>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062" w:type="dxa"/>
            <w:vAlign w:val="center"/>
          </w:tcPr>
          <w:p>
            <w:pPr>
              <w:pStyle w:val="15"/>
              <w:spacing w:line="360" w:lineRule="auto"/>
              <w:jc w:val="center"/>
              <w:rPr>
                <w:rFonts w:hAnsi="宋体"/>
                <w:szCs w:val="21"/>
                <w:highlight w:val="none"/>
              </w:rPr>
            </w:pPr>
            <w:r>
              <w:rPr>
                <w:rFonts w:hAnsi="宋体"/>
                <w:szCs w:val="21"/>
                <w:highlight w:val="none"/>
              </w:rPr>
              <w:t>3</w:t>
            </w:r>
            <w:r>
              <w:rPr>
                <w:rFonts w:hint="eastAsia" w:hAnsi="宋体"/>
                <w:szCs w:val="21"/>
                <w:highlight w:val="none"/>
              </w:rPr>
              <w:t>1</w:t>
            </w:r>
          </w:p>
        </w:tc>
        <w:tc>
          <w:tcPr>
            <w:tcW w:w="2958" w:type="dxa"/>
            <w:vAlign w:val="center"/>
          </w:tcPr>
          <w:p>
            <w:pPr>
              <w:pStyle w:val="15"/>
              <w:spacing w:line="360" w:lineRule="auto"/>
              <w:jc w:val="center"/>
              <w:rPr>
                <w:rFonts w:hAnsi="宋体"/>
                <w:szCs w:val="21"/>
                <w:highlight w:val="none"/>
              </w:rPr>
            </w:pPr>
            <w:r>
              <w:rPr>
                <w:rFonts w:hAnsi="宋体"/>
                <w:bCs/>
                <w:szCs w:val="21"/>
                <w:highlight w:val="none"/>
              </w:rPr>
              <w:t>履约</w:t>
            </w:r>
            <w:r>
              <w:rPr>
                <w:rFonts w:hint="eastAsia" w:hAnsi="宋体"/>
                <w:bCs/>
                <w:szCs w:val="21"/>
                <w:highlight w:val="none"/>
              </w:rPr>
              <w:t>担保</w:t>
            </w:r>
          </w:p>
        </w:tc>
        <w:tc>
          <w:tcPr>
            <w:tcW w:w="5800" w:type="dxa"/>
            <w:vAlign w:val="center"/>
          </w:tcPr>
          <w:p>
            <w:pPr>
              <w:pStyle w:val="15"/>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1.履约保证金递交的形式:支票、汇票、本票或者金融机构、担保机构出具的保函等非现金形式提交；</w:t>
            </w:r>
          </w:p>
          <w:p>
            <w:pPr>
              <w:pStyle w:val="15"/>
              <w:spacing w:line="360" w:lineRule="auto"/>
              <w:rPr>
                <w:rFonts w:hint="eastAsia" w:hAnsi="宋体" w:eastAsia="宋体"/>
                <w:szCs w:val="21"/>
                <w:highlight w:val="none"/>
                <w:lang w:eastAsia="zh-CN"/>
              </w:rPr>
            </w:pPr>
            <w:r>
              <w:rPr>
                <w:rFonts w:hint="eastAsia" w:ascii="宋体" w:hAnsi="宋体" w:eastAsia="宋体" w:cs="宋体"/>
                <w:b w:val="0"/>
                <w:bCs/>
                <w:color w:val="auto"/>
                <w:szCs w:val="21"/>
                <w:highlight w:val="none"/>
              </w:rPr>
              <w:t>2.履约保证金金额：</w:t>
            </w:r>
            <w:r>
              <w:rPr>
                <w:rFonts w:hint="eastAsia" w:ascii="宋体" w:hAnsi="宋体" w:eastAsia="宋体" w:cs="宋体"/>
                <w:b w:val="0"/>
                <w:bCs/>
                <w:color w:val="auto"/>
                <w:szCs w:val="21"/>
                <w:highlight w:val="none"/>
                <w:lang w:val="en-US" w:eastAsia="zh-CN"/>
              </w:rPr>
              <w:t>不超过</w:t>
            </w:r>
            <w:r>
              <w:rPr>
                <w:rFonts w:hint="eastAsia" w:ascii="宋体" w:hAnsi="宋体" w:eastAsia="宋体" w:cs="宋体"/>
                <w:b w:val="0"/>
                <w:bCs/>
                <w:color w:val="auto"/>
                <w:szCs w:val="21"/>
                <w:highlight w:val="none"/>
              </w:rPr>
              <w:t>中标价的</w:t>
            </w:r>
            <w:r>
              <w:rPr>
                <w:rFonts w:hint="eastAsia" w:ascii="宋体" w:hAnsi="宋体" w:eastAsia="宋体" w:cs="宋体"/>
                <w:b w:val="0"/>
                <w:bCs/>
                <w:color w:val="auto"/>
                <w:szCs w:val="21"/>
                <w:highlight w:val="none"/>
                <w:lang w:val="en-US" w:eastAsia="zh-CN"/>
              </w:rPr>
              <w:t>5</w:t>
            </w:r>
            <w:r>
              <w:rPr>
                <w:rFonts w:hint="eastAsia" w:ascii="宋体" w:hAnsi="宋体" w:eastAsia="宋体" w:cs="宋体"/>
                <w:b w:val="0"/>
                <w:bCs/>
                <w:color w:val="auto"/>
                <w:szCs w:val="21"/>
                <w:highlight w:val="none"/>
              </w:rPr>
              <w:t>%</w:t>
            </w:r>
            <w:r>
              <w:rPr>
                <w:rFonts w:hint="eastAsia" w:ascii="宋体" w:hAnsi="宋体" w:eastAsia="宋体" w:cs="宋体"/>
                <w:b w:val="0"/>
                <w:bCs/>
                <w:color w:val="auto"/>
                <w:szCs w:val="21"/>
                <w:highlight w:val="none"/>
                <w:lang w:val="en-US" w:eastAsia="zh-CN"/>
              </w:rPr>
              <w:t>进行</w:t>
            </w:r>
            <w:r>
              <w:rPr>
                <w:rFonts w:hint="eastAsia" w:ascii="宋体" w:hAnsi="宋体" w:eastAsia="宋体" w:cs="宋体"/>
                <w:b w:val="0"/>
                <w:bCs/>
                <w:color w:val="auto"/>
                <w:szCs w:val="21"/>
                <w:highlight w:val="none"/>
              </w:rPr>
              <w:t>收取</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lang w:val="en-US" w:eastAsia="zh-CN"/>
              </w:rPr>
              <w:t>待合同履约结束后退还于中标单位。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9820" w:type="dxa"/>
            <w:gridSpan w:val="3"/>
            <w:vAlign w:val="center"/>
          </w:tcPr>
          <w:p>
            <w:pPr>
              <w:pStyle w:val="15"/>
              <w:spacing w:line="360" w:lineRule="auto"/>
              <w:jc w:val="left"/>
              <w:rPr>
                <w:rFonts w:hAnsi="宋体"/>
                <w:szCs w:val="21"/>
                <w:highlight w:val="none"/>
              </w:rPr>
            </w:pPr>
            <w:r>
              <w:rPr>
                <w:rFonts w:hint="eastAsia" w:hAnsi="宋体"/>
                <w:szCs w:val="21"/>
                <w:highlight w:val="none"/>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062" w:type="dxa"/>
            <w:vAlign w:val="center"/>
          </w:tcPr>
          <w:p>
            <w:pPr>
              <w:pStyle w:val="15"/>
              <w:spacing w:line="360" w:lineRule="auto"/>
              <w:jc w:val="center"/>
              <w:rPr>
                <w:rFonts w:hint="default" w:hAnsi="宋体" w:eastAsia="宋体"/>
                <w:szCs w:val="21"/>
                <w:highlight w:val="none"/>
                <w:lang w:val="en-US" w:eastAsia="zh-CN"/>
              </w:rPr>
            </w:pPr>
            <w:r>
              <w:rPr>
                <w:rFonts w:hint="eastAsia" w:hAnsi="宋体"/>
                <w:szCs w:val="21"/>
                <w:highlight w:val="none"/>
                <w:lang w:val="en-US" w:eastAsia="zh-CN"/>
              </w:rPr>
              <w:t>41</w:t>
            </w:r>
          </w:p>
        </w:tc>
        <w:tc>
          <w:tcPr>
            <w:tcW w:w="8758" w:type="dxa"/>
            <w:gridSpan w:val="2"/>
            <w:vAlign w:val="center"/>
          </w:tcPr>
          <w:p>
            <w:pPr>
              <w:pStyle w:val="15"/>
              <w:spacing w:line="360" w:lineRule="exact"/>
              <w:ind w:firstLine="211" w:firstLineChars="100"/>
              <w:rPr>
                <w:rFonts w:hint="default" w:eastAsia="宋体"/>
                <w:b/>
                <w:szCs w:val="21"/>
                <w:highlight w:val="none"/>
                <w:lang w:val="en-US" w:eastAsia="zh-CN"/>
              </w:rPr>
            </w:pPr>
            <w:r>
              <w:rPr>
                <w:rFonts w:hint="eastAsia" w:hAnsi="宋体"/>
                <w:b/>
                <w:bCs/>
                <w:szCs w:val="21"/>
                <w:highlight w:val="none"/>
              </w:rPr>
              <w:t>采购代理服务费：</w:t>
            </w:r>
            <w:r>
              <w:rPr>
                <w:rFonts w:hint="eastAsia" w:hAnsi="宋体" w:cs="宋体"/>
                <w:b/>
                <w:bCs/>
                <w:szCs w:val="21"/>
                <w:highlight w:val="none"/>
              </w:rPr>
              <w:t>根据</w:t>
            </w:r>
            <w:r>
              <w:rPr>
                <w:rFonts w:hint="eastAsia" w:hAnsi="宋体" w:cs="宋体"/>
                <w:b/>
                <w:bCs/>
                <w:szCs w:val="21"/>
                <w:highlight w:val="none"/>
                <w:lang w:eastAsia="zh-CN"/>
              </w:rPr>
              <w:t>采购人</w:t>
            </w:r>
            <w:r>
              <w:rPr>
                <w:rFonts w:hint="eastAsia" w:hAnsi="宋体" w:cs="宋体"/>
                <w:b/>
                <w:bCs/>
                <w:szCs w:val="21"/>
                <w:highlight w:val="none"/>
              </w:rPr>
              <w:t>与</w:t>
            </w:r>
            <w:r>
              <w:rPr>
                <w:rFonts w:hint="eastAsia" w:hAnsi="宋体" w:cs="宋体"/>
                <w:b/>
                <w:bCs/>
                <w:szCs w:val="21"/>
                <w:highlight w:val="none"/>
                <w:lang w:eastAsia="zh-CN"/>
              </w:rPr>
              <w:t>采购代理机构</w:t>
            </w:r>
            <w:r>
              <w:rPr>
                <w:rFonts w:hint="eastAsia" w:hAnsi="宋体" w:cs="宋体"/>
                <w:b/>
                <w:bCs/>
                <w:szCs w:val="21"/>
                <w:highlight w:val="none"/>
              </w:rPr>
              <w:t>签订的委托协议</w:t>
            </w:r>
            <w:r>
              <w:rPr>
                <w:rFonts w:hint="eastAsia" w:hAnsi="宋体" w:cs="宋体"/>
                <w:b/>
                <w:bCs/>
                <w:szCs w:val="21"/>
                <w:highlight w:val="none"/>
                <w:lang w:val="en-US" w:eastAsia="zh-CN"/>
              </w:rPr>
              <w:t>由中标人支付</w:t>
            </w:r>
            <w:r>
              <w:rPr>
                <w:rFonts w:hint="eastAsia" w:hAnsi="宋体" w:cs="宋体"/>
                <w:b/>
                <w:bCs/>
                <w:szCs w:val="21"/>
                <w:highlight w:val="none"/>
              </w:rPr>
              <w:t>。</w:t>
            </w:r>
            <w:r>
              <w:rPr>
                <w:rFonts w:hint="eastAsia" w:hAnsi="宋体" w:cs="宋体"/>
                <w:b/>
                <w:bCs/>
                <w:szCs w:val="21"/>
                <w:highlight w:val="none"/>
                <w:lang w:val="en-US" w:eastAsia="zh-CN"/>
              </w:rPr>
              <w:t>按</w:t>
            </w:r>
            <w:r>
              <w:rPr>
                <w:rFonts w:hint="eastAsia" w:hAnsi="宋体" w:cs="宋体"/>
                <w:b/>
                <w:color w:val="auto"/>
                <w:szCs w:val="21"/>
                <w:highlight w:val="none"/>
              </w:rPr>
              <w:t>《关于印发《云南省建设工程招标代理服务收费指导意见（试行）》的通知》（云建招协〔2023〕51号)文件收费标准计算基础上优惠10%向中标人收取</w:t>
            </w:r>
            <w:r>
              <w:rPr>
                <w:rFonts w:hint="eastAsia" w:hAnsi="宋体" w:cs="宋体"/>
                <w:b/>
                <w:color w:val="auto"/>
                <w:szCs w:val="21"/>
                <w:highlight w:val="none"/>
                <w:lang w:eastAsia="zh-CN"/>
              </w:rPr>
              <w:t>，</w:t>
            </w:r>
            <w:r>
              <w:rPr>
                <w:rFonts w:hint="eastAsia" w:hAnsi="宋体"/>
                <w:bCs/>
                <w:szCs w:val="21"/>
                <w:highlight w:val="none"/>
              </w:rPr>
              <w:t>中标人应在接</w:t>
            </w:r>
            <w:r>
              <w:rPr>
                <w:rFonts w:hint="eastAsia" w:hAnsi="宋体"/>
                <w:bCs/>
                <w:szCs w:val="21"/>
                <w:highlight w:val="none"/>
                <w:lang w:val="en-US" w:eastAsia="zh-CN"/>
              </w:rPr>
              <w:t>收</w:t>
            </w:r>
            <w:r>
              <w:rPr>
                <w:rFonts w:hint="eastAsia" w:hAnsi="宋体"/>
                <w:b w:val="0"/>
                <w:bCs/>
                <w:szCs w:val="21"/>
                <w:highlight w:val="none"/>
              </w:rPr>
              <w:t>中标通知书</w:t>
            </w:r>
            <w:r>
              <w:rPr>
                <w:rFonts w:hint="eastAsia" w:hAnsi="宋体"/>
                <w:b w:val="0"/>
                <w:bCs/>
                <w:szCs w:val="21"/>
                <w:highlight w:val="none"/>
                <w:lang w:eastAsia="zh-CN"/>
              </w:rPr>
              <w:t>（</w:t>
            </w:r>
            <w:r>
              <w:rPr>
                <w:rFonts w:hint="eastAsia" w:hAnsi="宋体"/>
                <w:b w:val="0"/>
                <w:bCs/>
                <w:szCs w:val="21"/>
                <w:highlight w:val="none"/>
                <w:lang w:val="en-US" w:eastAsia="zh-CN"/>
              </w:rPr>
              <w:t>成交通知书</w:t>
            </w:r>
            <w:r>
              <w:rPr>
                <w:rFonts w:hint="eastAsia" w:hAnsi="宋体"/>
                <w:b w:val="0"/>
                <w:bCs/>
                <w:szCs w:val="21"/>
                <w:highlight w:val="none"/>
                <w:lang w:eastAsia="zh-CN"/>
              </w:rPr>
              <w:t>）</w:t>
            </w:r>
            <w:r>
              <w:rPr>
                <w:rFonts w:hint="eastAsia" w:hAnsi="宋体"/>
                <w:bCs/>
                <w:szCs w:val="21"/>
                <w:highlight w:val="none"/>
              </w:rPr>
              <w:t>前向</w:t>
            </w:r>
            <w:r>
              <w:rPr>
                <w:rFonts w:hint="eastAsia" w:hAnsi="宋体"/>
                <w:bCs/>
                <w:szCs w:val="21"/>
                <w:highlight w:val="none"/>
                <w:lang w:eastAsia="zh-CN"/>
              </w:rPr>
              <w:t>采购代理机构</w:t>
            </w:r>
            <w:r>
              <w:rPr>
                <w:rFonts w:hint="eastAsia" w:hAnsi="宋体"/>
                <w:bCs/>
                <w:szCs w:val="21"/>
                <w:highlight w:val="none"/>
              </w:rPr>
              <w:t>一次</w:t>
            </w:r>
            <w:r>
              <w:rPr>
                <w:rFonts w:hint="eastAsia" w:hAnsi="宋体"/>
                <w:bCs/>
                <w:szCs w:val="21"/>
                <w:highlight w:val="none"/>
                <w:lang w:val="en-US" w:eastAsia="zh-CN"/>
              </w:rPr>
              <w:t>性</w:t>
            </w:r>
            <w:r>
              <w:rPr>
                <w:rFonts w:hint="eastAsia" w:hAnsi="宋体"/>
                <w:bCs/>
                <w:szCs w:val="21"/>
                <w:highlight w:val="none"/>
              </w:rPr>
              <w:t>付清代理服务费。</w:t>
            </w:r>
            <w:r>
              <w:rPr>
                <w:rFonts w:hint="eastAsia" w:hAnsi="宋体"/>
                <w:bCs/>
                <w:szCs w:val="21"/>
                <w:highlight w:val="none"/>
                <w:lang w:val="en-US" w:eastAsia="zh-CN"/>
              </w:rPr>
              <w:t>投标人在参与本项目投标时应充分考虑到须支付的费用。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062" w:type="dxa"/>
            <w:vAlign w:val="center"/>
          </w:tcPr>
          <w:p>
            <w:pPr>
              <w:pStyle w:val="15"/>
              <w:spacing w:line="360" w:lineRule="auto"/>
              <w:jc w:val="center"/>
              <w:rPr>
                <w:rFonts w:hint="default" w:hAnsi="宋体" w:eastAsia="宋体"/>
                <w:szCs w:val="21"/>
                <w:highlight w:val="none"/>
                <w:lang w:val="en-US" w:eastAsia="zh-CN"/>
              </w:rPr>
            </w:pPr>
            <w:r>
              <w:rPr>
                <w:rFonts w:hint="eastAsia" w:hAnsi="宋体"/>
                <w:szCs w:val="21"/>
                <w:highlight w:val="none"/>
                <w:lang w:val="en-US" w:eastAsia="zh-CN"/>
              </w:rPr>
              <w:t>42</w:t>
            </w:r>
          </w:p>
        </w:tc>
        <w:tc>
          <w:tcPr>
            <w:tcW w:w="8758" w:type="dxa"/>
            <w:gridSpan w:val="2"/>
            <w:vAlign w:val="center"/>
          </w:tcPr>
          <w:p>
            <w:pPr>
              <w:pStyle w:val="15"/>
              <w:spacing w:line="360" w:lineRule="auto"/>
              <w:rPr>
                <w:rFonts w:hint="default"/>
                <w:szCs w:val="21"/>
                <w:highlight w:val="none"/>
                <w:lang w:val="en-US"/>
              </w:rPr>
            </w:pPr>
            <w:r>
              <w:rPr>
                <w:rFonts w:hint="eastAsia" w:hAnsi="宋体"/>
                <w:b/>
                <w:bCs/>
                <w:szCs w:val="21"/>
                <w:highlight w:val="none"/>
                <w:lang w:val="en-US" w:eastAsia="zh-CN"/>
              </w:rPr>
              <w:t>备选投标方案：不允许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062" w:type="dxa"/>
            <w:vAlign w:val="center"/>
          </w:tcPr>
          <w:p>
            <w:pPr>
              <w:pStyle w:val="15"/>
              <w:spacing w:line="360" w:lineRule="auto"/>
              <w:jc w:val="center"/>
              <w:rPr>
                <w:rFonts w:hint="default" w:ascii="宋体" w:hAnsi="宋体" w:eastAsia="宋体" w:cs="Times New Roman"/>
                <w:kern w:val="2"/>
                <w:sz w:val="21"/>
                <w:szCs w:val="21"/>
                <w:highlight w:val="none"/>
                <w:lang w:val="en-US" w:eastAsia="zh-CN" w:bidi="ar-SA"/>
              </w:rPr>
            </w:pPr>
            <w:r>
              <w:rPr>
                <w:rFonts w:hint="eastAsia" w:hAnsi="宋体"/>
                <w:szCs w:val="21"/>
                <w:highlight w:val="none"/>
                <w:lang w:val="en-US" w:eastAsia="zh-CN"/>
              </w:rPr>
              <w:t>43</w:t>
            </w:r>
          </w:p>
        </w:tc>
        <w:tc>
          <w:tcPr>
            <w:tcW w:w="8758" w:type="dxa"/>
            <w:gridSpan w:val="2"/>
            <w:vAlign w:val="center"/>
          </w:tcPr>
          <w:p>
            <w:pPr>
              <w:spacing w:line="360" w:lineRule="auto"/>
              <w:rPr>
                <w:b/>
                <w:bCs/>
                <w:szCs w:val="21"/>
                <w:highlight w:val="none"/>
              </w:rPr>
            </w:pPr>
            <w:r>
              <w:rPr>
                <w:rFonts w:hint="eastAsia"/>
                <w:b/>
                <w:bCs/>
                <w:szCs w:val="21"/>
                <w:highlight w:val="none"/>
              </w:rPr>
              <w:t xml:space="preserve">以下情况视为投标人同意撤回已上传系统的投标文件或其投标文件无效： </w:t>
            </w:r>
          </w:p>
          <w:p>
            <w:pPr>
              <w:spacing w:line="360" w:lineRule="auto"/>
              <w:rPr>
                <w:b/>
                <w:bCs/>
                <w:szCs w:val="21"/>
                <w:highlight w:val="none"/>
              </w:rPr>
            </w:pPr>
            <w:r>
              <w:rPr>
                <w:rFonts w:hint="eastAsia"/>
                <w:b/>
                <w:bCs/>
                <w:szCs w:val="21"/>
                <w:highlight w:val="none"/>
              </w:rPr>
              <w:t xml:space="preserve">（1）政府采购云平台电子平台显示投标人未上传投标文件； </w:t>
            </w:r>
          </w:p>
          <w:p>
            <w:pPr>
              <w:spacing w:line="360" w:lineRule="auto"/>
              <w:rPr>
                <w:rFonts w:hint="eastAsia" w:ascii="Times New Roman" w:hAnsi="Times New Roman" w:eastAsia="宋体" w:cs="Times New Roman"/>
                <w:b/>
                <w:kern w:val="2"/>
                <w:sz w:val="21"/>
                <w:szCs w:val="21"/>
                <w:highlight w:val="none"/>
                <w:lang w:val="en-US" w:eastAsia="zh-CN" w:bidi="ar-SA"/>
              </w:rPr>
            </w:pPr>
            <w:r>
              <w:rPr>
                <w:rFonts w:hint="eastAsia"/>
                <w:b/>
                <w:bCs/>
                <w:szCs w:val="21"/>
                <w:highlight w:val="none"/>
              </w:rPr>
              <w:t>（2）因投标人原因上传的投标文件在开启文件时无法解密。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062" w:type="dxa"/>
            <w:vAlign w:val="center"/>
          </w:tcPr>
          <w:p>
            <w:pPr>
              <w:pStyle w:val="15"/>
              <w:spacing w:line="360" w:lineRule="auto"/>
              <w:jc w:val="center"/>
              <w:rPr>
                <w:rFonts w:hint="default" w:hAnsi="宋体"/>
                <w:szCs w:val="21"/>
                <w:highlight w:val="none"/>
                <w:lang w:val="en-US" w:eastAsia="zh-CN"/>
              </w:rPr>
            </w:pPr>
            <w:r>
              <w:rPr>
                <w:rFonts w:hint="eastAsia" w:hAnsi="宋体"/>
                <w:szCs w:val="21"/>
                <w:highlight w:val="none"/>
                <w:lang w:val="en-US" w:eastAsia="zh-CN"/>
              </w:rPr>
              <w:t>44</w:t>
            </w:r>
          </w:p>
        </w:tc>
        <w:tc>
          <w:tcPr>
            <w:tcW w:w="8758" w:type="dxa"/>
            <w:gridSpan w:val="2"/>
            <w:vAlign w:val="center"/>
          </w:tcPr>
          <w:p>
            <w:pPr>
              <w:spacing w:line="360" w:lineRule="auto"/>
              <w:rPr>
                <w:rFonts w:hint="default" w:eastAsia="宋体"/>
                <w:b/>
                <w:bCs/>
                <w:szCs w:val="21"/>
                <w:highlight w:val="none"/>
                <w:lang w:val="en-US" w:eastAsia="zh-CN"/>
              </w:rPr>
            </w:pPr>
            <w:r>
              <w:rPr>
                <w:rFonts w:hint="eastAsia"/>
                <w:b/>
                <w:bCs/>
                <w:szCs w:val="21"/>
                <w:highlight w:val="none"/>
                <w:lang w:val="en-US" w:eastAsia="zh-CN"/>
              </w:rPr>
              <w:t>项目类似业绩：指2019年至今投标人实施过的涉及液压破拆工具组货物采购业绩</w:t>
            </w:r>
          </w:p>
        </w:tc>
      </w:tr>
    </w:tbl>
    <w:p>
      <w:pPr>
        <w:pStyle w:val="3"/>
        <w:numPr>
          <w:ilvl w:val="0"/>
          <w:numId w:val="0"/>
        </w:numPr>
        <w:ind w:left="425"/>
        <w:jc w:val="center"/>
        <w:rPr>
          <w:rFonts w:ascii="宋体" w:hAnsi="宋体" w:eastAsia="宋体"/>
          <w:bCs/>
          <w:kern w:val="44"/>
          <w:szCs w:val="28"/>
          <w:highlight w:val="none"/>
        </w:rPr>
      </w:pPr>
      <w:r>
        <w:rPr>
          <w:rFonts w:ascii="宋体" w:hAnsi="宋体" w:eastAsia="宋体"/>
          <w:sz w:val="21"/>
          <w:szCs w:val="21"/>
          <w:highlight w:val="none"/>
        </w:rPr>
        <w:br w:type="page"/>
      </w:r>
      <w:bookmarkStart w:id="24" w:name="_Toc21042"/>
      <w:bookmarkStart w:id="25" w:name="_Toc17478"/>
      <w:r>
        <w:rPr>
          <w:rFonts w:hint="eastAsia" w:ascii="宋体" w:hAnsi="宋体" w:eastAsia="宋体"/>
          <w:bCs/>
          <w:szCs w:val="28"/>
          <w:highlight w:val="none"/>
        </w:rPr>
        <w:t>一</w:t>
      </w:r>
      <w:r>
        <w:rPr>
          <w:rFonts w:hint="eastAsia" w:ascii="宋体" w:hAnsi="宋体" w:eastAsia="宋体"/>
          <w:bCs/>
          <w:kern w:val="44"/>
          <w:szCs w:val="28"/>
          <w:highlight w:val="none"/>
        </w:rPr>
        <w:t>、总  则</w:t>
      </w:r>
      <w:bookmarkEnd w:id="24"/>
      <w:bookmarkEnd w:id="25"/>
    </w:p>
    <w:p>
      <w:pPr>
        <w:pStyle w:val="15"/>
        <w:spacing w:line="360" w:lineRule="auto"/>
        <w:ind w:left="213" w:hanging="213" w:hangingChars="101"/>
        <w:jc w:val="left"/>
        <w:rPr>
          <w:rFonts w:hAnsi="宋体"/>
          <w:b/>
          <w:szCs w:val="21"/>
          <w:highlight w:val="none"/>
        </w:rPr>
      </w:pPr>
      <w:r>
        <w:rPr>
          <w:rFonts w:hint="eastAsia" w:hAnsi="宋体"/>
          <w:b/>
          <w:szCs w:val="21"/>
          <w:highlight w:val="none"/>
        </w:rPr>
        <w:t xml:space="preserve">1.项目概况 </w:t>
      </w:r>
    </w:p>
    <w:p>
      <w:pPr>
        <w:pStyle w:val="15"/>
        <w:spacing w:line="360" w:lineRule="auto"/>
        <w:ind w:left="208" w:leftChars="99"/>
        <w:jc w:val="left"/>
        <w:rPr>
          <w:rFonts w:hAnsi="宋体"/>
          <w:bCs/>
          <w:szCs w:val="21"/>
          <w:highlight w:val="none"/>
        </w:rPr>
      </w:pPr>
      <w:r>
        <w:rPr>
          <w:rFonts w:hint="eastAsia" w:hAnsi="宋体"/>
          <w:bCs/>
          <w:szCs w:val="21"/>
          <w:highlight w:val="none"/>
        </w:rPr>
        <w:t>1.1 根据《中华人民共和国政府采购法》《中华人民共和国政府采购法实施条例》《政府</w:t>
      </w:r>
    </w:p>
    <w:p>
      <w:pPr>
        <w:pStyle w:val="15"/>
        <w:spacing w:line="360" w:lineRule="auto"/>
        <w:jc w:val="left"/>
        <w:rPr>
          <w:rFonts w:hAnsi="宋体"/>
          <w:bCs/>
          <w:szCs w:val="21"/>
          <w:highlight w:val="none"/>
        </w:rPr>
      </w:pPr>
      <w:r>
        <w:rPr>
          <w:rFonts w:hint="eastAsia" w:hAnsi="宋体"/>
          <w:bCs/>
          <w:szCs w:val="21"/>
          <w:highlight w:val="none"/>
        </w:rPr>
        <w:t>采购货物和服务招标投标管理办法》(财政部令第 87 号)等有关法律、法规和规章的规定， 本项目已具备招标条件，现对本项目进行招标。</w:t>
      </w:r>
    </w:p>
    <w:p>
      <w:pPr>
        <w:pStyle w:val="15"/>
        <w:spacing w:line="360" w:lineRule="auto"/>
        <w:ind w:left="208" w:leftChars="99"/>
        <w:jc w:val="left"/>
        <w:rPr>
          <w:rFonts w:hAnsi="宋体"/>
          <w:bCs/>
          <w:szCs w:val="21"/>
          <w:highlight w:val="none"/>
        </w:rPr>
      </w:pPr>
      <w:r>
        <w:rPr>
          <w:rFonts w:hint="eastAsia" w:hAnsi="宋体"/>
          <w:bCs/>
          <w:szCs w:val="21"/>
          <w:highlight w:val="none"/>
        </w:rPr>
        <w:t>1.2</w:t>
      </w:r>
      <w:r>
        <w:rPr>
          <w:rFonts w:hint="eastAsia" w:hAnsi="宋体"/>
          <w:bCs/>
          <w:szCs w:val="21"/>
          <w:highlight w:val="none"/>
          <w:lang w:eastAsia="zh-CN"/>
        </w:rPr>
        <w:t>采购人</w:t>
      </w:r>
      <w:r>
        <w:rPr>
          <w:rFonts w:hint="eastAsia" w:hAnsi="宋体"/>
          <w:bCs/>
          <w:szCs w:val="21"/>
          <w:highlight w:val="none"/>
        </w:rPr>
        <w:t>、</w:t>
      </w:r>
      <w:r>
        <w:rPr>
          <w:rFonts w:hint="eastAsia" w:hAnsi="宋体"/>
          <w:bCs/>
          <w:szCs w:val="21"/>
          <w:highlight w:val="none"/>
          <w:lang w:eastAsia="zh-CN"/>
        </w:rPr>
        <w:t>采购代理机构</w:t>
      </w:r>
      <w:r>
        <w:rPr>
          <w:rFonts w:hint="eastAsia" w:hAnsi="宋体"/>
          <w:bCs/>
          <w:szCs w:val="21"/>
          <w:highlight w:val="none"/>
        </w:rPr>
        <w:t>、项目名称及项目编号，详见</w:t>
      </w:r>
      <w:r>
        <w:rPr>
          <w:rFonts w:hint="eastAsia" w:hAnsi="宋体"/>
          <w:b/>
          <w:szCs w:val="21"/>
          <w:highlight w:val="none"/>
        </w:rPr>
        <w:t>“投标人须知前附表”。</w:t>
      </w:r>
    </w:p>
    <w:p>
      <w:pPr>
        <w:spacing w:line="360" w:lineRule="auto"/>
        <w:jc w:val="left"/>
        <w:rPr>
          <w:rFonts w:ascii="宋体" w:hAnsi="宋体"/>
          <w:b/>
          <w:szCs w:val="21"/>
          <w:highlight w:val="none"/>
        </w:rPr>
      </w:pPr>
      <w:r>
        <w:rPr>
          <w:rFonts w:hint="eastAsia" w:ascii="宋体" w:hAnsi="宋体"/>
          <w:b/>
          <w:szCs w:val="21"/>
          <w:highlight w:val="none"/>
        </w:rPr>
        <w:t>2. 资金来源</w:t>
      </w:r>
    </w:p>
    <w:p>
      <w:pPr>
        <w:spacing w:line="360" w:lineRule="auto"/>
        <w:ind w:firstLine="210" w:firstLineChars="100"/>
        <w:jc w:val="left"/>
        <w:rPr>
          <w:rFonts w:hint="eastAsia" w:hAnsi="宋体"/>
          <w:b/>
          <w:szCs w:val="21"/>
          <w:highlight w:val="none"/>
        </w:rPr>
      </w:pPr>
      <w:r>
        <w:rPr>
          <w:rFonts w:hint="eastAsia" w:hAnsi="宋体"/>
          <w:b w:val="0"/>
          <w:bCs/>
          <w:szCs w:val="21"/>
          <w:highlight w:val="none"/>
          <w:lang w:val="en-US" w:eastAsia="zh-CN"/>
        </w:rPr>
        <w:t>本项目资金来源</w:t>
      </w:r>
      <w:r>
        <w:rPr>
          <w:rFonts w:hint="eastAsia" w:hAnsi="宋体"/>
          <w:b/>
          <w:szCs w:val="21"/>
          <w:highlight w:val="none"/>
        </w:rPr>
        <w:t>见“投标人须知前附表”。</w:t>
      </w:r>
    </w:p>
    <w:p>
      <w:pPr>
        <w:spacing w:line="360" w:lineRule="auto"/>
        <w:jc w:val="left"/>
        <w:rPr>
          <w:rFonts w:ascii="宋体" w:hAnsi="宋体"/>
          <w:b/>
          <w:szCs w:val="21"/>
          <w:highlight w:val="none"/>
        </w:rPr>
      </w:pPr>
      <w:r>
        <w:rPr>
          <w:rFonts w:hint="eastAsia" w:ascii="宋体" w:hAnsi="宋体"/>
          <w:b/>
          <w:szCs w:val="21"/>
          <w:highlight w:val="none"/>
        </w:rPr>
        <w:t>3. 招标范围</w:t>
      </w:r>
    </w:p>
    <w:p>
      <w:pPr>
        <w:pStyle w:val="15"/>
        <w:spacing w:line="360" w:lineRule="auto"/>
        <w:ind w:left="208" w:leftChars="99"/>
        <w:jc w:val="left"/>
        <w:rPr>
          <w:rFonts w:hAnsi="宋体"/>
          <w:bCs/>
          <w:szCs w:val="21"/>
          <w:highlight w:val="none"/>
        </w:rPr>
      </w:pPr>
      <w:r>
        <w:rPr>
          <w:rFonts w:hint="eastAsia" w:hAnsi="宋体"/>
          <w:bCs/>
          <w:szCs w:val="21"/>
          <w:highlight w:val="none"/>
        </w:rPr>
        <w:t>3.1 本项目招标范围：</w:t>
      </w:r>
      <w:r>
        <w:rPr>
          <w:rFonts w:hint="eastAsia" w:hAnsi="宋体"/>
          <w:b/>
          <w:bCs w:val="0"/>
          <w:szCs w:val="21"/>
          <w:highlight w:val="none"/>
        </w:rPr>
        <w:t>见“投标人须知前附表”。</w:t>
      </w:r>
    </w:p>
    <w:p>
      <w:pPr>
        <w:pStyle w:val="15"/>
        <w:spacing w:line="360" w:lineRule="auto"/>
        <w:ind w:left="208" w:leftChars="99"/>
        <w:jc w:val="left"/>
        <w:rPr>
          <w:rFonts w:hint="eastAsia" w:hAnsi="宋体"/>
          <w:b/>
          <w:szCs w:val="21"/>
          <w:highlight w:val="none"/>
        </w:rPr>
      </w:pPr>
      <w:r>
        <w:rPr>
          <w:rFonts w:hint="eastAsia" w:hAnsi="宋体"/>
          <w:bCs/>
          <w:szCs w:val="21"/>
          <w:highlight w:val="none"/>
        </w:rPr>
        <w:t>3.2 本项目交货期限、交货地点：</w:t>
      </w:r>
      <w:r>
        <w:rPr>
          <w:rFonts w:hint="eastAsia" w:hAnsi="宋体"/>
          <w:b/>
          <w:szCs w:val="21"/>
          <w:highlight w:val="none"/>
        </w:rPr>
        <w:t>见“投标人须知前附表”。</w:t>
      </w:r>
    </w:p>
    <w:p>
      <w:pPr>
        <w:pStyle w:val="15"/>
        <w:spacing w:line="360" w:lineRule="auto"/>
        <w:ind w:left="208" w:leftChars="99"/>
        <w:jc w:val="left"/>
        <w:rPr>
          <w:rFonts w:hint="eastAsia" w:hAnsi="宋体"/>
          <w:b/>
          <w:szCs w:val="21"/>
          <w:highlight w:val="none"/>
        </w:rPr>
      </w:pPr>
      <w:r>
        <w:rPr>
          <w:rFonts w:hint="eastAsia" w:hAnsi="宋体"/>
          <w:b w:val="0"/>
          <w:bCs/>
          <w:szCs w:val="21"/>
          <w:highlight w:val="none"/>
          <w:lang w:val="en-US" w:eastAsia="zh-CN"/>
        </w:rPr>
        <w:t>3.3 质量要求：</w:t>
      </w:r>
      <w:r>
        <w:rPr>
          <w:rFonts w:hint="eastAsia" w:hAnsi="宋体"/>
          <w:b/>
          <w:szCs w:val="21"/>
          <w:highlight w:val="none"/>
        </w:rPr>
        <w:t>见“投标人须知前附表”。</w:t>
      </w:r>
    </w:p>
    <w:p>
      <w:pPr>
        <w:ind w:firstLine="210" w:firstLineChars="100"/>
        <w:rPr>
          <w:rFonts w:hint="default" w:ascii="宋体" w:hAnsi="宋体" w:eastAsia="宋体" w:cs="Times New Roman"/>
          <w:b w:val="0"/>
          <w:bCs/>
          <w:kern w:val="2"/>
          <w:sz w:val="21"/>
          <w:szCs w:val="21"/>
          <w:highlight w:val="none"/>
          <w:lang w:val="en-US" w:eastAsia="zh-CN" w:bidi="ar-SA"/>
        </w:rPr>
      </w:pPr>
      <w:r>
        <w:rPr>
          <w:rFonts w:hint="eastAsia" w:ascii="宋体" w:hAnsi="宋体" w:eastAsia="宋体" w:cs="Times New Roman"/>
          <w:b w:val="0"/>
          <w:bCs/>
          <w:kern w:val="2"/>
          <w:sz w:val="21"/>
          <w:szCs w:val="21"/>
          <w:highlight w:val="none"/>
          <w:lang w:val="en-US" w:eastAsia="zh-CN" w:bidi="ar-SA"/>
        </w:rPr>
        <w:t>3.4</w:t>
      </w:r>
      <w:r>
        <w:rPr>
          <w:rFonts w:hint="eastAsia" w:ascii="宋体" w:hAnsi="宋体" w:cs="Times New Roman"/>
          <w:b w:val="0"/>
          <w:bCs/>
          <w:kern w:val="2"/>
          <w:sz w:val="21"/>
          <w:szCs w:val="21"/>
          <w:highlight w:val="none"/>
          <w:lang w:val="en-US" w:eastAsia="zh-CN" w:bidi="ar-SA"/>
        </w:rPr>
        <w:t xml:space="preserve"> 质保要求：</w:t>
      </w:r>
      <w:r>
        <w:rPr>
          <w:rFonts w:hint="eastAsia" w:hAnsi="宋体"/>
          <w:b/>
          <w:szCs w:val="21"/>
          <w:highlight w:val="none"/>
        </w:rPr>
        <w:t>见“投标人须知前附表”。</w:t>
      </w:r>
    </w:p>
    <w:p>
      <w:pPr>
        <w:spacing w:line="360" w:lineRule="auto"/>
        <w:jc w:val="left"/>
        <w:rPr>
          <w:rFonts w:ascii="宋体" w:hAnsi="宋体"/>
          <w:b/>
          <w:szCs w:val="21"/>
          <w:highlight w:val="none"/>
        </w:rPr>
      </w:pPr>
      <w:r>
        <w:rPr>
          <w:rFonts w:hint="eastAsia" w:ascii="宋体" w:hAnsi="宋体"/>
          <w:b/>
          <w:szCs w:val="21"/>
          <w:highlight w:val="none"/>
        </w:rPr>
        <w:t xml:space="preserve">4. </w:t>
      </w:r>
      <w:r>
        <w:rPr>
          <w:rFonts w:hint="eastAsia" w:ascii="宋体" w:hAnsi="宋体"/>
          <w:b/>
          <w:szCs w:val="21"/>
          <w:highlight w:val="none"/>
          <w:lang w:val="en-US" w:eastAsia="zh-CN"/>
        </w:rPr>
        <w:t>合格</w:t>
      </w:r>
      <w:r>
        <w:rPr>
          <w:rFonts w:hint="eastAsia" w:ascii="宋体" w:hAnsi="宋体"/>
          <w:b/>
          <w:szCs w:val="21"/>
          <w:highlight w:val="none"/>
        </w:rPr>
        <w:t>投标人</w:t>
      </w:r>
    </w:p>
    <w:p>
      <w:pPr>
        <w:pStyle w:val="15"/>
        <w:spacing w:line="360" w:lineRule="auto"/>
        <w:ind w:left="208" w:leftChars="99"/>
        <w:jc w:val="left"/>
        <w:rPr>
          <w:rFonts w:hAnsi="宋体"/>
          <w:bCs/>
          <w:szCs w:val="21"/>
          <w:highlight w:val="none"/>
        </w:rPr>
      </w:pPr>
      <w:r>
        <w:rPr>
          <w:rFonts w:hint="eastAsia" w:hAnsi="宋体"/>
          <w:bCs/>
          <w:szCs w:val="21"/>
          <w:highlight w:val="none"/>
        </w:rPr>
        <w:t>4.1 投标人应具备承担本项目的资格条件</w:t>
      </w:r>
      <w:r>
        <w:rPr>
          <w:rFonts w:hint="eastAsia" w:hAnsi="宋体"/>
          <w:bCs/>
          <w:szCs w:val="21"/>
          <w:highlight w:val="none"/>
          <w:lang w:eastAsia="zh-CN"/>
        </w:rPr>
        <w:t>，</w:t>
      </w:r>
      <w:r>
        <w:rPr>
          <w:rFonts w:hint="eastAsia" w:hAnsi="宋体"/>
          <w:bCs/>
          <w:szCs w:val="21"/>
          <w:highlight w:val="none"/>
          <w:lang w:val="en-US" w:eastAsia="zh-CN"/>
        </w:rPr>
        <w:t>资格要求</w:t>
      </w:r>
      <w:r>
        <w:rPr>
          <w:rFonts w:hint="eastAsia" w:hAnsi="宋体"/>
          <w:b w:val="0"/>
          <w:bCs/>
          <w:szCs w:val="21"/>
          <w:highlight w:val="none"/>
        </w:rPr>
        <w:t>见</w:t>
      </w:r>
      <w:r>
        <w:rPr>
          <w:rFonts w:hint="eastAsia" w:hAnsi="宋体"/>
          <w:b/>
          <w:szCs w:val="21"/>
          <w:highlight w:val="none"/>
        </w:rPr>
        <w:t>“投标人须知前附表”</w:t>
      </w:r>
      <w:r>
        <w:rPr>
          <w:rFonts w:hint="eastAsia" w:hAnsi="宋体"/>
          <w:bCs/>
          <w:szCs w:val="21"/>
          <w:highlight w:val="none"/>
        </w:rPr>
        <w:t xml:space="preserve">。 </w:t>
      </w:r>
    </w:p>
    <w:p>
      <w:pPr>
        <w:pStyle w:val="15"/>
        <w:keepNext w:val="0"/>
        <w:keepLines w:val="0"/>
        <w:pageBreakBefore w:val="0"/>
        <w:widowControl w:val="0"/>
        <w:kinsoku/>
        <w:wordWrap/>
        <w:overflowPunct/>
        <w:topLinePunct w:val="0"/>
        <w:autoSpaceDE/>
        <w:autoSpaceDN/>
        <w:bidi w:val="0"/>
        <w:adjustRightInd/>
        <w:snapToGrid/>
        <w:spacing w:line="360" w:lineRule="auto"/>
        <w:ind w:left="0" w:leftChars="0" w:firstLine="210" w:firstLineChars="100"/>
        <w:jc w:val="left"/>
        <w:textAlignment w:val="auto"/>
        <w:rPr>
          <w:rFonts w:hAnsi="宋体"/>
          <w:bCs/>
          <w:szCs w:val="21"/>
          <w:highlight w:val="none"/>
        </w:rPr>
      </w:pPr>
      <w:r>
        <w:rPr>
          <w:rFonts w:hint="eastAsia" w:hAnsi="宋体"/>
          <w:bCs/>
          <w:szCs w:val="21"/>
          <w:highlight w:val="none"/>
        </w:rPr>
        <w:t>4.</w:t>
      </w:r>
      <w:r>
        <w:rPr>
          <w:rFonts w:hint="eastAsia" w:hAnsi="宋体"/>
          <w:bCs/>
          <w:szCs w:val="21"/>
          <w:highlight w:val="none"/>
          <w:lang w:val="en-US" w:eastAsia="zh-CN"/>
        </w:rPr>
        <w:t>2</w:t>
      </w:r>
      <w:r>
        <w:rPr>
          <w:rFonts w:hint="eastAsia" w:hAnsi="宋体"/>
          <w:bCs/>
          <w:szCs w:val="21"/>
          <w:highlight w:val="none"/>
        </w:rPr>
        <w:t xml:space="preserve"> 投标人须知前附表规定接受联合体投标的，联合体除应符合本章第 1.4.1 项和</w:t>
      </w:r>
      <w:r>
        <w:rPr>
          <w:rFonts w:hint="eastAsia" w:hAnsi="宋体"/>
          <w:bCs/>
          <w:szCs w:val="21"/>
          <w:highlight w:val="none"/>
          <w:lang w:eastAsia="zh-CN"/>
        </w:rPr>
        <w:t>投标人</w:t>
      </w:r>
      <w:r>
        <w:rPr>
          <w:rFonts w:hint="eastAsia" w:hAnsi="宋体"/>
          <w:bCs/>
          <w:szCs w:val="21"/>
          <w:highlight w:val="none"/>
        </w:rPr>
        <w:t xml:space="preserve">须知前附表的要求外，还应遵守以下规定： </w:t>
      </w:r>
    </w:p>
    <w:p>
      <w:pPr>
        <w:pStyle w:val="15"/>
        <w:spacing w:line="360" w:lineRule="auto"/>
        <w:ind w:left="208" w:leftChars="99"/>
        <w:jc w:val="left"/>
        <w:rPr>
          <w:rFonts w:hAnsi="宋体"/>
          <w:bCs/>
          <w:szCs w:val="21"/>
          <w:highlight w:val="none"/>
        </w:rPr>
      </w:pPr>
      <w:r>
        <w:rPr>
          <w:rFonts w:hint="eastAsia" w:hAnsi="宋体"/>
          <w:bCs/>
          <w:szCs w:val="21"/>
          <w:highlight w:val="none"/>
        </w:rPr>
        <w:t>（1）联合体各方应按</w:t>
      </w:r>
      <w:r>
        <w:rPr>
          <w:rFonts w:hint="eastAsia" w:hAnsi="宋体"/>
          <w:bCs/>
          <w:szCs w:val="21"/>
          <w:highlight w:val="none"/>
          <w:lang w:eastAsia="zh-CN"/>
        </w:rPr>
        <w:t>采购文件</w:t>
      </w:r>
      <w:r>
        <w:rPr>
          <w:rFonts w:hint="eastAsia" w:hAnsi="宋体"/>
          <w:bCs/>
          <w:szCs w:val="21"/>
          <w:highlight w:val="none"/>
        </w:rPr>
        <w:t>提供的格式签订联合体协议书，明确联合体牵头人和各方</w:t>
      </w:r>
    </w:p>
    <w:p>
      <w:pPr>
        <w:pStyle w:val="15"/>
        <w:spacing w:line="360" w:lineRule="auto"/>
        <w:jc w:val="left"/>
        <w:rPr>
          <w:rFonts w:hAnsi="宋体"/>
          <w:bCs/>
          <w:szCs w:val="21"/>
          <w:highlight w:val="none"/>
        </w:rPr>
      </w:pPr>
      <w:r>
        <w:rPr>
          <w:rFonts w:hint="eastAsia" w:hAnsi="宋体"/>
          <w:bCs/>
          <w:szCs w:val="21"/>
          <w:highlight w:val="none"/>
        </w:rPr>
        <w:t>权利义务并承诺就中标项目向</w:t>
      </w:r>
      <w:r>
        <w:rPr>
          <w:rFonts w:hint="eastAsia" w:hAnsi="宋体"/>
          <w:bCs/>
          <w:szCs w:val="21"/>
          <w:highlight w:val="none"/>
          <w:lang w:eastAsia="zh-CN"/>
        </w:rPr>
        <w:t>采购人</w:t>
      </w:r>
      <w:r>
        <w:rPr>
          <w:rFonts w:hint="eastAsia" w:hAnsi="宋体"/>
          <w:bCs/>
          <w:szCs w:val="21"/>
          <w:highlight w:val="none"/>
        </w:rPr>
        <w:t xml:space="preserve">承担连带责任； </w:t>
      </w:r>
    </w:p>
    <w:p>
      <w:pPr>
        <w:pStyle w:val="15"/>
        <w:spacing w:line="360" w:lineRule="auto"/>
        <w:ind w:left="208" w:leftChars="99"/>
        <w:jc w:val="left"/>
        <w:rPr>
          <w:rFonts w:hAnsi="宋体"/>
          <w:bCs/>
          <w:szCs w:val="21"/>
          <w:highlight w:val="none"/>
        </w:rPr>
      </w:pPr>
      <w:r>
        <w:rPr>
          <w:rFonts w:hint="eastAsia" w:hAnsi="宋体"/>
          <w:bCs/>
          <w:szCs w:val="21"/>
          <w:highlight w:val="none"/>
        </w:rPr>
        <w:t>（2）联合体中有同类资质的投标人按照联合体分工承担相同工作的，应当按照资质等级</w:t>
      </w:r>
    </w:p>
    <w:p>
      <w:pPr>
        <w:pStyle w:val="15"/>
        <w:spacing w:line="360" w:lineRule="auto"/>
        <w:jc w:val="left"/>
        <w:rPr>
          <w:rFonts w:hAnsi="宋体"/>
          <w:bCs/>
          <w:szCs w:val="21"/>
          <w:highlight w:val="none"/>
        </w:rPr>
      </w:pPr>
      <w:r>
        <w:rPr>
          <w:rFonts w:hint="eastAsia" w:hAnsi="宋体"/>
          <w:bCs/>
          <w:szCs w:val="21"/>
          <w:highlight w:val="none"/>
        </w:rPr>
        <w:t xml:space="preserve">较低的投标人确定资质等级； </w:t>
      </w:r>
    </w:p>
    <w:p>
      <w:pPr>
        <w:pStyle w:val="15"/>
        <w:spacing w:line="360" w:lineRule="auto"/>
        <w:ind w:left="208" w:leftChars="99"/>
        <w:jc w:val="left"/>
        <w:rPr>
          <w:rFonts w:hAnsi="宋体"/>
          <w:bCs/>
          <w:szCs w:val="21"/>
          <w:highlight w:val="none"/>
        </w:rPr>
      </w:pPr>
      <w:r>
        <w:rPr>
          <w:rFonts w:hint="eastAsia" w:hAnsi="宋体"/>
          <w:bCs/>
          <w:szCs w:val="21"/>
          <w:highlight w:val="none"/>
        </w:rPr>
        <w:t>（3）以联合体形式参加政府采购活动的，联合体各方不得再单独参加或者与其他投标人</w:t>
      </w:r>
    </w:p>
    <w:p>
      <w:pPr>
        <w:pStyle w:val="15"/>
        <w:spacing w:line="360" w:lineRule="auto"/>
        <w:jc w:val="left"/>
        <w:rPr>
          <w:rFonts w:hAnsi="宋体"/>
          <w:bCs/>
          <w:szCs w:val="21"/>
          <w:highlight w:val="none"/>
        </w:rPr>
      </w:pPr>
      <w:r>
        <w:rPr>
          <w:rFonts w:hint="eastAsia" w:hAnsi="宋体"/>
          <w:bCs/>
          <w:szCs w:val="21"/>
          <w:highlight w:val="none"/>
        </w:rPr>
        <w:t xml:space="preserve">另外组成联合体参加同一合同项下的政府采购活动。 </w:t>
      </w:r>
    </w:p>
    <w:p>
      <w:pPr>
        <w:spacing w:line="360" w:lineRule="auto"/>
        <w:jc w:val="left"/>
        <w:rPr>
          <w:rFonts w:ascii="宋体" w:hAnsi="宋体"/>
          <w:b/>
          <w:szCs w:val="21"/>
          <w:highlight w:val="none"/>
        </w:rPr>
      </w:pPr>
      <w:r>
        <w:rPr>
          <w:rFonts w:hint="eastAsia" w:ascii="宋体" w:hAnsi="宋体"/>
          <w:b/>
          <w:szCs w:val="21"/>
          <w:highlight w:val="none"/>
        </w:rPr>
        <w:t>5. 投标费用</w:t>
      </w:r>
    </w:p>
    <w:p>
      <w:pPr>
        <w:pStyle w:val="15"/>
        <w:spacing w:line="360" w:lineRule="auto"/>
        <w:ind w:left="208" w:leftChars="99"/>
        <w:jc w:val="left"/>
        <w:rPr>
          <w:rFonts w:hAnsi="宋体"/>
          <w:bCs/>
          <w:szCs w:val="21"/>
          <w:highlight w:val="none"/>
        </w:rPr>
      </w:pPr>
      <w:r>
        <w:rPr>
          <w:rFonts w:hint="eastAsia" w:hAnsi="宋体"/>
          <w:bCs/>
          <w:szCs w:val="21"/>
          <w:highlight w:val="none"/>
        </w:rPr>
        <w:t>不论投标结果如何，投标人均应自行承担所有与准备和参加投标活动有关的全部费用。</w:t>
      </w:r>
    </w:p>
    <w:p>
      <w:pPr>
        <w:spacing w:line="360" w:lineRule="auto"/>
        <w:jc w:val="left"/>
        <w:rPr>
          <w:rFonts w:ascii="宋体" w:hAnsi="宋体"/>
          <w:b/>
          <w:bCs/>
          <w:szCs w:val="21"/>
          <w:highlight w:val="none"/>
        </w:rPr>
      </w:pPr>
      <w:r>
        <w:rPr>
          <w:rFonts w:hint="eastAsia" w:ascii="宋体" w:hAnsi="宋体"/>
          <w:b/>
          <w:bCs/>
          <w:szCs w:val="21"/>
          <w:highlight w:val="none"/>
        </w:rPr>
        <w:t>6.询问</w:t>
      </w:r>
    </w:p>
    <w:p>
      <w:pPr>
        <w:pStyle w:val="15"/>
        <w:spacing w:line="360" w:lineRule="auto"/>
        <w:ind w:left="208" w:leftChars="99"/>
        <w:jc w:val="left"/>
        <w:rPr>
          <w:rFonts w:hAnsi="宋体"/>
          <w:bCs/>
          <w:szCs w:val="21"/>
          <w:highlight w:val="none"/>
        </w:rPr>
      </w:pPr>
      <w:r>
        <w:rPr>
          <w:rFonts w:hint="eastAsia" w:hAnsi="宋体"/>
          <w:bCs/>
          <w:szCs w:val="21"/>
          <w:highlight w:val="none"/>
        </w:rPr>
        <w:t>投标人可向</w:t>
      </w:r>
      <w:r>
        <w:rPr>
          <w:rFonts w:hint="eastAsia" w:hAnsi="宋体"/>
          <w:bCs/>
          <w:szCs w:val="21"/>
          <w:highlight w:val="none"/>
          <w:lang w:eastAsia="zh-CN"/>
        </w:rPr>
        <w:t>采购代理机构</w:t>
      </w:r>
      <w:r>
        <w:rPr>
          <w:rFonts w:hint="eastAsia" w:hAnsi="宋体"/>
          <w:bCs/>
          <w:szCs w:val="21"/>
          <w:highlight w:val="none"/>
        </w:rPr>
        <w:t>就</w:t>
      </w:r>
      <w:r>
        <w:rPr>
          <w:rFonts w:hint="eastAsia" w:hAnsi="宋体"/>
          <w:bCs/>
          <w:szCs w:val="21"/>
          <w:highlight w:val="none"/>
          <w:lang w:eastAsia="zh-CN"/>
        </w:rPr>
        <w:t>采购文件</w:t>
      </w:r>
      <w:r>
        <w:rPr>
          <w:rFonts w:hint="eastAsia" w:hAnsi="宋体"/>
          <w:bCs/>
          <w:szCs w:val="21"/>
          <w:highlight w:val="none"/>
        </w:rPr>
        <w:t>的内容依法提出询问，</w:t>
      </w:r>
      <w:r>
        <w:rPr>
          <w:rFonts w:hint="eastAsia" w:hAnsi="宋体"/>
          <w:bCs/>
          <w:szCs w:val="21"/>
          <w:highlight w:val="none"/>
          <w:lang w:eastAsia="zh-CN"/>
        </w:rPr>
        <w:t>采购代理机构</w:t>
      </w:r>
      <w:r>
        <w:rPr>
          <w:rFonts w:hint="eastAsia" w:hAnsi="宋体"/>
          <w:bCs/>
          <w:szCs w:val="21"/>
          <w:highlight w:val="none"/>
        </w:rPr>
        <w:t>将在收到询</w:t>
      </w:r>
    </w:p>
    <w:p>
      <w:pPr>
        <w:pStyle w:val="15"/>
        <w:spacing w:line="360" w:lineRule="auto"/>
        <w:jc w:val="left"/>
        <w:rPr>
          <w:rFonts w:hAnsi="宋体"/>
          <w:bCs/>
          <w:szCs w:val="21"/>
          <w:highlight w:val="none"/>
        </w:rPr>
      </w:pPr>
      <w:r>
        <w:rPr>
          <w:rFonts w:hint="eastAsia" w:hAnsi="宋体"/>
          <w:bCs/>
          <w:szCs w:val="21"/>
          <w:highlight w:val="none"/>
        </w:rPr>
        <w:t>问后3个工作日内作出答复。</w:t>
      </w:r>
    </w:p>
    <w:p>
      <w:pPr>
        <w:spacing w:line="360" w:lineRule="auto"/>
        <w:jc w:val="left"/>
        <w:rPr>
          <w:rFonts w:ascii="宋体" w:hAnsi="宋体"/>
          <w:b/>
          <w:bCs/>
          <w:szCs w:val="21"/>
          <w:highlight w:val="none"/>
        </w:rPr>
      </w:pPr>
      <w:r>
        <w:rPr>
          <w:rFonts w:hint="eastAsia" w:ascii="宋体" w:hAnsi="宋体"/>
          <w:b/>
          <w:bCs/>
          <w:szCs w:val="21"/>
          <w:highlight w:val="none"/>
        </w:rPr>
        <w:t>7</w:t>
      </w:r>
      <w:r>
        <w:rPr>
          <w:rFonts w:ascii="宋体" w:hAnsi="宋体"/>
          <w:b/>
          <w:bCs/>
          <w:szCs w:val="21"/>
          <w:highlight w:val="none"/>
        </w:rPr>
        <w:t>.质疑</w:t>
      </w:r>
    </w:p>
    <w:p>
      <w:pPr>
        <w:pStyle w:val="15"/>
        <w:spacing w:line="360" w:lineRule="auto"/>
        <w:ind w:left="208" w:leftChars="99"/>
        <w:jc w:val="left"/>
        <w:rPr>
          <w:rFonts w:hAnsi="宋体"/>
          <w:bCs/>
          <w:szCs w:val="21"/>
          <w:highlight w:val="none"/>
        </w:rPr>
      </w:pPr>
      <w:bookmarkStart w:id="26" w:name="_Toc321836357"/>
      <w:r>
        <w:rPr>
          <w:rFonts w:hint="eastAsia" w:hAnsi="宋体"/>
          <w:bCs/>
          <w:szCs w:val="21"/>
          <w:highlight w:val="none"/>
        </w:rPr>
        <w:t>7.1 投标人认为</w:t>
      </w:r>
      <w:r>
        <w:rPr>
          <w:rFonts w:hint="eastAsia" w:hAnsi="宋体"/>
          <w:bCs/>
          <w:szCs w:val="21"/>
          <w:highlight w:val="none"/>
          <w:lang w:eastAsia="zh-CN"/>
        </w:rPr>
        <w:t>采购文件</w:t>
      </w:r>
      <w:r>
        <w:rPr>
          <w:rFonts w:hint="eastAsia" w:hAnsi="宋体"/>
          <w:bCs/>
          <w:szCs w:val="21"/>
          <w:highlight w:val="none"/>
        </w:rPr>
        <w:t>、招标过程和中标结果使自己的权益受到损害的，应当在知道或</w:t>
      </w:r>
    </w:p>
    <w:p>
      <w:pPr>
        <w:pStyle w:val="15"/>
        <w:spacing w:line="360" w:lineRule="auto"/>
        <w:jc w:val="left"/>
        <w:rPr>
          <w:rFonts w:hAnsi="宋体"/>
          <w:bCs/>
          <w:szCs w:val="21"/>
          <w:highlight w:val="none"/>
        </w:rPr>
      </w:pPr>
      <w:r>
        <w:rPr>
          <w:rFonts w:hint="eastAsia" w:hAnsi="宋体"/>
          <w:bCs/>
          <w:szCs w:val="21"/>
          <w:highlight w:val="none"/>
        </w:rPr>
        <w:t>者应知其权益受到损害之日起7个工作日内，以书面形式向</w:t>
      </w:r>
      <w:r>
        <w:rPr>
          <w:rFonts w:hint="eastAsia" w:hAnsi="宋体"/>
          <w:bCs/>
          <w:szCs w:val="21"/>
          <w:highlight w:val="none"/>
          <w:lang w:eastAsia="zh-CN"/>
        </w:rPr>
        <w:t>采购代理机构</w:t>
      </w:r>
      <w:r>
        <w:rPr>
          <w:rFonts w:hint="eastAsia" w:hAnsi="宋体"/>
          <w:bCs/>
          <w:szCs w:val="21"/>
          <w:highlight w:val="none"/>
        </w:rPr>
        <w:t>一次性提出针对同一采购程序环节的质疑。质疑内容不得含有虚假、恶意成分。当事人对自己提出的主张，有责任提供证据，提出质疑时应同时提交相关证据材料和注明事实的确切来源。</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提出质疑的</w:t>
      </w:r>
      <w:r>
        <w:rPr>
          <w:rFonts w:hint="eastAsia" w:ascii="宋体" w:hAnsi="宋体" w:cs="宋体"/>
          <w:color w:val="auto"/>
          <w:szCs w:val="21"/>
          <w:highlight w:val="none"/>
          <w:lang w:eastAsia="zh-CN"/>
        </w:rPr>
        <w:t>投标人</w:t>
      </w:r>
      <w:r>
        <w:rPr>
          <w:rFonts w:hint="eastAsia" w:ascii="宋体" w:hAnsi="宋体" w:cs="宋体"/>
          <w:color w:val="auto"/>
          <w:szCs w:val="21"/>
          <w:highlight w:val="none"/>
        </w:rPr>
        <w:t>（以下简称质疑</w:t>
      </w:r>
      <w:r>
        <w:rPr>
          <w:rFonts w:hint="eastAsia" w:ascii="宋体" w:hAnsi="宋体" w:cs="宋体"/>
          <w:color w:val="auto"/>
          <w:szCs w:val="21"/>
          <w:highlight w:val="none"/>
          <w:lang w:eastAsia="zh-CN"/>
        </w:rPr>
        <w:t>投标人</w:t>
      </w:r>
      <w:r>
        <w:rPr>
          <w:rFonts w:hint="eastAsia" w:ascii="宋体" w:hAnsi="宋体" w:cs="宋体"/>
          <w:color w:val="auto"/>
          <w:szCs w:val="21"/>
          <w:highlight w:val="none"/>
        </w:rPr>
        <w:t>）应当是参与所质疑项目采购活动的</w:t>
      </w:r>
      <w:r>
        <w:rPr>
          <w:rFonts w:hint="eastAsia" w:ascii="宋体" w:hAnsi="宋体" w:cs="宋体"/>
          <w:color w:val="auto"/>
          <w:szCs w:val="21"/>
          <w:highlight w:val="none"/>
          <w:lang w:eastAsia="zh-CN"/>
        </w:rPr>
        <w:t>投标人</w:t>
      </w:r>
      <w:r>
        <w:rPr>
          <w:rFonts w:hint="eastAsia" w:ascii="宋体" w:hAnsi="宋体" w:cs="宋体"/>
          <w:color w:val="auto"/>
          <w:szCs w:val="21"/>
          <w:highlight w:val="none"/>
        </w:rPr>
        <w:t>。</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潜在</w:t>
      </w:r>
      <w:r>
        <w:rPr>
          <w:rFonts w:hint="eastAsia" w:ascii="宋体" w:hAnsi="宋体" w:cs="宋体"/>
          <w:color w:val="auto"/>
          <w:szCs w:val="21"/>
          <w:highlight w:val="none"/>
          <w:lang w:eastAsia="zh-CN"/>
        </w:rPr>
        <w:t>投标人</w:t>
      </w:r>
      <w:r>
        <w:rPr>
          <w:rFonts w:hint="eastAsia" w:ascii="宋体" w:hAnsi="宋体" w:cs="宋体"/>
          <w:color w:val="auto"/>
          <w:szCs w:val="21"/>
          <w:highlight w:val="none"/>
        </w:rPr>
        <w:t>已依法获取</w:t>
      </w:r>
      <w:r>
        <w:rPr>
          <w:rFonts w:hint="eastAsia" w:ascii="宋体" w:hAnsi="宋体" w:cs="宋体"/>
          <w:color w:val="auto"/>
          <w:szCs w:val="21"/>
          <w:highlight w:val="none"/>
          <w:lang w:eastAsia="zh-CN"/>
        </w:rPr>
        <w:t>采购文件</w:t>
      </w:r>
      <w:r>
        <w:rPr>
          <w:rFonts w:hint="eastAsia" w:ascii="宋体" w:hAnsi="宋体" w:cs="宋体"/>
          <w:color w:val="auto"/>
          <w:szCs w:val="21"/>
          <w:highlight w:val="none"/>
        </w:rPr>
        <w:t>的，可以对该文件提出质疑。对</w:t>
      </w:r>
      <w:r>
        <w:rPr>
          <w:rFonts w:hint="eastAsia" w:ascii="宋体" w:hAnsi="宋体" w:cs="宋体"/>
          <w:color w:val="auto"/>
          <w:szCs w:val="21"/>
          <w:highlight w:val="none"/>
          <w:lang w:eastAsia="zh-CN"/>
        </w:rPr>
        <w:t>采购文件</w:t>
      </w:r>
      <w:r>
        <w:rPr>
          <w:rFonts w:hint="eastAsia" w:ascii="宋体" w:hAnsi="宋体" w:cs="宋体"/>
          <w:color w:val="auto"/>
          <w:szCs w:val="21"/>
          <w:highlight w:val="none"/>
        </w:rPr>
        <w:t>提出质疑的，应当在获取</w:t>
      </w:r>
      <w:r>
        <w:rPr>
          <w:rFonts w:hint="eastAsia" w:ascii="宋体" w:hAnsi="宋体" w:cs="宋体"/>
          <w:color w:val="auto"/>
          <w:szCs w:val="21"/>
          <w:highlight w:val="none"/>
          <w:lang w:eastAsia="zh-CN"/>
        </w:rPr>
        <w:t>采购文件</w:t>
      </w:r>
      <w:r>
        <w:rPr>
          <w:rFonts w:hint="eastAsia" w:ascii="宋体" w:hAnsi="宋体" w:cs="宋体"/>
          <w:color w:val="auto"/>
          <w:szCs w:val="21"/>
          <w:highlight w:val="none"/>
        </w:rPr>
        <w:t>或者采购公告期限届满之日起7个工作日内提出。</w:t>
      </w:r>
    </w:p>
    <w:p>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受理质疑部门：</w:t>
      </w:r>
    </w:p>
    <w:p>
      <w:pPr>
        <w:widowControl/>
        <w:spacing w:line="360" w:lineRule="auto"/>
        <w:ind w:firstLine="520"/>
        <w:jc w:val="left"/>
        <w:rPr>
          <w:rFonts w:ascii="宋体" w:hAnsi="宋体" w:cs="宋体"/>
          <w:color w:val="auto"/>
          <w:kern w:val="0"/>
          <w:szCs w:val="21"/>
          <w:highlight w:val="none"/>
        </w:rPr>
      </w:pPr>
      <w:r>
        <w:rPr>
          <w:rFonts w:hint="eastAsia" w:ascii="宋体" w:hAnsi="宋体" w:cs="宋体"/>
          <w:color w:val="auto"/>
          <w:spacing w:val="10"/>
          <w:kern w:val="0"/>
          <w:szCs w:val="21"/>
          <w:highlight w:val="none"/>
        </w:rPr>
        <w:t>招标代理：</w:t>
      </w:r>
      <w:r>
        <w:rPr>
          <w:rFonts w:hint="eastAsia" w:hAnsi="宋体" w:eastAsia="宋体" w:cs="宋体"/>
          <w:color w:val="auto"/>
          <w:szCs w:val="21"/>
          <w:highlight w:val="none"/>
          <w:lang w:eastAsia="zh-CN"/>
        </w:rPr>
        <w:t>云南</w:t>
      </w:r>
      <w:r>
        <w:rPr>
          <w:rFonts w:hint="eastAsia" w:hAnsi="宋体" w:cs="宋体"/>
          <w:color w:val="auto"/>
          <w:szCs w:val="21"/>
          <w:highlight w:val="none"/>
          <w:lang w:val="en-US" w:eastAsia="zh-CN"/>
        </w:rPr>
        <w:t>耀鑫工程招标代理有限公司</w:t>
      </w:r>
      <w:r>
        <w:rPr>
          <w:rFonts w:hint="eastAsia" w:ascii="宋体" w:hAnsi="宋体" w:cs="宋体"/>
          <w:color w:val="auto"/>
          <w:kern w:val="0"/>
          <w:szCs w:val="21"/>
          <w:highlight w:val="none"/>
          <w:lang w:eastAsia="zh-CN"/>
        </w:rPr>
        <w:t xml:space="preserve"> </w:t>
      </w:r>
      <w:r>
        <w:rPr>
          <w:rFonts w:hint="eastAsia" w:hAnsi="宋体" w:cs="宋体"/>
          <w:color w:val="auto"/>
          <w:szCs w:val="21"/>
          <w:highlight w:val="none"/>
        </w:rPr>
        <w:t xml:space="preserve"> </w:t>
      </w:r>
    </w:p>
    <w:p>
      <w:pPr>
        <w:widowControl/>
        <w:spacing w:line="360" w:lineRule="auto"/>
        <w:ind w:firstLine="520"/>
        <w:jc w:val="left"/>
        <w:rPr>
          <w:rFonts w:hint="default" w:ascii="宋体" w:hAnsi="宋体" w:cs="宋体"/>
          <w:color w:val="auto"/>
          <w:kern w:val="0"/>
          <w:szCs w:val="21"/>
          <w:highlight w:val="none"/>
          <w:lang w:val="en-US"/>
        </w:rPr>
      </w:pPr>
      <w:r>
        <w:rPr>
          <w:rFonts w:hint="eastAsia" w:ascii="宋体" w:hAnsi="宋体" w:cs="宋体"/>
          <w:color w:val="auto"/>
          <w:spacing w:val="10"/>
          <w:kern w:val="0"/>
          <w:szCs w:val="21"/>
          <w:highlight w:val="none"/>
        </w:rPr>
        <w:t>联 系 人：</w:t>
      </w:r>
      <w:r>
        <w:rPr>
          <w:rFonts w:hint="eastAsia" w:hAnsi="宋体" w:cs="宋体"/>
          <w:color w:val="auto"/>
          <w:szCs w:val="21"/>
          <w:highlight w:val="none"/>
          <w:lang w:val="en-US" w:eastAsia="zh-CN"/>
        </w:rPr>
        <w:t>李师</w:t>
      </w:r>
    </w:p>
    <w:p>
      <w:pPr>
        <w:widowControl/>
        <w:spacing w:line="360" w:lineRule="auto"/>
        <w:ind w:firstLine="520"/>
        <w:jc w:val="left"/>
        <w:rPr>
          <w:rFonts w:hint="default" w:ascii="宋体" w:hAnsi="宋体" w:cs="宋体"/>
          <w:color w:val="auto"/>
          <w:kern w:val="0"/>
          <w:szCs w:val="21"/>
          <w:highlight w:val="none"/>
          <w:lang w:val="en-US"/>
        </w:rPr>
      </w:pPr>
      <w:r>
        <w:rPr>
          <w:rFonts w:hint="eastAsia" w:ascii="宋体" w:hAnsi="宋体" w:cs="宋体"/>
          <w:color w:val="auto"/>
          <w:spacing w:val="10"/>
          <w:kern w:val="0"/>
          <w:szCs w:val="21"/>
          <w:highlight w:val="none"/>
        </w:rPr>
        <w:t>电    话：</w:t>
      </w:r>
      <w:r>
        <w:rPr>
          <w:rFonts w:hint="eastAsia" w:ascii="宋体" w:hAnsi="宋体" w:cs="宋体"/>
          <w:color w:val="auto"/>
          <w:spacing w:val="10"/>
          <w:kern w:val="0"/>
          <w:szCs w:val="21"/>
          <w:highlight w:val="none"/>
          <w:lang w:val="en-US" w:eastAsia="zh-CN"/>
        </w:rPr>
        <w:t>18787290601</w:t>
      </w:r>
    </w:p>
    <w:p>
      <w:pPr>
        <w:spacing w:line="360" w:lineRule="auto"/>
        <w:ind w:firstLine="420" w:firstLineChars="200"/>
        <w:jc w:val="left"/>
        <w:rPr>
          <w:rFonts w:ascii="宋体" w:hAnsi="宋体" w:cs="宋体"/>
          <w:color w:val="auto"/>
          <w:szCs w:val="21"/>
          <w:highlight w:val="none"/>
        </w:rPr>
      </w:pPr>
      <w:r>
        <w:rPr>
          <w:rFonts w:hint="eastAsia" w:ascii="宋体" w:hAnsi="宋体" w:cs="宋体"/>
          <w:b w:val="0"/>
          <w:bCs w:val="0"/>
          <w:color w:val="auto"/>
          <w:szCs w:val="21"/>
          <w:highlight w:val="none"/>
          <w:u w:val="none"/>
          <w:lang w:val="en-US" w:eastAsia="zh-CN"/>
        </w:rPr>
        <w:t>7.2</w:t>
      </w:r>
      <w:r>
        <w:rPr>
          <w:rFonts w:hint="eastAsia" w:ascii="宋体" w:hAnsi="宋体" w:cs="宋体"/>
          <w:b w:val="0"/>
          <w:bCs w:val="0"/>
          <w:color w:val="auto"/>
          <w:szCs w:val="21"/>
          <w:highlight w:val="none"/>
          <w:u w:val="none"/>
        </w:rPr>
        <w:t>投标人提供的质疑书应符合中华人民共和国财政部令第94号《政府采购质疑和投诉办法》的规定。</w:t>
      </w:r>
      <w:r>
        <w:rPr>
          <w:rFonts w:hint="eastAsia" w:ascii="宋体" w:hAnsi="宋体" w:cs="宋体"/>
          <w:color w:val="auto"/>
          <w:szCs w:val="21"/>
          <w:highlight w:val="none"/>
        </w:rPr>
        <w:t>质疑书（如材料中有外文资料应同时附上中文译本）应当包括以下主要内容：</w:t>
      </w:r>
    </w:p>
    <w:p>
      <w:pPr>
        <w:spacing w:line="360" w:lineRule="auto"/>
        <w:ind w:firstLine="359" w:firstLineChars="171"/>
        <w:jc w:val="left"/>
        <w:rPr>
          <w:rFonts w:ascii="宋体" w:hAnsi="宋体" w:cs="宋体"/>
          <w:color w:val="auto"/>
          <w:szCs w:val="21"/>
          <w:highlight w:val="none"/>
        </w:rPr>
      </w:pPr>
      <w:r>
        <w:rPr>
          <w:rFonts w:hint="eastAsia" w:ascii="宋体" w:hAnsi="宋体" w:cs="宋体"/>
          <w:color w:val="auto"/>
          <w:szCs w:val="21"/>
          <w:highlight w:val="none"/>
        </w:rPr>
        <w:t>（一）</w:t>
      </w:r>
      <w:r>
        <w:rPr>
          <w:rFonts w:hint="eastAsia" w:ascii="宋体" w:hAnsi="宋体" w:cs="宋体"/>
          <w:color w:val="auto"/>
          <w:szCs w:val="21"/>
          <w:highlight w:val="none"/>
          <w:lang w:eastAsia="zh-CN"/>
        </w:rPr>
        <w:t>投标人</w:t>
      </w:r>
      <w:r>
        <w:rPr>
          <w:rFonts w:hint="eastAsia" w:ascii="宋体" w:hAnsi="宋体" w:cs="宋体"/>
          <w:color w:val="auto"/>
          <w:szCs w:val="21"/>
          <w:highlight w:val="none"/>
        </w:rPr>
        <w:t>的姓名或者名称、地址、邮编、联系人及联系电话；</w:t>
      </w:r>
    </w:p>
    <w:p>
      <w:pPr>
        <w:spacing w:line="360" w:lineRule="auto"/>
        <w:ind w:firstLine="359" w:firstLineChars="171"/>
        <w:jc w:val="left"/>
        <w:rPr>
          <w:rFonts w:ascii="宋体" w:hAnsi="宋体" w:cs="宋体"/>
          <w:color w:val="auto"/>
          <w:szCs w:val="21"/>
          <w:highlight w:val="none"/>
        </w:rPr>
      </w:pPr>
      <w:r>
        <w:rPr>
          <w:rFonts w:hint="eastAsia" w:ascii="宋体" w:hAnsi="宋体" w:cs="宋体"/>
          <w:color w:val="auto"/>
          <w:szCs w:val="21"/>
          <w:highlight w:val="none"/>
        </w:rPr>
        <w:t>（二）质疑项目的名称、编号；</w:t>
      </w:r>
    </w:p>
    <w:p>
      <w:pPr>
        <w:spacing w:line="360" w:lineRule="auto"/>
        <w:ind w:firstLine="359" w:firstLineChars="171"/>
        <w:jc w:val="left"/>
        <w:rPr>
          <w:rFonts w:ascii="宋体" w:hAnsi="宋体" w:cs="宋体"/>
          <w:color w:val="auto"/>
          <w:szCs w:val="21"/>
          <w:highlight w:val="none"/>
        </w:rPr>
      </w:pPr>
      <w:r>
        <w:rPr>
          <w:rFonts w:hint="eastAsia" w:ascii="宋体" w:hAnsi="宋体" w:cs="宋体"/>
          <w:color w:val="auto"/>
          <w:szCs w:val="21"/>
          <w:highlight w:val="none"/>
        </w:rPr>
        <w:t>（三）具体、明确的质疑事项和与质疑事项相关的请求；</w:t>
      </w:r>
    </w:p>
    <w:p>
      <w:pPr>
        <w:spacing w:line="360" w:lineRule="auto"/>
        <w:ind w:firstLine="359" w:firstLineChars="171"/>
        <w:jc w:val="left"/>
        <w:rPr>
          <w:rFonts w:ascii="宋体" w:hAnsi="宋体" w:cs="宋体"/>
          <w:color w:val="auto"/>
          <w:szCs w:val="21"/>
          <w:highlight w:val="none"/>
        </w:rPr>
      </w:pPr>
      <w:r>
        <w:rPr>
          <w:rFonts w:hint="eastAsia" w:ascii="宋体" w:hAnsi="宋体" w:cs="宋体"/>
          <w:color w:val="auto"/>
          <w:szCs w:val="21"/>
          <w:highlight w:val="none"/>
        </w:rPr>
        <w:t>（四）事实依据；</w:t>
      </w:r>
    </w:p>
    <w:p>
      <w:pPr>
        <w:spacing w:line="360" w:lineRule="auto"/>
        <w:ind w:firstLine="359" w:firstLineChars="171"/>
        <w:jc w:val="left"/>
        <w:rPr>
          <w:rFonts w:ascii="宋体" w:hAnsi="宋体" w:cs="宋体"/>
          <w:color w:val="auto"/>
          <w:szCs w:val="21"/>
          <w:highlight w:val="none"/>
        </w:rPr>
      </w:pPr>
      <w:r>
        <w:rPr>
          <w:rFonts w:hint="eastAsia" w:ascii="宋体" w:hAnsi="宋体" w:cs="宋体"/>
          <w:color w:val="auto"/>
          <w:szCs w:val="21"/>
          <w:highlight w:val="none"/>
        </w:rPr>
        <w:t>（五）必要的法律依据；</w:t>
      </w:r>
    </w:p>
    <w:p>
      <w:pPr>
        <w:spacing w:line="360" w:lineRule="auto"/>
        <w:ind w:firstLine="359" w:firstLineChars="171"/>
        <w:jc w:val="left"/>
        <w:rPr>
          <w:rFonts w:ascii="宋体" w:hAnsi="宋体" w:cs="宋体"/>
          <w:color w:val="auto"/>
          <w:szCs w:val="21"/>
          <w:highlight w:val="none"/>
        </w:rPr>
      </w:pPr>
      <w:r>
        <w:rPr>
          <w:rFonts w:hint="eastAsia" w:ascii="宋体" w:hAnsi="宋体" w:cs="宋体"/>
          <w:color w:val="auto"/>
          <w:szCs w:val="21"/>
          <w:highlight w:val="none"/>
        </w:rPr>
        <w:t>（六）提出质疑的日期。</w:t>
      </w:r>
    </w:p>
    <w:p>
      <w:pPr>
        <w:spacing w:line="360" w:lineRule="auto"/>
        <w:ind w:firstLine="472" w:firstLineChars="225"/>
        <w:jc w:val="left"/>
        <w:rPr>
          <w:rFonts w:ascii="宋体" w:hAnsi="宋体" w:cs="宋体"/>
          <w:b w:val="0"/>
          <w:bCs w:val="0"/>
          <w:color w:val="auto"/>
          <w:szCs w:val="21"/>
          <w:highlight w:val="none"/>
          <w:u w:val="none"/>
        </w:rPr>
      </w:pPr>
      <w:r>
        <w:rPr>
          <w:rFonts w:hint="eastAsia" w:ascii="宋体" w:hAnsi="宋体" w:cs="宋体"/>
          <w:b w:val="0"/>
          <w:bCs w:val="0"/>
          <w:color w:val="auto"/>
          <w:szCs w:val="21"/>
          <w:highlight w:val="none"/>
          <w:u w:val="none"/>
        </w:rPr>
        <w:t>质疑书实行实名制，</w:t>
      </w:r>
      <w:r>
        <w:rPr>
          <w:rFonts w:hint="eastAsia" w:ascii="宋体" w:hAnsi="宋体" w:cs="宋体"/>
          <w:b w:val="0"/>
          <w:bCs w:val="0"/>
          <w:color w:val="auto"/>
          <w:szCs w:val="21"/>
          <w:highlight w:val="none"/>
          <w:u w:val="none"/>
          <w:lang w:eastAsia="zh-CN"/>
        </w:rPr>
        <w:t>投标人</w:t>
      </w:r>
      <w:r>
        <w:rPr>
          <w:rFonts w:hint="eastAsia" w:ascii="宋体" w:hAnsi="宋体" w:cs="宋体"/>
          <w:b w:val="0"/>
          <w:bCs w:val="0"/>
          <w:color w:val="auto"/>
          <w:szCs w:val="21"/>
          <w:highlight w:val="none"/>
          <w:u w:val="none"/>
        </w:rPr>
        <w:t>为自然人的，应当由本人签字；</w:t>
      </w:r>
      <w:r>
        <w:rPr>
          <w:rFonts w:hint="eastAsia" w:ascii="宋体" w:hAnsi="宋体" w:cs="宋体"/>
          <w:b w:val="0"/>
          <w:bCs w:val="0"/>
          <w:color w:val="auto"/>
          <w:szCs w:val="21"/>
          <w:highlight w:val="none"/>
          <w:u w:val="none"/>
          <w:lang w:eastAsia="zh-CN"/>
        </w:rPr>
        <w:t>投标人</w:t>
      </w:r>
      <w:r>
        <w:rPr>
          <w:rFonts w:hint="eastAsia" w:ascii="宋体" w:hAnsi="宋体" w:cs="宋体"/>
          <w:b w:val="0"/>
          <w:bCs w:val="0"/>
          <w:color w:val="auto"/>
          <w:szCs w:val="21"/>
          <w:highlight w:val="none"/>
          <w:u w:val="none"/>
        </w:rPr>
        <w:t>为法人或者其他组织的，应当由法定代表人、主要负责人，或者其授权代表签字或者盖章，并加盖公章的原件。</w:t>
      </w:r>
    </w:p>
    <w:p>
      <w:pPr>
        <w:spacing w:line="360" w:lineRule="auto"/>
        <w:ind w:firstLine="420" w:firstLineChars="200"/>
        <w:jc w:val="left"/>
        <w:rPr>
          <w:rFonts w:ascii="宋体" w:hAnsi="宋体" w:cs="宋体"/>
          <w:bCs/>
          <w:color w:val="auto"/>
          <w:szCs w:val="21"/>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.3</w:t>
      </w:r>
      <w:r>
        <w:rPr>
          <w:rFonts w:hint="eastAsia" w:ascii="宋体" w:hAnsi="宋体" w:cs="宋体"/>
          <w:color w:val="auto"/>
          <w:kern w:val="0"/>
          <w:szCs w:val="21"/>
          <w:highlight w:val="none"/>
          <w:lang w:eastAsia="zh-CN"/>
        </w:rPr>
        <w:t>采购人</w:t>
      </w:r>
      <w:r>
        <w:rPr>
          <w:rFonts w:hint="eastAsia" w:ascii="宋体" w:hAnsi="宋体" w:cs="宋体"/>
          <w:color w:val="auto"/>
          <w:kern w:val="0"/>
          <w:szCs w:val="21"/>
          <w:highlight w:val="none"/>
        </w:rPr>
        <w:t>、采购代理机构不得拒收质疑</w:t>
      </w:r>
      <w:r>
        <w:rPr>
          <w:rFonts w:hint="eastAsia" w:ascii="宋体" w:hAnsi="宋体" w:cs="宋体"/>
          <w:color w:val="auto"/>
          <w:kern w:val="0"/>
          <w:szCs w:val="21"/>
          <w:highlight w:val="none"/>
          <w:lang w:eastAsia="zh-CN"/>
        </w:rPr>
        <w:t>投标人</w:t>
      </w:r>
      <w:r>
        <w:rPr>
          <w:rFonts w:hint="eastAsia" w:ascii="宋体" w:hAnsi="宋体" w:cs="宋体"/>
          <w:color w:val="auto"/>
          <w:kern w:val="0"/>
          <w:szCs w:val="21"/>
          <w:highlight w:val="none"/>
        </w:rPr>
        <w:t>在法定质疑期内发出的质疑函，应当在收到质疑函后7个工作日内作出答复，并以书面形式通知质疑</w:t>
      </w:r>
      <w:r>
        <w:rPr>
          <w:rFonts w:hint="eastAsia" w:ascii="宋体" w:hAnsi="宋体" w:cs="宋体"/>
          <w:color w:val="auto"/>
          <w:kern w:val="0"/>
          <w:szCs w:val="21"/>
          <w:highlight w:val="none"/>
          <w:lang w:eastAsia="zh-CN"/>
        </w:rPr>
        <w:t>投标人</w:t>
      </w:r>
      <w:r>
        <w:rPr>
          <w:rFonts w:hint="eastAsia" w:ascii="宋体" w:hAnsi="宋体" w:cs="宋体"/>
          <w:color w:val="auto"/>
          <w:kern w:val="0"/>
          <w:szCs w:val="21"/>
          <w:highlight w:val="none"/>
        </w:rPr>
        <w:t>和其他有关</w:t>
      </w:r>
      <w:r>
        <w:rPr>
          <w:rFonts w:hint="eastAsia" w:ascii="宋体" w:hAnsi="宋体" w:cs="宋体"/>
          <w:color w:val="auto"/>
          <w:kern w:val="0"/>
          <w:szCs w:val="21"/>
          <w:highlight w:val="none"/>
          <w:lang w:eastAsia="zh-CN"/>
        </w:rPr>
        <w:t>投标人</w:t>
      </w:r>
      <w:r>
        <w:rPr>
          <w:rFonts w:hint="eastAsia" w:ascii="宋体" w:hAnsi="宋体" w:cs="宋体"/>
          <w:color w:val="auto"/>
          <w:kern w:val="0"/>
          <w:szCs w:val="21"/>
          <w:highlight w:val="none"/>
        </w:rPr>
        <w:t>。质疑答复的内容不得涉及商业秘密。</w:t>
      </w:r>
    </w:p>
    <w:p>
      <w:pPr>
        <w:pStyle w:val="15"/>
        <w:spacing w:line="360" w:lineRule="auto"/>
        <w:ind w:firstLine="420" w:firstLineChars="200"/>
        <w:jc w:val="left"/>
        <w:rPr>
          <w:rFonts w:hAnsi="宋体"/>
          <w:bCs/>
          <w:szCs w:val="21"/>
          <w:highlight w:val="none"/>
        </w:rPr>
      </w:pPr>
      <w:bookmarkStart w:id="27" w:name="_Toc480665479"/>
      <w:bookmarkStart w:id="28" w:name="_Toc476848360"/>
      <w:bookmarkStart w:id="29" w:name="_Toc475291682"/>
      <w:bookmarkStart w:id="30" w:name="_Toc476856065"/>
      <w:r>
        <w:rPr>
          <w:rFonts w:hint="eastAsia" w:hAnsi="宋体" w:cs="宋体"/>
          <w:color w:val="auto"/>
          <w:szCs w:val="21"/>
          <w:highlight w:val="none"/>
          <w:lang w:val="en-US" w:eastAsia="zh-CN"/>
        </w:rPr>
        <w:t>7</w:t>
      </w:r>
      <w:r>
        <w:rPr>
          <w:rFonts w:hint="eastAsia" w:ascii="宋体" w:hAnsi="宋体" w:cs="宋体"/>
          <w:color w:val="auto"/>
          <w:szCs w:val="21"/>
          <w:highlight w:val="none"/>
        </w:rPr>
        <w:t>.4参与政府采购活动的投标人对评审过程或者结果提出质疑的，</w:t>
      </w:r>
      <w:r>
        <w:rPr>
          <w:rFonts w:hint="eastAsia" w:hAnsi="宋体" w:cs="宋体"/>
          <w:color w:val="auto"/>
          <w:szCs w:val="21"/>
          <w:highlight w:val="none"/>
          <w:lang w:eastAsia="zh-CN"/>
        </w:rPr>
        <w:t>采购人</w:t>
      </w:r>
      <w:r>
        <w:rPr>
          <w:rFonts w:hint="eastAsia" w:ascii="宋体" w:hAnsi="宋体" w:cs="宋体"/>
          <w:color w:val="auto"/>
          <w:szCs w:val="21"/>
          <w:highlight w:val="none"/>
        </w:rPr>
        <w:t>或采购代理机构可以组织原评审委员会协助处理质疑事项，并依据评审委员会出具的意见进行答复。质疑答复导致中标或成交结果改变的，</w:t>
      </w:r>
      <w:r>
        <w:rPr>
          <w:rFonts w:hint="eastAsia" w:hAnsi="宋体" w:cs="宋体"/>
          <w:color w:val="auto"/>
          <w:szCs w:val="21"/>
          <w:highlight w:val="none"/>
          <w:lang w:eastAsia="zh-CN"/>
        </w:rPr>
        <w:t>采购人</w:t>
      </w:r>
      <w:r>
        <w:rPr>
          <w:rFonts w:hint="eastAsia" w:ascii="宋体" w:hAnsi="宋体" w:cs="宋体"/>
          <w:color w:val="auto"/>
          <w:szCs w:val="21"/>
          <w:highlight w:val="none"/>
        </w:rPr>
        <w:t>或采购代理机构应当将相关情况报财政部门备案。</w:t>
      </w:r>
      <w:bookmarkEnd w:id="27"/>
      <w:bookmarkEnd w:id="28"/>
      <w:bookmarkEnd w:id="29"/>
      <w:bookmarkEnd w:id="30"/>
    </w:p>
    <w:p>
      <w:pPr>
        <w:spacing w:line="360" w:lineRule="auto"/>
        <w:jc w:val="left"/>
        <w:rPr>
          <w:rFonts w:ascii="宋体" w:hAnsi="宋体"/>
          <w:b/>
          <w:bCs/>
          <w:szCs w:val="21"/>
          <w:highlight w:val="none"/>
        </w:rPr>
      </w:pPr>
      <w:r>
        <w:rPr>
          <w:rFonts w:ascii="宋体" w:hAnsi="宋体"/>
          <w:b/>
          <w:bCs/>
          <w:szCs w:val="21"/>
          <w:highlight w:val="none"/>
        </w:rPr>
        <w:t>8</w:t>
      </w:r>
      <w:r>
        <w:rPr>
          <w:rFonts w:hint="eastAsia" w:ascii="宋体" w:hAnsi="宋体"/>
          <w:b/>
          <w:bCs/>
          <w:szCs w:val="21"/>
          <w:highlight w:val="none"/>
        </w:rPr>
        <w:t>.</w:t>
      </w:r>
      <w:r>
        <w:rPr>
          <w:rFonts w:ascii="宋体" w:hAnsi="宋体"/>
          <w:b/>
          <w:bCs/>
          <w:szCs w:val="21"/>
          <w:highlight w:val="none"/>
        </w:rPr>
        <w:t>投诉</w:t>
      </w:r>
      <w:bookmarkEnd w:id="26"/>
    </w:p>
    <w:p>
      <w:pPr>
        <w:pStyle w:val="15"/>
        <w:spacing w:line="360" w:lineRule="auto"/>
        <w:ind w:left="208" w:leftChars="99"/>
        <w:jc w:val="left"/>
        <w:rPr>
          <w:rFonts w:hAnsi="宋体"/>
          <w:bCs/>
          <w:szCs w:val="21"/>
          <w:highlight w:val="none"/>
        </w:rPr>
      </w:pPr>
      <w:r>
        <w:rPr>
          <w:rFonts w:hint="eastAsia" w:hAnsi="宋体"/>
          <w:bCs/>
          <w:szCs w:val="21"/>
          <w:highlight w:val="none"/>
        </w:rPr>
        <w:t>8.1投诉必须首先经过质疑程序。质疑人对</w:t>
      </w:r>
      <w:r>
        <w:rPr>
          <w:rFonts w:hint="eastAsia" w:hAnsi="宋体"/>
          <w:bCs/>
          <w:szCs w:val="21"/>
          <w:highlight w:val="none"/>
          <w:lang w:eastAsia="zh-CN"/>
        </w:rPr>
        <w:t>采购人</w:t>
      </w:r>
      <w:r>
        <w:rPr>
          <w:rFonts w:hint="eastAsia" w:hAnsi="宋体"/>
          <w:bCs/>
          <w:szCs w:val="21"/>
          <w:highlight w:val="none"/>
        </w:rPr>
        <w:t>、</w:t>
      </w:r>
      <w:r>
        <w:rPr>
          <w:rFonts w:hint="eastAsia" w:hAnsi="宋体"/>
          <w:bCs/>
          <w:szCs w:val="21"/>
          <w:highlight w:val="none"/>
          <w:lang w:eastAsia="zh-CN"/>
        </w:rPr>
        <w:t>采购代理机构</w:t>
      </w:r>
      <w:r>
        <w:rPr>
          <w:rFonts w:hint="eastAsia" w:hAnsi="宋体"/>
          <w:bCs/>
          <w:szCs w:val="21"/>
          <w:highlight w:val="none"/>
        </w:rPr>
        <w:t>的答复不满意，或者采</w:t>
      </w:r>
    </w:p>
    <w:p>
      <w:pPr>
        <w:pStyle w:val="15"/>
        <w:spacing w:line="360" w:lineRule="auto"/>
        <w:jc w:val="left"/>
        <w:rPr>
          <w:rFonts w:hAnsi="宋体"/>
          <w:bCs/>
          <w:szCs w:val="21"/>
          <w:highlight w:val="none"/>
        </w:rPr>
      </w:pPr>
      <w:r>
        <w:rPr>
          <w:rFonts w:hint="eastAsia" w:hAnsi="宋体"/>
          <w:bCs/>
          <w:szCs w:val="21"/>
          <w:highlight w:val="none"/>
        </w:rPr>
        <w:t>购人、</w:t>
      </w:r>
      <w:r>
        <w:rPr>
          <w:rFonts w:hint="eastAsia" w:hAnsi="宋体"/>
          <w:bCs/>
          <w:szCs w:val="21"/>
          <w:highlight w:val="none"/>
          <w:lang w:eastAsia="zh-CN"/>
        </w:rPr>
        <w:t>采购代理机构</w:t>
      </w:r>
      <w:r>
        <w:rPr>
          <w:rFonts w:hint="eastAsia" w:hAnsi="宋体"/>
          <w:bCs/>
          <w:szCs w:val="21"/>
          <w:highlight w:val="none"/>
        </w:rPr>
        <w:t>未在规定的时间内做出答复的，可以在答复期满后15个工作日内书面向同级财政部门提出投诉。</w:t>
      </w:r>
    </w:p>
    <w:p>
      <w:pPr>
        <w:pStyle w:val="3"/>
        <w:numPr>
          <w:ilvl w:val="0"/>
          <w:numId w:val="0"/>
        </w:numPr>
        <w:ind w:left="425"/>
        <w:jc w:val="center"/>
        <w:rPr>
          <w:rFonts w:hint="eastAsia" w:ascii="宋体" w:hAnsi="宋体" w:eastAsia="宋体"/>
          <w:bCs/>
          <w:kern w:val="44"/>
          <w:szCs w:val="28"/>
          <w:highlight w:val="none"/>
          <w:lang w:eastAsia="zh-CN"/>
        </w:rPr>
      </w:pPr>
      <w:bookmarkStart w:id="31" w:name="_Toc14386"/>
      <w:bookmarkStart w:id="32" w:name="_Toc12104"/>
      <w:r>
        <w:rPr>
          <w:rFonts w:hint="eastAsia" w:ascii="宋体" w:hAnsi="宋体" w:eastAsia="宋体"/>
          <w:bCs/>
          <w:kern w:val="44"/>
          <w:szCs w:val="28"/>
          <w:highlight w:val="none"/>
        </w:rPr>
        <w:t>二、</w:t>
      </w:r>
      <w:bookmarkEnd w:id="31"/>
      <w:bookmarkEnd w:id="32"/>
      <w:r>
        <w:rPr>
          <w:rFonts w:hint="eastAsia" w:ascii="宋体" w:hAnsi="宋体" w:eastAsia="宋体"/>
          <w:bCs/>
          <w:kern w:val="44"/>
          <w:szCs w:val="28"/>
          <w:highlight w:val="none"/>
          <w:lang w:eastAsia="zh-CN"/>
        </w:rPr>
        <w:t>采购文件</w:t>
      </w:r>
    </w:p>
    <w:p>
      <w:pPr>
        <w:pStyle w:val="15"/>
        <w:spacing w:line="360" w:lineRule="auto"/>
        <w:rPr>
          <w:rFonts w:hAnsi="宋体"/>
          <w:b/>
          <w:bCs/>
          <w:szCs w:val="21"/>
          <w:highlight w:val="none"/>
        </w:rPr>
      </w:pPr>
      <w:r>
        <w:rPr>
          <w:rFonts w:hAnsi="宋体"/>
          <w:b/>
          <w:bCs/>
          <w:szCs w:val="21"/>
          <w:highlight w:val="none"/>
        </w:rPr>
        <w:t>9</w:t>
      </w:r>
      <w:r>
        <w:rPr>
          <w:rFonts w:hint="eastAsia" w:hAnsi="宋体"/>
          <w:b/>
          <w:bCs/>
          <w:szCs w:val="21"/>
          <w:highlight w:val="none"/>
        </w:rPr>
        <w:t xml:space="preserve">. </w:t>
      </w:r>
      <w:r>
        <w:rPr>
          <w:rFonts w:hint="eastAsia" w:hAnsi="宋体"/>
          <w:b/>
          <w:bCs/>
          <w:szCs w:val="21"/>
          <w:highlight w:val="none"/>
          <w:lang w:eastAsia="zh-CN"/>
        </w:rPr>
        <w:t>采购文件</w:t>
      </w:r>
      <w:r>
        <w:rPr>
          <w:rFonts w:hint="eastAsia" w:hAnsi="宋体"/>
          <w:b/>
          <w:bCs/>
          <w:szCs w:val="21"/>
          <w:highlight w:val="none"/>
        </w:rPr>
        <w:t>构成</w:t>
      </w:r>
    </w:p>
    <w:p>
      <w:pPr>
        <w:spacing w:line="360" w:lineRule="auto"/>
        <w:ind w:firstLine="210" w:firstLineChars="100"/>
        <w:jc w:val="left"/>
        <w:rPr>
          <w:rFonts w:ascii="宋体" w:hAnsi="宋体"/>
          <w:szCs w:val="21"/>
          <w:highlight w:val="none"/>
        </w:rPr>
      </w:pPr>
      <w:r>
        <w:rPr>
          <w:rFonts w:ascii="宋体" w:hAnsi="宋体"/>
          <w:szCs w:val="21"/>
          <w:highlight w:val="none"/>
        </w:rPr>
        <w:t>9</w:t>
      </w:r>
      <w:r>
        <w:rPr>
          <w:rFonts w:hint="eastAsia" w:ascii="宋体" w:hAnsi="宋体"/>
          <w:szCs w:val="21"/>
          <w:highlight w:val="none"/>
        </w:rPr>
        <w:t>.1要求提供的货物、采购过程及合同条款在</w:t>
      </w:r>
      <w:r>
        <w:rPr>
          <w:rFonts w:hint="eastAsia" w:ascii="宋体" w:hAnsi="宋体"/>
          <w:szCs w:val="21"/>
          <w:highlight w:val="none"/>
          <w:lang w:eastAsia="zh-CN"/>
        </w:rPr>
        <w:t>采购文件</w:t>
      </w:r>
      <w:r>
        <w:rPr>
          <w:rFonts w:hint="eastAsia" w:ascii="宋体" w:hAnsi="宋体"/>
          <w:szCs w:val="21"/>
          <w:highlight w:val="none"/>
        </w:rPr>
        <w:t>中均有说明，</w:t>
      </w:r>
      <w:r>
        <w:rPr>
          <w:rFonts w:hint="eastAsia" w:ascii="宋体" w:hAnsi="宋体"/>
          <w:szCs w:val="21"/>
          <w:highlight w:val="none"/>
          <w:lang w:eastAsia="zh-CN"/>
        </w:rPr>
        <w:t>采购文件</w:t>
      </w:r>
      <w:r>
        <w:rPr>
          <w:rFonts w:hint="eastAsia" w:ascii="宋体" w:hAnsi="宋体"/>
          <w:szCs w:val="21"/>
          <w:highlight w:val="none"/>
        </w:rPr>
        <w:t>共七章，各章的内容如下：</w:t>
      </w:r>
    </w:p>
    <w:p>
      <w:pPr>
        <w:spacing w:line="360" w:lineRule="auto"/>
        <w:ind w:firstLine="630" w:firstLineChars="300"/>
        <w:jc w:val="left"/>
        <w:rPr>
          <w:rFonts w:ascii="宋体" w:hAnsi="宋体"/>
          <w:szCs w:val="21"/>
          <w:highlight w:val="none"/>
        </w:rPr>
      </w:pPr>
      <w:r>
        <w:rPr>
          <w:rFonts w:hint="eastAsia" w:ascii="宋体" w:hAnsi="宋体"/>
          <w:szCs w:val="21"/>
          <w:highlight w:val="none"/>
        </w:rPr>
        <w:t>第一章  招标公告</w:t>
      </w:r>
    </w:p>
    <w:p>
      <w:pPr>
        <w:pStyle w:val="15"/>
        <w:spacing w:line="360" w:lineRule="auto"/>
        <w:rPr>
          <w:rFonts w:hAnsi="宋体"/>
          <w:szCs w:val="21"/>
          <w:highlight w:val="none"/>
        </w:rPr>
      </w:pPr>
      <w:r>
        <w:rPr>
          <w:rFonts w:hint="eastAsia" w:hAnsi="宋体"/>
          <w:szCs w:val="21"/>
          <w:highlight w:val="none"/>
        </w:rPr>
        <w:t xml:space="preserve">      第二章  投标人须知</w:t>
      </w:r>
    </w:p>
    <w:p>
      <w:pPr>
        <w:pStyle w:val="15"/>
        <w:spacing w:line="360" w:lineRule="auto"/>
        <w:rPr>
          <w:rFonts w:hAnsi="宋体"/>
          <w:szCs w:val="21"/>
          <w:highlight w:val="none"/>
        </w:rPr>
      </w:pPr>
      <w:r>
        <w:rPr>
          <w:rFonts w:hint="eastAsia" w:hAnsi="宋体"/>
          <w:szCs w:val="21"/>
          <w:highlight w:val="none"/>
        </w:rPr>
        <w:t xml:space="preserve">      第三章  合同书样式及主要条款</w:t>
      </w:r>
    </w:p>
    <w:p>
      <w:pPr>
        <w:pStyle w:val="15"/>
        <w:spacing w:line="360" w:lineRule="auto"/>
        <w:ind w:firstLine="630" w:firstLineChars="300"/>
        <w:rPr>
          <w:rFonts w:hAnsi="宋体"/>
          <w:szCs w:val="21"/>
          <w:highlight w:val="none"/>
        </w:rPr>
      </w:pPr>
      <w:r>
        <w:rPr>
          <w:rFonts w:hint="eastAsia" w:hAnsi="宋体"/>
          <w:szCs w:val="21"/>
          <w:highlight w:val="none"/>
        </w:rPr>
        <w:t>第四章  投标文件格式</w:t>
      </w:r>
    </w:p>
    <w:p>
      <w:pPr>
        <w:pStyle w:val="15"/>
        <w:spacing w:line="360" w:lineRule="auto"/>
        <w:rPr>
          <w:rFonts w:hAnsi="宋体"/>
          <w:szCs w:val="21"/>
          <w:highlight w:val="none"/>
        </w:rPr>
      </w:pPr>
      <w:r>
        <w:rPr>
          <w:rFonts w:hint="eastAsia" w:hAnsi="宋体"/>
          <w:szCs w:val="21"/>
          <w:highlight w:val="none"/>
        </w:rPr>
        <w:t xml:space="preserve">      第五章  采购需求</w:t>
      </w:r>
    </w:p>
    <w:p>
      <w:pPr>
        <w:pStyle w:val="15"/>
        <w:spacing w:line="360" w:lineRule="auto"/>
        <w:ind w:firstLine="630" w:firstLineChars="300"/>
        <w:rPr>
          <w:rFonts w:hAnsi="宋体"/>
          <w:szCs w:val="21"/>
          <w:highlight w:val="none"/>
        </w:rPr>
      </w:pPr>
      <w:r>
        <w:rPr>
          <w:rFonts w:hint="eastAsia" w:hAnsi="宋体"/>
          <w:szCs w:val="21"/>
          <w:highlight w:val="none"/>
        </w:rPr>
        <w:t xml:space="preserve">第六章 </w:t>
      </w:r>
      <w:r>
        <w:rPr>
          <w:rFonts w:hAnsi="宋体"/>
          <w:szCs w:val="21"/>
          <w:highlight w:val="none"/>
        </w:rPr>
        <w:t xml:space="preserve"> </w:t>
      </w:r>
      <w:r>
        <w:rPr>
          <w:rFonts w:hint="eastAsia" w:hAnsi="宋体"/>
          <w:szCs w:val="21"/>
          <w:highlight w:val="none"/>
        </w:rPr>
        <w:t>资格评审标准</w:t>
      </w:r>
    </w:p>
    <w:p>
      <w:pPr>
        <w:pStyle w:val="15"/>
        <w:spacing w:line="360" w:lineRule="auto"/>
        <w:ind w:firstLine="630" w:firstLineChars="300"/>
        <w:rPr>
          <w:rFonts w:hAnsi="宋体"/>
          <w:szCs w:val="21"/>
          <w:highlight w:val="none"/>
        </w:rPr>
      </w:pPr>
      <w:r>
        <w:rPr>
          <w:rFonts w:hint="eastAsia" w:hAnsi="宋体"/>
          <w:szCs w:val="21"/>
          <w:highlight w:val="none"/>
        </w:rPr>
        <w:t>第七章  评标方法</w:t>
      </w:r>
    </w:p>
    <w:p>
      <w:pPr>
        <w:pStyle w:val="15"/>
        <w:spacing w:line="360" w:lineRule="auto"/>
        <w:rPr>
          <w:rFonts w:hAnsi="宋体"/>
          <w:b/>
          <w:bCs/>
          <w:szCs w:val="21"/>
          <w:highlight w:val="none"/>
        </w:rPr>
      </w:pPr>
      <w:r>
        <w:rPr>
          <w:rFonts w:hint="eastAsia" w:hAnsi="宋体"/>
          <w:b/>
          <w:bCs/>
          <w:szCs w:val="21"/>
          <w:highlight w:val="none"/>
        </w:rPr>
        <w:t xml:space="preserve">10. </w:t>
      </w:r>
      <w:r>
        <w:rPr>
          <w:rFonts w:hint="eastAsia" w:hAnsi="宋体"/>
          <w:b/>
          <w:bCs/>
          <w:szCs w:val="21"/>
          <w:highlight w:val="none"/>
          <w:lang w:eastAsia="zh-CN"/>
        </w:rPr>
        <w:t>采购文件</w:t>
      </w:r>
      <w:r>
        <w:rPr>
          <w:rFonts w:hint="eastAsia" w:hAnsi="宋体"/>
          <w:b/>
          <w:bCs/>
          <w:szCs w:val="21"/>
          <w:highlight w:val="none"/>
        </w:rPr>
        <w:t>的澄清或者修改</w:t>
      </w:r>
    </w:p>
    <w:p>
      <w:pPr>
        <w:pStyle w:val="15"/>
        <w:spacing w:line="360" w:lineRule="auto"/>
        <w:ind w:left="208" w:leftChars="99"/>
        <w:jc w:val="left"/>
        <w:rPr>
          <w:rFonts w:hAnsi="宋体"/>
          <w:bCs/>
          <w:szCs w:val="21"/>
          <w:highlight w:val="none"/>
        </w:rPr>
      </w:pPr>
      <w:r>
        <w:rPr>
          <w:rFonts w:hint="eastAsia" w:hAnsi="宋体"/>
          <w:bCs/>
          <w:szCs w:val="21"/>
          <w:highlight w:val="none"/>
        </w:rPr>
        <w:t>10.1</w:t>
      </w:r>
      <w:r>
        <w:rPr>
          <w:rFonts w:hint="eastAsia" w:hAnsi="宋体"/>
          <w:bCs/>
          <w:szCs w:val="21"/>
          <w:highlight w:val="none"/>
          <w:lang w:eastAsia="zh-CN"/>
        </w:rPr>
        <w:t>采购代理机构</w:t>
      </w:r>
      <w:r>
        <w:rPr>
          <w:rFonts w:hint="eastAsia" w:hAnsi="宋体"/>
          <w:bCs/>
          <w:szCs w:val="21"/>
          <w:highlight w:val="none"/>
        </w:rPr>
        <w:t>对已发出的</w:t>
      </w:r>
      <w:r>
        <w:rPr>
          <w:rFonts w:hint="eastAsia" w:hAnsi="宋体"/>
          <w:bCs/>
          <w:szCs w:val="21"/>
          <w:highlight w:val="none"/>
          <w:lang w:eastAsia="zh-CN"/>
        </w:rPr>
        <w:t>采购文件</w:t>
      </w:r>
      <w:r>
        <w:rPr>
          <w:rFonts w:hint="eastAsia" w:hAnsi="宋体"/>
          <w:bCs/>
          <w:szCs w:val="21"/>
          <w:highlight w:val="none"/>
        </w:rPr>
        <w:t>进行必要澄清或者修改的，在财政部门指定的政</w:t>
      </w:r>
    </w:p>
    <w:p>
      <w:pPr>
        <w:pStyle w:val="15"/>
        <w:spacing w:line="360" w:lineRule="auto"/>
        <w:jc w:val="left"/>
        <w:rPr>
          <w:rFonts w:hAnsi="宋体"/>
          <w:bCs/>
          <w:szCs w:val="21"/>
          <w:highlight w:val="none"/>
        </w:rPr>
      </w:pPr>
      <w:r>
        <w:rPr>
          <w:rFonts w:hint="eastAsia" w:hAnsi="宋体"/>
          <w:bCs/>
          <w:szCs w:val="21"/>
          <w:highlight w:val="none"/>
        </w:rPr>
        <w:t>府采购信息发布媒体上发布更正公告。该澄清或者修改的内容为</w:t>
      </w:r>
      <w:r>
        <w:rPr>
          <w:rFonts w:hint="eastAsia" w:hAnsi="宋体"/>
          <w:bCs/>
          <w:szCs w:val="21"/>
          <w:highlight w:val="none"/>
          <w:lang w:eastAsia="zh-CN"/>
        </w:rPr>
        <w:t>采购文件</w:t>
      </w:r>
      <w:r>
        <w:rPr>
          <w:rFonts w:hint="eastAsia" w:hAnsi="宋体"/>
          <w:bCs/>
          <w:szCs w:val="21"/>
          <w:highlight w:val="none"/>
        </w:rPr>
        <w:t>的组成部分。</w:t>
      </w:r>
    </w:p>
    <w:p>
      <w:pPr>
        <w:pStyle w:val="15"/>
        <w:spacing w:line="360" w:lineRule="auto"/>
        <w:ind w:left="208" w:leftChars="99"/>
        <w:jc w:val="left"/>
        <w:rPr>
          <w:rFonts w:hAnsi="宋体"/>
          <w:bCs/>
          <w:szCs w:val="21"/>
          <w:highlight w:val="none"/>
        </w:rPr>
      </w:pPr>
      <w:r>
        <w:rPr>
          <w:rFonts w:hint="eastAsia" w:hAnsi="宋体"/>
          <w:bCs/>
          <w:szCs w:val="21"/>
          <w:highlight w:val="none"/>
        </w:rPr>
        <w:t>10.2澄清或者修改的内容可能影响投标文件编制的，</w:t>
      </w:r>
      <w:r>
        <w:rPr>
          <w:rFonts w:hint="eastAsia" w:hAnsi="宋体"/>
          <w:bCs/>
          <w:szCs w:val="21"/>
          <w:highlight w:val="none"/>
          <w:lang w:eastAsia="zh-CN"/>
        </w:rPr>
        <w:t>采购代理机构</w:t>
      </w:r>
      <w:r>
        <w:rPr>
          <w:rFonts w:hint="eastAsia" w:hAnsi="宋体"/>
          <w:bCs/>
          <w:szCs w:val="21"/>
          <w:highlight w:val="none"/>
        </w:rPr>
        <w:t>在投标截止时间至少</w:t>
      </w:r>
    </w:p>
    <w:p>
      <w:pPr>
        <w:pStyle w:val="15"/>
        <w:spacing w:line="360" w:lineRule="auto"/>
        <w:jc w:val="left"/>
        <w:rPr>
          <w:rFonts w:hAnsi="宋体"/>
          <w:bCs/>
          <w:szCs w:val="21"/>
          <w:highlight w:val="none"/>
        </w:rPr>
      </w:pPr>
      <w:r>
        <w:rPr>
          <w:rFonts w:hint="eastAsia" w:hAnsi="宋体"/>
          <w:bCs/>
          <w:szCs w:val="21"/>
          <w:highlight w:val="none"/>
          <w:lang w:val="en-US" w:eastAsia="zh-CN"/>
        </w:rPr>
        <w:t>1</w:t>
      </w:r>
      <w:r>
        <w:rPr>
          <w:rFonts w:hint="eastAsia" w:hAnsi="宋体"/>
          <w:bCs/>
          <w:szCs w:val="21"/>
          <w:highlight w:val="none"/>
        </w:rPr>
        <w:t>5日前，以</w:t>
      </w:r>
      <w:r>
        <w:rPr>
          <w:rFonts w:hint="eastAsia" w:hAnsi="宋体"/>
          <w:bCs/>
          <w:szCs w:val="21"/>
          <w:highlight w:val="none"/>
          <w:lang w:val="en-US" w:eastAsia="zh-CN"/>
        </w:rPr>
        <w:t>网上发布通知</w:t>
      </w:r>
      <w:r>
        <w:rPr>
          <w:rFonts w:hint="eastAsia" w:hAnsi="宋体"/>
          <w:bCs/>
          <w:szCs w:val="21"/>
          <w:highlight w:val="none"/>
        </w:rPr>
        <w:t>所有获取</w:t>
      </w:r>
      <w:r>
        <w:rPr>
          <w:rFonts w:hint="eastAsia" w:hAnsi="宋体"/>
          <w:bCs/>
          <w:szCs w:val="21"/>
          <w:highlight w:val="none"/>
          <w:lang w:eastAsia="zh-CN"/>
        </w:rPr>
        <w:t>采购文件</w:t>
      </w:r>
      <w:r>
        <w:rPr>
          <w:rFonts w:hint="eastAsia" w:hAnsi="宋体"/>
          <w:bCs/>
          <w:szCs w:val="21"/>
          <w:highlight w:val="none"/>
        </w:rPr>
        <w:t>的潜在投标人；不足</w:t>
      </w:r>
      <w:r>
        <w:rPr>
          <w:rFonts w:hint="eastAsia" w:hAnsi="宋体"/>
          <w:bCs/>
          <w:szCs w:val="21"/>
          <w:highlight w:val="none"/>
          <w:lang w:val="en-US" w:eastAsia="zh-CN"/>
        </w:rPr>
        <w:t>1</w:t>
      </w:r>
      <w:r>
        <w:rPr>
          <w:rFonts w:hint="eastAsia" w:hAnsi="宋体"/>
          <w:bCs/>
          <w:szCs w:val="21"/>
          <w:highlight w:val="none"/>
        </w:rPr>
        <w:t>5日的，</w:t>
      </w:r>
      <w:r>
        <w:rPr>
          <w:rFonts w:hint="eastAsia" w:hAnsi="宋体"/>
          <w:bCs/>
          <w:szCs w:val="21"/>
          <w:highlight w:val="none"/>
          <w:lang w:eastAsia="zh-CN"/>
        </w:rPr>
        <w:t>采购代理机构</w:t>
      </w:r>
      <w:r>
        <w:rPr>
          <w:rFonts w:hint="eastAsia" w:hAnsi="宋体"/>
          <w:bCs/>
          <w:szCs w:val="21"/>
          <w:highlight w:val="none"/>
        </w:rPr>
        <w:t>将顺延提交投标文件的截止时间。</w:t>
      </w:r>
    </w:p>
    <w:p>
      <w:pPr>
        <w:pStyle w:val="15"/>
        <w:spacing w:line="360" w:lineRule="auto"/>
        <w:ind w:left="208" w:leftChars="99"/>
        <w:jc w:val="left"/>
        <w:rPr>
          <w:rFonts w:hAnsi="宋体"/>
          <w:bCs/>
          <w:szCs w:val="21"/>
          <w:highlight w:val="none"/>
        </w:rPr>
      </w:pPr>
      <w:r>
        <w:rPr>
          <w:rFonts w:hint="eastAsia" w:hAnsi="宋体"/>
          <w:bCs/>
          <w:szCs w:val="21"/>
          <w:highlight w:val="none"/>
        </w:rPr>
        <w:t>10.3</w:t>
      </w:r>
      <w:r>
        <w:rPr>
          <w:rFonts w:hint="eastAsia" w:hAnsi="宋体"/>
          <w:bCs/>
          <w:szCs w:val="21"/>
          <w:highlight w:val="none"/>
          <w:lang w:eastAsia="zh-CN"/>
        </w:rPr>
        <w:t>采购代理机构</w:t>
      </w:r>
      <w:r>
        <w:rPr>
          <w:rFonts w:hint="eastAsia" w:hAnsi="宋体"/>
          <w:bCs/>
          <w:szCs w:val="21"/>
          <w:highlight w:val="none"/>
        </w:rPr>
        <w:t>和采购单位可以视项目具体情况，延长投标截止时间和推迟开标时间，</w:t>
      </w:r>
    </w:p>
    <w:p>
      <w:pPr>
        <w:pStyle w:val="15"/>
        <w:spacing w:line="360" w:lineRule="auto"/>
        <w:jc w:val="left"/>
        <w:rPr>
          <w:rFonts w:hAnsi="宋体"/>
          <w:bCs/>
          <w:szCs w:val="21"/>
          <w:highlight w:val="none"/>
        </w:rPr>
      </w:pPr>
      <w:r>
        <w:rPr>
          <w:rFonts w:hint="eastAsia" w:hAnsi="宋体"/>
          <w:bCs/>
          <w:szCs w:val="21"/>
          <w:highlight w:val="none"/>
        </w:rPr>
        <w:t>但至少在</w:t>
      </w:r>
      <w:r>
        <w:rPr>
          <w:rFonts w:hint="eastAsia" w:hAnsi="宋体"/>
          <w:bCs/>
          <w:szCs w:val="21"/>
          <w:highlight w:val="none"/>
          <w:lang w:eastAsia="zh-CN"/>
        </w:rPr>
        <w:t>采购文件</w:t>
      </w:r>
      <w:r>
        <w:rPr>
          <w:rFonts w:hint="eastAsia" w:hAnsi="宋体"/>
          <w:bCs/>
          <w:szCs w:val="21"/>
          <w:highlight w:val="none"/>
        </w:rPr>
        <w:t>要求提交投标文件的截止时间前将变更时间通知所有获取</w:t>
      </w:r>
      <w:r>
        <w:rPr>
          <w:rFonts w:hint="eastAsia" w:hAnsi="宋体"/>
          <w:bCs/>
          <w:szCs w:val="21"/>
          <w:highlight w:val="none"/>
          <w:lang w:eastAsia="zh-CN"/>
        </w:rPr>
        <w:t>采购文件</w:t>
      </w:r>
      <w:r>
        <w:rPr>
          <w:rFonts w:hint="eastAsia" w:hAnsi="宋体"/>
          <w:bCs/>
          <w:szCs w:val="21"/>
          <w:highlight w:val="none"/>
        </w:rPr>
        <w:t>的投标人，并在财政部门指定的政府采购信息发布媒体上发布变更公告。</w:t>
      </w:r>
    </w:p>
    <w:p>
      <w:pPr>
        <w:pStyle w:val="3"/>
        <w:numPr>
          <w:ilvl w:val="0"/>
          <w:numId w:val="0"/>
        </w:numPr>
        <w:ind w:left="425"/>
        <w:jc w:val="center"/>
        <w:rPr>
          <w:rFonts w:ascii="宋体" w:hAnsi="宋体" w:eastAsia="宋体"/>
          <w:bCs/>
          <w:kern w:val="44"/>
          <w:szCs w:val="28"/>
          <w:highlight w:val="none"/>
        </w:rPr>
      </w:pPr>
      <w:bookmarkStart w:id="33" w:name="_Toc2401"/>
      <w:bookmarkStart w:id="34" w:name="_Toc26676"/>
      <w:r>
        <w:rPr>
          <w:rFonts w:hint="eastAsia" w:ascii="宋体" w:hAnsi="宋体" w:eastAsia="宋体"/>
          <w:bCs/>
          <w:kern w:val="44"/>
          <w:szCs w:val="28"/>
          <w:highlight w:val="none"/>
        </w:rPr>
        <w:t>三、投标文件</w:t>
      </w:r>
      <w:bookmarkEnd w:id="33"/>
      <w:bookmarkEnd w:id="34"/>
    </w:p>
    <w:p>
      <w:pPr>
        <w:spacing w:line="360" w:lineRule="auto"/>
        <w:jc w:val="left"/>
        <w:rPr>
          <w:rFonts w:ascii="宋体" w:hAnsi="宋体"/>
          <w:b/>
          <w:szCs w:val="21"/>
          <w:highlight w:val="none"/>
        </w:rPr>
      </w:pPr>
      <w:r>
        <w:rPr>
          <w:rFonts w:hint="eastAsia" w:ascii="宋体" w:hAnsi="宋体"/>
          <w:b/>
          <w:szCs w:val="21"/>
          <w:highlight w:val="none"/>
        </w:rPr>
        <w:t>11. 投标文件编写注意事项</w:t>
      </w:r>
    </w:p>
    <w:p>
      <w:pPr>
        <w:pStyle w:val="15"/>
        <w:spacing w:line="360" w:lineRule="auto"/>
        <w:ind w:firstLine="210" w:firstLineChars="100"/>
        <w:jc w:val="left"/>
        <w:rPr>
          <w:rFonts w:hAnsi="宋体"/>
          <w:bCs/>
          <w:szCs w:val="21"/>
          <w:highlight w:val="none"/>
        </w:rPr>
      </w:pPr>
      <w:r>
        <w:rPr>
          <w:rFonts w:hint="eastAsia" w:hAnsi="宋体"/>
          <w:bCs/>
          <w:szCs w:val="21"/>
          <w:highlight w:val="none"/>
        </w:rPr>
        <w:t>11.1</w:t>
      </w:r>
      <w:r>
        <w:rPr>
          <w:rFonts w:hint="eastAsia" w:ascii="宋体" w:hAnsi="宋体" w:cs="宋体"/>
          <w:color w:val="auto"/>
          <w:szCs w:val="21"/>
          <w:highlight w:val="none"/>
        </w:rPr>
        <w:t>投标人应仔细阅读</w:t>
      </w:r>
      <w:r>
        <w:rPr>
          <w:rFonts w:hint="eastAsia" w:hAnsi="宋体" w:cs="宋体"/>
          <w:color w:val="auto"/>
          <w:szCs w:val="21"/>
          <w:highlight w:val="none"/>
          <w:lang w:eastAsia="zh-CN"/>
        </w:rPr>
        <w:t>采购文件</w:t>
      </w:r>
      <w:r>
        <w:rPr>
          <w:rFonts w:hint="eastAsia" w:ascii="宋体" w:hAnsi="宋体" w:cs="宋体"/>
          <w:color w:val="auto"/>
          <w:szCs w:val="21"/>
          <w:highlight w:val="none"/>
        </w:rPr>
        <w:t>，在完全了解采购的内容、技术性能要求(详见</w:t>
      </w:r>
      <w:r>
        <w:rPr>
          <w:rFonts w:hint="eastAsia" w:hAnsi="宋体" w:cs="宋体"/>
          <w:color w:val="auto"/>
          <w:szCs w:val="21"/>
          <w:highlight w:val="none"/>
          <w:lang w:val="en-US" w:eastAsia="zh-CN"/>
        </w:rPr>
        <w:t>第五章</w:t>
      </w:r>
      <w:r>
        <w:rPr>
          <w:rFonts w:hint="eastAsia" w:ascii="宋体" w:hAnsi="宋体" w:cs="宋体"/>
          <w:color w:val="auto"/>
          <w:szCs w:val="21"/>
          <w:highlight w:val="none"/>
        </w:rPr>
        <w:t>“</w:t>
      </w:r>
      <w:r>
        <w:rPr>
          <w:rFonts w:hint="eastAsia" w:hAnsi="宋体" w:cs="宋体"/>
          <w:b/>
          <w:bCs/>
          <w:color w:val="auto"/>
          <w:szCs w:val="21"/>
          <w:highlight w:val="none"/>
          <w:lang w:val="en-US" w:eastAsia="zh-CN"/>
        </w:rPr>
        <w:t>采购需求</w:t>
      </w:r>
      <w:r>
        <w:rPr>
          <w:rFonts w:hint="eastAsia" w:ascii="宋体" w:hAnsi="宋体" w:cs="宋体"/>
          <w:b/>
          <w:color w:val="auto"/>
          <w:szCs w:val="21"/>
          <w:highlight w:val="none"/>
        </w:rPr>
        <w:t>”</w:t>
      </w:r>
      <w:r>
        <w:rPr>
          <w:rFonts w:hint="eastAsia" w:ascii="宋体" w:hAnsi="宋体" w:cs="宋体"/>
          <w:color w:val="auto"/>
          <w:szCs w:val="21"/>
          <w:highlight w:val="none"/>
        </w:rPr>
        <w:t>)和商务条件后，编写投标文件。投标文件必须响应</w:t>
      </w:r>
      <w:r>
        <w:rPr>
          <w:rFonts w:hint="eastAsia" w:hAnsi="宋体" w:cs="宋体"/>
          <w:color w:val="auto"/>
          <w:szCs w:val="21"/>
          <w:highlight w:val="none"/>
          <w:lang w:eastAsia="zh-CN"/>
        </w:rPr>
        <w:t>采购文件</w:t>
      </w:r>
      <w:r>
        <w:rPr>
          <w:rFonts w:hint="eastAsia" w:ascii="宋体" w:hAnsi="宋体" w:cs="宋体"/>
          <w:color w:val="auto"/>
          <w:szCs w:val="21"/>
          <w:highlight w:val="none"/>
        </w:rPr>
        <w:t>的实质性要求和条件。</w:t>
      </w:r>
    </w:p>
    <w:p>
      <w:pPr>
        <w:pStyle w:val="15"/>
        <w:spacing w:line="360" w:lineRule="auto"/>
        <w:ind w:left="208" w:leftChars="99"/>
        <w:jc w:val="left"/>
        <w:rPr>
          <w:rFonts w:hAnsi="宋体"/>
          <w:bCs/>
          <w:szCs w:val="21"/>
          <w:highlight w:val="none"/>
        </w:rPr>
      </w:pPr>
      <w:r>
        <w:rPr>
          <w:rFonts w:hint="eastAsia" w:hAnsi="宋体"/>
          <w:bCs/>
          <w:szCs w:val="21"/>
          <w:highlight w:val="none"/>
        </w:rPr>
        <w:t>11.2 对</w:t>
      </w:r>
      <w:r>
        <w:rPr>
          <w:rFonts w:hint="eastAsia" w:hAnsi="宋体"/>
          <w:bCs/>
          <w:szCs w:val="21"/>
          <w:highlight w:val="none"/>
          <w:lang w:eastAsia="zh-CN"/>
        </w:rPr>
        <w:t>采购文件</w:t>
      </w:r>
      <w:r>
        <w:rPr>
          <w:rFonts w:hint="eastAsia" w:hAnsi="宋体"/>
          <w:bCs/>
          <w:szCs w:val="21"/>
          <w:highlight w:val="none"/>
        </w:rPr>
        <w:t>提出的实质性要求和条件作出响应是指：投标人必须对</w:t>
      </w:r>
      <w:r>
        <w:rPr>
          <w:rFonts w:hint="eastAsia" w:hAnsi="宋体"/>
          <w:bCs/>
          <w:szCs w:val="21"/>
          <w:highlight w:val="none"/>
          <w:lang w:eastAsia="zh-CN"/>
        </w:rPr>
        <w:t>采购文件</w:t>
      </w:r>
      <w:r>
        <w:rPr>
          <w:rFonts w:hint="eastAsia" w:hAnsi="宋体"/>
          <w:bCs/>
          <w:szCs w:val="21"/>
          <w:highlight w:val="none"/>
        </w:rPr>
        <w:t>中的实</w:t>
      </w:r>
    </w:p>
    <w:p>
      <w:pPr>
        <w:pStyle w:val="15"/>
        <w:spacing w:line="360" w:lineRule="auto"/>
        <w:jc w:val="left"/>
        <w:rPr>
          <w:rFonts w:hAnsi="宋体"/>
          <w:bCs/>
          <w:szCs w:val="21"/>
          <w:highlight w:val="none"/>
        </w:rPr>
      </w:pPr>
      <w:r>
        <w:rPr>
          <w:rFonts w:hint="eastAsia" w:hAnsi="宋体"/>
          <w:bCs/>
          <w:szCs w:val="21"/>
          <w:highlight w:val="none"/>
        </w:rPr>
        <w:t>质性要求和条件的内容作出满足或者优于</w:t>
      </w:r>
      <w:r>
        <w:rPr>
          <w:rFonts w:hint="eastAsia" w:hAnsi="宋体"/>
          <w:bCs/>
          <w:szCs w:val="21"/>
          <w:highlight w:val="none"/>
          <w:lang w:eastAsia="zh-CN"/>
        </w:rPr>
        <w:t>采购文件</w:t>
      </w:r>
      <w:r>
        <w:rPr>
          <w:rFonts w:hint="eastAsia" w:hAnsi="宋体"/>
          <w:bCs/>
          <w:szCs w:val="21"/>
          <w:highlight w:val="none"/>
        </w:rPr>
        <w:t>要求和条件的承诺，并按</w:t>
      </w:r>
      <w:r>
        <w:rPr>
          <w:rFonts w:hint="eastAsia" w:hAnsi="宋体"/>
          <w:bCs/>
          <w:szCs w:val="21"/>
          <w:highlight w:val="none"/>
          <w:lang w:eastAsia="zh-CN"/>
        </w:rPr>
        <w:t>采购文件</w:t>
      </w:r>
      <w:r>
        <w:rPr>
          <w:rFonts w:hint="eastAsia" w:hAnsi="宋体"/>
          <w:bCs/>
          <w:szCs w:val="21"/>
          <w:highlight w:val="none"/>
        </w:rPr>
        <w:t>要求提供相应的证明材料。</w:t>
      </w:r>
    </w:p>
    <w:p>
      <w:pPr>
        <w:spacing w:line="360" w:lineRule="auto"/>
        <w:jc w:val="left"/>
        <w:rPr>
          <w:rFonts w:ascii="宋体" w:hAnsi="宋体"/>
          <w:b/>
          <w:szCs w:val="21"/>
          <w:highlight w:val="none"/>
        </w:rPr>
      </w:pPr>
      <w:r>
        <w:rPr>
          <w:rFonts w:hint="eastAsia" w:ascii="宋体" w:hAnsi="宋体"/>
          <w:b/>
          <w:szCs w:val="21"/>
          <w:highlight w:val="none"/>
        </w:rPr>
        <w:t>12. 投标的语言及计量单位</w:t>
      </w:r>
    </w:p>
    <w:p>
      <w:pPr>
        <w:pStyle w:val="15"/>
        <w:spacing w:line="360" w:lineRule="auto"/>
        <w:ind w:left="208" w:leftChars="99"/>
        <w:jc w:val="left"/>
        <w:rPr>
          <w:rFonts w:hAnsi="宋体"/>
          <w:bCs/>
          <w:szCs w:val="21"/>
          <w:highlight w:val="none"/>
        </w:rPr>
      </w:pPr>
      <w:r>
        <w:rPr>
          <w:rFonts w:hint="eastAsia" w:hAnsi="宋体"/>
          <w:bCs/>
          <w:szCs w:val="21"/>
          <w:highlight w:val="none"/>
        </w:rPr>
        <w:t>12.1投标人的投标文件以及投标人与</w:t>
      </w:r>
      <w:r>
        <w:rPr>
          <w:rFonts w:hint="eastAsia" w:hAnsi="宋体"/>
          <w:bCs/>
          <w:szCs w:val="21"/>
          <w:highlight w:val="none"/>
          <w:lang w:eastAsia="zh-CN"/>
        </w:rPr>
        <w:t>采购代理机构</w:t>
      </w:r>
      <w:r>
        <w:rPr>
          <w:rFonts w:hint="eastAsia" w:hAnsi="宋体"/>
          <w:bCs/>
          <w:szCs w:val="21"/>
          <w:highlight w:val="none"/>
        </w:rPr>
        <w:t>就有关投标的所有来往函电统一使用</w:t>
      </w:r>
    </w:p>
    <w:p>
      <w:pPr>
        <w:pStyle w:val="15"/>
        <w:spacing w:line="360" w:lineRule="auto"/>
        <w:jc w:val="left"/>
        <w:rPr>
          <w:rFonts w:hAnsi="宋体"/>
          <w:bCs/>
          <w:szCs w:val="21"/>
          <w:highlight w:val="none"/>
        </w:rPr>
      </w:pPr>
      <w:r>
        <w:rPr>
          <w:rFonts w:hint="eastAsia" w:hAnsi="宋体"/>
          <w:bCs/>
          <w:szCs w:val="21"/>
          <w:highlight w:val="none"/>
        </w:rPr>
        <w:t>中文（特别规定除外）。</w:t>
      </w:r>
    </w:p>
    <w:p>
      <w:pPr>
        <w:pStyle w:val="15"/>
        <w:spacing w:line="360" w:lineRule="auto"/>
        <w:ind w:left="208" w:leftChars="99"/>
        <w:jc w:val="left"/>
        <w:rPr>
          <w:rFonts w:hAnsi="宋体"/>
          <w:bCs/>
          <w:szCs w:val="21"/>
          <w:highlight w:val="none"/>
        </w:rPr>
      </w:pPr>
      <w:r>
        <w:rPr>
          <w:rFonts w:hint="eastAsia" w:hAnsi="宋体"/>
          <w:bCs/>
          <w:szCs w:val="21"/>
          <w:highlight w:val="none"/>
        </w:rPr>
        <w:t>12.2投标文件中使用的计量单位除</w:t>
      </w:r>
      <w:r>
        <w:rPr>
          <w:rFonts w:hint="eastAsia" w:hAnsi="宋体"/>
          <w:bCs/>
          <w:szCs w:val="21"/>
          <w:highlight w:val="none"/>
          <w:lang w:eastAsia="zh-CN"/>
        </w:rPr>
        <w:t>采购文件</w:t>
      </w:r>
      <w:r>
        <w:rPr>
          <w:rFonts w:hint="eastAsia" w:hAnsi="宋体"/>
          <w:bCs/>
          <w:szCs w:val="21"/>
          <w:highlight w:val="none"/>
        </w:rPr>
        <w:t>中有特殊规定外，一律使用中国法定计量单</w:t>
      </w:r>
    </w:p>
    <w:p>
      <w:pPr>
        <w:pStyle w:val="15"/>
        <w:spacing w:line="360" w:lineRule="auto"/>
        <w:jc w:val="left"/>
        <w:rPr>
          <w:rFonts w:hAnsi="宋体"/>
          <w:bCs/>
          <w:szCs w:val="21"/>
          <w:highlight w:val="none"/>
        </w:rPr>
      </w:pPr>
      <w:r>
        <w:rPr>
          <w:rFonts w:hint="eastAsia" w:hAnsi="宋体"/>
          <w:bCs/>
          <w:szCs w:val="21"/>
          <w:highlight w:val="none"/>
        </w:rPr>
        <w:t>位。</w:t>
      </w:r>
    </w:p>
    <w:p>
      <w:pPr>
        <w:spacing w:line="360" w:lineRule="auto"/>
        <w:jc w:val="left"/>
        <w:rPr>
          <w:rFonts w:ascii="宋体" w:hAnsi="宋体"/>
          <w:b/>
          <w:szCs w:val="21"/>
          <w:highlight w:val="none"/>
        </w:rPr>
      </w:pPr>
      <w:r>
        <w:rPr>
          <w:rFonts w:hint="eastAsia" w:ascii="宋体" w:hAnsi="宋体"/>
          <w:b/>
          <w:szCs w:val="21"/>
          <w:highlight w:val="none"/>
        </w:rPr>
        <w:t>13. 投标文件构成</w:t>
      </w:r>
    </w:p>
    <w:p>
      <w:pPr>
        <w:pStyle w:val="15"/>
        <w:keepNext w:val="0"/>
        <w:keepLines w:val="0"/>
        <w:pageBreakBefore w:val="0"/>
        <w:widowControl w:val="0"/>
        <w:kinsoku/>
        <w:wordWrap/>
        <w:overflowPunct/>
        <w:topLinePunct w:val="0"/>
        <w:autoSpaceDE/>
        <w:autoSpaceDN/>
        <w:bidi w:val="0"/>
        <w:adjustRightInd/>
        <w:snapToGrid/>
        <w:spacing w:line="360" w:lineRule="auto"/>
        <w:ind w:left="0" w:leftChars="0" w:firstLine="210" w:firstLineChars="100"/>
        <w:jc w:val="left"/>
        <w:textAlignment w:val="auto"/>
        <w:rPr>
          <w:rFonts w:hAnsi="宋体"/>
          <w:bCs/>
          <w:szCs w:val="21"/>
          <w:highlight w:val="none"/>
        </w:rPr>
      </w:pPr>
      <w:r>
        <w:rPr>
          <w:rFonts w:hint="eastAsia" w:hAnsi="宋体"/>
          <w:bCs/>
          <w:szCs w:val="21"/>
          <w:highlight w:val="none"/>
        </w:rPr>
        <w:t>13.1</w:t>
      </w:r>
      <w:r>
        <w:rPr>
          <w:rFonts w:hint="eastAsia" w:hAnsi="宋体"/>
          <w:bCs/>
          <w:szCs w:val="21"/>
          <w:highlight w:val="none"/>
          <w:lang w:val="en-US" w:eastAsia="zh-CN"/>
        </w:rPr>
        <w:t>投标文件构成详见</w:t>
      </w:r>
      <w:r>
        <w:rPr>
          <w:rFonts w:hint="eastAsia" w:hAnsi="宋体"/>
          <w:bCs/>
          <w:szCs w:val="21"/>
          <w:highlight w:val="none"/>
        </w:rPr>
        <w:t>第四章“投标文件格式”</w:t>
      </w:r>
      <w:r>
        <w:rPr>
          <w:rFonts w:hint="eastAsia" w:hAnsi="宋体"/>
          <w:bCs/>
          <w:szCs w:val="21"/>
          <w:highlight w:val="none"/>
          <w:lang w:eastAsia="zh-CN"/>
        </w:rPr>
        <w:t>，</w:t>
      </w:r>
      <w:r>
        <w:rPr>
          <w:rFonts w:hint="eastAsia" w:hAnsi="宋体"/>
          <w:bCs/>
          <w:szCs w:val="21"/>
          <w:highlight w:val="none"/>
        </w:rPr>
        <w:t>投标人编写的投标文件应按第四章“投标文件格式”要求填写。有关文件的提交如未特别注明需提供原件的，可提供扫描件。</w:t>
      </w:r>
    </w:p>
    <w:p>
      <w:pPr>
        <w:spacing w:line="360" w:lineRule="auto"/>
        <w:jc w:val="left"/>
        <w:rPr>
          <w:rFonts w:ascii="宋体" w:hAnsi="宋体"/>
          <w:b/>
          <w:szCs w:val="21"/>
          <w:highlight w:val="none"/>
        </w:rPr>
      </w:pPr>
      <w:r>
        <w:rPr>
          <w:rFonts w:hint="eastAsia" w:ascii="宋体" w:hAnsi="宋体"/>
          <w:b/>
          <w:szCs w:val="21"/>
          <w:highlight w:val="none"/>
        </w:rPr>
        <w:t>14. 投标文件的格式要求</w:t>
      </w:r>
    </w:p>
    <w:p>
      <w:pPr>
        <w:pStyle w:val="15"/>
        <w:spacing w:line="360" w:lineRule="auto"/>
        <w:ind w:left="208" w:leftChars="99"/>
        <w:jc w:val="left"/>
        <w:rPr>
          <w:rFonts w:hAnsi="宋体"/>
          <w:bCs/>
          <w:szCs w:val="21"/>
          <w:highlight w:val="none"/>
        </w:rPr>
      </w:pPr>
      <w:r>
        <w:rPr>
          <w:rFonts w:hint="eastAsia" w:hAnsi="宋体"/>
          <w:bCs/>
          <w:szCs w:val="21"/>
          <w:highlight w:val="none"/>
        </w:rPr>
        <w:t>14.1投标人应按第四章</w:t>
      </w:r>
      <w:r>
        <w:rPr>
          <w:rFonts w:hint="eastAsia" w:hAnsi="宋体"/>
          <w:b/>
          <w:szCs w:val="21"/>
          <w:highlight w:val="none"/>
        </w:rPr>
        <w:t>“投标文件格式”</w:t>
      </w:r>
      <w:r>
        <w:rPr>
          <w:rFonts w:hint="eastAsia" w:hAnsi="宋体"/>
          <w:bCs/>
          <w:szCs w:val="21"/>
          <w:highlight w:val="none"/>
        </w:rPr>
        <w:t>提供的格式完整地编制。</w:t>
      </w:r>
    </w:p>
    <w:p>
      <w:pPr>
        <w:pStyle w:val="15"/>
        <w:spacing w:line="360" w:lineRule="auto"/>
        <w:ind w:left="208" w:leftChars="99"/>
        <w:jc w:val="left"/>
        <w:rPr>
          <w:rFonts w:hAnsi="宋体"/>
          <w:bCs/>
          <w:szCs w:val="21"/>
          <w:highlight w:val="none"/>
        </w:rPr>
      </w:pPr>
      <w:r>
        <w:rPr>
          <w:rFonts w:hint="eastAsia" w:hAnsi="宋体"/>
          <w:bCs/>
          <w:szCs w:val="21"/>
          <w:highlight w:val="none"/>
        </w:rPr>
        <w:t xml:space="preserve">14.2 </w:t>
      </w:r>
      <w:r>
        <w:rPr>
          <w:rFonts w:hint="eastAsia" w:hAnsi="宋体"/>
          <w:bCs/>
          <w:szCs w:val="21"/>
          <w:highlight w:val="none"/>
          <w:lang w:eastAsia="zh-CN"/>
        </w:rPr>
        <w:t>采购文件</w:t>
      </w:r>
      <w:r>
        <w:rPr>
          <w:rFonts w:hint="eastAsia" w:hAnsi="宋体"/>
          <w:bCs/>
          <w:szCs w:val="21"/>
          <w:highlight w:val="none"/>
        </w:rPr>
        <w:t>中对投标文件格式有要求的，投标人必须全部填写格式中要求的所有内容。</w:t>
      </w:r>
    </w:p>
    <w:p>
      <w:pPr>
        <w:pStyle w:val="15"/>
        <w:spacing w:line="360" w:lineRule="auto"/>
        <w:jc w:val="left"/>
        <w:rPr>
          <w:rFonts w:hAnsi="宋体"/>
          <w:bCs/>
          <w:szCs w:val="21"/>
          <w:highlight w:val="none"/>
        </w:rPr>
      </w:pPr>
      <w:r>
        <w:rPr>
          <w:rFonts w:hint="eastAsia" w:hAnsi="宋体"/>
          <w:bCs/>
          <w:szCs w:val="21"/>
          <w:highlight w:val="none"/>
        </w:rPr>
        <w:t>无相应内容可填的项应填写“无”、“没有相应指标”等明确的回答文字。有具体数值的应填写具体数值，而不能笼统地响应为“符合”、“满足”等结论性内容。</w:t>
      </w:r>
    </w:p>
    <w:p>
      <w:pPr>
        <w:spacing w:line="360" w:lineRule="auto"/>
        <w:jc w:val="left"/>
        <w:rPr>
          <w:rFonts w:ascii="宋体" w:hAnsi="宋体"/>
          <w:b/>
          <w:szCs w:val="21"/>
          <w:highlight w:val="none"/>
        </w:rPr>
      </w:pPr>
      <w:r>
        <w:rPr>
          <w:rFonts w:hint="eastAsia" w:ascii="宋体" w:hAnsi="宋体"/>
          <w:b/>
          <w:szCs w:val="21"/>
          <w:highlight w:val="none"/>
        </w:rPr>
        <w:t>15. 投标报价</w:t>
      </w:r>
    </w:p>
    <w:p>
      <w:pPr>
        <w:pStyle w:val="15"/>
        <w:spacing w:line="360" w:lineRule="auto"/>
        <w:ind w:left="208" w:leftChars="99"/>
        <w:jc w:val="left"/>
        <w:rPr>
          <w:rFonts w:hAnsi="宋体"/>
          <w:bCs/>
          <w:szCs w:val="21"/>
          <w:highlight w:val="none"/>
        </w:rPr>
      </w:pPr>
      <w:r>
        <w:rPr>
          <w:rFonts w:hint="eastAsia" w:hAnsi="宋体"/>
          <w:bCs/>
          <w:szCs w:val="21"/>
          <w:highlight w:val="none"/>
        </w:rPr>
        <w:t>15.1本项目预算金额及最高限价见</w:t>
      </w:r>
      <w:r>
        <w:rPr>
          <w:rFonts w:hint="eastAsia" w:hAnsi="宋体"/>
          <w:b/>
          <w:szCs w:val="21"/>
          <w:highlight w:val="none"/>
        </w:rPr>
        <w:t>“投标人须知前附表”</w:t>
      </w:r>
      <w:r>
        <w:rPr>
          <w:rFonts w:hint="eastAsia" w:hAnsi="宋体"/>
          <w:bCs/>
          <w:szCs w:val="21"/>
          <w:highlight w:val="none"/>
        </w:rPr>
        <w:t>，若投标人的投标报价超过最</w:t>
      </w:r>
    </w:p>
    <w:p>
      <w:pPr>
        <w:pStyle w:val="15"/>
        <w:spacing w:line="360" w:lineRule="auto"/>
        <w:jc w:val="left"/>
        <w:rPr>
          <w:rFonts w:hAnsi="宋体"/>
          <w:bCs/>
          <w:szCs w:val="21"/>
          <w:highlight w:val="none"/>
        </w:rPr>
      </w:pPr>
      <w:r>
        <w:rPr>
          <w:rFonts w:hint="eastAsia" w:hAnsi="宋体"/>
          <w:bCs/>
          <w:szCs w:val="21"/>
          <w:highlight w:val="none"/>
        </w:rPr>
        <w:t>高限价，按不实质性响应</w:t>
      </w:r>
      <w:r>
        <w:rPr>
          <w:rFonts w:hint="eastAsia" w:hAnsi="宋体"/>
          <w:bCs/>
          <w:szCs w:val="21"/>
          <w:highlight w:val="none"/>
          <w:lang w:eastAsia="zh-CN"/>
        </w:rPr>
        <w:t>采购文件</w:t>
      </w:r>
      <w:r>
        <w:rPr>
          <w:rFonts w:hint="eastAsia" w:hAnsi="宋体"/>
          <w:bCs/>
          <w:szCs w:val="21"/>
          <w:highlight w:val="none"/>
        </w:rPr>
        <w:t>要求处理。</w:t>
      </w:r>
    </w:p>
    <w:p>
      <w:pPr>
        <w:pStyle w:val="15"/>
        <w:spacing w:line="360" w:lineRule="auto"/>
        <w:ind w:left="208" w:leftChars="99"/>
        <w:jc w:val="left"/>
        <w:rPr>
          <w:rFonts w:hAnsi="宋体"/>
          <w:bCs/>
          <w:szCs w:val="21"/>
          <w:highlight w:val="none"/>
        </w:rPr>
      </w:pPr>
      <w:r>
        <w:rPr>
          <w:rFonts w:hint="eastAsia" w:hAnsi="宋体"/>
          <w:bCs/>
          <w:szCs w:val="21"/>
          <w:highlight w:val="none"/>
        </w:rPr>
        <w:t>15.2投标人须就“采购需求”中的所</w:t>
      </w:r>
      <w:r>
        <w:rPr>
          <w:rFonts w:hint="eastAsia" w:hAnsi="宋体"/>
          <w:bCs/>
          <w:szCs w:val="21"/>
          <w:highlight w:val="none"/>
          <w:lang w:val="en-US" w:eastAsia="zh-CN"/>
        </w:rPr>
        <w:t>包含的</w:t>
      </w:r>
      <w:r>
        <w:rPr>
          <w:rFonts w:hint="eastAsia" w:hAnsi="宋体"/>
          <w:bCs/>
          <w:szCs w:val="21"/>
          <w:highlight w:val="none"/>
        </w:rPr>
        <w:t>货物内容作完整唯一报价。</w:t>
      </w:r>
    </w:p>
    <w:p>
      <w:pPr>
        <w:pStyle w:val="15"/>
        <w:spacing w:line="360" w:lineRule="auto"/>
        <w:jc w:val="left"/>
        <w:rPr>
          <w:rFonts w:hAnsi="宋体"/>
          <w:bCs/>
          <w:szCs w:val="21"/>
          <w:highlight w:val="none"/>
        </w:rPr>
      </w:pPr>
      <w:r>
        <w:rPr>
          <w:rFonts w:hint="eastAsia" w:hAnsi="宋体"/>
          <w:bCs/>
          <w:szCs w:val="21"/>
          <w:highlight w:val="none"/>
        </w:rPr>
        <w:t>15.3投标人应依据</w:t>
      </w:r>
      <w:r>
        <w:rPr>
          <w:rFonts w:hint="eastAsia" w:hAnsi="宋体"/>
          <w:bCs/>
          <w:szCs w:val="21"/>
          <w:highlight w:val="none"/>
          <w:lang w:eastAsia="zh-CN"/>
        </w:rPr>
        <w:t>采购文件</w:t>
      </w:r>
      <w:r>
        <w:rPr>
          <w:rFonts w:hint="eastAsia" w:hAnsi="宋体"/>
          <w:bCs/>
          <w:szCs w:val="21"/>
          <w:highlight w:val="none"/>
        </w:rPr>
        <w:t>的要求及有关资料，按国家或行业现行技术标准、定额及规范，自行测算出满足</w:t>
      </w:r>
      <w:r>
        <w:rPr>
          <w:rFonts w:hint="eastAsia" w:hAnsi="宋体"/>
          <w:bCs/>
          <w:szCs w:val="21"/>
          <w:highlight w:val="none"/>
          <w:lang w:val="en-US" w:eastAsia="zh-CN"/>
        </w:rPr>
        <w:t>采购</w:t>
      </w:r>
      <w:r>
        <w:rPr>
          <w:rFonts w:hint="eastAsia" w:hAnsi="宋体"/>
          <w:bCs/>
          <w:szCs w:val="21"/>
          <w:highlight w:val="none"/>
        </w:rPr>
        <w:t>要求的投标货物的竞争性报价。投标报价包括但不仅限于货物的</w:t>
      </w:r>
      <w:r>
        <w:rPr>
          <w:rFonts w:hint="eastAsia" w:hAnsi="宋体"/>
          <w:bCs/>
          <w:szCs w:val="21"/>
          <w:highlight w:val="none"/>
          <w:lang w:val="en-US" w:eastAsia="zh-CN"/>
        </w:rPr>
        <w:t>出厂价格</w:t>
      </w:r>
      <w:r>
        <w:rPr>
          <w:rFonts w:hint="eastAsia" w:hAnsi="宋体"/>
          <w:bCs/>
          <w:szCs w:val="21"/>
          <w:highlight w:val="none"/>
        </w:rPr>
        <w:t>，项目特别要求的备品备件的价格、运杂费，投标人技术服务费，保证期内缺陷的修复补救</w:t>
      </w:r>
      <w:r>
        <w:rPr>
          <w:rFonts w:hint="eastAsia" w:hAnsi="宋体"/>
          <w:bCs/>
          <w:szCs w:val="21"/>
          <w:highlight w:val="none"/>
          <w:lang w:val="en-US" w:eastAsia="zh-CN"/>
        </w:rPr>
        <w:t>等</w:t>
      </w:r>
      <w:r>
        <w:rPr>
          <w:rFonts w:hint="eastAsia" w:hAnsi="宋体"/>
          <w:bCs/>
          <w:szCs w:val="21"/>
          <w:highlight w:val="none"/>
        </w:rPr>
        <w:t>费用，市场价格变化的风险费用、利润、税金等的总和，该报价应考虑市场风险、政策性风险、汇率风险等因素，并能保证投标人完成履行合同所需的全部工作</w:t>
      </w:r>
      <w:r>
        <w:rPr>
          <w:rFonts w:hint="eastAsia" w:hAnsi="宋体"/>
          <w:bCs/>
          <w:szCs w:val="21"/>
          <w:highlight w:val="none"/>
          <w:lang w:val="en-US" w:eastAsia="zh-CN"/>
        </w:rPr>
        <w:t>及质保期的服务工作</w:t>
      </w:r>
      <w:r>
        <w:rPr>
          <w:rFonts w:hint="eastAsia" w:hAnsi="宋体"/>
          <w:bCs/>
          <w:szCs w:val="21"/>
          <w:highlight w:val="none"/>
        </w:rPr>
        <w:t>，</w:t>
      </w:r>
      <w:r>
        <w:rPr>
          <w:rFonts w:hint="eastAsia" w:hAnsi="宋体"/>
          <w:bCs/>
          <w:szCs w:val="21"/>
          <w:highlight w:val="none"/>
          <w:lang w:val="en-US" w:eastAsia="zh-CN"/>
        </w:rPr>
        <w:t>中标</w:t>
      </w:r>
      <w:r>
        <w:rPr>
          <w:rFonts w:hint="eastAsia" w:hAnsi="宋体"/>
          <w:bCs/>
          <w:szCs w:val="21"/>
          <w:highlight w:val="none"/>
        </w:rPr>
        <w:t>价格在合同</w:t>
      </w:r>
      <w:r>
        <w:rPr>
          <w:rFonts w:hint="eastAsia" w:hAnsi="宋体"/>
          <w:bCs/>
          <w:szCs w:val="21"/>
          <w:highlight w:val="none"/>
          <w:lang w:val="en-US" w:eastAsia="zh-CN"/>
        </w:rPr>
        <w:t>执行期间</w:t>
      </w:r>
      <w:r>
        <w:rPr>
          <w:rFonts w:hint="eastAsia" w:hAnsi="宋体"/>
          <w:bCs/>
          <w:szCs w:val="21"/>
          <w:highlight w:val="none"/>
        </w:rPr>
        <w:t>将不作调整。</w:t>
      </w:r>
    </w:p>
    <w:p>
      <w:pPr>
        <w:pStyle w:val="15"/>
        <w:spacing w:line="360" w:lineRule="auto"/>
        <w:ind w:left="208" w:leftChars="99"/>
        <w:jc w:val="left"/>
        <w:rPr>
          <w:rFonts w:hAnsi="宋体"/>
          <w:bCs/>
          <w:szCs w:val="21"/>
          <w:highlight w:val="none"/>
        </w:rPr>
      </w:pPr>
      <w:r>
        <w:rPr>
          <w:rFonts w:hint="eastAsia" w:hAnsi="宋体"/>
          <w:bCs/>
          <w:szCs w:val="21"/>
          <w:highlight w:val="none"/>
        </w:rPr>
        <w:t>15.4货物的出厂价指制造厂生产的，满足招标要求及符合国家质量检测标准的货物的价</w:t>
      </w:r>
    </w:p>
    <w:p>
      <w:pPr>
        <w:pStyle w:val="15"/>
        <w:spacing w:line="360" w:lineRule="auto"/>
        <w:jc w:val="left"/>
        <w:rPr>
          <w:rFonts w:hAnsi="宋体"/>
          <w:bCs/>
          <w:szCs w:val="21"/>
          <w:highlight w:val="none"/>
        </w:rPr>
      </w:pPr>
      <w:r>
        <w:rPr>
          <w:rFonts w:hint="eastAsia" w:hAnsi="宋体"/>
          <w:bCs/>
          <w:szCs w:val="21"/>
          <w:highlight w:val="none"/>
        </w:rPr>
        <w:t>格。包括但不仅限于产品的设计费、投标人为取得生产制造投标货物所需的图纸或为</w:t>
      </w:r>
      <w:r>
        <w:rPr>
          <w:rFonts w:hint="eastAsia" w:hAnsi="宋体"/>
          <w:bCs/>
          <w:szCs w:val="21"/>
          <w:highlight w:val="none"/>
          <w:lang w:eastAsia="zh-CN"/>
        </w:rPr>
        <w:t>采购人</w:t>
      </w:r>
      <w:r>
        <w:rPr>
          <w:rFonts w:hint="eastAsia" w:hAnsi="宋体"/>
          <w:bCs/>
          <w:szCs w:val="21"/>
          <w:highlight w:val="none"/>
        </w:rPr>
        <w:t>提供所生产货物的图纸和技术资料的费用、生产所需的材料费、加工费、辅助材料费、专用工具费、废品损失费、外购配套件费、包装费、利润和税金等费用。还包括必不可少的部件、标准备件、专用工具的价格。</w:t>
      </w:r>
    </w:p>
    <w:p>
      <w:pPr>
        <w:pStyle w:val="15"/>
        <w:spacing w:line="360" w:lineRule="auto"/>
        <w:ind w:left="208" w:leftChars="99"/>
        <w:jc w:val="left"/>
        <w:rPr>
          <w:rFonts w:hAnsi="宋体"/>
          <w:bCs/>
          <w:szCs w:val="21"/>
          <w:highlight w:val="none"/>
        </w:rPr>
      </w:pPr>
      <w:r>
        <w:rPr>
          <w:rFonts w:hint="eastAsia" w:hAnsi="宋体"/>
          <w:bCs/>
          <w:szCs w:val="21"/>
          <w:highlight w:val="none"/>
        </w:rPr>
        <w:t>15.5运杂费用：即投标货物到交货地点前的所有费用，包括铁路或公路运费、提货及转</w:t>
      </w:r>
    </w:p>
    <w:p>
      <w:pPr>
        <w:pStyle w:val="15"/>
        <w:spacing w:line="360" w:lineRule="auto"/>
        <w:jc w:val="left"/>
        <w:rPr>
          <w:rFonts w:hAnsi="宋体"/>
          <w:bCs/>
          <w:szCs w:val="21"/>
          <w:highlight w:val="none"/>
        </w:rPr>
      </w:pPr>
      <w:r>
        <w:rPr>
          <w:rFonts w:hint="eastAsia" w:hAnsi="宋体"/>
          <w:bCs/>
          <w:szCs w:val="21"/>
          <w:highlight w:val="none"/>
        </w:rPr>
        <w:t>运费用、短途运费、包装费、装卸费用、加固费用、保险费等。</w:t>
      </w:r>
    </w:p>
    <w:p>
      <w:pPr>
        <w:spacing w:line="360" w:lineRule="auto"/>
        <w:jc w:val="left"/>
        <w:rPr>
          <w:rFonts w:ascii="宋体" w:hAnsi="宋体"/>
          <w:b/>
          <w:szCs w:val="21"/>
          <w:highlight w:val="none"/>
        </w:rPr>
      </w:pPr>
      <w:r>
        <w:rPr>
          <w:rFonts w:hint="eastAsia" w:ascii="宋体" w:hAnsi="宋体"/>
          <w:b/>
          <w:szCs w:val="21"/>
          <w:highlight w:val="none"/>
        </w:rPr>
        <w:t>16. 投标货币</w:t>
      </w:r>
    </w:p>
    <w:p>
      <w:pPr>
        <w:pStyle w:val="15"/>
        <w:spacing w:line="360" w:lineRule="auto"/>
        <w:ind w:left="208" w:leftChars="99"/>
        <w:jc w:val="left"/>
        <w:rPr>
          <w:rFonts w:hAnsi="宋体"/>
          <w:bCs/>
          <w:szCs w:val="21"/>
          <w:highlight w:val="none"/>
        </w:rPr>
      </w:pPr>
      <w:r>
        <w:rPr>
          <w:rFonts w:hint="eastAsia" w:hAnsi="宋体"/>
          <w:bCs/>
          <w:szCs w:val="21"/>
          <w:highlight w:val="none"/>
        </w:rPr>
        <w:t>16.1本项目投标货币为人民币。</w:t>
      </w:r>
    </w:p>
    <w:p>
      <w:pPr>
        <w:spacing w:line="360" w:lineRule="auto"/>
        <w:jc w:val="left"/>
        <w:rPr>
          <w:rFonts w:ascii="宋体" w:hAnsi="宋体"/>
          <w:b/>
          <w:szCs w:val="21"/>
          <w:highlight w:val="none"/>
        </w:rPr>
      </w:pPr>
      <w:r>
        <w:rPr>
          <w:rFonts w:hint="eastAsia" w:ascii="宋体" w:hAnsi="宋体"/>
          <w:b/>
          <w:szCs w:val="21"/>
          <w:highlight w:val="none"/>
        </w:rPr>
        <w:t>17. 投标文件有效期</w:t>
      </w:r>
    </w:p>
    <w:p>
      <w:pPr>
        <w:pStyle w:val="15"/>
        <w:spacing w:line="360" w:lineRule="auto"/>
        <w:ind w:left="208" w:leftChars="99"/>
        <w:jc w:val="left"/>
        <w:rPr>
          <w:rFonts w:hAnsi="宋体"/>
          <w:bCs/>
          <w:szCs w:val="21"/>
          <w:highlight w:val="none"/>
        </w:rPr>
      </w:pPr>
      <w:r>
        <w:rPr>
          <w:rFonts w:hint="eastAsia" w:hAnsi="宋体"/>
          <w:bCs/>
          <w:szCs w:val="21"/>
          <w:highlight w:val="none"/>
        </w:rPr>
        <w:t>17.1在</w:t>
      </w:r>
      <w:r>
        <w:rPr>
          <w:rFonts w:hint="eastAsia" w:hAnsi="宋体"/>
          <w:b/>
          <w:szCs w:val="21"/>
          <w:highlight w:val="none"/>
        </w:rPr>
        <w:t>“投标人须知前附表”</w:t>
      </w:r>
      <w:r>
        <w:rPr>
          <w:rFonts w:hint="eastAsia" w:hAnsi="宋体"/>
          <w:bCs/>
          <w:szCs w:val="21"/>
          <w:highlight w:val="none"/>
        </w:rPr>
        <w:t>规定的投标有效期内，投标人不得要求撤销或修改其投标</w:t>
      </w:r>
    </w:p>
    <w:p>
      <w:pPr>
        <w:pStyle w:val="15"/>
        <w:spacing w:line="360" w:lineRule="auto"/>
        <w:jc w:val="left"/>
        <w:rPr>
          <w:rFonts w:hAnsi="宋体"/>
          <w:bCs/>
          <w:szCs w:val="21"/>
          <w:highlight w:val="none"/>
        </w:rPr>
      </w:pPr>
      <w:r>
        <w:rPr>
          <w:rFonts w:hint="eastAsia" w:hAnsi="宋体"/>
          <w:bCs/>
          <w:szCs w:val="21"/>
          <w:highlight w:val="none"/>
        </w:rPr>
        <w:t>文件。</w:t>
      </w:r>
    </w:p>
    <w:p>
      <w:pPr>
        <w:pStyle w:val="15"/>
        <w:spacing w:line="360" w:lineRule="auto"/>
        <w:ind w:left="208" w:leftChars="99"/>
        <w:jc w:val="left"/>
        <w:rPr>
          <w:rFonts w:hAnsi="宋体"/>
          <w:bCs/>
          <w:szCs w:val="21"/>
          <w:highlight w:val="none"/>
        </w:rPr>
      </w:pPr>
      <w:r>
        <w:rPr>
          <w:rFonts w:hint="eastAsia" w:hAnsi="宋体"/>
          <w:bCs/>
          <w:szCs w:val="21"/>
          <w:highlight w:val="none"/>
        </w:rPr>
        <w:t>17.2投标有效期从提交投标文件的截止之日起算。投标文件中承诺的投标有效期应当不</w:t>
      </w:r>
    </w:p>
    <w:p>
      <w:pPr>
        <w:pStyle w:val="15"/>
        <w:spacing w:line="360" w:lineRule="auto"/>
        <w:jc w:val="left"/>
        <w:rPr>
          <w:rFonts w:hAnsi="宋体"/>
          <w:bCs/>
          <w:szCs w:val="21"/>
          <w:highlight w:val="none"/>
        </w:rPr>
      </w:pPr>
      <w:r>
        <w:rPr>
          <w:rFonts w:hint="eastAsia" w:hAnsi="宋体"/>
          <w:bCs/>
          <w:szCs w:val="21"/>
          <w:highlight w:val="none"/>
        </w:rPr>
        <w:t>少于</w:t>
      </w:r>
      <w:r>
        <w:rPr>
          <w:rFonts w:hint="eastAsia" w:hAnsi="宋体"/>
          <w:bCs/>
          <w:szCs w:val="21"/>
          <w:highlight w:val="none"/>
          <w:lang w:eastAsia="zh-CN"/>
        </w:rPr>
        <w:t>采购文件</w:t>
      </w:r>
      <w:r>
        <w:rPr>
          <w:rFonts w:hint="eastAsia" w:hAnsi="宋体"/>
          <w:bCs/>
          <w:szCs w:val="21"/>
          <w:highlight w:val="none"/>
        </w:rPr>
        <w:t>中载明的投标有效期。投标有效期内投标人撤销投标文件的，</w:t>
      </w:r>
      <w:r>
        <w:rPr>
          <w:rFonts w:hint="eastAsia" w:hAnsi="宋体"/>
          <w:bCs/>
          <w:szCs w:val="21"/>
          <w:highlight w:val="none"/>
          <w:lang w:eastAsia="zh-CN"/>
        </w:rPr>
        <w:t>采购代理机构</w:t>
      </w:r>
      <w:r>
        <w:rPr>
          <w:rFonts w:hint="eastAsia" w:hAnsi="宋体"/>
          <w:bCs/>
          <w:szCs w:val="21"/>
          <w:highlight w:val="none"/>
        </w:rPr>
        <w:t>可以不退还投标保证金。</w:t>
      </w:r>
    </w:p>
    <w:p>
      <w:pPr>
        <w:pStyle w:val="15"/>
        <w:spacing w:line="360" w:lineRule="auto"/>
        <w:ind w:left="208" w:leftChars="99"/>
        <w:jc w:val="left"/>
        <w:rPr>
          <w:rFonts w:hAnsi="宋体"/>
          <w:bCs/>
          <w:szCs w:val="21"/>
          <w:highlight w:val="none"/>
        </w:rPr>
      </w:pPr>
      <w:r>
        <w:rPr>
          <w:rFonts w:hint="eastAsia" w:hAnsi="宋体"/>
          <w:bCs/>
          <w:szCs w:val="21"/>
          <w:highlight w:val="none"/>
        </w:rPr>
        <w:t>17.3在特殊情况需要延长投标有效期的，</w:t>
      </w:r>
      <w:r>
        <w:rPr>
          <w:rFonts w:hint="eastAsia" w:hAnsi="宋体"/>
          <w:bCs/>
          <w:szCs w:val="21"/>
          <w:highlight w:val="none"/>
          <w:lang w:eastAsia="zh-CN"/>
        </w:rPr>
        <w:t>采购人</w:t>
      </w:r>
      <w:r>
        <w:rPr>
          <w:rFonts w:hint="eastAsia" w:hAnsi="宋体"/>
          <w:bCs/>
          <w:szCs w:val="21"/>
          <w:highlight w:val="none"/>
        </w:rPr>
        <w:t>以书面形式通知所有投标人延长投标有</w:t>
      </w:r>
    </w:p>
    <w:p>
      <w:pPr>
        <w:pStyle w:val="15"/>
        <w:spacing w:line="360" w:lineRule="auto"/>
        <w:jc w:val="left"/>
        <w:rPr>
          <w:rFonts w:hAnsi="宋体"/>
          <w:szCs w:val="21"/>
          <w:highlight w:val="none"/>
        </w:rPr>
      </w:pPr>
      <w:r>
        <w:rPr>
          <w:rFonts w:hint="eastAsia" w:hAnsi="宋体"/>
          <w:bCs/>
          <w:szCs w:val="21"/>
          <w:highlight w:val="none"/>
        </w:rPr>
        <w:t>效期。投标人同意延长的，应相应延长其投标保证金的有效期，但不得要求或被允许修改或撤销其投标文件；投标人拒绝延长的，其投标文件失效，但投标人有权收回其投标保证金。</w:t>
      </w:r>
    </w:p>
    <w:p>
      <w:pPr>
        <w:spacing w:line="360" w:lineRule="auto"/>
        <w:jc w:val="left"/>
        <w:rPr>
          <w:rFonts w:ascii="宋体" w:hAnsi="宋体"/>
          <w:b/>
          <w:szCs w:val="21"/>
          <w:highlight w:val="none"/>
        </w:rPr>
      </w:pPr>
      <w:r>
        <w:rPr>
          <w:rFonts w:hint="eastAsia" w:ascii="宋体" w:hAnsi="宋体"/>
          <w:b/>
          <w:szCs w:val="21"/>
          <w:highlight w:val="none"/>
        </w:rPr>
        <w:t>1</w:t>
      </w:r>
      <w:r>
        <w:rPr>
          <w:rFonts w:ascii="宋体" w:hAnsi="宋体"/>
          <w:b/>
          <w:szCs w:val="21"/>
          <w:highlight w:val="none"/>
        </w:rPr>
        <w:t>8</w:t>
      </w:r>
      <w:r>
        <w:rPr>
          <w:rFonts w:hint="eastAsia" w:ascii="宋体" w:hAnsi="宋体"/>
          <w:b/>
          <w:szCs w:val="21"/>
          <w:highlight w:val="none"/>
        </w:rPr>
        <w:t>.分包</w:t>
      </w:r>
    </w:p>
    <w:p>
      <w:pPr>
        <w:pStyle w:val="15"/>
        <w:spacing w:line="360" w:lineRule="auto"/>
        <w:ind w:left="208" w:leftChars="99"/>
        <w:jc w:val="left"/>
        <w:rPr>
          <w:rFonts w:hAnsi="宋体"/>
          <w:bCs/>
          <w:szCs w:val="21"/>
          <w:highlight w:val="none"/>
        </w:rPr>
      </w:pPr>
      <w:r>
        <w:rPr>
          <w:rFonts w:hint="eastAsia" w:hAnsi="宋体"/>
          <w:bCs/>
          <w:szCs w:val="21"/>
          <w:highlight w:val="none"/>
        </w:rPr>
        <w:t>18.1</w:t>
      </w:r>
      <w:r>
        <w:rPr>
          <w:rFonts w:hint="eastAsia" w:hAnsi="宋体"/>
          <w:b/>
          <w:szCs w:val="21"/>
          <w:highlight w:val="none"/>
        </w:rPr>
        <w:t>“投标人须知前附表”</w:t>
      </w:r>
      <w:r>
        <w:rPr>
          <w:rFonts w:hint="eastAsia" w:hAnsi="宋体"/>
          <w:bCs/>
          <w:szCs w:val="21"/>
          <w:highlight w:val="none"/>
        </w:rPr>
        <w:t>规定允许分包的项目，投标人在中标后只能将项目的非主体、</w:t>
      </w:r>
    </w:p>
    <w:p>
      <w:pPr>
        <w:pStyle w:val="15"/>
        <w:spacing w:line="360" w:lineRule="auto"/>
        <w:jc w:val="left"/>
        <w:rPr>
          <w:rFonts w:hAnsi="宋体"/>
          <w:bCs/>
          <w:szCs w:val="21"/>
          <w:highlight w:val="none"/>
        </w:rPr>
      </w:pPr>
      <w:r>
        <w:rPr>
          <w:rFonts w:hint="eastAsia" w:hAnsi="宋体"/>
          <w:bCs/>
          <w:szCs w:val="21"/>
          <w:highlight w:val="none"/>
        </w:rPr>
        <w:t>非关键性工作分包。投标人应当在投标文件中载明分包承担主体，分包承担主体应当具备相应资质条件且不得再次分包。</w:t>
      </w:r>
    </w:p>
    <w:p>
      <w:pPr>
        <w:spacing w:line="360" w:lineRule="auto"/>
        <w:jc w:val="left"/>
        <w:rPr>
          <w:rFonts w:ascii="宋体" w:hAnsi="宋体"/>
          <w:b/>
          <w:szCs w:val="21"/>
          <w:highlight w:val="none"/>
        </w:rPr>
      </w:pPr>
      <w:r>
        <w:rPr>
          <w:rFonts w:hint="eastAsia" w:ascii="宋体" w:hAnsi="宋体"/>
          <w:b/>
          <w:szCs w:val="21"/>
          <w:highlight w:val="none"/>
        </w:rPr>
        <w:t xml:space="preserve">19. </w:t>
      </w:r>
      <w:r>
        <w:rPr>
          <w:rFonts w:hint="eastAsia" w:ascii="宋体" w:hAnsi="宋体"/>
          <w:b w:val="0"/>
          <w:bCs/>
          <w:szCs w:val="21"/>
          <w:highlight w:val="none"/>
        </w:rPr>
        <w:t>投标人应当遵循公平竞争的原则，不得恶意串通，不得妨碍其他投标人的竞争行为，不得损害</w:t>
      </w:r>
      <w:r>
        <w:rPr>
          <w:rFonts w:hint="eastAsia" w:ascii="宋体" w:hAnsi="宋体"/>
          <w:b w:val="0"/>
          <w:bCs/>
          <w:szCs w:val="21"/>
          <w:highlight w:val="none"/>
          <w:lang w:eastAsia="zh-CN"/>
        </w:rPr>
        <w:t>采购人</w:t>
      </w:r>
      <w:r>
        <w:rPr>
          <w:rFonts w:hint="eastAsia" w:ascii="宋体" w:hAnsi="宋体"/>
          <w:b w:val="0"/>
          <w:bCs/>
          <w:szCs w:val="21"/>
          <w:highlight w:val="none"/>
        </w:rPr>
        <w:t>或者其他投标人的合法权益。</w:t>
      </w:r>
    </w:p>
    <w:p>
      <w:pPr>
        <w:spacing w:line="360" w:lineRule="auto"/>
        <w:jc w:val="left"/>
        <w:rPr>
          <w:rFonts w:ascii="宋体" w:hAnsi="宋体"/>
          <w:b/>
          <w:szCs w:val="21"/>
          <w:highlight w:val="none"/>
        </w:rPr>
      </w:pPr>
      <w:r>
        <w:rPr>
          <w:rFonts w:ascii="宋体" w:hAnsi="宋体"/>
          <w:b/>
          <w:szCs w:val="21"/>
          <w:highlight w:val="none"/>
        </w:rPr>
        <w:t>20</w:t>
      </w:r>
      <w:r>
        <w:rPr>
          <w:rFonts w:hint="eastAsia" w:ascii="宋体" w:hAnsi="宋体"/>
          <w:b/>
          <w:szCs w:val="21"/>
          <w:highlight w:val="none"/>
        </w:rPr>
        <w:t>. 投标文件的编制</w:t>
      </w:r>
    </w:p>
    <w:p>
      <w:pPr>
        <w:pStyle w:val="15"/>
        <w:spacing w:line="360" w:lineRule="auto"/>
        <w:ind w:left="208" w:leftChars="99"/>
        <w:jc w:val="left"/>
        <w:rPr>
          <w:rFonts w:hAnsi="宋体"/>
          <w:bCs/>
          <w:szCs w:val="21"/>
          <w:highlight w:val="none"/>
        </w:rPr>
      </w:pPr>
      <w:r>
        <w:rPr>
          <w:rFonts w:hint="eastAsia" w:hAnsi="宋体"/>
          <w:bCs/>
          <w:szCs w:val="21"/>
          <w:highlight w:val="none"/>
        </w:rPr>
        <w:t>20.1 投标文件应按第四章“投标文件格式”进行编写，如有必要，可以增加附页，作为</w:t>
      </w:r>
    </w:p>
    <w:p>
      <w:pPr>
        <w:pStyle w:val="15"/>
        <w:spacing w:line="360" w:lineRule="auto"/>
        <w:jc w:val="left"/>
        <w:rPr>
          <w:rFonts w:hAnsi="宋体"/>
          <w:bCs/>
          <w:szCs w:val="21"/>
          <w:highlight w:val="none"/>
        </w:rPr>
      </w:pPr>
      <w:r>
        <w:rPr>
          <w:rFonts w:hint="eastAsia" w:hAnsi="宋体"/>
          <w:bCs/>
          <w:szCs w:val="21"/>
          <w:highlight w:val="none"/>
        </w:rPr>
        <w:t>投标文件的组成部分。其中，在满足</w:t>
      </w:r>
      <w:r>
        <w:rPr>
          <w:rFonts w:hint="eastAsia" w:hAnsi="宋体"/>
          <w:bCs/>
          <w:szCs w:val="21"/>
          <w:highlight w:val="none"/>
          <w:lang w:eastAsia="zh-CN"/>
        </w:rPr>
        <w:t>采购文件</w:t>
      </w:r>
      <w:r>
        <w:rPr>
          <w:rFonts w:hint="eastAsia" w:hAnsi="宋体"/>
          <w:bCs/>
          <w:szCs w:val="21"/>
          <w:highlight w:val="none"/>
        </w:rPr>
        <w:t>实质性要求的基础上，可以提出比</w:t>
      </w:r>
      <w:r>
        <w:rPr>
          <w:rFonts w:hint="eastAsia" w:hAnsi="宋体"/>
          <w:bCs/>
          <w:szCs w:val="21"/>
          <w:highlight w:val="none"/>
          <w:lang w:eastAsia="zh-CN"/>
        </w:rPr>
        <w:t>采购文件</w:t>
      </w:r>
      <w:r>
        <w:rPr>
          <w:rFonts w:hint="eastAsia" w:hAnsi="宋体"/>
          <w:bCs/>
          <w:szCs w:val="21"/>
          <w:highlight w:val="none"/>
        </w:rPr>
        <w:t>要求更有利于</w:t>
      </w:r>
      <w:r>
        <w:rPr>
          <w:rFonts w:hint="eastAsia" w:hAnsi="宋体"/>
          <w:bCs/>
          <w:szCs w:val="21"/>
          <w:highlight w:val="none"/>
          <w:lang w:eastAsia="zh-CN"/>
        </w:rPr>
        <w:t>采购人</w:t>
      </w:r>
      <w:r>
        <w:rPr>
          <w:rFonts w:hint="eastAsia" w:hAnsi="宋体"/>
          <w:bCs/>
          <w:szCs w:val="21"/>
          <w:highlight w:val="none"/>
        </w:rPr>
        <w:t>的承诺。</w:t>
      </w:r>
    </w:p>
    <w:p>
      <w:pPr>
        <w:pStyle w:val="15"/>
        <w:spacing w:line="360" w:lineRule="auto"/>
        <w:ind w:left="208" w:leftChars="99"/>
        <w:jc w:val="left"/>
        <w:rPr>
          <w:rFonts w:hAnsi="宋体"/>
          <w:bCs/>
          <w:szCs w:val="21"/>
          <w:highlight w:val="none"/>
        </w:rPr>
      </w:pPr>
      <w:r>
        <w:rPr>
          <w:rFonts w:hint="eastAsia" w:hAnsi="宋体"/>
          <w:bCs/>
          <w:szCs w:val="21"/>
          <w:highlight w:val="none"/>
        </w:rPr>
        <w:t>20.2 投标文件应当对</w:t>
      </w:r>
      <w:r>
        <w:rPr>
          <w:rFonts w:hint="eastAsia" w:hAnsi="宋体"/>
          <w:bCs/>
          <w:szCs w:val="21"/>
          <w:highlight w:val="none"/>
          <w:lang w:eastAsia="zh-CN"/>
        </w:rPr>
        <w:t>采购文件</w:t>
      </w:r>
      <w:r>
        <w:rPr>
          <w:rFonts w:hint="eastAsia" w:hAnsi="宋体"/>
          <w:bCs/>
          <w:szCs w:val="21"/>
          <w:highlight w:val="none"/>
        </w:rPr>
        <w:t>有关</w:t>
      </w:r>
      <w:r>
        <w:rPr>
          <w:rFonts w:hint="eastAsia" w:hAnsi="宋体"/>
          <w:bCs/>
          <w:szCs w:val="21"/>
          <w:highlight w:val="none"/>
          <w:lang w:val="en-US" w:eastAsia="zh-CN"/>
        </w:rPr>
        <w:t>供货</w:t>
      </w:r>
      <w:r>
        <w:rPr>
          <w:rFonts w:hint="eastAsia" w:hAnsi="宋体"/>
          <w:bCs/>
          <w:szCs w:val="21"/>
          <w:highlight w:val="none"/>
        </w:rPr>
        <w:t>期限、采购需求、质量等实质性内容作出响应。</w:t>
      </w:r>
    </w:p>
    <w:p>
      <w:pPr>
        <w:pStyle w:val="15"/>
        <w:keepNext w:val="0"/>
        <w:keepLines w:val="0"/>
        <w:pageBreakBefore w:val="0"/>
        <w:widowControl w:val="0"/>
        <w:kinsoku/>
        <w:wordWrap/>
        <w:overflowPunct/>
        <w:topLinePunct w:val="0"/>
        <w:autoSpaceDE/>
        <w:autoSpaceDN/>
        <w:bidi w:val="0"/>
        <w:adjustRightInd/>
        <w:snapToGrid/>
        <w:spacing w:line="360" w:lineRule="auto"/>
        <w:ind w:left="0" w:leftChars="0" w:firstLine="210" w:firstLineChars="100"/>
        <w:jc w:val="left"/>
        <w:textAlignment w:val="auto"/>
        <w:rPr>
          <w:rFonts w:hint="eastAsia" w:hAnsi="宋体"/>
          <w:bCs/>
          <w:szCs w:val="21"/>
          <w:highlight w:val="none"/>
        </w:rPr>
      </w:pPr>
      <w:r>
        <w:rPr>
          <w:rFonts w:hint="eastAsia" w:hAnsi="宋体"/>
          <w:bCs/>
          <w:szCs w:val="21"/>
          <w:highlight w:val="none"/>
        </w:rPr>
        <w:t>20.3 投标人应安装"</w:t>
      </w:r>
      <w:r>
        <w:rPr>
          <w:rFonts w:hint="eastAsia" w:hAnsi="宋体"/>
          <w:bCs/>
          <w:szCs w:val="21"/>
          <w:highlight w:val="none"/>
          <w:lang w:val="en-US" w:eastAsia="zh-CN"/>
        </w:rPr>
        <w:t>政采云</w:t>
      </w:r>
      <w:r>
        <w:rPr>
          <w:rFonts w:hint="eastAsia" w:hAnsi="宋体"/>
          <w:bCs/>
          <w:szCs w:val="21"/>
          <w:highlight w:val="none"/>
        </w:rPr>
        <w:t>"平台投标客户端，根据</w:t>
      </w:r>
      <w:r>
        <w:rPr>
          <w:rFonts w:hint="eastAsia" w:hAnsi="宋体"/>
          <w:bCs/>
          <w:szCs w:val="21"/>
          <w:highlight w:val="none"/>
          <w:lang w:eastAsia="zh-CN"/>
        </w:rPr>
        <w:t>采购文件</w:t>
      </w:r>
      <w:r>
        <w:rPr>
          <w:rFonts w:hint="eastAsia" w:hAnsi="宋体"/>
          <w:bCs/>
          <w:szCs w:val="21"/>
          <w:highlight w:val="none"/>
        </w:rPr>
        <w:t>格式编制投标文件</w:t>
      </w:r>
      <w:r>
        <w:rPr>
          <w:rFonts w:hint="eastAsia" w:hAnsi="宋体"/>
          <w:bCs/>
          <w:szCs w:val="21"/>
          <w:highlight w:val="none"/>
          <w:lang w:eastAsia="zh-CN"/>
        </w:rPr>
        <w:t>，</w:t>
      </w:r>
      <w:r>
        <w:rPr>
          <w:rFonts w:hint="eastAsia" w:hAnsi="宋体"/>
          <w:bCs/>
          <w:szCs w:val="21"/>
          <w:highlight w:val="none"/>
        </w:rPr>
        <w:t>生成加密标书后进行上传（详见公告附件投标人操作指南及申领云南 CA 操作手册）。</w:t>
      </w:r>
    </w:p>
    <w:p>
      <w:pPr>
        <w:spacing w:line="360" w:lineRule="auto"/>
        <w:ind w:firstLine="210" w:firstLineChars="100"/>
        <w:jc w:val="left"/>
        <w:rPr>
          <w:rFonts w:hint="default" w:ascii="Times New Roman" w:hAnsi="Times New Roman" w:eastAsia="宋体" w:cs="Times New Roman"/>
          <w:color w:val="auto"/>
          <w:szCs w:val="21"/>
          <w:highlight w:val="none"/>
        </w:rPr>
      </w:pPr>
      <w:r>
        <w:rPr>
          <w:rFonts w:hint="eastAsia" w:ascii="宋体" w:hAnsi="宋体" w:eastAsia="宋体" w:cs="宋体"/>
          <w:bCs/>
          <w:szCs w:val="21"/>
          <w:highlight w:val="none"/>
          <w:lang w:val="en-US" w:eastAsia="zh-CN"/>
        </w:rPr>
        <w:t>20.4</w:t>
      </w:r>
      <w:r>
        <w:rPr>
          <w:rFonts w:hint="eastAsia" w:ascii="Times New Roman" w:hAnsi="Times New Roman" w:eastAsia="宋体" w:cs="Times New Roman"/>
          <w:b w:val="0"/>
          <w:bCs w:val="0"/>
          <w:color w:val="auto"/>
          <w:szCs w:val="21"/>
          <w:highlight w:val="none"/>
        </w:rPr>
        <w:t>如投标人提交的电子标书不符合</w:t>
      </w:r>
      <w:r>
        <w:rPr>
          <w:rFonts w:hint="eastAsia" w:cs="Times New Roman"/>
          <w:b w:val="0"/>
          <w:bCs w:val="0"/>
          <w:color w:val="auto"/>
          <w:szCs w:val="21"/>
          <w:highlight w:val="none"/>
          <w:lang w:val="en-US" w:eastAsia="zh-CN"/>
        </w:rPr>
        <w:t>20</w:t>
      </w:r>
      <w:r>
        <w:rPr>
          <w:rFonts w:hint="eastAsia" w:ascii="Times New Roman" w:hAnsi="Times New Roman" w:eastAsia="宋体" w:cs="Times New Roman"/>
          <w:b w:val="0"/>
          <w:bCs w:val="0"/>
          <w:color w:val="auto"/>
          <w:szCs w:val="21"/>
          <w:highlight w:val="none"/>
        </w:rPr>
        <w:t>.1要求或开标时无法读取导入或解密，其投标文件将不予受理。</w:t>
      </w:r>
    </w:p>
    <w:p>
      <w:pPr>
        <w:spacing w:line="360" w:lineRule="auto"/>
        <w:ind w:firstLine="210" w:firstLineChars="100"/>
        <w:jc w:val="left"/>
        <w:rPr>
          <w:rFonts w:hint="default" w:ascii="Times New Roman" w:hAnsi="Times New Roman" w:eastAsia="宋体" w:cs="Times New Roman"/>
          <w:color w:val="auto"/>
          <w:szCs w:val="21"/>
          <w:highlight w:val="none"/>
        </w:rPr>
      </w:pPr>
      <w:r>
        <w:rPr>
          <w:rFonts w:hint="eastAsia" w:ascii="宋体" w:hAnsi="宋体" w:eastAsia="宋体" w:cs="宋体"/>
          <w:color w:val="auto"/>
          <w:szCs w:val="21"/>
          <w:highlight w:val="none"/>
          <w:lang w:val="en-US" w:eastAsia="zh-CN"/>
        </w:rPr>
        <w:t>20.5</w:t>
      </w:r>
      <w:r>
        <w:rPr>
          <w:rFonts w:hint="eastAsia" w:ascii="Times New Roman" w:hAnsi="Times New Roman" w:eastAsia="宋体" w:cs="Times New Roman"/>
          <w:color w:val="auto"/>
          <w:szCs w:val="21"/>
          <w:highlight w:val="none"/>
        </w:rPr>
        <w:t>投标文件应尽量避免涂改、行间插字或删除。如果出现上述情况，改动之处应加盖单位章或由投标人的法定代表人/单位负责人（签名或盖章）确认。</w:t>
      </w:r>
    </w:p>
    <w:p>
      <w:pPr>
        <w:spacing w:line="360" w:lineRule="auto"/>
        <w:ind w:firstLine="210" w:firstLineChars="100"/>
        <w:jc w:val="left"/>
        <w:rPr>
          <w:rFonts w:hint="default" w:ascii="Times New Roman" w:hAnsi="Times New Roman" w:eastAsia="宋体" w:cs="Times New Roman"/>
          <w:b w:val="0"/>
          <w:bCs w:val="0"/>
          <w:color w:val="auto"/>
          <w:szCs w:val="21"/>
          <w:highlight w:val="none"/>
        </w:rPr>
      </w:pPr>
      <w:r>
        <w:rPr>
          <w:rFonts w:hint="eastAsia" w:ascii="宋体" w:hAnsi="宋体" w:eastAsia="宋体" w:cs="宋体"/>
          <w:b w:val="0"/>
          <w:bCs w:val="0"/>
          <w:color w:val="auto"/>
          <w:szCs w:val="21"/>
          <w:highlight w:val="none"/>
          <w:lang w:val="en-US" w:eastAsia="zh-CN"/>
        </w:rPr>
        <w:t>20.6</w:t>
      </w:r>
      <w:r>
        <w:rPr>
          <w:rFonts w:hint="eastAsia" w:ascii="Times New Roman" w:hAnsi="Times New Roman" w:eastAsia="宋体" w:cs="Times New Roman"/>
          <w:b w:val="0"/>
          <w:bCs w:val="0"/>
          <w:color w:val="auto"/>
          <w:szCs w:val="21"/>
          <w:highlight w:val="none"/>
        </w:rPr>
        <w:t>关键内容字迹潦草、表达不清、未按要求填写而导致非唯一理解，视为未实质性响应</w:t>
      </w:r>
      <w:r>
        <w:rPr>
          <w:rFonts w:hint="eastAsia" w:cs="Times New Roman"/>
          <w:b w:val="0"/>
          <w:bCs w:val="0"/>
          <w:color w:val="auto"/>
          <w:szCs w:val="21"/>
          <w:highlight w:val="none"/>
          <w:lang w:eastAsia="zh-CN"/>
        </w:rPr>
        <w:t>采购文件</w:t>
      </w:r>
      <w:r>
        <w:rPr>
          <w:rFonts w:hint="eastAsia" w:ascii="Times New Roman" w:hAnsi="Times New Roman" w:eastAsia="宋体" w:cs="Times New Roman"/>
          <w:b w:val="0"/>
          <w:bCs w:val="0"/>
          <w:color w:val="auto"/>
          <w:szCs w:val="21"/>
          <w:highlight w:val="none"/>
        </w:rPr>
        <w:t>的投标文件。</w:t>
      </w:r>
    </w:p>
    <w:p>
      <w:pPr>
        <w:spacing w:line="360" w:lineRule="auto"/>
        <w:ind w:firstLine="420" w:firstLineChars="200"/>
        <w:jc w:val="lef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val="en-US" w:eastAsia="zh-CN"/>
        </w:rPr>
        <w:t>18</w:t>
      </w:r>
      <w:r>
        <w:rPr>
          <w:rFonts w:hint="eastAsia" w:ascii="Times New Roman" w:hAnsi="Times New Roman" w:eastAsia="宋体" w:cs="Times New Roman"/>
          <w:color w:val="auto"/>
          <w:szCs w:val="21"/>
          <w:highlight w:val="none"/>
        </w:rPr>
        <w:t>.5投标文件中提供的资料（扫描件），内容必须清晰可辨，若内容模糊，无法辨识，均视为未提供。</w:t>
      </w:r>
    </w:p>
    <w:p>
      <w:pPr>
        <w:spacing w:line="360" w:lineRule="auto"/>
        <w:ind w:firstLine="420" w:firstLineChars="200"/>
        <w:jc w:val="left"/>
        <w:rPr>
          <w:rFonts w:hint="eastAsia" w:ascii="宋体" w:hAnsi="宋体" w:eastAsia="宋体" w:cs="宋体"/>
          <w:lang w:val="en-US" w:eastAsia="zh-CN"/>
        </w:rPr>
      </w:pPr>
      <w:r>
        <w:rPr>
          <w:rFonts w:hint="eastAsia" w:ascii="Times New Roman" w:hAnsi="Times New Roman" w:cs="Times New Roman"/>
          <w:color w:val="auto"/>
          <w:szCs w:val="21"/>
          <w:highlight w:val="none"/>
          <w:lang w:val="en-US" w:eastAsia="zh-CN"/>
        </w:rPr>
        <w:t>18</w:t>
      </w:r>
      <w:r>
        <w:rPr>
          <w:rFonts w:hint="eastAsia" w:ascii="Times New Roman" w:hAnsi="Times New Roman" w:eastAsia="宋体" w:cs="Times New Roman"/>
          <w:color w:val="auto"/>
          <w:szCs w:val="21"/>
          <w:highlight w:val="none"/>
        </w:rPr>
        <w:t>.6投标文件应由法定代表人/单位负责人在凡规定（电子签名）处逐一电子签名（电子签名或电子签章），要求盖章处应盖单位章（电子签章）。</w:t>
      </w:r>
    </w:p>
    <w:p>
      <w:pPr>
        <w:spacing w:line="360" w:lineRule="auto"/>
        <w:jc w:val="left"/>
        <w:rPr>
          <w:rFonts w:ascii="宋体" w:hAnsi="宋体"/>
          <w:b/>
          <w:szCs w:val="21"/>
          <w:highlight w:val="none"/>
        </w:rPr>
      </w:pPr>
      <w:r>
        <w:rPr>
          <w:rFonts w:ascii="宋体" w:hAnsi="宋体"/>
          <w:b/>
          <w:szCs w:val="21"/>
          <w:highlight w:val="none"/>
        </w:rPr>
        <w:t>21</w:t>
      </w:r>
      <w:r>
        <w:rPr>
          <w:rFonts w:hint="eastAsia" w:ascii="宋体" w:hAnsi="宋体"/>
          <w:b/>
          <w:szCs w:val="21"/>
          <w:highlight w:val="none"/>
        </w:rPr>
        <w:t>. 投标保证金</w:t>
      </w:r>
    </w:p>
    <w:p>
      <w:pPr>
        <w:pStyle w:val="15"/>
        <w:spacing w:line="360" w:lineRule="auto"/>
        <w:ind w:left="208" w:leftChars="99"/>
        <w:jc w:val="left"/>
        <w:rPr>
          <w:rFonts w:hAnsi="宋体"/>
          <w:szCs w:val="21"/>
          <w:highlight w:val="none"/>
        </w:rPr>
      </w:pPr>
      <w:r>
        <w:rPr>
          <w:rFonts w:hint="eastAsia" w:hAnsi="宋体"/>
          <w:bCs/>
          <w:szCs w:val="21"/>
          <w:highlight w:val="none"/>
        </w:rPr>
        <w:t>21.1投标保证金</w:t>
      </w:r>
      <w:r>
        <w:rPr>
          <w:rFonts w:hint="eastAsia" w:hAnsi="宋体"/>
          <w:bCs/>
          <w:szCs w:val="21"/>
          <w:highlight w:val="none"/>
          <w:lang w:val="en-US" w:eastAsia="zh-CN"/>
        </w:rPr>
        <w:t>缴纳</w:t>
      </w:r>
      <w:r>
        <w:rPr>
          <w:rFonts w:hint="eastAsia" w:hAnsi="宋体"/>
          <w:bCs/>
          <w:szCs w:val="21"/>
          <w:highlight w:val="none"/>
        </w:rPr>
        <w:t>按“投标人须知前附表”规定</w:t>
      </w:r>
      <w:r>
        <w:rPr>
          <w:rFonts w:hint="eastAsia" w:hAnsi="宋体"/>
          <w:bCs/>
          <w:szCs w:val="21"/>
          <w:highlight w:val="none"/>
          <w:lang w:val="en-US" w:eastAsia="zh-CN"/>
        </w:rPr>
        <w:t>执行</w:t>
      </w:r>
      <w:r>
        <w:rPr>
          <w:rFonts w:hint="eastAsia" w:hAnsi="宋体"/>
          <w:bCs/>
          <w:szCs w:val="21"/>
          <w:highlight w:val="none"/>
        </w:rPr>
        <w:t>。</w:t>
      </w:r>
    </w:p>
    <w:p>
      <w:pPr>
        <w:pStyle w:val="3"/>
        <w:numPr>
          <w:ilvl w:val="0"/>
          <w:numId w:val="0"/>
        </w:numPr>
        <w:ind w:left="425"/>
        <w:jc w:val="center"/>
        <w:rPr>
          <w:rFonts w:ascii="宋体" w:hAnsi="宋体" w:eastAsia="宋体"/>
          <w:bCs/>
          <w:kern w:val="44"/>
          <w:szCs w:val="28"/>
          <w:highlight w:val="none"/>
        </w:rPr>
      </w:pPr>
      <w:bookmarkStart w:id="35" w:name="_Toc28973"/>
      <w:bookmarkStart w:id="36" w:name="_Toc5269"/>
      <w:r>
        <w:rPr>
          <w:rFonts w:hint="eastAsia" w:ascii="宋体" w:hAnsi="宋体" w:eastAsia="宋体"/>
          <w:bCs/>
          <w:kern w:val="44"/>
          <w:szCs w:val="28"/>
          <w:highlight w:val="none"/>
        </w:rPr>
        <w:t>四、投标文件的提交</w:t>
      </w:r>
      <w:bookmarkEnd w:id="35"/>
      <w:bookmarkEnd w:id="36"/>
    </w:p>
    <w:p>
      <w:pPr>
        <w:pStyle w:val="15"/>
        <w:spacing w:line="360" w:lineRule="auto"/>
        <w:rPr>
          <w:rFonts w:hAnsi="宋体"/>
          <w:b/>
          <w:bCs/>
          <w:szCs w:val="21"/>
          <w:highlight w:val="none"/>
        </w:rPr>
      </w:pPr>
      <w:r>
        <w:rPr>
          <w:rFonts w:hint="eastAsia" w:hAnsi="宋体"/>
          <w:b/>
          <w:bCs/>
          <w:szCs w:val="21"/>
          <w:highlight w:val="none"/>
        </w:rPr>
        <w:t>2</w:t>
      </w:r>
      <w:r>
        <w:rPr>
          <w:rFonts w:hAnsi="宋体"/>
          <w:b/>
          <w:bCs/>
          <w:szCs w:val="21"/>
          <w:highlight w:val="none"/>
        </w:rPr>
        <w:t>2</w:t>
      </w:r>
      <w:r>
        <w:rPr>
          <w:rFonts w:hint="eastAsia" w:hAnsi="宋体"/>
          <w:b/>
          <w:bCs/>
          <w:szCs w:val="21"/>
          <w:highlight w:val="none"/>
        </w:rPr>
        <w:t>. 投标文件的密封与标记</w:t>
      </w:r>
    </w:p>
    <w:p>
      <w:pPr>
        <w:pStyle w:val="15"/>
        <w:spacing w:line="360" w:lineRule="auto"/>
        <w:ind w:left="208" w:leftChars="99"/>
        <w:jc w:val="left"/>
        <w:rPr>
          <w:rFonts w:hAnsi="宋体"/>
          <w:bCs/>
          <w:szCs w:val="21"/>
          <w:highlight w:val="none"/>
        </w:rPr>
      </w:pPr>
      <w:r>
        <w:rPr>
          <w:rFonts w:hint="eastAsia" w:hAnsi="宋体"/>
          <w:bCs/>
          <w:szCs w:val="21"/>
          <w:highlight w:val="none"/>
        </w:rPr>
        <w:t>22.1本项目无密封和标记的要求，只需按照"</w:t>
      </w:r>
      <w:r>
        <w:rPr>
          <w:rFonts w:hint="eastAsia" w:hAnsi="宋体"/>
          <w:bCs/>
          <w:szCs w:val="21"/>
          <w:highlight w:val="none"/>
          <w:lang w:val="en-US" w:eastAsia="zh-CN"/>
        </w:rPr>
        <w:t>政采云</w:t>
      </w:r>
      <w:r>
        <w:rPr>
          <w:rFonts w:hint="eastAsia" w:hAnsi="宋体"/>
          <w:bCs/>
          <w:szCs w:val="21"/>
          <w:highlight w:val="none"/>
        </w:rPr>
        <w:t>"平台的要求编制、加密后在投标文</w:t>
      </w:r>
    </w:p>
    <w:p>
      <w:pPr>
        <w:pStyle w:val="15"/>
        <w:spacing w:line="360" w:lineRule="auto"/>
        <w:jc w:val="left"/>
        <w:rPr>
          <w:rFonts w:hAnsi="宋体"/>
          <w:bCs/>
          <w:szCs w:val="21"/>
          <w:highlight w:val="none"/>
        </w:rPr>
      </w:pPr>
      <w:r>
        <w:rPr>
          <w:rFonts w:hint="eastAsia" w:hAnsi="宋体"/>
          <w:bCs/>
          <w:szCs w:val="21"/>
          <w:highlight w:val="none"/>
        </w:rPr>
        <w:t>件提交截止时间前上传至"</w:t>
      </w:r>
      <w:r>
        <w:rPr>
          <w:rFonts w:hint="eastAsia" w:hAnsi="宋体"/>
          <w:bCs/>
          <w:szCs w:val="21"/>
          <w:highlight w:val="none"/>
          <w:lang w:val="en-US" w:eastAsia="zh-CN"/>
        </w:rPr>
        <w:t>政采云</w:t>
      </w:r>
      <w:r>
        <w:rPr>
          <w:rFonts w:hint="eastAsia" w:hAnsi="宋体"/>
          <w:bCs/>
          <w:szCs w:val="21"/>
          <w:highlight w:val="none"/>
        </w:rPr>
        <w:t>"平台，</w:t>
      </w:r>
      <w:r>
        <w:rPr>
          <w:rFonts w:hint="eastAsia" w:hAnsi="宋体"/>
          <w:b/>
          <w:bCs w:val="0"/>
          <w:szCs w:val="21"/>
          <w:highlight w:val="none"/>
        </w:rPr>
        <w:t>投标文件提交截止时间前未完成投标文件上传的</w:t>
      </w:r>
      <w:r>
        <w:rPr>
          <w:rFonts w:hint="eastAsia" w:hAnsi="宋体"/>
          <w:b/>
          <w:bCs w:val="0"/>
          <w:szCs w:val="21"/>
          <w:highlight w:val="none"/>
          <w:lang w:val="en-US" w:eastAsia="zh-CN"/>
        </w:rPr>
        <w:t>或上传后无法解密的</w:t>
      </w:r>
      <w:r>
        <w:rPr>
          <w:rFonts w:hint="eastAsia" w:hAnsi="宋体"/>
          <w:b/>
          <w:bCs w:val="0"/>
          <w:szCs w:val="21"/>
          <w:highlight w:val="none"/>
        </w:rPr>
        <w:t>，视为撤回投标文件</w:t>
      </w:r>
      <w:r>
        <w:rPr>
          <w:rFonts w:hint="eastAsia" w:hAnsi="宋体"/>
          <w:bCs/>
          <w:szCs w:val="21"/>
          <w:highlight w:val="none"/>
        </w:rPr>
        <w:t>。</w:t>
      </w:r>
    </w:p>
    <w:p>
      <w:pPr>
        <w:spacing w:line="360" w:lineRule="auto"/>
        <w:jc w:val="left"/>
        <w:rPr>
          <w:rFonts w:ascii="宋体" w:hAnsi="宋体"/>
          <w:b/>
          <w:szCs w:val="21"/>
          <w:highlight w:val="none"/>
        </w:rPr>
      </w:pPr>
      <w:r>
        <w:rPr>
          <w:rFonts w:hint="eastAsia" w:ascii="宋体" w:hAnsi="宋体"/>
          <w:b/>
          <w:szCs w:val="21"/>
          <w:highlight w:val="none"/>
        </w:rPr>
        <w:t>2</w:t>
      </w:r>
      <w:r>
        <w:rPr>
          <w:rFonts w:ascii="宋体" w:hAnsi="宋体"/>
          <w:b/>
          <w:szCs w:val="21"/>
          <w:highlight w:val="none"/>
        </w:rPr>
        <w:t>3</w:t>
      </w:r>
      <w:r>
        <w:rPr>
          <w:rFonts w:hint="eastAsia" w:ascii="宋体" w:hAnsi="宋体"/>
          <w:b/>
          <w:szCs w:val="21"/>
          <w:highlight w:val="none"/>
        </w:rPr>
        <w:t>. 提交投标文件截止时间和地点</w:t>
      </w:r>
    </w:p>
    <w:p>
      <w:pPr>
        <w:pStyle w:val="15"/>
        <w:spacing w:line="360" w:lineRule="auto"/>
        <w:ind w:left="208" w:leftChars="99"/>
        <w:jc w:val="left"/>
        <w:rPr>
          <w:rFonts w:hAnsi="宋体"/>
          <w:bCs/>
          <w:szCs w:val="21"/>
          <w:highlight w:val="none"/>
        </w:rPr>
      </w:pPr>
      <w:r>
        <w:rPr>
          <w:rFonts w:hint="eastAsia" w:hAnsi="宋体"/>
          <w:bCs/>
          <w:szCs w:val="21"/>
          <w:highlight w:val="none"/>
        </w:rPr>
        <w:t>23.1 投标人应在投标人须知前附表规定的递交投标文件截止时间前和地点递交</w:t>
      </w:r>
      <w:r>
        <w:rPr>
          <w:rFonts w:hint="eastAsia" w:hAnsi="宋体"/>
          <w:bCs/>
          <w:szCs w:val="21"/>
          <w:highlight w:val="none"/>
          <w:lang w:val="en-US" w:eastAsia="zh-CN"/>
        </w:rPr>
        <w:t>投标文件</w:t>
      </w:r>
      <w:r>
        <w:rPr>
          <w:rFonts w:hint="eastAsia" w:hAnsi="宋体"/>
          <w:bCs/>
          <w:szCs w:val="21"/>
          <w:highlight w:val="none"/>
        </w:rPr>
        <w:t>。</w:t>
      </w:r>
    </w:p>
    <w:p>
      <w:pPr>
        <w:pStyle w:val="15"/>
        <w:spacing w:line="360" w:lineRule="auto"/>
        <w:ind w:left="208" w:leftChars="99"/>
        <w:jc w:val="left"/>
        <w:rPr>
          <w:rFonts w:hAnsi="宋体"/>
          <w:bCs/>
          <w:szCs w:val="21"/>
          <w:highlight w:val="none"/>
        </w:rPr>
      </w:pPr>
      <w:r>
        <w:rPr>
          <w:rFonts w:hint="eastAsia" w:hAnsi="宋体"/>
          <w:bCs/>
          <w:szCs w:val="21"/>
          <w:highlight w:val="none"/>
        </w:rPr>
        <w:t>23.2 除投标人须知前附表另有规定外，投标人所递交的投标文件不予退还。</w:t>
      </w:r>
    </w:p>
    <w:p>
      <w:pPr>
        <w:pStyle w:val="15"/>
        <w:spacing w:line="360" w:lineRule="auto"/>
        <w:ind w:left="208" w:leftChars="99"/>
        <w:jc w:val="left"/>
        <w:rPr>
          <w:rFonts w:hAnsi="宋体"/>
          <w:bCs/>
          <w:szCs w:val="21"/>
          <w:highlight w:val="none"/>
        </w:rPr>
      </w:pPr>
      <w:r>
        <w:rPr>
          <w:rFonts w:hint="eastAsia" w:hAnsi="宋体"/>
          <w:bCs/>
          <w:szCs w:val="21"/>
          <w:highlight w:val="none"/>
        </w:rPr>
        <w:t>23.3投标人应按照本项目</w:t>
      </w:r>
      <w:r>
        <w:rPr>
          <w:rFonts w:hint="eastAsia" w:hAnsi="宋体"/>
          <w:bCs/>
          <w:szCs w:val="21"/>
          <w:highlight w:val="none"/>
          <w:lang w:eastAsia="zh-CN"/>
        </w:rPr>
        <w:t>采购文件</w:t>
      </w:r>
      <w:r>
        <w:rPr>
          <w:rFonts w:hint="eastAsia" w:hAnsi="宋体"/>
          <w:bCs/>
          <w:szCs w:val="21"/>
          <w:highlight w:val="none"/>
        </w:rPr>
        <w:t>和"</w:t>
      </w:r>
      <w:r>
        <w:rPr>
          <w:rFonts w:hint="eastAsia" w:hAnsi="宋体"/>
          <w:bCs/>
          <w:szCs w:val="21"/>
          <w:highlight w:val="none"/>
          <w:lang w:val="en-US" w:eastAsia="zh-CN"/>
        </w:rPr>
        <w:t>政采云</w:t>
      </w:r>
      <w:r>
        <w:rPr>
          <w:rFonts w:hint="eastAsia" w:hAnsi="宋体"/>
          <w:bCs/>
          <w:szCs w:val="21"/>
          <w:highlight w:val="none"/>
        </w:rPr>
        <w:t>"平台的要求编制、加密后在投标文件提交</w:t>
      </w:r>
    </w:p>
    <w:p>
      <w:pPr>
        <w:pStyle w:val="15"/>
        <w:spacing w:line="360" w:lineRule="auto"/>
        <w:jc w:val="left"/>
        <w:rPr>
          <w:rFonts w:hAnsi="宋体"/>
          <w:bCs/>
          <w:szCs w:val="21"/>
          <w:highlight w:val="none"/>
        </w:rPr>
      </w:pPr>
      <w:r>
        <w:rPr>
          <w:rFonts w:hint="eastAsia" w:hAnsi="宋体"/>
          <w:bCs/>
          <w:szCs w:val="21"/>
          <w:highlight w:val="none"/>
        </w:rPr>
        <w:t>截止时间前上传至"</w:t>
      </w:r>
      <w:r>
        <w:rPr>
          <w:rFonts w:hint="eastAsia" w:hAnsi="宋体"/>
          <w:bCs/>
          <w:szCs w:val="21"/>
          <w:highlight w:val="none"/>
          <w:lang w:val="en-US" w:eastAsia="zh-CN"/>
        </w:rPr>
        <w:t>政采云</w:t>
      </w:r>
      <w:r>
        <w:rPr>
          <w:rFonts w:hint="eastAsia" w:hAnsi="宋体"/>
          <w:bCs/>
          <w:szCs w:val="21"/>
          <w:highlight w:val="none"/>
        </w:rPr>
        <w:t>"平台，</w:t>
      </w:r>
      <w:r>
        <w:rPr>
          <w:rFonts w:hint="eastAsia" w:hAnsi="宋体"/>
          <w:b/>
          <w:bCs w:val="0"/>
          <w:szCs w:val="21"/>
          <w:highlight w:val="none"/>
        </w:rPr>
        <w:t>投标文件提交截止时间前未完成投标文件上传的</w:t>
      </w:r>
      <w:r>
        <w:rPr>
          <w:rFonts w:hint="eastAsia" w:hAnsi="宋体"/>
          <w:b/>
          <w:bCs w:val="0"/>
          <w:szCs w:val="21"/>
          <w:highlight w:val="none"/>
          <w:lang w:val="en-US" w:eastAsia="zh-CN"/>
        </w:rPr>
        <w:t>或上传后无法解密的</w:t>
      </w:r>
      <w:r>
        <w:rPr>
          <w:rFonts w:hint="eastAsia" w:hAnsi="宋体"/>
          <w:b/>
          <w:bCs w:val="0"/>
          <w:szCs w:val="21"/>
          <w:highlight w:val="none"/>
        </w:rPr>
        <w:t>，视为撤回投标文件</w:t>
      </w:r>
      <w:r>
        <w:rPr>
          <w:rFonts w:hint="eastAsia" w:hAnsi="宋体"/>
          <w:bCs/>
          <w:szCs w:val="21"/>
          <w:highlight w:val="none"/>
        </w:rPr>
        <w:t>。投标人在"</w:t>
      </w:r>
      <w:r>
        <w:rPr>
          <w:rFonts w:hint="eastAsia" w:hAnsi="宋体"/>
          <w:bCs/>
          <w:szCs w:val="21"/>
          <w:highlight w:val="none"/>
          <w:lang w:val="en-US" w:eastAsia="zh-CN"/>
        </w:rPr>
        <w:t>政采云</w:t>
      </w:r>
      <w:r>
        <w:rPr>
          <w:rFonts w:hint="eastAsia" w:hAnsi="宋体"/>
          <w:bCs/>
          <w:szCs w:val="21"/>
          <w:highlight w:val="none"/>
        </w:rPr>
        <w:t>"平台提交电子版投标文件时，请填写参加远程采购活动经办人联系方式。</w:t>
      </w:r>
    </w:p>
    <w:p>
      <w:pPr>
        <w:pStyle w:val="3"/>
        <w:numPr>
          <w:ilvl w:val="0"/>
          <w:numId w:val="0"/>
        </w:numPr>
        <w:ind w:left="425"/>
        <w:jc w:val="center"/>
        <w:rPr>
          <w:rFonts w:ascii="宋体" w:hAnsi="宋体" w:eastAsia="宋体"/>
          <w:bCs/>
          <w:kern w:val="44"/>
          <w:szCs w:val="28"/>
          <w:highlight w:val="none"/>
        </w:rPr>
      </w:pPr>
      <w:bookmarkStart w:id="37" w:name="_Toc29426"/>
      <w:bookmarkStart w:id="38" w:name="_Toc16689"/>
      <w:r>
        <w:rPr>
          <w:rFonts w:hint="eastAsia" w:ascii="宋体" w:hAnsi="宋体" w:eastAsia="宋体"/>
          <w:bCs/>
          <w:kern w:val="44"/>
          <w:szCs w:val="28"/>
          <w:highlight w:val="none"/>
        </w:rPr>
        <w:t>五、开标与评标</w:t>
      </w:r>
      <w:bookmarkEnd w:id="37"/>
      <w:bookmarkEnd w:id="38"/>
    </w:p>
    <w:p>
      <w:pPr>
        <w:spacing w:line="360" w:lineRule="auto"/>
        <w:jc w:val="left"/>
        <w:rPr>
          <w:rFonts w:ascii="宋体" w:hAnsi="宋体"/>
          <w:b/>
          <w:szCs w:val="21"/>
          <w:highlight w:val="none"/>
        </w:rPr>
      </w:pPr>
      <w:r>
        <w:rPr>
          <w:rFonts w:hint="eastAsia" w:ascii="宋体" w:hAnsi="宋体"/>
          <w:b/>
          <w:szCs w:val="21"/>
          <w:highlight w:val="none"/>
        </w:rPr>
        <w:t>2</w:t>
      </w:r>
      <w:r>
        <w:rPr>
          <w:rFonts w:ascii="宋体" w:hAnsi="宋体"/>
          <w:b/>
          <w:szCs w:val="21"/>
          <w:highlight w:val="none"/>
        </w:rPr>
        <w:t>4</w:t>
      </w:r>
      <w:r>
        <w:rPr>
          <w:rFonts w:hint="eastAsia" w:ascii="宋体" w:hAnsi="宋体"/>
          <w:b/>
          <w:szCs w:val="21"/>
          <w:highlight w:val="none"/>
        </w:rPr>
        <w:t>. 开标</w:t>
      </w:r>
    </w:p>
    <w:p>
      <w:pPr>
        <w:pStyle w:val="15"/>
        <w:spacing w:line="360" w:lineRule="auto"/>
        <w:ind w:firstLine="210" w:firstLineChars="100"/>
        <w:jc w:val="left"/>
        <w:rPr>
          <w:rFonts w:hAnsi="宋体"/>
          <w:bCs/>
          <w:szCs w:val="21"/>
          <w:highlight w:val="none"/>
        </w:rPr>
      </w:pPr>
      <w:r>
        <w:rPr>
          <w:rFonts w:hint="eastAsia" w:hAnsi="宋体"/>
          <w:bCs/>
          <w:szCs w:val="21"/>
          <w:highlight w:val="none"/>
        </w:rPr>
        <w:t>24.1</w:t>
      </w:r>
      <w:r>
        <w:rPr>
          <w:rFonts w:hint="eastAsia" w:hAnsi="宋体"/>
          <w:bCs/>
          <w:szCs w:val="21"/>
          <w:highlight w:val="none"/>
          <w:lang w:eastAsia="zh-CN"/>
        </w:rPr>
        <w:t>采购代理机构</w:t>
      </w:r>
      <w:r>
        <w:rPr>
          <w:rFonts w:hint="eastAsia" w:hAnsi="宋体"/>
          <w:bCs/>
          <w:szCs w:val="21"/>
          <w:highlight w:val="none"/>
        </w:rPr>
        <w:t>将在</w:t>
      </w:r>
      <w:r>
        <w:rPr>
          <w:rFonts w:hint="eastAsia" w:hAnsi="宋体"/>
          <w:b/>
          <w:szCs w:val="21"/>
          <w:highlight w:val="none"/>
        </w:rPr>
        <w:t>“投标人须知前附表”</w:t>
      </w:r>
      <w:r>
        <w:rPr>
          <w:rFonts w:hint="eastAsia" w:hAnsi="宋体"/>
          <w:bCs/>
          <w:szCs w:val="21"/>
          <w:highlight w:val="none"/>
        </w:rPr>
        <w:t>规定的时间和地点进行开标。</w:t>
      </w:r>
    </w:p>
    <w:p>
      <w:pPr>
        <w:pStyle w:val="15"/>
        <w:spacing w:line="360" w:lineRule="auto"/>
        <w:ind w:left="208" w:leftChars="99"/>
        <w:jc w:val="left"/>
        <w:rPr>
          <w:rFonts w:hAnsi="宋体"/>
          <w:bCs/>
          <w:szCs w:val="21"/>
          <w:highlight w:val="none"/>
        </w:rPr>
      </w:pPr>
      <w:r>
        <w:rPr>
          <w:rFonts w:hint="eastAsia" w:hAnsi="宋体"/>
          <w:bCs/>
          <w:szCs w:val="21"/>
          <w:highlight w:val="none"/>
        </w:rPr>
        <w:t>24.2投标截止后投标人不足3家的，不得开标。</w:t>
      </w:r>
    </w:p>
    <w:p>
      <w:pPr>
        <w:pStyle w:val="15"/>
        <w:spacing w:line="360" w:lineRule="auto"/>
        <w:ind w:left="208" w:leftChars="99"/>
        <w:jc w:val="left"/>
        <w:rPr>
          <w:rFonts w:hAnsi="宋体"/>
          <w:bCs/>
          <w:szCs w:val="21"/>
          <w:highlight w:val="none"/>
        </w:rPr>
      </w:pPr>
      <w:r>
        <w:rPr>
          <w:rFonts w:hint="eastAsia" w:hAnsi="宋体"/>
          <w:bCs/>
          <w:szCs w:val="21"/>
          <w:highlight w:val="none"/>
        </w:rPr>
        <w:t>24.3开标程序：</w:t>
      </w:r>
    </w:p>
    <w:p>
      <w:pPr>
        <w:pStyle w:val="15"/>
        <w:spacing w:line="360" w:lineRule="auto"/>
        <w:ind w:left="208" w:leftChars="99"/>
        <w:jc w:val="left"/>
        <w:rPr>
          <w:rFonts w:hAnsi="宋体"/>
          <w:bCs/>
          <w:szCs w:val="21"/>
          <w:highlight w:val="none"/>
        </w:rPr>
      </w:pPr>
      <w:r>
        <w:rPr>
          <w:rFonts w:hint="eastAsia" w:hAnsi="宋体"/>
          <w:bCs/>
          <w:szCs w:val="21"/>
          <w:highlight w:val="none"/>
        </w:rPr>
        <w:t>(1)开标会由</w:t>
      </w:r>
      <w:r>
        <w:rPr>
          <w:rFonts w:hint="eastAsia" w:hAnsi="宋体"/>
          <w:bCs/>
          <w:szCs w:val="21"/>
          <w:highlight w:val="none"/>
          <w:lang w:eastAsia="zh-CN"/>
        </w:rPr>
        <w:t>采购代理机构</w:t>
      </w:r>
      <w:r>
        <w:rPr>
          <w:rFonts w:hint="eastAsia" w:hAnsi="宋体"/>
          <w:bCs/>
          <w:szCs w:val="21"/>
          <w:highlight w:val="none"/>
        </w:rPr>
        <w:t xml:space="preserve">主持。 </w:t>
      </w:r>
    </w:p>
    <w:p>
      <w:pPr>
        <w:pStyle w:val="15"/>
        <w:spacing w:line="360" w:lineRule="auto"/>
        <w:ind w:left="208" w:leftChars="99"/>
        <w:jc w:val="left"/>
        <w:rPr>
          <w:rFonts w:hAnsi="宋体"/>
          <w:bCs/>
          <w:szCs w:val="21"/>
          <w:highlight w:val="none"/>
        </w:rPr>
      </w:pPr>
      <w:r>
        <w:rPr>
          <w:rFonts w:hint="eastAsia" w:hAnsi="宋体"/>
          <w:bCs/>
          <w:szCs w:val="21"/>
          <w:highlight w:val="none"/>
        </w:rPr>
        <w:t>(2)开标：顺序按照</w:t>
      </w:r>
      <w:r>
        <w:rPr>
          <w:rFonts w:hint="eastAsia" w:hAnsi="宋体"/>
          <w:bCs/>
          <w:szCs w:val="21"/>
          <w:highlight w:val="none"/>
          <w:lang w:eastAsia="zh-CN"/>
        </w:rPr>
        <w:t>"政采云"平台</w:t>
      </w:r>
      <w:r>
        <w:rPr>
          <w:rFonts w:hint="eastAsia" w:hAnsi="宋体"/>
          <w:bCs/>
          <w:szCs w:val="21"/>
          <w:highlight w:val="none"/>
        </w:rPr>
        <w:t xml:space="preserve">自动提取所有投标人的顺序当众开标。 </w:t>
      </w:r>
    </w:p>
    <w:p>
      <w:pPr>
        <w:pStyle w:val="15"/>
        <w:spacing w:line="360" w:lineRule="auto"/>
        <w:ind w:left="208" w:leftChars="99"/>
        <w:jc w:val="left"/>
        <w:rPr>
          <w:rFonts w:hAnsi="宋体"/>
          <w:bCs/>
          <w:szCs w:val="21"/>
          <w:highlight w:val="none"/>
        </w:rPr>
      </w:pPr>
      <w:r>
        <w:rPr>
          <w:rFonts w:hint="eastAsia" w:hAnsi="宋体"/>
          <w:bCs/>
          <w:szCs w:val="21"/>
          <w:highlight w:val="none"/>
        </w:rPr>
        <w:t>(3)唱标：由唱标人宣读投标人在其电子投标文件中投标价格和</w:t>
      </w:r>
      <w:r>
        <w:rPr>
          <w:rFonts w:hint="eastAsia" w:hAnsi="宋体"/>
          <w:bCs/>
          <w:szCs w:val="21"/>
          <w:highlight w:val="none"/>
          <w:lang w:eastAsia="zh-CN"/>
        </w:rPr>
        <w:t>采购文件</w:t>
      </w:r>
      <w:r>
        <w:rPr>
          <w:rFonts w:hint="eastAsia" w:hAnsi="宋体"/>
          <w:bCs/>
          <w:szCs w:val="21"/>
          <w:highlight w:val="none"/>
        </w:rPr>
        <w:t>规定的需要宣布</w:t>
      </w:r>
    </w:p>
    <w:p>
      <w:pPr>
        <w:pStyle w:val="15"/>
        <w:spacing w:line="360" w:lineRule="auto"/>
        <w:jc w:val="left"/>
        <w:rPr>
          <w:rFonts w:hAnsi="宋体"/>
          <w:bCs/>
          <w:szCs w:val="21"/>
          <w:highlight w:val="none"/>
        </w:rPr>
      </w:pPr>
      <w:r>
        <w:rPr>
          <w:rFonts w:hint="eastAsia" w:hAnsi="宋体"/>
          <w:bCs/>
          <w:szCs w:val="21"/>
          <w:highlight w:val="none"/>
        </w:rPr>
        <w:t xml:space="preserve">的其他内容。 </w:t>
      </w:r>
    </w:p>
    <w:p>
      <w:pPr>
        <w:pStyle w:val="15"/>
        <w:spacing w:line="360" w:lineRule="auto"/>
        <w:ind w:left="208" w:leftChars="99"/>
        <w:jc w:val="left"/>
        <w:rPr>
          <w:rFonts w:hAnsi="宋体"/>
          <w:bCs/>
          <w:szCs w:val="21"/>
          <w:highlight w:val="none"/>
        </w:rPr>
      </w:pPr>
      <w:r>
        <w:rPr>
          <w:rFonts w:hint="eastAsia" w:hAnsi="宋体"/>
          <w:bCs/>
          <w:szCs w:val="21"/>
          <w:highlight w:val="none"/>
        </w:rPr>
        <w:t>(4) 开标工作人员将做开标记录，参加开标的各相关工作人员须签字确认。</w:t>
      </w:r>
    </w:p>
    <w:p>
      <w:pPr>
        <w:pStyle w:val="15"/>
        <w:spacing w:line="360" w:lineRule="auto"/>
        <w:ind w:left="208" w:leftChars="99"/>
        <w:jc w:val="left"/>
        <w:rPr>
          <w:rFonts w:hAnsi="宋体"/>
          <w:bCs/>
          <w:szCs w:val="21"/>
          <w:highlight w:val="none"/>
        </w:rPr>
      </w:pPr>
      <w:r>
        <w:rPr>
          <w:rFonts w:hint="eastAsia" w:hAnsi="宋体"/>
          <w:bCs/>
          <w:szCs w:val="21"/>
          <w:highlight w:val="none"/>
        </w:rPr>
        <w:t>24.5开标过程中如有问题，可以在线提出异议，由代理机构给予回复。在规定的异议询</w:t>
      </w:r>
    </w:p>
    <w:p>
      <w:pPr>
        <w:pStyle w:val="15"/>
        <w:spacing w:line="360" w:lineRule="auto"/>
        <w:jc w:val="left"/>
        <w:rPr>
          <w:rFonts w:hAnsi="宋体"/>
          <w:bCs/>
          <w:szCs w:val="21"/>
          <w:highlight w:val="none"/>
        </w:rPr>
      </w:pPr>
      <w:r>
        <w:rPr>
          <w:rFonts w:hint="eastAsia" w:hAnsi="宋体"/>
          <w:bCs/>
          <w:szCs w:val="21"/>
          <w:highlight w:val="none"/>
        </w:rPr>
        <w:t xml:space="preserve">问时间内未提出异议的，则视为对开标结果无异议。 </w:t>
      </w:r>
    </w:p>
    <w:p>
      <w:pPr>
        <w:pStyle w:val="15"/>
        <w:spacing w:line="360" w:lineRule="auto"/>
        <w:ind w:left="2"/>
        <w:jc w:val="left"/>
        <w:rPr>
          <w:rFonts w:hAnsi="宋体"/>
          <w:b/>
          <w:szCs w:val="21"/>
          <w:highlight w:val="none"/>
        </w:rPr>
      </w:pPr>
      <w:r>
        <w:rPr>
          <w:rFonts w:hint="eastAsia" w:hAnsi="宋体"/>
          <w:b/>
          <w:szCs w:val="21"/>
          <w:highlight w:val="none"/>
        </w:rPr>
        <w:t>25.</w:t>
      </w:r>
      <w:r>
        <w:rPr>
          <w:rFonts w:hAnsi="宋体"/>
          <w:b/>
          <w:szCs w:val="21"/>
          <w:highlight w:val="none"/>
        </w:rPr>
        <w:t xml:space="preserve"> </w:t>
      </w:r>
      <w:r>
        <w:rPr>
          <w:rFonts w:hint="eastAsia" w:hAnsi="宋体"/>
          <w:b/>
          <w:szCs w:val="21"/>
          <w:highlight w:val="none"/>
        </w:rPr>
        <w:t>资格审查</w:t>
      </w:r>
    </w:p>
    <w:p>
      <w:pPr>
        <w:pStyle w:val="15"/>
        <w:keepNext w:val="0"/>
        <w:keepLines w:val="0"/>
        <w:pageBreakBefore w:val="0"/>
        <w:widowControl w:val="0"/>
        <w:kinsoku/>
        <w:wordWrap/>
        <w:overflowPunct/>
        <w:topLinePunct w:val="0"/>
        <w:autoSpaceDE/>
        <w:autoSpaceDN/>
        <w:bidi w:val="0"/>
        <w:adjustRightInd/>
        <w:snapToGrid/>
        <w:spacing w:line="360" w:lineRule="auto"/>
        <w:ind w:left="0" w:leftChars="0" w:firstLine="210" w:firstLineChars="100"/>
        <w:jc w:val="left"/>
        <w:textAlignment w:val="auto"/>
        <w:rPr>
          <w:rFonts w:hAnsi="宋体"/>
          <w:bCs/>
          <w:szCs w:val="21"/>
          <w:highlight w:val="none"/>
        </w:rPr>
      </w:pPr>
      <w:r>
        <w:rPr>
          <w:rFonts w:hint="eastAsia" w:hAnsi="宋体"/>
          <w:bCs/>
          <w:szCs w:val="21"/>
          <w:highlight w:val="none"/>
        </w:rPr>
        <w:t>25.1开标结束后，</w:t>
      </w:r>
      <w:r>
        <w:rPr>
          <w:rFonts w:hint="eastAsia" w:hAnsi="宋体"/>
          <w:bCs/>
          <w:szCs w:val="21"/>
          <w:highlight w:val="none"/>
          <w:lang w:eastAsia="zh-CN"/>
        </w:rPr>
        <w:t>采购人</w:t>
      </w:r>
      <w:r>
        <w:rPr>
          <w:rFonts w:hint="eastAsia" w:hAnsi="宋体"/>
          <w:bCs/>
          <w:szCs w:val="21"/>
          <w:highlight w:val="none"/>
        </w:rPr>
        <w:t>或者</w:t>
      </w:r>
      <w:r>
        <w:rPr>
          <w:rFonts w:hint="eastAsia" w:hAnsi="宋体"/>
          <w:bCs/>
          <w:szCs w:val="21"/>
          <w:highlight w:val="none"/>
          <w:lang w:eastAsia="zh-CN"/>
        </w:rPr>
        <w:t>采购代理机构</w:t>
      </w:r>
      <w:r>
        <w:rPr>
          <w:rFonts w:hint="eastAsia" w:hAnsi="宋体"/>
          <w:bCs/>
          <w:szCs w:val="21"/>
          <w:highlight w:val="none"/>
        </w:rPr>
        <w:t>应当按照“第六章 资格评审标准”依法对</w:t>
      </w:r>
      <w:r>
        <w:rPr>
          <w:rFonts w:hint="eastAsia" w:hAnsi="宋体"/>
          <w:bCs/>
          <w:szCs w:val="21"/>
          <w:highlight w:val="none"/>
          <w:lang w:eastAsia="zh-CN"/>
        </w:rPr>
        <w:t>投标人</w:t>
      </w:r>
      <w:r>
        <w:rPr>
          <w:rFonts w:hint="eastAsia" w:hAnsi="宋体"/>
          <w:bCs/>
          <w:szCs w:val="21"/>
          <w:highlight w:val="none"/>
        </w:rPr>
        <w:t>的资格进行审查，合格投标人不足</w:t>
      </w:r>
      <w:r>
        <w:rPr>
          <w:rFonts w:hint="eastAsia" w:hAnsi="宋体"/>
          <w:bCs/>
          <w:szCs w:val="21"/>
          <w:highlight w:val="none"/>
          <w:lang w:val="en-US" w:eastAsia="zh-CN"/>
        </w:rPr>
        <w:t>3</w:t>
      </w:r>
      <w:r>
        <w:rPr>
          <w:rFonts w:hint="eastAsia" w:hAnsi="宋体"/>
          <w:bCs/>
          <w:szCs w:val="21"/>
          <w:highlight w:val="none"/>
        </w:rPr>
        <w:t>家的，不得评标。</w:t>
      </w:r>
    </w:p>
    <w:p>
      <w:pPr>
        <w:spacing w:line="360" w:lineRule="auto"/>
        <w:jc w:val="left"/>
        <w:rPr>
          <w:rFonts w:ascii="宋体" w:hAnsi="宋体"/>
          <w:b/>
          <w:szCs w:val="21"/>
          <w:highlight w:val="none"/>
        </w:rPr>
      </w:pPr>
      <w:r>
        <w:rPr>
          <w:rFonts w:hint="eastAsia" w:ascii="宋体" w:hAnsi="宋体"/>
          <w:b/>
          <w:szCs w:val="21"/>
          <w:highlight w:val="none"/>
        </w:rPr>
        <w:t>26. 评标</w:t>
      </w:r>
    </w:p>
    <w:p>
      <w:pPr>
        <w:pStyle w:val="15"/>
        <w:spacing w:line="360" w:lineRule="auto"/>
        <w:ind w:left="208" w:leftChars="99"/>
        <w:jc w:val="left"/>
        <w:rPr>
          <w:rFonts w:hAnsi="宋体"/>
          <w:bCs/>
          <w:szCs w:val="21"/>
          <w:highlight w:val="none"/>
        </w:rPr>
      </w:pPr>
      <w:r>
        <w:rPr>
          <w:rFonts w:hint="eastAsia" w:hAnsi="宋体"/>
          <w:bCs/>
          <w:szCs w:val="21"/>
          <w:highlight w:val="none"/>
        </w:rPr>
        <w:t>26.1评标由</w:t>
      </w:r>
      <w:r>
        <w:rPr>
          <w:rFonts w:hint="eastAsia" w:hAnsi="宋体"/>
          <w:bCs/>
          <w:szCs w:val="21"/>
          <w:highlight w:val="none"/>
          <w:lang w:eastAsia="zh-CN"/>
        </w:rPr>
        <w:t>采购人</w:t>
      </w:r>
      <w:r>
        <w:rPr>
          <w:rFonts w:hint="eastAsia" w:hAnsi="宋体"/>
          <w:bCs/>
          <w:szCs w:val="21"/>
          <w:highlight w:val="none"/>
        </w:rPr>
        <w:t>依法组建的评标委员会负责。评标委员会由</w:t>
      </w:r>
      <w:r>
        <w:rPr>
          <w:rFonts w:hint="eastAsia" w:hAnsi="宋体"/>
          <w:bCs/>
          <w:szCs w:val="21"/>
          <w:highlight w:val="none"/>
          <w:lang w:eastAsia="zh-CN"/>
        </w:rPr>
        <w:t>采购人</w:t>
      </w:r>
      <w:r>
        <w:rPr>
          <w:rFonts w:hint="eastAsia" w:hAnsi="宋体"/>
          <w:bCs/>
          <w:szCs w:val="21"/>
          <w:highlight w:val="none"/>
        </w:rPr>
        <w:t>代表和有关技术、</w:t>
      </w:r>
    </w:p>
    <w:p>
      <w:pPr>
        <w:pStyle w:val="15"/>
        <w:spacing w:line="360" w:lineRule="auto"/>
        <w:jc w:val="left"/>
        <w:rPr>
          <w:rFonts w:hAnsi="宋体"/>
          <w:bCs/>
          <w:szCs w:val="21"/>
          <w:highlight w:val="none"/>
        </w:rPr>
      </w:pPr>
      <w:r>
        <w:rPr>
          <w:rFonts w:hint="eastAsia" w:hAnsi="宋体"/>
          <w:bCs/>
          <w:szCs w:val="21"/>
          <w:highlight w:val="none"/>
        </w:rPr>
        <w:t>经济等方面的专家组成，成员人数应当为5人</w:t>
      </w:r>
      <w:r>
        <w:rPr>
          <w:rFonts w:hint="eastAsia" w:hAnsi="宋体"/>
          <w:bCs/>
          <w:szCs w:val="21"/>
          <w:highlight w:val="none"/>
          <w:lang w:val="en-US" w:eastAsia="zh-CN"/>
        </w:rPr>
        <w:t>及</w:t>
      </w:r>
      <w:r>
        <w:rPr>
          <w:rFonts w:hint="eastAsia" w:hAnsi="宋体"/>
          <w:bCs/>
          <w:szCs w:val="21"/>
          <w:highlight w:val="none"/>
        </w:rPr>
        <w:t>以上单数。其中，技术、经济等方面的专家不得少于成员总数的三分之二。评标委员会应当推选组长，但</w:t>
      </w:r>
      <w:r>
        <w:rPr>
          <w:rFonts w:hint="eastAsia" w:hAnsi="宋体"/>
          <w:bCs/>
          <w:szCs w:val="21"/>
          <w:highlight w:val="none"/>
          <w:lang w:eastAsia="zh-CN"/>
        </w:rPr>
        <w:t>采购人</w:t>
      </w:r>
      <w:r>
        <w:rPr>
          <w:rFonts w:hint="eastAsia" w:hAnsi="宋体"/>
          <w:bCs/>
          <w:szCs w:val="21"/>
          <w:highlight w:val="none"/>
        </w:rPr>
        <w:t>代表不得担任组长。</w:t>
      </w:r>
      <w:r>
        <w:rPr>
          <w:rFonts w:hint="eastAsia" w:hAnsi="宋体"/>
          <w:bCs/>
          <w:szCs w:val="21"/>
          <w:highlight w:val="none"/>
          <w:lang w:eastAsia="zh-CN"/>
        </w:rPr>
        <w:t>采购人</w:t>
      </w:r>
      <w:r>
        <w:rPr>
          <w:rFonts w:hint="eastAsia" w:hAnsi="宋体"/>
          <w:bCs/>
          <w:szCs w:val="21"/>
          <w:highlight w:val="none"/>
        </w:rPr>
        <w:t>委派代表参加评标委员会的，要向</w:t>
      </w:r>
      <w:r>
        <w:rPr>
          <w:rFonts w:hint="eastAsia" w:hAnsi="宋体"/>
          <w:bCs/>
          <w:szCs w:val="21"/>
          <w:highlight w:val="none"/>
          <w:lang w:eastAsia="zh-CN"/>
        </w:rPr>
        <w:t>采购代理机构</w:t>
      </w:r>
      <w:r>
        <w:rPr>
          <w:rFonts w:hint="eastAsia" w:hAnsi="宋体"/>
          <w:bCs/>
          <w:szCs w:val="21"/>
          <w:highlight w:val="none"/>
        </w:rPr>
        <w:t>出具授权函。</w:t>
      </w:r>
    </w:p>
    <w:p>
      <w:pPr>
        <w:pStyle w:val="15"/>
        <w:spacing w:line="360" w:lineRule="auto"/>
        <w:ind w:left="208" w:leftChars="99"/>
        <w:jc w:val="left"/>
        <w:rPr>
          <w:rFonts w:hAnsi="宋体"/>
          <w:bCs/>
          <w:szCs w:val="21"/>
          <w:highlight w:val="none"/>
        </w:rPr>
      </w:pPr>
      <w:bookmarkStart w:id="39" w:name="_Toc191374422"/>
      <w:r>
        <w:rPr>
          <w:rFonts w:hint="eastAsia" w:hAnsi="宋体"/>
          <w:bCs/>
          <w:szCs w:val="21"/>
          <w:highlight w:val="none"/>
        </w:rPr>
        <w:t>26.2评标原则</w:t>
      </w:r>
      <w:bookmarkEnd w:id="39"/>
      <w:r>
        <w:rPr>
          <w:rFonts w:hint="eastAsia" w:hAnsi="宋体"/>
          <w:bCs/>
          <w:szCs w:val="21"/>
          <w:highlight w:val="none"/>
        </w:rPr>
        <w:t>及方法评标活动遵循客观、公正、审慎的原则，评审专家应当根据招标文</w:t>
      </w:r>
    </w:p>
    <w:p>
      <w:pPr>
        <w:pStyle w:val="15"/>
        <w:spacing w:line="360" w:lineRule="auto"/>
        <w:jc w:val="left"/>
        <w:rPr>
          <w:rFonts w:hAnsi="宋体"/>
          <w:bCs/>
          <w:szCs w:val="21"/>
          <w:highlight w:val="none"/>
        </w:rPr>
      </w:pPr>
      <w:r>
        <w:rPr>
          <w:rFonts w:hint="eastAsia" w:hAnsi="宋体"/>
          <w:bCs/>
          <w:szCs w:val="21"/>
          <w:highlight w:val="none"/>
        </w:rPr>
        <w:t>件规定的评审程序、评审方法和评审标准进行独立评审。</w:t>
      </w:r>
    </w:p>
    <w:p>
      <w:pPr>
        <w:pStyle w:val="15"/>
        <w:spacing w:line="360" w:lineRule="auto"/>
        <w:ind w:left="208" w:leftChars="99"/>
        <w:jc w:val="left"/>
        <w:rPr>
          <w:rFonts w:hAnsi="宋体"/>
          <w:bCs/>
          <w:szCs w:val="21"/>
          <w:highlight w:val="none"/>
        </w:rPr>
      </w:pPr>
      <w:r>
        <w:rPr>
          <w:rFonts w:hint="eastAsia" w:hAnsi="宋体"/>
          <w:bCs/>
          <w:szCs w:val="21"/>
          <w:highlight w:val="none"/>
        </w:rPr>
        <w:t>26.3评标方法</w:t>
      </w:r>
    </w:p>
    <w:p>
      <w:pPr>
        <w:spacing w:line="360" w:lineRule="auto"/>
        <w:ind w:firstLine="420" w:firstLineChars="200"/>
        <w:jc w:val="left"/>
        <w:rPr>
          <w:rFonts w:ascii="宋体" w:hAnsi="宋体"/>
          <w:szCs w:val="21"/>
          <w:highlight w:val="none"/>
        </w:rPr>
      </w:pPr>
      <w:r>
        <w:rPr>
          <w:rFonts w:hint="eastAsia" w:ascii="宋体" w:hAnsi="宋体"/>
          <w:szCs w:val="21"/>
          <w:highlight w:val="none"/>
        </w:rPr>
        <w:t>本项目按“</w:t>
      </w:r>
      <w:r>
        <w:rPr>
          <w:rFonts w:hint="eastAsia" w:ascii="宋体" w:hAnsi="宋体"/>
          <w:b/>
          <w:bCs/>
          <w:szCs w:val="21"/>
          <w:highlight w:val="none"/>
        </w:rPr>
        <w:t>投标人须知前附表</w:t>
      </w:r>
      <w:r>
        <w:rPr>
          <w:rFonts w:hint="eastAsia" w:ascii="宋体" w:hAnsi="宋体"/>
          <w:szCs w:val="21"/>
          <w:highlight w:val="none"/>
        </w:rPr>
        <w:t>”规定的评标方法评标。在评标中，不得改变</w:t>
      </w:r>
      <w:r>
        <w:rPr>
          <w:rFonts w:hint="eastAsia" w:ascii="宋体" w:hAnsi="宋体"/>
          <w:szCs w:val="21"/>
          <w:highlight w:val="none"/>
          <w:lang w:eastAsia="zh-CN"/>
        </w:rPr>
        <w:t>采购文件</w:t>
      </w:r>
      <w:r>
        <w:rPr>
          <w:rFonts w:hint="eastAsia" w:ascii="宋体" w:hAnsi="宋体"/>
          <w:szCs w:val="21"/>
          <w:highlight w:val="none"/>
        </w:rPr>
        <w:t>中规定的评标标准、方法和中标条件。第七章“</w:t>
      </w:r>
      <w:r>
        <w:rPr>
          <w:rFonts w:hint="eastAsia" w:ascii="宋体" w:hAnsi="宋体"/>
          <w:b/>
          <w:szCs w:val="21"/>
          <w:highlight w:val="none"/>
        </w:rPr>
        <w:t>评标方法</w:t>
      </w:r>
      <w:r>
        <w:rPr>
          <w:rFonts w:hint="eastAsia" w:ascii="宋体" w:hAnsi="宋体"/>
          <w:szCs w:val="21"/>
          <w:highlight w:val="none"/>
        </w:rPr>
        <w:t>”没有规定的评审因素和标准，不作为评标依据。</w:t>
      </w:r>
    </w:p>
    <w:p>
      <w:pPr>
        <w:pStyle w:val="15"/>
        <w:spacing w:line="360" w:lineRule="auto"/>
        <w:ind w:left="208" w:leftChars="99"/>
        <w:jc w:val="left"/>
        <w:rPr>
          <w:rFonts w:hAnsi="宋体"/>
          <w:bCs/>
          <w:szCs w:val="21"/>
          <w:highlight w:val="none"/>
        </w:rPr>
      </w:pPr>
      <w:r>
        <w:rPr>
          <w:rFonts w:hint="eastAsia" w:hAnsi="宋体"/>
          <w:bCs/>
          <w:szCs w:val="21"/>
          <w:highlight w:val="none"/>
        </w:rPr>
        <w:t>26.4评标应当在严格保密的情况下进行。 任何单位和个人不得非法干预、影响评标办法</w:t>
      </w:r>
    </w:p>
    <w:p>
      <w:pPr>
        <w:pStyle w:val="15"/>
        <w:spacing w:line="360" w:lineRule="auto"/>
        <w:jc w:val="left"/>
        <w:rPr>
          <w:rFonts w:hAnsi="宋体"/>
          <w:bCs/>
          <w:szCs w:val="21"/>
          <w:highlight w:val="none"/>
        </w:rPr>
      </w:pPr>
      <w:r>
        <w:rPr>
          <w:rFonts w:hint="eastAsia" w:hAnsi="宋体"/>
          <w:bCs/>
          <w:szCs w:val="21"/>
          <w:highlight w:val="none"/>
        </w:rPr>
        <w:t>的确定，以及评标过程和结果。评标委员会成员和与评标活动有关的人员在政府采购活动中应严格遵守政府采购评审工作纪律，不得向外界泄露评审情况。</w:t>
      </w:r>
    </w:p>
    <w:p>
      <w:pPr>
        <w:pStyle w:val="15"/>
        <w:spacing w:line="360" w:lineRule="auto"/>
        <w:ind w:left="208" w:leftChars="99"/>
        <w:jc w:val="left"/>
        <w:rPr>
          <w:rFonts w:hAnsi="宋体"/>
          <w:bCs/>
          <w:szCs w:val="21"/>
          <w:highlight w:val="none"/>
        </w:rPr>
      </w:pPr>
      <w:r>
        <w:rPr>
          <w:rFonts w:hint="eastAsia" w:hAnsi="宋体"/>
          <w:bCs/>
          <w:szCs w:val="21"/>
          <w:highlight w:val="none"/>
        </w:rPr>
        <w:t>26.5有下列情形之一的，属于投标人相互串通投标：</w:t>
      </w:r>
    </w:p>
    <w:p>
      <w:pPr>
        <w:pStyle w:val="15"/>
        <w:spacing w:line="360" w:lineRule="auto"/>
        <w:ind w:left="208" w:leftChars="99"/>
        <w:jc w:val="left"/>
        <w:rPr>
          <w:rFonts w:hAnsi="宋体"/>
          <w:bCs/>
          <w:szCs w:val="21"/>
          <w:highlight w:val="none"/>
        </w:rPr>
      </w:pPr>
      <w:r>
        <w:rPr>
          <w:rFonts w:hint="eastAsia" w:hAnsi="宋体"/>
          <w:bCs/>
          <w:szCs w:val="21"/>
          <w:highlight w:val="none"/>
        </w:rPr>
        <w:t>（一）投标人之间协商投标报价等投标文件的实质性内容；</w:t>
      </w:r>
    </w:p>
    <w:p>
      <w:pPr>
        <w:pStyle w:val="15"/>
        <w:spacing w:line="360" w:lineRule="auto"/>
        <w:ind w:left="208" w:leftChars="99"/>
        <w:jc w:val="left"/>
        <w:rPr>
          <w:rFonts w:hAnsi="宋体"/>
          <w:bCs/>
          <w:szCs w:val="21"/>
          <w:highlight w:val="none"/>
        </w:rPr>
      </w:pPr>
      <w:r>
        <w:rPr>
          <w:rFonts w:hint="eastAsia" w:hAnsi="宋体"/>
          <w:bCs/>
          <w:szCs w:val="21"/>
          <w:highlight w:val="none"/>
        </w:rPr>
        <w:t>（二）投标人之间约定中标人；</w:t>
      </w:r>
    </w:p>
    <w:p>
      <w:pPr>
        <w:pStyle w:val="15"/>
        <w:spacing w:line="360" w:lineRule="auto"/>
        <w:ind w:left="208" w:leftChars="99"/>
        <w:jc w:val="left"/>
        <w:rPr>
          <w:rFonts w:hAnsi="宋体"/>
          <w:bCs/>
          <w:szCs w:val="21"/>
          <w:highlight w:val="none"/>
        </w:rPr>
      </w:pPr>
      <w:r>
        <w:rPr>
          <w:rFonts w:hint="eastAsia" w:hAnsi="宋体"/>
          <w:bCs/>
          <w:szCs w:val="21"/>
          <w:highlight w:val="none"/>
        </w:rPr>
        <w:t>（三）投标人之间约定部分投标人放弃投标或者中标；</w:t>
      </w:r>
    </w:p>
    <w:p>
      <w:pPr>
        <w:pStyle w:val="15"/>
        <w:spacing w:line="360" w:lineRule="auto"/>
        <w:ind w:left="208" w:leftChars="99"/>
        <w:jc w:val="left"/>
        <w:rPr>
          <w:rFonts w:hAnsi="宋体"/>
          <w:bCs/>
          <w:szCs w:val="21"/>
          <w:highlight w:val="none"/>
        </w:rPr>
      </w:pPr>
      <w:r>
        <w:rPr>
          <w:rFonts w:hint="eastAsia" w:hAnsi="宋体"/>
          <w:bCs/>
          <w:szCs w:val="21"/>
          <w:highlight w:val="none"/>
        </w:rPr>
        <w:t>（四）属于同一集团、协会</w:t>
      </w:r>
      <w:r>
        <w:rPr>
          <w:rFonts w:hint="eastAsia" w:hAnsi="宋体"/>
          <w:bCs/>
          <w:szCs w:val="21"/>
          <w:highlight w:val="none"/>
          <w:lang w:eastAsia="zh-CN"/>
        </w:rPr>
        <w:t>、</w:t>
      </w:r>
      <w:r>
        <w:rPr>
          <w:rFonts w:hint="eastAsia" w:hAnsi="宋体"/>
          <w:bCs/>
          <w:szCs w:val="21"/>
          <w:highlight w:val="none"/>
        </w:rPr>
        <w:t>商会等组织成员的投标人按照该组织要求协同投标；</w:t>
      </w:r>
    </w:p>
    <w:p>
      <w:pPr>
        <w:pStyle w:val="15"/>
        <w:spacing w:line="360" w:lineRule="auto"/>
        <w:ind w:left="208" w:leftChars="99"/>
        <w:jc w:val="left"/>
        <w:rPr>
          <w:rFonts w:hAnsi="宋体"/>
          <w:bCs/>
          <w:szCs w:val="21"/>
          <w:highlight w:val="none"/>
        </w:rPr>
      </w:pPr>
      <w:r>
        <w:rPr>
          <w:rFonts w:hint="eastAsia" w:hAnsi="宋体"/>
          <w:bCs/>
          <w:szCs w:val="21"/>
          <w:highlight w:val="none"/>
        </w:rPr>
        <w:t>（五）投标人之间为谋取中标或者排斥特定投标人而采取的其他联合行动。</w:t>
      </w:r>
    </w:p>
    <w:p>
      <w:pPr>
        <w:pStyle w:val="15"/>
        <w:spacing w:line="360" w:lineRule="auto"/>
        <w:ind w:left="208" w:leftChars="99"/>
        <w:jc w:val="left"/>
        <w:rPr>
          <w:rFonts w:hAnsi="宋体"/>
          <w:bCs/>
          <w:szCs w:val="21"/>
          <w:highlight w:val="none"/>
        </w:rPr>
      </w:pPr>
      <w:r>
        <w:rPr>
          <w:rFonts w:hint="eastAsia" w:hAnsi="宋体"/>
          <w:bCs/>
          <w:szCs w:val="21"/>
          <w:highlight w:val="none"/>
        </w:rPr>
        <w:t>26.6有下列情形之一的，视为投标人串通投标，其投标无效：</w:t>
      </w:r>
    </w:p>
    <w:p>
      <w:pPr>
        <w:pStyle w:val="15"/>
        <w:spacing w:line="360" w:lineRule="auto"/>
        <w:ind w:left="208" w:leftChars="99"/>
        <w:jc w:val="left"/>
        <w:rPr>
          <w:rFonts w:hAnsi="宋体"/>
          <w:bCs/>
          <w:szCs w:val="21"/>
          <w:highlight w:val="none"/>
        </w:rPr>
      </w:pPr>
      <w:r>
        <w:rPr>
          <w:rFonts w:hint="eastAsia" w:hAnsi="宋体"/>
          <w:bCs/>
          <w:szCs w:val="21"/>
          <w:highlight w:val="none"/>
        </w:rPr>
        <w:t>（一）不同投标人的投标文件由同一单位或者个人编制；</w:t>
      </w:r>
    </w:p>
    <w:p>
      <w:pPr>
        <w:pStyle w:val="15"/>
        <w:spacing w:line="360" w:lineRule="auto"/>
        <w:ind w:left="208" w:leftChars="99"/>
        <w:jc w:val="left"/>
        <w:rPr>
          <w:rFonts w:hAnsi="宋体"/>
          <w:bCs/>
          <w:szCs w:val="21"/>
          <w:highlight w:val="none"/>
        </w:rPr>
      </w:pPr>
      <w:r>
        <w:rPr>
          <w:rFonts w:hint="eastAsia" w:hAnsi="宋体"/>
          <w:bCs/>
          <w:szCs w:val="21"/>
          <w:highlight w:val="none"/>
        </w:rPr>
        <w:t>（二）不同投标人委托同一单位或者个人办理投标事宜；</w:t>
      </w:r>
    </w:p>
    <w:p>
      <w:pPr>
        <w:pStyle w:val="15"/>
        <w:spacing w:line="360" w:lineRule="auto"/>
        <w:ind w:left="208" w:leftChars="99"/>
        <w:jc w:val="left"/>
        <w:rPr>
          <w:rFonts w:hAnsi="宋体"/>
          <w:bCs/>
          <w:szCs w:val="21"/>
          <w:highlight w:val="none"/>
        </w:rPr>
      </w:pPr>
      <w:r>
        <w:rPr>
          <w:rFonts w:hint="eastAsia" w:hAnsi="宋体"/>
          <w:bCs/>
          <w:szCs w:val="21"/>
          <w:highlight w:val="none"/>
        </w:rPr>
        <w:t>（三）不同投标人的投标文件载明的项目管理成员或者联系人员为同一人；</w:t>
      </w:r>
    </w:p>
    <w:p>
      <w:pPr>
        <w:pStyle w:val="15"/>
        <w:spacing w:line="360" w:lineRule="auto"/>
        <w:ind w:left="208" w:leftChars="99"/>
        <w:jc w:val="left"/>
        <w:rPr>
          <w:rFonts w:hAnsi="宋体"/>
          <w:bCs/>
          <w:szCs w:val="21"/>
          <w:highlight w:val="none"/>
        </w:rPr>
      </w:pPr>
      <w:r>
        <w:rPr>
          <w:rFonts w:hint="eastAsia" w:hAnsi="宋体"/>
          <w:bCs/>
          <w:szCs w:val="21"/>
          <w:highlight w:val="none"/>
        </w:rPr>
        <w:t>（四）不同投标人的投标文件异常一致或者投标报价呈规律性差异；</w:t>
      </w:r>
    </w:p>
    <w:p>
      <w:pPr>
        <w:pStyle w:val="15"/>
        <w:spacing w:line="360" w:lineRule="auto"/>
        <w:ind w:left="208" w:leftChars="99"/>
        <w:jc w:val="left"/>
        <w:rPr>
          <w:rFonts w:hAnsi="宋体"/>
          <w:bCs/>
          <w:szCs w:val="21"/>
          <w:highlight w:val="none"/>
        </w:rPr>
      </w:pPr>
      <w:r>
        <w:rPr>
          <w:rFonts w:hint="eastAsia" w:hAnsi="宋体"/>
          <w:bCs/>
          <w:szCs w:val="21"/>
          <w:highlight w:val="none"/>
        </w:rPr>
        <w:t>（五）不同投标人的投标文件相互混装；</w:t>
      </w:r>
    </w:p>
    <w:p>
      <w:pPr>
        <w:pStyle w:val="15"/>
        <w:spacing w:line="360" w:lineRule="auto"/>
        <w:ind w:left="208" w:leftChars="99"/>
        <w:jc w:val="left"/>
        <w:rPr>
          <w:rFonts w:hAnsi="宋体"/>
          <w:bCs/>
          <w:szCs w:val="21"/>
          <w:highlight w:val="none"/>
        </w:rPr>
      </w:pPr>
      <w:r>
        <w:rPr>
          <w:rFonts w:hint="eastAsia" w:hAnsi="宋体"/>
          <w:bCs/>
          <w:szCs w:val="21"/>
          <w:highlight w:val="none"/>
        </w:rPr>
        <w:t>（六）不同投标人的投标保证金从同一单位或者个人的账户转出。</w:t>
      </w:r>
    </w:p>
    <w:p>
      <w:pPr>
        <w:pStyle w:val="15"/>
        <w:spacing w:line="360" w:lineRule="auto"/>
        <w:ind w:left="208" w:leftChars="99"/>
        <w:jc w:val="left"/>
        <w:rPr>
          <w:rFonts w:hAnsi="宋体"/>
          <w:bCs/>
          <w:szCs w:val="21"/>
          <w:highlight w:val="none"/>
        </w:rPr>
      </w:pPr>
      <w:r>
        <w:rPr>
          <w:rFonts w:hint="eastAsia" w:hAnsi="宋体"/>
          <w:bCs/>
          <w:szCs w:val="21"/>
          <w:highlight w:val="none"/>
        </w:rPr>
        <w:t>26.7在评标过程中，评标委员会发现投标人有本须知第19、26.5、26.6条款及规定的情</w:t>
      </w:r>
    </w:p>
    <w:p>
      <w:pPr>
        <w:pStyle w:val="15"/>
        <w:spacing w:line="360" w:lineRule="auto"/>
        <w:jc w:val="left"/>
        <w:rPr>
          <w:rFonts w:hint="eastAsia" w:hAnsi="宋体"/>
          <w:bCs/>
          <w:szCs w:val="21"/>
          <w:highlight w:val="none"/>
        </w:rPr>
      </w:pPr>
      <w:r>
        <w:rPr>
          <w:rFonts w:hint="eastAsia" w:hAnsi="宋体"/>
          <w:bCs/>
          <w:szCs w:val="21"/>
          <w:highlight w:val="none"/>
        </w:rPr>
        <w:t>形，将认定其投标无效，并书面报告本级财政部门。</w:t>
      </w:r>
    </w:p>
    <w:p>
      <w:pPr>
        <w:spacing w:line="360" w:lineRule="auto"/>
        <w:ind w:firstLine="211" w:firstLineChars="100"/>
        <w:jc w:val="left"/>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26.8</w:t>
      </w:r>
      <w:r>
        <w:rPr>
          <w:rFonts w:hint="eastAsia" w:ascii="宋体" w:hAnsi="宋体" w:cs="宋体"/>
          <w:szCs w:val="21"/>
        </w:rPr>
        <w:t>若</w:t>
      </w:r>
      <w:r>
        <w:rPr>
          <w:rFonts w:hint="eastAsia" w:ascii="宋体" w:hAnsi="宋体" w:cs="宋体"/>
          <w:kern w:val="0"/>
          <w:szCs w:val="21"/>
        </w:rPr>
        <w:t>单个标段为非单一产品采购，对于</w:t>
      </w:r>
      <w:r>
        <w:rPr>
          <w:rFonts w:hint="eastAsia" w:ascii="宋体" w:hAnsi="宋体" w:cs="宋体"/>
          <w:kern w:val="0"/>
          <w:szCs w:val="21"/>
          <w:lang w:eastAsia="zh-CN"/>
        </w:rPr>
        <w:t>采购文件</w:t>
      </w:r>
      <w:r>
        <w:rPr>
          <w:rFonts w:hint="eastAsia" w:ascii="宋体" w:hAnsi="宋体" w:cs="宋体"/>
          <w:kern w:val="0"/>
          <w:szCs w:val="21"/>
        </w:rPr>
        <w:t>第五章规定的核心产品，多家投标人提供的核心产品品牌有一项品牌相同的，按前款规定处理。</w:t>
      </w:r>
    </w:p>
    <w:p>
      <w:pPr>
        <w:pStyle w:val="15"/>
        <w:spacing w:line="360" w:lineRule="auto"/>
        <w:ind w:left="208" w:leftChars="99"/>
        <w:jc w:val="left"/>
        <w:rPr>
          <w:rFonts w:hAnsi="宋体"/>
          <w:b/>
          <w:szCs w:val="21"/>
          <w:highlight w:val="none"/>
        </w:rPr>
      </w:pPr>
      <w:r>
        <w:rPr>
          <w:rFonts w:hint="eastAsia" w:hAnsi="宋体"/>
          <w:b/>
          <w:szCs w:val="21"/>
          <w:highlight w:val="none"/>
        </w:rPr>
        <w:t>27. 在招标采购中，出现下列情形之一的，应予</w:t>
      </w:r>
      <w:r>
        <w:rPr>
          <w:rFonts w:hint="eastAsia" w:hAnsi="宋体"/>
          <w:b/>
          <w:szCs w:val="21"/>
          <w:highlight w:val="none"/>
          <w:lang w:val="en-US" w:eastAsia="zh-CN"/>
        </w:rPr>
        <w:t>废标</w:t>
      </w:r>
      <w:r>
        <w:rPr>
          <w:rFonts w:hint="eastAsia" w:hAnsi="宋体"/>
          <w:b/>
          <w:szCs w:val="21"/>
          <w:highlight w:val="none"/>
        </w:rPr>
        <w:t>：</w:t>
      </w:r>
    </w:p>
    <w:p>
      <w:pPr>
        <w:pStyle w:val="15"/>
        <w:spacing w:line="360" w:lineRule="auto"/>
        <w:ind w:left="208" w:leftChars="99"/>
        <w:jc w:val="left"/>
        <w:rPr>
          <w:rFonts w:hAnsi="宋体"/>
          <w:b/>
          <w:szCs w:val="21"/>
          <w:highlight w:val="none"/>
        </w:rPr>
      </w:pPr>
      <w:r>
        <w:rPr>
          <w:rFonts w:hint="eastAsia" w:hAnsi="宋体"/>
          <w:b/>
          <w:szCs w:val="21"/>
          <w:highlight w:val="none"/>
        </w:rPr>
        <w:t>(1)符合专业条件的投标人或者对</w:t>
      </w:r>
      <w:r>
        <w:rPr>
          <w:rFonts w:hint="eastAsia" w:hAnsi="宋体"/>
          <w:b/>
          <w:szCs w:val="21"/>
          <w:highlight w:val="none"/>
          <w:lang w:eastAsia="zh-CN"/>
        </w:rPr>
        <w:t>采购文件</w:t>
      </w:r>
      <w:r>
        <w:rPr>
          <w:rFonts w:hint="eastAsia" w:hAnsi="宋体"/>
          <w:b/>
          <w:szCs w:val="21"/>
          <w:highlight w:val="none"/>
        </w:rPr>
        <w:t>作实质响应的投标人不足3家的；</w:t>
      </w:r>
    </w:p>
    <w:p>
      <w:pPr>
        <w:pStyle w:val="15"/>
        <w:spacing w:line="360" w:lineRule="auto"/>
        <w:ind w:left="208" w:leftChars="99"/>
        <w:jc w:val="left"/>
        <w:rPr>
          <w:rFonts w:hAnsi="宋体"/>
          <w:b/>
          <w:szCs w:val="21"/>
          <w:highlight w:val="none"/>
        </w:rPr>
      </w:pPr>
      <w:r>
        <w:rPr>
          <w:rFonts w:hint="eastAsia" w:hAnsi="宋体"/>
          <w:b/>
          <w:szCs w:val="21"/>
          <w:highlight w:val="none"/>
        </w:rPr>
        <w:t>(2)出现影响采购公正的违法、违规行为的；</w:t>
      </w:r>
    </w:p>
    <w:p>
      <w:pPr>
        <w:pStyle w:val="15"/>
        <w:spacing w:line="360" w:lineRule="auto"/>
        <w:ind w:left="208" w:leftChars="99"/>
        <w:jc w:val="left"/>
        <w:rPr>
          <w:rFonts w:hAnsi="宋体"/>
          <w:b/>
          <w:szCs w:val="21"/>
          <w:highlight w:val="none"/>
        </w:rPr>
      </w:pPr>
      <w:r>
        <w:rPr>
          <w:rFonts w:hint="eastAsia" w:hAnsi="宋体"/>
          <w:b/>
          <w:szCs w:val="21"/>
          <w:highlight w:val="none"/>
        </w:rPr>
        <w:t>(3)投标人的报价均超过了采购预算，</w:t>
      </w:r>
      <w:r>
        <w:rPr>
          <w:rFonts w:hint="eastAsia" w:hAnsi="宋体"/>
          <w:b/>
          <w:szCs w:val="21"/>
          <w:highlight w:val="none"/>
          <w:lang w:eastAsia="zh-CN"/>
        </w:rPr>
        <w:t>采购人</w:t>
      </w:r>
      <w:r>
        <w:rPr>
          <w:rFonts w:hint="eastAsia" w:hAnsi="宋体"/>
          <w:b/>
          <w:szCs w:val="21"/>
          <w:highlight w:val="none"/>
        </w:rPr>
        <w:t>不能支付的；</w:t>
      </w:r>
    </w:p>
    <w:p>
      <w:pPr>
        <w:pStyle w:val="15"/>
        <w:spacing w:line="360" w:lineRule="auto"/>
        <w:ind w:left="208" w:leftChars="99"/>
        <w:jc w:val="left"/>
        <w:rPr>
          <w:rFonts w:hAnsi="宋体"/>
          <w:b/>
          <w:szCs w:val="21"/>
          <w:highlight w:val="none"/>
        </w:rPr>
      </w:pPr>
      <w:r>
        <w:rPr>
          <w:rFonts w:hint="eastAsia" w:hAnsi="宋体"/>
          <w:b/>
          <w:szCs w:val="21"/>
          <w:highlight w:val="none"/>
        </w:rPr>
        <w:t>(4)因重大变故，采购任务取消的。</w:t>
      </w:r>
    </w:p>
    <w:p>
      <w:pPr>
        <w:pStyle w:val="15"/>
        <w:spacing w:line="360" w:lineRule="auto"/>
        <w:ind w:firstLine="422" w:firstLineChars="200"/>
        <w:jc w:val="left"/>
        <w:rPr>
          <w:rFonts w:hint="default" w:ascii="Times New Roman" w:hAnsi="Times New Roman" w:eastAsia="宋体" w:cs="Times New Roman"/>
          <w:bCs/>
          <w:color w:val="auto"/>
          <w:szCs w:val="21"/>
          <w:highlight w:val="none"/>
        </w:rPr>
      </w:pPr>
      <w:r>
        <w:rPr>
          <w:rFonts w:hint="eastAsia" w:hAnsi="宋体"/>
          <w:b/>
          <w:szCs w:val="21"/>
          <w:highlight w:val="none"/>
        </w:rPr>
        <w:t>否决后，</w:t>
      </w:r>
      <w:r>
        <w:rPr>
          <w:rFonts w:hint="eastAsia" w:hAnsi="宋体"/>
          <w:b/>
          <w:szCs w:val="21"/>
          <w:highlight w:val="none"/>
          <w:lang w:eastAsia="zh-CN"/>
        </w:rPr>
        <w:t>采购人</w:t>
      </w:r>
      <w:r>
        <w:rPr>
          <w:rFonts w:hint="eastAsia" w:hAnsi="宋体"/>
          <w:b/>
          <w:szCs w:val="21"/>
          <w:highlight w:val="none"/>
        </w:rPr>
        <w:t>应当将否决理由通知所有投标人。</w:t>
      </w:r>
      <w:r>
        <w:rPr>
          <w:rFonts w:hint="eastAsia" w:ascii="Times New Roman" w:hAnsi="Times New Roman" w:eastAsia="宋体" w:cs="Times New Roman"/>
          <w:bCs/>
          <w:color w:val="auto"/>
          <w:szCs w:val="21"/>
          <w:highlight w:val="none"/>
        </w:rPr>
        <w:t>采购过程中出现以下情形，导致电子交易平台无法正常运行，或者无法保证电子交易的公平、公正和安全时，采购代理机构可中止电子交易活动：</w:t>
      </w:r>
    </w:p>
    <w:p>
      <w:pPr>
        <w:pStyle w:val="15"/>
        <w:spacing w:line="360" w:lineRule="auto"/>
        <w:ind w:firstLine="210" w:firstLineChars="100"/>
        <w:rPr>
          <w:rFonts w:hint="default"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（1）电子交易平台发生故障而无法登录访问的；</w:t>
      </w:r>
    </w:p>
    <w:p>
      <w:pPr>
        <w:pStyle w:val="15"/>
        <w:spacing w:line="360" w:lineRule="auto"/>
        <w:ind w:firstLine="210" w:firstLineChars="100"/>
        <w:rPr>
          <w:rFonts w:hint="default"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（2）电子交易平台应用或数据库出现错误，不能进行正常操作的；</w:t>
      </w:r>
    </w:p>
    <w:p>
      <w:pPr>
        <w:pStyle w:val="15"/>
        <w:spacing w:line="360" w:lineRule="auto"/>
        <w:ind w:firstLine="210" w:firstLineChars="100"/>
        <w:rPr>
          <w:rFonts w:hint="default"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（3）电子交易平台发现严重安全漏洞，有潜在泄密危险的；</w:t>
      </w:r>
    </w:p>
    <w:p>
      <w:pPr>
        <w:pStyle w:val="15"/>
        <w:spacing w:line="360" w:lineRule="auto"/>
        <w:ind w:firstLine="210" w:firstLineChars="100"/>
        <w:rPr>
          <w:rFonts w:hint="default"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（4）病毒发作导致不能进行正常操作的；</w:t>
      </w:r>
    </w:p>
    <w:p>
      <w:pPr>
        <w:pStyle w:val="15"/>
        <w:spacing w:line="360" w:lineRule="auto"/>
        <w:ind w:firstLine="210" w:firstLineChars="100"/>
      </w:pPr>
      <w:r>
        <w:rPr>
          <w:rFonts w:hint="eastAsia" w:ascii="Times New Roman" w:hAnsi="Times New Roman" w:eastAsia="宋体" w:cs="Times New Roman"/>
          <w:bCs/>
          <w:color w:val="auto"/>
          <w:szCs w:val="21"/>
          <w:highlight w:val="none"/>
        </w:rPr>
        <w:t>（5）其他无法保证电子交易的公平、公正和安全的情况。</w:t>
      </w:r>
    </w:p>
    <w:p>
      <w:pPr>
        <w:pStyle w:val="3"/>
        <w:numPr>
          <w:ilvl w:val="0"/>
          <w:numId w:val="0"/>
        </w:numPr>
        <w:ind w:left="425"/>
        <w:jc w:val="center"/>
        <w:rPr>
          <w:rFonts w:ascii="宋体" w:hAnsi="宋体" w:eastAsia="宋体"/>
          <w:bCs/>
          <w:kern w:val="44"/>
          <w:szCs w:val="28"/>
          <w:highlight w:val="none"/>
        </w:rPr>
      </w:pPr>
      <w:bookmarkStart w:id="40" w:name="_Toc11931"/>
      <w:bookmarkStart w:id="41" w:name="_Toc12941"/>
      <w:r>
        <w:rPr>
          <w:rFonts w:hint="eastAsia" w:ascii="宋体" w:hAnsi="宋体" w:eastAsia="宋体"/>
          <w:bCs/>
          <w:kern w:val="44"/>
          <w:szCs w:val="28"/>
          <w:highlight w:val="none"/>
        </w:rPr>
        <w:t>六、中标结果</w:t>
      </w:r>
      <w:bookmarkEnd w:id="40"/>
      <w:bookmarkEnd w:id="41"/>
    </w:p>
    <w:p>
      <w:pPr>
        <w:pStyle w:val="15"/>
        <w:spacing w:line="360" w:lineRule="auto"/>
        <w:rPr>
          <w:rFonts w:hAnsi="宋体"/>
          <w:b/>
          <w:szCs w:val="21"/>
          <w:highlight w:val="none"/>
        </w:rPr>
      </w:pPr>
      <w:r>
        <w:rPr>
          <w:rFonts w:hint="eastAsia" w:hAnsi="宋体"/>
          <w:b/>
          <w:szCs w:val="21"/>
          <w:highlight w:val="none"/>
        </w:rPr>
        <w:t>28. 中标人的确定</w:t>
      </w:r>
    </w:p>
    <w:p>
      <w:pPr>
        <w:pStyle w:val="15"/>
        <w:spacing w:line="360" w:lineRule="auto"/>
        <w:ind w:firstLine="210" w:firstLineChars="100"/>
        <w:jc w:val="left"/>
        <w:rPr>
          <w:rFonts w:hAnsi="宋体"/>
          <w:bCs/>
          <w:szCs w:val="21"/>
          <w:highlight w:val="none"/>
        </w:rPr>
      </w:pPr>
      <w:r>
        <w:rPr>
          <w:rFonts w:hint="eastAsia" w:hAnsi="宋体" w:cs="宋体"/>
          <w:color w:val="auto"/>
          <w:szCs w:val="21"/>
          <w:highlight w:val="none"/>
          <w:lang w:val="en-US" w:eastAsia="zh-CN"/>
        </w:rPr>
        <w:t>28.1</w:t>
      </w:r>
      <w:r>
        <w:rPr>
          <w:rFonts w:hint="eastAsia" w:ascii="宋体" w:hAnsi="宋体" w:cs="宋体"/>
          <w:color w:val="auto"/>
          <w:szCs w:val="21"/>
          <w:highlight w:val="none"/>
        </w:rPr>
        <w:t>根据评标委员会给出的评审综合得分由高到低对</w:t>
      </w:r>
      <w:r>
        <w:rPr>
          <w:rFonts w:hint="eastAsia" w:hAnsi="宋体" w:cs="宋体"/>
          <w:color w:val="auto"/>
          <w:szCs w:val="21"/>
          <w:highlight w:val="none"/>
          <w:lang w:val="en-US" w:eastAsia="zh-CN"/>
        </w:rPr>
        <w:t>投标人</w:t>
      </w:r>
      <w:r>
        <w:rPr>
          <w:rFonts w:hint="eastAsia" w:ascii="宋体" w:hAnsi="宋体" w:cs="宋体"/>
          <w:color w:val="auto"/>
          <w:szCs w:val="21"/>
          <w:highlight w:val="none"/>
        </w:rPr>
        <w:t>进行推荐排序三名中标候选</w:t>
      </w:r>
      <w:r>
        <w:rPr>
          <w:rFonts w:hint="eastAsia" w:hAnsi="宋体" w:cs="宋体"/>
          <w:color w:val="auto"/>
          <w:szCs w:val="21"/>
          <w:highlight w:val="none"/>
          <w:lang w:eastAsia="zh-CN"/>
        </w:rPr>
        <w:t>投标人</w:t>
      </w:r>
      <w:r>
        <w:rPr>
          <w:rFonts w:hint="eastAsia" w:ascii="宋体" w:hAnsi="宋体" w:cs="宋体"/>
          <w:color w:val="auto"/>
          <w:szCs w:val="21"/>
          <w:highlight w:val="none"/>
        </w:rPr>
        <w:t>，并由采购人确定第一中标候选</w:t>
      </w:r>
      <w:r>
        <w:rPr>
          <w:rFonts w:hint="eastAsia" w:hAnsi="宋体" w:cs="宋体"/>
          <w:color w:val="auto"/>
          <w:szCs w:val="21"/>
          <w:highlight w:val="none"/>
          <w:lang w:val="en-US" w:eastAsia="zh-CN"/>
        </w:rPr>
        <w:t>人</w:t>
      </w:r>
      <w:r>
        <w:rPr>
          <w:rFonts w:hint="eastAsia" w:ascii="宋体" w:hAnsi="宋体" w:cs="宋体"/>
          <w:color w:val="auto"/>
          <w:szCs w:val="21"/>
          <w:highlight w:val="none"/>
        </w:rPr>
        <w:t>为中标人</w:t>
      </w:r>
      <w:r>
        <w:rPr>
          <w:rFonts w:hint="eastAsia" w:hAnsi="宋体"/>
          <w:bCs/>
          <w:szCs w:val="21"/>
          <w:highlight w:val="none"/>
        </w:rPr>
        <w:t>。</w:t>
      </w:r>
    </w:p>
    <w:p>
      <w:pPr>
        <w:pStyle w:val="15"/>
        <w:spacing w:line="360" w:lineRule="auto"/>
        <w:rPr>
          <w:rFonts w:hint="eastAsia" w:hAnsi="宋体" w:eastAsia="宋体"/>
          <w:b/>
          <w:bCs/>
          <w:szCs w:val="21"/>
          <w:highlight w:val="none"/>
          <w:lang w:eastAsia="zh-CN"/>
        </w:rPr>
      </w:pPr>
      <w:r>
        <w:rPr>
          <w:rFonts w:hint="eastAsia" w:hAnsi="宋体"/>
          <w:b/>
          <w:bCs/>
          <w:szCs w:val="21"/>
          <w:highlight w:val="none"/>
        </w:rPr>
        <w:t>29. 中标通知书</w:t>
      </w:r>
      <w:r>
        <w:rPr>
          <w:rFonts w:hint="eastAsia" w:hAnsi="宋体"/>
          <w:b/>
          <w:bCs/>
          <w:szCs w:val="21"/>
          <w:highlight w:val="none"/>
          <w:lang w:eastAsia="zh-CN"/>
        </w:rPr>
        <w:t>（</w:t>
      </w:r>
      <w:r>
        <w:rPr>
          <w:rFonts w:hint="eastAsia" w:hAnsi="宋体"/>
          <w:b/>
          <w:bCs/>
          <w:szCs w:val="21"/>
          <w:highlight w:val="none"/>
          <w:lang w:val="en-US" w:eastAsia="zh-CN"/>
        </w:rPr>
        <w:t>成交通知书</w:t>
      </w:r>
      <w:r>
        <w:rPr>
          <w:rFonts w:hint="eastAsia" w:hAnsi="宋体"/>
          <w:b/>
          <w:bCs/>
          <w:szCs w:val="21"/>
          <w:highlight w:val="none"/>
          <w:lang w:eastAsia="zh-CN"/>
        </w:rPr>
        <w:t>）</w:t>
      </w:r>
    </w:p>
    <w:p>
      <w:pPr>
        <w:pStyle w:val="15"/>
        <w:keepNext w:val="0"/>
        <w:keepLines w:val="0"/>
        <w:pageBreakBefore w:val="0"/>
        <w:widowControl w:val="0"/>
        <w:kinsoku/>
        <w:wordWrap/>
        <w:overflowPunct/>
        <w:topLinePunct w:val="0"/>
        <w:autoSpaceDE/>
        <w:autoSpaceDN/>
        <w:bidi w:val="0"/>
        <w:adjustRightInd/>
        <w:snapToGrid/>
        <w:spacing w:line="360" w:lineRule="auto"/>
        <w:ind w:left="0" w:leftChars="0" w:firstLine="210" w:firstLineChars="100"/>
        <w:jc w:val="left"/>
        <w:textAlignment w:val="auto"/>
        <w:rPr>
          <w:rFonts w:hAnsi="宋体"/>
          <w:bCs/>
          <w:szCs w:val="21"/>
          <w:highlight w:val="none"/>
        </w:rPr>
      </w:pPr>
      <w:r>
        <w:rPr>
          <w:rFonts w:hint="eastAsia" w:hAnsi="宋体"/>
          <w:bCs/>
          <w:szCs w:val="21"/>
          <w:highlight w:val="none"/>
        </w:rPr>
        <w:t>29.1中标人确定</w:t>
      </w:r>
      <w:r>
        <w:rPr>
          <w:rFonts w:hint="eastAsia" w:hAnsi="宋体"/>
          <w:bCs/>
          <w:szCs w:val="21"/>
          <w:highlight w:val="none"/>
          <w:lang w:val="en-US" w:eastAsia="zh-CN"/>
        </w:rPr>
        <w:t>后</w:t>
      </w:r>
      <w:r>
        <w:rPr>
          <w:rFonts w:hint="eastAsia" w:hAnsi="宋体"/>
          <w:bCs/>
          <w:szCs w:val="21"/>
          <w:highlight w:val="none"/>
        </w:rPr>
        <w:t>，</w:t>
      </w:r>
      <w:r>
        <w:rPr>
          <w:rFonts w:hint="eastAsia" w:hAnsi="宋体"/>
          <w:bCs/>
          <w:szCs w:val="21"/>
          <w:highlight w:val="none"/>
          <w:lang w:eastAsia="zh-CN"/>
        </w:rPr>
        <w:t>采购代理机构</w:t>
      </w:r>
      <w:r>
        <w:rPr>
          <w:rFonts w:hint="eastAsia" w:hAnsi="宋体"/>
          <w:bCs/>
          <w:szCs w:val="21"/>
          <w:highlight w:val="none"/>
        </w:rPr>
        <w:t>在省级以上财政部门指定的媒体上公告中标结果，同时向中标人发出中标通知书</w:t>
      </w:r>
      <w:r>
        <w:rPr>
          <w:rFonts w:hint="eastAsia" w:hAnsi="宋体"/>
          <w:bCs/>
          <w:szCs w:val="21"/>
          <w:highlight w:val="none"/>
          <w:lang w:eastAsia="zh-CN"/>
        </w:rPr>
        <w:t>（</w:t>
      </w:r>
      <w:r>
        <w:rPr>
          <w:rFonts w:hint="eastAsia" w:hAnsi="宋体"/>
          <w:bCs/>
          <w:szCs w:val="21"/>
          <w:highlight w:val="none"/>
          <w:lang w:val="en-US" w:eastAsia="zh-CN"/>
        </w:rPr>
        <w:t>成交通知书</w:t>
      </w:r>
      <w:r>
        <w:rPr>
          <w:rFonts w:hint="eastAsia" w:hAnsi="宋体"/>
          <w:bCs/>
          <w:szCs w:val="21"/>
          <w:highlight w:val="none"/>
          <w:lang w:eastAsia="zh-CN"/>
        </w:rPr>
        <w:t>）</w:t>
      </w:r>
      <w:r>
        <w:rPr>
          <w:rFonts w:hint="eastAsia" w:hAnsi="宋体"/>
          <w:bCs/>
          <w:szCs w:val="21"/>
          <w:highlight w:val="none"/>
        </w:rPr>
        <w:t>。</w:t>
      </w:r>
    </w:p>
    <w:p>
      <w:pPr>
        <w:pStyle w:val="15"/>
        <w:spacing w:line="360" w:lineRule="auto"/>
        <w:ind w:left="208" w:leftChars="99"/>
        <w:jc w:val="left"/>
        <w:rPr>
          <w:rFonts w:hAnsi="宋体"/>
          <w:bCs/>
          <w:szCs w:val="21"/>
          <w:highlight w:val="none"/>
        </w:rPr>
      </w:pPr>
      <w:r>
        <w:rPr>
          <w:rFonts w:hint="eastAsia" w:hAnsi="宋体"/>
          <w:bCs/>
          <w:szCs w:val="21"/>
          <w:highlight w:val="none"/>
        </w:rPr>
        <w:t>29.2中标通知书</w:t>
      </w:r>
      <w:r>
        <w:rPr>
          <w:rFonts w:hint="eastAsia" w:hAnsi="宋体"/>
          <w:bCs/>
          <w:szCs w:val="21"/>
          <w:highlight w:val="none"/>
          <w:lang w:eastAsia="zh-CN"/>
        </w:rPr>
        <w:t>（</w:t>
      </w:r>
      <w:r>
        <w:rPr>
          <w:rFonts w:hint="eastAsia" w:hAnsi="宋体"/>
          <w:bCs/>
          <w:szCs w:val="21"/>
          <w:highlight w:val="none"/>
          <w:lang w:val="en-US" w:eastAsia="zh-CN"/>
        </w:rPr>
        <w:t>成交通知书</w:t>
      </w:r>
      <w:r>
        <w:rPr>
          <w:rFonts w:hint="eastAsia" w:hAnsi="宋体"/>
          <w:bCs/>
          <w:szCs w:val="21"/>
          <w:highlight w:val="none"/>
          <w:lang w:eastAsia="zh-CN"/>
        </w:rPr>
        <w:t>）</w:t>
      </w:r>
      <w:r>
        <w:rPr>
          <w:rFonts w:hint="eastAsia" w:hAnsi="宋体"/>
          <w:bCs/>
          <w:szCs w:val="21"/>
          <w:highlight w:val="none"/>
        </w:rPr>
        <w:t>是合同的一个组成部分。</w:t>
      </w:r>
    </w:p>
    <w:p>
      <w:pPr>
        <w:pStyle w:val="15"/>
        <w:spacing w:line="360" w:lineRule="auto"/>
        <w:rPr>
          <w:rFonts w:hAnsi="宋体"/>
          <w:b/>
          <w:bCs/>
          <w:szCs w:val="21"/>
          <w:highlight w:val="none"/>
        </w:rPr>
      </w:pPr>
      <w:r>
        <w:rPr>
          <w:rFonts w:hint="eastAsia" w:hAnsi="宋体"/>
          <w:b/>
          <w:bCs/>
          <w:szCs w:val="21"/>
          <w:highlight w:val="none"/>
        </w:rPr>
        <w:t>30. 签订合同</w:t>
      </w:r>
    </w:p>
    <w:p>
      <w:pPr>
        <w:pStyle w:val="15"/>
        <w:spacing w:line="360" w:lineRule="auto"/>
        <w:ind w:left="208" w:leftChars="99"/>
        <w:jc w:val="left"/>
        <w:rPr>
          <w:rFonts w:hAnsi="宋体"/>
          <w:bCs/>
          <w:szCs w:val="21"/>
          <w:highlight w:val="none"/>
        </w:rPr>
      </w:pPr>
      <w:r>
        <w:rPr>
          <w:rFonts w:hint="eastAsia" w:hAnsi="宋体"/>
          <w:bCs/>
          <w:szCs w:val="21"/>
          <w:highlight w:val="none"/>
        </w:rPr>
        <w:t>30.1</w:t>
      </w:r>
      <w:r>
        <w:rPr>
          <w:rFonts w:hint="eastAsia" w:hAnsi="宋体"/>
          <w:bCs/>
          <w:szCs w:val="21"/>
          <w:highlight w:val="none"/>
          <w:lang w:eastAsia="zh-CN"/>
        </w:rPr>
        <w:t>采购人</w:t>
      </w:r>
      <w:r>
        <w:rPr>
          <w:rFonts w:hint="eastAsia" w:hAnsi="宋体"/>
          <w:bCs/>
          <w:szCs w:val="21"/>
          <w:highlight w:val="none"/>
        </w:rPr>
        <w:t>与中标人应当在中标通知书发出之日起30日内，按照</w:t>
      </w:r>
      <w:r>
        <w:rPr>
          <w:rFonts w:hint="eastAsia" w:hAnsi="宋体"/>
          <w:bCs/>
          <w:szCs w:val="21"/>
          <w:highlight w:val="none"/>
          <w:lang w:eastAsia="zh-CN"/>
        </w:rPr>
        <w:t>采购文件</w:t>
      </w:r>
      <w:r>
        <w:rPr>
          <w:rFonts w:hint="eastAsia" w:hAnsi="宋体"/>
          <w:bCs/>
          <w:szCs w:val="21"/>
          <w:highlight w:val="none"/>
        </w:rPr>
        <w:t>和中标人投标</w:t>
      </w:r>
    </w:p>
    <w:p>
      <w:pPr>
        <w:pStyle w:val="15"/>
        <w:spacing w:line="360" w:lineRule="auto"/>
        <w:jc w:val="left"/>
        <w:rPr>
          <w:rFonts w:hAnsi="宋体"/>
          <w:bCs/>
          <w:szCs w:val="21"/>
          <w:highlight w:val="none"/>
        </w:rPr>
      </w:pPr>
      <w:r>
        <w:rPr>
          <w:rFonts w:hint="eastAsia" w:hAnsi="宋体"/>
          <w:bCs/>
          <w:szCs w:val="21"/>
          <w:highlight w:val="none"/>
        </w:rPr>
        <w:t>文件的规定签订政府采购合同。</w:t>
      </w:r>
    </w:p>
    <w:p>
      <w:pPr>
        <w:pStyle w:val="15"/>
        <w:spacing w:line="360" w:lineRule="auto"/>
        <w:ind w:left="208" w:leftChars="99"/>
        <w:jc w:val="left"/>
        <w:rPr>
          <w:rFonts w:hint="eastAsia" w:hAnsi="宋体" w:eastAsia="宋体"/>
          <w:bCs/>
          <w:szCs w:val="21"/>
          <w:highlight w:val="none"/>
          <w:lang w:eastAsia="zh-CN"/>
        </w:rPr>
      </w:pPr>
      <w:r>
        <w:rPr>
          <w:rFonts w:hint="eastAsia" w:hAnsi="宋体"/>
          <w:bCs/>
          <w:szCs w:val="21"/>
          <w:highlight w:val="none"/>
        </w:rPr>
        <w:t>30.2中标人因不可抗力或者自身原因不能履行政府采购合同的，或中标人拒绝与</w:t>
      </w:r>
      <w:r>
        <w:rPr>
          <w:rFonts w:hint="eastAsia" w:hAnsi="宋体"/>
          <w:bCs/>
          <w:szCs w:val="21"/>
          <w:highlight w:val="none"/>
          <w:lang w:eastAsia="zh-CN"/>
        </w:rPr>
        <w:t>采购人</w:t>
      </w:r>
    </w:p>
    <w:p>
      <w:pPr>
        <w:pStyle w:val="15"/>
        <w:spacing w:line="360" w:lineRule="auto"/>
        <w:jc w:val="left"/>
        <w:rPr>
          <w:rFonts w:hAnsi="宋体"/>
          <w:bCs/>
          <w:szCs w:val="21"/>
          <w:highlight w:val="none"/>
        </w:rPr>
      </w:pPr>
      <w:r>
        <w:rPr>
          <w:rFonts w:hint="eastAsia" w:hAnsi="宋体"/>
          <w:bCs/>
          <w:szCs w:val="21"/>
          <w:highlight w:val="none"/>
        </w:rPr>
        <w:t>签订合同的，</w:t>
      </w:r>
      <w:r>
        <w:rPr>
          <w:rFonts w:hint="eastAsia" w:hAnsi="宋体"/>
          <w:bCs/>
          <w:szCs w:val="21"/>
          <w:highlight w:val="none"/>
          <w:lang w:eastAsia="zh-CN"/>
        </w:rPr>
        <w:t>采购人</w:t>
      </w:r>
      <w:r>
        <w:rPr>
          <w:rFonts w:hint="eastAsia" w:hAnsi="宋体"/>
          <w:bCs/>
          <w:szCs w:val="21"/>
          <w:highlight w:val="none"/>
        </w:rPr>
        <w:t>可以按照评标报告推荐的中标候选人名单排序，确定下一候选人为中标人，也可以重新开展政府采购活动。</w:t>
      </w:r>
    </w:p>
    <w:p>
      <w:pPr>
        <w:pStyle w:val="15"/>
        <w:spacing w:line="360" w:lineRule="auto"/>
        <w:ind w:left="208" w:leftChars="99"/>
        <w:jc w:val="left"/>
        <w:rPr>
          <w:rFonts w:hAnsi="宋体"/>
          <w:bCs/>
          <w:szCs w:val="21"/>
          <w:highlight w:val="none"/>
        </w:rPr>
      </w:pPr>
      <w:r>
        <w:rPr>
          <w:rFonts w:hint="eastAsia" w:hAnsi="宋体"/>
          <w:bCs/>
          <w:szCs w:val="21"/>
          <w:highlight w:val="none"/>
        </w:rPr>
        <w:t>30.3政府采购合同履行中，</w:t>
      </w:r>
      <w:r>
        <w:rPr>
          <w:rFonts w:hint="eastAsia" w:hAnsi="宋体"/>
          <w:bCs/>
          <w:szCs w:val="21"/>
          <w:highlight w:val="none"/>
          <w:lang w:eastAsia="zh-CN"/>
        </w:rPr>
        <w:t>采购人</w:t>
      </w:r>
      <w:r>
        <w:rPr>
          <w:rFonts w:hint="eastAsia" w:hAnsi="宋体"/>
          <w:bCs/>
          <w:szCs w:val="21"/>
          <w:highlight w:val="none"/>
        </w:rPr>
        <w:t>需追加与合同标的相同的货物的，在不改变合同其他</w:t>
      </w:r>
    </w:p>
    <w:p>
      <w:pPr>
        <w:pStyle w:val="15"/>
        <w:spacing w:line="360" w:lineRule="auto"/>
        <w:jc w:val="left"/>
        <w:rPr>
          <w:rFonts w:hAnsi="宋体"/>
          <w:bCs/>
          <w:szCs w:val="21"/>
          <w:highlight w:val="none"/>
        </w:rPr>
      </w:pPr>
      <w:r>
        <w:rPr>
          <w:rFonts w:hint="eastAsia" w:hAnsi="宋体"/>
          <w:bCs/>
          <w:szCs w:val="21"/>
          <w:highlight w:val="none"/>
        </w:rPr>
        <w:t>条款的前提下，可以与中标人协商签订补充合同，但所有补充合同的采购金额不得超过原合同采购金额的百分之十。</w:t>
      </w:r>
    </w:p>
    <w:p>
      <w:pPr>
        <w:pStyle w:val="15"/>
        <w:spacing w:line="360" w:lineRule="auto"/>
        <w:rPr>
          <w:rFonts w:hAnsi="宋体"/>
          <w:b/>
          <w:bCs/>
          <w:szCs w:val="21"/>
          <w:highlight w:val="none"/>
        </w:rPr>
      </w:pPr>
      <w:r>
        <w:rPr>
          <w:rFonts w:hAnsi="宋体"/>
          <w:b/>
          <w:bCs/>
          <w:szCs w:val="21"/>
          <w:highlight w:val="none"/>
        </w:rPr>
        <w:t>3</w:t>
      </w:r>
      <w:r>
        <w:rPr>
          <w:rFonts w:hint="eastAsia" w:hAnsi="宋体"/>
          <w:b/>
          <w:bCs/>
          <w:szCs w:val="21"/>
          <w:highlight w:val="none"/>
        </w:rPr>
        <w:t>1. 履约担保</w:t>
      </w:r>
    </w:p>
    <w:p>
      <w:pPr>
        <w:pStyle w:val="15"/>
        <w:spacing w:line="360" w:lineRule="auto"/>
        <w:ind w:left="208" w:leftChars="99"/>
        <w:jc w:val="left"/>
        <w:rPr>
          <w:rFonts w:hAnsi="宋体"/>
          <w:bCs/>
          <w:szCs w:val="21"/>
          <w:highlight w:val="none"/>
        </w:rPr>
      </w:pPr>
      <w:r>
        <w:rPr>
          <w:rFonts w:hAnsi="宋体"/>
          <w:szCs w:val="21"/>
          <w:highlight w:val="none"/>
        </w:rPr>
        <w:t>3</w:t>
      </w:r>
      <w:r>
        <w:rPr>
          <w:rFonts w:hint="eastAsia" w:hAnsi="宋体"/>
          <w:bCs/>
          <w:szCs w:val="21"/>
          <w:highlight w:val="none"/>
        </w:rPr>
        <w:t>1.1签订合同前，中标人应按“投标人须知前附表”上确定的履约担保的金额，以银行</w:t>
      </w:r>
    </w:p>
    <w:p>
      <w:pPr>
        <w:pStyle w:val="15"/>
        <w:spacing w:line="360" w:lineRule="auto"/>
        <w:jc w:val="left"/>
        <w:rPr>
          <w:rFonts w:hAnsi="宋体"/>
          <w:bCs/>
          <w:szCs w:val="21"/>
          <w:highlight w:val="none"/>
        </w:rPr>
      </w:pPr>
      <w:r>
        <w:rPr>
          <w:rFonts w:hint="eastAsia" w:hAnsi="宋体"/>
          <w:bCs/>
          <w:szCs w:val="21"/>
          <w:highlight w:val="none"/>
        </w:rPr>
        <w:t>转账或其它形式向</w:t>
      </w:r>
      <w:r>
        <w:rPr>
          <w:rFonts w:hint="eastAsia" w:hAnsi="宋体"/>
          <w:bCs/>
          <w:szCs w:val="21"/>
          <w:highlight w:val="none"/>
          <w:lang w:eastAsia="zh-CN"/>
        </w:rPr>
        <w:t>采购人</w:t>
      </w:r>
      <w:r>
        <w:rPr>
          <w:rFonts w:hint="eastAsia" w:hAnsi="宋体"/>
          <w:bCs/>
          <w:szCs w:val="21"/>
          <w:highlight w:val="none"/>
        </w:rPr>
        <w:t>提交履约担保。否则，视为放弃中标项目，投标保证金将不予退还。</w:t>
      </w:r>
    </w:p>
    <w:p>
      <w:pPr>
        <w:pStyle w:val="15"/>
        <w:spacing w:line="360" w:lineRule="auto"/>
        <w:ind w:left="208" w:leftChars="99"/>
        <w:jc w:val="left"/>
        <w:rPr>
          <w:rFonts w:hAnsi="宋体"/>
          <w:szCs w:val="21"/>
          <w:highlight w:val="none"/>
        </w:rPr>
      </w:pPr>
      <w:r>
        <w:rPr>
          <w:rFonts w:hint="eastAsia" w:hAnsi="宋体"/>
          <w:szCs w:val="21"/>
          <w:highlight w:val="none"/>
        </w:rPr>
        <w:t>31.2签订合同后，如中标人不按双方签订合同约定履约，则没收其全部履约保证金，履</w:t>
      </w:r>
    </w:p>
    <w:p>
      <w:pPr>
        <w:pStyle w:val="15"/>
        <w:spacing w:line="360" w:lineRule="auto"/>
        <w:jc w:val="left"/>
        <w:rPr>
          <w:rFonts w:hAnsi="宋体"/>
          <w:szCs w:val="21"/>
          <w:highlight w:val="none"/>
        </w:rPr>
      </w:pPr>
      <w:r>
        <w:rPr>
          <w:rFonts w:hint="eastAsia" w:hAnsi="宋体"/>
          <w:szCs w:val="21"/>
          <w:highlight w:val="none"/>
        </w:rPr>
        <w:t>约保证金不足以赔偿损失的，按实际损失赔偿。</w:t>
      </w:r>
    </w:p>
    <w:p>
      <w:pPr>
        <w:pStyle w:val="15"/>
        <w:spacing w:line="360" w:lineRule="auto"/>
        <w:ind w:left="208" w:leftChars="99"/>
        <w:jc w:val="left"/>
        <w:rPr>
          <w:rFonts w:hAnsi="宋体"/>
          <w:szCs w:val="21"/>
          <w:highlight w:val="none"/>
        </w:rPr>
      </w:pPr>
      <w:r>
        <w:rPr>
          <w:rFonts w:hint="eastAsia" w:hAnsi="宋体"/>
          <w:szCs w:val="21"/>
          <w:highlight w:val="none"/>
        </w:rPr>
        <w:t>32.3履约保证金按合同约定退还。</w:t>
      </w:r>
    </w:p>
    <w:p>
      <w:pPr>
        <w:pStyle w:val="15"/>
        <w:spacing w:line="360" w:lineRule="auto"/>
        <w:rPr>
          <w:rFonts w:hAnsi="宋体"/>
          <w:b/>
          <w:bCs/>
          <w:szCs w:val="21"/>
          <w:highlight w:val="none"/>
        </w:rPr>
      </w:pPr>
      <w:bookmarkStart w:id="42" w:name="_Toc260907978"/>
      <w:bookmarkStart w:id="43" w:name="_Toc260908194"/>
      <w:r>
        <w:rPr>
          <w:rFonts w:hint="eastAsia" w:hAnsi="宋体"/>
          <w:b/>
          <w:bCs/>
          <w:szCs w:val="21"/>
          <w:highlight w:val="none"/>
        </w:rPr>
        <w:t>32.重新招标</w:t>
      </w:r>
      <w:bookmarkEnd w:id="42"/>
      <w:bookmarkEnd w:id="43"/>
    </w:p>
    <w:p>
      <w:pPr>
        <w:pStyle w:val="15"/>
        <w:spacing w:line="360" w:lineRule="auto"/>
        <w:ind w:left="208" w:leftChars="99"/>
        <w:jc w:val="left"/>
        <w:rPr>
          <w:rFonts w:hAnsi="宋体"/>
          <w:szCs w:val="21"/>
          <w:highlight w:val="none"/>
        </w:rPr>
      </w:pPr>
      <w:r>
        <w:rPr>
          <w:rFonts w:hint="eastAsia" w:hAnsi="宋体"/>
          <w:szCs w:val="21"/>
          <w:highlight w:val="none"/>
        </w:rPr>
        <w:t>有下列情形之一的，</w:t>
      </w:r>
      <w:r>
        <w:rPr>
          <w:rFonts w:hint="eastAsia" w:hAnsi="宋体"/>
          <w:szCs w:val="21"/>
          <w:highlight w:val="none"/>
          <w:lang w:eastAsia="zh-CN"/>
        </w:rPr>
        <w:t>采购人</w:t>
      </w:r>
      <w:r>
        <w:rPr>
          <w:rFonts w:hint="eastAsia" w:hAnsi="宋体"/>
          <w:szCs w:val="21"/>
          <w:highlight w:val="none"/>
        </w:rPr>
        <w:t>将重新招标：</w:t>
      </w:r>
    </w:p>
    <w:p>
      <w:pPr>
        <w:pStyle w:val="15"/>
        <w:spacing w:line="360" w:lineRule="auto"/>
        <w:ind w:left="208" w:leftChars="99"/>
        <w:jc w:val="left"/>
        <w:rPr>
          <w:rFonts w:hAnsi="宋体"/>
          <w:szCs w:val="21"/>
          <w:highlight w:val="none"/>
        </w:rPr>
      </w:pPr>
      <w:r>
        <w:rPr>
          <w:rFonts w:hint="eastAsia" w:hAnsi="宋体"/>
          <w:szCs w:val="21"/>
          <w:highlight w:val="none"/>
        </w:rPr>
        <w:t>（1）符合专业条件的投标人或者对</w:t>
      </w:r>
      <w:r>
        <w:rPr>
          <w:rFonts w:hint="eastAsia" w:hAnsi="宋体"/>
          <w:szCs w:val="21"/>
          <w:highlight w:val="none"/>
          <w:lang w:eastAsia="zh-CN"/>
        </w:rPr>
        <w:t>采购文件</w:t>
      </w:r>
      <w:r>
        <w:rPr>
          <w:rFonts w:hint="eastAsia" w:hAnsi="宋体"/>
          <w:szCs w:val="21"/>
          <w:highlight w:val="none"/>
        </w:rPr>
        <w:t>作实质响应的投标人不足</w:t>
      </w:r>
      <w:r>
        <w:rPr>
          <w:rFonts w:hint="eastAsia" w:hAnsi="宋体"/>
          <w:szCs w:val="21"/>
          <w:highlight w:val="none"/>
          <w:lang w:val="en-US" w:eastAsia="zh-CN"/>
        </w:rPr>
        <w:t>3</w:t>
      </w:r>
      <w:r>
        <w:rPr>
          <w:rFonts w:hint="eastAsia" w:hAnsi="宋体"/>
          <w:szCs w:val="21"/>
          <w:highlight w:val="none"/>
        </w:rPr>
        <w:t xml:space="preserve">家的； </w:t>
      </w:r>
    </w:p>
    <w:p>
      <w:pPr>
        <w:pStyle w:val="15"/>
        <w:spacing w:line="360" w:lineRule="auto"/>
        <w:ind w:left="208" w:leftChars="99"/>
        <w:jc w:val="left"/>
        <w:rPr>
          <w:rFonts w:hAnsi="宋体"/>
          <w:szCs w:val="21"/>
          <w:highlight w:val="none"/>
        </w:rPr>
      </w:pPr>
      <w:r>
        <w:rPr>
          <w:rFonts w:hint="eastAsia" w:hAnsi="宋体"/>
          <w:szCs w:val="21"/>
          <w:highlight w:val="none"/>
        </w:rPr>
        <w:t xml:space="preserve">（2）出现影响采购公正的违法、违规行为的； </w:t>
      </w:r>
    </w:p>
    <w:p>
      <w:pPr>
        <w:pStyle w:val="15"/>
        <w:spacing w:line="360" w:lineRule="auto"/>
        <w:ind w:left="208" w:leftChars="99"/>
        <w:jc w:val="left"/>
        <w:rPr>
          <w:rFonts w:hAnsi="宋体"/>
          <w:szCs w:val="21"/>
          <w:highlight w:val="none"/>
        </w:rPr>
      </w:pPr>
      <w:r>
        <w:rPr>
          <w:rFonts w:hint="eastAsia" w:hAnsi="宋体"/>
          <w:szCs w:val="21"/>
          <w:highlight w:val="none"/>
        </w:rPr>
        <w:t>（3）投标人的总报价均超过了采购预算（</w:t>
      </w:r>
      <w:r>
        <w:rPr>
          <w:rFonts w:hint="eastAsia" w:hAnsi="宋体"/>
          <w:szCs w:val="21"/>
          <w:highlight w:val="none"/>
          <w:lang w:val="en-US" w:eastAsia="zh-CN"/>
        </w:rPr>
        <w:t>最高限价</w:t>
      </w:r>
      <w:r>
        <w:rPr>
          <w:rFonts w:hint="eastAsia" w:hAnsi="宋体"/>
          <w:szCs w:val="21"/>
          <w:highlight w:val="none"/>
        </w:rPr>
        <w:t>），</w:t>
      </w:r>
      <w:r>
        <w:rPr>
          <w:rFonts w:hint="eastAsia" w:hAnsi="宋体"/>
          <w:szCs w:val="21"/>
          <w:highlight w:val="none"/>
          <w:lang w:eastAsia="zh-CN"/>
        </w:rPr>
        <w:t>采购人</w:t>
      </w:r>
      <w:r>
        <w:rPr>
          <w:rFonts w:hint="eastAsia" w:hAnsi="宋体"/>
          <w:szCs w:val="21"/>
          <w:highlight w:val="none"/>
        </w:rPr>
        <w:t>不能支付的。</w:t>
      </w:r>
    </w:p>
    <w:p>
      <w:pPr>
        <w:pStyle w:val="3"/>
        <w:numPr>
          <w:ilvl w:val="0"/>
          <w:numId w:val="0"/>
        </w:numPr>
        <w:ind w:left="425"/>
        <w:jc w:val="center"/>
        <w:rPr>
          <w:rFonts w:ascii="宋体" w:hAnsi="宋体" w:eastAsia="宋体"/>
          <w:bCs/>
          <w:kern w:val="44"/>
          <w:szCs w:val="28"/>
          <w:highlight w:val="none"/>
        </w:rPr>
      </w:pPr>
      <w:bookmarkStart w:id="44" w:name="_Toc260908195"/>
      <w:bookmarkStart w:id="45" w:name="_Toc5145"/>
      <w:bookmarkStart w:id="46" w:name="_Toc184635079"/>
      <w:bookmarkStart w:id="47" w:name="_Toc260907979"/>
      <w:bookmarkStart w:id="48" w:name="_Toc13039"/>
      <w:r>
        <w:rPr>
          <w:rFonts w:hint="eastAsia" w:ascii="宋体" w:hAnsi="宋体" w:eastAsia="宋体"/>
          <w:bCs/>
          <w:kern w:val="44"/>
          <w:szCs w:val="28"/>
          <w:highlight w:val="none"/>
        </w:rPr>
        <w:t>七、纪律和监督</w:t>
      </w:r>
      <w:bookmarkEnd w:id="44"/>
      <w:bookmarkEnd w:id="45"/>
      <w:bookmarkEnd w:id="46"/>
      <w:bookmarkEnd w:id="47"/>
      <w:bookmarkEnd w:id="48"/>
    </w:p>
    <w:p>
      <w:pPr>
        <w:pStyle w:val="15"/>
        <w:spacing w:line="360" w:lineRule="auto"/>
        <w:rPr>
          <w:rFonts w:hAnsi="宋体"/>
          <w:b/>
          <w:szCs w:val="21"/>
          <w:highlight w:val="none"/>
        </w:rPr>
      </w:pPr>
      <w:r>
        <w:rPr>
          <w:rFonts w:hint="eastAsia" w:hAnsi="宋体"/>
          <w:b/>
          <w:szCs w:val="21"/>
          <w:highlight w:val="none"/>
        </w:rPr>
        <w:t>33.对</w:t>
      </w:r>
      <w:r>
        <w:rPr>
          <w:rFonts w:hint="eastAsia" w:hAnsi="宋体"/>
          <w:b/>
          <w:szCs w:val="21"/>
          <w:highlight w:val="none"/>
          <w:lang w:eastAsia="zh-CN"/>
        </w:rPr>
        <w:t>采购人</w:t>
      </w:r>
      <w:r>
        <w:rPr>
          <w:rFonts w:hint="eastAsia" w:hAnsi="宋体"/>
          <w:b/>
          <w:szCs w:val="21"/>
          <w:highlight w:val="none"/>
        </w:rPr>
        <w:t>的纪律要求</w:t>
      </w:r>
    </w:p>
    <w:p>
      <w:pPr>
        <w:pStyle w:val="15"/>
        <w:spacing w:line="360" w:lineRule="auto"/>
        <w:ind w:left="208" w:leftChars="99"/>
        <w:jc w:val="left"/>
        <w:rPr>
          <w:rFonts w:hAnsi="宋体"/>
          <w:szCs w:val="21"/>
          <w:highlight w:val="none"/>
        </w:rPr>
      </w:pPr>
      <w:r>
        <w:rPr>
          <w:rFonts w:hint="eastAsia" w:hAnsi="宋体"/>
          <w:szCs w:val="21"/>
          <w:highlight w:val="none"/>
        </w:rPr>
        <w:t>33.1</w:t>
      </w:r>
      <w:r>
        <w:rPr>
          <w:rFonts w:hint="eastAsia" w:hAnsi="宋体"/>
          <w:szCs w:val="21"/>
          <w:highlight w:val="none"/>
          <w:lang w:eastAsia="zh-CN"/>
        </w:rPr>
        <w:t>采购人</w:t>
      </w:r>
      <w:r>
        <w:rPr>
          <w:rFonts w:hint="eastAsia" w:hAnsi="宋体"/>
          <w:szCs w:val="21"/>
          <w:highlight w:val="none"/>
        </w:rPr>
        <w:t>不得泄漏招标投标活动中应当保密的情况和资料，不得与投标人串通损害国</w:t>
      </w:r>
    </w:p>
    <w:p>
      <w:pPr>
        <w:pStyle w:val="15"/>
        <w:spacing w:line="360" w:lineRule="auto"/>
        <w:jc w:val="left"/>
        <w:rPr>
          <w:rFonts w:hAnsi="宋体"/>
          <w:szCs w:val="21"/>
          <w:highlight w:val="none"/>
        </w:rPr>
      </w:pPr>
      <w:r>
        <w:rPr>
          <w:rFonts w:hint="eastAsia" w:hAnsi="宋体"/>
          <w:szCs w:val="21"/>
          <w:highlight w:val="none"/>
        </w:rPr>
        <w:t>有利益、社会公共利益或者他人合法权益。</w:t>
      </w:r>
    </w:p>
    <w:p>
      <w:pPr>
        <w:pStyle w:val="15"/>
        <w:spacing w:line="360" w:lineRule="auto"/>
        <w:rPr>
          <w:rFonts w:hAnsi="宋体"/>
          <w:b/>
          <w:szCs w:val="21"/>
          <w:highlight w:val="none"/>
        </w:rPr>
      </w:pPr>
      <w:r>
        <w:rPr>
          <w:rFonts w:hint="eastAsia" w:hAnsi="宋体"/>
          <w:b/>
          <w:szCs w:val="21"/>
          <w:highlight w:val="none"/>
        </w:rPr>
        <w:t>34. 对投标人的纪律要求</w:t>
      </w:r>
    </w:p>
    <w:p>
      <w:pPr>
        <w:pStyle w:val="15"/>
        <w:spacing w:line="360" w:lineRule="auto"/>
        <w:ind w:left="208" w:leftChars="99"/>
        <w:jc w:val="left"/>
        <w:rPr>
          <w:rFonts w:hAnsi="宋体"/>
          <w:szCs w:val="21"/>
          <w:highlight w:val="none"/>
        </w:rPr>
      </w:pPr>
      <w:r>
        <w:rPr>
          <w:rFonts w:hint="eastAsia" w:hAnsi="宋体"/>
          <w:szCs w:val="21"/>
          <w:highlight w:val="none"/>
        </w:rPr>
        <w:t>34.1投标人不得相互串通投标或者与</w:t>
      </w:r>
      <w:r>
        <w:rPr>
          <w:rFonts w:hint="eastAsia" w:hAnsi="宋体"/>
          <w:szCs w:val="21"/>
          <w:highlight w:val="none"/>
          <w:lang w:eastAsia="zh-CN"/>
        </w:rPr>
        <w:t>采购人</w:t>
      </w:r>
      <w:r>
        <w:rPr>
          <w:rFonts w:hint="eastAsia" w:hAnsi="宋体"/>
          <w:szCs w:val="21"/>
          <w:highlight w:val="none"/>
        </w:rPr>
        <w:t>串通投标，不得向</w:t>
      </w:r>
      <w:r>
        <w:rPr>
          <w:rFonts w:hint="eastAsia" w:hAnsi="宋体"/>
          <w:szCs w:val="21"/>
          <w:highlight w:val="none"/>
          <w:lang w:eastAsia="zh-CN"/>
        </w:rPr>
        <w:t>采购人</w:t>
      </w:r>
      <w:r>
        <w:rPr>
          <w:rFonts w:hint="eastAsia" w:hAnsi="宋体"/>
          <w:szCs w:val="21"/>
          <w:highlight w:val="none"/>
        </w:rPr>
        <w:t>或者评标委员会成</w:t>
      </w:r>
    </w:p>
    <w:p>
      <w:pPr>
        <w:pStyle w:val="15"/>
        <w:spacing w:line="360" w:lineRule="auto"/>
        <w:jc w:val="left"/>
        <w:rPr>
          <w:rFonts w:hAnsi="宋体"/>
          <w:szCs w:val="21"/>
          <w:highlight w:val="none"/>
        </w:rPr>
      </w:pPr>
      <w:r>
        <w:rPr>
          <w:rFonts w:hint="eastAsia" w:hAnsi="宋体"/>
          <w:szCs w:val="21"/>
          <w:highlight w:val="none"/>
        </w:rPr>
        <w:t>员行贿谋取中标，不得以他人名义投标或者以其他方式弄虚作假骗取中标；投标人不得以任何方式干扰、影响评标工作。</w:t>
      </w:r>
    </w:p>
    <w:p>
      <w:pPr>
        <w:pStyle w:val="15"/>
        <w:spacing w:line="360" w:lineRule="auto"/>
        <w:rPr>
          <w:rFonts w:hAnsi="宋体"/>
          <w:b/>
          <w:szCs w:val="21"/>
          <w:highlight w:val="none"/>
        </w:rPr>
      </w:pPr>
      <w:r>
        <w:rPr>
          <w:rFonts w:hint="eastAsia" w:hAnsi="宋体"/>
          <w:b/>
          <w:szCs w:val="21"/>
          <w:highlight w:val="none"/>
        </w:rPr>
        <w:t>35. 对评标委员会成员的纪律要求</w:t>
      </w:r>
    </w:p>
    <w:p>
      <w:pPr>
        <w:pStyle w:val="15"/>
        <w:spacing w:line="360" w:lineRule="auto"/>
        <w:ind w:left="208" w:leftChars="99"/>
        <w:jc w:val="left"/>
        <w:rPr>
          <w:rFonts w:hAnsi="宋体"/>
          <w:szCs w:val="21"/>
          <w:highlight w:val="none"/>
        </w:rPr>
      </w:pPr>
      <w:r>
        <w:rPr>
          <w:rFonts w:hint="eastAsia" w:hAnsi="宋体"/>
          <w:szCs w:val="21"/>
          <w:highlight w:val="none"/>
        </w:rPr>
        <w:t>35.1评标委员会成员不得收受他人的财物或者其他好处，不得向他人透漏对投标文件的</w:t>
      </w:r>
    </w:p>
    <w:p>
      <w:pPr>
        <w:pStyle w:val="15"/>
        <w:spacing w:line="360" w:lineRule="auto"/>
        <w:jc w:val="left"/>
        <w:rPr>
          <w:rFonts w:hAnsi="宋体"/>
          <w:szCs w:val="21"/>
          <w:highlight w:val="none"/>
        </w:rPr>
      </w:pPr>
      <w:r>
        <w:rPr>
          <w:rFonts w:hint="eastAsia" w:hAnsi="宋体"/>
          <w:szCs w:val="21"/>
          <w:highlight w:val="none"/>
        </w:rPr>
        <w:t>评审和比较、中标候选人的推荐情况以及评标有关的其他情况。在评标活动中，评标委员会成员不得擅离职守，影响评标程序正常进行，不得使用第四章“评标办法”没有规定的评审因素和标准进行评标。</w:t>
      </w:r>
    </w:p>
    <w:p>
      <w:pPr>
        <w:pStyle w:val="15"/>
        <w:spacing w:line="360" w:lineRule="auto"/>
        <w:rPr>
          <w:rFonts w:hAnsi="宋体"/>
          <w:b/>
          <w:szCs w:val="21"/>
          <w:highlight w:val="none"/>
        </w:rPr>
      </w:pPr>
      <w:r>
        <w:rPr>
          <w:rFonts w:hint="eastAsia" w:hAnsi="宋体"/>
          <w:b/>
          <w:szCs w:val="21"/>
          <w:highlight w:val="none"/>
        </w:rPr>
        <w:t>36.对与评标活动有关的工作人员的纪律要求</w:t>
      </w:r>
    </w:p>
    <w:p>
      <w:pPr>
        <w:pStyle w:val="15"/>
        <w:spacing w:line="360" w:lineRule="auto"/>
        <w:ind w:left="208" w:leftChars="99"/>
        <w:jc w:val="left"/>
        <w:rPr>
          <w:rFonts w:hAnsi="宋体"/>
          <w:szCs w:val="21"/>
          <w:highlight w:val="none"/>
        </w:rPr>
      </w:pPr>
      <w:r>
        <w:rPr>
          <w:rFonts w:hint="eastAsia" w:hAnsi="宋体"/>
          <w:szCs w:val="21"/>
          <w:highlight w:val="none"/>
        </w:rPr>
        <w:t>36.1与评标活动有关的工作人员不得收受他人的财物或者其他好处，不得向他人透漏对</w:t>
      </w:r>
    </w:p>
    <w:p>
      <w:pPr>
        <w:pStyle w:val="15"/>
        <w:spacing w:line="360" w:lineRule="auto"/>
        <w:jc w:val="left"/>
        <w:rPr>
          <w:rFonts w:hAnsi="宋体"/>
          <w:szCs w:val="21"/>
          <w:highlight w:val="none"/>
        </w:rPr>
      </w:pPr>
      <w:r>
        <w:rPr>
          <w:rFonts w:hint="eastAsia" w:hAnsi="宋体"/>
          <w:szCs w:val="21"/>
          <w:highlight w:val="none"/>
        </w:rPr>
        <w:t>投标文件的评审和比较、中标候选人的推荐情况以及评标有关的其他情况。在评标活动中，与评标活动有关的工作人员不得擅离职守，影响评标程序正常进行。</w:t>
      </w:r>
    </w:p>
    <w:p>
      <w:pPr>
        <w:pStyle w:val="15"/>
        <w:spacing w:line="360" w:lineRule="auto"/>
        <w:rPr>
          <w:rFonts w:hAnsi="宋体"/>
          <w:b/>
          <w:szCs w:val="21"/>
          <w:highlight w:val="none"/>
        </w:rPr>
      </w:pPr>
      <w:r>
        <w:rPr>
          <w:rFonts w:hint="eastAsia" w:hAnsi="宋体"/>
          <w:b/>
          <w:szCs w:val="21"/>
          <w:highlight w:val="none"/>
        </w:rPr>
        <w:t>37.投诉</w:t>
      </w:r>
    </w:p>
    <w:p>
      <w:pPr>
        <w:pStyle w:val="15"/>
        <w:spacing w:line="360" w:lineRule="auto"/>
        <w:ind w:left="208" w:leftChars="99"/>
        <w:jc w:val="left"/>
        <w:rPr>
          <w:rFonts w:hAnsi="宋体"/>
          <w:szCs w:val="21"/>
          <w:highlight w:val="none"/>
        </w:rPr>
      </w:pPr>
      <w:r>
        <w:rPr>
          <w:rFonts w:hint="eastAsia" w:hAnsi="宋体"/>
          <w:szCs w:val="21"/>
          <w:highlight w:val="none"/>
        </w:rPr>
        <w:t>37.1投标人和其他利害关系人认为本次招标活动违反法律、法规和规章规定的，有权向</w:t>
      </w:r>
    </w:p>
    <w:p>
      <w:pPr>
        <w:pStyle w:val="15"/>
        <w:spacing w:line="360" w:lineRule="auto"/>
        <w:jc w:val="left"/>
        <w:rPr>
          <w:rFonts w:hAnsi="宋体"/>
          <w:szCs w:val="21"/>
          <w:highlight w:val="none"/>
        </w:rPr>
      </w:pPr>
      <w:r>
        <w:rPr>
          <w:rFonts w:hint="eastAsia" w:hAnsi="宋体"/>
          <w:szCs w:val="21"/>
          <w:highlight w:val="none"/>
        </w:rPr>
        <w:t>有关行政监督部门投诉。</w:t>
      </w:r>
    </w:p>
    <w:p>
      <w:pPr>
        <w:pStyle w:val="3"/>
        <w:numPr>
          <w:ilvl w:val="0"/>
          <w:numId w:val="0"/>
        </w:numPr>
        <w:spacing w:line="360" w:lineRule="auto"/>
        <w:ind w:left="425"/>
        <w:jc w:val="center"/>
        <w:rPr>
          <w:rFonts w:ascii="宋体" w:hAnsi="宋体" w:eastAsia="宋体"/>
          <w:bCs/>
          <w:kern w:val="44"/>
          <w:szCs w:val="28"/>
          <w:highlight w:val="none"/>
        </w:rPr>
      </w:pPr>
      <w:bookmarkStart w:id="49" w:name="_Toc184635080"/>
      <w:bookmarkStart w:id="50" w:name="_Toc260907981"/>
      <w:bookmarkStart w:id="51" w:name="_Toc260908197"/>
      <w:bookmarkStart w:id="52" w:name="_Toc20842"/>
      <w:bookmarkStart w:id="53" w:name="_Toc15633"/>
      <w:r>
        <w:rPr>
          <w:rFonts w:hint="eastAsia" w:ascii="宋体" w:hAnsi="宋体" w:eastAsia="宋体"/>
          <w:bCs/>
          <w:kern w:val="44"/>
          <w:szCs w:val="28"/>
          <w:highlight w:val="none"/>
        </w:rPr>
        <w:t>八、政府采购需要落实的政策</w:t>
      </w:r>
      <w:bookmarkEnd w:id="49"/>
      <w:bookmarkEnd w:id="50"/>
      <w:bookmarkEnd w:id="51"/>
      <w:bookmarkEnd w:id="52"/>
      <w:bookmarkEnd w:id="53"/>
    </w:p>
    <w:p>
      <w:pPr>
        <w:pStyle w:val="15"/>
        <w:spacing w:line="360" w:lineRule="auto"/>
        <w:rPr>
          <w:rFonts w:hAnsi="宋体"/>
          <w:b/>
          <w:szCs w:val="21"/>
          <w:highlight w:val="none"/>
        </w:rPr>
      </w:pPr>
      <w:r>
        <w:rPr>
          <w:rFonts w:hint="eastAsia" w:hAnsi="宋体"/>
          <w:b/>
          <w:szCs w:val="21"/>
          <w:highlight w:val="none"/>
        </w:rPr>
        <w:t>38.关于中小企业：</w:t>
      </w:r>
    </w:p>
    <w:p>
      <w:pPr>
        <w:spacing w:line="360" w:lineRule="auto"/>
        <w:ind w:firstLine="420" w:firstLineChars="200"/>
        <w:rPr>
          <w:rFonts w:ascii="宋体" w:hAnsi="宋体"/>
          <w:szCs w:val="21"/>
          <w:highlight w:val="none"/>
        </w:rPr>
      </w:pPr>
      <w:r>
        <w:rPr>
          <w:rFonts w:hint="eastAsia" w:ascii="宋体" w:hAnsi="宋体"/>
          <w:szCs w:val="21"/>
          <w:highlight w:val="none"/>
        </w:rPr>
        <w:t>38.1本项目非专门面向中小企业采购； 《政府采购促进中小企业发展管理办法》(财库〔2020〕46号)、《财政部关于进一步加大政府采购支持中小企业力度的通知》(财库〔2022]19号)、《财政部关于加强财税支持政策落实促进中小企业高质量发展的通知》(财预〔2023〕76号)等文件规定支持中小企业发展。未专门面向中小企业的项目，以及预留项目中的非预留采购包，应给予小微企业价格评审优惠。监狱企业、残疾人福利性单位视同小微企业，亨受预留份额、评审优惠等政府采购支持中小企业发展政策。</w:t>
      </w:r>
    </w:p>
    <w:p>
      <w:pPr>
        <w:spacing w:line="360" w:lineRule="auto"/>
        <w:ind w:firstLine="420" w:firstLineChars="200"/>
        <w:rPr>
          <w:rFonts w:ascii="宋体" w:hAnsi="宋体"/>
          <w:szCs w:val="21"/>
          <w:highlight w:val="none"/>
        </w:rPr>
      </w:pPr>
      <w:r>
        <w:rPr>
          <w:rFonts w:hint="eastAsia" w:ascii="宋体" w:hAnsi="宋体"/>
          <w:szCs w:val="21"/>
          <w:highlight w:val="none"/>
        </w:rPr>
        <w:t>38.2本项目不允许分包。</w:t>
      </w:r>
    </w:p>
    <w:p>
      <w:pPr>
        <w:pStyle w:val="15"/>
        <w:spacing w:line="360" w:lineRule="auto"/>
        <w:rPr>
          <w:rFonts w:hAnsi="宋体"/>
          <w:b/>
          <w:szCs w:val="21"/>
          <w:highlight w:val="none"/>
        </w:rPr>
      </w:pPr>
      <w:r>
        <w:rPr>
          <w:rFonts w:hint="eastAsia" w:hAnsi="宋体"/>
          <w:b/>
          <w:szCs w:val="21"/>
          <w:highlight w:val="none"/>
        </w:rPr>
        <w:t>39.关于监狱企业：</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39.1根据《财政部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39.2监狱企业参加政府采购活动时，应当提供由省级以上监狱管理局、戒毒管理局（含新疆生产建设兵团）出具的属于监狱企业的证明文件。</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39.3在政府采购活动中，监狱企业视同小型、微型企业，享受预留份额、评审中价格扣除等政府采购促进中小企业发展的政府采购政策。</w:t>
      </w:r>
      <w:r>
        <w:rPr>
          <w:rFonts w:hint="eastAsia" w:ascii="宋体" w:hAnsi="宋体" w:cs="宋体"/>
          <w:b/>
          <w:bCs/>
          <w:szCs w:val="21"/>
          <w:highlight w:val="none"/>
        </w:rPr>
        <w:t>本项目针对监狱企业的产品或服务价格给予10%的扣除，用扣除后的价格参与评审</w:t>
      </w:r>
      <w:r>
        <w:rPr>
          <w:rFonts w:hint="eastAsia" w:ascii="宋体" w:hAnsi="宋体" w:cs="宋体"/>
          <w:szCs w:val="21"/>
          <w:highlight w:val="none"/>
        </w:rPr>
        <w:t>。</w:t>
      </w:r>
    </w:p>
    <w:p>
      <w:pPr>
        <w:pStyle w:val="15"/>
        <w:spacing w:line="360" w:lineRule="auto"/>
        <w:rPr>
          <w:rFonts w:hAnsi="宋体"/>
          <w:b/>
          <w:szCs w:val="21"/>
          <w:highlight w:val="none"/>
        </w:rPr>
      </w:pPr>
      <w:r>
        <w:rPr>
          <w:rFonts w:hint="eastAsia" w:hAnsi="宋体"/>
          <w:b/>
          <w:szCs w:val="21"/>
          <w:highlight w:val="none"/>
        </w:rPr>
        <w:t>40.关于残疾人福利性单位：</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40.1根据《三部门联合发布关于促进残疾人就业政府采购政策的通知》（财库〔2017〕141号）的规定，享受政府采购支持政策的残疾人福利性单位应当同时满足以下条件：</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（一）安置的残疾人占本单位在职职工人数的比例不低于25%（含25%），并且安置的残疾人人数不少于10人（含10人）；</w:t>
      </w:r>
    </w:p>
    <w:p>
      <w:pPr>
        <w:spacing w:line="360" w:lineRule="auto"/>
        <w:ind w:left="420" w:leftChars="200"/>
        <w:rPr>
          <w:rFonts w:ascii="宋体" w:hAnsi="宋体" w:cs="宋体"/>
          <w:szCs w:val="21"/>
          <w:highlight w:val="none"/>
        </w:rPr>
      </w:pPr>
      <w:r>
        <w:rPr>
          <w:rFonts w:hint="eastAsia" w:ascii="宋体" w:hAnsi="宋体" w:cs="宋体"/>
          <w:szCs w:val="21"/>
          <w:highlight w:val="none"/>
        </w:rPr>
        <w:t>（二）依法与安置的每位残疾人签订了一年以上（含一年）的劳动合同或服务协议；</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（三）为安置的每位残疾人按月足额缴纳了基本养老保险、基本医疗保险、失业保险、工伤保险和生育保险等社会保险费；</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（四）通过银行等金融机构向安置的每位残疾人，按月支付了不低于单位所在区县适用的经省级人民政府批准的月最低工资标准的工资；</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（五）提供本单位制造的货物、承担的工程或者服务（以下简称产品），或者提供其他残疾人福利性单位制造的货物（不包括使用非残疾人福利性单位注册商标的货物）。</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40.2符合条件的残疾人福利性单位在参加政府采购活动时，应当按《三部门联合发布关于促进残疾人就业政府采购政策的通知》（财库〔2017〕141号）提供规定的《残疾人福利性单位声明函》，并对声明的真实性负责，若提供的《残疾人福利性单位声明函》与事实不符的，依照《政府采购法》第七十七条第一款的规定追究法律责任。</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40.3本项目针对残疾人福利性单位产品或服务的价格给予10%的扣除，用扣除后的价格参与评审。残疾人福利性单位属于小型、微型企业的，不重复享受政策。</w:t>
      </w:r>
    </w:p>
    <w:p>
      <w:pPr>
        <w:pStyle w:val="3"/>
        <w:numPr>
          <w:ilvl w:val="0"/>
          <w:numId w:val="0"/>
        </w:numPr>
        <w:spacing w:line="360" w:lineRule="auto"/>
        <w:ind w:left="425"/>
        <w:jc w:val="center"/>
        <w:rPr>
          <w:rFonts w:hint="default" w:ascii="宋体" w:hAnsi="宋体" w:eastAsia="宋体"/>
          <w:bCs/>
          <w:kern w:val="44"/>
          <w:szCs w:val="28"/>
          <w:highlight w:val="none"/>
          <w:lang w:val="en-US" w:eastAsia="zh-CN"/>
        </w:rPr>
      </w:pPr>
      <w:bookmarkStart w:id="54" w:name="_Toc3395"/>
      <w:bookmarkStart w:id="55" w:name="_Toc0"/>
      <w:r>
        <w:rPr>
          <w:rFonts w:hint="eastAsia" w:ascii="宋体" w:hAnsi="宋体" w:eastAsia="宋体"/>
          <w:bCs/>
          <w:kern w:val="44"/>
          <w:szCs w:val="28"/>
          <w:highlight w:val="none"/>
        </w:rPr>
        <w:t>九、</w:t>
      </w:r>
      <w:bookmarkEnd w:id="54"/>
      <w:bookmarkEnd w:id="55"/>
      <w:r>
        <w:rPr>
          <w:rFonts w:hint="eastAsia" w:ascii="宋体" w:hAnsi="宋体" w:eastAsia="宋体"/>
          <w:bCs/>
          <w:kern w:val="44"/>
          <w:szCs w:val="28"/>
          <w:highlight w:val="none"/>
          <w:lang w:val="en-US" w:eastAsia="zh-CN"/>
        </w:rPr>
        <w:t>需要补充的其他内容</w:t>
      </w:r>
    </w:p>
    <w:p>
      <w:pPr>
        <w:pStyle w:val="15"/>
        <w:spacing w:line="360" w:lineRule="auto"/>
        <w:rPr>
          <w:rFonts w:hAnsi="宋体"/>
          <w:b/>
          <w:bCs/>
          <w:szCs w:val="21"/>
          <w:highlight w:val="none"/>
        </w:rPr>
      </w:pPr>
      <w:r>
        <w:rPr>
          <w:rFonts w:hint="eastAsia" w:hAnsi="宋体"/>
          <w:b/>
          <w:bCs/>
          <w:szCs w:val="21"/>
          <w:highlight w:val="none"/>
        </w:rPr>
        <w:t>4</w:t>
      </w:r>
      <w:r>
        <w:rPr>
          <w:rFonts w:hint="eastAsia" w:hAnsi="宋体"/>
          <w:b/>
          <w:bCs/>
          <w:szCs w:val="21"/>
          <w:highlight w:val="none"/>
          <w:lang w:val="en-US" w:eastAsia="zh-CN"/>
        </w:rPr>
        <w:t>1</w:t>
      </w:r>
      <w:r>
        <w:rPr>
          <w:rFonts w:hint="eastAsia" w:hAnsi="宋体"/>
          <w:b/>
          <w:bCs/>
          <w:szCs w:val="21"/>
          <w:highlight w:val="none"/>
        </w:rPr>
        <w:t>. 采购代理服务费</w:t>
      </w:r>
    </w:p>
    <w:p>
      <w:pPr>
        <w:pStyle w:val="15"/>
        <w:spacing w:line="360" w:lineRule="auto"/>
        <w:ind w:firstLine="210" w:firstLineChars="100"/>
        <w:rPr>
          <w:rFonts w:hint="eastAsia" w:hAnsi="宋体" w:cs="宋体"/>
          <w:b/>
          <w:color w:val="auto"/>
          <w:szCs w:val="21"/>
          <w:highlight w:val="none"/>
          <w:lang w:eastAsia="zh-CN"/>
        </w:rPr>
      </w:pPr>
      <w:r>
        <w:rPr>
          <w:rFonts w:hint="eastAsia" w:hAnsi="宋体"/>
          <w:bCs/>
          <w:szCs w:val="21"/>
          <w:highlight w:val="none"/>
        </w:rPr>
        <w:t>4</w:t>
      </w:r>
      <w:r>
        <w:rPr>
          <w:rFonts w:hint="eastAsia" w:hAnsi="宋体"/>
          <w:bCs/>
          <w:szCs w:val="21"/>
          <w:highlight w:val="none"/>
          <w:lang w:val="en-US" w:eastAsia="zh-CN"/>
        </w:rPr>
        <w:t>1</w:t>
      </w:r>
      <w:r>
        <w:rPr>
          <w:rFonts w:hint="eastAsia" w:hAnsi="宋体"/>
          <w:bCs/>
          <w:szCs w:val="21"/>
          <w:highlight w:val="none"/>
        </w:rPr>
        <w:t>.1</w:t>
      </w:r>
      <w:r>
        <w:rPr>
          <w:rFonts w:hint="eastAsia" w:hAnsi="宋体"/>
          <w:b/>
          <w:bCs/>
          <w:szCs w:val="21"/>
          <w:highlight w:val="none"/>
        </w:rPr>
        <w:t>采购代理服务费：</w:t>
      </w:r>
      <w:r>
        <w:rPr>
          <w:rFonts w:hint="eastAsia" w:hAnsi="宋体" w:cs="宋体"/>
          <w:b/>
          <w:bCs/>
          <w:szCs w:val="21"/>
          <w:highlight w:val="none"/>
        </w:rPr>
        <w:t>根据</w:t>
      </w:r>
      <w:r>
        <w:rPr>
          <w:rFonts w:hint="eastAsia" w:hAnsi="宋体" w:cs="宋体"/>
          <w:b/>
          <w:bCs/>
          <w:szCs w:val="21"/>
          <w:highlight w:val="none"/>
          <w:lang w:eastAsia="zh-CN"/>
        </w:rPr>
        <w:t>采购人</w:t>
      </w:r>
      <w:r>
        <w:rPr>
          <w:rFonts w:hint="eastAsia" w:hAnsi="宋体" w:cs="宋体"/>
          <w:b/>
          <w:bCs/>
          <w:szCs w:val="21"/>
          <w:highlight w:val="none"/>
        </w:rPr>
        <w:t>与</w:t>
      </w:r>
      <w:r>
        <w:rPr>
          <w:rFonts w:hint="eastAsia" w:hAnsi="宋体" w:cs="宋体"/>
          <w:b/>
          <w:bCs/>
          <w:szCs w:val="21"/>
          <w:highlight w:val="none"/>
          <w:lang w:eastAsia="zh-CN"/>
        </w:rPr>
        <w:t>采购代理机构</w:t>
      </w:r>
      <w:r>
        <w:rPr>
          <w:rFonts w:hint="eastAsia" w:hAnsi="宋体" w:cs="宋体"/>
          <w:b/>
          <w:bCs/>
          <w:szCs w:val="21"/>
          <w:highlight w:val="none"/>
        </w:rPr>
        <w:t>签订的委托协议</w:t>
      </w:r>
      <w:r>
        <w:rPr>
          <w:rFonts w:hint="eastAsia" w:hAnsi="宋体" w:cs="宋体"/>
          <w:b/>
          <w:bCs/>
          <w:szCs w:val="21"/>
          <w:highlight w:val="none"/>
          <w:lang w:val="en-US" w:eastAsia="zh-CN"/>
        </w:rPr>
        <w:t>由中标人支付</w:t>
      </w:r>
      <w:r>
        <w:rPr>
          <w:rFonts w:hint="eastAsia" w:hAnsi="宋体" w:cs="宋体"/>
          <w:b/>
          <w:bCs/>
          <w:szCs w:val="21"/>
          <w:highlight w:val="none"/>
        </w:rPr>
        <w:t>。</w:t>
      </w:r>
      <w:r>
        <w:rPr>
          <w:rFonts w:hint="eastAsia" w:hAnsi="宋体" w:cs="宋体"/>
          <w:b/>
          <w:bCs/>
          <w:szCs w:val="21"/>
          <w:highlight w:val="none"/>
          <w:lang w:val="en-US" w:eastAsia="zh-CN"/>
        </w:rPr>
        <w:t>按</w:t>
      </w:r>
      <w:r>
        <w:rPr>
          <w:rFonts w:hint="eastAsia" w:hAnsi="宋体" w:cs="宋体"/>
          <w:b/>
          <w:color w:val="auto"/>
          <w:szCs w:val="21"/>
          <w:highlight w:val="none"/>
        </w:rPr>
        <w:t>《关于印发《云南省建设工程招标代理服务收费指导意见（试行）》的通知》（云建招协〔2023〕51号)文件收费标准计算基础上优惠10%向中标人收取</w:t>
      </w:r>
      <w:r>
        <w:rPr>
          <w:rFonts w:hint="eastAsia" w:hAnsi="宋体" w:cs="宋体"/>
          <w:b/>
          <w:color w:val="auto"/>
          <w:szCs w:val="21"/>
          <w:highlight w:val="none"/>
          <w:lang w:eastAsia="zh-CN"/>
        </w:rPr>
        <w:t>。</w:t>
      </w:r>
    </w:p>
    <w:p>
      <w:pPr>
        <w:pStyle w:val="15"/>
        <w:spacing w:line="360" w:lineRule="auto"/>
        <w:ind w:left="208" w:leftChars="99"/>
        <w:jc w:val="left"/>
        <w:rPr>
          <w:rFonts w:hAnsi="宋体"/>
          <w:b/>
          <w:bCs/>
          <w:szCs w:val="21"/>
          <w:highlight w:val="none"/>
        </w:rPr>
      </w:pPr>
      <w:r>
        <w:rPr>
          <w:rFonts w:hint="eastAsia" w:hAnsi="宋体"/>
          <w:bCs/>
          <w:szCs w:val="21"/>
          <w:highlight w:val="none"/>
        </w:rPr>
        <w:t>42.2中标人应在接</w:t>
      </w:r>
      <w:r>
        <w:rPr>
          <w:rFonts w:hint="eastAsia" w:hAnsi="宋体"/>
          <w:bCs/>
          <w:szCs w:val="21"/>
          <w:highlight w:val="none"/>
          <w:lang w:val="en-US" w:eastAsia="zh-CN"/>
        </w:rPr>
        <w:t>收</w:t>
      </w:r>
      <w:r>
        <w:rPr>
          <w:rFonts w:hint="eastAsia" w:hAnsi="宋体"/>
          <w:b/>
          <w:szCs w:val="21"/>
          <w:highlight w:val="none"/>
        </w:rPr>
        <w:t>“中标通知书”</w:t>
      </w:r>
      <w:r>
        <w:rPr>
          <w:rFonts w:hint="eastAsia" w:hAnsi="宋体"/>
          <w:bCs/>
          <w:szCs w:val="21"/>
          <w:highlight w:val="none"/>
        </w:rPr>
        <w:t>前向</w:t>
      </w:r>
      <w:r>
        <w:rPr>
          <w:rFonts w:hint="eastAsia" w:hAnsi="宋体"/>
          <w:bCs/>
          <w:szCs w:val="21"/>
          <w:highlight w:val="none"/>
          <w:lang w:eastAsia="zh-CN"/>
        </w:rPr>
        <w:t>采购代理机构</w:t>
      </w:r>
      <w:r>
        <w:rPr>
          <w:rFonts w:hint="eastAsia" w:hAnsi="宋体"/>
          <w:bCs/>
          <w:szCs w:val="21"/>
          <w:highlight w:val="none"/>
        </w:rPr>
        <w:t>一次付清代理服务费。</w:t>
      </w:r>
    </w:p>
    <w:p>
      <w:pPr>
        <w:pStyle w:val="15"/>
        <w:spacing w:line="360" w:lineRule="auto"/>
        <w:rPr>
          <w:rFonts w:hint="eastAsia" w:hAnsi="宋体" w:eastAsia="宋体"/>
          <w:b/>
          <w:bCs/>
          <w:szCs w:val="21"/>
          <w:highlight w:val="none"/>
          <w:lang w:eastAsia="zh-CN"/>
        </w:rPr>
      </w:pPr>
      <w:r>
        <w:rPr>
          <w:rFonts w:hint="eastAsia" w:hAnsi="宋体"/>
          <w:b/>
          <w:bCs/>
          <w:szCs w:val="21"/>
          <w:highlight w:val="none"/>
        </w:rPr>
        <w:t>4</w:t>
      </w:r>
      <w:r>
        <w:rPr>
          <w:rFonts w:hint="eastAsia" w:hAnsi="宋体"/>
          <w:b/>
          <w:bCs/>
          <w:szCs w:val="21"/>
          <w:highlight w:val="none"/>
          <w:lang w:val="en-US" w:eastAsia="zh-CN"/>
        </w:rPr>
        <w:t>2</w:t>
      </w:r>
      <w:r>
        <w:rPr>
          <w:rFonts w:hint="eastAsia" w:hAnsi="宋体"/>
          <w:b/>
          <w:bCs/>
          <w:szCs w:val="21"/>
          <w:highlight w:val="none"/>
        </w:rPr>
        <w:t>.</w:t>
      </w:r>
      <w:r>
        <w:rPr>
          <w:rFonts w:hint="eastAsia" w:hAnsi="宋体"/>
          <w:b/>
          <w:bCs/>
          <w:szCs w:val="21"/>
          <w:highlight w:val="none"/>
          <w:lang w:val="en-US" w:eastAsia="zh-CN"/>
        </w:rPr>
        <w:t>备选投标方案</w:t>
      </w:r>
    </w:p>
    <w:p>
      <w:pPr>
        <w:pStyle w:val="15"/>
        <w:keepNext w:val="0"/>
        <w:keepLines w:val="0"/>
        <w:pageBreakBefore w:val="0"/>
        <w:widowControl w:val="0"/>
        <w:kinsoku/>
        <w:wordWrap/>
        <w:overflowPunct/>
        <w:topLinePunct w:val="0"/>
        <w:autoSpaceDE/>
        <w:autoSpaceDN/>
        <w:bidi w:val="0"/>
        <w:adjustRightInd/>
        <w:snapToGrid/>
        <w:spacing w:line="360" w:lineRule="auto"/>
        <w:ind w:left="0" w:leftChars="0" w:firstLine="210" w:firstLineChars="100"/>
        <w:jc w:val="left"/>
        <w:textAlignment w:val="auto"/>
        <w:rPr>
          <w:rFonts w:hAnsi="宋体"/>
          <w:bCs/>
          <w:szCs w:val="21"/>
          <w:highlight w:val="none"/>
        </w:rPr>
      </w:pPr>
      <w:r>
        <w:rPr>
          <w:rFonts w:hint="eastAsia" w:hAnsi="宋体"/>
          <w:b w:val="0"/>
          <w:bCs/>
          <w:szCs w:val="21"/>
          <w:highlight w:val="none"/>
          <w:lang w:val="en-US" w:eastAsia="zh-CN"/>
        </w:rPr>
        <w:t>42.1</w:t>
      </w:r>
      <w:r>
        <w:rPr>
          <w:rFonts w:hint="eastAsia" w:hAnsi="宋体"/>
          <w:b/>
          <w:szCs w:val="21"/>
          <w:highlight w:val="none"/>
        </w:rPr>
        <w:t>“投标人须知前附表”</w:t>
      </w:r>
      <w:r>
        <w:rPr>
          <w:rFonts w:hint="eastAsia" w:hAnsi="宋体"/>
          <w:bCs/>
          <w:szCs w:val="21"/>
          <w:highlight w:val="none"/>
        </w:rPr>
        <w:t>中若规定可以接受备选方案的，投标人在投标文件中只能提供一个备选方案，并注明主选方案，且备选方案的投标价格不得高于主选方案。凡提供两个以上备选方案或未注明主选方案的，该投标将被视为未实质性响应</w:t>
      </w:r>
      <w:r>
        <w:rPr>
          <w:rFonts w:hint="eastAsia" w:hAnsi="宋体"/>
          <w:bCs/>
          <w:szCs w:val="21"/>
          <w:highlight w:val="none"/>
          <w:lang w:eastAsia="zh-CN"/>
        </w:rPr>
        <w:t>采购文件</w:t>
      </w:r>
      <w:r>
        <w:rPr>
          <w:rFonts w:hint="eastAsia" w:hAnsi="宋体"/>
          <w:bCs/>
          <w:szCs w:val="21"/>
          <w:highlight w:val="none"/>
        </w:rPr>
        <w:t>要求。</w:t>
      </w:r>
    </w:p>
    <w:p>
      <w:pPr>
        <w:pStyle w:val="15"/>
        <w:keepNext w:val="0"/>
        <w:keepLines w:val="0"/>
        <w:pageBreakBefore w:val="0"/>
        <w:widowControl w:val="0"/>
        <w:kinsoku/>
        <w:wordWrap/>
        <w:overflowPunct/>
        <w:topLinePunct w:val="0"/>
        <w:autoSpaceDE/>
        <w:autoSpaceDN/>
        <w:bidi w:val="0"/>
        <w:adjustRightInd/>
        <w:snapToGrid/>
        <w:spacing w:line="360" w:lineRule="auto"/>
        <w:ind w:left="0" w:leftChars="0" w:firstLine="210" w:firstLineChars="100"/>
        <w:jc w:val="left"/>
        <w:textAlignment w:val="auto"/>
        <w:rPr>
          <w:rFonts w:hAnsi="宋体"/>
          <w:bCs/>
          <w:szCs w:val="21"/>
          <w:highlight w:val="none"/>
        </w:rPr>
      </w:pPr>
      <w:r>
        <w:rPr>
          <w:rFonts w:hint="eastAsia" w:hAnsi="宋体"/>
          <w:bCs/>
          <w:szCs w:val="21"/>
          <w:highlight w:val="none"/>
          <w:lang w:val="en-US" w:eastAsia="zh-CN"/>
        </w:rPr>
        <w:t>42.2</w:t>
      </w:r>
      <w:r>
        <w:rPr>
          <w:rFonts w:hint="eastAsia" w:hAnsi="宋体"/>
          <w:bCs/>
          <w:szCs w:val="21"/>
          <w:highlight w:val="none"/>
        </w:rPr>
        <w:t>评标委员会在对有备选方案的投标人进行评审时，应当以主选方案为准进行评审，如考虑备选方案的，备选方案必须实质性响应</w:t>
      </w:r>
      <w:r>
        <w:rPr>
          <w:rFonts w:hint="eastAsia" w:hAnsi="宋体"/>
          <w:bCs/>
          <w:szCs w:val="21"/>
          <w:highlight w:val="none"/>
          <w:lang w:eastAsia="zh-CN"/>
        </w:rPr>
        <w:t>采购文件</w:t>
      </w:r>
      <w:r>
        <w:rPr>
          <w:rFonts w:hint="eastAsia" w:hAnsi="宋体"/>
          <w:bCs/>
          <w:szCs w:val="21"/>
          <w:highlight w:val="none"/>
        </w:rPr>
        <w:t>要求。</w:t>
      </w:r>
    </w:p>
    <w:p>
      <w:pPr>
        <w:pStyle w:val="15"/>
        <w:spacing w:line="360" w:lineRule="auto"/>
        <w:ind w:firstLine="211" w:firstLineChars="100"/>
        <w:jc w:val="left"/>
        <w:rPr>
          <w:rFonts w:hAnsi="宋体"/>
          <w:b/>
          <w:bCs w:val="0"/>
          <w:szCs w:val="21"/>
          <w:highlight w:val="none"/>
        </w:rPr>
      </w:pPr>
      <w:bookmarkStart w:id="56" w:name="_Toc213141090"/>
      <w:r>
        <w:rPr>
          <w:rFonts w:hint="eastAsia" w:hAnsi="宋体"/>
          <w:b/>
          <w:bCs w:val="0"/>
          <w:szCs w:val="21"/>
          <w:highlight w:val="none"/>
        </w:rPr>
        <w:t>其他内容见“投标人须知前附表”。</w:t>
      </w:r>
    </w:p>
    <w:p>
      <w:pPr>
        <w:pStyle w:val="26"/>
        <w:ind w:left="424" w:leftChars="202" w:firstLine="2"/>
        <w:rPr>
          <w:rFonts w:ascii="宋体" w:hAnsi="宋体"/>
          <w:highlight w:val="none"/>
        </w:rPr>
      </w:pPr>
      <w:r>
        <w:rPr>
          <w:rFonts w:ascii="宋体" w:hAnsi="宋体"/>
          <w:highlight w:val="none"/>
        </w:rPr>
        <w:br w:type="page"/>
      </w:r>
      <w:bookmarkStart w:id="57" w:name="_Toc29573"/>
      <w:bookmarkStart w:id="58" w:name="_Toc6249"/>
      <w:r>
        <w:rPr>
          <w:rFonts w:hint="eastAsia" w:ascii="宋体" w:hAnsi="宋体"/>
          <w:highlight w:val="none"/>
        </w:rPr>
        <w:t>第三章</w:t>
      </w:r>
      <w:r>
        <w:rPr>
          <w:rFonts w:ascii="宋体" w:hAnsi="宋体"/>
          <w:highlight w:val="none"/>
        </w:rPr>
        <w:t xml:space="preserve"> </w:t>
      </w:r>
      <w:r>
        <w:rPr>
          <w:rFonts w:hint="eastAsia" w:ascii="宋体" w:hAnsi="宋体"/>
          <w:highlight w:val="none"/>
        </w:rPr>
        <w:t>合同书样式及主要条款</w:t>
      </w:r>
      <w:bookmarkEnd w:id="56"/>
      <w:bookmarkEnd w:id="57"/>
      <w:bookmarkEnd w:id="58"/>
    </w:p>
    <w:p>
      <w:pPr>
        <w:rPr>
          <w:rFonts w:ascii="宋体" w:hAnsi="宋体" w:cs="宋体"/>
          <w:szCs w:val="32"/>
          <w:highlight w:val="none"/>
          <w:lang w:val="en-AU"/>
        </w:rPr>
      </w:pPr>
    </w:p>
    <w:tbl>
      <w:tblPr>
        <w:tblStyle w:val="30"/>
        <w:tblW w:w="9877" w:type="dxa"/>
        <w:jc w:val="center"/>
        <w:tblLayout w:type="fixed"/>
        <w:tblCellMar>
          <w:top w:w="0" w:type="dxa"/>
          <w:left w:w="0" w:type="dxa"/>
          <w:bottom w:w="0" w:type="dxa"/>
          <w:right w:w="0" w:type="dxa"/>
        </w:tblCellMar>
      </w:tblPr>
      <w:tblGrid>
        <w:gridCol w:w="9877"/>
      </w:tblGrid>
      <w:tr>
        <w:tblPrEx>
          <w:tblCellMar>
            <w:top w:w="0" w:type="dxa"/>
            <w:left w:w="0" w:type="dxa"/>
            <w:bottom w:w="0" w:type="dxa"/>
            <w:right w:w="0" w:type="dxa"/>
          </w:tblCellMar>
        </w:tblPrEx>
        <w:trPr>
          <w:jc w:val="center"/>
        </w:trPr>
        <w:tc>
          <w:tcPr>
            <w:tcW w:w="9877" w:type="dxa"/>
            <w:vAlign w:val="center"/>
          </w:tcPr>
          <w:tbl>
            <w:tblPr>
              <w:tblStyle w:val="30"/>
              <w:tblW w:w="0" w:type="auto"/>
              <w:tblInd w:w="0" w:type="dxa"/>
              <w:tblLayout w:type="fixed"/>
              <w:tblCellMar>
                <w:top w:w="0" w:type="dxa"/>
                <w:left w:w="0" w:type="dxa"/>
                <w:bottom w:w="0" w:type="dxa"/>
                <w:right w:w="0" w:type="dxa"/>
              </w:tblCellMar>
            </w:tblPr>
            <w:tblGrid>
              <w:gridCol w:w="1200"/>
              <w:gridCol w:w="2675"/>
              <w:gridCol w:w="1616"/>
              <w:gridCol w:w="20"/>
              <w:gridCol w:w="20"/>
              <w:gridCol w:w="1529"/>
              <w:gridCol w:w="2607"/>
            </w:tblGrid>
            <w:tr>
              <w:tblPrEx>
                <w:tblCellMar>
                  <w:top w:w="0" w:type="dxa"/>
                  <w:left w:w="0" w:type="dxa"/>
                  <w:bottom w:w="0" w:type="dxa"/>
                  <w:right w:w="0" w:type="dxa"/>
                </w:tblCellMar>
              </w:tblPrEx>
              <w:tc>
                <w:tcPr>
                  <w:tcW w:w="1200" w:type="dxa"/>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合同编号：</w:t>
                  </w:r>
                </w:p>
              </w:tc>
              <w:tc>
                <w:tcPr>
                  <w:tcW w:w="2675" w:type="dxa"/>
                  <w:vAlign w:val="center"/>
                </w:tcPr>
                <w:p>
                  <w:pPr>
                    <w:widowControl/>
                    <w:jc w:val="left"/>
                    <w:rPr>
                      <w:rFonts w:ascii="宋体" w:hAnsi="宋体" w:cs="宋体"/>
                      <w:kern w:val="0"/>
                      <w:sz w:val="24"/>
                      <w:highlight w:val="none"/>
                    </w:rPr>
                  </w:pPr>
                  <w:r>
                    <w:rPr>
                      <w:rFonts w:hint="eastAsia" w:ascii="宋体" w:hAnsi="宋体" w:cs="宋体"/>
                      <w:kern w:val="0"/>
                      <w:sz w:val="24"/>
                      <w:highlight w:val="none"/>
                    </w:rPr>
                    <w:t xml:space="preserve"> </w:t>
                  </w:r>
                </w:p>
              </w:tc>
              <w:tc>
                <w:tcPr>
                  <w:tcW w:w="1616" w:type="dxa"/>
                  <w:vAlign w:val="center"/>
                </w:tcPr>
                <w:p>
                  <w:pPr>
                    <w:widowControl/>
                    <w:jc w:val="left"/>
                    <w:rPr>
                      <w:rFonts w:ascii="宋体" w:hAnsi="宋体" w:cs="宋体"/>
                      <w:kern w:val="0"/>
                      <w:sz w:val="24"/>
                      <w:highlight w:val="none"/>
                    </w:rPr>
                  </w:pPr>
                  <w:r>
                    <w:rPr>
                      <w:rFonts w:hint="eastAsia" w:ascii="宋体" w:hAnsi="宋体" w:cs="宋体"/>
                      <w:kern w:val="0"/>
                      <w:sz w:val="24"/>
                      <w:highlight w:val="none"/>
                    </w:rPr>
                    <w:t xml:space="preserve">合同自编号：       </w:t>
                  </w:r>
                </w:p>
              </w:tc>
              <w:tc>
                <w:tcPr>
                  <w:tcW w:w="20" w:type="dxa"/>
                  <w:vAlign w:val="center"/>
                </w:tcPr>
                <w:p>
                  <w:pPr>
                    <w:widowControl/>
                    <w:jc w:val="left"/>
                    <w:rPr>
                      <w:rFonts w:ascii="宋体" w:hAnsi="宋体" w:cs="宋体"/>
                      <w:kern w:val="0"/>
                      <w:sz w:val="24"/>
                      <w:highlight w:val="none"/>
                    </w:rPr>
                  </w:pPr>
                </w:p>
              </w:tc>
              <w:tc>
                <w:tcPr>
                  <w:tcW w:w="20" w:type="dxa"/>
                  <w:vAlign w:val="center"/>
                </w:tcPr>
                <w:p>
                  <w:pPr>
                    <w:widowControl/>
                    <w:jc w:val="left"/>
                    <w:rPr>
                      <w:rFonts w:ascii="宋体" w:hAnsi="宋体" w:cs="宋体"/>
                      <w:kern w:val="0"/>
                      <w:sz w:val="24"/>
                      <w:highlight w:val="none"/>
                    </w:rPr>
                  </w:pPr>
                </w:p>
              </w:tc>
              <w:tc>
                <w:tcPr>
                  <w:tcW w:w="1529" w:type="dxa"/>
                  <w:vAlign w:val="center"/>
                </w:tcPr>
                <w:p>
                  <w:pPr>
                    <w:widowControl/>
                    <w:ind w:firstLine="240" w:firstLineChars="100"/>
                    <w:jc w:val="left"/>
                    <w:rPr>
                      <w:rFonts w:ascii="宋体" w:hAnsi="宋体" w:cs="宋体"/>
                      <w:kern w:val="0"/>
                      <w:sz w:val="24"/>
                      <w:highlight w:val="none"/>
                    </w:rPr>
                  </w:pPr>
                  <w:r>
                    <w:rPr>
                      <w:rFonts w:hint="eastAsia" w:ascii="宋体" w:hAnsi="宋体" w:cs="宋体"/>
                      <w:kern w:val="0"/>
                      <w:sz w:val="24"/>
                      <w:highlight w:val="none"/>
                    </w:rPr>
                    <w:t>招标编号：</w:t>
                  </w:r>
                </w:p>
              </w:tc>
              <w:tc>
                <w:tcPr>
                  <w:tcW w:w="2607" w:type="dxa"/>
                  <w:vAlign w:val="center"/>
                </w:tcPr>
                <w:p>
                  <w:pPr>
                    <w:widowControl/>
                    <w:jc w:val="left"/>
                    <w:rPr>
                      <w:rFonts w:ascii="宋体" w:hAnsi="宋体" w:cs="宋体"/>
                      <w:kern w:val="0"/>
                      <w:szCs w:val="21"/>
                      <w:highlight w:val="none"/>
                    </w:rPr>
                  </w:pPr>
                </w:p>
              </w:tc>
            </w:tr>
          </w:tbl>
          <w:p>
            <w:pPr>
              <w:widowControl/>
              <w:spacing w:after="240"/>
              <w:jc w:val="left"/>
              <w:rPr>
                <w:rFonts w:ascii="宋体" w:hAnsi="宋体" w:cs="宋体"/>
                <w:kern w:val="0"/>
                <w:sz w:val="18"/>
                <w:szCs w:val="18"/>
                <w:highlight w:val="none"/>
              </w:rPr>
            </w:pPr>
          </w:p>
          <w:p>
            <w:pPr>
              <w:widowControl/>
              <w:spacing w:after="240"/>
              <w:jc w:val="left"/>
              <w:rPr>
                <w:rFonts w:ascii="宋体" w:hAnsi="宋体" w:cs="宋体"/>
                <w:kern w:val="0"/>
                <w:sz w:val="18"/>
                <w:szCs w:val="18"/>
                <w:highlight w:val="none"/>
              </w:rPr>
            </w:pPr>
          </w:p>
        </w:tc>
      </w:tr>
      <w:tr>
        <w:tblPrEx>
          <w:tblCellMar>
            <w:top w:w="0" w:type="dxa"/>
            <w:left w:w="0" w:type="dxa"/>
            <w:bottom w:w="0" w:type="dxa"/>
            <w:right w:w="0" w:type="dxa"/>
          </w:tblCellMar>
        </w:tblPrEx>
        <w:trPr>
          <w:jc w:val="center"/>
        </w:trPr>
        <w:tc>
          <w:tcPr>
            <w:tcW w:w="9877" w:type="dxa"/>
            <w:vAlign w:val="center"/>
          </w:tcPr>
          <w:p>
            <w:pPr>
              <w:widowControl/>
              <w:spacing w:after="240"/>
              <w:jc w:val="left"/>
              <w:rPr>
                <w:rFonts w:ascii="宋体" w:hAnsi="宋体" w:cs="宋体"/>
                <w:kern w:val="0"/>
                <w:sz w:val="24"/>
                <w:highlight w:val="none"/>
              </w:rPr>
            </w:pPr>
            <w:r>
              <w:rPr>
                <w:rFonts w:hint="eastAsia" w:ascii="宋体" w:hAnsi="宋体" w:cs="宋体"/>
                <w:kern w:val="0"/>
                <w:sz w:val="24"/>
                <w:highlight w:val="none"/>
              </w:rPr>
              <w:t>●本合同须加盖甲乙双方骑缝章有效</w:t>
            </w:r>
          </w:p>
          <w:p>
            <w:pPr>
              <w:widowControl/>
              <w:spacing w:after="240"/>
              <w:jc w:val="left"/>
              <w:rPr>
                <w:rFonts w:ascii="宋体" w:hAnsi="宋体" w:cs="宋体"/>
                <w:kern w:val="0"/>
                <w:sz w:val="24"/>
                <w:highlight w:val="none"/>
              </w:rPr>
            </w:pPr>
          </w:p>
          <w:p>
            <w:pPr>
              <w:widowControl/>
              <w:spacing w:after="240"/>
              <w:jc w:val="left"/>
              <w:rPr>
                <w:rFonts w:ascii="宋体" w:hAnsi="宋体" w:cs="宋体"/>
                <w:kern w:val="0"/>
                <w:sz w:val="18"/>
                <w:szCs w:val="18"/>
                <w:highlight w:val="none"/>
              </w:rPr>
            </w:pPr>
          </w:p>
        </w:tc>
      </w:tr>
      <w:tr>
        <w:tblPrEx>
          <w:tblCellMar>
            <w:top w:w="0" w:type="dxa"/>
            <w:left w:w="0" w:type="dxa"/>
            <w:bottom w:w="0" w:type="dxa"/>
            <w:right w:w="0" w:type="dxa"/>
          </w:tblCellMar>
        </w:tblPrEx>
        <w:trPr>
          <w:jc w:val="center"/>
        </w:trPr>
        <w:tc>
          <w:tcPr>
            <w:tcW w:w="9877" w:type="dxa"/>
            <w:vAlign w:val="center"/>
          </w:tcPr>
          <w:p>
            <w:pPr>
              <w:widowControl/>
              <w:spacing w:after="240"/>
              <w:jc w:val="center"/>
              <w:rPr>
                <w:rFonts w:ascii="宋体" w:hAnsi="宋体" w:cs="宋体"/>
                <w:kern w:val="0"/>
                <w:sz w:val="39"/>
                <w:szCs w:val="39"/>
                <w:highlight w:val="none"/>
              </w:rPr>
            </w:pPr>
            <w:r>
              <w:rPr>
                <w:rFonts w:hint="eastAsia" w:ascii="宋体" w:hAnsi="宋体" w:cs="宋体"/>
                <w:kern w:val="0"/>
                <w:sz w:val="39"/>
                <w:szCs w:val="39"/>
                <w:highlight w:val="none"/>
              </w:rPr>
              <w:t>云南省省级政府采购</w:t>
            </w:r>
          </w:p>
          <w:p>
            <w:pPr>
              <w:widowControl/>
              <w:spacing w:after="240"/>
              <w:jc w:val="center"/>
              <w:rPr>
                <w:rFonts w:ascii="宋体" w:hAnsi="宋体" w:cs="宋体"/>
                <w:kern w:val="0"/>
                <w:sz w:val="39"/>
                <w:szCs w:val="39"/>
                <w:highlight w:val="none"/>
              </w:rPr>
            </w:pPr>
          </w:p>
          <w:p>
            <w:pPr>
              <w:widowControl/>
              <w:spacing w:after="240"/>
              <w:jc w:val="center"/>
              <w:rPr>
                <w:rFonts w:ascii="宋体" w:hAnsi="宋体" w:cs="宋体"/>
                <w:kern w:val="0"/>
                <w:sz w:val="18"/>
                <w:szCs w:val="18"/>
                <w:highlight w:val="none"/>
              </w:rPr>
            </w:pPr>
          </w:p>
        </w:tc>
      </w:tr>
      <w:tr>
        <w:tblPrEx>
          <w:tblCellMar>
            <w:top w:w="0" w:type="dxa"/>
            <w:left w:w="0" w:type="dxa"/>
            <w:bottom w:w="0" w:type="dxa"/>
            <w:right w:w="0" w:type="dxa"/>
          </w:tblCellMar>
        </w:tblPrEx>
        <w:trPr>
          <w:jc w:val="center"/>
        </w:trPr>
        <w:tc>
          <w:tcPr>
            <w:tcW w:w="9877" w:type="dxa"/>
            <w:vAlign w:val="center"/>
          </w:tcPr>
          <w:p>
            <w:pPr>
              <w:widowControl/>
              <w:spacing w:after="240"/>
              <w:jc w:val="center"/>
              <w:rPr>
                <w:rFonts w:ascii="宋体" w:hAnsi="宋体" w:cs="宋体"/>
                <w:kern w:val="0"/>
                <w:sz w:val="18"/>
                <w:szCs w:val="18"/>
                <w:highlight w:val="none"/>
              </w:rPr>
            </w:pPr>
            <w:r>
              <w:rPr>
                <w:rFonts w:hint="eastAsia" w:ascii="宋体" w:hAnsi="宋体" w:cs="宋体"/>
                <w:kern w:val="0"/>
                <w:sz w:val="33"/>
                <w:szCs w:val="33"/>
                <w:highlight w:val="none"/>
              </w:rPr>
              <w:t>（委托采购）</w:t>
            </w:r>
            <w:r>
              <w:rPr>
                <w:rFonts w:hint="eastAsia" w:ascii="宋体" w:hAnsi="宋体" w:cs="宋体"/>
                <w:kern w:val="0"/>
                <w:sz w:val="18"/>
                <w:szCs w:val="18"/>
                <w:highlight w:val="none"/>
              </w:rPr>
              <w:t xml:space="preserve"> </w:t>
            </w:r>
          </w:p>
          <w:p>
            <w:pPr>
              <w:widowControl/>
              <w:spacing w:after="240"/>
              <w:jc w:val="center"/>
              <w:rPr>
                <w:rFonts w:ascii="宋体" w:hAnsi="宋体" w:cs="宋体"/>
                <w:kern w:val="0"/>
                <w:sz w:val="18"/>
                <w:szCs w:val="18"/>
                <w:highlight w:val="none"/>
              </w:rPr>
            </w:pPr>
          </w:p>
          <w:p>
            <w:pPr>
              <w:widowControl/>
              <w:spacing w:after="240"/>
              <w:jc w:val="center"/>
              <w:rPr>
                <w:rFonts w:ascii="宋体" w:hAnsi="宋体" w:cs="宋体"/>
                <w:kern w:val="0"/>
                <w:sz w:val="18"/>
                <w:szCs w:val="18"/>
                <w:highlight w:val="none"/>
              </w:rPr>
            </w:pPr>
          </w:p>
        </w:tc>
      </w:tr>
      <w:tr>
        <w:tblPrEx>
          <w:tblCellMar>
            <w:top w:w="0" w:type="dxa"/>
            <w:left w:w="0" w:type="dxa"/>
            <w:bottom w:w="0" w:type="dxa"/>
            <w:right w:w="0" w:type="dxa"/>
          </w:tblCellMar>
        </w:tblPrEx>
        <w:trPr>
          <w:jc w:val="center"/>
        </w:trPr>
        <w:tc>
          <w:tcPr>
            <w:tcW w:w="9877" w:type="dxa"/>
            <w:vAlign w:val="center"/>
          </w:tcPr>
          <w:p>
            <w:pPr>
              <w:widowControl/>
              <w:spacing w:after="240"/>
              <w:jc w:val="center"/>
              <w:rPr>
                <w:rFonts w:ascii="宋体" w:hAnsi="宋体" w:cs="宋体"/>
                <w:kern w:val="0"/>
                <w:sz w:val="18"/>
                <w:szCs w:val="18"/>
                <w:highlight w:val="none"/>
              </w:rPr>
            </w:pPr>
            <w:r>
              <w:rPr>
                <w:rFonts w:hint="eastAsia" w:ascii="宋体" w:hAnsi="宋体" w:cs="宋体"/>
                <w:kern w:val="0"/>
                <w:sz w:val="63"/>
                <w:szCs w:val="63"/>
                <w:highlight w:val="none"/>
              </w:rPr>
              <w:t>合</w:t>
            </w:r>
            <w:r>
              <w:rPr>
                <w:rFonts w:hint="eastAsia" w:ascii="宋体" w:hAnsi="宋体" w:cs="宋体"/>
                <w:kern w:val="0"/>
                <w:sz w:val="18"/>
                <w:szCs w:val="18"/>
                <w:highlight w:val="none"/>
              </w:rPr>
              <w:t xml:space="preserve"> </w:t>
            </w:r>
          </w:p>
        </w:tc>
      </w:tr>
      <w:tr>
        <w:tblPrEx>
          <w:tblCellMar>
            <w:top w:w="0" w:type="dxa"/>
            <w:left w:w="0" w:type="dxa"/>
            <w:bottom w:w="0" w:type="dxa"/>
            <w:right w:w="0" w:type="dxa"/>
          </w:tblCellMar>
        </w:tblPrEx>
        <w:trPr>
          <w:jc w:val="center"/>
        </w:trPr>
        <w:tc>
          <w:tcPr>
            <w:tcW w:w="9877" w:type="dxa"/>
            <w:vAlign w:val="center"/>
          </w:tcPr>
          <w:p>
            <w:pPr>
              <w:widowControl/>
              <w:spacing w:after="240"/>
              <w:jc w:val="center"/>
              <w:rPr>
                <w:rFonts w:ascii="宋体" w:hAnsi="宋体" w:cs="宋体"/>
                <w:kern w:val="0"/>
                <w:sz w:val="18"/>
                <w:szCs w:val="18"/>
                <w:highlight w:val="none"/>
              </w:rPr>
            </w:pPr>
            <w:r>
              <w:rPr>
                <w:rFonts w:hint="eastAsia" w:ascii="宋体" w:hAnsi="宋体" w:cs="宋体"/>
                <w:kern w:val="0"/>
                <w:sz w:val="63"/>
                <w:szCs w:val="63"/>
                <w:highlight w:val="none"/>
              </w:rPr>
              <w:t>同</w:t>
            </w:r>
          </w:p>
        </w:tc>
      </w:tr>
      <w:tr>
        <w:tblPrEx>
          <w:tblCellMar>
            <w:top w:w="0" w:type="dxa"/>
            <w:left w:w="0" w:type="dxa"/>
            <w:bottom w:w="0" w:type="dxa"/>
            <w:right w:w="0" w:type="dxa"/>
          </w:tblCellMar>
        </w:tblPrEx>
        <w:trPr>
          <w:jc w:val="center"/>
        </w:trPr>
        <w:tc>
          <w:tcPr>
            <w:tcW w:w="9877" w:type="dxa"/>
            <w:vAlign w:val="center"/>
          </w:tcPr>
          <w:p>
            <w:pPr>
              <w:widowControl/>
              <w:spacing w:after="240"/>
              <w:jc w:val="center"/>
              <w:rPr>
                <w:rFonts w:ascii="宋体" w:hAnsi="宋体" w:cs="宋体"/>
                <w:kern w:val="0"/>
                <w:sz w:val="18"/>
                <w:szCs w:val="18"/>
                <w:highlight w:val="none"/>
              </w:rPr>
            </w:pPr>
            <w:r>
              <w:rPr>
                <w:rFonts w:hint="eastAsia" w:ascii="宋体" w:hAnsi="宋体" w:cs="宋体"/>
                <w:kern w:val="0"/>
                <w:sz w:val="63"/>
                <w:szCs w:val="63"/>
                <w:highlight w:val="none"/>
              </w:rPr>
              <w:t>书</w:t>
            </w:r>
            <w:r>
              <w:rPr>
                <w:rFonts w:hint="eastAsia" w:ascii="宋体" w:hAnsi="宋体" w:cs="宋体"/>
                <w:kern w:val="0"/>
                <w:sz w:val="18"/>
                <w:szCs w:val="18"/>
                <w:highlight w:val="none"/>
              </w:rPr>
              <w:t xml:space="preserve"> </w:t>
            </w:r>
          </w:p>
        </w:tc>
      </w:tr>
      <w:tr>
        <w:tblPrEx>
          <w:tblCellMar>
            <w:top w:w="0" w:type="dxa"/>
            <w:left w:w="0" w:type="dxa"/>
            <w:bottom w:w="0" w:type="dxa"/>
            <w:right w:w="0" w:type="dxa"/>
          </w:tblCellMar>
        </w:tblPrEx>
        <w:trPr>
          <w:jc w:val="center"/>
        </w:trPr>
        <w:tc>
          <w:tcPr>
            <w:tcW w:w="9877" w:type="dxa"/>
            <w:vAlign w:val="center"/>
          </w:tcPr>
          <w:p>
            <w:pPr>
              <w:widowControl/>
              <w:spacing w:after="240"/>
              <w:ind w:firstLine="3313" w:firstLineChars="1100"/>
              <w:rPr>
                <w:rFonts w:ascii="宋体" w:hAnsi="宋体" w:cs="宋体"/>
                <w:kern w:val="0"/>
                <w:sz w:val="30"/>
                <w:szCs w:val="30"/>
                <w:highlight w:val="none"/>
              </w:rPr>
            </w:pPr>
            <w:r>
              <w:rPr>
                <w:rFonts w:hint="eastAsia" w:ascii="宋体" w:hAnsi="宋体" w:cs="宋体"/>
                <w:b/>
                <w:bCs/>
                <w:kern w:val="0"/>
                <w:sz w:val="30"/>
                <w:szCs w:val="30"/>
                <w:highlight w:val="none"/>
              </w:rPr>
              <w:t>签订地点:云南省大理州</w:t>
            </w:r>
            <w:r>
              <w:rPr>
                <w:rFonts w:hint="eastAsia" w:ascii="宋体" w:hAnsi="宋体" w:cs="宋体"/>
                <w:kern w:val="0"/>
                <w:sz w:val="30"/>
                <w:szCs w:val="30"/>
                <w:highlight w:val="none"/>
              </w:rPr>
              <w:t xml:space="preserve"> </w:t>
            </w:r>
          </w:p>
        </w:tc>
      </w:tr>
      <w:tr>
        <w:tblPrEx>
          <w:tblCellMar>
            <w:top w:w="0" w:type="dxa"/>
            <w:left w:w="0" w:type="dxa"/>
            <w:bottom w:w="0" w:type="dxa"/>
            <w:right w:w="0" w:type="dxa"/>
          </w:tblCellMar>
        </w:tblPrEx>
        <w:trPr>
          <w:jc w:val="center"/>
        </w:trPr>
        <w:tc>
          <w:tcPr>
            <w:tcW w:w="9877" w:type="dxa"/>
            <w:vAlign w:val="center"/>
          </w:tcPr>
          <w:p>
            <w:pPr>
              <w:widowControl/>
              <w:spacing w:before="100" w:beforeAutospacing="1" w:after="100" w:afterAutospacing="1"/>
              <w:jc w:val="center"/>
              <w:rPr>
                <w:rFonts w:ascii="宋体" w:hAnsi="宋体" w:cs="宋体"/>
                <w:b/>
                <w:bCs/>
                <w:kern w:val="0"/>
                <w:sz w:val="30"/>
                <w:szCs w:val="30"/>
                <w:highlight w:val="none"/>
              </w:rPr>
            </w:pPr>
            <w:r>
              <w:rPr>
                <w:rFonts w:hint="eastAsia" w:ascii="宋体" w:hAnsi="宋体" w:cs="宋体"/>
                <w:b/>
                <w:bCs/>
                <w:kern w:val="0"/>
                <w:sz w:val="30"/>
                <w:szCs w:val="30"/>
                <w:highlight w:val="none"/>
              </w:rPr>
              <w:t>云南省财政厅　制</w:t>
            </w:r>
          </w:p>
        </w:tc>
      </w:tr>
    </w:tbl>
    <w:p>
      <w:pPr>
        <w:rPr>
          <w:rFonts w:ascii="宋体" w:hAnsi="宋体" w:cs="宋体"/>
          <w:highlight w:val="none"/>
        </w:rPr>
        <w:sectPr>
          <w:footerReference r:id="rId10"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甲方（</w:t>
      </w:r>
      <w:r>
        <w:rPr>
          <w:rFonts w:hint="eastAsia" w:asciiTheme="minorEastAsia" w:hAnsiTheme="minorEastAsia" w:eastAsiaTheme="minorEastAsia" w:cstheme="minorEastAsia"/>
          <w:szCs w:val="21"/>
          <w:highlight w:val="none"/>
          <w:lang w:eastAsia="zh-CN"/>
        </w:rPr>
        <w:t>采购人</w:t>
      </w:r>
      <w:r>
        <w:rPr>
          <w:rFonts w:hint="eastAsia" w:asciiTheme="minorEastAsia" w:hAnsiTheme="minorEastAsia" w:eastAsiaTheme="minorEastAsia" w:cstheme="minorEastAsia"/>
          <w:szCs w:val="21"/>
          <w:highlight w:val="none"/>
        </w:rPr>
        <w:t xml:space="preserve">单位章）名    称： </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地    址： </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邮    编：</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法定代表人或委托代理人：</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项目（技术）负责人：</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电    话：</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开 户 银行： </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账    号：</w:t>
      </w:r>
    </w:p>
    <w:p>
      <w:pPr>
        <w:spacing w:line="400" w:lineRule="exact"/>
        <w:ind w:left="1619" w:leftChars="771"/>
        <w:rPr>
          <w:rFonts w:asciiTheme="minorEastAsia" w:hAnsiTheme="minorEastAsia" w:eastAsiaTheme="minorEastAsia" w:cstheme="minorEastAsia"/>
          <w:szCs w:val="21"/>
          <w:highlight w:val="none"/>
        </w:rPr>
      </w:pPr>
    </w:p>
    <w:p>
      <w:pPr>
        <w:spacing w:line="400" w:lineRule="exact"/>
        <w:ind w:left="1619" w:leftChars="771"/>
        <w:rPr>
          <w:rFonts w:asciiTheme="minorEastAsia" w:hAnsiTheme="minorEastAsia" w:eastAsiaTheme="minorEastAsia" w:cstheme="minorEastAsia"/>
          <w:szCs w:val="21"/>
          <w:highlight w:val="none"/>
        </w:rPr>
      </w:pPr>
    </w:p>
    <w:p>
      <w:pPr>
        <w:spacing w:line="400" w:lineRule="exact"/>
        <w:ind w:left="1619" w:leftChars="771"/>
        <w:rPr>
          <w:rFonts w:asciiTheme="minorEastAsia" w:hAnsiTheme="minorEastAsia" w:eastAsiaTheme="minorEastAsia" w:cstheme="minorEastAsia"/>
          <w:szCs w:val="21"/>
          <w:highlight w:val="none"/>
        </w:rPr>
      </w:pP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乙方（投标人单位章）名    称： </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地    址：</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邮    编：</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法定代表人：</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委托代理人：                    </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电话：</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开 户 银行：</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账    号：</w:t>
      </w:r>
    </w:p>
    <w:p>
      <w:pPr>
        <w:spacing w:line="400" w:lineRule="exact"/>
        <w:ind w:left="1619" w:leftChars="771"/>
        <w:rPr>
          <w:rFonts w:asciiTheme="minorEastAsia" w:hAnsiTheme="minorEastAsia" w:eastAsiaTheme="minorEastAsia" w:cstheme="minorEastAsia"/>
          <w:szCs w:val="21"/>
          <w:highlight w:val="none"/>
        </w:rPr>
      </w:pPr>
    </w:p>
    <w:p>
      <w:pPr>
        <w:spacing w:line="400" w:lineRule="exact"/>
        <w:ind w:left="1619" w:leftChars="771"/>
        <w:rPr>
          <w:rFonts w:asciiTheme="minorEastAsia" w:hAnsiTheme="minorEastAsia" w:eastAsiaTheme="minorEastAsia" w:cstheme="minorEastAsia"/>
          <w:szCs w:val="21"/>
          <w:highlight w:val="none"/>
        </w:rPr>
      </w:pPr>
    </w:p>
    <w:p>
      <w:pPr>
        <w:spacing w:line="400" w:lineRule="exact"/>
        <w:ind w:left="1619" w:leftChars="771"/>
        <w:rPr>
          <w:rFonts w:asciiTheme="minorEastAsia" w:hAnsiTheme="minorEastAsia" w:eastAsiaTheme="minorEastAsia" w:cstheme="minorEastAsia"/>
          <w:szCs w:val="21"/>
          <w:highlight w:val="none"/>
        </w:rPr>
      </w:pPr>
    </w:p>
    <w:p>
      <w:pPr>
        <w:spacing w:line="400" w:lineRule="exact"/>
        <w:ind w:left="1619" w:leftChars="771"/>
        <w:rPr>
          <w:rFonts w:asciiTheme="minorEastAsia" w:hAnsiTheme="minorEastAsia" w:eastAsiaTheme="minorEastAsia" w:cstheme="minorEastAsia"/>
          <w:vanish/>
          <w:szCs w:val="21"/>
          <w:highlight w:val="none"/>
        </w:rPr>
      </w:pP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丙方（鉴证方单位章）名    称： </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地    址：</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邮    编：</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法定代表人：</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或委托代理人：</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经　办　人：</w:t>
      </w:r>
    </w:p>
    <w:p>
      <w:pPr>
        <w:spacing w:line="400" w:lineRule="exact"/>
        <w:ind w:left="1619" w:leftChars="771"/>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电    话：</w:t>
      </w:r>
    </w:p>
    <w:p>
      <w:pPr>
        <w:spacing w:line="360" w:lineRule="auto"/>
        <w:jc w:val="center"/>
        <w:rPr>
          <w:rFonts w:asciiTheme="minorEastAsia" w:hAnsiTheme="minorEastAsia" w:eastAsiaTheme="minorEastAsia" w:cstheme="minorEastAsia"/>
          <w:szCs w:val="21"/>
          <w:highlight w:val="none"/>
        </w:rPr>
      </w:pPr>
    </w:p>
    <w:p>
      <w:pPr>
        <w:spacing w:line="360" w:lineRule="auto"/>
        <w:jc w:val="center"/>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szCs w:val="21"/>
          <w:highlight w:val="none"/>
        </w:rPr>
        <w:t>（</w:t>
      </w:r>
      <w:r>
        <w:rPr>
          <w:rFonts w:hint="eastAsia" w:asciiTheme="minorEastAsia" w:hAnsiTheme="minorEastAsia" w:eastAsiaTheme="minorEastAsia" w:cstheme="minorEastAsia"/>
          <w:b/>
          <w:szCs w:val="21"/>
          <w:highlight w:val="none"/>
        </w:rPr>
        <w:t>注：本合同样式仅供参考，具体合同内容以采购方和使用方与中标投标人签定的合同为准</w:t>
      </w:r>
      <w:r>
        <w:rPr>
          <w:rFonts w:hint="eastAsia" w:asciiTheme="minorEastAsia" w:hAnsiTheme="minorEastAsia" w:eastAsiaTheme="minorEastAsia" w:cstheme="minorEastAsia"/>
          <w:szCs w:val="21"/>
          <w:highlight w:val="none"/>
        </w:rPr>
        <w:t>）</w:t>
      </w:r>
    </w:p>
    <w:p>
      <w:pPr>
        <w:spacing w:line="360" w:lineRule="auto"/>
        <w:ind w:firstLine="420" w:firstLineChars="200"/>
        <w:rPr>
          <w:rFonts w:asciiTheme="minorEastAsia" w:hAnsiTheme="minorEastAsia" w:eastAsiaTheme="minorEastAsia" w:cstheme="minorEastAsia"/>
          <w:kern w:val="1"/>
          <w:szCs w:val="21"/>
          <w:highlight w:val="none"/>
        </w:rPr>
      </w:pPr>
    </w:p>
    <w:p>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br w:type="page"/>
      </w:r>
    </w:p>
    <w:p>
      <w:pPr>
        <w:autoSpaceDE w:val="0"/>
        <w:autoSpaceDN w:val="0"/>
        <w:adjustRightIn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项目名称：</w:t>
      </w:r>
    </w:p>
    <w:p>
      <w:pPr>
        <w:autoSpaceDE w:val="0"/>
        <w:autoSpaceDN w:val="0"/>
        <w:adjustRightInd w:val="0"/>
        <w:spacing w:line="360" w:lineRule="auto"/>
        <w:ind w:firstLine="420" w:firstLineChars="2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根据公开招标采购结果，经甲乙双方协商，签订以下内容：</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一、项目或设备(产品)名称、品牌、型号规格、产地、制造商名、数量、单价                                   </w:t>
      </w:r>
    </w:p>
    <w:tbl>
      <w:tblPr>
        <w:tblStyle w:val="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1376"/>
        <w:gridCol w:w="759"/>
        <w:gridCol w:w="1111"/>
        <w:gridCol w:w="716"/>
        <w:gridCol w:w="1111"/>
        <w:gridCol w:w="772"/>
        <w:gridCol w:w="1111"/>
        <w:gridCol w:w="1111"/>
        <w:gridCol w:w="1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序号</w:t>
            </w:r>
          </w:p>
        </w:tc>
        <w:tc>
          <w:tcPr>
            <w:tcW w:w="137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产品名称</w:t>
            </w:r>
          </w:p>
        </w:tc>
        <w:tc>
          <w:tcPr>
            <w:tcW w:w="75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品牌</w:t>
            </w:r>
          </w:p>
        </w:tc>
        <w:tc>
          <w:tcPr>
            <w:tcW w:w="111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型号规格</w:t>
            </w:r>
          </w:p>
        </w:tc>
        <w:tc>
          <w:tcPr>
            <w:tcW w:w="71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产地</w:t>
            </w:r>
          </w:p>
        </w:tc>
        <w:tc>
          <w:tcPr>
            <w:tcW w:w="111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Cs w:val="21"/>
                <w:lang w:val="en-US" w:eastAsia="zh-CN"/>
              </w:rPr>
            </w:pPr>
            <w:r>
              <w:rPr>
                <w:rFonts w:hint="eastAsia" w:ascii="宋体" w:hAnsi="宋体" w:eastAsia="宋体" w:cs="宋体"/>
                <w:b/>
                <w:color w:val="auto"/>
                <w:szCs w:val="21"/>
              </w:rPr>
              <w:t>制造商名</w:t>
            </w:r>
            <w:r>
              <w:rPr>
                <w:rFonts w:hint="eastAsia" w:ascii="宋体" w:hAnsi="宋体" w:eastAsia="宋体" w:cs="宋体"/>
                <w:b/>
                <w:color w:val="auto"/>
                <w:szCs w:val="21"/>
                <w:lang w:val="en-US" w:eastAsia="zh-CN"/>
              </w:rPr>
              <w:t>称</w:t>
            </w:r>
          </w:p>
        </w:tc>
        <w:tc>
          <w:tcPr>
            <w:tcW w:w="77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数量</w:t>
            </w:r>
          </w:p>
        </w:tc>
        <w:tc>
          <w:tcPr>
            <w:tcW w:w="111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单价（元）</w:t>
            </w:r>
          </w:p>
        </w:tc>
        <w:tc>
          <w:tcPr>
            <w:tcW w:w="111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合价（元）</w:t>
            </w:r>
          </w:p>
        </w:tc>
        <w:tc>
          <w:tcPr>
            <w:tcW w:w="111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c>
          <w:tcPr>
            <w:tcW w:w="137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c>
          <w:tcPr>
            <w:tcW w:w="75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c>
          <w:tcPr>
            <w:tcW w:w="111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c>
          <w:tcPr>
            <w:tcW w:w="71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c>
          <w:tcPr>
            <w:tcW w:w="111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c>
          <w:tcPr>
            <w:tcW w:w="111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c>
          <w:tcPr>
            <w:tcW w:w="111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c>
          <w:tcPr>
            <w:tcW w:w="111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c>
          <w:tcPr>
            <w:tcW w:w="137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c>
          <w:tcPr>
            <w:tcW w:w="75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c>
          <w:tcPr>
            <w:tcW w:w="111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c>
          <w:tcPr>
            <w:tcW w:w="71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c>
          <w:tcPr>
            <w:tcW w:w="111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c>
          <w:tcPr>
            <w:tcW w:w="111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c>
          <w:tcPr>
            <w:tcW w:w="111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c>
          <w:tcPr>
            <w:tcW w:w="111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199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总价</w:t>
            </w:r>
          </w:p>
        </w:tc>
        <w:tc>
          <w:tcPr>
            <w:tcW w:w="7802" w:type="dxa"/>
            <w:gridSpan w:val="8"/>
            <w:tcBorders>
              <w:top w:val="single" w:color="auto" w:sz="4" w:space="0"/>
              <w:left w:val="single" w:color="auto" w:sz="4" w:space="0"/>
              <w:bottom w:val="single" w:color="auto" w:sz="4" w:space="0"/>
              <w:right w:val="single" w:color="auto" w:sz="4" w:space="0"/>
            </w:tcBorders>
            <w:noWrap w:val="0"/>
            <w:vAlign w:val="top"/>
          </w:tcPr>
          <w:p>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（小写）：</w:t>
            </w:r>
          </w:p>
          <w:p>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（大写）：</w:t>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（技术参数和详细配置见招投标文件）</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二、随机资料和配套附属设备要求</w:t>
      </w:r>
      <w:r>
        <w:rPr>
          <w:rFonts w:hint="eastAsia" w:ascii="宋体" w:hAnsi="宋体" w:cs="宋体"/>
          <w:bCs/>
          <w:color w:val="auto"/>
          <w:szCs w:val="21"/>
          <w:highlight w:val="none"/>
        </w:rPr>
        <w:t>（见招投标文件并附清单）</w:t>
      </w:r>
    </w:p>
    <w:p>
      <w:pPr>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bCs/>
          <w:color w:val="auto"/>
          <w:szCs w:val="21"/>
          <w:highlight w:val="none"/>
        </w:rPr>
        <w:t xml:space="preserve"> </w:t>
      </w:r>
      <w:r>
        <w:rPr>
          <w:rFonts w:hint="eastAsia" w:ascii="宋体" w:hAnsi="宋体" w:cs="宋体"/>
          <w:b/>
          <w:bCs/>
          <w:color w:val="auto"/>
          <w:szCs w:val="21"/>
          <w:highlight w:val="none"/>
          <w:u w:val="single"/>
          <w:lang w:val="en-US" w:eastAsia="zh-CN"/>
        </w:rPr>
        <w:t xml:space="preserve">          </w:t>
      </w:r>
      <w:r>
        <w:rPr>
          <w:rFonts w:hint="eastAsia" w:ascii="宋体" w:hAnsi="宋体" w:cs="宋体"/>
          <w:b/>
          <w:bCs/>
          <w:color w:val="auto"/>
          <w:szCs w:val="21"/>
          <w:highlight w:val="none"/>
        </w:rPr>
        <w:t xml:space="preserve"> </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三、安装调试要求</w:t>
      </w:r>
    </w:p>
    <w:p>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 xml:space="preserve">设备安装调试（或项目建设）符合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标准，并满足甲方技术要求，乙方负责进行设备的免费安装测试同时完成。</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四、配套设备、备品备件（含易损件或消耗品）要求及长期供应优惠条件</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五、合同总价（大写）：</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（人民币·元）</w:t>
      </w:r>
    </w:p>
    <w:p>
      <w:pPr>
        <w:spacing w:line="360" w:lineRule="auto"/>
        <w:ind w:firstLine="1472" w:firstLineChars="698"/>
        <w:rPr>
          <w:rFonts w:ascii="宋体" w:hAnsi="宋体" w:cs="宋体"/>
          <w:b/>
          <w:bCs/>
          <w:color w:val="auto"/>
          <w:szCs w:val="21"/>
          <w:highlight w:val="none"/>
        </w:rPr>
      </w:pPr>
      <w:r>
        <w:rPr>
          <w:rFonts w:hint="eastAsia" w:ascii="宋体" w:hAnsi="宋体" w:cs="宋体"/>
          <w:b/>
          <w:bCs/>
          <w:color w:val="auto"/>
          <w:szCs w:val="21"/>
          <w:highlight w:val="none"/>
        </w:rPr>
        <w:t>小写：</w:t>
      </w:r>
      <w:r>
        <w:rPr>
          <w:rFonts w:hint="eastAsia" w:ascii="宋体" w:hAnsi="宋体" w:cs="宋体"/>
          <w:b/>
          <w:color w:val="auto"/>
          <w:szCs w:val="21"/>
          <w:highlight w:val="none"/>
          <w:u w:val="single"/>
        </w:rPr>
        <w:t xml:space="preserve">              </w:t>
      </w:r>
      <w:r>
        <w:rPr>
          <w:rFonts w:hint="eastAsia" w:ascii="宋体" w:hAnsi="宋体" w:cs="宋体"/>
          <w:b/>
          <w:bCs/>
          <w:color w:val="auto"/>
          <w:szCs w:val="21"/>
          <w:highlight w:val="none"/>
        </w:rPr>
        <w:t>元</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以上价格为甲方指定地点交货价并包含安装运输调试费用。</w:t>
      </w:r>
    </w:p>
    <w:p>
      <w:pPr>
        <w:pStyle w:val="17"/>
        <w:spacing w:after="0" w:line="360" w:lineRule="auto"/>
        <w:ind w:left="420" w:firstLine="420" w:firstLineChars="200"/>
        <w:rPr>
          <w:rFonts w:ascii="宋体" w:hAnsi="宋体" w:cs="宋体"/>
          <w:color w:val="auto"/>
          <w:szCs w:val="21"/>
          <w:highlight w:val="none"/>
        </w:rPr>
      </w:pPr>
      <w:r>
        <w:rPr>
          <w:rFonts w:hint="eastAsia" w:ascii="宋体" w:hAnsi="宋体" w:cs="宋体"/>
          <w:color w:val="auto"/>
          <w:szCs w:val="21"/>
          <w:highlight w:val="none"/>
        </w:rPr>
        <w:t>本合同的供货范围，除包括上述货物外，还包括随机的辅助电气设备、专用电线电缆、随机软件、技术文档、设备运行所必需的随机消耗品（如箱包等），相应的技术服务与质量保证文件。</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六、甲乙双方的权利和义务</w:t>
      </w:r>
    </w:p>
    <w:p>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（一）甲方的权利和义务</w:t>
      </w:r>
    </w:p>
    <w:p>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1、负责合同签订后项目的配合、协调工作（如与乙方的具体联系和衔接，设备现场安装调试或项目建设施工时配备人员进行监管控制）；</w:t>
      </w:r>
    </w:p>
    <w:p>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2、负责提供设备和安装调试或项目建设施工所必须的场地和环境；</w:t>
      </w:r>
    </w:p>
    <w:p>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3、负责组织成立验收小组对设备或项目进行验收并签署验收报告；</w:t>
      </w:r>
    </w:p>
    <w:p>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4、按合同规定享有乙方提供的设备和项目服务。</w:t>
      </w:r>
    </w:p>
    <w:p>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（二）乙方的权利和义务</w:t>
      </w:r>
    </w:p>
    <w:p>
      <w:pPr>
        <w:pStyle w:val="17"/>
        <w:spacing w:after="0" w:line="360" w:lineRule="auto"/>
        <w:ind w:left="0" w:leftChars="0" w:firstLine="424" w:firstLineChars="202"/>
        <w:rPr>
          <w:rFonts w:ascii="宋体" w:hAnsi="宋体" w:cs="宋体"/>
          <w:color w:val="auto"/>
          <w:szCs w:val="21"/>
          <w:highlight w:val="none"/>
        </w:rPr>
      </w:pPr>
      <w:r>
        <w:rPr>
          <w:rFonts w:hint="eastAsia" w:ascii="宋体" w:hAnsi="宋体" w:cs="宋体"/>
          <w:color w:val="auto"/>
          <w:szCs w:val="21"/>
          <w:highlight w:val="none"/>
        </w:rPr>
        <w:t>1、乙方保证按本合同一、二、三、四、五条款负责完成甲方项目，并保证提供的设备是全新（包括零部件）、符合</w:t>
      </w:r>
      <w:r>
        <w:rPr>
          <w:rFonts w:hint="eastAsia" w:ascii="宋体" w:hAnsi="宋体" w:cs="宋体"/>
          <w:color w:val="auto"/>
          <w:szCs w:val="21"/>
          <w:highlight w:val="none"/>
          <w:lang w:eastAsia="zh-CN"/>
        </w:rPr>
        <w:t>采购文件</w:t>
      </w:r>
      <w:r>
        <w:rPr>
          <w:rFonts w:hint="eastAsia" w:ascii="宋体" w:hAnsi="宋体" w:cs="宋体"/>
          <w:color w:val="auto"/>
          <w:szCs w:val="21"/>
          <w:highlight w:val="none"/>
        </w:rPr>
        <w:t>规定、具有国家有关部门注册并符合国家质量检测标准（进口产品具有国家有关部门完整手续）和产品出厂标准的设备；设备及主要配件保修期为（  ）年，终身负责维修；并保证设备在甲方报废前正常运行。 具体服务：保修期内，乙方对设备提供全免费上门保修或免费更换；在保修期，硬件上同一货物、同一质量问题连续三次维修仍无法正常使用，乙方必须予以更换同品牌、同型号或不低于投标配置的其它新机器。保修期后，收取成本费维修（自然灾害及人为故意损坏除外）；主设备乙方提供现场维修，维修人员在收到故障报告后保证（   ）小时内到达现场，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类故障保证由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人员（或工程师）在（   ）天内修复，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类故障保证由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人员（或工程师）在（    ）天内修复；乙方保证在甲方指定地点供应备品备件（含易损件）和配套消耗品；乙方对所提供的设备实行（    ）月时间内定期进行保养（或维护、巡检）制度；</w:t>
      </w:r>
    </w:p>
    <w:p>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2、保证甲方在合同设备或项目（有配套软件的还包括软件产品）使用期间不受第三方提出侵犯其专利权、商标权和工业设计权的起诉。</w:t>
      </w:r>
    </w:p>
    <w:p>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3、严格遵守投标、技术澄清、商务谈判、中标所承诺的一切规定和条款；</w:t>
      </w:r>
    </w:p>
    <w:p>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 xml:space="preserve">4、参与甲方共同进行设备和项目的验收。                                       </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七、以上内容与甲方采购确认和乙方中标承诺情况一致（或中标产品和设备或项目的技术及服务保证甲方正常使用）。</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八、技术培训：</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乙方向甲方提供</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天的设备使用人员现场例行免费培训，培训内容包括设备的调试、使用、一般的维修、维护及保养等；食宿自理（各自负责）；大型设备（或</w:t>
      </w:r>
      <w:r>
        <w:rPr>
          <w:rFonts w:hint="eastAsia" w:ascii="宋体" w:hAnsi="宋体" w:cs="宋体"/>
          <w:color w:val="auto"/>
          <w:szCs w:val="21"/>
          <w:highlight w:val="none"/>
          <w:lang w:eastAsia="zh-CN"/>
        </w:rPr>
        <w:t>采购文件</w:t>
      </w:r>
      <w:r>
        <w:rPr>
          <w:rFonts w:hint="eastAsia" w:ascii="宋体" w:hAnsi="宋体" w:cs="宋体"/>
          <w:color w:val="auto"/>
          <w:szCs w:val="21"/>
          <w:highlight w:val="none"/>
        </w:rPr>
        <w:t>有要求、或投标文件有承诺的），乙方还将负责甲方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人专业技术人员（或工程师）国内培训并应获得技术证书，费用由乙方负责，具体时间为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天、地点为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，其他由甲乙双方协定。</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九、甲方在设备使用过程中发生技术质量问题，乙方应提供及时有效的技术支持。</w:t>
      </w:r>
    </w:p>
    <w:p>
      <w:pPr>
        <w:spacing w:line="360" w:lineRule="auto"/>
        <w:ind w:firstLine="510"/>
        <w:rPr>
          <w:rFonts w:ascii="宋体" w:hAnsi="宋体" w:cs="宋体"/>
          <w:b/>
          <w:color w:val="auto"/>
          <w:szCs w:val="21"/>
          <w:highlight w:val="none"/>
        </w:rPr>
      </w:pPr>
      <w:r>
        <w:rPr>
          <w:rFonts w:hint="eastAsia" w:ascii="宋体" w:hAnsi="宋体" w:cs="宋体"/>
          <w:color w:val="auto"/>
          <w:szCs w:val="21"/>
          <w:highlight w:val="none"/>
        </w:rPr>
        <w:t>乙方应向甲方提供在省内的维修服务中心、特约维修服务站等售后服务网点的名单、联系地址、联系电话。</w:t>
      </w:r>
    </w:p>
    <w:p>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乙方技术支持电话：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十、整体项目完成时间或设备送达甲方指定地点并按规范安装调试完毕时间为合同签订生效后 </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日内。</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十一、验收及验收标准</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1、设备验收：设备到达甲方指定地点后甲方统一初验是否符合合同要求(或按所提供样品进行验收)；</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设备交验地点和方式：合同签订后，乙方负责将完整配套的原封设备（含开机必要消耗品）送到甲方指定的地点</w:t>
      </w:r>
      <w:r>
        <w:rPr>
          <w:rFonts w:hint="eastAsia" w:ascii="宋体" w:hAnsi="宋体" w:cs="宋体"/>
          <w:color w:val="auto"/>
          <w:szCs w:val="21"/>
          <w:highlight w:val="none"/>
          <w:u w:val="single"/>
        </w:rPr>
        <w:t>（                    ）</w:t>
      </w:r>
      <w:r>
        <w:rPr>
          <w:rFonts w:hint="eastAsia" w:ascii="宋体" w:hAnsi="宋体" w:cs="宋体"/>
          <w:color w:val="auto"/>
          <w:szCs w:val="21"/>
          <w:highlight w:val="none"/>
        </w:rPr>
        <w:t>，由甲乙双方共同开箱初验，并由乙方按合同规范要求完成安装及加电测试等。交货时，乙方随货向甲方交付设备必需的合格证、保修卡，相关资料（如操作手册、使用指南、维修手册、安装调试说明书、服务手册等）及配备的用件、工具等；货物到达指定交货地点后，将由甲方和乙方进行集中验货，若开箱加电测试发现不合格的货物，乙方必须予以更换；在货物最终验收后的质量保证期，乙方应对由于设计、工艺或者材料的缺陷而发生的任何不足或故障负责，费用由乙方承担。</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2、项目验收：设备安装和调试或项目建设施工完成后，甲方检验、测试是否合格并满足合同技术要求。</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3、验收标准：按国家、行业标准。</w:t>
      </w:r>
    </w:p>
    <w:p>
      <w:pPr>
        <w:tabs>
          <w:tab w:val="left" w:pos="6930"/>
        </w:tabs>
        <w:autoSpaceDE w:val="0"/>
        <w:autoSpaceDN w:val="0"/>
        <w:adjustRightInd w:val="0"/>
        <w:spacing w:line="360" w:lineRule="auto"/>
        <w:ind w:right="525"/>
        <w:jc w:val="left"/>
        <w:rPr>
          <w:rFonts w:ascii="宋体" w:hAnsi="宋体" w:cs="宋体"/>
          <w:b/>
          <w:color w:val="auto"/>
          <w:szCs w:val="21"/>
          <w:highlight w:val="none"/>
        </w:rPr>
      </w:pPr>
      <w:r>
        <w:rPr>
          <w:rFonts w:hint="eastAsia" w:ascii="宋体" w:hAnsi="宋体" w:cs="宋体"/>
          <w:b/>
          <w:color w:val="auto"/>
          <w:szCs w:val="21"/>
          <w:highlight w:val="none"/>
        </w:rPr>
        <w:t>十二、合同价款结算</w:t>
      </w:r>
    </w:p>
    <w:p>
      <w:pPr>
        <w:tabs>
          <w:tab w:val="left" w:pos="6930"/>
        </w:tabs>
        <w:autoSpaceDE w:val="0"/>
        <w:autoSpaceDN w:val="0"/>
        <w:adjustRightInd w:val="0"/>
        <w:spacing w:line="360" w:lineRule="auto"/>
        <w:ind w:right="525" w:firstLine="316" w:firstLineChars="150"/>
        <w:jc w:val="left"/>
        <w:rPr>
          <w:rFonts w:ascii="宋体" w:hAnsi="宋体" w:cs="宋体"/>
          <w:color w:val="auto"/>
          <w:kern w:val="0"/>
          <w:szCs w:val="21"/>
          <w:highlight w:val="none"/>
        </w:rPr>
      </w:pPr>
      <w:r>
        <w:rPr>
          <w:rFonts w:hint="eastAsia" w:ascii="宋体" w:hAnsi="宋体" w:cs="宋体"/>
          <w:b/>
          <w:color w:val="auto"/>
          <w:kern w:val="0"/>
          <w:szCs w:val="21"/>
          <w:highlight w:val="none"/>
        </w:rPr>
        <w:t>（一）</w:t>
      </w:r>
      <w:r>
        <w:rPr>
          <w:rFonts w:hint="eastAsia" w:ascii="宋体" w:hAnsi="宋体" w:cs="宋体"/>
          <w:b/>
          <w:color w:val="auto"/>
          <w:szCs w:val="21"/>
          <w:highlight w:val="none"/>
        </w:rPr>
        <w:t>合同生效</w:t>
      </w:r>
    </w:p>
    <w:p>
      <w:pPr>
        <w:spacing w:line="360" w:lineRule="auto"/>
        <w:ind w:firstLine="510"/>
        <w:rPr>
          <w:rFonts w:ascii="宋体" w:hAnsi="宋体" w:cs="宋体"/>
          <w:color w:val="auto"/>
          <w:szCs w:val="21"/>
          <w:highlight w:val="none"/>
        </w:rPr>
      </w:pPr>
      <w:r>
        <w:rPr>
          <w:rFonts w:hint="eastAsia" w:ascii="宋体" w:hAnsi="宋体" w:cs="宋体"/>
          <w:color w:val="auto"/>
          <w:szCs w:val="21"/>
          <w:highlight w:val="none"/>
        </w:rPr>
        <w:t>合同生效：甲乙双方签字盖章后合同正式生效。</w:t>
      </w:r>
    </w:p>
    <w:p>
      <w:pPr>
        <w:tabs>
          <w:tab w:val="left" w:pos="6930"/>
        </w:tabs>
        <w:autoSpaceDE w:val="0"/>
        <w:autoSpaceDN w:val="0"/>
        <w:adjustRightInd w:val="0"/>
        <w:spacing w:line="360" w:lineRule="auto"/>
        <w:ind w:right="525"/>
        <w:jc w:val="left"/>
        <w:rPr>
          <w:rFonts w:ascii="宋体" w:hAnsi="宋体" w:cs="宋体"/>
          <w:b/>
          <w:color w:val="auto"/>
          <w:szCs w:val="21"/>
          <w:highlight w:val="none"/>
        </w:rPr>
      </w:pPr>
      <w:r>
        <w:rPr>
          <w:rFonts w:hint="eastAsia" w:ascii="宋体" w:hAnsi="宋体" w:cs="宋体"/>
          <w:b/>
          <w:color w:val="auto"/>
          <w:szCs w:val="21"/>
          <w:highlight w:val="none"/>
        </w:rPr>
        <w:t xml:space="preserve">   （二）资金支付</w:t>
      </w:r>
    </w:p>
    <w:p>
      <w:pPr>
        <w:tabs>
          <w:tab w:val="left" w:pos="6930"/>
        </w:tabs>
        <w:autoSpaceDE w:val="0"/>
        <w:autoSpaceDN w:val="0"/>
        <w:adjustRightInd w:val="0"/>
        <w:spacing w:line="360" w:lineRule="auto"/>
        <w:ind w:right="27" w:firstLine="281" w:firstLineChars="134"/>
        <w:jc w:val="left"/>
        <w:rPr>
          <w:rFonts w:ascii="宋体" w:hAnsi="宋体" w:cs="宋体"/>
          <w:color w:val="auto"/>
          <w:szCs w:val="21"/>
          <w:highlight w:val="none"/>
        </w:rPr>
      </w:pPr>
      <w:r>
        <w:rPr>
          <w:rFonts w:hint="eastAsia" w:ascii="宋体" w:hAnsi="宋体" w:cs="宋体"/>
          <w:color w:val="auto"/>
          <w:szCs w:val="21"/>
          <w:highlight w:val="none"/>
        </w:rPr>
        <w:t>（双方签订合同时约定）。</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十三、违约责任：</w:t>
      </w:r>
    </w:p>
    <w:p>
      <w:pPr>
        <w:pStyle w:val="12"/>
        <w:spacing w:after="0" w:line="360" w:lineRule="auto"/>
        <w:ind w:left="0" w:leftChars="0" w:firstLine="420" w:firstLineChars="200"/>
        <w:rPr>
          <w:rFonts w:ascii="宋体" w:hAnsi="宋体" w:cs="宋体"/>
          <w:color w:val="auto"/>
          <w:szCs w:val="21"/>
          <w:highlight w:val="none"/>
        </w:rPr>
      </w:pPr>
      <w:r>
        <w:rPr>
          <w:rFonts w:hint="eastAsia" w:ascii="宋体" w:hAnsi="宋体" w:cs="宋体"/>
          <w:color w:val="auto"/>
          <w:szCs w:val="21"/>
          <w:highlight w:val="none"/>
        </w:rPr>
        <w:t>除发生不可抗力事实外，乙方所交设备（或项目）和安装调试（或建设施工）与合同标准不相符合的，甲方有权拒收设备（或项目）；逾期交货（或完工）将向甲方每日偿付合同总额万分之五的违约金。因乙方不能按期交付设备（或项目）和完成安装调试（或建设施工）及所交设备（或项目）和安装调试（或建设施工）与合同标准不符使甲方造成经济损失的应依法赔偿。</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甲方无正当理由拒收设备（或项目），甲方向乙方偿付合同款总价百分之五的违约金；逾期支付合同款将向乙方每日偿付欠款总额万分之五的滞纳金。</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甲方有权拒付合同价以外的任何费用；乙方有权拒绝合同整体范围以外的条件。</w:t>
      </w:r>
    </w:p>
    <w:p>
      <w:pPr>
        <w:spacing w:line="360" w:lineRule="auto"/>
        <w:ind w:left="90" w:hanging="91" w:hangingChars="43"/>
        <w:rPr>
          <w:rFonts w:ascii="宋体" w:hAnsi="宋体" w:cs="宋体"/>
          <w:color w:val="auto"/>
          <w:szCs w:val="21"/>
          <w:highlight w:val="none"/>
        </w:rPr>
      </w:pPr>
      <w:r>
        <w:rPr>
          <w:rFonts w:hint="eastAsia" w:ascii="宋体" w:hAnsi="宋体" w:cs="宋体"/>
          <w:b/>
          <w:color w:val="auto"/>
          <w:szCs w:val="21"/>
          <w:highlight w:val="none"/>
        </w:rPr>
        <w:t>十四、</w:t>
      </w:r>
      <w:r>
        <w:rPr>
          <w:rFonts w:hint="eastAsia" w:ascii="宋体" w:hAnsi="宋体" w:cs="宋体"/>
          <w:color w:val="auto"/>
          <w:szCs w:val="21"/>
          <w:highlight w:val="none"/>
        </w:rPr>
        <w:t>甲乙双方在履行合同过程中发生纠纷，应及时向有关监督管理部门反映，以便相关部门进行协调或处理；也可以直接向合同签订地仲裁部门申请仲裁；本合同发生争议产生的诉讼，由合同签订地人民法院管辖。</w:t>
      </w:r>
    </w:p>
    <w:p>
      <w:pPr>
        <w:spacing w:line="360" w:lineRule="auto"/>
        <w:rPr>
          <w:rFonts w:ascii="宋体" w:hAnsi="宋体" w:cs="宋体"/>
          <w:color w:val="auto"/>
          <w:szCs w:val="21"/>
          <w:highlight w:val="none"/>
        </w:rPr>
      </w:pPr>
      <w:r>
        <w:rPr>
          <w:rFonts w:hint="eastAsia" w:ascii="宋体" w:hAnsi="宋体" w:cs="宋体"/>
          <w:b/>
          <w:color w:val="auto"/>
          <w:szCs w:val="21"/>
          <w:highlight w:val="none"/>
        </w:rPr>
        <w:t>十五、</w:t>
      </w:r>
      <w:r>
        <w:rPr>
          <w:rFonts w:hint="eastAsia" w:ascii="宋体" w:hAnsi="宋体" w:cs="宋体"/>
          <w:color w:val="auto"/>
          <w:szCs w:val="21"/>
          <w:highlight w:val="none"/>
        </w:rPr>
        <w:t>本合同其他未尽事宜，按国家《合同法》有关规定处理。</w:t>
      </w:r>
    </w:p>
    <w:p>
      <w:pPr>
        <w:spacing w:line="360" w:lineRule="auto"/>
        <w:rPr>
          <w:rFonts w:ascii="宋体" w:hAnsi="宋体" w:cs="宋体"/>
          <w:color w:val="auto"/>
          <w:szCs w:val="21"/>
          <w:highlight w:val="none"/>
        </w:rPr>
      </w:pPr>
      <w:r>
        <w:rPr>
          <w:rFonts w:hint="eastAsia" w:ascii="宋体" w:hAnsi="宋体" w:cs="宋体"/>
          <w:b/>
          <w:color w:val="auto"/>
          <w:szCs w:val="21"/>
          <w:highlight w:val="none"/>
        </w:rPr>
        <w:t>十六、</w:t>
      </w:r>
      <w:r>
        <w:rPr>
          <w:rFonts w:hint="eastAsia" w:ascii="宋体" w:hAnsi="宋体" w:cs="宋体"/>
          <w:color w:val="auto"/>
          <w:szCs w:val="21"/>
          <w:highlight w:val="none"/>
        </w:rPr>
        <w:t>本合同一式六份，甲方四份，乙方二份。</w:t>
      </w:r>
    </w:p>
    <w:p>
      <w:pPr>
        <w:spacing w:line="360" w:lineRule="auto"/>
        <w:rPr>
          <w:rFonts w:ascii="宋体" w:hAnsi="宋体" w:cs="宋体"/>
          <w:color w:val="auto"/>
          <w:szCs w:val="21"/>
          <w:highlight w:val="none"/>
        </w:rPr>
      </w:pPr>
      <w:r>
        <w:rPr>
          <w:rFonts w:hint="eastAsia" w:ascii="宋体" w:hAnsi="宋体" w:cs="宋体"/>
          <w:b/>
          <w:color w:val="auto"/>
          <w:szCs w:val="21"/>
          <w:highlight w:val="none"/>
        </w:rPr>
        <w:t>十七、</w:t>
      </w:r>
      <w:r>
        <w:rPr>
          <w:rFonts w:hint="eastAsia" w:ascii="宋体" w:hAnsi="宋体" w:cs="宋体"/>
          <w:color w:val="auto"/>
          <w:szCs w:val="21"/>
          <w:highlight w:val="none"/>
        </w:rPr>
        <w:t>本合同自签订之日起生效。</w:t>
      </w:r>
    </w:p>
    <w:p>
      <w:pPr>
        <w:spacing w:line="360" w:lineRule="auto"/>
        <w:rPr>
          <w:rFonts w:ascii="宋体" w:hAnsi="宋体" w:cs="宋体"/>
          <w:color w:val="auto"/>
          <w:szCs w:val="21"/>
          <w:highlight w:val="none"/>
        </w:rPr>
      </w:pPr>
      <w:r>
        <w:rPr>
          <w:rFonts w:hint="eastAsia" w:ascii="宋体" w:hAnsi="宋体" w:cs="宋体"/>
          <w:b/>
          <w:color w:val="auto"/>
          <w:szCs w:val="21"/>
          <w:highlight w:val="none"/>
        </w:rPr>
        <w:t>十八、</w:t>
      </w:r>
      <w:r>
        <w:rPr>
          <w:rFonts w:hint="eastAsia" w:ascii="宋体" w:hAnsi="宋体" w:cs="宋体"/>
          <w:color w:val="auto"/>
          <w:szCs w:val="21"/>
          <w:highlight w:val="none"/>
        </w:rPr>
        <w:t>本合同不可分割之部分：</w:t>
      </w:r>
    </w:p>
    <w:p>
      <w:pPr>
        <w:spacing w:line="360" w:lineRule="auto"/>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eastAsia="zh-CN"/>
        </w:rPr>
        <w:t>采购文件</w:t>
      </w:r>
      <w:r>
        <w:rPr>
          <w:rFonts w:hint="eastAsia" w:ascii="宋体" w:hAnsi="宋体" w:cs="宋体"/>
          <w:color w:val="auto"/>
          <w:szCs w:val="21"/>
          <w:highlight w:val="none"/>
        </w:rPr>
        <w:t>；2、中标人投标文件及澄清或谈判文件；3、中标通知书；4、合同书附件。</w:t>
      </w:r>
    </w:p>
    <w:p>
      <w:pPr>
        <w:spacing w:line="360" w:lineRule="auto"/>
        <w:rPr>
          <w:rFonts w:ascii="宋体" w:hAnsi="宋体" w:cs="宋体"/>
          <w:b/>
          <w:color w:val="auto"/>
          <w:sz w:val="20"/>
          <w:szCs w:val="20"/>
          <w:highlight w:val="none"/>
        </w:rPr>
      </w:pPr>
      <w:r>
        <w:rPr>
          <w:rFonts w:hint="eastAsia" w:ascii="宋体" w:hAnsi="宋体" w:cs="宋体"/>
          <w:b/>
          <w:color w:val="auto"/>
          <w:szCs w:val="21"/>
          <w:highlight w:val="none"/>
        </w:rPr>
        <w:t>注：此范本仅为普通格式合同范本，仅供参考。采购双方可根据最终达成的成交内容进行调整、修改、补充，正式合同以采购双方根据合同法有关规定并参照此范本格式进行签订为准。</w:t>
      </w:r>
    </w:p>
    <w:p>
      <w:pPr>
        <w:spacing w:line="360" w:lineRule="auto"/>
        <w:ind w:firstLine="480"/>
        <w:rPr>
          <w:rFonts w:ascii="仿宋_GB2312" w:hAnsi="宋体" w:eastAsia="仿宋_GB2312"/>
          <w:b/>
          <w:bCs/>
          <w:szCs w:val="21"/>
          <w:highlight w:val="none"/>
        </w:rPr>
      </w:pPr>
      <w:r>
        <w:rPr>
          <w:rFonts w:hint="eastAsia" w:asciiTheme="minorEastAsia" w:hAnsiTheme="minorEastAsia" w:eastAsiaTheme="minorEastAsia" w:cstheme="minorEastAsia"/>
          <w:b/>
          <w:bCs/>
          <w:szCs w:val="21"/>
          <w:highlight w:val="none"/>
        </w:rPr>
        <w:t xml:space="preserve">                  </w:t>
      </w:r>
      <w:r>
        <w:rPr>
          <w:rFonts w:hint="eastAsia" w:ascii="仿宋_GB2312" w:hAnsi="宋体" w:eastAsia="仿宋_GB2312"/>
          <w:b/>
          <w:bCs/>
          <w:szCs w:val="21"/>
          <w:highlight w:val="none"/>
        </w:rPr>
        <w:t xml:space="preserve">       </w:t>
      </w:r>
    </w:p>
    <w:p>
      <w:pPr>
        <w:rPr>
          <w:highlight w:val="none"/>
        </w:rPr>
      </w:pPr>
    </w:p>
    <w:p>
      <w:pPr>
        <w:rPr>
          <w:rFonts w:ascii="宋体" w:hAnsi="宋体"/>
          <w:szCs w:val="28"/>
          <w:highlight w:val="none"/>
        </w:rPr>
      </w:pPr>
      <w:bookmarkStart w:id="59" w:name="_Toc9106"/>
      <w:r>
        <w:rPr>
          <w:rFonts w:hint="eastAsia" w:ascii="宋体" w:hAnsi="宋体"/>
          <w:szCs w:val="28"/>
          <w:highlight w:val="none"/>
        </w:rPr>
        <w:br w:type="page"/>
      </w:r>
    </w:p>
    <w:p>
      <w:pPr>
        <w:pStyle w:val="26"/>
        <w:rPr>
          <w:rFonts w:ascii="宋体" w:hAnsi="宋体"/>
          <w:bCs w:val="0"/>
          <w:szCs w:val="28"/>
          <w:highlight w:val="none"/>
        </w:rPr>
      </w:pPr>
      <w:bookmarkStart w:id="60" w:name="_Toc23753"/>
      <w:r>
        <w:rPr>
          <w:rFonts w:hint="eastAsia" w:ascii="宋体" w:hAnsi="宋体"/>
          <w:bCs w:val="0"/>
          <w:szCs w:val="28"/>
          <w:highlight w:val="none"/>
        </w:rPr>
        <w:t>第四章</w:t>
      </w:r>
      <w:r>
        <w:rPr>
          <w:rFonts w:ascii="宋体" w:hAnsi="宋体"/>
          <w:bCs w:val="0"/>
          <w:szCs w:val="28"/>
          <w:highlight w:val="none"/>
        </w:rPr>
        <w:t xml:space="preserve"> </w:t>
      </w:r>
      <w:r>
        <w:rPr>
          <w:rFonts w:hint="eastAsia" w:ascii="宋体" w:hAnsi="宋体"/>
          <w:bCs w:val="0"/>
          <w:szCs w:val="28"/>
          <w:highlight w:val="none"/>
        </w:rPr>
        <w:t>投标文件格式</w:t>
      </w:r>
      <w:bookmarkEnd w:id="59"/>
      <w:bookmarkEnd w:id="60"/>
    </w:p>
    <w:p>
      <w:pPr>
        <w:pStyle w:val="15"/>
        <w:spacing w:line="500" w:lineRule="exact"/>
        <w:rPr>
          <w:rFonts w:hAnsi="宋体"/>
          <w:szCs w:val="21"/>
          <w:highlight w:val="none"/>
        </w:rPr>
      </w:pPr>
    </w:p>
    <w:p>
      <w:pPr>
        <w:pStyle w:val="15"/>
        <w:spacing w:line="780" w:lineRule="exact"/>
        <w:jc w:val="center"/>
        <w:rPr>
          <w:rFonts w:hint="eastAsia" w:hAnsi="宋体" w:eastAsia="宋体"/>
          <w:b/>
          <w:bCs/>
          <w:sz w:val="44"/>
          <w:szCs w:val="44"/>
          <w:highlight w:val="none"/>
          <w:lang w:eastAsia="zh-CN"/>
        </w:rPr>
      </w:pPr>
      <w:r>
        <w:rPr>
          <w:rFonts w:hint="eastAsia" w:hAnsi="宋体"/>
          <w:b/>
          <w:bCs/>
          <w:sz w:val="44"/>
          <w:szCs w:val="44"/>
          <w:highlight w:val="none"/>
        </w:rPr>
        <w:t>云南省大理州自然灾害应急能力提升工程基层防灾项目</w:t>
      </w:r>
      <w:r>
        <w:rPr>
          <w:rFonts w:hint="eastAsia" w:hAnsi="宋体"/>
          <w:b/>
          <w:bCs/>
          <w:sz w:val="44"/>
          <w:szCs w:val="44"/>
          <w:highlight w:val="none"/>
          <w:lang w:eastAsia="zh-CN"/>
        </w:rPr>
        <w:t>第十标段</w:t>
      </w:r>
    </w:p>
    <w:p>
      <w:pPr>
        <w:pStyle w:val="15"/>
        <w:spacing w:line="500" w:lineRule="exact"/>
        <w:rPr>
          <w:rFonts w:hAnsi="宋体"/>
          <w:b/>
          <w:sz w:val="36"/>
          <w:szCs w:val="36"/>
          <w:highlight w:val="none"/>
        </w:rPr>
      </w:pPr>
    </w:p>
    <w:p>
      <w:pPr>
        <w:pStyle w:val="15"/>
        <w:spacing w:line="500" w:lineRule="exact"/>
        <w:jc w:val="center"/>
        <w:rPr>
          <w:rFonts w:hAnsi="宋体"/>
          <w:b/>
          <w:sz w:val="36"/>
          <w:szCs w:val="36"/>
          <w:highlight w:val="none"/>
        </w:rPr>
      </w:pPr>
    </w:p>
    <w:p>
      <w:pPr>
        <w:pStyle w:val="15"/>
        <w:spacing w:line="500" w:lineRule="exact"/>
        <w:jc w:val="center"/>
        <w:rPr>
          <w:rFonts w:hAnsi="宋体"/>
          <w:b/>
          <w:sz w:val="36"/>
          <w:szCs w:val="36"/>
          <w:highlight w:val="none"/>
        </w:rPr>
      </w:pPr>
    </w:p>
    <w:p>
      <w:pPr>
        <w:pStyle w:val="15"/>
        <w:spacing w:line="500" w:lineRule="exact"/>
        <w:jc w:val="center"/>
        <w:rPr>
          <w:rFonts w:hAnsi="宋体"/>
          <w:b/>
          <w:sz w:val="36"/>
          <w:szCs w:val="36"/>
          <w:highlight w:val="none"/>
        </w:rPr>
      </w:pPr>
    </w:p>
    <w:p>
      <w:pPr>
        <w:pStyle w:val="15"/>
        <w:spacing w:line="500" w:lineRule="exact"/>
        <w:jc w:val="center"/>
        <w:rPr>
          <w:rFonts w:hAnsi="宋体"/>
          <w:b/>
          <w:sz w:val="36"/>
          <w:szCs w:val="36"/>
          <w:highlight w:val="none"/>
        </w:rPr>
      </w:pPr>
    </w:p>
    <w:p>
      <w:pPr>
        <w:pStyle w:val="15"/>
        <w:spacing w:line="360" w:lineRule="auto"/>
        <w:jc w:val="center"/>
        <w:rPr>
          <w:rFonts w:hAnsi="宋体"/>
          <w:b/>
          <w:sz w:val="84"/>
          <w:szCs w:val="84"/>
          <w:highlight w:val="none"/>
        </w:rPr>
      </w:pPr>
      <w:r>
        <w:rPr>
          <w:rFonts w:hint="eastAsia" w:hAnsi="宋体"/>
          <w:b/>
          <w:sz w:val="84"/>
          <w:szCs w:val="84"/>
          <w:highlight w:val="none"/>
        </w:rPr>
        <w:t>投 标 文 件</w:t>
      </w:r>
    </w:p>
    <w:p>
      <w:pPr>
        <w:pStyle w:val="15"/>
        <w:spacing w:line="500" w:lineRule="exact"/>
        <w:jc w:val="center"/>
        <w:rPr>
          <w:rFonts w:hAnsi="宋体"/>
          <w:b/>
          <w:sz w:val="24"/>
          <w:szCs w:val="24"/>
          <w:highlight w:val="none"/>
        </w:rPr>
      </w:pPr>
    </w:p>
    <w:p>
      <w:pPr>
        <w:pStyle w:val="15"/>
        <w:spacing w:line="500" w:lineRule="exact"/>
        <w:ind w:firstLine="3935" w:firstLineChars="1400"/>
        <w:rPr>
          <w:rFonts w:hAnsi="宋体"/>
          <w:b/>
          <w:sz w:val="24"/>
          <w:szCs w:val="24"/>
          <w:highlight w:val="none"/>
          <w:u w:val="single"/>
        </w:rPr>
      </w:pPr>
      <w:r>
        <w:rPr>
          <w:rFonts w:hint="eastAsia" w:hAnsi="宋体"/>
          <w:b/>
          <w:sz w:val="28"/>
          <w:szCs w:val="28"/>
          <w:highlight w:val="none"/>
        </w:rPr>
        <w:t>项目编号：</w:t>
      </w:r>
    </w:p>
    <w:p>
      <w:pPr>
        <w:pStyle w:val="15"/>
        <w:spacing w:line="500" w:lineRule="exact"/>
        <w:jc w:val="center"/>
        <w:rPr>
          <w:rFonts w:hAnsi="宋体"/>
          <w:b/>
          <w:sz w:val="24"/>
          <w:szCs w:val="24"/>
          <w:highlight w:val="none"/>
        </w:rPr>
      </w:pPr>
    </w:p>
    <w:p>
      <w:pPr>
        <w:pStyle w:val="15"/>
        <w:spacing w:line="500" w:lineRule="exact"/>
        <w:jc w:val="center"/>
        <w:rPr>
          <w:rFonts w:hAnsi="宋体"/>
          <w:b/>
          <w:sz w:val="24"/>
          <w:szCs w:val="24"/>
          <w:highlight w:val="none"/>
        </w:rPr>
      </w:pPr>
    </w:p>
    <w:p>
      <w:pPr>
        <w:pStyle w:val="15"/>
        <w:spacing w:line="500" w:lineRule="exact"/>
        <w:jc w:val="center"/>
        <w:rPr>
          <w:rFonts w:hAnsi="宋体"/>
          <w:b/>
          <w:sz w:val="24"/>
          <w:szCs w:val="24"/>
          <w:highlight w:val="none"/>
        </w:rPr>
      </w:pPr>
    </w:p>
    <w:p>
      <w:pPr>
        <w:pStyle w:val="15"/>
        <w:spacing w:line="500" w:lineRule="exact"/>
        <w:jc w:val="center"/>
        <w:rPr>
          <w:rFonts w:hAnsi="宋体"/>
          <w:b/>
          <w:sz w:val="24"/>
          <w:szCs w:val="24"/>
          <w:highlight w:val="none"/>
        </w:rPr>
      </w:pPr>
    </w:p>
    <w:p>
      <w:pPr>
        <w:pStyle w:val="15"/>
        <w:spacing w:line="500" w:lineRule="exact"/>
        <w:rPr>
          <w:rFonts w:hAnsi="宋体"/>
          <w:b/>
          <w:sz w:val="24"/>
          <w:szCs w:val="24"/>
          <w:highlight w:val="none"/>
        </w:rPr>
      </w:pPr>
    </w:p>
    <w:p>
      <w:pPr>
        <w:pStyle w:val="15"/>
        <w:spacing w:line="500" w:lineRule="exact"/>
        <w:jc w:val="center"/>
        <w:rPr>
          <w:rFonts w:hAnsi="宋体"/>
          <w:b/>
          <w:sz w:val="24"/>
          <w:szCs w:val="24"/>
          <w:highlight w:val="none"/>
        </w:rPr>
      </w:pPr>
    </w:p>
    <w:p>
      <w:pPr>
        <w:spacing w:line="480" w:lineRule="auto"/>
        <w:ind w:firstLine="1137" w:firstLineChars="472"/>
        <w:rPr>
          <w:rFonts w:ascii="宋体" w:hAnsi="宋体"/>
          <w:b/>
          <w:bCs/>
          <w:sz w:val="24"/>
          <w:highlight w:val="none"/>
        </w:rPr>
      </w:pPr>
      <w:r>
        <w:rPr>
          <w:rFonts w:hint="eastAsia" w:ascii="宋体" w:hAnsi="宋体"/>
          <w:b/>
          <w:bCs/>
          <w:sz w:val="24"/>
          <w:highlight w:val="none"/>
        </w:rPr>
        <w:t>投标人全称：</w:t>
      </w:r>
      <w:r>
        <w:rPr>
          <w:rFonts w:hint="eastAsia" w:ascii="宋体" w:hAnsi="宋体"/>
          <w:b/>
          <w:bCs/>
          <w:sz w:val="24"/>
          <w:highlight w:val="none"/>
          <w:u w:val="single"/>
        </w:rPr>
        <w:t xml:space="preserve">                     </w:t>
      </w:r>
      <w:r>
        <w:rPr>
          <w:rFonts w:hint="eastAsia" w:ascii="宋体" w:hAnsi="宋体"/>
          <w:b/>
          <w:bCs/>
          <w:sz w:val="24"/>
          <w:highlight w:val="none"/>
        </w:rPr>
        <w:t>(电子签章)</w:t>
      </w:r>
    </w:p>
    <w:p>
      <w:pPr>
        <w:spacing w:line="480" w:lineRule="auto"/>
        <w:ind w:firstLine="1137" w:firstLineChars="472"/>
        <w:rPr>
          <w:rFonts w:ascii="宋体" w:hAnsi="宋体"/>
          <w:b/>
          <w:bCs/>
          <w:sz w:val="24"/>
          <w:highlight w:val="none"/>
        </w:rPr>
      </w:pPr>
      <w:r>
        <w:rPr>
          <w:rFonts w:hint="eastAsia" w:ascii="宋体" w:hAnsi="宋体"/>
          <w:b/>
          <w:bCs/>
          <w:sz w:val="24"/>
          <w:highlight w:val="none"/>
        </w:rPr>
        <w:t>法定代表人：</w:t>
      </w:r>
      <w:r>
        <w:rPr>
          <w:rFonts w:hint="eastAsia" w:ascii="宋体" w:hAnsi="宋体"/>
          <w:b/>
          <w:bCs/>
          <w:sz w:val="24"/>
          <w:highlight w:val="none"/>
          <w:u w:val="single"/>
        </w:rPr>
        <w:t xml:space="preserve">                    </w:t>
      </w:r>
      <w:r>
        <w:rPr>
          <w:rFonts w:hint="eastAsia" w:ascii="宋体" w:hAnsi="宋体"/>
          <w:b/>
          <w:bCs/>
          <w:sz w:val="24"/>
          <w:highlight w:val="none"/>
        </w:rPr>
        <w:t>（电子签章）</w:t>
      </w:r>
    </w:p>
    <w:p>
      <w:pPr>
        <w:spacing w:line="480" w:lineRule="auto"/>
        <w:ind w:firstLine="1137" w:firstLineChars="472"/>
        <w:rPr>
          <w:rFonts w:ascii="宋体" w:hAnsi="宋体"/>
          <w:b/>
          <w:bCs/>
          <w:sz w:val="24"/>
          <w:highlight w:val="none"/>
        </w:rPr>
      </w:pPr>
      <w:r>
        <w:rPr>
          <w:rFonts w:hint="eastAsia" w:ascii="宋体" w:hAnsi="宋体"/>
          <w:b/>
          <w:bCs/>
          <w:sz w:val="24"/>
          <w:highlight w:val="none"/>
        </w:rPr>
        <w:t>日期：</w:t>
      </w:r>
      <w:r>
        <w:rPr>
          <w:rFonts w:hint="eastAsia" w:ascii="宋体" w:hAnsi="宋体"/>
          <w:b/>
          <w:bCs/>
          <w:sz w:val="24"/>
          <w:highlight w:val="none"/>
          <w:u w:val="single"/>
        </w:rPr>
        <w:t xml:space="preserve">        </w:t>
      </w:r>
      <w:r>
        <w:rPr>
          <w:rFonts w:hint="eastAsia" w:ascii="宋体" w:hAnsi="宋体"/>
          <w:b/>
          <w:bCs/>
          <w:sz w:val="24"/>
          <w:highlight w:val="none"/>
        </w:rPr>
        <w:t>年</w:t>
      </w:r>
      <w:r>
        <w:rPr>
          <w:rFonts w:hint="eastAsia" w:ascii="宋体" w:hAnsi="宋体"/>
          <w:b/>
          <w:bCs/>
          <w:sz w:val="24"/>
          <w:highlight w:val="none"/>
          <w:u w:val="single"/>
        </w:rPr>
        <w:t xml:space="preserve">     </w:t>
      </w:r>
      <w:r>
        <w:rPr>
          <w:rFonts w:hint="eastAsia" w:ascii="宋体" w:hAnsi="宋体"/>
          <w:b/>
          <w:bCs/>
          <w:sz w:val="24"/>
          <w:highlight w:val="none"/>
        </w:rPr>
        <w:t>月</w:t>
      </w:r>
      <w:r>
        <w:rPr>
          <w:rFonts w:hint="eastAsia" w:ascii="宋体" w:hAnsi="宋体"/>
          <w:b/>
          <w:bCs/>
          <w:sz w:val="24"/>
          <w:highlight w:val="none"/>
          <w:u w:val="single"/>
        </w:rPr>
        <w:t xml:space="preserve">     </w:t>
      </w:r>
      <w:r>
        <w:rPr>
          <w:rFonts w:hint="eastAsia" w:ascii="宋体" w:hAnsi="宋体"/>
          <w:b/>
          <w:bCs/>
          <w:sz w:val="24"/>
          <w:highlight w:val="none"/>
        </w:rPr>
        <w:t>日</w:t>
      </w:r>
    </w:p>
    <w:p>
      <w:pPr>
        <w:pStyle w:val="15"/>
        <w:spacing w:line="500" w:lineRule="exact"/>
        <w:rPr>
          <w:rFonts w:hAnsi="宋体"/>
          <w:b/>
          <w:sz w:val="28"/>
          <w:szCs w:val="28"/>
          <w:highlight w:val="none"/>
        </w:rPr>
      </w:pPr>
    </w:p>
    <w:p>
      <w:pPr>
        <w:pStyle w:val="15"/>
        <w:spacing w:line="500" w:lineRule="exact"/>
        <w:outlineLvl w:val="1"/>
        <w:rPr>
          <w:rFonts w:hint="default" w:hAnsi="宋体" w:eastAsia="宋体" w:cs="宋体"/>
          <w:b/>
          <w:color w:val="auto"/>
          <w:sz w:val="24"/>
          <w:szCs w:val="24"/>
          <w:highlight w:val="none"/>
          <w:lang w:val="en-US" w:eastAsia="zh-CN"/>
        </w:rPr>
      </w:pPr>
      <w:bookmarkStart w:id="61" w:name="_Toc213141093"/>
      <w:r>
        <w:rPr>
          <w:rFonts w:hint="eastAsia" w:ascii="宋体" w:hAnsi="宋体" w:eastAsia="宋体"/>
          <w:szCs w:val="28"/>
          <w:highlight w:val="none"/>
        </w:rPr>
        <w:br w:type="page"/>
      </w:r>
      <w:bookmarkEnd w:id="61"/>
      <w:bookmarkStart w:id="62" w:name="_Toc28928"/>
      <w:r>
        <w:rPr>
          <w:rFonts w:hint="eastAsia" w:hAnsi="宋体" w:cs="宋体"/>
          <w:b/>
          <w:color w:val="auto"/>
          <w:sz w:val="24"/>
          <w:szCs w:val="24"/>
          <w:highlight w:val="none"/>
        </w:rPr>
        <w:t>格式1：开标一览表</w:t>
      </w:r>
      <w:bookmarkEnd w:id="62"/>
      <w:r>
        <w:rPr>
          <w:rFonts w:hint="eastAsia" w:hAnsi="宋体" w:cs="宋体"/>
          <w:b/>
          <w:color w:val="auto"/>
          <w:sz w:val="24"/>
          <w:szCs w:val="24"/>
          <w:highlight w:val="none"/>
          <w:lang w:val="en-US" w:eastAsia="zh-CN"/>
        </w:rPr>
        <w:t>及投标报价明细表</w:t>
      </w:r>
    </w:p>
    <w:p>
      <w:pPr>
        <w:pStyle w:val="15"/>
        <w:spacing w:line="500" w:lineRule="exact"/>
        <w:rPr>
          <w:rFonts w:hAnsi="宋体" w:cs="宋体"/>
          <w:b/>
          <w:color w:val="auto"/>
          <w:sz w:val="24"/>
          <w:szCs w:val="24"/>
          <w:highlight w:val="none"/>
        </w:rPr>
      </w:pPr>
    </w:p>
    <w:p>
      <w:pPr>
        <w:jc w:val="center"/>
        <w:rPr>
          <w:rFonts w:ascii="宋体" w:hAnsi="宋体" w:cs="宋体"/>
          <w:b/>
          <w:color w:val="auto"/>
          <w:sz w:val="32"/>
          <w:szCs w:val="32"/>
          <w:highlight w:val="none"/>
        </w:rPr>
      </w:pPr>
      <w:bookmarkStart w:id="63" w:name="_Toc393354840"/>
      <w:bookmarkStart w:id="64" w:name="_Toc476856076"/>
      <w:bookmarkStart w:id="65" w:name="_Toc475291693"/>
      <w:r>
        <w:rPr>
          <w:rFonts w:hint="eastAsia" w:ascii="宋体" w:hAnsi="宋体" w:cs="宋体"/>
          <w:b/>
          <w:color w:val="auto"/>
          <w:sz w:val="32"/>
          <w:szCs w:val="32"/>
          <w:highlight w:val="none"/>
        </w:rPr>
        <w:t>开标一览表</w:t>
      </w:r>
      <w:bookmarkEnd w:id="63"/>
      <w:bookmarkEnd w:id="64"/>
      <w:bookmarkEnd w:id="65"/>
    </w:p>
    <w:p>
      <w:pPr>
        <w:rPr>
          <w:rFonts w:ascii="宋体" w:hAnsi="宋体" w:cs="宋体"/>
          <w:color w:val="auto"/>
          <w:highlight w:val="none"/>
        </w:rPr>
      </w:pPr>
    </w:p>
    <w:p>
      <w:pPr>
        <w:pStyle w:val="15"/>
        <w:autoSpaceDE w:val="0"/>
        <w:autoSpaceDN w:val="0"/>
        <w:adjustRightInd w:val="0"/>
        <w:rPr>
          <w:rFonts w:hAnsi="宋体" w:cs="宋体"/>
          <w:b/>
          <w:bCs/>
          <w:color w:val="auto"/>
          <w:kern w:val="0"/>
          <w:szCs w:val="52"/>
          <w:highlight w:val="none"/>
        </w:rPr>
      </w:pPr>
      <w:r>
        <w:rPr>
          <w:rFonts w:hint="eastAsia" w:hAnsi="宋体" w:cs="宋体"/>
          <w:color w:val="auto"/>
          <w:szCs w:val="24"/>
          <w:highlight w:val="none"/>
        </w:rPr>
        <w:t>项目名称：</w:t>
      </w:r>
    </w:p>
    <w:p>
      <w:pPr>
        <w:spacing w:line="360" w:lineRule="exact"/>
        <w:rPr>
          <w:rFonts w:ascii="宋体" w:hAnsi="宋体" w:cs="宋体"/>
          <w:color w:val="auto"/>
          <w:highlight w:val="none"/>
        </w:rPr>
      </w:pPr>
      <w:r>
        <w:rPr>
          <w:rFonts w:hint="eastAsia" w:ascii="宋体" w:hAnsi="宋体" w:cs="宋体"/>
          <w:color w:val="auto"/>
          <w:highlight w:val="none"/>
          <w:lang w:val="en-US" w:eastAsia="zh-CN"/>
        </w:rPr>
        <w:t>项目</w:t>
      </w:r>
      <w:r>
        <w:rPr>
          <w:rFonts w:hint="eastAsia" w:ascii="宋体" w:hAnsi="宋体" w:cs="宋体"/>
          <w:color w:val="auto"/>
          <w:highlight w:val="none"/>
        </w:rPr>
        <w:t xml:space="preserve">编号： </w:t>
      </w:r>
    </w:p>
    <w:tbl>
      <w:tblPr>
        <w:tblStyle w:val="3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60"/>
        <w:gridCol w:w="1696"/>
        <w:gridCol w:w="1022"/>
        <w:gridCol w:w="876"/>
        <w:gridCol w:w="1004"/>
        <w:gridCol w:w="786"/>
        <w:gridCol w:w="1378"/>
        <w:gridCol w:w="240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460" w:type="dxa"/>
            <w:tcBorders>
              <w:top w:val="single" w:color="auto" w:sz="12" w:space="0"/>
              <w:left w:val="single" w:color="auto" w:sz="4" w:space="0"/>
            </w:tcBorders>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696" w:type="dxa"/>
            <w:tcBorders>
              <w:top w:val="single" w:color="auto" w:sz="12" w:space="0"/>
            </w:tcBorders>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投标报价</w:t>
            </w:r>
          </w:p>
          <w:p>
            <w:pPr>
              <w:jc w:val="center"/>
              <w:rPr>
                <w:rFonts w:ascii="宋体" w:hAnsi="宋体" w:cs="宋体"/>
                <w:color w:val="auto"/>
                <w:szCs w:val="21"/>
                <w:highlight w:val="none"/>
              </w:rPr>
            </w:pPr>
            <w:r>
              <w:rPr>
                <w:rFonts w:hint="eastAsia" w:ascii="宋体" w:hAnsi="宋体" w:cs="宋体"/>
                <w:color w:val="auto"/>
                <w:szCs w:val="21"/>
                <w:highlight w:val="none"/>
              </w:rPr>
              <w:t>产品名称</w:t>
            </w:r>
          </w:p>
        </w:tc>
        <w:tc>
          <w:tcPr>
            <w:tcW w:w="1022" w:type="dxa"/>
            <w:tcBorders>
              <w:top w:val="single" w:color="auto" w:sz="12" w:space="0"/>
            </w:tcBorders>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876" w:type="dxa"/>
            <w:tcBorders>
              <w:top w:val="single" w:color="auto" w:sz="12" w:space="0"/>
              <w:right w:val="single" w:color="auto" w:sz="4" w:space="0"/>
            </w:tcBorders>
            <w:vAlign w:val="center"/>
          </w:tcPr>
          <w:p>
            <w:pPr>
              <w:jc w:val="center"/>
              <w:rPr>
                <w:rFonts w:ascii="宋体" w:hAnsi="宋体" w:cs="宋体"/>
                <w:color w:val="auto"/>
                <w:szCs w:val="21"/>
                <w:highlight w:val="none"/>
              </w:rPr>
            </w:pPr>
            <w:r>
              <w:rPr>
                <w:rFonts w:hint="eastAsia" w:ascii="宋体" w:hAnsi="宋体" w:cs="宋体"/>
                <w:color w:val="auto"/>
                <w:szCs w:val="21"/>
                <w:highlight w:val="none"/>
              </w:rPr>
              <w:t>计量</w:t>
            </w:r>
          </w:p>
          <w:p>
            <w:pPr>
              <w:jc w:val="center"/>
              <w:rPr>
                <w:rFonts w:ascii="宋体" w:hAnsi="宋体" w:cs="宋体"/>
                <w:color w:val="auto"/>
                <w:szCs w:val="21"/>
                <w:highlight w:val="none"/>
              </w:rPr>
            </w:pPr>
            <w:r>
              <w:rPr>
                <w:rFonts w:hint="eastAsia" w:ascii="宋体" w:hAnsi="宋体" w:cs="宋体"/>
                <w:color w:val="auto"/>
                <w:szCs w:val="21"/>
                <w:highlight w:val="none"/>
              </w:rPr>
              <w:t>单位</w:t>
            </w:r>
          </w:p>
        </w:tc>
        <w:tc>
          <w:tcPr>
            <w:tcW w:w="1004" w:type="dxa"/>
            <w:tcBorders>
              <w:top w:val="single" w:color="auto" w:sz="12" w:space="0"/>
              <w:left w:val="single" w:color="auto" w:sz="4" w:space="0"/>
              <w:right w:val="single" w:color="auto" w:sz="4" w:space="0"/>
            </w:tcBorders>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单价（元）</w:t>
            </w:r>
          </w:p>
        </w:tc>
        <w:tc>
          <w:tcPr>
            <w:tcW w:w="786" w:type="dxa"/>
            <w:tcBorders>
              <w:top w:val="single" w:color="auto" w:sz="12" w:space="0"/>
              <w:left w:val="single" w:color="auto" w:sz="4" w:space="0"/>
              <w:right w:val="single" w:color="auto" w:sz="4" w:space="0"/>
            </w:tcBorders>
            <w:vAlign w:val="center"/>
          </w:tcPr>
          <w:p>
            <w:pPr>
              <w:ind w:firstLine="105" w:firstLineChars="50"/>
              <w:rPr>
                <w:rFonts w:ascii="宋体" w:hAnsi="宋体" w:cs="宋体"/>
                <w:color w:val="auto"/>
                <w:szCs w:val="21"/>
                <w:highlight w:val="none"/>
              </w:rPr>
            </w:pPr>
            <w:r>
              <w:rPr>
                <w:rFonts w:hint="eastAsia" w:ascii="宋体" w:hAnsi="宋体" w:cs="宋体"/>
                <w:color w:val="auto"/>
                <w:szCs w:val="21"/>
                <w:highlight w:val="none"/>
              </w:rPr>
              <w:t>合价（元）</w:t>
            </w:r>
          </w:p>
        </w:tc>
        <w:tc>
          <w:tcPr>
            <w:tcW w:w="1378" w:type="dxa"/>
            <w:tcBorders>
              <w:top w:val="single" w:color="auto" w:sz="4" w:space="0"/>
              <w:left w:val="single" w:color="auto" w:sz="4" w:space="0"/>
              <w:right w:val="single" w:color="auto" w:sz="4" w:space="0"/>
            </w:tcBorders>
            <w:vAlign w:val="center"/>
          </w:tcPr>
          <w:p>
            <w:pPr>
              <w:jc w:val="center"/>
              <w:rPr>
                <w:rFonts w:ascii="宋体" w:hAnsi="宋体" w:cs="宋体"/>
                <w:color w:val="auto"/>
                <w:szCs w:val="21"/>
                <w:highlight w:val="none"/>
              </w:rPr>
            </w:pPr>
            <w:r>
              <w:rPr>
                <w:rFonts w:hint="eastAsia" w:ascii="宋体" w:hAnsi="宋体" w:cs="宋体"/>
                <w:color w:val="auto"/>
                <w:szCs w:val="21"/>
                <w:highlight w:val="none"/>
              </w:rPr>
              <w:t>交货期</w:t>
            </w:r>
          </w:p>
        </w:tc>
        <w:tc>
          <w:tcPr>
            <w:tcW w:w="2407" w:type="dxa"/>
            <w:tcBorders>
              <w:top w:val="single" w:color="auto" w:sz="4" w:space="0"/>
              <w:left w:val="single" w:color="auto" w:sz="4" w:space="0"/>
              <w:right w:val="single" w:color="auto" w:sz="4" w:space="0"/>
            </w:tcBorders>
            <w:vAlign w:val="center"/>
          </w:tcPr>
          <w:p>
            <w:pPr>
              <w:jc w:val="center"/>
              <w:rPr>
                <w:rFonts w:ascii="宋体" w:hAnsi="宋体" w:cs="宋体"/>
                <w:color w:val="auto"/>
                <w:szCs w:val="21"/>
                <w:highlight w:val="none"/>
              </w:rPr>
            </w:pPr>
            <w:r>
              <w:rPr>
                <w:rFonts w:hint="eastAsia" w:ascii="宋体" w:hAnsi="宋体" w:cs="宋体"/>
                <w:color w:val="auto"/>
                <w:szCs w:val="21"/>
                <w:highlight w:val="none"/>
              </w:rPr>
              <w:t>质保期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460" w:type="dxa"/>
            <w:tcBorders>
              <w:left w:val="single" w:color="auto" w:sz="4" w:space="0"/>
            </w:tcBorders>
            <w:vAlign w:val="center"/>
          </w:tcPr>
          <w:p>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1696" w:type="dxa"/>
            <w:vAlign w:val="center"/>
          </w:tcPr>
          <w:p>
            <w:pPr>
              <w:spacing w:line="240" w:lineRule="atLeast"/>
              <w:jc w:val="center"/>
              <w:rPr>
                <w:rFonts w:ascii="宋体" w:hAnsi="宋体" w:cs="宋体"/>
                <w:color w:val="auto"/>
                <w:szCs w:val="21"/>
                <w:highlight w:val="none"/>
              </w:rPr>
            </w:pPr>
          </w:p>
        </w:tc>
        <w:tc>
          <w:tcPr>
            <w:tcW w:w="1022" w:type="dxa"/>
            <w:vAlign w:val="center"/>
          </w:tcPr>
          <w:p>
            <w:pPr>
              <w:spacing w:line="240" w:lineRule="atLeast"/>
              <w:jc w:val="center"/>
              <w:rPr>
                <w:rFonts w:ascii="宋体" w:hAnsi="宋体" w:cs="宋体"/>
                <w:color w:val="auto"/>
                <w:szCs w:val="21"/>
                <w:highlight w:val="none"/>
              </w:rPr>
            </w:pPr>
          </w:p>
        </w:tc>
        <w:tc>
          <w:tcPr>
            <w:tcW w:w="876" w:type="dxa"/>
            <w:tcBorders>
              <w:right w:val="single" w:color="auto" w:sz="4" w:space="0"/>
            </w:tcBorders>
            <w:vAlign w:val="center"/>
          </w:tcPr>
          <w:p>
            <w:pPr>
              <w:jc w:val="center"/>
              <w:rPr>
                <w:rFonts w:ascii="宋体" w:hAnsi="宋体" w:cs="宋体"/>
                <w:color w:val="auto"/>
                <w:szCs w:val="21"/>
                <w:highlight w:val="none"/>
              </w:rPr>
            </w:pPr>
          </w:p>
        </w:tc>
        <w:tc>
          <w:tcPr>
            <w:tcW w:w="1004" w:type="dxa"/>
            <w:tcBorders>
              <w:left w:val="single" w:color="auto" w:sz="4" w:space="0"/>
              <w:right w:val="single" w:color="auto" w:sz="4" w:space="0"/>
            </w:tcBorders>
            <w:vAlign w:val="center"/>
          </w:tcPr>
          <w:p>
            <w:pPr>
              <w:spacing w:line="360" w:lineRule="auto"/>
              <w:jc w:val="center"/>
              <w:rPr>
                <w:rFonts w:ascii="宋体" w:hAnsi="宋体" w:cs="宋体"/>
                <w:color w:val="auto"/>
                <w:szCs w:val="21"/>
                <w:highlight w:val="none"/>
              </w:rPr>
            </w:pPr>
          </w:p>
        </w:tc>
        <w:tc>
          <w:tcPr>
            <w:tcW w:w="786" w:type="dxa"/>
            <w:tcBorders>
              <w:left w:val="single" w:color="auto" w:sz="4" w:space="0"/>
              <w:right w:val="single" w:color="auto" w:sz="4" w:space="0"/>
            </w:tcBorders>
            <w:vAlign w:val="center"/>
          </w:tcPr>
          <w:p>
            <w:pPr>
              <w:spacing w:line="360" w:lineRule="auto"/>
              <w:jc w:val="center"/>
              <w:rPr>
                <w:rFonts w:ascii="宋体" w:hAnsi="宋体" w:cs="宋体"/>
                <w:color w:val="auto"/>
                <w:szCs w:val="21"/>
                <w:highlight w:val="none"/>
              </w:rPr>
            </w:pPr>
          </w:p>
        </w:tc>
        <w:tc>
          <w:tcPr>
            <w:tcW w:w="1378" w:type="dxa"/>
            <w:tcBorders>
              <w:left w:val="single" w:color="auto" w:sz="4" w:space="0"/>
              <w:right w:val="single" w:color="auto" w:sz="4" w:space="0"/>
            </w:tcBorders>
            <w:vAlign w:val="center"/>
          </w:tcPr>
          <w:p>
            <w:pPr>
              <w:jc w:val="center"/>
              <w:rPr>
                <w:rFonts w:ascii="宋体" w:hAnsi="宋体" w:cs="宋体"/>
                <w:color w:val="auto"/>
                <w:szCs w:val="21"/>
                <w:highlight w:val="none"/>
              </w:rPr>
            </w:pPr>
            <w:r>
              <w:rPr>
                <w:rFonts w:hint="eastAsia" w:ascii="宋体" w:hAnsi="宋体" w:cs="宋体"/>
                <w:color w:val="auto"/>
                <w:szCs w:val="21"/>
                <w:highlight w:val="none"/>
              </w:rPr>
              <w:t xml:space="preserve"> </w:t>
            </w:r>
          </w:p>
        </w:tc>
        <w:tc>
          <w:tcPr>
            <w:tcW w:w="2407" w:type="dxa"/>
            <w:tcBorders>
              <w:left w:val="single" w:color="auto" w:sz="4" w:space="0"/>
              <w:right w:val="single" w:color="auto" w:sz="4" w:space="0"/>
            </w:tcBorders>
            <w:vAlign w:val="center"/>
          </w:tcPr>
          <w:p>
            <w:pPr>
              <w:jc w:val="center"/>
              <w:rPr>
                <w:rFonts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460" w:type="dxa"/>
            <w:tcBorders>
              <w:left w:val="single" w:color="auto" w:sz="4" w:space="0"/>
            </w:tcBorders>
            <w:vAlign w:val="center"/>
          </w:tcPr>
          <w:p>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1696" w:type="dxa"/>
            <w:vAlign w:val="center"/>
          </w:tcPr>
          <w:p>
            <w:pPr>
              <w:spacing w:line="240" w:lineRule="atLeast"/>
              <w:jc w:val="center"/>
              <w:rPr>
                <w:rFonts w:ascii="宋体" w:hAnsi="宋体" w:cs="宋体"/>
                <w:color w:val="auto"/>
                <w:szCs w:val="21"/>
                <w:highlight w:val="none"/>
              </w:rPr>
            </w:pPr>
          </w:p>
        </w:tc>
        <w:tc>
          <w:tcPr>
            <w:tcW w:w="1022" w:type="dxa"/>
            <w:vAlign w:val="center"/>
          </w:tcPr>
          <w:p>
            <w:pPr>
              <w:spacing w:line="240" w:lineRule="atLeast"/>
              <w:jc w:val="center"/>
              <w:rPr>
                <w:rFonts w:ascii="宋体" w:hAnsi="宋体" w:cs="宋体"/>
                <w:color w:val="auto"/>
                <w:szCs w:val="21"/>
                <w:highlight w:val="none"/>
              </w:rPr>
            </w:pPr>
          </w:p>
        </w:tc>
        <w:tc>
          <w:tcPr>
            <w:tcW w:w="876" w:type="dxa"/>
            <w:tcBorders>
              <w:right w:val="single" w:color="auto" w:sz="4" w:space="0"/>
            </w:tcBorders>
            <w:vAlign w:val="center"/>
          </w:tcPr>
          <w:p>
            <w:pPr>
              <w:jc w:val="center"/>
              <w:rPr>
                <w:rFonts w:ascii="宋体" w:hAnsi="宋体" w:cs="宋体"/>
                <w:color w:val="auto"/>
                <w:szCs w:val="21"/>
                <w:highlight w:val="none"/>
              </w:rPr>
            </w:pPr>
          </w:p>
        </w:tc>
        <w:tc>
          <w:tcPr>
            <w:tcW w:w="1004" w:type="dxa"/>
            <w:tcBorders>
              <w:left w:val="single" w:color="auto" w:sz="4" w:space="0"/>
              <w:right w:val="single" w:color="auto" w:sz="4" w:space="0"/>
            </w:tcBorders>
            <w:vAlign w:val="center"/>
          </w:tcPr>
          <w:p>
            <w:pPr>
              <w:spacing w:line="360" w:lineRule="auto"/>
              <w:jc w:val="center"/>
              <w:rPr>
                <w:rFonts w:ascii="宋体" w:hAnsi="宋体" w:cs="宋体"/>
                <w:color w:val="auto"/>
                <w:szCs w:val="21"/>
                <w:highlight w:val="none"/>
              </w:rPr>
            </w:pPr>
          </w:p>
        </w:tc>
        <w:tc>
          <w:tcPr>
            <w:tcW w:w="786" w:type="dxa"/>
            <w:tcBorders>
              <w:left w:val="single" w:color="auto" w:sz="4" w:space="0"/>
              <w:right w:val="single" w:color="auto" w:sz="4" w:space="0"/>
            </w:tcBorders>
            <w:vAlign w:val="center"/>
          </w:tcPr>
          <w:p>
            <w:pPr>
              <w:spacing w:line="360" w:lineRule="auto"/>
              <w:jc w:val="center"/>
              <w:rPr>
                <w:rFonts w:ascii="宋体" w:hAnsi="宋体" w:cs="宋体"/>
                <w:color w:val="auto"/>
                <w:szCs w:val="21"/>
                <w:highlight w:val="none"/>
              </w:rPr>
            </w:pPr>
          </w:p>
        </w:tc>
        <w:tc>
          <w:tcPr>
            <w:tcW w:w="1378" w:type="dxa"/>
            <w:tcBorders>
              <w:left w:val="single" w:color="auto" w:sz="4" w:space="0"/>
              <w:right w:val="single" w:color="auto" w:sz="4" w:space="0"/>
            </w:tcBorders>
            <w:vAlign w:val="center"/>
          </w:tcPr>
          <w:p>
            <w:pPr>
              <w:jc w:val="center"/>
              <w:rPr>
                <w:rFonts w:ascii="宋体" w:hAnsi="宋体" w:cs="宋体"/>
                <w:color w:val="auto"/>
                <w:szCs w:val="21"/>
                <w:highlight w:val="none"/>
              </w:rPr>
            </w:pPr>
          </w:p>
        </w:tc>
        <w:tc>
          <w:tcPr>
            <w:tcW w:w="2407" w:type="dxa"/>
            <w:tcBorders>
              <w:left w:val="single" w:color="auto" w:sz="4" w:space="0"/>
              <w:right w:val="single" w:color="auto" w:sz="4" w:space="0"/>
            </w:tcBorders>
            <w:vAlign w:val="center"/>
          </w:tcPr>
          <w:p>
            <w:pPr>
              <w:jc w:val="center"/>
              <w:rPr>
                <w:rFonts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3178" w:type="dxa"/>
            <w:gridSpan w:val="3"/>
            <w:tcBorders>
              <w:lef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投标总报价（元）</w:t>
            </w:r>
          </w:p>
        </w:tc>
        <w:tc>
          <w:tcPr>
            <w:tcW w:w="6451" w:type="dxa"/>
            <w:gridSpan w:val="5"/>
            <w:tcBorders>
              <w:right w:val="single" w:color="auto" w:sz="4" w:space="0"/>
            </w:tcBorders>
            <w:vAlign w:val="center"/>
          </w:tcPr>
          <w:p>
            <w:pPr>
              <w:rPr>
                <w:rFonts w:ascii="宋体" w:hAnsi="宋体" w:cs="宋体"/>
                <w:color w:val="auto"/>
                <w:highlight w:val="none"/>
              </w:rPr>
            </w:pPr>
            <w:r>
              <w:rPr>
                <w:rFonts w:hint="eastAsia" w:ascii="宋体" w:hAnsi="宋体" w:cs="宋体"/>
                <w:color w:val="auto"/>
                <w:highlight w:val="none"/>
              </w:rPr>
              <w:t xml:space="preserve">大写：    </w:t>
            </w:r>
          </w:p>
          <w:p>
            <w:pPr>
              <w:rPr>
                <w:rFonts w:ascii="宋体" w:hAnsi="宋体" w:cs="宋体"/>
                <w:color w:val="auto"/>
                <w:highlight w:val="none"/>
              </w:rPr>
            </w:pPr>
            <w:r>
              <w:rPr>
                <w:rFonts w:hint="eastAsia" w:ascii="宋体" w:hAnsi="宋体" w:cs="宋体"/>
                <w:color w:val="auto"/>
                <w:highlight w:val="none"/>
              </w:rPr>
              <w:t>小写：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629" w:type="dxa"/>
            <w:gridSpan w:val="8"/>
            <w:tcBorders>
              <w:left w:val="single" w:color="auto" w:sz="4" w:space="0"/>
              <w:bottom w:val="single" w:color="auto" w:sz="4" w:space="0"/>
              <w:right w:val="single" w:color="auto" w:sz="4" w:space="0"/>
            </w:tcBorders>
            <w:vAlign w:val="center"/>
          </w:tcPr>
          <w:p>
            <w:pPr>
              <w:jc w:val="left"/>
              <w:rPr>
                <w:rFonts w:ascii="宋体" w:hAnsi="宋体" w:cs="宋体"/>
                <w:color w:val="auto"/>
                <w:szCs w:val="21"/>
                <w:highlight w:val="none"/>
              </w:rPr>
            </w:pPr>
            <w:r>
              <w:rPr>
                <w:rFonts w:hint="eastAsia" w:ascii="宋体" w:hAnsi="宋体" w:cs="宋体"/>
                <w:color w:val="auto"/>
                <w:szCs w:val="21"/>
                <w:highlight w:val="none"/>
                <w:lang w:eastAsia="zh-CN"/>
              </w:rPr>
              <w:t>投标人名称</w:t>
            </w:r>
            <w:r>
              <w:rPr>
                <w:rFonts w:hint="eastAsia" w:ascii="宋体" w:hAnsi="宋体" w:cs="宋体"/>
                <w:color w:val="auto"/>
                <w:szCs w:val="21"/>
                <w:highlight w:val="none"/>
              </w:rPr>
              <w:t>（电子签章）：</w:t>
            </w:r>
          </w:p>
          <w:p>
            <w:pPr>
              <w:jc w:val="left"/>
              <w:rPr>
                <w:rFonts w:ascii="宋体" w:hAnsi="宋体" w:cs="宋体"/>
                <w:color w:val="auto"/>
                <w:szCs w:val="21"/>
                <w:highlight w:val="none"/>
              </w:rPr>
            </w:pPr>
          </w:p>
          <w:p>
            <w:pPr>
              <w:jc w:val="left"/>
              <w:rPr>
                <w:rFonts w:ascii="宋体" w:hAnsi="宋体" w:cs="宋体"/>
                <w:color w:val="auto"/>
                <w:szCs w:val="21"/>
                <w:highlight w:val="none"/>
              </w:rPr>
            </w:pPr>
            <w:r>
              <w:rPr>
                <w:rFonts w:hint="eastAsia" w:ascii="宋体" w:hAnsi="宋体" w:cs="宋体"/>
                <w:color w:val="auto"/>
                <w:szCs w:val="21"/>
                <w:highlight w:val="none"/>
              </w:rPr>
              <w:t>法定代表人或其委托代理人（签字或电子签章）：</w:t>
            </w:r>
          </w:p>
          <w:p>
            <w:pPr>
              <w:jc w:val="left"/>
              <w:rPr>
                <w:rFonts w:ascii="宋体" w:hAnsi="宋体" w:cs="宋体"/>
                <w:color w:val="auto"/>
                <w:szCs w:val="21"/>
                <w:highlight w:val="none"/>
              </w:rPr>
            </w:pPr>
          </w:p>
          <w:p>
            <w:pPr>
              <w:jc w:val="left"/>
              <w:rPr>
                <w:rFonts w:ascii="宋体" w:hAnsi="宋体" w:cs="宋体"/>
                <w:color w:val="auto"/>
                <w:szCs w:val="21"/>
                <w:highlight w:val="none"/>
              </w:rPr>
            </w:pPr>
            <w:r>
              <w:rPr>
                <w:rFonts w:hint="eastAsia" w:ascii="宋体" w:hAnsi="宋体" w:cs="宋体"/>
                <w:color w:val="auto"/>
                <w:szCs w:val="21"/>
                <w:highlight w:val="none"/>
              </w:rPr>
              <w:t>日期：</w:t>
            </w:r>
          </w:p>
          <w:p>
            <w:pPr>
              <w:jc w:val="center"/>
              <w:rPr>
                <w:rFonts w:ascii="宋体" w:hAnsi="宋体" w:cs="宋体"/>
                <w:color w:val="auto"/>
                <w:szCs w:val="21"/>
                <w:highlight w:val="none"/>
              </w:rPr>
            </w:pPr>
          </w:p>
        </w:tc>
      </w:tr>
    </w:tbl>
    <w:p>
      <w:pPr>
        <w:spacing w:line="360" w:lineRule="auto"/>
        <w:ind w:firstLine="2" w:firstLineChars="1"/>
        <w:rPr>
          <w:rFonts w:ascii="宋体" w:hAnsi="宋体" w:cs="宋体"/>
          <w:color w:val="auto"/>
          <w:szCs w:val="21"/>
          <w:highlight w:val="none"/>
        </w:rPr>
      </w:pPr>
    </w:p>
    <w:p>
      <w:pPr>
        <w:pStyle w:val="15"/>
        <w:rPr>
          <w:rFonts w:hAnsi="宋体" w:cs="宋体"/>
          <w:b/>
          <w:color w:val="auto"/>
          <w:highlight w:val="none"/>
        </w:rPr>
      </w:pPr>
      <w:r>
        <w:rPr>
          <w:rFonts w:hint="eastAsia" w:hAnsi="宋体" w:cs="宋体"/>
          <w:b/>
          <w:color w:val="auto"/>
          <w:highlight w:val="none"/>
        </w:rPr>
        <w:t>注：</w:t>
      </w:r>
    </w:p>
    <w:p>
      <w:pPr>
        <w:pStyle w:val="15"/>
        <w:spacing w:line="360" w:lineRule="auto"/>
        <w:ind w:left="359"/>
        <w:rPr>
          <w:rFonts w:hAnsi="宋体" w:cs="宋体"/>
          <w:color w:val="auto"/>
          <w:sz w:val="18"/>
          <w:szCs w:val="21"/>
          <w:highlight w:val="none"/>
        </w:rPr>
      </w:pPr>
      <w:r>
        <w:rPr>
          <w:rFonts w:hint="eastAsia" w:hAnsi="宋体" w:cs="宋体"/>
          <w:color w:val="auto"/>
          <w:sz w:val="18"/>
          <w:szCs w:val="21"/>
          <w:highlight w:val="none"/>
        </w:rPr>
        <w:t>1.表中“</w:t>
      </w:r>
      <w:r>
        <w:rPr>
          <w:rFonts w:hint="eastAsia" w:hAnsi="宋体" w:cs="宋体"/>
          <w:b/>
          <w:color w:val="auto"/>
          <w:sz w:val="18"/>
          <w:szCs w:val="21"/>
          <w:highlight w:val="none"/>
        </w:rPr>
        <w:t>投标报价</w:t>
      </w:r>
      <w:r>
        <w:rPr>
          <w:rFonts w:hint="eastAsia" w:hAnsi="宋体" w:cs="宋体"/>
          <w:color w:val="auto"/>
          <w:sz w:val="18"/>
          <w:szCs w:val="21"/>
          <w:highlight w:val="none"/>
        </w:rPr>
        <w:t>”应与</w:t>
      </w:r>
      <w:r>
        <w:rPr>
          <w:rFonts w:hint="eastAsia" w:hAnsi="宋体" w:cs="宋体"/>
          <w:color w:val="auto"/>
          <w:sz w:val="18"/>
          <w:szCs w:val="21"/>
          <w:highlight w:val="none"/>
          <w:lang w:val="en-US" w:eastAsia="zh-CN"/>
        </w:rPr>
        <w:t>投标报价明细表及</w:t>
      </w:r>
      <w:r>
        <w:rPr>
          <w:rFonts w:hint="eastAsia" w:hAnsi="宋体" w:cs="宋体"/>
          <w:color w:val="auto"/>
          <w:sz w:val="18"/>
          <w:szCs w:val="21"/>
          <w:highlight w:val="none"/>
        </w:rPr>
        <w:t>格式2“</w:t>
      </w:r>
      <w:r>
        <w:rPr>
          <w:rFonts w:hint="eastAsia" w:hAnsi="宋体" w:cs="宋体"/>
          <w:b/>
          <w:color w:val="auto"/>
          <w:sz w:val="18"/>
          <w:szCs w:val="21"/>
          <w:highlight w:val="none"/>
        </w:rPr>
        <w:t>投标函</w:t>
      </w:r>
      <w:r>
        <w:rPr>
          <w:rFonts w:hint="eastAsia" w:hAnsi="宋体" w:cs="宋体"/>
          <w:color w:val="auto"/>
          <w:sz w:val="18"/>
          <w:szCs w:val="21"/>
          <w:highlight w:val="none"/>
        </w:rPr>
        <w:t>”中 “</w:t>
      </w:r>
      <w:r>
        <w:rPr>
          <w:rFonts w:hint="eastAsia" w:hAnsi="宋体" w:cs="宋体"/>
          <w:b/>
          <w:color w:val="auto"/>
          <w:sz w:val="18"/>
          <w:szCs w:val="21"/>
          <w:highlight w:val="none"/>
        </w:rPr>
        <w:t>投标报价</w:t>
      </w:r>
      <w:r>
        <w:rPr>
          <w:rFonts w:hint="eastAsia" w:hAnsi="宋体" w:cs="宋体"/>
          <w:color w:val="auto"/>
          <w:sz w:val="18"/>
          <w:szCs w:val="21"/>
          <w:highlight w:val="none"/>
        </w:rPr>
        <w:t>”一致。</w:t>
      </w:r>
    </w:p>
    <w:p>
      <w:pPr>
        <w:pStyle w:val="15"/>
        <w:spacing w:line="360" w:lineRule="auto"/>
        <w:ind w:left="359"/>
        <w:rPr>
          <w:rFonts w:hAnsi="宋体" w:cs="宋体"/>
          <w:b/>
          <w:color w:val="auto"/>
          <w:sz w:val="18"/>
          <w:szCs w:val="21"/>
          <w:highlight w:val="none"/>
        </w:rPr>
      </w:pPr>
      <w:r>
        <w:rPr>
          <w:rFonts w:hint="eastAsia" w:hAnsi="宋体" w:cs="宋体"/>
          <w:b/>
          <w:color w:val="auto"/>
          <w:sz w:val="18"/>
          <w:szCs w:val="21"/>
          <w:highlight w:val="none"/>
        </w:rPr>
        <w:t>2.开标时，投标文件中开标一览表(报价表)内容与投标</w:t>
      </w:r>
      <w:r>
        <w:rPr>
          <w:rFonts w:hint="eastAsia" w:hAnsi="宋体" w:cs="宋体"/>
          <w:b/>
          <w:color w:val="auto"/>
          <w:sz w:val="18"/>
          <w:szCs w:val="21"/>
          <w:highlight w:val="none"/>
          <w:lang w:val="en-US" w:eastAsia="zh-CN"/>
        </w:rPr>
        <w:t>报价</w:t>
      </w:r>
      <w:r>
        <w:rPr>
          <w:rFonts w:hint="eastAsia" w:hAnsi="宋体" w:cs="宋体"/>
          <w:b/>
          <w:color w:val="auto"/>
          <w:sz w:val="18"/>
          <w:szCs w:val="21"/>
          <w:highlight w:val="none"/>
        </w:rPr>
        <w:t>明细表内容不一致的，以开标一览表(报价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pPr>
        <w:pStyle w:val="15"/>
        <w:tabs>
          <w:tab w:val="left" w:pos="779"/>
        </w:tabs>
        <w:spacing w:line="360" w:lineRule="auto"/>
        <w:rPr>
          <w:rFonts w:hAnsi="宋体" w:cs="宋体"/>
          <w:b/>
          <w:color w:val="auto"/>
          <w:szCs w:val="21"/>
          <w:highlight w:val="none"/>
        </w:rPr>
      </w:pPr>
    </w:p>
    <w:p>
      <w:pPr>
        <w:jc w:val="center"/>
        <w:outlineLvl w:val="1"/>
        <w:rPr>
          <w:rFonts w:ascii="宋体" w:hAnsi="宋体"/>
          <w:b/>
          <w:kern w:val="0"/>
          <w:sz w:val="28"/>
          <w:szCs w:val="28"/>
          <w:highlight w:val="none"/>
        </w:rPr>
      </w:pPr>
      <w:r>
        <w:rPr>
          <w:rFonts w:hint="eastAsia" w:hAnsi="宋体" w:cs="宋体"/>
          <w:b/>
          <w:color w:val="auto"/>
          <w:sz w:val="24"/>
          <w:szCs w:val="24"/>
          <w:highlight w:val="none"/>
        </w:rPr>
        <w:br w:type="page"/>
      </w:r>
      <w:bookmarkStart w:id="66" w:name="_Toc8278"/>
      <w:r>
        <w:rPr>
          <w:rFonts w:hint="eastAsia" w:ascii="宋体" w:hAnsi="宋体"/>
          <w:b/>
          <w:kern w:val="0"/>
          <w:sz w:val="28"/>
          <w:szCs w:val="28"/>
          <w:highlight w:val="none"/>
          <w:lang w:val="en-US" w:eastAsia="zh-CN"/>
        </w:rPr>
        <w:t>投标</w:t>
      </w:r>
      <w:r>
        <w:rPr>
          <w:rFonts w:hint="eastAsia" w:ascii="宋体" w:hAnsi="宋体"/>
          <w:b/>
          <w:kern w:val="0"/>
          <w:sz w:val="28"/>
          <w:szCs w:val="28"/>
          <w:highlight w:val="none"/>
        </w:rPr>
        <w:t>报价明细表</w:t>
      </w:r>
    </w:p>
    <w:p>
      <w:pPr>
        <w:pStyle w:val="15"/>
        <w:spacing w:line="500" w:lineRule="exact"/>
        <w:rPr>
          <w:rFonts w:hAnsi="宋体"/>
          <w:b/>
          <w:sz w:val="24"/>
          <w:szCs w:val="24"/>
          <w:highlight w:val="none"/>
          <w:u w:val="single"/>
        </w:rPr>
      </w:pPr>
      <w:r>
        <w:rPr>
          <w:rFonts w:hint="eastAsia" w:hAnsi="宋体"/>
          <w:b/>
          <w:sz w:val="24"/>
          <w:szCs w:val="24"/>
          <w:highlight w:val="none"/>
        </w:rPr>
        <w:t>项目名称：</w:t>
      </w:r>
      <w:r>
        <w:rPr>
          <w:rFonts w:hint="eastAsia" w:hAnsi="宋体"/>
          <w:b/>
          <w:sz w:val="24"/>
          <w:szCs w:val="24"/>
          <w:highlight w:val="none"/>
          <w:u w:val="single"/>
        </w:rPr>
        <w:t xml:space="preserve">     </w:t>
      </w:r>
      <w:r>
        <w:rPr>
          <w:rFonts w:hAnsi="宋体"/>
          <w:b/>
          <w:sz w:val="24"/>
          <w:szCs w:val="24"/>
          <w:highlight w:val="none"/>
          <w:u w:val="single"/>
        </w:rPr>
        <w:t xml:space="preserve">   </w:t>
      </w:r>
      <w:r>
        <w:rPr>
          <w:rFonts w:hint="eastAsia" w:hAnsi="宋体"/>
          <w:b/>
          <w:sz w:val="24"/>
          <w:szCs w:val="24"/>
          <w:highlight w:val="none"/>
          <w:u w:val="single"/>
        </w:rPr>
        <w:t xml:space="preserve">         </w:t>
      </w:r>
      <w:r>
        <w:rPr>
          <w:rFonts w:hint="eastAsia" w:hAnsi="宋体"/>
          <w:b/>
          <w:sz w:val="24"/>
          <w:szCs w:val="24"/>
          <w:highlight w:val="none"/>
        </w:rPr>
        <w:t xml:space="preserve">   项目编号：</w:t>
      </w:r>
      <w:r>
        <w:rPr>
          <w:rFonts w:hint="eastAsia" w:hAnsi="宋体"/>
          <w:b/>
          <w:sz w:val="24"/>
          <w:szCs w:val="24"/>
          <w:highlight w:val="none"/>
          <w:u w:val="single"/>
        </w:rPr>
        <w:t xml:space="preserve">     </w:t>
      </w:r>
      <w:r>
        <w:rPr>
          <w:rFonts w:hAnsi="宋体"/>
          <w:b/>
          <w:sz w:val="24"/>
          <w:szCs w:val="24"/>
          <w:highlight w:val="none"/>
          <w:u w:val="single"/>
        </w:rPr>
        <w:t xml:space="preserve">   </w:t>
      </w:r>
      <w:r>
        <w:rPr>
          <w:rFonts w:hint="eastAsia" w:hAnsi="宋体"/>
          <w:b/>
          <w:sz w:val="24"/>
          <w:szCs w:val="24"/>
          <w:highlight w:val="none"/>
          <w:u w:val="single"/>
        </w:rPr>
        <w:t xml:space="preserve">         </w:t>
      </w:r>
      <w:r>
        <w:rPr>
          <w:rFonts w:hint="eastAsia" w:hAnsi="宋体"/>
          <w:sz w:val="24"/>
          <w:szCs w:val="24"/>
          <w:highlight w:val="none"/>
        </w:rPr>
        <w:t xml:space="preserve"> </w:t>
      </w:r>
      <w:r>
        <w:rPr>
          <w:rFonts w:hint="eastAsia" w:hAnsi="宋体"/>
          <w:b/>
          <w:sz w:val="24"/>
          <w:szCs w:val="24"/>
          <w:highlight w:val="none"/>
        </w:rPr>
        <w:t xml:space="preserve">  </w:t>
      </w:r>
      <w:r>
        <w:rPr>
          <w:rFonts w:hAnsi="宋体"/>
          <w:b/>
          <w:sz w:val="24"/>
          <w:szCs w:val="24"/>
          <w:highlight w:val="none"/>
        </w:rPr>
        <w:t xml:space="preserve"> </w:t>
      </w:r>
    </w:p>
    <w:tbl>
      <w:tblPr>
        <w:tblStyle w:val="30"/>
        <w:tblW w:w="0" w:type="auto"/>
        <w:tblInd w:w="100" w:type="dxa"/>
        <w:tblLayout w:type="autofit"/>
        <w:tblCellMar>
          <w:top w:w="0" w:type="dxa"/>
          <w:left w:w="108" w:type="dxa"/>
          <w:bottom w:w="0" w:type="dxa"/>
          <w:right w:w="108" w:type="dxa"/>
        </w:tblCellMar>
      </w:tblPr>
      <w:tblGrid>
        <w:gridCol w:w="656"/>
        <w:gridCol w:w="1433"/>
        <w:gridCol w:w="2005"/>
        <w:gridCol w:w="932"/>
        <w:gridCol w:w="1584"/>
        <w:gridCol w:w="758"/>
        <w:gridCol w:w="1247"/>
        <w:gridCol w:w="1247"/>
      </w:tblGrid>
      <w:tr>
        <w:tblPrEx>
          <w:tblCellMar>
            <w:top w:w="0" w:type="dxa"/>
            <w:left w:w="108" w:type="dxa"/>
            <w:bottom w:w="0" w:type="dxa"/>
            <w:right w:w="108" w:type="dxa"/>
          </w:tblCellMar>
        </w:tblPrEx>
        <w:trPr>
          <w:trHeight w:val="925"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序号</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装备类别</w:t>
            </w:r>
          </w:p>
        </w:tc>
        <w:tc>
          <w:tcPr>
            <w:tcW w:w="0" w:type="auto"/>
            <w:tcBorders>
              <w:top w:val="single" w:color="000000" w:sz="4" w:space="0"/>
              <w:left w:val="single" w:color="auto"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装备类型</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kern w:val="0"/>
                <w:sz w:val="22"/>
                <w:szCs w:val="22"/>
                <w:highlight w:val="none"/>
                <w:lang w:bidi="ar"/>
              </w:rPr>
            </w:pPr>
            <w:r>
              <w:rPr>
                <w:rFonts w:hint="eastAsia" w:ascii="宋体" w:hAnsi="宋体" w:cs="宋体"/>
                <w:color w:val="000000"/>
                <w:kern w:val="0"/>
                <w:sz w:val="22"/>
                <w:szCs w:val="22"/>
                <w:highlight w:val="none"/>
                <w:lang w:bidi="ar"/>
              </w:rPr>
              <w:t>制造商</w:t>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kern w:val="0"/>
                <w:sz w:val="22"/>
                <w:szCs w:val="22"/>
                <w:highlight w:val="none"/>
                <w:lang w:bidi="ar"/>
              </w:rPr>
            </w:pPr>
            <w:r>
              <w:rPr>
                <w:rFonts w:hint="eastAsia" w:ascii="宋体" w:hAnsi="宋体" w:cs="宋体"/>
                <w:color w:val="000000"/>
                <w:kern w:val="0"/>
                <w:sz w:val="22"/>
                <w:szCs w:val="22"/>
                <w:highlight w:val="none"/>
                <w:lang w:bidi="ar"/>
              </w:rPr>
              <w:t>品牌、规格、 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台套数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单价（万元）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总价（万元）</w:t>
            </w:r>
          </w:p>
        </w:tc>
      </w:tr>
      <w:tr>
        <w:tblPrEx>
          <w:tblCellMar>
            <w:top w:w="0" w:type="dxa"/>
            <w:left w:w="108" w:type="dxa"/>
            <w:bottom w:w="0" w:type="dxa"/>
            <w:right w:w="108" w:type="dxa"/>
          </w:tblCellMar>
        </w:tblPrEx>
        <w:trPr>
          <w:trHeight w:val="801" w:hRule="atLeast"/>
        </w:trPr>
        <w:tc>
          <w:tcPr>
            <w:tcW w:w="0" w:type="auto"/>
            <w:tcBorders>
              <w:top w:val="single" w:color="auto"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lang w:bidi="ar"/>
              </w:rPr>
              <w:t>1</w:t>
            </w:r>
          </w:p>
        </w:tc>
        <w:tc>
          <w:tcPr>
            <w:tcW w:w="1433"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000000"/>
                <w:sz w:val="22"/>
                <w:szCs w:val="22"/>
                <w:highlight w:val="none"/>
              </w:rPr>
            </w:pPr>
          </w:p>
        </w:tc>
        <w:tc>
          <w:tcPr>
            <w:tcW w:w="2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000000"/>
                <w:sz w:val="22"/>
                <w:szCs w:val="22"/>
                <w:highlight w:val="none"/>
              </w:rPr>
            </w:pP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kern w:val="0"/>
                <w:sz w:val="22"/>
                <w:szCs w:val="22"/>
                <w:highlight w:val="none"/>
                <w:lang w:bidi="ar"/>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kern w:val="0"/>
                <w:sz w:val="22"/>
                <w:szCs w:val="22"/>
                <w:highlight w:val="none"/>
                <w:lang w:bidi="ar"/>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color w:val="000000"/>
                <w:sz w:val="22"/>
                <w:szCs w:val="22"/>
                <w:highlight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highlight w:val="none"/>
              </w:rPr>
            </w:pPr>
          </w:p>
        </w:tc>
      </w:tr>
      <w:tr>
        <w:tblPrEx>
          <w:tblCellMar>
            <w:top w:w="0" w:type="dxa"/>
            <w:left w:w="108" w:type="dxa"/>
            <w:bottom w:w="0" w:type="dxa"/>
            <w:right w:w="108" w:type="dxa"/>
          </w:tblCellMar>
        </w:tblPrEx>
        <w:trPr>
          <w:trHeight w:val="79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hint="default" w:ascii="宋体" w:hAnsi="宋体" w:eastAsia="宋体" w:cs="宋体"/>
                <w:color w:val="000000"/>
                <w:sz w:val="22"/>
                <w:szCs w:val="22"/>
                <w:highlight w:val="none"/>
                <w:lang w:val="en-US" w:eastAsia="zh-CN"/>
              </w:rPr>
            </w:pPr>
            <w:r>
              <w:rPr>
                <w:rFonts w:hint="eastAsia" w:ascii="宋体" w:hAnsi="宋体" w:cs="宋体"/>
                <w:color w:val="000000"/>
                <w:kern w:val="0"/>
                <w:sz w:val="22"/>
                <w:szCs w:val="22"/>
                <w:highlight w:val="none"/>
                <w:lang w:val="en-US" w:eastAsia="zh-CN" w:bidi="ar"/>
              </w:rPr>
              <w:t>...</w:t>
            </w:r>
          </w:p>
        </w:tc>
        <w:tc>
          <w:tcPr>
            <w:tcW w:w="14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000000"/>
                <w:sz w:val="22"/>
                <w:szCs w:val="22"/>
                <w:highlight w:val="none"/>
              </w:rPr>
            </w:pPr>
          </w:p>
        </w:tc>
        <w:tc>
          <w:tcPr>
            <w:tcW w:w="2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000000"/>
                <w:sz w:val="22"/>
                <w:szCs w:val="22"/>
                <w:highlight w:val="none"/>
              </w:rPr>
            </w:pP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kern w:val="0"/>
                <w:sz w:val="22"/>
                <w:szCs w:val="22"/>
                <w:highlight w:val="none"/>
                <w:lang w:bidi="ar"/>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kern w:val="0"/>
                <w:sz w:val="22"/>
                <w:szCs w:val="22"/>
                <w:highlight w:val="none"/>
                <w:lang w:bidi="ar"/>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000000"/>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highlight w:val="none"/>
              </w:rPr>
            </w:pPr>
          </w:p>
        </w:tc>
      </w:tr>
      <w:tr>
        <w:tblPrEx>
          <w:tblCellMar>
            <w:top w:w="0" w:type="dxa"/>
            <w:left w:w="108" w:type="dxa"/>
            <w:bottom w:w="0" w:type="dxa"/>
            <w:right w:w="108" w:type="dxa"/>
          </w:tblCellMar>
        </w:tblPrEx>
        <w:trPr>
          <w:trHeight w:val="1260" w:hRule="atLeast"/>
        </w:trPr>
        <w:tc>
          <w:tcPr>
            <w:tcW w:w="661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hint="eastAsia" w:ascii="宋体" w:hAnsi="宋体" w:eastAsia="宋体" w:cs="宋体"/>
                <w:color w:val="000000"/>
                <w:kern w:val="0"/>
                <w:sz w:val="22"/>
                <w:szCs w:val="22"/>
                <w:highlight w:val="none"/>
                <w:lang w:eastAsia="zh-CN" w:bidi="ar"/>
              </w:rPr>
            </w:pPr>
            <w:r>
              <w:rPr>
                <w:rFonts w:hint="eastAsia" w:ascii="宋体" w:hAnsi="宋体" w:cs="宋体"/>
                <w:color w:val="000000"/>
                <w:kern w:val="0"/>
                <w:sz w:val="22"/>
                <w:szCs w:val="22"/>
                <w:highlight w:val="none"/>
                <w:lang w:bidi="ar"/>
              </w:rPr>
              <w:t>投标总报价</w:t>
            </w:r>
            <w:r>
              <w:rPr>
                <w:rFonts w:hint="eastAsia" w:ascii="宋体" w:hAnsi="宋体" w:cs="宋体"/>
                <w:color w:val="000000"/>
                <w:kern w:val="0"/>
                <w:sz w:val="22"/>
                <w:szCs w:val="22"/>
                <w:highlight w:val="none"/>
                <w:lang w:eastAsia="zh-CN" w:bidi="ar"/>
              </w:rPr>
              <w:t>（</w:t>
            </w:r>
            <w:r>
              <w:rPr>
                <w:rFonts w:hint="eastAsia" w:ascii="宋体" w:hAnsi="宋体" w:cs="宋体"/>
                <w:color w:val="000000"/>
                <w:kern w:val="0"/>
                <w:sz w:val="22"/>
                <w:szCs w:val="22"/>
                <w:highlight w:val="none"/>
                <w:lang w:val="en-US" w:eastAsia="zh-CN" w:bidi="ar"/>
              </w:rPr>
              <w:t>万元</w:t>
            </w:r>
            <w:r>
              <w:rPr>
                <w:rFonts w:hint="eastAsia" w:ascii="宋体" w:hAnsi="宋体" w:cs="宋体"/>
                <w:color w:val="000000"/>
                <w:kern w:val="0"/>
                <w:sz w:val="22"/>
                <w:szCs w:val="22"/>
                <w:highlight w:val="none"/>
                <w:lang w:eastAsia="zh-CN" w:bidi="ar"/>
              </w:rPr>
              <w:t>）</w:t>
            </w:r>
          </w:p>
        </w:tc>
        <w:tc>
          <w:tcPr>
            <w:tcW w:w="325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default" w:ascii="宋体" w:hAnsi="宋体" w:eastAsia="宋体" w:cs="宋体"/>
                <w:color w:val="000000"/>
                <w:sz w:val="22"/>
                <w:szCs w:val="22"/>
                <w:highlight w:val="none"/>
                <w:lang w:val="en-US" w:eastAsia="zh-CN"/>
              </w:rPr>
            </w:pPr>
          </w:p>
        </w:tc>
      </w:tr>
    </w:tbl>
    <w:p>
      <w:pPr>
        <w:pStyle w:val="50"/>
        <w:rPr>
          <w:rStyle w:val="86"/>
          <w:sz w:val="18"/>
          <w:szCs w:val="16"/>
          <w:highlight w:val="none"/>
        </w:rPr>
      </w:pPr>
      <w:r>
        <w:rPr>
          <w:rStyle w:val="86"/>
          <w:rFonts w:hint="eastAsia"/>
          <w:sz w:val="18"/>
          <w:szCs w:val="16"/>
          <w:highlight w:val="none"/>
        </w:rPr>
        <w:t>注：此表中的投标总价与开标一览表中投标总报价一致。</w:t>
      </w:r>
    </w:p>
    <w:p>
      <w:pPr>
        <w:pStyle w:val="50"/>
        <w:rPr>
          <w:rStyle w:val="86"/>
          <w:sz w:val="18"/>
          <w:szCs w:val="16"/>
          <w:highlight w:val="none"/>
        </w:rPr>
      </w:pPr>
    </w:p>
    <w:p>
      <w:pPr>
        <w:pStyle w:val="50"/>
        <w:rPr>
          <w:rStyle w:val="86"/>
          <w:sz w:val="18"/>
          <w:szCs w:val="16"/>
          <w:highlight w:val="none"/>
        </w:rPr>
      </w:pPr>
    </w:p>
    <w:p>
      <w:pPr>
        <w:pStyle w:val="50"/>
        <w:rPr>
          <w:rFonts w:ascii="宋体" w:hAnsi="宋体"/>
          <w:b/>
          <w:bCs/>
          <w:highlight w:val="none"/>
        </w:rPr>
      </w:pPr>
      <w:r>
        <w:rPr>
          <w:rFonts w:hint="eastAsia" w:ascii="宋体" w:hAnsi="宋体"/>
          <w:b/>
          <w:bCs/>
          <w:highlight w:val="none"/>
        </w:rPr>
        <w:t>投标人：</w:t>
      </w:r>
      <w:r>
        <w:rPr>
          <w:rFonts w:hint="eastAsia" w:ascii="宋体" w:hAnsi="宋体"/>
          <w:b/>
          <w:bCs/>
          <w:highlight w:val="none"/>
          <w:u w:val="single"/>
        </w:rPr>
        <w:t xml:space="preserve">            （电子签章）    </w:t>
      </w:r>
    </w:p>
    <w:p>
      <w:pPr>
        <w:spacing w:line="360" w:lineRule="auto"/>
        <w:ind w:firstLine="506" w:firstLineChars="210"/>
        <w:rPr>
          <w:rFonts w:ascii="宋体" w:hAnsi="宋体"/>
          <w:b/>
          <w:bCs/>
          <w:sz w:val="24"/>
          <w:highlight w:val="none"/>
        </w:rPr>
      </w:pPr>
      <w:r>
        <w:rPr>
          <w:rFonts w:hint="eastAsia" w:ascii="宋体" w:hAnsi="宋体"/>
          <w:b/>
          <w:bCs/>
          <w:sz w:val="24"/>
          <w:highlight w:val="none"/>
        </w:rPr>
        <w:t>法定代表人：</w:t>
      </w:r>
      <w:r>
        <w:rPr>
          <w:rFonts w:hint="eastAsia" w:ascii="宋体" w:hAnsi="宋体"/>
          <w:b/>
          <w:bCs/>
          <w:sz w:val="24"/>
          <w:highlight w:val="none"/>
          <w:u w:val="single"/>
        </w:rPr>
        <w:t xml:space="preserve">        （电子签章）   </w:t>
      </w:r>
    </w:p>
    <w:p>
      <w:pPr>
        <w:spacing w:line="360" w:lineRule="auto"/>
        <w:ind w:firstLine="506" w:firstLineChars="210"/>
        <w:rPr>
          <w:rFonts w:ascii="宋体" w:hAnsi="宋体"/>
          <w:b/>
          <w:bCs/>
          <w:sz w:val="24"/>
          <w:highlight w:val="none"/>
        </w:rPr>
      </w:pPr>
      <w:r>
        <w:rPr>
          <w:rFonts w:hint="eastAsia" w:ascii="宋体" w:hAnsi="宋体"/>
          <w:b/>
          <w:bCs/>
          <w:sz w:val="24"/>
          <w:highlight w:val="none"/>
        </w:rPr>
        <w:t>日期：</w:t>
      </w:r>
      <w:r>
        <w:rPr>
          <w:rFonts w:hint="eastAsia" w:ascii="宋体" w:hAnsi="宋体"/>
          <w:b/>
          <w:bCs/>
          <w:sz w:val="24"/>
          <w:highlight w:val="none"/>
          <w:u w:val="single"/>
        </w:rPr>
        <w:t xml:space="preserve">       </w:t>
      </w:r>
      <w:r>
        <w:rPr>
          <w:rFonts w:hint="eastAsia" w:ascii="宋体" w:hAnsi="宋体"/>
          <w:b/>
          <w:bCs/>
          <w:sz w:val="24"/>
          <w:highlight w:val="none"/>
        </w:rPr>
        <w:t>年</w:t>
      </w:r>
      <w:r>
        <w:rPr>
          <w:rFonts w:hint="eastAsia" w:ascii="宋体" w:hAnsi="宋体"/>
          <w:b/>
          <w:bCs/>
          <w:sz w:val="24"/>
          <w:highlight w:val="none"/>
          <w:u w:val="single"/>
        </w:rPr>
        <w:t xml:space="preserve">       </w:t>
      </w:r>
      <w:r>
        <w:rPr>
          <w:rFonts w:hint="eastAsia" w:ascii="宋体" w:hAnsi="宋体"/>
          <w:b/>
          <w:bCs/>
          <w:sz w:val="24"/>
          <w:highlight w:val="none"/>
        </w:rPr>
        <w:t>月</w:t>
      </w:r>
      <w:r>
        <w:rPr>
          <w:rFonts w:hint="eastAsia" w:ascii="宋体" w:hAnsi="宋体"/>
          <w:b/>
          <w:bCs/>
          <w:sz w:val="24"/>
          <w:highlight w:val="none"/>
          <w:u w:val="single"/>
        </w:rPr>
        <w:t xml:space="preserve">       </w:t>
      </w:r>
      <w:r>
        <w:rPr>
          <w:rFonts w:hint="eastAsia" w:ascii="宋体" w:hAnsi="宋体"/>
          <w:b/>
          <w:bCs/>
          <w:sz w:val="24"/>
          <w:highlight w:val="none"/>
        </w:rPr>
        <w:t>日</w:t>
      </w:r>
    </w:p>
    <w:p>
      <w:pPr>
        <w:pStyle w:val="15"/>
        <w:spacing w:line="500" w:lineRule="exact"/>
        <w:outlineLvl w:val="1"/>
        <w:rPr>
          <w:rFonts w:hint="eastAsia" w:hAnsi="宋体" w:cs="宋体"/>
          <w:b/>
          <w:color w:val="auto"/>
          <w:sz w:val="24"/>
          <w:szCs w:val="24"/>
          <w:highlight w:val="none"/>
        </w:rPr>
      </w:pPr>
    </w:p>
    <w:p>
      <w:pPr>
        <w:pStyle w:val="15"/>
        <w:spacing w:line="500" w:lineRule="exact"/>
        <w:outlineLvl w:val="1"/>
        <w:rPr>
          <w:rFonts w:hint="eastAsia" w:hAnsi="宋体" w:cs="宋体"/>
          <w:b/>
          <w:color w:val="auto"/>
          <w:sz w:val="24"/>
          <w:szCs w:val="24"/>
          <w:highlight w:val="none"/>
        </w:rPr>
      </w:pPr>
    </w:p>
    <w:p>
      <w:pPr>
        <w:pStyle w:val="15"/>
        <w:spacing w:line="500" w:lineRule="exact"/>
        <w:outlineLvl w:val="1"/>
        <w:rPr>
          <w:rFonts w:hint="eastAsia" w:hAnsi="宋体" w:cs="宋体"/>
          <w:b/>
          <w:color w:val="auto"/>
          <w:sz w:val="24"/>
          <w:szCs w:val="24"/>
          <w:highlight w:val="none"/>
        </w:rPr>
      </w:pPr>
    </w:p>
    <w:p>
      <w:pPr>
        <w:pStyle w:val="15"/>
        <w:spacing w:line="500" w:lineRule="exact"/>
        <w:outlineLvl w:val="1"/>
        <w:rPr>
          <w:rFonts w:hint="eastAsia" w:hAnsi="宋体" w:cs="宋体"/>
          <w:b/>
          <w:color w:val="auto"/>
          <w:sz w:val="24"/>
          <w:szCs w:val="24"/>
          <w:highlight w:val="none"/>
        </w:rPr>
      </w:pPr>
    </w:p>
    <w:p>
      <w:pPr>
        <w:pStyle w:val="15"/>
        <w:spacing w:line="500" w:lineRule="exact"/>
        <w:outlineLvl w:val="1"/>
        <w:rPr>
          <w:rFonts w:hint="eastAsia" w:hAnsi="宋体" w:cs="宋体"/>
          <w:b/>
          <w:color w:val="auto"/>
          <w:sz w:val="24"/>
          <w:szCs w:val="24"/>
          <w:highlight w:val="none"/>
        </w:rPr>
      </w:pPr>
    </w:p>
    <w:p>
      <w:pPr>
        <w:pStyle w:val="15"/>
        <w:spacing w:line="500" w:lineRule="exact"/>
        <w:outlineLvl w:val="1"/>
        <w:rPr>
          <w:rFonts w:hint="eastAsia" w:hAnsi="宋体" w:cs="宋体"/>
          <w:b/>
          <w:color w:val="auto"/>
          <w:sz w:val="24"/>
          <w:szCs w:val="24"/>
          <w:highlight w:val="none"/>
        </w:rPr>
      </w:pPr>
    </w:p>
    <w:p>
      <w:pPr>
        <w:pStyle w:val="15"/>
        <w:spacing w:line="500" w:lineRule="exact"/>
        <w:outlineLvl w:val="1"/>
        <w:rPr>
          <w:rFonts w:hint="eastAsia" w:hAnsi="宋体" w:cs="宋体"/>
          <w:b/>
          <w:color w:val="auto"/>
          <w:sz w:val="24"/>
          <w:szCs w:val="24"/>
          <w:highlight w:val="none"/>
        </w:rPr>
      </w:pPr>
    </w:p>
    <w:p>
      <w:pPr>
        <w:pStyle w:val="15"/>
        <w:spacing w:line="500" w:lineRule="exact"/>
        <w:outlineLvl w:val="1"/>
        <w:rPr>
          <w:rFonts w:hint="eastAsia" w:hAnsi="宋体" w:cs="宋体"/>
          <w:b/>
          <w:color w:val="auto"/>
          <w:sz w:val="24"/>
          <w:szCs w:val="24"/>
          <w:highlight w:val="none"/>
        </w:rPr>
      </w:pPr>
    </w:p>
    <w:p>
      <w:pPr>
        <w:pStyle w:val="15"/>
        <w:spacing w:line="500" w:lineRule="exact"/>
        <w:outlineLvl w:val="1"/>
        <w:rPr>
          <w:rFonts w:hint="eastAsia" w:hAnsi="宋体" w:cs="宋体"/>
          <w:b/>
          <w:color w:val="auto"/>
          <w:sz w:val="24"/>
          <w:szCs w:val="24"/>
          <w:highlight w:val="none"/>
        </w:rPr>
      </w:pPr>
    </w:p>
    <w:p>
      <w:pPr>
        <w:pStyle w:val="15"/>
        <w:spacing w:line="500" w:lineRule="exact"/>
        <w:outlineLvl w:val="1"/>
        <w:rPr>
          <w:rFonts w:hint="eastAsia" w:hAnsi="宋体" w:cs="宋体"/>
          <w:b/>
          <w:color w:val="auto"/>
          <w:sz w:val="24"/>
          <w:szCs w:val="24"/>
          <w:highlight w:val="none"/>
        </w:rPr>
      </w:pPr>
    </w:p>
    <w:p>
      <w:pPr>
        <w:pStyle w:val="15"/>
        <w:spacing w:line="500" w:lineRule="exact"/>
        <w:outlineLvl w:val="1"/>
        <w:rPr>
          <w:rFonts w:hint="eastAsia" w:hAnsi="宋体" w:cs="宋体"/>
          <w:b/>
          <w:color w:val="auto"/>
          <w:sz w:val="24"/>
          <w:szCs w:val="24"/>
          <w:highlight w:val="none"/>
        </w:rPr>
      </w:pPr>
    </w:p>
    <w:p>
      <w:pPr>
        <w:pStyle w:val="15"/>
        <w:spacing w:line="500" w:lineRule="exact"/>
        <w:outlineLvl w:val="1"/>
        <w:rPr>
          <w:rFonts w:hint="eastAsia" w:hAnsi="宋体" w:cs="宋体"/>
          <w:b/>
          <w:color w:val="auto"/>
          <w:sz w:val="24"/>
          <w:szCs w:val="24"/>
          <w:highlight w:val="none"/>
        </w:rPr>
      </w:pPr>
    </w:p>
    <w:p>
      <w:pPr>
        <w:pStyle w:val="15"/>
        <w:spacing w:line="500" w:lineRule="exact"/>
        <w:outlineLvl w:val="1"/>
        <w:rPr>
          <w:rFonts w:hint="eastAsia" w:hAnsi="宋体" w:cs="宋体"/>
          <w:b/>
          <w:color w:val="auto"/>
          <w:sz w:val="24"/>
          <w:szCs w:val="24"/>
          <w:highlight w:val="none"/>
        </w:rPr>
      </w:pPr>
    </w:p>
    <w:p>
      <w:pPr>
        <w:pStyle w:val="15"/>
        <w:spacing w:line="500" w:lineRule="exact"/>
        <w:outlineLvl w:val="1"/>
        <w:rPr>
          <w:rFonts w:hAnsi="宋体" w:cs="宋体"/>
          <w:b/>
          <w:color w:val="auto"/>
          <w:sz w:val="28"/>
          <w:szCs w:val="28"/>
          <w:highlight w:val="none"/>
        </w:rPr>
      </w:pPr>
      <w:r>
        <w:rPr>
          <w:rFonts w:hint="eastAsia" w:hAnsi="宋体" w:cs="宋体"/>
          <w:b/>
          <w:color w:val="auto"/>
          <w:sz w:val="24"/>
          <w:szCs w:val="24"/>
          <w:highlight w:val="none"/>
        </w:rPr>
        <w:t>格式2：投 标 函</w:t>
      </w:r>
      <w:bookmarkEnd w:id="66"/>
    </w:p>
    <w:p>
      <w:pPr>
        <w:jc w:val="center"/>
        <w:rPr>
          <w:rFonts w:ascii="宋体" w:hAnsi="宋体" w:cs="宋体"/>
          <w:color w:val="auto"/>
          <w:sz w:val="32"/>
          <w:szCs w:val="32"/>
          <w:highlight w:val="none"/>
        </w:rPr>
      </w:pPr>
      <w:bookmarkStart w:id="67" w:name="_Toc476856077"/>
      <w:bookmarkStart w:id="68" w:name="_Toc475291694"/>
      <w:bookmarkStart w:id="69" w:name="_Toc393354841"/>
      <w:r>
        <w:rPr>
          <w:rFonts w:hint="eastAsia" w:ascii="宋体" w:hAnsi="宋体" w:cs="宋体"/>
          <w:b/>
          <w:color w:val="auto"/>
          <w:sz w:val="32"/>
          <w:szCs w:val="32"/>
          <w:highlight w:val="none"/>
        </w:rPr>
        <w:t>投 标 函</w:t>
      </w:r>
      <w:bookmarkEnd w:id="67"/>
      <w:bookmarkEnd w:id="68"/>
      <w:bookmarkEnd w:id="69"/>
    </w:p>
    <w:p>
      <w:pPr>
        <w:pStyle w:val="15"/>
        <w:spacing w:line="360" w:lineRule="auto"/>
        <w:rPr>
          <w:rFonts w:hAnsi="宋体" w:cs="宋体"/>
          <w:color w:val="auto"/>
          <w:sz w:val="24"/>
          <w:szCs w:val="24"/>
          <w:highlight w:val="none"/>
        </w:rPr>
      </w:pPr>
    </w:p>
    <w:p>
      <w:pPr>
        <w:pStyle w:val="15"/>
        <w:spacing w:line="360" w:lineRule="exact"/>
        <w:rPr>
          <w:rFonts w:hAnsi="宋体"/>
          <w:sz w:val="24"/>
          <w:szCs w:val="24"/>
          <w:highlight w:val="none"/>
        </w:rPr>
      </w:pPr>
      <w:r>
        <w:rPr>
          <w:rFonts w:hint="eastAsia" w:hAnsi="宋体"/>
          <w:sz w:val="24"/>
          <w:szCs w:val="24"/>
          <w:highlight w:val="none"/>
        </w:rPr>
        <w:t>致：</w:t>
      </w:r>
      <w:r>
        <w:rPr>
          <w:rFonts w:hint="eastAsia" w:hAnsi="宋体"/>
          <w:sz w:val="24"/>
          <w:szCs w:val="24"/>
          <w:highlight w:val="none"/>
          <w:u w:val="single"/>
        </w:rPr>
        <w:t xml:space="preserve">                  </w:t>
      </w:r>
    </w:p>
    <w:p>
      <w:pPr>
        <w:pStyle w:val="15"/>
        <w:spacing w:line="360" w:lineRule="exact"/>
        <w:ind w:firstLine="482"/>
        <w:rPr>
          <w:rFonts w:hAnsi="宋体"/>
          <w:sz w:val="24"/>
          <w:szCs w:val="24"/>
          <w:highlight w:val="none"/>
        </w:rPr>
      </w:pPr>
      <w:r>
        <w:rPr>
          <w:rFonts w:hint="eastAsia" w:hAnsi="宋体"/>
          <w:sz w:val="24"/>
          <w:szCs w:val="24"/>
          <w:highlight w:val="none"/>
        </w:rPr>
        <w:t>我方仔细研究了</w:t>
      </w:r>
      <w:r>
        <w:rPr>
          <w:rFonts w:hint="eastAsia" w:hAnsi="宋体"/>
          <w:sz w:val="24"/>
          <w:szCs w:val="24"/>
          <w:highlight w:val="none"/>
          <w:u w:val="single"/>
        </w:rPr>
        <w:t>（采购项目名称）</w:t>
      </w:r>
      <w:r>
        <w:rPr>
          <w:rFonts w:hint="eastAsia" w:hAnsi="宋体"/>
          <w:sz w:val="24"/>
          <w:szCs w:val="24"/>
          <w:highlight w:val="none"/>
        </w:rPr>
        <w:t>（项目编号：</w:t>
      </w:r>
      <w:r>
        <w:rPr>
          <w:rFonts w:hint="eastAsia" w:hAnsi="宋体"/>
          <w:sz w:val="24"/>
          <w:szCs w:val="24"/>
          <w:highlight w:val="none"/>
          <w:u w:val="single"/>
        </w:rPr>
        <w:t xml:space="preserve">        </w:t>
      </w:r>
      <w:r>
        <w:rPr>
          <w:rFonts w:hint="eastAsia" w:hAnsi="宋体"/>
          <w:b/>
          <w:sz w:val="24"/>
          <w:szCs w:val="24"/>
          <w:highlight w:val="none"/>
          <w:u w:val="single"/>
        </w:rPr>
        <w:t xml:space="preserve">      </w:t>
      </w:r>
      <w:r>
        <w:rPr>
          <w:rFonts w:hint="eastAsia" w:hAnsi="宋体"/>
          <w:sz w:val="24"/>
          <w:szCs w:val="24"/>
          <w:highlight w:val="none"/>
        </w:rPr>
        <w:t>）</w:t>
      </w:r>
      <w:r>
        <w:rPr>
          <w:rFonts w:hAnsi="宋体"/>
          <w:sz w:val="24"/>
          <w:szCs w:val="24"/>
          <w:highlight w:val="none"/>
        </w:rPr>
        <w:t>项目</w:t>
      </w:r>
      <w:r>
        <w:rPr>
          <w:rFonts w:hint="eastAsia" w:hAnsi="宋体"/>
          <w:sz w:val="24"/>
          <w:szCs w:val="24"/>
          <w:highlight w:val="none"/>
          <w:lang w:eastAsia="zh-CN"/>
        </w:rPr>
        <w:t>采购文件</w:t>
      </w:r>
      <w:r>
        <w:rPr>
          <w:rFonts w:hint="eastAsia" w:hAnsi="宋体"/>
          <w:sz w:val="24"/>
          <w:szCs w:val="24"/>
          <w:highlight w:val="none"/>
        </w:rPr>
        <w:t>的全部内容，正式授权下述签字人</w:t>
      </w:r>
      <w:r>
        <w:rPr>
          <w:rFonts w:hint="eastAsia" w:hAnsi="宋体"/>
          <w:sz w:val="24"/>
          <w:szCs w:val="24"/>
          <w:highlight w:val="none"/>
          <w:u w:val="single"/>
        </w:rPr>
        <w:t xml:space="preserve">   （姓名和职务）     </w:t>
      </w:r>
      <w:r>
        <w:rPr>
          <w:rFonts w:hint="eastAsia" w:hAnsi="宋体"/>
          <w:sz w:val="24"/>
          <w:szCs w:val="24"/>
          <w:highlight w:val="none"/>
        </w:rPr>
        <w:t>全权代表投标人</w:t>
      </w:r>
      <w:r>
        <w:rPr>
          <w:rFonts w:hint="eastAsia" w:hAnsi="宋体"/>
          <w:sz w:val="24"/>
          <w:szCs w:val="24"/>
          <w:highlight w:val="none"/>
          <w:u w:val="single"/>
        </w:rPr>
        <w:t xml:space="preserve">  （投标人全称）   </w:t>
      </w:r>
      <w:r>
        <w:rPr>
          <w:rFonts w:hAnsi="宋体"/>
          <w:sz w:val="24"/>
          <w:szCs w:val="24"/>
          <w:highlight w:val="none"/>
        </w:rPr>
        <w:t>参加投标，并</w:t>
      </w:r>
      <w:r>
        <w:rPr>
          <w:rFonts w:hint="eastAsia" w:hAnsi="宋体"/>
          <w:sz w:val="24"/>
          <w:szCs w:val="24"/>
          <w:highlight w:val="none"/>
        </w:rPr>
        <w:t>在“政府采购云平台”提交电子</w:t>
      </w:r>
      <w:r>
        <w:rPr>
          <w:rFonts w:hAnsi="宋体"/>
          <w:sz w:val="24"/>
          <w:szCs w:val="24"/>
          <w:highlight w:val="none"/>
        </w:rPr>
        <w:t>投标</w:t>
      </w:r>
      <w:r>
        <w:rPr>
          <w:rFonts w:hint="eastAsia" w:hAnsi="宋体"/>
          <w:sz w:val="24"/>
          <w:szCs w:val="24"/>
          <w:highlight w:val="none"/>
        </w:rPr>
        <w:t>文件一份</w:t>
      </w:r>
      <w:r>
        <w:rPr>
          <w:rFonts w:hAnsi="宋体"/>
          <w:sz w:val="24"/>
          <w:szCs w:val="24"/>
          <w:highlight w:val="none"/>
        </w:rPr>
        <w:t>。</w:t>
      </w:r>
    </w:p>
    <w:p>
      <w:pPr>
        <w:pStyle w:val="15"/>
        <w:spacing w:line="360" w:lineRule="exact"/>
        <w:ind w:firstLine="420"/>
        <w:rPr>
          <w:rFonts w:hAnsi="宋体"/>
          <w:sz w:val="24"/>
          <w:szCs w:val="24"/>
          <w:highlight w:val="none"/>
        </w:rPr>
      </w:pPr>
      <w:r>
        <w:rPr>
          <w:rFonts w:hint="eastAsia" w:hAnsi="宋体"/>
          <w:sz w:val="24"/>
          <w:szCs w:val="24"/>
          <w:highlight w:val="none"/>
        </w:rPr>
        <w:t>据此函，签字人兹宣布同意如下：</w:t>
      </w:r>
    </w:p>
    <w:p>
      <w:pPr>
        <w:pStyle w:val="15"/>
        <w:spacing w:line="360" w:lineRule="exact"/>
        <w:ind w:left="660" w:leftChars="200" w:hanging="240" w:hangingChars="100"/>
        <w:rPr>
          <w:rFonts w:hAnsi="宋体"/>
          <w:sz w:val="24"/>
          <w:szCs w:val="24"/>
          <w:highlight w:val="none"/>
        </w:rPr>
      </w:pPr>
      <w:r>
        <w:rPr>
          <w:rFonts w:hint="eastAsia" w:hAnsi="宋体"/>
          <w:sz w:val="24"/>
          <w:szCs w:val="24"/>
          <w:highlight w:val="none"/>
        </w:rPr>
        <w:t>1、按</w:t>
      </w:r>
      <w:r>
        <w:rPr>
          <w:rFonts w:hint="eastAsia" w:hAnsi="宋体"/>
          <w:sz w:val="24"/>
          <w:szCs w:val="24"/>
          <w:highlight w:val="none"/>
          <w:lang w:eastAsia="zh-CN"/>
        </w:rPr>
        <w:t>采购文件</w:t>
      </w:r>
      <w:r>
        <w:rPr>
          <w:rFonts w:hint="eastAsia" w:hAnsi="宋体"/>
          <w:sz w:val="24"/>
          <w:szCs w:val="24"/>
          <w:highlight w:val="none"/>
        </w:rPr>
        <w:t>采购需求和投标报价汇总表，投标总报价（大写）</w:t>
      </w:r>
      <w:r>
        <w:rPr>
          <w:rFonts w:hint="eastAsia" w:hAnsi="宋体"/>
          <w:sz w:val="24"/>
          <w:szCs w:val="24"/>
          <w:highlight w:val="none"/>
          <w:u w:val="single"/>
        </w:rPr>
        <w:t xml:space="preserve">       </w:t>
      </w:r>
      <w:r>
        <w:rPr>
          <w:rFonts w:hint="eastAsia" w:hAnsi="宋体"/>
          <w:sz w:val="24"/>
          <w:szCs w:val="24"/>
          <w:highlight w:val="none"/>
        </w:rPr>
        <w:t>，人民币(￥</w:t>
      </w:r>
      <w:r>
        <w:rPr>
          <w:rFonts w:hint="eastAsia" w:hAnsi="宋体"/>
          <w:sz w:val="24"/>
          <w:szCs w:val="24"/>
          <w:highlight w:val="none"/>
          <w:u w:val="single"/>
        </w:rPr>
        <w:t xml:space="preserve">       万元</w:t>
      </w:r>
      <w:r>
        <w:rPr>
          <w:rFonts w:hint="eastAsia" w:hAnsi="宋体"/>
          <w:sz w:val="24"/>
          <w:szCs w:val="24"/>
          <w:highlight w:val="none"/>
        </w:rPr>
        <w:t xml:space="preserve"> )，在</w:t>
      </w:r>
      <w:r>
        <w:rPr>
          <w:rFonts w:hint="eastAsia" w:hAnsi="宋体"/>
          <w:sz w:val="24"/>
          <w:szCs w:val="24"/>
          <w:highlight w:val="none"/>
          <w:u w:val="single"/>
        </w:rPr>
        <w:t xml:space="preserve">  （交货期限）   </w:t>
      </w:r>
      <w:r>
        <w:rPr>
          <w:rFonts w:hint="eastAsia" w:hAnsi="宋体"/>
          <w:sz w:val="24"/>
          <w:szCs w:val="24"/>
          <w:highlight w:val="none"/>
        </w:rPr>
        <w:t>完成交货。</w:t>
      </w:r>
    </w:p>
    <w:p>
      <w:pPr>
        <w:pStyle w:val="15"/>
        <w:spacing w:line="360" w:lineRule="exact"/>
        <w:ind w:firstLine="420"/>
        <w:rPr>
          <w:rFonts w:hAnsi="宋体"/>
          <w:spacing w:val="-10"/>
          <w:sz w:val="24"/>
          <w:szCs w:val="24"/>
          <w:highlight w:val="none"/>
        </w:rPr>
      </w:pPr>
      <w:r>
        <w:rPr>
          <w:rFonts w:hint="eastAsia" w:hAnsi="宋体"/>
          <w:sz w:val="24"/>
          <w:szCs w:val="24"/>
          <w:highlight w:val="none"/>
        </w:rPr>
        <w:t>2、</w:t>
      </w:r>
      <w:r>
        <w:rPr>
          <w:rFonts w:hint="eastAsia" w:hAnsi="宋体"/>
          <w:spacing w:val="-10"/>
          <w:sz w:val="24"/>
          <w:szCs w:val="24"/>
          <w:highlight w:val="none"/>
        </w:rPr>
        <w:t>我方已</w:t>
      </w:r>
      <w:r>
        <w:rPr>
          <w:rFonts w:hAnsi="宋体"/>
          <w:spacing w:val="-10"/>
          <w:sz w:val="24"/>
          <w:szCs w:val="24"/>
          <w:highlight w:val="none"/>
        </w:rPr>
        <w:t>详细审查全部</w:t>
      </w:r>
      <w:r>
        <w:rPr>
          <w:rFonts w:hint="eastAsia" w:hAnsi="宋体"/>
          <w:spacing w:val="-10"/>
          <w:sz w:val="24"/>
          <w:szCs w:val="24"/>
          <w:highlight w:val="none"/>
          <w:lang w:eastAsia="zh-CN"/>
        </w:rPr>
        <w:t>采购文件</w:t>
      </w:r>
      <w:r>
        <w:rPr>
          <w:rFonts w:hAnsi="宋体"/>
          <w:spacing w:val="-10"/>
          <w:sz w:val="24"/>
          <w:szCs w:val="24"/>
          <w:highlight w:val="none"/>
        </w:rPr>
        <w:t>，包括</w:t>
      </w:r>
      <w:r>
        <w:rPr>
          <w:rFonts w:hint="eastAsia" w:hAnsi="宋体"/>
          <w:iCs/>
          <w:spacing w:val="-10"/>
          <w:sz w:val="24"/>
          <w:szCs w:val="24"/>
          <w:highlight w:val="none"/>
          <w:u w:val="single"/>
        </w:rPr>
        <w:t>（澄清</w:t>
      </w:r>
      <w:r>
        <w:rPr>
          <w:rFonts w:hAnsi="宋体"/>
          <w:iCs/>
          <w:spacing w:val="-10"/>
          <w:sz w:val="24"/>
          <w:szCs w:val="24"/>
          <w:highlight w:val="none"/>
          <w:u w:val="single"/>
        </w:rPr>
        <w:t>文件</w:t>
      </w:r>
      <w:r>
        <w:rPr>
          <w:rFonts w:hint="eastAsia" w:hAnsi="宋体"/>
          <w:iCs/>
          <w:spacing w:val="-10"/>
          <w:sz w:val="24"/>
          <w:szCs w:val="24"/>
          <w:highlight w:val="none"/>
          <w:u w:val="single"/>
        </w:rPr>
        <w:t>）</w:t>
      </w:r>
      <w:r>
        <w:rPr>
          <w:rFonts w:hAnsi="宋体"/>
          <w:spacing w:val="-10"/>
          <w:sz w:val="24"/>
          <w:szCs w:val="24"/>
          <w:highlight w:val="none"/>
          <w:u w:val="single"/>
        </w:rPr>
        <w:t>(</w:t>
      </w:r>
      <w:r>
        <w:rPr>
          <w:rFonts w:hint="eastAsia" w:hAnsi="宋体"/>
          <w:spacing w:val="-10"/>
          <w:sz w:val="24"/>
          <w:szCs w:val="24"/>
          <w:highlight w:val="none"/>
          <w:u w:val="single"/>
        </w:rPr>
        <w:t>若有</w:t>
      </w:r>
      <w:r>
        <w:rPr>
          <w:rFonts w:hAnsi="宋体"/>
          <w:spacing w:val="-10"/>
          <w:sz w:val="24"/>
          <w:szCs w:val="24"/>
          <w:highlight w:val="none"/>
          <w:u w:val="single"/>
        </w:rPr>
        <w:t>)</w:t>
      </w:r>
      <w:r>
        <w:rPr>
          <w:rFonts w:hAnsi="宋体"/>
          <w:spacing w:val="-10"/>
          <w:sz w:val="24"/>
          <w:szCs w:val="24"/>
          <w:highlight w:val="none"/>
        </w:rPr>
        <w:t>。我</w:t>
      </w:r>
      <w:r>
        <w:rPr>
          <w:rFonts w:hint="eastAsia" w:hAnsi="宋体"/>
          <w:spacing w:val="-10"/>
          <w:sz w:val="24"/>
          <w:szCs w:val="24"/>
          <w:highlight w:val="none"/>
        </w:rPr>
        <w:t>方</w:t>
      </w:r>
      <w:r>
        <w:rPr>
          <w:rFonts w:hAnsi="宋体"/>
          <w:spacing w:val="-10"/>
          <w:sz w:val="24"/>
          <w:szCs w:val="24"/>
          <w:highlight w:val="none"/>
        </w:rPr>
        <w:t>完全理解</w:t>
      </w:r>
      <w:r>
        <w:rPr>
          <w:rFonts w:hint="eastAsia" w:hAnsi="宋体"/>
          <w:spacing w:val="-10"/>
          <w:sz w:val="24"/>
          <w:szCs w:val="24"/>
          <w:highlight w:val="none"/>
        </w:rPr>
        <w:t>相关文件要求，</w:t>
      </w:r>
      <w:r>
        <w:rPr>
          <w:rFonts w:hAnsi="宋体"/>
          <w:spacing w:val="-10"/>
          <w:sz w:val="24"/>
          <w:szCs w:val="24"/>
          <w:highlight w:val="none"/>
        </w:rPr>
        <w:t>并</w:t>
      </w:r>
      <w:r>
        <w:rPr>
          <w:rFonts w:hint="eastAsia" w:hAnsi="宋体"/>
          <w:spacing w:val="-10"/>
          <w:sz w:val="24"/>
          <w:szCs w:val="24"/>
          <w:highlight w:val="none"/>
        </w:rPr>
        <w:t>承担</w:t>
      </w:r>
      <w:r>
        <w:rPr>
          <w:rFonts w:hAnsi="宋体"/>
          <w:spacing w:val="-10"/>
          <w:sz w:val="24"/>
          <w:szCs w:val="24"/>
          <w:highlight w:val="none"/>
        </w:rPr>
        <w:t>对这方面有不明及误解的</w:t>
      </w:r>
      <w:r>
        <w:rPr>
          <w:rFonts w:hint="eastAsia" w:hAnsi="宋体"/>
          <w:spacing w:val="-10"/>
          <w:sz w:val="24"/>
          <w:szCs w:val="24"/>
          <w:highlight w:val="none"/>
        </w:rPr>
        <w:t>后果</w:t>
      </w:r>
      <w:r>
        <w:rPr>
          <w:rFonts w:hAnsi="宋体"/>
          <w:spacing w:val="-10"/>
          <w:sz w:val="24"/>
          <w:szCs w:val="24"/>
          <w:highlight w:val="none"/>
        </w:rPr>
        <w:t>。</w:t>
      </w:r>
    </w:p>
    <w:p>
      <w:pPr>
        <w:pStyle w:val="15"/>
        <w:spacing w:line="360" w:lineRule="exact"/>
        <w:ind w:firstLine="420"/>
        <w:rPr>
          <w:rFonts w:hAnsi="宋体"/>
          <w:sz w:val="24"/>
          <w:szCs w:val="24"/>
          <w:highlight w:val="none"/>
        </w:rPr>
      </w:pPr>
      <w:r>
        <w:rPr>
          <w:rFonts w:hint="eastAsia" w:hAnsi="宋体"/>
          <w:sz w:val="24"/>
          <w:szCs w:val="24"/>
          <w:highlight w:val="none"/>
        </w:rPr>
        <w:t>3、在投标人须知规定的开标日期起遵循本投标文件，并在投标人须知第17.1条规定的投标文件有效期满之前均具有约束力。</w:t>
      </w:r>
    </w:p>
    <w:p>
      <w:pPr>
        <w:pStyle w:val="15"/>
        <w:spacing w:line="360" w:lineRule="exact"/>
        <w:ind w:firstLine="420"/>
        <w:rPr>
          <w:rFonts w:hAnsi="宋体"/>
          <w:sz w:val="24"/>
          <w:szCs w:val="24"/>
          <w:highlight w:val="none"/>
        </w:rPr>
      </w:pPr>
      <w:r>
        <w:rPr>
          <w:rFonts w:hint="eastAsia" w:hAnsi="宋体"/>
          <w:sz w:val="24"/>
          <w:szCs w:val="24"/>
          <w:highlight w:val="none"/>
        </w:rPr>
        <w:t>4、</w:t>
      </w:r>
      <w:r>
        <w:rPr>
          <w:rFonts w:hAnsi="宋体"/>
          <w:sz w:val="24"/>
          <w:szCs w:val="24"/>
          <w:highlight w:val="none"/>
        </w:rPr>
        <w:t>同意</w:t>
      </w:r>
      <w:r>
        <w:rPr>
          <w:rFonts w:hint="eastAsia" w:hAnsi="宋体"/>
          <w:sz w:val="24"/>
          <w:szCs w:val="24"/>
          <w:highlight w:val="none"/>
        </w:rPr>
        <w:t>投标人</w:t>
      </w:r>
      <w:r>
        <w:rPr>
          <w:rFonts w:hAnsi="宋体"/>
          <w:sz w:val="24"/>
          <w:szCs w:val="24"/>
          <w:highlight w:val="none"/>
        </w:rPr>
        <w:t>须知中关于没收投标保证金的规定。</w:t>
      </w:r>
    </w:p>
    <w:p>
      <w:pPr>
        <w:pStyle w:val="15"/>
        <w:spacing w:line="360" w:lineRule="exact"/>
        <w:ind w:firstLine="420"/>
        <w:rPr>
          <w:rFonts w:hAnsi="宋体"/>
          <w:sz w:val="24"/>
          <w:szCs w:val="24"/>
          <w:highlight w:val="none"/>
        </w:rPr>
      </w:pPr>
      <w:r>
        <w:rPr>
          <w:rFonts w:hint="eastAsia" w:hAnsi="宋体"/>
          <w:sz w:val="24"/>
          <w:szCs w:val="24"/>
          <w:highlight w:val="none"/>
        </w:rPr>
        <w:t>5、同意应贵方要求提供与本投标有关的任何数据或资料</w:t>
      </w:r>
      <w:r>
        <w:rPr>
          <w:rFonts w:hAnsi="宋体"/>
          <w:sz w:val="24"/>
          <w:szCs w:val="24"/>
          <w:highlight w:val="none"/>
        </w:rPr>
        <w:t>，并保证数据和资料的完整性和真实性。</w:t>
      </w:r>
    </w:p>
    <w:p>
      <w:pPr>
        <w:pStyle w:val="15"/>
        <w:spacing w:line="360" w:lineRule="exact"/>
        <w:ind w:firstLine="420"/>
        <w:rPr>
          <w:rFonts w:hAnsi="宋体"/>
          <w:sz w:val="24"/>
          <w:szCs w:val="24"/>
          <w:highlight w:val="none"/>
        </w:rPr>
      </w:pPr>
      <w:r>
        <w:rPr>
          <w:rFonts w:hint="eastAsia" w:hAnsi="宋体"/>
          <w:sz w:val="24"/>
          <w:szCs w:val="24"/>
          <w:highlight w:val="none"/>
        </w:rPr>
        <w:t>6、完全理解贵方不一定要接受最低报价的投标人为中标人的行为。</w:t>
      </w:r>
    </w:p>
    <w:p>
      <w:pPr>
        <w:pStyle w:val="15"/>
        <w:spacing w:line="360" w:lineRule="exact"/>
        <w:ind w:firstLine="420"/>
        <w:rPr>
          <w:rFonts w:hAnsi="宋体"/>
          <w:sz w:val="24"/>
          <w:szCs w:val="24"/>
          <w:highlight w:val="none"/>
        </w:rPr>
      </w:pPr>
      <w:r>
        <w:rPr>
          <w:rFonts w:hint="eastAsia" w:hAnsi="宋体"/>
          <w:sz w:val="24"/>
          <w:szCs w:val="24"/>
          <w:highlight w:val="none"/>
        </w:rPr>
        <w:t>7</w:t>
      </w:r>
      <w:r>
        <w:rPr>
          <w:rFonts w:hAnsi="宋体"/>
          <w:sz w:val="24"/>
          <w:szCs w:val="24"/>
          <w:highlight w:val="none"/>
        </w:rPr>
        <w:t>．如我方中标：</w:t>
      </w:r>
    </w:p>
    <w:p>
      <w:pPr>
        <w:pStyle w:val="15"/>
        <w:spacing w:line="360" w:lineRule="exact"/>
        <w:ind w:firstLine="420"/>
        <w:rPr>
          <w:rFonts w:hAnsi="宋体"/>
          <w:sz w:val="24"/>
          <w:szCs w:val="24"/>
          <w:highlight w:val="none"/>
        </w:rPr>
      </w:pPr>
      <w:r>
        <w:rPr>
          <w:rFonts w:hAnsi="宋体"/>
          <w:sz w:val="24"/>
          <w:szCs w:val="24"/>
          <w:highlight w:val="none"/>
        </w:rPr>
        <w:t>（1）我方承诺在收到中标通知书后，在中标通知书规定的期限内与你方签订合同</w:t>
      </w:r>
      <w:r>
        <w:rPr>
          <w:rFonts w:hint="eastAsia" w:hAnsi="宋体"/>
          <w:sz w:val="24"/>
          <w:szCs w:val="24"/>
          <w:highlight w:val="none"/>
        </w:rPr>
        <w:t>，并</w:t>
      </w:r>
      <w:r>
        <w:rPr>
          <w:rFonts w:hAnsi="宋体"/>
          <w:sz w:val="24"/>
          <w:szCs w:val="24"/>
          <w:highlight w:val="none"/>
        </w:rPr>
        <w:t>履行</w:t>
      </w:r>
      <w:r>
        <w:rPr>
          <w:rFonts w:hint="eastAsia" w:hAnsi="宋体"/>
          <w:sz w:val="24"/>
          <w:szCs w:val="24"/>
          <w:highlight w:val="none"/>
        </w:rPr>
        <w:t>相应的</w:t>
      </w:r>
      <w:r>
        <w:rPr>
          <w:rFonts w:hAnsi="宋体"/>
          <w:sz w:val="24"/>
          <w:szCs w:val="24"/>
          <w:highlight w:val="none"/>
        </w:rPr>
        <w:t>合同责任和义务。</w:t>
      </w:r>
    </w:p>
    <w:p>
      <w:pPr>
        <w:pStyle w:val="15"/>
        <w:spacing w:line="360" w:lineRule="exact"/>
        <w:ind w:firstLine="420"/>
        <w:rPr>
          <w:rFonts w:hAnsi="宋体"/>
          <w:sz w:val="24"/>
          <w:szCs w:val="24"/>
          <w:highlight w:val="none"/>
        </w:rPr>
      </w:pPr>
      <w:r>
        <w:rPr>
          <w:rFonts w:hAnsi="宋体"/>
          <w:sz w:val="24"/>
          <w:szCs w:val="24"/>
          <w:highlight w:val="none"/>
        </w:rPr>
        <w:t>（2）我方承诺按照</w:t>
      </w:r>
      <w:r>
        <w:rPr>
          <w:rFonts w:hint="eastAsia" w:hAnsi="宋体"/>
          <w:sz w:val="24"/>
          <w:szCs w:val="24"/>
          <w:highlight w:val="none"/>
          <w:lang w:eastAsia="zh-CN"/>
        </w:rPr>
        <w:t>采购文件</w:t>
      </w:r>
      <w:r>
        <w:rPr>
          <w:rFonts w:hAnsi="宋体"/>
          <w:sz w:val="24"/>
          <w:szCs w:val="24"/>
          <w:highlight w:val="none"/>
        </w:rPr>
        <w:t>规定向你方递交履约担保。</w:t>
      </w:r>
    </w:p>
    <w:p>
      <w:pPr>
        <w:pStyle w:val="15"/>
        <w:spacing w:line="360" w:lineRule="exact"/>
        <w:ind w:firstLine="420"/>
        <w:rPr>
          <w:rFonts w:hAnsi="宋体"/>
          <w:sz w:val="24"/>
          <w:szCs w:val="24"/>
          <w:highlight w:val="none"/>
        </w:rPr>
      </w:pPr>
      <w:r>
        <w:rPr>
          <w:rFonts w:hint="eastAsia" w:hAnsi="宋体"/>
          <w:sz w:val="24"/>
          <w:szCs w:val="24"/>
          <w:highlight w:val="none"/>
        </w:rPr>
        <w:t>（3）</w:t>
      </w:r>
      <w:r>
        <w:rPr>
          <w:rFonts w:hAnsi="宋体"/>
          <w:sz w:val="24"/>
          <w:szCs w:val="24"/>
          <w:highlight w:val="none"/>
        </w:rPr>
        <w:t>我方承诺</w:t>
      </w:r>
      <w:r>
        <w:rPr>
          <w:rFonts w:hint="eastAsia" w:hAnsi="宋体"/>
          <w:sz w:val="24"/>
          <w:szCs w:val="24"/>
          <w:highlight w:val="none"/>
        </w:rPr>
        <w:t>将承担售后服务及保修责任。</w:t>
      </w:r>
    </w:p>
    <w:p>
      <w:pPr>
        <w:pStyle w:val="15"/>
        <w:spacing w:line="360" w:lineRule="exact"/>
        <w:ind w:firstLine="420"/>
        <w:rPr>
          <w:rFonts w:hAnsi="宋体"/>
          <w:sz w:val="24"/>
          <w:szCs w:val="24"/>
          <w:highlight w:val="none"/>
        </w:rPr>
      </w:pPr>
      <w:r>
        <w:rPr>
          <w:rFonts w:hint="eastAsia" w:hAnsi="宋体"/>
          <w:sz w:val="24"/>
          <w:szCs w:val="24"/>
          <w:highlight w:val="none"/>
        </w:rPr>
        <w:t>8</w:t>
      </w:r>
      <w:r>
        <w:rPr>
          <w:rFonts w:hAnsi="宋体"/>
          <w:sz w:val="24"/>
          <w:szCs w:val="24"/>
          <w:highlight w:val="none"/>
        </w:rPr>
        <w:t>．</w:t>
      </w:r>
      <w:r>
        <w:rPr>
          <w:rFonts w:hint="eastAsia" w:hAnsi="宋体"/>
          <w:sz w:val="24"/>
          <w:szCs w:val="24"/>
          <w:highlight w:val="none"/>
        </w:rPr>
        <w:t>我方在此声明，所递交的投标文件及有关资料内容完整、真实和准确。</w:t>
      </w:r>
    </w:p>
    <w:p>
      <w:pPr>
        <w:pStyle w:val="15"/>
        <w:spacing w:line="360" w:lineRule="exact"/>
        <w:ind w:firstLine="420"/>
        <w:rPr>
          <w:rFonts w:hAnsi="宋体"/>
          <w:sz w:val="24"/>
          <w:szCs w:val="24"/>
          <w:highlight w:val="none"/>
        </w:rPr>
      </w:pPr>
      <w:r>
        <w:rPr>
          <w:rFonts w:hint="eastAsia" w:hAnsi="宋体"/>
          <w:sz w:val="24"/>
          <w:szCs w:val="24"/>
          <w:highlight w:val="none"/>
        </w:rPr>
        <w:t>9．</w:t>
      </w:r>
      <w:r>
        <w:rPr>
          <w:rFonts w:hAnsi="宋体"/>
          <w:sz w:val="24"/>
          <w:szCs w:val="24"/>
          <w:highlight w:val="none"/>
          <w:u w:val="single"/>
        </w:rPr>
        <w:t xml:space="preserve">                                       </w:t>
      </w:r>
      <w:r>
        <w:rPr>
          <w:rFonts w:hAnsi="宋体"/>
          <w:sz w:val="24"/>
          <w:szCs w:val="24"/>
          <w:highlight w:val="none"/>
        </w:rPr>
        <w:t>（</w:t>
      </w:r>
      <w:r>
        <w:rPr>
          <w:rFonts w:hint="eastAsia" w:hAnsi="宋体"/>
          <w:sz w:val="24"/>
          <w:szCs w:val="24"/>
          <w:highlight w:val="none"/>
        </w:rPr>
        <w:t>其他</w:t>
      </w:r>
      <w:r>
        <w:rPr>
          <w:rFonts w:hAnsi="宋体"/>
          <w:sz w:val="24"/>
          <w:szCs w:val="24"/>
          <w:highlight w:val="none"/>
        </w:rPr>
        <w:t>补充说明）。</w:t>
      </w:r>
    </w:p>
    <w:p>
      <w:pPr>
        <w:pStyle w:val="15"/>
        <w:spacing w:line="360" w:lineRule="exact"/>
        <w:ind w:firstLine="420"/>
        <w:rPr>
          <w:rFonts w:hAnsi="宋体"/>
          <w:sz w:val="24"/>
          <w:szCs w:val="24"/>
          <w:highlight w:val="none"/>
        </w:rPr>
      </w:pPr>
    </w:p>
    <w:p>
      <w:pPr>
        <w:pStyle w:val="15"/>
        <w:spacing w:line="360" w:lineRule="exact"/>
        <w:ind w:firstLine="420"/>
        <w:rPr>
          <w:rFonts w:hAnsi="宋体"/>
          <w:sz w:val="24"/>
          <w:szCs w:val="24"/>
          <w:highlight w:val="none"/>
        </w:rPr>
      </w:pPr>
      <w:r>
        <w:rPr>
          <w:rFonts w:hint="eastAsia" w:hAnsi="宋体"/>
          <w:sz w:val="24"/>
          <w:szCs w:val="24"/>
          <w:highlight w:val="none"/>
        </w:rPr>
        <w:t>与本投标有关的正式通讯地址为：</w:t>
      </w:r>
    </w:p>
    <w:p>
      <w:pPr>
        <w:pStyle w:val="15"/>
        <w:spacing w:line="360" w:lineRule="exact"/>
        <w:ind w:firstLine="420"/>
        <w:rPr>
          <w:rFonts w:hAnsi="宋体"/>
          <w:sz w:val="24"/>
          <w:szCs w:val="24"/>
          <w:highlight w:val="none"/>
        </w:rPr>
      </w:pPr>
      <w:r>
        <w:rPr>
          <w:rFonts w:hint="eastAsia" w:hAnsi="宋体"/>
          <w:sz w:val="24"/>
          <w:szCs w:val="24"/>
          <w:highlight w:val="none"/>
        </w:rPr>
        <w:t>地址：</w:t>
      </w:r>
      <w:r>
        <w:rPr>
          <w:rFonts w:hint="eastAsia" w:hAnsi="宋体"/>
          <w:sz w:val="24"/>
          <w:szCs w:val="24"/>
          <w:highlight w:val="none"/>
          <w:u w:val="single"/>
        </w:rPr>
        <w:t xml:space="preserve">                                </w:t>
      </w:r>
      <w:r>
        <w:rPr>
          <w:rFonts w:hint="eastAsia" w:hAnsi="宋体"/>
          <w:sz w:val="24"/>
          <w:szCs w:val="24"/>
          <w:highlight w:val="none"/>
        </w:rPr>
        <w:t xml:space="preserve"> 邮政编码：</w:t>
      </w:r>
      <w:r>
        <w:rPr>
          <w:rFonts w:hint="eastAsia" w:hAnsi="宋体"/>
          <w:sz w:val="24"/>
          <w:szCs w:val="24"/>
          <w:highlight w:val="none"/>
          <w:u w:val="single"/>
        </w:rPr>
        <w:t xml:space="preserve">             </w:t>
      </w:r>
    </w:p>
    <w:p>
      <w:pPr>
        <w:pStyle w:val="15"/>
        <w:spacing w:line="360" w:lineRule="exact"/>
        <w:ind w:firstLine="420"/>
        <w:rPr>
          <w:rFonts w:hAnsi="宋体"/>
          <w:sz w:val="24"/>
          <w:szCs w:val="24"/>
          <w:highlight w:val="none"/>
          <w:u w:val="single"/>
        </w:rPr>
      </w:pPr>
      <w:r>
        <w:rPr>
          <w:rFonts w:hint="eastAsia" w:hAnsi="宋体"/>
          <w:sz w:val="24"/>
          <w:szCs w:val="24"/>
          <w:highlight w:val="none"/>
        </w:rPr>
        <w:t>电话</w:t>
      </w:r>
      <w:r>
        <w:rPr>
          <w:rFonts w:hint="eastAsia" w:hAnsi="宋体"/>
          <w:sz w:val="24"/>
          <w:szCs w:val="24"/>
          <w:highlight w:val="none"/>
          <w:lang w:eastAsia="zh-CN"/>
        </w:rPr>
        <w:t>（</w:t>
      </w:r>
      <w:r>
        <w:rPr>
          <w:rFonts w:hint="eastAsia" w:hAnsi="宋体"/>
          <w:sz w:val="24"/>
          <w:szCs w:val="24"/>
          <w:highlight w:val="none"/>
          <w:lang w:val="en-US" w:eastAsia="zh-CN"/>
        </w:rPr>
        <w:t>手机</w:t>
      </w:r>
      <w:r>
        <w:rPr>
          <w:rFonts w:hint="eastAsia" w:hAnsi="宋体"/>
          <w:sz w:val="24"/>
          <w:szCs w:val="24"/>
          <w:highlight w:val="none"/>
          <w:lang w:eastAsia="zh-CN"/>
        </w:rPr>
        <w:t>）</w:t>
      </w:r>
      <w:r>
        <w:rPr>
          <w:rFonts w:hint="eastAsia" w:hAnsi="宋体"/>
          <w:sz w:val="24"/>
          <w:szCs w:val="24"/>
          <w:highlight w:val="none"/>
        </w:rPr>
        <w:t>：</w:t>
      </w:r>
      <w:r>
        <w:rPr>
          <w:rFonts w:hint="eastAsia" w:hAnsi="宋体"/>
          <w:sz w:val="24"/>
          <w:szCs w:val="24"/>
          <w:highlight w:val="none"/>
          <w:u w:val="single"/>
        </w:rPr>
        <w:t xml:space="preserve">                                      　　　　</w:t>
      </w:r>
    </w:p>
    <w:p>
      <w:pPr>
        <w:pStyle w:val="15"/>
        <w:spacing w:line="360" w:lineRule="exact"/>
        <w:ind w:firstLine="420"/>
        <w:rPr>
          <w:rFonts w:hAnsi="宋体"/>
          <w:sz w:val="24"/>
          <w:szCs w:val="24"/>
          <w:highlight w:val="none"/>
        </w:rPr>
      </w:pPr>
      <w:r>
        <w:rPr>
          <w:rFonts w:hint="eastAsia" w:hAnsi="宋体"/>
          <w:sz w:val="24"/>
          <w:szCs w:val="24"/>
          <w:highlight w:val="none"/>
        </w:rPr>
        <w:t>传真：</w:t>
      </w:r>
      <w:r>
        <w:rPr>
          <w:rFonts w:hint="eastAsia" w:hAnsi="宋体"/>
          <w:sz w:val="24"/>
          <w:szCs w:val="24"/>
          <w:highlight w:val="none"/>
          <w:u w:val="single"/>
        </w:rPr>
        <w:t>　　　　　　　　　　　　　　　　　　　　　　　　　　　　</w:t>
      </w:r>
    </w:p>
    <w:p>
      <w:pPr>
        <w:pStyle w:val="15"/>
        <w:spacing w:line="360" w:lineRule="exact"/>
        <w:ind w:firstLine="420"/>
        <w:rPr>
          <w:rFonts w:hAnsi="宋体"/>
          <w:sz w:val="24"/>
          <w:szCs w:val="24"/>
          <w:highlight w:val="none"/>
          <w:u w:val="single"/>
        </w:rPr>
      </w:pPr>
      <w:r>
        <w:rPr>
          <w:rFonts w:hint="eastAsia" w:hAnsi="宋体"/>
          <w:sz w:val="24"/>
          <w:szCs w:val="24"/>
          <w:highlight w:val="none"/>
        </w:rPr>
        <w:t>开户名称：</w:t>
      </w:r>
      <w:r>
        <w:rPr>
          <w:rFonts w:hint="eastAsia" w:hAnsi="宋体"/>
          <w:sz w:val="24"/>
          <w:szCs w:val="24"/>
          <w:highlight w:val="none"/>
          <w:u w:val="single"/>
        </w:rPr>
        <w:t xml:space="preserve">                                                    </w:t>
      </w:r>
    </w:p>
    <w:p>
      <w:pPr>
        <w:pStyle w:val="15"/>
        <w:spacing w:line="360" w:lineRule="exact"/>
        <w:ind w:firstLine="420"/>
        <w:rPr>
          <w:rFonts w:hAnsi="宋体"/>
          <w:sz w:val="24"/>
          <w:szCs w:val="24"/>
          <w:highlight w:val="none"/>
          <w:u w:val="single"/>
        </w:rPr>
      </w:pPr>
      <w:r>
        <w:rPr>
          <w:rFonts w:hint="eastAsia" w:hAnsi="宋体"/>
          <w:sz w:val="24"/>
          <w:szCs w:val="24"/>
          <w:highlight w:val="none"/>
        </w:rPr>
        <w:t>开户银行：</w:t>
      </w:r>
      <w:r>
        <w:rPr>
          <w:rFonts w:hint="eastAsia" w:hAnsi="宋体"/>
          <w:sz w:val="24"/>
          <w:szCs w:val="24"/>
          <w:highlight w:val="none"/>
          <w:u w:val="single"/>
        </w:rPr>
        <w:t xml:space="preserve">                                                    </w:t>
      </w:r>
    </w:p>
    <w:p>
      <w:pPr>
        <w:pStyle w:val="15"/>
        <w:spacing w:line="360" w:lineRule="exact"/>
        <w:ind w:firstLine="420"/>
        <w:rPr>
          <w:rFonts w:hAnsi="宋体"/>
          <w:sz w:val="24"/>
          <w:szCs w:val="24"/>
          <w:highlight w:val="none"/>
          <w:u w:val="single"/>
        </w:rPr>
      </w:pPr>
      <w:r>
        <w:rPr>
          <w:rFonts w:hint="eastAsia" w:hAnsi="宋体"/>
          <w:sz w:val="24"/>
          <w:szCs w:val="24"/>
          <w:highlight w:val="none"/>
        </w:rPr>
        <w:t>帐    号：</w:t>
      </w:r>
      <w:r>
        <w:rPr>
          <w:rFonts w:hint="eastAsia" w:hAnsi="宋体"/>
          <w:sz w:val="24"/>
          <w:szCs w:val="24"/>
          <w:highlight w:val="none"/>
          <w:u w:val="single"/>
        </w:rPr>
        <w:t xml:space="preserve">                                                    </w:t>
      </w:r>
    </w:p>
    <w:p>
      <w:pPr>
        <w:pStyle w:val="15"/>
        <w:spacing w:line="360" w:lineRule="exact"/>
        <w:ind w:firstLine="420"/>
        <w:rPr>
          <w:rFonts w:hAnsi="宋体"/>
          <w:sz w:val="24"/>
          <w:szCs w:val="24"/>
          <w:highlight w:val="none"/>
        </w:rPr>
      </w:pPr>
      <w:r>
        <w:rPr>
          <w:rFonts w:hint="eastAsia" w:hAnsi="宋体"/>
          <w:sz w:val="24"/>
          <w:szCs w:val="24"/>
          <w:highlight w:val="none"/>
        </w:rPr>
        <w:t>法定代表人：</w:t>
      </w:r>
      <w:r>
        <w:rPr>
          <w:rFonts w:hint="eastAsia" w:hAnsi="宋体"/>
          <w:sz w:val="24"/>
          <w:szCs w:val="24"/>
          <w:highlight w:val="none"/>
          <w:u w:val="single"/>
        </w:rPr>
        <w:t xml:space="preserve">    （电子签章）      </w:t>
      </w:r>
    </w:p>
    <w:p>
      <w:pPr>
        <w:pStyle w:val="15"/>
        <w:spacing w:line="360" w:lineRule="exact"/>
        <w:ind w:firstLine="420"/>
        <w:rPr>
          <w:rFonts w:hAnsi="宋体"/>
          <w:sz w:val="24"/>
          <w:szCs w:val="24"/>
          <w:highlight w:val="none"/>
        </w:rPr>
      </w:pPr>
      <w:r>
        <w:rPr>
          <w:rFonts w:hint="eastAsia" w:hAnsi="宋体"/>
          <w:sz w:val="24"/>
          <w:szCs w:val="24"/>
          <w:highlight w:val="none"/>
        </w:rPr>
        <w:t>投标人：</w:t>
      </w:r>
      <w:r>
        <w:rPr>
          <w:rFonts w:hint="eastAsia" w:hAnsi="宋体"/>
          <w:sz w:val="24"/>
          <w:szCs w:val="24"/>
          <w:highlight w:val="none"/>
          <w:u w:val="single"/>
        </w:rPr>
        <w:t xml:space="preserve">        （电子签章）      </w:t>
      </w:r>
    </w:p>
    <w:p>
      <w:pPr>
        <w:spacing w:line="360" w:lineRule="exact"/>
        <w:ind w:firstLine="424" w:firstLineChars="177"/>
        <w:rPr>
          <w:color w:val="auto"/>
        </w:rPr>
        <w:sectPr>
          <w:footerReference r:id="rId14" w:type="first"/>
          <w:headerReference r:id="rId11" w:type="default"/>
          <w:footerReference r:id="rId12" w:type="default"/>
          <w:footerReference r:id="rId13" w:type="even"/>
          <w:pgSz w:w="11906" w:h="16838"/>
          <w:pgMar w:top="1440" w:right="1080" w:bottom="1440" w:left="1080" w:header="1134" w:footer="720" w:gutter="0"/>
          <w:pgNumType w:fmt="decimal"/>
          <w:cols w:space="708" w:num="1"/>
          <w:titlePg/>
          <w:docGrid w:linePitch="331" w:charSpace="0"/>
        </w:sectPr>
      </w:pPr>
      <w:r>
        <w:rPr>
          <w:rFonts w:hint="eastAsia" w:hAnsi="宋体"/>
          <w:sz w:val="24"/>
          <w:highlight w:val="none"/>
        </w:rPr>
        <w:t>投标日期：</w:t>
      </w:r>
      <w:r>
        <w:rPr>
          <w:rFonts w:hint="eastAsia" w:hAnsi="宋体"/>
          <w:sz w:val="24"/>
          <w:highlight w:val="none"/>
          <w:u w:val="single"/>
        </w:rPr>
        <w:t xml:space="preserve">      </w:t>
      </w:r>
      <w:r>
        <w:rPr>
          <w:rFonts w:hint="eastAsia" w:hAnsi="宋体"/>
          <w:sz w:val="24"/>
          <w:highlight w:val="none"/>
        </w:rPr>
        <w:t>年</w:t>
      </w:r>
      <w:r>
        <w:rPr>
          <w:rFonts w:hint="eastAsia" w:hAnsi="宋体"/>
          <w:sz w:val="24"/>
          <w:highlight w:val="none"/>
          <w:u w:val="single"/>
        </w:rPr>
        <w:t xml:space="preserve">     </w:t>
      </w:r>
      <w:r>
        <w:rPr>
          <w:rFonts w:hint="eastAsia" w:hAnsi="宋体"/>
          <w:sz w:val="24"/>
          <w:highlight w:val="none"/>
        </w:rPr>
        <w:t>月</w:t>
      </w:r>
      <w:r>
        <w:rPr>
          <w:rFonts w:hint="eastAsia" w:hAnsi="宋体"/>
          <w:sz w:val="24"/>
          <w:highlight w:val="none"/>
          <w:u w:val="single"/>
        </w:rPr>
        <w:t xml:space="preserve">     </w:t>
      </w:r>
      <w:r>
        <w:rPr>
          <w:rFonts w:hint="eastAsia" w:hAnsi="宋体"/>
          <w:sz w:val="24"/>
          <w:highlight w:val="none"/>
        </w:rPr>
        <w:t>日</w:t>
      </w:r>
    </w:p>
    <w:p>
      <w:pPr>
        <w:pStyle w:val="15"/>
        <w:spacing w:line="500" w:lineRule="exact"/>
        <w:outlineLvl w:val="1"/>
        <w:rPr>
          <w:rFonts w:hAnsi="宋体" w:cs="宋体"/>
          <w:b/>
          <w:color w:val="auto"/>
          <w:sz w:val="24"/>
          <w:szCs w:val="24"/>
          <w:highlight w:val="none"/>
        </w:rPr>
      </w:pPr>
      <w:bookmarkStart w:id="70" w:name="_Toc5221"/>
      <w:r>
        <w:rPr>
          <w:rFonts w:hint="eastAsia" w:hAnsi="宋体" w:cs="宋体"/>
          <w:b/>
          <w:color w:val="auto"/>
          <w:sz w:val="24"/>
          <w:szCs w:val="24"/>
          <w:highlight w:val="none"/>
        </w:rPr>
        <w:t>格式3：法定代表人身份证明书</w:t>
      </w:r>
      <w:bookmarkEnd w:id="70"/>
    </w:p>
    <w:p>
      <w:pPr>
        <w:pStyle w:val="15"/>
        <w:spacing w:line="500" w:lineRule="exact"/>
        <w:rPr>
          <w:rFonts w:hAnsi="宋体" w:cs="宋体"/>
          <w:b/>
          <w:color w:val="auto"/>
          <w:sz w:val="28"/>
          <w:szCs w:val="28"/>
          <w:highlight w:val="none"/>
        </w:rPr>
      </w:pPr>
    </w:p>
    <w:p>
      <w:pPr>
        <w:jc w:val="center"/>
        <w:rPr>
          <w:rFonts w:ascii="宋体" w:hAnsi="宋体" w:cs="宋体"/>
          <w:color w:val="auto"/>
          <w:sz w:val="32"/>
          <w:szCs w:val="32"/>
          <w:highlight w:val="none"/>
        </w:rPr>
      </w:pPr>
      <w:bookmarkStart w:id="71" w:name="_Toc476856087"/>
      <w:bookmarkStart w:id="72" w:name="_Toc393354852"/>
      <w:bookmarkStart w:id="73" w:name="_Toc475291704"/>
      <w:r>
        <w:rPr>
          <w:rFonts w:hint="eastAsia" w:ascii="宋体" w:hAnsi="宋体" w:cs="宋体"/>
          <w:b/>
          <w:color w:val="auto"/>
          <w:sz w:val="32"/>
          <w:szCs w:val="32"/>
          <w:highlight w:val="none"/>
        </w:rPr>
        <w:t>法定代表人身份证明书</w:t>
      </w:r>
      <w:bookmarkEnd w:id="71"/>
      <w:bookmarkEnd w:id="72"/>
      <w:bookmarkEnd w:id="73"/>
    </w:p>
    <w:p>
      <w:pPr>
        <w:spacing w:line="440" w:lineRule="exact"/>
        <w:jc w:val="center"/>
        <w:rPr>
          <w:rFonts w:ascii="宋体" w:hAnsi="宋体" w:cs="宋体"/>
          <w:b/>
          <w:color w:val="auto"/>
          <w:sz w:val="30"/>
          <w:szCs w:val="30"/>
          <w:highlight w:val="none"/>
        </w:rPr>
      </w:pPr>
    </w:p>
    <w:p>
      <w:pP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投标人名称</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pPr>
        <w:spacing w:line="360" w:lineRule="auto"/>
        <w:rPr>
          <w:rFonts w:ascii="宋体" w:hAnsi="宋体" w:cs="宋体"/>
          <w:color w:val="auto"/>
          <w:szCs w:val="21"/>
          <w:highlight w:val="none"/>
        </w:rPr>
      </w:pPr>
      <w:r>
        <w:rPr>
          <w:rFonts w:hint="eastAsia" w:ascii="宋体" w:hAnsi="宋体" w:cs="宋体"/>
          <w:color w:val="auto"/>
          <w:szCs w:val="21"/>
          <w:highlight w:val="none"/>
        </w:rPr>
        <w:t>单位性质：</w:t>
      </w:r>
      <w:r>
        <w:rPr>
          <w:rFonts w:hint="eastAsia" w:ascii="宋体" w:hAnsi="宋体" w:cs="宋体"/>
          <w:color w:val="auto"/>
          <w:szCs w:val="21"/>
          <w:highlight w:val="none"/>
          <w:u w:val="single"/>
        </w:rPr>
        <w:t xml:space="preserve">                          </w:t>
      </w:r>
    </w:p>
    <w:p>
      <w:pPr>
        <w:spacing w:line="360" w:lineRule="auto"/>
        <w:rPr>
          <w:rFonts w:ascii="宋体" w:hAnsi="宋体" w:cs="宋体"/>
          <w:color w:val="auto"/>
          <w:szCs w:val="21"/>
          <w:highlight w:val="none"/>
        </w:rPr>
      </w:pPr>
      <w:r>
        <w:rPr>
          <w:rFonts w:hint="eastAsia" w:ascii="宋体" w:hAnsi="宋体" w:cs="宋体"/>
          <w:color w:val="auto"/>
          <w:szCs w:val="21"/>
          <w:highlight w:val="none"/>
        </w:rPr>
        <w:t>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spacing w:line="360" w:lineRule="auto"/>
        <w:rPr>
          <w:rFonts w:ascii="宋体" w:hAnsi="宋体" w:cs="宋体"/>
          <w:color w:val="auto"/>
          <w:szCs w:val="21"/>
          <w:highlight w:val="none"/>
        </w:rPr>
      </w:pPr>
      <w:r>
        <w:rPr>
          <w:rFonts w:hint="eastAsia" w:ascii="宋体" w:hAnsi="宋体" w:cs="宋体"/>
          <w:color w:val="auto"/>
          <w:szCs w:val="21"/>
          <w:highlight w:val="none"/>
        </w:rPr>
        <w:t>经营期限：</w:t>
      </w:r>
      <w:r>
        <w:rPr>
          <w:rFonts w:hint="eastAsia" w:ascii="宋体" w:hAnsi="宋体" w:cs="宋体"/>
          <w:color w:val="auto"/>
          <w:szCs w:val="21"/>
          <w:highlight w:val="none"/>
          <w:u w:val="single"/>
        </w:rPr>
        <w:t xml:space="preserve">                          </w:t>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w:t>
      </w:r>
    </w:p>
    <w:p>
      <w:pPr>
        <w:spacing w:line="360" w:lineRule="auto"/>
        <w:rPr>
          <w:rFonts w:ascii="宋体" w:hAnsi="宋体" w:cs="宋体"/>
          <w:color w:val="auto"/>
          <w:szCs w:val="21"/>
          <w:highlight w:val="none"/>
        </w:rPr>
      </w:pP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lang w:eastAsia="zh-CN"/>
        </w:rPr>
        <w:t>投标人名称</w:t>
      </w:r>
      <w:r>
        <w:rPr>
          <w:rFonts w:hint="eastAsia" w:ascii="宋体" w:hAnsi="宋体" w:cs="宋体"/>
          <w:color w:val="auto"/>
          <w:szCs w:val="21"/>
          <w:highlight w:val="none"/>
        </w:rPr>
        <w:t>）的法定代表人。</w:t>
      </w:r>
    </w:p>
    <w:p>
      <w:pPr>
        <w:spacing w:line="360" w:lineRule="auto"/>
        <w:rPr>
          <w:rFonts w:ascii="宋体" w:hAnsi="宋体" w:cs="宋体"/>
          <w:color w:val="auto"/>
          <w:szCs w:val="21"/>
          <w:highlight w:val="none"/>
        </w:rPr>
      </w:pPr>
    </w:p>
    <w:p>
      <w:pPr>
        <w:spacing w:line="360" w:lineRule="auto"/>
        <w:ind w:firstLine="420" w:firstLineChars="200"/>
        <w:rPr>
          <w:rFonts w:ascii="宋体" w:hAnsi="宋体" w:cs="宋体"/>
          <w:color w:val="auto"/>
          <w:szCs w:val="21"/>
          <w:highlight w:val="none"/>
        </w:rPr>
      </w:pP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特此证明。</w:t>
      </w:r>
    </w:p>
    <w:p>
      <w:pPr>
        <w:spacing w:line="360" w:lineRule="auto"/>
        <w:rPr>
          <w:rFonts w:ascii="宋体" w:hAnsi="宋体" w:cs="宋体"/>
          <w:color w:val="auto"/>
          <w:szCs w:val="21"/>
          <w:highlight w:val="none"/>
        </w:rPr>
      </w:pPr>
    </w:p>
    <w:p>
      <w:pPr>
        <w:spacing w:line="360" w:lineRule="auto"/>
        <w:rPr>
          <w:rFonts w:ascii="宋体" w:hAnsi="宋体" w:cs="宋体"/>
          <w:color w:val="auto"/>
          <w:szCs w:val="21"/>
          <w:highlight w:val="none"/>
        </w:rPr>
      </w:pPr>
    </w:p>
    <w:p>
      <w:pPr>
        <w:pStyle w:val="15"/>
        <w:spacing w:line="500" w:lineRule="exact"/>
        <w:ind w:firstLine="420"/>
        <w:rPr>
          <w:rFonts w:hAnsi="宋体" w:cs="宋体"/>
          <w:b/>
          <w:bCs/>
          <w:color w:val="auto"/>
          <w:szCs w:val="21"/>
          <w:highlight w:val="none"/>
        </w:rPr>
      </w:pPr>
      <w:r>
        <w:rPr>
          <w:rFonts w:hint="eastAsia" w:hAnsi="宋体" w:cs="宋体"/>
          <w:b/>
          <w:bCs/>
          <w:color w:val="auto"/>
          <w:szCs w:val="21"/>
          <w:highlight w:val="none"/>
        </w:rPr>
        <w:t>注:后附法定代表人身份证复印件。</w:t>
      </w:r>
    </w:p>
    <w:p>
      <w:pPr>
        <w:spacing w:line="360" w:lineRule="auto"/>
        <w:rPr>
          <w:rFonts w:ascii="宋体" w:hAnsi="宋体" w:cs="宋体"/>
          <w:color w:val="auto"/>
          <w:szCs w:val="21"/>
          <w:highlight w:val="none"/>
        </w:rPr>
      </w:pPr>
    </w:p>
    <w:p>
      <w:pPr>
        <w:spacing w:line="360" w:lineRule="auto"/>
        <w:rPr>
          <w:rFonts w:ascii="宋体" w:hAnsi="宋体" w:cs="宋体"/>
          <w:color w:val="auto"/>
          <w:szCs w:val="21"/>
          <w:highlight w:val="none"/>
        </w:rPr>
      </w:pPr>
    </w:p>
    <w:p>
      <w:pPr>
        <w:spacing w:line="360" w:lineRule="auto"/>
        <w:ind w:left="5397" w:leftChars="2570"/>
        <w:rPr>
          <w:rFonts w:ascii="宋体" w:hAnsi="宋体" w:cs="宋体"/>
          <w:color w:val="auto"/>
          <w:szCs w:val="21"/>
          <w:highlight w:val="none"/>
        </w:rPr>
      </w:pPr>
      <w:r>
        <w:rPr>
          <w:rFonts w:hint="eastAsia" w:ascii="宋体" w:hAnsi="宋体" w:cs="宋体"/>
          <w:color w:val="auto"/>
          <w:szCs w:val="21"/>
          <w:highlight w:val="none"/>
          <w:lang w:eastAsia="zh-CN"/>
        </w:rPr>
        <w:t>投标人名称</w:t>
      </w:r>
      <w:r>
        <w:rPr>
          <w:rFonts w:hint="eastAsia" w:ascii="宋体" w:hAnsi="宋体" w:cs="宋体"/>
          <w:color w:val="auto"/>
          <w:szCs w:val="21"/>
          <w:highlight w:val="none"/>
        </w:rPr>
        <w:t>：（电子签章）</w:t>
      </w:r>
    </w:p>
    <w:p>
      <w:pPr>
        <w:spacing w:line="360" w:lineRule="auto"/>
        <w:ind w:left="5397" w:leftChars="2570"/>
        <w:rPr>
          <w:rFonts w:ascii="宋体" w:hAnsi="宋体" w:cs="宋体"/>
          <w:color w:val="auto"/>
          <w:szCs w:val="21"/>
          <w:highlight w:val="none"/>
        </w:rPr>
      </w:pPr>
    </w:p>
    <w:p>
      <w:pPr>
        <w:spacing w:line="360" w:lineRule="auto"/>
        <w:ind w:left="5397" w:leftChars="2570"/>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spacing w:line="360" w:lineRule="auto"/>
        <w:rPr>
          <w:rFonts w:ascii="宋体" w:hAnsi="宋体" w:cs="宋体"/>
          <w:color w:val="auto"/>
          <w:szCs w:val="21"/>
          <w:highlight w:val="none"/>
        </w:rPr>
      </w:pPr>
    </w:p>
    <w:p>
      <w:pPr>
        <w:pStyle w:val="15"/>
        <w:spacing w:line="500" w:lineRule="exact"/>
        <w:outlineLvl w:val="1"/>
        <w:rPr>
          <w:rFonts w:hAnsi="宋体" w:cs="宋体"/>
          <w:b/>
          <w:color w:val="auto"/>
          <w:sz w:val="24"/>
          <w:szCs w:val="24"/>
          <w:highlight w:val="none"/>
        </w:rPr>
      </w:pPr>
      <w:r>
        <w:rPr>
          <w:rFonts w:hint="eastAsia" w:hAnsi="宋体" w:cs="宋体"/>
          <w:b/>
          <w:color w:val="auto"/>
          <w:szCs w:val="21"/>
          <w:highlight w:val="none"/>
        </w:rPr>
        <w:br w:type="page"/>
      </w:r>
      <w:bookmarkStart w:id="74" w:name="_Toc23218"/>
      <w:r>
        <w:rPr>
          <w:rFonts w:hint="eastAsia" w:hAnsi="宋体" w:cs="宋体"/>
          <w:b/>
          <w:color w:val="auto"/>
          <w:sz w:val="24"/>
          <w:szCs w:val="24"/>
          <w:highlight w:val="none"/>
        </w:rPr>
        <w:t>格式4：法定代表人授权委托书</w:t>
      </w:r>
      <w:bookmarkEnd w:id="74"/>
    </w:p>
    <w:p>
      <w:pPr>
        <w:pStyle w:val="15"/>
        <w:spacing w:line="500" w:lineRule="exact"/>
        <w:rPr>
          <w:rFonts w:hAnsi="宋体" w:cs="宋体"/>
          <w:b/>
          <w:color w:val="auto"/>
          <w:sz w:val="28"/>
          <w:szCs w:val="28"/>
          <w:highlight w:val="none"/>
        </w:rPr>
      </w:pPr>
    </w:p>
    <w:p>
      <w:pPr>
        <w:jc w:val="center"/>
        <w:rPr>
          <w:rFonts w:ascii="宋体" w:hAnsi="宋体" w:cs="宋体"/>
          <w:color w:val="auto"/>
          <w:sz w:val="32"/>
          <w:szCs w:val="32"/>
          <w:highlight w:val="none"/>
        </w:rPr>
      </w:pPr>
      <w:bookmarkStart w:id="75" w:name="_Toc476856088"/>
      <w:bookmarkStart w:id="76" w:name="_Toc475291705"/>
      <w:bookmarkStart w:id="77" w:name="_Toc393354853"/>
      <w:r>
        <w:rPr>
          <w:rFonts w:hint="eastAsia" w:ascii="宋体" w:hAnsi="宋体" w:cs="宋体"/>
          <w:b/>
          <w:color w:val="auto"/>
          <w:sz w:val="32"/>
          <w:szCs w:val="32"/>
          <w:highlight w:val="none"/>
        </w:rPr>
        <w:t>法定代表人授权委托书</w:t>
      </w:r>
      <w:bookmarkEnd w:id="75"/>
      <w:bookmarkEnd w:id="76"/>
      <w:bookmarkEnd w:id="77"/>
    </w:p>
    <w:p>
      <w:pPr>
        <w:pStyle w:val="15"/>
        <w:spacing w:line="500" w:lineRule="exact"/>
        <w:ind w:firstLine="480" w:firstLineChars="200"/>
        <w:rPr>
          <w:rFonts w:hAnsi="宋体" w:cs="宋体"/>
          <w:color w:val="auto"/>
          <w:sz w:val="24"/>
          <w:szCs w:val="24"/>
          <w:highlight w:val="none"/>
        </w:rPr>
      </w:pP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本授权书声明：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投标人名称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的法定代表人代表本公司授权</w:t>
      </w:r>
      <w:r>
        <w:rPr>
          <w:rFonts w:hint="eastAsia" w:ascii="宋体" w:hAnsi="宋体" w:cs="宋体"/>
          <w:color w:val="auto"/>
          <w:szCs w:val="21"/>
          <w:highlight w:val="none"/>
          <w:u w:val="single"/>
        </w:rPr>
        <w:t>（委托代理人姓名）</w:t>
      </w:r>
      <w:r>
        <w:rPr>
          <w:rFonts w:hint="eastAsia" w:ascii="宋体" w:hAnsi="宋体" w:cs="宋体"/>
          <w:color w:val="auto"/>
          <w:szCs w:val="21"/>
          <w:highlight w:val="none"/>
        </w:rPr>
        <w:t>为本公司合法代理人，就贵方组织的有关</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lang w:val="en-US" w:eastAsia="zh-CN"/>
        </w:rPr>
        <w:t>项目名称</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rPr>
        <w:t>的招标</w:t>
      </w:r>
      <w:r>
        <w:rPr>
          <w:rFonts w:hint="eastAsia" w:ascii="宋体" w:hAnsi="宋体" w:cs="宋体"/>
          <w:color w:val="auto"/>
          <w:szCs w:val="21"/>
          <w:highlight w:val="none"/>
          <w:lang w:val="en-US" w:eastAsia="zh-CN"/>
        </w:rPr>
        <w:t>采购</w:t>
      </w:r>
      <w:r>
        <w:rPr>
          <w:rFonts w:hint="eastAsia" w:ascii="宋体" w:hAnsi="宋体" w:cs="宋体"/>
          <w:color w:val="auto"/>
          <w:szCs w:val="21"/>
          <w:highlight w:val="none"/>
        </w:rPr>
        <w:t>，以本单位名义投标。代理人在本项目投标过程中所签署的一切文件和处理与之有关的一切事务，我方均予承认。</w:t>
      </w:r>
    </w:p>
    <w:p>
      <w:pPr>
        <w:pStyle w:val="15"/>
        <w:spacing w:line="480" w:lineRule="auto"/>
        <w:ind w:firstLine="420"/>
        <w:rPr>
          <w:rFonts w:hAnsi="宋体" w:cs="宋体"/>
          <w:color w:val="auto"/>
          <w:szCs w:val="21"/>
          <w:highlight w:val="none"/>
        </w:rPr>
      </w:pPr>
      <w:r>
        <w:rPr>
          <w:rFonts w:hint="eastAsia" w:hAnsi="宋体" w:cs="宋体"/>
          <w:color w:val="auto"/>
          <w:szCs w:val="21"/>
          <w:highlight w:val="none"/>
        </w:rPr>
        <w:t>代理人无转委托权。</w:t>
      </w:r>
    </w:p>
    <w:p>
      <w:pPr>
        <w:pStyle w:val="15"/>
        <w:spacing w:line="480" w:lineRule="auto"/>
        <w:ind w:firstLine="420"/>
        <w:rPr>
          <w:rFonts w:hAnsi="宋体" w:cs="宋体"/>
          <w:color w:val="auto"/>
          <w:szCs w:val="21"/>
          <w:highlight w:val="none"/>
        </w:rPr>
      </w:pPr>
    </w:p>
    <w:p>
      <w:pPr>
        <w:pStyle w:val="15"/>
        <w:spacing w:line="480" w:lineRule="auto"/>
        <w:ind w:firstLine="420"/>
        <w:rPr>
          <w:rFonts w:hAnsi="宋体" w:cs="宋体"/>
          <w:color w:val="auto"/>
          <w:szCs w:val="21"/>
          <w:highlight w:val="none"/>
        </w:rPr>
      </w:pPr>
    </w:p>
    <w:p>
      <w:pPr>
        <w:pStyle w:val="15"/>
        <w:spacing w:line="480" w:lineRule="auto"/>
        <w:ind w:firstLine="420"/>
        <w:rPr>
          <w:rFonts w:hint="default" w:hAnsi="宋体" w:eastAsia="宋体" w:cs="宋体"/>
          <w:color w:val="auto"/>
          <w:szCs w:val="21"/>
          <w:highlight w:val="none"/>
          <w:u w:val="single"/>
          <w:lang w:val="en-US" w:eastAsia="zh-CN"/>
        </w:rPr>
      </w:pPr>
      <w:r>
        <w:rPr>
          <w:rFonts w:hint="eastAsia" w:hAnsi="宋体" w:cs="宋体"/>
          <w:color w:val="auto"/>
          <w:szCs w:val="21"/>
          <w:highlight w:val="none"/>
          <w:lang w:eastAsia="zh-CN"/>
        </w:rPr>
        <w:t>投标人名称</w:t>
      </w:r>
      <w:r>
        <w:rPr>
          <w:rFonts w:hint="eastAsia" w:hAnsi="宋体" w:cs="宋体"/>
          <w:color w:val="auto"/>
          <w:szCs w:val="21"/>
          <w:highlight w:val="none"/>
        </w:rPr>
        <w:t>（电子签章）：</w:t>
      </w:r>
      <w:r>
        <w:rPr>
          <w:rFonts w:hint="eastAsia" w:hAnsi="宋体" w:cs="宋体"/>
          <w:color w:val="auto"/>
          <w:szCs w:val="21"/>
          <w:highlight w:val="none"/>
          <w:u w:val="single"/>
          <w:lang w:val="en-US" w:eastAsia="zh-CN"/>
        </w:rPr>
        <w:t xml:space="preserve">                     </w:t>
      </w:r>
    </w:p>
    <w:p>
      <w:pPr>
        <w:pStyle w:val="15"/>
        <w:spacing w:line="480" w:lineRule="auto"/>
        <w:ind w:firstLine="420"/>
        <w:rPr>
          <w:rFonts w:hAnsi="宋体" w:cs="宋体"/>
          <w:color w:val="auto"/>
          <w:szCs w:val="21"/>
          <w:highlight w:val="none"/>
        </w:rPr>
      </w:pPr>
      <w:r>
        <w:rPr>
          <w:rFonts w:hint="eastAsia" w:hAnsi="宋体" w:cs="宋体"/>
          <w:color w:val="auto"/>
          <w:szCs w:val="21"/>
          <w:highlight w:val="none"/>
        </w:rPr>
        <w:t>法定代表人（签字或电子签章）：</w:t>
      </w:r>
      <w:r>
        <w:rPr>
          <w:rFonts w:hint="eastAsia" w:hAnsi="宋体" w:cs="宋体"/>
          <w:color w:val="auto"/>
          <w:szCs w:val="21"/>
          <w:highlight w:val="none"/>
          <w:u w:val="single"/>
        </w:rPr>
        <w:t xml:space="preserve">                   </w:t>
      </w:r>
      <w:r>
        <w:rPr>
          <w:rFonts w:hint="eastAsia" w:hAnsi="宋体" w:cs="宋体"/>
          <w:color w:val="auto"/>
          <w:szCs w:val="21"/>
          <w:highlight w:val="none"/>
        </w:rPr>
        <w:t xml:space="preserve"> </w:t>
      </w:r>
      <w:r>
        <w:rPr>
          <w:rFonts w:hint="eastAsia" w:hAnsi="宋体" w:cs="宋体"/>
          <w:color w:val="auto"/>
          <w:szCs w:val="21"/>
          <w:highlight w:val="none"/>
          <w:bdr w:val="single" w:color="auto" w:sz="4" w:space="0"/>
        </w:rPr>
        <w:t xml:space="preserve">     </w:t>
      </w:r>
    </w:p>
    <w:p>
      <w:pPr>
        <w:pStyle w:val="15"/>
        <w:spacing w:line="480" w:lineRule="auto"/>
        <w:ind w:firstLine="525" w:firstLineChars="250"/>
        <w:jc w:val="left"/>
        <w:rPr>
          <w:rFonts w:hAnsi="宋体" w:cs="宋体"/>
          <w:color w:val="auto"/>
          <w:szCs w:val="21"/>
          <w:highlight w:val="none"/>
        </w:rPr>
      </w:pPr>
      <w:r>
        <w:rPr>
          <w:rFonts w:hint="eastAsia" w:hAnsi="宋体" w:cs="宋体"/>
          <w:color w:val="auto"/>
          <w:szCs w:val="21"/>
          <w:highlight w:val="none"/>
        </w:rPr>
        <w:t>签发日期：</w:t>
      </w:r>
    </w:p>
    <w:p>
      <w:pPr>
        <w:pStyle w:val="15"/>
        <w:spacing w:line="500" w:lineRule="exact"/>
        <w:rPr>
          <w:rFonts w:hAnsi="宋体" w:cs="宋体"/>
          <w:color w:val="auto"/>
          <w:szCs w:val="21"/>
          <w:highlight w:val="none"/>
        </w:rPr>
      </w:pPr>
      <w:r>
        <w:rPr>
          <w:rFonts w:hint="eastAsia" w:hAnsi="宋体" w:cs="宋体"/>
          <w:color w:val="auto"/>
          <w:szCs w:val="21"/>
          <w:highlight w:val="none"/>
        </w:rPr>
        <w:t>________________________________________________________________________________________</w:t>
      </w:r>
    </w:p>
    <w:tbl>
      <w:tblPr>
        <w:tblStyle w:val="30"/>
        <w:tblW w:w="0" w:type="auto"/>
        <w:tblInd w:w="720" w:type="dxa"/>
        <w:tblLayout w:type="fixed"/>
        <w:tblCellMar>
          <w:top w:w="0" w:type="dxa"/>
          <w:left w:w="108" w:type="dxa"/>
          <w:bottom w:w="0" w:type="dxa"/>
          <w:right w:w="108" w:type="dxa"/>
        </w:tblCellMar>
      </w:tblPr>
      <w:tblGrid>
        <w:gridCol w:w="3462"/>
        <w:gridCol w:w="4677"/>
      </w:tblGrid>
      <w:tr>
        <w:tblPrEx>
          <w:tblCellMar>
            <w:top w:w="0" w:type="dxa"/>
            <w:left w:w="108" w:type="dxa"/>
            <w:bottom w:w="0" w:type="dxa"/>
            <w:right w:w="108" w:type="dxa"/>
          </w:tblCellMar>
        </w:tblPrEx>
        <w:tc>
          <w:tcPr>
            <w:tcW w:w="3462" w:type="dxa"/>
            <w:tcBorders>
              <w:top w:val="nil"/>
              <w:left w:val="nil"/>
              <w:bottom w:val="nil"/>
              <w:right w:val="nil"/>
            </w:tcBorders>
          </w:tcPr>
          <w:p>
            <w:pPr>
              <w:pStyle w:val="15"/>
              <w:spacing w:line="500" w:lineRule="exact"/>
              <w:ind w:right="-705" w:rightChars="-336"/>
              <w:rPr>
                <w:rFonts w:hAnsi="宋体" w:cs="宋体"/>
                <w:color w:val="auto"/>
                <w:szCs w:val="21"/>
                <w:highlight w:val="none"/>
              </w:rPr>
            </w:pPr>
            <w:r>
              <w:rPr>
                <w:rFonts w:hint="eastAsia" w:hAnsi="宋体" w:cs="宋体"/>
                <w:color w:val="auto"/>
                <w:szCs w:val="21"/>
                <w:highlight w:val="none"/>
              </w:rPr>
              <w:t>附：委托代理人身份证复印件</w:t>
            </w:r>
          </w:p>
        </w:tc>
        <w:tc>
          <w:tcPr>
            <w:tcW w:w="4677" w:type="dxa"/>
            <w:tcBorders>
              <w:top w:val="nil"/>
              <w:left w:val="nil"/>
              <w:bottom w:val="nil"/>
              <w:right w:val="nil"/>
            </w:tcBorders>
          </w:tcPr>
          <w:p>
            <w:pPr>
              <w:pStyle w:val="15"/>
              <w:spacing w:line="500" w:lineRule="exact"/>
              <w:rPr>
                <w:rFonts w:hAnsi="宋体" w:cs="宋体"/>
                <w:color w:val="auto"/>
                <w:szCs w:val="21"/>
                <w:highlight w:val="none"/>
              </w:rPr>
            </w:pP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r>
              <w:rPr>
                <w:rFonts w:hint="eastAsia" w:hAnsi="宋体" w:cs="宋体"/>
                <w:color w:val="auto"/>
                <w:szCs w:val="21"/>
                <w:highlight w:val="none"/>
              </w:rPr>
              <w:tab/>
            </w:r>
          </w:p>
        </w:tc>
      </w:tr>
      <w:tr>
        <w:tblPrEx>
          <w:tblCellMar>
            <w:top w:w="0" w:type="dxa"/>
            <w:left w:w="108" w:type="dxa"/>
            <w:bottom w:w="0" w:type="dxa"/>
            <w:right w:w="108" w:type="dxa"/>
          </w:tblCellMar>
        </w:tblPrEx>
        <w:tc>
          <w:tcPr>
            <w:tcW w:w="3462" w:type="dxa"/>
            <w:tcBorders>
              <w:top w:val="nil"/>
              <w:left w:val="nil"/>
              <w:bottom w:val="nil"/>
              <w:right w:val="nil"/>
            </w:tcBorders>
          </w:tcPr>
          <w:p>
            <w:pPr>
              <w:pStyle w:val="15"/>
              <w:spacing w:line="500" w:lineRule="exact"/>
              <w:jc w:val="distribute"/>
              <w:rPr>
                <w:rFonts w:hAnsi="宋体" w:cs="宋体"/>
                <w:color w:val="auto"/>
                <w:szCs w:val="21"/>
                <w:highlight w:val="none"/>
                <w:u w:val="single"/>
              </w:rPr>
            </w:pPr>
            <w:r>
              <w:rPr>
                <w:rFonts w:hint="eastAsia" w:hAnsi="宋体" w:cs="宋体"/>
                <w:color w:val="auto"/>
                <w:szCs w:val="21"/>
                <w:highlight w:val="none"/>
              </w:rPr>
              <w:t>委托代理人姓名：</w:t>
            </w:r>
            <w:r>
              <w:rPr>
                <w:rFonts w:hint="eastAsia" w:hAnsi="宋体" w:cs="宋体"/>
                <w:color w:val="auto"/>
                <w:szCs w:val="21"/>
                <w:highlight w:val="none"/>
                <w:u w:val="single"/>
              </w:rPr>
              <w:t xml:space="preserve">          </w:t>
            </w:r>
          </w:p>
        </w:tc>
        <w:tc>
          <w:tcPr>
            <w:tcW w:w="4677" w:type="dxa"/>
            <w:tcBorders>
              <w:top w:val="nil"/>
              <w:left w:val="nil"/>
              <w:bottom w:val="nil"/>
              <w:right w:val="nil"/>
            </w:tcBorders>
          </w:tcPr>
          <w:p>
            <w:pPr>
              <w:pStyle w:val="15"/>
              <w:spacing w:line="500" w:lineRule="exact"/>
              <w:ind w:firstLine="2730" w:firstLineChars="1300"/>
              <w:rPr>
                <w:rFonts w:hAnsi="宋体" w:cs="宋体"/>
                <w:color w:val="auto"/>
                <w:szCs w:val="21"/>
                <w:highlight w:val="none"/>
                <w:u w:val="single"/>
              </w:rPr>
            </w:pPr>
            <w:r>
              <w:rPr>
                <w:rFonts w:hint="eastAsia" w:hAnsi="宋体" w:cs="宋体"/>
                <w:color w:val="auto"/>
                <w:szCs w:val="21"/>
                <w:highlight w:val="none"/>
              </w:rPr>
              <w:t>（</w:t>
            </w:r>
            <w:r>
              <w:rPr>
                <w:rFonts w:hint="eastAsia" w:hAnsi="宋体" w:cs="宋体"/>
                <w:color w:val="auto"/>
                <w:szCs w:val="21"/>
                <w:highlight w:val="none"/>
                <w:lang w:eastAsia="zh-CN"/>
              </w:rPr>
              <w:t>手写</w:t>
            </w:r>
            <w:r>
              <w:rPr>
                <w:rFonts w:hint="eastAsia" w:hAnsi="宋体" w:cs="宋体"/>
                <w:color w:val="auto"/>
                <w:szCs w:val="21"/>
                <w:highlight w:val="none"/>
              </w:rPr>
              <w:t>签名）</w:t>
            </w:r>
          </w:p>
        </w:tc>
      </w:tr>
      <w:tr>
        <w:tblPrEx>
          <w:tblCellMar>
            <w:top w:w="0" w:type="dxa"/>
            <w:left w:w="108" w:type="dxa"/>
            <w:bottom w:w="0" w:type="dxa"/>
            <w:right w:w="108" w:type="dxa"/>
          </w:tblCellMar>
        </w:tblPrEx>
        <w:tc>
          <w:tcPr>
            <w:tcW w:w="3462" w:type="dxa"/>
            <w:tcBorders>
              <w:top w:val="nil"/>
              <w:left w:val="nil"/>
              <w:bottom w:val="nil"/>
              <w:right w:val="nil"/>
            </w:tcBorders>
          </w:tcPr>
          <w:p>
            <w:pPr>
              <w:pStyle w:val="15"/>
              <w:spacing w:line="500" w:lineRule="exact"/>
              <w:jc w:val="distribute"/>
              <w:rPr>
                <w:rFonts w:hAnsi="宋体" w:cs="宋体"/>
                <w:color w:val="auto"/>
                <w:szCs w:val="21"/>
                <w:highlight w:val="none"/>
              </w:rPr>
            </w:pPr>
            <w:r>
              <w:rPr>
                <w:rFonts w:hint="eastAsia" w:hAnsi="宋体" w:cs="宋体"/>
                <w:color w:val="auto"/>
                <w:szCs w:val="21"/>
                <w:highlight w:val="none"/>
              </w:rPr>
              <w:t>职       务：</w:t>
            </w:r>
          </w:p>
        </w:tc>
        <w:tc>
          <w:tcPr>
            <w:tcW w:w="4677" w:type="dxa"/>
            <w:tcBorders>
              <w:top w:val="nil"/>
              <w:left w:val="nil"/>
              <w:bottom w:val="nil"/>
              <w:right w:val="nil"/>
            </w:tcBorders>
          </w:tcPr>
          <w:p>
            <w:pPr>
              <w:pStyle w:val="15"/>
              <w:spacing w:line="500" w:lineRule="exact"/>
              <w:rPr>
                <w:rFonts w:hAnsi="宋体" w:cs="宋体"/>
                <w:color w:val="auto"/>
                <w:szCs w:val="21"/>
                <w:highlight w:val="none"/>
              </w:rPr>
            </w:pPr>
          </w:p>
        </w:tc>
      </w:tr>
      <w:tr>
        <w:tblPrEx>
          <w:tblCellMar>
            <w:top w:w="0" w:type="dxa"/>
            <w:left w:w="108" w:type="dxa"/>
            <w:bottom w:w="0" w:type="dxa"/>
            <w:right w:w="108" w:type="dxa"/>
          </w:tblCellMar>
        </w:tblPrEx>
        <w:tc>
          <w:tcPr>
            <w:tcW w:w="3462" w:type="dxa"/>
            <w:tcBorders>
              <w:top w:val="nil"/>
              <w:left w:val="nil"/>
              <w:bottom w:val="nil"/>
              <w:right w:val="nil"/>
            </w:tcBorders>
          </w:tcPr>
          <w:p>
            <w:pPr>
              <w:pStyle w:val="15"/>
              <w:spacing w:line="500" w:lineRule="exact"/>
              <w:jc w:val="distribute"/>
              <w:rPr>
                <w:rFonts w:hAnsi="宋体" w:cs="宋体"/>
                <w:color w:val="auto"/>
                <w:szCs w:val="21"/>
                <w:highlight w:val="none"/>
              </w:rPr>
            </w:pPr>
            <w:r>
              <w:rPr>
                <w:rFonts w:hint="eastAsia" w:hAnsi="宋体" w:cs="宋体"/>
                <w:color w:val="auto"/>
                <w:szCs w:val="21"/>
                <w:highlight w:val="none"/>
              </w:rPr>
              <w:t>身份证号码：</w:t>
            </w:r>
          </w:p>
        </w:tc>
        <w:tc>
          <w:tcPr>
            <w:tcW w:w="4677" w:type="dxa"/>
            <w:tcBorders>
              <w:top w:val="nil"/>
              <w:left w:val="nil"/>
              <w:bottom w:val="nil"/>
              <w:right w:val="nil"/>
            </w:tcBorders>
          </w:tcPr>
          <w:p>
            <w:pPr>
              <w:pStyle w:val="15"/>
              <w:spacing w:line="500" w:lineRule="exact"/>
              <w:rPr>
                <w:rFonts w:hAnsi="宋体" w:cs="宋体"/>
                <w:color w:val="auto"/>
                <w:szCs w:val="21"/>
                <w:highlight w:val="none"/>
              </w:rPr>
            </w:pPr>
          </w:p>
        </w:tc>
      </w:tr>
      <w:tr>
        <w:tblPrEx>
          <w:tblCellMar>
            <w:top w:w="0" w:type="dxa"/>
            <w:left w:w="108" w:type="dxa"/>
            <w:bottom w:w="0" w:type="dxa"/>
            <w:right w:w="108" w:type="dxa"/>
          </w:tblCellMar>
        </w:tblPrEx>
        <w:tc>
          <w:tcPr>
            <w:tcW w:w="3462" w:type="dxa"/>
            <w:tcBorders>
              <w:top w:val="nil"/>
              <w:left w:val="nil"/>
              <w:bottom w:val="nil"/>
              <w:right w:val="nil"/>
            </w:tcBorders>
          </w:tcPr>
          <w:p>
            <w:pPr>
              <w:pStyle w:val="15"/>
              <w:spacing w:line="500" w:lineRule="exact"/>
              <w:jc w:val="distribute"/>
              <w:rPr>
                <w:rFonts w:hAnsi="宋体" w:cs="宋体"/>
                <w:color w:val="auto"/>
                <w:szCs w:val="21"/>
                <w:highlight w:val="none"/>
              </w:rPr>
            </w:pPr>
            <w:r>
              <w:rPr>
                <w:rFonts w:hint="eastAsia" w:hAnsi="宋体" w:cs="宋体"/>
                <w:color w:val="auto"/>
                <w:szCs w:val="21"/>
                <w:highlight w:val="none"/>
              </w:rPr>
              <w:t>电       话：</w:t>
            </w:r>
          </w:p>
        </w:tc>
        <w:tc>
          <w:tcPr>
            <w:tcW w:w="4677" w:type="dxa"/>
            <w:tcBorders>
              <w:top w:val="nil"/>
              <w:left w:val="nil"/>
              <w:bottom w:val="nil"/>
              <w:right w:val="nil"/>
            </w:tcBorders>
          </w:tcPr>
          <w:p>
            <w:pPr>
              <w:pStyle w:val="15"/>
              <w:spacing w:line="500" w:lineRule="exact"/>
              <w:rPr>
                <w:rFonts w:hAnsi="宋体" w:cs="宋体"/>
                <w:color w:val="auto"/>
                <w:szCs w:val="21"/>
                <w:highlight w:val="none"/>
              </w:rPr>
            </w:pPr>
          </w:p>
        </w:tc>
      </w:tr>
    </w:tbl>
    <w:p>
      <w:pPr>
        <w:pStyle w:val="15"/>
        <w:spacing w:line="500" w:lineRule="exact"/>
        <w:ind w:firstLine="420"/>
        <w:rPr>
          <w:rFonts w:hAnsi="宋体" w:cs="宋体"/>
          <w:color w:val="auto"/>
          <w:szCs w:val="21"/>
          <w:highlight w:val="none"/>
        </w:rPr>
      </w:pPr>
    </w:p>
    <w:p>
      <w:pPr>
        <w:pStyle w:val="15"/>
        <w:spacing w:line="500" w:lineRule="exact"/>
        <w:ind w:firstLine="420"/>
        <w:rPr>
          <w:rFonts w:hAnsi="宋体" w:cs="宋体"/>
          <w:color w:val="auto"/>
          <w:szCs w:val="21"/>
          <w:highlight w:val="none"/>
        </w:rPr>
      </w:pPr>
    </w:p>
    <w:p>
      <w:pPr>
        <w:pStyle w:val="15"/>
        <w:spacing w:line="500" w:lineRule="exact"/>
        <w:ind w:firstLine="400" w:firstLineChars="200"/>
        <w:rPr>
          <w:rFonts w:hAnsi="宋体" w:cs="宋体"/>
          <w:b/>
          <w:bCs/>
          <w:color w:val="auto"/>
          <w:sz w:val="20"/>
          <w:szCs w:val="21"/>
          <w:highlight w:val="none"/>
        </w:rPr>
      </w:pPr>
      <w:r>
        <w:rPr>
          <w:rFonts w:hint="eastAsia" w:hAnsi="宋体" w:cs="宋体"/>
          <w:b/>
          <w:bCs/>
          <w:color w:val="auto"/>
          <w:sz w:val="20"/>
          <w:szCs w:val="21"/>
          <w:highlight w:val="none"/>
        </w:rPr>
        <w:t>注：1.由法人签署投标文件的无需授权；</w:t>
      </w:r>
    </w:p>
    <w:p>
      <w:pPr>
        <w:pStyle w:val="15"/>
        <w:spacing w:line="500" w:lineRule="exact"/>
        <w:ind w:firstLine="400" w:firstLineChars="200"/>
        <w:rPr>
          <w:rFonts w:hint="eastAsia" w:hAnsi="宋体" w:cs="宋体"/>
          <w:b/>
          <w:bCs/>
          <w:color w:val="auto"/>
          <w:sz w:val="20"/>
          <w:szCs w:val="21"/>
          <w:highlight w:val="none"/>
        </w:rPr>
      </w:pPr>
      <w:r>
        <w:rPr>
          <w:rFonts w:hint="eastAsia" w:hAnsi="宋体" w:cs="宋体"/>
          <w:b/>
          <w:bCs/>
          <w:color w:val="auto"/>
          <w:sz w:val="20"/>
          <w:szCs w:val="21"/>
          <w:highlight w:val="none"/>
          <w:lang w:val="en-US" w:eastAsia="zh-CN"/>
        </w:rPr>
        <w:t>2</w:t>
      </w:r>
      <w:r>
        <w:rPr>
          <w:rFonts w:hint="eastAsia" w:hAnsi="宋体" w:cs="宋体"/>
          <w:b/>
          <w:bCs/>
          <w:color w:val="auto"/>
          <w:sz w:val="20"/>
          <w:szCs w:val="21"/>
          <w:highlight w:val="none"/>
        </w:rPr>
        <w:t>.本格式需要投标人先打印，然后委托代理人签字扫描上传电子投标文件格式中最后再签章。</w:t>
      </w:r>
    </w:p>
    <w:p>
      <w:pPr>
        <w:pStyle w:val="15"/>
        <w:spacing w:line="500" w:lineRule="exact"/>
        <w:outlineLvl w:val="1"/>
        <w:rPr>
          <w:rFonts w:hAnsi="宋体" w:cs="宋体"/>
          <w:b/>
          <w:color w:val="auto"/>
          <w:sz w:val="24"/>
          <w:szCs w:val="24"/>
          <w:highlight w:val="none"/>
        </w:rPr>
      </w:pPr>
      <w:r>
        <w:rPr>
          <w:rFonts w:hint="eastAsia" w:hAnsi="宋体" w:cs="宋体"/>
          <w:color w:val="auto"/>
          <w:sz w:val="24"/>
          <w:highlight w:val="none"/>
        </w:rPr>
        <w:br w:type="page"/>
      </w:r>
      <w:bookmarkStart w:id="78" w:name="_Toc26192"/>
      <w:r>
        <w:rPr>
          <w:rFonts w:hint="eastAsia" w:hAnsi="宋体" w:cs="宋体"/>
          <w:b/>
          <w:color w:val="auto"/>
          <w:sz w:val="24"/>
          <w:szCs w:val="24"/>
          <w:highlight w:val="none"/>
        </w:rPr>
        <w:t>格式5：合同履约承诺书</w:t>
      </w:r>
      <w:bookmarkEnd w:id="78"/>
    </w:p>
    <w:p>
      <w:pPr>
        <w:pStyle w:val="15"/>
        <w:spacing w:line="500" w:lineRule="exact"/>
        <w:rPr>
          <w:rFonts w:hAnsi="宋体" w:cs="宋体"/>
          <w:b/>
          <w:color w:val="auto"/>
          <w:sz w:val="28"/>
          <w:szCs w:val="28"/>
          <w:highlight w:val="none"/>
        </w:rPr>
      </w:pPr>
    </w:p>
    <w:p>
      <w:pPr>
        <w:jc w:val="center"/>
        <w:rPr>
          <w:rFonts w:ascii="宋体" w:hAnsi="宋体" w:cs="宋体"/>
          <w:color w:val="auto"/>
          <w:sz w:val="32"/>
          <w:szCs w:val="32"/>
          <w:highlight w:val="none"/>
        </w:rPr>
      </w:pPr>
      <w:r>
        <w:rPr>
          <w:rFonts w:hint="eastAsia" w:ascii="宋体" w:hAnsi="宋体" w:cs="宋体"/>
          <w:b/>
          <w:color w:val="auto"/>
          <w:sz w:val="32"/>
          <w:szCs w:val="32"/>
          <w:highlight w:val="none"/>
        </w:rPr>
        <w:t>合同履约承诺书</w:t>
      </w:r>
    </w:p>
    <w:p>
      <w:pPr>
        <w:spacing w:line="360" w:lineRule="auto"/>
        <w:jc w:val="left"/>
        <w:textAlignment w:val="top"/>
        <w:rPr>
          <w:rFonts w:ascii="宋体" w:hAnsi="宋体" w:cs="宋体"/>
          <w:color w:val="auto"/>
          <w:sz w:val="24"/>
          <w:highlight w:val="none"/>
        </w:rPr>
      </w:pPr>
    </w:p>
    <w:p>
      <w:pPr>
        <w:spacing w:line="360" w:lineRule="auto"/>
        <w:jc w:val="left"/>
        <w:textAlignment w:val="top"/>
        <w:rPr>
          <w:rFonts w:ascii="宋体" w:hAnsi="宋体" w:cs="宋体"/>
          <w:color w:val="auto"/>
          <w:highlight w:val="none"/>
        </w:rPr>
      </w:pPr>
      <w:r>
        <w:rPr>
          <w:rFonts w:hint="eastAsia" w:ascii="宋体" w:hAnsi="宋体" w:cs="宋体"/>
          <w:color w:val="auto"/>
          <w:highlight w:val="none"/>
        </w:rPr>
        <w:t>致：</w:t>
      </w:r>
      <w:r>
        <w:rPr>
          <w:rFonts w:hint="eastAsia" w:hAnsi="宋体" w:cs="宋体"/>
          <w:color w:val="auto"/>
          <w:szCs w:val="21"/>
          <w:highlight w:val="none"/>
          <w:u w:val="single"/>
          <w:lang w:eastAsia="zh-CN"/>
        </w:rPr>
        <w:t>（</w:t>
      </w:r>
      <w:r>
        <w:rPr>
          <w:rFonts w:hint="eastAsia" w:hAnsi="宋体" w:cs="宋体"/>
          <w:color w:val="auto"/>
          <w:szCs w:val="21"/>
          <w:highlight w:val="none"/>
          <w:u w:val="single"/>
          <w:lang w:val="en-US" w:eastAsia="zh-CN"/>
        </w:rPr>
        <w:t>采购人名称</w:t>
      </w:r>
      <w:r>
        <w:rPr>
          <w:rFonts w:hint="eastAsia" w:hAnsi="宋体" w:cs="宋体"/>
          <w:color w:val="auto"/>
          <w:szCs w:val="21"/>
          <w:highlight w:val="none"/>
          <w:u w:val="single"/>
          <w:lang w:eastAsia="zh-CN"/>
        </w:rPr>
        <w:t>）</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pPr>
        <w:spacing w:line="360" w:lineRule="auto"/>
        <w:ind w:firstLine="420"/>
        <w:jc w:val="left"/>
        <w:textAlignment w:val="top"/>
        <w:rPr>
          <w:rFonts w:ascii="宋体" w:hAnsi="宋体" w:cs="宋体"/>
          <w:color w:val="auto"/>
          <w:highlight w:val="none"/>
        </w:rPr>
      </w:pPr>
      <w:r>
        <w:rPr>
          <w:rFonts w:hint="eastAsia" w:ascii="宋体" w:hAnsi="宋体" w:cs="宋体"/>
          <w:color w:val="auto"/>
          <w:highlight w:val="none"/>
        </w:rPr>
        <w:t>若我公司有幸成为本项目中标</w:t>
      </w:r>
      <w:r>
        <w:rPr>
          <w:rFonts w:hint="eastAsia" w:ascii="宋体" w:hAnsi="宋体" w:cs="宋体"/>
          <w:color w:val="auto"/>
          <w:highlight w:val="none"/>
          <w:lang w:eastAsia="zh-CN"/>
        </w:rPr>
        <w:t>投标人</w:t>
      </w:r>
      <w:r>
        <w:rPr>
          <w:rFonts w:hint="eastAsia" w:ascii="宋体" w:hAnsi="宋体" w:cs="宋体"/>
          <w:color w:val="auto"/>
          <w:highlight w:val="none"/>
        </w:rPr>
        <w:t>，我公司对下列内容进行无条件承诺：</w:t>
      </w:r>
    </w:p>
    <w:p>
      <w:pPr>
        <w:snapToGrid w:val="0"/>
        <w:spacing w:line="480" w:lineRule="exact"/>
        <w:ind w:firstLine="555"/>
        <w:rPr>
          <w:rFonts w:ascii="宋体" w:hAnsi="宋体" w:cs="宋体"/>
          <w:color w:val="auto"/>
          <w:highlight w:val="none"/>
        </w:rPr>
      </w:pPr>
      <w:r>
        <w:rPr>
          <w:rFonts w:hint="eastAsia" w:ascii="宋体" w:hAnsi="宋体" w:cs="宋体"/>
          <w:color w:val="auto"/>
          <w:highlight w:val="none"/>
        </w:rPr>
        <w:t>(一)我单位已详细阅读并完全理解、同意《</w:t>
      </w:r>
      <w:r>
        <w:rPr>
          <w:rFonts w:hint="eastAsia" w:ascii="宋体" w:hAnsi="宋体" w:cs="宋体"/>
          <w:color w:val="auto"/>
          <w:highlight w:val="none"/>
          <w:lang w:eastAsia="zh-CN"/>
        </w:rPr>
        <w:t>采购文件</w:t>
      </w:r>
      <w:r>
        <w:rPr>
          <w:rFonts w:hint="eastAsia" w:ascii="宋体" w:hAnsi="宋体" w:cs="宋体"/>
          <w:color w:val="auto"/>
          <w:highlight w:val="none"/>
        </w:rPr>
        <w:t>》的全部内容，包括修改补充文件以及全部参考资料和有关附件；除在《</w:t>
      </w:r>
      <w:r>
        <w:rPr>
          <w:rFonts w:hint="eastAsia" w:ascii="宋体" w:hAnsi="宋体" w:cs="宋体"/>
          <w:color w:val="auto"/>
          <w:highlight w:val="none"/>
          <w:lang w:eastAsia="zh-CN"/>
        </w:rPr>
        <w:t>采购文件</w:t>
      </w:r>
      <w:r>
        <w:rPr>
          <w:rFonts w:hint="eastAsia" w:ascii="宋体" w:hAnsi="宋体" w:cs="宋体"/>
          <w:color w:val="auto"/>
          <w:highlight w:val="none"/>
        </w:rPr>
        <w:t>》规定期间内书面提出的疑问外，我单位严格按</w:t>
      </w:r>
      <w:r>
        <w:rPr>
          <w:rFonts w:hint="eastAsia" w:ascii="宋体" w:hAnsi="宋体" w:cs="宋体"/>
          <w:color w:val="auto"/>
          <w:highlight w:val="none"/>
          <w:lang w:eastAsia="zh-CN"/>
        </w:rPr>
        <w:t>采购文件</w:t>
      </w:r>
      <w:r>
        <w:rPr>
          <w:rFonts w:hint="eastAsia" w:ascii="宋体" w:hAnsi="宋体" w:cs="宋体"/>
          <w:color w:val="auto"/>
          <w:highlight w:val="none"/>
        </w:rPr>
        <w:t>确定的技术及商务要求等履行。</w:t>
      </w:r>
    </w:p>
    <w:p>
      <w:pPr>
        <w:tabs>
          <w:tab w:val="left" w:pos="9354"/>
        </w:tabs>
        <w:snapToGrid w:val="0"/>
        <w:spacing w:line="480" w:lineRule="exact"/>
        <w:ind w:firstLine="420" w:firstLineChars="200"/>
        <w:rPr>
          <w:rFonts w:ascii="宋体" w:hAnsi="宋体" w:cs="宋体"/>
          <w:color w:val="auto"/>
          <w:highlight w:val="none"/>
        </w:rPr>
      </w:pPr>
      <w:r>
        <w:rPr>
          <w:rFonts w:hint="eastAsia" w:ascii="宋体" w:hAnsi="宋体" w:cs="宋体"/>
          <w:color w:val="auto"/>
          <w:highlight w:val="none"/>
        </w:rPr>
        <w:t>(二)按招标要求编制投标报价；我单位的投标报价包括《</w:t>
      </w:r>
      <w:r>
        <w:rPr>
          <w:rFonts w:hint="eastAsia" w:ascii="宋体" w:hAnsi="宋体" w:cs="宋体"/>
          <w:color w:val="auto"/>
          <w:highlight w:val="none"/>
          <w:lang w:eastAsia="zh-CN"/>
        </w:rPr>
        <w:t>采购文件</w:t>
      </w:r>
      <w:r>
        <w:rPr>
          <w:rFonts w:hint="eastAsia" w:ascii="宋体" w:hAnsi="宋体" w:cs="宋体"/>
          <w:color w:val="auto"/>
          <w:highlight w:val="none"/>
        </w:rPr>
        <w:t>》所述报价组成的所有内容、并包括《</w:t>
      </w:r>
      <w:r>
        <w:rPr>
          <w:rFonts w:hint="eastAsia" w:ascii="宋体" w:hAnsi="宋体" w:cs="宋体"/>
          <w:color w:val="auto"/>
          <w:highlight w:val="none"/>
          <w:lang w:eastAsia="zh-CN"/>
        </w:rPr>
        <w:t>采购文件</w:t>
      </w:r>
      <w:r>
        <w:rPr>
          <w:rFonts w:hint="eastAsia" w:ascii="宋体" w:hAnsi="宋体" w:cs="宋体"/>
          <w:color w:val="auto"/>
          <w:highlight w:val="none"/>
        </w:rPr>
        <w:t>》未列明而与采购项目相关的、必须的所有款项及费用等达到交付使用及验收条件的所有一切风险、责任和义务的费用。</w:t>
      </w:r>
    </w:p>
    <w:p>
      <w:pPr>
        <w:tabs>
          <w:tab w:val="left" w:pos="9354"/>
        </w:tabs>
        <w:snapToGrid w:val="0"/>
        <w:spacing w:line="480" w:lineRule="exact"/>
        <w:ind w:firstLine="420" w:firstLineChars="200"/>
        <w:rPr>
          <w:rFonts w:ascii="宋体" w:hAnsi="宋体" w:cs="宋体"/>
          <w:color w:val="auto"/>
          <w:highlight w:val="none"/>
        </w:rPr>
      </w:pPr>
      <w:r>
        <w:rPr>
          <w:rFonts w:hint="eastAsia" w:ascii="宋体" w:hAnsi="宋体" w:cs="宋体"/>
          <w:color w:val="auto"/>
          <w:highlight w:val="none"/>
        </w:rPr>
        <w:t>我单位确认本次投标报价未低于成本价，保证按《</w:t>
      </w:r>
      <w:r>
        <w:rPr>
          <w:rFonts w:hint="eastAsia" w:ascii="宋体" w:hAnsi="宋体" w:cs="宋体"/>
          <w:color w:val="auto"/>
          <w:highlight w:val="none"/>
          <w:lang w:eastAsia="zh-CN"/>
        </w:rPr>
        <w:t>采购文件</w:t>
      </w:r>
      <w:r>
        <w:rPr>
          <w:rFonts w:hint="eastAsia" w:ascii="宋体" w:hAnsi="宋体" w:cs="宋体"/>
          <w:color w:val="auto"/>
          <w:highlight w:val="none"/>
        </w:rPr>
        <w:t>》要求及投标承诺的质量诚信履约。</w:t>
      </w:r>
    </w:p>
    <w:p>
      <w:pPr>
        <w:tabs>
          <w:tab w:val="left" w:pos="9354"/>
        </w:tabs>
        <w:snapToGrid w:val="0"/>
        <w:spacing w:line="480" w:lineRule="exact"/>
        <w:ind w:firstLine="420" w:firstLineChars="200"/>
        <w:rPr>
          <w:rFonts w:ascii="宋体" w:hAnsi="宋体" w:cs="宋体"/>
          <w:color w:val="auto"/>
          <w:highlight w:val="none"/>
        </w:rPr>
      </w:pPr>
      <w:r>
        <w:rPr>
          <w:rFonts w:hint="eastAsia" w:ascii="宋体" w:hAnsi="宋体" w:cs="宋体"/>
          <w:color w:val="auto"/>
          <w:highlight w:val="none"/>
        </w:rPr>
        <w:t>(三)我单位保证在《</w:t>
      </w:r>
      <w:r>
        <w:rPr>
          <w:rFonts w:hint="eastAsia" w:ascii="宋体" w:hAnsi="宋体" w:cs="宋体"/>
          <w:color w:val="auto"/>
          <w:highlight w:val="none"/>
          <w:lang w:eastAsia="zh-CN"/>
        </w:rPr>
        <w:t>采购文件</w:t>
      </w:r>
      <w:r>
        <w:rPr>
          <w:rFonts w:hint="eastAsia" w:ascii="宋体" w:hAnsi="宋体" w:cs="宋体"/>
          <w:color w:val="auto"/>
          <w:highlight w:val="none"/>
        </w:rPr>
        <w:t>》要求的时间内按期、保质完成中标项目。如我单位中标，将在中标结果公示后，积极、主动的与招标单位联系合同签订事宜，合同签订中如有任何的问题，我单位保证及时书面反映情况，否则视为我单位责任，按违约处理。</w:t>
      </w:r>
    </w:p>
    <w:p>
      <w:pPr>
        <w:spacing w:line="360" w:lineRule="auto"/>
        <w:ind w:firstLine="420" w:firstLineChars="200"/>
        <w:jc w:val="left"/>
        <w:textAlignment w:val="top"/>
        <w:rPr>
          <w:rFonts w:ascii="宋体" w:hAnsi="宋体" w:cs="宋体"/>
          <w:b/>
          <w:color w:val="auto"/>
          <w:highlight w:val="none"/>
        </w:rPr>
      </w:pPr>
    </w:p>
    <w:p>
      <w:pPr>
        <w:spacing w:line="360" w:lineRule="auto"/>
        <w:ind w:firstLine="420" w:firstLineChars="200"/>
        <w:jc w:val="left"/>
        <w:textAlignment w:val="top"/>
        <w:rPr>
          <w:rFonts w:ascii="宋体" w:hAnsi="宋体" w:cs="宋体"/>
          <w:b/>
          <w:color w:val="auto"/>
          <w:highlight w:val="none"/>
        </w:rPr>
      </w:pPr>
    </w:p>
    <w:p>
      <w:pPr>
        <w:spacing w:line="360" w:lineRule="auto"/>
        <w:ind w:firstLine="420" w:firstLineChars="200"/>
        <w:jc w:val="left"/>
        <w:textAlignment w:val="top"/>
        <w:rPr>
          <w:rFonts w:ascii="宋体" w:hAnsi="宋体" w:cs="宋体"/>
          <w:color w:val="auto"/>
          <w:highlight w:val="none"/>
        </w:rPr>
      </w:pPr>
    </w:p>
    <w:p>
      <w:pPr>
        <w:spacing w:line="360" w:lineRule="auto"/>
        <w:ind w:firstLine="525"/>
        <w:jc w:val="left"/>
        <w:textAlignment w:val="top"/>
        <w:rPr>
          <w:rFonts w:ascii="宋体" w:hAnsi="宋体" w:cs="宋体"/>
          <w:color w:val="auto"/>
          <w:highlight w:val="none"/>
        </w:rPr>
      </w:pPr>
    </w:p>
    <w:p>
      <w:pPr>
        <w:pStyle w:val="15"/>
        <w:spacing w:line="360" w:lineRule="auto"/>
        <w:ind w:firstLine="315" w:firstLineChars="150"/>
        <w:rPr>
          <w:rFonts w:hAnsi="宋体" w:cs="宋体"/>
          <w:color w:val="auto"/>
          <w:szCs w:val="21"/>
          <w:highlight w:val="none"/>
        </w:rPr>
      </w:pPr>
      <w:r>
        <w:rPr>
          <w:rFonts w:hint="eastAsia" w:hAnsi="宋体" w:cs="宋体"/>
          <w:color w:val="auto"/>
          <w:szCs w:val="21"/>
          <w:highlight w:val="none"/>
          <w:lang w:eastAsia="zh-CN"/>
        </w:rPr>
        <w:t>投标人名称</w:t>
      </w:r>
      <w:r>
        <w:rPr>
          <w:rFonts w:hint="eastAsia" w:hAnsi="宋体" w:cs="宋体"/>
          <w:color w:val="auto"/>
          <w:szCs w:val="21"/>
          <w:highlight w:val="none"/>
        </w:rPr>
        <w:t>（电子签章）：</w:t>
      </w:r>
    </w:p>
    <w:p>
      <w:pPr>
        <w:pStyle w:val="15"/>
        <w:spacing w:line="360" w:lineRule="auto"/>
        <w:ind w:firstLine="315" w:firstLineChars="150"/>
        <w:rPr>
          <w:rFonts w:hAnsi="宋体" w:cs="宋体"/>
          <w:color w:val="auto"/>
          <w:szCs w:val="21"/>
          <w:highlight w:val="none"/>
        </w:rPr>
      </w:pPr>
      <w:r>
        <w:rPr>
          <w:rFonts w:hint="eastAsia" w:hAnsi="宋体" w:cs="宋体"/>
          <w:color w:val="auto"/>
          <w:szCs w:val="21"/>
          <w:highlight w:val="none"/>
        </w:rPr>
        <w:t>法定代表人或其委托代理人（签字或电子签章）：</w:t>
      </w:r>
    </w:p>
    <w:p>
      <w:pPr>
        <w:spacing w:line="360" w:lineRule="auto"/>
        <w:ind w:firstLine="315" w:firstLineChars="150"/>
        <w:jc w:val="left"/>
        <w:rPr>
          <w:rFonts w:ascii="宋体" w:hAnsi="宋体" w:cs="宋体"/>
          <w:color w:val="auto"/>
          <w:szCs w:val="21"/>
          <w:highlight w:val="none"/>
        </w:rPr>
      </w:pPr>
      <w:r>
        <w:rPr>
          <w:rFonts w:hint="eastAsia" w:ascii="宋体" w:hAnsi="宋体" w:cs="宋体"/>
          <w:color w:val="auto"/>
          <w:szCs w:val="21"/>
          <w:highlight w:val="none"/>
        </w:rPr>
        <w:t>日期：　　　</w:t>
      </w:r>
    </w:p>
    <w:p>
      <w:pPr>
        <w:spacing w:line="360" w:lineRule="auto"/>
        <w:ind w:firstLine="315" w:firstLineChars="150"/>
        <w:jc w:val="left"/>
        <w:rPr>
          <w:rFonts w:ascii="宋体" w:hAnsi="宋体" w:cs="宋体"/>
          <w:color w:val="auto"/>
          <w:szCs w:val="21"/>
          <w:highlight w:val="none"/>
        </w:rPr>
      </w:pPr>
    </w:p>
    <w:p>
      <w:pPr>
        <w:spacing w:line="360" w:lineRule="auto"/>
        <w:ind w:firstLine="315" w:firstLineChars="150"/>
        <w:jc w:val="left"/>
        <w:rPr>
          <w:rFonts w:ascii="宋体" w:hAnsi="宋体" w:cs="宋体"/>
          <w:color w:val="auto"/>
          <w:highlight w:val="none"/>
        </w:rPr>
      </w:pPr>
    </w:p>
    <w:p>
      <w:pPr>
        <w:spacing w:line="360" w:lineRule="auto"/>
        <w:jc w:val="center"/>
        <w:rPr>
          <w:rFonts w:ascii="宋体" w:hAnsi="宋体" w:cs="宋体"/>
          <w:color w:val="auto"/>
          <w:highlight w:val="none"/>
        </w:rPr>
      </w:pPr>
    </w:p>
    <w:p>
      <w:pPr>
        <w:jc w:val="center"/>
        <w:rPr>
          <w:rFonts w:ascii="宋体" w:hAnsi="宋体" w:cs="宋体"/>
          <w:color w:val="auto"/>
          <w:highlight w:val="none"/>
        </w:rPr>
      </w:pPr>
    </w:p>
    <w:p>
      <w:pPr>
        <w:jc w:val="center"/>
        <w:rPr>
          <w:rFonts w:ascii="宋体" w:hAnsi="宋体" w:cs="宋体"/>
          <w:color w:val="auto"/>
          <w:highlight w:val="none"/>
        </w:rPr>
      </w:pPr>
    </w:p>
    <w:p>
      <w:pPr>
        <w:jc w:val="center"/>
        <w:rPr>
          <w:rFonts w:ascii="宋体" w:hAnsi="宋体" w:cs="宋体"/>
          <w:color w:val="auto"/>
          <w:highlight w:val="none"/>
        </w:rPr>
      </w:pPr>
    </w:p>
    <w:p>
      <w:pPr>
        <w:jc w:val="center"/>
        <w:rPr>
          <w:rFonts w:ascii="宋体" w:hAnsi="宋体" w:cs="宋体"/>
          <w:color w:val="auto"/>
          <w:highlight w:val="none"/>
        </w:rPr>
      </w:pPr>
    </w:p>
    <w:p>
      <w:pPr>
        <w:pStyle w:val="15"/>
        <w:spacing w:line="360" w:lineRule="auto"/>
        <w:outlineLvl w:val="1"/>
        <w:rPr>
          <w:rFonts w:hAnsi="宋体" w:cs="宋体"/>
          <w:b/>
          <w:color w:val="auto"/>
          <w:sz w:val="28"/>
          <w:szCs w:val="28"/>
          <w:highlight w:val="none"/>
        </w:rPr>
      </w:pPr>
      <w:r>
        <w:rPr>
          <w:rFonts w:hint="eastAsia" w:hAnsi="宋体" w:cs="宋体"/>
          <w:color w:val="auto"/>
          <w:szCs w:val="21"/>
          <w:highlight w:val="none"/>
        </w:rPr>
        <w:br w:type="page"/>
      </w:r>
      <w:bookmarkStart w:id="79" w:name="_Toc487365949"/>
      <w:bookmarkStart w:id="80" w:name="_Toc5654"/>
      <w:r>
        <w:rPr>
          <w:rFonts w:hint="eastAsia" w:hAnsi="宋体" w:cs="宋体"/>
          <w:b/>
          <w:color w:val="auto"/>
          <w:sz w:val="24"/>
          <w:szCs w:val="24"/>
          <w:highlight w:val="none"/>
        </w:rPr>
        <w:t>格式6：</w:t>
      </w:r>
      <w:bookmarkEnd w:id="79"/>
      <w:r>
        <w:rPr>
          <w:rFonts w:hint="eastAsia" w:hAnsi="宋体" w:cs="宋体"/>
          <w:b/>
          <w:color w:val="auto"/>
          <w:sz w:val="24"/>
          <w:szCs w:val="24"/>
          <w:highlight w:val="none"/>
        </w:rPr>
        <w:t>中小企业优惠政策</w:t>
      </w:r>
      <w:bookmarkEnd w:id="80"/>
    </w:p>
    <w:p>
      <w:pPr>
        <w:pStyle w:val="15"/>
        <w:spacing w:line="600" w:lineRule="exact"/>
        <w:jc w:val="left"/>
        <w:rPr>
          <w:rFonts w:hAnsi="宋体" w:cs="宋体"/>
          <w:b/>
          <w:color w:val="auto"/>
          <w:sz w:val="28"/>
          <w:szCs w:val="28"/>
          <w:highlight w:val="none"/>
        </w:rPr>
      </w:pPr>
    </w:p>
    <w:p>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（一）中小企业声明函（货物）</w:t>
      </w:r>
    </w:p>
    <w:p>
      <w:pPr>
        <w:pStyle w:val="25"/>
        <w:snapToGrid w:val="0"/>
        <w:spacing w:before="0" w:beforeAutospacing="0" w:after="0" w:afterAutospacing="0" w:line="480" w:lineRule="auto"/>
        <w:ind w:right="37" w:rightChars="18" w:firstLine="440" w:firstLineChars="200"/>
        <w:rPr>
          <w:rFonts w:cs="宋体"/>
          <w:color w:val="auto"/>
          <w:sz w:val="22"/>
          <w:szCs w:val="22"/>
          <w:highlight w:val="none"/>
        </w:rPr>
      </w:pPr>
      <w:r>
        <w:rPr>
          <w:rFonts w:cs="宋体"/>
          <w:color w:val="auto"/>
          <w:sz w:val="22"/>
          <w:szCs w:val="22"/>
          <w:highlight w:val="none"/>
        </w:rPr>
        <w:t>中小企业声明函（货物）本公司（联合体）郑重声明，根据《政府采购促进中小企业发展管理办法》（财库﹝2020﹞46 号）的规定，本公司（联合体）参加</w:t>
      </w:r>
      <w:r>
        <w:rPr>
          <w:rFonts w:cs="宋体"/>
          <w:color w:val="auto"/>
          <w:sz w:val="22"/>
          <w:szCs w:val="22"/>
          <w:highlight w:val="none"/>
          <w:u w:val="single"/>
        </w:rPr>
        <w:t>（单位名称）</w:t>
      </w:r>
      <w:r>
        <w:rPr>
          <w:rFonts w:cs="宋体"/>
          <w:color w:val="auto"/>
          <w:sz w:val="22"/>
          <w:szCs w:val="22"/>
          <w:highlight w:val="none"/>
        </w:rPr>
        <w:t>的</w:t>
      </w:r>
      <w:r>
        <w:rPr>
          <w:rFonts w:hint="eastAsia" w:cs="宋体"/>
          <w:color w:val="auto"/>
          <w:sz w:val="22"/>
          <w:szCs w:val="22"/>
          <w:highlight w:val="none"/>
          <w:u w:val="single"/>
          <w:lang w:eastAsia="zh-CN"/>
        </w:rPr>
        <w:t>（</w:t>
      </w:r>
      <w:r>
        <w:rPr>
          <w:rFonts w:hint="eastAsia" w:cs="宋体"/>
          <w:color w:val="auto"/>
          <w:sz w:val="22"/>
          <w:szCs w:val="22"/>
          <w:highlight w:val="none"/>
          <w:u w:val="single"/>
          <w:lang w:val="en-US" w:eastAsia="zh-CN"/>
        </w:rPr>
        <w:t>项目名称</w:t>
      </w:r>
      <w:r>
        <w:rPr>
          <w:rFonts w:hint="eastAsia" w:cs="宋体"/>
          <w:color w:val="auto"/>
          <w:sz w:val="22"/>
          <w:szCs w:val="22"/>
          <w:highlight w:val="none"/>
          <w:u w:val="single"/>
          <w:lang w:eastAsia="zh-CN"/>
        </w:rPr>
        <w:t>）</w:t>
      </w:r>
      <w:r>
        <w:rPr>
          <w:rFonts w:cs="宋体"/>
          <w:color w:val="auto"/>
          <w:sz w:val="22"/>
          <w:szCs w:val="22"/>
          <w:highlight w:val="none"/>
        </w:rPr>
        <w:t xml:space="preserve">采购活动，提供的货物全部由符合政策要求的中小企业制造。相关企业 （含联合体中的中小企业、签订分包意向协议的中小企业） 的具体情况如下： </w:t>
      </w:r>
    </w:p>
    <w:p>
      <w:pPr>
        <w:pStyle w:val="25"/>
        <w:numPr>
          <w:ilvl w:val="0"/>
          <w:numId w:val="3"/>
        </w:numPr>
        <w:snapToGrid w:val="0"/>
        <w:spacing w:before="0" w:beforeAutospacing="0" w:after="0" w:afterAutospacing="0" w:line="480" w:lineRule="auto"/>
        <w:ind w:right="37" w:rightChars="18" w:firstLine="440" w:firstLineChars="200"/>
        <w:rPr>
          <w:rFonts w:cs="宋体"/>
          <w:color w:val="auto"/>
          <w:sz w:val="22"/>
          <w:szCs w:val="22"/>
          <w:highlight w:val="none"/>
        </w:rPr>
      </w:pPr>
      <w:r>
        <w:rPr>
          <w:rFonts w:cs="宋体"/>
          <w:color w:val="auto"/>
          <w:sz w:val="22"/>
          <w:szCs w:val="22"/>
          <w:highlight w:val="none"/>
          <w:u w:val="single"/>
        </w:rPr>
        <w:t>（标的名称）</w:t>
      </w:r>
      <w:r>
        <w:rPr>
          <w:rFonts w:cs="宋体"/>
          <w:color w:val="auto"/>
          <w:sz w:val="22"/>
          <w:szCs w:val="22"/>
          <w:highlight w:val="none"/>
        </w:rPr>
        <w:t xml:space="preserve"> ，属于</w:t>
      </w:r>
      <w:r>
        <w:rPr>
          <w:rFonts w:hint="eastAsia" w:cs="宋体"/>
          <w:color w:val="auto"/>
          <w:sz w:val="22"/>
          <w:szCs w:val="22"/>
          <w:highlight w:val="none"/>
          <w:u w:val="single"/>
        </w:rPr>
        <w:t>制造业</w:t>
      </w:r>
      <w:r>
        <w:rPr>
          <w:rFonts w:cs="宋体"/>
          <w:color w:val="auto"/>
          <w:sz w:val="22"/>
          <w:szCs w:val="22"/>
          <w:highlight w:val="none"/>
        </w:rPr>
        <w:t>；制造商为</w:t>
      </w:r>
      <w:r>
        <w:rPr>
          <w:rFonts w:cs="宋体"/>
          <w:color w:val="auto"/>
          <w:sz w:val="22"/>
          <w:szCs w:val="22"/>
          <w:highlight w:val="none"/>
          <w:u w:val="single"/>
        </w:rPr>
        <w:t>（企业名称）</w:t>
      </w:r>
      <w:r>
        <w:rPr>
          <w:rFonts w:cs="宋体"/>
          <w:color w:val="auto"/>
          <w:sz w:val="22"/>
          <w:szCs w:val="22"/>
          <w:highlight w:val="none"/>
        </w:rPr>
        <w:t>，从业人员</w:t>
      </w:r>
      <w:r>
        <w:rPr>
          <w:rFonts w:cs="宋体"/>
          <w:color w:val="auto"/>
          <w:sz w:val="22"/>
          <w:szCs w:val="22"/>
          <w:highlight w:val="none"/>
          <w:u w:val="single"/>
        </w:rPr>
        <w:t xml:space="preserve"> </w:t>
      </w:r>
      <w:r>
        <w:rPr>
          <w:rFonts w:hint="eastAsia" w:cs="宋体"/>
          <w:color w:val="auto"/>
          <w:sz w:val="22"/>
          <w:szCs w:val="22"/>
          <w:highlight w:val="none"/>
          <w:u w:val="single"/>
        </w:rPr>
        <w:t xml:space="preserve">   </w:t>
      </w:r>
      <w:r>
        <w:rPr>
          <w:rFonts w:cs="宋体"/>
          <w:color w:val="auto"/>
          <w:sz w:val="22"/>
          <w:szCs w:val="22"/>
          <w:highlight w:val="none"/>
        </w:rPr>
        <w:t>人，营业收入为</w:t>
      </w:r>
      <w:r>
        <w:rPr>
          <w:rFonts w:hint="eastAsia" w:cs="宋体"/>
          <w:color w:val="auto"/>
          <w:sz w:val="22"/>
          <w:szCs w:val="22"/>
          <w:highlight w:val="none"/>
          <w:u w:val="single"/>
        </w:rPr>
        <w:t xml:space="preserve">   </w:t>
      </w:r>
      <w:r>
        <w:rPr>
          <w:rFonts w:cs="宋体"/>
          <w:color w:val="auto"/>
          <w:sz w:val="22"/>
          <w:szCs w:val="22"/>
          <w:highlight w:val="none"/>
          <w:u w:val="single"/>
        </w:rPr>
        <w:t xml:space="preserve"> </w:t>
      </w:r>
      <w:r>
        <w:rPr>
          <w:rFonts w:cs="宋体"/>
          <w:color w:val="auto"/>
          <w:sz w:val="22"/>
          <w:szCs w:val="22"/>
          <w:highlight w:val="none"/>
        </w:rPr>
        <w:t>万元，资产总额为</w:t>
      </w:r>
      <w:r>
        <w:rPr>
          <w:rFonts w:hint="eastAsia" w:cs="宋体"/>
          <w:color w:val="auto"/>
          <w:sz w:val="22"/>
          <w:szCs w:val="22"/>
          <w:highlight w:val="none"/>
          <w:u w:val="single"/>
        </w:rPr>
        <w:t xml:space="preserve">    </w:t>
      </w:r>
      <w:r>
        <w:rPr>
          <w:rFonts w:cs="宋体"/>
          <w:color w:val="auto"/>
          <w:sz w:val="22"/>
          <w:szCs w:val="22"/>
          <w:highlight w:val="none"/>
        </w:rPr>
        <w:t>万元，属于</w:t>
      </w:r>
      <w:r>
        <w:rPr>
          <w:rFonts w:cs="宋体"/>
          <w:color w:val="auto"/>
          <w:sz w:val="22"/>
          <w:szCs w:val="22"/>
          <w:highlight w:val="none"/>
          <w:u w:val="single"/>
        </w:rPr>
        <w:t>（中型企业、小型企业、微型企业）</w:t>
      </w:r>
      <w:r>
        <w:rPr>
          <w:rFonts w:cs="宋体"/>
          <w:color w:val="auto"/>
          <w:sz w:val="22"/>
          <w:szCs w:val="22"/>
          <w:highlight w:val="none"/>
        </w:rPr>
        <w:t xml:space="preserve">； </w:t>
      </w:r>
    </w:p>
    <w:p>
      <w:pPr>
        <w:pStyle w:val="25"/>
        <w:numPr>
          <w:ilvl w:val="0"/>
          <w:numId w:val="3"/>
        </w:numPr>
        <w:snapToGrid w:val="0"/>
        <w:spacing w:before="0" w:beforeAutospacing="0" w:after="0" w:afterAutospacing="0" w:line="480" w:lineRule="auto"/>
        <w:ind w:right="37" w:rightChars="18" w:firstLine="440" w:firstLineChars="200"/>
        <w:rPr>
          <w:rFonts w:cs="宋体"/>
          <w:color w:val="auto"/>
          <w:sz w:val="22"/>
          <w:szCs w:val="22"/>
          <w:highlight w:val="none"/>
        </w:rPr>
      </w:pPr>
      <w:r>
        <w:rPr>
          <w:rFonts w:cs="宋体"/>
          <w:color w:val="auto"/>
          <w:sz w:val="22"/>
          <w:szCs w:val="22"/>
          <w:highlight w:val="none"/>
          <w:u w:val="single"/>
        </w:rPr>
        <w:t>（标的名称）</w:t>
      </w:r>
      <w:r>
        <w:rPr>
          <w:rFonts w:cs="宋体"/>
          <w:color w:val="auto"/>
          <w:sz w:val="22"/>
          <w:szCs w:val="22"/>
          <w:highlight w:val="none"/>
        </w:rPr>
        <w:t xml:space="preserve"> ，属于</w:t>
      </w:r>
      <w:r>
        <w:rPr>
          <w:rFonts w:hint="eastAsia" w:cs="宋体"/>
          <w:color w:val="auto"/>
          <w:sz w:val="22"/>
          <w:szCs w:val="22"/>
          <w:highlight w:val="none"/>
          <w:u w:val="single"/>
        </w:rPr>
        <w:t>制造业</w:t>
      </w:r>
      <w:r>
        <w:rPr>
          <w:rFonts w:cs="宋体"/>
          <w:color w:val="auto"/>
          <w:sz w:val="22"/>
          <w:szCs w:val="22"/>
          <w:highlight w:val="none"/>
        </w:rPr>
        <w:t>；制造商为</w:t>
      </w:r>
      <w:r>
        <w:rPr>
          <w:rFonts w:cs="宋体"/>
          <w:color w:val="auto"/>
          <w:sz w:val="22"/>
          <w:szCs w:val="22"/>
          <w:highlight w:val="none"/>
          <w:u w:val="single"/>
        </w:rPr>
        <w:t>（企业名称）</w:t>
      </w:r>
      <w:r>
        <w:rPr>
          <w:rFonts w:cs="宋体"/>
          <w:color w:val="auto"/>
          <w:sz w:val="22"/>
          <w:szCs w:val="22"/>
          <w:highlight w:val="none"/>
        </w:rPr>
        <w:t>，从业人员</w:t>
      </w:r>
      <w:r>
        <w:rPr>
          <w:rFonts w:hint="eastAsia" w:cs="宋体"/>
          <w:color w:val="auto"/>
          <w:sz w:val="22"/>
          <w:szCs w:val="22"/>
          <w:highlight w:val="none"/>
          <w:u w:val="single"/>
        </w:rPr>
        <w:t xml:space="preserve">    </w:t>
      </w:r>
      <w:r>
        <w:rPr>
          <w:rFonts w:cs="宋体"/>
          <w:color w:val="auto"/>
          <w:sz w:val="22"/>
          <w:szCs w:val="22"/>
          <w:highlight w:val="none"/>
        </w:rPr>
        <w:t>人，营业收入为</w:t>
      </w:r>
      <w:r>
        <w:rPr>
          <w:rFonts w:hint="eastAsia" w:cs="宋体"/>
          <w:color w:val="auto"/>
          <w:sz w:val="22"/>
          <w:szCs w:val="22"/>
          <w:highlight w:val="none"/>
          <w:u w:val="single"/>
        </w:rPr>
        <w:t xml:space="preserve">    </w:t>
      </w:r>
      <w:r>
        <w:rPr>
          <w:rFonts w:cs="宋体"/>
          <w:color w:val="auto"/>
          <w:sz w:val="22"/>
          <w:szCs w:val="22"/>
          <w:highlight w:val="none"/>
        </w:rPr>
        <w:t>万元，资产总额为</w:t>
      </w:r>
      <w:r>
        <w:rPr>
          <w:rFonts w:hint="eastAsia" w:cs="宋体"/>
          <w:color w:val="auto"/>
          <w:sz w:val="22"/>
          <w:szCs w:val="22"/>
          <w:highlight w:val="none"/>
          <w:u w:val="single"/>
        </w:rPr>
        <w:t xml:space="preserve">    </w:t>
      </w:r>
      <w:r>
        <w:rPr>
          <w:rFonts w:cs="宋体"/>
          <w:color w:val="auto"/>
          <w:sz w:val="22"/>
          <w:szCs w:val="22"/>
          <w:highlight w:val="none"/>
        </w:rPr>
        <w:t>万元，属于</w:t>
      </w:r>
      <w:r>
        <w:rPr>
          <w:rFonts w:cs="宋体"/>
          <w:color w:val="auto"/>
          <w:sz w:val="22"/>
          <w:szCs w:val="22"/>
          <w:highlight w:val="none"/>
          <w:u w:val="single"/>
        </w:rPr>
        <w:t>（中型企业、小型企业、微型企业）</w:t>
      </w:r>
      <w:r>
        <w:rPr>
          <w:rFonts w:cs="宋体"/>
          <w:color w:val="auto"/>
          <w:sz w:val="22"/>
          <w:szCs w:val="22"/>
          <w:highlight w:val="none"/>
        </w:rPr>
        <w:t>；</w:t>
      </w:r>
    </w:p>
    <w:p>
      <w:pPr>
        <w:pStyle w:val="25"/>
        <w:snapToGrid w:val="0"/>
        <w:spacing w:before="0" w:beforeAutospacing="0" w:after="0" w:afterAutospacing="0" w:line="480" w:lineRule="auto"/>
        <w:ind w:right="37" w:rightChars="18" w:firstLine="418" w:firstLineChars="190"/>
        <w:rPr>
          <w:rFonts w:cs="宋体"/>
          <w:color w:val="auto"/>
          <w:sz w:val="22"/>
          <w:szCs w:val="22"/>
          <w:highlight w:val="none"/>
        </w:rPr>
      </w:pPr>
      <w:r>
        <w:rPr>
          <w:rFonts w:cs="宋体"/>
          <w:color w:val="auto"/>
          <w:sz w:val="22"/>
          <w:szCs w:val="22"/>
          <w:highlight w:val="none"/>
        </w:rPr>
        <w:t xml:space="preserve"> …… </w:t>
      </w:r>
    </w:p>
    <w:p>
      <w:pPr>
        <w:pStyle w:val="25"/>
        <w:snapToGrid w:val="0"/>
        <w:spacing w:before="0" w:beforeAutospacing="0" w:after="0" w:afterAutospacing="0" w:line="480" w:lineRule="auto"/>
        <w:ind w:right="37" w:rightChars="18" w:firstLine="418" w:firstLineChars="190"/>
        <w:rPr>
          <w:rFonts w:cs="宋体"/>
          <w:color w:val="auto"/>
          <w:sz w:val="22"/>
          <w:szCs w:val="22"/>
          <w:highlight w:val="none"/>
        </w:rPr>
      </w:pPr>
      <w:r>
        <w:rPr>
          <w:rFonts w:cs="宋体"/>
          <w:color w:val="auto"/>
          <w:sz w:val="22"/>
          <w:szCs w:val="22"/>
          <w:highlight w:val="none"/>
        </w:rPr>
        <w:t xml:space="preserve">以上企业，不属于大企业的分支机构，不存在控股股东为大企业的情形，也不存在与大企业的负责人为同一人的情形。 </w:t>
      </w:r>
    </w:p>
    <w:p>
      <w:pPr>
        <w:pStyle w:val="25"/>
        <w:snapToGrid w:val="0"/>
        <w:spacing w:before="0" w:beforeAutospacing="0" w:after="0" w:afterAutospacing="0" w:line="480" w:lineRule="auto"/>
        <w:ind w:right="37" w:rightChars="18" w:firstLine="418" w:firstLineChars="190"/>
        <w:rPr>
          <w:rFonts w:cs="宋体"/>
          <w:color w:val="auto"/>
          <w:sz w:val="22"/>
          <w:szCs w:val="22"/>
          <w:highlight w:val="none"/>
        </w:rPr>
      </w:pPr>
      <w:r>
        <w:rPr>
          <w:rFonts w:cs="宋体"/>
          <w:color w:val="auto"/>
          <w:sz w:val="22"/>
          <w:szCs w:val="22"/>
          <w:highlight w:val="none"/>
        </w:rPr>
        <w:t>本企业对上述声明内容的真实性负责。如有虚假，将依法承担相应责任。</w:t>
      </w:r>
    </w:p>
    <w:p>
      <w:pPr>
        <w:pStyle w:val="25"/>
        <w:snapToGrid w:val="0"/>
        <w:spacing w:before="0" w:beforeAutospacing="0" w:after="0" w:afterAutospacing="0" w:line="480" w:lineRule="auto"/>
        <w:ind w:right="37" w:rightChars="18" w:firstLine="418" w:firstLineChars="190"/>
        <w:rPr>
          <w:rFonts w:cs="宋体"/>
          <w:color w:val="auto"/>
          <w:sz w:val="22"/>
          <w:szCs w:val="22"/>
          <w:highlight w:val="none"/>
        </w:rPr>
      </w:pPr>
    </w:p>
    <w:p>
      <w:pPr>
        <w:pStyle w:val="25"/>
        <w:snapToGrid w:val="0"/>
        <w:spacing w:before="0" w:beforeAutospacing="0" w:after="0" w:afterAutospacing="0" w:line="480" w:lineRule="auto"/>
        <w:ind w:right="37" w:rightChars="18" w:firstLine="418" w:firstLineChars="190"/>
        <w:rPr>
          <w:rFonts w:cs="宋体"/>
          <w:color w:val="auto"/>
          <w:sz w:val="22"/>
          <w:szCs w:val="22"/>
          <w:highlight w:val="none"/>
        </w:rPr>
      </w:pPr>
      <w:r>
        <w:rPr>
          <w:rFonts w:hint="eastAsia" w:cs="宋体"/>
          <w:color w:val="auto"/>
          <w:sz w:val="22"/>
          <w:szCs w:val="22"/>
          <w:highlight w:val="none"/>
          <w:lang w:eastAsia="zh-CN"/>
        </w:rPr>
        <w:t>投标人名称</w:t>
      </w:r>
      <w:r>
        <w:rPr>
          <w:rFonts w:hint="eastAsia" w:cs="宋体"/>
          <w:color w:val="auto"/>
          <w:sz w:val="22"/>
          <w:szCs w:val="22"/>
          <w:highlight w:val="none"/>
        </w:rPr>
        <w:t>（电子签章）：</w:t>
      </w:r>
    </w:p>
    <w:p>
      <w:pPr>
        <w:pStyle w:val="25"/>
        <w:snapToGrid w:val="0"/>
        <w:spacing w:before="0" w:beforeAutospacing="0" w:after="0" w:afterAutospacing="0" w:line="480" w:lineRule="auto"/>
        <w:ind w:right="37" w:rightChars="18" w:firstLine="418" w:firstLineChars="190"/>
        <w:rPr>
          <w:rFonts w:cs="宋体"/>
          <w:color w:val="auto"/>
          <w:sz w:val="22"/>
          <w:szCs w:val="22"/>
          <w:highlight w:val="none"/>
        </w:rPr>
      </w:pPr>
      <w:r>
        <w:rPr>
          <w:rFonts w:hint="eastAsia" w:cs="宋体"/>
          <w:color w:val="auto"/>
          <w:sz w:val="22"/>
          <w:szCs w:val="22"/>
          <w:highlight w:val="none"/>
        </w:rPr>
        <w:t>法定代表人或其委托代理人（签字或电子签章）：</w:t>
      </w:r>
    </w:p>
    <w:p>
      <w:pPr>
        <w:pStyle w:val="25"/>
        <w:snapToGrid w:val="0"/>
        <w:spacing w:before="0" w:beforeAutospacing="0" w:after="0" w:afterAutospacing="0" w:line="480" w:lineRule="auto"/>
        <w:ind w:right="37" w:rightChars="18" w:firstLine="418" w:firstLineChars="190"/>
        <w:rPr>
          <w:rFonts w:cs="宋体"/>
          <w:color w:val="auto"/>
          <w:sz w:val="22"/>
          <w:szCs w:val="22"/>
          <w:highlight w:val="none"/>
        </w:rPr>
      </w:pPr>
      <w:r>
        <w:rPr>
          <w:rFonts w:hint="eastAsia" w:cs="宋体"/>
          <w:color w:val="auto"/>
          <w:sz w:val="22"/>
          <w:szCs w:val="22"/>
          <w:highlight w:val="none"/>
        </w:rPr>
        <w:t>日期：</w:t>
      </w:r>
    </w:p>
    <w:p>
      <w:pPr>
        <w:pStyle w:val="25"/>
        <w:snapToGrid w:val="0"/>
        <w:spacing w:before="0" w:beforeAutospacing="0" w:after="0" w:afterAutospacing="0" w:line="480" w:lineRule="auto"/>
        <w:ind w:right="37" w:rightChars="18" w:firstLine="418" w:firstLineChars="190"/>
        <w:rPr>
          <w:rFonts w:cs="宋体"/>
          <w:color w:val="auto"/>
          <w:sz w:val="22"/>
          <w:szCs w:val="22"/>
          <w:highlight w:val="none"/>
        </w:rPr>
      </w:pPr>
    </w:p>
    <w:p>
      <w:pPr>
        <w:spacing w:line="500" w:lineRule="exact"/>
        <w:jc w:val="left"/>
        <w:rPr>
          <w:rFonts w:ascii="宋体" w:hAnsi="宋体" w:cs="宋体"/>
          <w:b/>
          <w:color w:val="auto"/>
          <w:sz w:val="28"/>
          <w:szCs w:val="28"/>
          <w:highlight w:val="none"/>
          <w:lang w:val="zh-CN"/>
        </w:rPr>
      </w:pPr>
      <w:r>
        <w:rPr>
          <w:rFonts w:hint="eastAsia" w:cs="宋体"/>
          <w:color w:val="auto"/>
          <w:sz w:val="20"/>
          <w:szCs w:val="20"/>
          <w:highlight w:val="none"/>
        </w:rPr>
        <w:t>注：</w:t>
      </w:r>
      <w:r>
        <w:rPr>
          <w:rFonts w:cs="宋体"/>
          <w:color w:val="auto"/>
          <w:sz w:val="20"/>
          <w:szCs w:val="20"/>
          <w:highlight w:val="none"/>
        </w:rPr>
        <w:t>从业人员、营业收入、资产总额填报上一年度数据，无上一年度数据的新成立企业可不填报。</w:t>
      </w:r>
    </w:p>
    <w:p>
      <w:pPr>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br w:type="page"/>
      </w:r>
    </w:p>
    <w:p>
      <w:pPr>
        <w:spacing w:line="360" w:lineRule="auto"/>
        <w:jc w:val="center"/>
        <w:rPr>
          <w:rFonts w:hint="eastAsia" w:ascii="宋体" w:hAnsi="宋体" w:eastAsia="宋体" w:cs="宋体"/>
          <w:color w:val="auto"/>
          <w:kern w:val="1"/>
          <w:szCs w:val="21"/>
        </w:rPr>
      </w:pPr>
      <w:r>
        <w:rPr>
          <w:rFonts w:hint="eastAsia" w:ascii="宋体" w:hAnsi="宋体" w:eastAsia="宋体" w:cs="宋体"/>
          <w:b/>
          <w:color w:val="auto"/>
          <w:sz w:val="28"/>
          <w:szCs w:val="28"/>
          <w:lang w:val="zh-CN"/>
        </w:rPr>
        <w:t>（</w:t>
      </w:r>
      <w:r>
        <w:rPr>
          <w:rFonts w:hint="eastAsia" w:ascii="宋体" w:hAnsi="宋体" w:eastAsia="宋体" w:cs="宋体"/>
          <w:b/>
          <w:color w:val="auto"/>
          <w:sz w:val="28"/>
          <w:szCs w:val="28"/>
        </w:rPr>
        <w:t>二</w:t>
      </w:r>
      <w:r>
        <w:rPr>
          <w:rFonts w:hint="eastAsia" w:ascii="宋体" w:hAnsi="宋体" w:eastAsia="宋体" w:cs="宋体"/>
          <w:b/>
          <w:color w:val="auto"/>
          <w:sz w:val="28"/>
          <w:szCs w:val="28"/>
          <w:lang w:val="zh-CN"/>
        </w:rPr>
        <w:t>）残疾人福利性单位声明函</w:t>
      </w:r>
    </w:p>
    <w:p>
      <w:pPr>
        <w:spacing w:line="500" w:lineRule="exact"/>
        <w:jc w:val="center"/>
        <w:rPr>
          <w:rFonts w:hint="eastAsia" w:ascii="宋体" w:hAnsi="宋体" w:eastAsia="宋体" w:cs="宋体"/>
          <w:b/>
          <w:color w:val="auto"/>
          <w:szCs w:val="21"/>
        </w:rPr>
      </w:pPr>
      <w:r>
        <w:rPr>
          <w:rFonts w:hint="eastAsia" w:ascii="宋体" w:hAnsi="宋体" w:eastAsia="宋体" w:cs="宋体"/>
          <w:b/>
          <w:color w:val="auto"/>
          <w:szCs w:val="21"/>
        </w:rPr>
        <w:t>（不享受残疾人福利性单位优先政策的</w:t>
      </w:r>
      <w:r>
        <w:rPr>
          <w:rFonts w:hint="eastAsia" w:ascii="宋体" w:hAnsi="宋体" w:cs="宋体"/>
          <w:b/>
          <w:color w:val="auto"/>
          <w:szCs w:val="21"/>
          <w:lang w:eastAsia="zh-CN"/>
        </w:rPr>
        <w:t>投标人</w:t>
      </w:r>
      <w:r>
        <w:rPr>
          <w:rFonts w:hint="eastAsia" w:ascii="宋体" w:hAnsi="宋体" w:eastAsia="宋体" w:cs="宋体"/>
          <w:b/>
          <w:color w:val="auto"/>
          <w:szCs w:val="21"/>
        </w:rPr>
        <w:t>不需填写此表，请认真核对）</w:t>
      </w:r>
    </w:p>
    <w:p>
      <w:pPr>
        <w:spacing w:line="500" w:lineRule="exact"/>
        <w:jc w:val="left"/>
        <w:rPr>
          <w:rFonts w:hint="default" w:ascii="宋体" w:hAnsi="宋体" w:eastAsia="宋体" w:cs="宋体"/>
          <w:color w:val="auto"/>
          <w:kern w:val="1"/>
          <w:szCs w:val="21"/>
          <w:lang w:val="en-US" w:eastAsia="zh-CN"/>
        </w:rPr>
      </w:pPr>
      <w:r>
        <w:rPr>
          <w:rFonts w:hint="eastAsia" w:ascii="宋体" w:hAnsi="宋体" w:eastAsia="宋体" w:cs="宋体"/>
          <w:b/>
          <w:color w:val="auto"/>
          <w:szCs w:val="21"/>
          <w:u w:val="none"/>
        </w:rPr>
        <w:t>致：</w:t>
      </w:r>
      <w:r>
        <w:rPr>
          <w:rFonts w:hint="eastAsia" w:ascii="宋体" w:hAnsi="宋体" w:cs="宋体"/>
          <w:b/>
          <w:color w:val="auto"/>
          <w:szCs w:val="21"/>
          <w:u w:val="single"/>
          <w:lang w:val="en-US" w:eastAsia="zh-CN"/>
        </w:rPr>
        <w:t xml:space="preserve">        （采购人）      </w:t>
      </w:r>
    </w:p>
    <w:p>
      <w:pPr>
        <w:spacing w:line="500" w:lineRule="exact"/>
        <w:ind w:firstLine="420" w:firstLineChars="200"/>
        <w:jc w:val="left"/>
        <w:rPr>
          <w:rFonts w:hint="eastAsia" w:ascii="宋体" w:hAnsi="宋体" w:eastAsia="宋体" w:cs="宋体"/>
          <w:color w:val="auto"/>
          <w:kern w:val="1"/>
          <w:szCs w:val="21"/>
        </w:rPr>
      </w:pPr>
      <w:r>
        <w:rPr>
          <w:rFonts w:hint="eastAsia" w:ascii="宋体" w:hAnsi="宋体" w:eastAsia="宋体" w:cs="宋体"/>
          <w:color w:val="auto"/>
          <w:kern w:val="1"/>
          <w:szCs w:val="21"/>
        </w:rPr>
        <w:t>本单位郑重声明，根据《财政部 民政部 中国残疾人联合会关于促进残疾人就业政府采购政策的通知》（财库〔2017〕 141 号）的规定，本单位为</w:t>
      </w:r>
      <w:r>
        <w:rPr>
          <w:rFonts w:hint="eastAsia" w:ascii="宋体" w:hAnsi="宋体" w:eastAsia="宋体" w:cs="宋体"/>
          <w:b/>
          <w:bCs/>
          <w:color w:val="auto"/>
          <w:kern w:val="1"/>
          <w:szCs w:val="21"/>
          <w:u w:val="single"/>
        </w:rPr>
        <w:sym w:font="Wingdings" w:char="00A8"/>
      </w:r>
      <w:r>
        <w:rPr>
          <w:rFonts w:hint="eastAsia" w:ascii="宋体" w:hAnsi="宋体" w:eastAsia="宋体" w:cs="宋体"/>
          <w:b/>
          <w:bCs/>
          <w:color w:val="auto"/>
          <w:kern w:val="1"/>
          <w:szCs w:val="21"/>
          <w:u w:val="single"/>
        </w:rPr>
        <w:t>符合</w:t>
      </w:r>
      <w:r>
        <w:rPr>
          <w:rFonts w:hint="eastAsia" w:ascii="宋体" w:hAnsi="宋体" w:eastAsia="宋体" w:cs="宋体"/>
          <w:b/>
          <w:bCs/>
          <w:color w:val="auto"/>
          <w:kern w:val="1"/>
          <w:szCs w:val="21"/>
          <w:u w:val="single"/>
        </w:rPr>
        <w:sym w:font="Wingdings" w:char="00A8"/>
      </w:r>
      <w:r>
        <w:rPr>
          <w:rFonts w:hint="eastAsia" w:ascii="宋体" w:hAnsi="宋体" w:eastAsia="宋体" w:cs="宋体"/>
          <w:b/>
          <w:bCs/>
          <w:color w:val="auto"/>
          <w:kern w:val="1"/>
          <w:szCs w:val="21"/>
          <w:u w:val="single"/>
        </w:rPr>
        <w:t>不符合</w:t>
      </w:r>
      <w:r>
        <w:rPr>
          <w:rFonts w:hint="eastAsia" w:ascii="宋体" w:hAnsi="宋体" w:eastAsia="宋体" w:cs="宋体"/>
          <w:color w:val="auto"/>
          <w:kern w:val="1"/>
          <w:szCs w:val="21"/>
        </w:rPr>
        <w:t>条件的残疾人福利性单位，且本单位参加</w:t>
      </w:r>
      <w:r>
        <w:rPr>
          <w:rFonts w:hint="eastAsia" w:ascii="宋体" w:hAnsi="宋体" w:cs="宋体"/>
          <w:b w:val="0"/>
          <w:bCs w:val="0"/>
          <w:color w:val="auto"/>
          <w:kern w:val="1"/>
          <w:szCs w:val="21"/>
          <w:u w:val="none"/>
          <w:lang w:val="en-US" w:eastAsia="zh-CN"/>
        </w:rPr>
        <w:t>贵单位采购</w:t>
      </w:r>
      <w:r>
        <w:rPr>
          <w:rFonts w:hint="eastAsia" w:ascii="宋体" w:hAnsi="宋体" w:eastAsia="宋体" w:cs="宋体"/>
          <w:color w:val="auto"/>
          <w:kern w:val="1"/>
          <w:szCs w:val="21"/>
        </w:rPr>
        <w:t>的</w:t>
      </w:r>
      <w:r>
        <w:rPr>
          <w:rFonts w:hint="eastAsia" w:cs="宋体"/>
          <w:color w:val="auto"/>
          <w:sz w:val="22"/>
          <w:szCs w:val="22"/>
          <w:highlight w:val="none"/>
          <w:u w:val="single"/>
          <w:lang w:eastAsia="zh-CN"/>
        </w:rPr>
        <w:t>（</w:t>
      </w:r>
      <w:r>
        <w:rPr>
          <w:rFonts w:hint="eastAsia" w:cs="宋体"/>
          <w:color w:val="auto"/>
          <w:sz w:val="22"/>
          <w:szCs w:val="22"/>
          <w:highlight w:val="none"/>
          <w:u w:val="single"/>
          <w:lang w:val="en-US" w:eastAsia="zh-CN"/>
        </w:rPr>
        <w:t>项目名称</w:t>
      </w:r>
      <w:r>
        <w:rPr>
          <w:rFonts w:hint="eastAsia" w:cs="宋体"/>
          <w:color w:val="auto"/>
          <w:sz w:val="22"/>
          <w:szCs w:val="22"/>
          <w:highlight w:val="none"/>
          <w:u w:val="single"/>
          <w:lang w:eastAsia="zh-CN"/>
        </w:rPr>
        <w:t>）</w:t>
      </w:r>
      <w:r>
        <w:rPr>
          <w:rFonts w:hint="eastAsia" w:ascii="宋体" w:hAnsi="宋体" w:eastAsia="宋体" w:cs="宋体"/>
          <w:color w:val="auto"/>
          <w:kern w:val="1"/>
          <w:szCs w:val="21"/>
        </w:rPr>
        <w:t>采购活动提供本单位制造的货物、承担的工程或者服务</w:t>
      </w:r>
      <w:r>
        <w:rPr>
          <w:rFonts w:hint="eastAsia" w:ascii="宋体" w:hAnsi="宋体" w:eastAsia="宋体" w:cs="宋体"/>
          <w:color w:val="auto"/>
          <w:kern w:val="1"/>
          <w:szCs w:val="21"/>
          <w:lang w:eastAsia="zh-CN"/>
        </w:rPr>
        <w:t>（</w:t>
      </w:r>
      <w:r>
        <w:rPr>
          <w:rFonts w:hint="eastAsia" w:ascii="宋体" w:hAnsi="宋体" w:eastAsia="宋体" w:cs="宋体"/>
          <w:color w:val="auto"/>
          <w:kern w:val="1"/>
          <w:szCs w:val="21"/>
        </w:rPr>
        <w:t>以下简称产品</w:t>
      </w:r>
      <w:r>
        <w:rPr>
          <w:rFonts w:hint="eastAsia" w:ascii="宋体" w:hAnsi="宋体" w:eastAsia="宋体" w:cs="宋体"/>
          <w:color w:val="auto"/>
          <w:kern w:val="1"/>
          <w:szCs w:val="21"/>
          <w:lang w:eastAsia="zh-CN"/>
        </w:rPr>
        <w:t>）</w:t>
      </w:r>
      <w:r>
        <w:rPr>
          <w:rFonts w:hint="eastAsia" w:ascii="宋体" w:hAnsi="宋体" w:eastAsia="宋体" w:cs="宋体"/>
          <w:color w:val="auto"/>
          <w:kern w:val="1"/>
          <w:szCs w:val="21"/>
        </w:rPr>
        <w:t>，或者提供其他残疾人福利性单位制造的货物（不包括使用非残疾人福利性单位注册商标的货物）。</w:t>
      </w:r>
    </w:p>
    <w:p>
      <w:pPr>
        <w:spacing w:line="500" w:lineRule="exact"/>
        <w:ind w:firstLine="420" w:firstLineChars="200"/>
        <w:jc w:val="left"/>
        <w:rPr>
          <w:rFonts w:hint="eastAsia" w:ascii="宋体" w:hAnsi="宋体" w:eastAsia="宋体" w:cs="宋体"/>
          <w:color w:val="auto"/>
          <w:kern w:val="1"/>
          <w:szCs w:val="21"/>
        </w:rPr>
      </w:pPr>
      <w:r>
        <w:rPr>
          <w:rFonts w:hint="eastAsia" w:ascii="宋体" w:hAnsi="宋体" w:eastAsia="宋体" w:cs="宋体"/>
          <w:color w:val="auto"/>
          <w:kern w:val="1"/>
          <w:szCs w:val="21"/>
        </w:rPr>
        <w:t>本单位对上述声明的真实性负责。如有虚假，将依法承担相应责任。</w:t>
      </w:r>
    </w:p>
    <w:p>
      <w:pPr>
        <w:spacing w:line="500" w:lineRule="exact"/>
        <w:ind w:firstLine="420" w:firstLineChars="200"/>
        <w:jc w:val="left"/>
        <w:rPr>
          <w:rFonts w:hint="eastAsia" w:ascii="宋体" w:hAnsi="宋体" w:eastAsia="宋体" w:cs="宋体"/>
          <w:color w:val="auto"/>
          <w:kern w:val="1"/>
          <w:szCs w:val="21"/>
        </w:rPr>
      </w:pPr>
    </w:p>
    <w:p>
      <w:pPr>
        <w:spacing w:line="500" w:lineRule="exact"/>
        <w:ind w:firstLine="420" w:firstLineChars="200"/>
        <w:jc w:val="left"/>
        <w:rPr>
          <w:rFonts w:hint="eastAsia" w:ascii="宋体" w:hAnsi="宋体" w:eastAsia="宋体" w:cs="宋体"/>
          <w:color w:val="auto"/>
          <w:kern w:val="1"/>
          <w:szCs w:val="21"/>
        </w:rPr>
      </w:pPr>
    </w:p>
    <w:p>
      <w:pPr>
        <w:pStyle w:val="15"/>
        <w:spacing w:line="480" w:lineRule="auto"/>
        <w:rPr>
          <w:rFonts w:hint="eastAsia" w:ascii="宋体" w:hAnsi="宋体" w:eastAsia="宋体" w:cs="宋体"/>
          <w:color w:val="auto"/>
          <w:szCs w:val="24"/>
        </w:rPr>
      </w:pPr>
      <w:r>
        <w:rPr>
          <w:rFonts w:hint="eastAsia" w:hAnsi="宋体" w:cs="宋体"/>
          <w:color w:val="auto"/>
          <w:szCs w:val="24"/>
          <w:lang w:eastAsia="zh-CN"/>
        </w:rPr>
        <w:t>投标人名称</w:t>
      </w:r>
      <w:r>
        <w:rPr>
          <w:rFonts w:hint="eastAsia" w:ascii="宋体" w:hAnsi="宋体" w:eastAsia="宋体" w:cs="宋体"/>
          <w:color w:val="auto"/>
          <w:szCs w:val="24"/>
        </w:rPr>
        <w:t>（</w:t>
      </w:r>
      <w:r>
        <w:rPr>
          <w:rFonts w:hint="eastAsia" w:ascii="宋体" w:hAnsi="宋体" w:eastAsia="宋体" w:cs="宋体"/>
          <w:color w:val="auto"/>
          <w:szCs w:val="24"/>
          <w:lang w:eastAsia="zh-CN"/>
        </w:rPr>
        <w:t>电子签章</w:t>
      </w:r>
      <w:r>
        <w:rPr>
          <w:rFonts w:hint="eastAsia" w:ascii="宋体" w:hAnsi="宋体" w:eastAsia="宋体" w:cs="宋体"/>
          <w:color w:val="auto"/>
          <w:szCs w:val="24"/>
        </w:rPr>
        <w:t>）：</w:t>
      </w:r>
    </w:p>
    <w:p>
      <w:pPr>
        <w:pStyle w:val="15"/>
        <w:spacing w:line="480" w:lineRule="auto"/>
        <w:rPr>
          <w:rFonts w:hint="eastAsia" w:ascii="宋体" w:hAnsi="宋体" w:eastAsia="宋体" w:cs="宋体"/>
          <w:color w:val="auto"/>
          <w:szCs w:val="24"/>
        </w:rPr>
      </w:pPr>
      <w:r>
        <w:rPr>
          <w:rFonts w:hint="eastAsia" w:ascii="宋体" w:hAnsi="宋体" w:eastAsia="宋体" w:cs="宋体"/>
          <w:color w:val="auto"/>
          <w:szCs w:val="24"/>
        </w:rPr>
        <w:t>法定代表人或其委托代理人（签字或</w:t>
      </w:r>
      <w:r>
        <w:rPr>
          <w:rFonts w:hint="eastAsia" w:ascii="宋体" w:hAnsi="宋体" w:eastAsia="宋体" w:cs="宋体"/>
          <w:color w:val="auto"/>
          <w:szCs w:val="24"/>
          <w:lang w:eastAsia="zh-CN"/>
        </w:rPr>
        <w:t>电子签章</w:t>
      </w:r>
      <w:r>
        <w:rPr>
          <w:rFonts w:hint="eastAsia" w:ascii="宋体" w:hAnsi="宋体" w:eastAsia="宋体" w:cs="宋体"/>
          <w:color w:val="auto"/>
          <w:szCs w:val="24"/>
        </w:rPr>
        <w:t>）：</w:t>
      </w:r>
    </w:p>
    <w:p>
      <w:pPr>
        <w:pStyle w:val="15"/>
        <w:spacing w:line="480" w:lineRule="auto"/>
        <w:rPr>
          <w:rFonts w:hint="eastAsia" w:ascii="宋体" w:hAnsi="宋体" w:eastAsia="宋体" w:cs="宋体"/>
          <w:color w:val="auto"/>
          <w:szCs w:val="24"/>
        </w:rPr>
      </w:pPr>
      <w:r>
        <w:rPr>
          <w:rFonts w:hint="eastAsia" w:ascii="宋体" w:hAnsi="宋体" w:eastAsia="宋体" w:cs="宋体"/>
          <w:color w:val="auto"/>
          <w:szCs w:val="24"/>
        </w:rPr>
        <w:t>日期：</w:t>
      </w:r>
    </w:p>
    <w:p>
      <w:pPr>
        <w:spacing w:line="500" w:lineRule="exact"/>
        <w:jc w:val="left"/>
        <w:rPr>
          <w:rFonts w:hint="eastAsia" w:ascii="宋体" w:hAnsi="宋体" w:eastAsia="宋体" w:cs="宋体"/>
          <w:color w:val="auto"/>
          <w:kern w:val="1"/>
          <w:szCs w:val="21"/>
        </w:rPr>
      </w:pPr>
      <w:r>
        <w:rPr>
          <w:rFonts w:hint="eastAsia" w:ascii="宋体" w:hAnsi="宋体" w:eastAsia="宋体" w:cs="宋体"/>
          <w:color w:val="auto"/>
          <w:kern w:val="1"/>
          <w:szCs w:val="21"/>
        </w:rPr>
        <w:t>注：根据自身情况请在“</w:t>
      </w:r>
      <w:r>
        <w:rPr>
          <w:rFonts w:hint="eastAsia" w:ascii="宋体" w:hAnsi="宋体" w:eastAsia="宋体" w:cs="宋体"/>
          <w:color w:val="auto"/>
          <w:kern w:val="1"/>
          <w:szCs w:val="21"/>
        </w:rPr>
        <w:sym w:font="Wingdings" w:char="00A8"/>
      </w:r>
      <w:r>
        <w:rPr>
          <w:rFonts w:hint="eastAsia" w:ascii="宋体" w:hAnsi="宋体" w:eastAsia="宋体" w:cs="宋体"/>
          <w:color w:val="auto"/>
          <w:kern w:val="1"/>
          <w:szCs w:val="21"/>
        </w:rPr>
        <w:t>”里打“√”</w:t>
      </w:r>
      <w:r>
        <w:rPr>
          <w:rFonts w:hint="eastAsia" w:ascii="宋体" w:hAnsi="宋体" w:eastAsia="宋体" w:cs="宋体"/>
          <w:color w:val="auto"/>
          <w:kern w:val="1"/>
          <w:szCs w:val="21"/>
          <w:lang w:val="en-US" w:eastAsia="zh-CN"/>
        </w:rPr>
        <w:t>或不需填写此表</w:t>
      </w:r>
      <w:r>
        <w:rPr>
          <w:rFonts w:hint="eastAsia" w:ascii="宋体" w:hAnsi="宋体" w:eastAsia="宋体" w:cs="宋体"/>
          <w:color w:val="auto"/>
          <w:kern w:val="1"/>
          <w:szCs w:val="21"/>
        </w:rPr>
        <w:t>。</w:t>
      </w:r>
    </w:p>
    <w:p>
      <w:pPr>
        <w:pStyle w:val="15"/>
        <w:spacing w:line="480" w:lineRule="auto"/>
        <w:rPr>
          <w:rFonts w:hint="eastAsia" w:ascii="宋体" w:hAnsi="宋体" w:eastAsia="宋体" w:cs="宋体"/>
          <w:b/>
          <w:color w:val="auto"/>
          <w:kern w:val="1"/>
          <w:sz w:val="18"/>
          <w:szCs w:val="18"/>
        </w:rPr>
      </w:pPr>
    </w:p>
    <w:p>
      <w:pPr>
        <w:spacing w:line="360" w:lineRule="auto"/>
        <w:jc w:val="center"/>
        <w:rPr>
          <w:rFonts w:hint="eastAsia" w:ascii="宋体" w:hAnsi="宋体" w:eastAsia="宋体" w:cs="宋体"/>
          <w:b/>
          <w:color w:val="auto"/>
          <w:sz w:val="28"/>
        </w:rPr>
      </w:pPr>
      <w:r>
        <w:rPr>
          <w:rFonts w:hint="eastAsia" w:ascii="宋体" w:hAnsi="宋体" w:eastAsia="宋体" w:cs="宋体"/>
          <w:b/>
          <w:color w:val="auto"/>
          <w:sz w:val="28"/>
        </w:rPr>
        <w:br w:type="page"/>
      </w:r>
      <w:r>
        <w:rPr>
          <w:rFonts w:hint="eastAsia" w:ascii="宋体" w:hAnsi="宋体" w:eastAsia="宋体" w:cs="宋体"/>
          <w:b/>
          <w:color w:val="auto"/>
          <w:sz w:val="28"/>
        </w:rPr>
        <w:t>（三）监狱企业证明</w:t>
      </w:r>
    </w:p>
    <w:p>
      <w:pPr>
        <w:pStyle w:val="11"/>
        <w:spacing w:line="360" w:lineRule="auto"/>
        <w:jc w:val="center"/>
        <w:rPr>
          <w:rFonts w:hint="eastAsia" w:ascii="宋体" w:hAnsi="宋体" w:eastAsia="宋体" w:cs="宋体"/>
          <w:b/>
          <w:bCs/>
          <w:color w:val="auto"/>
        </w:rPr>
      </w:pPr>
      <w:r>
        <w:rPr>
          <w:rFonts w:hint="eastAsia" w:ascii="宋体" w:hAnsi="宋体" w:eastAsia="宋体" w:cs="宋体"/>
          <w:b/>
          <w:bCs/>
          <w:color w:val="auto"/>
        </w:rPr>
        <w:t>（不是监狱企业的无需提供证明材料）</w:t>
      </w:r>
    </w:p>
    <w:p>
      <w:pPr>
        <w:pStyle w:val="11"/>
        <w:spacing w:after="0" w:line="360" w:lineRule="auto"/>
        <w:ind w:firstLine="420" w:firstLineChars="200"/>
        <w:rPr>
          <w:rFonts w:hint="eastAsia" w:ascii="宋体" w:hAnsi="宋体" w:eastAsia="宋体" w:cs="宋体"/>
          <w:color w:val="auto"/>
        </w:rPr>
      </w:pPr>
      <w:r>
        <w:rPr>
          <w:rFonts w:hint="eastAsia" w:ascii="宋体" w:hAnsi="宋体" w:eastAsia="宋体" w:cs="宋体"/>
          <w:color w:val="auto"/>
        </w:rPr>
        <w:t>注：如是，请提供证明材料；</w:t>
      </w:r>
      <w:r>
        <w:rPr>
          <w:rFonts w:hint="eastAsia" w:ascii="宋体" w:hAnsi="宋体" w:eastAsia="宋体" w:cs="宋体"/>
          <w:color w:val="auto"/>
          <w:spacing w:val="-4"/>
        </w:rPr>
        <w:t>若产品出自符合国家规定的监狱企业，则该产品制造企业必须出具证明材料；</w:t>
      </w:r>
      <w:r>
        <w:rPr>
          <w:rFonts w:hint="eastAsia" w:ascii="宋体" w:hAnsi="宋体" w:eastAsia="宋体" w:cs="宋体"/>
          <w:color w:val="auto"/>
          <w:spacing w:val="-1"/>
        </w:rPr>
        <w:t>提供由省级以上监狱管理局、戒毒管理局</w:t>
      </w:r>
      <w:r>
        <w:rPr>
          <w:rFonts w:hint="eastAsia" w:ascii="宋体" w:hAnsi="宋体" w:eastAsia="宋体" w:cs="宋体"/>
          <w:color w:val="auto"/>
        </w:rPr>
        <w:t>（</w:t>
      </w:r>
      <w:r>
        <w:rPr>
          <w:rFonts w:hint="eastAsia" w:ascii="宋体" w:hAnsi="宋体" w:eastAsia="宋体" w:cs="宋体"/>
          <w:color w:val="auto"/>
          <w:spacing w:val="-2"/>
        </w:rPr>
        <w:t>含新疆生产建设兵团</w:t>
      </w:r>
      <w:r>
        <w:rPr>
          <w:rFonts w:hint="eastAsia" w:ascii="宋体" w:hAnsi="宋体" w:eastAsia="宋体" w:cs="宋体"/>
          <w:color w:val="auto"/>
        </w:rPr>
        <w:t>）</w:t>
      </w:r>
      <w:r>
        <w:rPr>
          <w:rFonts w:hint="eastAsia" w:ascii="宋体" w:hAnsi="宋体" w:eastAsia="宋体" w:cs="宋体"/>
          <w:color w:val="auto"/>
          <w:spacing w:val="-4"/>
        </w:rPr>
        <w:t>出具的属于监狱企业的证明</w:t>
      </w:r>
      <w:r>
        <w:rPr>
          <w:rFonts w:hint="eastAsia" w:ascii="宋体" w:hAnsi="宋体" w:eastAsia="宋体" w:cs="宋体"/>
          <w:color w:val="auto"/>
          <w:spacing w:val="-3"/>
        </w:rPr>
        <w:t>文件，否则在评审时将不考虑对该监狱企业的相关优惠。</w:t>
      </w:r>
      <w:r>
        <w:rPr>
          <w:rFonts w:hint="eastAsia" w:ascii="宋体" w:hAnsi="宋体" w:eastAsia="宋体" w:cs="宋体"/>
          <w:color w:val="auto"/>
        </w:rPr>
        <w:t>监狱企业视同小型、微型企业，享受评审中价格扣除等政府采购促进中小企业发展的政府采购政策。</w:t>
      </w:r>
    </w:p>
    <w:p>
      <w:pPr>
        <w:rPr>
          <w:rFonts w:hint="eastAsia" w:ascii="宋体" w:hAnsi="宋体" w:eastAsia="宋体" w:cs="宋体"/>
          <w:color w:val="auto"/>
        </w:rPr>
      </w:pPr>
    </w:p>
    <w:p>
      <w:pPr>
        <w:pStyle w:val="11"/>
        <w:spacing w:after="0" w:line="36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注：1、投标</w:t>
      </w:r>
      <w:r>
        <w:rPr>
          <w:rFonts w:hint="eastAsia" w:ascii="宋体" w:hAnsi="宋体" w:cs="宋体"/>
          <w:b/>
          <w:color w:val="auto"/>
          <w:sz w:val="22"/>
          <w:szCs w:val="22"/>
          <w:lang w:eastAsia="zh-CN"/>
        </w:rPr>
        <w:t>投标人</w:t>
      </w:r>
      <w:r>
        <w:rPr>
          <w:rFonts w:hint="eastAsia" w:ascii="宋体" w:hAnsi="宋体" w:eastAsia="宋体" w:cs="宋体"/>
          <w:b/>
          <w:color w:val="auto"/>
          <w:sz w:val="22"/>
          <w:szCs w:val="22"/>
        </w:rPr>
        <w:t>只需</w:t>
      </w:r>
      <w:r>
        <w:rPr>
          <w:rFonts w:hint="eastAsia" w:ascii="宋体" w:hAnsi="宋体" w:eastAsia="宋体" w:cs="宋体"/>
          <w:b/>
          <w:color w:val="auto"/>
          <w:sz w:val="22"/>
          <w:szCs w:val="22"/>
          <w:lang w:eastAsia="zh-CN"/>
        </w:rPr>
        <w:t>提供</w:t>
      </w:r>
      <w:r>
        <w:rPr>
          <w:rFonts w:hint="eastAsia" w:ascii="宋体" w:hAnsi="宋体" w:eastAsia="宋体" w:cs="宋体"/>
          <w:b/>
          <w:color w:val="auto"/>
          <w:sz w:val="22"/>
          <w:szCs w:val="22"/>
        </w:rPr>
        <w:t>中小企业声明函、残疾人福利性单位声明函、监狱企业证明文件中任一有效证明文件均可给予小微企业折扣。</w:t>
      </w:r>
    </w:p>
    <w:p>
      <w:pPr>
        <w:spacing w:line="360" w:lineRule="auto"/>
        <w:ind w:firstLine="440" w:firstLineChars="200"/>
        <w:rPr>
          <w:rFonts w:hint="eastAsia" w:ascii="宋体" w:hAnsi="宋体" w:eastAsia="宋体" w:cs="宋体"/>
          <w:b/>
          <w:color w:val="auto"/>
          <w:sz w:val="24"/>
        </w:rPr>
      </w:pPr>
      <w:r>
        <w:rPr>
          <w:rFonts w:hint="eastAsia" w:ascii="宋体" w:hAnsi="宋体" w:eastAsia="宋体" w:cs="宋体"/>
          <w:b/>
          <w:color w:val="auto"/>
          <w:sz w:val="22"/>
          <w:szCs w:val="22"/>
        </w:rPr>
        <w:t>2、以上三</w:t>
      </w:r>
      <w:r>
        <w:rPr>
          <w:rFonts w:hint="eastAsia" w:ascii="宋体" w:hAnsi="宋体" w:eastAsia="宋体" w:cs="宋体"/>
          <w:b/>
          <w:color w:val="auto"/>
          <w:sz w:val="22"/>
          <w:szCs w:val="22"/>
          <w:lang w:val="en-US" w:eastAsia="zh-CN"/>
        </w:rPr>
        <w:t>份</w:t>
      </w:r>
      <w:r>
        <w:rPr>
          <w:rFonts w:hint="eastAsia" w:ascii="宋体" w:hAnsi="宋体" w:eastAsia="宋体" w:cs="宋体"/>
          <w:b/>
          <w:color w:val="auto"/>
          <w:sz w:val="22"/>
          <w:szCs w:val="22"/>
        </w:rPr>
        <w:t>声明函请各投标单位真实填写。</w:t>
      </w:r>
    </w:p>
    <w:p>
      <w:pPr>
        <w:pStyle w:val="15"/>
        <w:spacing w:line="360" w:lineRule="auto"/>
        <w:jc w:val="left"/>
        <w:rPr>
          <w:rFonts w:hint="eastAsia" w:ascii="宋体" w:hAnsi="宋体" w:eastAsia="宋体" w:cs="宋体"/>
          <w:color w:val="auto"/>
          <w:szCs w:val="21"/>
          <w:highlight w:val="none"/>
        </w:rPr>
      </w:pPr>
    </w:p>
    <w:p>
      <w:pPr>
        <w:pStyle w:val="15"/>
        <w:spacing w:line="480" w:lineRule="auto"/>
        <w:outlineLvl w:val="1"/>
        <w:rPr>
          <w:rFonts w:hAnsi="宋体" w:cs="宋体"/>
          <w:b/>
          <w:color w:val="auto"/>
          <w:sz w:val="28"/>
          <w:szCs w:val="28"/>
          <w:highlight w:val="none"/>
        </w:rPr>
      </w:pPr>
      <w:r>
        <w:rPr>
          <w:rFonts w:hint="eastAsia" w:ascii="宋体" w:hAnsi="宋体" w:eastAsia="宋体" w:cs="宋体"/>
          <w:color w:val="auto"/>
          <w:szCs w:val="21"/>
          <w:highlight w:val="none"/>
        </w:rPr>
        <w:br w:type="page"/>
      </w:r>
      <w:bookmarkStart w:id="81" w:name="_Toc1112"/>
      <w:r>
        <w:rPr>
          <w:rFonts w:hint="eastAsia" w:hAnsi="宋体" w:cs="宋体"/>
          <w:b/>
          <w:color w:val="auto"/>
          <w:sz w:val="24"/>
          <w:szCs w:val="24"/>
          <w:highlight w:val="none"/>
        </w:rPr>
        <w:t>格式7：投标人信息表</w:t>
      </w:r>
      <w:bookmarkEnd w:id="81"/>
    </w:p>
    <w:p>
      <w:pPr>
        <w:jc w:val="center"/>
        <w:rPr>
          <w:rFonts w:ascii="宋体" w:hAnsi="宋体" w:cs="宋体"/>
          <w:b/>
          <w:color w:val="auto"/>
          <w:sz w:val="28"/>
          <w:szCs w:val="28"/>
          <w:highlight w:val="none"/>
        </w:rPr>
      </w:pPr>
      <w:r>
        <w:rPr>
          <w:rFonts w:hint="eastAsia" w:ascii="宋体" w:hAnsi="宋体" w:cs="宋体"/>
          <w:b/>
          <w:color w:val="auto"/>
          <w:sz w:val="32"/>
          <w:szCs w:val="32"/>
          <w:highlight w:val="none"/>
        </w:rPr>
        <w:t>投标人信息表</w:t>
      </w:r>
    </w:p>
    <w:p>
      <w:pPr>
        <w:pStyle w:val="15"/>
        <w:spacing w:line="400" w:lineRule="exact"/>
        <w:jc w:val="center"/>
        <w:rPr>
          <w:rFonts w:hAnsi="宋体" w:cs="宋体"/>
          <w:b/>
          <w:color w:val="auto"/>
          <w:szCs w:val="24"/>
          <w:highlight w:val="none"/>
        </w:rPr>
      </w:pPr>
      <w:r>
        <w:rPr>
          <w:rFonts w:hint="eastAsia" w:hAnsi="宋体" w:cs="宋体"/>
          <w:b/>
          <w:color w:val="auto"/>
          <w:szCs w:val="24"/>
          <w:highlight w:val="none"/>
        </w:rPr>
        <w:t>（请投标人如实填写本表信息）</w:t>
      </w:r>
    </w:p>
    <w:tbl>
      <w:tblPr>
        <w:tblStyle w:val="30"/>
        <w:tblpPr w:leftFromText="180" w:rightFromText="180" w:vertAnchor="text" w:horzAnchor="margin" w:tblpXSpec="center" w:tblpY="3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4"/>
        <w:gridCol w:w="2401"/>
        <w:gridCol w:w="2867"/>
        <w:gridCol w:w="2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2904" w:type="dxa"/>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r>
              <w:rPr>
                <w:rFonts w:hint="eastAsia" w:hAnsi="宋体" w:cs="宋体"/>
                <w:color w:val="auto"/>
                <w:szCs w:val="24"/>
                <w:highlight w:val="none"/>
              </w:rPr>
              <w:t>投标人名称：</w:t>
            </w:r>
          </w:p>
        </w:tc>
        <w:tc>
          <w:tcPr>
            <w:tcW w:w="7296" w:type="dxa"/>
            <w:gridSpan w:val="3"/>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2904" w:type="dxa"/>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r>
              <w:rPr>
                <w:rFonts w:hint="eastAsia" w:hAnsi="宋体" w:cs="宋体"/>
                <w:color w:val="auto"/>
                <w:szCs w:val="24"/>
                <w:highlight w:val="none"/>
              </w:rPr>
              <w:t>营业执照</w:t>
            </w:r>
          </w:p>
          <w:p>
            <w:pPr>
              <w:pStyle w:val="15"/>
              <w:spacing w:line="360" w:lineRule="auto"/>
              <w:jc w:val="center"/>
              <w:rPr>
                <w:rFonts w:hAnsi="宋体" w:cs="宋体"/>
                <w:color w:val="auto"/>
                <w:szCs w:val="24"/>
                <w:highlight w:val="none"/>
              </w:rPr>
            </w:pPr>
            <w:r>
              <w:rPr>
                <w:rFonts w:hint="eastAsia" w:hAnsi="宋体" w:cs="宋体"/>
                <w:color w:val="auto"/>
                <w:szCs w:val="24"/>
                <w:highlight w:val="none"/>
              </w:rPr>
              <w:t>统一社会信用代码：</w:t>
            </w:r>
          </w:p>
        </w:tc>
        <w:tc>
          <w:tcPr>
            <w:tcW w:w="7296" w:type="dxa"/>
            <w:gridSpan w:val="3"/>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2904" w:type="dxa"/>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r>
              <w:rPr>
                <w:rFonts w:hint="eastAsia" w:hAnsi="宋体" w:cs="宋体"/>
                <w:color w:val="auto"/>
                <w:szCs w:val="24"/>
                <w:highlight w:val="none"/>
              </w:rPr>
              <w:t xml:space="preserve">注册资金： </w:t>
            </w:r>
          </w:p>
        </w:tc>
        <w:tc>
          <w:tcPr>
            <w:tcW w:w="2401" w:type="dxa"/>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p>
        </w:tc>
        <w:tc>
          <w:tcPr>
            <w:tcW w:w="2867" w:type="dxa"/>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r>
              <w:rPr>
                <w:rFonts w:hint="eastAsia" w:hAnsi="宋体" w:cs="宋体"/>
                <w:color w:val="auto"/>
                <w:szCs w:val="24"/>
                <w:highlight w:val="none"/>
              </w:rPr>
              <w:t>邮政编码：</w:t>
            </w:r>
          </w:p>
        </w:tc>
        <w:tc>
          <w:tcPr>
            <w:tcW w:w="2028" w:type="dxa"/>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2904" w:type="dxa"/>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r>
              <w:rPr>
                <w:rFonts w:hint="eastAsia" w:hAnsi="宋体" w:cs="宋体"/>
                <w:color w:val="auto"/>
                <w:szCs w:val="24"/>
                <w:highlight w:val="none"/>
              </w:rPr>
              <w:t xml:space="preserve">公司成立日期： </w:t>
            </w:r>
          </w:p>
        </w:tc>
        <w:tc>
          <w:tcPr>
            <w:tcW w:w="2401" w:type="dxa"/>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p>
        </w:tc>
        <w:tc>
          <w:tcPr>
            <w:tcW w:w="2867" w:type="dxa"/>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r>
              <w:rPr>
                <w:rFonts w:hint="eastAsia" w:hAnsi="宋体" w:cs="宋体"/>
                <w:color w:val="auto"/>
                <w:szCs w:val="24"/>
                <w:highlight w:val="none"/>
              </w:rPr>
              <w:t>企业网站网址（如有）：</w:t>
            </w:r>
          </w:p>
        </w:tc>
        <w:tc>
          <w:tcPr>
            <w:tcW w:w="2028" w:type="dxa"/>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2904" w:type="dxa"/>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r>
              <w:rPr>
                <w:rFonts w:hint="eastAsia" w:hAnsi="宋体" w:cs="宋体"/>
                <w:color w:val="auto"/>
                <w:szCs w:val="24"/>
                <w:highlight w:val="none"/>
              </w:rPr>
              <w:t>企业电话：</w:t>
            </w:r>
          </w:p>
        </w:tc>
        <w:tc>
          <w:tcPr>
            <w:tcW w:w="2401" w:type="dxa"/>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p>
        </w:tc>
        <w:tc>
          <w:tcPr>
            <w:tcW w:w="2867" w:type="dxa"/>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r>
              <w:rPr>
                <w:rFonts w:hint="eastAsia" w:hAnsi="宋体" w:cs="宋体"/>
                <w:color w:val="auto"/>
                <w:szCs w:val="24"/>
                <w:highlight w:val="none"/>
              </w:rPr>
              <w:t>通讯地址：</w:t>
            </w:r>
          </w:p>
        </w:tc>
        <w:tc>
          <w:tcPr>
            <w:tcW w:w="2028" w:type="dxa"/>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2904" w:type="dxa"/>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r>
              <w:rPr>
                <w:rFonts w:hint="eastAsia" w:hAnsi="宋体" w:cs="宋体"/>
                <w:color w:val="auto"/>
                <w:szCs w:val="24"/>
                <w:highlight w:val="none"/>
              </w:rPr>
              <w:t>公司简介：</w:t>
            </w:r>
          </w:p>
        </w:tc>
        <w:tc>
          <w:tcPr>
            <w:tcW w:w="7296" w:type="dxa"/>
            <w:gridSpan w:val="3"/>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2904" w:type="dxa"/>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r>
              <w:rPr>
                <w:rFonts w:hint="eastAsia" w:hAnsi="宋体" w:cs="宋体"/>
                <w:color w:val="auto"/>
                <w:szCs w:val="24"/>
                <w:highlight w:val="none"/>
              </w:rPr>
              <w:t>经营范围：</w:t>
            </w:r>
          </w:p>
        </w:tc>
        <w:tc>
          <w:tcPr>
            <w:tcW w:w="7296" w:type="dxa"/>
            <w:gridSpan w:val="3"/>
            <w:tcBorders>
              <w:top w:val="single" w:color="auto" w:sz="4" w:space="0"/>
              <w:left w:val="single" w:color="auto" w:sz="4" w:space="0"/>
              <w:bottom w:val="single" w:color="auto" w:sz="4" w:space="0"/>
              <w:right w:val="single" w:color="auto" w:sz="4" w:space="0"/>
            </w:tcBorders>
            <w:vAlign w:val="center"/>
          </w:tcPr>
          <w:p>
            <w:pPr>
              <w:pStyle w:val="15"/>
              <w:spacing w:line="360" w:lineRule="auto"/>
              <w:jc w:val="center"/>
              <w:rPr>
                <w:rFonts w:hAnsi="宋体" w:cs="宋体"/>
                <w:color w:val="auto"/>
                <w:szCs w:val="24"/>
                <w:highlight w:val="none"/>
              </w:rPr>
            </w:pPr>
          </w:p>
        </w:tc>
      </w:tr>
    </w:tbl>
    <w:p>
      <w:pPr>
        <w:pStyle w:val="15"/>
        <w:spacing w:line="480" w:lineRule="auto"/>
        <w:rPr>
          <w:rFonts w:hAnsi="宋体" w:cs="宋体"/>
          <w:color w:val="auto"/>
          <w:sz w:val="24"/>
          <w:szCs w:val="24"/>
          <w:highlight w:val="none"/>
        </w:rPr>
      </w:pPr>
    </w:p>
    <w:p>
      <w:pPr>
        <w:pStyle w:val="15"/>
        <w:spacing w:line="480" w:lineRule="auto"/>
        <w:rPr>
          <w:rFonts w:hAnsi="宋体" w:cs="宋体"/>
          <w:color w:val="auto"/>
          <w:szCs w:val="24"/>
          <w:highlight w:val="none"/>
        </w:rPr>
      </w:pPr>
      <w:r>
        <w:rPr>
          <w:rFonts w:hint="eastAsia" w:hAnsi="宋体" w:cs="宋体"/>
          <w:color w:val="auto"/>
          <w:szCs w:val="24"/>
          <w:highlight w:val="none"/>
          <w:lang w:eastAsia="zh-CN"/>
        </w:rPr>
        <w:t>投标人名称</w:t>
      </w:r>
      <w:r>
        <w:rPr>
          <w:rFonts w:hint="eastAsia" w:hAnsi="宋体" w:cs="宋体"/>
          <w:color w:val="auto"/>
          <w:szCs w:val="24"/>
          <w:highlight w:val="none"/>
        </w:rPr>
        <w:t>（电子签章）：</w:t>
      </w:r>
    </w:p>
    <w:p>
      <w:pPr>
        <w:pStyle w:val="15"/>
        <w:spacing w:line="480" w:lineRule="auto"/>
        <w:rPr>
          <w:rFonts w:hAnsi="宋体" w:cs="宋体"/>
          <w:color w:val="auto"/>
          <w:szCs w:val="24"/>
          <w:highlight w:val="none"/>
        </w:rPr>
      </w:pPr>
      <w:r>
        <w:rPr>
          <w:rFonts w:hint="eastAsia" w:hAnsi="宋体" w:cs="宋体"/>
          <w:color w:val="auto"/>
          <w:szCs w:val="24"/>
          <w:highlight w:val="none"/>
        </w:rPr>
        <w:t>法定代表人或其委托代理人（签字或电子签章）：</w:t>
      </w:r>
    </w:p>
    <w:p>
      <w:pPr>
        <w:pStyle w:val="15"/>
        <w:spacing w:line="480" w:lineRule="auto"/>
        <w:rPr>
          <w:rFonts w:hAnsi="宋体" w:cs="宋体"/>
          <w:color w:val="auto"/>
          <w:szCs w:val="24"/>
          <w:highlight w:val="none"/>
        </w:rPr>
      </w:pPr>
      <w:r>
        <w:rPr>
          <w:rFonts w:hint="eastAsia" w:hAnsi="宋体" w:cs="宋体"/>
          <w:color w:val="auto"/>
          <w:szCs w:val="24"/>
          <w:highlight w:val="none"/>
        </w:rPr>
        <w:t>日期：　　　</w:t>
      </w:r>
    </w:p>
    <w:p>
      <w:pPr>
        <w:pStyle w:val="15"/>
        <w:spacing w:line="600" w:lineRule="exact"/>
        <w:outlineLvl w:val="1"/>
        <w:rPr>
          <w:rFonts w:hAnsi="宋体" w:cs="宋体"/>
          <w:b/>
          <w:color w:val="auto"/>
          <w:sz w:val="24"/>
          <w:szCs w:val="24"/>
          <w:highlight w:val="none"/>
        </w:rPr>
      </w:pPr>
      <w:r>
        <w:rPr>
          <w:rFonts w:hint="eastAsia" w:hAnsi="宋体" w:cs="宋体"/>
          <w:b/>
          <w:color w:val="auto"/>
          <w:sz w:val="24"/>
          <w:szCs w:val="24"/>
          <w:highlight w:val="none"/>
        </w:rPr>
        <w:br w:type="page"/>
      </w:r>
      <w:bookmarkStart w:id="82" w:name="_Toc8326"/>
      <w:r>
        <w:rPr>
          <w:rFonts w:hint="eastAsia" w:hAnsi="宋体" w:cs="宋体"/>
          <w:b/>
          <w:color w:val="auto"/>
          <w:sz w:val="24"/>
          <w:szCs w:val="24"/>
          <w:highlight w:val="none"/>
          <w:lang w:val="en-US" w:eastAsia="zh-CN"/>
        </w:rPr>
        <w:t xml:space="preserve">  </w:t>
      </w:r>
      <w:r>
        <w:rPr>
          <w:rFonts w:hint="eastAsia" w:hAnsi="宋体" w:cs="宋体"/>
          <w:b/>
          <w:color w:val="auto"/>
          <w:sz w:val="24"/>
          <w:szCs w:val="24"/>
          <w:highlight w:val="none"/>
        </w:rPr>
        <w:t>格式8：资格审查材料</w:t>
      </w:r>
      <w:bookmarkEnd w:id="82"/>
    </w:p>
    <w:p>
      <w:pPr>
        <w:pStyle w:val="15"/>
        <w:spacing w:line="360" w:lineRule="auto"/>
        <w:ind w:firstLine="420" w:firstLineChars="200"/>
        <w:rPr>
          <w:rFonts w:hint="eastAsia" w:ascii="宋体" w:hAnsi="宋体" w:eastAsia="宋体" w:cs="宋体"/>
          <w:color w:val="auto"/>
          <w:sz w:val="21"/>
          <w:szCs w:val="21"/>
        </w:rPr>
      </w:pPr>
      <w:bookmarkStart w:id="83" w:name="_Toc484267485"/>
      <w:r>
        <w:rPr>
          <w:rFonts w:hint="eastAsia" w:ascii="宋体" w:hAnsi="宋体" w:eastAsia="宋体" w:cs="宋体"/>
          <w:color w:val="auto"/>
          <w:sz w:val="21"/>
          <w:szCs w:val="21"/>
        </w:rPr>
        <w:t>8-1：</w:t>
      </w:r>
      <w:r>
        <w:rPr>
          <w:rFonts w:hint="eastAsia" w:ascii="宋体" w:hAnsi="宋体"/>
          <w:bCs/>
          <w:szCs w:val="21"/>
          <w:highlight w:val="none"/>
        </w:rPr>
        <w:t>具有独立承担民事责任的能力;提供营业执照</w:t>
      </w:r>
      <w:r>
        <w:rPr>
          <w:rFonts w:hint="eastAsia" w:ascii="宋体" w:hAnsi="宋体"/>
          <w:bCs/>
          <w:szCs w:val="21"/>
          <w:highlight w:val="none"/>
          <w:lang w:val="en-US" w:eastAsia="zh-CN"/>
        </w:rPr>
        <w:t>或独立法人证书</w:t>
      </w:r>
      <w:r>
        <w:rPr>
          <w:rFonts w:hint="eastAsia" w:ascii="宋体" w:hAnsi="宋体" w:eastAsia="宋体" w:cs="宋体"/>
          <w:color w:val="auto"/>
          <w:sz w:val="21"/>
          <w:szCs w:val="21"/>
        </w:rPr>
        <w:t>；</w:t>
      </w:r>
    </w:p>
    <w:p>
      <w:pPr>
        <w:pStyle w:val="15"/>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扫描件加盖电子签章</w:t>
      </w:r>
      <w:r>
        <w:rPr>
          <w:rFonts w:hint="eastAsia" w:ascii="宋体" w:hAnsi="宋体" w:eastAsia="宋体" w:cs="宋体"/>
          <w:b/>
          <w:bCs/>
          <w:color w:val="auto"/>
          <w:sz w:val="21"/>
          <w:szCs w:val="21"/>
        </w:rPr>
        <w:t>。</w:t>
      </w:r>
    </w:p>
    <w:p>
      <w:pPr>
        <w:pStyle w:val="15"/>
        <w:spacing w:line="360" w:lineRule="auto"/>
        <w:ind w:firstLine="420" w:firstLineChars="200"/>
        <w:rPr>
          <w:rFonts w:hint="eastAsia" w:ascii="宋体" w:hAnsi="宋体" w:eastAsia="宋体" w:cs="宋体"/>
          <w:color w:val="auto"/>
          <w:sz w:val="21"/>
          <w:szCs w:val="21"/>
        </w:rPr>
      </w:pPr>
    </w:p>
    <w:p>
      <w:pPr>
        <w:pStyle w:val="15"/>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8-2：具有良好的商业信誉和健全的财务会计制度：</w:t>
      </w:r>
    </w:p>
    <w:p>
      <w:pPr>
        <w:pStyle w:val="15"/>
        <w:spacing w:line="360" w:lineRule="auto"/>
        <w:ind w:firstLine="420" w:firstLineChars="200"/>
        <w:rPr>
          <w:rFonts w:hint="eastAsia" w:ascii="宋体" w:hAnsi="宋体" w:eastAsia="宋体" w:cs="宋体"/>
          <w:color w:val="auto"/>
          <w:sz w:val="21"/>
          <w:szCs w:val="21"/>
        </w:rPr>
      </w:pPr>
      <w:r>
        <w:rPr>
          <w:rFonts w:hint="eastAsia" w:ascii="宋体" w:hAnsi="宋体"/>
          <w:bCs/>
          <w:szCs w:val="21"/>
          <w:highlight w:val="none"/>
        </w:rPr>
        <w:t>提供2022年或2023年经过第三方</w:t>
      </w:r>
      <w:r>
        <w:rPr>
          <w:rFonts w:hint="eastAsia" w:ascii="宋体" w:hAnsi="宋体" w:cs="宋体"/>
          <w:szCs w:val="21"/>
        </w:rPr>
        <w:t>会计师事务所或审计机构</w:t>
      </w:r>
      <w:r>
        <w:rPr>
          <w:rFonts w:hint="eastAsia" w:ascii="宋体" w:hAnsi="宋体"/>
          <w:bCs/>
          <w:szCs w:val="21"/>
          <w:highlight w:val="none"/>
        </w:rPr>
        <w:t>审计的财务</w:t>
      </w:r>
      <w:r>
        <w:rPr>
          <w:rFonts w:hint="eastAsia" w:ascii="宋体" w:hAnsi="宋体"/>
          <w:bCs/>
          <w:szCs w:val="21"/>
          <w:highlight w:val="none"/>
          <w:lang w:val="en-US" w:eastAsia="zh-CN"/>
        </w:rPr>
        <w:t>审计报告</w:t>
      </w:r>
      <w:r>
        <w:rPr>
          <w:rFonts w:hint="eastAsia" w:ascii="宋体" w:hAnsi="宋体" w:cs="宋体"/>
          <w:szCs w:val="21"/>
          <w:highlight w:val="none"/>
        </w:rPr>
        <w:t>（包括资产负债表、现金流量表、</w:t>
      </w:r>
      <w:r>
        <w:rPr>
          <w:rFonts w:hint="eastAsia" w:ascii="宋体" w:hAnsi="宋体" w:cs="宋体"/>
          <w:szCs w:val="21"/>
        </w:rPr>
        <w:t>损益表或利润表</w:t>
      </w:r>
      <w:r>
        <w:rPr>
          <w:rFonts w:hint="eastAsia" w:ascii="宋体" w:hAnsi="宋体" w:cs="宋体"/>
          <w:szCs w:val="21"/>
          <w:highlight w:val="none"/>
        </w:rPr>
        <w:t>）</w:t>
      </w:r>
      <w:r>
        <w:rPr>
          <w:rFonts w:hint="eastAsia" w:ascii="宋体" w:hAnsi="宋体"/>
          <w:bCs/>
          <w:szCs w:val="21"/>
          <w:highlight w:val="none"/>
        </w:rPr>
        <w:t>，</w:t>
      </w:r>
      <w:r>
        <w:rPr>
          <w:rFonts w:hint="eastAsia" w:ascii="宋体" w:hAnsi="宋体" w:cs="宋体"/>
          <w:szCs w:val="21"/>
          <w:highlight w:val="none"/>
        </w:rPr>
        <w:t>成立时间不足一年的，可提供自投标文件提交截止时间前三个月内开户银行出具的资信证明或资金存款证明</w:t>
      </w:r>
      <w:r>
        <w:rPr>
          <w:rFonts w:hint="eastAsia" w:ascii="宋体" w:hAnsi="宋体" w:eastAsia="宋体" w:cs="宋体"/>
          <w:color w:val="auto"/>
          <w:sz w:val="21"/>
          <w:szCs w:val="21"/>
          <w:lang w:val="en-US" w:eastAsia="zh-CN"/>
        </w:rPr>
        <w:t>。</w:t>
      </w:r>
    </w:p>
    <w:p>
      <w:pPr>
        <w:pStyle w:val="15"/>
        <w:spacing w:line="360" w:lineRule="auto"/>
        <w:ind w:firstLine="420" w:firstLineChars="200"/>
        <w:rPr>
          <w:rFonts w:hint="eastAsia" w:ascii="宋体" w:hAnsi="宋体" w:eastAsia="宋体" w:cs="宋体"/>
          <w:b/>
          <w:bCs/>
          <w:color w:val="auto"/>
          <w:sz w:val="21"/>
          <w:szCs w:val="21"/>
        </w:rPr>
      </w:pPr>
      <w:r>
        <w:rPr>
          <w:rFonts w:hint="eastAsia" w:ascii="宋体" w:hAnsi="宋体" w:eastAsia="宋体" w:cs="宋体"/>
          <w:b/>
          <w:bCs/>
          <w:color w:val="auto"/>
          <w:sz w:val="21"/>
          <w:szCs w:val="21"/>
          <w:lang w:eastAsia="zh-CN"/>
        </w:rPr>
        <w:t>扫描件加盖电子签章</w:t>
      </w:r>
      <w:r>
        <w:rPr>
          <w:rFonts w:hint="eastAsia" w:ascii="宋体" w:hAnsi="宋体" w:eastAsia="宋体" w:cs="宋体"/>
          <w:b/>
          <w:bCs/>
          <w:color w:val="auto"/>
          <w:sz w:val="21"/>
          <w:szCs w:val="21"/>
        </w:rPr>
        <w:t>。</w:t>
      </w:r>
    </w:p>
    <w:p>
      <w:pPr>
        <w:pStyle w:val="15"/>
        <w:spacing w:line="360" w:lineRule="auto"/>
        <w:ind w:firstLine="420" w:firstLineChars="200"/>
        <w:rPr>
          <w:rFonts w:hint="eastAsia" w:ascii="宋体" w:hAnsi="宋体" w:eastAsia="宋体" w:cs="宋体"/>
          <w:color w:val="auto"/>
          <w:sz w:val="21"/>
          <w:szCs w:val="21"/>
        </w:rPr>
      </w:pPr>
    </w:p>
    <w:p>
      <w:pPr>
        <w:spacing w:line="360" w:lineRule="auto"/>
        <w:ind w:firstLine="420" w:firstLineChars="200"/>
        <w:jc w:val="left"/>
        <w:rPr>
          <w:rFonts w:ascii="宋体" w:hAnsi="宋体"/>
          <w:bCs/>
          <w:szCs w:val="21"/>
          <w:highlight w:val="none"/>
        </w:rPr>
      </w:pPr>
      <w:r>
        <w:rPr>
          <w:rFonts w:hint="eastAsia" w:ascii="宋体" w:hAnsi="宋体" w:eastAsia="宋体" w:cs="宋体"/>
          <w:color w:val="auto"/>
          <w:sz w:val="21"/>
          <w:szCs w:val="21"/>
        </w:rPr>
        <w:t>8-3：投标人具有履行合同所必需的设备和专业技术能力</w:t>
      </w:r>
      <w:r>
        <w:rPr>
          <w:rFonts w:hint="eastAsia" w:ascii="宋体" w:hAnsi="宋体" w:eastAsia="宋体" w:cs="宋体"/>
          <w:b/>
          <w:bCs/>
          <w:color w:val="auto"/>
          <w:sz w:val="21"/>
          <w:szCs w:val="21"/>
        </w:rPr>
        <w:t>（</w:t>
      </w:r>
      <w:r>
        <w:rPr>
          <w:rFonts w:hint="eastAsia" w:ascii="宋体" w:hAnsi="宋体"/>
          <w:bCs/>
          <w:szCs w:val="21"/>
          <w:highlight w:val="none"/>
        </w:rPr>
        <w:t>提供具备履行合同所必需的设备和专</w:t>
      </w:r>
    </w:p>
    <w:p>
      <w:pPr>
        <w:pStyle w:val="15"/>
        <w:spacing w:line="360" w:lineRule="auto"/>
        <w:ind w:firstLine="420" w:firstLineChars="200"/>
        <w:rPr>
          <w:rFonts w:hint="eastAsia" w:ascii="宋体" w:hAnsi="宋体" w:eastAsia="宋体" w:cs="宋体"/>
          <w:color w:val="auto"/>
          <w:sz w:val="21"/>
          <w:szCs w:val="21"/>
        </w:rPr>
      </w:pPr>
      <w:r>
        <w:rPr>
          <w:rFonts w:hint="eastAsia" w:ascii="宋体" w:hAnsi="宋体"/>
          <w:bCs/>
          <w:szCs w:val="21"/>
          <w:highlight w:val="none"/>
        </w:rPr>
        <w:t>业技术能力的书面承诺</w:t>
      </w:r>
      <w:r>
        <w:rPr>
          <w:rFonts w:hint="eastAsia" w:ascii="宋体" w:hAnsi="宋体"/>
          <w:bCs/>
          <w:szCs w:val="21"/>
          <w:highlight w:val="none"/>
          <w:lang w:val="en-US" w:eastAsia="zh-CN"/>
        </w:rPr>
        <w:t>或证明材料</w:t>
      </w:r>
      <w:r>
        <w:rPr>
          <w:rFonts w:hint="eastAsia" w:ascii="宋体" w:hAnsi="宋体" w:eastAsia="宋体" w:cs="宋体"/>
          <w:b/>
          <w:bCs/>
          <w:color w:val="auto"/>
          <w:sz w:val="21"/>
          <w:szCs w:val="21"/>
        </w:rPr>
        <w:t>加盖电子签章）；</w:t>
      </w:r>
    </w:p>
    <w:p>
      <w:pPr>
        <w:rPr>
          <w:rFonts w:hint="eastAsia" w:ascii="宋体" w:hAnsi="宋体" w:eastAsia="宋体" w:cs="宋体"/>
          <w:color w:val="auto"/>
          <w:sz w:val="21"/>
          <w:szCs w:val="21"/>
        </w:rPr>
      </w:pPr>
    </w:p>
    <w:p>
      <w:pPr>
        <w:pStyle w:val="15"/>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8-4：投标人具有依法缴纳税收和社会保障资金的良好记录：</w:t>
      </w:r>
    </w:p>
    <w:p>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bCs/>
          <w:szCs w:val="21"/>
          <w:highlight w:val="none"/>
        </w:rPr>
        <w:t>提供2023年至今任意</w:t>
      </w:r>
      <w:r>
        <w:rPr>
          <w:rFonts w:hint="eastAsia" w:ascii="宋体" w:hAnsi="宋体"/>
          <w:bCs/>
          <w:szCs w:val="21"/>
          <w:highlight w:val="none"/>
          <w:lang w:val="en-US" w:eastAsia="zh-CN"/>
        </w:rPr>
        <w:t>连续3</w:t>
      </w:r>
      <w:r>
        <w:rPr>
          <w:rFonts w:hint="eastAsia" w:ascii="宋体" w:hAnsi="宋体"/>
          <w:bCs/>
          <w:szCs w:val="21"/>
          <w:highlight w:val="none"/>
        </w:rPr>
        <w:t>个月的缴纳税收证明和任意</w:t>
      </w:r>
      <w:r>
        <w:rPr>
          <w:rFonts w:hint="eastAsia" w:ascii="宋体" w:hAnsi="宋体"/>
          <w:bCs/>
          <w:szCs w:val="21"/>
          <w:highlight w:val="none"/>
          <w:lang w:val="en-US" w:eastAsia="zh-CN"/>
        </w:rPr>
        <w:t>连续</w:t>
      </w:r>
      <w:r>
        <w:rPr>
          <w:rFonts w:hint="eastAsia" w:ascii="宋体" w:hAnsi="宋体"/>
          <w:bCs/>
          <w:szCs w:val="21"/>
          <w:highlight w:val="none"/>
        </w:rPr>
        <w:t>3个月的缴纳社保证明材料；成立时间不足</w:t>
      </w:r>
      <w:r>
        <w:rPr>
          <w:rFonts w:hint="eastAsia" w:ascii="宋体" w:hAnsi="宋体"/>
          <w:bCs/>
          <w:szCs w:val="21"/>
          <w:highlight w:val="none"/>
          <w:lang w:val="en-US" w:eastAsia="zh-CN"/>
        </w:rPr>
        <w:t>3</w:t>
      </w:r>
      <w:r>
        <w:rPr>
          <w:rFonts w:hint="eastAsia" w:ascii="宋体" w:hAnsi="宋体"/>
          <w:bCs/>
          <w:szCs w:val="21"/>
          <w:highlight w:val="none"/>
        </w:rPr>
        <w:t>个月的须提供相关证明材料。依法免税或</w:t>
      </w:r>
      <w:r>
        <w:rPr>
          <w:rFonts w:hint="eastAsia" w:ascii="宋体" w:hAnsi="宋体"/>
          <w:bCs/>
          <w:szCs w:val="21"/>
          <w:highlight w:val="none"/>
          <w:lang w:val="en-US" w:eastAsia="zh-CN"/>
        </w:rPr>
        <w:t>无需</w:t>
      </w:r>
      <w:r>
        <w:rPr>
          <w:rFonts w:hint="eastAsia" w:ascii="宋体" w:hAnsi="宋体"/>
          <w:bCs/>
          <w:szCs w:val="21"/>
          <w:highlight w:val="none"/>
        </w:rPr>
        <w:t>缴纳社会保障资金的投标人应提供依法免税或</w:t>
      </w:r>
      <w:r>
        <w:rPr>
          <w:rFonts w:hint="eastAsia" w:ascii="宋体" w:hAnsi="宋体"/>
          <w:bCs/>
          <w:szCs w:val="21"/>
          <w:highlight w:val="none"/>
          <w:lang w:val="en-US" w:eastAsia="zh-CN"/>
        </w:rPr>
        <w:t>无需</w:t>
      </w:r>
      <w:r>
        <w:rPr>
          <w:rFonts w:hint="eastAsia" w:ascii="宋体" w:hAnsi="宋体"/>
          <w:bCs/>
          <w:szCs w:val="21"/>
          <w:highlight w:val="none"/>
        </w:rPr>
        <w:t>缴纳社会保障资金</w:t>
      </w:r>
      <w:r>
        <w:rPr>
          <w:rFonts w:hint="eastAsia" w:ascii="宋体" w:hAnsi="宋体"/>
          <w:bCs/>
          <w:szCs w:val="21"/>
          <w:highlight w:val="none"/>
          <w:lang w:val="en-US" w:eastAsia="zh-CN"/>
        </w:rPr>
        <w:t>的</w:t>
      </w:r>
      <w:r>
        <w:rPr>
          <w:rFonts w:hint="eastAsia" w:ascii="宋体" w:hAnsi="宋体"/>
          <w:bCs/>
          <w:szCs w:val="21"/>
          <w:highlight w:val="none"/>
        </w:rPr>
        <w:t>证明</w:t>
      </w:r>
      <w:r>
        <w:rPr>
          <w:rFonts w:hint="eastAsia" w:ascii="宋体" w:hAnsi="宋体"/>
          <w:bCs/>
          <w:szCs w:val="21"/>
          <w:highlight w:val="none"/>
          <w:lang w:val="en-US" w:eastAsia="zh-CN"/>
        </w:rPr>
        <w:t>材料，</w:t>
      </w:r>
      <w:r>
        <w:rPr>
          <w:rFonts w:hint="eastAsia" w:ascii="宋体" w:hAnsi="宋体" w:eastAsia="宋体" w:cs="宋体"/>
          <w:b/>
          <w:bCs/>
          <w:color w:val="auto"/>
          <w:sz w:val="21"/>
          <w:szCs w:val="21"/>
        </w:rPr>
        <w:t>加盖电子签章</w:t>
      </w:r>
      <w:r>
        <w:rPr>
          <w:rFonts w:hint="eastAsia" w:ascii="宋体" w:hAnsi="宋体" w:eastAsia="宋体" w:cs="宋体"/>
          <w:color w:val="auto"/>
          <w:sz w:val="21"/>
          <w:szCs w:val="21"/>
          <w:lang w:val="en-US" w:eastAsia="zh-CN"/>
        </w:rPr>
        <w:t>。</w:t>
      </w:r>
    </w:p>
    <w:p>
      <w:pPr>
        <w:pStyle w:val="15"/>
        <w:spacing w:line="360" w:lineRule="auto"/>
        <w:ind w:firstLine="420" w:firstLineChars="200"/>
        <w:rPr>
          <w:rFonts w:hint="eastAsia" w:ascii="宋体" w:hAnsi="宋体" w:eastAsia="宋体" w:cs="宋体"/>
          <w:color w:val="auto"/>
          <w:sz w:val="21"/>
          <w:szCs w:val="21"/>
        </w:rPr>
      </w:pPr>
    </w:p>
    <w:p>
      <w:pPr>
        <w:pStyle w:val="15"/>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8-5：</w:t>
      </w:r>
      <w:r>
        <w:rPr>
          <w:rFonts w:hint="eastAsia" w:ascii="宋体" w:hAnsi="宋体"/>
          <w:bCs/>
          <w:szCs w:val="21"/>
          <w:highlight w:val="none"/>
        </w:rPr>
        <w:t xml:space="preserve"> 参加政府采购活动前三年内，在经营活动中没有重大违法记录。提供参加政府采购活动前三年内在经营活动中没有重大违法记录</w:t>
      </w:r>
      <w:r>
        <w:rPr>
          <w:rFonts w:hint="eastAsia" w:ascii="宋体" w:hAnsi="宋体"/>
          <w:b w:val="0"/>
          <w:bCs/>
          <w:szCs w:val="21"/>
          <w:highlight w:val="none"/>
        </w:rPr>
        <w:t>的</w:t>
      </w:r>
      <w:r>
        <w:rPr>
          <w:rFonts w:hint="eastAsia" w:ascii="宋体" w:hAnsi="宋体"/>
          <w:b/>
          <w:bCs w:val="0"/>
          <w:szCs w:val="21"/>
          <w:highlight w:val="none"/>
        </w:rPr>
        <w:t>书面声明（</w:t>
      </w:r>
      <w:r>
        <w:rPr>
          <w:rFonts w:hint="eastAsia" w:ascii="宋体" w:hAnsi="宋体"/>
          <w:bCs/>
          <w:szCs w:val="21"/>
          <w:highlight w:val="none"/>
        </w:rPr>
        <w:t>重大违法记录是指：因违法经营受到刑事处罚或者责令停产停业、吊销许可证或者执照、较大数额罚款等行政处罚）</w:t>
      </w:r>
      <w:r>
        <w:rPr>
          <w:rFonts w:hint="eastAsia" w:ascii="宋体" w:hAnsi="宋体" w:eastAsia="宋体" w:cs="宋体"/>
          <w:b/>
          <w:bCs/>
          <w:color w:val="auto"/>
          <w:sz w:val="21"/>
          <w:szCs w:val="21"/>
        </w:rPr>
        <w:t>（加盖电子签章）</w:t>
      </w:r>
      <w:r>
        <w:rPr>
          <w:rFonts w:hint="eastAsia" w:ascii="宋体" w:hAnsi="宋体" w:eastAsia="宋体" w:cs="宋体"/>
          <w:color w:val="auto"/>
          <w:sz w:val="21"/>
          <w:szCs w:val="21"/>
        </w:rPr>
        <w:t>；</w:t>
      </w:r>
    </w:p>
    <w:p>
      <w:pPr>
        <w:pStyle w:val="15"/>
        <w:spacing w:line="360" w:lineRule="auto"/>
        <w:ind w:firstLine="420" w:firstLineChars="200"/>
        <w:rPr>
          <w:rFonts w:hint="eastAsia" w:ascii="宋体" w:hAnsi="宋体" w:eastAsia="宋体" w:cs="宋体"/>
          <w:color w:val="auto"/>
          <w:sz w:val="21"/>
          <w:szCs w:val="21"/>
        </w:rPr>
      </w:pPr>
    </w:p>
    <w:p>
      <w:pPr>
        <w:spacing w:line="360" w:lineRule="auto"/>
        <w:ind w:left="4"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8-6：</w:t>
      </w:r>
      <w:r>
        <w:rPr>
          <w:rFonts w:hint="eastAsia" w:ascii="宋体" w:hAnsi="宋体"/>
          <w:bCs/>
          <w:szCs w:val="21"/>
          <w:highlight w:val="none"/>
        </w:rPr>
        <w:t>单位负责人为同一人或者存在直接控股、管理关系的不同投标人，不得参加同一合同项下的政府采购活动</w:t>
      </w:r>
      <w:r>
        <w:rPr>
          <w:rFonts w:hint="eastAsia" w:ascii="宋体" w:hAnsi="宋体" w:eastAsia="宋体" w:cs="宋体"/>
          <w:b/>
          <w:bCs/>
          <w:color w:val="auto"/>
          <w:sz w:val="21"/>
          <w:szCs w:val="21"/>
        </w:rPr>
        <w:t>（</w:t>
      </w:r>
      <w:r>
        <w:rPr>
          <w:rFonts w:hint="eastAsia" w:ascii="宋体" w:hAnsi="宋体" w:eastAsia="宋体" w:cs="宋体"/>
          <w:b/>
          <w:bCs/>
          <w:color w:val="auto"/>
          <w:sz w:val="21"/>
          <w:szCs w:val="21"/>
          <w:lang w:val="en-US" w:eastAsia="zh-CN"/>
        </w:rPr>
        <w:t>提供</w:t>
      </w:r>
      <w:r>
        <w:rPr>
          <w:rFonts w:hint="eastAsia" w:ascii="宋体" w:hAnsi="宋体" w:eastAsia="宋体" w:cs="宋体"/>
          <w:b/>
          <w:bCs/>
          <w:color w:val="auto"/>
          <w:sz w:val="21"/>
          <w:szCs w:val="21"/>
        </w:rPr>
        <w:t>承诺加盖电子签章）</w:t>
      </w:r>
      <w:r>
        <w:rPr>
          <w:rFonts w:hint="eastAsia" w:ascii="宋体" w:hAnsi="宋体" w:eastAsia="宋体" w:cs="宋体"/>
          <w:color w:val="auto"/>
          <w:sz w:val="21"/>
          <w:szCs w:val="21"/>
        </w:rPr>
        <w:t>；</w:t>
      </w:r>
    </w:p>
    <w:p>
      <w:pPr>
        <w:rPr>
          <w:rFonts w:hint="eastAsia" w:ascii="宋体" w:hAnsi="宋体" w:eastAsia="宋体" w:cs="宋体"/>
          <w:color w:val="auto"/>
          <w:sz w:val="21"/>
          <w:szCs w:val="21"/>
        </w:rPr>
      </w:pPr>
    </w:p>
    <w:p>
      <w:pPr>
        <w:pStyle w:val="15"/>
        <w:spacing w:line="36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8-</w:t>
      </w:r>
      <w:r>
        <w:rPr>
          <w:rFonts w:hint="eastAsia" w:hAnsi="宋体" w:cs="宋体"/>
          <w:color w:val="auto"/>
          <w:sz w:val="21"/>
          <w:szCs w:val="21"/>
          <w:lang w:val="en-US" w:eastAsia="zh-CN"/>
        </w:rPr>
        <w:t>7</w:t>
      </w:r>
      <w:r>
        <w:rPr>
          <w:rFonts w:hint="eastAsia" w:ascii="宋体" w:hAnsi="宋体" w:eastAsia="宋体" w:cs="宋体"/>
          <w:color w:val="auto"/>
          <w:sz w:val="21"/>
          <w:szCs w:val="21"/>
          <w:lang w:val="en-US" w:eastAsia="zh-CN"/>
        </w:rPr>
        <w:t>：</w:t>
      </w:r>
      <w:r>
        <w:rPr>
          <w:rFonts w:hint="eastAsia" w:hAnsi="宋体" w:cs="宋体"/>
          <w:color w:val="auto"/>
          <w:sz w:val="21"/>
          <w:szCs w:val="21"/>
          <w:lang w:val="en-US" w:eastAsia="zh-CN"/>
        </w:rPr>
        <w:t>非联合体投标承诺书</w:t>
      </w:r>
      <w:r>
        <w:rPr>
          <w:rFonts w:hint="eastAsia" w:ascii="宋体" w:hAnsi="宋体" w:eastAsia="宋体" w:cs="宋体"/>
          <w:color w:val="auto"/>
          <w:sz w:val="21"/>
          <w:szCs w:val="21"/>
          <w:lang w:eastAsia="zh-CN"/>
        </w:rPr>
        <w:t>。</w:t>
      </w:r>
    </w:p>
    <w:p>
      <w:pPr>
        <w:pStyle w:val="15"/>
        <w:spacing w:line="360" w:lineRule="auto"/>
        <w:ind w:firstLine="420" w:firstLineChars="200"/>
        <w:rPr>
          <w:rFonts w:hint="eastAsia" w:ascii="宋体" w:hAnsi="宋体" w:eastAsia="宋体" w:cs="宋体"/>
          <w:color w:val="auto"/>
          <w:sz w:val="21"/>
          <w:szCs w:val="21"/>
          <w:lang w:val="en-US" w:eastAsia="zh-CN"/>
        </w:rPr>
      </w:pPr>
    </w:p>
    <w:p>
      <w:pPr>
        <w:pStyle w:val="15"/>
        <w:spacing w:line="36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8-</w:t>
      </w:r>
      <w:r>
        <w:rPr>
          <w:rFonts w:hint="eastAsia" w:hAnsi="宋体" w:cs="宋体"/>
          <w:color w:val="auto"/>
          <w:sz w:val="21"/>
          <w:szCs w:val="21"/>
          <w:lang w:val="en-US" w:eastAsia="zh-CN"/>
        </w:rPr>
        <w:t>8</w:t>
      </w:r>
      <w:r>
        <w:rPr>
          <w:rFonts w:hint="eastAsia" w:ascii="宋体" w:hAnsi="宋体" w:eastAsia="宋体" w:cs="宋体"/>
          <w:color w:val="auto"/>
          <w:sz w:val="21"/>
          <w:szCs w:val="21"/>
          <w:lang w:val="en-US" w:eastAsia="zh-CN"/>
        </w:rPr>
        <w:t>：</w:t>
      </w:r>
      <w:r>
        <w:rPr>
          <w:rFonts w:hint="eastAsia" w:hAnsi="宋体" w:cs="宋体"/>
          <w:color w:val="auto"/>
          <w:sz w:val="21"/>
          <w:szCs w:val="21"/>
          <w:lang w:val="en-US" w:eastAsia="zh-CN"/>
        </w:rPr>
        <w:t>其余内容</w:t>
      </w:r>
      <w:r>
        <w:rPr>
          <w:rFonts w:hint="eastAsia" w:ascii="宋体" w:hAnsi="宋体" w:eastAsia="宋体" w:cs="宋体"/>
          <w:color w:val="auto"/>
          <w:sz w:val="21"/>
          <w:szCs w:val="21"/>
          <w:lang w:eastAsia="zh-CN"/>
        </w:rPr>
        <w:t>。</w:t>
      </w:r>
    </w:p>
    <w:p>
      <w:pPr>
        <w:rPr>
          <w:rFonts w:hint="eastAsia"/>
          <w:lang w:eastAsia="zh-CN"/>
        </w:rPr>
      </w:pPr>
    </w:p>
    <w:p>
      <w:pPr>
        <w:rPr>
          <w:rFonts w:hint="eastAsia"/>
          <w:lang w:val="en-US" w:eastAsia="zh-CN"/>
        </w:rPr>
      </w:pPr>
    </w:p>
    <w:p>
      <w:pPr>
        <w:rPr>
          <w:rFonts w:hint="eastAsia" w:hAnsi="宋体" w:cs="宋体"/>
          <w:b/>
          <w:color w:val="auto"/>
          <w:sz w:val="24"/>
          <w:szCs w:val="24"/>
          <w:highlight w:val="none"/>
        </w:rPr>
      </w:pPr>
      <w:r>
        <w:rPr>
          <w:rFonts w:hint="eastAsia" w:hAnsi="宋体" w:cs="宋体"/>
          <w:b/>
          <w:color w:val="auto"/>
          <w:sz w:val="24"/>
          <w:szCs w:val="24"/>
          <w:highlight w:val="none"/>
        </w:rPr>
        <w:br w:type="page"/>
      </w:r>
    </w:p>
    <w:p>
      <w:pPr>
        <w:pStyle w:val="15"/>
        <w:numPr>
          <w:ilvl w:val="0"/>
          <w:numId w:val="0"/>
        </w:numPr>
        <w:spacing w:line="500" w:lineRule="exact"/>
        <w:ind w:leftChars="0"/>
        <w:outlineLvl w:val="1"/>
        <w:rPr>
          <w:rFonts w:hAnsi="宋体" w:cs="宋体"/>
          <w:b/>
          <w:color w:val="auto"/>
          <w:sz w:val="24"/>
          <w:szCs w:val="24"/>
          <w:highlight w:val="none"/>
        </w:rPr>
      </w:pPr>
      <w:bookmarkStart w:id="84" w:name="_Toc14353"/>
      <w:r>
        <w:rPr>
          <w:rFonts w:hint="eastAsia" w:hAnsi="宋体" w:cs="宋体"/>
          <w:b/>
          <w:color w:val="auto"/>
          <w:sz w:val="24"/>
          <w:szCs w:val="24"/>
          <w:highlight w:val="none"/>
        </w:rPr>
        <w:t>格式</w:t>
      </w:r>
      <w:r>
        <w:rPr>
          <w:rFonts w:hint="eastAsia" w:hAnsi="宋体" w:cs="宋体"/>
          <w:b/>
          <w:color w:val="auto"/>
          <w:sz w:val="24"/>
          <w:szCs w:val="24"/>
          <w:highlight w:val="none"/>
          <w:lang w:val="en-US" w:eastAsia="zh-CN"/>
        </w:rPr>
        <w:t>9</w:t>
      </w:r>
      <w:r>
        <w:rPr>
          <w:rFonts w:hint="eastAsia" w:hAnsi="宋体" w:cs="宋体"/>
          <w:b/>
          <w:color w:val="auto"/>
          <w:sz w:val="24"/>
          <w:szCs w:val="24"/>
          <w:highlight w:val="none"/>
        </w:rPr>
        <w:t>：</w:t>
      </w:r>
      <w:bookmarkEnd w:id="83"/>
      <w:r>
        <w:rPr>
          <w:rFonts w:hint="eastAsia" w:hAnsi="宋体" w:cs="宋体"/>
          <w:b/>
          <w:color w:val="auto"/>
          <w:sz w:val="24"/>
          <w:szCs w:val="24"/>
          <w:highlight w:val="none"/>
        </w:rPr>
        <w:t>技术参数说明及偏离表</w:t>
      </w:r>
      <w:bookmarkEnd w:id="84"/>
    </w:p>
    <w:p>
      <w:pPr>
        <w:pStyle w:val="15"/>
        <w:spacing w:line="500" w:lineRule="exact"/>
        <w:rPr>
          <w:rFonts w:hAnsi="宋体" w:cs="宋体"/>
          <w:b/>
          <w:color w:val="auto"/>
          <w:sz w:val="28"/>
          <w:szCs w:val="28"/>
          <w:highlight w:val="none"/>
        </w:rPr>
      </w:pPr>
    </w:p>
    <w:p>
      <w:pPr>
        <w:jc w:val="center"/>
        <w:rPr>
          <w:rFonts w:ascii="宋体" w:hAnsi="宋体" w:cs="宋体"/>
          <w:color w:val="auto"/>
          <w:sz w:val="32"/>
          <w:szCs w:val="32"/>
          <w:highlight w:val="none"/>
        </w:rPr>
      </w:pPr>
      <w:bookmarkStart w:id="85" w:name="_Toc393354847"/>
      <w:bookmarkStart w:id="86" w:name="_Toc475291697"/>
      <w:bookmarkStart w:id="87" w:name="_Toc484267486"/>
      <w:r>
        <w:rPr>
          <w:rFonts w:hint="eastAsia" w:ascii="宋体" w:hAnsi="宋体" w:cs="宋体"/>
          <w:b/>
          <w:color w:val="auto"/>
          <w:sz w:val="32"/>
          <w:szCs w:val="32"/>
          <w:highlight w:val="none"/>
          <w:lang w:val="en-US" w:eastAsia="zh-CN"/>
        </w:rPr>
        <w:t>9-1</w:t>
      </w:r>
      <w:r>
        <w:rPr>
          <w:rFonts w:hint="eastAsia" w:ascii="宋体" w:hAnsi="宋体" w:cs="宋体"/>
          <w:b/>
          <w:color w:val="auto"/>
          <w:sz w:val="32"/>
          <w:szCs w:val="32"/>
          <w:highlight w:val="none"/>
        </w:rPr>
        <w:t>技术参数说明及偏离表</w:t>
      </w:r>
      <w:bookmarkEnd w:id="85"/>
      <w:bookmarkEnd w:id="86"/>
      <w:bookmarkEnd w:id="87"/>
    </w:p>
    <w:p>
      <w:pPr>
        <w:rPr>
          <w:rFonts w:ascii="宋体" w:hAnsi="宋体" w:cs="宋体"/>
          <w:color w:val="auto"/>
          <w:highlight w:val="none"/>
        </w:rPr>
      </w:pPr>
    </w:p>
    <w:p>
      <w:pPr>
        <w:pStyle w:val="15"/>
        <w:ind w:firstLine="210" w:firstLineChars="100"/>
        <w:rPr>
          <w:rFonts w:hint="eastAsia" w:hAnsi="宋体" w:cs="宋体"/>
          <w:color w:val="auto"/>
          <w:szCs w:val="21"/>
          <w:highlight w:val="none"/>
        </w:rPr>
      </w:pPr>
      <w:r>
        <w:rPr>
          <w:rFonts w:hint="eastAsia" w:hAnsi="宋体" w:cs="宋体"/>
          <w:color w:val="auto"/>
          <w:szCs w:val="21"/>
          <w:highlight w:val="none"/>
        </w:rPr>
        <w:t xml:space="preserve">   请按投标产品的实际技术参数，逐条对应</w:t>
      </w:r>
      <w:r>
        <w:rPr>
          <w:rFonts w:hint="eastAsia" w:hAnsi="宋体" w:cs="宋体"/>
          <w:color w:val="auto"/>
          <w:szCs w:val="21"/>
          <w:highlight w:val="none"/>
          <w:lang w:eastAsia="zh-CN"/>
        </w:rPr>
        <w:t>采购文件</w:t>
      </w:r>
      <w:r>
        <w:rPr>
          <w:rFonts w:hint="eastAsia" w:hAnsi="宋体" w:cs="宋体"/>
          <w:color w:val="auto"/>
          <w:szCs w:val="21"/>
          <w:highlight w:val="none"/>
          <w:lang w:val="en-US" w:eastAsia="zh-CN"/>
        </w:rPr>
        <w:t>第五章</w:t>
      </w:r>
      <w:r>
        <w:rPr>
          <w:rFonts w:hint="eastAsia" w:hAnsi="宋体" w:cs="宋体"/>
          <w:color w:val="auto"/>
          <w:szCs w:val="21"/>
          <w:highlight w:val="none"/>
        </w:rPr>
        <w:t>“</w:t>
      </w:r>
      <w:r>
        <w:rPr>
          <w:rFonts w:hint="eastAsia" w:hAnsi="宋体" w:cs="宋体"/>
          <w:b/>
          <w:color w:val="auto"/>
          <w:szCs w:val="21"/>
          <w:highlight w:val="none"/>
          <w:lang w:val="en-US" w:eastAsia="zh-CN"/>
        </w:rPr>
        <w:t>采购需求</w:t>
      </w:r>
      <w:r>
        <w:rPr>
          <w:rFonts w:hint="eastAsia" w:hAnsi="宋体" w:cs="宋体"/>
          <w:color w:val="auto"/>
          <w:szCs w:val="21"/>
          <w:highlight w:val="none"/>
        </w:rPr>
        <w:t>”中要求的</w:t>
      </w:r>
      <w:r>
        <w:rPr>
          <w:rFonts w:hint="eastAsia" w:hAnsi="宋体" w:cs="宋体"/>
          <w:color w:val="auto"/>
          <w:szCs w:val="21"/>
          <w:highlight w:val="none"/>
          <w:lang w:val="en-US" w:eastAsia="zh-CN"/>
        </w:rPr>
        <w:t>货物主要指标参数标准</w:t>
      </w:r>
      <w:r>
        <w:rPr>
          <w:rFonts w:hint="eastAsia" w:hAnsi="宋体" w:cs="宋体"/>
          <w:color w:val="auto"/>
          <w:szCs w:val="21"/>
          <w:highlight w:val="none"/>
        </w:rPr>
        <w:t>认真填写该表。</w:t>
      </w:r>
    </w:p>
    <w:p>
      <w:pPr>
        <w:pStyle w:val="15"/>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hAnsi="宋体" w:cs="宋体"/>
          <w:color w:val="auto"/>
          <w:szCs w:val="21"/>
          <w:highlight w:val="none"/>
        </w:rPr>
      </w:pPr>
    </w:p>
    <w:tbl>
      <w:tblPr>
        <w:tblStyle w:val="30"/>
        <w:tblW w:w="9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1278"/>
        <w:gridCol w:w="1557"/>
        <w:gridCol w:w="1410"/>
        <w:gridCol w:w="1790"/>
        <w:gridCol w:w="1260"/>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810" w:type="dxa"/>
            <w:vAlign w:val="center"/>
          </w:tcPr>
          <w:p>
            <w:pPr>
              <w:jc w:val="center"/>
              <w:rPr>
                <w:rFonts w:hint="eastAsia" w:ascii="宋体" w:hAnsi="宋体" w:eastAsia="宋体"/>
                <w:b/>
                <w:sz w:val="24"/>
                <w:highlight w:val="none"/>
                <w:lang w:eastAsia="zh-CN"/>
              </w:rPr>
            </w:pPr>
            <w:r>
              <w:rPr>
                <w:rFonts w:hint="eastAsia" w:ascii="宋体" w:hAnsi="宋体"/>
                <w:b/>
                <w:sz w:val="24"/>
                <w:highlight w:val="none"/>
                <w:lang w:val="en-US" w:eastAsia="zh-CN"/>
              </w:rPr>
              <w:t>序号</w:t>
            </w:r>
          </w:p>
        </w:tc>
        <w:tc>
          <w:tcPr>
            <w:tcW w:w="1278" w:type="dxa"/>
            <w:vAlign w:val="center"/>
          </w:tcPr>
          <w:p>
            <w:pPr>
              <w:jc w:val="center"/>
              <w:rPr>
                <w:rFonts w:hint="eastAsia" w:ascii="宋体" w:hAnsi="宋体" w:eastAsia="宋体"/>
                <w:b/>
                <w:sz w:val="24"/>
                <w:highlight w:val="none"/>
                <w:lang w:eastAsia="zh-CN"/>
              </w:rPr>
            </w:pPr>
            <w:r>
              <w:rPr>
                <w:rFonts w:hint="eastAsia" w:ascii="宋体" w:hAnsi="宋体"/>
                <w:b/>
                <w:sz w:val="24"/>
                <w:highlight w:val="none"/>
                <w:lang w:val="en-US" w:eastAsia="zh-CN"/>
              </w:rPr>
              <w:t>产品名称</w:t>
            </w:r>
          </w:p>
        </w:tc>
        <w:tc>
          <w:tcPr>
            <w:tcW w:w="1557" w:type="dxa"/>
            <w:vAlign w:val="center"/>
          </w:tcPr>
          <w:p>
            <w:pPr>
              <w:jc w:val="center"/>
              <w:rPr>
                <w:rFonts w:hint="default" w:ascii="宋体" w:hAnsi="宋体" w:eastAsia="宋体"/>
                <w:b/>
                <w:sz w:val="24"/>
                <w:highlight w:val="none"/>
                <w:lang w:val="en-US" w:eastAsia="zh-CN"/>
              </w:rPr>
            </w:pPr>
            <w:r>
              <w:rPr>
                <w:rFonts w:ascii="宋体" w:hAnsi="宋体"/>
                <w:b/>
                <w:sz w:val="24"/>
                <w:highlight w:val="none"/>
              </w:rPr>
              <w:t>投标品牌、</w:t>
            </w:r>
            <w:r>
              <w:rPr>
                <w:rFonts w:hint="eastAsia" w:ascii="宋体" w:hAnsi="宋体"/>
                <w:b/>
                <w:sz w:val="24"/>
                <w:highlight w:val="none"/>
                <w:lang w:val="en-US" w:eastAsia="zh-CN"/>
              </w:rPr>
              <w:t>规格</w:t>
            </w:r>
            <w:r>
              <w:rPr>
                <w:rFonts w:ascii="宋体" w:hAnsi="宋体"/>
                <w:b/>
                <w:sz w:val="24"/>
                <w:highlight w:val="none"/>
              </w:rPr>
              <w:t>型号</w:t>
            </w:r>
            <w:r>
              <w:rPr>
                <w:rFonts w:hint="eastAsia" w:ascii="宋体" w:hAnsi="宋体"/>
                <w:b/>
                <w:sz w:val="24"/>
                <w:highlight w:val="none"/>
                <w:lang w:eastAsia="zh-CN"/>
              </w:rPr>
              <w:t>、</w:t>
            </w:r>
            <w:r>
              <w:rPr>
                <w:rFonts w:hint="eastAsia" w:ascii="宋体" w:hAnsi="宋体"/>
                <w:b/>
                <w:sz w:val="24"/>
                <w:highlight w:val="none"/>
                <w:lang w:val="en-US" w:eastAsia="zh-CN"/>
              </w:rPr>
              <w:t>生产商</w:t>
            </w:r>
          </w:p>
        </w:tc>
        <w:tc>
          <w:tcPr>
            <w:tcW w:w="1410" w:type="dxa"/>
            <w:vAlign w:val="center"/>
          </w:tcPr>
          <w:p>
            <w:pPr>
              <w:jc w:val="center"/>
              <w:rPr>
                <w:rFonts w:hint="eastAsia" w:ascii="宋体" w:hAnsi="宋体"/>
                <w:b/>
                <w:sz w:val="24"/>
                <w:highlight w:val="none"/>
                <w:lang w:eastAsia="zh-CN"/>
              </w:rPr>
            </w:pPr>
            <w:r>
              <w:rPr>
                <w:rFonts w:hint="eastAsia" w:ascii="宋体" w:hAnsi="宋体"/>
                <w:b/>
                <w:sz w:val="24"/>
                <w:highlight w:val="none"/>
                <w:lang w:eastAsia="zh-CN"/>
              </w:rPr>
              <w:t>采购文件</w:t>
            </w:r>
            <w:r>
              <w:rPr>
                <w:rFonts w:hint="eastAsia" w:ascii="宋体" w:hAnsi="宋体"/>
                <w:b/>
                <w:sz w:val="24"/>
                <w:highlight w:val="none"/>
              </w:rPr>
              <w:t>技术规范要求</w:t>
            </w:r>
          </w:p>
        </w:tc>
        <w:tc>
          <w:tcPr>
            <w:tcW w:w="1790" w:type="dxa"/>
            <w:vAlign w:val="center"/>
          </w:tcPr>
          <w:p>
            <w:pPr>
              <w:jc w:val="center"/>
              <w:rPr>
                <w:rFonts w:ascii="宋体" w:hAnsi="宋体"/>
                <w:b/>
                <w:sz w:val="24"/>
                <w:highlight w:val="none"/>
              </w:rPr>
            </w:pPr>
            <w:r>
              <w:rPr>
                <w:rFonts w:ascii="宋体" w:hAnsi="宋体"/>
                <w:b/>
                <w:sz w:val="24"/>
                <w:highlight w:val="none"/>
              </w:rPr>
              <w:t>投标</w:t>
            </w:r>
            <w:r>
              <w:rPr>
                <w:rFonts w:hint="eastAsia" w:ascii="宋体" w:hAnsi="宋体"/>
                <w:b/>
                <w:sz w:val="24"/>
                <w:highlight w:val="none"/>
                <w:lang w:val="en-US" w:eastAsia="zh-CN"/>
              </w:rPr>
              <w:t>产品</w:t>
            </w:r>
            <w:r>
              <w:rPr>
                <w:rFonts w:ascii="宋体" w:hAnsi="宋体"/>
                <w:b/>
                <w:sz w:val="24"/>
                <w:highlight w:val="none"/>
              </w:rPr>
              <w:t>技术参数及配置</w:t>
            </w:r>
          </w:p>
        </w:tc>
        <w:tc>
          <w:tcPr>
            <w:tcW w:w="1260" w:type="dxa"/>
            <w:vAlign w:val="center"/>
          </w:tcPr>
          <w:p>
            <w:pPr>
              <w:jc w:val="center"/>
              <w:rPr>
                <w:rFonts w:hint="eastAsia" w:ascii="宋体" w:hAnsi="宋体" w:eastAsia="宋体"/>
                <w:b/>
                <w:sz w:val="24"/>
                <w:highlight w:val="none"/>
                <w:lang w:val="en-US" w:eastAsia="zh-CN"/>
              </w:rPr>
            </w:pPr>
            <w:r>
              <w:rPr>
                <w:rFonts w:hint="eastAsia" w:ascii="宋体" w:hAnsi="宋体"/>
                <w:b/>
                <w:sz w:val="24"/>
                <w:highlight w:val="none"/>
              </w:rPr>
              <w:t>偏离</w:t>
            </w:r>
            <w:r>
              <w:rPr>
                <w:rFonts w:hint="eastAsia" w:ascii="宋体" w:hAnsi="宋体"/>
                <w:b/>
                <w:sz w:val="24"/>
                <w:highlight w:val="none"/>
                <w:lang w:val="en-US" w:eastAsia="zh-CN"/>
              </w:rPr>
              <w:t>情况</w:t>
            </w:r>
          </w:p>
        </w:tc>
        <w:tc>
          <w:tcPr>
            <w:tcW w:w="1800" w:type="dxa"/>
            <w:vAlign w:val="center"/>
          </w:tcPr>
          <w:p>
            <w:pPr>
              <w:ind w:right="71" w:rightChars="34"/>
              <w:jc w:val="center"/>
              <w:rPr>
                <w:rFonts w:ascii="宋体" w:hAnsi="宋体"/>
                <w:b/>
                <w:sz w:val="24"/>
                <w:highlight w:val="none"/>
              </w:rPr>
            </w:pPr>
            <w:r>
              <w:rPr>
                <w:rFonts w:hint="eastAsia" w:ascii="宋体" w:hAnsi="宋体"/>
                <w:b/>
                <w:bCs/>
                <w:sz w:val="24"/>
                <w:highlight w:val="none"/>
              </w:rPr>
              <w:t>技术支持资料索引（页码及条目号等）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jc w:val="center"/>
        </w:trPr>
        <w:tc>
          <w:tcPr>
            <w:tcW w:w="810" w:type="dxa"/>
            <w:vAlign w:val="center"/>
          </w:tcPr>
          <w:p>
            <w:pPr>
              <w:spacing w:line="360" w:lineRule="auto"/>
              <w:jc w:val="center"/>
              <w:rPr>
                <w:rFonts w:ascii="宋体" w:hAnsi="宋体"/>
                <w:sz w:val="24"/>
                <w:highlight w:val="none"/>
              </w:rPr>
            </w:pPr>
          </w:p>
        </w:tc>
        <w:tc>
          <w:tcPr>
            <w:tcW w:w="1278" w:type="dxa"/>
            <w:vAlign w:val="center"/>
          </w:tcPr>
          <w:p>
            <w:pPr>
              <w:spacing w:line="360" w:lineRule="auto"/>
              <w:jc w:val="center"/>
              <w:rPr>
                <w:rFonts w:ascii="宋体" w:hAnsi="宋体"/>
                <w:sz w:val="24"/>
                <w:highlight w:val="none"/>
              </w:rPr>
            </w:pPr>
          </w:p>
        </w:tc>
        <w:tc>
          <w:tcPr>
            <w:tcW w:w="1557" w:type="dxa"/>
            <w:vAlign w:val="center"/>
          </w:tcPr>
          <w:p>
            <w:pPr>
              <w:spacing w:line="360" w:lineRule="auto"/>
              <w:jc w:val="center"/>
              <w:rPr>
                <w:rFonts w:ascii="宋体" w:hAnsi="宋体"/>
                <w:sz w:val="24"/>
                <w:highlight w:val="none"/>
              </w:rPr>
            </w:pPr>
          </w:p>
        </w:tc>
        <w:tc>
          <w:tcPr>
            <w:tcW w:w="1410" w:type="dxa"/>
            <w:vAlign w:val="center"/>
          </w:tcPr>
          <w:p>
            <w:pPr>
              <w:spacing w:line="360" w:lineRule="auto"/>
              <w:jc w:val="center"/>
              <w:rPr>
                <w:rFonts w:ascii="宋体" w:hAnsi="宋体"/>
                <w:sz w:val="24"/>
                <w:highlight w:val="none"/>
              </w:rPr>
            </w:pPr>
          </w:p>
        </w:tc>
        <w:tc>
          <w:tcPr>
            <w:tcW w:w="1790" w:type="dxa"/>
            <w:vAlign w:val="center"/>
          </w:tcPr>
          <w:p>
            <w:pPr>
              <w:spacing w:line="360" w:lineRule="auto"/>
              <w:jc w:val="center"/>
              <w:rPr>
                <w:rFonts w:ascii="宋体" w:hAnsi="宋体"/>
                <w:sz w:val="24"/>
                <w:highlight w:val="none"/>
              </w:rPr>
            </w:pPr>
          </w:p>
        </w:tc>
        <w:tc>
          <w:tcPr>
            <w:tcW w:w="1260" w:type="dxa"/>
          </w:tcPr>
          <w:p>
            <w:pPr>
              <w:spacing w:line="360" w:lineRule="auto"/>
              <w:jc w:val="center"/>
              <w:rPr>
                <w:rFonts w:ascii="宋体" w:hAnsi="宋体"/>
                <w:sz w:val="24"/>
                <w:highlight w:val="none"/>
              </w:rPr>
            </w:pPr>
          </w:p>
        </w:tc>
        <w:tc>
          <w:tcPr>
            <w:tcW w:w="1800" w:type="dxa"/>
            <w:vAlign w:val="center"/>
          </w:tcPr>
          <w:p>
            <w:pPr>
              <w:spacing w:line="360" w:lineRule="auto"/>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97" w:hRule="atLeast"/>
          <w:jc w:val="center"/>
        </w:trPr>
        <w:tc>
          <w:tcPr>
            <w:tcW w:w="810" w:type="dxa"/>
            <w:vAlign w:val="center"/>
          </w:tcPr>
          <w:p>
            <w:pPr>
              <w:spacing w:line="360" w:lineRule="auto"/>
              <w:jc w:val="center"/>
              <w:rPr>
                <w:rFonts w:ascii="宋体" w:hAnsi="宋体"/>
                <w:sz w:val="24"/>
                <w:highlight w:val="none"/>
              </w:rPr>
            </w:pPr>
          </w:p>
        </w:tc>
        <w:tc>
          <w:tcPr>
            <w:tcW w:w="1278" w:type="dxa"/>
            <w:vAlign w:val="center"/>
          </w:tcPr>
          <w:p>
            <w:pPr>
              <w:spacing w:line="360" w:lineRule="auto"/>
              <w:jc w:val="center"/>
              <w:rPr>
                <w:rFonts w:ascii="宋体" w:hAnsi="宋体"/>
                <w:sz w:val="24"/>
                <w:highlight w:val="none"/>
              </w:rPr>
            </w:pPr>
          </w:p>
        </w:tc>
        <w:tc>
          <w:tcPr>
            <w:tcW w:w="1557" w:type="dxa"/>
            <w:vAlign w:val="center"/>
          </w:tcPr>
          <w:p>
            <w:pPr>
              <w:spacing w:line="360" w:lineRule="auto"/>
              <w:jc w:val="center"/>
              <w:rPr>
                <w:rFonts w:ascii="宋体" w:hAnsi="宋体"/>
                <w:sz w:val="24"/>
                <w:highlight w:val="none"/>
              </w:rPr>
            </w:pPr>
          </w:p>
        </w:tc>
        <w:tc>
          <w:tcPr>
            <w:tcW w:w="1410" w:type="dxa"/>
            <w:vAlign w:val="center"/>
          </w:tcPr>
          <w:p>
            <w:pPr>
              <w:spacing w:line="360" w:lineRule="auto"/>
              <w:jc w:val="center"/>
              <w:rPr>
                <w:rFonts w:ascii="宋体" w:hAnsi="宋体"/>
                <w:sz w:val="24"/>
                <w:highlight w:val="none"/>
              </w:rPr>
            </w:pPr>
          </w:p>
        </w:tc>
        <w:tc>
          <w:tcPr>
            <w:tcW w:w="1790" w:type="dxa"/>
            <w:vAlign w:val="center"/>
          </w:tcPr>
          <w:p>
            <w:pPr>
              <w:spacing w:line="360" w:lineRule="auto"/>
              <w:jc w:val="center"/>
              <w:rPr>
                <w:rFonts w:ascii="宋体" w:hAnsi="宋体"/>
                <w:sz w:val="24"/>
                <w:highlight w:val="none"/>
              </w:rPr>
            </w:pPr>
          </w:p>
        </w:tc>
        <w:tc>
          <w:tcPr>
            <w:tcW w:w="1260" w:type="dxa"/>
          </w:tcPr>
          <w:p>
            <w:pPr>
              <w:spacing w:line="360" w:lineRule="auto"/>
              <w:jc w:val="center"/>
              <w:rPr>
                <w:rFonts w:ascii="宋体" w:hAnsi="宋体"/>
                <w:sz w:val="24"/>
                <w:highlight w:val="none"/>
              </w:rPr>
            </w:pPr>
          </w:p>
        </w:tc>
        <w:tc>
          <w:tcPr>
            <w:tcW w:w="1800" w:type="dxa"/>
            <w:vAlign w:val="center"/>
          </w:tcPr>
          <w:p>
            <w:pPr>
              <w:spacing w:line="360" w:lineRule="auto"/>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jc w:val="center"/>
        </w:trPr>
        <w:tc>
          <w:tcPr>
            <w:tcW w:w="810" w:type="dxa"/>
            <w:vAlign w:val="center"/>
          </w:tcPr>
          <w:p>
            <w:pPr>
              <w:spacing w:line="360" w:lineRule="auto"/>
              <w:jc w:val="center"/>
              <w:rPr>
                <w:rFonts w:ascii="宋体" w:hAnsi="宋体"/>
                <w:sz w:val="24"/>
                <w:highlight w:val="none"/>
              </w:rPr>
            </w:pPr>
          </w:p>
        </w:tc>
        <w:tc>
          <w:tcPr>
            <w:tcW w:w="1278" w:type="dxa"/>
            <w:vAlign w:val="center"/>
          </w:tcPr>
          <w:p>
            <w:pPr>
              <w:spacing w:line="360" w:lineRule="auto"/>
              <w:jc w:val="center"/>
              <w:rPr>
                <w:rFonts w:ascii="宋体" w:hAnsi="宋体"/>
                <w:sz w:val="24"/>
                <w:highlight w:val="none"/>
              </w:rPr>
            </w:pPr>
          </w:p>
        </w:tc>
        <w:tc>
          <w:tcPr>
            <w:tcW w:w="1557" w:type="dxa"/>
            <w:vAlign w:val="center"/>
          </w:tcPr>
          <w:p>
            <w:pPr>
              <w:spacing w:line="360" w:lineRule="auto"/>
              <w:jc w:val="center"/>
              <w:rPr>
                <w:rFonts w:ascii="宋体" w:hAnsi="宋体"/>
                <w:sz w:val="24"/>
                <w:highlight w:val="none"/>
              </w:rPr>
            </w:pPr>
          </w:p>
        </w:tc>
        <w:tc>
          <w:tcPr>
            <w:tcW w:w="1410" w:type="dxa"/>
            <w:vAlign w:val="center"/>
          </w:tcPr>
          <w:p>
            <w:pPr>
              <w:spacing w:line="360" w:lineRule="auto"/>
              <w:jc w:val="center"/>
              <w:rPr>
                <w:rFonts w:ascii="宋体" w:hAnsi="宋体"/>
                <w:sz w:val="24"/>
                <w:highlight w:val="none"/>
              </w:rPr>
            </w:pPr>
          </w:p>
        </w:tc>
        <w:tc>
          <w:tcPr>
            <w:tcW w:w="1790" w:type="dxa"/>
            <w:vAlign w:val="center"/>
          </w:tcPr>
          <w:p>
            <w:pPr>
              <w:spacing w:line="360" w:lineRule="auto"/>
              <w:jc w:val="center"/>
              <w:rPr>
                <w:rFonts w:ascii="宋体" w:hAnsi="宋体"/>
                <w:sz w:val="24"/>
                <w:highlight w:val="none"/>
              </w:rPr>
            </w:pPr>
          </w:p>
        </w:tc>
        <w:tc>
          <w:tcPr>
            <w:tcW w:w="1260" w:type="dxa"/>
          </w:tcPr>
          <w:p>
            <w:pPr>
              <w:spacing w:line="360" w:lineRule="auto"/>
              <w:jc w:val="center"/>
              <w:rPr>
                <w:rFonts w:ascii="宋体" w:hAnsi="宋体"/>
                <w:sz w:val="24"/>
                <w:highlight w:val="none"/>
              </w:rPr>
            </w:pPr>
          </w:p>
        </w:tc>
        <w:tc>
          <w:tcPr>
            <w:tcW w:w="1800" w:type="dxa"/>
            <w:vAlign w:val="center"/>
          </w:tcPr>
          <w:p>
            <w:pPr>
              <w:spacing w:line="360" w:lineRule="auto"/>
              <w:jc w:val="center"/>
              <w:rPr>
                <w:rFonts w:ascii="宋体" w:hAnsi="宋体"/>
                <w:sz w:val="24"/>
                <w:highlight w:val="none"/>
              </w:rPr>
            </w:pPr>
          </w:p>
        </w:tc>
      </w:tr>
    </w:tbl>
    <w:p>
      <w:pPr>
        <w:pStyle w:val="15"/>
        <w:keepNext w:val="0"/>
        <w:keepLines w:val="0"/>
        <w:pageBreakBefore w:val="0"/>
        <w:widowControl w:val="0"/>
        <w:kinsoku/>
        <w:wordWrap/>
        <w:overflowPunct/>
        <w:topLinePunct w:val="0"/>
        <w:autoSpaceDE/>
        <w:autoSpaceDN/>
        <w:bidi w:val="0"/>
        <w:adjustRightInd/>
        <w:snapToGrid/>
        <w:spacing w:line="300" w:lineRule="exact"/>
        <w:textAlignment w:val="auto"/>
        <w:rPr>
          <w:rFonts w:hAnsi="宋体" w:cs="宋体"/>
          <w:color w:val="auto"/>
          <w:szCs w:val="21"/>
          <w:highlight w:val="none"/>
        </w:rPr>
      </w:pPr>
      <w:r>
        <w:rPr>
          <w:rFonts w:hint="eastAsia" w:hAnsi="宋体" w:cs="宋体"/>
          <w:color w:val="auto"/>
          <w:szCs w:val="21"/>
          <w:highlight w:val="none"/>
        </w:rPr>
        <w:t>注：1、表格中“偏离”一列，投标人只能如实填写“正偏离”、“负偏离”或“无偏离”。凡投标内容高于</w:t>
      </w:r>
      <w:r>
        <w:rPr>
          <w:rFonts w:hint="eastAsia" w:hAnsi="宋体" w:cs="宋体"/>
          <w:color w:val="auto"/>
          <w:szCs w:val="21"/>
          <w:highlight w:val="none"/>
          <w:lang w:eastAsia="zh-CN"/>
        </w:rPr>
        <w:t>采购文件</w:t>
      </w:r>
      <w:r>
        <w:rPr>
          <w:rFonts w:hint="eastAsia" w:hAnsi="宋体" w:cs="宋体"/>
          <w:color w:val="auto"/>
          <w:szCs w:val="21"/>
          <w:highlight w:val="none"/>
        </w:rPr>
        <w:t>要求的，按“正偏离”填写；低于</w:t>
      </w:r>
      <w:r>
        <w:rPr>
          <w:rFonts w:hint="eastAsia" w:hAnsi="宋体" w:cs="宋体"/>
          <w:color w:val="auto"/>
          <w:szCs w:val="21"/>
          <w:highlight w:val="none"/>
          <w:lang w:eastAsia="zh-CN"/>
        </w:rPr>
        <w:t>采购文件</w:t>
      </w:r>
      <w:r>
        <w:rPr>
          <w:rFonts w:hint="eastAsia" w:hAnsi="宋体" w:cs="宋体"/>
          <w:color w:val="auto"/>
          <w:szCs w:val="21"/>
          <w:highlight w:val="none"/>
        </w:rPr>
        <w:t>要求的，按“负偏离”填写；满足</w:t>
      </w:r>
      <w:r>
        <w:rPr>
          <w:rFonts w:hint="eastAsia" w:hAnsi="宋体" w:cs="宋体"/>
          <w:color w:val="auto"/>
          <w:szCs w:val="21"/>
          <w:highlight w:val="none"/>
          <w:lang w:eastAsia="zh-CN"/>
        </w:rPr>
        <w:t>采购文件</w:t>
      </w:r>
      <w:r>
        <w:rPr>
          <w:rFonts w:hint="eastAsia" w:hAnsi="宋体" w:cs="宋体"/>
          <w:color w:val="auto"/>
          <w:szCs w:val="21"/>
          <w:highlight w:val="none"/>
        </w:rPr>
        <w:t>要求的，按“无偏离”填写。并在“</w:t>
      </w:r>
      <w:r>
        <w:rPr>
          <w:rFonts w:hint="eastAsia" w:hAnsi="宋体" w:cs="宋体"/>
          <w:b/>
          <w:color w:val="auto"/>
          <w:szCs w:val="21"/>
          <w:highlight w:val="none"/>
        </w:rPr>
        <w:t>投标产品技术参数及配置”一列中</w:t>
      </w:r>
      <w:r>
        <w:rPr>
          <w:rFonts w:hint="eastAsia" w:hAnsi="宋体" w:cs="宋体"/>
          <w:color w:val="auto"/>
          <w:szCs w:val="21"/>
          <w:highlight w:val="none"/>
        </w:rPr>
        <w:t>写明技术参数，</w:t>
      </w:r>
      <w:r>
        <w:rPr>
          <w:rFonts w:hint="eastAsia" w:hAnsi="宋体" w:cs="宋体"/>
          <w:b/>
          <w:bCs/>
          <w:color w:val="auto"/>
          <w:szCs w:val="21"/>
          <w:highlight w:val="none"/>
        </w:rPr>
        <w:t>但不得虚假响应</w:t>
      </w:r>
      <w:r>
        <w:rPr>
          <w:rFonts w:hint="eastAsia" w:hAnsi="宋体" w:cs="宋体"/>
          <w:color w:val="auto"/>
          <w:szCs w:val="21"/>
          <w:highlight w:val="none"/>
        </w:rPr>
        <w:t>。</w:t>
      </w:r>
    </w:p>
    <w:p>
      <w:pPr>
        <w:pStyle w:val="15"/>
        <w:keepNext w:val="0"/>
        <w:keepLines w:val="0"/>
        <w:pageBreakBefore w:val="0"/>
        <w:widowControl w:val="0"/>
        <w:kinsoku/>
        <w:wordWrap/>
        <w:overflowPunct/>
        <w:topLinePunct w:val="0"/>
        <w:autoSpaceDE/>
        <w:autoSpaceDN/>
        <w:bidi w:val="0"/>
        <w:adjustRightInd/>
        <w:snapToGrid/>
        <w:spacing w:line="300" w:lineRule="exact"/>
        <w:ind w:firstLine="420" w:firstLineChars="200"/>
        <w:textAlignment w:val="auto"/>
        <w:rPr>
          <w:rFonts w:hint="eastAsia" w:hAnsi="宋体" w:eastAsia="宋体" w:cs="宋体"/>
          <w:b/>
          <w:bCs/>
          <w:color w:val="auto"/>
          <w:szCs w:val="21"/>
          <w:highlight w:val="none"/>
          <w:bdr w:val="single" w:color="000000" w:sz="4" w:space="0"/>
          <w:lang w:eastAsia="zh-CN"/>
        </w:rPr>
      </w:pPr>
      <w:r>
        <w:rPr>
          <w:rFonts w:hint="eastAsia" w:hAnsi="宋体" w:cs="宋体"/>
          <w:color w:val="auto"/>
          <w:szCs w:val="21"/>
          <w:highlight w:val="none"/>
        </w:rPr>
        <w:t>2、序号应对应该产品在《</w:t>
      </w:r>
      <w:r>
        <w:rPr>
          <w:rFonts w:hint="eastAsia" w:hAnsi="宋体" w:cs="宋体"/>
          <w:bCs/>
          <w:color w:val="auto"/>
          <w:szCs w:val="21"/>
          <w:highlight w:val="none"/>
        </w:rPr>
        <w:t xml:space="preserve">第五章 </w:t>
      </w:r>
      <w:r>
        <w:rPr>
          <w:rFonts w:hint="eastAsia" w:hAnsi="宋体" w:cs="宋体"/>
          <w:bCs/>
          <w:color w:val="auto"/>
          <w:szCs w:val="21"/>
          <w:highlight w:val="none"/>
          <w:lang w:val="en-US" w:eastAsia="zh-CN"/>
        </w:rPr>
        <w:t>采购需求</w:t>
      </w:r>
      <w:r>
        <w:rPr>
          <w:rFonts w:hint="eastAsia" w:hAnsi="宋体" w:cs="宋体"/>
          <w:bCs/>
          <w:color w:val="auto"/>
          <w:szCs w:val="21"/>
          <w:highlight w:val="none"/>
        </w:rPr>
        <w:t>》中的序号。</w:t>
      </w:r>
    </w:p>
    <w:p>
      <w:pPr>
        <w:pStyle w:val="15"/>
        <w:keepNext w:val="0"/>
        <w:keepLines w:val="0"/>
        <w:pageBreakBefore w:val="0"/>
        <w:widowControl w:val="0"/>
        <w:kinsoku/>
        <w:wordWrap/>
        <w:overflowPunct/>
        <w:topLinePunct w:val="0"/>
        <w:autoSpaceDE/>
        <w:autoSpaceDN/>
        <w:bidi w:val="0"/>
        <w:adjustRightInd/>
        <w:snapToGrid/>
        <w:spacing w:line="300" w:lineRule="exact"/>
        <w:ind w:firstLine="420" w:firstLineChars="200"/>
        <w:textAlignment w:val="auto"/>
        <w:rPr>
          <w:rFonts w:hint="eastAsia" w:hAnsi="宋体" w:cs="宋体"/>
          <w:b/>
          <w:bCs/>
          <w:color w:val="auto"/>
          <w:szCs w:val="21"/>
          <w:highlight w:val="none"/>
        </w:rPr>
      </w:pPr>
      <w:r>
        <w:rPr>
          <w:rFonts w:hint="eastAsia" w:hAnsi="宋体" w:cs="宋体"/>
          <w:b/>
          <w:bCs/>
          <w:color w:val="auto"/>
          <w:szCs w:val="21"/>
          <w:highlight w:val="none"/>
          <w:lang w:val="en-US" w:eastAsia="zh-CN"/>
        </w:rPr>
        <w:t>3</w:t>
      </w:r>
      <w:r>
        <w:rPr>
          <w:rFonts w:hint="eastAsia" w:hAnsi="宋体" w:cs="宋体"/>
          <w:b/>
          <w:bCs/>
          <w:color w:val="auto"/>
          <w:szCs w:val="21"/>
          <w:highlight w:val="none"/>
        </w:rPr>
        <w:t>、报价不得缺项漏项，否则按废标处理。</w:t>
      </w:r>
    </w:p>
    <w:p>
      <w:pPr>
        <w:pStyle w:val="15"/>
        <w:keepNext w:val="0"/>
        <w:keepLines w:val="0"/>
        <w:pageBreakBefore w:val="0"/>
        <w:widowControl w:val="0"/>
        <w:kinsoku/>
        <w:wordWrap/>
        <w:overflowPunct/>
        <w:topLinePunct w:val="0"/>
        <w:autoSpaceDE/>
        <w:autoSpaceDN/>
        <w:bidi w:val="0"/>
        <w:adjustRightInd/>
        <w:snapToGrid/>
        <w:spacing w:line="300" w:lineRule="exact"/>
        <w:ind w:firstLine="420" w:firstLineChars="200"/>
        <w:textAlignment w:val="auto"/>
        <w:rPr>
          <w:rFonts w:hint="eastAsia" w:ascii="宋体" w:hAnsi="宋体" w:eastAsia="宋体" w:cs="宋体"/>
          <w:b/>
          <w:bCs/>
          <w:color w:val="auto"/>
          <w:szCs w:val="21"/>
          <w:highlight w:val="none"/>
          <w:lang w:eastAsia="zh-CN"/>
        </w:rPr>
      </w:pPr>
      <w:r>
        <w:rPr>
          <w:rFonts w:hint="eastAsia" w:hAnsi="宋体" w:cs="宋体"/>
          <w:b/>
          <w:bCs/>
          <w:color w:val="auto"/>
          <w:szCs w:val="21"/>
          <w:highlight w:val="none"/>
          <w:lang w:val="en-US" w:eastAsia="zh-CN"/>
        </w:rPr>
        <w:t>4</w:t>
      </w:r>
      <w:r>
        <w:rPr>
          <w:rFonts w:hint="eastAsia" w:hAnsi="宋体" w:cs="宋体"/>
          <w:b/>
          <w:bCs/>
          <w:color w:val="auto"/>
          <w:szCs w:val="21"/>
          <w:highlight w:val="none"/>
        </w:rPr>
        <w:t>、</w:t>
      </w:r>
      <w:r>
        <w:rPr>
          <w:rFonts w:hint="eastAsia" w:ascii="宋体" w:hAnsi="宋体" w:eastAsia="宋体" w:cs="宋体"/>
          <w:b/>
          <w:bCs/>
          <w:color w:val="auto"/>
          <w:szCs w:val="21"/>
          <w:highlight w:val="none"/>
          <w:lang w:val="en-US" w:eastAsia="zh-CN"/>
        </w:rPr>
        <w:t>生产商规模</w:t>
      </w:r>
      <w:r>
        <w:rPr>
          <w:rFonts w:hint="eastAsia" w:ascii="宋体" w:hAnsi="宋体" w:eastAsia="宋体" w:cs="宋体"/>
          <w:b/>
          <w:bCs/>
          <w:color w:val="auto"/>
          <w:szCs w:val="21"/>
          <w:highlight w:val="none"/>
        </w:rPr>
        <w:t>填写内容：生产商属于哪类企业（大、中、小、微型企业）</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此承诺内容必须与中小企业声明函一致</w:t>
      </w:r>
      <w:r>
        <w:rPr>
          <w:rFonts w:hint="eastAsia" w:ascii="宋体" w:hAnsi="宋体" w:eastAsia="宋体" w:cs="宋体"/>
          <w:b/>
          <w:bCs/>
          <w:color w:val="auto"/>
          <w:szCs w:val="21"/>
          <w:highlight w:val="none"/>
        </w:rPr>
        <w:t>。</w:t>
      </w:r>
    </w:p>
    <w:p>
      <w:pPr>
        <w:pStyle w:val="15"/>
        <w:keepNext w:val="0"/>
        <w:keepLines w:val="0"/>
        <w:pageBreakBefore w:val="0"/>
        <w:widowControl w:val="0"/>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300" w:lineRule="exact"/>
        <w:ind w:firstLine="420" w:firstLineChars="200"/>
        <w:textAlignment w:val="auto"/>
        <w:rPr>
          <w:rFonts w:hint="eastAsia" w:hAnsi="宋体" w:cs="宋体"/>
          <w:b/>
          <w:bCs/>
          <w:color w:val="auto"/>
          <w:szCs w:val="21"/>
          <w:highlight w:val="none"/>
        </w:rPr>
      </w:pPr>
      <w:r>
        <w:rPr>
          <w:rFonts w:hint="eastAsia" w:hAnsi="宋体" w:cs="宋体"/>
          <w:b/>
          <w:bCs/>
          <w:color w:val="auto"/>
          <w:szCs w:val="21"/>
          <w:highlight w:val="none"/>
          <w:lang w:val="en-US" w:eastAsia="zh-CN"/>
        </w:rPr>
        <w:t>5</w:t>
      </w:r>
      <w:r>
        <w:rPr>
          <w:rFonts w:hint="eastAsia" w:hAnsi="宋体" w:cs="宋体"/>
          <w:b/>
          <w:bCs/>
          <w:color w:val="auto"/>
          <w:szCs w:val="21"/>
          <w:highlight w:val="none"/>
        </w:rPr>
        <w:t>、各</w:t>
      </w:r>
      <w:r>
        <w:rPr>
          <w:rFonts w:hint="eastAsia" w:hAnsi="宋体" w:cs="宋体"/>
          <w:b/>
          <w:bCs/>
          <w:color w:val="auto"/>
          <w:szCs w:val="21"/>
          <w:highlight w:val="none"/>
          <w:lang w:eastAsia="zh-CN"/>
        </w:rPr>
        <w:t>投标人</w:t>
      </w:r>
      <w:r>
        <w:rPr>
          <w:rFonts w:hint="eastAsia" w:hAnsi="宋体" w:cs="宋体"/>
          <w:b/>
          <w:bCs/>
          <w:color w:val="auto"/>
          <w:szCs w:val="21"/>
          <w:highlight w:val="none"/>
        </w:rPr>
        <w:t>必须对</w:t>
      </w:r>
      <w:r>
        <w:rPr>
          <w:rFonts w:hint="eastAsia" w:hAnsi="宋体" w:cs="宋体"/>
          <w:b/>
          <w:bCs/>
          <w:color w:val="auto"/>
          <w:szCs w:val="21"/>
          <w:highlight w:val="none"/>
          <w:lang w:eastAsia="zh-CN"/>
        </w:rPr>
        <w:t>采购文件</w:t>
      </w:r>
      <w:r>
        <w:rPr>
          <w:rFonts w:hint="eastAsia" w:hAnsi="宋体" w:cs="宋体"/>
          <w:b/>
          <w:bCs/>
          <w:color w:val="auto"/>
          <w:szCs w:val="21"/>
          <w:highlight w:val="none"/>
        </w:rPr>
        <w:t xml:space="preserve">《第五章 </w:t>
      </w:r>
      <w:r>
        <w:rPr>
          <w:rFonts w:hint="eastAsia" w:hAnsi="宋体" w:cs="宋体"/>
          <w:b/>
          <w:bCs/>
          <w:color w:val="auto"/>
          <w:szCs w:val="21"/>
          <w:highlight w:val="none"/>
          <w:lang w:val="en-US" w:eastAsia="zh-CN"/>
        </w:rPr>
        <w:t>采购需求</w:t>
      </w:r>
      <w:r>
        <w:rPr>
          <w:rFonts w:hint="eastAsia" w:hAnsi="宋体" w:cs="宋体"/>
          <w:b/>
          <w:bCs/>
          <w:color w:val="auto"/>
          <w:szCs w:val="21"/>
          <w:highlight w:val="none"/>
        </w:rPr>
        <w:t>》中的技术参数要求作出全面、真实的反映，</w:t>
      </w:r>
      <w:r>
        <w:rPr>
          <w:rFonts w:hint="eastAsia" w:hAnsi="宋体" w:cs="宋体"/>
          <w:b/>
          <w:bCs/>
          <w:color w:val="auto"/>
          <w:szCs w:val="21"/>
          <w:highlight w:val="none"/>
          <w:lang w:eastAsia="zh-CN"/>
        </w:rPr>
        <w:t>投标人</w:t>
      </w:r>
      <w:r>
        <w:rPr>
          <w:rFonts w:hint="eastAsia" w:hAnsi="宋体" w:cs="宋体"/>
          <w:b/>
          <w:bCs/>
          <w:color w:val="auto"/>
          <w:szCs w:val="21"/>
          <w:highlight w:val="none"/>
        </w:rPr>
        <w:t>除如实填写技术规格偏离表外，投标人</w:t>
      </w:r>
      <w:r>
        <w:rPr>
          <w:rFonts w:hint="eastAsia" w:hAnsi="宋体" w:cs="宋体"/>
          <w:b/>
          <w:bCs/>
          <w:color w:val="auto"/>
          <w:szCs w:val="21"/>
          <w:highlight w:val="none"/>
          <w:lang w:val="en-US" w:eastAsia="zh-CN"/>
        </w:rPr>
        <w:t>应</w:t>
      </w:r>
      <w:r>
        <w:rPr>
          <w:rFonts w:hint="eastAsia" w:hAnsi="宋体" w:cs="宋体"/>
          <w:b/>
          <w:bCs/>
          <w:color w:val="auto"/>
          <w:szCs w:val="21"/>
          <w:highlight w:val="none"/>
        </w:rPr>
        <w:t>根据实际情况自行提供相关技术支持资料（技术支持资料可为技术白皮书或产品相关鉴定资料或试验报告或产品检验报告或技术彩页</w:t>
      </w:r>
      <w:r>
        <w:rPr>
          <w:rFonts w:hint="eastAsia" w:hAnsi="宋体" w:cs="宋体"/>
          <w:b/>
          <w:bCs/>
          <w:color w:val="FF0000"/>
          <w:szCs w:val="21"/>
          <w:highlight w:val="none"/>
          <w:lang w:eastAsia="zh-CN"/>
        </w:rPr>
        <w:t>（</w:t>
      </w:r>
      <w:r>
        <w:rPr>
          <w:rFonts w:hint="eastAsia" w:hAnsi="宋体" w:cs="宋体"/>
          <w:b/>
          <w:bCs/>
          <w:color w:val="FF0000"/>
          <w:szCs w:val="21"/>
          <w:highlight w:val="none"/>
          <w:lang w:val="en-US" w:eastAsia="zh-CN"/>
        </w:rPr>
        <w:t>加盖制造商公章）</w:t>
      </w:r>
      <w:r>
        <w:rPr>
          <w:rFonts w:hint="eastAsia" w:hAnsi="宋体" w:cs="宋体"/>
          <w:b/>
          <w:bCs/>
          <w:color w:val="auto"/>
          <w:szCs w:val="21"/>
          <w:highlight w:val="none"/>
        </w:rPr>
        <w:t>或宣传资料或图纸资料，如技术白皮书/产品相关鉴定资料/试验报告/技术彩页/宣传资料/图纸资料与产品检验报告不一致的，以产品检验报告为准）。投标人根据自身实际情况和产品特点自行提供，以证明其产品具体配置情况及技术指标响应的真实性。未提供上述资料导致评委无法进行评审的，后果由投标人自行承担。</w:t>
      </w:r>
    </w:p>
    <w:p>
      <w:pPr>
        <w:pStyle w:val="15"/>
        <w:spacing w:line="360" w:lineRule="auto"/>
        <w:ind w:firstLine="420" w:firstLineChars="200"/>
        <w:rPr>
          <w:rFonts w:hAnsi="宋体" w:cs="宋体"/>
          <w:b/>
          <w:bCs/>
          <w:color w:val="auto"/>
          <w:szCs w:val="21"/>
          <w:highlight w:val="none"/>
        </w:rPr>
      </w:pPr>
    </w:p>
    <w:p>
      <w:pPr>
        <w:pStyle w:val="15"/>
        <w:spacing w:line="600" w:lineRule="exact"/>
        <w:rPr>
          <w:rFonts w:hAnsi="宋体" w:cs="宋体"/>
          <w:color w:val="auto"/>
          <w:szCs w:val="21"/>
          <w:highlight w:val="none"/>
        </w:rPr>
      </w:pPr>
    </w:p>
    <w:p>
      <w:pPr>
        <w:pStyle w:val="15"/>
        <w:spacing w:line="600" w:lineRule="exact"/>
        <w:rPr>
          <w:rFonts w:hAnsi="宋体" w:cs="宋体"/>
          <w:color w:val="auto"/>
          <w:szCs w:val="21"/>
          <w:highlight w:val="none"/>
        </w:rPr>
      </w:pPr>
      <w:r>
        <w:rPr>
          <w:rFonts w:hint="eastAsia" w:hAnsi="宋体" w:cs="宋体"/>
          <w:color w:val="auto"/>
          <w:szCs w:val="21"/>
          <w:highlight w:val="none"/>
          <w:lang w:eastAsia="zh-CN"/>
        </w:rPr>
        <w:t>投标人名称</w:t>
      </w:r>
      <w:r>
        <w:rPr>
          <w:rFonts w:hint="eastAsia" w:hAnsi="宋体" w:cs="宋体"/>
          <w:color w:val="auto"/>
          <w:szCs w:val="21"/>
          <w:highlight w:val="none"/>
        </w:rPr>
        <w:t>（电子签章）：</w:t>
      </w:r>
    </w:p>
    <w:p>
      <w:pPr>
        <w:pStyle w:val="15"/>
        <w:spacing w:line="600" w:lineRule="exact"/>
        <w:rPr>
          <w:rFonts w:hAnsi="宋体" w:cs="宋体"/>
          <w:color w:val="auto"/>
          <w:szCs w:val="21"/>
          <w:highlight w:val="none"/>
        </w:rPr>
      </w:pPr>
      <w:r>
        <w:rPr>
          <w:rFonts w:hint="eastAsia" w:hAnsi="宋体" w:cs="宋体"/>
          <w:color w:val="auto"/>
          <w:szCs w:val="21"/>
          <w:highlight w:val="none"/>
        </w:rPr>
        <w:t>法定代表人或其委托代理人（签字或电子签章）：</w:t>
      </w:r>
    </w:p>
    <w:p>
      <w:pPr>
        <w:pStyle w:val="15"/>
        <w:spacing w:line="600" w:lineRule="exact"/>
        <w:rPr>
          <w:rFonts w:hAnsi="宋体" w:cs="宋体"/>
          <w:color w:val="auto"/>
          <w:szCs w:val="21"/>
          <w:highlight w:val="none"/>
        </w:rPr>
      </w:pPr>
      <w:r>
        <w:rPr>
          <w:rFonts w:hint="eastAsia" w:hAnsi="宋体" w:cs="宋体"/>
          <w:color w:val="auto"/>
          <w:szCs w:val="21"/>
          <w:highlight w:val="none"/>
        </w:rPr>
        <w:t>日期：　　　</w:t>
      </w:r>
    </w:p>
    <w:p>
      <w:pPr>
        <w:rPr>
          <w:rFonts w:hint="eastAsia" w:hAnsi="宋体" w:cs="宋体"/>
          <w:color w:val="auto"/>
          <w:szCs w:val="21"/>
          <w:highlight w:val="none"/>
        </w:rPr>
      </w:pPr>
      <w:r>
        <w:rPr>
          <w:rFonts w:hint="eastAsia" w:hAnsi="宋体" w:cs="宋体"/>
          <w:color w:val="auto"/>
          <w:szCs w:val="21"/>
          <w:highlight w:val="none"/>
        </w:rPr>
        <w:br w:type="page"/>
      </w:r>
      <w:bookmarkStart w:id="88" w:name="_Toc496521003"/>
      <w:bookmarkStart w:id="89" w:name="_Toc509829316"/>
      <w:bookmarkStart w:id="90" w:name="_Toc32671466"/>
      <w:bookmarkStart w:id="91" w:name="_Toc213141100"/>
      <w:bookmarkStart w:id="92" w:name="_Toc508636832"/>
      <w:bookmarkStart w:id="93" w:name="_Toc493600035"/>
    </w:p>
    <w:p>
      <w:pPr>
        <w:rPr>
          <w:rFonts w:hint="eastAsia" w:ascii="宋体" w:hAnsi="宋体" w:eastAsia="宋体" w:cs="宋体"/>
          <w:color w:val="auto"/>
        </w:rPr>
      </w:pPr>
    </w:p>
    <w:p>
      <w:pPr>
        <w:pStyle w:val="15"/>
        <w:spacing w:line="500" w:lineRule="exact"/>
        <w:jc w:val="center"/>
        <w:rPr>
          <w:rFonts w:hint="eastAsia" w:ascii="宋体" w:hAnsi="宋体" w:eastAsia="宋体" w:cs="宋体"/>
          <w:color w:val="auto"/>
          <w:szCs w:val="21"/>
        </w:rPr>
      </w:pPr>
      <w:r>
        <w:rPr>
          <w:rFonts w:hint="eastAsia" w:hAnsi="宋体" w:cs="宋体"/>
          <w:b/>
          <w:bCs/>
          <w:color w:val="auto"/>
          <w:sz w:val="28"/>
          <w:szCs w:val="28"/>
          <w:lang w:val="en-US" w:eastAsia="zh-CN"/>
        </w:rPr>
        <w:t>9-2</w:t>
      </w:r>
      <w:r>
        <w:rPr>
          <w:rFonts w:hint="eastAsia" w:ascii="宋体" w:hAnsi="宋体" w:eastAsia="宋体" w:cs="宋体"/>
          <w:b/>
          <w:bCs/>
          <w:color w:val="auto"/>
          <w:sz w:val="28"/>
          <w:szCs w:val="28"/>
        </w:rPr>
        <w:t>投标产品技术支持证明材料</w:t>
      </w:r>
    </w:p>
    <w:p>
      <w:pPr>
        <w:pStyle w:val="15"/>
        <w:spacing w:line="500" w:lineRule="exact"/>
        <w:jc w:val="center"/>
        <w:rPr>
          <w:rFonts w:hint="eastAsia" w:ascii="宋体" w:hAnsi="宋体" w:eastAsia="宋体" w:cs="宋体"/>
          <w:b/>
          <w:bCs/>
          <w:color w:val="auto"/>
          <w:szCs w:val="21"/>
        </w:rPr>
      </w:pPr>
      <w:r>
        <w:rPr>
          <w:rFonts w:hint="eastAsia" w:ascii="宋体" w:hAnsi="宋体" w:eastAsia="宋体" w:cs="宋体"/>
          <w:color w:val="auto"/>
          <w:szCs w:val="21"/>
        </w:rPr>
        <w:t>提供所投产品相关技术支持证明材料，包含但不限于技术支持资料（技术白皮书）、产品授权书、说明书、彩页、检验报告等相关材料（若有）</w:t>
      </w:r>
      <w:r>
        <w:rPr>
          <w:rFonts w:hint="eastAsia" w:ascii="宋体" w:hAnsi="宋体" w:eastAsia="宋体" w:cs="宋体"/>
          <w:b/>
          <w:bCs/>
          <w:color w:val="auto"/>
          <w:szCs w:val="21"/>
        </w:rPr>
        <w:t>；</w:t>
      </w:r>
    </w:p>
    <w:p>
      <w:pPr>
        <w:rPr>
          <w:rFonts w:hint="eastAsia" w:hAnsi="宋体" w:cs="宋体"/>
          <w:b/>
          <w:color w:val="auto"/>
          <w:sz w:val="24"/>
          <w:szCs w:val="24"/>
          <w:highlight w:val="none"/>
        </w:rPr>
      </w:pPr>
    </w:p>
    <w:p>
      <w:pPr>
        <w:rPr>
          <w:rFonts w:hint="eastAsia" w:hAnsi="宋体" w:cs="宋体"/>
          <w:b/>
          <w:color w:val="auto"/>
          <w:sz w:val="24"/>
          <w:szCs w:val="24"/>
          <w:highlight w:val="none"/>
        </w:rPr>
      </w:pPr>
      <w:r>
        <w:rPr>
          <w:rFonts w:hint="eastAsia" w:hAnsi="宋体" w:cs="宋体"/>
          <w:b/>
          <w:color w:val="auto"/>
          <w:sz w:val="24"/>
          <w:szCs w:val="24"/>
          <w:highlight w:val="none"/>
        </w:rPr>
        <w:br w:type="page"/>
      </w:r>
    </w:p>
    <w:p>
      <w:pPr>
        <w:pStyle w:val="15"/>
        <w:spacing w:line="500" w:lineRule="exact"/>
        <w:outlineLvl w:val="1"/>
        <w:rPr>
          <w:rFonts w:hAnsi="宋体" w:cs="宋体"/>
          <w:color w:val="auto"/>
          <w:szCs w:val="21"/>
          <w:highlight w:val="none"/>
        </w:rPr>
      </w:pPr>
      <w:bookmarkStart w:id="94" w:name="_Toc27316"/>
      <w:r>
        <w:rPr>
          <w:rFonts w:hint="eastAsia" w:hAnsi="宋体" w:cs="宋体"/>
          <w:b/>
          <w:color w:val="auto"/>
          <w:sz w:val="24"/>
          <w:szCs w:val="24"/>
          <w:highlight w:val="none"/>
        </w:rPr>
        <w:t>格式</w:t>
      </w:r>
      <w:r>
        <w:rPr>
          <w:rFonts w:hint="eastAsia" w:hAnsi="宋体" w:cs="宋体"/>
          <w:b/>
          <w:color w:val="auto"/>
          <w:sz w:val="24"/>
          <w:szCs w:val="24"/>
          <w:highlight w:val="none"/>
          <w:lang w:val="en-US" w:eastAsia="zh-CN"/>
        </w:rPr>
        <w:t>10</w:t>
      </w:r>
      <w:r>
        <w:rPr>
          <w:rFonts w:hint="eastAsia" w:hAnsi="宋体" w:cs="宋体"/>
          <w:b/>
          <w:color w:val="auto"/>
          <w:sz w:val="24"/>
          <w:szCs w:val="24"/>
          <w:highlight w:val="none"/>
        </w:rPr>
        <w:t>：商务条款偏离表</w:t>
      </w:r>
      <w:bookmarkEnd w:id="94"/>
    </w:p>
    <w:p>
      <w:pPr>
        <w:jc w:val="center"/>
        <w:rPr>
          <w:rFonts w:ascii="宋体" w:hAnsi="宋体" w:cs="宋体"/>
          <w:color w:val="auto"/>
          <w:sz w:val="24"/>
          <w:highlight w:val="none"/>
        </w:rPr>
      </w:pP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商务条款偏离表</w:t>
      </w:r>
      <w:bookmarkEnd w:id="88"/>
      <w:bookmarkEnd w:id="89"/>
      <w:bookmarkEnd w:id="90"/>
      <w:bookmarkEnd w:id="91"/>
      <w:bookmarkEnd w:id="92"/>
      <w:bookmarkEnd w:id="93"/>
    </w:p>
    <w:p>
      <w:pPr>
        <w:pStyle w:val="15"/>
        <w:spacing w:line="400" w:lineRule="exact"/>
        <w:ind w:firstLine="420" w:firstLineChars="200"/>
        <w:rPr>
          <w:rFonts w:hAnsi="宋体" w:cs="宋体"/>
          <w:color w:val="auto"/>
          <w:szCs w:val="21"/>
          <w:highlight w:val="none"/>
        </w:rPr>
      </w:pPr>
      <w:r>
        <w:rPr>
          <w:rFonts w:hint="eastAsia" w:hAnsi="宋体" w:cs="宋体"/>
          <w:color w:val="auto"/>
          <w:szCs w:val="21"/>
          <w:highlight w:val="none"/>
        </w:rPr>
        <w:t>投标人须逐条对应</w:t>
      </w:r>
      <w:r>
        <w:rPr>
          <w:rFonts w:hint="eastAsia" w:hAnsi="宋体" w:cs="宋体"/>
          <w:color w:val="auto"/>
          <w:szCs w:val="21"/>
          <w:highlight w:val="none"/>
          <w:lang w:eastAsia="zh-CN"/>
        </w:rPr>
        <w:t>采购文件</w:t>
      </w:r>
      <w:r>
        <w:rPr>
          <w:rFonts w:hint="eastAsia" w:hAnsi="宋体" w:cs="宋体"/>
          <w:color w:val="auto"/>
          <w:szCs w:val="21"/>
          <w:highlight w:val="none"/>
        </w:rPr>
        <w:t>中要求的商务条款，认真填写该表。</w:t>
      </w:r>
    </w:p>
    <w:p>
      <w:pPr>
        <w:pStyle w:val="15"/>
        <w:spacing w:line="400" w:lineRule="exact"/>
        <w:ind w:firstLine="420" w:firstLineChars="200"/>
        <w:rPr>
          <w:rFonts w:hAnsi="宋体" w:cs="宋体"/>
          <w:b/>
          <w:color w:val="auto"/>
          <w:szCs w:val="21"/>
          <w:highlight w:val="none"/>
          <w:u w:val="single"/>
        </w:rPr>
      </w:pPr>
      <w:r>
        <w:rPr>
          <w:rFonts w:hint="eastAsia" w:hAnsi="宋体" w:cs="宋体"/>
          <w:color w:val="auto"/>
          <w:szCs w:val="21"/>
          <w:highlight w:val="none"/>
        </w:rPr>
        <w:t>商务条款是指：</w:t>
      </w:r>
      <w:r>
        <w:rPr>
          <w:rFonts w:hint="eastAsia" w:hAnsi="宋体" w:cs="宋体"/>
          <w:color w:val="auto"/>
          <w:szCs w:val="21"/>
          <w:highlight w:val="none"/>
          <w:lang w:eastAsia="zh-CN"/>
        </w:rPr>
        <w:t>采购文件</w:t>
      </w:r>
      <w:r>
        <w:rPr>
          <w:rFonts w:hint="eastAsia" w:hAnsi="宋体" w:cs="宋体"/>
          <w:b/>
          <w:bCs/>
          <w:color w:val="auto"/>
          <w:szCs w:val="21"/>
          <w:highlight w:val="none"/>
        </w:rPr>
        <w:t xml:space="preserve">《第二章 </w:t>
      </w:r>
      <w:r>
        <w:rPr>
          <w:rFonts w:hint="eastAsia" w:hAnsi="宋体" w:cs="宋体"/>
          <w:b/>
          <w:color w:val="auto"/>
          <w:szCs w:val="21"/>
          <w:highlight w:val="none"/>
        </w:rPr>
        <w:t>投标人须知》</w:t>
      </w:r>
      <w:r>
        <w:rPr>
          <w:rFonts w:hint="eastAsia" w:hAnsi="宋体" w:cs="宋体"/>
          <w:color w:val="auto"/>
          <w:szCs w:val="21"/>
          <w:highlight w:val="none"/>
        </w:rPr>
        <w:t>中要求的</w:t>
      </w:r>
      <w:r>
        <w:rPr>
          <w:rFonts w:hint="eastAsia" w:hAnsi="宋体" w:cs="宋体"/>
          <w:b/>
          <w:bCs/>
          <w:color w:val="auto"/>
          <w:szCs w:val="21"/>
          <w:highlight w:val="none"/>
        </w:rPr>
        <w:t>交货地点、</w:t>
      </w:r>
      <w:r>
        <w:rPr>
          <w:rFonts w:hint="eastAsia" w:hAnsi="宋体" w:cs="宋体"/>
          <w:b/>
          <w:color w:val="auto"/>
          <w:szCs w:val="21"/>
          <w:highlight w:val="none"/>
        </w:rPr>
        <w:t>交货期、质保期、履约保证金</w:t>
      </w:r>
      <w:r>
        <w:rPr>
          <w:rFonts w:hint="eastAsia" w:hAnsi="宋体" w:cs="宋体"/>
          <w:b/>
          <w:color w:val="auto"/>
          <w:szCs w:val="21"/>
          <w:highlight w:val="none"/>
          <w:lang w:val="en-US" w:eastAsia="zh-CN"/>
        </w:rPr>
        <w:t>等</w:t>
      </w:r>
      <w:r>
        <w:rPr>
          <w:rFonts w:hint="eastAsia" w:hAnsi="宋体" w:cs="宋体"/>
          <w:b/>
          <w:color w:val="auto"/>
          <w:szCs w:val="21"/>
          <w:highlight w:val="none"/>
        </w:rPr>
        <w:t>要求。</w:t>
      </w:r>
    </w:p>
    <w:tbl>
      <w:tblPr>
        <w:tblStyle w:val="30"/>
        <w:tblW w:w="9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3"/>
        <w:gridCol w:w="3384"/>
        <w:gridCol w:w="3125"/>
        <w:gridCol w:w="2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183" w:type="dxa"/>
            <w:vAlign w:val="center"/>
          </w:tcPr>
          <w:p>
            <w:pPr>
              <w:pStyle w:val="15"/>
              <w:jc w:val="center"/>
              <w:rPr>
                <w:rFonts w:hAnsi="宋体" w:cs="宋体"/>
                <w:b/>
                <w:color w:val="auto"/>
                <w:szCs w:val="21"/>
                <w:highlight w:val="none"/>
              </w:rPr>
            </w:pPr>
            <w:r>
              <w:rPr>
                <w:rFonts w:hint="eastAsia" w:hAnsi="宋体" w:cs="宋体"/>
                <w:b/>
                <w:color w:val="auto"/>
                <w:szCs w:val="21"/>
                <w:highlight w:val="none"/>
              </w:rPr>
              <w:t>序号</w:t>
            </w:r>
          </w:p>
        </w:tc>
        <w:tc>
          <w:tcPr>
            <w:tcW w:w="3384" w:type="dxa"/>
            <w:vAlign w:val="center"/>
          </w:tcPr>
          <w:p>
            <w:pPr>
              <w:pStyle w:val="15"/>
              <w:jc w:val="center"/>
              <w:rPr>
                <w:rFonts w:hAnsi="宋体" w:cs="宋体"/>
                <w:b/>
                <w:color w:val="auto"/>
                <w:szCs w:val="21"/>
                <w:highlight w:val="none"/>
              </w:rPr>
            </w:pPr>
            <w:r>
              <w:rPr>
                <w:rFonts w:hint="eastAsia" w:hAnsi="宋体" w:cs="宋体"/>
                <w:b/>
                <w:color w:val="auto"/>
                <w:szCs w:val="21"/>
                <w:highlight w:val="none"/>
                <w:lang w:eastAsia="zh-CN"/>
              </w:rPr>
              <w:t>采购文件</w:t>
            </w:r>
            <w:r>
              <w:rPr>
                <w:rFonts w:hint="eastAsia" w:hAnsi="宋体" w:cs="宋体"/>
                <w:b/>
                <w:color w:val="auto"/>
                <w:szCs w:val="21"/>
                <w:highlight w:val="none"/>
              </w:rPr>
              <w:t>的商务条款</w:t>
            </w:r>
          </w:p>
        </w:tc>
        <w:tc>
          <w:tcPr>
            <w:tcW w:w="3125" w:type="dxa"/>
            <w:vAlign w:val="center"/>
          </w:tcPr>
          <w:p>
            <w:pPr>
              <w:pStyle w:val="15"/>
              <w:jc w:val="center"/>
              <w:rPr>
                <w:rFonts w:hAnsi="宋体" w:cs="宋体"/>
                <w:b/>
                <w:color w:val="auto"/>
                <w:szCs w:val="21"/>
                <w:highlight w:val="none"/>
              </w:rPr>
            </w:pPr>
            <w:r>
              <w:rPr>
                <w:rFonts w:hint="eastAsia" w:hAnsi="宋体" w:cs="宋体"/>
                <w:b/>
                <w:color w:val="auto"/>
                <w:szCs w:val="21"/>
                <w:highlight w:val="none"/>
              </w:rPr>
              <w:t>投标文件的商务条款</w:t>
            </w:r>
          </w:p>
        </w:tc>
        <w:tc>
          <w:tcPr>
            <w:tcW w:w="2138" w:type="dxa"/>
            <w:vAlign w:val="center"/>
          </w:tcPr>
          <w:p>
            <w:pPr>
              <w:pStyle w:val="15"/>
              <w:jc w:val="center"/>
              <w:rPr>
                <w:rFonts w:hAnsi="宋体" w:cs="宋体"/>
                <w:b/>
                <w:color w:val="auto"/>
                <w:szCs w:val="21"/>
                <w:highlight w:val="none"/>
              </w:rPr>
            </w:pPr>
            <w:r>
              <w:rPr>
                <w:rFonts w:hint="eastAsia" w:hAnsi="宋体" w:cs="宋体"/>
                <w:b/>
                <w:color w:val="auto"/>
                <w:szCs w:val="21"/>
                <w:highlight w:val="none"/>
              </w:rPr>
              <w:t>响应情况说明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183" w:type="dxa"/>
          </w:tcPr>
          <w:p>
            <w:pPr>
              <w:pStyle w:val="15"/>
              <w:rPr>
                <w:rFonts w:hAnsi="宋体" w:cs="宋体"/>
                <w:color w:val="auto"/>
                <w:szCs w:val="21"/>
                <w:highlight w:val="none"/>
              </w:rPr>
            </w:pPr>
          </w:p>
        </w:tc>
        <w:tc>
          <w:tcPr>
            <w:tcW w:w="3384" w:type="dxa"/>
          </w:tcPr>
          <w:p>
            <w:pPr>
              <w:pStyle w:val="15"/>
              <w:rPr>
                <w:rFonts w:hAnsi="宋体" w:cs="宋体"/>
                <w:color w:val="auto"/>
                <w:szCs w:val="21"/>
                <w:highlight w:val="none"/>
              </w:rPr>
            </w:pPr>
          </w:p>
        </w:tc>
        <w:tc>
          <w:tcPr>
            <w:tcW w:w="3125" w:type="dxa"/>
          </w:tcPr>
          <w:p>
            <w:pPr>
              <w:pStyle w:val="15"/>
              <w:rPr>
                <w:rFonts w:hAnsi="宋体" w:cs="宋体"/>
                <w:color w:val="auto"/>
                <w:szCs w:val="21"/>
                <w:highlight w:val="none"/>
              </w:rPr>
            </w:pPr>
          </w:p>
        </w:tc>
        <w:tc>
          <w:tcPr>
            <w:tcW w:w="2138" w:type="dxa"/>
          </w:tcPr>
          <w:p>
            <w:pPr>
              <w:pStyle w:val="15"/>
              <w:rPr>
                <w:rFonts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183" w:type="dxa"/>
          </w:tcPr>
          <w:p>
            <w:pPr>
              <w:pStyle w:val="15"/>
              <w:rPr>
                <w:rFonts w:hAnsi="宋体" w:cs="宋体"/>
                <w:color w:val="auto"/>
                <w:szCs w:val="21"/>
                <w:highlight w:val="none"/>
              </w:rPr>
            </w:pPr>
          </w:p>
        </w:tc>
        <w:tc>
          <w:tcPr>
            <w:tcW w:w="3384" w:type="dxa"/>
          </w:tcPr>
          <w:p>
            <w:pPr>
              <w:pStyle w:val="15"/>
              <w:rPr>
                <w:rFonts w:hAnsi="宋体" w:cs="宋体"/>
                <w:color w:val="auto"/>
                <w:szCs w:val="21"/>
                <w:highlight w:val="none"/>
              </w:rPr>
            </w:pPr>
          </w:p>
        </w:tc>
        <w:tc>
          <w:tcPr>
            <w:tcW w:w="3125" w:type="dxa"/>
          </w:tcPr>
          <w:p>
            <w:pPr>
              <w:pStyle w:val="15"/>
              <w:rPr>
                <w:rFonts w:hAnsi="宋体" w:cs="宋体"/>
                <w:color w:val="auto"/>
                <w:szCs w:val="21"/>
                <w:highlight w:val="none"/>
              </w:rPr>
            </w:pPr>
          </w:p>
        </w:tc>
        <w:tc>
          <w:tcPr>
            <w:tcW w:w="2138" w:type="dxa"/>
          </w:tcPr>
          <w:p>
            <w:pPr>
              <w:pStyle w:val="15"/>
              <w:rPr>
                <w:rFonts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183" w:type="dxa"/>
          </w:tcPr>
          <w:p>
            <w:pPr>
              <w:pStyle w:val="15"/>
              <w:rPr>
                <w:rFonts w:hAnsi="宋体" w:cs="宋体"/>
                <w:color w:val="auto"/>
                <w:szCs w:val="21"/>
                <w:highlight w:val="none"/>
              </w:rPr>
            </w:pPr>
          </w:p>
        </w:tc>
        <w:tc>
          <w:tcPr>
            <w:tcW w:w="3384" w:type="dxa"/>
          </w:tcPr>
          <w:p>
            <w:pPr>
              <w:pStyle w:val="15"/>
              <w:rPr>
                <w:rFonts w:hAnsi="宋体" w:cs="宋体"/>
                <w:color w:val="auto"/>
                <w:szCs w:val="21"/>
                <w:highlight w:val="none"/>
              </w:rPr>
            </w:pPr>
          </w:p>
        </w:tc>
        <w:tc>
          <w:tcPr>
            <w:tcW w:w="3125" w:type="dxa"/>
          </w:tcPr>
          <w:p>
            <w:pPr>
              <w:pStyle w:val="15"/>
              <w:rPr>
                <w:rFonts w:hAnsi="宋体" w:cs="宋体"/>
                <w:color w:val="auto"/>
                <w:szCs w:val="21"/>
                <w:highlight w:val="none"/>
              </w:rPr>
            </w:pPr>
          </w:p>
        </w:tc>
        <w:tc>
          <w:tcPr>
            <w:tcW w:w="2138" w:type="dxa"/>
          </w:tcPr>
          <w:p>
            <w:pPr>
              <w:pStyle w:val="15"/>
              <w:rPr>
                <w:rFonts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183" w:type="dxa"/>
          </w:tcPr>
          <w:p>
            <w:pPr>
              <w:pStyle w:val="15"/>
              <w:rPr>
                <w:rFonts w:hAnsi="宋体" w:cs="宋体"/>
                <w:color w:val="auto"/>
                <w:szCs w:val="21"/>
                <w:highlight w:val="none"/>
              </w:rPr>
            </w:pPr>
          </w:p>
        </w:tc>
        <w:tc>
          <w:tcPr>
            <w:tcW w:w="3384" w:type="dxa"/>
          </w:tcPr>
          <w:p>
            <w:pPr>
              <w:pStyle w:val="15"/>
              <w:rPr>
                <w:rFonts w:hAnsi="宋体" w:cs="宋体"/>
                <w:color w:val="auto"/>
                <w:szCs w:val="21"/>
                <w:highlight w:val="none"/>
              </w:rPr>
            </w:pPr>
          </w:p>
        </w:tc>
        <w:tc>
          <w:tcPr>
            <w:tcW w:w="3125" w:type="dxa"/>
          </w:tcPr>
          <w:p>
            <w:pPr>
              <w:pStyle w:val="15"/>
              <w:rPr>
                <w:rFonts w:hAnsi="宋体" w:cs="宋体"/>
                <w:color w:val="auto"/>
                <w:szCs w:val="21"/>
                <w:highlight w:val="none"/>
              </w:rPr>
            </w:pPr>
          </w:p>
        </w:tc>
        <w:tc>
          <w:tcPr>
            <w:tcW w:w="2138" w:type="dxa"/>
          </w:tcPr>
          <w:p>
            <w:pPr>
              <w:pStyle w:val="15"/>
              <w:rPr>
                <w:rFonts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183" w:type="dxa"/>
          </w:tcPr>
          <w:p>
            <w:pPr>
              <w:pStyle w:val="15"/>
              <w:rPr>
                <w:rFonts w:hAnsi="宋体" w:cs="宋体"/>
                <w:color w:val="auto"/>
                <w:szCs w:val="21"/>
                <w:highlight w:val="none"/>
              </w:rPr>
            </w:pPr>
          </w:p>
        </w:tc>
        <w:tc>
          <w:tcPr>
            <w:tcW w:w="3384" w:type="dxa"/>
          </w:tcPr>
          <w:p>
            <w:pPr>
              <w:pStyle w:val="15"/>
              <w:rPr>
                <w:rFonts w:hAnsi="宋体" w:cs="宋体"/>
                <w:color w:val="auto"/>
                <w:szCs w:val="21"/>
                <w:highlight w:val="none"/>
              </w:rPr>
            </w:pPr>
          </w:p>
        </w:tc>
        <w:tc>
          <w:tcPr>
            <w:tcW w:w="3125" w:type="dxa"/>
          </w:tcPr>
          <w:p>
            <w:pPr>
              <w:pStyle w:val="15"/>
              <w:rPr>
                <w:rFonts w:hAnsi="宋体" w:cs="宋体"/>
                <w:color w:val="auto"/>
                <w:szCs w:val="21"/>
                <w:highlight w:val="none"/>
              </w:rPr>
            </w:pPr>
          </w:p>
        </w:tc>
        <w:tc>
          <w:tcPr>
            <w:tcW w:w="2138" w:type="dxa"/>
          </w:tcPr>
          <w:p>
            <w:pPr>
              <w:pStyle w:val="15"/>
              <w:rPr>
                <w:rFonts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183" w:type="dxa"/>
          </w:tcPr>
          <w:p>
            <w:pPr>
              <w:pStyle w:val="15"/>
              <w:rPr>
                <w:rFonts w:hAnsi="宋体" w:cs="宋体"/>
                <w:color w:val="auto"/>
                <w:szCs w:val="21"/>
                <w:highlight w:val="none"/>
              </w:rPr>
            </w:pPr>
          </w:p>
        </w:tc>
        <w:tc>
          <w:tcPr>
            <w:tcW w:w="3384" w:type="dxa"/>
          </w:tcPr>
          <w:p>
            <w:pPr>
              <w:pStyle w:val="15"/>
              <w:rPr>
                <w:rFonts w:hAnsi="宋体" w:cs="宋体"/>
                <w:color w:val="auto"/>
                <w:szCs w:val="21"/>
                <w:highlight w:val="none"/>
              </w:rPr>
            </w:pPr>
          </w:p>
        </w:tc>
        <w:tc>
          <w:tcPr>
            <w:tcW w:w="3125" w:type="dxa"/>
          </w:tcPr>
          <w:p>
            <w:pPr>
              <w:pStyle w:val="15"/>
              <w:rPr>
                <w:rFonts w:hAnsi="宋体" w:cs="宋体"/>
                <w:color w:val="auto"/>
                <w:szCs w:val="21"/>
                <w:highlight w:val="none"/>
              </w:rPr>
            </w:pPr>
          </w:p>
        </w:tc>
        <w:tc>
          <w:tcPr>
            <w:tcW w:w="2138" w:type="dxa"/>
          </w:tcPr>
          <w:p>
            <w:pPr>
              <w:pStyle w:val="15"/>
              <w:rPr>
                <w:rFonts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183" w:type="dxa"/>
          </w:tcPr>
          <w:p>
            <w:pPr>
              <w:pStyle w:val="15"/>
              <w:rPr>
                <w:rFonts w:hAnsi="宋体" w:cs="宋体"/>
                <w:color w:val="auto"/>
                <w:szCs w:val="21"/>
                <w:highlight w:val="none"/>
              </w:rPr>
            </w:pPr>
          </w:p>
        </w:tc>
        <w:tc>
          <w:tcPr>
            <w:tcW w:w="3384" w:type="dxa"/>
          </w:tcPr>
          <w:p>
            <w:pPr>
              <w:pStyle w:val="15"/>
              <w:rPr>
                <w:rFonts w:hAnsi="宋体" w:cs="宋体"/>
                <w:color w:val="auto"/>
                <w:szCs w:val="21"/>
                <w:highlight w:val="none"/>
              </w:rPr>
            </w:pPr>
          </w:p>
        </w:tc>
        <w:tc>
          <w:tcPr>
            <w:tcW w:w="3125" w:type="dxa"/>
          </w:tcPr>
          <w:p>
            <w:pPr>
              <w:pStyle w:val="15"/>
              <w:rPr>
                <w:rFonts w:hAnsi="宋体" w:cs="宋体"/>
                <w:color w:val="auto"/>
                <w:szCs w:val="21"/>
                <w:highlight w:val="none"/>
              </w:rPr>
            </w:pPr>
          </w:p>
        </w:tc>
        <w:tc>
          <w:tcPr>
            <w:tcW w:w="2138" w:type="dxa"/>
          </w:tcPr>
          <w:p>
            <w:pPr>
              <w:pStyle w:val="15"/>
              <w:rPr>
                <w:rFonts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183" w:type="dxa"/>
          </w:tcPr>
          <w:p>
            <w:pPr>
              <w:pStyle w:val="15"/>
              <w:rPr>
                <w:rFonts w:hAnsi="宋体" w:cs="宋体"/>
                <w:color w:val="auto"/>
                <w:szCs w:val="21"/>
                <w:highlight w:val="none"/>
              </w:rPr>
            </w:pPr>
          </w:p>
        </w:tc>
        <w:tc>
          <w:tcPr>
            <w:tcW w:w="3384" w:type="dxa"/>
          </w:tcPr>
          <w:p>
            <w:pPr>
              <w:pStyle w:val="15"/>
              <w:rPr>
                <w:rFonts w:hAnsi="宋体" w:cs="宋体"/>
                <w:color w:val="auto"/>
                <w:szCs w:val="21"/>
                <w:highlight w:val="none"/>
              </w:rPr>
            </w:pPr>
          </w:p>
        </w:tc>
        <w:tc>
          <w:tcPr>
            <w:tcW w:w="3125" w:type="dxa"/>
          </w:tcPr>
          <w:p>
            <w:pPr>
              <w:pStyle w:val="15"/>
              <w:rPr>
                <w:rFonts w:hAnsi="宋体" w:cs="宋体"/>
                <w:color w:val="auto"/>
                <w:szCs w:val="21"/>
                <w:highlight w:val="none"/>
              </w:rPr>
            </w:pPr>
          </w:p>
        </w:tc>
        <w:tc>
          <w:tcPr>
            <w:tcW w:w="2138" w:type="dxa"/>
          </w:tcPr>
          <w:p>
            <w:pPr>
              <w:pStyle w:val="15"/>
              <w:rPr>
                <w:rFonts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183" w:type="dxa"/>
          </w:tcPr>
          <w:p>
            <w:pPr>
              <w:pStyle w:val="15"/>
              <w:rPr>
                <w:rFonts w:hAnsi="宋体" w:cs="宋体"/>
                <w:color w:val="auto"/>
                <w:szCs w:val="21"/>
                <w:highlight w:val="none"/>
              </w:rPr>
            </w:pPr>
          </w:p>
        </w:tc>
        <w:tc>
          <w:tcPr>
            <w:tcW w:w="3384" w:type="dxa"/>
          </w:tcPr>
          <w:p>
            <w:pPr>
              <w:pStyle w:val="15"/>
              <w:rPr>
                <w:rFonts w:hAnsi="宋体" w:cs="宋体"/>
                <w:color w:val="auto"/>
                <w:szCs w:val="21"/>
                <w:highlight w:val="none"/>
              </w:rPr>
            </w:pPr>
          </w:p>
        </w:tc>
        <w:tc>
          <w:tcPr>
            <w:tcW w:w="3125" w:type="dxa"/>
          </w:tcPr>
          <w:p>
            <w:pPr>
              <w:pStyle w:val="15"/>
              <w:rPr>
                <w:rFonts w:hAnsi="宋体" w:cs="宋体"/>
                <w:color w:val="auto"/>
                <w:szCs w:val="21"/>
                <w:highlight w:val="none"/>
              </w:rPr>
            </w:pPr>
          </w:p>
        </w:tc>
        <w:tc>
          <w:tcPr>
            <w:tcW w:w="2138" w:type="dxa"/>
          </w:tcPr>
          <w:p>
            <w:pPr>
              <w:pStyle w:val="15"/>
              <w:rPr>
                <w:rFonts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183" w:type="dxa"/>
          </w:tcPr>
          <w:p>
            <w:pPr>
              <w:pStyle w:val="15"/>
              <w:rPr>
                <w:rFonts w:hAnsi="宋体" w:cs="宋体"/>
                <w:color w:val="auto"/>
                <w:szCs w:val="21"/>
                <w:highlight w:val="none"/>
              </w:rPr>
            </w:pPr>
          </w:p>
        </w:tc>
        <w:tc>
          <w:tcPr>
            <w:tcW w:w="3384" w:type="dxa"/>
          </w:tcPr>
          <w:p>
            <w:pPr>
              <w:pStyle w:val="15"/>
              <w:rPr>
                <w:rFonts w:hAnsi="宋体" w:cs="宋体"/>
                <w:color w:val="auto"/>
                <w:szCs w:val="21"/>
                <w:highlight w:val="none"/>
              </w:rPr>
            </w:pPr>
          </w:p>
        </w:tc>
        <w:tc>
          <w:tcPr>
            <w:tcW w:w="3125" w:type="dxa"/>
          </w:tcPr>
          <w:p>
            <w:pPr>
              <w:pStyle w:val="15"/>
              <w:rPr>
                <w:rFonts w:hAnsi="宋体" w:cs="宋体"/>
                <w:color w:val="auto"/>
                <w:szCs w:val="21"/>
                <w:highlight w:val="none"/>
              </w:rPr>
            </w:pPr>
          </w:p>
        </w:tc>
        <w:tc>
          <w:tcPr>
            <w:tcW w:w="2138" w:type="dxa"/>
          </w:tcPr>
          <w:p>
            <w:pPr>
              <w:pStyle w:val="15"/>
              <w:rPr>
                <w:rFonts w:hAnsi="宋体" w:cs="宋体"/>
                <w:color w:val="auto"/>
                <w:szCs w:val="21"/>
                <w:highlight w:val="none"/>
              </w:rPr>
            </w:pPr>
          </w:p>
        </w:tc>
      </w:tr>
    </w:tbl>
    <w:p>
      <w:pPr>
        <w:pStyle w:val="15"/>
        <w:spacing w:line="600" w:lineRule="exact"/>
        <w:ind w:firstLine="402"/>
        <w:rPr>
          <w:rFonts w:hint="eastAsia" w:hAnsi="宋体" w:cs="宋体"/>
          <w:b/>
          <w:color w:val="auto"/>
          <w:szCs w:val="21"/>
          <w:highlight w:val="none"/>
        </w:rPr>
      </w:pPr>
      <w:r>
        <w:rPr>
          <w:rFonts w:hint="eastAsia" w:hAnsi="宋体" w:cs="宋体"/>
          <w:b/>
          <w:color w:val="auto"/>
          <w:szCs w:val="21"/>
          <w:highlight w:val="none"/>
        </w:rPr>
        <w:t xml:space="preserve">注：1、如有负偏离的，视为不响应招标要求。如有正偏离的，需有证明材料或相关说明承诺进行支持。 </w:t>
      </w:r>
    </w:p>
    <w:p>
      <w:pPr>
        <w:pStyle w:val="15"/>
        <w:spacing w:line="600" w:lineRule="exact"/>
        <w:ind w:firstLine="402"/>
        <w:rPr>
          <w:rFonts w:hAnsi="宋体" w:cs="宋体"/>
          <w:b/>
          <w:color w:val="auto"/>
          <w:szCs w:val="21"/>
          <w:highlight w:val="none"/>
        </w:rPr>
      </w:pPr>
      <w:r>
        <w:rPr>
          <w:rFonts w:hint="eastAsia" w:hAnsi="宋体" w:cs="宋体"/>
          <w:b/>
          <w:color w:val="auto"/>
          <w:szCs w:val="21"/>
          <w:highlight w:val="none"/>
        </w:rPr>
        <w:t>2、表格中“响应情况说明”一列，投标人只能如实填写“正偏离”“无偏离”或“负偏离”。</w:t>
      </w:r>
    </w:p>
    <w:p>
      <w:pPr>
        <w:pStyle w:val="15"/>
        <w:spacing w:line="600" w:lineRule="exact"/>
        <w:rPr>
          <w:rFonts w:hAnsi="宋体" w:cs="宋体"/>
          <w:color w:val="auto"/>
          <w:szCs w:val="21"/>
          <w:highlight w:val="none"/>
        </w:rPr>
      </w:pPr>
    </w:p>
    <w:p>
      <w:pPr>
        <w:pStyle w:val="15"/>
        <w:spacing w:line="600" w:lineRule="exact"/>
        <w:rPr>
          <w:rFonts w:hAnsi="宋体" w:cs="宋体"/>
          <w:color w:val="auto"/>
          <w:szCs w:val="21"/>
          <w:highlight w:val="none"/>
        </w:rPr>
      </w:pPr>
      <w:r>
        <w:rPr>
          <w:rFonts w:hint="eastAsia" w:hAnsi="宋体" w:cs="宋体"/>
          <w:color w:val="auto"/>
          <w:szCs w:val="21"/>
          <w:highlight w:val="none"/>
          <w:lang w:eastAsia="zh-CN"/>
        </w:rPr>
        <w:t>投标人名称</w:t>
      </w:r>
      <w:r>
        <w:rPr>
          <w:rFonts w:hint="eastAsia" w:hAnsi="宋体" w:cs="宋体"/>
          <w:color w:val="auto"/>
          <w:szCs w:val="21"/>
          <w:highlight w:val="none"/>
        </w:rPr>
        <w:t>（电子签章）：</w:t>
      </w:r>
    </w:p>
    <w:p>
      <w:pPr>
        <w:pStyle w:val="15"/>
        <w:spacing w:line="600" w:lineRule="exact"/>
        <w:rPr>
          <w:rFonts w:hAnsi="宋体" w:cs="宋体"/>
          <w:color w:val="auto"/>
          <w:szCs w:val="21"/>
          <w:highlight w:val="none"/>
        </w:rPr>
      </w:pPr>
      <w:r>
        <w:rPr>
          <w:rFonts w:hint="eastAsia" w:hAnsi="宋体" w:cs="宋体"/>
          <w:color w:val="auto"/>
          <w:szCs w:val="21"/>
          <w:highlight w:val="none"/>
        </w:rPr>
        <w:t>法定代表人或其委托代理人（签字或电子签章）：</w:t>
      </w:r>
    </w:p>
    <w:p>
      <w:pPr>
        <w:pStyle w:val="15"/>
        <w:spacing w:line="600" w:lineRule="exact"/>
        <w:rPr>
          <w:rFonts w:hAnsi="宋体" w:cs="宋体"/>
          <w:color w:val="auto"/>
          <w:szCs w:val="21"/>
          <w:highlight w:val="none"/>
        </w:rPr>
      </w:pPr>
      <w:r>
        <w:rPr>
          <w:rFonts w:hint="eastAsia" w:hAnsi="宋体" w:cs="宋体"/>
          <w:color w:val="auto"/>
          <w:szCs w:val="21"/>
          <w:highlight w:val="none"/>
        </w:rPr>
        <w:t>日期：　</w:t>
      </w:r>
    </w:p>
    <w:p>
      <w:pPr>
        <w:pStyle w:val="15"/>
        <w:spacing w:line="480" w:lineRule="auto"/>
        <w:outlineLvl w:val="1"/>
        <w:rPr>
          <w:rFonts w:hAnsi="宋体" w:cs="宋体"/>
          <w:b/>
          <w:color w:val="auto"/>
          <w:sz w:val="24"/>
          <w:szCs w:val="24"/>
          <w:highlight w:val="none"/>
        </w:rPr>
      </w:pPr>
      <w:r>
        <w:rPr>
          <w:rFonts w:hint="eastAsia" w:hAnsi="宋体" w:cs="宋体"/>
          <w:color w:val="auto"/>
          <w:szCs w:val="21"/>
          <w:highlight w:val="none"/>
        </w:rPr>
        <w:br w:type="page"/>
      </w:r>
      <w:bookmarkStart w:id="95" w:name="_Toc518063101"/>
      <w:bookmarkStart w:id="96" w:name="_Toc30413"/>
      <w:bookmarkStart w:id="97" w:name="_Toc2776"/>
      <w:bookmarkStart w:id="98" w:name="_Toc24690"/>
      <w:r>
        <w:rPr>
          <w:rFonts w:hint="eastAsia" w:hAnsi="宋体" w:cs="宋体"/>
          <w:b/>
          <w:color w:val="auto"/>
          <w:sz w:val="24"/>
          <w:szCs w:val="24"/>
          <w:highlight w:val="none"/>
        </w:rPr>
        <w:t>格式</w:t>
      </w:r>
      <w:r>
        <w:rPr>
          <w:rFonts w:hint="eastAsia" w:hAnsi="宋体" w:cs="宋体"/>
          <w:b/>
          <w:color w:val="auto"/>
          <w:sz w:val="24"/>
          <w:szCs w:val="24"/>
          <w:highlight w:val="none"/>
          <w:lang w:val="en-US" w:eastAsia="zh-CN"/>
        </w:rPr>
        <w:t>11</w:t>
      </w:r>
      <w:r>
        <w:rPr>
          <w:rFonts w:hint="eastAsia" w:hAnsi="宋体" w:cs="宋体"/>
          <w:b/>
          <w:color w:val="auto"/>
          <w:sz w:val="24"/>
          <w:szCs w:val="24"/>
          <w:highlight w:val="none"/>
        </w:rPr>
        <w:t>：</w:t>
      </w:r>
      <w:bookmarkEnd w:id="95"/>
      <w:bookmarkEnd w:id="96"/>
      <w:bookmarkEnd w:id="97"/>
      <w:r>
        <w:rPr>
          <w:rFonts w:hint="eastAsia" w:hAnsi="宋体" w:cs="宋体"/>
          <w:b/>
          <w:color w:val="auto"/>
          <w:sz w:val="24"/>
          <w:szCs w:val="24"/>
          <w:highlight w:val="none"/>
        </w:rPr>
        <w:t>供货方案</w:t>
      </w:r>
      <w:bookmarkEnd w:id="98"/>
    </w:p>
    <w:p>
      <w:pPr>
        <w:pStyle w:val="15"/>
        <w:spacing w:line="600" w:lineRule="exact"/>
        <w:jc w:val="center"/>
        <w:rPr>
          <w:rFonts w:hAnsi="宋体" w:cs="宋体"/>
          <w:b/>
          <w:color w:val="auto"/>
          <w:sz w:val="32"/>
          <w:szCs w:val="24"/>
          <w:highlight w:val="none"/>
        </w:rPr>
      </w:pPr>
      <w:r>
        <w:rPr>
          <w:rFonts w:hint="eastAsia" w:hAnsi="宋体" w:cs="宋体"/>
          <w:b/>
          <w:color w:val="auto"/>
          <w:sz w:val="32"/>
          <w:szCs w:val="24"/>
          <w:highlight w:val="none"/>
        </w:rPr>
        <w:t>供货方案</w:t>
      </w:r>
    </w:p>
    <w:p>
      <w:pPr>
        <w:spacing w:line="500" w:lineRule="exact"/>
        <w:jc w:val="center"/>
        <w:rPr>
          <w:rFonts w:ascii="宋体" w:hAnsi="宋体" w:cs="宋体"/>
          <w:color w:val="auto"/>
          <w:highlight w:val="none"/>
        </w:rPr>
      </w:pPr>
      <w:r>
        <w:rPr>
          <w:rFonts w:hint="eastAsia" w:ascii="宋体" w:hAnsi="宋体" w:cs="宋体"/>
          <w:color w:val="auto"/>
          <w:highlight w:val="none"/>
        </w:rPr>
        <w:t>（投标人根据评分细则要求自行编制，格式不限）</w:t>
      </w:r>
    </w:p>
    <w:p>
      <w:pPr>
        <w:pStyle w:val="15"/>
        <w:spacing w:line="360" w:lineRule="auto"/>
        <w:ind w:firstLine="315" w:firstLineChars="150"/>
        <w:rPr>
          <w:rFonts w:hint="eastAsia" w:ascii="宋体" w:hAnsi="宋体" w:eastAsia="宋体" w:cs="宋体"/>
          <w:color w:val="auto"/>
          <w:szCs w:val="21"/>
        </w:rPr>
      </w:pPr>
    </w:p>
    <w:p>
      <w:pPr>
        <w:pStyle w:val="15"/>
        <w:spacing w:line="360" w:lineRule="auto"/>
        <w:ind w:firstLine="315" w:firstLineChars="150"/>
        <w:rPr>
          <w:rFonts w:hint="eastAsia" w:ascii="宋体" w:hAnsi="宋体" w:eastAsia="宋体" w:cs="宋体"/>
          <w:color w:val="auto"/>
          <w:szCs w:val="21"/>
        </w:rPr>
      </w:pPr>
    </w:p>
    <w:p>
      <w:pPr>
        <w:pStyle w:val="15"/>
        <w:spacing w:line="600" w:lineRule="exact"/>
        <w:ind w:firstLine="420" w:firstLineChars="200"/>
        <w:jc w:val="center"/>
        <w:rPr>
          <w:rFonts w:hAnsi="宋体" w:cs="宋体"/>
          <w:color w:val="auto"/>
          <w:szCs w:val="21"/>
          <w:highlight w:val="none"/>
        </w:rPr>
      </w:pPr>
      <w:r>
        <w:rPr>
          <w:rFonts w:hint="eastAsia" w:ascii="宋体" w:hAnsi="宋体" w:eastAsia="宋体" w:cs="宋体"/>
          <w:color w:val="auto"/>
          <w:szCs w:val="21"/>
        </w:rPr>
        <w:t>　</w:t>
      </w:r>
      <w:r>
        <w:rPr>
          <w:rFonts w:hint="eastAsia" w:hAnsi="宋体" w:cs="宋体"/>
          <w:color w:val="auto"/>
          <w:szCs w:val="21"/>
          <w:highlight w:val="none"/>
        </w:rPr>
        <w:t xml:space="preserve"> </w:t>
      </w:r>
    </w:p>
    <w:p>
      <w:pPr>
        <w:pStyle w:val="15"/>
        <w:spacing w:line="600" w:lineRule="exact"/>
        <w:outlineLvl w:val="1"/>
        <w:rPr>
          <w:rFonts w:hAnsi="宋体" w:cs="宋体"/>
          <w:b/>
          <w:color w:val="auto"/>
          <w:sz w:val="24"/>
          <w:szCs w:val="24"/>
          <w:highlight w:val="none"/>
        </w:rPr>
      </w:pPr>
      <w:r>
        <w:rPr>
          <w:rFonts w:hint="eastAsia" w:hAnsi="宋体" w:cs="宋体"/>
          <w:b/>
          <w:color w:val="auto"/>
          <w:sz w:val="24"/>
          <w:szCs w:val="24"/>
          <w:highlight w:val="none"/>
        </w:rPr>
        <w:br w:type="page"/>
      </w:r>
      <w:bookmarkStart w:id="99" w:name="_Toc21430"/>
      <w:r>
        <w:rPr>
          <w:rFonts w:hint="eastAsia" w:hAnsi="宋体" w:cs="宋体"/>
          <w:b/>
          <w:color w:val="auto"/>
          <w:sz w:val="24"/>
          <w:szCs w:val="24"/>
          <w:highlight w:val="none"/>
        </w:rPr>
        <w:t>格式</w:t>
      </w:r>
      <w:r>
        <w:rPr>
          <w:rFonts w:hint="eastAsia" w:hAnsi="宋体" w:cs="宋体"/>
          <w:b/>
          <w:color w:val="auto"/>
          <w:sz w:val="24"/>
          <w:szCs w:val="24"/>
          <w:highlight w:val="none"/>
          <w:lang w:val="en-US" w:eastAsia="zh-CN"/>
        </w:rPr>
        <w:t>12</w:t>
      </w:r>
      <w:r>
        <w:rPr>
          <w:rFonts w:hint="eastAsia" w:hAnsi="宋体" w:cs="宋体"/>
          <w:b/>
          <w:color w:val="auto"/>
          <w:sz w:val="24"/>
          <w:szCs w:val="24"/>
          <w:highlight w:val="none"/>
        </w:rPr>
        <w:t>：质量保证措施</w:t>
      </w:r>
      <w:r>
        <w:rPr>
          <w:rFonts w:hint="eastAsia" w:hAnsi="宋体" w:cs="宋体"/>
          <w:b/>
          <w:color w:val="auto"/>
          <w:sz w:val="24"/>
          <w:szCs w:val="24"/>
          <w:highlight w:val="none"/>
          <w:lang w:val="en-US" w:eastAsia="zh-CN"/>
        </w:rPr>
        <w:t>及</w:t>
      </w:r>
      <w:r>
        <w:rPr>
          <w:rFonts w:hint="eastAsia" w:hAnsi="宋体" w:cs="宋体"/>
          <w:b/>
          <w:color w:val="auto"/>
          <w:sz w:val="24"/>
          <w:szCs w:val="24"/>
          <w:highlight w:val="none"/>
        </w:rPr>
        <w:t>承诺</w:t>
      </w:r>
    </w:p>
    <w:p>
      <w:pPr>
        <w:jc w:val="center"/>
        <w:rPr>
          <w:rFonts w:ascii="宋体" w:hAnsi="宋体" w:cs="宋体"/>
          <w:b/>
          <w:color w:val="auto"/>
          <w:sz w:val="32"/>
          <w:szCs w:val="32"/>
          <w:highlight w:val="none"/>
        </w:rPr>
      </w:pPr>
    </w:p>
    <w:p>
      <w:pPr>
        <w:jc w:val="center"/>
        <w:rPr>
          <w:rFonts w:hint="eastAsia" w:ascii="宋体" w:hAnsi="宋体" w:eastAsia="宋体" w:cs="宋体"/>
          <w:color w:val="auto"/>
          <w:highlight w:val="none"/>
          <w:lang w:eastAsia="zh-CN"/>
        </w:rPr>
      </w:pPr>
      <w:r>
        <w:rPr>
          <w:rFonts w:hint="eastAsia" w:ascii="宋体" w:hAnsi="宋体" w:cs="宋体"/>
          <w:b/>
          <w:color w:val="auto"/>
          <w:sz w:val="32"/>
          <w:szCs w:val="32"/>
          <w:highlight w:val="none"/>
        </w:rPr>
        <w:t>质量保证</w:t>
      </w:r>
      <w:r>
        <w:rPr>
          <w:rFonts w:hint="eastAsia" w:ascii="宋体" w:hAnsi="宋体" w:cs="宋体"/>
          <w:b/>
          <w:color w:val="auto"/>
          <w:sz w:val="32"/>
          <w:szCs w:val="32"/>
          <w:highlight w:val="none"/>
          <w:lang w:val="en-US" w:eastAsia="zh-CN"/>
        </w:rPr>
        <w:t>措施及承诺</w:t>
      </w:r>
    </w:p>
    <w:p>
      <w:pPr>
        <w:spacing w:line="500" w:lineRule="exact"/>
        <w:jc w:val="center"/>
        <w:rPr>
          <w:rFonts w:ascii="宋体" w:hAnsi="宋体" w:cs="宋体"/>
          <w:color w:val="auto"/>
          <w:highlight w:val="none"/>
        </w:rPr>
      </w:pPr>
      <w:r>
        <w:rPr>
          <w:rFonts w:hint="eastAsia" w:ascii="宋体" w:hAnsi="宋体" w:cs="宋体"/>
          <w:color w:val="auto"/>
          <w:highlight w:val="none"/>
        </w:rPr>
        <w:t>（投标人根据评分细则要求自行编制，格式不限）</w:t>
      </w:r>
    </w:p>
    <w:p>
      <w:pPr>
        <w:pStyle w:val="15"/>
        <w:spacing w:line="360" w:lineRule="auto"/>
        <w:ind w:firstLine="315" w:firstLineChars="150"/>
        <w:rPr>
          <w:rFonts w:hAnsi="宋体" w:cs="宋体"/>
          <w:color w:val="auto"/>
          <w:szCs w:val="21"/>
          <w:highlight w:val="none"/>
        </w:rPr>
      </w:pPr>
    </w:p>
    <w:p>
      <w:pPr>
        <w:pStyle w:val="15"/>
        <w:spacing w:line="360" w:lineRule="auto"/>
        <w:ind w:firstLine="315" w:firstLineChars="150"/>
        <w:rPr>
          <w:rFonts w:hAnsi="宋体" w:cs="宋体"/>
          <w:color w:val="auto"/>
          <w:szCs w:val="21"/>
          <w:highlight w:val="none"/>
        </w:rPr>
      </w:pPr>
    </w:p>
    <w:p>
      <w:pPr>
        <w:pStyle w:val="15"/>
        <w:spacing w:line="360" w:lineRule="auto"/>
        <w:ind w:firstLine="315" w:firstLineChars="150"/>
        <w:rPr>
          <w:rFonts w:hAnsi="宋体" w:cs="宋体"/>
          <w:color w:val="auto"/>
          <w:szCs w:val="21"/>
          <w:highlight w:val="none"/>
        </w:rPr>
      </w:pPr>
    </w:p>
    <w:p>
      <w:pPr>
        <w:pStyle w:val="15"/>
        <w:spacing w:line="600" w:lineRule="exact"/>
        <w:rPr>
          <w:rFonts w:hAnsi="宋体" w:cs="宋体"/>
          <w:color w:val="auto"/>
          <w:sz w:val="24"/>
          <w:highlight w:val="none"/>
        </w:rPr>
      </w:pPr>
    </w:p>
    <w:p>
      <w:pPr>
        <w:pStyle w:val="15"/>
        <w:spacing w:line="600" w:lineRule="exact"/>
        <w:rPr>
          <w:rFonts w:hAnsi="宋体" w:cs="宋体"/>
          <w:color w:val="auto"/>
          <w:sz w:val="24"/>
          <w:highlight w:val="none"/>
        </w:rPr>
      </w:pPr>
    </w:p>
    <w:p>
      <w:pPr>
        <w:pStyle w:val="15"/>
        <w:spacing w:line="600" w:lineRule="exact"/>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p>
      <w:pPr>
        <w:rPr>
          <w:rFonts w:hAnsi="宋体" w:cs="宋体"/>
          <w:color w:val="auto"/>
          <w:sz w:val="24"/>
          <w:highlight w:val="none"/>
        </w:rPr>
      </w:pPr>
    </w:p>
    <w:bookmarkEnd w:id="99"/>
    <w:p>
      <w:pPr>
        <w:spacing w:line="360" w:lineRule="auto"/>
        <w:outlineLvl w:val="1"/>
        <w:rPr>
          <w:rFonts w:hint="default" w:ascii="仿宋" w:hAnsi="仿宋" w:eastAsia="仿宋" w:cs="仿宋"/>
          <w:color w:val="auto"/>
          <w:lang w:val="en-US" w:eastAsia="zh-CN"/>
        </w:rPr>
      </w:pPr>
      <w:r>
        <w:rPr>
          <w:rFonts w:hint="eastAsia" w:hAnsi="宋体" w:cs="宋体"/>
          <w:b/>
          <w:color w:val="auto"/>
          <w:sz w:val="24"/>
          <w:szCs w:val="24"/>
          <w:highlight w:val="none"/>
        </w:rPr>
        <w:t>格式</w:t>
      </w:r>
      <w:r>
        <w:rPr>
          <w:rFonts w:hint="eastAsia" w:ascii="Times New Roman" w:hAnsi="宋体" w:eastAsia="宋体" w:cs="宋体"/>
          <w:b/>
          <w:color w:val="auto"/>
          <w:sz w:val="24"/>
          <w:szCs w:val="24"/>
          <w:highlight w:val="none"/>
          <w:lang w:val="en-US" w:eastAsia="zh-CN"/>
        </w:rPr>
        <w:t>1</w:t>
      </w:r>
      <w:r>
        <w:rPr>
          <w:rFonts w:hint="eastAsia" w:hAnsi="宋体" w:cs="宋体"/>
          <w:b/>
          <w:color w:val="auto"/>
          <w:sz w:val="24"/>
          <w:szCs w:val="24"/>
          <w:highlight w:val="none"/>
          <w:lang w:val="en-US" w:eastAsia="zh-CN"/>
        </w:rPr>
        <w:t>3</w:t>
      </w:r>
      <w:r>
        <w:rPr>
          <w:rFonts w:hint="eastAsia" w:ascii="Times New Roman" w:hAnsi="宋体" w:eastAsia="宋体" w:cs="宋体"/>
          <w:b/>
          <w:color w:val="auto"/>
          <w:sz w:val="24"/>
          <w:szCs w:val="24"/>
          <w:highlight w:val="none"/>
        </w:rPr>
        <w:t>：</w:t>
      </w:r>
      <w:r>
        <w:rPr>
          <w:rFonts w:hint="eastAsia" w:ascii="Times New Roman" w:hAnsi="宋体" w:eastAsia="宋体" w:cs="宋体"/>
          <w:b/>
          <w:color w:val="auto"/>
          <w:sz w:val="24"/>
          <w:szCs w:val="24"/>
          <w:highlight w:val="none"/>
          <w:lang w:val="en-US" w:eastAsia="zh-CN"/>
        </w:rPr>
        <w:t>培训方案</w:t>
      </w:r>
    </w:p>
    <w:p>
      <w:pPr>
        <w:pStyle w:val="15"/>
        <w:spacing w:line="600" w:lineRule="exact"/>
        <w:rPr>
          <w:rFonts w:hint="eastAsia" w:ascii="仿宋" w:hAnsi="仿宋" w:eastAsia="仿宋" w:cs="仿宋"/>
          <w:color w:val="auto"/>
          <w:sz w:val="24"/>
        </w:rPr>
      </w:pP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培训方案</w:t>
      </w:r>
    </w:p>
    <w:p>
      <w:pPr>
        <w:spacing w:line="500" w:lineRule="exact"/>
        <w:jc w:val="center"/>
        <w:rPr>
          <w:rFonts w:ascii="宋体" w:hAnsi="宋体" w:cs="宋体"/>
          <w:color w:val="auto"/>
          <w:highlight w:val="none"/>
        </w:rPr>
      </w:pPr>
      <w:r>
        <w:rPr>
          <w:rFonts w:hint="eastAsia" w:ascii="宋体" w:hAnsi="宋体" w:cs="宋体"/>
          <w:color w:val="auto"/>
          <w:highlight w:val="none"/>
        </w:rPr>
        <w:t>（投标人根据评分细则要求自行编制，格式不限）</w:t>
      </w:r>
    </w:p>
    <w:p>
      <w:pPr>
        <w:pStyle w:val="15"/>
        <w:spacing w:line="360" w:lineRule="auto"/>
        <w:ind w:firstLine="315" w:firstLineChars="150"/>
        <w:rPr>
          <w:rFonts w:hint="eastAsia" w:ascii="宋体" w:hAnsi="宋体" w:eastAsia="宋体" w:cs="宋体"/>
          <w:color w:val="auto"/>
          <w:szCs w:val="21"/>
        </w:rPr>
      </w:pPr>
    </w:p>
    <w:p>
      <w:pPr>
        <w:pStyle w:val="15"/>
        <w:spacing w:line="360" w:lineRule="auto"/>
        <w:ind w:firstLine="315" w:firstLineChars="150"/>
        <w:rPr>
          <w:rFonts w:hint="eastAsia" w:ascii="宋体" w:hAnsi="宋体" w:eastAsia="宋体" w:cs="宋体"/>
          <w:color w:val="auto"/>
          <w:szCs w:val="21"/>
        </w:rPr>
      </w:pPr>
    </w:p>
    <w:p>
      <w:pPr>
        <w:pStyle w:val="15"/>
        <w:spacing w:line="480" w:lineRule="auto"/>
        <w:outlineLvl w:val="9"/>
        <w:rPr>
          <w:rFonts w:hint="eastAsia" w:hAnsi="宋体" w:cs="宋体"/>
          <w:b/>
          <w:color w:val="auto"/>
          <w:sz w:val="24"/>
          <w:szCs w:val="24"/>
          <w:highlight w:val="none"/>
        </w:rPr>
      </w:pPr>
    </w:p>
    <w:p>
      <w:pPr>
        <w:spacing w:line="500" w:lineRule="exact"/>
        <w:rPr>
          <w:rFonts w:hAnsi="宋体" w:cs="宋体"/>
          <w:color w:val="auto"/>
          <w:sz w:val="24"/>
          <w:highlight w:val="none"/>
        </w:rPr>
      </w:pPr>
      <w:r>
        <w:rPr>
          <w:rFonts w:hint="eastAsia" w:hAnsi="宋体" w:cs="宋体"/>
          <w:b/>
          <w:color w:val="auto"/>
          <w:sz w:val="24"/>
          <w:szCs w:val="24"/>
          <w:highlight w:val="none"/>
        </w:rPr>
        <w:br w:type="page"/>
      </w:r>
    </w:p>
    <w:p>
      <w:pPr>
        <w:pStyle w:val="15"/>
        <w:spacing w:line="500" w:lineRule="exact"/>
        <w:outlineLvl w:val="1"/>
        <w:rPr>
          <w:rFonts w:hint="eastAsia" w:hAnsi="宋体" w:cs="宋体"/>
          <w:b/>
          <w:color w:val="auto"/>
          <w:sz w:val="24"/>
          <w:szCs w:val="24"/>
          <w:highlight w:val="none"/>
          <w:lang w:val="en-US" w:eastAsia="zh-CN"/>
        </w:rPr>
      </w:pPr>
      <w:r>
        <w:rPr>
          <w:rFonts w:hint="eastAsia" w:hAnsi="宋体" w:cs="宋体"/>
          <w:b/>
          <w:color w:val="auto"/>
          <w:sz w:val="24"/>
          <w:szCs w:val="24"/>
          <w:highlight w:val="none"/>
        </w:rPr>
        <w:t>格式</w:t>
      </w:r>
      <w:r>
        <w:rPr>
          <w:rFonts w:hint="eastAsia" w:hAnsi="宋体" w:cs="宋体"/>
          <w:b/>
          <w:color w:val="auto"/>
          <w:sz w:val="24"/>
          <w:szCs w:val="24"/>
          <w:highlight w:val="none"/>
          <w:lang w:val="en-US" w:eastAsia="zh-CN"/>
        </w:rPr>
        <w:t>14</w:t>
      </w:r>
      <w:r>
        <w:rPr>
          <w:rFonts w:hint="eastAsia" w:hAnsi="宋体" w:cs="宋体"/>
          <w:b/>
          <w:color w:val="auto"/>
          <w:sz w:val="24"/>
          <w:szCs w:val="24"/>
          <w:highlight w:val="none"/>
        </w:rPr>
        <w:t>：</w:t>
      </w:r>
      <w:r>
        <w:rPr>
          <w:rFonts w:hint="eastAsia" w:hAnsi="宋体" w:cs="宋体"/>
          <w:b/>
          <w:color w:val="auto"/>
          <w:sz w:val="24"/>
          <w:szCs w:val="24"/>
          <w:highlight w:val="none"/>
          <w:lang w:val="en-US" w:eastAsia="zh-CN"/>
        </w:rPr>
        <w:t>售后服务承诺及保障措施</w:t>
      </w:r>
    </w:p>
    <w:p>
      <w:pPr>
        <w:pStyle w:val="15"/>
        <w:spacing w:line="500" w:lineRule="exact"/>
        <w:outlineLvl w:val="1"/>
        <w:rPr>
          <w:rFonts w:hAnsi="宋体" w:cs="宋体"/>
          <w:b/>
          <w:color w:val="auto"/>
          <w:sz w:val="24"/>
          <w:szCs w:val="24"/>
          <w:highlight w:val="none"/>
        </w:rPr>
      </w:pPr>
    </w:p>
    <w:p>
      <w:pPr>
        <w:pStyle w:val="15"/>
        <w:spacing w:line="500" w:lineRule="exact"/>
        <w:rPr>
          <w:rFonts w:hAnsi="宋体" w:cs="宋体"/>
          <w:b/>
          <w:color w:val="auto"/>
          <w:sz w:val="28"/>
          <w:szCs w:val="28"/>
          <w:highlight w:val="none"/>
        </w:rPr>
      </w:pPr>
    </w:p>
    <w:p>
      <w:pPr>
        <w:jc w:val="center"/>
        <w:rPr>
          <w:rFonts w:hint="default"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售后服务承诺</w:t>
      </w:r>
      <w:r>
        <w:rPr>
          <w:rFonts w:hint="eastAsia" w:ascii="宋体" w:hAnsi="宋体" w:cs="宋体"/>
          <w:b/>
          <w:color w:val="auto"/>
          <w:kern w:val="2"/>
          <w:sz w:val="24"/>
          <w:szCs w:val="24"/>
          <w:highlight w:val="none"/>
          <w:lang w:val="en-US" w:eastAsia="zh-CN" w:bidi="ar-SA"/>
        </w:rPr>
        <w:t>及</w:t>
      </w:r>
      <w:r>
        <w:rPr>
          <w:rFonts w:hint="eastAsia" w:ascii="宋体" w:hAnsi="宋体" w:eastAsia="宋体" w:cs="宋体"/>
          <w:b/>
          <w:color w:val="auto"/>
          <w:kern w:val="2"/>
          <w:sz w:val="24"/>
          <w:szCs w:val="24"/>
          <w:highlight w:val="none"/>
          <w:lang w:val="en-US" w:eastAsia="zh-CN" w:bidi="ar-SA"/>
        </w:rPr>
        <w:t>保障</w:t>
      </w:r>
      <w:r>
        <w:rPr>
          <w:rFonts w:hint="eastAsia" w:ascii="宋体" w:hAnsi="宋体" w:cs="宋体"/>
          <w:b/>
          <w:color w:val="auto"/>
          <w:kern w:val="2"/>
          <w:sz w:val="24"/>
          <w:szCs w:val="24"/>
          <w:highlight w:val="none"/>
          <w:lang w:val="en-US" w:eastAsia="zh-CN" w:bidi="ar-SA"/>
        </w:rPr>
        <w:t>措施</w:t>
      </w:r>
    </w:p>
    <w:p>
      <w:pPr>
        <w:pStyle w:val="15"/>
        <w:jc w:val="center"/>
        <w:rPr>
          <w:rFonts w:hint="eastAsia" w:ascii="宋体" w:hAnsi="宋体" w:cs="宋体"/>
          <w:color w:val="auto"/>
          <w:sz w:val="21"/>
          <w:szCs w:val="24"/>
          <w:highlight w:val="none"/>
        </w:rPr>
      </w:pPr>
      <w:r>
        <w:rPr>
          <w:rFonts w:hint="eastAsia" w:hAnsi="宋体"/>
          <w:color w:val="auto"/>
          <w:sz w:val="24"/>
          <w:szCs w:val="24"/>
        </w:rPr>
        <w:t>包括但不限于：维修地址、联系电话及联系人员、质保期外维修服务收费标准，主要零配件及易耗品价格，制造商的技术支持，其它服务承诺等。</w:t>
      </w:r>
    </w:p>
    <w:p>
      <w:pPr>
        <w:spacing w:line="500" w:lineRule="exact"/>
        <w:jc w:val="center"/>
        <w:rPr>
          <w:rFonts w:ascii="宋体" w:hAnsi="宋体" w:cs="宋体"/>
          <w:color w:val="auto"/>
          <w:highlight w:val="none"/>
        </w:rPr>
      </w:pPr>
      <w:r>
        <w:rPr>
          <w:rFonts w:hint="eastAsia" w:ascii="宋体" w:hAnsi="宋体" w:cs="宋体"/>
          <w:color w:val="auto"/>
          <w:highlight w:val="none"/>
        </w:rPr>
        <w:t>（投标人根据评分细则要求自行编制，格式不限）</w:t>
      </w:r>
    </w:p>
    <w:p>
      <w:pPr>
        <w:spacing w:line="360" w:lineRule="auto"/>
        <w:ind w:firstLine="315" w:firstLineChars="150"/>
        <w:rPr>
          <w:rFonts w:ascii="宋体" w:hAnsi="宋体" w:cs="宋体"/>
          <w:color w:val="auto"/>
          <w:highlight w:val="none"/>
        </w:rPr>
      </w:pPr>
      <w:r>
        <w:rPr>
          <w:rFonts w:hint="eastAsia" w:ascii="宋体" w:hAnsi="宋体" w:cs="宋体"/>
          <w:color w:val="auto"/>
          <w:szCs w:val="21"/>
          <w:highlight w:val="none"/>
        </w:rPr>
        <w:t>　　</w:t>
      </w:r>
    </w:p>
    <w:p>
      <w:pPr>
        <w:pStyle w:val="15"/>
        <w:spacing w:line="600" w:lineRule="exact"/>
        <w:rPr>
          <w:rFonts w:hAnsi="宋体" w:cs="宋体"/>
          <w:color w:val="auto"/>
          <w:sz w:val="24"/>
          <w:highlight w:val="none"/>
        </w:rPr>
      </w:pPr>
    </w:p>
    <w:p>
      <w:pPr>
        <w:pStyle w:val="15"/>
        <w:spacing w:line="600" w:lineRule="exact"/>
        <w:rPr>
          <w:rFonts w:hAnsi="宋体" w:cs="宋体"/>
          <w:color w:val="auto"/>
          <w:sz w:val="24"/>
          <w:highlight w:val="none"/>
        </w:rPr>
      </w:pPr>
    </w:p>
    <w:p>
      <w:pPr>
        <w:pStyle w:val="15"/>
        <w:spacing w:line="600" w:lineRule="exact"/>
        <w:rPr>
          <w:rFonts w:hAnsi="宋体" w:cs="宋体"/>
          <w:color w:val="auto"/>
          <w:sz w:val="24"/>
          <w:highlight w:val="none"/>
        </w:rPr>
      </w:pPr>
    </w:p>
    <w:p>
      <w:pPr>
        <w:pStyle w:val="15"/>
        <w:spacing w:line="360" w:lineRule="auto"/>
        <w:rPr>
          <w:rFonts w:hint="eastAsia" w:hAnsi="宋体" w:cs="宋体"/>
          <w:b/>
          <w:color w:val="auto"/>
          <w:sz w:val="24"/>
          <w:szCs w:val="24"/>
          <w:highlight w:val="none"/>
        </w:rPr>
      </w:pPr>
      <w:r>
        <w:rPr>
          <w:rFonts w:hint="eastAsia" w:hAnsi="宋体" w:cs="宋体"/>
          <w:color w:val="auto"/>
          <w:sz w:val="32"/>
          <w:szCs w:val="32"/>
          <w:highlight w:val="none"/>
        </w:rPr>
        <w:br w:type="page"/>
      </w:r>
    </w:p>
    <w:p>
      <w:pPr>
        <w:pStyle w:val="15"/>
        <w:spacing w:line="480" w:lineRule="auto"/>
        <w:outlineLvl w:val="1"/>
        <w:rPr>
          <w:rFonts w:hint="eastAsia" w:hAnsi="宋体" w:eastAsia="宋体" w:cs="宋体"/>
          <w:color w:val="auto"/>
          <w:sz w:val="36"/>
          <w:highlight w:val="none"/>
          <w:lang w:eastAsia="zh-CN"/>
        </w:rPr>
      </w:pPr>
      <w:bookmarkStart w:id="100" w:name="_Toc25921"/>
      <w:r>
        <w:rPr>
          <w:rFonts w:hint="eastAsia" w:hAnsi="宋体" w:cs="宋体"/>
          <w:b/>
          <w:color w:val="auto"/>
          <w:sz w:val="24"/>
          <w:szCs w:val="24"/>
          <w:highlight w:val="none"/>
          <w:lang w:eastAsia="zh-CN"/>
        </w:rPr>
        <w:t>格式</w:t>
      </w:r>
      <w:r>
        <w:rPr>
          <w:rFonts w:hint="eastAsia" w:hAnsi="宋体" w:cs="宋体"/>
          <w:b/>
          <w:color w:val="auto"/>
          <w:sz w:val="24"/>
          <w:szCs w:val="24"/>
          <w:highlight w:val="none"/>
          <w:lang w:val="en-US" w:eastAsia="zh-CN"/>
        </w:rPr>
        <w:t>15：</w:t>
      </w:r>
      <w:r>
        <w:rPr>
          <w:rFonts w:hint="eastAsia" w:hAnsi="宋体" w:cs="宋体"/>
          <w:b/>
          <w:color w:val="auto"/>
          <w:sz w:val="24"/>
          <w:szCs w:val="24"/>
          <w:highlight w:val="none"/>
        </w:rPr>
        <w:t>类似</w:t>
      </w:r>
      <w:bookmarkEnd w:id="100"/>
      <w:r>
        <w:rPr>
          <w:rFonts w:hint="eastAsia" w:hAnsi="宋体" w:cs="宋体"/>
          <w:b/>
          <w:color w:val="auto"/>
          <w:sz w:val="24"/>
          <w:szCs w:val="24"/>
          <w:highlight w:val="none"/>
          <w:lang w:val="en-US" w:eastAsia="zh-CN"/>
        </w:rPr>
        <w:t>业绩</w:t>
      </w:r>
    </w:p>
    <w:p>
      <w:pPr>
        <w:jc w:val="center"/>
        <w:rPr>
          <w:rFonts w:ascii="宋体" w:hAnsi="宋体" w:cs="宋体"/>
          <w:b/>
          <w:color w:val="auto"/>
          <w:sz w:val="28"/>
          <w:szCs w:val="28"/>
          <w:highlight w:val="none"/>
        </w:rPr>
      </w:pPr>
      <w:r>
        <w:rPr>
          <w:rFonts w:hint="eastAsia" w:ascii="宋体" w:hAnsi="宋体" w:cs="宋体"/>
          <w:b/>
          <w:color w:val="auto"/>
          <w:sz w:val="28"/>
          <w:szCs w:val="28"/>
          <w:highlight w:val="none"/>
        </w:rPr>
        <w:t>类似</w:t>
      </w:r>
      <w:r>
        <w:rPr>
          <w:rFonts w:hint="eastAsia" w:ascii="宋体" w:hAnsi="宋体" w:cs="宋体"/>
          <w:b/>
          <w:color w:val="auto"/>
          <w:sz w:val="28"/>
          <w:szCs w:val="28"/>
          <w:highlight w:val="none"/>
          <w:lang w:val="en-US" w:eastAsia="zh-CN"/>
        </w:rPr>
        <w:t>业绩</w:t>
      </w: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2019年至今</w:t>
      </w:r>
      <w:r>
        <w:rPr>
          <w:rFonts w:hint="eastAsia" w:ascii="宋体" w:hAnsi="宋体" w:cs="宋体"/>
          <w:b/>
          <w:color w:val="auto"/>
          <w:sz w:val="28"/>
          <w:szCs w:val="28"/>
          <w:highlight w:val="none"/>
        </w:rPr>
        <w:t>）</w:t>
      </w:r>
    </w:p>
    <w:tbl>
      <w:tblPr>
        <w:tblStyle w:val="30"/>
        <w:tblW w:w="95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
        <w:gridCol w:w="1158"/>
        <w:gridCol w:w="1512"/>
        <w:gridCol w:w="845"/>
        <w:gridCol w:w="1519"/>
        <w:gridCol w:w="1357"/>
        <w:gridCol w:w="1357"/>
        <w:gridCol w:w="1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序号</w:t>
            </w:r>
          </w:p>
        </w:tc>
        <w:tc>
          <w:tcPr>
            <w:tcW w:w="1158"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被服务单位名称</w:t>
            </w:r>
          </w:p>
        </w:tc>
        <w:tc>
          <w:tcPr>
            <w:tcW w:w="1512"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项目名称</w:t>
            </w:r>
          </w:p>
        </w:tc>
        <w:tc>
          <w:tcPr>
            <w:tcW w:w="845"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金额</w:t>
            </w:r>
          </w:p>
        </w:tc>
        <w:tc>
          <w:tcPr>
            <w:tcW w:w="1519"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产品名称</w:t>
            </w: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服务年份</w:t>
            </w: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联系人及联系方式</w:t>
            </w: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合同履约情况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158"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2"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845"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9"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158"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2"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845"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9"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158"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2"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845"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9"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158"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2"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845"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9"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158"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2"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845"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9"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158"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2"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845"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9"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158"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2"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845"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9"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158"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2"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845"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9"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158"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2"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845"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9"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464"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158"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2"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845"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519"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pPr>
              <w:pStyle w:val="117"/>
              <w:widowControl w:val="0"/>
              <w:ind w:firstLine="0" w:firstLineChars="0"/>
              <w:jc w:val="center"/>
              <w:rPr>
                <w:rFonts w:ascii="宋体" w:hAnsi="宋体" w:cs="宋体"/>
                <w:color w:val="auto"/>
                <w:kern w:val="2"/>
                <w:sz w:val="21"/>
                <w:szCs w:val="21"/>
                <w:highlight w:val="none"/>
              </w:rPr>
            </w:pPr>
          </w:p>
        </w:tc>
      </w:tr>
    </w:tbl>
    <w:p>
      <w:pPr>
        <w:pStyle w:val="117"/>
        <w:ind w:firstLine="0" w:firstLineChars="0"/>
        <w:rPr>
          <w:rFonts w:ascii="宋体" w:hAnsi="宋体" w:cs="宋体"/>
          <w:color w:val="auto"/>
          <w:sz w:val="24"/>
          <w:szCs w:val="24"/>
          <w:highlight w:val="none"/>
        </w:rPr>
      </w:pPr>
    </w:p>
    <w:p>
      <w:pPr>
        <w:pStyle w:val="117"/>
        <w:spacing w:line="480" w:lineRule="auto"/>
        <w:ind w:firstLine="0" w:firstLineChars="0"/>
        <w:rPr>
          <w:rFonts w:ascii="宋体" w:hAnsi="宋体" w:cs="宋体"/>
          <w:color w:val="auto"/>
          <w:sz w:val="21"/>
          <w:szCs w:val="24"/>
          <w:highlight w:val="none"/>
        </w:rPr>
      </w:pPr>
      <w:r>
        <w:rPr>
          <w:rFonts w:hint="eastAsia" w:ascii="宋体" w:hAnsi="宋体" w:cs="宋体"/>
          <w:color w:val="auto"/>
          <w:sz w:val="21"/>
          <w:szCs w:val="24"/>
          <w:highlight w:val="none"/>
          <w:lang w:eastAsia="zh-CN"/>
        </w:rPr>
        <w:t>投标人名称</w:t>
      </w:r>
      <w:r>
        <w:rPr>
          <w:rFonts w:hint="eastAsia" w:ascii="宋体" w:hAnsi="宋体" w:cs="宋体"/>
          <w:color w:val="auto"/>
          <w:sz w:val="21"/>
          <w:szCs w:val="24"/>
          <w:highlight w:val="none"/>
        </w:rPr>
        <w:t>（电子签章）：</w:t>
      </w:r>
    </w:p>
    <w:p>
      <w:pPr>
        <w:pStyle w:val="117"/>
        <w:spacing w:line="480" w:lineRule="auto"/>
        <w:ind w:firstLine="0" w:firstLineChars="0"/>
        <w:rPr>
          <w:rFonts w:ascii="宋体" w:hAnsi="宋体" w:cs="宋体"/>
          <w:color w:val="auto"/>
          <w:sz w:val="21"/>
          <w:szCs w:val="24"/>
          <w:highlight w:val="none"/>
        </w:rPr>
      </w:pPr>
      <w:r>
        <w:rPr>
          <w:rFonts w:hint="eastAsia" w:ascii="宋体" w:hAnsi="宋体" w:cs="宋体"/>
          <w:color w:val="auto"/>
          <w:sz w:val="21"/>
          <w:szCs w:val="24"/>
          <w:highlight w:val="none"/>
        </w:rPr>
        <w:t xml:space="preserve">法定代表人或授权代理人（签字或电子签章）：              </w:t>
      </w:r>
    </w:p>
    <w:p>
      <w:pPr>
        <w:pStyle w:val="117"/>
        <w:spacing w:line="480" w:lineRule="auto"/>
        <w:ind w:firstLine="0" w:firstLineChars="0"/>
        <w:rPr>
          <w:rFonts w:ascii="宋体" w:hAnsi="宋体" w:cs="宋体"/>
          <w:color w:val="auto"/>
          <w:sz w:val="21"/>
          <w:szCs w:val="24"/>
          <w:highlight w:val="none"/>
        </w:rPr>
      </w:pPr>
      <w:r>
        <w:rPr>
          <w:rFonts w:hint="eastAsia" w:ascii="宋体" w:hAnsi="宋体" w:cs="宋体"/>
          <w:color w:val="auto"/>
          <w:sz w:val="21"/>
          <w:szCs w:val="24"/>
          <w:highlight w:val="none"/>
        </w:rPr>
        <w:t>日期：</w:t>
      </w:r>
    </w:p>
    <w:p>
      <w:pPr>
        <w:pStyle w:val="117"/>
        <w:ind w:firstLine="0" w:firstLineChars="0"/>
        <w:rPr>
          <w:rFonts w:ascii="宋体" w:hAnsi="宋体" w:cs="宋体"/>
          <w:color w:val="auto"/>
          <w:sz w:val="24"/>
          <w:szCs w:val="24"/>
          <w:highlight w:val="none"/>
        </w:rPr>
      </w:pPr>
    </w:p>
    <w:p>
      <w:pPr>
        <w:pStyle w:val="117"/>
        <w:ind w:firstLine="0" w:firstLineChars="0"/>
        <w:rPr>
          <w:rFonts w:ascii="宋体" w:hAnsi="宋体" w:cs="宋体"/>
          <w:color w:val="auto"/>
          <w:sz w:val="24"/>
          <w:szCs w:val="24"/>
          <w:highlight w:val="none"/>
        </w:rPr>
      </w:pPr>
    </w:p>
    <w:p>
      <w:pPr>
        <w:pStyle w:val="117"/>
        <w:ind w:firstLine="0" w:firstLineChars="0"/>
        <w:rPr>
          <w:rFonts w:ascii="宋体" w:hAnsi="宋体" w:cs="宋体"/>
          <w:b/>
          <w:color w:val="auto"/>
          <w:sz w:val="21"/>
          <w:szCs w:val="24"/>
          <w:highlight w:val="none"/>
        </w:rPr>
      </w:pPr>
      <w:r>
        <w:rPr>
          <w:rFonts w:hint="eastAsia" w:ascii="宋体" w:hAnsi="宋体" w:cs="宋体"/>
          <w:b/>
          <w:color w:val="auto"/>
          <w:sz w:val="21"/>
          <w:szCs w:val="24"/>
          <w:highlight w:val="none"/>
        </w:rPr>
        <w:t>注：①附业绩材料：合同书或中标通知书扫描件；②投标人请如实填写该表，若有用户评价意见，请附后；③合同履约情况：已完结或正在进行。</w:t>
      </w:r>
    </w:p>
    <w:p>
      <w:pPr>
        <w:pStyle w:val="15"/>
        <w:spacing w:line="600" w:lineRule="exact"/>
        <w:rPr>
          <w:rFonts w:hAnsi="宋体" w:cs="宋体"/>
          <w:color w:val="auto"/>
          <w:sz w:val="24"/>
          <w:szCs w:val="24"/>
          <w:highlight w:val="none"/>
        </w:rPr>
      </w:pPr>
    </w:p>
    <w:p>
      <w:pPr>
        <w:pStyle w:val="15"/>
        <w:spacing w:line="360" w:lineRule="auto"/>
        <w:jc w:val="left"/>
        <w:outlineLvl w:val="1"/>
        <w:rPr>
          <w:rFonts w:hAnsi="宋体" w:cs="宋体"/>
          <w:color w:val="auto"/>
          <w:highlight w:val="none"/>
        </w:rPr>
      </w:pPr>
      <w:bookmarkStart w:id="101" w:name="_Toc15038"/>
      <w:r>
        <w:rPr>
          <w:rFonts w:hint="eastAsia" w:hAnsi="宋体" w:cs="宋体"/>
          <w:b/>
          <w:color w:val="auto"/>
          <w:sz w:val="24"/>
          <w:szCs w:val="24"/>
          <w:highlight w:val="none"/>
        </w:rPr>
        <w:t>格式</w:t>
      </w:r>
      <w:r>
        <w:rPr>
          <w:rFonts w:hint="eastAsia" w:hAnsi="宋体" w:cs="宋体"/>
          <w:b/>
          <w:color w:val="auto"/>
          <w:sz w:val="24"/>
          <w:szCs w:val="24"/>
          <w:highlight w:val="none"/>
          <w:lang w:val="en-US" w:eastAsia="zh-CN"/>
        </w:rPr>
        <w:t>16</w:t>
      </w:r>
      <w:r>
        <w:rPr>
          <w:rFonts w:hint="eastAsia" w:hAnsi="宋体" w:cs="宋体"/>
          <w:b/>
          <w:color w:val="auto"/>
          <w:sz w:val="24"/>
          <w:szCs w:val="24"/>
          <w:highlight w:val="none"/>
        </w:rPr>
        <w:t>：</w:t>
      </w:r>
      <w:r>
        <w:rPr>
          <w:rFonts w:hint="eastAsia" w:hAnsi="宋体" w:cs="宋体"/>
          <w:b/>
          <w:color w:val="auto"/>
          <w:sz w:val="24"/>
          <w:szCs w:val="24"/>
          <w:highlight w:val="none"/>
          <w:lang w:val="en-US" w:eastAsia="zh-CN"/>
        </w:rPr>
        <w:t>其他</w:t>
      </w:r>
      <w:r>
        <w:rPr>
          <w:rFonts w:hint="eastAsia" w:hAnsi="宋体" w:cs="宋体"/>
          <w:b/>
          <w:color w:val="auto"/>
          <w:sz w:val="24"/>
          <w:szCs w:val="24"/>
          <w:highlight w:val="none"/>
        </w:rPr>
        <w:t>相关资料</w:t>
      </w:r>
      <w:bookmarkEnd w:id="101"/>
    </w:p>
    <w:p>
      <w:pPr>
        <w:jc w:val="center"/>
        <w:outlineLvl w:val="1"/>
        <w:rPr>
          <w:highlight w:val="none"/>
        </w:rPr>
      </w:pPr>
      <w:r>
        <w:rPr>
          <w:rFonts w:hint="eastAsia" w:ascii="宋体" w:hAnsi="宋体"/>
          <w:b/>
          <w:bCs/>
          <w:sz w:val="32"/>
          <w:szCs w:val="32"/>
          <w:highlight w:val="none"/>
        </w:rPr>
        <w:t>其他</w:t>
      </w:r>
      <w:r>
        <w:rPr>
          <w:rFonts w:hint="eastAsia" w:ascii="宋体" w:hAnsi="宋体"/>
          <w:b/>
          <w:bCs/>
          <w:sz w:val="32"/>
          <w:szCs w:val="32"/>
          <w:highlight w:val="none"/>
          <w:lang w:val="en-US" w:eastAsia="zh-CN"/>
        </w:rPr>
        <w:t>相关</w:t>
      </w:r>
      <w:r>
        <w:rPr>
          <w:rFonts w:hint="eastAsia" w:ascii="宋体" w:hAnsi="宋体"/>
          <w:b/>
          <w:bCs/>
          <w:sz w:val="32"/>
          <w:szCs w:val="32"/>
          <w:highlight w:val="none"/>
        </w:rPr>
        <w:t>资料</w:t>
      </w:r>
    </w:p>
    <w:p>
      <w:pPr>
        <w:snapToGrid w:val="0"/>
        <w:spacing w:line="440" w:lineRule="exact"/>
        <w:jc w:val="left"/>
        <w:rPr>
          <w:rFonts w:ascii="宋体" w:hAnsi="宋体" w:cs="宋体"/>
          <w:bCs/>
          <w:color w:val="auto"/>
          <w:highlight w:val="none"/>
        </w:rPr>
      </w:pPr>
    </w:p>
    <w:p>
      <w:pPr>
        <w:spacing w:line="360" w:lineRule="auto"/>
        <w:ind w:firstLine="540" w:firstLineChars="225"/>
        <w:jc w:val="center"/>
        <w:rPr>
          <w:rFonts w:hAnsi="宋体"/>
          <w:sz w:val="24"/>
          <w:szCs w:val="24"/>
          <w:highlight w:val="none"/>
        </w:rPr>
        <w:sectPr>
          <w:headerReference r:id="rId15" w:type="first"/>
          <w:pgSz w:w="11906" w:h="16838"/>
          <w:pgMar w:top="1191" w:right="1219" w:bottom="1134" w:left="1219" w:header="567" w:footer="567" w:gutter="0"/>
          <w:pgBorders>
            <w:top w:val="none" w:sz="0" w:space="0"/>
            <w:left w:val="none" w:sz="0" w:space="0"/>
            <w:bottom w:val="none" w:sz="0" w:space="0"/>
            <w:right w:val="none" w:sz="0" w:space="0"/>
          </w:pgBorders>
          <w:pgNumType w:fmt="decimal"/>
          <w:cols w:space="720" w:num="1"/>
          <w:titlePg/>
          <w:docGrid w:type="linesAndChars" w:linePitch="331" w:charSpace="0"/>
        </w:sectPr>
      </w:pPr>
      <w:r>
        <w:rPr>
          <w:rFonts w:hint="eastAsia" w:ascii="宋体" w:hAnsi="宋体"/>
          <w:sz w:val="24"/>
          <w:highlight w:val="none"/>
          <w:lang w:eastAsia="zh-CN"/>
        </w:rPr>
        <w:t>采购文件</w:t>
      </w:r>
      <w:r>
        <w:rPr>
          <w:rFonts w:hint="eastAsia" w:ascii="宋体" w:hAnsi="宋体"/>
          <w:sz w:val="24"/>
          <w:highlight w:val="none"/>
        </w:rPr>
        <w:t>要求投标人提交的其他资料或投标人认为应提交的其他资料，投标人自行编制，格式</w:t>
      </w:r>
      <w:r>
        <w:rPr>
          <w:rFonts w:hint="eastAsia" w:ascii="宋体" w:hAnsi="宋体"/>
          <w:sz w:val="24"/>
          <w:highlight w:val="none"/>
          <w:lang w:val="en-US" w:eastAsia="zh-CN"/>
        </w:rPr>
        <w:t>自拟。</w:t>
      </w:r>
    </w:p>
    <w:p>
      <w:pPr>
        <w:pStyle w:val="2"/>
        <w:numPr>
          <w:ilvl w:val="0"/>
          <w:numId w:val="0"/>
        </w:numPr>
        <w:ind w:leftChars="0"/>
        <w:jc w:val="center"/>
        <w:rPr>
          <w:rFonts w:ascii="宋体" w:hAnsi="宋体" w:eastAsia="宋体"/>
          <w:sz w:val="32"/>
          <w:szCs w:val="32"/>
          <w:highlight w:val="none"/>
        </w:rPr>
      </w:pPr>
      <w:bookmarkStart w:id="102" w:name="_Toc10905"/>
      <w:r>
        <w:rPr>
          <w:rFonts w:hint="eastAsia" w:ascii="宋体" w:hAnsi="宋体" w:eastAsia="宋体"/>
          <w:sz w:val="32"/>
          <w:szCs w:val="32"/>
          <w:highlight w:val="none"/>
          <w:lang w:val="en-US" w:eastAsia="zh-CN"/>
        </w:rPr>
        <w:t xml:space="preserve">第五章  </w:t>
      </w:r>
      <w:r>
        <w:rPr>
          <w:rFonts w:hint="eastAsia" w:ascii="宋体" w:hAnsi="宋体" w:eastAsia="宋体"/>
          <w:sz w:val="32"/>
          <w:szCs w:val="32"/>
          <w:highlight w:val="none"/>
        </w:rPr>
        <w:t>采购需求</w:t>
      </w:r>
      <w:bookmarkEnd w:id="102"/>
    </w:p>
    <w:p>
      <w:pPr>
        <w:rPr>
          <w:rFonts w:hint="default" w:eastAsia="宋体"/>
          <w:b/>
          <w:bCs/>
          <w:sz w:val="24"/>
          <w:szCs w:val="24"/>
          <w:lang w:val="en-US" w:eastAsia="zh-CN"/>
        </w:rPr>
      </w:pPr>
      <w:r>
        <w:rPr>
          <w:rFonts w:hint="eastAsia" w:ascii="宋体" w:hAnsi="宋体"/>
          <w:b/>
          <w:bCs/>
          <w:sz w:val="24"/>
          <w:szCs w:val="24"/>
          <w:highlight w:val="none"/>
          <w:lang w:val="en-US" w:eastAsia="zh-CN"/>
        </w:rPr>
        <w:t>一、货物技术参数要求标准（见下表）</w:t>
      </w:r>
    </w:p>
    <w:tbl>
      <w:tblPr>
        <w:tblStyle w:val="30"/>
        <w:tblpPr w:leftFromText="180" w:rightFromText="180" w:vertAnchor="text" w:horzAnchor="page" w:tblpX="1233" w:tblpY="389"/>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57"/>
        <w:gridCol w:w="800"/>
        <w:gridCol w:w="848"/>
        <w:gridCol w:w="4931"/>
        <w:gridCol w:w="780"/>
        <w:gridCol w:w="660"/>
        <w:gridCol w:w="750"/>
        <w:gridCol w:w="5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bookmarkStart w:id="103" w:name="_Toc27164"/>
            <w:r>
              <w:rPr>
                <w:rFonts w:hint="eastAsia" w:ascii="宋体" w:hAnsi="宋体" w:eastAsia="宋体" w:cs="宋体"/>
                <w:i w:val="0"/>
                <w:iCs w:val="0"/>
                <w:color w:val="000000"/>
                <w:kern w:val="0"/>
                <w:sz w:val="22"/>
                <w:szCs w:val="22"/>
                <w:highlight w:val="none"/>
                <w:u w:val="none"/>
                <w:lang w:val="en-US" w:eastAsia="zh-CN" w:bidi="ar"/>
              </w:rPr>
              <w:t>序号</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装备类别</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装备类型</w:t>
            </w:r>
          </w:p>
        </w:tc>
        <w:tc>
          <w:tcPr>
            <w:tcW w:w="49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招标参数</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台套数</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标的单价（万元）</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标的总价（万元）</w:t>
            </w:r>
          </w:p>
        </w:tc>
        <w:tc>
          <w:tcPr>
            <w:tcW w:w="5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60" w:hRule="atLeast"/>
        </w:trPr>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地震地质灾害救援</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液压破拆工具组</w:t>
            </w:r>
          </w:p>
        </w:tc>
        <w:tc>
          <w:tcPr>
            <w:tcW w:w="49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1.符合GB/T17906-2021《液压破拆工具通用技术条件》标准，提供具有相应资质机构出具的第三方检测机构检测报告；</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▲2.包含以下组件：剪断器、扩张器、撑顶器、剪扩器、液压机动泵、液压软管，动力源为液压机动泵，各部件为同一品牌产品，可配套使用。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3.剪切器：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3.1开口距离≥160mm；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★3.2剪切圆钢直径≥35mm；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★3.3剪切钢板厚度≥16mm；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3.4质量≤16kg；</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3.5控制器设有指示标志。</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4.扩张器：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4.1配备可快速更换扩张头，扩张臂内置防滑挤压板。</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★4.2最小扩张力≥40KN；</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★4.3扩张距离≥720mm；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4.4质量≤18kg； </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4.5控制器设有指示标志。</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5.撑顶器（救援顶杆）：</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5.1配备可快速更换的两端防滑齿；</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5.2顶杆两端的防滑齿可360°自由旋转；</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★5.3一级顶撑行程≥350mm；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★5.4二级顶撑行程≥280mm；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★5.5一级撑顶力≥230KN；</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★5.6二级撑顶力≥100KN；</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5.7质量≤18kg。</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5.8控制器设有指示标志。</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6.剪扩器：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6.1配备可快速更换扩张挤压头；</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★6.2剪切圆钢直径≥30mm；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★6.3剪切板材厚度≥15mm；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6.4剪切开口距离≥270mm；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★6.5最小扩张力≥40KN；</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6.6扩张距离≥360mm；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6.7质量≤15kg；</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6.8控制器设有指示标志。</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7.动力源（机动泵）：</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7.1为内燃机液压机动泵；</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7.2四冲程汽油机，油管接口形式为快速接口，可同时连接≥2件工具同时使用；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7.3内置型油箱，各部位操作标识采用直观的图标；</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★7.4功率≥2.2KW；</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★7.5额定工作压力≥70MPa；</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7.6配备2条≥10米的液压油管，采用双油管单接口连接，液压管接口可旋转，可带压插拔；</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7.7重量≤30 kg。</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8.千斤顶：</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8.1.包括≥5T、≥10T、≥20T三种规格；</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8.3最大开启力：≥5T，闭合长度：≤200mm，开启距离：≥100mm，最大开启高度：≥280mm，质量：≤3kg；</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8.3最大开启力：≥10T，闭合长度：≤300mm，开启距离：≥200mm，最大开启高度：≥500mm，质量：≤5kg；</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8.4最大开启力：≥20T，闭合长度：≤350mm，开启距离：≥220mm，最大开启高度：≥560mm，质量：≤9kg。</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9.开缝器：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★9.1开启力：≥240 kN；</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9.2最大开启距离：≥50 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9.3最小楔入缝隙：≤6 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9.4质量：≤12kg。</w:t>
            </w:r>
          </w:p>
          <w:p>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10.产品包装箱应牢固可靠，并有防潮措施。包装箱上应标有产品主要信息。包装箱内应附有产品说明书及产品合格证，产品说明书应有产品的主要技术参数、操作程序、注意事项、故障排除及维护保养等内容。</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20</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23</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u w:val="none"/>
                <w:lang w:val="en-US" w:eastAsia="zh-CN" w:bidi="ar"/>
              </w:rPr>
              <w:t>460</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0" w:hRule="atLeast"/>
        </w:trPr>
        <w:tc>
          <w:tcPr>
            <w:tcW w:w="220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总计</w:t>
            </w:r>
          </w:p>
        </w:tc>
        <w:tc>
          <w:tcPr>
            <w:tcW w:w="49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460</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bl>
    <w:p>
      <w:pPr>
        <w:rPr>
          <w:rFonts w:hint="eastAsia" w:ascii="宋体" w:hAnsi="宋体" w:cs="宋体"/>
          <w:color w:val="000000"/>
          <w:kern w:val="0"/>
          <w:szCs w:val="21"/>
          <w:highlight w:val="none"/>
          <w:lang w:bidi="ar"/>
        </w:rPr>
      </w:pPr>
      <w:r>
        <w:rPr>
          <w:rFonts w:hint="eastAsia" w:ascii="仿宋" w:hAnsi="仿宋" w:eastAsia="仿宋" w:cs="仿宋"/>
          <w:b/>
          <w:bCs/>
          <w:color w:val="000000"/>
          <w:kern w:val="0"/>
          <w:sz w:val="44"/>
          <w:szCs w:val="44"/>
          <w:highlight w:val="none"/>
          <w:lang w:val="en-US" w:eastAsia="zh-CN" w:bidi="ar"/>
        </w:rPr>
        <w:t xml:space="preserve">     </w:t>
      </w:r>
      <w:r>
        <w:rPr>
          <w:rFonts w:hint="eastAsia" w:ascii="宋体" w:hAnsi="宋体" w:cs="宋体"/>
          <w:color w:val="000000"/>
          <w:kern w:val="0"/>
          <w:szCs w:val="21"/>
          <w:highlight w:val="none"/>
          <w:lang w:val="en-US" w:eastAsia="zh-CN" w:bidi="ar"/>
        </w:rPr>
        <w:t>注：带</w:t>
      </w:r>
      <w:r>
        <w:rPr>
          <w:rFonts w:hint="eastAsia" w:ascii="宋体" w:hAnsi="宋体" w:eastAsia="宋体" w:cs="宋体"/>
          <w:i w:val="0"/>
          <w:iCs w:val="0"/>
          <w:color w:val="000000"/>
          <w:kern w:val="0"/>
          <w:sz w:val="20"/>
          <w:szCs w:val="20"/>
          <w:u w:val="none"/>
          <w:lang w:val="en-US" w:eastAsia="zh-CN" w:bidi="ar"/>
        </w:rPr>
        <w:t>▲</w:t>
      </w:r>
      <w:r>
        <w:rPr>
          <w:rFonts w:hint="eastAsia" w:ascii="宋体" w:hAnsi="宋体" w:cs="宋体"/>
          <w:i w:val="0"/>
          <w:iCs w:val="0"/>
          <w:color w:val="000000"/>
          <w:kern w:val="0"/>
          <w:sz w:val="20"/>
          <w:szCs w:val="20"/>
          <w:u w:val="none"/>
          <w:lang w:val="en-US" w:eastAsia="zh-CN" w:bidi="ar"/>
        </w:rPr>
        <w:t>的为采购货物包含组件，不得偏离，带</w:t>
      </w:r>
      <w:r>
        <w:rPr>
          <w:rFonts w:hint="eastAsia" w:ascii="宋体" w:hAnsi="宋体" w:eastAsia="宋体" w:cs="宋体"/>
          <w:i w:val="0"/>
          <w:iCs w:val="0"/>
          <w:color w:val="000000"/>
          <w:kern w:val="0"/>
          <w:sz w:val="20"/>
          <w:szCs w:val="20"/>
          <w:u w:val="none"/>
          <w:lang w:val="en-US" w:eastAsia="zh-CN" w:bidi="ar"/>
        </w:rPr>
        <w:t>★</w:t>
      </w:r>
      <w:r>
        <w:rPr>
          <w:rFonts w:hint="eastAsia" w:ascii="宋体" w:hAnsi="宋体" w:cs="宋体"/>
          <w:i w:val="0"/>
          <w:iCs w:val="0"/>
          <w:color w:val="000000"/>
          <w:kern w:val="0"/>
          <w:sz w:val="20"/>
          <w:szCs w:val="20"/>
          <w:u w:val="none"/>
          <w:lang w:val="en-US" w:eastAsia="zh-CN" w:bidi="ar"/>
        </w:rPr>
        <w:t>为重要参数，其余内容为一般参数。</w:t>
      </w:r>
      <w:r>
        <w:rPr>
          <w:rFonts w:hint="eastAsia" w:ascii="仿宋" w:hAnsi="仿宋" w:eastAsia="仿宋" w:cs="仿宋"/>
          <w:b/>
          <w:bCs/>
          <w:color w:val="000000"/>
          <w:kern w:val="0"/>
          <w:sz w:val="44"/>
          <w:szCs w:val="44"/>
          <w:highlight w:val="none"/>
          <w:lang w:val="en-US" w:eastAsia="zh-CN" w:bidi="ar"/>
        </w:rPr>
        <w:t xml:space="preserve">        </w:t>
      </w:r>
    </w:p>
    <w:p>
      <w:pPr>
        <w:widowControl/>
        <w:spacing w:line="360" w:lineRule="auto"/>
        <w:ind w:firstLine="420" w:firstLineChars="200"/>
        <w:jc w:val="left"/>
        <w:textAlignment w:val="center"/>
        <w:rPr>
          <w:rFonts w:ascii="宋体" w:hAnsi="宋体" w:cs="宋体"/>
          <w:b/>
          <w:bCs/>
          <w:color w:val="000000"/>
          <w:kern w:val="0"/>
          <w:szCs w:val="21"/>
          <w:highlight w:val="none"/>
          <w:lang w:bidi="ar"/>
        </w:rPr>
      </w:pPr>
      <w:r>
        <w:rPr>
          <w:rFonts w:hint="eastAsia" w:ascii="宋体" w:hAnsi="宋体" w:cs="宋体"/>
          <w:b/>
          <w:bCs/>
          <w:color w:val="000000"/>
          <w:kern w:val="0"/>
          <w:szCs w:val="21"/>
          <w:highlight w:val="none"/>
          <w:lang w:val="en-US" w:eastAsia="zh-CN" w:bidi="ar"/>
        </w:rPr>
        <w:t>二</w:t>
      </w:r>
      <w:r>
        <w:rPr>
          <w:rFonts w:hint="eastAsia" w:ascii="宋体" w:hAnsi="宋体" w:cs="宋体"/>
          <w:b/>
          <w:bCs/>
          <w:color w:val="000000"/>
          <w:kern w:val="0"/>
          <w:szCs w:val="21"/>
          <w:highlight w:val="none"/>
          <w:lang w:bidi="ar"/>
        </w:rPr>
        <w:t>、供货要求</w:t>
      </w:r>
    </w:p>
    <w:p>
      <w:pPr>
        <w:widowControl/>
        <w:spacing w:line="360" w:lineRule="auto"/>
        <w:ind w:firstLine="420" w:firstLineChars="200"/>
        <w:jc w:val="left"/>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1.▲交货期限：合同签订后60日内完成交货并安装调试、验收。</w:t>
      </w:r>
    </w:p>
    <w:p>
      <w:pPr>
        <w:widowControl/>
        <w:spacing w:line="360" w:lineRule="auto"/>
        <w:ind w:firstLine="420" w:firstLineChars="200"/>
        <w:jc w:val="left"/>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2.交货地点：</w:t>
      </w:r>
      <w:r>
        <w:rPr>
          <w:rFonts w:hint="eastAsia" w:ascii="宋体" w:hAnsi="宋体" w:cs="宋体"/>
          <w:color w:val="000000"/>
          <w:kern w:val="0"/>
          <w:szCs w:val="21"/>
          <w:highlight w:val="none"/>
          <w:lang w:eastAsia="zh-CN" w:bidi="ar"/>
        </w:rPr>
        <w:t>采购人</w:t>
      </w:r>
      <w:r>
        <w:rPr>
          <w:rFonts w:hint="eastAsia" w:ascii="宋体" w:hAnsi="宋体" w:cs="宋体"/>
          <w:color w:val="000000"/>
          <w:kern w:val="0"/>
          <w:szCs w:val="21"/>
          <w:highlight w:val="none"/>
          <w:lang w:bidi="ar"/>
        </w:rPr>
        <w:t>指定地点。</w:t>
      </w:r>
    </w:p>
    <w:p>
      <w:pPr>
        <w:widowControl/>
        <w:spacing w:line="360" w:lineRule="auto"/>
        <w:ind w:firstLine="420" w:firstLineChars="200"/>
        <w:jc w:val="left"/>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3.交货方式：交货地点须一次性交货并安装调试、验收。</w:t>
      </w:r>
    </w:p>
    <w:p>
      <w:pPr>
        <w:widowControl/>
        <w:spacing w:line="360" w:lineRule="auto"/>
        <w:ind w:firstLine="420" w:firstLineChars="200"/>
        <w:jc w:val="left"/>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4.质保期：验收合格之日起不低于</w:t>
      </w:r>
      <w:r>
        <w:rPr>
          <w:rFonts w:hint="eastAsia" w:ascii="宋体" w:hAnsi="宋体" w:cs="宋体"/>
          <w:color w:val="000000"/>
          <w:kern w:val="0"/>
          <w:szCs w:val="21"/>
          <w:highlight w:val="none"/>
          <w:lang w:val="en-US" w:eastAsia="zh-CN" w:bidi="ar"/>
        </w:rPr>
        <w:t>2</w:t>
      </w:r>
      <w:r>
        <w:rPr>
          <w:rFonts w:hint="eastAsia" w:ascii="宋体" w:hAnsi="宋体" w:cs="宋体"/>
          <w:color w:val="000000"/>
          <w:kern w:val="0"/>
          <w:szCs w:val="21"/>
          <w:highlight w:val="none"/>
          <w:lang w:bidi="ar"/>
        </w:rPr>
        <w:t>年（技术</w:t>
      </w:r>
      <w:r>
        <w:rPr>
          <w:rFonts w:hint="eastAsia" w:ascii="宋体" w:hAnsi="宋体" w:cs="宋体"/>
          <w:color w:val="000000"/>
          <w:kern w:val="0"/>
          <w:szCs w:val="21"/>
          <w:highlight w:val="none"/>
          <w:lang w:val="en-US" w:eastAsia="zh-CN" w:bidi="ar"/>
        </w:rPr>
        <w:t>标准</w:t>
      </w:r>
      <w:r>
        <w:rPr>
          <w:rFonts w:hint="eastAsia" w:ascii="宋体" w:hAnsi="宋体" w:cs="宋体"/>
          <w:color w:val="000000"/>
          <w:kern w:val="0"/>
          <w:szCs w:val="21"/>
          <w:highlight w:val="none"/>
          <w:lang w:bidi="ar"/>
        </w:rPr>
        <w:t>要求中有相关要求的以技术</w:t>
      </w:r>
      <w:r>
        <w:rPr>
          <w:rFonts w:hint="eastAsia" w:ascii="宋体" w:hAnsi="宋体" w:cs="宋体"/>
          <w:color w:val="000000"/>
          <w:kern w:val="0"/>
          <w:szCs w:val="21"/>
          <w:highlight w:val="none"/>
          <w:lang w:val="en-US" w:eastAsia="zh-CN" w:bidi="ar"/>
        </w:rPr>
        <w:t>标准</w:t>
      </w:r>
      <w:r>
        <w:rPr>
          <w:rFonts w:hint="eastAsia" w:ascii="宋体" w:hAnsi="宋体" w:cs="宋体"/>
          <w:color w:val="000000"/>
          <w:kern w:val="0"/>
          <w:szCs w:val="21"/>
          <w:highlight w:val="none"/>
          <w:lang w:bidi="ar"/>
        </w:rPr>
        <w:t>要求为准），若在质保期内出现产品质量问题，更换新的同等产品。</w:t>
      </w:r>
    </w:p>
    <w:p>
      <w:pPr>
        <w:widowControl/>
        <w:spacing w:line="360" w:lineRule="auto"/>
        <w:ind w:firstLine="420" w:firstLineChars="200"/>
        <w:jc w:val="left"/>
        <w:textAlignment w:val="center"/>
        <w:rPr>
          <w:rFonts w:ascii="宋体" w:hAnsi="宋体" w:cs="宋体"/>
          <w:b/>
          <w:bCs/>
          <w:color w:val="000000"/>
          <w:kern w:val="0"/>
          <w:szCs w:val="21"/>
          <w:highlight w:val="none"/>
          <w:lang w:bidi="ar"/>
        </w:rPr>
      </w:pPr>
      <w:r>
        <w:rPr>
          <w:rFonts w:hint="eastAsia" w:ascii="宋体" w:hAnsi="宋体" w:cs="宋体"/>
          <w:b/>
          <w:bCs/>
          <w:color w:val="000000"/>
          <w:kern w:val="0"/>
          <w:szCs w:val="21"/>
          <w:highlight w:val="none"/>
          <w:lang w:val="en-US" w:eastAsia="zh-CN" w:bidi="ar"/>
        </w:rPr>
        <w:t>三</w:t>
      </w:r>
      <w:r>
        <w:rPr>
          <w:rFonts w:hint="eastAsia" w:ascii="宋体" w:hAnsi="宋体" w:cs="宋体"/>
          <w:b/>
          <w:bCs/>
          <w:color w:val="000000"/>
          <w:kern w:val="0"/>
          <w:szCs w:val="21"/>
          <w:highlight w:val="none"/>
          <w:lang w:bidi="ar"/>
        </w:rPr>
        <w:t>、需执行的相关标准、规范</w:t>
      </w:r>
    </w:p>
    <w:p>
      <w:pPr>
        <w:widowControl/>
        <w:spacing w:line="360" w:lineRule="auto"/>
        <w:ind w:firstLine="420" w:firstLineChars="200"/>
        <w:jc w:val="left"/>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应急管理部关于印发《中华人民共和国应急管理部&lt;应急管理部关于印发自然灾害应急能力提升工程基层防灾、预警指挥、航空应急等3个项目实施方案的通知&gt;》的通知（应急函﹝2023﹞140号）等文件规定。</w:t>
      </w:r>
    </w:p>
    <w:p>
      <w:pPr>
        <w:widowControl/>
        <w:spacing w:line="360" w:lineRule="auto"/>
        <w:ind w:firstLine="420" w:firstLineChars="200"/>
        <w:jc w:val="left"/>
        <w:textAlignment w:val="center"/>
        <w:rPr>
          <w:rFonts w:ascii="宋体" w:hAnsi="宋体" w:cs="宋体"/>
          <w:b/>
          <w:bCs/>
          <w:color w:val="000000"/>
          <w:kern w:val="0"/>
          <w:szCs w:val="21"/>
          <w:highlight w:val="none"/>
          <w:lang w:bidi="ar"/>
        </w:rPr>
      </w:pPr>
      <w:r>
        <w:rPr>
          <w:rFonts w:hint="eastAsia" w:ascii="宋体" w:hAnsi="宋体" w:cs="宋体"/>
          <w:b/>
          <w:bCs/>
          <w:color w:val="000000"/>
          <w:kern w:val="0"/>
          <w:szCs w:val="21"/>
          <w:highlight w:val="none"/>
          <w:lang w:val="en-US" w:eastAsia="zh-CN" w:bidi="ar"/>
        </w:rPr>
        <w:t>四</w:t>
      </w:r>
      <w:r>
        <w:rPr>
          <w:rFonts w:hint="eastAsia" w:ascii="宋体" w:hAnsi="宋体" w:cs="宋体"/>
          <w:b/>
          <w:bCs/>
          <w:color w:val="000000"/>
          <w:kern w:val="0"/>
          <w:szCs w:val="21"/>
          <w:highlight w:val="none"/>
          <w:lang w:bidi="ar"/>
        </w:rPr>
        <w:t>、验收</w:t>
      </w:r>
    </w:p>
    <w:p>
      <w:pPr>
        <w:widowControl/>
        <w:spacing w:line="360" w:lineRule="auto"/>
        <w:ind w:firstLine="420" w:firstLineChars="200"/>
        <w:jc w:val="left"/>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1.交付标准：乙方交付前对货物作出全面检查后，将符合合同文件要求的货物与相关的装箱清单、用户手册、保修卡等单证和资料、工具和备品备件等一同交付给甲方。</w:t>
      </w:r>
    </w:p>
    <w:p>
      <w:pPr>
        <w:widowControl/>
        <w:spacing w:line="360" w:lineRule="auto"/>
        <w:ind w:firstLine="420" w:firstLineChars="200"/>
        <w:jc w:val="left"/>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2.验收标准：按国家有关标准以及甲方</w:t>
      </w:r>
      <w:r>
        <w:rPr>
          <w:rFonts w:hint="eastAsia" w:ascii="宋体" w:hAnsi="宋体" w:cs="宋体"/>
          <w:color w:val="000000"/>
          <w:kern w:val="0"/>
          <w:szCs w:val="21"/>
          <w:highlight w:val="none"/>
          <w:lang w:eastAsia="zh-CN" w:bidi="ar"/>
        </w:rPr>
        <w:t>采购文件</w:t>
      </w:r>
      <w:r>
        <w:rPr>
          <w:rFonts w:hint="eastAsia" w:ascii="宋体" w:hAnsi="宋体" w:cs="宋体"/>
          <w:color w:val="000000"/>
          <w:kern w:val="0"/>
          <w:szCs w:val="21"/>
          <w:highlight w:val="none"/>
          <w:lang w:bidi="ar"/>
        </w:rPr>
        <w:t>的采购需求、乙方的投标文件响应及承诺与本合同约定进行验收；上述标准如有不一致事项，以</w:t>
      </w:r>
      <w:r>
        <w:rPr>
          <w:rFonts w:hint="eastAsia" w:ascii="宋体" w:hAnsi="宋体" w:cs="宋体"/>
          <w:color w:val="000000"/>
          <w:kern w:val="0"/>
          <w:szCs w:val="21"/>
          <w:highlight w:val="none"/>
          <w:lang w:eastAsia="zh-CN" w:bidi="ar"/>
        </w:rPr>
        <w:t>采购文件</w:t>
      </w:r>
      <w:r>
        <w:rPr>
          <w:rFonts w:hint="eastAsia" w:ascii="宋体" w:hAnsi="宋体" w:cs="宋体"/>
          <w:color w:val="000000"/>
          <w:kern w:val="0"/>
          <w:szCs w:val="21"/>
          <w:highlight w:val="none"/>
          <w:lang w:bidi="ar"/>
        </w:rPr>
        <w:t>与投标文件中对应要求或指标中较优作为验收标准。如果货物中有执行国家强制标准的，则验收标准不得低于国家强制标准。</w:t>
      </w:r>
    </w:p>
    <w:p>
      <w:pPr>
        <w:widowControl/>
        <w:spacing w:line="360" w:lineRule="auto"/>
        <w:ind w:firstLine="420" w:firstLineChars="200"/>
        <w:jc w:val="left"/>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3.验收地点及验收期限：到货验收地点为货物交付地点，各使用单位验收应在甲方收到乙方的书面验收申请后5个工作日内组织。乙方在提出验收申请时，应确保已具备验收条件。甲方收到乙方书面通知后无故不进行验收工作的，验收期限结束之日起视为当次验收合格。</w:t>
      </w:r>
    </w:p>
    <w:p>
      <w:pPr>
        <w:widowControl/>
        <w:spacing w:line="360" w:lineRule="auto"/>
        <w:ind w:firstLine="420" w:firstLineChars="200"/>
        <w:jc w:val="left"/>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4.验收结果：验收结果由甲方出具验收结果报告或验收书，列明各项标准的验收情况，由甲、乙双方代表共同签字确认并加盖甲方公章，甲乙双方各执一份。验收结果报告或验收书经双方代表签字后即视为验收结果已通知甲、乙双方。如乙方对验收结果有异议的，应在验收现场以书面的形式出具说明，否则视为认可验收结果。</w:t>
      </w:r>
    </w:p>
    <w:p>
      <w:pPr>
        <w:widowControl/>
        <w:spacing w:line="360" w:lineRule="auto"/>
        <w:ind w:firstLine="420" w:firstLineChars="200"/>
        <w:jc w:val="left"/>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5.甲方有权委托第三方机构组织验收，验收按上述规定执行，乙方应予以配合。对大型或技术复杂的货物，甲方应请国家认可的专业检测机构参与初步验收及最终验收，并由其出具质量检测报告。甲方委托第三方机构组织或专业检测机构参与验收的，验收费用由乙方负责。费用标准参照国家或自治区有关规定执行。</w:t>
      </w:r>
    </w:p>
    <w:p>
      <w:pPr>
        <w:widowControl/>
        <w:spacing w:line="360" w:lineRule="auto"/>
        <w:ind w:firstLine="420" w:firstLineChars="200"/>
        <w:jc w:val="left"/>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6.甲方委托第三方组织验收的，其验收时间、验收程序以该项目验收方案确定的验收时间、验收程序为准，验收结果以该项目验收报告结论为准。</w:t>
      </w:r>
    </w:p>
    <w:p>
      <w:pPr>
        <w:widowControl/>
        <w:spacing w:line="360" w:lineRule="auto"/>
        <w:ind w:firstLine="420" w:firstLineChars="200"/>
        <w:jc w:val="left"/>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7.甲方验收合格不等于认同产品质量，在后续使用过程中，乙方应对产品质量负责，因产品质量问题造成损害的，由乙方承担赔偿责任。</w:t>
      </w:r>
      <w:r>
        <w:rPr>
          <w:rFonts w:hint="eastAsia" w:ascii="宋体" w:hAnsi="宋体" w:cs="宋体"/>
          <w:color w:val="000000"/>
          <w:kern w:val="0"/>
          <w:szCs w:val="21"/>
          <w:highlight w:val="none"/>
          <w:lang w:bidi="ar"/>
        </w:rPr>
        <w:br w:type="page"/>
      </w:r>
    </w:p>
    <w:p>
      <w:pPr>
        <w:pStyle w:val="2"/>
        <w:numPr>
          <w:ilvl w:val="0"/>
          <w:numId w:val="0"/>
        </w:numPr>
        <w:jc w:val="center"/>
        <w:rPr>
          <w:rFonts w:ascii="宋体" w:hAnsi="宋体"/>
          <w:b w:val="0"/>
          <w:sz w:val="32"/>
          <w:szCs w:val="32"/>
          <w:highlight w:val="none"/>
        </w:rPr>
      </w:pPr>
      <w:bookmarkStart w:id="104" w:name="_Toc1931"/>
      <w:r>
        <w:rPr>
          <w:rFonts w:hint="eastAsia" w:ascii="宋体" w:hAnsi="宋体" w:eastAsia="宋体"/>
          <w:sz w:val="32"/>
          <w:szCs w:val="32"/>
          <w:highlight w:val="none"/>
        </w:rPr>
        <w:t>第六章 资格评审标准</w:t>
      </w:r>
      <w:bookmarkEnd w:id="103"/>
      <w:bookmarkEnd w:id="104"/>
    </w:p>
    <w:p>
      <w:pPr>
        <w:rPr>
          <w:rFonts w:hAnsi="宋体"/>
          <w:szCs w:val="21"/>
          <w:highlight w:val="none"/>
        </w:rPr>
      </w:pPr>
      <w:r>
        <w:rPr>
          <w:rFonts w:hint="eastAsia" w:hAnsi="宋体"/>
          <w:szCs w:val="21"/>
          <w:highlight w:val="none"/>
        </w:rPr>
        <w:t>投标文件出现不满足下列各项评审内容及标准要求之一的，则资格评审为不合格。合格投标人不足3家的，不得</w:t>
      </w:r>
      <w:r>
        <w:rPr>
          <w:rFonts w:hint="eastAsia" w:hAnsi="宋体"/>
          <w:szCs w:val="21"/>
          <w:highlight w:val="none"/>
          <w:lang w:val="en-US" w:eastAsia="zh-CN"/>
        </w:rPr>
        <w:t>进入后续</w:t>
      </w:r>
      <w:r>
        <w:rPr>
          <w:rFonts w:hint="eastAsia" w:hAnsi="宋体"/>
          <w:szCs w:val="21"/>
          <w:highlight w:val="none"/>
        </w:rPr>
        <w:t>评标。下列各项评审内容及标准均为</w:t>
      </w:r>
      <w:r>
        <w:rPr>
          <w:rFonts w:hint="eastAsia" w:hAnsi="宋体"/>
          <w:szCs w:val="21"/>
          <w:highlight w:val="none"/>
          <w:lang w:eastAsia="zh-CN"/>
        </w:rPr>
        <w:t>采购文件</w:t>
      </w:r>
      <w:r>
        <w:rPr>
          <w:rFonts w:hAnsi="宋体"/>
          <w:szCs w:val="21"/>
          <w:highlight w:val="none"/>
        </w:rPr>
        <w:t>的实质性要求</w:t>
      </w:r>
      <w:r>
        <w:rPr>
          <w:rFonts w:hint="eastAsia" w:hAnsi="宋体"/>
          <w:szCs w:val="21"/>
          <w:highlight w:val="none"/>
        </w:rPr>
        <w:t>，投标文件响应各款所列材料在开标后不得澄清、后补。</w:t>
      </w:r>
    </w:p>
    <w:tbl>
      <w:tblPr>
        <w:tblStyle w:val="30"/>
        <w:tblW w:w="10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4"/>
        <w:gridCol w:w="709"/>
        <w:gridCol w:w="8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154" w:type="dxa"/>
            <w:vAlign w:val="center"/>
          </w:tcPr>
          <w:p>
            <w:pPr>
              <w:spacing w:before="100" w:beforeAutospacing="1" w:after="100" w:afterAutospacing="1" w:line="360" w:lineRule="auto"/>
              <w:jc w:val="center"/>
              <w:rPr>
                <w:rFonts w:ascii="宋体" w:hAnsi="宋体"/>
                <w:b/>
                <w:szCs w:val="21"/>
                <w:highlight w:val="none"/>
              </w:rPr>
            </w:pPr>
            <w:r>
              <w:rPr>
                <w:rFonts w:hint="eastAsia" w:ascii="宋体" w:hAnsi="宋体"/>
                <w:b/>
                <w:szCs w:val="21"/>
                <w:highlight w:val="none"/>
              </w:rPr>
              <w:t>评审程序</w:t>
            </w:r>
          </w:p>
        </w:tc>
        <w:tc>
          <w:tcPr>
            <w:tcW w:w="9053" w:type="dxa"/>
            <w:gridSpan w:val="2"/>
            <w:vAlign w:val="center"/>
          </w:tcPr>
          <w:p>
            <w:pPr>
              <w:spacing w:before="100" w:beforeAutospacing="1" w:after="100" w:afterAutospacing="1" w:line="360" w:lineRule="auto"/>
              <w:jc w:val="center"/>
              <w:rPr>
                <w:rFonts w:ascii="宋体" w:hAnsi="宋体"/>
                <w:b/>
                <w:szCs w:val="21"/>
                <w:highlight w:val="none"/>
              </w:rPr>
            </w:pPr>
            <w:r>
              <w:rPr>
                <w:rFonts w:hint="eastAsia" w:ascii="宋体" w:hAnsi="宋体"/>
                <w:b/>
                <w:szCs w:val="21"/>
                <w:highlight w:val="none"/>
              </w:rPr>
              <w:t>评 审 内 容 及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54" w:type="dxa"/>
            <w:vMerge w:val="restart"/>
            <w:vAlign w:val="center"/>
          </w:tcPr>
          <w:p>
            <w:pPr>
              <w:spacing w:before="100" w:beforeAutospacing="1" w:after="100" w:afterAutospacing="1" w:line="360" w:lineRule="auto"/>
              <w:jc w:val="center"/>
              <w:rPr>
                <w:rFonts w:ascii="宋体" w:hAnsi="宋体"/>
                <w:b/>
                <w:szCs w:val="21"/>
                <w:highlight w:val="none"/>
              </w:rPr>
            </w:pPr>
            <w:r>
              <w:rPr>
                <w:rFonts w:hint="eastAsia" w:ascii="宋体" w:hAnsi="宋体"/>
                <w:szCs w:val="21"/>
                <w:highlight w:val="none"/>
              </w:rPr>
              <w:t>资格评审标准</w:t>
            </w:r>
          </w:p>
        </w:tc>
        <w:tc>
          <w:tcPr>
            <w:tcW w:w="709" w:type="dxa"/>
            <w:vAlign w:val="center"/>
          </w:tcPr>
          <w:p>
            <w:pPr>
              <w:spacing w:before="100" w:beforeAutospacing="1" w:after="100" w:afterAutospacing="1" w:line="360" w:lineRule="auto"/>
              <w:jc w:val="center"/>
              <w:rPr>
                <w:rFonts w:ascii="宋体" w:hAnsi="宋体"/>
                <w:b/>
                <w:szCs w:val="21"/>
                <w:highlight w:val="none"/>
              </w:rPr>
            </w:pPr>
            <w:r>
              <w:rPr>
                <w:rFonts w:hint="eastAsia" w:ascii="宋体" w:hAnsi="宋体"/>
                <w:b/>
                <w:szCs w:val="21"/>
                <w:highlight w:val="none"/>
              </w:rPr>
              <w:t>1</w:t>
            </w:r>
          </w:p>
        </w:tc>
        <w:tc>
          <w:tcPr>
            <w:tcW w:w="8344" w:type="dxa"/>
            <w:vAlign w:val="center"/>
          </w:tcPr>
          <w:p>
            <w:pPr>
              <w:spacing w:before="100" w:beforeAutospacing="1" w:after="100" w:afterAutospacing="1" w:line="360" w:lineRule="auto"/>
              <w:jc w:val="left"/>
              <w:rPr>
                <w:rFonts w:ascii="宋体" w:hAnsi="宋体"/>
                <w:b/>
                <w:szCs w:val="21"/>
                <w:highlight w:val="none"/>
              </w:rPr>
            </w:pPr>
            <w:r>
              <w:rPr>
                <w:rFonts w:hint="eastAsia" w:ascii="宋体" w:hAnsi="宋体"/>
                <w:b/>
                <w:szCs w:val="21"/>
                <w:highlight w:val="none"/>
              </w:rPr>
              <w:t>投标人应具备《中华人民共和国政府采购法》第二十二条规定的条件，并提供下列材料：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154" w:type="dxa"/>
            <w:vMerge w:val="continue"/>
            <w:vAlign w:val="center"/>
          </w:tcPr>
          <w:p>
            <w:pPr>
              <w:spacing w:before="100" w:beforeAutospacing="1" w:after="100" w:afterAutospacing="1" w:line="360" w:lineRule="auto"/>
              <w:jc w:val="center"/>
              <w:rPr>
                <w:rFonts w:ascii="宋体" w:hAnsi="宋体"/>
                <w:szCs w:val="21"/>
                <w:highlight w:val="none"/>
              </w:rPr>
            </w:pPr>
          </w:p>
        </w:tc>
        <w:tc>
          <w:tcPr>
            <w:tcW w:w="709" w:type="dxa"/>
            <w:vAlign w:val="center"/>
          </w:tcPr>
          <w:p>
            <w:pPr>
              <w:spacing w:before="100" w:beforeAutospacing="1" w:after="100" w:afterAutospacing="1" w:line="360" w:lineRule="auto"/>
              <w:jc w:val="center"/>
              <w:rPr>
                <w:rFonts w:ascii="宋体" w:hAnsi="宋体"/>
                <w:szCs w:val="21"/>
                <w:highlight w:val="none"/>
              </w:rPr>
            </w:pPr>
            <w:r>
              <w:rPr>
                <w:rFonts w:hint="eastAsia" w:ascii="宋体" w:hAnsi="宋体"/>
                <w:szCs w:val="21"/>
                <w:highlight w:val="none"/>
              </w:rPr>
              <w:t>1.1</w:t>
            </w:r>
          </w:p>
        </w:tc>
        <w:tc>
          <w:tcPr>
            <w:tcW w:w="8344" w:type="dxa"/>
            <w:vAlign w:val="center"/>
          </w:tcPr>
          <w:p>
            <w:pPr>
              <w:spacing w:before="100" w:beforeAutospacing="1" w:after="100" w:afterAutospacing="1" w:line="360" w:lineRule="auto"/>
              <w:jc w:val="left"/>
              <w:rPr>
                <w:rFonts w:hint="eastAsia" w:ascii="宋体" w:hAnsi="宋体" w:eastAsia="宋体"/>
                <w:szCs w:val="21"/>
                <w:highlight w:val="none"/>
                <w:lang w:eastAsia="zh-CN"/>
              </w:rPr>
            </w:pPr>
            <w:r>
              <w:rPr>
                <w:rFonts w:hint="eastAsia" w:ascii="宋体" w:hAnsi="宋体"/>
                <w:bCs/>
                <w:szCs w:val="21"/>
                <w:highlight w:val="none"/>
              </w:rPr>
              <w:t>具有独立承担民事责任的能力;提供营业执照</w:t>
            </w:r>
            <w:r>
              <w:rPr>
                <w:rFonts w:hint="eastAsia" w:ascii="宋体" w:hAnsi="宋体"/>
                <w:bCs/>
                <w:szCs w:val="21"/>
                <w:highlight w:val="none"/>
                <w:lang w:val="en-US" w:eastAsia="zh-CN"/>
              </w:rPr>
              <w:t>或独立法人证书</w:t>
            </w:r>
            <w:r>
              <w:rPr>
                <w:highlight w:val="none"/>
              </w:rPr>
              <w:t>（</w:t>
            </w:r>
            <w:r>
              <w:rPr>
                <w:rFonts w:hint="eastAsia"/>
                <w:highlight w:val="none"/>
              </w:rPr>
              <w:t>原件扫描件</w:t>
            </w:r>
            <w:r>
              <w:rPr>
                <w:highlight w:val="none"/>
              </w:rPr>
              <w:t>）</w:t>
            </w:r>
            <w:r>
              <w:rPr>
                <w:rFonts w:hint="eastAsia"/>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jc w:val="center"/>
        </w:trPr>
        <w:tc>
          <w:tcPr>
            <w:tcW w:w="1154" w:type="dxa"/>
            <w:vMerge w:val="continue"/>
            <w:vAlign w:val="center"/>
          </w:tcPr>
          <w:p>
            <w:pPr>
              <w:spacing w:before="100" w:beforeAutospacing="1" w:after="100" w:afterAutospacing="1" w:line="360" w:lineRule="auto"/>
              <w:jc w:val="center"/>
              <w:rPr>
                <w:rFonts w:ascii="宋体" w:hAnsi="宋体"/>
                <w:szCs w:val="21"/>
                <w:highlight w:val="none"/>
              </w:rPr>
            </w:pPr>
          </w:p>
        </w:tc>
        <w:tc>
          <w:tcPr>
            <w:tcW w:w="709" w:type="dxa"/>
            <w:vAlign w:val="center"/>
          </w:tcPr>
          <w:p>
            <w:pPr>
              <w:spacing w:before="100" w:beforeAutospacing="1" w:after="100" w:afterAutospacing="1" w:line="360" w:lineRule="auto"/>
              <w:jc w:val="center"/>
              <w:rPr>
                <w:rFonts w:ascii="宋体" w:hAnsi="宋体"/>
                <w:szCs w:val="21"/>
                <w:highlight w:val="none"/>
              </w:rPr>
            </w:pPr>
            <w:r>
              <w:rPr>
                <w:rFonts w:hint="eastAsia" w:ascii="宋体" w:hAnsi="宋体"/>
                <w:szCs w:val="21"/>
                <w:highlight w:val="none"/>
              </w:rPr>
              <w:t>1.2</w:t>
            </w:r>
          </w:p>
        </w:tc>
        <w:tc>
          <w:tcPr>
            <w:tcW w:w="8344" w:type="dxa"/>
            <w:vAlign w:val="center"/>
          </w:tcPr>
          <w:p>
            <w:pPr>
              <w:spacing w:line="360" w:lineRule="auto"/>
              <w:jc w:val="left"/>
              <w:rPr>
                <w:rFonts w:ascii="宋体" w:hAnsi="宋体"/>
                <w:szCs w:val="21"/>
                <w:highlight w:val="none"/>
              </w:rPr>
            </w:pPr>
            <w:r>
              <w:rPr>
                <w:rFonts w:hint="eastAsia" w:ascii="宋体" w:hAnsi="宋体"/>
                <w:bCs/>
                <w:szCs w:val="21"/>
                <w:highlight w:val="none"/>
              </w:rPr>
              <w:t xml:space="preserve"> 具有良好的商业信誉和健全的财务会计制度。提供2022年或2023年经过第三方</w:t>
            </w:r>
            <w:r>
              <w:rPr>
                <w:rFonts w:hint="eastAsia" w:ascii="宋体" w:hAnsi="宋体" w:cs="宋体"/>
                <w:szCs w:val="21"/>
              </w:rPr>
              <w:t>会计师事务所或审计机构</w:t>
            </w:r>
            <w:r>
              <w:rPr>
                <w:rFonts w:hint="eastAsia" w:ascii="宋体" w:hAnsi="宋体"/>
                <w:bCs/>
                <w:szCs w:val="21"/>
                <w:highlight w:val="none"/>
              </w:rPr>
              <w:t>审计的财务</w:t>
            </w:r>
            <w:r>
              <w:rPr>
                <w:rFonts w:hint="eastAsia" w:ascii="宋体" w:hAnsi="宋体"/>
                <w:bCs/>
                <w:szCs w:val="21"/>
                <w:highlight w:val="none"/>
                <w:lang w:val="en-US" w:eastAsia="zh-CN"/>
              </w:rPr>
              <w:t>审计报告</w:t>
            </w:r>
            <w:r>
              <w:rPr>
                <w:rFonts w:hint="eastAsia" w:ascii="宋体" w:hAnsi="宋体" w:cs="宋体"/>
                <w:szCs w:val="21"/>
                <w:highlight w:val="none"/>
              </w:rPr>
              <w:t>（包括资产负债表、现金流量表、</w:t>
            </w:r>
            <w:r>
              <w:rPr>
                <w:rFonts w:hint="eastAsia" w:ascii="宋体" w:hAnsi="宋体" w:cs="宋体"/>
                <w:szCs w:val="21"/>
              </w:rPr>
              <w:t>损益表或利润表</w:t>
            </w:r>
            <w:r>
              <w:rPr>
                <w:rFonts w:hint="eastAsia" w:ascii="宋体" w:hAnsi="宋体" w:cs="宋体"/>
                <w:szCs w:val="21"/>
                <w:highlight w:val="none"/>
              </w:rPr>
              <w:t>）</w:t>
            </w:r>
            <w:r>
              <w:rPr>
                <w:rFonts w:hint="eastAsia" w:ascii="宋体" w:hAnsi="宋体"/>
                <w:bCs/>
                <w:szCs w:val="21"/>
                <w:highlight w:val="none"/>
              </w:rPr>
              <w:t>，</w:t>
            </w:r>
            <w:r>
              <w:rPr>
                <w:rFonts w:hint="eastAsia" w:ascii="宋体" w:hAnsi="宋体" w:cs="宋体"/>
                <w:szCs w:val="21"/>
                <w:highlight w:val="none"/>
              </w:rPr>
              <w:t>成立时间不足一年的，可提供自投标文件提交截止时间前三个月内开户银行出具的资信证明或资金存款证明。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154" w:type="dxa"/>
            <w:vMerge w:val="continue"/>
            <w:vAlign w:val="center"/>
          </w:tcPr>
          <w:p>
            <w:pPr>
              <w:spacing w:before="100" w:beforeAutospacing="1" w:after="100" w:afterAutospacing="1" w:line="360" w:lineRule="auto"/>
              <w:jc w:val="center"/>
              <w:rPr>
                <w:rFonts w:ascii="宋体" w:hAnsi="宋体"/>
                <w:szCs w:val="21"/>
                <w:highlight w:val="none"/>
              </w:rPr>
            </w:pPr>
          </w:p>
        </w:tc>
        <w:tc>
          <w:tcPr>
            <w:tcW w:w="709" w:type="dxa"/>
            <w:vAlign w:val="center"/>
          </w:tcPr>
          <w:p>
            <w:pPr>
              <w:spacing w:before="100" w:beforeAutospacing="1" w:after="100" w:afterAutospacing="1" w:line="360" w:lineRule="auto"/>
              <w:jc w:val="center"/>
              <w:rPr>
                <w:rFonts w:ascii="宋体" w:hAnsi="宋体"/>
                <w:szCs w:val="21"/>
                <w:highlight w:val="none"/>
              </w:rPr>
            </w:pPr>
            <w:r>
              <w:rPr>
                <w:rFonts w:hint="eastAsia" w:ascii="宋体" w:hAnsi="宋体"/>
                <w:szCs w:val="21"/>
                <w:highlight w:val="none"/>
              </w:rPr>
              <w:t>1</w:t>
            </w:r>
            <w:r>
              <w:rPr>
                <w:rFonts w:ascii="宋体" w:hAnsi="宋体"/>
                <w:szCs w:val="21"/>
                <w:highlight w:val="none"/>
              </w:rPr>
              <w:t>.3</w:t>
            </w:r>
          </w:p>
        </w:tc>
        <w:tc>
          <w:tcPr>
            <w:tcW w:w="8344" w:type="dxa"/>
            <w:vAlign w:val="center"/>
          </w:tcPr>
          <w:p>
            <w:pPr>
              <w:spacing w:before="100" w:beforeAutospacing="1" w:after="100" w:afterAutospacing="1" w:line="360" w:lineRule="auto"/>
              <w:jc w:val="left"/>
              <w:rPr>
                <w:rFonts w:ascii="宋体" w:hAnsi="宋体"/>
                <w:szCs w:val="21"/>
                <w:highlight w:val="none"/>
              </w:rPr>
            </w:pPr>
            <w:r>
              <w:rPr>
                <w:rFonts w:hint="eastAsia" w:ascii="宋体" w:hAnsi="宋体"/>
                <w:bCs/>
                <w:szCs w:val="21"/>
                <w:highlight w:val="none"/>
              </w:rPr>
              <w:t>投标人具有履行合同所必需的设备和专业技术能力。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154" w:type="dxa"/>
            <w:vMerge w:val="continue"/>
            <w:vAlign w:val="center"/>
          </w:tcPr>
          <w:p>
            <w:pPr>
              <w:spacing w:before="100" w:beforeAutospacing="1" w:after="100" w:afterAutospacing="1" w:line="360" w:lineRule="auto"/>
              <w:rPr>
                <w:rFonts w:ascii="宋体" w:hAnsi="宋体"/>
                <w:szCs w:val="21"/>
                <w:highlight w:val="none"/>
              </w:rPr>
            </w:pPr>
          </w:p>
        </w:tc>
        <w:tc>
          <w:tcPr>
            <w:tcW w:w="709" w:type="dxa"/>
            <w:vAlign w:val="center"/>
          </w:tcPr>
          <w:p>
            <w:pPr>
              <w:spacing w:before="100" w:beforeAutospacing="1" w:after="100" w:afterAutospacing="1" w:line="360" w:lineRule="auto"/>
              <w:jc w:val="center"/>
              <w:rPr>
                <w:rFonts w:ascii="宋体" w:hAnsi="宋体"/>
                <w:szCs w:val="21"/>
                <w:highlight w:val="none"/>
              </w:rPr>
            </w:pPr>
            <w:r>
              <w:rPr>
                <w:rFonts w:hint="eastAsia" w:ascii="宋体" w:hAnsi="宋体"/>
                <w:szCs w:val="21"/>
                <w:highlight w:val="none"/>
              </w:rPr>
              <w:t>1.</w:t>
            </w:r>
            <w:r>
              <w:rPr>
                <w:rFonts w:ascii="宋体" w:hAnsi="宋体"/>
                <w:szCs w:val="21"/>
                <w:highlight w:val="none"/>
              </w:rPr>
              <w:t>4</w:t>
            </w:r>
          </w:p>
        </w:tc>
        <w:tc>
          <w:tcPr>
            <w:tcW w:w="8344" w:type="dxa"/>
            <w:vAlign w:val="center"/>
          </w:tcPr>
          <w:p>
            <w:pPr>
              <w:spacing w:line="360" w:lineRule="auto"/>
              <w:jc w:val="left"/>
              <w:rPr>
                <w:rFonts w:ascii="宋体" w:hAnsi="宋体"/>
                <w:szCs w:val="21"/>
                <w:highlight w:val="none"/>
              </w:rPr>
            </w:pPr>
            <w:r>
              <w:rPr>
                <w:rFonts w:hint="eastAsia" w:ascii="宋体" w:hAnsi="宋体"/>
                <w:bCs/>
                <w:szCs w:val="21"/>
                <w:highlight w:val="none"/>
              </w:rPr>
              <w:t>有依法缴纳税收和社会保障资金的良好记录（提供2023年至今任意</w:t>
            </w:r>
            <w:r>
              <w:rPr>
                <w:rFonts w:hint="eastAsia" w:ascii="宋体" w:hAnsi="宋体"/>
                <w:bCs/>
                <w:szCs w:val="21"/>
                <w:highlight w:val="none"/>
                <w:lang w:val="en-US" w:eastAsia="zh-CN"/>
              </w:rPr>
              <w:t>连续3</w:t>
            </w:r>
            <w:r>
              <w:rPr>
                <w:rFonts w:hint="eastAsia" w:ascii="宋体" w:hAnsi="宋体"/>
                <w:bCs/>
                <w:szCs w:val="21"/>
                <w:highlight w:val="none"/>
              </w:rPr>
              <w:t>个月的缴纳税收证明和任意</w:t>
            </w:r>
            <w:r>
              <w:rPr>
                <w:rFonts w:hint="eastAsia" w:ascii="宋体" w:hAnsi="宋体"/>
                <w:bCs/>
                <w:szCs w:val="21"/>
                <w:highlight w:val="none"/>
                <w:lang w:val="en-US" w:eastAsia="zh-CN"/>
              </w:rPr>
              <w:t>连续</w:t>
            </w:r>
            <w:r>
              <w:rPr>
                <w:rFonts w:hint="eastAsia" w:ascii="宋体" w:hAnsi="宋体"/>
                <w:bCs/>
                <w:szCs w:val="21"/>
                <w:highlight w:val="none"/>
              </w:rPr>
              <w:t>3个月的缴纳社保证明材料；成立时间不足</w:t>
            </w:r>
            <w:r>
              <w:rPr>
                <w:rFonts w:hint="eastAsia" w:ascii="宋体" w:hAnsi="宋体"/>
                <w:bCs/>
                <w:szCs w:val="21"/>
                <w:highlight w:val="none"/>
                <w:lang w:val="en-US" w:eastAsia="zh-CN"/>
              </w:rPr>
              <w:t>3</w:t>
            </w:r>
            <w:r>
              <w:rPr>
                <w:rFonts w:hint="eastAsia" w:ascii="宋体" w:hAnsi="宋体"/>
                <w:bCs/>
                <w:szCs w:val="21"/>
                <w:highlight w:val="none"/>
              </w:rPr>
              <w:t>个月的须提供相关证明材料。依法免税或</w:t>
            </w:r>
            <w:r>
              <w:rPr>
                <w:rFonts w:hint="eastAsia" w:ascii="宋体" w:hAnsi="宋体"/>
                <w:bCs/>
                <w:szCs w:val="21"/>
                <w:highlight w:val="none"/>
                <w:lang w:val="en-US" w:eastAsia="zh-CN"/>
              </w:rPr>
              <w:t>无需</w:t>
            </w:r>
            <w:r>
              <w:rPr>
                <w:rFonts w:hint="eastAsia" w:ascii="宋体" w:hAnsi="宋体"/>
                <w:bCs/>
                <w:szCs w:val="21"/>
                <w:highlight w:val="none"/>
              </w:rPr>
              <w:t>缴纳社会保障资金的投标人应提供依法免税或</w:t>
            </w:r>
            <w:r>
              <w:rPr>
                <w:rFonts w:hint="eastAsia" w:ascii="宋体" w:hAnsi="宋体"/>
                <w:bCs/>
                <w:szCs w:val="21"/>
                <w:highlight w:val="none"/>
                <w:lang w:val="en-US" w:eastAsia="zh-CN"/>
              </w:rPr>
              <w:t>无需</w:t>
            </w:r>
            <w:r>
              <w:rPr>
                <w:rFonts w:hint="eastAsia" w:ascii="宋体" w:hAnsi="宋体"/>
                <w:bCs/>
                <w:szCs w:val="21"/>
                <w:highlight w:val="none"/>
              </w:rPr>
              <w:t>缴纳社会保障资金</w:t>
            </w:r>
            <w:r>
              <w:rPr>
                <w:rFonts w:hint="eastAsia" w:ascii="宋体" w:hAnsi="宋体"/>
                <w:bCs/>
                <w:szCs w:val="21"/>
                <w:highlight w:val="none"/>
                <w:lang w:val="en-US" w:eastAsia="zh-CN"/>
              </w:rPr>
              <w:t>的</w:t>
            </w:r>
            <w:r>
              <w:rPr>
                <w:rFonts w:hint="eastAsia" w:ascii="宋体" w:hAnsi="宋体"/>
                <w:bCs/>
                <w:szCs w:val="21"/>
                <w:highlight w:val="none"/>
              </w:rPr>
              <w:t>证明</w:t>
            </w:r>
            <w:r>
              <w:rPr>
                <w:rFonts w:hint="eastAsia" w:ascii="宋体" w:hAnsi="宋体"/>
                <w:bCs/>
                <w:szCs w:val="21"/>
                <w:highlight w:val="none"/>
                <w:lang w:val="en-US" w:eastAsia="zh-CN"/>
              </w:rPr>
              <w:t>材料</w:t>
            </w:r>
            <w:r>
              <w:rPr>
                <w:rFonts w:hint="eastAsia" w:ascii="宋体" w:hAnsi="宋体"/>
                <w:bCs/>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154" w:type="dxa"/>
            <w:vMerge w:val="continue"/>
            <w:vAlign w:val="center"/>
          </w:tcPr>
          <w:p>
            <w:pPr>
              <w:spacing w:before="100" w:beforeAutospacing="1" w:after="100" w:afterAutospacing="1" w:line="360" w:lineRule="auto"/>
              <w:rPr>
                <w:rFonts w:ascii="宋体" w:hAnsi="宋体"/>
                <w:szCs w:val="21"/>
                <w:highlight w:val="none"/>
              </w:rPr>
            </w:pPr>
          </w:p>
        </w:tc>
        <w:tc>
          <w:tcPr>
            <w:tcW w:w="709" w:type="dxa"/>
            <w:vAlign w:val="center"/>
          </w:tcPr>
          <w:p>
            <w:pPr>
              <w:spacing w:before="100" w:beforeAutospacing="1" w:after="100" w:afterAutospacing="1" w:line="360" w:lineRule="auto"/>
              <w:jc w:val="center"/>
              <w:rPr>
                <w:rFonts w:ascii="宋体" w:hAnsi="宋体"/>
                <w:szCs w:val="21"/>
                <w:highlight w:val="none"/>
              </w:rPr>
            </w:pPr>
            <w:r>
              <w:rPr>
                <w:rFonts w:hint="eastAsia" w:ascii="宋体" w:hAnsi="宋体"/>
                <w:szCs w:val="21"/>
                <w:highlight w:val="none"/>
              </w:rPr>
              <w:t>1.</w:t>
            </w:r>
            <w:r>
              <w:rPr>
                <w:rFonts w:ascii="宋体" w:hAnsi="宋体"/>
                <w:szCs w:val="21"/>
                <w:highlight w:val="none"/>
              </w:rPr>
              <w:t>5</w:t>
            </w:r>
          </w:p>
        </w:tc>
        <w:tc>
          <w:tcPr>
            <w:tcW w:w="8344" w:type="dxa"/>
            <w:vAlign w:val="center"/>
          </w:tcPr>
          <w:p>
            <w:pPr>
              <w:spacing w:line="360" w:lineRule="auto"/>
              <w:jc w:val="left"/>
              <w:rPr>
                <w:rFonts w:ascii="宋体" w:hAnsi="宋体"/>
                <w:bCs/>
                <w:szCs w:val="21"/>
                <w:highlight w:val="none"/>
              </w:rPr>
            </w:pPr>
            <w:r>
              <w:rPr>
                <w:rFonts w:hint="eastAsia" w:ascii="宋体" w:hAnsi="宋体"/>
                <w:bCs/>
                <w:szCs w:val="21"/>
                <w:highlight w:val="none"/>
              </w:rPr>
              <w:t>参加政府采购活动前三年内，在经营活动中没有重大违法记录。提供参加政府采购活动前三年内在经营活动中没有重大违法记录的书面声明（重大违法记录是指：因违法经营受到刑事处罚或者责令停产停业、吊销许可证或者执照、较大数额罚款等行政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154" w:type="dxa"/>
            <w:vMerge w:val="continue"/>
            <w:vAlign w:val="center"/>
          </w:tcPr>
          <w:p>
            <w:pPr>
              <w:spacing w:before="100" w:beforeAutospacing="1" w:after="100" w:afterAutospacing="1" w:line="360" w:lineRule="auto"/>
              <w:rPr>
                <w:rFonts w:ascii="宋体" w:hAnsi="宋体"/>
                <w:szCs w:val="21"/>
                <w:highlight w:val="none"/>
              </w:rPr>
            </w:pPr>
          </w:p>
        </w:tc>
        <w:tc>
          <w:tcPr>
            <w:tcW w:w="709" w:type="dxa"/>
            <w:vAlign w:val="center"/>
          </w:tcPr>
          <w:p>
            <w:pPr>
              <w:spacing w:before="100" w:beforeAutospacing="1" w:after="100" w:afterAutospacing="1" w:line="360" w:lineRule="auto"/>
              <w:jc w:val="center"/>
              <w:rPr>
                <w:rFonts w:ascii="宋体" w:hAnsi="宋体"/>
                <w:b/>
                <w:szCs w:val="21"/>
                <w:highlight w:val="none"/>
              </w:rPr>
            </w:pPr>
            <w:r>
              <w:rPr>
                <w:rFonts w:hint="eastAsia" w:ascii="宋体" w:hAnsi="宋体"/>
                <w:b/>
                <w:szCs w:val="21"/>
                <w:highlight w:val="none"/>
              </w:rPr>
              <w:t>2</w:t>
            </w:r>
          </w:p>
        </w:tc>
        <w:tc>
          <w:tcPr>
            <w:tcW w:w="8344" w:type="dxa"/>
            <w:vAlign w:val="center"/>
          </w:tcPr>
          <w:p>
            <w:pPr>
              <w:spacing w:before="100" w:beforeAutospacing="1" w:after="100" w:afterAutospacing="1" w:line="360" w:lineRule="auto"/>
              <w:jc w:val="left"/>
              <w:rPr>
                <w:rFonts w:ascii="宋体" w:hAnsi="宋体"/>
                <w:b/>
                <w:szCs w:val="21"/>
                <w:highlight w:val="none"/>
              </w:rPr>
            </w:pPr>
            <w:r>
              <w:rPr>
                <w:rFonts w:hint="eastAsia" w:ascii="宋体" w:hAnsi="宋体"/>
                <w:b/>
                <w:szCs w:val="21"/>
                <w:highlight w:val="none"/>
              </w:rPr>
              <w:t>法律法规的其他情形。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154" w:type="dxa"/>
            <w:vMerge w:val="continue"/>
            <w:vAlign w:val="center"/>
          </w:tcPr>
          <w:p>
            <w:pPr>
              <w:spacing w:before="100" w:beforeAutospacing="1" w:after="100" w:afterAutospacing="1" w:line="360" w:lineRule="auto"/>
              <w:rPr>
                <w:rFonts w:ascii="宋体" w:hAnsi="宋体"/>
                <w:szCs w:val="21"/>
                <w:highlight w:val="none"/>
              </w:rPr>
            </w:pPr>
          </w:p>
        </w:tc>
        <w:tc>
          <w:tcPr>
            <w:tcW w:w="709" w:type="dxa"/>
            <w:vAlign w:val="center"/>
          </w:tcPr>
          <w:p>
            <w:pPr>
              <w:spacing w:before="100" w:beforeAutospacing="1" w:after="100" w:afterAutospacing="1" w:line="360" w:lineRule="auto"/>
              <w:jc w:val="center"/>
              <w:rPr>
                <w:rFonts w:ascii="宋体" w:hAnsi="宋体"/>
                <w:szCs w:val="21"/>
                <w:highlight w:val="none"/>
              </w:rPr>
            </w:pPr>
            <w:r>
              <w:rPr>
                <w:rFonts w:hint="eastAsia" w:ascii="宋体" w:hAnsi="宋体"/>
                <w:szCs w:val="21"/>
                <w:highlight w:val="none"/>
              </w:rPr>
              <w:t>2.1</w:t>
            </w:r>
          </w:p>
        </w:tc>
        <w:tc>
          <w:tcPr>
            <w:tcW w:w="8344" w:type="dxa"/>
            <w:vAlign w:val="center"/>
          </w:tcPr>
          <w:p>
            <w:pPr>
              <w:spacing w:before="100" w:beforeAutospacing="1" w:after="100" w:afterAutospacing="1" w:line="360" w:lineRule="auto"/>
              <w:jc w:val="left"/>
              <w:rPr>
                <w:rFonts w:hint="eastAsia" w:ascii="宋体" w:hAnsi="宋体" w:eastAsia="宋体"/>
                <w:kern w:val="0"/>
                <w:szCs w:val="21"/>
                <w:highlight w:val="none"/>
                <w:lang w:eastAsia="zh-CN"/>
              </w:rPr>
            </w:pPr>
            <w:r>
              <w:rPr>
                <w:rFonts w:hint="eastAsia" w:ascii="宋体" w:hAnsi="宋体"/>
                <w:bCs/>
                <w:szCs w:val="21"/>
                <w:highlight w:val="none"/>
              </w:rPr>
              <w:t>单位负责人为同一人或者存在直接控股、管理关系的不同投标人，不得参加同一合同项下的政府采购活动</w:t>
            </w:r>
            <w:r>
              <w:rPr>
                <w:rFonts w:hint="eastAsia" w:ascii="宋体" w:hAnsi="宋体"/>
                <w:bCs/>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154" w:type="dxa"/>
            <w:vMerge w:val="continue"/>
            <w:vAlign w:val="center"/>
          </w:tcPr>
          <w:p>
            <w:pPr>
              <w:spacing w:before="100" w:beforeAutospacing="1" w:after="100" w:afterAutospacing="1" w:line="360" w:lineRule="auto"/>
              <w:rPr>
                <w:rFonts w:ascii="宋体" w:hAnsi="宋体"/>
                <w:szCs w:val="21"/>
                <w:highlight w:val="none"/>
              </w:rPr>
            </w:pPr>
          </w:p>
        </w:tc>
        <w:tc>
          <w:tcPr>
            <w:tcW w:w="709" w:type="dxa"/>
            <w:vAlign w:val="center"/>
          </w:tcPr>
          <w:p>
            <w:pPr>
              <w:spacing w:before="100" w:beforeAutospacing="1" w:after="100" w:afterAutospacing="1" w:line="360" w:lineRule="auto"/>
              <w:jc w:val="center"/>
              <w:rPr>
                <w:rFonts w:ascii="宋体" w:hAnsi="宋体"/>
                <w:szCs w:val="21"/>
                <w:highlight w:val="none"/>
              </w:rPr>
            </w:pPr>
            <w:r>
              <w:rPr>
                <w:rFonts w:ascii="宋体" w:hAnsi="宋体"/>
                <w:szCs w:val="21"/>
                <w:highlight w:val="none"/>
              </w:rPr>
              <w:t>2.</w:t>
            </w:r>
            <w:r>
              <w:rPr>
                <w:rFonts w:hint="eastAsia" w:ascii="宋体" w:hAnsi="宋体"/>
                <w:szCs w:val="21"/>
                <w:highlight w:val="none"/>
              </w:rPr>
              <w:t>2</w:t>
            </w:r>
          </w:p>
        </w:tc>
        <w:tc>
          <w:tcPr>
            <w:tcW w:w="8344" w:type="dxa"/>
            <w:vAlign w:val="center"/>
          </w:tcPr>
          <w:p>
            <w:pPr>
              <w:spacing w:line="360" w:lineRule="auto"/>
              <w:jc w:val="left"/>
              <w:rPr>
                <w:rFonts w:ascii="宋体" w:hAnsi="宋体"/>
                <w:szCs w:val="21"/>
                <w:highlight w:val="none"/>
              </w:rPr>
            </w:pPr>
            <w:r>
              <w:rPr>
                <w:rFonts w:hint="eastAsia" w:ascii="宋体" w:hAnsi="宋体" w:cs="宋体"/>
                <w:color w:val="auto"/>
                <w:kern w:val="0"/>
                <w:szCs w:val="21"/>
                <w:highlight w:val="none"/>
              </w:rPr>
              <w:t>根据财库〔2016〕125号文件《财政部关于在政府采购活动中查询及使用信用记录有关问题的通知》规定，投标人未被列入“信用中国（中国执行信息公开网）”网站失信被执行人、重大税收违法失信主体、政府采购严重违法失信行为记录名单及“中国政府采购网”政府采购严重违法失信行为记录名单</w:t>
            </w:r>
            <w:r>
              <w:rPr>
                <w:rFonts w:hint="eastAsia" w:ascii="宋体" w:hAnsi="宋体" w:cs="宋体"/>
                <w:color w:val="auto"/>
                <w:kern w:val="0"/>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1154" w:type="dxa"/>
            <w:vMerge w:val="continue"/>
            <w:vAlign w:val="center"/>
          </w:tcPr>
          <w:p>
            <w:pPr>
              <w:spacing w:before="100" w:beforeAutospacing="1" w:after="100" w:afterAutospacing="1" w:line="360" w:lineRule="auto"/>
              <w:rPr>
                <w:rFonts w:ascii="宋体" w:hAnsi="宋体"/>
                <w:szCs w:val="21"/>
                <w:highlight w:val="none"/>
              </w:rPr>
            </w:pPr>
          </w:p>
        </w:tc>
        <w:tc>
          <w:tcPr>
            <w:tcW w:w="709" w:type="dxa"/>
            <w:vAlign w:val="center"/>
          </w:tcPr>
          <w:p>
            <w:pPr>
              <w:spacing w:before="100" w:beforeAutospacing="1" w:after="100" w:afterAutospacing="1" w:line="360" w:lineRule="auto"/>
              <w:jc w:val="center"/>
              <w:rPr>
                <w:rFonts w:ascii="宋体" w:hAnsi="宋体"/>
                <w:szCs w:val="21"/>
                <w:highlight w:val="none"/>
              </w:rPr>
            </w:pPr>
            <w:r>
              <w:rPr>
                <w:rFonts w:hint="eastAsia" w:ascii="宋体" w:hAnsi="宋体"/>
                <w:szCs w:val="21"/>
                <w:highlight w:val="none"/>
              </w:rPr>
              <w:t>2.4</w:t>
            </w:r>
          </w:p>
        </w:tc>
        <w:tc>
          <w:tcPr>
            <w:tcW w:w="8344" w:type="dxa"/>
            <w:vAlign w:val="center"/>
          </w:tcPr>
          <w:p>
            <w:pPr>
              <w:spacing w:before="100" w:beforeAutospacing="1" w:after="100" w:afterAutospacing="1" w:line="360" w:lineRule="auto"/>
              <w:jc w:val="left"/>
              <w:rPr>
                <w:rFonts w:ascii="宋体" w:hAnsi="宋体"/>
                <w:kern w:val="0"/>
                <w:szCs w:val="21"/>
                <w:highlight w:val="none"/>
              </w:rPr>
            </w:pPr>
            <w:r>
              <w:rPr>
                <w:rFonts w:hint="eastAsia" w:ascii="宋体" w:hAnsi="宋体"/>
                <w:kern w:val="0"/>
                <w:szCs w:val="21"/>
                <w:highlight w:val="none"/>
              </w:rPr>
              <w:t>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154" w:type="dxa"/>
            <w:vMerge w:val="continue"/>
            <w:vAlign w:val="center"/>
          </w:tcPr>
          <w:p>
            <w:pPr>
              <w:spacing w:before="100" w:beforeAutospacing="1" w:after="100" w:afterAutospacing="1" w:line="360" w:lineRule="auto"/>
              <w:rPr>
                <w:rFonts w:ascii="宋体" w:hAnsi="宋体"/>
                <w:szCs w:val="21"/>
                <w:highlight w:val="none"/>
              </w:rPr>
            </w:pPr>
          </w:p>
        </w:tc>
        <w:tc>
          <w:tcPr>
            <w:tcW w:w="709" w:type="dxa"/>
            <w:vAlign w:val="center"/>
          </w:tcPr>
          <w:p>
            <w:pPr>
              <w:spacing w:before="100" w:beforeAutospacing="1" w:after="100" w:afterAutospacing="1" w:line="360" w:lineRule="auto"/>
              <w:jc w:val="center"/>
              <w:rPr>
                <w:rFonts w:ascii="宋体" w:hAnsi="宋体"/>
                <w:szCs w:val="21"/>
                <w:highlight w:val="none"/>
              </w:rPr>
            </w:pPr>
            <w:r>
              <w:rPr>
                <w:rFonts w:hint="eastAsia" w:ascii="宋体" w:hAnsi="宋体"/>
                <w:szCs w:val="21"/>
                <w:highlight w:val="none"/>
              </w:rPr>
              <w:t>2.5</w:t>
            </w:r>
          </w:p>
        </w:tc>
        <w:tc>
          <w:tcPr>
            <w:tcW w:w="8344" w:type="dxa"/>
            <w:vAlign w:val="center"/>
          </w:tcPr>
          <w:p>
            <w:pPr>
              <w:spacing w:before="100" w:beforeAutospacing="1" w:after="100" w:afterAutospacing="1" w:line="360" w:lineRule="auto"/>
              <w:jc w:val="left"/>
              <w:rPr>
                <w:rFonts w:ascii="宋体" w:hAnsi="宋体"/>
                <w:sz w:val="24"/>
                <w:highlight w:val="none"/>
              </w:rPr>
            </w:pPr>
            <w:r>
              <w:rPr>
                <w:rFonts w:hint="eastAsia" w:ascii="宋体" w:hAnsi="宋体"/>
                <w:bCs/>
                <w:szCs w:val="21"/>
                <w:highlight w:val="none"/>
              </w:rPr>
              <w:t>投标人符合法律、行政法规规定的其他条件。</w:t>
            </w:r>
          </w:p>
        </w:tc>
      </w:tr>
    </w:tbl>
    <w:p>
      <w:pPr>
        <w:pStyle w:val="2"/>
        <w:numPr>
          <w:ilvl w:val="0"/>
          <w:numId w:val="0"/>
        </w:numPr>
        <w:jc w:val="center"/>
        <w:rPr>
          <w:rFonts w:ascii="宋体" w:hAnsi="宋体"/>
          <w:sz w:val="32"/>
          <w:szCs w:val="32"/>
          <w:highlight w:val="none"/>
        </w:rPr>
      </w:pPr>
      <w:r>
        <w:rPr>
          <w:rFonts w:ascii="宋体" w:hAnsi="宋体"/>
          <w:szCs w:val="21"/>
          <w:highlight w:val="none"/>
        </w:rPr>
        <w:br w:type="page"/>
      </w:r>
      <w:bookmarkStart w:id="105" w:name="_Toc5316"/>
      <w:bookmarkStart w:id="106" w:name="_Toc16262"/>
      <w:r>
        <w:rPr>
          <w:rFonts w:hint="eastAsia" w:ascii="宋体" w:hAnsi="宋体" w:eastAsia="宋体"/>
          <w:sz w:val="32"/>
          <w:szCs w:val="32"/>
          <w:highlight w:val="none"/>
        </w:rPr>
        <w:t>第七章</w:t>
      </w:r>
      <w:r>
        <w:rPr>
          <w:rFonts w:ascii="宋体" w:hAnsi="宋体" w:eastAsia="宋体"/>
          <w:sz w:val="32"/>
          <w:szCs w:val="32"/>
          <w:highlight w:val="none"/>
        </w:rPr>
        <w:t xml:space="preserve"> </w:t>
      </w:r>
      <w:r>
        <w:rPr>
          <w:rFonts w:hint="eastAsia" w:ascii="宋体" w:hAnsi="宋体" w:eastAsia="宋体"/>
          <w:sz w:val="32"/>
          <w:szCs w:val="32"/>
          <w:highlight w:val="none"/>
        </w:rPr>
        <w:t>评标方法（综合评分法）</w:t>
      </w:r>
      <w:bookmarkEnd w:id="105"/>
      <w:bookmarkEnd w:id="106"/>
    </w:p>
    <w:p>
      <w:pPr>
        <w:pStyle w:val="3"/>
        <w:numPr>
          <w:ilvl w:val="0"/>
          <w:numId w:val="0"/>
        </w:numPr>
        <w:tabs>
          <w:tab w:val="left" w:pos="430"/>
          <w:tab w:val="clear" w:pos="1021"/>
        </w:tabs>
        <w:ind w:left="-309" w:leftChars="-148" w:hanging="1"/>
        <w:jc w:val="center"/>
        <w:rPr>
          <w:rFonts w:ascii="宋体" w:hAnsi="宋体" w:eastAsia="宋体"/>
          <w:sz w:val="32"/>
          <w:szCs w:val="32"/>
          <w:highlight w:val="none"/>
        </w:rPr>
      </w:pPr>
      <w:bookmarkStart w:id="107" w:name="_Toc5477"/>
      <w:bookmarkStart w:id="108" w:name="_Toc398126394"/>
      <w:bookmarkStart w:id="109" w:name="_Toc24785"/>
      <w:bookmarkStart w:id="110" w:name="_Toc16168596"/>
      <w:bookmarkStart w:id="111" w:name="_Toc402942147"/>
      <w:r>
        <w:rPr>
          <w:rFonts w:hint="eastAsia" w:ascii="宋体" w:hAnsi="宋体" w:eastAsia="宋体"/>
          <w:sz w:val="32"/>
          <w:szCs w:val="32"/>
          <w:highlight w:val="none"/>
        </w:rPr>
        <w:t>一、评标方法前附表</w:t>
      </w:r>
      <w:bookmarkEnd w:id="107"/>
      <w:bookmarkEnd w:id="108"/>
      <w:bookmarkEnd w:id="109"/>
      <w:bookmarkEnd w:id="110"/>
      <w:bookmarkEnd w:id="111"/>
    </w:p>
    <w:tbl>
      <w:tblPr>
        <w:tblStyle w:val="30"/>
        <w:tblW w:w="10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1076"/>
        <w:gridCol w:w="1122"/>
        <w:gridCol w:w="1063"/>
        <w:gridCol w:w="5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blHeader/>
          <w:jc w:val="center"/>
        </w:trPr>
        <w:tc>
          <w:tcPr>
            <w:tcW w:w="973" w:type="dxa"/>
            <w:vAlign w:val="center"/>
          </w:tcPr>
          <w:p>
            <w:pPr>
              <w:spacing w:before="100" w:beforeAutospacing="1" w:after="100" w:afterAutospacing="1" w:line="240" w:lineRule="auto"/>
              <w:jc w:val="center"/>
              <w:rPr>
                <w:rFonts w:ascii="宋体" w:hAnsi="宋体"/>
                <w:b/>
                <w:color w:val="auto"/>
                <w:szCs w:val="21"/>
                <w:highlight w:val="none"/>
              </w:rPr>
            </w:pPr>
            <w:r>
              <w:rPr>
                <w:rFonts w:hint="eastAsia" w:ascii="宋体" w:hAnsi="宋体"/>
                <w:b/>
                <w:color w:val="auto"/>
                <w:szCs w:val="21"/>
                <w:highlight w:val="none"/>
              </w:rPr>
              <w:t>条款号</w:t>
            </w:r>
          </w:p>
        </w:tc>
        <w:tc>
          <w:tcPr>
            <w:tcW w:w="1076" w:type="dxa"/>
            <w:vAlign w:val="center"/>
          </w:tcPr>
          <w:p>
            <w:pPr>
              <w:spacing w:before="100" w:beforeAutospacing="1" w:after="100" w:afterAutospacing="1" w:line="240" w:lineRule="auto"/>
              <w:jc w:val="center"/>
              <w:rPr>
                <w:rFonts w:ascii="宋体" w:hAnsi="宋体"/>
                <w:b/>
                <w:color w:val="auto"/>
                <w:szCs w:val="21"/>
                <w:highlight w:val="none"/>
              </w:rPr>
            </w:pPr>
            <w:r>
              <w:rPr>
                <w:rFonts w:hint="eastAsia" w:ascii="宋体" w:hAnsi="宋体"/>
                <w:b/>
                <w:color w:val="auto"/>
                <w:szCs w:val="21"/>
                <w:highlight w:val="none"/>
              </w:rPr>
              <w:t>评审程序</w:t>
            </w:r>
          </w:p>
        </w:tc>
        <w:tc>
          <w:tcPr>
            <w:tcW w:w="7996" w:type="dxa"/>
            <w:gridSpan w:val="3"/>
            <w:vAlign w:val="center"/>
          </w:tcPr>
          <w:p>
            <w:pPr>
              <w:spacing w:before="100" w:beforeAutospacing="1" w:after="100" w:afterAutospacing="1" w:line="240" w:lineRule="auto"/>
              <w:jc w:val="center"/>
              <w:rPr>
                <w:rFonts w:ascii="宋体" w:hAnsi="宋体"/>
                <w:b/>
                <w:color w:val="auto"/>
                <w:szCs w:val="21"/>
                <w:highlight w:val="none"/>
              </w:rPr>
            </w:pPr>
            <w:r>
              <w:rPr>
                <w:rFonts w:hint="eastAsia" w:ascii="宋体" w:hAnsi="宋体"/>
                <w:b/>
                <w:color w:val="auto"/>
                <w:szCs w:val="21"/>
                <w:highlight w:val="none"/>
              </w:rPr>
              <w:t>评 审 内 容 及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restart"/>
            <w:vAlign w:val="center"/>
          </w:tcPr>
          <w:p>
            <w:pPr>
              <w:spacing w:before="100" w:beforeAutospacing="1" w:after="100" w:afterAutospacing="1" w:line="240" w:lineRule="auto"/>
              <w:jc w:val="center"/>
              <w:rPr>
                <w:rFonts w:ascii="宋体" w:hAnsi="宋体"/>
                <w:color w:val="auto"/>
                <w:szCs w:val="21"/>
                <w:highlight w:val="none"/>
              </w:rPr>
            </w:pPr>
            <w:r>
              <w:rPr>
                <w:rFonts w:hint="eastAsia" w:ascii="宋体" w:hAnsi="宋体"/>
                <w:color w:val="auto"/>
                <w:szCs w:val="21"/>
                <w:highlight w:val="none"/>
              </w:rPr>
              <w:t>3.1</w:t>
            </w:r>
          </w:p>
        </w:tc>
        <w:tc>
          <w:tcPr>
            <w:tcW w:w="1076" w:type="dxa"/>
            <w:vMerge w:val="restart"/>
            <w:vAlign w:val="center"/>
          </w:tcPr>
          <w:p>
            <w:pPr>
              <w:spacing w:before="100" w:beforeAutospacing="1" w:after="100" w:afterAutospacing="1" w:line="240" w:lineRule="auto"/>
              <w:jc w:val="center"/>
              <w:rPr>
                <w:rFonts w:ascii="宋体" w:hAnsi="宋体"/>
                <w:color w:val="auto"/>
                <w:szCs w:val="21"/>
                <w:highlight w:val="none"/>
              </w:rPr>
            </w:pPr>
            <w:r>
              <w:rPr>
                <w:rFonts w:hint="eastAsia" w:ascii="宋体" w:hAnsi="宋体"/>
                <w:color w:val="auto"/>
                <w:szCs w:val="21"/>
                <w:highlight w:val="none"/>
              </w:rPr>
              <w:t>符合性评审标准</w:t>
            </w:r>
          </w:p>
        </w:tc>
        <w:tc>
          <w:tcPr>
            <w:tcW w:w="7996" w:type="dxa"/>
            <w:gridSpan w:val="3"/>
            <w:vAlign w:val="center"/>
          </w:tcPr>
          <w:p>
            <w:pPr>
              <w:spacing w:before="100" w:beforeAutospacing="1" w:after="100" w:afterAutospacing="1" w:line="240" w:lineRule="auto"/>
              <w:jc w:val="left"/>
              <w:rPr>
                <w:rFonts w:ascii="宋体" w:hAnsi="宋体"/>
                <w:b/>
                <w:color w:val="auto"/>
                <w:szCs w:val="21"/>
                <w:highlight w:val="none"/>
              </w:rPr>
            </w:pPr>
            <w:r>
              <w:rPr>
                <w:rFonts w:hint="eastAsia" w:ascii="宋体" w:hAnsi="宋体"/>
                <w:b/>
                <w:color w:val="auto"/>
                <w:szCs w:val="21"/>
                <w:highlight w:val="none"/>
              </w:rPr>
              <w:t>投标人</w:t>
            </w:r>
            <w:r>
              <w:rPr>
                <w:rFonts w:ascii="宋体" w:hAnsi="宋体"/>
                <w:b/>
                <w:color w:val="auto"/>
                <w:szCs w:val="21"/>
                <w:highlight w:val="none"/>
              </w:rPr>
              <w:t>存在下列情况之一的，投标无效</w:t>
            </w:r>
            <w:r>
              <w:rPr>
                <w:rFonts w:hint="eastAsia" w:ascii="宋体" w:hAnsi="宋体"/>
                <w:b/>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vAlign w:val="center"/>
          </w:tcPr>
          <w:p>
            <w:pPr>
              <w:spacing w:before="100" w:beforeAutospacing="1" w:after="100" w:afterAutospacing="1" w:line="240" w:lineRule="auto"/>
              <w:rPr>
                <w:rFonts w:ascii="宋体" w:hAnsi="宋体"/>
                <w:color w:val="auto"/>
                <w:szCs w:val="21"/>
                <w:highlight w:val="none"/>
              </w:rPr>
            </w:pPr>
          </w:p>
        </w:tc>
        <w:tc>
          <w:tcPr>
            <w:tcW w:w="1076" w:type="dxa"/>
            <w:vMerge w:val="continue"/>
            <w:vAlign w:val="center"/>
          </w:tcPr>
          <w:p>
            <w:pPr>
              <w:spacing w:before="100" w:beforeAutospacing="1" w:after="100" w:afterAutospacing="1" w:line="240" w:lineRule="auto"/>
              <w:rPr>
                <w:rFonts w:ascii="宋体" w:hAnsi="宋体"/>
                <w:color w:val="auto"/>
                <w:szCs w:val="21"/>
                <w:highlight w:val="none"/>
              </w:rPr>
            </w:pPr>
          </w:p>
        </w:tc>
        <w:tc>
          <w:tcPr>
            <w:tcW w:w="2185" w:type="dxa"/>
            <w:gridSpan w:val="2"/>
            <w:vAlign w:val="center"/>
          </w:tcPr>
          <w:p>
            <w:pPr>
              <w:spacing w:before="100" w:beforeAutospacing="1" w:after="100" w:afterAutospacing="1" w:line="240" w:lineRule="auto"/>
              <w:jc w:val="center"/>
              <w:rPr>
                <w:rFonts w:ascii="宋体" w:hAnsi="宋体"/>
                <w:color w:val="auto"/>
                <w:szCs w:val="21"/>
                <w:highlight w:val="none"/>
              </w:rPr>
            </w:pPr>
            <w:r>
              <w:rPr>
                <w:rFonts w:ascii="宋体" w:hAnsi="宋体"/>
                <w:color w:val="auto"/>
                <w:szCs w:val="21"/>
                <w:highlight w:val="none"/>
              </w:rPr>
              <w:t>签署、盖章</w:t>
            </w:r>
            <w:r>
              <w:rPr>
                <w:rFonts w:hint="eastAsia" w:ascii="宋体" w:hAnsi="宋体"/>
                <w:color w:val="auto"/>
                <w:szCs w:val="21"/>
                <w:highlight w:val="none"/>
              </w:rPr>
              <w:t>、编制</w:t>
            </w:r>
          </w:p>
        </w:tc>
        <w:tc>
          <w:tcPr>
            <w:tcW w:w="5811" w:type="dxa"/>
            <w:vAlign w:val="center"/>
          </w:tcPr>
          <w:p>
            <w:pPr>
              <w:spacing w:before="100" w:beforeAutospacing="1" w:after="100" w:afterAutospacing="1" w:line="240" w:lineRule="auto"/>
              <w:jc w:val="left"/>
              <w:rPr>
                <w:rFonts w:hint="eastAsia" w:ascii="宋体" w:hAnsi="宋体" w:eastAsia="宋体"/>
                <w:color w:val="auto"/>
                <w:szCs w:val="21"/>
                <w:highlight w:val="none"/>
                <w:lang w:eastAsia="zh-CN"/>
              </w:rPr>
            </w:pPr>
            <w:r>
              <w:rPr>
                <w:rFonts w:ascii="宋体" w:hAnsi="宋体"/>
                <w:color w:val="auto"/>
                <w:szCs w:val="21"/>
                <w:highlight w:val="none"/>
              </w:rPr>
              <w:t>投标文件未按</w:t>
            </w:r>
            <w:r>
              <w:rPr>
                <w:rFonts w:hint="eastAsia" w:ascii="宋体" w:hAnsi="宋体"/>
                <w:color w:val="auto"/>
                <w:szCs w:val="21"/>
                <w:highlight w:val="none"/>
                <w:lang w:eastAsia="zh-CN"/>
              </w:rPr>
              <w:t>采购文件</w:t>
            </w:r>
            <w:r>
              <w:rPr>
                <w:rFonts w:ascii="宋体" w:hAnsi="宋体"/>
                <w:color w:val="auto"/>
                <w:szCs w:val="21"/>
                <w:highlight w:val="none"/>
              </w:rPr>
              <w:t>要求签署、盖章</w:t>
            </w:r>
            <w:r>
              <w:rPr>
                <w:rFonts w:hint="eastAsia" w:ascii="宋体" w:hAnsi="宋体"/>
                <w:color w:val="auto"/>
                <w:szCs w:val="21"/>
                <w:highlight w:val="none"/>
              </w:rPr>
              <w:t>、编制</w:t>
            </w:r>
            <w:r>
              <w:rPr>
                <w:rFonts w:ascii="宋体" w:hAnsi="宋体"/>
                <w:color w:val="auto"/>
                <w:szCs w:val="21"/>
                <w:highlight w:val="none"/>
              </w:rPr>
              <w:t>的</w:t>
            </w:r>
            <w:r>
              <w:rPr>
                <w:rFonts w:hint="eastAsia" w:ascii="宋体" w:hAnsi="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vAlign w:val="center"/>
          </w:tcPr>
          <w:p>
            <w:pPr>
              <w:spacing w:before="100" w:beforeAutospacing="1" w:after="100" w:afterAutospacing="1" w:line="240" w:lineRule="auto"/>
              <w:rPr>
                <w:rFonts w:ascii="宋体" w:hAnsi="宋体"/>
                <w:color w:val="auto"/>
                <w:szCs w:val="21"/>
                <w:highlight w:val="none"/>
              </w:rPr>
            </w:pPr>
          </w:p>
        </w:tc>
        <w:tc>
          <w:tcPr>
            <w:tcW w:w="1076" w:type="dxa"/>
            <w:vMerge w:val="continue"/>
            <w:vAlign w:val="center"/>
          </w:tcPr>
          <w:p>
            <w:pPr>
              <w:spacing w:before="100" w:beforeAutospacing="1" w:after="100" w:afterAutospacing="1" w:line="240" w:lineRule="auto"/>
              <w:rPr>
                <w:rFonts w:ascii="宋体" w:hAnsi="宋体"/>
                <w:color w:val="auto"/>
                <w:szCs w:val="21"/>
                <w:highlight w:val="none"/>
              </w:rPr>
            </w:pPr>
          </w:p>
        </w:tc>
        <w:tc>
          <w:tcPr>
            <w:tcW w:w="2185" w:type="dxa"/>
            <w:gridSpan w:val="2"/>
            <w:vAlign w:val="center"/>
          </w:tcPr>
          <w:p>
            <w:pPr>
              <w:spacing w:before="100" w:beforeAutospacing="1" w:after="100" w:afterAutospacing="1" w:line="240" w:lineRule="auto"/>
              <w:jc w:val="center"/>
              <w:rPr>
                <w:rFonts w:ascii="宋体" w:hAnsi="宋体"/>
                <w:color w:val="auto"/>
                <w:szCs w:val="21"/>
                <w:highlight w:val="none"/>
              </w:rPr>
            </w:pPr>
            <w:r>
              <w:rPr>
                <w:rFonts w:hint="eastAsia" w:ascii="宋体" w:hAnsi="宋体"/>
                <w:color w:val="auto"/>
                <w:szCs w:val="21"/>
                <w:highlight w:val="none"/>
              </w:rPr>
              <w:t>法定代表人身份证明书及法定代表人授权委托书</w:t>
            </w:r>
          </w:p>
        </w:tc>
        <w:tc>
          <w:tcPr>
            <w:tcW w:w="5811" w:type="dxa"/>
            <w:vAlign w:val="center"/>
          </w:tcPr>
          <w:p>
            <w:pPr>
              <w:spacing w:before="100" w:beforeAutospacing="1" w:after="100" w:afterAutospacing="1" w:line="240" w:lineRule="auto"/>
              <w:jc w:val="left"/>
              <w:rPr>
                <w:rFonts w:hint="eastAsia" w:ascii="宋体" w:hAnsi="宋体" w:eastAsia="宋体"/>
                <w:color w:val="auto"/>
                <w:szCs w:val="21"/>
                <w:highlight w:val="none"/>
                <w:lang w:eastAsia="zh-CN"/>
              </w:rPr>
            </w:pPr>
            <w:r>
              <w:rPr>
                <w:rFonts w:ascii="宋体" w:hAnsi="宋体"/>
                <w:color w:val="auto"/>
                <w:szCs w:val="21"/>
                <w:highlight w:val="none"/>
              </w:rPr>
              <w:t>投标文件未按</w:t>
            </w:r>
            <w:r>
              <w:rPr>
                <w:rFonts w:hint="eastAsia" w:ascii="宋体" w:hAnsi="宋体"/>
                <w:color w:val="auto"/>
                <w:szCs w:val="21"/>
                <w:highlight w:val="none"/>
                <w:lang w:eastAsia="zh-CN"/>
              </w:rPr>
              <w:t>采购文件</w:t>
            </w:r>
            <w:r>
              <w:rPr>
                <w:rFonts w:ascii="宋体" w:hAnsi="宋体"/>
                <w:color w:val="auto"/>
                <w:szCs w:val="21"/>
                <w:highlight w:val="none"/>
              </w:rPr>
              <w:t>要求签署、盖章的</w:t>
            </w:r>
            <w:r>
              <w:rPr>
                <w:rFonts w:hint="eastAsia" w:ascii="宋体" w:hAnsi="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vAlign w:val="center"/>
          </w:tcPr>
          <w:p>
            <w:pPr>
              <w:spacing w:before="100" w:beforeAutospacing="1" w:after="100" w:afterAutospacing="1" w:line="240" w:lineRule="auto"/>
              <w:rPr>
                <w:rFonts w:ascii="宋体" w:hAnsi="宋体"/>
                <w:color w:val="auto"/>
                <w:szCs w:val="21"/>
                <w:highlight w:val="none"/>
              </w:rPr>
            </w:pPr>
          </w:p>
        </w:tc>
        <w:tc>
          <w:tcPr>
            <w:tcW w:w="1076" w:type="dxa"/>
            <w:vMerge w:val="continue"/>
            <w:vAlign w:val="center"/>
          </w:tcPr>
          <w:p>
            <w:pPr>
              <w:spacing w:before="100" w:beforeAutospacing="1" w:after="100" w:afterAutospacing="1" w:line="240" w:lineRule="auto"/>
              <w:rPr>
                <w:rFonts w:ascii="宋体" w:hAnsi="宋体"/>
                <w:color w:val="auto"/>
                <w:szCs w:val="21"/>
                <w:highlight w:val="none"/>
              </w:rPr>
            </w:pPr>
          </w:p>
        </w:tc>
        <w:tc>
          <w:tcPr>
            <w:tcW w:w="2185" w:type="dxa"/>
            <w:gridSpan w:val="2"/>
            <w:vAlign w:val="center"/>
          </w:tcPr>
          <w:p>
            <w:pPr>
              <w:spacing w:before="100" w:beforeAutospacing="1" w:after="100" w:afterAutospacing="1" w:line="240" w:lineRule="auto"/>
              <w:jc w:val="center"/>
              <w:rPr>
                <w:rFonts w:ascii="宋体" w:hAnsi="宋体"/>
                <w:color w:val="auto"/>
                <w:szCs w:val="21"/>
                <w:highlight w:val="none"/>
              </w:rPr>
            </w:pPr>
            <w:r>
              <w:rPr>
                <w:rFonts w:hint="eastAsia" w:ascii="宋体" w:hAnsi="宋体"/>
                <w:color w:val="auto"/>
                <w:szCs w:val="21"/>
                <w:highlight w:val="none"/>
              </w:rPr>
              <w:t>投标报价</w:t>
            </w:r>
          </w:p>
        </w:tc>
        <w:tc>
          <w:tcPr>
            <w:tcW w:w="5811" w:type="dxa"/>
            <w:vAlign w:val="center"/>
          </w:tcPr>
          <w:p>
            <w:pPr>
              <w:spacing w:before="100" w:beforeAutospacing="1" w:after="100" w:afterAutospacing="1" w:line="240" w:lineRule="auto"/>
              <w:jc w:val="left"/>
              <w:rPr>
                <w:rFonts w:hint="eastAsia" w:ascii="宋体" w:hAnsi="宋体" w:eastAsia="宋体"/>
                <w:color w:val="auto"/>
                <w:szCs w:val="21"/>
                <w:highlight w:val="none"/>
                <w:lang w:eastAsia="zh-CN"/>
              </w:rPr>
            </w:pPr>
            <w:r>
              <w:rPr>
                <w:rFonts w:ascii="宋体" w:hAnsi="宋体"/>
                <w:color w:val="auto"/>
                <w:szCs w:val="21"/>
                <w:highlight w:val="none"/>
              </w:rPr>
              <w:t>投标报价超过</w:t>
            </w:r>
            <w:r>
              <w:rPr>
                <w:rFonts w:hint="eastAsia" w:ascii="宋体" w:hAnsi="宋体"/>
                <w:color w:val="auto"/>
                <w:szCs w:val="21"/>
                <w:highlight w:val="none"/>
                <w:lang w:eastAsia="zh-CN"/>
              </w:rPr>
              <w:t>采购文件</w:t>
            </w:r>
            <w:r>
              <w:rPr>
                <w:rFonts w:ascii="宋体" w:hAnsi="宋体"/>
                <w:color w:val="auto"/>
                <w:szCs w:val="21"/>
                <w:highlight w:val="none"/>
              </w:rPr>
              <w:t>中规定的预算金额</w:t>
            </w:r>
            <w:r>
              <w:rPr>
                <w:rFonts w:hint="eastAsia" w:ascii="宋体" w:hAnsi="宋体"/>
                <w:color w:val="auto"/>
                <w:szCs w:val="21"/>
                <w:highlight w:val="none"/>
                <w:lang w:eastAsia="zh-CN"/>
              </w:rPr>
              <w:t>（</w:t>
            </w:r>
            <w:r>
              <w:rPr>
                <w:rFonts w:ascii="宋体" w:hAnsi="宋体"/>
                <w:color w:val="auto"/>
                <w:szCs w:val="21"/>
                <w:highlight w:val="none"/>
              </w:rPr>
              <w:t>最高限价</w:t>
            </w:r>
            <w:r>
              <w:rPr>
                <w:rFonts w:hint="eastAsia" w:ascii="宋体" w:hAnsi="宋体"/>
                <w:color w:val="auto"/>
                <w:szCs w:val="21"/>
                <w:highlight w:val="none"/>
                <w:lang w:eastAsia="zh-CN"/>
              </w:rPr>
              <w:t>）</w:t>
            </w:r>
            <w:r>
              <w:rPr>
                <w:rFonts w:ascii="宋体" w:hAnsi="宋体"/>
                <w:color w:val="auto"/>
                <w:szCs w:val="21"/>
                <w:highlight w:val="none"/>
              </w:rPr>
              <w:t>的</w:t>
            </w:r>
            <w:r>
              <w:rPr>
                <w:rFonts w:hint="eastAsia" w:ascii="宋体" w:hAnsi="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vAlign w:val="center"/>
          </w:tcPr>
          <w:p>
            <w:pPr>
              <w:spacing w:before="100" w:beforeAutospacing="1" w:after="100" w:afterAutospacing="1" w:line="240" w:lineRule="auto"/>
              <w:rPr>
                <w:rFonts w:ascii="宋体" w:hAnsi="宋体"/>
                <w:color w:val="auto"/>
                <w:szCs w:val="21"/>
                <w:highlight w:val="none"/>
              </w:rPr>
            </w:pPr>
          </w:p>
        </w:tc>
        <w:tc>
          <w:tcPr>
            <w:tcW w:w="1076" w:type="dxa"/>
            <w:vMerge w:val="continue"/>
            <w:vAlign w:val="center"/>
          </w:tcPr>
          <w:p>
            <w:pPr>
              <w:spacing w:before="100" w:beforeAutospacing="1" w:after="100" w:afterAutospacing="1" w:line="240" w:lineRule="auto"/>
              <w:rPr>
                <w:rFonts w:ascii="宋体" w:hAnsi="宋体"/>
                <w:color w:val="auto"/>
                <w:szCs w:val="21"/>
                <w:highlight w:val="none"/>
              </w:rPr>
            </w:pPr>
          </w:p>
        </w:tc>
        <w:tc>
          <w:tcPr>
            <w:tcW w:w="2185" w:type="dxa"/>
            <w:gridSpan w:val="2"/>
            <w:vAlign w:val="center"/>
          </w:tcPr>
          <w:p>
            <w:pPr>
              <w:spacing w:before="100" w:beforeAutospacing="1" w:after="100" w:afterAutospacing="1" w:line="240" w:lineRule="auto"/>
              <w:jc w:val="center"/>
              <w:rPr>
                <w:rFonts w:ascii="宋体" w:hAnsi="宋体"/>
                <w:color w:val="auto"/>
                <w:szCs w:val="21"/>
                <w:highlight w:val="none"/>
              </w:rPr>
            </w:pPr>
            <w:r>
              <w:rPr>
                <w:rFonts w:ascii="宋体" w:hAnsi="宋体"/>
                <w:color w:val="auto"/>
                <w:szCs w:val="21"/>
                <w:highlight w:val="none"/>
              </w:rPr>
              <w:t>其他无效情形</w:t>
            </w:r>
          </w:p>
        </w:tc>
        <w:tc>
          <w:tcPr>
            <w:tcW w:w="5811" w:type="dxa"/>
            <w:vAlign w:val="center"/>
          </w:tcPr>
          <w:p>
            <w:pPr>
              <w:spacing w:before="100" w:beforeAutospacing="1" w:after="100" w:afterAutospacing="1" w:line="240" w:lineRule="auto"/>
              <w:jc w:val="left"/>
              <w:rPr>
                <w:rFonts w:ascii="宋体" w:hAnsi="宋体"/>
                <w:color w:val="auto"/>
                <w:szCs w:val="21"/>
                <w:highlight w:val="none"/>
              </w:rPr>
            </w:pPr>
            <w:r>
              <w:rPr>
                <w:rFonts w:ascii="宋体" w:hAnsi="宋体"/>
                <w:color w:val="auto"/>
                <w:szCs w:val="21"/>
                <w:highlight w:val="none"/>
              </w:rPr>
              <w:t>法律、法规和</w:t>
            </w:r>
            <w:r>
              <w:rPr>
                <w:rFonts w:hint="eastAsia" w:ascii="宋体" w:hAnsi="宋体"/>
                <w:color w:val="auto"/>
                <w:szCs w:val="21"/>
                <w:highlight w:val="none"/>
                <w:lang w:eastAsia="zh-CN"/>
              </w:rPr>
              <w:t>采购文件</w:t>
            </w:r>
            <w:r>
              <w:rPr>
                <w:rFonts w:ascii="宋体" w:hAnsi="宋体"/>
                <w:color w:val="auto"/>
                <w:szCs w:val="21"/>
                <w:highlight w:val="none"/>
              </w:rPr>
              <w:t>规定的其他无效情形</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3" w:hRule="atLeast"/>
          <w:jc w:val="center"/>
        </w:trPr>
        <w:tc>
          <w:tcPr>
            <w:tcW w:w="973" w:type="dxa"/>
            <w:vMerge w:val="restart"/>
            <w:vAlign w:val="center"/>
          </w:tcPr>
          <w:p>
            <w:pPr>
              <w:spacing w:line="240" w:lineRule="auto"/>
              <w:jc w:val="center"/>
              <w:rPr>
                <w:rFonts w:ascii="宋体" w:hAnsi="宋体"/>
                <w:color w:val="auto"/>
                <w:szCs w:val="21"/>
                <w:highlight w:val="none"/>
              </w:rPr>
            </w:pPr>
            <w:r>
              <w:rPr>
                <w:rFonts w:hint="eastAsia" w:ascii="宋体" w:hAnsi="宋体"/>
                <w:color w:val="auto"/>
                <w:szCs w:val="21"/>
                <w:highlight w:val="none"/>
              </w:rPr>
              <w:t>3.2</w:t>
            </w:r>
          </w:p>
        </w:tc>
        <w:tc>
          <w:tcPr>
            <w:tcW w:w="1076" w:type="dxa"/>
            <w:vMerge w:val="restart"/>
            <w:vAlign w:val="center"/>
          </w:tcPr>
          <w:p>
            <w:pPr>
              <w:spacing w:line="240" w:lineRule="auto"/>
              <w:rPr>
                <w:rFonts w:ascii="宋体" w:hAnsi="宋体"/>
                <w:color w:val="auto"/>
                <w:szCs w:val="21"/>
                <w:highlight w:val="none"/>
              </w:rPr>
            </w:pPr>
            <w:r>
              <w:rPr>
                <w:rFonts w:hint="eastAsia" w:ascii="宋体" w:hAnsi="宋体"/>
                <w:color w:val="auto"/>
                <w:szCs w:val="21"/>
                <w:highlight w:val="none"/>
              </w:rPr>
              <w:t>详细评审标准</w:t>
            </w:r>
          </w:p>
        </w:tc>
        <w:tc>
          <w:tcPr>
            <w:tcW w:w="2185" w:type="dxa"/>
            <w:gridSpan w:val="2"/>
            <w:vAlign w:val="center"/>
          </w:tcPr>
          <w:p>
            <w:pPr>
              <w:spacing w:line="240" w:lineRule="auto"/>
              <w:jc w:val="center"/>
              <w:rPr>
                <w:rFonts w:ascii="宋体" w:hAnsi="宋体"/>
                <w:color w:val="auto"/>
                <w:szCs w:val="21"/>
                <w:highlight w:val="none"/>
              </w:rPr>
            </w:pPr>
            <w:r>
              <w:rPr>
                <w:rFonts w:hint="eastAsia" w:ascii="宋体" w:hAnsi="宋体"/>
                <w:color w:val="auto"/>
                <w:szCs w:val="21"/>
                <w:highlight w:val="none"/>
              </w:rPr>
              <w:t>1、评标总得分计算公式</w:t>
            </w:r>
          </w:p>
        </w:tc>
        <w:tc>
          <w:tcPr>
            <w:tcW w:w="5811" w:type="dxa"/>
            <w:vAlign w:val="center"/>
          </w:tcPr>
          <w:p>
            <w:pPr>
              <w:spacing w:line="240" w:lineRule="auto"/>
              <w:rPr>
                <w:color w:val="auto"/>
                <w:szCs w:val="21"/>
              </w:rPr>
            </w:pPr>
            <w:r>
              <w:rPr>
                <w:color w:val="auto"/>
                <w:szCs w:val="21"/>
              </w:rPr>
              <w:t>投标人的评标总得分＝F1＋F2＋F3</w:t>
            </w:r>
          </w:p>
          <w:p>
            <w:pPr>
              <w:spacing w:line="240" w:lineRule="auto"/>
              <w:rPr>
                <w:rFonts w:ascii="宋体" w:hAnsi="宋体"/>
                <w:color w:val="auto"/>
                <w:szCs w:val="21"/>
                <w:highlight w:val="none"/>
              </w:rPr>
            </w:pPr>
            <w:r>
              <w:rPr>
                <w:color w:val="auto"/>
                <w:szCs w:val="21"/>
              </w:rPr>
              <w:t>其中：F1、F2、F3分别为投标报价、技术部分、</w:t>
            </w:r>
            <w:r>
              <w:rPr>
                <w:rFonts w:hint="eastAsia"/>
                <w:color w:val="auto"/>
                <w:szCs w:val="21"/>
              </w:rPr>
              <w:t>商务</w:t>
            </w:r>
            <w:r>
              <w:rPr>
                <w:color w:val="auto"/>
                <w:szCs w:val="21"/>
              </w:rPr>
              <w:t>部分3项评分因素的汇总得分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9" w:hRule="atLeast"/>
          <w:jc w:val="center"/>
        </w:trPr>
        <w:tc>
          <w:tcPr>
            <w:tcW w:w="973" w:type="dxa"/>
            <w:vMerge w:val="continue"/>
            <w:vAlign w:val="center"/>
          </w:tcPr>
          <w:p>
            <w:pPr>
              <w:spacing w:line="240" w:lineRule="auto"/>
              <w:rPr>
                <w:rFonts w:ascii="宋体" w:hAnsi="宋体"/>
                <w:color w:val="auto"/>
                <w:szCs w:val="21"/>
                <w:highlight w:val="none"/>
              </w:rPr>
            </w:pPr>
          </w:p>
        </w:tc>
        <w:tc>
          <w:tcPr>
            <w:tcW w:w="1076" w:type="dxa"/>
            <w:vMerge w:val="continue"/>
            <w:vAlign w:val="center"/>
          </w:tcPr>
          <w:p>
            <w:pPr>
              <w:spacing w:line="240" w:lineRule="auto"/>
              <w:rPr>
                <w:rFonts w:ascii="宋体" w:hAnsi="宋体"/>
                <w:color w:val="auto"/>
                <w:szCs w:val="21"/>
                <w:highlight w:val="none"/>
              </w:rPr>
            </w:pPr>
          </w:p>
        </w:tc>
        <w:tc>
          <w:tcPr>
            <w:tcW w:w="2185" w:type="dxa"/>
            <w:gridSpan w:val="2"/>
            <w:vAlign w:val="center"/>
          </w:tcPr>
          <w:p>
            <w:pPr>
              <w:spacing w:line="240" w:lineRule="auto"/>
              <w:jc w:val="center"/>
              <w:rPr>
                <w:rFonts w:ascii="宋体" w:hAnsi="宋体"/>
                <w:color w:val="auto"/>
                <w:szCs w:val="21"/>
                <w:highlight w:val="none"/>
              </w:rPr>
            </w:pPr>
            <w:r>
              <w:rPr>
                <w:rFonts w:hint="eastAsia" w:ascii="宋体" w:hAnsi="宋体"/>
                <w:color w:val="auto"/>
                <w:szCs w:val="21"/>
                <w:highlight w:val="none"/>
              </w:rPr>
              <w:t>2、评分因素</w:t>
            </w:r>
          </w:p>
          <w:p>
            <w:pPr>
              <w:spacing w:line="240" w:lineRule="auto"/>
              <w:jc w:val="center"/>
              <w:rPr>
                <w:rFonts w:ascii="宋体" w:hAnsi="宋体"/>
                <w:color w:val="auto"/>
                <w:szCs w:val="21"/>
                <w:highlight w:val="none"/>
              </w:rPr>
            </w:pPr>
            <w:r>
              <w:rPr>
                <w:rFonts w:hint="eastAsia" w:ascii="宋体" w:hAnsi="宋体"/>
                <w:color w:val="auto"/>
                <w:szCs w:val="21"/>
                <w:highlight w:val="none"/>
              </w:rPr>
              <w:t>分值及权重</w:t>
            </w:r>
          </w:p>
        </w:tc>
        <w:tc>
          <w:tcPr>
            <w:tcW w:w="5811" w:type="dxa"/>
            <w:vAlign w:val="center"/>
          </w:tcPr>
          <w:p>
            <w:pPr>
              <w:spacing w:line="240" w:lineRule="auto"/>
              <w:ind w:left="1258" w:hanging="1258"/>
              <w:rPr>
                <w:rFonts w:ascii="宋体" w:hAnsi="宋体" w:cs="宋体"/>
                <w:color w:val="auto"/>
                <w:szCs w:val="21"/>
              </w:rPr>
            </w:pPr>
            <w:r>
              <w:rPr>
                <w:rFonts w:hint="eastAsia" w:ascii="宋体" w:hAnsi="宋体" w:cs="宋体"/>
                <w:color w:val="auto"/>
                <w:szCs w:val="21"/>
              </w:rPr>
              <w:t>投标报价F1：30分。</w:t>
            </w:r>
          </w:p>
          <w:p>
            <w:pPr>
              <w:spacing w:line="240" w:lineRule="auto"/>
              <w:rPr>
                <w:rFonts w:ascii="宋体" w:hAnsi="宋体" w:cs="宋体"/>
                <w:color w:val="auto"/>
                <w:szCs w:val="21"/>
              </w:rPr>
            </w:pPr>
            <w:r>
              <w:rPr>
                <w:rFonts w:hint="eastAsia" w:ascii="宋体" w:hAnsi="宋体" w:cs="宋体"/>
                <w:color w:val="auto"/>
                <w:szCs w:val="21"/>
              </w:rPr>
              <w:t>技术部分F2：</w:t>
            </w:r>
            <w:r>
              <w:rPr>
                <w:rFonts w:ascii="宋体" w:hAnsi="宋体" w:cs="宋体"/>
                <w:color w:val="auto"/>
                <w:szCs w:val="21"/>
              </w:rPr>
              <w:t>4</w:t>
            </w:r>
            <w:r>
              <w:rPr>
                <w:rFonts w:hint="eastAsia" w:ascii="宋体" w:hAnsi="宋体" w:cs="宋体"/>
                <w:color w:val="auto"/>
                <w:szCs w:val="21"/>
                <w:lang w:val="en-US" w:eastAsia="zh-CN"/>
              </w:rPr>
              <w:t>0</w:t>
            </w:r>
            <w:r>
              <w:rPr>
                <w:rFonts w:hint="eastAsia" w:ascii="宋体" w:hAnsi="宋体" w:cs="宋体"/>
                <w:color w:val="auto"/>
                <w:szCs w:val="21"/>
              </w:rPr>
              <w:t>分。</w:t>
            </w:r>
          </w:p>
          <w:p>
            <w:pPr>
              <w:spacing w:line="240" w:lineRule="auto"/>
              <w:rPr>
                <w:rFonts w:ascii="宋体" w:hAnsi="宋体"/>
                <w:color w:val="auto"/>
                <w:szCs w:val="21"/>
                <w:highlight w:val="none"/>
              </w:rPr>
            </w:pPr>
            <w:r>
              <w:rPr>
                <w:rFonts w:hint="eastAsia" w:ascii="宋体" w:hAnsi="宋体" w:cs="宋体"/>
                <w:color w:val="auto"/>
                <w:szCs w:val="21"/>
              </w:rPr>
              <w:t>商务部分F3：</w:t>
            </w:r>
            <w:r>
              <w:rPr>
                <w:rFonts w:hint="eastAsia" w:ascii="宋体" w:hAnsi="宋体" w:cs="宋体"/>
                <w:color w:val="auto"/>
                <w:szCs w:val="21"/>
                <w:lang w:val="en-US" w:eastAsia="zh-CN"/>
              </w:rPr>
              <w:t>30</w:t>
            </w:r>
            <w:r>
              <w:rPr>
                <w:rFonts w:hint="eastAsia" w:ascii="宋体" w:hAnsi="宋体" w:cs="宋体"/>
                <w:color w:val="auto"/>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pPr>
              <w:spacing w:line="240" w:lineRule="auto"/>
              <w:rPr>
                <w:rFonts w:ascii="宋体" w:hAnsi="宋体"/>
                <w:color w:val="auto"/>
                <w:szCs w:val="21"/>
                <w:highlight w:val="none"/>
              </w:rPr>
            </w:pPr>
          </w:p>
        </w:tc>
        <w:tc>
          <w:tcPr>
            <w:tcW w:w="1076" w:type="dxa"/>
            <w:vMerge w:val="continue"/>
            <w:vAlign w:val="center"/>
          </w:tcPr>
          <w:p>
            <w:pPr>
              <w:spacing w:line="240" w:lineRule="auto"/>
              <w:rPr>
                <w:rFonts w:ascii="宋体" w:hAnsi="宋体"/>
                <w:color w:val="auto"/>
                <w:szCs w:val="21"/>
                <w:highlight w:val="none"/>
              </w:rPr>
            </w:pPr>
          </w:p>
        </w:tc>
        <w:tc>
          <w:tcPr>
            <w:tcW w:w="2185" w:type="dxa"/>
            <w:gridSpan w:val="2"/>
            <w:tcBorders>
              <w:bottom w:val="single" w:color="auto" w:sz="4" w:space="0"/>
            </w:tcBorders>
            <w:vAlign w:val="center"/>
          </w:tcPr>
          <w:p>
            <w:pPr>
              <w:spacing w:line="240" w:lineRule="auto"/>
              <w:jc w:val="center"/>
              <w:rPr>
                <w:rFonts w:ascii="宋体" w:hAnsi="宋体"/>
                <w:color w:val="auto"/>
                <w:szCs w:val="21"/>
                <w:highlight w:val="none"/>
              </w:rPr>
            </w:pPr>
            <w:r>
              <w:rPr>
                <w:rFonts w:hint="eastAsia" w:ascii="宋体" w:hAnsi="宋体"/>
                <w:color w:val="auto"/>
                <w:szCs w:val="21"/>
                <w:highlight w:val="none"/>
              </w:rPr>
              <w:t>3、投标报价</w:t>
            </w:r>
          </w:p>
          <w:p>
            <w:pPr>
              <w:spacing w:line="240" w:lineRule="auto"/>
              <w:jc w:val="center"/>
              <w:rPr>
                <w:rFonts w:ascii="宋体" w:hAnsi="宋体"/>
                <w:color w:val="auto"/>
                <w:szCs w:val="21"/>
                <w:highlight w:val="none"/>
              </w:rPr>
            </w:pPr>
            <w:r>
              <w:rPr>
                <w:rFonts w:hint="eastAsia" w:ascii="宋体" w:hAnsi="宋体"/>
                <w:color w:val="auto"/>
                <w:szCs w:val="21"/>
                <w:highlight w:val="none"/>
              </w:rPr>
              <w:t>评审F1</w:t>
            </w:r>
          </w:p>
          <w:p>
            <w:pPr>
              <w:spacing w:line="240" w:lineRule="auto"/>
              <w:jc w:val="center"/>
              <w:rPr>
                <w:rFonts w:ascii="宋体" w:hAnsi="宋体"/>
                <w:color w:val="auto"/>
                <w:szCs w:val="21"/>
                <w:highlight w:val="none"/>
              </w:rPr>
            </w:pPr>
            <w:r>
              <w:rPr>
                <w:rFonts w:hint="eastAsia" w:ascii="宋体" w:hAnsi="宋体"/>
                <w:color w:val="auto"/>
                <w:szCs w:val="21"/>
                <w:highlight w:val="none"/>
              </w:rPr>
              <w:t>（满分</w:t>
            </w:r>
            <w:r>
              <w:rPr>
                <w:rFonts w:ascii="宋体" w:hAnsi="宋体"/>
                <w:color w:val="auto"/>
                <w:szCs w:val="21"/>
                <w:highlight w:val="none"/>
              </w:rPr>
              <w:t>30</w:t>
            </w:r>
            <w:r>
              <w:rPr>
                <w:rFonts w:hint="eastAsia" w:ascii="宋体" w:hAnsi="宋体"/>
                <w:color w:val="auto"/>
                <w:szCs w:val="21"/>
                <w:highlight w:val="none"/>
              </w:rPr>
              <w:t>分）</w:t>
            </w:r>
          </w:p>
        </w:tc>
        <w:tc>
          <w:tcPr>
            <w:tcW w:w="5811" w:type="dxa"/>
            <w:tcBorders>
              <w:bottom w:val="single" w:color="auto" w:sz="4" w:space="0"/>
            </w:tcBorders>
            <w:vAlign w:val="center"/>
          </w:tcPr>
          <w:p>
            <w:pPr>
              <w:spacing w:line="240" w:lineRule="auto"/>
              <w:rPr>
                <w:rFonts w:ascii="宋体" w:hAnsi="宋体"/>
                <w:color w:val="auto"/>
                <w:szCs w:val="21"/>
                <w:highlight w:val="none"/>
              </w:rPr>
            </w:pPr>
            <w:r>
              <w:rPr>
                <w:rFonts w:hint="eastAsia" w:ascii="宋体" w:hAnsi="宋体"/>
                <w:color w:val="auto"/>
                <w:szCs w:val="21"/>
                <w:highlight w:val="none"/>
              </w:rPr>
              <w:t>算术修正报价：若存在算术修正，应按修正后的投标报价进行评标基准价和投标报价得分计算。</w:t>
            </w:r>
          </w:p>
          <w:p>
            <w:pPr>
              <w:spacing w:line="240" w:lineRule="auto"/>
              <w:rPr>
                <w:rFonts w:ascii="宋体" w:hAnsi="宋体"/>
                <w:color w:val="auto"/>
                <w:szCs w:val="21"/>
                <w:highlight w:val="none"/>
              </w:rPr>
            </w:pPr>
            <w:r>
              <w:rPr>
                <w:rFonts w:hint="eastAsia" w:ascii="宋体" w:hAnsi="宋体"/>
                <w:color w:val="auto"/>
                <w:szCs w:val="21"/>
                <w:highlight w:val="none"/>
              </w:rPr>
              <w:t>得分计算：满足</w:t>
            </w:r>
            <w:r>
              <w:rPr>
                <w:rFonts w:hint="eastAsia" w:ascii="宋体" w:hAnsi="宋体"/>
                <w:color w:val="auto"/>
                <w:szCs w:val="21"/>
                <w:highlight w:val="none"/>
                <w:lang w:eastAsia="zh-CN"/>
              </w:rPr>
              <w:t>采购文件</w:t>
            </w:r>
            <w:r>
              <w:rPr>
                <w:rFonts w:hint="eastAsia" w:ascii="宋体" w:hAnsi="宋体"/>
                <w:color w:val="auto"/>
                <w:szCs w:val="21"/>
                <w:highlight w:val="none"/>
              </w:rPr>
              <w:t>要求且投标价格最低的投标报价为评标基准价，其价格分为满分。其他投标人的报价得分统一按照下列公式计算：</w:t>
            </w:r>
          </w:p>
          <w:p>
            <w:pPr>
              <w:spacing w:line="240" w:lineRule="auto"/>
              <w:rPr>
                <w:rFonts w:ascii="宋体" w:hAnsi="宋体"/>
                <w:color w:val="auto"/>
                <w:szCs w:val="21"/>
                <w:highlight w:val="none"/>
              </w:rPr>
            </w:pPr>
            <w:r>
              <w:rPr>
                <w:rFonts w:hint="eastAsia" w:ascii="宋体" w:hAnsi="宋体"/>
                <w:color w:val="auto"/>
                <w:szCs w:val="21"/>
                <w:highlight w:val="none"/>
              </w:rPr>
              <w:t>投标报价得分＝（评标基准价/投标报价）×30</w:t>
            </w:r>
          </w:p>
          <w:p>
            <w:pPr>
              <w:spacing w:line="240" w:lineRule="auto"/>
              <w:rPr>
                <w:rFonts w:ascii="宋体" w:hAnsi="宋体"/>
                <w:color w:val="auto"/>
                <w:szCs w:val="21"/>
                <w:highlight w:val="none"/>
                <w:u w:val="single"/>
              </w:rPr>
            </w:pPr>
            <w:r>
              <w:rPr>
                <w:rFonts w:hint="eastAsia" w:ascii="宋体" w:hAnsi="宋体"/>
                <w:color w:val="auto"/>
                <w:szCs w:val="21"/>
                <w:highlight w:val="none"/>
              </w:rPr>
              <w:t>在计算报价得分时，对提供的所有标的均为小微型企业承接服务的投标人总报价价格给予10%的价格扣除</w:t>
            </w:r>
            <w:r>
              <w:rPr>
                <w:rFonts w:hint="eastAsia" w:ascii="宋体" w:hAnsi="宋体"/>
                <w:color w:val="auto"/>
                <w:szCs w:val="21"/>
                <w:highlight w:val="none"/>
                <w:lang w:eastAsia="zh-CN"/>
              </w:rPr>
              <w:t>（</w:t>
            </w:r>
            <w:r>
              <w:rPr>
                <w:rFonts w:hint="eastAsia" w:ascii="宋体" w:hAnsi="宋体" w:cs="宋体"/>
                <w:color w:val="auto"/>
                <w:szCs w:val="21"/>
              </w:rPr>
              <w:t>监狱企业、残疾人福利性单位</w:t>
            </w:r>
            <w:r>
              <w:rPr>
                <w:rFonts w:hint="eastAsia" w:ascii="宋体" w:hAnsi="宋体" w:cs="宋体"/>
                <w:color w:val="auto"/>
                <w:szCs w:val="21"/>
                <w:lang w:val="en-US" w:eastAsia="zh-CN"/>
              </w:rPr>
              <w:t>同等优惠</w:t>
            </w:r>
            <w:r>
              <w:rPr>
                <w:rFonts w:hint="eastAsia" w:ascii="宋体" w:hAnsi="宋体"/>
                <w:color w:val="auto"/>
                <w:szCs w:val="21"/>
                <w:highlight w:val="none"/>
                <w:lang w:eastAsia="zh-CN"/>
              </w:rPr>
              <w:t>）</w:t>
            </w:r>
            <w:r>
              <w:rPr>
                <w:rFonts w:hint="eastAsia" w:ascii="宋体" w:hAnsi="宋体"/>
                <w:color w:val="auto"/>
                <w:szCs w:val="21"/>
                <w:highlight w:val="none"/>
              </w:rPr>
              <w:t>，用扣除后的价格参与评审。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3" w:type="dxa"/>
            <w:vMerge w:val="restart"/>
            <w:vAlign w:val="center"/>
          </w:tcPr>
          <w:p>
            <w:pPr>
              <w:spacing w:line="240" w:lineRule="auto"/>
              <w:jc w:val="center"/>
              <w:rPr>
                <w:rFonts w:ascii="宋体" w:hAnsi="宋体"/>
                <w:color w:val="auto"/>
                <w:szCs w:val="21"/>
                <w:highlight w:val="none"/>
              </w:rPr>
            </w:pPr>
            <w:r>
              <w:rPr>
                <w:rFonts w:hint="eastAsia" w:ascii="宋体" w:hAnsi="宋体"/>
                <w:color w:val="auto"/>
                <w:szCs w:val="21"/>
                <w:highlight w:val="none"/>
              </w:rPr>
              <w:t>3.3</w:t>
            </w:r>
          </w:p>
        </w:tc>
        <w:tc>
          <w:tcPr>
            <w:tcW w:w="1076" w:type="dxa"/>
            <w:vMerge w:val="restart"/>
            <w:vAlign w:val="center"/>
          </w:tcPr>
          <w:p>
            <w:pPr>
              <w:spacing w:line="240" w:lineRule="auto"/>
              <w:rPr>
                <w:rFonts w:ascii="宋体" w:hAnsi="宋体"/>
                <w:color w:val="auto"/>
                <w:szCs w:val="21"/>
                <w:highlight w:val="none"/>
              </w:rPr>
            </w:pPr>
            <w:r>
              <w:rPr>
                <w:rFonts w:hint="eastAsia" w:ascii="宋体" w:hAnsi="宋体"/>
                <w:color w:val="auto"/>
                <w:szCs w:val="21"/>
                <w:highlight w:val="none"/>
              </w:rPr>
              <w:t>详细评审标准</w:t>
            </w:r>
          </w:p>
        </w:tc>
        <w:tc>
          <w:tcPr>
            <w:tcW w:w="1122" w:type="dxa"/>
            <w:vAlign w:val="center"/>
          </w:tcPr>
          <w:p>
            <w:pPr>
              <w:spacing w:line="240" w:lineRule="auto"/>
              <w:jc w:val="center"/>
              <w:rPr>
                <w:rFonts w:ascii="宋体" w:hAnsi="宋体"/>
                <w:color w:val="auto"/>
                <w:szCs w:val="21"/>
                <w:highlight w:val="none"/>
              </w:rPr>
            </w:pPr>
            <w:r>
              <w:rPr>
                <w:rFonts w:hint="eastAsia" w:ascii="宋体" w:hAnsi="宋体"/>
                <w:color w:val="auto"/>
                <w:szCs w:val="21"/>
                <w:highlight w:val="none"/>
              </w:rPr>
              <w:t>技术部分评审F2（满分</w:t>
            </w:r>
            <w:r>
              <w:rPr>
                <w:rFonts w:hint="eastAsia" w:ascii="宋体" w:hAnsi="宋体"/>
                <w:color w:val="auto"/>
                <w:szCs w:val="21"/>
                <w:highlight w:val="none"/>
                <w:lang w:val="en-US" w:eastAsia="zh-CN"/>
              </w:rPr>
              <w:t>40</w:t>
            </w:r>
            <w:r>
              <w:rPr>
                <w:rFonts w:hint="eastAsia" w:ascii="宋体" w:hAnsi="宋体"/>
                <w:color w:val="auto"/>
                <w:szCs w:val="21"/>
                <w:highlight w:val="none"/>
              </w:rPr>
              <w:t>分）</w:t>
            </w:r>
          </w:p>
        </w:tc>
        <w:tc>
          <w:tcPr>
            <w:tcW w:w="1063" w:type="dxa"/>
            <w:vAlign w:val="center"/>
          </w:tcPr>
          <w:p>
            <w:pPr>
              <w:spacing w:line="240" w:lineRule="auto"/>
              <w:jc w:val="center"/>
              <w:rPr>
                <w:rFonts w:ascii="宋体" w:hAnsi="宋体"/>
                <w:color w:val="auto"/>
                <w:szCs w:val="21"/>
                <w:highlight w:val="none"/>
              </w:rPr>
            </w:pPr>
            <w:r>
              <w:rPr>
                <w:rFonts w:hint="eastAsia" w:ascii="宋体" w:hAnsi="宋体"/>
                <w:color w:val="auto"/>
                <w:szCs w:val="21"/>
                <w:highlight w:val="none"/>
              </w:rPr>
              <w:t>技术参数评审</w:t>
            </w:r>
          </w:p>
          <w:p>
            <w:pPr>
              <w:spacing w:line="240" w:lineRule="auto"/>
              <w:jc w:val="center"/>
              <w:rPr>
                <w:rFonts w:ascii="宋体" w:hAnsi="宋体"/>
                <w:color w:val="auto"/>
                <w:szCs w:val="21"/>
                <w:highlight w:val="none"/>
              </w:rPr>
            </w:pPr>
            <w:r>
              <w:rPr>
                <w:rFonts w:hint="eastAsia" w:ascii="宋体" w:hAnsi="宋体"/>
                <w:color w:val="auto"/>
                <w:szCs w:val="21"/>
                <w:highlight w:val="none"/>
              </w:rPr>
              <w:t>（满分40分）</w:t>
            </w:r>
          </w:p>
        </w:tc>
        <w:tc>
          <w:tcPr>
            <w:tcW w:w="5811" w:type="dxa"/>
            <w:vAlign w:val="center"/>
          </w:tcPr>
          <w:p>
            <w:pPr>
              <w:spacing w:line="240" w:lineRule="auto"/>
              <w:rPr>
                <w:rFonts w:hint="eastAsia" w:ascii="宋体" w:hAnsi="宋体" w:eastAsia="宋体"/>
                <w:color w:val="auto"/>
                <w:szCs w:val="21"/>
                <w:highlight w:val="none"/>
                <w:lang w:eastAsia="zh-CN"/>
              </w:rPr>
            </w:pPr>
            <w:r>
              <w:rPr>
                <w:rFonts w:hint="eastAsia" w:ascii="宋体" w:hAnsi="宋体"/>
                <w:color w:val="auto"/>
                <w:szCs w:val="21"/>
                <w:highlight w:val="none"/>
              </w:rPr>
              <w:t>（1）技术参数与性能指标无负偏离项，满足</w:t>
            </w:r>
            <w:r>
              <w:rPr>
                <w:rFonts w:hint="eastAsia" w:ascii="宋体" w:hAnsi="宋体"/>
                <w:color w:val="auto"/>
                <w:szCs w:val="21"/>
                <w:highlight w:val="none"/>
                <w:lang w:eastAsia="zh-CN"/>
              </w:rPr>
              <w:t>采购文件</w:t>
            </w:r>
            <w:r>
              <w:rPr>
                <w:rFonts w:hint="eastAsia" w:ascii="宋体" w:hAnsi="宋体"/>
                <w:color w:val="auto"/>
                <w:szCs w:val="21"/>
                <w:highlight w:val="none"/>
              </w:rPr>
              <w:t>要求且</w:t>
            </w:r>
            <w:r>
              <w:rPr>
                <w:rFonts w:hint="eastAsia" w:ascii="宋体" w:hAnsi="宋体"/>
                <w:color w:val="auto"/>
                <w:szCs w:val="21"/>
                <w:highlight w:val="none"/>
                <w:lang w:val="en-US" w:eastAsia="zh-CN"/>
              </w:rPr>
              <w:t>按要求</w:t>
            </w:r>
            <w:r>
              <w:rPr>
                <w:rFonts w:hint="eastAsia" w:ascii="宋体" w:hAnsi="宋体"/>
                <w:color w:val="auto"/>
                <w:szCs w:val="21"/>
                <w:highlight w:val="none"/>
              </w:rPr>
              <w:t>提供相关证明材料的，得</w:t>
            </w:r>
            <w:r>
              <w:rPr>
                <w:rFonts w:hint="eastAsia" w:ascii="宋体" w:hAnsi="宋体"/>
                <w:color w:val="auto"/>
                <w:szCs w:val="21"/>
                <w:highlight w:val="none"/>
                <w:lang w:val="en-US" w:eastAsia="zh-CN"/>
              </w:rPr>
              <w:t>35</w:t>
            </w:r>
            <w:r>
              <w:rPr>
                <w:rFonts w:hint="eastAsia" w:ascii="宋体" w:hAnsi="宋体"/>
                <w:color w:val="auto"/>
                <w:szCs w:val="21"/>
                <w:highlight w:val="none"/>
              </w:rPr>
              <w:t>分</w:t>
            </w:r>
            <w:r>
              <w:rPr>
                <w:rFonts w:hint="eastAsia" w:ascii="宋体" w:hAnsi="宋体"/>
                <w:color w:val="auto"/>
                <w:szCs w:val="21"/>
                <w:highlight w:val="none"/>
                <w:lang w:eastAsia="zh-CN"/>
              </w:rPr>
              <w:t>；</w:t>
            </w:r>
          </w:p>
          <w:p>
            <w:pPr>
              <w:spacing w:line="240" w:lineRule="auto"/>
              <w:rPr>
                <w:rFonts w:hint="eastAsia" w:ascii="宋体" w:hAnsi="宋体" w:eastAsia="宋体"/>
                <w:color w:val="auto"/>
                <w:szCs w:val="21"/>
                <w:highlight w:val="none"/>
                <w:lang w:eastAsia="zh-CN"/>
              </w:rPr>
            </w:pPr>
            <w:r>
              <w:rPr>
                <w:rFonts w:hint="eastAsia" w:ascii="宋体" w:hAnsi="宋体"/>
                <w:color w:val="auto"/>
                <w:szCs w:val="21"/>
                <w:highlight w:val="none"/>
              </w:rPr>
              <w:t>（2）带“★ ”的技术参数要求为重要参数要求，每有一项</w:t>
            </w:r>
            <w:r>
              <w:rPr>
                <w:rFonts w:hint="eastAsia" w:ascii="宋体" w:hAnsi="宋体"/>
                <w:color w:val="auto"/>
                <w:szCs w:val="21"/>
                <w:highlight w:val="none"/>
                <w:lang w:val="en-US" w:eastAsia="zh-CN"/>
              </w:rPr>
              <w:t>正偏离加0.5分，加满至40分为止。</w:t>
            </w:r>
            <w:r>
              <w:rPr>
                <w:rFonts w:hint="eastAsia" w:ascii="宋体" w:hAnsi="宋体"/>
                <w:color w:val="auto"/>
                <w:szCs w:val="21"/>
                <w:highlight w:val="none"/>
              </w:rPr>
              <w:t>每有一项</w:t>
            </w:r>
            <w:r>
              <w:rPr>
                <w:rFonts w:hint="eastAsia" w:ascii="宋体" w:hAnsi="宋体"/>
                <w:color w:val="auto"/>
                <w:szCs w:val="21"/>
                <w:highlight w:val="none"/>
                <w:lang w:val="en-US" w:eastAsia="zh-CN"/>
              </w:rPr>
              <w:t>负偏离</w:t>
            </w:r>
            <w:r>
              <w:rPr>
                <w:rFonts w:hint="eastAsia" w:ascii="宋体" w:hAnsi="宋体"/>
                <w:color w:val="auto"/>
                <w:szCs w:val="21"/>
                <w:highlight w:val="none"/>
              </w:rPr>
              <w:t>的扣1分，扣完为止</w:t>
            </w:r>
            <w:r>
              <w:rPr>
                <w:rFonts w:hint="eastAsia" w:ascii="宋体" w:hAnsi="宋体"/>
                <w:color w:val="auto"/>
                <w:szCs w:val="21"/>
                <w:highlight w:val="none"/>
                <w:lang w:eastAsia="zh-CN"/>
              </w:rPr>
              <w:t>；</w:t>
            </w:r>
          </w:p>
          <w:p>
            <w:pPr>
              <w:spacing w:line="240" w:lineRule="auto"/>
              <w:rPr>
                <w:rFonts w:hint="eastAsia" w:ascii="宋体" w:hAnsi="宋体" w:eastAsia="宋体"/>
                <w:color w:val="auto"/>
                <w:szCs w:val="21"/>
                <w:highlight w:val="none"/>
                <w:lang w:val="en-US" w:eastAsia="zh-CN"/>
              </w:rPr>
            </w:pPr>
            <w:r>
              <w:rPr>
                <w:rFonts w:hint="eastAsia" w:ascii="宋体" w:hAnsi="宋体"/>
                <w:color w:val="auto"/>
                <w:szCs w:val="21"/>
                <w:highlight w:val="none"/>
              </w:rPr>
              <w:t>（3）其余技术参数及要求，</w:t>
            </w:r>
            <w:r>
              <w:rPr>
                <w:rFonts w:hint="eastAsia" w:ascii="宋体" w:hAnsi="宋体"/>
                <w:color w:val="auto"/>
                <w:szCs w:val="21"/>
                <w:highlight w:val="none"/>
                <w:lang w:val="en-US" w:eastAsia="zh-CN"/>
              </w:rPr>
              <w:t>正偏离不加分，</w:t>
            </w:r>
            <w:r>
              <w:rPr>
                <w:rFonts w:hint="eastAsia" w:ascii="宋体" w:hAnsi="宋体"/>
                <w:color w:val="auto"/>
                <w:szCs w:val="21"/>
                <w:highlight w:val="none"/>
              </w:rPr>
              <w:t>每有一项负偏离的扣</w:t>
            </w:r>
            <w:r>
              <w:rPr>
                <w:rFonts w:hint="eastAsia" w:ascii="宋体" w:hAnsi="宋体"/>
                <w:color w:val="auto"/>
                <w:szCs w:val="21"/>
                <w:highlight w:val="none"/>
                <w:lang w:val="en-US" w:eastAsia="zh-CN"/>
              </w:rPr>
              <w:t>0.5</w:t>
            </w:r>
            <w:r>
              <w:rPr>
                <w:rFonts w:hint="eastAsia" w:ascii="宋体" w:hAnsi="宋体"/>
                <w:color w:val="auto"/>
                <w:szCs w:val="21"/>
                <w:highlight w:val="none"/>
              </w:rPr>
              <w:t>分，扣完为止</w:t>
            </w:r>
            <w:r>
              <w:rPr>
                <w:rFonts w:hint="eastAsia" w:ascii="宋体" w:hAnsi="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8" w:hRule="atLeast"/>
          <w:jc w:val="center"/>
        </w:trPr>
        <w:tc>
          <w:tcPr>
            <w:tcW w:w="973" w:type="dxa"/>
            <w:vMerge w:val="continue"/>
            <w:vAlign w:val="center"/>
          </w:tcPr>
          <w:p>
            <w:pPr>
              <w:spacing w:line="240" w:lineRule="auto"/>
              <w:jc w:val="center"/>
              <w:rPr>
                <w:rFonts w:ascii="宋体" w:hAnsi="宋体"/>
                <w:color w:val="auto"/>
                <w:szCs w:val="21"/>
                <w:highlight w:val="none"/>
              </w:rPr>
            </w:pPr>
          </w:p>
        </w:tc>
        <w:tc>
          <w:tcPr>
            <w:tcW w:w="1076" w:type="dxa"/>
            <w:vMerge w:val="continue"/>
            <w:vAlign w:val="center"/>
          </w:tcPr>
          <w:p>
            <w:pPr>
              <w:spacing w:line="240" w:lineRule="auto"/>
              <w:rPr>
                <w:rFonts w:ascii="宋体" w:hAnsi="宋体"/>
                <w:color w:val="auto"/>
                <w:szCs w:val="21"/>
                <w:highlight w:val="none"/>
              </w:rPr>
            </w:pPr>
          </w:p>
        </w:tc>
        <w:tc>
          <w:tcPr>
            <w:tcW w:w="1122" w:type="dxa"/>
            <w:vMerge w:val="restart"/>
            <w:vAlign w:val="center"/>
          </w:tcPr>
          <w:p>
            <w:pPr>
              <w:spacing w:line="240" w:lineRule="auto"/>
              <w:jc w:val="center"/>
              <w:rPr>
                <w:rFonts w:ascii="宋体" w:hAnsi="宋体"/>
                <w:color w:val="auto"/>
                <w:szCs w:val="21"/>
                <w:highlight w:val="none"/>
              </w:rPr>
            </w:pPr>
            <w:r>
              <w:rPr>
                <w:rFonts w:hint="eastAsia" w:ascii="宋体" w:hAnsi="宋体"/>
                <w:color w:val="auto"/>
                <w:szCs w:val="21"/>
                <w:highlight w:val="none"/>
              </w:rPr>
              <w:t>商务部分评审F</w:t>
            </w:r>
            <w:r>
              <w:rPr>
                <w:rFonts w:hint="eastAsia" w:ascii="宋体" w:hAnsi="宋体"/>
                <w:color w:val="auto"/>
                <w:szCs w:val="21"/>
                <w:highlight w:val="none"/>
                <w:lang w:val="en-US" w:eastAsia="zh-CN"/>
              </w:rPr>
              <w:t>3</w:t>
            </w:r>
            <w:r>
              <w:rPr>
                <w:rFonts w:hint="eastAsia" w:ascii="宋体" w:hAnsi="宋体"/>
                <w:color w:val="auto"/>
                <w:szCs w:val="21"/>
                <w:highlight w:val="none"/>
              </w:rPr>
              <w:t>（满分</w:t>
            </w:r>
            <w:r>
              <w:rPr>
                <w:rFonts w:hint="eastAsia" w:ascii="宋体" w:hAnsi="宋体"/>
                <w:color w:val="auto"/>
                <w:szCs w:val="21"/>
                <w:highlight w:val="none"/>
                <w:lang w:val="en-US" w:eastAsia="zh-CN"/>
              </w:rPr>
              <w:t>30</w:t>
            </w:r>
            <w:r>
              <w:rPr>
                <w:rFonts w:hint="eastAsia" w:ascii="宋体" w:hAnsi="宋体"/>
                <w:color w:val="auto"/>
                <w:szCs w:val="21"/>
                <w:highlight w:val="none"/>
              </w:rPr>
              <w:t>分</w:t>
            </w:r>
          </w:p>
        </w:tc>
        <w:tc>
          <w:tcPr>
            <w:tcW w:w="1063" w:type="dxa"/>
            <w:vAlign w:val="center"/>
          </w:tcPr>
          <w:p>
            <w:pPr>
              <w:spacing w:line="240" w:lineRule="auto"/>
              <w:jc w:val="center"/>
              <w:rPr>
                <w:rFonts w:ascii="宋体" w:hAnsi="宋体"/>
                <w:color w:val="auto"/>
                <w:szCs w:val="21"/>
                <w:highlight w:val="none"/>
              </w:rPr>
            </w:pPr>
            <w:r>
              <w:rPr>
                <w:rFonts w:hint="eastAsia" w:ascii="宋体" w:hAnsi="宋体"/>
                <w:color w:val="auto"/>
                <w:szCs w:val="21"/>
                <w:highlight w:val="none"/>
                <w:lang w:val="en-US" w:eastAsia="zh-CN"/>
              </w:rPr>
              <w:t>供货</w:t>
            </w:r>
            <w:r>
              <w:rPr>
                <w:rFonts w:hint="eastAsia" w:ascii="宋体" w:hAnsi="宋体"/>
                <w:color w:val="auto"/>
                <w:szCs w:val="21"/>
                <w:highlight w:val="none"/>
              </w:rPr>
              <w:t>方案（满分8分）</w:t>
            </w:r>
          </w:p>
        </w:tc>
        <w:tc>
          <w:tcPr>
            <w:tcW w:w="5811" w:type="dxa"/>
            <w:vAlign w:val="center"/>
          </w:tcPr>
          <w:p>
            <w:pPr>
              <w:spacing w:line="240" w:lineRule="auto"/>
              <w:jc w:val="left"/>
              <w:rPr>
                <w:rFonts w:hint="eastAsia" w:ascii="宋体" w:hAnsi="宋体" w:cs="宋体"/>
                <w:b/>
                <w:bCs/>
                <w:color w:val="auto"/>
                <w:szCs w:val="21"/>
              </w:rPr>
            </w:pPr>
            <w:r>
              <w:rPr>
                <w:rFonts w:hint="eastAsia" w:ascii="宋体" w:hAnsi="宋体" w:cs="宋体"/>
                <w:b/>
                <w:bCs/>
                <w:color w:val="auto"/>
                <w:szCs w:val="21"/>
              </w:rPr>
              <w:t>根据投标人提供的供货方案进行综合评审：（满分</w:t>
            </w:r>
            <w:r>
              <w:rPr>
                <w:rFonts w:ascii="宋体" w:hAnsi="宋体" w:cs="宋体"/>
                <w:b/>
                <w:bCs/>
                <w:color w:val="auto"/>
                <w:szCs w:val="21"/>
              </w:rPr>
              <w:t>8</w:t>
            </w:r>
            <w:r>
              <w:rPr>
                <w:rFonts w:hint="eastAsia" w:ascii="宋体" w:hAnsi="宋体" w:cs="宋体"/>
                <w:b/>
                <w:bCs/>
                <w:color w:val="auto"/>
                <w:szCs w:val="21"/>
              </w:rPr>
              <w:t>分）</w:t>
            </w:r>
          </w:p>
          <w:p>
            <w:pPr>
              <w:spacing w:line="240" w:lineRule="auto"/>
              <w:jc w:val="left"/>
              <w:rPr>
                <w:rFonts w:ascii="宋体" w:hAnsi="宋体" w:cs="宋体"/>
                <w:color w:val="auto"/>
                <w:szCs w:val="21"/>
              </w:rPr>
            </w:pPr>
            <w:r>
              <w:rPr>
                <w:rFonts w:hint="eastAsia" w:ascii="宋体" w:hAnsi="宋体" w:cs="宋体"/>
                <w:color w:val="auto"/>
                <w:szCs w:val="21"/>
              </w:rPr>
              <w:t>第一档次</w:t>
            </w:r>
            <w:r>
              <w:rPr>
                <w:rFonts w:hint="eastAsia" w:ascii="宋体" w:hAnsi="宋体" w:cs="宋体"/>
                <w:color w:val="auto"/>
                <w:szCs w:val="21"/>
                <w:lang w:eastAsia="zh-CN"/>
              </w:rPr>
              <w:t>（</w:t>
            </w:r>
            <w:r>
              <w:rPr>
                <w:rFonts w:hint="eastAsia" w:ascii="宋体" w:hAnsi="宋体" w:cs="宋体"/>
                <w:color w:val="auto"/>
                <w:szCs w:val="21"/>
                <w:lang w:val="en-US" w:eastAsia="zh-CN"/>
              </w:rPr>
              <w:t>8分</w:t>
            </w:r>
            <w:r>
              <w:rPr>
                <w:rFonts w:hint="eastAsia" w:ascii="宋体" w:hAnsi="宋体" w:cs="宋体"/>
                <w:color w:val="auto"/>
                <w:szCs w:val="21"/>
                <w:lang w:eastAsia="zh-CN"/>
              </w:rPr>
              <w:t>）</w:t>
            </w:r>
            <w:r>
              <w:rPr>
                <w:rFonts w:hint="eastAsia" w:ascii="宋体" w:hAnsi="宋体" w:cs="宋体"/>
                <w:color w:val="auto"/>
                <w:szCs w:val="21"/>
              </w:rPr>
              <w:t>：产品的供货安装方案、</w:t>
            </w:r>
            <w:r>
              <w:rPr>
                <w:rFonts w:hint="eastAsia" w:ascii="宋体" w:hAnsi="宋体" w:cs="宋体"/>
                <w:color w:val="auto"/>
                <w:szCs w:val="21"/>
                <w:lang w:val="en-US" w:eastAsia="zh-CN"/>
              </w:rPr>
              <w:t>供货能力、仓储能力、</w:t>
            </w:r>
            <w:r>
              <w:rPr>
                <w:rFonts w:hint="eastAsia" w:ascii="宋体" w:hAnsi="宋体" w:cs="宋体"/>
                <w:color w:val="auto"/>
                <w:szCs w:val="21"/>
              </w:rPr>
              <w:t>供货进度、</w:t>
            </w:r>
            <w:r>
              <w:rPr>
                <w:rFonts w:hint="eastAsia" w:ascii="宋体" w:hAnsi="宋体" w:cs="宋体"/>
                <w:color w:val="auto"/>
                <w:szCs w:val="21"/>
                <w:lang w:val="en-US" w:eastAsia="zh-CN"/>
              </w:rPr>
              <w:t>配送方案、服务计划、</w:t>
            </w:r>
            <w:r>
              <w:rPr>
                <w:rFonts w:hint="eastAsia" w:ascii="宋体" w:hAnsi="宋体" w:cs="宋体"/>
                <w:color w:val="auto"/>
                <w:szCs w:val="21"/>
              </w:rPr>
              <w:t>保障措施描述清楚，内容详细、针对性强；</w:t>
            </w:r>
          </w:p>
          <w:p>
            <w:pPr>
              <w:spacing w:line="240" w:lineRule="auto"/>
              <w:jc w:val="left"/>
              <w:rPr>
                <w:rFonts w:ascii="宋体" w:hAnsi="宋体" w:cs="宋体"/>
                <w:color w:val="auto"/>
                <w:szCs w:val="21"/>
              </w:rPr>
            </w:pPr>
            <w:r>
              <w:rPr>
                <w:rFonts w:hint="eastAsia" w:ascii="宋体" w:hAnsi="宋体" w:cs="宋体"/>
                <w:color w:val="auto"/>
                <w:szCs w:val="21"/>
              </w:rPr>
              <w:t>第二档次</w:t>
            </w:r>
            <w:r>
              <w:rPr>
                <w:rFonts w:hint="eastAsia" w:ascii="宋体" w:hAnsi="宋体" w:cs="宋体"/>
                <w:color w:val="auto"/>
                <w:szCs w:val="21"/>
                <w:lang w:eastAsia="zh-CN"/>
              </w:rPr>
              <w:t>（</w:t>
            </w:r>
            <w:r>
              <w:rPr>
                <w:rFonts w:hint="eastAsia" w:ascii="宋体" w:hAnsi="宋体" w:cs="宋体"/>
                <w:color w:val="auto"/>
                <w:szCs w:val="21"/>
                <w:lang w:val="en-US" w:eastAsia="zh-CN"/>
              </w:rPr>
              <w:t>6分</w:t>
            </w:r>
            <w:r>
              <w:rPr>
                <w:rFonts w:hint="eastAsia" w:ascii="宋体" w:hAnsi="宋体" w:cs="宋体"/>
                <w:color w:val="auto"/>
                <w:szCs w:val="21"/>
                <w:lang w:eastAsia="zh-CN"/>
              </w:rPr>
              <w:t>）</w:t>
            </w:r>
            <w:r>
              <w:rPr>
                <w:rFonts w:hint="eastAsia" w:ascii="宋体" w:hAnsi="宋体" w:cs="宋体"/>
                <w:color w:val="auto"/>
                <w:szCs w:val="21"/>
              </w:rPr>
              <w:t>：产品的供货安装方案</w:t>
            </w:r>
            <w:r>
              <w:rPr>
                <w:rFonts w:hint="eastAsia" w:ascii="宋体" w:hAnsi="宋体" w:cs="宋体"/>
                <w:color w:val="auto"/>
                <w:szCs w:val="21"/>
              </w:rPr>
              <w:t>、</w:t>
            </w:r>
            <w:r>
              <w:rPr>
                <w:rFonts w:hint="eastAsia" w:ascii="宋体" w:hAnsi="宋体" w:cs="宋体"/>
                <w:color w:val="auto"/>
                <w:szCs w:val="21"/>
                <w:lang w:val="en-US" w:eastAsia="zh-CN"/>
              </w:rPr>
              <w:t>供货能力、仓储能力</w:t>
            </w:r>
            <w:r>
              <w:rPr>
                <w:rFonts w:hint="eastAsia" w:ascii="宋体" w:hAnsi="宋体" w:cs="宋体"/>
                <w:color w:val="auto"/>
                <w:szCs w:val="21"/>
                <w:lang w:val="en-US" w:eastAsia="zh-CN"/>
              </w:rPr>
              <w:t>、</w:t>
            </w:r>
            <w:r>
              <w:rPr>
                <w:rFonts w:hint="eastAsia" w:ascii="宋体" w:hAnsi="宋体" w:cs="宋体"/>
                <w:color w:val="auto"/>
                <w:szCs w:val="21"/>
              </w:rPr>
              <w:t>供货进度、</w:t>
            </w:r>
            <w:r>
              <w:rPr>
                <w:rFonts w:hint="eastAsia" w:ascii="宋体" w:hAnsi="宋体" w:cs="宋体"/>
                <w:color w:val="auto"/>
                <w:szCs w:val="21"/>
                <w:lang w:val="en-US" w:eastAsia="zh-CN"/>
              </w:rPr>
              <w:t>配送方案、服务计划、</w:t>
            </w:r>
            <w:r>
              <w:rPr>
                <w:rFonts w:hint="eastAsia" w:ascii="宋体" w:hAnsi="宋体" w:cs="宋体"/>
                <w:color w:val="auto"/>
                <w:szCs w:val="21"/>
              </w:rPr>
              <w:t>保障措施内容完整、针对一般；</w:t>
            </w:r>
          </w:p>
          <w:p>
            <w:pPr>
              <w:spacing w:line="240" w:lineRule="auto"/>
              <w:jc w:val="left"/>
              <w:rPr>
                <w:rFonts w:ascii="宋体" w:hAnsi="宋体" w:cs="宋体"/>
                <w:color w:val="auto"/>
                <w:szCs w:val="21"/>
              </w:rPr>
            </w:pPr>
            <w:r>
              <w:rPr>
                <w:rFonts w:hint="eastAsia" w:ascii="宋体" w:hAnsi="宋体" w:cs="宋体"/>
                <w:color w:val="auto"/>
                <w:szCs w:val="21"/>
              </w:rPr>
              <w:t>第三档次</w:t>
            </w:r>
            <w:r>
              <w:rPr>
                <w:rFonts w:hint="eastAsia" w:ascii="宋体" w:hAnsi="宋体" w:cs="宋体"/>
                <w:color w:val="auto"/>
                <w:szCs w:val="21"/>
                <w:lang w:eastAsia="zh-CN"/>
              </w:rPr>
              <w:t>（</w:t>
            </w:r>
            <w:r>
              <w:rPr>
                <w:rFonts w:hint="eastAsia" w:ascii="宋体" w:hAnsi="宋体" w:cs="宋体"/>
                <w:color w:val="auto"/>
                <w:szCs w:val="21"/>
                <w:lang w:val="en-US" w:eastAsia="zh-CN"/>
              </w:rPr>
              <w:t>3分</w:t>
            </w:r>
            <w:r>
              <w:rPr>
                <w:rFonts w:hint="eastAsia" w:ascii="宋体" w:hAnsi="宋体" w:cs="宋体"/>
                <w:color w:val="auto"/>
                <w:szCs w:val="21"/>
                <w:lang w:eastAsia="zh-CN"/>
              </w:rPr>
              <w:t>）</w:t>
            </w:r>
            <w:r>
              <w:rPr>
                <w:rFonts w:hint="eastAsia" w:ascii="宋体" w:hAnsi="宋体" w:cs="宋体"/>
                <w:color w:val="auto"/>
                <w:szCs w:val="21"/>
              </w:rPr>
              <w:t>：未对产品的供货安装方案或供货进度或保障措施明确描述，内容简单；</w:t>
            </w:r>
          </w:p>
          <w:p>
            <w:pPr>
              <w:spacing w:line="240" w:lineRule="auto"/>
              <w:rPr>
                <w:rFonts w:hint="eastAsia" w:ascii="宋体" w:hAnsi="宋体" w:eastAsia="宋体"/>
                <w:color w:val="auto"/>
                <w:szCs w:val="21"/>
                <w:highlight w:val="none"/>
                <w:lang w:eastAsia="zh-CN"/>
              </w:rPr>
            </w:pPr>
            <w:r>
              <w:rPr>
                <w:rFonts w:hint="eastAsia" w:ascii="宋体" w:hAnsi="宋体" w:cs="宋体"/>
                <w:color w:val="auto"/>
                <w:szCs w:val="21"/>
              </w:rPr>
              <w:t>第四档次</w:t>
            </w:r>
            <w:r>
              <w:rPr>
                <w:rFonts w:hint="eastAsia" w:ascii="宋体" w:hAnsi="宋体" w:cs="宋体"/>
                <w:color w:val="auto"/>
                <w:szCs w:val="21"/>
                <w:lang w:eastAsia="zh-CN"/>
              </w:rPr>
              <w:t>（</w:t>
            </w:r>
            <w:r>
              <w:rPr>
                <w:rFonts w:hint="eastAsia" w:ascii="宋体" w:hAnsi="宋体" w:cs="宋体"/>
                <w:color w:val="auto"/>
                <w:szCs w:val="21"/>
                <w:lang w:val="en-US" w:eastAsia="zh-CN"/>
              </w:rPr>
              <w:t>0分</w:t>
            </w:r>
            <w:r>
              <w:rPr>
                <w:rFonts w:hint="eastAsia" w:ascii="宋体" w:hAnsi="宋体" w:cs="宋体"/>
                <w:color w:val="auto"/>
                <w:szCs w:val="21"/>
                <w:lang w:eastAsia="zh-CN"/>
              </w:rPr>
              <w:t>）</w:t>
            </w:r>
            <w:r>
              <w:rPr>
                <w:rFonts w:hint="eastAsia" w:ascii="宋体" w:hAnsi="宋体" w:cs="宋体"/>
                <w:color w:val="auto"/>
                <w:szCs w:val="21"/>
              </w:rPr>
              <w:t>：无产品供货进度计划及保障措施描述或所承诺内容与</w:t>
            </w:r>
            <w:r>
              <w:rPr>
                <w:rFonts w:hint="eastAsia" w:ascii="宋体" w:hAnsi="宋体" w:cs="宋体"/>
                <w:color w:val="auto"/>
                <w:szCs w:val="21"/>
                <w:lang w:eastAsia="zh-CN"/>
              </w:rPr>
              <w:t>采购文件</w:t>
            </w:r>
            <w:r>
              <w:rPr>
                <w:rFonts w:hint="eastAsia" w:ascii="宋体" w:hAnsi="宋体" w:cs="宋体"/>
                <w:color w:val="auto"/>
                <w:szCs w:val="21"/>
              </w:rPr>
              <w:t>实质性偏离。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973" w:type="dxa"/>
            <w:vMerge w:val="continue"/>
            <w:vAlign w:val="center"/>
          </w:tcPr>
          <w:p>
            <w:pPr>
              <w:spacing w:line="240" w:lineRule="auto"/>
              <w:jc w:val="center"/>
              <w:rPr>
                <w:rFonts w:ascii="宋体" w:hAnsi="宋体"/>
                <w:color w:val="auto"/>
                <w:szCs w:val="21"/>
                <w:highlight w:val="none"/>
              </w:rPr>
            </w:pPr>
          </w:p>
        </w:tc>
        <w:tc>
          <w:tcPr>
            <w:tcW w:w="1076" w:type="dxa"/>
            <w:vMerge w:val="continue"/>
            <w:vAlign w:val="center"/>
          </w:tcPr>
          <w:p>
            <w:pPr>
              <w:spacing w:line="240" w:lineRule="auto"/>
              <w:rPr>
                <w:rFonts w:ascii="宋体" w:hAnsi="宋体"/>
                <w:color w:val="auto"/>
                <w:szCs w:val="21"/>
                <w:highlight w:val="none"/>
              </w:rPr>
            </w:pPr>
          </w:p>
        </w:tc>
        <w:tc>
          <w:tcPr>
            <w:tcW w:w="1122" w:type="dxa"/>
            <w:vMerge w:val="continue"/>
            <w:vAlign w:val="center"/>
          </w:tcPr>
          <w:p>
            <w:pPr>
              <w:spacing w:line="240" w:lineRule="auto"/>
              <w:jc w:val="center"/>
              <w:rPr>
                <w:rFonts w:ascii="宋体" w:hAnsi="宋体"/>
                <w:color w:val="auto"/>
                <w:szCs w:val="21"/>
                <w:highlight w:val="none"/>
              </w:rPr>
            </w:pPr>
          </w:p>
        </w:tc>
        <w:tc>
          <w:tcPr>
            <w:tcW w:w="1063" w:type="dxa"/>
            <w:vAlign w:val="center"/>
          </w:tcPr>
          <w:p>
            <w:pPr>
              <w:spacing w:line="240" w:lineRule="auto"/>
              <w:jc w:val="center"/>
              <w:rPr>
                <w:rFonts w:ascii="宋体" w:hAnsi="宋体" w:cs="宋体"/>
                <w:color w:val="auto"/>
                <w:szCs w:val="21"/>
              </w:rPr>
            </w:pPr>
            <w:r>
              <w:rPr>
                <w:rFonts w:hint="eastAsia" w:ascii="宋体" w:hAnsi="宋体" w:cs="宋体"/>
                <w:color w:val="auto"/>
                <w:szCs w:val="21"/>
              </w:rPr>
              <w:t>质量保证及承诺</w:t>
            </w:r>
          </w:p>
          <w:p>
            <w:pPr>
              <w:spacing w:line="240" w:lineRule="auto"/>
              <w:jc w:val="center"/>
              <w:rPr>
                <w:rFonts w:ascii="宋体" w:hAnsi="宋体"/>
                <w:color w:val="auto"/>
                <w:szCs w:val="21"/>
                <w:highlight w:val="none"/>
              </w:rPr>
            </w:pPr>
            <w:r>
              <w:rPr>
                <w:rFonts w:hint="eastAsia" w:ascii="宋体" w:hAnsi="宋体"/>
                <w:color w:val="auto"/>
                <w:szCs w:val="21"/>
                <w:highlight w:val="none"/>
              </w:rPr>
              <w:t>（满分6分）</w:t>
            </w:r>
          </w:p>
        </w:tc>
        <w:tc>
          <w:tcPr>
            <w:tcW w:w="5811" w:type="dxa"/>
            <w:vAlign w:val="center"/>
          </w:tcPr>
          <w:p>
            <w:pPr>
              <w:spacing w:line="240" w:lineRule="auto"/>
              <w:rPr>
                <w:b/>
                <w:color w:val="auto"/>
                <w:szCs w:val="21"/>
              </w:rPr>
            </w:pPr>
            <w:r>
              <w:rPr>
                <w:b/>
                <w:color w:val="auto"/>
                <w:szCs w:val="21"/>
              </w:rPr>
              <w:t>质量保证及承诺评审</w:t>
            </w:r>
            <w:r>
              <w:rPr>
                <w:rFonts w:hint="eastAsia"/>
                <w:b/>
                <w:color w:val="auto"/>
                <w:szCs w:val="21"/>
              </w:rPr>
              <w:t>：（满分</w:t>
            </w:r>
            <w:r>
              <w:rPr>
                <w:b/>
                <w:color w:val="auto"/>
                <w:szCs w:val="21"/>
              </w:rPr>
              <w:t>6分</w:t>
            </w:r>
            <w:r>
              <w:rPr>
                <w:rFonts w:hint="eastAsia"/>
                <w:b/>
                <w:color w:val="auto"/>
                <w:szCs w:val="21"/>
              </w:rPr>
              <w:t>）</w:t>
            </w:r>
          </w:p>
          <w:p>
            <w:pPr>
              <w:spacing w:line="240" w:lineRule="auto"/>
              <w:rPr>
                <w:color w:val="auto"/>
                <w:szCs w:val="21"/>
              </w:rPr>
            </w:pPr>
            <w:r>
              <w:rPr>
                <w:rFonts w:hint="eastAsia"/>
                <w:color w:val="auto"/>
                <w:szCs w:val="21"/>
              </w:rPr>
              <w:t>第一个档次</w:t>
            </w:r>
            <w:r>
              <w:rPr>
                <w:rFonts w:hint="eastAsia" w:ascii="宋体" w:hAnsi="宋体" w:cs="宋体"/>
                <w:color w:val="auto"/>
                <w:szCs w:val="21"/>
                <w:lang w:eastAsia="zh-CN"/>
              </w:rPr>
              <w:t>（</w:t>
            </w:r>
            <w:r>
              <w:rPr>
                <w:rFonts w:hint="eastAsia" w:ascii="宋体" w:hAnsi="宋体" w:cs="宋体"/>
                <w:color w:val="auto"/>
                <w:szCs w:val="21"/>
                <w:lang w:val="en-US" w:eastAsia="zh-CN"/>
              </w:rPr>
              <w:t>6分</w:t>
            </w:r>
            <w:r>
              <w:rPr>
                <w:rFonts w:hint="eastAsia" w:ascii="宋体" w:hAnsi="宋体" w:cs="宋体"/>
                <w:color w:val="auto"/>
                <w:szCs w:val="21"/>
                <w:lang w:eastAsia="zh-CN"/>
              </w:rPr>
              <w:t>）</w:t>
            </w:r>
            <w:r>
              <w:rPr>
                <w:rFonts w:hint="eastAsia"/>
                <w:color w:val="auto"/>
                <w:szCs w:val="21"/>
              </w:rPr>
              <w:t>：</w:t>
            </w:r>
            <w:r>
              <w:rPr>
                <w:rFonts w:hint="eastAsia" w:ascii="宋体" w:hAnsi="宋体"/>
                <w:color w:val="auto"/>
                <w:szCs w:val="21"/>
              </w:rPr>
              <w:t>质量保证及承诺编制详细具体、内容完整，有相对应的详细具体的质量保障措施，且针对性强、可行性高，还提供了相对应的如若出现质量问题的详细的惩罚方案，</w:t>
            </w:r>
            <w:r>
              <w:rPr>
                <w:rFonts w:ascii="宋体" w:hAnsi="宋体"/>
                <w:color w:val="auto"/>
                <w:szCs w:val="21"/>
              </w:rPr>
              <w:t>完全满足</w:t>
            </w:r>
            <w:r>
              <w:rPr>
                <w:rFonts w:hint="eastAsia" w:ascii="宋体" w:hAnsi="宋体"/>
                <w:color w:val="auto"/>
                <w:szCs w:val="21"/>
              </w:rPr>
              <w:t>项目</w:t>
            </w:r>
            <w:r>
              <w:rPr>
                <w:rFonts w:ascii="宋体" w:hAnsi="宋体"/>
                <w:color w:val="auto"/>
                <w:szCs w:val="21"/>
              </w:rPr>
              <w:t>要求</w:t>
            </w:r>
            <w:r>
              <w:rPr>
                <w:rFonts w:hint="eastAsia" w:ascii="宋体" w:hAnsi="宋体"/>
                <w:color w:val="auto"/>
                <w:szCs w:val="21"/>
              </w:rPr>
              <w:t>；</w:t>
            </w:r>
          </w:p>
          <w:p>
            <w:pPr>
              <w:spacing w:line="240" w:lineRule="auto"/>
              <w:rPr>
                <w:color w:val="auto"/>
                <w:szCs w:val="21"/>
              </w:rPr>
            </w:pPr>
            <w:r>
              <w:rPr>
                <w:rFonts w:hint="eastAsia"/>
                <w:color w:val="auto"/>
                <w:szCs w:val="21"/>
              </w:rPr>
              <w:t>第二个档次</w:t>
            </w:r>
            <w:r>
              <w:rPr>
                <w:rFonts w:hint="eastAsia" w:ascii="宋体" w:hAnsi="宋体" w:cs="宋体"/>
                <w:color w:val="auto"/>
                <w:szCs w:val="21"/>
                <w:lang w:eastAsia="zh-CN"/>
              </w:rPr>
              <w:t>（</w:t>
            </w:r>
            <w:r>
              <w:rPr>
                <w:rFonts w:hint="eastAsia" w:ascii="宋体" w:hAnsi="宋体" w:cs="宋体"/>
                <w:color w:val="auto"/>
                <w:szCs w:val="21"/>
                <w:lang w:val="en-US" w:eastAsia="zh-CN"/>
              </w:rPr>
              <w:t>4分</w:t>
            </w:r>
            <w:r>
              <w:rPr>
                <w:rFonts w:hint="eastAsia" w:ascii="宋体" w:hAnsi="宋体" w:cs="宋体"/>
                <w:color w:val="auto"/>
                <w:szCs w:val="21"/>
                <w:lang w:eastAsia="zh-CN"/>
              </w:rPr>
              <w:t>）</w:t>
            </w:r>
            <w:r>
              <w:rPr>
                <w:rFonts w:hint="eastAsia"/>
                <w:color w:val="auto"/>
                <w:szCs w:val="21"/>
              </w:rPr>
              <w:t>：</w:t>
            </w:r>
            <w:r>
              <w:rPr>
                <w:rFonts w:hint="eastAsia" w:ascii="宋体" w:hAnsi="宋体"/>
                <w:color w:val="auto"/>
                <w:szCs w:val="21"/>
              </w:rPr>
              <w:t>质量保证及承诺和相对应的质量保障措施、提供的如出现质量问题的惩罚方案内容有欠缺，基本满足项目要求</w:t>
            </w:r>
            <w:r>
              <w:rPr>
                <w:rFonts w:hint="eastAsia"/>
                <w:color w:val="auto"/>
                <w:szCs w:val="21"/>
              </w:rPr>
              <w:t>；</w:t>
            </w:r>
          </w:p>
          <w:p>
            <w:pPr>
              <w:spacing w:line="240" w:lineRule="auto"/>
              <w:jc w:val="left"/>
              <w:rPr>
                <w:color w:val="auto"/>
                <w:szCs w:val="21"/>
              </w:rPr>
            </w:pPr>
            <w:r>
              <w:rPr>
                <w:rFonts w:hint="eastAsia"/>
                <w:color w:val="auto"/>
                <w:szCs w:val="21"/>
              </w:rPr>
              <w:t>第三个档次</w:t>
            </w:r>
            <w:r>
              <w:rPr>
                <w:rFonts w:hint="eastAsia" w:ascii="宋体" w:hAnsi="宋体" w:cs="宋体"/>
                <w:color w:val="auto"/>
                <w:szCs w:val="21"/>
                <w:lang w:eastAsia="zh-CN"/>
              </w:rPr>
              <w:t>（</w:t>
            </w:r>
            <w:r>
              <w:rPr>
                <w:rFonts w:hint="eastAsia" w:ascii="宋体" w:hAnsi="宋体" w:cs="宋体"/>
                <w:color w:val="auto"/>
                <w:szCs w:val="21"/>
                <w:lang w:val="en-US" w:eastAsia="zh-CN"/>
              </w:rPr>
              <w:t>2分</w:t>
            </w:r>
            <w:r>
              <w:rPr>
                <w:rFonts w:hint="eastAsia" w:ascii="宋体" w:hAnsi="宋体" w:cs="宋体"/>
                <w:color w:val="auto"/>
                <w:szCs w:val="21"/>
                <w:lang w:eastAsia="zh-CN"/>
              </w:rPr>
              <w:t>）</w:t>
            </w:r>
            <w:r>
              <w:rPr>
                <w:rFonts w:hint="eastAsia"/>
                <w:color w:val="auto"/>
                <w:szCs w:val="21"/>
              </w:rPr>
              <w:t>：</w:t>
            </w:r>
            <w:r>
              <w:rPr>
                <w:rFonts w:hint="eastAsia" w:ascii="宋体" w:hAnsi="宋体"/>
                <w:color w:val="auto"/>
                <w:szCs w:val="21"/>
              </w:rPr>
              <w:t>质量保证及承诺不具体不完整，质量保障措施简单没有针对性和可行性，未提供如出现质量问题的惩罚方案或提供的惩罚方案简单无针对性</w:t>
            </w:r>
            <w:r>
              <w:rPr>
                <w:rFonts w:hint="eastAsia"/>
                <w:color w:val="auto"/>
                <w:szCs w:val="21"/>
              </w:rPr>
              <w:t>；</w:t>
            </w:r>
          </w:p>
          <w:p>
            <w:pPr>
              <w:spacing w:line="240" w:lineRule="auto"/>
              <w:rPr>
                <w:rFonts w:ascii="宋体" w:hAnsi="宋体"/>
                <w:color w:val="auto"/>
                <w:szCs w:val="21"/>
                <w:highlight w:val="none"/>
              </w:rPr>
            </w:pPr>
            <w:r>
              <w:rPr>
                <w:rFonts w:hint="eastAsia"/>
                <w:color w:val="auto"/>
                <w:szCs w:val="21"/>
              </w:rPr>
              <w:t>第四个档次</w:t>
            </w:r>
            <w:r>
              <w:rPr>
                <w:rFonts w:hint="eastAsia" w:ascii="宋体" w:hAnsi="宋体" w:cs="宋体"/>
                <w:color w:val="auto"/>
                <w:szCs w:val="21"/>
                <w:lang w:eastAsia="zh-CN"/>
              </w:rPr>
              <w:t>（</w:t>
            </w:r>
            <w:r>
              <w:rPr>
                <w:rFonts w:hint="eastAsia" w:ascii="宋体" w:hAnsi="宋体" w:cs="宋体"/>
                <w:color w:val="auto"/>
                <w:szCs w:val="21"/>
                <w:lang w:val="en-US" w:eastAsia="zh-CN"/>
              </w:rPr>
              <w:t>0分</w:t>
            </w:r>
            <w:r>
              <w:rPr>
                <w:rFonts w:hint="eastAsia" w:ascii="宋体" w:hAnsi="宋体" w:cs="宋体"/>
                <w:color w:val="auto"/>
                <w:szCs w:val="21"/>
                <w:lang w:eastAsia="zh-CN"/>
              </w:rPr>
              <w:t>）</w:t>
            </w:r>
            <w:r>
              <w:rPr>
                <w:rFonts w:hint="eastAsia"/>
                <w:color w:val="auto"/>
                <w:szCs w:val="21"/>
              </w:rPr>
              <w:t>：</w:t>
            </w:r>
            <w:r>
              <w:rPr>
                <w:rFonts w:hint="eastAsia" w:ascii="宋体" w:hAnsi="宋体"/>
                <w:color w:val="auto"/>
                <w:szCs w:val="21"/>
              </w:rPr>
              <w:t>未提供质量保证承诺，或未提供质量保障措施和出现质量问题的惩罚方案的不得分</w:t>
            </w:r>
            <w:r>
              <w:rPr>
                <w:rFonts w:hint="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2" w:hRule="atLeast"/>
          <w:jc w:val="center"/>
        </w:trPr>
        <w:tc>
          <w:tcPr>
            <w:tcW w:w="973" w:type="dxa"/>
            <w:vMerge w:val="continue"/>
            <w:vAlign w:val="center"/>
          </w:tcPr>
          <w:p>
            <w:pPr>
              <w:spacing w:line="240" w:lineRule="auto"/>
              <w:jc w:val="center"/>
              <w:rPr>
                <w:rFonts w:ascii="宋体" w:hAnsi="宋体"/>
                <w:color w:val="auto"/>
                <w:szCs w:val="21"/>
                <w:highlight w:val="none"/>
              </w:rPr>
            </w:pPr>
          </w:p>
        </w:tc>
        <w:tc>
          <w:tcPr>
            <w:tcW w:w="1076" w:type="dxa"/>
            <w:vMerge w:val="continue"/>
            <w:vAlign w:val="center"/>
          </w:tcPr>
          <w:p>
            <w:pPr>
              <w:spacing w:line="240" w:lineRule="auto"/>
              <w:rPr>
                <w:rFonts w:ascii="宋体" w:hAnsi="宋体"/>
                <w:color w:val="auto"/>
                <w:szCs w:val="21"/>
                <w:highlight w:val="none"/>
              </w:rPr>
            </w:pPr>
          </w:p>
        </w:tc>
        <w:tc>
          <w:tcPr>
            <w:tcW w:w="1122" w:type="dxa"/>
            <w:vMerge w:val="continue"/>
            <w:vAlign w:val="center"/>
          </w:tcPr>
          <w:p>
            <w:pPr>
              <w:spacing w:line="240" w:lineRule="auto"/>
              <w:jc w:val="center"/>
              <w:rPr>
                <w:rFonts w:ascii="宋体" w:hAnsi="宋体"/>
                <w:color w:val="auto"/>
                <w:szCs w:val="21"/>
                <w:highlight w:val="none"/>
              </w:rPr>
            </w:pPr>
          </w:p>
        </w:tc>
        <w:tc>
          <w:tcPr>
            <w:tcW w:w="1063" w:type="dxa"/>
            <w:vAlign w:val="center"/>
          </w:tcPr>
          <w:p>
            <w:pPr>
              <w:spacing w:line="240" w:lineRule="auto"/>
              <w:jc w:val="center"/>
              <w:rPr>
                <w:rFonts w:ascii="宋体" w:hAnsi="宋体" w:cs="宋体"/>
                <w:color w:val="auto"/>
                <w:szCs w:val="21"/>
              </w:rPr>
            </w:pPr>
            <w:r>
              <w:rPr>
                <w:rFonts w:hint="eastAsia" w:ascii="宋体" w:hAnsi="宋体" w:cs="宋体"/>
                <w:color w:val="auto"/>
                <w:szCs w:val="21"/>
              </w:rPr>
              <w:t>人员培训方案评审</w:t>
            </w:r>
          </w:p>
          <w:p>
            <w:pPr>
              <w:spacing w:line="240" w:lineRule="auto"/>
              <w:jc w:val="center"/>
              <w:rPr>
                <w:rFonts w:ascii="宋体" w:hAnsi="宋体"/>
                <w:color w:val="auto"/>
                <w:szCs w:val="21"/>
                <w:highlight w:val="none"/>
              </w:rPr>
            </w:pPr>
            <w:r>
              <w:rPr>
                <w:rFonts w:hint="eastAsia" w:ascii="宋体" w:hAnsi="宋体" w:cs="宋体"/>
                <w:color w:val="auto"/>
                <w:szCs w:val="21"/>
              </w:rPr>
              <w:t>（满分6分）</w:t>
            </w:r>
          </w:p>
        </w:tc>
        <w:tc>
          <w:tcPr>
            <w:tcW w:w="5811" w:type="dxa"/>
            <w:vAlign w:val="center"/>
          </w:tcPr>
          <w:p>
            <w:pPr>
              <w:spacing w:line="240" w:lineRule="auto"/>
              <w:jc w:val="left"/>
              <w:rPr>
                <w:rFonts w:ascii="宋体" w:hAnsi="宋体"/>
                <w:b/>
                <w:color w:val="auto"/>
                <w:szCs w:val="21"/>
              </w:rPr>
            </w:pPr>
            <w:r>
              <w:rPr>
                <w:rFonts w:hint="eastAsia" w:ascii="宋体" w:hAnsi="宋体"/>
                <w:b/>
                <w:color w:val="auto"/>
                <w:szCs w:val="21"/>
              </w:rPr>
              <w:t>根据投标人提供的人员培训方案进行综合评审：（满分</w:t>
            </w:r>
            <w:r>
              <w:rPr>
                <w:rFonts w:ascii="宋体" w:hAnsi="宋体"/>
                <w:b/>
                <w:color w:val="auto"/>
                <w:szCs w:val="21"/>
              </w:rPr>
              <w:t>6分</w:t>
            </w:r>
            <w:r>
              <w:rPr>
                <w:rFonts w:hint="eastAsia" w:ascii="宋体" w:hAnsi="宋体"/>
                <w:b/>
                <w:color w:val="auto"/>
                <w:szCs w:val="21"/>
              </w:rPr>
              <w:t>）</w:t>
            </w:r>
          </w:p>
          <w:p>
            <w:pPr>
              <w:spacing w:line="240" w:lineRule="auto"/>
              <w:rPr>
                <w:rFonts w:ascii="宋体" w:hAnsi="宋体"/>
                <w:color w:val="auto"/>
                <w:szCs w:val="21"/>
              </w:rPr>
            </w:pPr>
            <w:r>
              <w:rPr>
                <w:rFonts w:hint="eastAsia" w:ascii="宋体" w:hAnsi="宋体"/>
                <w:color w:val="auto"/>
                <w:szCs w:val="21"/>
              </w:rPr>
              <w:t>第一个档次</w:t>
            </w:r>
            <w:r>
              <w:rPr>
                <w:rFonts w:hint="eastAsia" w:ascii="宋体" w:hAnsi="宋体"/>
                <w:color w:val="auto"/>
                <w:szCs w:val="21"/>
                <w:lang w:eastAsia="zh-CN"/>
              </w:rPr>
              <w:t>（</w:t>
            </w:r>
            <w:r>
              <w:rPr>
                <w:rFonts w:hint="eastAsia" w:ascii="宋体" w:hAnsi="宋体" w:cs="宋体"/>
                <w:color w:val="auto"/>
                <w:szCs w:val="21"/>
                <w:lang w:val="en-US" w:eastAsia="zh-CN"/>
              </w:rPr>
              <w:t>6分</w:t>
            </w:r>
            <w:r>
              <w:rPr>
                <w:rFonts w:hint="eastAsia" w:ascii="宋体" w:hAnsi="宋体"/>
                <w:color w:val="auto"/>
                <w:szCs w:val="21"/>
                <w:lang w:eastAsia="zh-CN"/>
              </w:rPr>
              <w:t>）</w:t>
            </w:r>
            <w:r>
              <w:rPr>
                <w:rFonts w:hint="eastAsia" w:ascii="宋体" w:hAnsi="宋体"/>
                <w:color w:val="auto"/>
                <w:szCs w:val="21"/>
              </w:rPr>
              <w:t>：人员培训方案编制详细具体，培训目标明确，培训大纲、培训计划、培训内容、培训目标等内容完整、详细，完全满足</w:t>
            </w:r>
            <w:r>
              <w:rPr>
                <w:rFonts w:hint="eastAsia" w:ascii="宋体" w:hAnsi="宋体"/>
                <w:color w:val="auto"/>
                <w:szCs w:val="21"/>
                <w:lang w:eastAsia="zh-CN"/>
              </w:rPr>
              <w:t>采购文件</w:t>
            </w:r>
            <w:r>
              <w:rPr>
                <w:rFonts w:hint="eastAsia" w:ascii="宋体" w:hAnsi="宋体"/>
                <w:color w:val="auto"/>
                <w:szCs w:val="21"/>
              </w:rPr>
              <w:t>要求；</w:t>
            </w:r>
          </w:p>
          <w:p>
            <w:pPr>
              <w:spacing w:line="240" w:lineRule="auto"/>
              <w:rPr>
                <w:rFonts w:ascii="宋体" w:hAnsi="宋体"/>
                <w:color w:val="auto"/>
                <w:szCs w:val="21"/>
              </w:rPr>
            </w:pPr>
            <w:r>
              <w:rPr>
                <w:rFonts w:hint="eastAsia" w:ascii="宋体" w:hAnsi="宋体"/>
                <w:color w:val="auto"/>
                <w:szCs w:val="21"/>
              </w:rPr>
              <w:t>第二个档次</w:t>
            </w:r>
            <w:r>
              <w:rPr>
                <w:rFonts w:hint="eastAsia" w:ascii="宋体" w:hAnsi="宋体"/>
                <w:color w:val="auto"/>
                <w:szCs w:val="21"/>
                <w:lang w:eastAsia="zh-CN"/>
              </w:rPr>
              <w:t>（</w:t>
            </w:r>
            <w:r>
              <w:rPr>
                <w:rFonts w:hint="eastAsia" w:ascii="宋体" w:hAnsi="宋体"/>
                <w:color w:val="auto"/>
                <w:szCs w:val="21"/>
                <w:lang w:val="en-US" w:eastAsia="zh-CN"/>
              </w:rPr>
              <w:t>4分</w:t>
            </w:r>
            <w:r>
              <w:rPr>
                <w:rFonts w:hint="eastAsia" w:ascii="宋体" w:hAnsi="宋体"/>
                <w:color w:val="auto"/>
                <w:szCs w:val="21"/>
                <w:lang w:eastAsia="zh-CN"/>
              </w:rPr>
              <w:t>）</w:t>
            </w:r>
            <w:r>
              <w:rPr>
                <w:rFonts w:hint="eastAsia" w:ascii="宋体" w:hAnsi="宋体"/>
                <w:color w:val="auto"/>
                <w:szCs w:val="21"/>
              </w:rPr>
              <w:t>：人员培训方案、培训目标、培训大纲、培训计划、培训内容、培训目标等内容有欠缺，基本满足项目</w:t>
            </w:r>
            <w:r>
              <w:rPr>
                <w:rFonts w:ascii="宋体" w:hAnsi="宋体"/>
                <w:color w:val="auto"/>
                <w:szCs w:val="21"/>
              </w:rPr>
              <w:t>要求</w:t>
            </w:r>
            <w:r>
              <w:rPr>
                <w:rFonts w:hint="eastAsia" w:ascii="宋体" w:hAnsi="宋体"/>
                <w:color w:val="auto"/>
                <w:szCs w:val="21"/>
              </w:rPr>
              <w:t>；</w:t>
            </w:r>
          </w:p>
          <w:p>
            <w:pPr>
              <w:spacing w:line="240" w:lineRule="auto"/>
              <w:jc w:val="left"/>
              <w:rPr>
                <w:rFonts w:ascii="宋体" w:hAnsi="宋体"/>
                <w:color w:val="auto"/>
                <w:szCs w:val="21"/>
              </w:rPr>
            </w:pPr>
            <w:r>
              <w:rPr>
                <w:rFonts w:hint="eastAsia" w:ascii="宋体" w:hAnsi="宋体"/>
                <w:color w:val="auto"/>
                <w:szCs w:val="21"/>
              </w:rPr>
              <w:t>第三个档次</w:t>
            </w:r>
            <w:r>
              <w:rPr>
                <w:rFonts w:hint="eastAsia" w:ascii="宋体" w:hAnsi="宋体"/>
                <w:color w:val="auto"/>
                <w:szCs w:val="21"/>
                <w:lang w:eastAsia="zh-CN"/>
              </w:rPr>
              <w:t>（</w:t>
            </w:r>
            <w:r>
              <w:rPr>
                <w:rFonts w:hint="eastAsia" w:ascii="宋体" w:hAnsi="宋体"/>
                <w:color w:val="auto"/>
                <w:szCs w:val="21"/>
                <w:lang w:val="en-US" w:eastAsia="zh-CN"/>
              </w:rPr>
              <w:t>2分</w:t>
            </w:r>
            <w:r>
              <w:rPr>
                <w:rFonts w:hint="eastAsia" w:ascii="宋体" w:hAnsi="宋体"/>
                <w:color w:val="auto"/>
                <w:szCs w:val="21"/>
                <w:lang w:eastAsia="zh-CN"/>
              </w:rPr>
              <w:t>）</w:t>
            </w:r>
            <w:r>
              <w:rPr>
                <w:rFonts w:hint="eastAsia" w:ascii="宋体" w:hAnsi="宋体"/>
                <w:color w:val="auto"/>
                <w:szCs w:val="21"/>
              </w:rPr>
              <w:t>：人员培训方案编制简单，培训目标，培训大纲、培训计划、培训内容、培训目标等内容缺漏较多；</w:t>
            </w:r>
          </w:p>
          <w:p>
            <w:pPr>
              <w:spacing w:line="240" w:lineRule="auto"/>
              <w:jc w:val="left"/>
              <w:rPr>
                <w:rFonts w:ascii="宋体" w:hAnsi="宋体"/>
                <w:color w:val="auto"/>
                <w:szCs w:val="21"/>
                <w:highlight w:val="none"/>
              </w:rPr>
            </w:pPr>
            <w:r>
              <w:rPr>
                <w:rFonts w:hint="eastAsia" w:ascii="宋体" w:hAnsi="宋体"/>
                <w:color w:val="auto"/>
                <w:szCs w:val="21"/>
              </w:rPr>
              <w:t>第四个档次</w:t>
            </w:r>
            <w:r>
              <w:rPr>
                <w:rFonts w:hint="eastAsia" w:ascii="宋体" w:hAnsi="宋体"/>
                <w:color w:val="auto"/>
                <w:szCs w:val="21"/>
                <w:lang w:eastAsia="zh-CN"/>
              </w:rPr>
              <w:t>（</w:t>
            </w:r>
            <w:r>
              <w:rPr>
                <w:rFonts w:hint="eastAsia" w:ascii="宋体" w:hAnsi="宋体"/>
                <w:color w:val="auto"/>
                <w:szCs w:val="21"/>
                <w:lang w:val="en-US" w:eastAsia="zh-CN"/>
              </w:rPr>
              <w:t>0分</w:t>
            </w:r>
            <w:r>
              <w:rPr>
                <w:rFonts w:hint="eastAsia" w:ascii="宋体" w:hAnsi="宋体"/>
                <w:color w:val="auto"/>
                <w:szCs w:val="21"/>
                <w:lang w:eastAsia="zh-CN"/>
              </w:rPr>
              <w:t>）</w:t>
            </w:r>
            <w:r>
              <w:rPr>
                <w:rFonts w:hint="eastAsia" w:ascii="宋体" w:hAnsi="宋体"/>
                <w:color w:val="auto"/>
                <w:szCs w:val="21"/>
              </w:rPr>
              <w:t>：未提供人员培训方案的不得分。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7" w:hRule="atLeast"/>
          <w:jc w:val="center"/>
        </w:trPr>
        <w:tc>
          <w:tcPr>
            <w:tcW w:w="973" w:type="dxa"/>
            <w:vMerge w:val="continue"/>
            <w:vAlign w:val="center"/>
          </w:tcPr>
          <w:p>
            <w:pPr>
              <w:spacing w:line="240" w:lineRule="auto"/>
              <w:jc w:val="center"/>
              <w:rPr>
                <w:rFonts w:ascii="宋体" w:hAnsi="宋体"/>
                <w:color w:val="auto"/>
                <w:szCs w:val="21"/>
                <w:highlight w:val="none"/>
              </w:rPr>
            </w:pPr>
          </w:p>
        </w:tc>
        <w:tc>
          <w:tcPr>
            <w:tcW w:w="1076" w:type="dxa"/>
            <w:vMerge w:val="continue"/>
            <w:vAlign w:val="center"/>
          </w:tcPr>
          <w:p>
            <w:pPr>
              <w:spacing w:line="240" w:lineRule="auto"/>
              <w:rPr>
                <w:rFonts w:ascii="宋体" w:hAnsi="宋体"/>
                <w:color w:val="auto"/>
                <w:szCs w:val="21"/>
                <w:highlight w:val="none"/>
              </w:rPr>
            </w:pPr>
          </w:p>
        </w:tc>
        <w:tc>
          <w:tcPr>
            <w:tcW w:w="1122" w:type="dxa"/>
            <w:vMerge w:val="continue"/>
            <w:vAlign w:val="center"/>
          </w:tcPr>
          <w:p>
            <w:pPr>
              <w:spacing w:line="240" w:lineRule="auto"/>
              <w:jc w:val="center"/>
              <w:rPr>
                <w:rFonts w:ascii="宋体" w:hAnsi="宋体"/>
                <w:color w:val="auto"/>
                <w:szCs w:val="21"/>
                <w:highlight w:val="none"/>
              </w:rPr>
            </w:pPr>
          </w:p>
        </w:tc>
        <w:tc>
          <w:tcPr>
            <w:tcW w:w="1063" w:type="dxa"/>
            <w:vAlign w:val="center"/>
          </w:tcPr>
          <w:p>
            <w:pPr>
              <w:spacing w:line="240" w:lineRule="auto"/>
              <w:jc w:val="center"/>
              <w:rPr>
                <w:rFonts w:ascii="宋体" w:hAnsi="宋体" w:cs="宋体"/>
                <w:color w:val="auto"/>
                <w:szCs w:val="21"/>
              </w:rPr>
            </w:pPr>
            <w:r>
              <w:rPr>
                <w:rFonts w:hint="eastAsia" w:ascii="宋体" w:hAnsi="宋体" w:cs="宋体"/>
                <w:color w:val="auto"/>
                <w:szCs w:val="21"/>
              </w:rPr>
              <w:t>售后服务承诺、售后服务保障评审</w:t>
            </w:r>
          </w:p>
          <w:p>
            <w:pPr>
              <w:spacing w:line="240" w:lineRule="auto"/>
              <w:jc w:val="center"/>
              <w:rPr>
                <w:rFonts w:ascii="宋体" w:hAnsi="宋体"/>
                <w:color w:val="auto"/>
                <w:szCs w:val="21"/>
                <w:highlight w:val="none"/>
              </w:rPr>
            </w:pPr>
            <w:r>
              <w:rPr>
                <w:rFonts w:hint="eastAsia" w:ascii="宋体" w:hAnsi="宋体" w:cs="宋体"/>
                <w:color w:val="auto"/>
                <w:szCs w:val="21"/>
              </w:rPr>
              <w:t>（满分</w:t>
            </w:r>
            <w:r>
              <w:rPr>
                <w:rFonts w:ascii="宋体" w:hAnsi="宋体" w:cs="宋体"/>
                <w:color w:val="auto"/>
                <w:szCs w:val="21"/>
              </w:rPr>
              <w:t>8</w:t>
            </w:r>
            <w:r>
              <w:rPr>
                <w:rFonts w:hint="eastAsia" w:ascii="宋体" w:hAnsi="宋体" w:cs="宋体"/>
                <w:color w:val="auto"/>
                <w:szCs w:val="21"/>
              </w:rPr>
              <w:t>分）</w:t>
            </w:r>
          </w:p>
        </w:tc>
        <w:tc>
          <w:tcPr>
            <w:tcW w:w="5811" w:type="dxa"/>
            <w:vAlign w:val="center"/>
          </w:tcPr>
          <w:p>
            <w:pPr>
              <w:spacing w:line="240" w:lineRule="auto"/>
              <w:jc w:val="left"/>
              <w:rPr>
                <w:b/>
                <w:bCs/>
                <w:color w:val="auto"/>
                <w:szCs w:val="21"/>
              </w:rPr>
            </w:pPr>
            <w:r>
              <w:rPr>
                <w:rFonts w:hint="eastAsia"/>
                <w:b/>
                <w:bCs/>
                <w:color w:val="auto"/>
                <w:szCs w:val="21"/>
              </w:rPr>
              <w:t>根据投标人提供的</w:t>
            </w:r>
            <w:r>
              <w:rPr>
                <w:b/>
                <w:bCs/>
                <w:color w:val="auto"/>
                <w:szCs w:val="21"/>
              </w:rPr>
              <w:t>售后服务</w:t>
            </w:r>
            <w:r>
              <w:rPr>
                <w:rFonts w:hint="eastAsia"/>
                <w:b/>
                <w:bCs/>
                <w:color w:val="auto"/>
                <w:szCs w:val="21"/>
              </w:rPr>
              <w:t>承诺</w:t>
            </w:r>
            <w:r>
              <w:rPr>
                <w:b/>
                <w:bCs/>
                <w:color w:val="auto"/>
                <w:szCs w:val="21"/>
              </w:rPr>
              <w:t>、售后服务</w:t>
            </w:r>
            <w:r>
              <w:rPr>
                <w:rFonts w:hint="eastAsia"/>
                <w:b/>
                <w:bCs/>
                <w:color w:val="auto"/>
                <w:szCs w:val="21"/>
              </w:rPr>
              <w:t>保障进行评审：</w:t>
            </w:r>
          </w:p>
          <w:p>
            <w:pPr>
              <w:spacing w:line="240" w:lineRule="auto"/>
              <w:jc w:val="left"/>
              <w:rPr>
                <w:b/>
                <w:bCs/>
                <w:color w:val="auto"/>
                <w:szCs w:val="21"/>
              </w:rPr>
            </w:pPr>
            <w:r>
              <w:rPr>
                <w:rFonts w:hint="eastAsia"/>
                <w:b/>
                <w:bCs/>
                <w:color w:val="auto"/>
                <w:szCs w:val="21"/>
              </w:rPr>
              <w:t>一、售后服务承诺评审（满分</w:t>
            </w:r>
            <w:r>
              <w:rPr>
                <w:b/>
                <w:bCs/>
                <w:color w:val="auto"/>
                <w:szCs w:val="21"/>
              </w:rPr>
              <w:t>4</w:t>
            </w:r>
            <w:r>
              <w:rPr>
                <w:rFonts w:hint="eastAsia"/>
                <w:b/>
                <w:bCs/>
                <w:color w:val="auto"/>
                <w:szCs w:val="21"/>
              </w:rPr>
              <w:t>分）</w:t>
            </w:r>
          </w:p>
          <w:p>
            <w:pPr>
              <w:spacing w:line="240" w:lineRule="auto"/>
              <w:rPr>
                <w:rFonts w:ascii="宋体" w:hAnsi="宋体"/>
                <w:color w:val="auto"/>
                <w:szCs w:val="21"/>
              </w:rPr>
            </w:pPr>
            <w:r>
              <w:rPr>
                <w:rFonts w:hint="eastAsia" w:ascii="宋体" w:hAnsi="宋体"/>
                <w:color w:val="auto"/>
                <w:szCs w:val="21"/>
              </w:rPr>
              <w:t>第一个档次</w:t>
            </w:r>
            <w:r>
              <w:rPr>
                <w:rFonts w:hint="eastAsia" w:ascii="宋体" w:hAnsi="宋体"/>
                <w:color w:val="auto"/>
                <w:szCs w:val="21"/>
                <w:lang w:eastAsia="zh-CN"/>
              </w:rPr>
              <w:t>（</w:t>
            </w:r>
            <w:r>
              <w:rPr>
                <w:rFonts w:hint="eastAsia" w:ascii="宋体" w:hAnsi="宋体"/>
                <w:color w:val="auto"/>
                <w:szCs w:val="21"/>
                <w:lang w:val="en-US" w:eastAsia="zh-CN"/>
              </w:rPr>
              <w:t>4分</w:t>
            </w:r>
            <w:r>
              <w:rPr>
                <w:rFonts w:hint="eastAsia" w:ascii="宋体" w:hAnsi="宋体"/>
                <w:color w:val="auto"/>
                <w:szCs w:val="21"/>
                <w:lang w:eastAsia="zh-CN"/>
              </w:rPr>
              <w:t>）</w:t>
            </w:r>
            <w:r>
              <w:rPr>
                <w:rFonts w:hint="eastAsia" w:ascii="宋体" w:hAnsi="宋体"/>
                <w:color w:val="auto"/>
                <w:szCs w:val="21"/>
              </w:rPr>
              <w:t>：售后服务承诺编制详细具体，</w:t>
            </w:r>
            <w:r>
              <w:rPr>
                <w:rFonts w:hint="eastAsia" w:ascii="宋体" w:hAnsi="宋体"/>
                <w:color w:val="auto"/>
                <w:szCs w:val="21"/>
                <w:lang w:val="en-US" w:eastAsia="zh-CN"/>
              </w:rPr>
              <w:t>售后服务体系完整、保障性强，</w:t>
            </w:r>
            <w:r>
              <w:rPr>
                <w:rFonts w:hint="eastAsia" w:ascii="宋体" w:hAnsi="宋体"/>
                <w:color w:val="auto"/>
                <w:szCs w:val="21"/>
              </w:rPr>
              <w:t>售后内容明确，售后响应时间、故障修复时间、</w:t>
            </w:r>
            <w:r>
              <w:rPr>
                <w:rFonts w:hint="eastAsia" w:ascii="宋体" w:hAnsi="宋体"/>
                <w:color w:val="auto"/>
                <w:szCs w:val="21"/>
                <w:lang w:val="en-US" w:eastAsia="zh-CN"/>
              </w:rPr>
              <w:t>巡访维修承诺及保养方案、</w:t>
            </w:r>
            <w:r>
              <w:rPr>
                <w:rFonts w:hint="eastAsia" w:ascii="宋体" w:hAnsi="宋体"/>
                <w:color w:val="auto"/>
                <w:szCs w:val="21"/>
              </w:rPr>
              <w:t>应急机制等内容完整、详细，完全满足</w:t>
            </w:r>
            <w:r>
              <w:rPr>
                <w:rFonts w:hint="eastAsia" w:ascii="宋体" w:hAnsi="宋体"/>
                <w:color w:val="auto"/>
                <w:szCs w:val="21"/>
                <w:lang w:eastAsia="zh-CN"/>
              </w:rPr>
              <w:t>采购文件</w:t>
            </w:r>
            <w:r>
              <w:rPr>
                <w:rFonts w:hint="eastAsia" w:ascii="宋体" w:hAnsi="宋体"/>
                <w:color w:val="auto"/>
                <w:szCs w:val="21"/>
              </w:rPr>
              <w:t>要求；</w:t>
            </w:r>
          </w:p>
          <w:p>
            <w:pPr>
              <w:spacing w:line="240" w:lineRule="auto"/>
              <w:rPr>
                <w:rFonts w:ascii="宋体" w:hAnsi="宋体"/>
                <w:color w:val="auto"/>
                <w:szCs w:val="21"/>
              </w:rPr>
            </w:pPr>
            <w:r>
              <w:rPr>
                <w:rFonts w:hint="eastAsia" w:ascii="宋体" w:hAnsi="宋体"/>
                <w:color w:val="auto"/>
                <w:szCs w:val="21"/>
              </w:rPr>
              <w:t>第二个档次</w:t>
            </w:r>
            <w:r>
              <w:rPr>
                <w:rFonts w:hint="eastAsia" w:ascii="宋体" w:hAnsi="宋体"/>
                <w:color w:val="auto"/>
                <w:szCs w:val="21"/>
                <w:lang w:eastAsia="zh-CN"/>
              </w:rPr>
              <w:t>（</w:t>
            </w:r>
            <w:r>
              <w:rPr>
                <w:rFonts w:hint="eastAsia" w:ascii="宋体" w:hAnsi="宋体"/>
                <w:color w:val="auto"/>
                <w:szCs w:val="21"/>
                <w:lang w:val="en-US" w:eastAsia="zh-CN"/>
              </w:rPr>
              <w:t>3分</w:t>
            </w:r>
            <w:r>
              <w:rPr>
                <w:rFonts w:hint="eastAsia" w:ascii="宋体" w:hAnsi="宋体"/>
                <w:color w:val="auto"/>
                <w:szCs w:val="21"/>
                <w:lang w:eastAsia="zh-CN"/>
              </w:rPr>
              <w:t>）</w:t>
            </w:r>
            <w:r>
              <w:rPr>
                <w:rFonts w:hint="eastAsia" w:ascii="宋体" w:hAnsi="宋体"/>
                <w:color w:val="auto"/>
                <w:szCs w:val="21"/>
              </w:rPr>
              <w:t>：售后服务承诺，</w:t>
            </w:r>
            <w:r>
              <w:rPr>
                <w:rFonts w:hint="eastAsia" w:ascii="宋体" w:hAnsi="宋体"/>
                <w:color w:val="auto"/>
                <w:szCs w:val="21"/>
                <w:lang w:val="en-US" w:eastAsia="zh-CN"/>
              </w:rPr>
              <w:t>售后服务体系，保障性，</w:t>
            </w:r>
            <w:r>
              <w:rPr>
                <w:rFonts w:hint="eastAsia" w:ascii="宋体" w:hAnsi="宋体"/>
                <w:color w:val="auto"/>
                <w:szCs w:val="21"/>
              </w:rPr>
              <w:t>售后内容，售后响应时间、故障修复时间、应急机制等有欠缺，基本满足项目</w:t>
            </w:r>
            <w:r>
              <w:rPr>
                <w:rFonts w:ascii="宋体" w:hAnsi="宋体"/>
                <w:color w:val="auto"/>
                <w:szCs w:val="21"/>
              </w:rPr>
              <w:t>要求</w:t>
            </w:r>
            <w:r>
              <w:rPr>
                <w:rFonts w:hint="eastAsia" w:ascii="宋体" w:hAnsi="宋体"/>
                <w:color w:val="auto"/>
                <w:szCs w:val="21"/>
              </w:rPr>
              <w:t>；</w:t>
            </w:r>
          </w:p>
          <w:p>
            <w:pPr>
              <w:spacing w:line="240" w:lineRule="auto"/>
              <w:jc w:val="left"/>
              <w:rPr>
                <w:rFonts w:ascii="宋体" w:hAnsi="宋体"/>
                <w:color w:val="auto"/>
                <w:szCs w:val="21"/>
              </w:rPr>
            </w:pPr>
            <w:r>
              <w:rPr>
                <w:rFonts w:hint="eastAsia" w:ascii="宋体" w:hAnsi="宋体"/>
                <w:color w:val="auto"/>
                <w:szCs w:val="21"/>
              </w:rPr>
              <w:t>第三个档次</w:t>
            </w:r>
            <w:r>
              <w:rPr>
                <w:rFonts w:hint="eastAsia" w:ascii="宋体" w:hAnsi="宋体"/>
                <w:color w:val="auto"/>
                <w:szCs w:val="21"/>
                <w:lang w:eastAsia="zh-CN"/>
              </w:rPr>
              <w:t>（</w:t>
            </w:r>
            <w:r>
              <w:rPr>
                <w:rFonts w:hint="eastAsia" w:ascii="宋体" w:hAnsi="宋体"/>
                <w:color w:val="auto"/>
                <w:szCs w:val="21"/>
                <w:lang w:val="en-US" w:eastAsia="zh-CN"/>
              </w:rPr>
              <w:t>1分</w:t>
            </w:r>
            <w:r>
              <w:rPr>
                <w:rFonts w:hint="eastAsia" w:ascii="宋体" w:hAnsi="宋体"/>
                <w:color w:val="auto"/>
                <w:szCs w:val="21"/>
                <w:lang w:eastAsia="zh-CN"/>
              </w:rPr>
              <w:t>）</w:t>
            </w:r>
            <w:r>
              <w:rPr>
                <w:rFonts w:hint="eastAsia" w:ascii="宋体" w:hAnsi="宋体"/>
                <w:color w:val="auto"/>
                <w:szCs w:val="21"/>
              </w:rPr>
              <w:t>：售后服务承诺，</w:t>
            </w:r>
            <w:r>
              <w:rPr>
                <w:rFonts w:hint="eastAsia" w:ascii="宋体" w:hAnsi="宋体"/>
                <w:color w:val="auto"/>
                <w:szCs w:val="21"/>
                <w:lang w:val="en-US" w:eastAsia="zh-CN"/>
              </w:rPr>
              <w:t>售后服务体系，保障性，</w:t>
            </w:r>
            <w:r>
              <w:rPr>
                <w:rFonts w:hint="eastAsia" w:ascii="宋体" w:hAnsi="宋体"/>
                <w:color w:val="auto"/>
                <w:szCs w:val="21"/>
              </w:rPr>
              <w:t>售后内容，售后响应时间、故障修复时间、应急机制等内容缺漏较多；</w:t>
            </w:r>
          </w:p>
          <w:p>
            <w:pPr>
              <w:spacing w:line="240" w:lineRule="auto"/>
              <w:jc w:val="left"/>
              <w:rPr>
                <w:rFonts w:ascii="宋体" w:hAnsi="宋体"/>
                <w:color w:val="auto"/>
                <w:szCs w:val="21"/>
              </w:rPr>
            </w:pPr>
            <w:r>
              <w:rPr>
                <w:rFonts w:hint="eastAsia" w:ascii="宋体" w:hAnsi="宋体"/>
                <w:color w:val="auto"/>
                <w:szCs w:val="21"/>
              </w:rPr>
              <w:t>第四个档次</w:t>
            </w:r>
            <w:r>
              <w:rPr>
                <w:rFonts w:hint="eastAsia" w:ascii="宋体" w:hAnsi="宋体"/>
                <w:color w:val="auto"/>
                <w:szCs w:val="21"/>
                <w:lang w:eastAsia="zh-CN"/>
              </w:rPr>
              <w:t>（</w:t>
            </w:r>
            <w:r>
              <w:rPr>
                <w:rFonts w:hint="eastAsia" w:ascii="宋体" w:hAnsi="宋体"/>
                <w:color w:val="auto"/>
                <w:szCs w:val="21"/>
                <w:lang w:val="en-US" w:eastAsia="zh-CN"/>
              </w:rPr>
              <w:t>0分</w:t>
            </w:r>
            <w:r>
              <w:rPr>
                <w:rFonts w:hint="eastAsia" w:ascii="宋体" w:hAnsi="宋体"/>
                <w:color w:val="auto"/>
                <w:szCs w:val="21"/>
                <w:lang w:eastAsia="zh-CN"/>
              </w:rPr>
              <w:t>）</w:t>
            </w:r>
            <w:r>
              <w:rPr>
                <w:rFonts w:hint="eastAsia" w:ascii="宋体" w:hAnsi="宋体"/>
                <w:color w:val="auto"/>
                <w:szCs w:val="21"/>
              </w:rPr>
              <w:t>：未提供售后服务方案的不得分。</w:t>
            </w:r>
          </w:p>
          <w:p>
            <w:pPr>
              <w:spacing w:line="240" w:lineRule="auto"/>
              <w:jc w:val="left"/>
              <w:rPr>
                <w:b/>
                <w:bCs/>
                <w:color w:val="auto"/>
                <w:szCs w:val="21"/>
              </w:rPr>
            </w:pPr>
            <w:r>
              <w:rPr>
                <w:rFonts w:hint="eastAsia"/>
                <w:b/>
                <w:bCs/>
                <w:color w:val="auto"/>
                <w:szCs w:val="21"/>
              </w:rPr>
              <w:t>二、售后服务保障评审（满分</w:t>
            </w:r>
            <w:r>
              <w:rPr>
                <w:b/>
                <w:bCs/>
                <w:color w:val="auto"/>
                <w:szCs w:val="21"/>
              </w:rPr>
              <w:t>4</w:t>
            </w:r>
            <w:r>
              <w:rPr>
                <w:rFonts w:hint="eastAsia"/>
                <w:b/>
                <w:bCs/>
                <w:color w:val="auto"/>
                <w:szCs w:val="21"/>
              </w:rPr>
              <w:t>分）</w:t>
            </w:r>
          </w:p>
          <w:p>
            <w:pPr>
              <w:spacing w:line="240" w:lineRule="auto"/>
              <w:rPr>
                <w:color w:val="auto"/>
                <w:szCs w:val="21"/>
              </w:rPr>
            </w:pPr>
            <w:r>
              <w:rPr>
                <w:color w:val="auto"/>
                <w:szCs w:val="21"/>
              </w:rPr>
              <w:t>第一个档次</w:t>
            </w:r>
            <w:r>
              <w:rPr>
                <w:rFonts w:hint="eastAsia"/>
                <w:color w:val="auto"/>
                <w:szCs w:val="21"/>
                <w:lang w:eastAsia="zh-CN"/>
              </w:rPr>
              <w:t>（</w:t>
            </w:r>
            <w:r>
              <w:rPr>
                <w:rFonts w:hint="eastAsia"/>
                <w:color w:val="auto"/>
                <w:szCs w:val="21"/>
                <w:lang w:val="en-US" w:eastAsia="zh-CN"/>
              </w:rPr>
              <w:t>4分</w:t>
            </w:r>
            <w:r>
              <w:rPr>
                <w:rFonts w:hint="eastAsia"/>
                <w:color w:val="auto"/>
                <w:szCs w:val="21"/>
                <w:lang w:eastAsia="zh-CN"/>
              </w:rPr>
              <w:t>）</w:t>
            </w:r>
            <w:r>
              <w:rPr>
                <w:color w:val="auto"/>
                <w:szCs w:val="21"/>
              </w:rPr>
              <w:t>：</w:t>
            </w:r>
            <w:r>
              <w:rPr>
                <w:rFonts w:hint="eastAsia"/>
                <w:color w:val="auto"/>
                <w:szCs w:val="21"/>
              </w:rPr>
              <w:t>投标人对</w:t>
            </w:r>
            <w:r>
              <w:rPr>
                <w:rFonts w:hint="eastAsia" w:ascii="宋体" w:hAnsi="宋体" w:cs="宋体"/>
                <w:color w:val="auto"/>
                <w:szCs w:val="21"/>
              </w:rPr>
              <w:t>拟派的售后服务人员、售后地点、联系方式</w:t>
            </w:r>
            <w:r>
              <w:rPr>
                <w:rFonts w:hint="eastAsia" w:cs="宋体"/>
                <w:color w:val="auto"/>
                <w:kern w:val="0"/>
                <w:szCs w:val="21"/>
              </w:rPr>
              <w:t>明确说明，承诺终身提供技术支持（含免费软件升级，若有），制定了售后保障措施且措施合理可行的；</w:t>
            </w:r>
          </w:p>
          <w:p>
            <w:pPr>
              <w:spacing w:line="240" w:lineRule="auto"/>
              <w:jc w:val="left"/>
              <w:rPr>
                <w:color w:val="auto"/>
                <w:szCs w:val="21"/>
              </w:rPr>
            </w:pPr>
            <w:r>
              <w:rPr>
                <w:color w:val="auto"/>
                <w:szCs w:val="21"/>
              </w:rPr>
              <w:t>第</w:t>
            </w:r>
            <w:r>
              <w:rPr>
                <w:rFonts w:hint="eastAsia"/>
                <w:color w:val="auto"/>
                <w:szCs w:val="21"/>
              </w:rPr>
              <w:t>二</w:t>
            </w:r>
            <w:r>
              <w:rPr>
                <w:color w:val="auto"/>
                <w:szCs w:val="21"/>
              </w:rPr>
              <w:t>个档次</w:t>
            </w:r>
            <w:r>
              <w:rPr>
                <w:rFonts w:hint="eastAsia"/>
                <w:color w:val="auto"/>
                <w:szCs w:val="21"/>
                <w:lang w:eastAsia="zh-CN"/>
              </w:rPr>
              <w:t>（</w:t>
            </w:r>
            <w:r>
              <w:rPr>
                <w:rFonts w:hint="eastAsia"/>
                <w:color w:val="auto"/>
                <w:szCs w:val="21"/>
                <w:lang w:val="en-US" w:eastAsia="zh-CN"/>
              </w:rPr>
              <w:t>3 分</w:t>
            </w:r>
            <w:r>
              <w:rPr>
                <w:rFonts w:hint="eastAsia"/>
                <w:color w:val="auto"/>
                <w:szCs w:val="21"/>
                <w:lang w:eastAsia="zh-CN"/>
              </w:rPr>
              <w:t>）</w:t>
            </w:r>
            <w:r>
              <w:rPr>
                <w:color w:val="auto"/>
                <w:szCs w:val="21"/>
              </w:rPr>
              <w:t>：</w:t>
            </w:r>
            <w:r>
              <w:rPr>
                <w:rFonts w:hint="eastAsia"/>
                <w:color w:val="auto"/>
                <w:szCs w:val="21"/>
              </w:rPr>
              <w:t>投标人对</w:t>
            </w:r>
            <w:r>
              <w:rPr>
                <w:rFonts w:hint="eastAsia" w:ascii="宋体" w:hAnsi="宋体" w:cs="宋体"/>
                <w:color w:val="auto"/>
                <w:szCs w:val="21"/>
              </w:rPr>
              <w:t>拟派的售后服务人员、售后地点、联系方式有</w:t>
            </w:r>
            <w:r>
              <w:rPr>
                <w:rFonts w:hint="eastAsia" w:cs="宋体"/>
                <w:color w:val="auto"/>
                <w:kern w:val="0"/>
                <w:szCs w:val="21"/>
              </w:rPr>
              <w:t>明确说明、承诺终身提供技术支持（含免费软件升级，若有），售后保障措施</w:t>
            </w:r>
            <w:r>
              <w:rPr>
                <w:rFonts w:hint="eastAsia" w:ascii="宋体" w:hAnsi="宋体"/>
                <w:color w:val="auto"/>
                <w:szCs w:val="21"/>
              </w:rPr>
              <w:t>有欠缺，基本满足项目</w:t>
            </w:r>
            <w:r>
              <w:rPr>
                <w:rFonts w:ascii="宋体" w:hAnsi="宋体"/>
                <w:color w:val="auto"/>
                <w:szCs w:val="21"/>
              </w:rPr>
              <w:t>要求</w:t>
            </w:r>
            <w:r>
              <w:rPr>
                <w:rFonts w:hint="eastAsia" w:ascii="宋体" w:hAnsi="宋体"/>
                <w:color w:val="auto"/>
                <w:szCs w:val="21"/>
              </w:rPr>
              <w:t>；</w:t>
            </w:r>
            <w:r>
              <w:rPr>
                <w:color w:val="auto"/>
                <w:szCs w:val="21"/>
              </w:rPr>
              <w:t xml:space="preserve"> </w:t>
            </w:r>
          </w:p>
          <w:p>
            <w:pPr>
              <w:spacing w:line="240" w:lineRule="auto"/>
              <w:jc w:val="left"/>
              <w:rPr>
                <w:color w:val="auto"/>
                <w:szCs w:val="21"/>
              </w:rPr>
            </w:pPr>
            <w:r>
              <w:rPr>
                <w:color w:val="auto"/>
                <w:szCs w:val="21"/>
              </w:rPr>
              <w:t>第</w:t>
            </w:r>
            <w:r>
              <w:rPr>
                <w:rFonts w:hint="eastAsia"/>
                <w:color w:val="auto"/>
                <w:szCs w:val="21"/>
              </w:rPr>
              <w:t>三</w:t>
            </w:r>
            <w:r>
              <w:rPr>
                <w:color w:val="auto"/>
                <w:szCs w:val="21"/>
              </w:rPr>
              <w:t>个档次</w:t>
            </w:r>
            <w:r>
              <w:rPr>
                <w:rFonts w:hint="eastAsia"/>
                <w:color w:val="auto"/>
                <w:szCs w:val="21"/>
                <w:lang w:eastAsia="zh-CN"/>
              </w:rPr>
              <w:t>（</w:t>
            </w:r>
            <w:r>
              <w:rPr>
                <w:rFonts w:hint="eastAsia"/>
                <w:color w:val="auto"/>
                <w:szCs w:val="21"/>
                <w:lang w:val="en-US" w:eastAsia="zh-CN"/>
              </w:rPr>
              <w:t>1分</w:t>
            </w:r>
            <w:r>
              <w:rPr>
                <w:rFonts w:hint="eastAsia"/>
                <w:color w:val="auto"/>
                <w:szCs w:val="21"/>
                <w:lang w:eastAsia="zh-CN"/>
              </w:rPr>
              <w:t>）</w:t>
            </w:r>
            <w:r>
              <w:rPr>
                <w:color w:val="auto"/>
                <w:szCs w:val="21"/>
              </w:rPr>
              <w:t>：</w:t>
            </w:r>
            <w:r>
              <w:rPr>
                <w:rFonts w:hint="eastAsia"/>
                <w:color w:val="auto"/>
                <w:szCs w:val="21"/>
              </w:rPr>
              <w:t>投标人未对</w:t>
            </w:r>
            <w:r>
              <w:rPr>
                <w:rFonts w:hint="eastAsia" w:ascii="宋体" w:hAnsi="宋体" w:cs="宋体"/>
                <w:color w:val="auto"/>
                <w:szCs w:val="21"/>
              </w:rPr>
              <w:t>拟派的售后服务人员、售后地点、联系方式进行</w:t>
            </w:r>
            <w:r>
              <w:rPr>
                <w:rFonts w:hint="eastAsia" w:cs="宋体"/>
                <w:color w:val="auto"/>
                <w:kern w:val="0"/>
                <w:szCs w:val="21"/>
              </w:rPr>
              <w:t>说明，售后保障措施</w:t>
            </w:r>
            <w:r>
              <w:rPr>
                <w:rFonts w:hint="eastAsia" w:ascii="宋体" w:hAnsi="宋体"/>
                <w:color w:val="auto"/>
                <w:szCs w:val="21"/>
              </w:rPr>
              <w:t>有欠缺，</w:t>
            </w:r>
            <w:r>
              <w:rPr>
                <w:rFonts w:hint="eastAsia" w:cs="宋体"/>
                <w:color w:val="auto"/>
                <w:kern w:val="0"/>
                <w:szCs w:val="21"/>
              </w:rPr>
              <w:t>措施不合理</w:t>
            </w:r>
            <w:r>
              <w:rPr>
                <w:rFonts w:hint="eastAsia" w:cs="宋体"/>
                <w:color w:val="auto"/>
                <w:kern w:val="0"/>
                <w:szCs w:val="21"/>
                <w:lang w:val="en-US" w:eastAsia="zh-CN"/>
              </w:rPr>
              <w:t>或</w:t>
            </w:r>
            <w:r>
              <w:rPr>
                <w:rFonts w:hint="eastAsia" w:cs="宋体"/>
                <w:color w:val="auto"/>
                <w:kern w:val="0"/>
                <w:szCs w:val="21"/>
              </w:rPr>
              <w:t>不可行的</w:t>
            </w:r>
            <w:r>
              <w:rPr>
                <w:rFonts w:hint="eastAsia" w:ascii="宋体" w:hAnsi="宋体"/>
                <w:color w:val="auto"/>
                <w:szCs w:val="21"/>
              </w:rPr>
              <w:t>；</w:t>
            </w:r>
          </w:p>
          <w:p>
            <w:pPr>
              <w:spacing w:line="240" w:lineRule="auto"/>
              <w:jc w:val="left"/>
              <w:rPr>
                <w:rFonts w:ascii="宋体" w:hAnsi="宋体"/>
                <w:color w:val="auto"/>
                <w:szCs w:val="21"/>
                <w:highlight w:val="none"/>
              </w:rPr>
            </w:pPr>
            <w:r>
              <w:rPr>
                <w:color w:val="auto"/>
                <w:szCs w:val="21"/>
              </w:rPr>
              <w:t>第</w:t>
            </w:r>
            <w:r>
              <w:rPr>
                <w:rFonts w:hint="eastAsia"/>
                <w:color w:val="auto"/>
                <w:szCs w:val="21"/>
              </w:rPr>
              <w:t>四</w:t>
            </w:r>
            <w:r>
              <w:rPr>
                <w:color w:val="auto"/>
                <w:szCs w:val="21"/>
              </w:rPr>
              <w:t>个档次</w:t>
            </w:r>
            <w:r>
              <w:rPr>
                <w:rFonts w:hint="eastAsia"/>
                <w:color w:val="auto"/>
                <w:szCs w:val="21"/>
                <w:lang w:eastAsia="zh-CN"/>
              </w:rPr>
              <w:t>（</w:t>
            </w:r>
            <w:r>
              <w:rPr>
                <w:rFonts w:hint="eastAsia"/>
                <w:color w:val="auto"/>
                <w:szCs w:val="21"/>
                <w:lang w:val="en-US" w:eastAsia="zh-CN"/>
              </w:rPr>
              <w:t>0分</w:t>
            </w:r>
            <w:r>
              <w:rPr>
                <w:rFonts w:hint="eastAsia"/>
                <w:color w:val="auto"/>
                <w:szCs w:val="21"/>
                <w:lang w:eastAsia="zh-CN"/>
              </w:rPr>
              <w:t>）</w:t>
            </w:r>
            <w:r>
              <w:rPr>
                <w:color w:val="auto"/>
                <w:szCs w:val="21"/>
              </w:rPr>
              <w:t>：</w:t>
            </w:r>
            <w:r>
              <w:rPr>
                <w:rFonts w:hint="eastAsia" w:ascii="宋体" w:hAnsi="宋体"/>
                <w:color w:val="auto"/>
                <w:szCs w:val="21"/>
              </w:rPr>
              <w:t>未提供售后服务保障的不得分。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4" w:hRule="atLeast"/>
          <w:jc w:val="center"/>
        </w:trPr>
        <w:tc>
          <w:tcPr>
            <w:tcW w:w="973" w:type="dxa"/>
            <w:vMerge w:val="continue"/>
            <w:vAlign w:val="center"/>
          </w:tcPr>
          <w:p>
            <w:pPr>
              <w:spacing w:line="240" w:lineRule="auto"/>
              <w:jc w:val="center"/>
              <w:rPr>
                <w:rFonts w:ascii="宋体" w:hAnsi="宋体"/>
                <w:color w:val="auto"/>
                <w:szCs w:val="21"/>
                <w:highlight w:val="none"/>
              </w:rPr>
            </w:pPr>
          </w:p>
        </w:tc>
        <w:tc>
          <w:tcPr>
            <w:tcW w:w="1076" w:type="dxa"/>
            <w:vMerge w:val="continue"/>
            <w:vAlign w:val="center"/>
          </w:tcPr>
          <w:p>
            <w:pPr>
              <w:spacing w:line="240" w:lineRule="auto"/>
              <w:rPr>
                <w:rFonts w:ascii="宋体" w:hAnsi="宋体"/>
                <w:color w:val="auto"/>
                <w:szCs w:val="21"/>
                <w:highlight w:val="none"/>
              </w:rPr>
            </w:pPr>
          </w:p>
        </w:tc>
        <w:tc>
          <w:tcPr>
            <w:tcW w:w="1122" w:type="dxa"/>
            <w:vMerge w:val="continue"/>
            <w:vAlign w:val="center"/>
          </w:tcPr>
          <w:p>
            <w:pPr>
              <w:spacing w:line="240" w:lineRule="auto"/>
              <w:jc w:val="center"/>
              <w:rPr>
                <w:rFonts w:ascii="宋体" w:hAnsi="宋体"/>
                <w:color w:val="auto"/>
                <w:szCs w:val="21"/>
                <w:highlight w:val="none"/>
              </w:rPr>
            </w:pPr>
          </w:p>
        </w:tc>
        <w:tc>
          <w:tcPr>
            <w:tcW w:w="1063" w:type="dxa"/>
            <w:vAlign w:val="center"/>
          </w:tcPr>
          <w:p>
            <w:pPr>
              <w:spacing w:line="240" w:lineRule="auto"/>
              <w:jc w:val="center"/>
              <w:rPr>
                <w:rFonts w:ascii="宋体" w:hAnsi="宋体"/>
                <w:color w:val="auto"/>
                <w:szCs w:val="21"/>
                <w:highlight w:val="none"/>
              </w:rPr>
            </w:pPr>
            <w:r>
              <w:rPr>
                <w:rFonts w:hint="eastAsia" w:ascii="宋体" w:hAnsi="宋体"/>
                <w:color w:val="auto"/>
                <w:szCs w:val="21"/>
                <w:highlight w:val="none"/>
              </w:rPr>
              <w:t>类似项目业绩（满分2分）</w:t>
            </w:r>
          </w:p>
        </w:tc>
        <w:tc>
          <w:tcPr>
            <w:tcW w:w="5811" w:type="dxa"/>
            <w:vAlign w:val="center"/>
          </w:tcPr>
          <w:p>
            <w:pPr>
              <w:spacing w:line="240" w:lineRule="auto"/>
              <w:rPr>
                <w:rFonts w:ascii="宋体" w:hAnsi="宋体"/>
                <w:color w:val="auto"/>
                <w:szCs w:val="21"/>
                <w:highlight w:val="none"/>
              </w:rPr>
            </w:pPr>
            <w:r>
              <w:rPr>
                <w:rFonts w:hint="eastAsia" w:ascii="宋体" w:hAnsi="宋体"/>
                <w:color w:val="auto"/>
                <w:szCs w:val="21"/>
                <w:highlight w:val="none"/>
              </w:rPr>
              <w:t>2019年至今投标人</w:t>
            </w:r>
            <w:r>
              <w:rPr>
                <w:rFonts w:ascii="宋体" w:hAnsi="宋体"/>
                <w:color w:val="auto"/>
                <w:szCs w:val="21"/>
                <w:highlight w:val="none"/>
              </w:rPr>
              <w:t>有类似业绩，每提供一个业绩得0.4分，满分2分；</w:t>
            </w:r>
          </w:p>
          <w:p>
            <w:pPr>
              <w:spacing w:line="240" w:lineRule="auto"/>
              <w:rPr>
                <w:rFonts w:ascii="宋体" w:hAnsi="宋体"/>
                <w:color w:val="auto"/>
                <w:szCs w:val="21"/>
                <w:highlight w:val="none"/>
              </w:rPr>
            </w:pPr>
            <w:r>
              <w:rPr>
                <w:rFonts w:ascii="宋体" w:hAnsi="宋体"/>
                <w:color w:val="auto"/>
                <w:szCs w:val="21"/>
                <w:highlight w:val="none"/>
              </w:rPr>
              <w:t>有效业绩证明材料指合同（协议）或中标通知书原件扫描件。</w:t>
            </w:r>
          </w:p>
        </w:tc>
      </w:tr>
    </w:tbl>
    <w:p>
      <w:pPr>
        <w:rPr>
          <w:highlight w:val="none"/>
        </w:rPr>
      </w:pPr>
    </w:p>
    <w:p>
      <w:pPr>
        <w:pStyle w:val="3"/>
        <w:numPr>
          <w:ilvl w:val="0"/>
          <w:numId w:val="0"/>
        </w:numPr>
        <w:tabs>
          <w:tab w:val="left" w:pos="430"/>
          <w:tab w:val="clear" w:pos="1021"/>
        </w:tabs>
        <w:ind w:left="-309" w:leftChars="-148" w:hanging="1"/>
        <w:jc w:val="center"/>
        <w:rPr>
          <w:rFonts w:ascii="宋体" w:hAnsi="宋体" w:eastAsia="宋体"/>
          <w:sz w:val="32"/>
          <w:szCs w:val="32"/>
          <w:highlight w:val="none"/>
        </w:rPr>
      </w:pPr>
      <w:bookmarkStart w:id="112" w:name="_Toc1060"/>
      <w:bookmarkStart w:id="113" w:name="_Toc16431"/>
      <w:bookmarkStart w:id="114" w:name="_Toc29496"/>
      <w:bookmarkStart w:id="115" w:name="_Toc248767825"/>
      <w:r>
        <w:rPr>
          <w:rFonts w:hint="eastAsia" w:ascii="宋体" w:hAnsi="宋体" w:eastAsia="宋体"/>
          <w:sz w:val="32"/>
          <w:szCs w:val="32"/>
          <w:highlight w:val="none"/>
        </w:rPr>
        <w:t>二、评标方法</w:t>
      </w:r>
      <w:bookmarkEnd w:id="112"/>
      <w:bookmarkEnd w:id="113"/>
      <w:bookmarkEnd w:id="114"/>
    </w:p>
    <w:p>
      <w:pPr>
        <w:wordWrap w:val="0"/>
        <w:spacing w:line="360" w:lineRule="auto"/>
        <w:ind w:firstLine="403" w:firstLineChars="192"/>
        <w:rPr>
          <w:rFonts w:ascii="宋体" w:hAnsi="宋体" w:cs="宋体"/>
          <w:b/>
          <w:szCs w:val="21"/>
          <w:highlight w:val="none"/>
        </w:rPr>
      </w:pPr>
      <w:r>
        <w:rPr>
          <w:rFonts w:hint="eastAsia" w:ascii="宋体" w:hAnsi="宋体" w:cs="宋体"/>
          <w:b/>
          <w:szCs w:val="21"/>
          <w:highlight w:val="none"/>
        </w:rPr>
        <w:t>2.1评标依据</w:t>
      </w:r>
    </w:p>
    <w:p>
      <w:pPr>
        <w:wordWrap w:val="0"/>
        <w:spacing w:line="360" w:lineRule="auto"/>
        <w:ind w:firstLine="420" w:firstLineChars="200"/>
        <w:rPr>
          <w:rFonts w:ascii="宋体" w:hAnsi="宋体"/>
          <w:szCs w:val="21"/>
          <w:highlight w:val="none"/>
        </w:rPr>
      </w:pPr>
      <w:r>
        <w:rPr>
          <w:rFonts w:ascii="宋体" w:hAnsi="宋体" w:cs="宋体"/>
          <w:szCs w:val="21"/>
          <w:highlight w:val="none"/>
        </w:rPr>
        <w:t>2</w:t>
      </w:r>
      <w:r>
        <w:rPr>
          <w:rFonts w:hint="eastAsia" w:ascii="宋体" w:hAnsi="宋体" w:cs="宋体"/>
          <w:szCs w:val="21"/>
          <w:highlight w:val="none"/>
        </w:rPr>
        <w:t>.1.1</w:t>
      </w:r>
      <w:r>
        <w:rPr>
          <w:rFonts w:hint="eastAsia" w:ascii="宋体" w:hAnsi="宋体"/>
          <w:szCs w:val="21"/>
          <w:highlight w:val="none"/>
        </w:rPr>
        <w:t>根据《中华人民共和国政府采购法》、</w:t>
      </w:r>
      <w:r>
        <w:rPr>
          <w:rFonts w:hint="eastAsia" w:ascii="宋体" w:hAnsi="宋体" w:cs="宋体"/>
          <w:szCs w:val="21"/>
          <w:highlight w:val="none"/>
        </w:rPr>
        <w:t>《中华人民共和国政府采购法实施条例》</w:t>
      </w:r>
      <w:r>
        <w:rPr>
          <w:rFonts w:hint="eastAsia" w:ascii="宋体" w:hAnsi="宋体"/>
          <w:szCs w:val="21"/>
          <w:highlight w:val="none"/>
        </w:rPr>
        <w:t>、《政府采购货物和服务招标投标管理办法（财政部87号令）》等法律、法规。</w:t>
      </w:r>
    </w:p>
    <w:p>
      <w:pPr>
        <w:wordWrap w:val="0"/>
        <w:spacing w:line="360" w:lineRule="auto"/>
        <w:ind w:firstLine="403" w:firstLineChars="192"/>
        <w:rPr>
          <w:rFonts w:ascii="宋体" w:hAnsi="宋体" w:cs="宋体"/>
          <w:b/>
          <w:szCs w:val="21"/>
          <w:highlight w:val="none"/>
        </w:rPr>
      </w:pPr>
      <w:r>
        <w:rPr>
          <w:rFonts w:hint="eastAsia" w:ascii="宋体" w:hAnsi="宋体" w:cs="宋体"/>
          <w:b/>
          <w:szCs w:val="21"/>
          <w:highlight w:val="none"/>
        </w:rPr>
        <w:t>2.2</w:t>
      </w:r>
      <w:r>
        <w:rPr>
          <w:rFonts w:hint="eastAsia" w:ascii="宋体" w:hAnsi="宋体" w:cs="宋体"/>
          <w:b/>
          <w:szCs w:val="21"/>
          <w:highlight w:val="none"/>
          <w:lang w:eastAsia="zh-CN"/>
        </w:rPr>
        <w:t>采购人</w:t>
      </w:r>
      <w:r>
        <w:rPr>
          <w:rFonts w:hint="eastAsia" w:ascii="宋体" w:hAnsi="宋体" w:cs="宋体"/>
          <w:b/>
          <w:szCs w:val="21"/>
          <w:highlight w:val="none"/>
        </w:rPr>
        <w:t>或者</w:t>
      </w:r>
      <w:r>
        <w:rPr>
          <w:rFonts w:hint="eastAsia" w:ascii="宋体" w:hAnsi="宋体" w:cs="宋体"/>
          <w:b/>
          <w:szCs w:val="21"/>
          <w:highlight w:val="none"/>
          <w:lang w:eastAsia="zh-CN"/>
        </w:rPr>
        <w:t>采购代理机构</w:t>
      </w:r>
      <w:r>
        <w:rPr>
          <w:rFonts w:hint="eastAsia" w:ascii="宋体" w:hAnsi="宋体" w:cs="宋体"/>
          <w:b/>
          <w:szCs w:val="21"/>
          <w:highlight w:val="none"/>
        </w:rPr>
        <w:t xml:space="preserve">职责 </w:t>
      </w:r>
    </w:p>
    <w:p>
      <w:pPr>
        <w:wordWrap w:val="0"/>
        <w:spacing w:line="360" w:lineRule="auto"/>
        <w:ind w:firstLine="420" w:firstLineChars="200"/>
        <w:rPr>
          <w:rFonts w:ascii="宋体" w:hAnsi="宋体"/>
          <w:szCs w:val="21"/>
          <w:highlight w:val="none"/>
        </w:rPr>
      </w:pPr>
      <w:r>
        <w:rPr>
          <w:rFonts w:hint="eastAsia" w:ascii="宋体" w:hAnsi="宋体"/>
          <w:szCs w:val="21"/>
          <w:highlight w:val="none"/>
          <w:lang w:eastAsia="zh-CN"/>
        </w:rPr>
        <w:t>采购人</w:t>
      </w:r>
      <w:r>
        <w:rPr>
          <w:rFonts w:hint="eastAsia" w:ascii="宋体" w:hAnsi="宋体"/>
          <w:szCs w:val="21"/>
          <w:highlight w:val="none"/>
        </w:rPr>
        <w:t>或者</w:t>
      </w:r>
      <w:r>
        <w:rPr>
          <w:rFonts w:hint="eastAsia" w:ascii="宋体" w:hAnsi="宋体"/>
          <w:szCs w:val="21"/>
          <w:highlight w:val="none"/>
          <w:lang w:eastAsia="zh-CN"/>
        </w:rPr>
        <w:t>采购代理机构</w:t>
      </w:r>
      <w:r>
        <w:rPr>
          <w:rFonts w:hint="eastAsia" w:ascii="宋体" w:hAnsi="宋体"/>
          <w:szCs w:val="21"/>
          <w:highlight w:val="none"/>
        </w:rPr>
        <w:t>负责组织评标工作，并履行下列职责：</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（1）核对评审专家身份和</w:t>
      </w:r>
      <w:r>
        <w:rPr>
          <w:rFonts w:hint="eastAsia" w:ascii="宋体" w:hAnsi="宋体"/>
          <w:szCs w:val="21"/>
          <w:highlight w:val="none"/>
          <w:lang w:eastAsia="zh-CN"/>
        </w:rPr>
        <w:t>采购人</w:t>
      </w:r>
      <w:r>
        <w:rPr>
          <w:rFonts w:hint="eastAsia" w:ascii="宋体" w:hAnsi="宋体"/>
          <w:szCs w:val="21"/>
          <w:highlight w:val="none"/>
        </w:rPr>
        <w:t>代表授权函，对评审专家在政府采购活动中的职责履行情况予以记录，并及时将有关违法违规行为向财政部门报告；</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 xml:space="preserve">（2）宣布评标纪律； </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（3）告知评审专家应当回避的情形；</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（4）组织评标委员会推选评标组长，</w:t>
      </w:r>
      <w:r>
        <w:rPr>
          <w:rFonts w:hint="eastAsia" w:ascii="宋体" w:hAnsi="宋体"/>
          <w:szCs w:val="21"/>
          <w:highlight w:val="none"/>
          <w:lang w:eastAsia="zh-CN"/>
        </w:rPr>
        <w:t>采购人</w:t>
      </w:r>
      <w:r>
        <w:rPr>
          <w:rFonts w:hint="eastAsia" w:ascii="宋体" w:hAnsi="宋体"/>
          <w:szCs w:val="21"/>
          <w:highlight w:val="none"/>
        </w:rPr>
        <w:t>代表不得担任组长；</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（5）在评标期间采取必要的通讯管理措施，保证评标活动不受外界干扰；</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（6）根据评标委员会的要求介绍政府采购相关政策法规、</w:t>
      </w:r>
      <w:r>
        <w:rPr>
          <w:rFonts w:hint="eastAsia" w:ascii="宋体" w:hAnsi="宋体"/>
          <w:szCs w:val="21"/>
          <w:highlight w:val="none"/>
          <w:lang w:eastAsia="zh-CN"/>
        </w:rPr>
        <w:t>采购文件</w:t>
      </w:r>
      <w:r>
        <w:rPr>
          <w:rFonts w:hint="eastAsia" w:ascii="宋体" w:hAnsi="宋体"/>
          <w:szCs w:val="21"/>
          <w:highlight w:val="none"/>
        </w:rPr>
        <w:t>；</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（7）维护评标秩序，监督评标委员会依照</w:t>
      </w:r>
      <w:r>
        <w:rPr>
          <w:rFonts w:hint="eastAsia" w:ascii="宋体" w:hAnsi="宋体"/>
          <w:szCs w:val="21"/>
          <w:highlight w:val="none"/>
          <w:lang w:eastAsia="zh-CN"/>
        </w:rPr>
        <w:t>采购文件</w:t>
      </w:r>
      <w:r>
        <w:rPr>
          <w:rFonts w:hint="eastAsia" w:ascii="宋体" w:hAnsi="宋体"/>
          <w:szCs w:val="21"/>
          <w:highlight w:val="none"/>
        </w:rPr>
        <w:t>规定的评标程序、方法和标准进行独立评审，及时制止和纠正</w:t>
      </w:r>
      <w:r>
        <w:rPr>
          <w:rFonts w:hint="eastAsia" w:ascii="宋体" w:hAnsi="宋体"/>
          <w:szCs w:val="21"/>
          <w:highlight w:val="none"/>
          <w:lang w:eastAsia="zh-CN"/>
        </w:rPr>
        <w:t>采购人</w:t>
      </w:r>
      <w:r>
        <w:rPr>
          <w:rFonts w:hint="eastAsia" w:ascii="宋体" w:hAnsi="宋体"/>
          <w:szCs w:val="21"/>
          <w:highlight w:val="none"/>
        </w:rPr>
        <w:t>代表、评审专家的倾向性言论或者违法违规行为；</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（8）核对评标结果，有《政府采购货物和服务招标投标管理办法》（财政部第 87号令）第六十四条规定情形的，要求评标委员会复核或者书面说明理由，评标委员会拒绝的，应予记录并向本级财政部门报告；</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（9）评审工作完成后，按照规定向评审专家支付劳务报酬和异地评审差旅费，不得向评审专家以外的其他人员支付评审劳务报酬；</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（1</w:t>
      </w:r>
      <w:r>
        <w:rPr>
          <w:rFonts w:ascii="宋体" w:hAnsi="宋体"/>
          <w:szCs w:val="21"/>
          <w:highlight w:val="none"/>
        </w:rPr>
        <w:t>0</w:t>
      </w:r>
      <w:r>
        <w:rPr>
          <w:rFonts w:hint="eastAsia" w:ascii="宋体" w:hAnsi="宋体"/>
          <w:szCs w:val="21"/>
          <w:highlight w:val="none"/>
        </w:rPr>
        <w:t>）处理与评标有关的其他事项。</w:t>
      </w:r>
    </w:p>
    <w:p>
      <w:pPr>
        <w:wordWrap w:val="0"/>
        <w:spacing w:line="360" w:lineRule="auto"/>
        <w:ind w:firstLine="420" w:firstLineChars="200"/>
        <w:rPr>
          <w:rFonts w:ascii="宋体" w:hAnsi="宋体"/>
          <w:szCs w:val="21"/>
          <w:highlight w:val="none"/>
        </w:rPr>
      </w:pPr>
      <w:r>
        <w:rPr>
          <w:rFonts w:hint="eastAsia" w:ascii="宋体" w:hAnsi="宋体"/>
          <w:szCs w:val="21"/>
          <w:highlight w:val="none"/>
          <w:lang w:eastAsia="zh-CN"/>
        </w:rPr>
        <w:t>采购人</w:t>
      </w:r>
      <w:r>
        <w:rPr>
          <w:rFonts w:hint="eastAsia" w:ascii="宋体" w:hAnsi="宋体"/>
          <w:szCs w:val="21"/>
          <w:highlight w:val="none"/>
        </w:rPr>
        <w:t>可以在评标前说明项目背景和采购清单及要求，说明内容不得含有歧视性、倾向性意见，不得超出</w:t>
      </w:r>
      <w:r>
        <w:rPr>
          <w:rFonts w:hint="eastAsia" w:ascii="宋体" w:hAnsi="宋体"/>
          <w:szCs w:val="21"/>
          <w:highlight w:val="none"/>
          <w:lang w:eastAsia="zh-CN"/>
        </w:rPr>
        <w:t>采购文件</w:t>
      </w:r>
      <w:r>
        <w:rPr>
          <w:rFonts w:hint="eastAsia" w:ascii="宋体" w:hAnsi="宋体"/>
          <w:szCs w:val="21"/>
          <w:highlight w:val="none"/>
        </w:rPr>
        <w:t>所述范围。说明应当提交书面材料，并随</w:t>
      </w:r>
      <w:r>
        <w:rPr>
          <w:rFonts w:hint="eastAsia" w:ascii="宋体" w:hAnsi="宋体"/>
          <w:szCs w:val="21"/>
          <w:highlight w:val="none"/>
          <w:lang w:eastAsia="zh-CN"/>
        </w:rPr>
        <w:t>采购文件</w:t>
      </w:r>
      <w:r>
        <w:rPr>
          <w:rFonts w:hint="eastAsia" w:ascii="宋体" w:hAnsi="宋体"/>
          <w:szCs w:val="21"/>
          <w:highlight w:val="none"/>
        </w:rPr>
        <w:t>一并存档。</w:t>
      </w:r>
    </w:p>
    <w:p>
      <w:pPr>
        <w:wordWrap w:val="0"/>
        <w:spacing w:line="360" w:lineRule="auto"/>
        <w:ind w:firstLine="403" w:firstLineChars="192"/>
        <w:rPr>
          <w:rFonts w:ascii="宋体" w:hAnsi="宋体" w:cs="宋体"/>
          <w:b/>
          <w:szCs w:val="21"/>
          <w:highlight w:val="none"/>
        </w:rPr>
      </w:pPr>
      <w:r>
        <w:rPr>
          <w:rFonts w:hint="eastAsia" w:ascii="宋体" w:hAnsi="宋体" w:cs="宋体"/>
          <w:b/>
          <w:szCs w:val="21"/>
          <w:highlight w:val="none"/>
        </w:rPr>
        <w:t>2</w:t>
      </w:r>
      <w:r>
        <w:rPr>
          <w:rFonts w:ascii="宋体" w:hAnsi="宋体" w:cs="宋体"/>
          <w:b/>
          <w:szCs w:val="21"/>
          <w:highlight w:val="none"/>
        </w:rPr>
        <w:t>.3</w:t>
      </w:r>
      <w:r>
        <w:rPr>
          <w:rFonts w:hint="eastAsia" w:ascii="宋体" w:hAnsi="宋体" w:cs="宋体"/>
          <w:b/>
          <w:szCs w:val="21"/>
          <w:highlight w:val="none"/>
        </w:rPr>
        <w:t xml:space="preserve">评标委员会职责 </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 xml:space="preserve">评标委员会负责具体评标事务，并独立履行下列职责： </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（1）审查、评价投标文件是否符合</w:t>
      </w:r>
      <w:r>
        <w:rPr>
          <w:rFonts w:hint="eastAsia" w:ascii="宋体" w:hAnsi="宋体"/>
          <w:szCs w:val="21"/>
          <w:highlight w:val="none"/>
          <w:lang w:eastAsia="zh-CN"/>
        </w:rPr>
        <w:t>采购文件</w:t>
      </w:r>
      <w:r>
        <w:rPr>
          <w:rFonts w:hint="eastAsia" w:ascii="宋体" w:hAnsi="宋体"/>
          <w:szCs w:val="21"/>
          <w:highlight w:val="none"/>
        </w:rPr>
        <w:t xml:space="preserve">的商务、技术等实质性要求； </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（2）要求投标人对投标文件有关事项作出澄清或者说明；</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 xml:space="preserve">（3）对投标文件进行比较和评价； </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（4）确定中标候选人名单</w:t>
      </w:r>
      <w:r>
        <w:rPr>
          <w:rFonts w:hint="eastAsia" w:ascii="宋体" w:hAnsi="宋体"/>
          <w:szCs w:val="21"/>
          <w:highlight w:val="none"/>
          <w:lang w:val="en-US" w:eastAsia="zh-CN"/>
        </w:rPr>
        <w:t>推荐中标候选人或</w:t>
      </w:r>
      <w:r>
        <w:rPr>
          <w:rFonts w:hint="eastAsia" w:ascii="宋体" w:hAnsi="宋体"/>
          <w:szCs w:val="21"/>
          <w:highlight w:val="none"/>
        </w:rPr>
        <w:t>根据</w:t>
      </w:r>
      <w:r>
        <w:rPr>
          <w:rFonts w:hint="eastAsia" w:ascii="宋体" w:hAnsi="宋体"/>
          <w:szCs w:val="21"/>
          <w:highlight w:val="none"/>
          <w:lang w:eastAsia="zh-CN"/>
        </w:rPr>
        <w:t>采购人</w:t>
      </w:r>
      <w:r>
        <w:rPr>
          <w:rFonts w:hint="eastAsia" w:ascii="宋体" w:hAnsi="宋体"/>
          <w:szCs w:val="21"/>
          <w:highlight w:val="none"/>
        </w:rPr>
        <w:t xml:space="preserve">委托直接确定中标人； </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（5）向</w:t>
      </w:r>
      <w:r>
        <w:rPr>
          <w:rFonts w:hint="eastAsia" w:ascii="宋体" w:hAnsi="宋体"/>
          <w:szCs w:val="21"/>
          <w:highlight w:val="none"/>
          <w:lang w:eastAsia="zh-CN"/>
        </w:rPr>
        <w:t>采购人</w:t>
      </w:r>
      <w:r>
        <w:rPr>
          <w:rFonts w:hint="eastAsia" w:ascii="宋体" w:hAnsi="宋体"/>
          <w:szCs w:val="21"/>
          <w:highlight w:val="none"/>
        </w:rPr>
        <w:t>、</w:t>
      </w:r>
      <w:r>
        <w:rPr>
          <w:rFonts w:hint="eastAsia" w:ascii="宋体" w:hAnsi="宋体"/>
          <w:szCs w:val="21"/>
          <w:highlight w:val="none"/>
          <w:lang w:eastAsia="zh-CN"/>
        </w:rPr>
        <w:t>采购代理机构</w:t>
      </w:r>
      <w:r>
        <w:rPr>
          <w:rFonts w:hint="eastAsia" w:ascii="宋体" w:hAnsi="宋体"/>
          <w:szCs w:val="21"/>
          <w:highlight w:val="none"/>
        </w:rPr>
        <w:t>或者有关部门报告评标中发现的违法行为。</w:t>
      </w:r>
    </w:p>
    <w:p>
      <w:pPr>
        <w:wordWrap w:val="0"/>
        <w:spacing w:line="360" w:lineRule="auto"/>
        <w:ind w:firstLine="403" w:firstLineChars="192"/>
        <w:rPr>
          <w:rFonts w:ascii="宋体" w:hAnsi="宋体" w:cs="宋体"/>
          <w:b/>
          <w:szCs w:val="21"/>
          <w:highlight w:val="none"/>
        </w:rPr>
      </w:pPr>
      <w:r>
        <w:rPr>
          <w:rFonts w:hint="eastAsia" w:ascii="宋体" w:hAnsi="宋体" w:cs="宋体"/>
          <w:b/>
          <w:szCs w:val="21"/>
          <w:highlight w:val="none"/>
        </w:rPr>
        <w:t>2</w:t>
      </w:r>
      <w:r>
        <w:rPr>
          <w:rFonts w:ascii="宋体" w:hAnsi="宋体" w:cs="宋体"/>
          <w:b/>
          <w:szCs w:val="21"/>
          <w:highlight w:val="none"/>
        </w:rPr>
        <w:t>.4</w:t>
      </w:r>
      <w:r>
        <w:rPr>
          <w:rFonts w:hint="eastAsia" w:ascii="宋体" w:hAnsi="宋体" w:cs="宋体"/>
          <w:b/>
          <w:szCs w:val="21"/>
          <w:highlight w:val="none"/>
        </w:rPr>
        <w:t>评标纪律</w:t>
      </w:r>
    </w:p>
    <w:p>
      <w:pPr>
        <w:wordWrap w:val="0"/>
        <w:spacing w:line="360" w:lineRule="auto"/>
        <w:ind w:firstLine="403" w:firstLineChars="192"/>
        <w:rPr>
          <w:rFonts w:ascii="宋体" w:hAnsi="宋体" w:cs="宋体"/>
          <w:szCs w:val="21"/>
          <w:highlight w:val="none"/>
        </w:rPr>
      </w:pPr>
      <w:r>
        <w:rPr>
          <w:rFonts w:hint="eastAsia" w:ascii="宋体" w:hAnsi="宋体" w:cs="宋体"/>
          <w:szCs w:val="21"/>
          <w:highlight w:val="none"/>
        </w:rPr>
        <w:t xml:space="preserve">（1）对评标内容和评标过程要严格保密，不得向投标人或与该过程无关的其它人员泄露。 </w:t>
      </w:r>
    </w:p>
    <w:p>
      <w:pPr>
        <w:wordWrap w:val="0"/>
        <w:spacing w:line="360" w:lineRule="auto"/>
        <w:ind w:firstLine="403" w:firstLineChars="192"/>
        <w:rPr>
          <w:rFonts w:ascii="宋体" w:hAnsi="宋体" w:cs="宋体"/>
          <w:szCs w:val="21"/>
          <w:highlight w:val="none"/>
        </w:rPr>
      </w:pPr>
      <w:r>
        <w:rPr>
          <w:rFonts w:hint="eastAsia" w:ascii="宋体" w:hAnsi="宋体" w:cs="宋体"/>
          <w:szCs w:val="21"/>
          <w:highlight w:val="none"/>
        </w:rPr>
        <w:t xml:space="preserve">（2）评标期间的一切资料，包括评标意见、评标记录和评标结论，一律不得向外传和泄露。 </w:t>
      </w:r>
    </w:p>
    <w:p>
      <w:pPr>
        <w:wordWrap w:val="0"/>
        <w:spacing w:line="360" w:lineRule="auto"/>
        <w:ind w:firstLine="403" w:firstLineChars="192"/>
        <w:rPr>
          <w:rFonts w:ascii="宋体" w:hAnsi="宋体" w:cs="宋体"/>
          <w:szCs w:val="21"/>
          <w:highlight w:val="none"/>
        </w:rPr>
      </w:pPr>
      <w:r>
        <w:rPr>
          <w:rFonts w:hint="eastAsia" w:ascii="宋体" w:hAnsi="宋体" w:cs="宋体"/>
          <w:szCs w:val="21"/>
          <w:highlight w:val="none"/>
        </w:rPr>
        <w:t xml:space="preserve">（3）任何属于投标文件审查、澄清、评价和比较的资料，不得向投标人或与该过程无关的其它人员泄露。 </w:t>
      </w:r>
    </w:p>
    <w:p>
      <w:pPr>
        <w:wordWrap w:val="0"/>
        <w:spacing w:line="360" w:lineRule="auto"/>
        <w:ind w:firstLine="403" w:firstLineChars="192"/>
        <w:rPr>
          <w:rFonts w:ascii="宋体" w:hAnsi="宋体" w:cs="宋体"/>
          <w:szCs w:val="21"/>
          <w:highlight w:val="none"/>
        </w:rPr>
      </w:pPr>
      <w:r>
        <w:rPr>
          <w:rFonts w:hint="eastAsia" w:ascii="宋体" w:hAnsi="宋体" w:cs="宋体"/>
          <w:szCs w:val="21"/>
          <w:highlight w:val="none"/>
        </w:rPr>
        <w:t>（4）所有资料（包括</w:t>
      </w:r>
      <w:r>
        <w:rPr>
          <w:rFonts w:hint="eastAsia" w:ascii="宋体" w:hAnsi="宋体" w:cs="宋体"/>
          <w:szCs w:val="21"/>
          <w:highlight w:val="none"/>
          <w:lang w:eastAsia="zh-CN"/>
        </w:rPr>
        <w:t>采购文件</w:t>
      </w:r>
      <w:r>
        <w:rPr>
          <w:rFonts w:hint="eastAsia" w:ascii="宋体" w:hAnsi="宋体" w:cs="宋体"/>
          <w:szCs w:val="21"/>
          <w:highlight w:val="none"/>
        </w:rPr>
        <w:t xml:space="preserve">、投标文件、评标表格及各种文字记录）在评标结束后均应分别整理、存档备查，任何人不得复制和保留。 </w:t>
      </w:r>
    </w:p>
    <w:p>
      <w:pPr>
        <w:wordWrap w:val="0"/>
        <w:spacing w:line="360" w:lineRule="auto"/>
        <w:ind w:firstLine="403" w:firstLineChars="192"/>
        <w:rPr>
          <w:rFonts w:ascii="宋体" w:hAnsi="宋体" w:cs="宋体"/>
          <w:szCs w:val="21"/>
          <w:highlight w:val="none"/>
        </w:rPr>
      </w:pPr>
      <w:r>
        <w:rPr>
          <w:rFonts w:hint="eastAsia" w:ascii="宋体" w:hAnsi="宋体" w:cs="宋体"/>
          <w:szCs w:val="21"/>
          <w:highlight w:val="none"/>
        </w:rPr>
        <w:t xml:space="preserve">（5）评标期间，未经允许评标委员会以外的任何单位或部门不得参加评标和采访评标工作。 </w:t>
      </w:r>
    </w:p>
    <w:p>
      <w:pPr>
        <w:wordWrap w:val="0"/>
        <w:spacing w:line="360" w:lineRule="auto"/>
        <w:ind w:firstLine="403" w:firstLineChars="192"/>
        <w:rPr>
          <w:rFonts w:ascii="宋体" w:hAnsi="宋体" w:cs="宋体"/>
          <w:szCs w:val="21"/>
          <w:highlight w:val="none"/>
        </w:rPr>
      </w:pPr>
      <w:r>
        <w:rPr>
          <w:rFonts w:hint="eastAsia" w:ascii="宋体" w:hAnsi="宋体" w:cs="宋体"/>
          <w:szCs w:val="21"/>
          <w:highlight w:val="none"/>
        </w:rPr>
        <w:t xml:space="preserve">（6）评标期间，评标人员不得外出，确需外出时应事先请假。 </w:t>
      </w:r>
    </w:p>
    <w:p>
      <w:pPr>
        <w:wordWrap w:val="0"/>
        <w:spacing w:line="360" w:lineRule="auto"/>
        <w:ind w:firstLine="403" w:firstLineChars="192"/>
        <w:rPr>
          <w:rFonts w:ascii="宋体" w:hAnsi="宋体" w:cs="宋体"/>
          <w:szCs w:val="21"/>
          <w:highlight w:val="none"/>
        </w:rPr>
      </w:pPr>
      <w:r>
        <w:rPr>
          <w:rFonts w:hint="eastAsia" w:ascii="宋体" w:hAnsi="宋体" w:cs="宋体"/>
          <w:szCs w:val="21"/>
          <w:highlight w:val="none"/>
        </w:rPr>
        <w:t xml:space="preserve">（7）评标期间，所有与会人员均不得私自以任何方式和投标人进行联系，需询问、澄清的问题由评委会统一组织办理。 </w:t>
      </w:r>
    </w:p>
    <w:p>
      <w:pPr>
        <w:wordWrap w:val="0"/>
        <w:spacing w:line="360" w:lineRule="auto"/>
        <w:ind w:firstLine="403" w:firstLineChars="192"/>
        <w:rPr>
          <w:rFonts w:ascii="宋体" w:hAnsi="宋体" w:cs="宋体"/>
          <w:szCs w:val="21"/>
          <w:highlight w:val="none"/>
        </w:rPr>
      </w:pPr>
      <w:r>
        <w:rPr>
          <w:rFonts w:hint="eastAsia" w:ascii="宋体" w:hAnsi="宋体" w:cs="宋体"/>
          <w:szCs w:val="21"/>
          <w:highlight w:val="none"/>
        </w:rPr>
        <w:t>（8）评标结束后，与会人员不得向外界透露评标人员的评标意见，如因此造成的后果由责任者承担。</w:t>
      </w:r>
    </w:p>
    <w:p>
      <w:pPr>
        <w:wordWrap w:val="0"/>
        <w:spacing w:line="360" w:lineRule="auto"/>
        <w:ind w:firstLine="403" w:firstLineChars="192"/>
        <w:rPr>
          <w:rFonts w:ascii="宋体" w:hAnsi="宋体" w:cs="宋体"/>
          <w:b/>
          <w:szCs w:val="21"/>
          <w:highlight w:val="none"/>
        </w:rPr>
      </w:pPr>
      <w:r>
        <w:rPr>
          <w:rFonts w:hint="eastAsia" w:ascii="宋体" w:hAnsi="宋体" w:cs="宋体"/>
          <w:b/>
          <w:szCs w:val="21"/>
          <w:highlight w:val="none"/>
        </w:rPr>
        <w:t>2</w:t>
      </w:r>
      <w:r>
        <w:rPr>
          <w:rFonts w:ascii="宋体" w:hAnsi="宋体" w:cs="宋体"/>
          <w:b/>
          <w:szCs w:val="21"/>
          <w:highlight w:val="none"/>
        </w:rPr>
        <w:t>.5</w:t>
      </w:r>
      <w:r>
        <w:rPr>
          <w:rFonts w:hint="eastAsia" w:ascii="宋体" w:hAnsi="宋体" w:cs="宋体"/>
          <w:b/>
          <w:szCs w:val="21"/>
          <w:highlight w:val="none"/>
        </w:rPr>
        <w:t>评标原则</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 xml:space="preserve">评标将遵循下列原则： </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 xml:space="preserve">（1）坚持公平、公正、科学择优的原则，本着实事求是的精神，不带有任何主观意愿和偏见，认真负责地做好评标工作，公平、公正地对待每一个投标人。 </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 xml:space="preserve">（2）全面分析，综合评审。 </w:t>
      </w:r>
    </w:p>
    <w:p>
      <w:pPr>
        <w:wordWrap w:val="0"/>
        <w:spacing w:line="360" w:lineRule="auto"/>
        <w:ind w:firstLine="420" w:firstLineChars="200"/>
        <w:rPr>
          <w:rFonts w:ascii="宋体" w:hAnsi="宋体"/>
          <w:szCs w:val="21"/>
          <w:highlight w:val="none"/>
        </w:rPr>
      </w:pPr>
      <w:r>
        <w:rPr>
          <w:rFonts w:hint="eastAsia" w:ascii="宋体" w:hAnsi="宋体"/>
          <w:szCs w:val="21"/>
          <w:highlight w:val="none"/>
        </w:rPr>
        <w:t>（3）评标只对投标人的投标文件进行评审，投标文件以外的资料、信息不应作为评标的依据。</w:t>
      </w:r>
    </w:p>
    <w:p>
      <w:pPr>
        <w:pStyle w:val="3"/>
        <w:numPr>
          <w:ilvl w:val="0"/>
          <w:numId w:val="0"/>
        </w:numPr>
        <w:tabs>
          <w:tab w:val="left" w:pos="430"/>
          <w:tab w:val="clear" w:pos="1021"/>
        </w:tabs>
        <w:ind w:left="-309" w:leftChars="-148" w:hanging="1"/>
        <w:jc w:val="center"/>
        <w:rPr>
          <w:rFonts w:ascii="宋体" w:hAnsi="宋体" w:eastAsia="宋体"/>
          <w:sz w:val="32"/>
          <w:szCs w:val="32"/>
          <w:highlight w:val="none"/>
        </w:rPr>
      </w:pPr>
      <w:bookmarkStart w:id="116" w:name="_Toc20143"/>
      <w:bookmarkStart w:id="117" w:name="_Toc520802755"/>
      <w:bookmarkStart w:id="118" w:name="_Toc15238"/>
      <w:bookmarkStart w:id="119" w:name="_Toc30761"/>
      <w:bookmarkStart w:id="120" w:name="_Toc503259470"/>
      <w:bookmarkStart w:id="121" w:name="_Toc260907985"/>
      <w:bookmarkStart w:id="122" w:name="_Toc259188729"/>
      <w:bookmarkStart w:id="123" w:name="_Toc23163"/>
      <w:bookmarkStart w:id="124" w:name="_Toc71823594"/>
      <w:bookmarkStart w:id="125" w:name="_Toc270090086"/>
      <w:bookmarkStart w:id="126" w:name="_Toc260908201"/>
      <w:bookmarkStart w:id="127" w:name="_Toc481712047"/>
      <w:r>
        <w:rPr>
          <w:rFonts w:hint="eastAsia" w:ascii="宋体" w:hAnsi="宋体" w:eastAsia="宋体"/>
          <w:sz w:val="32"/>
          <w:szCs w:val="32"/>
          <w:highlight w:val="none"/>
        </w:rPr>
        <w:t>三、评标程序</w:t>
      </w:r>
      <w:bookmarkEnd w:id="115"/>
      <w:bookmarkEnd w:id="116"/>
      <w:bookmarkEnd w:id="117"/>
      <w:bookmarkEnd w:id="118"/>
      <w:bookmarkEnd w:id="119"/>
      <w:bookmarkEnd w:id="120"/>
      <w:bookmarkEnd w:id="121"/>
      <w:bookmarkEnd w:id="122"/>
      <w:bookmarkEnd w:id="123"/>
      <w:bookmarkEnd w:id="124"/>
      <w:bookmarkEnd w:id="125"/>
      <w:bookmarkEnd w:id="126"/>
      <w:bookmarkEnd w:id="127"/>
    </w:p>
    <w:p>
      <w:pPr>
        <w:wordWrap w:val="0"/>
        <w:spacing w:line="360" w:lineRule="auto"/>
        <w:ind w:firstLine="472" w:firstLineChars="225"/>
        <w:rPr>
          <w:rFonts w:cs="宋体"/>
          <w:szCs w:val="21"/>
          <w:highlight w:val="none"/>
        </w:rPr>
      </w:pPr>
      <w:r>
        <w:rPr>
          <w:rFonts w:hint="eastAsia" w:cs="宋体"/>
          <w:szCs w:val="21"/>
          <w:highlight w:val="none"/>
        </w:rPr>
        <w:t>本次招标所采用的评标方法为《政府采购货物和服务招标投标管理办法》（财政部令第87号）第五十五条规定的“综合评分法”，即：投标文件满足</w:t>
      </w:r>
      <w:r>
        <w:rPr>
          <w:rFonts w:hint="eastAsia" w:cs="宋体"/>
          <w:szCs w:val="21"/>
          <w:highlight w:val="none"/>
          <w:lang w:eastAsia="zh-CN"/>
        </w:rPr>
        <w:t>采购文件</w:t>
      </w:r>
      <w:r>
        <w:rPr>
          <w:rFonts w:hint="eastAsia" w:cs="宋体"/>
          <w:szCs w:val="21"/>
          <w:highlight w:val="none"/>
        </w:rPr>
        <w:t xml:space="preserve">全部实质性要求，且按照评审因素的量化指标评审得分最高的投标人为中标候选人的评标方法。 </w:t>
      </w:r>
    </w:p>
    <w:p>
      <w:pPr>
        <w:wordWrap w:val="0"/>
        <w:spacing w:line="360" w:lineRule="auto"/>
        <w:ind w:firstLine="472" w:firstLineChars="225"/>
        <w:rPr>
          <w:rFonts w:cs="宋体"/>
          <w:szCs w:val="21"/>
          <w:highlight w:val="none"/>
        </w:rPr>
      </w:pPr>
      <w:r>
        <w:rPr>
          <w:rFonts w:hint="eastAsia" w:cs="宋体"/>
          <w:szCs w:val="21"/>
          <w:highlight w:val="none"/>
        </w:rPr>
        <w:t>评标只对通过资格审查的投标文件进行评审。评标按：符合性审查→投标报价评审→技术评审→商务评审→得分汇总→评标报告编写的程序进行。</w:t>
      </w:r>
    </w:p>
    <w:p>
      <w:pPr>
        <w:wordWrap w:val="0"/>
        <w:spacing w:line="360" w:lineRule="auto"/>
        <w:ind w:firstLine="403" w:firstLineChars="192"/>
        <w:rPr>
          <w:rFonts w:ascii="宋体" w:hAnsi="宋体" w:cs="宋体"/>
          <w:b/>
          <w:szCs w:val="21"/>
          <w:highlight w:val="none"/>
        </w:rPr>
      </w:pPr>
      <w:r>
        <w:rPr>
          <w:rFonts w:hint="eastAsia" w:ascii="宋体" w:hAnsi="宋体" w:cs="宋体"/>
          <w:b/>
          <w:szCs w:val="21"/>
          <w:highlight w:val="none"/>
        </w:rPr>
        <w:t>3.1符合性审查</w:t>
      </w:r>
    </w:p>
    <w:p>
      <w:pPr>
        <w:wordWrap w:val="0"/>
        <w:spacing w:line="360" w:lineRule="auto"/>
        <w:ind w:firstLine="472" w:firstLineChars="225"/>
        <w:rPr>
          <w:rFonts w:cs="宋体"/>
          <w:szCs w:val="21"/>
          <w:highlight w:val="none"/>
        </w:rPr>
      </w:pPr>
      <w:r>
        <w:rPr>
          <w:rFonts w:hint="eastAsia" w:cs="宋体"/>
          <w:szCs w:val="21"/>
          <w:highlight w:val="none"/>
        </w:rPr>
        <w:t>依据</w:t>
      </w:r>
      <w:r>
        <w:rPr>
          <w:rFonts w:hint="eastAsia" w:cs="宋体"/>
          <w:szCs w:val="21"/>
          <w:highlight w:val="none"/>
          <w:lang w:eastAsia="zh-CN"/>
        </w:rPr>
        <w:t>采购文件</w:t>
      </w:r>
      <w:r>
        <w:rPr>
          <w:rFonts w:hint="eastAsia" w:cs="宋体"/>
          <w:szCs w:val="21"/>
          <w:highlight w:val="none"/>
        </w:rPr>
        <w:t>规定，评标委员会对符合资格审查的投标人的投标文件从有效性、完整性及对</w:t>
      </w:r>
      <w:r>
        <w:rPr>
          <w:rFonts w:hint="eastAsia" w:cs="宋体"/>
          <w:szCs w:val="21"/>
          <w:highlight w:val="none"/>
          <w:lang w:eastAsia="zh-CN"/>
        </w:rPr>
        <w:t>采购文件</w:t>
      </w:r>
      <w:r>
        <w:rPr>
          <w:rFonts w:hint="eastAsia" w:cs="宋体"/>
          <w:szCs w:val="21"/>
          <w:highlight w:val="none"/>
        </w:rPr>
        <w:t>实质性响应等方面进行审查，详见“评标办法前附表”。</w:t>
      </w:r>
    </w:p>
    <w:p>
      <w:pPr>
        <w:wordWrap w:val="0"/>
        <w:spacing w:line="360" w:lineRule="auto"/>
        <w:ind w:firstLine="472" w:firstLineChars="225"/>
        <w:rPr>
          <w:rFonts w:cs="宋体"/>
          <w:szCs w:val="21"/>
          <w:highlight w:val="none"/>
        </w:rPr>
      </w:pPr>
      <w:r>
        <w:rPr>
          <w:rFonts w:hint="eastAsia" w:cs="宋体"/>
          <w:szCs w:val="21"/>
          <w:highlight w:val="none"/>
        </w:rPr>
        <w:t>符合性评审中“其他投标无效情形”如下：</w:t>
      </w:r>
    </w:p>
    <w:p>
      <w:pPr>
        <w:wordWrap w:val="0"/>
        <w:spacing w:line="360" w:lineRule="auto"/>
        <w:ind w:firstLine="472" w:firstLineChars="225"/>
        <w:rPr>
          <w:rFonts w:cs="宋体"/>
          <w:szCs w:val="21"/>
          <w:highlight w:val="none"/>
        </w:rPr>
      </w:pPr>
      <w:r>
        <w:rPr>
          <w:rFonts w:hint="eastAsia" w:cs="宋体"/>
          <w:szCs w:val="21"/>
          <w:highlight w:val="none"/>
        </w:rPr>
        <w:t>一、投标人没有按规定网上递交电子投标文件的。</w:t>
      </w:r>
    </w:p>
    <w:p>
      <w:pPr>
        <w:wordWrap w:val="0"/>
        <w:spacing w:line="360" w:lineRule="auto"/>
        <w:ind w:firstLine="472" w:firstLineChars="225"/>
        <w:rPr>
          <w:rFonts w:cs="宋体"/>
          <w:szCs w:val="21"/>
          <w:highlight w:val="none"/>
        </w:rPr>
      </w:pPr>
      <w:r>
        <w:rPr>
          <w:rFonts w:hint="eastAsia" w:cs="宋体"/>
          <w:szCs w:val="21"/>
          <w:highlight w:val="none"/>
        </w:rPr>
        <w:t>二、未按照</w:t>
      </w:r>
      <w:r>
        <w:rPr>
          <w:rFonts w:hint="eastAsia" w:cs="宋体"/>
          <w:szCs w:val="21"/>
          <w:highlight w:val="none"/>
          <w:lang w:eastAsia="zh-CN"/>
        </w:rPr>
        <w:t>采购文件</w:t>
      </w:r>
      <w:r>
        <w:rPr>
          <w:rFonts w:hint="eastAsia" w:cs="宋体"/>
          <w:szCs w:val="21"/>
          <w:highlight w:val="none"/>
        </w:rPr>
        <w:t>的规定提交投标保证金的。</w:t>
      </w:r>
    </w:p>
    <w:p>
      <w:pPr>
        <w:wordWrap w:val="0"/>
        <w:spacing w:line="360" w:lineRule="auto"/>
        <w:ind w:firstLine="472" w:firstLineChars="225"/>
        <w:rPr>
          <w:rFonts w:cs="宋体"/>
          <w:szCs w:val="21"/>
          <w:highlight w:val="none"/>
        </w:rPr>
      </w:pPr>
      <w:r>
        <w:rPr>
          <w:rFonts w:hint="eastAsia" w:cs="宋体"/>
          <w:szCs w:val="21"/>
          <w:highlight w:val="none"/>
        </w:rPr>
        <w:t>三、投标文件未按</w:t>
      </w:r>
      <w:r>
        <w:rPr>
          <w:rFonts w:hint="eastAsia" w:cs="宋体"/>
          <w:szCs w:val="21"/>
          <w:highlight w:val="none"/>
          <w:lang w:eastAsia="zh-CN"/>
        </w:rPr>
        <w:t>采购文件</w:t>
      </w:r>
      <w:r>
        <w:rPr>
          <w:rFonts w:hint="eastAsia" w:cs="宋体"/>
          <w:szCs w:val="21"/>
          <w:highlight w:val="none"/>
        </w:rPr>
        <w:t>要求签署、盖章的。</w:t>
      </w:r>
    </w:p>
    <w:p>
      <w:pPr>
        <w:wordWrap w:val="0"/>
        <w:spacing w:line="360" w:lineRule="auto"/>
        <w:ind w:firstLine="472" w:firstLineChars="225"/>
        <w:rPr>
          <w:rFonts w:cs="宋体"/>
          <w:szCs w:val="21"/>
          <w:highlight w:val="none"/>
        </w:rPr>
      </w:pPr>
      <w:r>
        <w:rPr>
          <w:rFonts w:hint="eastAsia" w:cs="宋体"/>
          <w:szCs w:val="21"/>
          <w:highlight w:val="none"/>
        </w:rPr>
        <w:t>四、不具备</w:t>
      </w:r>
      <w:r>
        <w:rPr>
          <w:rFonts w:hint="eastAsia" w:cs="宋体"/>
          <w:szCs w:val="21"/>
          <w:highlight w:val="none"/>
          <w:lang w:eastAsia="zh-CN"/>
        </w:rPr>
        <w:t>采购文件</w:t>
      </w:r>
      <w:r>
        <w:rPr>
          <w:rFonts w:hint="eastAsia" w:cs="宋体"/>
          <w:szCs w:val="21"/>
          <w:highlight w:val="none"/>
        </w:rPr>
        <w:t>中规定的资格要求的。</w:t>
      </w:r>
    </w:p>
    <w:p>
      <w:pPr>
        <w:wordWrap w:val="0"/>
        <w:spacing w:line="360" w:lineRule="auto"/>
        <w:ind w:firstLine="472" w:firstLineChars="225"/>
        <w:rPr>
          <w:rFonts w:cs="宋体"/>
          <w:szCs w:val="21"/>
          <w:highlight w:val="none"/>
        </w:rPr>
      </w:pPr>
      <w:r>
        <w:rPr>
          <w:rFonts w:hint="eastAsia" w:cs="宋体"/>
          <w:szCs w:val="21"/>
          <w:highlight w:val="none"/>
        </w:rPr>
        <w:t>五、报价超过</w:t>
      </w:r>
      <w:r>
        <w:rPr>
          <w:rFonts w:hint="eastAsia" w:cs="宋体"/>
          <w:szCs w:val="21"/>
          <w:highlight w:val="none"/>
          <w:lang w:eastAsia="zh-CN"/>
        </w:rPr>
        <w:t>采购文件</w:t>
      </w:r>
      <w:r>
        <w:rPr>
          <w:rFonts w:hint="eastAsia" w:cs="宋体"/>
          <w:szCs w:val="21"/>
          <w:highlight w:val="none"/>
        </w:rPr>
        <w:t>中规定的预算金额或者最高限价的。</w:t>
      </w:r>
    </w:p>
    <w:p>
      <w:pPr>
        <w:wordWrap w:val="0"/>
        <w:spacing w:line="360" w:lineRule="auto"/>
        <w:ind w:firstLine="472" w:firstLineChars="225"/>
        <w:rPr>
          <w:rFonts w:cs="宋体"/>
          <w:szCs w:val="21"/>
          <w:highlight w:val="none"/>
        </w:rPr>
      </w:pPr>
      <w:r>
        <w:rPr>
          <w:rFonts w:hint="eastAsia" w:cs="宋体"/>
          <w:szCs w:val="21"/>
          <w:highlight w:val="none"/>
        </w:rPr>
        <w:t>六、投标文件含有</w:t>
      </w:r>
      <w:r>
        <w:rPr>
          <w:rFonts w:hint="eastAsia" w:cs="宋体"/>
          <w:szCs w:val="21"/>
          <w:highlight w:val="none"/>
          <w:lang w:eastAsia="zh-CN"/>
        </w:rPr>
        <w:t>采购人</w:t>
      </w:r>
      <w:r>
        <w:rPr>
          <w:rFonts w:hint="eastAsia" w:cs="宋体"/>
          <w:szCs w:val="21"/>
          <w:highlight w:val="none"/>
        </w:rPr>
        <w:t>不能接受的附加条件的。</w:t>
      </w:r>
    </w:p>
    <w:p>
      <w:pPr>
        <w:wordWrap w:val="0"/>
        <w:spacing w:line="360" w:lineRule="auto"/>
        <w:ind w:firstLine="472" w:firstLineChars="225"/>
        <w:rPr>
          <w:rFonts w:cs="宋体"/>
          <w:szCs w:val="21"/>
          <w:highlight w:val="none"/>
        </w:rPr>
      </w:pPr>
      <w:r>
        <w:rPr>
          <w:rFonts w:hint="eastAsia" w:cs="宋体"/>
          <w:szCs w:val="21"/>
          <w:highlight w:val="none"/>
        </w:rPr>
        <w:t>七、法律、法规和</w:t>
      </w:r>
      <w:r>
        <w:rPr>
          <w:rFonts w:hint="eastAsia" w:cs="宋体"/>
          <w:szCs w:val="21"/>
          <w:highlight w:val="none"/>
          <w:lang w:eastAsia="zh-CN"/>
        </w:rPr>
        <w:t>采购文件</w:t>
      </w:r>
      <w:r>
        <w:rPr>
          <w:rFonts w:hint="eastAsia" w:cs="宋体"/>
          <w:szCs w:val="21"/>
          <w:highlight w:val="none"/>
        </w:rPr>
        <w:t>规定的其他无效情形。</w:t>
      </w:r>
    </w:p>
    <w:p>
      <w:pPr>
        <w:wordWrap w:val="0"/>
        <w:spacing w:line="360" w:lineRule="auto"/>
        <w:ind w:firstLine="472" w:firstLineChars="225"/>
        <w:rPr>
          <w:rFonts w:cs="宋体"/>
          <w:szCs w:val="21"/>
          <w:highlight w:val="none"/>
        </w:rPr>
      </w:pPr>
      <w:r>
        <w:rPr>
          <w:rFonts w:hint="eastAsia" w:cs="宋体"/>
          <w:szCs w:val="21"/>
          <w:highlight w:val="none"/>
        </w:rPr>
        <w:t>八、有弄虚作假或有其他违法行为的。</w:t>
      </w:r>
    </w:p>
    <w:p>
      <w:pPr>
        <w:wordWrap w:val="0"/>
        <w:spacing w:line="360" w:lineRule="auto"/>
        <w:ind w:firstLine="472" w:firstLineChars="225"/>
        <w:rPr>
          <w:rFonts w:cs="宋体"/>
          <w:szCs w:val="21"/>
          <w:highlight w:val="none"/>
        </w:rPr>
      </w:pPr>
      <w:r>
        <w:rPr>
          <w:rFonts w:hint="eastAsia" w:cs="宋体"/>
          <w:szCs w:val="21"/>
          <w:highlight w:val="none"/>
        </w:rPr>
        <w:t>九、不按评标委员会要求澄清、说明或补正的。</w:t>
      </w:r>
    </w:p>
    <w:p>
      <w:pPr>
        <w:wordWrap w:val="0"/>
        <w:spacing w:line="360" w:lineRule="auto"/>
        <w:ind w:firstLine="472" w:firstLineChars="225"/>
        <w:rPr>
          <w:rFonts w:cs="宋体"/>
          <w:szCs w:val="21"/>
          <w:highlight w:val="none"/>
        </w:rPr>
      </w:pPr>
      <w:r>
        <w:rPr>
          <w:rFonts w:hint="eastAsia" w:cs="宋体"/>
          <w:szCs w:val="21"/>
          <w:highlight w:val="none"/>
        </w:rPr>
        <w:t>十、按</w:t>
      </w:r>
      <w:r>
        <w:rPr>
          <w:rFonts w:hint="eastAsia" w:cs="宋体"/>
          <w:szCs w:val="21"/>
          <w:highlight w:val="none"/>
          <w:lang w:eastAsia="zh-CN"/>
        </w:rPr>
        <w:t>采购文件</w:t>
      </w:r>
      <w:r>
        <w:rPr>
          <w:rFonts w:hint="eastAsia" w:cs="宋体"/>
          <w:szCs w:val="21"/>
          <w:highlight w:val="none"/>
        </w:rPr>
        <w:t>要求提交投标保证金有瑕疵的。</w:t>
      </w:r>
    </w:p>
    <w:p>
      <w:pPr>
        <w:wordWrap w:val="0"/>
        <w:spacing w:line="360" w:lineRule="auto"/>
        <w:ind w:firstLine="472" w:firstLineChars="225"/>
        <w:rPr>
          <w:rFonts w:cs="宋体"/>
          <w:szCs w:val="21"/>
          <w:highlight w:val="none"/>
        </w:rPr>
      </w:pPr>
      <w:r>
        <w:rPr>
          <w:rFonts w:hint="eastAsia" w:cs="宋体"/>
          <w:szCs w:val="21"/>
          <w:highlight w:val="none"/>
        </w:rPr>
        <w:t>十一、未按规定格式填写，内容不全或者关键内容字迹模糊，无法辨认的。</w:t>
      </w:r>
    </w:p>
    <w:p>
      <w:pPr>
        <w:wordWrap w:val="0"/>
        <w:spacing w:line="360" w:lineRule="auto"/>
        <w:ind w:firstLine="472" w:firstLineChars="225"/>
        <w:rPr>
          <w:rFonts w:cs="宋体"/>
          <w:szCs w:val="21"/>
          <w:highlight w:val="none"/>
        </w:rPr>
      </w:pPr>
      <w:r>
        <w:rPr>
          <w:rFonts w:hint="eastAsia" w:cs="宋体"/>
          <w:szCs w:val="21"/>
          <w:highlight w:val="none"/>
        </w:rPr>
        <w:t>十二、投标人名称或组织结构与资格审查不一致的。</w:t>
      </w:r>
    </w:p>
    <w:p>
      <w:pPr>
        <w:wordWrap w:val="0"/>
        <w:spacing w:line="360" w:lineRule="auto"/>
        <w:ind w:firstLine="472" w:firstLineChars="225"/>
        <w:rPr>
          <w:rFonts w:cs="宋体"/>
          <w:szCs w:val="21"/>
          <w:highlight w:val="none"/>
        </w:rPr>
      </w:pPr>
      <w:r>
        <w:rPr>
          <w:rFonts w:hint="eastAsia" w:cs="宋体"/>
          <w:szCs w:val="21"/>
          <w:highlight w:val="none"/>
        </w:rPr>
        <w:t>十三、投标人提交的投标文件电子版格式不符合第二章“投标人须知前附表”规定。</w:t>
      </w:r>
    </w:p>
    <w:p>
      <w:pPr>
        <w:wordWrap w:val="0"/>
        <w:spacing w:line="360" w:lineRule="auto"/>
        <w:ind w:firstLine="472" w:firstLineChars="225"/>
        <w:rPr>
          <w:rFonts w:cs="宋体"/>
          <w:szCs w:val="21"/>
          <w:highlight w:val="none"/>
        </w:rPr>
      </w:pPr>
      <w:r>
        <w:rPr>
          <w:rFonts w:hint="eastAsia" w:cs="宋体"/>
          <w:szCs w:val="21"/>
          <w:highlight w:val="none"/>
        </w:rPr>
        <w:t>十四、投标人在投标文件上电子签名的人员与其他投标人在投标文件上的电子签名人员为同一人的。</w:t>
      </w:r>
    </w:p>
    <w:p>
      <w:pPr>
        <w:wordWrap w:val="0"/>
        <w:spacing w:line="360" w:lineRule="auto"/>
        <w:ind w:firstLine="472" w:firstLineChars="225"/>
        <w:rPr>
          <w:rFonts w:cs="宋体"/>
          <w:szCs w:val="21"/>
          <w:highlight w:val="none"/>
        </w:rPr>
      </w:pPr>
      <w:r>
        <w:rPr>
          <w:rFonts w:hint="eastAsia" w:cs="宋体"/>
          <w:szCs w:val="21"/>
          <w:highlight w:val="none"/>
        </w:rPr>
        <w:t>十五、符合本章节3</w:t>
      </w:r>
      <w:r>
        <w:rPr>
          <w:rFonts w:cs="宋体"/>
          <w:szCs w:val="21"/>
          <w:highlight w:val="none"/>
        </w:rPr>
        <w:t>.2</w:t>
      </w:r>
      <w:r>
        <w:rPr>
          <w:rFonts w:hint="eastAsia" w:cs="宋体"/>
          <w:szCs w:val="21"/>
          <w:highlight w:val="none"/>
        </w:rPr>
        <w:t>中“报价过低情形澄清”情况的。</w:t>
      </w:r>
    </w:p>
    <w:p>
      <w:pPr>
        <w:wordWrap w:val="0"/>
        <w:spacing w:line="360" w:lineRule="auto"/>
        <w:ind w:firstLine="472" w:firstLineChars="225"/>
        <w:rPr>
          <w:rFonts w:cs="宋体"/>
          <w:szCs w:val="21"/>
          <w:highlight w:val="none"/>
        </w:rPr>
      </w:pPr>
      <w:r>
        <w:rPr>
          <w:rFonts w:hint="eastAsia" w:cs="宋体"/>
          <w:szCs w:val="21"/>
          <w:highlight w:val="none"/>
        </w:rPr>
        <w:t>十六、联合体各方再以自己名义单独或参加其他联合体在同</w:t>
      </w:r>
      <w:r>
        <w:rPr>
          <w:rFonts w:hint="eastAsia" w:cs="宋体"/>
          <w:szCs w:val="21"/>
          <w:highlight w:val="none"/>
          <w:lang w:val="en-US" w:eastAsia="zh-CN"/>
        </w:rPr>
        <w:t>一标段</w:t>
      </w:r>
      <w:r>
        <w:rPr>
          <w:rFonts w:hint="eastAsia" w:cs="宋体"/>
          <w:szCs w:val="21"/>
          <w:highlight w:val="none"/>
        </w:rPr>
        <w:t>中投标的。</w:t>
      </w:r>
    </w:p>
    <w:p>
      <w:pPr>
        <w:wordWrap w:val="0"/>
        <w:spacing w:line="360" w:lineRule="auto"/>
        <w:ind w:firstLine="472" w:firstLineChars="225"/>
        <w:rPr>
          <w:rFonts w:cs="宋体"/>
          <w:szCs w:val="21"/>
          <w:highlight w:val="none"/>
        </w:rPr>
      </w:pPr>
      <w:r>
        <w:rPr>
          <w:rFonts w:hint="eastAsia" w:cs="宋体"/>
          <w:szCs w:val="21"/>
          <w:highlight w:val="none"/>
        </w:rPr>
        <w:t>十七、有下列情形之一的，经评标委员会集体表决后认定，视作串通投标处理，并提请有关</w:t>
      </w:r>
      <w:r>
        <w:rPr>
          <w:rFonts w:cs="宋体"/>
          <w:szCs w:val="21"/>
          <w:highlight w:val="none"/>
        </w:rPr>
        <w:t>监管部门</w:t>
      </w:r>
      <w:r>
        <w:rPr>
          <w:rFonts w:hint="eastAsia" w:cs="宋体"/>
          <w:szCs w:val="21"/>
          <w:highlight w:val="none"/>
        </w:rPr>
        <w:t>依法予以处罚：</w:t>
      </w:r>
    </w:p>
    <w:p>
      <w:pPr>
        <w:wordWrap w:val="0"/>
        <w:spacing w:line="360" w:lineRule="auto"/>
        <w:ind w:firstLine="472" w:firstLineChars="225"/>
        <w:rPr>
          <w:rFonts w:cs="宋体"/>
          <w:szCs w:val="21"/>
          <w:highlight w:val="none"/>
        </w:rPr>
      </w:pPr>
      <w:r>
        <w:rPr>
          <w:rFonts w:hint="eastAsia" w:cs="宋体"/>
          <w:szCs w:val="21"/>
          <w:highlight w:val="none"/>
        </w:rPr>
        <w:t>（1）不同投标人的投标文件内容存在非正常一致的；</w:t>
      </w:r>
    </w:p>
    <w:p>
      <w:pPr>
        <w:wordWrap w:val="0"/>
        <w:spacing w:line="360" w:lineRule="auto"/>
        <w:ind w:firstLine="472" w:firstLineChars="225"/>
        <w:rPr>
          <w:rFonts w:cs="宋体"/>
          <w:szCs w:val="21"/>
          <w:highlight w:val="none"/>
        </w:rPr>
      </w:pPr>
      <w:r>
        <w:rPr>
          <w:rFonts w:hint="eastAsia" w:cs="宋体"/>
          <w:szCs w:val="21"/>
          <w:highlight w:val="none"/>
        </w:rPr>
        <w:t>（2）不同投标人的投标文件两处以上错漏一致的；</w:t>
      </w:r>
    </w:p>
    <w:p>
      <w:pPr>
        <w:wordWrap w:val="0"/>
        <w:spacing w:line="360" w:lineRule="auto"/>
        <w:ind w:firstLine="472" w:firstLineChars="225"/>
        <w:rPr>
          <w:rFonts w:cs="宋体"/>
          <w:szCs w:val="21"/>
          <w:highlight w:val="none"/>
        </w:rPr>
      </w:pPr>
      <w:r>
        <w:rPr>
          <w:rFonts w:hint="eastAsia" w:cs="宋体"/>
          <w:szCs w:val="21"/>
          <w:highlight w:val="none"/>
        </w:rPr>
        <w:t>（3）不同投标人的投标报价或者报价组成异常接近或者呈规律性变化的；</w:t>
      </w:r>
    </w:p>
    <w:p>
      <w:pPr>
        <w:wordWrap w:val="0"/>
        <w:spacing w:line="360" w:lineRule="auto"/>
        <w:ind w:firstLine="472" w:firstLineChars="225"/>
        <w:rPr>
          <w:rFonts w:cs="宋体"/>
          <w:szCs w:val="21"/>
          <w:highlight w:val="none"/>
        </w:rPr>
      </w:pPr>
      <w:r>
        <w:rPr>
          <w:rFonts w:hint="eastAsia" w:cs="宋体"/>
          <w:szCs w:val="21"/>
          <w:highlight w:val="none"/>
        </w:rPr>
        <w:t>（4）不同投标人的投标文件由同一企业或者同一个人编制的；</w:t>
      </w:r>
    </w:p>
    <w:p>
      <w:pPr>
        <w:wordWrap w:val="0"/>
        <w:spacing w:line="360" w:lineRule="auto"/>
        <w:ind w:firstLine="472" w:firstLineChars="225"/>
        <w:rPr>
          <w:rFonts w:cs="宋体"/>
          <w:szCs w:val="21"/>
          <w:highlight w:val="none"/>
        </w:rPr>
      </w:pPr>
      <w:r>
        <w:rPr>
          <w:rFonts w:hint="eastAsia" w:cs="宋体"/>
          <w:szCs w:val="21"/>
          <w:highlight w:val="none"/>
        </w:rPr>
        <w:t>（5）不同投标人的投标文件载明的项目管理班子成员出现同一人的；</w:t>
      </w:r>
    </w:p>
    <w:p>
      <w:pPr>
        <w:wordWrap w:val="0"/>
        <w:spacing w:line="360" w:lineRule="auto"/>
        <w:ind w:firstLine="472" w:firstLineChars="225"/>
        <w:rPr>
          <w:rFonts w:cs="宋体"/>
          <w:szCs w:val="21"/>
          <w:highlight w:val="none"/>
        </w:rPr>
      </w:pPr>
      <w:r>
        <w:rPr>
          <w:rFonts w:hint="eastAsia" w:cs="宋体"/>
          <w:szCs w:val="21"/>
          <w:highlight w:val="none"/>
        </w:rPr>
        <w:t>（6）不同投标人的投标文件相互混装的；</w:t>
      </w:r>
    </w:p>
    <w:p>
      <w:pPr>
        <w:wordWrap w:val="0"/>
        <w:spacing w:line="360" w:lineRule="auto"/>
        <w:ind w:firstLine="472" w:firstLineChars="225"/>
        <w:rPr>
          <w:rFonts w:cs="宋体"/>
          <w:szCs w:val="21"/>
          <w:highlight w:val="none"/>
        </w:rPr>
      </w:pPr>
      <w:r>
        <w:rPr>
          <w:rFonts w:hint="eastAsia" w:cs="宋体"/>
          <w:szCs w:val="21"/>
          <w:highlight w:val="none"/>
        </w:rPr>
        <w:t>（7）不同投标人的投标文件由同一台电脑编制或者同一台附属设备打印的；</w:t>
      </w:r>
    </w:p>
    <w:p>
      <w:pPr>
        <w:wordWrap w:val="0"/>
        <w:spacing w:line="360" w:lineRule="auto"/>
        <w:ind w:firstLine="472" w:firstLineChars="225"/>
        <w:rPr>
          <w:rFonts w:cs="宋体"/>
          <w:szCs w:val="21"/>
          <w:highlight w:val="none"/>
        </w:rPr>
      </w:pPr>
      <w:r>
        <w:rPr>
          <w:rFonts w:hint="eastAsia" w:cs="宋体"/>
          <w:szCs w:val="21"/>
          <w:highlight w:val="none"/>
        </w:rPr>
        <w:t>（8）不同投标人委托同一人投标的；</w:t>
      </w:r>
    </w:p>
    <w:p>
      <w:pPr>
        <w:wordWrap w:val="0"/>
        <w:spacing w:line="360" w:lineRule="auto"/>
        <w:ind w:firstLine="472" w:firstLineChars="225"/>
        <w:rPr>
          <w:rFonts w:cs="宋体"/>
          <w:szCs w:val="21"/>
          <w:highlight w:val="none"/>
        </w:rPr>
      </w:pPr>
      <w:r>
        <w:rPr>
          <w:rFonts w:hint="eastAsia" w:cs="宋体"/>
          <w:szCs w:val="21"/>
          <w:highlight w:val="none"/>
        </w:rPr>
        <w:t>（9）不同投标人使用同一个人或者同一个企业资金交纳投标保证金。</w:t>
      </w:r>
    </w:p>
    <w:p>
      <w:pPr>
        <w:wordWrap w:val="0"/>
        <w:spacing w:line="360" w:lineRule="auto"/>
        <w:ind w:firstLine="472" w:firstLineChars="225"/>
        <w:rPr>
          <w:rFonts w:cs="宋体"/>
          <w:szCs w:val="21"/>
          <w:highlight w:val="none"/>
        </w:rPr>
      </w:pPr>
      <w:r>
        <w:rPr>
          <w:rFonts w:hint="eastAsia" w:cs="宋体"/>
          <w:szCs w:val="21"/>
          <w:highlight w:val="none"/>
        </w:rPr>
        <w:t>（10）不同投标人委托同一人或者注册在同一家企业的人员为其提供投标咨询、商务报价、技术咨询（招标工程本身要求采用专有技术的除外）等服务；</w:t>
      </w:r>
    </w:p>
    <w:p>
      <w:pPr>
        <w:wordWrap w:val="0"/>
        <w:spacing w:line="360" w:lineRule="auto"/>
        <w:ind w:firstLine="472" w:firstLineChars="225"/>
        <w:rPr>
          <w:rFonts w:cs="宋体"/>
          <w:szCs w:val="21"/>
          <w:highlight w:val="none"/>
        </w:rPr>
      </w:pPr>
      <w:r>
        <w:rPr>
          <w:rFonts w:hint="eastAsia" w:cs="宋体"/>
          <w:szCs w:val="21"/>
          <w:highlight w:val="none"/>
        </w:rPr>
        <w:t>（11）评标委员会认定的其他串通投标情形。</w:t>
      </w:r>
    </w:p>
    <w:p>
      <w:pPr>
        <w:wordWrap w:val="0"/>
        <w:spacing w:line="360" w:lineRule="auto"/>
        <w:ind w:firstLine="403" w:firstLineChars="192"/>
        <w:rPr>
          <w:rFonts w:ascii="宋体" w:hAnsi="宋体" w:cs="宋体"/>
          <w:b/>
          <w:szCs w:val="21"/>
          <w:highlight w:val="none"/>
        </w:rPr>
      </w:pPr>
      <w:r>
        <w:rPr>
          <w:rFonts w:hint="eastAsia" w:ascii="宋体" w:hAnsi="宋体" w:cs="宋体"/>
          <w:b/>
          <w:szCs w:val="21"/>
          <w:highlight w:val="none"/>
        </w:rPr>
        <w:t>3.2报价部分评审</w:t>
      </w:r>
    </w:p>
    <w:p>
      <w:pPr>
        <w:wordWrap w:val="0"/>
        <w:spacing w:line="360" w:lineRule="auto"/>
        <w:ind w:firstLine="472" w:firstLineChars="225"/>
        <w:rPr>
          <w:rFonts w:cs="宋体"/>
          <w:szCs w:val="21"/>
          <w:highlight w:val="none"/>
        </w:rPr>
      </w:pPr>
      <w:r>
        <w:rPr>
          <w:rFonts w:hint="eastAsia" w:cs="宋体"/>
          <w:szCs w:val="21"/>
          <w:highlight w:val="none"/>
        </w:rPr>
        <w:t>详见“评标办法前附表”。</w:t>
      </w:r>
    </w:p>
    <w:p>
      <w:pPr>
        <w:wordWrap w:val="0"/>
        <w:spacing w:line="360" w:lineRule="auto"/>
        <w:ind w:firstLine="472" w:firstLineChars="225"/>
        <w:rPr>
          <w:rFonts w:cs="宋体"/>
          <w:szCs w:val="21"/>
          <w:highlight w:val="none"/>
        </w:rPr>
      </w:pPr>
      <w:r>
        <w:rPr>
          <w:rFonts w:hint="eastAsia" w:cs="宋体"/>
          <w:szCs w:val="21"/>
          <w:highlight w:val="none"/>
        </w:rPr>
        <w:t>1.投标文件内容澄清</w:t>
      </w:r>
    </w:p>
    <w:p>
      <w:pPr>
        <w:wordWrap w:val="0"/>
        <w:spacing w:line="360" w:lineRule="auto"/>
        <w:ind w:firstLine="472" w:firstLineChars="225"/>
        <w:rPr>
          <w:rFonts w:cs="宋体"/>
          <w:szCs w:val="21"/>
          <w:highlight w:val="none"/>
        </w:rPr>
      </w:pPr>
      <w:r>
        <w:rPr>
          <w:rFonts w:hint="eastAsia" w:cs="宋体"/>
          <w:szCs w:val="21"/>
          <w:highlight w:val="none"/>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 </w:t>
      </w:r>
    </w:p>
    <w:p>
      <w:pPr>
        <w:wordWrap w:val="0"/>
        <w:spacing w:line="360" w:lineRule="auto"/>
        <w:ind w:firstLine="472" w:firstLineChars="225"/>
        <w:rPr>
          <w:rFonts w:cs="宋体"/>
          <w:szCs w:val="21"/>
          <w:highlight w:val="none"/>
        </w:rPr>
      </w:pPr>
      <w:r>
        <w:rPr>
          <w:rFonts w:hint="eastAsia" w:cs="宋体"/>
          <w:szCs w:val="21"/>
          <w:highlight w:val="none"/>
        </w:rPr>
        <w:t xml:space="preserve">2.报价不一致情形澄清 </w:t>
      </w:r>
    </w:p>
    <w:p>
      <w:pPr>
        <w:wordWrap w:val="0"/>
        <w:spacing w:line="360" w:lineRule="auto"/>
        <w:ind w:firstLine="472" w:firstLineChars="225"/>
        <w:rPr>
          <w:rFonts w:cs="宋体"/>
          <w:szCs w:val="21"/>
          <w:highlight w:val="none"/>
        </w:rPr>
      </w:pPr>
      <w:r>
        <w:rPr>
          <w:rFonts w:hint="eastAsia" w:cs="宋体"/>
          <w:szCs w:val="21"/>
          <w:highlight w:val="none"/>
        </w:rPr>
        <w:t>投标文件报价出现前后不一致的，除</w:t>
      </w:r>
      <w:r>
        <w:rPr>
          <w:rFonts w:hint="eastAsia" w:cs="宋体"/>
          <w:szCs w:val="21"/>
          <w:highlight w:val="none"/>
          <w:lang w:eastAsia="zh-CN"/>
        </w:rPr>
        <w:t>采购文件</w:t>
      </w:r>
      <w:r>
        <w:rPr>
          <w:rFonts w:hint="eastAsia" w:cs="宋体"/>
          <w:szCs w:val="21"/>
          <w:highlight w:val="none"/>
        </w:rPr>
        <w:t xml:space="preserve">另有规定外，按照下列规定修正： </w:t>
      </w:r>
    </w:p>
    <w:p>
      <w:pPr>
        <w:wordWrap w:val="0"/>
        <w:spacing w:line="360" w:lineRule="auto"/>
        <w:ind w:firstLine="472" w:firstLineChars="225"/>
        <w:rPr>
          <w:rFonts w:cs="宋体"/>
          <w:szCs w:val="21"/>
          <w:highlight w:val="none"/>
        </w:rPr>
      </w:pPr>
      <w:r>
        <w:rPr>
          <w:rFonts w:hint="eastAsia" w:cs="宋体"/>
          <w:szCs w:val="21"/>
          <w:highlight w:val="none"/>
        </w:rPr>
        <w:t>（1）投标文件中《开标一览表》内容与投标文件中相应内容不一致的，以《开标一览表》为准；</w:t>
      </w:r>
    </w:p>
    <w:p>
      <w:pPr>
        <w:wordWrap w:val="0"/>
        <w:spacing w:line="360" w:lineRule="auto"/>
        <w:ind w:firstLine="472" w:firstLineChars="225"/>
        <w:rPr>
          <w:rFonts w:cs="宋体"/>
          <w:szCs w:val="21"/>
          <w:highlight w:val="none"/>
        </w:rPr>
      </w:pPr>
      <w:r>
        <w:rPr>
          <w:rFonts w:hint="eastAsia" w:cs="宋体"/>
          <w:szCs w:val="21"/>
          <w:highlight w:val="none"/>
        </w:rPr>
        <w:t>（2）大写金额和小写金额不一致的，以大写金额为准；</w:t>
      </w:r>
    </w:p>
    <w:p>
      <w:pPr>
        <w:wordWrap w:val="0"/>
        <w:spacing w:line="360" w:lineRule="auto"/>
        <w:ind w:firstLine="472" w:firstLineChars="225"/>
        <w:rPr>
          <w:rFonts w:cs="宋体"/>
          <w:szCs w:val="21"/>
          <w:highlight w:val="none"/>
        </w:rPr>
      </w:pPr>
      <w:r>
        <w:rPr>
          <w:rFonts w:hint="eastAsia" w:cs="宋体"/>
          <w:szCs w:val="21"/>
          <w:highlight w:val="none"/>
        </w:rPr>
        <w:t xml:space="preserve">（3）单价金额小数点或者百分比有明显错位的，以开标一览表的总价为准，并修改单价； </w:t>
      </w:r>
    </w:p>
    <w:p>
      <w:pPr>
        <w:wordWrap w:val="0"/>
        <w:spacing w:line="360" w:lineRule="auto"/>
        <w:ind w:firstLine="472" w:firstLineChars="225"/>
        <w:rPr>
          <w:rFonts w:cs="宋体"/>
          <w:szCs w:val="21"/>
          <w:highlight w:val="none"/>
        </w:rPr>
      </w:pPr>
      <w:r>
        <w:rPr>
          <w:rFonts w:hint="eastAsia" w:cs="宋体"/>
          <w:szCs w:val="21"/>
          <w:highlight w:val="none"/>
        </w:rPr>
        <w:t>（4）总价金额与按单价汇总金额不一致的，以单价金额计算结果为准。</w:t>
      </w:r>
    </w:p>
    <w:p>
      <w:pPr>
        <w:wordWrap w:val="0"/>
        <w:spacing w:line="360" w:lineRule="auto"/>
        <w:ind w:firstLine="472" w:firstLineChars="225"/>
        <w:rPr>
          <w:rFonts w:cs="宋体"/>
          <w:szCs w:val="21"/>
          <w:highlight w:val="none"/>
        </w:rPr>
      </w:pPr>
      <w:r>
        <w:rPr>
          <w:rFonts w:hint="eastAsia" w:cs="宋体"/>
          <w:szCs w:val="21"/>
          <w:highlight w:val="none"/>
        </w:rPr>
        <w:t xml:space="preserve">（5）同时出现两种以上不一致的，按照前款规定的顺序修正。修正后的报价经投标人确认后产生约束力，投标人不确认的，其投标无效。 </w:t>
      </w:r>
    </w:p>
    <w:p>
      <w:pPr>
        <w:keepNext w:val="0"/>
        <w:keepLines w:val="0"/>
        <w:pageBreakBefore w:val="0"/>
        <w:widowControl w:val="0"/>
        <w:kinsoku/>
        <w:wordWrap w:val="0"/>
        <w:overflowPunct/>
        <w:topLinePunct w:val="0"/>
        <w:autoSpaceDE/>
        <w:autoSpaceDN/>
        <w:bidi w:val="0"/>
        <w:adjustRightInd/>
        <w:snapToGrid/>
        <w:spacing w:line="360" w:lineRule="auto"/>
        <w:ind w:right="0" w:firstLine="472" w:firstLineChars="225"/>
        <w:textAlignment w:val="auto"/>
        <w:rPr>
          <w:rFonts w:cs="宋体"/>
          <w:szCs w:val="21"/>
          <w:highlight w:val="none"/>
        </w:rPr>
      </w:pPr>
      <w:r>
        <w:rPr>
          <w:rFonts w:hint="eastAsia" w:cs="宋体"/>
          <w:szCs w:val="21"/>
          <w:highlight w:val="none"/>
        </w:rPr>
        <w:t>3.报价过低情形澄清</w:t>
      </w:r>
    </w:p>
    <w:p>
      <w:pPr>
        <w:pStyle w:val="113"/>
        <w:keepNext w:val="0"/>
        <w:keepLines w:val="0"/>
        <w:pageBreakBefore w:val="0"/>
        <w:widowControl w:val="0"/>
        <w:kinsoku/>
        <w:overflowPunct/>
        <w:topLinePunct w:val="0"/>
        <w:autoSpaceDE/>
        <w:autoSpaceDN/>
        <w:bidi w:val="0"/>
        <w:adjustRightInd/>
        <w:snapToGrid/>
        <w:spacing w:line="360" w:lineRule="auto"/>
        <w:ind w:right="0" w:firstLine="420" w:firstLineChars="200"/>
        <w:textAlignment w:val="auto"/>
        <w:rPr>
          <w:rFonts w:hint="eastAsia" w:ascii="Times New Roman" w:hAnsi="Times New Roman" w:eastAsia="宋体" w:cs="宋体"/>
          <w:kern w:val="2"/>
          <w:sz w:val="21"/>
          <w:szCs w:val="21"/>
          <w:highlight w:val="none"/>
          <w:lang w:val="en-US" w:eastAsia="zh-CN" w:bidi="ar-SA"/>
        </w:rPr>
      </w:pPr>
      <w:r>
        <w:rPr>
          <w:rFonts w:hint="eastAsia" w:ascii="Times New Roman" w:hAnsi="Times New Roman" w:eastAsia="宋体" w:cs="宋体"/>
          <w:kern w:val="2"/>
          <w:sz w:val="21"/>
          <w:szCs w:val="21"/>
          <w:highlight w:val="none"/>
          <w:lang w:val="en-US" w:eastAsia="zh-CN" w:bidi="ar-SA"/>
        </w:rPr>
        <w:t>评标委员会认为投标人的报价(总价或单价)明显低于其他通过符合性审查投标人的报价(总价或单价)，有可能影响产品质量或者不能诚信履约的，应当要求其在评标现场合理的时间内提供书面说明，评标委员会应当要求其在评标现场合理的时间内提供成本构成书面说明，并提交相关证明材料。投标人书面说明应当按照国家财务会计制度的规定要求，逐项就投标人提供的货物、工程和服务的主营业务成本（应根据投标人企业类型予以区别）、税金及附加、销售费用、管理费用、财务费用等成本构成事项详细陈述及相关证明材料。投标人书面说明应当签字确认或者加盖公章，否则无效。书面说明的签字确认，投标人为法人的，由其法定代表人或者代理人签字确认；投标人为其他组织的，由其主要负责人或者代理人签字确认；供 应商为自然人的， 由其本人或者代理人签字确认。</w:t>
      </w:r>
    </w:p>
    <w:p>
      <w:pPr>
        <w:pStyle w:val="113"/>
        <w:keepNext w:val="0"/>
        <w:keepLines w:val="0"/>
        <w:pageBreakBefore w:val="0"/>
        <w:widowControl w:val="0"/>
        <w:kinsoku/>
        <w:overflowPunct/>
        <w:topLinePunct w:val="0"/>
        <w:autoSpaceDE/>
        <w:autoSpaceDN/>
        <w:bidi w:val="0"/>
        <w:adjustRightInd/>
        <w:snapToGrid/>
        <w:spacing w:line="360" w:lineRule="auto"/>
        <w:ind w:right="0" w:firstLine="420" w:firstLineChars="200"/>
        <w:textAlignment w:val="auto"/>
        <w:rPr>
          <w:rFonts w:hint="eastAsia" w:ascii="Times New Roman" w:hAnsi="Times New Roman" w:eastAsia="宋体" w:cs="宋体"/>
          <w:kern w:val="2"/>
          <w:sz w:val="21"/>
          <w:szCs w:val="21"/>
          <w:highlight w:val="none"/>
          <w:lang w:val="en-US" w:eastAsia="zh-CN" w:bidi="ar-SA"/>
        </w:rPr>
      </w:pPr>
      <w:r>
        <w:rPr>
          <w:rFonts w:hint="eastAsia" w:ascii="Times New Roman" w:hAnsi="Times New Roman" w:eastAsia="宋体" w:cs="宋体"/>
          <w:kern w:val="2"/>
          <w:sz w:val="21"/>
          <w:szCs w:val="21"/>
          <w:highlight w:val="none"/>
          <w:lang w:val="en-US" w:eastAsia="zh-CN" w:bidi="ar-SA"/>
        </w:rPr>
        <w:t>投标人提供书面说明后，评标委员会应当结合采购项目采购需求、专业实际情 况、投标人财务状况报告、与其他投标人比较情况等就投标人书面说明进行审查 评价。投标人拒绝或者变相拒绝提供有效书面说明或者书面说明不能证明其报价合理性的，评标委员会应当将其投标文件作为无效处理。</w:t>
      </w:r>
    </w:p>
    <w:p>
      <w:pPr>
        <w:wordWrap w:val="0"/>
        <w:spacing w:line="360" w:lineRule="auto"/>
        <w:ind w:firstLine="403" w:firstLineChars="192"/>
        <w:rPr>
          <w:rFonts w:ascii="宋体" w:hAnsi="宋体" w:cs="宋体"/>
          <w:b/>
          <w:szCs w:val="21"/>
          <w:highlight w:val="none"/>
        </w:rPr>
      </w:pPr>
      <w:r>
        <w:rPr>
          <w:rFonts w:hint="eastAsia" w:ascii="宋体" w:hAnsi="宋体" w:cs="宋体"/>
          <w:b/>
          <w:szCs w:val="21"/>
          <w:highlight w:val="none"/>
        </w:rPr>
        <w:t>3.3技术部分评审</w:t>
      </w:r>
    </w:p>
    <w:p>
      <w:pPr>
        <w:wordWrap w:val="0"/>
        <w:spacing w:line="360" w:lineRule="auto"/>
        <w:ind w:firstLine="472" w:firstLineChars="225"/>
        <w:rPr>
          <w:rFonts w:cs="宋体"/>
          <w:szCs w:val="21"/>
          <w:highlight w:val="none"/>
        </w:rPr>
      </w:pPr>
      <w:r>
        <w:rPr>
          <w:rFonts w:hint="eastAsia" w:cs="宋体"/>
          <w:szCs w:val="21"/>
          <w:highlight w:val="none"/>
        </w:rPr>
        <w:t>详见“评标办法前附表”。</w:t>
      </w:r>
    </w:p>
    <w:p>
      <w:pPr>
        <w:wordWrap w:val="0"/>
        <w:spacing w:line="360" w:lineRule="auto"/>
        <w:ind w:firstLine="472" w:firstLineChars="225"/>
        <w:rPr>
          <w:rFonts w:cs="宋体"/>
          <w:szCs w:val="21"/>
          <w:highlight w:val="none"/>
        </w:rPr>
      </w:pPr>
      <w:r>
        <w:rPr>
          <w:rFonts w:hint="eastAsia" w:cs="宋体"/>
          <w:szCs w:val="21"/>
          <w:highlight w:val="none"/>
        </w:rPr>
        <w:t>（1）评标委员会技术组评委应首先对各投标人投标文件进行评审，并按</w:t>
      </w:r>
      <w:r>
        <w:rPr>
          <w:rFonts w:hint="eastAsia" w:cs="宋体"/>
          <w:szCs w:val="21"/>
          <w:highlight w:val="none"/>
          <w:lang w:eastAsia="zh-CN"/>
        </w:rPr>
        <w:t>采购文件</w:t>
      </w:r>
      <w:r>
        <w:rPr>
          <w:rFonts w:hint="eastAsia" w:cs="宋体"/>
          <w:szCs w:val="21"/>
          <w:highlight w:val="none"/>
        </w:rPr>
        <w:t>规定分值评分。</w:t>
      </w:r>
    </w:p>
    <w:p>
      <w:pPr>
        <w:wordWrap w:val="0"/>
        <w:spacing w:line="360" w:lineRule="auto"/>
        <w:ind w:firstLine="472" w:firstLineChars="225"/>
        <w:rPr>
          <w:rFonts w:cs="宋体"/>
          <w:szCs w:val="21"/>
          <w:highlight w:val="none"/>
        </w:rPr>
      </w:pPr>
      <w:r>
        <w:rPr>
          <w:rFonts w:hint="eastAsia" w:cs="宋体"/>
          <w:szCs w:val="21"/>
          <w:highlight w:val="none"/>
        </w:rPr>
        <w:t>（2）统计分数原则：评标委员会的评分计算算术平均分值为投标人的技术部分得分（保留小数点后两位）。</w:t>
      </w:r>
    </w:p>
    <w:p>
      <w:pPr>
        <w:pStyle w:val="3"/>
        <w:numPr>
          <w:ilvl w:val="0"/>
          <w:numId w:val="0"/>
        </w:numPr>
        <w:jc w:val="center"/>
        <w:rPr>
          <w:rFonts w:ascii="宋体" w:hAnsi="宋体"/>
          <w:highlight w:val="none"/>
        </w:rPr>
      </w:pPr>
      <w:bookmarkStart w:id="128" w:name="_Toc5017"/>
      <w:bookmarkStart w:id="129" w:name="_Toc12452"/>
      <w:bookmarkStart w:id="130" w:name="_Toc9185"/>
      <w:bookmarkStart w:id="131" w:name="_Toc71823595"/>
      <w:bookmarkStart w:id="132" w:name="_Toc16051"/>
      <w:r>
        <w:rPr>
          <w:rFonts w:hint="eastAsia" w:ascii="宋体" w:hAnsi="宋体" w:eastAsia="宋体"/>
          <w:sz w:val="32"/>
          <w:szCs w:val="32"/>
          <w:highlight w:val="none"/>
        </w:rPr>
        <w:t>四、汇总评标结果</w:t>
      </w:r>
      <w:bookmarkEnd w:id="128"/>
      <w:bookmarkEnd w:id="129"/>
      <w:bookmarkEnd w:id="130"/>
      <w:bookmarkEnd w:id="131"/>
      <w:bookmarkEnd w:id="132"/>
    </w:p>
    <w:p>
      <w:pPr>
        <w:wordWrap w:val="0"/>
        <w:spacing w:line="360" w:lineRule="auto"/>
        <w:ind w:firstLine="359" w:firstLineChars="171"/>
        <w:rPr>
          <w:rFonts w:cs="宋体"/>
          <w:szCs w:val="21"/>
          <w:highlight w:val="none"/>
        </w:rPr>
      </w:pPr>
      <w:r>
        <w:rPr>
          <w:rFonts w:hint="eastAsia" w:cs="宋体"/>
          <w:szCs w:val="21"/>
          <w:highlight w:val="none"/>
        </w:rPr>
        <w:t>1</w:t>
      </w:r>
      <w:r>
        <w:rPr>
          <w:rFonts w:cs="宋体"/>
          <w:szCs w:val="21"/>
          <w:highlight w:val="none"/>
        </w:rPr>
        <w:t>.</w:t>
      </w:r>
      <w:r>
        <w:rPr>
          <w:rFonts w:hint="eastAsia" w:cs="宋体"/>
          <w:szCs w:val="21"/>
          <w:highlight w:val="none"/>
        </w:rPr>
        <w:t xml:space="preserve">各项评分因素得分乘以相对应的权重系数后的总和即为投标人最后得分。 </w:t>
      </w:r>
    </w:p>
    <w:p>
      <w:pPr>
        <w:wordWrap w:val="0"/>
        <w:spacing w:line="360" w:lineRule="auto"/>
        <w:ind w:firstLine="359" w:firstLineChars="171"/>
        <w:rPr>
          <w:rFonts w:cs="宋体"/>
          <w:szCs w:val="21"/>
          <w:highlight w:val="none"/>
        </w:rPr>
      </w:pPr>
      <w:r>
        <w:rPr>
          <w:rFonts w:hint="eastAsia" w:cs="宋体"/>
          <w:szCs w:val="21"/>
          <w:highlight w:val="none"/>
        </w:rPr>
        <w:t>2</w:t>
      </w:r>
      <w:r>
        <w:rPr>
          <w:rFonts w:cs="宋体"/>
          <w:szCs w:val="21"/>
          <w:highlight w:val="none"/>
        </w:rPr>
        <w:t>.</w:t>
      </w:r>
      <w:r>
        <w:rPr>
          <w:rFonts w:hint="eastAsia" w:cs="宋体"/>
          <w:szCs w:val="21"/>
          <w:highlight w:val="none"/>
        </w:rPr>
        <w:t>经评标委员会认定评分畸高、畸低的，评标委员会应当当场修改评标结果，并在评标报告中记载。</w:t>
      </w:r>
    </w:p>
    <w:p>
      <w:pPr>
        <w:pStyle w:val="3"/>
        <w:numPr>
          <w:ilvl w:val="2"/>
          <w:numId w:val="0"/>
        </w:numPr>
        <w:tabs>
          <w:tab w:val="left" w:pos="900"/>
          <w:tab w:val="clear" w:pos="1021"/>
        </w:tabs>
        <w:jc w:val="center"/>
        <w:rPr>
          <w:rFonts w:ascii="宋体" w:hAnsi="宋体" w:eastAsia="宋体"/>
          <w:sz w:val="32"/>
          <w:szCs w:val="32"/>
          <w:highlight w:val="none"/>
        </w:rPr>
      </w:pPr>
      <w:bookmarkStart w:id="133" w:name="_Toc520802757"/>
      <w:bookmarkStart w:id="134" w:name="_Toc27553"/>
      <w:bookmarkStart w:id="135" w:name="_Toc10698"/>
      <w:bookmarkStart w:id="136" w:name="_Toc55"/>
      <w:bookmarkStart w:id="137" w:name="_Toc71823596"/>
      <w:bookmarkStart w:id="138" w:name="_Toc29748"/>
      <w:r>
        <w:rPr>
          <w:rFonts w:hint="eastAsia" w:ascii="宋体" w:hAnsi="宋体" w:eastAsia="宋体"/>
          <w:sz w:val="32"/>
          <w:szCs w:val="32"/>
          <w:highlight w:val="none"/>
        </w:rPr>
        <w:t>五、推荐中标候选人</w:t>
      </w:r>
      <w:bookmarkEnd w:id="133"/>
      <w:bookmarkEnd w:id="134"/>
      <w:bookmarkEnd w:id="135"/>
      <w:bookmarkEnd w:id="136"/>
      <w:bookmarkEnd w:id="137"/>
      <w:bookmarkEnd w:id="138"/>
    </w:p>
    <w:p>
      <w:pPr>
        <w:pStyle w:val="74"/>
        <w:wordWrap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评标委员会按评标办法的公式计算出各投标人的总得分，评</w:t>
      </w:r>
      <w:r>
        <w:rPr>
          <w:rFonts w:hint="eastAsia" w:ascii="宋体" w:hAnsi="宋体"/>
          <w:b/>
          <w:bCs/>
          <w:snapToGrid w:val="0"/>
          <w:kern w:val="0"/>
          <w:szCs w:val="21"/>
          <w:highlight w:val="none"/>
        </w:rPr>
        <w:t>标结果按评审后得分由高到低顺序排列。投标文件满足</w:t>
      </w:r>
      <w:r>
        <w:rPr>
          <w:rFonts w:hint="eastAsia" w:ascii="宋体" w:hAnsi="宋体"/>
          <w:b/>
          <w:bCs/>
          <w:snapToGrid w:val="0"/>
          <w:kern w:val="0"/>
          <w:szCs w:val="21"/>
          <w:highlight w:val="none"/>
          <w:lang w:eastAsia="zh-CN"/>
        </w:rPr>
        <w:t>采购文件</w:t>
      </w:r>
      <w:r>
        <w:rPr>
          <w:rFonts w:hint="eastAsia" w:ascii="宋体" w:hAnsi="宋体"/>
          <w:b/>
          <w:bCs/>
          <w:snapToGrid w:val="0"/>
          <w:kern w:val="0"/>
          <w:szCs w:val="21"/>
          <w:highlight w:val="none"/>
        </w:rPr>
        <w:t>全部实质性要求，且按照评审因素的量化指标评审得分最高的投标人为排名第一的中标候选人。得分相同的，按投标报价由低到高顺序排列。得分和报价均相同时，按技术指标</w:t>
      </w:r>
      <w:r>
        <w:rPr>
          <w:rFonts w:hint="eastAsia" w:ascii="宋体" w:hAnsi="宋体"/>
          <w:b/>
          <w:bCs/>
          <w:snapToGrid w:val="0"/>
          <w:kern w:val="0"/>
          <w:szCs w:val="21"/>
          <w:highlight w:val="none"/>
          <w:lang w:val="en-US" w:eastAsia="zh-CN"/>
        </w:rPr>
        <w:t>得分高低</w:t>
      </w:r>
      <w:r>
        <w:rPr>
          <w:rFonts w:hint="eastAsia" w:ascii="宋体" w:hAnsi="宋体"/>
          <w:b/>
          <w:bCs/>
          <w:snapToGrid w:val="0"/>
          <w:kern w:val="0"/>
          <w:szCs w:val="21"/>
          <w:highlight w:val="none"/>
        </w:rPr>
        <w:t>顺序排列</w:t>
      </w:r>
      <w:r>
        <w:rPr>
          <w:rFonts w:hint="eastAsia" w:ascii="宋体" w:hAnsi="宋体"/>
          <w:b/>
          <w:bCs/>
          <w:snapToGrid w:val="0"/>
          <w:kern w:val="0"/>
          <w:szCs w:val="21"/>
          <w:highlight w:val="none"/>
          <w:lang w:eastAsia="zh-CN"/>
        </w:rPr>
        <w:t>。</w:t>
      </w:r>
      <w:r>
        <w:rPr>
          <w:rFonts w:hint="eastAsia" w:ascii="宋体" w:hAnsi="宋体"/>
          <w:b/>
          <w:bCs/>
          <w:snapToGrid w:val="0"/>
          <w:kern w:val="0"/>
          <w:szCs w:val="21"/>
          <w:highlight w:val="none"/>
        </w:rPr>
        <w:t xml:space="preserve">  </w:t>
      </w:r>
    </w:p>
    <w:p>
      <w:pPr>
        <w:pStyle w:val="3"/>
        <w:numPr>
          <w:ilvl w:val="2"/>
          <w:numId w:val="0"/>
        </w:numPr>
        <w:tabs>
          <w:tab w:val="left" w:pos="900"/>
          <w:tab w:val="clear" w:pos="1021"/>
        </w:tabs>
        <w:jc w:val="center"/>
        <w:rPr>
          <w:rFonts w:ascii="宋体" w:hAnsi="宋体" w:eastAsia="宋体"/>
          <w:sz w:val="32"/>
          <w:szCs w:val="32"/>
          <w:highlight w:val="none"/>
        </w:rPr>
      </w:pPr>
      <w:bookmarkStart w:id="139" w:name="_Toc71823597"/>
      <w:bookmarkStart w:id="140" w:name="_Toc31894"/>
      <w:bookmarkStart w:id="141" w:name="_Toc26776"/>
      <w:bookmarkStart w:id="142" w:name="_Toc520802758"/>
      <w:bookmarkStart w:id="143" w:name="_Toc21993"/>
      <w:bookmarkStart w:id="144" w:name="_Toc8873"/>
      <w:r>
        <w:rPr>
          <w:rFonts w:hint="eastAsia" w:ascii="宋体" w:hAnsi="宋体" w:eastAsia="宋体"/>
          <w:sz w:val="32"/>
          <w:szCs w:val="32"/>
          <w:highlight w:val="none"/>
        </w:rPr>
        <w:t>六、特殊情况的处置程序</w:t>
      </w:r>
      <w:bookmarkEnd w:id="139"/>
      <w:bookmarkEnd w:id="140"/>
      <w:bookmarkEnd w:id="141"/>
      <w:bookmarkEnd w:id="142"/>
      <w:bookmarkEnd w:id="143"/>
      <w:bookmarkEnd w:id="144"/>
    </w:p>
    <w:p>
      <w:pPr>
        <w:pStyle w:val="74"/>
        <w:wordWrap w:val="0"/>
        <w:spacing w:line="360" w:lineRule="auto"/>
        <w:ind w:firstLine="420" w:firstLineChars="200"/>
        <w:jc w:val="left"/>
        <w:rPr>
          <w:rFonts w:ascii="宋体" w:hAnsi="宋体"/>
          <w:snapToGrid w:val="0"/>
          <w:kern w:val="0"/>
          <w:szCs w:val="21"/>
          <w:highlight w:val="none"/>
        </w:rPr>
      </w:pPr>
      <w:r>
        <w:rPr>
          <w:rFonts w:hint="eastAsia" w:ascii="宋体" w:hAnsi="宋体"/>
          <w:snapToGrid w:val="0"/>
          <w:kern w:val="0"/>
          <w:szCs w:val="21"/>
          <w:highlight w:val="none"/>
        </w:rPr>
        <w:t>6</w:t>
      </w:r>
      <w:r>
        <w:rPr>
          <w:rFonts w:ascii="宋体" w:hAnsi="宋体"/>
          <w:snapToGrid w:val="0"/>
          <w:kern w:val="0"/>
          <w:szCs w:val="21"/>
          <w:highlight w:val="none"/>
        </w:rPr>
        <w:t>.1</w:t>
      </w:r>
      <w:r>
        <w:rPr>
          <w:rFonts w:hint="eastAsia" w:ascii="宋体" w:hAnsi="宋体"/>
          <w:snapToGrid w:val="0"/>
          <w:kern w:val="0"/>
          <w:szCs w:val="21"/>
          <w:highlight w:val="none"/>
        </w:rPr>
        <w:t>关于评标活动暂停</w:t>
      </w:r>
    </w:p>
    <w:p>
      <w:pPr>
        <w:pStyle w:val="74"/>
        <w:wordWrap w:val="0"/>
        <w:spacing w:line="360" w:lineRule="auto"/>
        <w:ind w:firstLine="420" w:firstLineChars="200"/>
        <w:jc w:val="left"/>
        <w:rPr>
          <w:rFonts w:ascii="宋体" w:hAnsi="宋体"/>
          <w:snapToGrid w:val="0"/>
          <w:kern w:val="0"/>
          <w:szCs w:val="21"/>
          <w:highlight w:val="none"/>
        </w:rPr>
      </w:pPr>
      <w:r>
        <w:rPr>
          <w:rFonts w:hint="eastAsia" w:ascii="宋体" w:hAnsi="宋体"/>
          <w:snapToGrid w:val="0"/>
          <w:kern w:val="0"/>
          <w:szCs w:val="21"/>
          <w:highlight w:val="none"/>
        </w:rPr>
        <w:t>评标委员会应当执行连续评标的原则，按评标办法中规定的程序、内容、方法、标准完成全部评标工作。只有发生不可抗力导致评标工作无法继续时，评标活动方可暂停。</w:t>
      </w:r>
    </w:p>
    <w:p>
      <w:pPr>
        <w:pStyle w:val="74"/>
        <w:wordWrap w:val="0"/>
        <w:spacing w:line="360" w:lineRule="auto"/>
        <w:ind w:firstLine="420" w:firstLineChars="200"/>
        <w:jc w:val="left"/>
        <w:rPr>
          <w:rFonts w:ascii="宋体" w:hAnsi="宋体"/>
          <w:snapToGrid w:val="0"/>
          <w:kern w:val="0"/>
          <w:szCs w:val="21"/>
          <w:highlight w:val="none"/>
        </w:rPr>
      </w:pPr>
      <w:r>
        <w:rPr>
          <w:rFonts w:hint="eastAsia" w:ascii="宋体" w:hAnsi="宋体"/>
          <w:snapToGrid w:val="0"/>
          <w:kern w:val="0"/>
          <w:szCs w:val="21"/>
          <w:highlight w:val="none"/>
        </w:rPr>
        <w:t>发生评标暂停情况时，评标委员会应当封存全部投标文件和评标记录，待不可抗力的影响结束且具备继续评标的条件时，由原评标委员会继续评标。</w:t>
      </w:r>
    </w:p>
    <w:p>
      <w:pPr>
        <w:pStyle w:val="74"/>
        <w:wordWrap w:val="0"/>
        <w:spacing w:line="360" w:lineRule="auto"/>
        <w:ind w:firstLine="420" w:firstLineChars="200"/>
        <w:jc w:val="left"/>
        <w:rPr>
          <w:rFonts w:ascii="宋体" w:hAnsi="宋体"/>
          <w:snapToGrid w:val="0"/>
          <w:kern w:val="0"/>
          <w:szCs w:val="21"/>
          <w:highlight w:val="none"/>
        </w:rPr>
      </w:pPr>
      <w:r>
        <w:rPr>
          <w:rFonts w:ascii="宋体" w:hAnsi="宋体"/>
          <w:snapToGrid w:val="0"/>
          <w:kern w:val="0"/>
          <w:szCs w:val="21"/>
          <w:highlight w:val="none"/>
        </w:rPr>
        <w:t>6.2</w:t>
      </w:r>
      <w:r>
        <w:rPr>
          <w:rFonts w:hint="eastAsia" w:ascii="宋体" w:hAnsi="宋体"/>
          <w:snapToGrid w:val="0"/>
          <w:kern w:val="0"/>
          <w:szCs w:val="21"/>
          <w:highlight w:val="none"/>
        </w:rPr>
        <w:t>关于评标中途更换评委</w:t>
      </w:r>
    </w:p>
    <w:p>
      <w:pPr>
        <w:pStyle w:val="74"/>
        <w:wordWrap w:val="0"/>
        <w:spacing w:line="360" w:lineRule="auto"/>
        <w:ind w:firstLine="420" w:firstLineChars="200"/>
        <w:jc w:val="left"/>
        <w:rPr>
          <w:rFonts w:ascii="宋体" w:hAnsi="宋体"/>
          <w:snapToGrid w:val="0"/>
          <w:kern w:val="0"/>
          <w:szCs w:val="21"/>
          <w:highlight w:val="none"/>
        </w:rPr>
      </w:pPr>
      <w:r>
        <w:rPr>
          <w:rFonts w:hint="eastAsia" w:ascii="宋体" w:hAnsi="宋体"/>
          <w:snapToGrid w:val="0"/>
          <w:kern w:val="0"/>
          <w:szCs w:val="21"/>
          <w:highlight w:val="none"/>
        </w:rPr>
        <w:t>除非发生下列情况之一，评标委员会成员不得在评标中途更换：</w:t>
      </w:r>
    </w:p>
    <w:p>
      <w:pPr>
        <w:pStyle w:val="74"/>
        <w:wordWrap w:val="0"/>
        <w:spacing w:line="360" w:lineRule="auto"/>
        <w:ind w:firstLine="420" w:firstLineChars="200"/>
        <w:jc w:val="left"/>
        <w:rPr>
          <w:rFonts w:ascii="宋体" w:hAnsi="宋体"/>
          <w:snapToGrid w:val="0"/>
          <w:kern w:val="0"/>
          <w:szCs w:val="21"/>
          <w:highlight w:val="none"/>
        </w:rPr>
      </w:pPr>
      <w:r>
        <w:rPr>
          <w:rFonts w:hint="eastAsia" w:ascii="宋体" w:hAnsi="宋体"/>
          <w:snapToGrid w:val="0"/>
          <w:kern w:val="0"/>
          <w:szCs w:val="21"/>
          <w:highlight w:val="none"/>
        </w:rPr>
        <w:t>（1）因不可抗拒的客观原因，不能到场或需在评标中途退出评标活动。</w:t>
      </w:r>
    </w:p>
    <w:p>
      <w:pPr>
        <w:pStyle w:val="74"/>
        <w:wordWrap w:val="0"/>
        <w:spacing w:line="360" w:lineRule="auto"/>
        <w:ind w:firstLine="420" w:firstLineChars="200"/>
        <w:jc w:val="left"/>
        <w:rPr>
          <w:rFonts w:ascii="宋体" w:hAnsi="宋体"/>
          <w:snapToGrid w:val="0"/>
          <w:kern w:val="0"/>
          <w:szCs w:val="21"/>
          <w:highlight w:val="none"/>
        </w:rPr>
      </w:pPr>
      <w:r>
        <w:rPr>
          <w:rFonts w:hint="eastAsia" w:ascii="宋体" w:hAnsi="宋体"/>
          <w:snapToGrid w:val="0"/>
          <w:kern w:val="0"/>
          <w:szCs w:val="21"/>
          <w:highlight w:val="none"/>
        </w:rPr>
        <w:t>（2）根据法律法规规定，某个或某几个评标委员会成员需要回避。</w:t>
      </w:r>
    </w:p>
    <w:p>
      <w:pPr>
        <w:pStyle w:val="74"/>
        <w:wordWrap w:val="0"/>
        <w:spacing w:line="360" w:lineRule="auto"/>
        <w:ind w:firstLine="420" w:firstLineChars="200"/>
        <w:jc w:val="left"/>
        <w:rPr>
          <w:rFonts w:ascii="宋体" w:hAnsi="宋体"/>
          <w:snapToGrid w:val="0"/>
          <w:kern w:val="0"/>
          <w:szCs w:val="21"/>
          <w:highlight w:val="none"/>
        </w:rPr>
      </w:pPr>
      <w:r>
        <w:rPr>
          <w:rFonts w:hint="eastAsia" w:ascii="宋体" w:hAnsi="宋体"/>
          <w:snapToGrid w:val="0"/>
          <w:kern w:val="0"/>
          <w:szCs w:val="21"/>
          <w:highlight w:val="none"/>
        </w:rPr>
        <w:t>退出评标的评标委员会成员，其已完成的评标行为无效。由</w:t>
      </w:r>
      <w:r>
        <w:rPr>
          <w:rFonts w:hint="eastAsia" w:ascii="宋体" w:hAnsi="宋体"/>
          <w:snapToGrid w:val="0"/>
          <w:kern w:val="0"/>
          <w:szCs w:val="21"/>
          <w:highlight w:val="none"/>
          <w:lang w:eastAsia="zh-CN"/>
        </w:rPr>
        <w:t>采购人</w:t>
      </w:r>
      <w:r>
        <w:rPr>
          <w:rFonts w:hint="eastAsia" w:ascii="宋体" w:hAnsi="宋体"/>
          <w:snapToGrid w:val="0"/>
          <w:kern w:val="0"/>
          <w:szCs w:val="21"/>
          <w:highlight w:val="none"/>
        </w:rPr>
        <w:t>根据本</w:t>
      </w:r>
      <w:r>
        <w:rPr>
          <w:rFonts w:hint="eastAsia" w:ascii="宋体" w:hAnsi="宋体"/>
          <w:snapToGrid w:val="0"/>
          <w:kern w:val="0"/>
          <w:szCs w:val="21"/>
          <w:highlight w:val="none"/>
          <w:lang w:eastAsia="zh-CN"/>
        </w:rPr>
        <w:t>采购文件</w:t>
      </w:r>
      <w:r>
        <w:rPr>
          <w:rFonts w:hint="eastAsia" w:ascii="宋体" w:hAnsi="宋体"/>
          <w:snapToGrid w:val="0"/>
          <w:kern w:val="0"/>
          <w:szCs w:val="21"/>
          <w:highlight w:val="none"/>
        </w:rPr>
        <w:t>规定的评标委员会成员生产方式另行确定替代者进行评标。</w:t>
      </w:r>
    </w:p>
    <w:p>
      <w:pPr>
        <w:pStyle w:val="74"/>
        <w:wordWrap w:val="0"/>
        <w:spacing w:line="360" w:lineRule="auto"/>
        <w:ind w:firstLine="420" w:firstLineChars="200"/>
        <w:jc w:val="left"/>
        <w:rPr>
          <w:rFonts w:ascii="宋体" w:hAnsi="宋体"/>
          <w:snapToGrid w:val="0"/>
          <w:kern w:val="0"/>
          <w:szCs w:val="21"/>
          <w:highlight w:val="none"/>
        </w:rPr>
      </w:pPr>
      <w:r>
        <w:rPr>
          <w:rFonts w:hint="eastAsia" w:ascii="宋体" w:hAnsi="宋体"/>
          <w:snapToGrid w:val="0"/>
          <w:kern w:val="0"/>
          <w:szCs w:val="21"/>
          <w:highlight w:val="none"/>
        </w:rPr>
        <w:t>6</w:t>
      </w:r>
      <w:r>
        <w:rPr>
          <w:rFonts w:ascii="宋体" w:hAnsi="宋体"/>
          <w:snapToGrid w:val="0"/>
          <w:kern w:val="0"/>
          <w:szCs w:val="21"/>
          <w:highlight w:val="none"/>
        </w:rPr>
        <w:t>.3</w:t>
      </w:r>
      <w:r>
        <w:rPr>
          <w:rFonts w:hint="eastAsia" w:ascii="宋体" w:hAnsi="宋体"/>
          <w:snapToGrid w:val="0"/>
          <w:kern w:val="0"/>
          <w:szCs w:val="21"/>
          <w:highlight w:val="none"/>
        </w:rPr>
        <w:t>记名投票</w:t>
      </w:r>
    </w:p>
    <w:p>
      <w:pPr>
        <w:pStyle w:val="74"/>
        <w:wordWrap w:val="0"/>
        <w:spacing w:line="360" w:lineRule="auto"/>
        <w:ind w:firstLine="420" w:firstLineChars="200"/>
        <w:jc w:val="left"/>
        <w:rPr>
          <w:rFonts w:ascii="宋体" w:hAnsi="宋体"/>
          <w:snapToGrid w:val="0"/>
          <w:kern w:val="0"/>
          <w:szCs w:val="21"/>
          <w:highlight w:val="none"/>
        </w:rPr>
      </w:pPr>
      <w:r>
        <w:rPr>
          <w:rFonts w:hint="eastAsia" w:ascii="宋体" w:hAnsi="宋体"/>
          <w:snapToGrid w:val="0"/>
          <w:kern w:val="0"/>
          <w:szCs w:val="21"/>
          <w:highlight w:val="none"/>
        </w:rPr>
        <w:t>在任何评标环节中，需评标委员会就某项定性的评审结论做出表决的，由评标委员会全体成员按照少数服从多数的原则，以记名投票方式表决。</w:t>
      </w:r>
    </w:p>
    <w:p>
      <w:pPr>
        <w:pStyle w:val="74"/>
        <w:wordWrap w:val="0"/>
        <w:spacing w:line="360" w:lineRule="auto"/>
        <w:ind w:firstLine="420" w:firstLineChars="200"/>
        <w:jc w:val="left"/>
        <w:rPr>
          <w:rFonts w:ascii="宋体" w:hAnsi="宋体"/>
          <w:snapToGrid w:val="0"/>
          <w:kern w:val="0"/>
          <w:szCs w:val="21"/>
          <w:highlight w:val="none"/>
        </w:rPr>
      </w:pPr>
      <w:r>
        <w:rPr>
          <w:rFonts w:ascii="宋体" w:hAnsi="宋体"/>
          <w:snapToGrid w:val="0"/>
          <w:kern w:val="0"/>
          <w:szCs w:val="21"/>
          <w:highlight w:val="none"/>
        </w:rPr>
        <w:t>6.4</w:t>
      </w:r>
      <w:r>
        <w:rPr>
          <w:rFonts w:hint="eastAsia" w:ascii="宋体" w:hAnsi="宋体"/>
          <w:snapToGrid w:val="0"/>
          <w:kern w:val="0"/>
          <w:szCs w:val="21"/>
          <w:highlight w:val="none"/>
        </w:rPr>
        <w:t>补充条款</w:t>
      </w:r>
    </w:p>
    <w:p>
      <w:pPr>
        <w:pStyle w:val="9"/>
        <w:wordWrap w:val="0"/>
        <w:spacing w:line="360" w:lineRule="auto"/>
        <w:ind w:firstLine="420" w:firstLineChars="200"/>
        <w:rPr>
          <w:rFonts w:ascii="宋体" w:hAnsi="宋体"/>
          <w:snapToGrid w:val="0"/>
          <w:szCs w:val="21"/>
          <w:highlight w:val="none"/>
        </w:rPr>
      </w:pPr>
      <w:r>
        <w:rPr>
          <w:rFonts w:hint="eastAsia" w:ascii="宋体" w:hAnsi="宋体"/>
          <w:snapToGrid w:val="0"/>
          <w:szCs w:val="21"/>
          <w:highlight w:val="none"/>
        </w:rPr>
        <w:t>评标中若遇特殊问题，由评标委员会根据有关法律、法规、规定研究决定。</w:t>
      </w:r>
    </w:p>
    <w:sectPr>
      <w:pgSz w:w="11906" w:h="16838"/>
      <w:pgMar w:top="1077" w:right="1106" w:bottom="1020" w:left="1106" w:header="567" w:footer="567" w:gutter="0"/>
      <w:pgBorders>
        <w:top w:val="none" w:sz="0" w:space="0"/>
        <w:left w:val="none" w:sz="0" w:space="0"/>
        <w:bottom w:val="none" w:sz="0" w:space="0"/>
        <w:right w:val="none" w:sz="0" w:space="0"/>
      </w:pgBorders>
      <w:pgNumType w:fmt="decimal"/>
      <w:cols w:space="720" w:num="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roman"/>
    <w:pitch w:val="default"/>
    <w:sig w:usb0="00000000" w:usb1="00000000" w:usb2="0000003F" w:usb3="00000000" w:csb0="603F01FF" w:csb1="FFFF0000"/>
  </w:font>
  <w:font w:name="Haansoft Batang">
    <w:altName w:val="Malgun Gothic"/>
    <w:panose1 w:val="00000000000000000000"/>
    <w:charset w:val="00"/>
    <w:family w:val="auto"/>
    <w:pitch w:val="default"/>
    <w:sig w:usb0="00000000" w:usb1="00000000" w:usb2="00000000"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新宋体">
    <w:panose1 w:val="02010609030101010101"/>
    <w:charset w:val="86"/>
    <w:family w:val="modern"/>
    <w:pitch w:val="default"/>
    <w:sig w:usb0="0000028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4"/>
      </w:rPr>
    </w:pPr>
    <w:r>
      <w:fldChar w:fldCharType="begin"/>
    </w:r>
    <w:r>
      <w:rPr>
        <w:rStyle w:val="34"/>
      </w:rPr>
      <w:instrText xml:space="preserve">PAGE  </w:instrText>
    </w:r>
    <w:r>
      <w:fldChar w:fldCharType="separate"/>
    </w:r>
    <w:r>
      <w:rPr>
        <w:rStyle w:val="34"/>
      </w:rPr>
      <w:t>59</w:t>
    </w:r>
    <w:r>
      <w:fldChar w:fldCharType="end"/>
    </w:r>
  </w:p>
  <w:p>
    <w:pPr>
      <w:pStyle w:val="19"/>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2" name="文本框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a:noFill/>
                      </a:ln>
                    </wps:spPr>
                    <wps:txbx>
                      <w:txbxContent>
                        <w:p>
                          <w:pPr>
                            <w:pStyle w:val="19"/>
                            <w:rPr>
                              <w:rStyle w:val="34"/>
                              <w:sz w:val="21"/>
                            </w:rPr>
                          </w:pPr>
                          <w:r>
                            <w:rPr>
                              <w:sz w:val="21"/>
                            </w:rPr>
                            <w:fldChar w:fldCharType="begin"/>
                          </w:r>
                          <w:r>
                            <w:rPr>
                              <w:rStyle w:val="34"/>
                              <w:sz w:val="21"/>
                            </w:rPr>
                            <w:instrText xml:space="preserve">Page</w:instrText>
                          </w:r>
                          <w:r>
                            <w:rPr>
                              <w:sz w:val="21"/>
                            </w:rPr>
                            <w:fldChar w:fldCharType="separate"/>
                          </w:r>
                          <w:r>
                            <w:rPr>
                              <w:rStyle w:val="34"/>
                              <w:sz w:val="21"/>
                            </w:rPr>
                            <w:t>59</w:t>
                          </w:r>
                          <w:r>
                            <w:rPr>
                              <w:sz w:val="21"/>
                            </w:rPr>
                            <w:fldChar w:fldCharType="end"/>
                          </w:r>
                        </w:p>
                      </w:txbxContent>
                    </wps:txbx>
                    <wps:bodyPr wrap="square" lIns="0" tIns="0" rIns="0" bIns="0" upright="1"/>
                  </wps:wsp>
                </a:graphicData>
              </a:graphic>
            </wp:anchor>
          </w:drawing>
        </mc:Choice>
        <mc:Fallback>
          <w:pict>
            <v:shape id="文本框 1"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bSfsK9MAAAADAQAADwAAAAAAAAABACAAAAAiAAAAZHJzL2Rvd25yZXYueG1s&#10;UEsBAhQAFAAAAAgAh07iQJtNxkLEAQAAfgMAAA4AAAAAAAAAAQAgAAAAIgEAAGRycy9lMm9Eb2Mu&#10;eG1sUEsFBgAAAAAGAAYAWQEAAFgFAAAAAA==&#10;">
              <v:fill on="f" focussize="0,0"/>
              <v:stroke on="f"/>
              <v:imagedata o:title=""/>
              <o:lock v:ext="edit" aspectratio="f"/>
              <v:textbox inset="0mm,0mm,0mm,0mm">
                <w:txbxContent>
                  <w:p>
                    <w:pPr>
                      <w:pStyle w:val="19"/>
                      <w:rPr>
                        <w:rStyle w:val="34"/>
                        <w:sz w:val="21"/>
                      </w:rPr>
                    </w:pPr>
                    <w:r>
                      <w:rPr>
                        <w:sz w:val="21"/>
                      </w:rPr>
                      <w:fldChar w:fldCharType="begin"/>
                    </w:r>
                    <w:r>
                      <w:rPr>
                        <w:rStyle w:val="34"/>
                        <w:sz w:val="21"/>
                      </w:rPr>
                      <w:instrText xml:space="preserve">Page</w:instrText>
                    </w:r>
                    <w:r>
                      <w:rPr>
                        <w:sz w:val="21"/>
                      </w:rPr>
                      <w:fldChar w:fldCharType="separate"/>
                    </w:r>
                    <w:r>
                      <w:rPr>
                        <w:rStyle w:val="34"/>
                        <w:sz w:val="21"/>
                      </w:rPr>
                      <w:t>59</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right"/>
    </w:pPr>
  </w:p>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right"/>
    </w:pPr>
  </w:p>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rPr>
                              <w:rStyle w:val="34"/>
                            </w:rPr>
                          </w:pPr>
                          <w:r>
                            <w:fldChar w:fldCharType="begin"/>
                          </w:r>
                          <w:r>
                            <w:rPr>
                              <w:rStyle w:val="34"/>
                            </w:rPr>
                            <w:instrText xml:space="preserve">PAGE  </w:instrText>
                          </w:r>
                          <w:r>
                            <w:fldChar w:fldCharType="separate"/>
                          </w:r>
                          <w:r>
                            <w:rPr>
                              <w:rStyle w:val="34"/>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9"/>
                      <w:rPr>
                        <w:rStyle w:val="34"/>
                      </w:rPr>
                    </w:pPr>
                    <w:r>
                      <w:fldChar w:fldCharType="begin"/>
                    </w:r>
                    <w:r>
                      <w:rPr>
                        <w:rStyle w:val="34"/>
                      </w:rPr>
                      <w:instrText xml:space="preserve">PAGE  </w:instrText>
                    </w:r>
                    <w:r>
                      <w:fldChar w:fldCharType="separate"/>
                    </w:r>
                    <w:r>
                      <w:rPr>
                        <w:rStyle w:val="34"/>
                      </w:rP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4"/>
      </w:rPr>
    </w:pPr>
    <w:r>
      <w:fldChar w:fldCharType="begin"/>
    </w:r>
    <w:r>
      <w:rPr>
        <w:rStyle w:val="34"/>
      </w:rPr>
      <w:instrText xml:space="preserve">PAGE  </w:instrText>
    </w:r>
    <w:r>
      <w:fldChar w:fldCharType="separate"/>
    </w:r>
    <w:r>
      <w:rPr>
        <w:rStyle w:val="34"/>
      </w:rPr>
      <w:t>51</w:t>
    </w:r>
    <w:r>
      <w:fldChar w:fldCharType="end"/>
    </w:r>
  </w:p>
  <w:p>
    <w:pPr>
      <w:pStyle w:val="19"/>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4" name="文本框 4"/>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a:noFill/>
                      </a:ln>
                    </wps:spPr>
                    <wps:txbx>
                      <w:txbxContent>
                        <w:p>
                          <w:pPr>
                            <w:pStyle w:val="19"/>
                            <w:rPr>
                              <w:rStyle w:val="34"/>
                              <w:sz w:val="21"/>
                            </w:rPr>
                          </w:pPr>
                          <w:r>
                            <w:rPr>
                              <w:sz w:val="21"/>
                            </w:rPr>
                            <w:fldChar w:fldCharType="begin"/>
                          </w:r>
                          <w:r>
                            <w:rPr>
                              <w:rStyle w:val="34"/>
                              <w:sz w:val="21"/>
                            </w:rPr>
                            <w:instrText xml:space="preserve">Page</w:instrText>
                          </w:r>
                          <w:r>
                            <w:rPr>
                              <w:sz w:val="21"/>
                            </w:rPr>
                            <w:fldChar w:fldCharType="separate"/>
                          </w:r>
                          <w:r>
                            <w:rPr>
                              <w:rStyle w:val="34"/>
                              <w:sz w:val="21"/>
                            </w:rPr>
                            <w:t>51</w:t>
                          </w:r>
                          <w:r>
                            <w:rPr>
                              <w:sz w:val="21"/>
                            </w:rPr>
                            <w:fldChar w:fldCharType="end"/>
                          </w:r>
                        </w:p>
                      </w:txbxContent>
                    </wps:txbx>
                    <wps:bodyPr wrap="square" lIns="0" tIns="0" rIns="0" bIns="0" upright="1"/>
                  </wps:wsp>
                </a:graphicData>
              </a:graphic>
            </wp:anchor>
          </w:drawing>
        </mc:Choice>
        <mc:Fallback>
          <w:pict>
            <v:shape id="_x0000_s1026"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tJ+wr0wAAAAMBAAAPAAAAAAAAAAEAIAAAACIAAABkcnMvZG93bnJldi54bWxQ&#10;SwECFAAUAAAACACHTuJALIeNyMMBAAB+AwAADgAAAAAAAAABACAAAAAiAQAAZHJzL2Uyb0RvYy54&#10;bWxQSwUGAAAAAAYABgBZAQAAVwUAAAAA&#10;">
              <v:fill on="f" focussize="0,0"/>
              <v:stroke on="f"/>
              <v:imagedata o:title=""/>
              <o:lock v:ext="edit" aspectratio="f"/>
              <v:textbox inset="0mm,0mm,0mm,0mm">
                <w:txbxContent>
                  <w:p>
                    <w:pPr>
                      <w:pStyle w:val="19"/>
                      <w:rPr>
                        <w:rStyle w:val="34"/>
                        <w:sz w:val="21"/>
                      </w:rPr>
                    </w:pPr>
                    <w:r>
                      <w:rPr>
                        <w:sz w:val="21"/>
                      </w:rPr>
                      <w:fldChar w:fldCharType="begin"/>
                    </w:r>
                    <w:r>
                      <w:rPr>
                        <w:rStyle w:val="34"/>
                        <w:sz w:val="21"/>
                      </w:rPr>
                      <w:instrText xml:space="preserve">Page</w:instrText>
                    </w:r>
                    <w:r>
                      <w:rPr>
                        <w:sz w:val="21"/>
                      </w:rPr>
                      <w:fldChar w:fldCharType="separate"/>
                    </w:r>
                    <w:r>
                      <w:rPr>
                        <w:rStyle w:val="34"/>
                        <w:sz w:val="21"/>
                      </w:rPr>
                      <w:t>51</w:t>
                    </w:r>
                    <w:r>
                      <w:rPr>
                        <w:sz w:val="21"/>
                      </w:rPr>
                      <w:fldChar w:fldCharType="end"/>
                    </w:r>
                  </w:p>
                </w:txbxContent>
              </v:textbox>
              <w10:wrap type="squar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both"/>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widowControl w:val="0"/>
      <w:pBdr>
        <w:top w:val="none" w:color="auto" w:sz="0" w:space="1"/>
        <w:left w:val="none" w:color="auto" w:sz="0" w:space="4"/>
        <w:bottom w:val="none" w:color="auto" w:sz="0" w:space="1"/>
        <w:right w:val="none" w:color="auto" w:sz="0" w:space="4"/>
        <w:between w:val="none" w:color="auto" w:sz="0" w:space="0"/>
      </w:pBdr>
      <w:snapToGrid w:val="0"/>
      <w:jc w:val="both"/>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widowControl w:val="0"/>
      <w:pBdr>
        <w:top w:val="none" w:color="auto" w:sz="0" w:space="1"/>
        <w:left w:val="none" w:color="auto" w:sz="0" w:space="4"/>
        <w:bottom w:val="none" w:color="auto" w:sz="0" w:space="1"/>
        <w:right w:val="none" w:color="auto" w:sz="0" w:space="4"/>
        <w:between w:val="none" w:color="auto" w:sz="0" w:space="0"/>
      </w:pBdr>
      <w:snapToGrid w:val="0"/>
      <w:jc w:val="both"/>
      <w:rPr>
        <w:sz w:val="15"/>
        <w:szCs w:val="15"/>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jc w:val="both"/>
      <w:rPr>
        <w:rFonts w:ascii="宋体" w:hAnsi="宋体" w:cs="宋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left" w:pos="1005"/>
        <w:tab w:val="center" w:pos="4819"/>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B"/>
    <w:multiLevelType w:val="multilevel"/>
    <w:tmpl w:val="FFFFFFFB"/>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6"/>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1">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5A36DE53"/>
    <w:multiLevelType w:val="singleLevel"/>
    <w:tmpl w:val="5A36DE53"/>
    <w:lvl w:ilvl="0" w:tentative="0">
      <w:start w:val="1"/>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2MjQ1NTNjYTcwNTEyN2ZkMDU4NmFkMzAyMmFmZDUifQ=="/>
  </w:docVars>
  <w:rsids>
    <w:rsidRoot w:val="002647EC"/>
    <w:rsid w:val="00000900"/>
    <w:rsid w:val="00000CA6"/>
    <w:rsid w:val="000011F2"/>
    <w:rsid w:val="00001B50"/>
    <w:rsid w:val="00001C1C"/>
    <w:rsid w:val="00001C4B"/>
    <w:rsid w:val="00001F08"/>
    <w:rsid w:val="0000237F"/>
    <w:rsid w:val="00004095"/>
    <w:rsid w:val="0000427F"/>
    <w:rsid w:val="00004999"/>
    <w:rsid w:val="00004B15"/>
    <w:rsid w:val="00004D8B"/>
    <w:rsid w:val="000052E3"/>
    <w:rsid w:val="00007BC3"/>
    <w:rsid w:val="000109D9"/>
    <w:rsid w:val="00010A06"/>
    <w:rsid w:val="00011084"/>
    <w:rsid w:val="00011E5C"/>
    <w:rsid w:val="00011E67"/>
    <w:rsid w:val="000127DF"/>
    <w:rsid w:val="00012B1D"/>
    <w:rsid w:val="0001376C"/>
    <w:rsid w:val="0001416D"/>
    <w:rsid w:val="00014AE9"/>
    <w:rsid w:val="00014C89"/>
    <w:rsid w:val="00014CD9"/>
    <w:rsid w:val="00014F0A"/>
    <w:rsid w:val="00015236"/>
    <w:rsid w:val="00015567"/>
    <w:rsid w:val="000157C2"/>
    <w:rsid w:val="00016028"/>
    <w:rsid w:val="000168A2"/>
    <w:rsid w:val="00016929"/>
    <w:rsid w:val="000176C4"/>
    <w:rsid w:val="00017C00"/>
    <w:rsid w:val="00017C9C"/>
    <w:rsid w:val="00020431"/>
    <w:rsid w:val="000207C3"/>
    <w:rsid w:val="00021274"/>
    <w:rsid w:val="0002200A"/>
    <w:rsid w:val="000234A0"/>
    <w:rsid w:val="000237A5"/>
    <w:rsid w:val="00023860"/>
    <w:rsid w:val="00023FBC"/>
    <w:rsid w:val="0002405A"/>
    <w:rsid w:val="00024FD7"/>
    <w:rsid w:val="000256B5"/>
    <w:rsid w:val="00025BA8"/>
    <w:rsid w:val="00025C37"/>
    <w:rsid w:val="0002629E"/>
    <w:rsid w:val="0002753A"/>
    <w:rsid w:val="0002758B"/>
    <w:rsid w:val="000276C4"/>
    <w:rsid w:val="00027D06"/>
    <w:rsid w:val="00027E1F"/>
    <w:rsid w:val="00032803"/>
    <w:rsid w:val="00032A9F"/>
    <w:rsid w:val="00032D5C"/>
    <w:rsid w:val="000330E8"/>
    <w:rsid w:val="000355DF"/>
    <w:rsid w:val="00035CCA"/>
    <w:rsid w:val="000366DC"/>
    <w:rsid w:val="000369F6"/>
    <w:rsid w:val="00036A00"/>
    <w:rsid w:val="000376EF"/>
    <w:rsid w:val="00041461"/>
    <w:rsid w:val="00041AE5"/>
    <w:rsid w:val="00041EE5"/>
    <w:rsid w:val="00043330"/>
    <w:rsid w:val="000433EE"/>
    <w:rsid w:val="000448C0"/>
    <w:rsid w:val="000448E1"/>
    <w:rsid w:val="00045B84"/>
    <w:rsid w:val="00045D1B"/>
    <w:rsid w:val="00045F15"/>
    <w:rsid w:val="00046568"/>
    <w:rsid w:val="000465E2"/>
    <w:rsid w:val="00047070"/>
    <w:rsid w:val="00047150"/>
    <w:rsid w:val="0004770F"/>
    <w:rsid w:val="00047757"/>
    <w:rsid w:val="000477EF"/>
    <w:rsid w:val="00047C59"/>
    <w:rsid w:val="00050498"/>
    <w:rsid w:val="00050AA6"/>
    <w:rsid w:val="000515E0"/>
    <w:rsid w:val="0005187F"/>
    <w:rsid w:val="00052761"/>
    <w:rsid w:val="00052821"/>
    <w:rsid w:val="000536C5"/>
    <w:rsid w:val="00053D47"/>
    <w:rsid w:val="000548B1"/>
    <w:rsid w:val="000556A6"/>
    <w:rsid w:val="00055FD6"/>
    <w:rsid w:val="000567B3"/>
    <w:rsid w:val="0005699F"/>
    <w:rsid w:val="00056F2B"/>
    <w:rsid w:val="00057008"/>
    <w:rsid w:val="000577D9"/>
    <w:rsid w:val="00057F0C"/>
    <w:rsid w:val="00060BE5"/>
    <w:rsid w:val="00060EF9"/>
    <w:rsid w:val="0006120B"/>
    <w:rsid w:val="00061258"/>
    <w:rsid w:val="00061845"/>
    <w:rsid w:val="00062E1F"/>
    <w:rsid w:val="00063F16"/>
    <w:rsid w:val="000641EB"/>
    <w:rsid w:val="00064A94"/>
    <w:rsid w:val="00064E95"/>
    <w:rsid w:val="00064F8F"/>
    <w:rsid w:val="0006552A"/>
    <w:rsid w:val="000657A1"/>
    <w:rsid w:val="000661D0"/>
    <w:rsid w:val="00066418"/>
    <w:rsid w:val="0006643B"/>
    <w:rsid w:val="00066446"/>
    <w:rsid w:val="00066602"/>
    <w:rsid w:val="000668EE"/>
    <w:rsid w:val="000673EB"/>
    <w:rsid w:val="00067422"/>
    <w:rsid w:val="00067927"/>
    <w:rsid w:val="00067932"/>
    <w:rsid w:val="00070100"/>
    <w:rsid w:val="00070148"/>
    <w:rsid w:val="00070976"/>
    <w:rsid w:val="00070ADE"/>
    <w:rsid w:val="00070CC4"/>
    <w:rsid w:val="00070DA0"/>
    <w:rsid w:val="0007141C"/>
    <w:rsid w:val="00071651"/>
    <w:rsid w:val="000719A2"/>
    <w:rsid w:val="00071C4D"/>
    <w:rsid w:val="00071FE9"/>
    <w:rsid w:val="00072C1F"/>
    <w:rsid w:val="00072D3F"/>
    <w:rsid w:val="00072F7F"/>
    <w:rsid w:val="000733C3"/>
    <w:rsid w:val="00073B26"/>
    <w:rsid w:val="000742DC"/>
    <w:rsid w:val="000744EB"/>
    <w:rsid w:val="00074796"/>
    <w:rsid w:val="00074C47"/>
    <w:rsid w:val="00074C6C"/>
    <w:rsid w:val="00075DF9"/>
    <w:rsid w:val="000760EF"/>
    <w:rsid w:val="00076EDB"/>
    <w:rsid w:val="00077128"/>
    <w:rsid w:val="00077480"/>
    <w:rsid w:val="0008016B"/>
    <w:rsid w:val="00080AAB"/>
    <w:rsid w:val="00080DA2"/>
    <w:rsid w:val="000816CB"/>
    <w:rsid w:val="0008239B"/>
    <w:rsid w:val="000823C3"/>
    <w:rsid w:val="00082948"/>
    <w:rsid w:val="000830A4"/>
    <w:rsid w:val="0008332D"/>
    <w:rsid w:val="0008363D"/>
    <w:rsid w:val="00084BAE"/>
    <w:rsid w:val="000851FE"/>
    <w:rsid w:val="0008557E"/>
    <w:rsid w:val="000857B0"/>
    <w:rsid w:val="0008679E"/>
    <w:rsid w:val="00086855"/>
    <w:rsid w:val="00086AD3"/>
    <w:rsid w:val="00086E3F"/>
    <w:rsid w:val="00086FFD"/>
    <w:rsid w:val="00087086"/>
    <w:rsid w:val="00087195"/>
    <w:rsid w:val="00087655"/>
    <w:rsid w:val="00090781"/>
    <w:rsid w:val="0009098F"/>
    <w:rsid w:val="00091970"/>
    <w:rsid w:val="000919B4"/>
    <w:rsid w:val="00091F63"/>
    <w:rsid w:val="000926ED"/>
    <w:rsid w:val="00093237"/>
    <w:rsid w:val="00093327"/>
    <w:rsid w:val="0009363A"/>
    <w:rsid w:val="00093EC3"/>
    <w:rsid w:val="00093EE5"/>
    <w:rsid w:val="00094796"/>
    <w:rsid w:val="000950FB"/>
    <w:rsid w:val="000953B3"/>
    <w:rsid w:val="00095473"/>
    <w:rsid w:val="00096620"/>
    <w:rsid w:val="0009757D"/>
    <w:rsid w:val="000A00E6"/>
    <w:rsid w:val="000A0D8F"/>
    <w:rsid w:val="000A1AD7"/>
    <w:rsid w:val="000A1F81"/>
    <w:rsid w:val="000A2644"/>
    <w:rsid w:val="000A26DB"/>
    <w:rsid w:val="000A2B8E"/>
    <w:rsid w:val="000A2B92"/>
    <w:rsid w:val="000A421E"/>
    <w:rsid w:val="000A48FE"/>
    <w:rsid w:val="000A4ADA"/>
    <w:rsid w:val="000A51EE"/>
    <w:rsid w:val="000A544B"/>
    <w:rsid w:val="000A5651"/>
    <w:rsid w:val="000A5833"/>
    <w:rsid w:val="000A5DB5"/>
    <w:rsid w:val="000A5F55"/>
    <w:rsid w:val="000A7532"/>
    <w:rsid w:val="000A77FB"/>
    <w:rsid w:val="000A7CFC"/>
    <w:rsid w:val="000B0B38"/>
    <w:rsid w:val="000B1AE8"/>
    <w:rsid w:val="000B1F44"/>
    <w:rsid w:val="000B1FBC"/>
    <w:rsid w:val="000B2B03"/>
    <w:rsid w:val="000B2F23"/>
    <w:rsid w:val="000B31AC"/>
    <w:rsid w:val="000B3278"/>
    <w:rsid w:val="000B3AAD"/>
    <w:rsid w:val="000B3ED6"/>
    <w:rsid w:val="000B423E"/>
    <w:rsid w:val="000B4BAC"/>
    <w:rsid w:val="000B4EFD"/>
    <w:rsid w:val="000B65E5"/>
    <w:rsid w:val="000B6B5F"/>
    <w:rsid w:val="000C0334"/>
    <w:rsid w:val="000C0A0D"/>
    <w:rsid w:val="000C1A3C"/>
    <w:rsid w:val="000C1BC7"/>
    <w:rsid w:val="000C2539"/>
    <w:rsid w:val="000C2740"/>
    <w:rsid w:val="000C2E0A"/>
    <w:rsid w:val="000C2F95"/>
    <w:rsid w:val="000C305F"/>
    <w:rsid w:val="000C3B0A"/>
    <w:rsid w:val="000C3F42"/>
    <w:rsid w:val="000C68E0"/>
    <w:rsid w:val="000C7047"/>
    <w:rsid w:val="000D1644"/>
    <w:rsid w:val="000D2015"/>
    <w:rsid w:val="000D2C10"/>
    <w:rsid w:val="000D3ACB"/>
    <w:rsid w:val="000D3C42"/>
    <w:rsid w:val="000D43BA"/>
    <w:rsid w:val="000D47FC"/>
    <w:rsid w:val="000D4BAB"/>
    <w:rsid w:val="000D4EC3"/>
    <w:rsid w:val="000D53D3"/>
    <w:rsid w:val="000D5EE1"/>
    <w:rsid w:val="000D6320"/>
    <w:rsid w:val="000D635C"/>
    <w:rsid w:val="000D72BD"/>
    <w:rsid w:val="000D7A20"/>
    <w:rsid w:val="000D7BA1"/>
    <w:rsid w:val="000E01B0"/>
    <w:rsid w:val="000E1D4A"/>
    <w:rsid w:val="000E215B"/>
    <w:rsid w:val="000E3161"/>
    <w:rsid w:val="000E33BC"/>
    <w:rsid w:val="000E3933"/>
    <w:rsid w:val="000E437E"/>
    <w:rsid w:val="000E5EC6"/>
    <w:rsid w:val="000E744C"/>
    <w:rsid w:val="000F0091"/>
    <w:rsid w:val="000F03D2"/>
    <w:rsid w:val="000F0EB9"/>
    <w:rsid w:val="000F1096"/>
    <w:rsid w:val="000F1BCB"/>
    <w:rsid w:val="000F2072"/>
    <w:rsid w:val="000F23A6"/>
    <w:rsid w:val="000F26C5"/>
    <w:rsid w:val="000F3184"/>
    <w:rsid w:val="000F31A8"/>
    <w:rsid w:val="000F35CB"/>
    <w:rsid w:val="000F36A7"/>
    <w:rsid w:val="000F3BB7"/>
    <w:rsid w:val="000F3FEA"/>
    <w:rsid w:val="000F42CA"/>
    <w:rsid w:val="000F5083"/>
    <w:rsid w:val="000F5DC6"/>
    <w:rsid w:val="000F6178"/>
    <w:rsid w:val="000F6E5C"/>
    <w:rsid w:val="000F7952"/>
    <w:rsid w:val="000F7DFC"/>
    <w:rsid w:val="001004B5"/>
    <w:rsid w:val="0010091A"/>
    <w:rsid w:val="001013BC"/>
    <w:rsid w:val="001016A2"/>
    <w:rsid w:val="0010192C"/>
    <w:rsid w:val="0010225C"/>
    <w:rsid w:val="00102489"/>
    <w:rsid w:val="001024FF"/>
    <w:rsid w:val="0010291C"/>
    <w:rsid w:val="00102B12"/>
    <w:rsid w:val="00102DDE"/>
    <w:rsid w:val="00102FE7"/>
    <w:rsid w:val="001031EA"/>
    <w:rsid w:val="001033BC"/>
    <w:rsid w:val="00103485"/>
    <w:rsid w:val="001035B7"/>
    <w:rsid w:val="00103618"/>
    <w:rsid w:val="00103897"/>
    <w:rsid w:val="00103E7A"/>
    <w:rsid w:val="00104697"/>
    <w:rsid w:val="00106141"/>
    <w:rsid w:val="0010618A"/>
    <w:rsid w:val="00106258"/>
    <w:rsid w:val="0010697C"/>
    <w:rsid w:val="00106BCB"/>
    <w:rsid w:val="00106E02"/>
    <w:rsid w:val="00107C87"/>
    <w:rsid w:val="00107F33"/>
    <w:rsid w:val="00110494"/>
    <w:rsid w:val="0011133A"/>
    <w:rsid w:val="0011197E"/>
    <w:rsid w:val="00111C17"/>
    <w:rsid w:val="00111E09"/>
    <w:rsid w:val="001124B7"/>
    <w:rsid w:val="001131C5"/>
    <w:rsid w:val="00113A32"/>
    <w:rsid w:val="001143B4"/>
    <w:rsid w:val="0011463B"/>
    <w:rsid w:val="00114C5D"/>
    <w:rsid w:val="001153A2"/>
    <w:rsid w:val="00116467"/>
    <w:rsid w:val="00116825"/>
    <w:rsid w:val="00117925"/>
    <w:rsid w:val="00117A59"/>
    <w:rsid w:val="00117B6F"/>
    <w:rsid w:val="00120209"/>
    <w:rsid w:val="0012070E"/>
    <w:rsid w:val="00120E84"/>
    <w:rsid w:val="00120FD4"/>
    <w:rsid w:val="001217E2"/>
    <w:rsid w:val="00121A67"/>
    <w:rsid w:val="00121AD1"/>
    <w:rsid w:val="00121EF3"/>
    <w:rsid w:val="00122B5D"/>
    <w:rsid w:val="00122D06"/>
    <w:rsid w:val="00122D6D"/>
    <w:rsid w:val="001233F0"/>
    <w:rsid w:val="00124815"/>
    <w:rsid w:val="00124C5A"/>
    <w:rsid w:val="00125005"/>
    <w:rsid w:val="00125959"/>
    <w:rsid w:val="00126C2D"/>
    <w:rsid w:val="00126CF4"/>
    <w:rsid w:val="00126F05"/>
    <w:rsid w:val="0013055D"/>
    <w:rsid w:val="00133005"/>
    <w:rsid w:val="00133DDC"/>
    <w:rsid w:val="00134693"/>
    <w:rsid w:val="00134C45"/>
    <w:rsid w:val="001358F1"/>
    <w:rsid w:val="001363A5"/>
    <w:rsid w:val="001364B3"/>
    <w:rsid w:val="00136D89"/>
    <w:rsid w:val="001401A2"/>
    <w:rsid w:val="001420A7"/>
    <w:rsid w:val="001422BE"/>
    <w:rsid w:val="001425DB"/>
    <w:rsid w:val="001425FB"/>
    <w:rsid w:val="001429B3"/>
    <w:rsid w:val="00142D3D"/>
    <w:rsid w:val="00143B58"/>
    <w:rsid w:val="00143D9E"/>
    <w:rsid w:val="00144004"/>
    <w:rsid w:val="00144CBE"/>
    <w:rsid w:val="0014516C"/>
    <w:rsid w:val="001455AD"/>
    <w:rsid w:val="00145612"/>
    <w:rsid w:val="001467D4"/>
    <w:rsid w:val="00146FD3"/>
    <w:rsid w:val="00147E24"/>
    <w:rsid w:val="001502A7"/>
    <w:rsid w:val="001505AF"/>
    <w:rsid w:val="0015145E"/>
    <w:rsid w:val="00151C18"/>
    <w:rsid w:val="00151E66"/>
    <w:rsid w:val="001522B8"/>
    <w:rsid w:val="001522DE"/>
    <w:rsid w:val="00152310"/>
    <w:rsid w:val="00152988"/>
    <w:rsid w:val="001529FB"/>
    <w:rsid w:val="00153D25"/>
    <w:rsid w:val="0015416A"/>
    <w:rsid w:val="00154A59"/>
    <w:rsid w:val="0015506E"/>
    <w:rsid w:val="0015531F"/>
    <w:rsid w:val="00155605"/>
    <w:rsid w:val="001562E1"/>
    <w:rsid w:val="0015704D"/>
    <w:rsid w:val="00157BBB"/>
    <w:rsid w:val="001600AF"/>
    <w:rsid w:val="001600B6"/>
    <w:rsid w:val="00160393"/>
    <w:rsid w:val="001630E2"/>
    <w:rsid w:val="00163195"/>
    <w:rsid w:val="001646F4"/>
    <w:rsid w:val="0016488C"/>
    <w:rsid w:val="00164B80"/>
    <w:rsid w:val="00164D7D"/>
    <w:rsid w:val="00165F94"/>
    <w:rsid w:val="00166EE5"/>
    <w:rsid w:val="00167E7D"/>
    <w:rsid w:val="0017031D"/>
    <w:rsid w:val="00170CD4"/>
    <w:rsid w:val="00170F2C"/>
    <w:rsid w:val="0017191F"/>
    <w:rsid w:val="00171938"/>
    <w:rsid w:val="00171A8B"/>
    <w:rsid w:val="00171F7E"/>
    <w:rsid w:val="001724D3"/>
    <w:rsid w:val="00172E29"/>
    <w:rsid w:val="0017335D"/>
    <w:rsid w:val="0017398C"/>
    <w:rsid w:val="001739CF"/>
    <w:rsid w:val="001739D1"/>
    <w:rsid w:val="001748CB"/>
    <w:rsid w:val="0017504F"/>
    <w:rsid w:val="001752C0"/>
    <w:rsid w:val="00175C85"/>
    <w:rsid w:val="00175D05"/>
    <w:rsid w:val="001764E1"/>
    <w:rsid w:val="001767B8"/>
    <w:rsid w:val="00176CD4"/>
    <w:rsid w:val="00176E89"/>
    <w:rsid w:val="00176EDA"/>
    <w:rsid w:val="00177E06"/>
    <w:rsid w:val="00180190"/>
    <w:rsid w:val="00180B5D"/>
    <w:rsid w:val="00181578"/>
    <w:rsid w:val="00181D86"/>
    <w:rsid w:val="00182000"/>
    <w:rsid w:val="0018274C"/>
    <w:rsid w:val="00182DE7"/>
    <w:rsid w:val="00183019"/>
    <w:rsid w:val="001842A0"/>
    <w:rsid w:val="001846DF"/>
    <w:rsid w:val="00185B33"/>
    <w:rsid w:val="00185E76"/>
    <w:rsid w:val="0018631F"/>
    <w:rsid w:val="00186590"/>
    <w:rsid w:val="00187A87"/>
    <w:rsid w:val="001900F1"/>
    <w:rsid w:val="00190255"/>
    <w:rsid w:val="00190922"/>
    <w:rsid w:val="00191DF8"/>
    <w:rsid w:val="00192197"/>
    <w:rsid w:val="00192AB6"/>
    <w:rsid w:val="00193611"/>
    <w:rsid w:val="0019428E"/>
    <w:rsid w:val="0019630B"/>
    <w:rsid w:val="001965D4"/>
    <w:rsid w:val="001972B9"/>
    <w:rsid w:val="00197931"/>
    <w:rsid w:val="00197B46"/>
    <w:rsid w:val="001A0230"/>
    <w:rsid w:val="001A269D"/>
    <w:rsid w:val="001A2702"/>
    <w:rsid w:val="001A2EFD"/>
    <w:rsid w:val="001A3311"/>
    <w:rsid w:val="001A40EF"/>
    <w:rsid w:val="001A436C"/>
    <w:rsid w:val="001A5085"/>
    <w:rsid w:val="001A572C"/>
    <w:rsid w:val="001A64C4"/>
    <w:rsid w:val="001A677D"/>
    <w:rsid w:val="001A68F9"/>
    <w:rsid w:val="001A6C44"/>
    <w:rsid w:val="001A7207"/>
    <w:rsid w:val="001A78A3"/>
    <w:rsid w:val="001A7CC8"/>
    <w:rsid w:val="001A7FF4"/>
    <w:rsid w:val="001B011F"/>
    <w:rsid w:val="001B0CCE"/>
    <w:rsid w:val="001B1315"/>
    <w:rsid w:val="001B1707"/>
    <w:rsid w:val="001B23EE"/>
    <w:rsid w:val="001B2EBB"/>
    <w:rsid w:val="001B35F9"/>
    <w:rsid w:val="001B4416"/>
    <w:rsid w:val="001B45DB"/>
    <w:rsid w:val="001B489A"/>
    <w:rsid w:val="001B4903"/>
    <w:rsid w:val="001B4996"/>
    <w:rsid w:val="001B4FC4"/>
    <w:rsid w:val="001B54B6"/>
    <w:rsid w:val="001B6795"/>
    <w:rsid w:val="001B67DB"/>
    <w:rsid w:val="001B6E69"/>
    <w:rsid w:val="001B6F30"/>
    <w:rsid w:val="001B7114"/>
    <w:rsid w:val="001B75E2"/>
    <w:rsid w:val="001B7701"/>
    <w:rsid w:val="001B7BBE"/>
    <w:rsid w:val="001C0D8F"/>
    <w:rsid w:val="001C1699"/>
    <w:rsid w:val="001C1ECE"/>
    <w:rsid w:val="001C20BF"/>
    <w:rsid w:val="001C20D2"/>
    <w:rsid w:val="001C2692"/>
    <w:rsid w:val="001C2EFB"/>
    <w:rsid w:val="001C3465"/>
    <w:rsid w:val="001C3F46"/>
    <w:rsid w:val="001C42F9"/>
    <w:rsid w:val="001C43D6"/>
    <w:rsid w:val="001C454B"/>
    <w:rsid w:val="001C538F"/>
    <w:rsid w:val="001C5E48"/>
    <w:rsid w:val="001C6094"/>
    <w:rsid w:val="001C6948"/>
    <w:rsid w:val="001C6969"/>
    <w:rsid w:val="001C6C59"/>
    <w:rsid w:val="001D03C2"/>
    <w:rsid w:val="001D04D4"/>
    <w:rsid w:val="001D0F0B"/>
    <w:rsid w:val="001D197D"/>
    <w:rsid w:val="001D1EBF"/>
    <w:rsid w:val="001D243E"/>
    <w:rsid w:val="001D27AE"/>
    <w:rsid w:val="001D3F2B"/>
    <w:rsid w:val="001D498F"/>
    <w:rsid w:val="001D4EFA"/>
    <w:rsid w:val="001D51B9"/>
    <w:rsid w:val="001D548B"/>
    <w:rsid w:val="001D5C56"/>
    <w:rsid w:val="001D6321"/>
    <w:rsid w:val="001D6C5C"/>
    <w:rsid w:val="001D6C68"/>
    <w:rsid w:val="001E0194"/>
    <w:rsid w:val="001E08A6"/>
    <w:rsid w:val="001E131A"/>
    <w:rsid w:val="001E1592"/>
    <w:rsid w:val="001E1624"/>
    <w:rsid w:val="001E1699"/>
    <w:rsid w:val="001E1853"/>
    <w:rsid w:val="001E1B1A"/>
    <w:rsid w:val="001E3979"/>
    <w:rsid w:val="001E3FA9"/>
    <w:rsid w:val="001E4081"/>
    <w:rsid w:val="001E41B6"/>
    <w:rsid w:val="001E5088"/>
    <w:rsid w:val="001E752A"/>
    <w:rsid w:val="001E7BAA"/>
    <w:rsid w:val="001E7DA1"/>
    <w:rsid w:val="001F0091"/>
    <w:rsid w:val="001F0D2C"/>
    <w:rsid w:val="001F2B87"/>
    <w:rsid w:val="001F2E9C"/>
    <w:rsid w:val="001F35B6"/>
    <w:rsid w:val="001F3787"/>
    <w:rsid w:val="001F4C11"/>
    <w:rsid w:val="001F51F1"/>
    <w:rsid w:val="001F595B"/>
    <w:rsid w:val="001F7A37"/>
    <w:rsid w:val="001F7D09"/>
    <w:rsid w:val="00201321"/>
    <w:rsid w:val="0020152B"/>
    <w:rsid w:val="00201817"/>
    <w:rsid w:val="00201D07"/>
    <w:rsid w:val="002020DE"/>
    <w:rsid w:val="0020268B"/>
    <w:rsid w:val="00203111"/>
    <w:rsid w:val="002043FD"/>
    <w:rsid w:val="002044EE"/>
    <w:rsid w:val="002046F7"/>
    <w:rsid w:val="00205E97"/>
    <w:rsid w:val="00205F56"/>
    <w:rsid w:val="00205FFB"/>
    <w:rsid w:val="0020636E"/>
    <w:rsid w:val="0020650D"/>
    <w:rsid w:val="0020679B"/>
    <w:rsid w:val="00206BF1"/>
    <w:rsid w:val="00206F4A"/>
    <w:rsid w:val="0020702C"/>
    <w:rsid w:val="00207295"/>
    <w:rsid w:val="002078CE"/>
    <w:rsid w:val="002108EC"/>
    <w:rsid w:val="0021167D"/>
    <w:rsid w:val="0021367A"/>
    <w:rsid w:val="00213908"/>
    <w:rsid w:val="00215143"/>
    <w:rsid w:val="00215284"/>
    <w:rsid w:val="002159F3"/>
    <w:rsid w:val="002160EA"/>
    <w:rsid w:val="002169E5"/>
    <w:rsid w:val="00217DE7"/>
    <w:rsid w:val="00220A8F"/>
    <w:rsid w:val="00220FC0"/>
    <w:rsid w:val="00221022"/>
    <w:rsid w:val="0022186B"/>
    <w:rsid w:val="00222200"/>
    <w:rsid w:val="0022368A"/>
    <w:rsid w:val="00223733"/>
    <w:rsid w:val="00223A2B"/>
    <w:rsid w:val="00223EA4"/>
    <w:rsid w:val="00225D7C"/>
    <w:rsid w:val="00225FC4"/>
    <w:rsid w:val="002263B5"/>
    <w:rsid w:val="00226F92"/>
    <w:rsid w:val="0022703B"/>
    <w:rsid w:val="00227C08"/>
    <w:rsid w:val="002308E2"/>
    <w:rsid w:val="00230B9D"/>
    <w:rsid w:val="0023112D"/>
    <w:rsid w:val="00231251"/>
    <w:rsid w:val="0023179C"/>
    <w:rsid w:val="002318D1"/>
    <w:rsid w:val="00232D5C"/>
    <w:rsid w:val="00233629"/>
    <w:rsid w:val="00233788"/>
    <w:rsid w:val="002341FF"/>
    <w:rsid w:val="0023421F"/>
    <w:rsid w:val="0023488B"/>
    <w:rsid w:val="002349D1"/>
    <w:rsid w:val="00235640"/>
    <w:rsid w:val="00236392"/>
    <w:rsid w:val="0023639D"/>
    <w:rsid w:val="00236D14"/>
    <w:rsid w:val="0023738E"/>
    <w:rsid w:val="0024035E"/>
    <w:rsid w:val="00240FD1"/>
    <w:rsid w:val="00242872"/>
    <w:rsid w:val="00243972"/>
    <w:rsid w:val="002439FC"/>
    <w:rsid w:val="00244688"/>
    <w:rsid w:val="00245479"/>
    <w:rsid w:val="0024640F"/>
    <w:rsid w:val="002466D5"/>
    <w:rsid w:val="00246C81"/>
    <w:rsid w:val="00247AF9"/>
    <w:rsid w:val="0025103F"/>
    <w:rsid w:val="0025166E"/>
    <w:rsid w:val="00251C2D"/>
    <w:rsid w:val="00252049"/>
    <w:rsid w:val="00252184"/>
    <w:rsid w:val="00252E23"/>
    <w:rsid w:val="00254807"/>
    <w:rsid w:val="00254B17"/>
    <w:rsid w:val="00254F0A"/>
    <w:rsid w:val="00255B7B"/>
    <w:rsid w:val="00256055"/>
    <w:rsid w:val="00256194"/>
    <w:rsid w:val="0025641C"/>
    <w:rsid w:val="0025696F"/>
    <w:rsid w:val="002573DC"/>
    <w:rsid w:val="00257AE0"/>
    <w:rsid w:val="002605F1"/>
    <w:rsid w:val="002606CB"/>
    <w:rsid w:val="00263078"/>
    <w:rsid w:val="002639EC"/>
    <w:rsid w:val="002647EC"/>
    <w:rsid w:val="0026489D"/>
    <w:rsid w:val="00264E21"/>
    <w:rsid w:val="002668EA"/>
    <w:rsid w:val="00266958"/>
    <w:rsid w:val="00267827"/>
    <w:rsid w:val="002703CB"/>
    <w:rsid w:val="002704B9"/>
    <w:rsid w:val="0027144A"/>
    <w:rsid w:val="002716E8"/>
    <w:rsid w:val="00271CCC"/>
    <w:rsid w:val="0027208C"/>
    <w:rsid w:val="00272272"/>
    <w:rsid w:val="002738B7"/>
    <w:rsid w:val="00273ABD"/>
    <w:rsid w:val="00273C90"/>
    <w:rsid w:val="00275DEF"/>
    <w:rsid w:val="00276630"/>
    <w:rsid w:val="0027696C"/>
    <w:rsid w:val="00277147"/>
    <w:rsid w:val="00277949"/>
    <w:rsid w:val="00277A62"/>
    <w:rsid w:val="00280F67"/>
    <w:rsid w:val="00280FC3"/>
    <w:rsid w:val="002817AF"/>
    <w:rsid w:val="00281957"/>
    <w:rsid w:val="00281C4F"/>
    <w:rsid w:val="00282407"/>
    <w:rsid w:val="00282574"/>
    <w:rsid w:val="00282CB1"/>
    <w:rsid w:val="00282D7F"/>
    <w:rsid w:val="00282E92"/>
    <w:rsid w:val="00283503"/>
    <w:rsid w:val="00283782"/>
    <w:rsid w:val="002839C0"/>
    <w:rsid w:val="00283BE6"/>
    <w:rsid w:val="002840F9"/>
    <w:rsid w:val="002845FC"/>
    <w:rsid w:val="00284CE4"/>
    <w:rsid w:val="00285373"/>
    <w:rsid w:val="002859D9"/>
    <w:rsid w:val="00286472"/>
    <w:rsid w:val="002878A4"/>
    <w:rsid w:val="00287AFC"/>
    <w:rsid w:val="0029051E"/>
    <w:rsid w:val="002906DD"/>
    <w:rsid w:val="0029099B"/>
    <w:rsid w:val="00290E10"/>
    <w:rsid w:val="002919CB"/>
    <w:rsid w:val="00292231"/>
    <w:rsid w:val="00293423"/>
    <w:rsid w:val="0029365F"/>
    <w:rsid w:val="00293A98"/>
    <w:rsid w:val="00295627"/>
    <w:rsid w:val="002957C6"/>
    <w:rsid w:val="0029684D"/>
    <w:rsid w:val="00296B36"/>
    <w:rsid w:val="00296FC9"/>
    <w:rsid w:val="002A0023"/>
    <w:rsid w:val="002A07D0"/>
    <w:rsid w:val="002A0E88"/>
    <w:rsid w:val="002A2150"/>
    <w:rsid w:val="002A2242"/>
    <w:rsid w:val="002A27D6"/>
    <w:rsid w:val="002A31DC"/>
    <w:rsid w:val="002A3BBE"/>
    <w:rsid w:val="002A3C21"/>
    <w:rsid w:val="002A4274"/>
    <w:rsid w:val="002A48E7"/>
    <w:rsid w:val="002A4FE3"/>
    <w:rsid w:val="002A6101"/>
    <w:rsid w:val="002A651D"/>
    <w:rsid w:val="002A6D5A"/>
    <w:rsid w:val="002A7586"/>
    <w:rsid w:val="002A7799"/>
    <w:rsid w:val="002B0DBD"/>
    <w:rsid w:val="002B10ED"/>
    <w:rsid w:val="002B1267"/>
    <w:rsid w:val="002B249C"/>
    <w:rsid w:val="002B2502"/>
    <w:rsid w:val="002B2634"/>
    <w:rsid w:val="002B2689"/>
    <w:rsid w:val="002B28F5"/>
    <w:rsid w:val="002B294F"/>
    <w:rsid w:val="002B2F8A"/>
    <w:rsid w:val="002B2FD5"/>
    <w:rsid w:val="002B3036"/>
    <w:rsid w:val="002B315D"/>
    <w:rsid w:val="002B3D91"/>
    <w:rsid w:val="002B42C5"/>
    <w:rsid w:val="002B460F"/>
    <w:rsid w:val="002B54C4"/>
    <w:rsid w:val="002B7062"/>
    <w:rsid w:val="002B7180"/>
    <w:rsid w:val="002B7ED1"/>
    <w:rsid w:val="002C07B7"/>
    <w:rsid w:val="002C07EA"/>
    <w:rsid w:val="002C0A8D"/>
    <w:rsid w:val="002C2265"/>
    <w:rsid w:val="002C764C"/>
    <w:rsid w:val="002C7BB3"/>
    <w:rsid w:val="002D037E"/>
    <w:rsid w:val="002D1606"/>
    <w:rsid w:val="002D16C5"/>
    <w:rsid w:val="002D324F"/>
    <w:rsid w:val="002D46A5"/>
    <w:rsid w:val="002D5AC0"/>
    <w:rsid w:val="002D6A05"/>
    <w:rsid w:val="002D6C6F"/>
    <w:rsid w:val="002D6DC0"/>
    <w:rsid w:val="002D6DFE"/>
    <w:rsid w:val="002D705B"/>
    <w:rsid w:val="002D711A"/>
    <w:rsid w:val="002D7B65"/>
    <w:rsid w:val="002E071F"/>
    <w:rsid w:val="002E0DE7"/>
    <w:rsid w:val="002E32D9"/>
    <w:rsid w:val="002E3C9D"/>
    <w:rsid w:val="002E3E61"/>
    <w:rsid w:val="002E4763"/>
    <w:rsid w:val="002E4D48"/>
    <w:rsid w:val="002E5B80"/>
    <w:rsid w:val="002E617A"/>
    <w:rsid w:val="002E768B"/>
    <w:rsid w:val="002E79EA"/>
    <w:rsid w:val="002E7CAD"/>
    <w:rsid w:val="002F005C"/>
    <w:rsid w:val="002F0952"/>
    <w:rsid w:val="002F0FBC"/>
    <w:rsid w:val="002F182C"/>
    <w:rsid w:val="002F2E4F"/>
    <w:rsid w:val="002F2F42"/>
    <w:rsid w:val="002F3D79"/>
    <w:rsid w:val="002F471C"/>
    <w:rsid w:val="002F4C49"/>
    <w:rsid w:val="002F5766"/>
    <w:rsid w:val="002F5B92"/>
    <w:rsid w:val="002F724E"/>
    <w:rsid w:val="00300000"/>
    <w:rsid w:val="003007E3"/>
    <w:rsid w:val="003022B2"/>
    <w:rsid w:val="00302371"/>
    <w:rsid w:val="0030246D"/>
    <w:rsid w:val="003028B2"/>
    <w:rsid w:val="00302ABE"/>
    <w:rsid w:val="0030352C"/>
    <w:rsid w:val="0030380C"/>
    <w:rsid w:val="00303A69"/>
    <w:rsid w:val="00304272"/>
    <w:rsid w:val="00304591"/>
    <w:rsid w:val="003058EC"/>
    <w:rsid w:val="00305F69"/>
    <w:rsid w:val="003061D2"/>
    <w:rsid w:val="00306621"/>
    <w:rsid w:val="00306821"/>
    <w:rsid w:val="00306B12"/>
    <w:rsid w:val="00306C2B"/>
    <w:rsid w:val="003074BF"/>
    <w:rsid w:val="00307B16"/>
    <w:rsid w:val="003102D0"/>
    <w:rsid w:val="003108F8"/>
    <w:rsid w:val="00310932"/>
    <w:rsid w:val="0031097A"/>
    <w:rsid w:val="00314510"/>
    <w:rsid w:val="003150CE"/>
    <w:rsid w:val="00315FCC"/>
    <w:rsid w:val="00317666"/>
    <w:rsid w:val="0032119E"/>
    <w:rsid w:val="00322A83"/>
    <w:rsid w:val="00322D14"/>
    <w:rsid w:val="003236E2"/>
    <w:rsid w:val="00325C1C"/>
    <w:rsid w:val="00325C6F"/>
    <w:rsid w:val="0032678E"/>
    <w:rsid w:val="00326800"/>
    <w:rsid w:val="0032683B"/>
    <w:rsid w:val="00327539"/>
    <w:rsid w:val="0032782C"/>
    <w:rsid w:val="00327A86"/>
    <w:rsid w:val="00327C18"/>
    <w:rsid w:val="0033079D"/>
    <w:rsid w:val="00330CD4"/>
    <w:rsid w:val="00331152"/>
    <w:rsid w:val="00331451"/>
    <w:rsid w:val="00331640"/>
    <w:rsid w:val="00332422"/>
    <w:rsid w:val="00332904"/>
    <w:rsid w:val="00332A16"/>
    <w:rsid w:val="00333107"/>
    <w:rsid w:val="003337E7"/>
    <w:rsid w:val="0033395A"/>
    <w:rsid w:val="00334C19"/>
    <w:rsid w:val="003350F7"/>
    <w:rsid w:val="003357D4"/>
    <w:rsid w:val="0033593E"/>
    <w:rsid w:val="00336458"/>
    <w:rsid w:val="00337265"/>
    <w:rsid w:val="00340323"/>
    <w:rsid w:val="0034097F"/>
    <w:rsid w:val="0034099B"/>
    <w:rsid w:val="00340A60"/>
    <w:rsid w:val="00340D4E"/>
    <w:rsid w:val="0034164D"/>
    <w:rsid w:val="00341724"/>
    <w:rsid w:val="0034187B"/>
    <w:rsid w:val="00342F12"/>
    <w:rsid w:val="00343032"/>
    <w:rsid w:val="00343200"/>
    <w:rsid w:val="0034370B"/>
    <w:rsid w:val="003439BC"/>
    <w:rsid w:val="00343A3F"/>
    <w:rsid w:val="00343AE4"/>
    <w:rsid w:val="00343C0E"/>
    <w:rsid w:val="00343CB7"/>
    <w:rsid w:val="00344119"/>
    <w:rsid w:val="003452B6"/>
    <w:rsid w:val="00345F59"/>
    <w:rsid w:val="00346CA2"/>
    <w:rsid w:val="00346DCC"/>
    <w:rsid w:val="00346EB2"/>
    <w:rsid w:val="00347212"/>
    <w:rsid w:val="003479CF"/>
    <w:rsid w:val="00347AFB"/>
    <w:rsid w:val="00347DF9"/>
    <w:rsid w:val="00347FB6"/>
    <w:rsid w:val="003510E8"/>
    <w:rsid w:val="00352189"/>
    <w:rsid w:val="00352842"/>
    <w:rsid w:val="003529A0"/>
    <w:rsid w:val="00352C48"/>
    <w:rsid w:val="0035402D"/>
    <w:rsid w:val="00354821"/>
    <w:rsid w:val="003558B7"/>
    <w:rsid w:val="00355A08"/>
    <w:rsid w:val="00356993"/>
    <w:rsid w:val="003572AC"/>
    <w:rsid w:val="003577A4"/>
    <w:rsid w:val="00357942"/>
    <w:rsid w:val="003579D8"/>
    <w:rsid w:val="00357CD3"/>
    <w:rsid w:val="0036009A"/>
    <w:rsid w:val="0036084F"/>
    <w:rsid w:val="003613C6"/>
    <w:rsid w:val="00362AC7"/>
    <w:rsid w:val="00362C24"/>
    <w:rsid w:val="00362FA3"/>
    <w:rsid w:val="0036331B"/>
    <w:rsid w:val="003642A2"/>
    <w:rsid w:val="00364A07"/>
    <w:rsid w:val="00364CBF"/>
    <w:rsid w:val="00364E4D"/>
    <w:rsid w:val="0036543A"/>
    <w:rsid w:val="00365D91"/>
    <w:rsid w:val="0036677E"/>
    <w:rsid w:val="00366B48"/>
    <w:rsid w:val="00366CFD"/>
    <w:rsid w:val="00370139"/>
    <w:rsid w:val="00371327"/>
    <w:rsid w:val="00371BF2"/>
    <w:rsid w:val="00371E81"/>
    <w:rsid w:val="00373B70"/>
    <w:rsid w:val="00373D96"/>
    <w:rsid w:val="003740AF"/>
    <w:rsid w:val="003742C0"/>
    <w:rsid w:val="003747DA"/>
    <w:rsid w:val="00374E5D"/>
    <w:rsid w:val="00375383"/>
    <w:rsid w:val="003755B3"/>
    <w:rsid w:val="003769DF"/>
    <w:rsid w:val="00376AC7"/>
    <w:rsid w:val="00376EF0"/>
    <w:rsid w:val="00377ED2"/>
    <w:rsid w:val="00380FCD"/>
    <w:rsid w:val="00381025"/>
    <w:rsid w:val="003810CC"/>
    <w:rsid w:val="00381289"/>
    <w:rsid w:val="003821EB"/>
    <w:rsid w:val="00382732"/>
    <w:rsid w:val="00382E39"/>
    <w:rsid w:val="00383986"/>
    <w:rsid w:val="00383988"/>
    <w:rsid w:val="00383BF4"/>
    <w:rsid w:val="00383E21"/>
    <w:rsid w:val="00383EE1"/>
    <w:rsid w:val="00383F20"/>
    <w:rsid w:val="00384BB4"/>
    <w:rsid w:val="00385151"/>
    <w:rsid w:val="00385907"/>
    <w:rsid w:val="00385D14"/>
    <w:rsid w:val="00386CD7"/>
    <w:rsid w:val="003874F8"/>
    <w:rsid w:val="00387558"/>
    <w:rsid w:val="00387AAD"/>
    <w:rsid w:val="00387FA6"/>
    <w:rsid w:val="0039025C"/>
    <w:rsid w:val="0039074A"/>
    <w:rsid w:val="0039187A"/>
    <w:rsid w:val="00392020"/>
    <w:rsid w:val="003934CC"/>
    <w:rsid w:val="003939C6"/>
    <w:rsid w:val="00393AA3"/>
    <w:rsid w:val="00393ADE"/>
    <w:rsid w:val="00393F54"/>
    <w:rsid w:val="0039484C"/>
    <w:rsid w:val="0039540D"/>
    <w:rsid w:val="0039577B"/>
    <w:rsid w:val="00397A8D"/>
    <w:rsid w:val="00397D5E"/>
    <w:rsid w:val="003A0DF4"/>
    <w:rsid w:val="003A10A4"/>
    <w:rsid w:val="003A133F"/>
    <w:rsid w:val="003A2CE0"/>
    <w:rsid w:val="003A2F0D"/>
    <w:rsid w:val="003A3356"/>
    <w:rsid w:val="003A47C3"/>
    <w:rsid w:val="003A4EE9"/>
    <w:rsid w:val="003A55A5"/>
    <w:rsid w:val="003A5B66"/>
    <w:rsid w:val="003A5D84"/>
    <w:rsid w:val="003A62CD"/>
    <w:rsid w:val="003A65BD"/>
    <w:rsid w:val="003A665D"/>
    <w:rsid w:val="003A6980"/>
    <w:rsid w:val="003A6BB8"/>
    <w:rsid w:val="003A6D97"/>
    <w:rsid w:val="003A776A"/>
    <w:rsid w:val="003A78E0"/>
    <w:rsid w:val="003A7D1A"/>
    <w:rsid w:val="003B08EB"/>
    <w:rsid w:val="003B0F15"/>
    <w:rsid w:val="003B1302"/>
    <w:rsid w:val="003B3477"/>
    <w:rsid w:val="003B3F20"/>
    <w:rsid w:val="003B4254"/>
    <w:rsid w:val="003B451B"/>
    <w:rsid w:val="003B472E"/>
    <w:rsid w:val="003B47AF"/>
    <w:rsid w:val="003B516F"/>
    <w:rsid w:val="003B5C02"/>
    <w:rsid w:val="003B5D92"/>
    <w:rsid w:val="003B5E86"/>
    <w:rsid w:val="003B6FA5"/>
    <w:rsid w:val="003B7CA7"/>
    <w:rsid w:val="003B7FF6"/>
    <w:rsid w:val="003C019A"/>
    <w:rsid w:val="003C0292"/>
    <w:rsid w:val="003C0645"/>
    <w:rsid w:val="003C1452"/>
    <w:rsid w:val="003C1717"/>
    <w:rsid w:val="003C19A6"/>
    <w:rsid w:val="003C1B47"/>
    <w:rsid w:val="003C1D8B"/>
    <w:rsid w:val="003C1F8F"/>
    <w:rsid w:val="003C26C5"/>
    <w:rsid w:val="003C2F6F"/>
    <w:rsid w:val="003C43D3"/>
    <w:rsid w:val="003C4893"/>
    <w:rsid w:val="003C504C"/>
    <w:rsid w:val="003C535C"/>
    <w:rsid w:val="003C53E3"/>
    <w:rsid w:val="003C59F9"/>
    <w:rsid w:val="003C6317"/>
    <w:rsid w:val="003C68E1"/>
    <w:rsid w:val="003C734F"/>
    <w:rsid w:val="003C7470"/>
    <w:rsid w:val="003C757E"/>
    <w:rsid w:val="003D004C"/>
    <w:rsid w:val="003D0824"/>
    <w:rsid w:val="003D08DB"/>
    <w:rsid w:val="003D0A07"/>
    <w:rsid w:val="003D0A2F"/>
    <w:rsid w:val="003D0E6E"/>
    <w:rsid w:val="003D137F"/>
    <w:rsid w:val="003D1644"/>
    <w:rsid w:val="003D1E20"/>
    <w:rsid w:val="003D3044"/>
    <w:rsid w:val="003D357F"/>
    <w:rsid w:val="003D3D4F"/>
    <w:rsid w:val="003D4224"/>
    <w:rsid w:val="003D4400"/>
    <w:rsid w:val="003D4CD4"/>
    <w:rsid w:val="003D6662"/>
    <w:rsid w:val="003D680A"/>
    <w:rsid w:val="003D692B"/>
    <w:rsid w:val="003D6A02"/>
    <w:rsid w:val="003E02A4"/>
    <w:rsid w:val="003E061B"/>
    <w:rsid w:val="003E0879"/>
    <w:rsid w:val="003E08C6"/>
    <w:rsid w:val="003E0D32"/>
    <w:rsid w:val="003E0FC0"/>
    <w:rsid w:val="003E1D2D"/>
    <w:rsid w:val="003E2576"/>
    <w:rsid w:val="003E4A6D"/>
    <w:rsid w:val="003E4A87"/>
    <w:rsid w:val="003E5087"/>
    <w:rsid w:val="003E5383"/>
    <w:rsid w:val="003E5E72"/>
    <w:rsid w:val="003E6C67"/>
    <w:rsid w:val="003E7999"/>
    <w:rsid w:val="003E7C85"/>
    <w:rsid w:val="003F0312"/>
    <w:rsid w:val="003F03EC"/>
    <w:rsid w:val="003F0877"/>
    <w:rsid w:val="003F11AD"/>
    <w:rsid w:val="003F25F6"/>
    <w:rsid w:val="003F2A04"/>
    <w:rsid w:val="003F3039"/>
    <w:rsid w:val="003F33CC"/>
    <w:rsid w:val="003F38FD"/>
    <w:rsid w:val="003F47FE"/>
    <w:rsid w:val="003F4ACE"/>
    <w:rsid w:val="003F4B0E"/>
    <w:rsid w:val="003F5306"/>
    <w:rsid w:val="003F5BA5"/>
    <w:rsid w:val="003F634A"/>
    <w:rsid w:val="003F6475"/>
    <w:rsid w:val="003F7688"/>
    <w:rsid w:val="003F7748"/>
    <w:rsid w:val="00400AF9"/>
    <w:rsid w:val="00401128"/>
    <w:rsid w:val="00402079"/>
    <w:rsid w:val="004021A9"/>
    <w:rsid w:val="00403004"/>
    <w:rsid w:val="00403982"/>
    <w:rsid w:val="00403C6C"/>
    <w:rsid w:val="0040456A"/>
    <w:rsid w:val="0040539F"/>
    <w:rsid w:val="00406E81"/>
    <w:rsid w:val="004079C8"/>
    <w:rsid w:val="00407EB3"/>
    <w:rsid w:val="00410C9A"/>
    <w:rsid w:val="00410CAF"/>
    <w:rsid w:val="00411302"/>
    <w:rsid w:val="00411832"/>
    <w:rsid w:val="00411A8D"/>
    <w:rsid w:val="004120D5"/>
    <w:rsid w:val="00412C78"/>
    <w:rsid w:val="00413394"/>
    <w:rsid w:val="00416C39"/>
    <w:rsid w:val="00417DDB"/>
    <w:rsid w:val="00420A20"/>
    <w:rsid w:val="00421303"/>
    <w:rsid w:val="00421847"/>
    <w:rsid w:val="00421C44"/>
    <w:rsid w:val="0042233A"/>
    <w:rsid w:val="004225BB"/>
    <w:rsid w:val="0042360A"/>
    <w:rsid w:val="004236F3"/>
    <w:rsid w:val="00423B1F"/>
    <w:rsid w:val="00424F0F"/>
    <w:rsid w:val="004251B8"/>
    <w:rsid w:val="00425711"/>
    <w:rsid w:val="004259A2"/>
    <w:rsid w:val="00425D02"/>
    <w:rsid w:val="00425ECC"/>
    <w:rsid w:val="00425F97"/>
    <w:rsid w:val="004263C2"/>
    <w:rsid w:val="004266AD"/>
    <w:rsid w:val="0042729C"/>
    <w:rsid w:val="00430145"/>
    <w:rsid w:val="00430971"/>
    <w:rsid w:val="00430D2C"/>
    <w:rsid w:val="00430E46"/>
    <w:rsid w:val="004314AB"/>
    <w:rsid w:val="00431568"/>
    <w:rsid w:val="004327D4"/>
    <w:rsid w:val="00432F59"/>
    <w:rsid w:val="00432FF2"/>
    <w:rsid w:val="00433481"/>
    <w:rsid w:val="00434537"/>
    <w:rsid w:val="00434D4C"/>
    <w:rsid w:val="004351A3"/>
    <w:rsid w:val="00436CD8"/>
    <w:rsid w:val="00437163"/>
    <w:rsid w:val="004371F7"/>
    <w:rsid w:val="00437224"/>
    <w:rsid w:val="0044019A"/>
    <w:rsid w:val="00440776"/>
    <w:rsid w:val="0044089F"/>
    <w:rsid w:val="00440DEA"/>
    <w:rsid w:val="0044201C"/>
    <w:rsid w:val="004438ED"/>
    <w:rsid w:val="00443A11"/>
    <w:rsid w:val="004440F2"/>
    <w:rsid w:val="004449F0"/>
    <w:rsid w:val="0044516C"/>
    <w:rsid w:val="00446A21"/>
    <w:rsid w:val="00447B93"/>
    <w:rsid w:val="00450B74"/>
    <w:rsid w:val="004515CC"/>
    <w:rsid w:val="00452F5D"/>
    <w:rsid w:val="00452F5F"/>
    <w:rsid w:val="00452F9C"/>
    <w:rsid w:val="00453051"/>
    <w:rsid w:val="00453AF3"/>
    <w:rsid w:val="00453E86"/>
    <w:rsid w:val="00455008"/>
    <w:rsid w:val="00455056"/>
    <w:rsid w:val="0045536E"/>
    <w:rsid w:val="00455775"/>
    <w:rsid w:val="00455E28"/>
    <w:rsid w:val="00456558"/>
    <w:rsid w:val="004565CF"/>
    <w:rsid w:val="004568A4"/>
    <w:rsid w:val="00456C4F"/>
    <w:rsid w:val="00456DC2"/>
    <w:rsid w:val="004577F5"/>
    <w:rsid w:val="00461B12"/>
    <w:rsid w:val="00461BCF"/>
    <w:rsid w:val="00461C90"/>
    <w:rsid w:val="00461DBB"/>
    <w:rsid w:val="00461EDA"/>
    <w:rsid w:val="00462187"/>
    <w:rsid w:val="0046236D"/>
    <w:rsid w:val="004623CE"/>
    <w:rsid w:val="00462E90"/>
    <w:rsid w:val="004631DB"/>
    <w:rsid w:val="004637E9"/>
    <w:rsid w:val="00463844"/>
    <w:rsid w:val="0046469B"/>
    <w:rsid w:val="004649C1"/>
    <w:rsid w:val="00464D11"/>
    <w:rsid w:val="00465068"/>
    <w:rsid w:val="00465E01"/>
    <w:rsid w:val="004663B3"/>
    <w:rsid w:val="0046764D"/>
    <w:rsid w:val="004705E8"/>
    <w:rsid w:val="00470784"/>
    <w:rsid w:val="00470F98"/>
    <w:rsid w:val="00471542"/>
    <w:rsid w:val="0047178C"/>
    <w:rsid w:val="004734EE"/>
    <w:rsid w:val="004741A5"/>
    <w:rsid w:val="004741F1"/>
    <w:rsid w:val="004746D9"/>
    <w:rsid w:val="00474C6C"/>
    <w:rsid w:val="0047510F"/>
    <w:rsid w:val="0047512C"/>
    <w:rsid w:val="00475AE0"/>
    <w:rsid w:val="00475E06"/>
    <w:rsid w:val="004763EB"/>
    <w:rsid w:val="004765DC"/>
    <w:rsid w:val="00476E3D"/>
    <w:rsid w:val="00477422"/>
    <w:rsid w:val="004774C5"/>
    <w:rsid w:val="00477648"/>
    <w:rsid w:val="00477BD4"/>
    <w:rsid w:val="00480A33"/>
    <w:rsid w:val="00480EC9"/>
    <w:rsid w:val="004817F2"/>
    <w:rsid w:val="00481BC7"/>
    <w:rsid w:val="0048231A"/>
    <w:rsid w:val="00482606"/>
    <w:rsid w:val="0048364D"/>
    <w:rsid w:val="004838A1"/>
    <w:rsid w:val="00483BE8"/>
    <w:rsid w:val="0048408C"/>
    <w:rsid w:val="004842D6"/>
    <w:rsid w:val="0048491D"/>
    <w:rsid w:val="00485346"/>
    <w:rsid w:val="004854E5"/>
    <w:rsid w:val="00485989"/>
    <w:rsid w:val="00485D32"/>
    <w:rsid w:val="004863BC"/>
    <w:rsid w:val="0049176E"/>
    <w:rsid w:val="00491CA8"/>
    <w:rsid w:val="00491F74"/>
    <w:rsid w:val="0049206D"/>
    <w:rsid w:val="0049397E"/>
    <w:rsid w:val="00494683"/>
    <w:rsid w:val="00494D5B"/>
    <w:rsid w:val="004951A9"/>
    <w:rsid w:val="00495898"/>
    <w:rsid w:val="0049598C"/>
    <w:rsid w:val="004966F9"/>
    <w:rsid w:val="00496EA2"/>
    <w:rsid w:val="0049770D"/>
    <w:rsid w:val="004979DD"/>
    <w:rsid w:val="004A04F1"/>
    <w:rsid w:val="004A05D0"/>
    <w:rsid w:val="004A100C"/>
    <w:rsid w:val="004A1BD6"/>
    <w:rsid w:val="004A1D50"/>
    <w:rsid w:val="004A2967"/>
    <w:rsid w:val="004A29C7"/>
    <w:rsid w:val="004A324B"/>
    <w:rsid w:val="004A33B6"/>
    <w:rsid w:val="004A344D"/>
    <w:rsid w:val="004A3ED9"/>
    <w:rsid w:val="004A63E4"/>
    <w:rsid w:val="004A66C6"/>
    <w:rsid w:val="004A6C97"/>
    <w:rsid w:val="004A6CA1"/>
    <w:rsid w:val="004A7040"/>
    <w:rsid w:val="004A761D"/>
    <w:rsid w:val="004A7965"/>
    <w:rsid w:val="004B04B7"/>
    <w:rsid w:val="004B05FB"/>
    <w:rsid w:val="004B07BB"/>
    <w:rsid w:val="004B38D2"/>
    <w:rsid w:val="004B3962"/>
    <w:rsid w:val="004B3C34"/>
    <w:rsid w:val="004B3C56"/>
    <w:rsid w:val="004B43F2"/>
    <w:rsid w:val="004B449A"/>
    <w:rsid w:val="004B449E"/>
    <w:rsid w:val="004B4515"/>
    <w:rsid w:val="004B4941"/>
    <w:rsid w:val="004B5A59"/>
    <w:rsid w:val="004B5BF1"/>
    <w:rsid w:val="004B5C4B"/>
    <w:rsid w:val="004B5FE7"/>
    <w:rsid w:val="004B6AD5"/>
    <w:rsid w:val="004B6BE9"/>
    <w:rsid w:val="004B6D8D"/>
    <w:rsid w:val="004B704B"/>
    <w:rsid w:val="004B730D"/>
    <w:rsid w:val="004B7C02"/>
    <w:rsid w:val="004C00E5"/>
    <w:rsid w:val="004C1DF5"/>
    <w:rsid w:val="004C1EC5"/>
    <w:rsid w:val="004C45F2"/>
    <w:rsid w:val="004C481B"/>
    <w:rsid w:val="004C4926"/>
    <w:rsid w:val="004C4DB9"/>
    <w:rsid w:val="004C529C"/>
    <w:rsid w:val="004C5873"/>
    <w:rsid w:val="004C5986"/>
    <w:rsid w:val="004C6154"/>
    <w:rsid w:val="004C6677"/>
    <w:rsid w:val="004C6924"/>
    <w:rsid w:val="004C6EE9"/>
    <w:rsid w:val="004D05B5"/>
    <w:rsid w:val="004D05E2"/>
    <w:rsid w:val="004D1A7A"/>
    <w:rsid w:val="004D1CB5"/>
    <w:rsid w:val="004D2319"/>
    <w:rsid w:val="004D231C"/>
    <w:rsid w:val="004D2ED8"/>
    <w:rsid w:val="004D3065"/>
    <w:rsid w:val="004D5219"/>
    <w:rsid w:val="004D5A09"/>
    <w:rsid w:val="004D6013"/>
    <w:rsid w:val="004D6661"/>
    <w:rsid w:val="004D675E"/>
    <w:rsid w:val="004D6B88"/>
    <w:rsid w:val="004D6D77"/>
    <w:rsid w:val="004D75A7"/>
    <w:rsid w:val="004E000B"/>
    <w:rsid w:val="004E0B85"/>
    <w:rsid w:val="004E0F70"/>
    <w:rsid w:val="004E2604"/>
    <w:rsid w:val="004E3C24"/>
    <w:rsid w:val="004E3D4D"/>
    <w:rsid w:val="004E404D"/>
    <w:rsid w:val="004E40C5"/>
    <w:rsid w:val="004E561D"/>
    <w:rsid w:val="004E5B7B"/>
    <w:rsid w:val="004E6A4D"/>
    <w:rsid w:val="004E7199"/>
    <w:rsid w:val="004E7538"/>
    <w:rsid w:val="004E7672"/>
    <w:rsid w:val="004E7C99"/>
    <w:rsid w:val="004F0819"/>
    <w:rsid w:val="004F0D17"/>
    <w:rsid w:val="004F1E8C"/>
    <w:rsid w:val="004F3EDD"/>
    <w:rsid w:val="004F48AD"/>
    <w:rsid w:val="004F5AAE"/>
    <w:rsid w:val="004F5D93"/>
    <w:rsid w:val="004F6500"/>
    <w:rsid w:val="004F6763"/>
    <w:rsid w:val="004F6F30"/>
    <w:rsid w:val="004F7597"/>
    <w:rsid w:val="004F76C8"/>
    <w:rsid w:val="005003C6"/>
    <w:rsid w:val="00501A10"/>
    <w:rsid w:val="00502EB5"/>
    <w:rsid w:val="00503BC6"/>
    <w:rsid w:val="00503E8E"/>
    <w:rsid w:val="0050485E"/>
    <w:rsid w:val="005053C8"/>
    <w:rsid w:val="00505417"/>
    <w:rsid w:val="00505ECF"/>
    <w:rsid w:val="0050614C"/>
    <w:rsid w:val="00506A70"/>
    <w:rsid w:val="00506B58"/>
    <w:rsid w:val="00506C7B"/>
    <w:rsid w:val="00507441"/>
    <w:rsid w:val="00510C66"/>
    <w:rsid w:val="005127E2"/>
    <w:rsid w:val="00512CCE"/>
    <w:rsid w:val="00513210"/>
    <w:rsid w:val="00513337"/>
    <w:rsid w:val="00515F0D"/>
    <w:rsid w:val="0051648B"/>
    <w:rsid w:val="00521CF6"/>
    <w:rsid w:val="00521F0A"/>
    <w:rsid w:val="005220EE"/>
    <w:rsid w:val="0052232E"/>
    <w:rsid w:val="00522B2F"/>
    <w:rsid w:val="005235AA"/>
    <w:rsid w:val="005242F5"/>
    <w:rsid w:val="005246B5"/>
    <w:rsid w:val="00524ED9"/>
    <w:rsid w:val="005259A2"/>
    <w:rsid w:val="00525FF3"/>
    <w:rsid w:val="0052719B"/>
    <w:rsid w:val="00527D22"/>
    <w:rsid w:val="00527FC8"/>
    <w:rsid w:val="00530356"/>
    <w:rsid w:val="00530F73"/>
    <w:rsid w:val="00531A00"/>
    <w:rsid w:val="00531D43"/>
    <w:rsid w:val="005330B3"/>
    <w:rsid w:val="00533877"/>
    <w:rsid w:val="00533E82"/>
    <w:rsid w:val="0053438B"/>
    <w:rsid w:val="00534EDD"/>
    <w:rsid w:val="005352FA"/>
    <w:rsid w:val="0053563E"/>
    <w:rsid w:val="00535C23"/>
    <w:rsid w:val="00535DA1"/>
    <w:rsid w:val="005365F8"/>
    <w:rsid w:val="00536771"/>
    <w:rsid w:val="00537CD9"/>
    <w:rsid w:val="0054180A"/>
    <w:rsid w:val="0054285D"/>
    <w:rsid w:val="00542D39"/>
    <w:rsid w:val="00543A1F"/>
    <w:rsid w:val="00544C56"/>
    <w:rsid w:val="00545762"/>
    <w:rsid w:val="00546541"/>
    <w:rsid w:val="005467FC"/>
    <w:rsid w:val="005469A8"/>
    <w:rsid w:val="005470ED"/>
    <w:rsid w:val="00547155"/>
    <w:rsid w:val="005479EE"/>
    <w:rsid w:val="00550B77"/>
    <w:rsid w:val="00551377"/>
    <w:rsid w:val="00551505"/>
    <w:rsid w:val="005518D5"/>
    <w:rsid w:val="00551953"/>
    <w:rsid w:val="00551FBD"/>
    <w:rsid w:val="00552A3B"/>
    <w:rsid w:val="00553B09"/>
    <w:rsid w:val="00554952"/>
    <w:rsid w:val="00555409"/>
    <w:rsid w:val="005561EC"/>
    <w:rsid w:val="00556BB3"/>
    <w:rsid w:val="00557C83"/>
    <w:rsid w:val="005600A0"/>
    <w:rsid w:val="0056020D"/>
    <w:rsid w:val="0056050E"/>
    <w:rsid w:val="00560DD6"/>
    <w:rsid w:val="00560F53"/>
    <w:rsid w:val="00562148"/>
    <w:rsid w:val="0056277D"/>
    <w:rsid w:val="005631BF"/>
    <w:rsid w:val="005631E0"/>
    <w:rsid w:val="00563654"/>
    <w:rsid w:val="00564439"/>
    <w:rsid w:val="00564499"/>
    <w:rsid w:val="00564723"/>
    <w:rsid w:val="005648B9"/>
    <w:rsid w:val="00564AB1"/>
    <w:rsid w:val="00564CB5"/>
    <w:rsid w:val="00564D6E"/>
    <w:rsid w:val="00565B29"/>
    <w:rsid w:val="00565EB5"/>
    <w:rsid w:val="005667A0"/>
    <w:rsid w:val="0056682F"/>
    <w:rsid w:val="00567243"/>
    <w:rsid w:val="0056767C"/>
    <w:rsid w:val="00567943"/>
    <w:rsid w:val="00567BCA"/>
    <w:rsid w:val="0057101B"/>
    <w:rsid w:val="00571410"/>
    <w:rsid w:val="0057198A"/>
    <w:rsid w:val="00571A76"/>
    <w:rsid w:val="005729AA"/>
    <w:rsid w:val="0057304B"/>
    <w:rsid w:val="00573114"/>
    <w:rsid w:val="00573127"/>
    <w:rsid w:val="00573147"/>
    <w:rsid w:val="0057422E"/>
    <w:rsid w:val="0057423D"/>
    <w:rsid w:val="00574B00"/>
    <w:rsid w:val="00574BC4"/>
    <w:rsid w:val="005752FD"/>
    <w:rsid w:val="005754C3"/>
    <w:rsid w:val="00575645"/>
    <w:rsid w:val="00575ABA"/>
    <w:rsid w:val="00575E47"/>
    <w:rsid w:val="00576695"/>
    <w:rsid w:val="00577037"/>
    <w:rsid w:val="00581FA6"/>
    <w:rsid w:val="0058201D"/>
    <w:rsid w:val="0058268C"/>
    <w:rsid w:val="00582700"/>
    <w:rsid w:val="00582985"/>
    <w:rsid w:val="00583690"/>
    <w:rsid w:val="0058370E"/>
    <w:rsid w:val="00583EF8"/>
    <w:rsid w:val="00584CFA"/>
    <w:rsid w:val="00584F7A"/>
    <w:rsid w:val="005850ED"/>
    <w:rsid w:val="0058527E"/>
    <w:rsid w:val="0058579F"/>
    <w:rsid w:val="00585C7D"/>
    <w:rsid w:val="00586647"/>
    <w:rsid w:val="0058670F"/>
    <w:rsid w:val="00586868"/>
    <w:rsid w:val="005868C8"/>
    <w:rsid w:val="00586DD9"/>
    <w:rsid w:val="00586EFA"/>
    <w:rsid w:val="005872B3"/>
    <w:rsid w:val="00590F28"/>
    <w:rsid w:val="005916AD"/>
    <w:rsid w:val="005918B5"/>
    <w:rsid w:val="00591FF0"/>
    <w:rsid w:val="005925BB"/>
    <w:rsid w:val="00593251"/>
    <w:rsid w:val="005945BC"/>
    <w:rsid w:val="005947DF"/>
    <w:rsid w:val="00594DE5"/>
    <w:rsid w:val="00595615"/>
    <w:rsid w:val="00595725"/>
    <w:rsid w:val="00595973"/>
    <w:rsid w:val="00595A8A"/>
    <w:rsid w:val="00595C35"/>
    <w:rsid w:val="00596750"/>
    <w:rsid w:val="005973D4"/>
    <w:rsid w:val="00597D45"/>
    <w:rsid w:val="00597DB6"/>
    <w:rsid w:val="00597E46"/>
    <w:rsid w:val="00597E8C"/>
    <w:rsid w:val="005A1756"/>
    <w:rsid w:val="005A1CCB"/>
    <w:rsid w:val="005A22A8"/>
    <w:rsid w:val="005A3046"/>
    <w:rsid w:val="005A3A44"/>
    <w:rsid w:val="005A4356"/>
    <w:rsid w:val="005A6193"/>
    <w:rsid w:val="005A6795"/>
    <w:rsid w:val="005A6904"/>
    <w:rsid w:val="005A7318"/>
    <w:rsid w:val="005A73D2"/>
    <w:rsid w:val="005B046B"/>
    <w:rsid w:val="005B35D5"/>
    <w:rsid w:val="005B408D"/>
    <w:rsid w:val="005B4DF5"/>
    <w:rsid w:val="005B51FF"/>
    <w:rsid w:val="005B5E82"/>
    <w:rsid w:val="005B610B"/>
    <w:rsid w:val="005B64A3"/>
    <w:rsid w:val="005B67AB"/>
    <w:rsid w:val="005B6B9D"/>
    <w:rsid w:val="005B71ED"/>
    <w:rsid w:val="005B7831"/>
    <w:rsid w:val="005B7C21"/>
    <w:rsid w:val="005B7EE7"/>
    <w:rsid w:val="005C0426"/>
    <w:rsid w:val="005C045A"/>
    <w:rsid w:val="005C0636"/>
    <w:rsid w:val="005C08E7"/>
    <w:rsid w:val="005C0CD2"/>
    <w:rsid w:val="005C0F97"/>
    <w:rsid w:val="005C108A"/>
    <w:rsid w:val="005C1979"/>
    <w:rsid w:val="005C22C9"/>
    <w:rsid w:val="005C2BF3"/>
    <w:rsid w:val="005C2F2C"/>
    <w:rsid w:val="005C3138"/>
    <w:rsid w:val="005C4078"/>
    <w:rsid w:val="005C4CAF"/>
    <w:rsid w:val="005C4DFC"/>
    <w:rsid w:val="005C4EAF"/>
    <w:rsid w:val="005C4FD3"/>
    <w:rsid w:val="005C512B"/>
    <w:rsid w:val="005C5669"/>
    <w:rsid w:val="005C6321"/>
    <w:rsid w:val="005C6585"/>
    <w:rsid w:val="005C696F"/>
    <w:rsid w:val="005C79E2"/>
    <w:rsid w:val="005D00E4"/>
    <w:rsid w:val="005D069E"/>
    <w:rsid w:val="005D1091"/>
    <w:rsid w:val="005D1891"/>
    <w:rsid w:val="005D3292"/>
    <w:rsid w:val="005D3360"/>
    <w:rsid w:val="005D3401"/>
    <w:rsid w:val="005D388A"/>
    <w:rsid w:val="005D4759"/>
    <w:rsid w:val="005D6819"/>
    <w:rsid w:val="005D6E15"/>
    <w:rsid w:val="005D7439"/>
    <w:rsid w:val="005E03A8"/>
    <w:rsid w:val="005E0888"/>
    <w:rsid w:val="005E0A1E"/>
    <w:rsid w:val="005E1625"/>
    <w:rsid w:val="005E2C68"/>
    <w:rsid w:val="005E304D"/>
    <w:rsid w:val="005E38F1"/>
    <w:rsid w:val="005E45E2"/>
    <w:rsid w:val="005E52D6"/>
    <w:rsid w:val="005E563F"/>
    <w:rsid w:val="005E5824"/>
    <w:rsid w:val="005E75DA"/>
    <w:rsid w:val="005F000F"/>
    <w:rsid w:val="005F03F6"/>
    <w:rsid w:val="005F21B7"/>
    <w:rsid w:val="005F2B37"/>
    <w:rsid w:val="005F2F7B"/>
    <w:rsid w:val="005F32D0"/>
    <w:rsid w:val="005F33F1"/>
    <w:rsid w:val="005F3598"/>
    <w:rsid w:val="005F5244"/>
    <w:rsid w:val="005F54CE"/>
    <w:rsid w:val="005F5F38"/>
    <w:rsid w:val="005F6CC0"/>
    <w:rsid w:val="005F770E"/>
    <w:rsid w:val="005F7CDC"/>
    <w:rsid w:val="006001DB"/>
    <w:rsid w:val="00600921"/>
    <w:rsid w:val="0060139A"/>
    <w:rsid w:val="006015A7"/>
    <w:rsid w:val="006016BA"/>
    <w:rsid w:val="006018C0"/>
    <w:rsid w:val="00601B7D"/>
    <w:rsid w:val="0060373D"/>
    <w:rsid w:val="006040D8"/>
    <w:rsid w:val="0060425D"/>
    <w:rsid w:val="0060490B"/>
    <w:rsid w:val="0060635C"/>
    <w:rsid w:val="006066D3"/>
    <w:rsid w:val="00606A53"/>
    <w:rsid w:val="00606B88"/>
    <w:rsid w:val="00607072"/>
    <w:rsid w:val="006078B8"/>
    <w:rsid w:val="00610117"/>
    <w:rsid w:val="00610544"/>
    <w:rsid w:val="0061401B"/>
    <w:rsid w:val="00614119"/>
    <w:rsid w:val="006147B3"/>
    <w:rsid w:val="006159BA"/>
    <w:rsid w:val="006169BF"/>
    <w:rsid w:val="006174F5"/>
    <w:rsid w:val="00620236"/>
    <w:rsid w:val="00620745"/>
    <w:rsid w:val="00620B02"/>
    <w:rsid w:val="00621879"/>
    <w:rsid w:val="006224F1"/>
    <w:rsid w:val="006228F1"/>
    <w:rsid w:val="00622A76"/>
    <w:rsid w:val="0062369F"/>
    <w:rsid w:val="00623948"/>
    <w:rsid w:val="00623BD7"/>
    <w:rsid w:val="006240A2"/>
    <w:rsid w:val="00624383"/>
    <w:rsid w:val="0062445C"/>
    <w:rsid w:val="006245BA"/>
    <w:rsid w:val="006248B6"/>
    <w:rsid w:val="00624FA9"/>
    <w:rsid w:val="0062545B"/>
    <w:rsid w:val="00625547"/>
    <w:rsid w:val="00625A65"/>
    <w:rsid w:val="00625F04"/>
    <w:rsid w:val="006269D9"/>
    <w:rsid w:val="0062781C"/>
    <w:rsid w:val="00627CCF"/>
    <w:rsid w:val="00627E6B"/>
    <w:rsid w:val="00630408"/>
    <w:rsid w:val="00631198"/>
    <w:rsid w:val="00631665"/>
    <w:rsid w:val="006335AF"/>
    <w:rsid w:val="006337D6"/>
    <w:rsid w:val="0063406F"/>
    <w:rsid w:val="00634865"/>
    <w:rsid w:val="006357BE"/>
    <w:rsid w:val="00635D4A"/>
    <w:rsid w:val="0063719A"/>
    <w:rsid w:val="00637D57"/>
    <w:rsid w:val="00637F87"/>
    <w:rsid w:val="0064012C"/>
    <w:rsid w:val="0064094E"/>
    <w:rsid w:val="00641505"/>
    <w:rsid w:val="00641D48"/>
    <w:rsid w:val="00641F7E"/>
    <w:rsid w:val="00642BF5"/>
    <w:rsid w:val="00643B89"/>
    <w:rsid w:val="00644A51"/>
    <w:rsid w:val="00644E74"/>
    <w:rsid w:val="00644F44"/>
    <w:rsid w:val="00645094"/>
    <w:rsid w:val="00645E26"/>
    <w:rsid w:val="00647038"/>
    <w:rsid w:val="006471A6"/>
    <w:rsid w:val="00650615"/>
    <w:rsid w:val="006515F8"/>
    <w:rsid w:val="006535A8"/>
    <w:rsid w:val="00653B71"/>
    <w:rsid w:val="00653D51"/>
    <w:rsid w:val="00654732"/>
    <w:rsid w:val="006549B6"/>
    <w:rsid w:val="00654BBE"/>
    <w:rsid w:val="00656352"/>
    <w:rsid w:val="006563FB"/>
    <w:rsid w:val="0065744C"/>
    <w:rsid w:val="00661216"/>
    <w:rsid w:val="0066124A"/>
    <w:rsid w:val="0066192B"/>
    <w:rsid w:val="00662066"/>
    <w:rsid w:val="006621A2"/>
    <w:rsid w:val="00662407"/>
    <w:rsid w:val="00663136"/>
    <w:rsid w:val="00663345"/>
    <w:rsid w:val="00663A17"/>
    <w:rsid w:val="00664047"/>
    <w:rsid w:val="0066463C"/>
    <w:rsid w:val="006647DF"/>
    <w:rsid w:val="006648F2"/>
    <w:rsid w:val="006650A2"/>
    <w:rsid w:val="006651BB"/>
    <w:rsid w:val="006657BA"/>
    <w:rsid w:val="006663C2"/>
    <w:rsid w:val="00666727"/>
    <w:rsid w:val="0066677C"/>
    <w:rsid w:val="006668F2"/>
    <w:rsid w:val="00666D86"/>
    <w:rsid w:val="00666F1B"/>
    <w:rsid w:val="006675E2"/>
    <w:rsid w:val="006677FF"/>
    <w:rsid w:val="00667C62"/>
    <w:rsid w:val="006701B1"/>
    <w:rsid w:val="0067097E"/>
    <w:rsid w:val="00670CFF"/>
    <w:rsid w:val="0067128A"/>
    <w:rsid w:val="00671934"/>
    <w:rsid w:val="00671A8C"/>
    <w:rsid w:val="00671CA1"/>
    <w:rsid w:val="00672D26"/>
    <w:rsid w:val="00673394"/>
    <w:rsid w:val="00673724"/>
    <w:rsid w:val="00673AB1"/>
    <w:rsid w:val="006740A0"/>
    <w:rsid w:val="0067446F"/>
    <w:rsid w:val="0067455A"/>
    <w:rsid w:val="00674908"/>
    <w:rsid w:val="00674B3C"/>
    <w:rsid w:val="00674E17"/>
    <w:rsid w:val="00674E2F"/>
    <w:rsid w:val="006769CA"/>
    <w:rsid w:val="00677679"/>
    <w:rsid w:val="00677F73"/>
    <w:rsid w:val="006826C8"/>
    <w:rsid w:val="00682D0F"/>
    <w:rsid w:val="00684731"/>
    <w:rsid w:val="006849CA"/>
    <w:rsid w:val="0068552D"/>
    <w:rsid w:val="00686474"/>
    <w:rsid w:val="00686D31"/>
    <w:rsid w:val="00686F2B"/>
    <w:rsid w:val="0068738C"/>
    <w:rsid w:val="00687804"/>
    <w:rsid w:val="00690426"/>
    <w:rsid w:val="006904A0"/>
    <w:rsid w:val="00690CD3"/>
    <w:rsid w:val="006929C0"/>
    <w:rsid w:val="00692ABC"/>
    <w:rsid w:val="006936E1"/>
    <w:rsid w:val="00693E24"/>
    <w:rsid w:val="0069579E"/>
    <w:rsid w:val="00695974"/>
    <w:rsid w:val="00696147"/>
    <w:rsid w:val="00697424"/>
    <w:rsid w:val="006977EF"/>
    <w:rsid w:val="006A004A"/>
    <w:rsid w:val="006A01E1"/>
    <w:rsid w:val="006A072E"/>
    <w:rsid w:val="006A08FD"/>
    <w:rsid w:val="006A097D"/>
    <w:rsid w:val="006A09D5"/>
    <w:rsid w:val="006A20CB"/>
    <w:rsid w:val="006A2811"/>
    <w:rsid w:val="006A2F2B"/>
    <w:rsid w:val="006A33D2"/>
    <w:rsid w:val="006A3A2B"/>
    <w:rsid w:val="006A493B"/>
    <w:rsid w:val="006A49E6"/>
    <w:rsid w:val="006A519F"/>
    <w:rsid w:val="006A53A0"/>
    <w:rsid w:val="006A5FCA"/>
    <w:rsid w:val="006A7A27"/>
    <w:rsid w:val="006A7B35"/>
    <w:rsid w:val="006B0205"/>
    <w:rsid w:val="006B043F"/>
    <w:rsid w:val="006B045D"/>
    <w:rsid w:val="006B05F5"/>
    <w:rsid w:val="006B0683"/>
    <w:rsid w:val="006B0738"/>
    <w:rsid w:val="006B1344"/>
    <w:rsid w:val="006B1BAD"/>
    <w:rsid w:val="006B284B"/>
    <w:rsid w:val="006B2B86"/>
    <w:rsid w:val="006B2C07"/>
    <w:rsid w:val="006B3356"/>
    <w:rsid w:val="006B370E"/>
    <w:rsid w:val="006B3821"/>
    <w:rsid w:val="006B3951"/>
    <w:rsid w:val="006B39B4"/>
    <w:rsid w:val="006B3E1B"/>
    <w:rsid w:val="006B4137"/>
    <w:rsid w:val="006B4589"/>
    <w:rsid w:val="006B48A2"/>
    <w:rsid w:val="006B4DF3"/>
    <w:rsid w:val="006B4F8B"/>
    <w:rsid w:val="006B4FE1"/>
    <w:rsid w:val="006B6C33"/>
    <w:rsid w:val="006B7036"/>
    <w:rsid w:val="006B7703"/>
    <w:rsid w:val="006C09AE"/>
    <w:rsid w:val="006C1598"/>
    <w:rsid w:val="006C1F98"/>
    <w:rsid w:val="006C2447"/>
    <w:rsid w:val="006C2FC1"/>
    <w:rsid w:val="006C3847"/>
    <w:rsid w:val="006C3ED6"/>
    <w:rsid w:val="006C40F3"/>
    <w:rsid w:val="006C4688"/>
    <w:rsid w:val="006C4D42"/>
    <w:rsid w:val="006C5B76"/>
    <w:rsid w:val="006C652E"/>
    <w:rsid w:val="006C6871"/>
    <w:rsid w:val="006C6F63"/>
    <w:rsid w:val="006C7BAB"/>
    <w:rsid w:val="006C7F96"/>
    <w:rsid w:val="006C7FEF"/>
    <w:rsid w:val="006D0F1C"/>
    <w:rsid w:val="006D143D"/>
    <w:rsid w:val="006D1E48"/>
    <w:rsid w:val="006D2708"/>
    <w:rsid w:val="006D271F"/>
    <w:rsid w:val="006D28D3"/>
    <w:rsid w:val="006D3351"/>
    <w:rsid w:val="006D37BA"/>
    <w:rsid w:val="006D4A7E"/>
    <w:rsid w:val="006D4F0C"/>
    <w:rsid w:val="006D53F1"/>
    <w:rsid w:val="006D5C05"/>
    <w:rsid w:val="006D5EBC"/>
    <w:rsid w:val="006D64A9"/>
    <w:rsid w:val="006D6A0E"/>
    <w:rsid w:val="006E1785"/>
    <w:rsid w:val="006E23CB"/>
    <w:rsid w:val="006E2C4D"/>
    <w:rsid w:val="006E2D31"/>
    <w:rsid w:val="006E32F9"/>
    <w:rsid w:val="006E33A7"/>
    <w:rsid w:val="006E388A"/>
    <w:rsid w:val="006E3AD5"/>
    <w:rsid w:val="006E3E7A"/>
    <w:rsid w:val="006E4CF0"/>
    <w:rsid w:val="006E51B2"/>
    <w:rsid w:val="006E6147"/>
    <w:rsid w:val="006E641D"/>
    <w:rsid w:val="006E6CAC"/>
    <w:rsid w:val="006E7828"/>
    <w:rsid w:val="006F1015"/>
    <w:rsid w:val="006F20E7"/>
    <w:rsid w:val="006F22C5"/>
    <w:rsid w:val="006F297D"/>
    <w:rsid w:val="006F35A9"/>
    <w:rsid w:val="006F4CA2"/>
    <w:rsid w:val="006F5606"/>
    <w:rsid w:val="006F5723"/>
    <w:rsid w:val="006F634C"/>
    <w:rsid w:val="006F675F"/>
    <w:rsid w:val="006F7233"/>
    <w:rsid w:val="006F783C"/>
    <w:rsid w:val="00700804"/>
    <w:rsid w:val="007015FA"/>
    <w:rsid w:val="00701DE6"/>
    <w:rsid w:val="00702B89"/>
    <w:rsid w:val="00704B35"/>
    <w:rsid w:val="00705732"/>
    <w:rsid w:val="007057A4"/>
    <w:rsid w:val="007057CA"/>
    <w:rsid w:val="007058D2"/>
    <w:rsid w:val="0070773A"/>
    <w:rsid w:val="00707E76"/>
    <w:rsid w:val="00710489"/>
    <w:rsid w:val="007115ED"/>
    <w:rsid w:val="00711D4C"/>
    <w:rsid w:val="007136DE"/>
    <w:rsid w:val="007147F1"/>
    <w:rsid w:val="007156CD"/>
    <w:rsid w:val="00715BFA"/>
    <w:rsid w:val="00716037"/>
    <w:rsid w:val="007168ED"/>
    <w:rsid w:val="00716BE3"/>
    <w:rsid w:val="00717292"/>
    <w:rsid w:val="00717737"/>
    <w:rsid w:val="007179F6"/>
    <w:rsid w:val="00720430"/>
    <w:rsid w:val="0072074E"/>
    <w:rsid w:val="007213DF"/>
    <w:rsid w:val="00721933"/>
    <w:rsid w:val="00721D3F"/>
    <w:rsid w:val="00721D4C"/>
    <w:rsid w:val="00722EC1"/>
    <w:rsid w:val="007243D2"/>
    <w:rsid w:val="00724957"/>
    <w:rsid w:val="00724F0E"/>
    <w:rsid w:val="007252B4"/>
    <w:rsid w:val="007259F7"/>
    <w:rsid w:val="0072670D"/>
    <w:rsid w:val="00726AD2"/>
    <w:rsid w:val="007270ED"/>
    <w:rsid w:val="00727183"/>
    <w:rsid w:val="007271B0"/>
    <w:rsid w:val="0072776A"/>
    <w:rsid w:val="007320B0"/>
    <w:rsid w:val="007328F3"/>
    <w:rsid w:val="00732FDD"/>
    <w:rsid w:val="007335B5"/>
    <w:rsid w:val="007341C4"/>
    <w:rsid w:val="00734391"/>
    <w:rsid w:val="00735325"/>
    <w:rsid w:val="00740B02"/>
    <w:rsid w:val="007416A7"/>
    <w:rsid w:val="007420FE"/>
    <w:rsid w:val="00742454"/>
    <w:rsid w:val="007424D3"/>
    <w:rsid w:val="00742F2B"/>
    <w:rsid w:val="00742F9C"/>
    <w:rsid w:val="00743120"/>
    <w:rsid w:val="00743B90"/>
    <w:rsid w:val="007442D0"/>
    <w:rsid w:val="007447A9"/>
    <w:rsid w:val="00744AC3"/>
    <w:rsid w:val="00744E70"/>
    <w:rsid w:val="00745028"/>
    <w:rsid w:val="0074524B"/>
    <w:rsid w:val="00745311"/>
    <w:rsid w:val="007457E5"/>
    <w:rsid w:val="007477F8"/>
    <w:rsid w:val="00747BAB"/>
    <w:rsid w:val="00747F77"/>
    <w:rsid w:val="0075011F"/>
    <w:rsid w:val="0075019D"/>
    <w:rsid w:val="00750CDC"/>
    <w:rsid w:val="00750EFA"/>
    <w:rsid w:val="00752122"/>
    <w:rsid w:val="007521B4"/>
    <w:rsid w:val="00752400"/>
    <w:rsid w:val="00752504"/>
    <w:rsid w:val="007532E9"/>
    <w:rsid w:val="00754C0B"/>
    <w:rsid w:val="00754E74"/>
    <w:rsid w:val="00756931"/>
    <w:rsid w:val="00757915"/>
    <w:rsid w:val="00757F8F"/>
    <w:rsid w:val="0076086E"/>
    <w:rsid w:val="00760894"/>
    <w:rsid w:val="00760928"/>
    <w:rsid w:val="007609EA"/>
    <w:rsid w:val="00762453"/>
    <w:rsid w:val="0076348E"/>
    <w:rsid w:val="007645D6"/>
    <w:rsid w:val="007659CE"/>
    <w:rsid w:val="00766A48"/>
    <w:rsid w:val="00767E01"/>
    <w:rsid w:val="0077010D"/>
    <w:rsid w:val="00770311"/>
    <w:rsid w:val="007707C1"/>
    <w:rsid w:val="007716A4"/>
    <w:rsid w:val="00771E00"/>
    <w:rsid w:val="00772FCB"/>
    <w:rsid w:val="0077390A"/>
    <w:rsid w:val="00773AE2"/>
    <w:rsid w:val="00773CE4"/>
    <w:rsid w:val="007743D7"/>
    <w:rsid w:val="00775521"/>
    <w:rsid w:val="007756A1"/>
    <w:rsid w:val="00776563"/>
    <w:rsid w:val="00776B85"/>
    <w:rsid w:val="00776FC3"/>
    <w:rsid w:val="007803D5"/>
    <w:rsid w:val="00781846"/>
    <w:rsid w:val="0078309E"/>
    <w:rsid w:val="007834FC"/>
    <w:rsid w:val="0078418B"/>
    <w:rsid w:val="00784450"/>
    <w:rsid w:val="00784D5E"/>
    <w:rsid w:val="00785D52"/>
    <w:rsid w:val="00786737"/>
    <w:rsid w:val="00786CB7"/>
    <w:rsid w:val="007879AD"/>
    <w:rsid w:val="00790701"/>
    <w:rsid w:val="00791374"/>
    <w:rsid w:val="0079158B"/>
    <w:rsid w:val="00791DCF"/>
    <w:rsid w:val="00792376"/>
    <w:rsid w:val="00792F61"/>
    <w:rsid w:val="00794163"/>
    <w:rsid w:val="007942A5"/>
    <w:rsid w:val="007947A5"/>
    <w:rsid w:val="00795EA5"/>
    <w:rsid w:val="00795F2C"/>
    <w:rsid w:val="00796300"/>
    <w:rsid w:val="007967B9"/>
    <w:rsid w:val="0079690C"/>
    <w:rsid w:val="00796CF7"/>
    <w:rsid w:val="00797021"/>
    <w:rsid w:val="007977AC"/>
    <w:rsid w:val="00797D24"/>
    <w:rsid w:val="007A1377"/>
    <w:rsid w:val="007A1CBD"/>
    <w:rsid w:val="007A2D42"/>
    <w:rsid w:val="007A3010"/>
    <w:rsid w:val="007A4211"/>
    <w:rsid w:val="007A4484"/>
    <w:rsid w:val="007A45F1"/>
    <w:rsid w:val="007A4B81"/>
    <w:rsid w:val="007A5316"/>
    <w:rsid w:val="007A53AF"/>
    <w:rsid w:val="007A5B28"/>
    <w:rsid w:val="007A5BC6"/>
    <w:rsid w:val="007A5EEA"/>
    <w:rsid w:val="007A6561"/>
    <w:rsid w:val="007A7809"/>
    <w:rsid w:val="007B023E"/>
    <w:rsid w:val="007B041D"/>
    <w:rsid w:val="007B0436"/>
    <w:rsid w:val="007B0FCA"/>
    <w:rsid w:val="007B10B5"/>
    <w:rsid w:val="007B1ADA"/>
    <w:rsid w:val="007B2000"/>
    <w:rsid w:val="007B29FA"/>
    <w:rsid w:val="007B302C"/>
    <w:rsid w:val="007B312E"/>
    <w:rsid w:val="007B4238"/>
    <w:rsid w:val="007B4265"/>
    <w:rsid w:val="007B663D"/>
    <w:rsid w:val="007B677D"/>
    <w:rsid w:val="007B711C"/>
    <w:rsid w:val="007C0483"/>
    <w:rsid w:val="007C051B"/>
    <w:rsid w:val="007C0809"/>
    <w:rsid w:val="007C0AA3"/>
    <w:rsid w:val="007C138B"/>
    <w:rsid w:val="007C3261"/>
    <w:rsid w:val="007C3933"/>
    <w:rsid w:val="007C3D58"/>
    <w:rsid w:val="007C4AD2"/>
    <w:rsid w:val="007C4D60"/>
    <w:rsid w:val="007C676A"/>
    <w:rsid w:val="007C69A7"/>
    <w:rsid w:val="007D0222"/>
    <w:rsid w:val="007D1921"/>
    <w:rsid w:val="007D23A8"/>
    <w:rsid w:val="007D2A9C"/>
    <w:rsid w:val="007D35FA"/>
    <w:rsid w:val="007D5625"/>
    <w:rsid w:val="007D774D"/>
    <w:rsid w:val="007D7865"/>
    <w:rsid w:val="007D7CF3"/>
    <w:rsid w:val="007E06A2"/>
    <w:rsid w:val="007E0C99"/>
    <w:rsid w:val="007E1359"/>
    <w:rsid w:val="007E3412"/>
    <w:rsid w:val="007E38EE"/>
    <w:rsid w:val="007E3AAC"/>
    <w:rsid w:val="007E4E50"/>
    <w:rsid w:val="007E552B"/>
    <w:rsid w:val="007E5E93"/>
    <w:rsid w:val="007E5EEE"/>
    <w:rsid w:val="007E687A"/>
    <w:rsid w:val="007E6A09"/>
    <w:rsid w:val="007E71D1"/>
    <w:rsid w:val="007F0201"/>
    <w:rsid w:val="007F07C9"/>
    <w:rsid w:val="007F10A2"/>
    <w:rsid w:val="007F12D5"/>
    <w:rsid w:val="007F16C6"/>
    <w:rsid w:val="007F1882"/>
    <w:rsid w:val="007F197E"/>
    <w:rsid w:val="007F1AD0"/>
    <w:rsid w:val="007F25D7"/>
    <w:rsid w:val="007F2662"/>
    <w:rsid w:val="007F2C38"/>
    <w:rsid w:val="007F2E46"/>
    <w:rsid w:val="007F3560"/>
    <w:rsid w:val="007F3A77"/>
    <w:rsid w:val="007F3CAA"/>
    <w:rsid w:val="007F53C2"/>
    <w:rsid w:val="007F5F64"/>
    <w:rsid w:val="007F6754"/>
    <w:rsid w:val="007F6BDA"/>
    <w:rsid w:val="007F7558"/>
    <w:rsid w:val="007F7EE3"/>
    <w:rsid w:val="00800201"/>
    <w:rsid w:val="008002A6"/>
    <w:rsid w:val="008008CB"/>
    <w:rsid w:val="00800D20"/>
    <w:rsid w:val="008028F0"/>
    <w:rsid w:val="0080295E"/>
    <w:rsid w:val="00803199"/>
    <w:rsid w:val="008037FE"/>
    <w:rsid w:val="008040DD"/>
    <w:rsid w:val="00805330"/>
    <w:rsid w:val="00805801"/>
    <w:rsid w:val="008062B2"/>
    <w:rsid w:val="0080687F"/>
    <w:rsid w:val="008069CF"/>
    <w:rsid w:val="00807070"/>
    <w:rsid w:val="008079D8"/>
    <w:rsid w:val="008111AD"/>
    <w:rsid w:val="00811B9E"/>
    <w:rsid w:val="00812E96"/>
    <w:rsid w:val="008147BA"/>
    <w:rsid w:val="00814DE4"/>
    <w:rsid w:val="00815452"/>
    <w:rsid w:val="00815B76"/>
    <w:rsid w:val="0081794F"/>
    <w:rsid w:val="00817A23"/>
    <w:rsid w:val="00817AF4"/>
    <w:rsid w:val="00817D1B"/>
    <w:rsid w:val="00820FA1"/>
    <w:rsid w:val="00821423"/>
    <w:rsid w:val="008218CE"/>
    <w:rsid w:val="00821E52"/>
    <w:rsid w:val="008223CC"/>
    <w:rsid w:val="008225B4"/>
    <w:rsid w:val="00822FD6"/>
    <w:rsid w:val="008247BB"/>
    <w:rsid w:val="008250F2"/>
    <w:rsid w:val="0082513F"/>
    <w:rsid w:val="00825B7C"/>
    <w:rsid w:val="00825C0D"/>
    <w:rsid w:val="008266A5"/>
    <w:rsid w:val="008266F3"/>
    <w:rsid w:val="008269CD"/>
    <w:rsid w:val="00826DA0"/>
    <w:rsid w:val="008272A0"/>
    <w:rsid w:val="00827E38"/>
    <w:rsid w:val="008301CE"/>
    <w:rsid w:val="00830A9C"/>
    <w:rsid w:val="00830E5B"/>
    <w:rsid w:val="0083135F"/>
    <w:rsid w:val="00831AD6"/>
    <w:rsid w:val="0083210E"/>
    <w:rsid w:val="00832D6F"/>
    <w:rsid w:val="00832DEE"/>
    <w:rsid w:val="0083585D"/>
    <w:rsid w:val="00836984"/>
    <w:rsid w:val="00837063"/>
    <w:rsid w:val="008373E7"/>
    <w:rsid w:val="00837A0D"/>
    <w:rsid w:val="0084042F"/>
    <w:rsid w:val="00841794"/>
    <w:rsid w:val="00841800"/>
    <w:rsid w:val="0084194D"/>
    <w:rsid w:val="0084289F"/>
    <w:rsid w:val="00842E70"/>
    <w:rsid w:val="00843687"/>
    <w:rsid w:val="00843A75"/>
    <w:rsid w:val="00844857"/>
    <w:rsid w:val="00844DF7"/>
    <w:rsid w:val="00844EA2"/>
    <w:rsid w:val="008450B7"/>
    <w:rsid w:val="008451F6"/>
    <w:rsid w:val="008453DE"/>
    <w:rsid w:val="008454E5"/>
    <w:rsid w:val="0084636E"/>
    <w:rsid w:val="0084723C"/>
    <w:rsid w:val="00847311"/>
    <w:rsid w:val="00847CF2"/>
    <w:rsid w:val="00850923"/>
    <w:rsid w:val="00850F25"/>
    <w:rsid w:val="00851053"/>
    <w:rsid w:val="00851A5C"/>
    <w:rsid w:val="0085353B"/>
    <w:rsid w:val="0085450D"/>
    <w:rsid w:val="008549D6"/>
    <w:rsid w:val="00856575"/>
    <w:rsid w:val="00856B3F"/>
    <w:rsid w:val="00857473"/>
    <w:rsid w:val="0085762A"/>
    <w:rsid w:val="00860394"/>
    <w:rsid w:val="00861072"/>
    <w:rsid w:val="00861342"/>
    <w:rsid w:val="00861A94"/>
    <w:rsid w:val="00861D53"/>
    <w:rsid w:val="008626B0"/>
    <w:rsid w:val="008632CF"/>
    <w:rsid w:val="00864320"/>
    <w:rsid w:val="00865898"/>
    <w:rsid w:val="00865D87"/>
    <w:rsid w:val="00866A0B"/>
    <w:rsid w:val="00866D4A"/>
    <w:rsid w:val="008670CA"/>
    <w:rsid w:val="008671FB"/>
    <w:rsid w:val="00867BE7"/>
    <w:rsid w:val="00867C80"/>
    <w:rsid w:val="008710C9"/>
    <w:rsid w:val="0087189E"/>
    <w:rsid w:val="00871BBA"/>
    <w:rsid w:val="00871D6E"/>
    <w:rsid w:val="0087259A"/>
    <w:rsid w:val="008734DD"/>
    <w:rsid w:val="00873E90"/>
    <w:rsid w:val="00874A03"/>
    <w:rsid w:val="00874D78"/>
    <w:rsid w:val="00875998"/>
    <w:rsid w:val="00875C84"/>
    <w:rsid w:val="0087692C"/>
    <w:rsid w:val="00877662"/>
    <w:rsid w:val="00877931"/>
    <w:rsid w:val="008803CC"/>
    <w:rsid w:val="00880416"/>
    <w:rsid w:val="008808DF"/>
    <w:rsid w:val="00880D73"/>
    <w:rsid w:val="00880F55"/>
    <w:rsid w:val="008821EA"/>
    <w:rsid w:val="008823EC"/>
    <w:rsid w:val="008826EB"/>
    <w:rsid w:val="0088438A"/>
    <w:rsid w:val="00884480"/>
    <w:rsid w:val="00884915"/>
    <w:rsid w:val="008859A5"/>
    <w:rsid w:val="008860BC"/>
    <w:rsid w:val="008860F1"/>
    <w:rsid w:val="00886B56"/>
    <w:rsid w:val="0088778B"/>
    <w:rsid w:val="00887E1B"/>
    <w:rsid w:val="008901D8"/>
    <w:rsid w:val="00890211"/>
    <w:rsid w:val="008905BA"/>
    <w:rsid w:val="00890A99"/>
    <w:rsid w:val="00890DF9"/>
    <w:rsid w:val="00890EAE"/>
    <w:rsid w:val="008911F3"/>
    <w:rsid w:val="00891FCD"/>
    <w:rsid w:val="00892678"/>
    <w:rsid w:val="00892973"/>
    <w:rsid w:val="00892B3B"/>
    <w:rsid w:val="00892D75"/>
    <w:rsid w:val="00892EBC"/>
    <w:rsid w:val="00892F90"/>
    <w:rsid w:val="0089323D"/>
    <w:rsid w:val="00893437"/>
    <w:rsid w:val="00893C34"/>
    <w:rsid w:val="008945BB"/>
    <w:rsid w:val="00895135"/>
    <w:rsid w:val="008955ED"/>
    <w:rsid w:val="00895F18"/>
    <w:rsid w:val="00896AB8"/>
    <w:rsid w:val="00897AE1"/>
    <w:rsid w:val="00897B69"/>
    <w:rsid w:val="00897BC9"/>
    <w:rsid w:val="008A0458"/>
    <w:rsid w:val="008A1EB5"/>
    <w:rsid w:val="008A1F7D"/>
    <w:rsid w:val="008A2372"/>
    <w:rsid w:val="008A323E"/>
    <w:rsid w:val="008A3FC8"/>
    <w:rsid w:val="008A4793"/>
    <w:rsid w:val="008A4AB4"/>
    <w:rsid w:val="008A4B14"/>
    <w:rsid w:val="008A4B46"/>
    <w:rsid w:val="008A5CFB"/>
    <w:rsid w:val="008A5E01"/>
    <w:rsid w:val="008B007B"/>
    <w:rsid w:val="008B0361"/>
    <w:rsid w:val="008B057A"/>
    <w:rsid w:val="008B0AE6"/>
    <w:rsid w:val="008B199C"/>
    <w:rsid w:val="008B2009"/>
    <w:rsid w:val="008B34E8"/>
    <w:rsid w:val="008B3500"/>
    <w:rsid w:val="008B3B1B"/>
    <w:rsid w:val="008B43DB"/>
    <w:rsid w:val="008B467B"/>
    <w:rsid w:val="008B46DC"/>
    <w:rsid w:val="008B5105"/>
    <w:rsid w:val="008B51AF"/>
    <w:rsid w:val="008B559F"/>
    <w:rsid w:val="008B5AE1"/>
    <w:rsid w:val="008B5DA2"/>
    <w:rsid w:val="008B61C6"/>
    <w:rsid w:val="008B6343"/>
    <w:rsid w:val="008B63BC"/>
    <w:rsid w:val="008B6A30"/>
    <w:rsid w:val="008B7294"/>
    <w:rsid w:val="008B788C"/>
    <w:rsid w:val="008B78DF"/>
    <w:rsid w:val="008C00E1"/>
    <w:rsid w:val="008C078F"/>
    <w:rsid w:val="008C129B"/>
    <w:rsid w:val="008C1B35"/>
    <w:rsid w:val="008C25CE"/>
    <w:rsid w:val="008C25E3"/>
    <w:rsid w:val="008C3687"/>
    <w:rsid w:val="008C4564"/>
    <w:rsid w:val="008C4A5D"/>
    <w:rsid w:val="008C4EC2"/>
    <w:rsid w:val="008C5AA8"/>
    <w:rsid w:val="008C5D80"/>
    <w:rsid w:val="008C60D9"/>
    <w:rsid w:val="008C621C"/>
    <w:rsid w:val="008C64AD"/>
    <w:rsid w:val="008C6524"/>
    <w:rsid w:val="008C673D"/>
    <w:rsid w:val="008C7179"/>
    <w:rsid w:val="008C754F"/>
    <w:rsid w:val="008D0B98"/>
    <w:rsid w:val="008D1074"/>
    <w:rsid w:val="008D1A01"/>
    <w:rsid w:val="008D1F19"/>
    <w:rsid w:val="008D32D4"/>
    <w:rsid w:val="008D334A"/>
    <w:rsid w:val="008D37F0"/>
    <w:rsid w:val="008D438B"/>
    <w:rsid w:val="008D4423"/>
    <w:rsid w:val="008D4F73"/>
    <w:rsid w:val="008D5C94"/>
    <w:rsid w:val="008D698D"/>
    <w:rsid w:val="008D6B62"/>
    <w:rsid w:val="008D6F52"/>
    <w:rsid w:val="008D70FB"/>
    <w:rsid w:val="008D7E66"/>
    <w:rsid w:val="008E0449"/>
    <w:rsid w:val="008E19EF"/>
    <w:rsid w:val="008E1A1A"/>
    <w:rsid w:val="008E2FB3"/>
    <w:rsid w:val="008E4E92"/>
    <w:rsid w:val="008E505C"/>
    <w:rsid w:val="008E50B8"/>
    <w:rsid w:val="008E571A"/>
    <w:rsid w:val="008E59E9"/>
    <w:rsid w:val="008E5B94"/>
    <w:rsid w:val="008E5C12"/>
    <w:rsid w:val="008E6095"/>
    <w:rsid w:val="008E6DBF"/>
    <w:rsid w:val="008E6F1B"/>
    <w:rsid w:val="008E7016"/>
    <w:rsid w:val="008F0096"/>
    <w:rsid w:val="008F20EA"/>
    <w:rsid w:val="008F2369"/>
    <w:rsid w:val="008F253C"/>
    <w:rsid w:val="008F2C76"/>
    <w:rsid w:val="008F320C"/>
    <w:rsid w:val="008F388A"/>
    <w:rsid w:val="008F3B62"/>
    <w:rsid w:val="008F3C12"/>
    <w:rsid w:val="008F4836"/>
    <w:rsid w:val="008F5A28"/>
    <w:rsid w:val="008F60AE"/>
    <w:rsid w:val="008F61DA"/>
    <w:rsid w:val="008F6E86"/>
    <w:rsid w:val="008F76DC"/>
    <w:rsid w:val="00900254"/>
    <w:rsid w:val="009004DB"/>
    <w:rsid w:val="00900941"/>
    <w:rsid w:val="00901791"/>
    <w:rsid w:val="00901991"/>
    <w:rsid w:val="00902045"/>
    <w:rsid w:val="00903398"/>
    <w:rsid w:val="00903A5A"/>
    <w:rsid w:val="00903CFF"/>
    <w:rsid w:val="00903F05"/>
    <w:rsid w:val="00904CFB"/>
    <w:rsid w:val="00905040"/>
    <w:rsid w:val="009058DE"/>
    <w:rsid w:val="00905ECA"/>
    <w:rsid w:val="009060AC"/>
    <w:rsid w:val="0090626E"/>
    <w:rsid w:val="0090662F"/>
    <w:rsid w:val="0090790D"/>
    <w:rsid w:val="00910236"/>
    <w:rsid w:val="009111E6"/>
    <w:rsid w:val="0091132D"/>
    <w:rsid w:val="0091189A"/>
    <w:rsid w:val="00911C60"/>
    <w:rsid w:val="0091203E"/>
    <w:rsid w:val="00912979"/>
    <w:rsid w:val="0091315D"/>
    <w:rsid w:val="00913547"/>
    <w:rsid w:val="0091377D"/>
    <w:rsid w:val="0091420A"/>
    <w:rsid w:val="00914284"/>
    <w:rsid w:val="0091451B"/>
    <w:rsid w:val="00914522"/>
    <w:rsid w:val="00914974"/>
    <w:rsid w:val="00914ED6"/>
    <w:rsid w:val="00914EFC"/>
    <w:rsid w:val="009156D7"/>
    <w:rsid w:val="0091732F"/>
    <w:rsid w:val="00917681"/>
    <w:rsid w:val="00917E71"/>
    <w:rsid w:val="00920412"/>
    <w:rsid w:val="00921732"/>
    <w:rsid w:val="00921AEE"/>
    <w:rsid w:val="00921B8D"/>
    <w:rsid w:val="00921C44"/>
    <w:rsid w:val="009220AF"/>
    <w:rsid w:val="0092246A"/>
    <w:rsid w:val="009225C7"/>
    <w:rsid w:val="00922AC9"/>
    <w:rsid w:val="0092327C"/>
    <w:rsid w:val="009237CC"/>
    <w:rsid w:val="00924101"/>
    <w:rsid w:val="00924D9E"/>
    <w:rsid w:val="00926154"/>
    <w:rsid w:val="0092635B"/>
    <w:rsid w:val="009268FE"/>
    <w:rsid w:val="00926AE6"/>
    <w:rsid w:val="00926F6D"/>
    <w:rsid w:val="00927068"/>
    <w:rsid w:val="00927111"/>
    <w:rsid w:val="00927C1E"/>
    <w:rsid w:val="00927DDA"/>
    <w:rsid w:val="0093095A"/>
    <w:rsid w:val="009309AA"/>
    <w:rsid w:val="009315D9"/>
    <w:rsid w:val="009315E5"/>
    <w:rsid w:val="0093170A"/>
    <w:rsid w:val="0093173C"/>
    <w:rsid w:val="0093265C"/>
    <w:rsid w:val="009326CF"/>
    <w:rsid w:val="00932812"/>
    <w:rsid w:val="00932F43"/>
    <w:rsid w:val="009338CB"/>
    <w:rsid w:val="009348D4"/>
    <w:rsid w:val="00934904"/>
    <w:rsid w:val="0093490E"/>
    <w:rsid w:val="00936636"/>
    <w:rsid w:val="0093667F"/>
    <w:rsid w:val="00937291"/>
    <w:rsid w:val="00937BB9"/>
    <w:rsid w:val="00937BBE"/>
    <w:rsid w:val="009400D5"/>
    <w:rsid w:val="00940492"/>
    <w:rsid w:val="009406C0"/>
    <w:rsid w:val="0094086D"/>
    <w:rsid w:val="00940968"/>
    <w:rsid w:val="009409F6"/>
    <w:rsid w:val="00941D44"/>
    <w:rsid w:val="009426A5"/>
    <w:rsid w:val="009427B9"/>
    <w:rsid w:val="009427E0"/>
    <w:rsid w:val="009430DF"/>
    <w:rsid w:val="00943238"/>
    <w:rsid w:val="009444BE"/>
    <w:rsid w:val="00944921"/>
    <w:rsid w:val="00944938"/>
    <w:rsid w:val="00944BF7"/>
    <w:rsid w:val="00944C77"/>
    <w:rsid w:val="00945078"/>
    <w:rsid w:val="00945A70"/>
    <w:rsid w:val="00946067"/>
    <w:rsid w:val="009472D8"/>
    <w:rsid w:val="00947A4F"/>
    <w:rsid w:val="00947A70"/>
    <w:rsid w:val="00947C63"/>
    <w:rsid w:val="00947F2A"/>
    <w:rsid w:val="00950005"/>
    <w:rsid w:val="0095016E"/>
    <w:rsid w:val="009506C1"/>
    <w:rsid w:val="00950D36"/>
    <w:rsid w:val="00951FEE"/>
    <w:rsid w:val="009522B8"/>
    <w:rsid w:val="00953394"/>
    <w:rsid w:val="00953EE8"/>
    <w:rsid w:val="00954129"/>
    <w:rsid w:val="009541D7"/>
    <w:rsid w:val="0095427C"/>
    <w:rsid w:val="0095487D"/>
    <w:rsid w:val="00954E09"/>
    <w:rsid w:val="00955411"/>
    <w:rsid w:val="00955D3F"/>
    <w:rsid w:val="00956A02"/>
    <w:rsid w:val="00956A23"/>
    <w:rsid w:val="00956B5F"/>
    <w:rsid w:val="009576E7"/>
    <w:rsid w:val="00957B63"/>
    <w:rsid w:val="00957C03"/>
    <w:rsid w:val="0096026B"/>
    <w:rsid w:val="009609C6"/>
    <w:rsid w:val="0096151C"/>
    <w:rsid w:val="0096172A"/>
    <w:rsid w:val="009624D0"/>
    <w:rsid w:val="00962556"/>
    <w:rsid w:val="009625ED"/>
    <w:rsid w:val="00962B73"/>
    <w:rsid w:val="00963453"/>
    <w:rsid w:val="00963CAE"/>
    <w:rsid w:val="00964A5B"/>
    <w:rsid w:val="0096509F"/>
    <w:rsid w:val="009652B6"/>
    <w:rsid w:val="00965599"/>
    <w:rsid w:val="009655B1"/>
    <w:rsid w:val="00965B1F"/>
    <w:rsid w:val="00965BB7"/>
    <w:rsid w:val="00966214"/>
    <w:rsid w:val="009668F9"/>
    <w:rsid w:val="00966954"/>
    <w:rsid w:val="0096727F"/>
    <w:rsid w:val="00970963"/>
    <w:rsid w:val="00970D68"/>
    <w:rsid w:val="00970F65"/>
    <w:rsid w:val="009710E5"/>
    <w:rsid w:val="009713CA"/>
    <w:rsid w:val="00971798"/>
    <w:rsid w:val="009719C9"/>
    <w:rsid w:val="009725AC"/>
    <w:rsid w:val="00972A8F"/>
    <w:rsid w:val="00972EC0"/>
    <w:rsid w:val="00972F16"/>
    <w:rsid w:val="009734AD"/>
    <w:rsid w:val="009736F0"/>
    <w:rsid w:val="00974652"/>
    <w:rsid w:val="00974EB8"/>
    <w:rsid w:val="009758CA"/>
    <w:rsid w:val="009758FF"/>
    <w:rsid w:val="009760BA"/>
    <w:rsid w:val="00976660"/>
    <w:rsid w:val="00976C3B"/>
    <w:rsid w:val="009774EE"/>
    <w:rsid w:val="0097774A"/>
    <w:rsid w:val="00977ADE"/>
    <w:rsid w:val="0098006E"/>
    <w:rsid w:val="00980213"/>
    <w:rsid w:val="00980D2A"/>
    <w:rsid w:val="00981B51"/>
    <w:rsid w:val="009822A3"/>
    <w:rsid w:val="009826D8"/>
    <w:rsid w:val="0098281F"/>
    <w:rsid w:val="00982B07"/>
    <w:rsid w:val="009838A2"/>
    <w:rsid w:val="0098402F"/>
    <w:rsid w:val="00984ED8"/>
    <w:rsid w:val="00985124"/>
    <w:rsid w:val="009854D2"/>
    <w:rsid w:val="00985B4B"/>
    <w:rsid w:val="009867CB"/>
    <w:rsid w:val="009869A2"/>
    <w:rsid w:val="00986D1B"/>
    <w:rsid w:val="009870E5"/>
    <w:rsid w:val="0098759A"/>
    <w:rsid w:val="00990D98"/>
    <w:rsid w:val="0099192E"/>
    <w:rsid w:val="00992794"/>
    <w:rsid w:val="00993BC6"/>
    <w:rsid w:val="0099437E"/>
    <w:rsid w:val="009951CD"/>
    <w:rsid w:val="009958EE"/>
    <w:rsid w:val="0099651E"/>
    <w:rsid w:val="0099664E"/>
    <w:rsid w:val="00996756"/>
    <w:rsid w:val="0099705B"/>
    <w:rsid w:val="009A02D0"/>
    <w:rsid w:val="009A0A68"/>
    <w:rsid w:val="009A170D"/>
    <w:rsid w:val="009A3B7C"/>
    <w:rsid w:val="009A5605"/>
    <w:rsid w:val="009A587C"/>
    <w:rsid w:val="009A5AB2"/>
    <w:rsid w:val="009A5C56"/>
    <w:rsid w:val="009A5CC6"/>
    <w:rsid w:val="009A64FD"/>
    <w:rsid w:val="009A65E0"/>
    <w:rsid w:val="009A6E70"/>
    <w:rsid w:val="009A6FE9"/>
    <w:rsid w:val="009B040F"/>
    <w:rsid w:val="009B1394"/>
    <w:rsid w:val="009B1D55"/>
    <w:rsid w:val="009B1F00"/>
    <w:rsid w:val="009B1F64"/>
    <w:rsid w:val="009B3807"/>
    <w:rsid w:val="009B44B8"/>
    <w:rsid w:val="009B4765"/>
    <w:rsid w:val="009B5313"/>
    <w:rsid w:val="009B54D3"/>
    <w:rsid w:val="009B563D"/>
    <w:rsid w:val="009B5717"/>
    <w:rsid w:val="009B5A18"/>
    <w:rsid w:val="009B6711"/>
    <w:rsid w:val="009B6CB7"/>
    <w:rsid w:val="009B6CFA"/>
    <w:rsid w:val="009C00A6"/>
    <w:rsid w:val="009C0FAB"/>
    <w:rsid w:val="009C135E"/>
    <w:rsid w:val="009C1992"/>
    <w:rsid w:val="009C19D2"/>
    <w:rsid w:val="009C2017"/>
    <w:rsid w:val="009C2297"/>
    <w:rsid w:val="009C282E"/>
    <w:rsid w:val="009C303D"/>
    <w:rsid w:val="009C3740"/>
    <w:rsid w:val="009C3E12"/>
    <w:rsid w:val="009C4886"/>
    <w:rsid w:val="009C5166"/>
    <w:rsid w:val="009C7043"/>
    <w:rsid w:val="009D0440"/>
    <w:rsid w:val="009D1D75"/>
    <w:rsid w:val="009D2904"/>
    <w:rsid w:val="009D2C4B"/>
    <w:rsid w:val="009D3A78"/>
    <w:rsid w:val="009D3E82"/>
    <w:rsid w:val="009D49F0"/>
    <w:rsid w:val="009D58B8"/>
    <w:rsid w:val="009D5A03"/>
    <w:rsid w:val="009D5DE3"/>
    <w:rsid w:val="009D642C"/>
    <w:rsid w:val="009D6776"/>
    <w:rsid w:val="009D7A38"/>
    <w:rsid w:val="009D7A57"/>
    <w:rsid w:val="009D7BCB"/>
    <w:rsid w:val="009E0289"/>
    <w:rsid w:val="009E0ACD"/>
    <w:rsid w:val="009E1418"/>
    <w:rsid w:val="009E1887"/>
    <w:rsid w:val="009E25CC"/>
    <w:rsid w:val="009E29F7"/>
    <w:rsid w:val="009E3F70"/>
    <w:rsid w:val="009E50D8"/>
    <w:rsid w:val="009E58BF"/>
    <w:rsid w:val="009E63F6"/>
    <w:rsid w:val="009E6522"/>
    <w:rsid w:val="009E68C3"/>
    <w:rsid w:val="009E6E1F"/>
    <w:rsid w:val="009E7BE8"/>
    <w:rsid w:val="009F0635"/>
    <w:rsid w:val="009F1C85"/>
    <w:rsid w:val="009F2009"/>
    <w:rsid w:val="009F21FA"/>
    <w:rsid w:val="009F2B65"/>
    <w:rsid w:val="009F378E"/>
    <w:rsid w:val="009F43F5"/>
    <w:rsid w:val="009F538C"/>
    <w:rsid w:val="009F5D78"/>
    <w:rsid w:val="009F61F7"/>
    <w:rsid w:val="009F657A"/>
    <w:rsid w:val="009F6A52"/>
    <w:rsid w:val="009F6BC8"/>
    <w:rsid w:val="009F78E2"/>
    <w:rsid w:val="00A009C2"/>
    <w:rsid w:val="00A010F4"/>
    <w:rsid w:val="00A02741"/>
    <w:rsid w:val="00A02A04"/>
    <w:rsid w:val="00A02BE3"/>
    <w:rsid w:val="00A0411F"/>
    <w:rsid w:val="00A04904"/>
    <w:rsid w:val="00A06522"/>
    <w:rsid w:val="00A065DE"/>
    <w:rsid w:val="00A06B61"/>
    <w:rsid w:val="00A07538"/>
    <w:rsid w:val="00A10C43"/>
    <w:rsid w:val="00A116D2"/>
    <w:rsid w:val="00A11D89"/>
    <w:rsid w:val="00A124BF"/>
    <w:rsid w:val="00A12873"/>
    <w:rsid w:val="00A12947"/>
    <w:rsid w:val="00A12A9F"/>
    <w:rsid w:val="00A13808"/>
    <w:rsid w:val="00A13A04"/>
    <w:rsid w:val="00A141E5"/>
    <w:rsid w:val="00A156C6"/>
    <w:rsid w:val="00A15CEF"/>
    <w:rsid w:val="00A16115"/>
    <w:rsid w:val="00A165D3"/>
    <w:rsid w:val="00A16E96"/>
    <w:rsid w:val="00A17739"/>
    <w:rsid w:val="00A17BF7"/>
    <w:rsid w:val="00A20595"/>
    <w:rsid w:val="00A20839"/>
    <w:rsid w:val="00A20924"/>
    <w:rsid w:val="00A21848"/>
    <w:rsid w:val="00A21D55"/>
    <w:rsid w:val="00A21DF6"/>
    <w:rsid w:val="00A221EE"/>
    <w:rsid w:val="00A224EC"/>
    <w:rsid w:val="00A22C5D"/>
    <w:rsid w:val="00A23AC2"/>
    <w:rsid w:val="00A23D0D"/>
    <w:rsid w:val="00A24BAE"/>
    <w:rsid w:val="00A25913"/>
    <w:rsid w:val="00A25B2D"/>
    <w:rsid w:val="00A267D9"/>
    <w:rsid w:val="00A26BED"/>
    <w:rsid w:val="00A26CC8"/>
    <w:rsid w:val="00A26D04"/>
    <w:rsid w:val="00A26E24"/>
    <w:rsid w:val="00A2756B"/>
    <w:rsid w:val="00A27D04"/>
    <w:rsid w:val="00A30313"/>
    <w:rsid w:val="00A30510"/>
    <w:rsid w:val="00A3097E"/>
    <w:rsid w:val="00A326E6"/>
    <w:rsid w:val="00A33525"/>
    <w:rsid w:val="00A3478D"/>
    <w:rsid w:val="00A34A2C"/>
    <w:rsid w:val="00A34FE6"/>
    <w:rsid w:val="00A350CA"/>
    <w:rsid w:val="00A350E6"/>
    <w:rsid w:val="00A35114"/>
    <w:rsid w:val="00A35136"/>
    <w:rsid w:val="00A359EF"/>
    <w:rsid w:val="00A36211"/>
    <w:rsid w:val="00A37651"/>
    <w:rsid w:val="00A37B73"/>
    <w:rsid w:val="00A40611"/>
    <w:rsid w:val="00A40769"/>
    <w:rsid w:val="00A40DB1"/>
    <w:rsid w:val="00A42513"/>
    <w:rsid w:val="00A42A6C"/>
    <w:rsid w:val="00A42C91"/>
    <w:rsid w:val="00A438E9"/>
    <w:rsid w:val="00A44494"/>
    <w:rsid w:val="00A445A8"/>
    <w:rsid w:val="00A44812"/>
    <w:rsid w:val="00A453F1"/>
    <w:rsid w:val="00A47DB3"/>
    <w:rsid w:val="00A47FE2"/>
    <w:rsid w:val="00A501A9"/>
    <w:rsid w:val="00A50574"/>
    <w:rsid w:val="00A50833"/>
    <w:rsid w:val="00A51366"/>
    <w:rsid w:val="00A516EF"/>
    <w:rsid w:val="00A51A26"/>
    <w:rsid w:val="00A52727"/>
    <w:rsid w:val="00A52C50"/>
    <w:rsid w:val="00A52D54"/>
    <w:rsid w:val="00A52D9D"/>
    <w:rsid w:val="00A52DD2"/>
    <w:rsid w:val="00A532B7"/>
    <w:rsid w:val="00A53607"/>
    <w:rsid w:val="00A542DD"/>
    <w:rsid w:val="00A57613"/>
    <w:rsid w:val="00A57693"/>
    <w:rsid w:val="00A5778E"/>
    <w:rsid w:val="00A57D21"/>
    <w:rsid w:val="00A60CF6"/>
    <w:rsid w:val="00A6125B"/>
    <w:rsid w:val="00A61925"/>
    <w:rsid w:val="00A61AD5"/>
    <w:rsid w:val="00A61B2F"/>
    <w:rsid w:val="00A620F5"/>
    <w:rsid w:val="00A640E9"/>
    <w:rsid w:val="00A64455"/>
    <w:rsid w:val="00A66562"/>
    <w:rsid w:val="00A66C28"/>
    <w:rsid w:val="00A66C42"/>
    <w:rsid w:val="00A6705D"/>
    <w:rsid w:val="00A67577"/>
    <w:rsid w:val="00A67763"/>
    <w:rsid w:val="00A70396"/>
    <w:rsid w:val="00A70BDD"/>
    <w:rsid w:val="00A716C0"/>
    <w:rsid w:val="00A71957"/>
    <w:rsid w:val="00A71A06"/>
    <w:rsid w:val="00A7203C"/>
    <w:rsid w:val="00A72CA3"/>
    <w:rsid w:val="00A72DF6"/>
    <w:rsid w:val="00A72E69"/>
    <w:rsid w:val="00A72F19"/>
    <w:rsid w:val="00A732B5"/>
    <w:rsid w:val="00A73B20"/>
    <w:rsid w:val="00A74161"/>
    <w:rsid w:val="00A74CB7"/>
    <w:rsid w:val="00A74E3F"/>
    <w:rsid w:val="00A7571B"/>
    <w:rsid w:val="00A7583D"/>
    <w:rsid w:val="00A7619A"/>
    <w:rsid w:val="00A76AF2"/>
    <w:rsid w:val="00A77326"/>
    <w:rsid w:val="00A80F6D"/>
    <w:rsid w:val="00A81360"/>
    <w:rsid w:val="00A816FB"/>
    <w:rsid w:val="00A820A1"/>
    <w:rsid w:val="00A84654"/>
    <w:rsid w:val="00A84D07"/>
    <w:rsid w:val="00A85B02"/>
    <w:rsid w:val="00A85B28"/>
    <w:rsid w:val="00A866DD"/>
    <w:rsid w:val="00A86F76"/>
    <w:rsid w:val="00A8700F"/>
    <w:rsid w:val="00A87935"/>
    <w:rsid w:val="00A90428"/>
    <w:rsid w:val="00A90977"/>
    <w:rsid w:val="00A910CE"/>
    <w:rsid w:val="00A910D3"/>
    <w:rsid w:val="00A919AA"/>
    <w:rsid w:val="00A926FA"/>
    <w:rsid w:val="00A9303A"/>
    <w:rsid w:val="00A93220"/>
    <w:rsid w:val="00A93ED4"/>
    <w:rsid w:val="00A9438A"/>
    <w:rsid w:val="00A94984"/>
    <w:rsid w:val="00A94D98"/>
    <w:rsid w:val="00A953A0"/>
    <w:rsid w:val="00A963A7"/>
    <w:rsid w:val="00A9651C"/>
    <w:rsid w:val="00A976B5"/>
    <w:rsid w:val="00AA02F0"/>
    <w:rsid w:val="00AA0755"/>
    <w:rsid w:val="00AA1330"/>
    <w:rsid w:val="00AA2268"/>
    <w:rsid w:val="00AA2C2F"/>
    <w:rsid w:val="00AA3373"/>
    <w:rsid w:val="00AA385F"/>
    <w:rsid w:val="00AA38F9"/>
    <w:rsid w:val="00AA3CF4"/>
    <w:rsid w:val="00AA42FD"/>
    <w:rsid w:val="00AA4616"/>
    <w:rsid w:val="00AA4BB0"/>
    <w:rsid w:val="00AA5BBC"/>
    <w:rsid w:val="00AA6712"/>
    <w:rsid w:val="00AA6EE7"/>
    <w:rsid w:val="00AA7257"/>
    <w:rsid w:val="00AB02E7"/>
    <w:rsid w:val="00AB04CF"/>
    <w:rsid w:val="00AB09F0"/>
    <w:rsid w:val="00AB1A56"/>
    <w:rsid w:val="00AB1C2E"/>
    <w:rsid w:val="00AB1D06"/>
    <w:rsid w:val="00AB1DAD"/>
    <w:rsid w:val="00AB2856"/>
    <w:rsid w:val="00AB2ABC"/>
    <w:rsid w:val="00AB2BE3"/>
    <w:rsid w:val="00AB328B"/>
    <w:rsid w:val="00AB3365"/>
    <w:rsid w:val="00AB36E6"/>
    <w:rsid w:val="00AB3BB0"/>
    <w:rsid w:val="00AB3E1D"/>
    <w:rsid w:val="00AB494A"/>
    <w:rsid w:val="00AB4BA2"/>
    <w:rsid w:val="00AB5404"/>
    <w:rsid w:val="00AB6B00"/>
    <w:rsid w:val="00AC01AC"/>
    <w:rsid w:val="00AC07A0"/>
    <w:rsid w:val="00AC1302"/>
    <w:rsid w:val="00AC151F"/>
    <w:rsid w:val="00AC2CF4"/>
    <w:rsid w:val="00AC3681"/>
    <w:rsid w:val="00AC36F8"/>
    <w:rsid w:val="00AC6B65"/>
    <w:rsid w:val="00AC6C9F"/>
    <w:rsid w:val="00AC6E21"/>
    <w:rsid w:val="00AC6FBE"/>
    <w:rsid w:val="00AC70FE"/>
    <w:rsid w:val="00AC73F7"/>
    <w:rsid w:val="00AC7595"/>
    <w:rsid w:val="00AC7661"/>
    <w:rsid w:val="00AC79A8"/>
    <w:rsid w:val="00AD0106"/>
    <w:rsid w:val="00AD05D3"/>
    <w:rsid w:val="00AD0606"/>
    <w:rsid w:val="00AD0944"/>
    <w:rsid w:val="00AD28D5"/>
    <w:rsid w:val="00AD2DCB"/>
    <w:rsid w:val="00AD3474"/>
    <w:rsid w:val="00AD3B89"/>
    <w:rsid w:val="00AD55B1"/>
    <w:rsid w:val="00AD5DFB"/>
    <w:rsid w:val="00AD6637"/>
    <w:rsid w:val="00AD69DF"/>
    <w:rsid w:val="00AD77ED"/>
    <w:rsid w:val="00AE025A"/>
    <w:rsid w:val="00AE2950"/>
    <w:rsid w:val="00AE2A19"/>
    <w:rsid w:val="00AE2C5E"/>
    <w:rsid w:val="00AE3B3F"/>
    <w:rsid w:val="00AE3E74"/>
    <w:rsid w:val="00AE50E4"/>
    <w:rsid w:val="00AE51F6"/>
    <w:rsid w:val="00AE6537"/>
    <w:rsid w:val="00AE6800"/>
    <w:rsid w:val="00AE6F23"/>
    <w:rsid w:val="00AE7485"/>
    <w:rsid w:val="00AF11D4"/>
    <w:rsid w:val="00AF1651"/>
    <w:rsid w:val="00AF181B"/>
    <w:rsid w:val="00AF1F16"/>
    <w:rsid w:val="00AF1F20"/>
    <w:rsid w:val="00AF25FC"/>
    <w:rsid w:val="00AF2C22"/>
    <w:rsid w:val="00AF3507"/>
    <w:rsid w:val="00AF4952"/>
    <w:rsid w:val="00AF49C3"/>
    <w:rsid w:val="00AF5619"/>
    <w:rsid w:val="00AF6451"/>
    <w:rsid w:val="00AF6568"/>
    <w:rsid w:val="00AF69DC"/>
    <w:rsid w:val="00AF7030"/>
    <w:rsid w:val="00AF7A1E"/>
    <w:rsid w:val="00AF7A5A"/>
    <w:rsid w:val="00AF7BC2"/>
    <w:rsid w:val="00B003BA"/>
    <w:rsid w:val="00B01004"/>
    <w:rsid w:val="00B01912"/>
    <w:rsid w:val="00B0219B"/>
    <w:rsid w:val="00B022A1"/>
    <w:rsid w:val="00B023F3"/>
    <w:rsid w:val="00B02B22"/>
    <w:rsid w:val="00B034F2"/>
    <w:rsid w:val="00B036A2"/>
    <w:rsid w:val="00B03CF8"/>
    <w:rsid w:val="00B03E35"/>
    <w:rsid w:val="00B04F09"/>
    <w:rsid w:val="00B062E7"/>
    <w:rsid w:val="00B075F3"/>
    <w:rsid w:val="00B077ED"/>
    <w:rsid w:val="00B07C81"/>
    <w:rsid w:val="00B07D25"/>
    <w:rsid w:val="00B07E3D"/>
    <w:rsid w:val="00B07FF9"/>
    <w:rsid w:val="00B1002E"/>
    <w:rsid w:val="00B10067"/>
    <w:rsid w:val="00B10AB9"/>
    <w:rsid w:val="00B10B13"/>
    <w:rsid w:val="00B113CE"/>
    <w:rsid w:val="00B11D48"/>
    <w:rsid w:val="00B11D63"/>
    <w:rsid w:val="00B12201"/>
    <w:rsid w:val="00B125D4"/>
    <w:rsid w:val="00B1269C"/>
    <w:rsid w:val="00B1295A"/>
    <w:rsid w:val="00B13141"/>
    <w:rsid w:val="00B13769"/>
    <w:rsid w:val="00B1467D"/>
    <w:rsid w:val="00B14841"/>
    <w:rsid w:val="00B15D01"/>
    <w:rsid w:val="00B15EC2"/>
    <w:rsid w:val="00B1640F"/>
    <w:rsid w:val="00B16E1B"/>
    <w:rsid w:val="00B16F07"/>
    <w:rsid w:val="00B17FEF"/>
    <w:rsid w:val="00B20255"/>
    <w:rsid w:val="00B20282"/>
    <w:rsid w:val="00B20DAF"/>
    <w:rsid w:val="00B218E6"/>
    <w:rsid w:val="00B229D0"/>
    <w:rsid w:val="00B23A2E"/>
    <w:rsid w:val="00B23FB0"/>
    <w:rsid w:val="00B23FB3"/>
    <w:rsid w:val="00B241F0"/>
    <w:rsid w:val="00B24E92"/>
    <w:rsid w:val="00B25431"/>
    <w:rsid w:val="00B25681"/>
    <w:rsid w:val="00B25789"/>
    <w:rsid w:val="00B25ACD"/>
    <w:rsid w:val="00B25D99"/>
    <w:rsid w:val="00B2666B"/>
    <w:rsid w:val="00B26E37"/>
    <w:rsid w:val="00B27A4B"/>
    <w:rsid w:val="00B27FD1"/>
    <w:rsid w:val="00B3012C"/>
    <w:rsid w:val="00B30508"/>
    <w:rsid w:val="00B30D30"/>
    <w:rsid w:val="00B30E76"/>
    <w:rsid w:val="00B31024"/>
    <w:rsid w:val="00B3144D"/>
    <w:rsid w:val="00B3155B"/>
    <w:rsid w:val="00B31A91"/>
    <w:rsid w:val="00B3283D"/>
    <w:rsid w:val="00B3348F"/>
    <w:rsid w:val="00B336BC"/>
    <w:rsid w:val="00B3448D"/>
    <w:rsid w:val="00B35501"/>
    <w:rsid w:val="00B36178"/>
    <w:rsid w:val="00B361FA"/>
    <w:rsid w:val="00B36687"/>
    <w:rsid w:val="00B36CDF"/>
    <w:rsid w:val="00B36D7E"/>
    <w:rsid w:val="00B37435"/>
    <w:rsid w:val="00B37841"/>
    <w:rsid w:val="00B37A65"/>
    <w:rsid w:val="00B37AEE"/>
    <w:rsid w:val="00B37E0C"/>
    <w:rsid w:val="00B422E2"/>
    <w:rsid w:val="00B4315A"/>
    <w:rsid w:val="00B43E7D"/>
    <w:rsid w:val="00B44065"/>
    <w:rsid w:val="00B44A62"/>
    <w:rsid w:val="00B45281"/>
    <w:rsid w:val="00B45870"/>
    <w:rsid w:val="00B46975"/>
    <w:rsid w:val="00B46BB6"/>
    <w:rsid w:val="00B46C6F"/>
    <w:rsid w:val="00B46C7F"/>
    <w:rsid w:val="00B50F04"/>
    <w:rsid w:val="00B51072"/>
    <w:rsid w:val="00B51328"/>
    <w:rsid w:val="00B516FC"/>
    <w:rsid w:val="00B518BD"/>
    <w:rsid w:val="00B519DA"/>
    <w:rsid w:val="00B51DF3"/>
    <w:rsid w:val="00B5220F"/>
    <w:rsid w:val="00B5273B"/>
    <w:rsid w:val="00B5273F"/>
    <w:rsid w:val="00B549BA"/>
    <w:rsid w:val="00B54D2D"/>
    <w:rsid w:val="00B5643A"/>
    <w:rsid w:val="00B56580"/>
    <w:rsid w:val="00B56A2B"/>
    <w:rsid w:val="00B56F2F"/>
    <w:rsid w:val="00B57088"/>
    <w:rsid w:val="00B573F5"/>
    <w:rsid w:val="00B57AD3"/>
    <w:rsid w:val="00B606F0"/>
    <w:rsid w:val="00B62855"/>
    <w:rsid w:val="00B62B92"/>
    <w:rsid w:val="00B63FDC"/>
    <w:rsid w:val="00B64152"/>
    <w:rsid w:val="00B644C5"/>
    <w:rsid w:val="00B64D02"/>
    <w:rsid w:val="00B64F46"/>
    <w:rsid w:val="00B64F97"/>
    <w:rsid w:val="00B650B2"/>
    <w:rsid w:val="00B65216"/>
    <w:rsid w:val="00B65916"/>
    <w:rsid w:val="00B65FAA"/>
    <w:rsid w:val="00B65FFB"/>
    <w:rsid w:val="00B66516"/>
    <w:rsid w:val="00B665B3"/>
    <w:rsid w:val="00B666C3"/>
    <w:rsid w:val="00B66B81"/>
    <w:rsid w:val="00B66D65"/>
    <w:rsid w:val="00B66DB3"/>
    <w:rsid w:val="00B66F28"/>
    <w:rsid w:val="00B67C4E"/>
    <w:rsid w:val="00B67E37"/>
    <w:rsid w:val="00B701B5"/>
    <w:rsid w:val="00B7048E"/>
    <w:rsid w:val="00B70874"/>
    <w:rsid w:val="00B713FD"/>
    <w:rsid w:val="00B71E3B"/>
    <w:rsid w:val="00B71F80"/>
    <w:rsid w:val="00B721AD"/>
    <w:rsid w:val="00B726E2"/>
    <w:rsid w:val="00B72ED1"/>
    <w:rsid w:val="00B73366"/>
    <w:rsid w:val="00B7370E"/>
    <w:rsid w:val="00B73C3C"/>
    <w:rsid w:val="00B745B2"/>
    <w:rsid w:val="00B74B3F"/>
    <w:rsid w:val="00B75032"/>
    <w:rsid w:val="00B751FB"/>
    <w:rsid w:val="00B76483"/>
    <w:rsid w:val="00B767BD"/>
    <w:rsid w:val="00B76D7F"/>
    <w:rsid w:val="00B778B5"/>
    <w:rsid w:val="00B77FAB"/>
    <w:rsid w:val="00B807F5"/>
    <w:rsid w:val="00B80F89"/>
    <w:rsid w:val="00B815F0"/>
    <w:rsid w:val="00B81AB4"/>
    <w:rsid w:val="00B82096"/>
    <w:rsid w:val="00B82229"/>
    <w:rsid w:val="00B825E3"/>
    <w:rsid w:val="00B829A9"/>
    <w:rsid w:val="00B82CE0"/>
    <w:rsid w:val="00B83E47"/>
    <w:rsid w:val="00B853D5"/>
    <w:rsid w:val="00B855D3"/>
    <w:rsid w:val="00B865F2"/>
    <w:rsid w:val="00B87CCF"/>
    <w:rsid w:val="00B87E20"/>
    <w:rsid w:val="00B902E4"/>
    <w:rsid w:val="00B905C8"/>
    <w:rsid w:val="00B90C42"/>
    <w:rsid w:val="00B912BF"/>
    <w:rsid w:val="00B93C95"/>
    <w:rsid w:val="00B9502A"/>
    <w:rsid w:val="00B95495"/>
    <w:rsid w:val="00B95D5C"/>
    <w:rsid w:val="00B96CDE"/>
    <w:rsid w:val="00B96D64"/>
    <w:rsid w:val="00B96FA2"/>
    <w:rsid w:val="00BA0901"/>
    <w:rsid w:val="00BA098D"/>
    <w:rsid w:val="00BA0A18"/>
    <w:rsid w:val="00BA116D"/>
    <w:rsid w:val="00BA173D"/>
    <w:rsid w:val="00BA1BE8"/>
    <w:rsid w:val="00BA1C83"/>
    <w:rsid w:val="00BA2C9D"/>
    <w:rsid w:val="00BA2FAA"/>
    <w:rsid w:val="00BA3305"/>
    <w:rsid w:val="00BA3C96"/>
    <w:rsid w:val="00BA4B37"/>
    <w:rsid w:val="00BA4B82"/>
    <w:rsid w:val="00BA5AD3"/>
    <w:rsid w:val="00BA6426"/>
    <w:rsid w:val="00BA6EA2"/>
    <w:rsid w:val="00BA71C4"/>
    <w:rsid w:val="00BA781B"/>
    <w:rsid w:val="00BA7A42"/>
    <w:rsid w:val="00BB0C55"/>
    <w:rsid w:val="00BB0FAE"/>
    <w:rsid w:val="00BB11B5"/>
    <w:rsid w:val="00BB13C5"/>
    <w:rsid w:val="00BB1415"/>
    <w:rsid w:val="00BB1475"/>
    <w:rsid w:val="00BB1A66"/>
    <w:rsid w:val="00BB1ADC"/>
    <w:rsid w:val="00BB321F"/>
    <w:rsid w:val="00BB4329"/>
    <w:rsid w:val="00BB4358"/>
    <w:rsid w:val="00BB4520"/>
    <w:rsid w:val="00BB4C93"/>
    <w:rsid w:val="00BB571B"/>
    <w:rsid w:val="00BB59A1"/>
    <w:rsid w:val="00BB5AE4"/>
    <w:rsid w:val="00BB6698"/>
    <w:rsid w:val="00BB6896"/>
    <w:rsid w:val="00BB6BBE"/>
    <w:rsid w:val="00BB7A7B"/>
    <w:rsid w:val="00BB7E42"/>
    <w:rsid w:val="00BC00CB"/>
    <w:rsid w:val="00BC1563"/>
    <w:rsid w:val="00BC1693"/>
    <w:rsid w:val="00BC1E86"/>
    <w:rsid w:val="00BC1EA8"/>
    <w:rsid w:val="00BC23EB"/>
    <w:rsid w:val="00BC2B00"/>
    <w:rsid w:val="00BC3876"/>
    <w:rsid w:val="00BC3CDC"/>
    <w:rsid w:val="00BC47C4"/>
    <w:rsid w:val="00BC4984"/>
    <w:rsid w:val="00BC4F80"/>
    <w:rsid w:val="00BC604E"/>
    <w:rsid w:val="00BC60B3"/>
    <w:rsid w:val="00BC635A"/>
    <w:rsid w:val="00BC653F"/>
    <w:rsid w:val="00BC6EED"/>
    <w:rsid w:val="00BC747C"/>
    <w:rsid w:val="00BC75D3"/>
    <w:rsid w:val="00BC76FF"/>
    <w:rsid w:val="00BC7E1D"/>
    <w:rsid w:val="00BD060C"/>
    <w:rsid w:val="00BD09C6"/>
    <w:rsid w:val="00BD0B24"/>
    <w:rsid w:val="00BD0F0B"/>
    <w:rsid w:val="00BD13F2"/>
    <w:rsid w:val="00BD1764"/>
    <w:rsid w:val="00BD1D29"/>
    <w:rsid w:val="00BD30A9"/>
    <w:rsid w:val="00BD313F"/>
    <w:rsid w:val="00BD3755"/>
    <w:rsid w:val="00BD3F89"/>
    <w:rsid w:val="00BD46D7"/>
    <w:rsid w:val="00BD5473"/>
    <w:rsid w:val="00BD64F1"/>
    <w:rsid w:val="00BD7DA6"/>
    <w:rsid w:val="00BE0011"/>
    <w:rsid w:val="00BE252F"/>
    <w:rsid w:val="00BE2CD9"/>
    <w:rsid w:val="00BE3A25"/>
    <w:rsid w:val="00BE487A"/>
    <w:rsid w:val="00BE4A89"/>
    <w:rsid w:val="00BE4F51"/>
    <w:rsid w:val="00BE5205"/>
    <w:rsid w:val="00BE5EA9"/>
    <w:rsid w:val="00BE6E23"/>
    <w:rsid w:val="00BE6F95"/>
    <w:rsid w:val="00BF0443"/>
    <w:rsid w:val="00BF04E3"/>
    <w:rsid w:val="00BF0A46"/>
    <w:rsid w:val="00BF1727"/>
    <w:rsid w:val="00BF22A1"/>
    <w:rsid w:val="00BF2C26"/>
    <w:rsid w:val="00BF2ED6"/>
    <w:rsid w:val="00BF349F"/>
    <w:rsid w:val="00BF34EF"/>
    <w:rsid w:val="00BF37E0"/>
    <w:rsid w:val="00BF389D"/>
    <w:rsid w:val="00BF3BD5"/>
    <w:rsid w:val="00BF3DF1"/>
    <w:rsid w:val="00BF4209"/>
    <w:rsid w:val="00BF43F0"/>
    <w:rsid w:val="00BF44C5"/>
    <w:rsid w:val="00BF50D8"/>
    <w:rsid w:val="00BF5256"/>
    <w:rsid w:val="00BF5484"/>
    <w:rsid w:val="00BF684E"/>
    <w:rsid w:val="00BF6C87"/>
    <w:rsid w:val="00BF6F6B"/>
    <w:rsid w:val="00C000E2"/>
    <w:rsid w:val="00C002BC"/>
    <w:rsid w:val="00C00AAA"/>
    <w:rsid w:val="00C0205F"/>
    <w:rsid w:val="00C03116"/>
    <w:rsid w:val="00C033AC"/>
    <w:rsid w:val="00C03C01"/>
    <w:rsid w:val="00C0415F"/>
    <w:rsid w:val="00C052CA"/>
    <w:rsid w:val="00C05C49"/>
    <w:rsid w:val="00C0776B"/>
    <w:rsid w:val="00C07BF6"/>
    <w:rsid w:val="00C10382"/>
    <w:rsid w:val="00C107A4"/>
    <w:rsid w:val="00C107FA"/>
    <w:rsid w:val="00C10E53"/>
    <w:rsid w:val="00C11035"/>
    <w:rsid w:val="00C11331"/>
    <w:rsid w:val="00C11C6A"/>
    <w:rsid w:val="00C11CAD"/>
    <w:rsid w:val="00C12482"/>
    <w:rsid w:val="00C146E0"/>
    <w:rsid w:val="00C15023"/>
    <w:rsid w:val="00C1515A"/>
    <w:rsid w:val="00C15801"/>
    <w:rsid w:val="00C15C31"/>
    <w:rsid w:val="00C15F53"/>
    <w:rsid w:val="00C17450"/>
    <w:rsid w:val="00C1794B"/>
    <w:rsid w:val="00C2075A"/>
    <w:rsid w:val="00C20B52"/>
    <w:rsid w:val="00C20C38"/>
    <w:rsid w:val="00C20C7D"/>
    <w:rsid w:val="00C20DF2"/>
    <w:rsid w:val="00C2246A"/>
    <w:rsid w:val="00C22B45"/>
    <w:rsid w:val="00C23770"/>
    <w:rsid w:val="00C23CC5"/>
    <w:rsid w:val="00C23D66"/>
    <w:rsid w:val="00C246A7"/>
    <w:rsid w:val="00C24E0D"/>
    <w:rsid w:val="00C2542A"/>
    <w:rsid w:val="00C25913"/>
    <w:rsid w:val="00C2627E"/>
    <w:rsid w:val="00C26CC2"/>
    <w:rsid w:val="00C3010F"/>
    <w:rsid w:val="00C30753"/>
    <w:rsid w:val="00C30823"/>
    <w:rsid w:val="00C30891"/>
    <w:rsid w:val="00C312FE"/>
    <w:rsid w:val="00C318B1"/>
    <w:rsid w:val="00C32934"/>
    <w:rsid w:val="00C32B58"/>
    <w:rsid w:val="00C33080"/>
    <w:rsid w:val="00C344EF"/>
    <w:rsid w:val="00C34C3F"/>
    <w:rsid w:val="00C35254"/>
    <w:rsid w:val="00C35713"/>
    <w:rsid w:val="00C3640A"/>
    <w:rsid w:val="00C364C7"/>
    <w:rsid w:val="00C36500"/>
    <w:rsid w:val="00C36D84"/>
    <w:rsid w:val="00C37862"/>
    <w:rsid w:val="00C40A94"/>
    <w:rsid w:val="00C40BCC"/>
    <w:rsid w:val="00C40DCB"/>
    <w:rsid w:val="00C4206D"/>
    <w:rsid w:val="00C43075"/>
    <w:rsid w:val="00C43AEA"/>
    <w:rsid w:val="00C43E4F"/>
    <w:rsid w:val="00C43EFA"/>
    <w:rsid w:val="00C443C3"/>
    <w:rsid w:val="00C44A68"/>
    <w:rsid w:val="00C44B77"/>
    <w:rsid w:val="00C44CB5"/>
    <w:rsid w:val="00C45175"/>
    <w:rsid w:val="00C45439"/>
    <w:rsid w:val="00C45551"/>
    <w:rsid w:val="00C4605D"/>
    <w:rsid w:val="00C4637B"/>
    <w:rsid w:val="00C46F92"/>
    <w:rsid w:val="00C47909"/>
    <w:rsid w:val="00C5094F"/>
    <w:rsid w:val="00C50D4A"/>
    <w:rsid w:val="00C50F5A"/>
    <w:rsid w:val="00C514AC"/>
    <w:rsid w:val="00C51524"/>
    <w:rsid w:val="00C51CDA"/>
    <w:rsid w:val="00C51D1E"/>
    <w:rsid w:val="00C52CBF"/>
    <w:rsid w:val="00C53AA8"/>
    <w:rsid w:val="00C53D53"/>
    <w:rsid w:val="00C53DD3"/>
    <w:rsid w:val="00C543DB"/>
    <w:rsid w:val="00C55958"/>
    <w:rsid w:val="00C5638B"/>
    <w:rsid w:val="00C56778"/>
    <w:rsid w:val="00C56821"/>
    <w:rsid w:val="00C5685E"/>
    <w:rsid w:val="00C56A06"/>
    <w:rsid w:val="00C56B21"/>
    <w:rsid w:val="00C56B82"/>
    <w:rsid w:val="00C56D56"/>
    <w:rsid w:val="00C57D09"/>
    <w:rsid w:val="00C60061"/>
    <w:rsid w:val="00C60765"/>
    <w:rsid w:val="00C61CDF"/>
    <w:rsid w:val="00C62328"/>
    <w:rsid w:val="00C623FA"/>
    <w:rsid w:val="00C62727"/>
    <w:rsid w:val="00C62B68"/>
    <w:rsid w:val="00C6361C"/>
    <w:rsid w:val="00C63C37"/>
    <w:rsid w:val="00C643C1"/>
    <w:rsid w:val="00C658C9"/>
    <w:rsid w:val="00C66BA4"/>
    <w:rsid w:val="00C66C66"/>
    <w:rsid w:val="00C66E75"/>
    <w:rsid w:val="00C675B3"/>
    <w:rsid w:val="00C70236"/>
    <w:rsid w:val="00C70726"/>
    <w:rsid w:val="00C7072B"/>
    <w:rsid w:val="00C7084A"/>
    <w:rsid w:val="00C7186A"/>
    <w:rsid w:val="00C746AE"/>
    <w:rsid w:val="00C759B4"/>
    <w:rsid w:val="00C75CD9"/>
    <w:rsid w:val="00C7689D"/>
    <w:rsid w:val="00C769B5"/>
    <w:rsid w:val="00C76C44"/>
    <w:rsid w:val="00C776C6"/>
    <w:rsid w:val="00C77A87"/>
    <w:rsid w:val="00C8044B"/>
    <w:rsid w:val="00C80C79"/>
    <w:rsid w:val="00C815FC"/>
    <w:rsid w:val="00C81649"/>
    <w:rsid w:val="00C82781"/>
    <w:rsid w:val="00C82991"/>
    <w:rsid w:val="00C83348"/>
    <w:rsid w:val="00C83751"/>
    <w:rsid w:val="00C837E7"/>
    <w:rsid w:val="00C83BB1"/>
    <w:rsid w:val="00C83E73"/>
    <w:rsid w:val="00C84C04"/>
    <w:rsid w:val="00C84E4B"/>
    <w:rsid w:val="00C85C4B"/>
    <w:rsid w:val="00C86508"/>
    <w:rsid w:val="00C86CF5"/>
    <w:rsid w:val="00C86CFC"/>
    <w:rsid w:val="00C8732F"/>
    <w:rsid w:val="00C8752D"/>
    <w:rsid w:val="00C905A2"/>
    <w:rsid w:val="00C919C0"/>
    <w:rsid w:val="00C92CD0"/>
    <w:rsid w:val="00C9463E"/>
    <w:rsid w:val="00C957E3"/>
    <w:rsid w:val="00C95DD2"/>
    <w:rsid w:val="00C96323"/>
    <w:rsid w:val="00C9653C"/>
    <w:rsid w:val="00CA0BB4"/>
    <w:rsid w:val="00CA2455"/>
    <w:rsid w:val="00CA25C5"/>
    <w:rsid w:val="00CA2728"/>
    <w:rsid w:val="00CA2D61"/>
    <w:rsid w:val="00CA335B"/>
    <w:rsid w:val="00CA425D"/>
    <w:rsid w:val="00CA45F0"/>
    <w:rsid w:val="00CA5044"/>
    <w:rsid w:val="00CA5FD3"/>
    <w:rsid w:val="00CA6CAD"/>
    <w:rsid w:val="00CA6DFB"/>
    <w:rsid w:val="00CA7063"/>
    <w:rsid w:val="00CA7DB3"/>
    <w:rsid w:val="00CB11C5"/>
    <w:rsid w:val="00CB1EB1"/>
    <w:rsid w:val="00CB1F0B"/>
    <w:rsid w:val="00CB31F5"/>
    <w:rsid w:val="00CB339A"/>
    <w:rsid w:val="00CB37DF"/>
    <w:rsid w:val="00CB3F72"/>
    <w:rsid w:val="00CB50E3"/>
    <w:rsid w:val="00CB576C"/>
    <w:rsid w:val="00CB577B"/>
    <w:rsid w:val="00CB67C1"/>
    <w:rsid w:val="00CB7459"/>
    <w:rsid w:val="00CC0969"/>
    <w:rsid w:val="00CC1FFE"/>
    <w:rsid w:val="00CC246F"/>
    <w:rsid w:val="00CC26FF"/>
    <w:rsid w:val="00CC2910"/>
    <w:rsid w:val="00CC3E05"/>
    <w:rsid w:val="00CC431E"/>
    <w:rsid w:val="00CC4626"/>
    <w:rsid w:val="00CC65F8"/>
    <w:rsid w:val="00CC6A19"/>
    <w:rsid w:val="00CC6BD4"/>
    <w:rsid w:val="00CD0CC0"/>
    <w:rsid w:val="00CD1060"/>
    <w:rsid w:val="00CD10E0"/>
    <w:rsid w:val="00CD1286"/>
    <w:rsid w:val="00CD154C"/>
    <w:rsid w:val="00CD184D"/>
    <w:rsid w:val="00CD22B8"/>
    <w:rsid w:val="00CD3B59"/>
    <w:rsid w:val="00CD3B5C"/>
    <w:rsid w:val="00CD3C4E"/>
    <w:rsid w:val="00CD4F09"/>
    <w:rsid w:val="00CD596A"/>
    <w:rsid w:val="00CD61F1"/>
    <w:rsid w:val="00CD631D"/>
    <w:rsid w:val="00CD6BC5"/>
    <w:rsid w:val="00CD6DB7"/>
    <w:rsid w:val="00CD7488"/>
    <w:rsid w:val="00CE0A9B"/>
    <w:rsid w:val="00CE0E96"/>
    <w:rsid w:val="00CE1F8B"/>
    <w:rsid w:val="00CE2E7F"/>
    <w:rsid w:val="00CE3E1E"/>
    <w:rsid w:val="00CE422E"/>
    <w:rsid w:val="00CE4267"/>
    <w:rsid w:val="00CE43B8"/>
    <w:rsid w:val="00CE4CAE"/>
    <w:rsid w:val="00CE5C4C"/>
    <w:rsid w:val="00CE600A"/>
    <w:rsid w:val="00CE633F"/>
    <w:rsid w:val="00CE6711"/>
    <w:rsid w:val="00CE6CDE"/>
    <w:rsid w:val="00CF0A89"/>
    <w:rsid w:val="00CF1248"/>
    <w:rsid w:val="00CF1415"/>
    <w:rsid w:val="00CF1C44"/>
    <w:rsid w:val="00CF205D"/>
    <w:rsid w:val="00CF243C"/>
    <w:rsid w:val="00CF34BA"/>
    <w:rsid w:val="00CF35B3"/>
    <w:rsid w:val="00CF37F7"/>
    <w:rsid w:val="00CF3A9C"/>
    <w:rsid w:val="00CF3B3E"/>
    <w:rsid w:val="00CF41B5"/>
    <w:rsid w:val="00CF44C4"/>
    <w:rsid w:val="00CF4E23"/>
    <w:rsid w:val="00CF4E76"/>
    <w:rsid w:val="00CF5923"/>
    <w:rsid w:val="00CF7309"/>
    <w:rsid w:val="00CF760A"/>
    <w:rsid w:val="00D001B0"/>
    <w:rsid w:val="00D006CE"/>
    <w:rsid w:val="00D00DEB"/>
    <w:rsid w:val="00D01D97"/>
    <w:rsid w:val="00D02882"/>
    <w:rsid w:val="00D02F0B"/>
    <w:rsid w:val="00D03AB0"/>
    <w:rsid w:val="00D04BA2"/>
    <w:rsid w:val="00D06799"/>
    <w:rsid w:val="00D06D88"/>
    <w:rsid w:val="00D06FD0"/>
    <w:rsid w:val="00D0736B"/>
    <w:rsid w:val="00D0772A"/>
    <w:rsid w:val="00D07BFF"/>
    <w:rsid w:val="00D10385"/>
    <w:rsid w:val="00D108D2"/>
    <w:rsid w:val="00D11A25"/>
    <w:rsid w:val="00D11B44"/>
    <w:rsid w:val="00D1459B"/>
    <w:rsid w:val="00D14878"/>
    <w:rsid w:val="00D15416"/>
    <w:rsid w:val="00D15578"/>
    <w:rsid w:val="00D15D33"/>
    <w:rsid w:val="00D15DDA"/>
    <w:rsid w:val="00D15F08"/>
    <w:rsid w:val="00D16548"/>
    <w:rsid w:val="00D166F3"/>
    <w:rsid w:val="00D16836"/>
    <w:rsid w:val="00D16BBC"/>
    <w:rsid w:val="00D1723A"/>
    <w:rsid w:val="00D17B12"/>
    <w:rsid w:val="00D17E68"/>
    <w:rsid w:val="00D20B99"/>
    <w:rsid w:val="00D20EFA"/>
    <w:rsid w:val="00D20F96"/>
    <w:rsid w:val="00D212D4"/>
    <w:rsid w:val="00D212FA"/>
    <w:rsid w:val="00D219EE"/>
    <w:rsid w:val="00D21C2D"/>
    <w:rsid w:val="00D21E90"/>
    <w:rsid w:val="00D21FAF"/>
    <w:rsid w:val="00D22E1E"/>
    <w:rsid w:val="00D22EB5"/>
    <w:rsid w:val="00D232C7"/>
    <w:rsid w:val="00D23BBB"/>
    <w:rsid w:val="00D23FBC"/>
    <w:rsid w:val="00D26EAF"/>
    <w:rsid w:val="00D26EEF"/>
    <w:rsid w:val="00D272DA"/>
    <w:rsid w:val="00D27EC9"/>
    <w:rsid w:val="00D31343"/>
    <w:rsid w:val="00D31580"/>
    <w:rsid w:val="00D319A7"/>
    <w:rsid w:val="00D31F92"/>
    <w:rsid w:val="00D32202"/>
    <w:rsid w:val="00D33BE6"/>
    <w:rsid w:val="00D33E6D"/>
    <w:rsid w:val="00D3429A"/>
    <w:rsid w:val="00D34374"/>
    <w:rsid w:val="00D34B65"/>
    <w:rsid w:val="00D34FF7"/>
    <w:rsid w:val="00D363BE"/>
    <w:rsid w:val="00D367D4"/>
    <w:rsid w:val="00D37D56"/>
    <w:rsid w:val="00D37DA4"/>
    <w:rsid w:val="00D40163"/>
    <w:rsid w:val="00D4099A"/>
    <w:rsid w:val="00D4145E"/>
    <w:rsid w:val="00D41844"/>
    <w:rsid w:val="00D41E74"/>
    <w:rsid w:val="00D42812"/>
    <w:rsid w:val="00D42D26"/>
    <w:rsid w:val="00D43273"/>
    <w:rsid w:val="00D4339A"/>
    <w:rsid w:val="00D4346A"/>
    <w:rsid w:val="00D4365B"/>
    <w:rsid w:val="00D43763"/>
    <w:rsid w:val="00D43A70"/>
    <w:rsid w:val="00D43BD5"/>
    <w:rsid w:val="00D43CF4"/>
    <w:rsid w:val="00D443B7"/>
    <w:rsid w:val="00D44556"/>
    <w:rsid w:val="00D446E6"/>
    <w:rsid w:val="00D46146"/>
    <w:rsid w:val="00D47DD1"/>
    <w:rsid w:val="00D50CFD"/>
    <w:rsid w:val="00D51502"/>
    <w:rsid w:val="00D52118"/>
    <w:rsid w:val="00D5264E"/>
    <w:rsid w:val="00D52A73"/>
    <w:rsid w:val="00D530D3"/>
    <w:rsid w:val="00D5346A"/>
    <w:rsid w:val="00D54983"/>
    <w:rsid w:val="00D5563E"/>
    <w:rsid w:val="00D55E63"/>
    <w:rsid w:val="00D5601D"/>
    <w:rsid w:val="00D5668A"/>
    <w:rsid w:val="00D5687D"/>
    <w:rsid w:val="00D56C60"/>
    <w:rsid w:val="00D56D3F"/>
    <w:rsid w:val="00D56E78"/>
    <w:rsid w:val="00D57414"/>
    <w:rsid w:val="00D601B0"/>
    <w:rsid w:val="00D60CD3"/>
    <w:rsid w:val="00D61BC9"/>
    <w:rsid w:val="00D61CA6"/>
    <w:rsid w:val="00D61DFD"/>
    <w:rsid w:val="00D62DD6"/>
    <w:rsid w:val="00D63B4D"/>
    <w:rsid w:val="00D6475F"/>
    <w:rsid w:val="00D648D6"/>
    <w:rsid w:val="00D64C6C"/>
    <w:rsid w:val="00D65213"/>
    <w:rsid w:val="00D659D7"/>
    <w:rsid w:val="00D66A0D"/>
    <w:rsid w:val="00D66C5E"/>
    <w:rsid w:val="00D67AEF"/>
    <w:rsid w:val="00D67C73"/>
    <w:rsid w:val="00D67E15"/>
    <w:rsid w:val="00D711E6"/>
    <w:rsid w:val="00D71401"/>
    <w:rsid w:val="00D71456"/>
    <w:rsid w:val="00D71798"/>
    <w:rsid w:val="00D72B91"/>
    <w:rsid w:val="00D73135"/>
    <w:rsid w:val="00D73395"/>
    <w:rsid w:val="00D73537"/>
    <w:rsid w:val="00D75211"/>
    <w:rsid w:val="00D75ABE"/>
    <w:rsid w:val="00D75E45"/>
    <w:rsid w:val="00D76ED6"/>
    <w:rsid w:val="00D77493"/>
    <w:rsid w:val="00D779B3"/>
    <w:rsid w:val="00D77BEF"/>
    <w:rsid w:val="00D8042E"/>
    <w:rsid w:val="00D80AEA"/>
    <w:rsid w:val="00D816D2"/>
    <w:rsid w:val="00D81B4A"/>
    <w:rsid w:val="00D81CE5"/>
    <w:rsid w:val="00D825C5"/>
    <w:rsid w:val="00D82F7B"/>
    <w:rsid w:val="00D83690"/>
    <w:rsid w:val="00D83D60"/>
    <w:rsid w:val="00D85598"/>
    <w:rsid w:val="00D8564A"/>
    <w:rsid w:val="00D8731D"/>
    <w:rsid w:val="00D87929"/>
    <w:rsid w:val="00D87CB9"/>
    <w:rsid w:val="00D9050F"/>
    <w:rsid w:val="00D91497"/>
    <w:rsid w:val="00D91B0A"/>
    <w:rsid w:val="00D9277D"/>
    <w:rsid w:val="00D935B2"/>
    <w:rsid w:val="00D93C23"/>
    <w:rsid w:val="00D93FD0"/>
    <w:rsid w:val="00D94937"/>
    <w:rsid w:val="00D95950"/>
    <w:rsid w:val="00D962B7"/>
    <w:rsid w:val="00D967A1"/>
    <w:rsid w:val="00D96C9F"/>
    <w:rsid w:val="00D96D1F"/>
    <w:rsid w:val="00D96DAC"/>
    <w:rsid w:val="00D97945"/>
    <w:rsid w:val="00D97B68"/>
    <w:rsid w:val="00DA0438"/>
    <w:rsid w:val="00DA0585"/>
    <w:rsid w:val="00DA09FD"/>
    <w:rsid w:val="00DA199F"/>
    <w:rsid w:val="00DA1F22"/>
    <w:rsid w:val="00DA20E9"/>
    <w:rsid w:val="00DA2391"/>
    <w:rsid w:val="00DA23FD"/>
    <w:rsid w:val="00DA3037"/>
    <w:rsid w:val="00DA384B"/>
    <w:rsid w:val="00DA3D15"/>
    <w:rsid w:val="00DA4515"/>
    <w:rsid w:val="00DA4A88"/>
    <w:rsid w:val="00DA4BC2"/>
    <w:rsid w:val="00DA4C3A"/>
    <w:rsid w:val="00DA4F87"/>
    <w:rsid w:val="00DA6AEE"/>
    <w:rsid w:val="00DA6BB3"/>
    <w:rsid w:val="00DA7911"/>
    <w:rsid w:val="00DA7D03"/>
    <w:rsid w:val="00DB02C6"/>
    <w:rsid w:val="00DB1916"/>
    <w:rsid w:val="00DB2033"/>
    <w:rsid w:val="00DB26DC"/>
    <w:rsid w:val="00DB2D73"/>
    <w:rsid w:val="00DB304D"/>
    <w:rsid w:val="00DB31D7"/>
    <w:rsid w:val="00DB3D45"/>
    <w:rsid w:val="00DB3EAE"/>
    <w:rsid w:val="00DB400E"/>
    <w:rsid w:val="00DB63FB"/>
    <w:rsid w:val="00DB6B61"/>
    <w:rsid w:val="00DB6BB4"/>
    <w:rsid w:val="00DB71AD"/>
    <w:rsid w:val="00DB71C7"/>
    <w:rsid w:val="00DC0FE4"/>
    <w:rsid w:val="00DC174C"/>
    <w:rsid w:val="00DC1B62"/>
    <w:rsid w:val="00DC2431"/>
    <w:rsid w:val="00DC2E61"/>
    <w:rsid w:val="00DC32E7"/>
    <w:rsid w:val="00DC37C6"/>
    <w:rsid w:val="00DC430A"/>
    <w:rsid w:val="00DC4618"/>
    <w:rsid w:val="00DC47AD"/>
    <w:rsid w:val="00DC483F"/>
    <w:rsid w:val="00DC4EA4"/>
    <w:rsid w:val="00DC502F"/>
    <w:rsid w:val="00DC5172"/>
    <w:rsid w:val="00DC5943"/>
    <w:rsid w:val="00DC5C7E"/>
    <w:rsid w:val="00DC6690"/>
    <w:rsid w:val="00DC695F"/>
    <w:rsid w:val="00DC70B3"/>
    <w:rsid w:val="00DC76CF"/>
    <w:rsid w:val="00DC7A36"/>
    <w:rsid w:val="00DD0406"/>
    <w:rsid w:val="00DD044D"/>
    <w:rsid w:val="00DD0AEB"/>
    <w:rsid w:val="00DD0F2F"/>
    <w:rsid w:val="00DD18AF"/>
    <w:rsid w:val="00DD1E30"/>
    <w:rsid w:val="00DD1EDB"/>
    <w:rsid w:val="00DD3C96"/>
    <w:rsid w:val="00DD3E80"/>
    <w:rsid w:val="00DD4714"/>
    <w:rsid w:val="00DD48A3"/>
    <w:rsid w:val="00DD516D"/>
    <w:rsid w:val="00DD54B7"/>
    <w:rsid w:val="00DD558F"/>
    <w:rsid w:val="00DD5ED9"/>
    <w:rsid w:val="00DD5EEC"/>
    <w:rsid w:val="00DD6B63"/>
    <w:rsid w:val="00DD714E"/>
    <w:rsid w:val="00DD7DE0"/>
    <w:rsid w:val="00DE05A8"/>
    <w:rsid w:val="00DE0993"/>
    <w:rsid w:val="00DE151E"/>
    <w:rsid w:val="00DE1E2E"/>
    <w:rsid w:val="00DE1F8E"/>
    <w:rsid w:val="00DE2A9A"/>
    <w:rsid w:val="00DE2CF0"/>
    <w:rsid w:val="00DE3DCB"/>
    <w:rsid w:val="00DE3E39"/>
    <w:rsid w:val="00DE3F52"/>
    <w:rsid w:val="00DE43D9"/>
    <w:rsid w:val="00DE59E9"/>
    <w:rsid w:val="00DE627F"/>
    <w:rsid w:val="00DE671B"/>
    <w:rsid w:val="00DE6F6F"/>
    <w:rsid w:val="00DE7098"/>
    <w:rsid w:val="00DE7D01"/>
    <w:rsid w:val="00DE7F39"/>
    <w:rsid w:val="00DF2BA5"/>
    <w:rsid w:val="00DF2EC3"/>
    <w:rsid w:val="00DF32A1"/>
    <w:rsid w:val="00DF4209"/>
    <w:rsid w:val="00DF4BFF"/>
    <w:rsid w:val="00DF52DE"/>
    <w:rsid w:val="00DF53FC"/>
    <w:rsid w:val="00DF55B3"/>
    <w:rsid w:val="00DF584F"/>
    <w:rsid w:val="00DF5B8C"/>
    <w:rsid w:val="00DF6099"/>
    <w:rsid w:val="00DF694B"/>
    <w:rsid w:val="00DF6E21"/>
    <w:rsid w:val="00DF6F72"/>
    <w:rsid w:val="00DF76B0"/>
    <w:rsid w:val="00DF7C98"/>
    <w:rsid w:val="00E006CF"/>
    <w:rsid w:val="00E016E6"/>
    <w:rsid w:val="00E021FD"/>
    <w:rsid w:val="00E03150"/>
    <w:rsid w:val="00E03AD2"/>
    <w:rsid w:val="00E041A7"/>
    <w:rsid w:val="00E0431B"/>
    <w:rsid w:val="00E05375"/>
    <w:rsid w:val="00E05724"/>
    <w:rsid w:val="00E057DC"/>
    <w:rsid w:val="00E05A21"/>
    <w:rsid w:val="00E05D5B"/>
    <w:rsid w:val="00E06ADC"/>
    <w:rsid w:val="00E074CA"/>
    <w:rsid w:val="00E104EC"/>
    <w:rsid w:val="00E105C3"/>
    <w:rsid w:val="00E10E60"/>
    <w:rsid w:val="00E10F02"/>
    <w:rsid w:val="00E10F61"/>
    <w:rsid w:val="00E1194B"/>
    <w:rsid w:val="00E1247E"/>
    <w:rsid w:val="00E125BB"/>
    <w:rsid w:val="00E134C0"/>
    <w:rsid w:val="00E145BB"/>
    <w:rsid w:val="00E14BAD"/>
    <w:rsid w:val="00E16AD6"/>
    <w:rsid w:val="00E16E90"/>
    <w:rsid w:val="00E203F6"/>
    <w:rsid w:val="00E21203"/>
    <w:rsid w:val="00E217AC"/>
    <w:rsid w:val="00E227DB"/>
    <w:rsid w:val="00E22B4B"/>
    <w:rsid w:val="00E23562"/>
    <w:rsid w:val="00E23DFF"/>
    <w:rsid w:val="00E23EA9"/>
    <w:rsid w:val="00E2423C"/>
    <w:rsid w:val="00E24AED"/>
    <w:rsid w:val="00E24CD8"/>
    <w:rsid w:val="00E254D3"/>
    <w:rsid w:val="00E2551A"/>
    <w:rsid w:val="00E257A2"/>
    <w:rsid w:val="00E2781B"/>
    <w:rsid w:val="00E27AF8"/>
    <w:rsid w:val="00E310EC"/>
    <w:rsid w:val="00E315D4"/>
    <w:rsid w:val="00E3250A"/>
    <w:rsid w:val="00E3264D"/>
    <w:rsid w:val="00E32781"/>
    <w:rsid w:val="00E34C58"/>
    <w:rsid w:val="00E34D92"/>
    <w:rsid w:val="00E354B0"/>
    <w:rsid w:val="00E356FA"/>
    <w:rsid w:val="00E35975"/>
    <w:rsid w:val="00E35A68"/>
    <w:rsid w:val="00E35FA4"/>
    <w:rsid w:val="00E363E3"/>
    <w:rsid w:val="00E36F8E"/>
    <w:rsid w:val="00E3720E"/>
    <w:rsid w:val="00E37C83"/>
    <w:rsid w:val="00E40B95"/>
    <w:rsid w:val="00E4175F"/>
    <w:rsid w:val="00E41D94"/>
    <w:rsid w:val="00E42FF1"/>
    <w:rsid w:val="00E4349F"/>
    <w:rsid w:val="00E435EA"/>
    <w:rsid w:val="00E43F08"/>
    <w:rsid w:val="00E44AC5"/>
    <w:rsid w:val="00E4537B"/>
    <w:rsid w:val="00E45673"/>
    <w:rsid w:val="00E45FFC"/>
    <w:rsid w:val="00E47B05"/>
    <w:rsid w:val="00E47E24"/>
    <w:rsid w:val="00E504D0"/>
    <w:rsid w:val="00E509E4"/>
    <w:rsid w:val="00E510A8"/>
    <w:rsid w:val="00E511CB"/>
    <w:rsid w:val="00E516BC"/>
    <w:rsid w:val="00E517CD"/>
    <w:rsid w:val="00E51845"/>
    <w:rsid w:val="00E51B40"/>
    <w:rsid w:val="00E52EEB"/>
    <w:rsid w:val="00E53886"/>
    <w:rsid w:val="00E53C5E"/>
    <w:rsid w:val="00E54BB4"/>
    <w:rsid w:val="00E5601A"/>
    <w:rsid w:val="00E56C64"/>
    <w:rsid w:val="00E5744F"/>
    <w:rsid w:val="00E57801"/>
    <w:rsid w:val="00E604DD"/>
    <w:rsid w:val="00E60556"/>
    <w:rsid w:val="00E608EA"/>
    <w:rsid w:val="00E61567"/>
    <w:rsid w:val="00E619CF"/>
    <w:rsid w:val="00E61E79"/>
    <w:rsid w:val="00E62E67"/>
    <w:rsid w:val="00E62FA6"/>
    <w:rsid w:val="00E632F5"/>
    <w:rsid w:val="00E6345D"/>
    <w:rsid w:val="00E63558"/>
    <w:rsid w:val="00E64BEE"/>
    <w:rsid w:val="00E65A4D"/>
    <w:rsid w:val="00E65AAB"/>
    <w:rsid w:val="00E65DB8"/>
    <w:rsid w:val="00E67450"/>
    <w:rsid w:val="00E677E3"/>
    <w:rsid w:val="00E7030B"/>
    <w:rsid w:val="00E708C6"/>
    <w:rsid w:val="00E70E4E"/>
    <w:rsid w:val="00E71215"/>
    <w:rsid w:val="00E72B67"/>
    <w:rsid w:val="00E74878"/>
    <w:rsid w:val="00E76665"/>
    <w:rsid w:val="00E779AB"/>
    <w:rsid w:val="00E77A37"/>
    <w:rsid w:val="00E8063E"/>
    <w:rsid w:val="00E8064F"/>
    <w:rsid w:val="00E8069B"/>
    <w:rsid w:val="00E80981"/>
    <w:rsid w:val="00E80A78"/>
    <w:rsid w:val="00E80CAC"/>
    <w:rsid w:val="00E81314"/>
    <w:rsid w:val="00E81524"/>
    <w:rsid w:val="00E81B74"/>
    <w:rsid w:val="00E81F21"/>
    <w:rsid w:val="00E826AB"/>
    <w:rsid w:val="00E8283D"/>
    <w:rsid w:val="00E82D19"/>
    <w:rsid w:val="00E83742"/>
    <w:rsid w:val="00E83973"/>
    <w:rsid w:val="00E83E1E"/>
    <w:rsid w:val="00E83FB0"/>
    <w:rsid w:val="00E84DC7"/>
    <w:rsid w:val="00E85C33"/>
    <w:rsid w:val="00E85E2B"/>
    <w:rsid w:val="00E861A7"/>
    <w:rsid w:val="00E869B0"/>
    <w:rsid w:val="00E86DBC"/>
    <w:rsid w:val="00E87FF0"/>
    <w:rsid w:val="00E90AE0"/>
    <w:rsid w:val="00E90D3E"/>
    <w:rsid w:val="00E9159B"/>
    <w:rsid w:val="00E9190E"/>
    <w:rsid w:val="00E9346D"/>
    <w:rsid w:val="00E94E6A"/>
    <w:rsid w:val="00E95445"/>
    <w:rsid w:val="00E95F32"/>
    <w:rsid w:val="00E96099"/>
    <w:rsid w:val="00E96A46"/>
    <w:rsid w:val="00E9734E"/>
    <w:rsid w:val="00EA0020"/>
    <w:rsid w:val="00EA056F"/>
    <w:rsid w:val="00EA0876"/>
    <w:rsid w:val="00EA08E3"/>
    <w:rsid w:val="00EA090A"/>
    <w:rsid w:val="00EA172D"/>
    <w:rsid w:val="00EA18D1"/>
    <w:rsid w:val="00EA222C"/>
    <w:rsid w:val="00EA2E37"/>
    <w:rsid w:val="00EA4D31"/>
    <w:rsid w:val="00EA599F"/>
    <w:rsid w:val="00EA5F64"/>
    <w:rsid w:val="00EA6D56"/>
    <w:rsid w:val="00EA6DC8"/>
    <w:rsid w:val="00EA70F9"/>
    <w:rsid w:val="00EA72B4"/>
    <w:rsid w:val="00EA7D4E"/>
    <w:rsid w:val="00EB00D6"/>
    <w:rsid w:val="00EB0347"/>
    <w:rsid w:val="00EB146E"/>
    <w:rsid w:val="00EB1AC4"/>
    <w:rsid w:val="00EB1CFE"/>
    <w:rsid w:val="00EB2103"/>
    <w:rsid w:val="00EB2318"/>
    <w:rsid w:val="00EB2703"/>
    <w:rsid w:val="00EB35A3"/>
    <w:rsid w:val="00EB38C9"/>
    <w:rsid w:val="00EB423E"/>
    <w:rsid w:val="00EB4783"/>
    <w:rsid w:val="00EB47ED"/>
    <w:rsid w:val="00EB4D55"/>
    <w:rsid w:val="00EB4FBD"/>
    <w:rsid w:val="00EB61E8"/>
    <w:rsid w:val="00EB63E1"/>
    <w:rsid w:val="00EB6945"/>
    <w:rsid w:val="00EB69AF"/>
    <w:rsid w:val="00EB6AE8"/>
    <w:rsid w:val="00EB6B47"/>
    <w:rsid w:val="00EB726B"/>
    <w:rsid w:val="00EB7342"/>
    <w:rsid w:val="00EC31C0"/>
    <w:rsid w:val="00EC3E6A"/>
    <w:rsid w:val="00EC45C0"/>
    <w:rsid w:val="00EC4FB8"/>
    <w:rsid w:val="00EC6D8A"/>
    <w:rsid w:val="00EC70F3"/>
    <w:rsid w:val="00EC710F"/>
    <w:rsid w:val="00EC7B9F"/>
    <w:rsid w:val="00EC7F07"/>
    <w:rsid w:val="00ED0E85"/>
    <w:rsid w:val="00ED1BC5"/>
    <w:rsid w:val="00ED214A"/>
    <w:rsid w:val="00ED21BF"/>
    <w:rsid w:val="00ED2FE1"/>
    <w:rsid w:val="00ED33A6"/>
    <w:rsid w:val="00ED3B06"/>
    <w:rsid w:val="00ED3DFE"/>
    <w:rsid w:val="00ED4636"/>
    <w:rsid w:val="00ED4926"/>
    <w:rsid w:val="00ED49EF"/>
    <w:rsid w:val="00ED4E44"/>
    <w:rsid w:val="00ED4E99"/>
    <w:rsid w:val="00ED562B"/>
    <w:rsid w:val="00ED5A98"/>
    <w:rsid w:val="00ED5CA3"/>
    <w:rsid w:val="00ED5FA2"/>
    <w:rsid w:val="00ED695A"/>
    <w:rsid w:val="00ED6E18"/>
    <w:rsid w:val="00ED6EB9"/>
    <w:rsid w:val="00ED7289"/>
    <w:rsid w:val="00ED73BF"/>
    <w:rsid w:val="00ED7770"/>
    <w:rsid w:val="00ED7988"/>
    <w:rsid w:val="00ED7BB8"/>
    <w:rsid w:val="00ED7F32"/>
    <w:rsid w:val="00EE01D9"/>
    <w:rsid w:val="00EE0C21"/>
    <w:rsid w:val="00EE23E0"/>
    <w:rsid w:val="00EE2759"/>
    <w:rsid w:val="00EE298B"/>
    <w:rsid w:val="00EE2F5C"/>
    <w:rsid w:val="00EE2F9A"/>
    <w:rsid w:val="00EE3124"/>
    <w:rsid w:val="00EE347F"/>
    <w:rsid w:val="00EE5250"/>
    <w:rsid w:val="00EE5C2E"/>
    <w:rsid w:val="00EE6357"/>
    <w:rsid w:val="00EE6637"/>
    <w:rsid w:val="00EE7023"/>
    <w:rsid w:val="00EE7F3F"/>
    <w:rsid w:val="00EF03E0"/>
    <w:rsid w:val="00EF0814"/>
    <w:rsid w:val="00EF2146"/>
    <w:rsid w:val="00EF2B7E"/>
    <w:rsid w:val="00EF2ED1"/>
    <w:rsid w:val="00EF3256"/>
    <w:rsid w:val="00EF3711"/>
    <w:rsid w:val="00EF44B0"/>
    <w:rsid w:val="00EF54E5"/>
    <w:rsid w:val="00EF5645"/>
    <w:rsid w:val="00EF5EEE"/>
    <w:rsid w:val="00EF5F1D"/>
    <w:rsid w:val="00EF7764"/>
    <w:rsid w:val="00F000B9"/>
    <w:rsid w:val="00F01112"/>
    <w:rsid w:val="00F0142B"/>
    <w:rsid w:val="00F01BC2"/>
    <w:rsid w:val="00F027C3"/>
    <w:rsid w:val="00F02F18"/>
    <w:rsid w:val="00F036C9"/>
    <w:rsid w:val="00F042ED"/>
    <w:rsid w:val="00F04321"/>
    <w:rsid w:val="00F04A21"/>
    <w:rsid w:val="00F05411"/>
    <w:rsid w:val="00F055FE"/>
    <w:rsid w:val="00F05D45"/>
    <w:rsid w:val="00F05E5D"/>
    <w:rsid w:val="00F06A40"/>
    <w:rsid w:val="00F0723E"/>
    <w:rsid w:val="00F0757F"/>
    <w:rsid w:val="00F07DF9"/>
    <w:rsid w:val="00F1059B"/>
    <w:rsid w:val="00F11774"/>
    <w:rsid w:val="00F11F34"/>
    <w:rsid w:val="00F12BCD"/>
    <w:rsid w:val="00F12FCD"/>
    <w:rsid w:val="00F13FA1"/>
    <w:rsid w:val="00F143E6"/>
    <w:rsid w:val="00F17116"/>
    <w:rsid w:val="00F17844"/>
    <w:rsid w:val="00F213FA"/>
    <w:rsid w:val="00F214A9"/>
    <w:rsid w:val="00F2189E"/>
    <w:rsid w:val="00F21C72"/>
    <w:rsid w:val="00F21DDB"/>
    <w:rsid w:val="00F21E3D"/>
    <w:rsid w:val="00F21E71"/>
    <w:rsid w:val="00F221B8"/>
    <w:rsid w:val="00F2225A"/>
    <w:rsid w:val="00F225C0"/>
    <w:rsid w:val="00F23221"/>
    <w:rsid w:val="00F243A9"/>
    <w:rsid w:val="00F24CB5"/>
    <w:rsid w:val="00F25226"/>
    <w:rsid w:val="00F27076"/>
    <w:rsid w:val="00F2707F"/>
    <w:rsid w:val="00F306D1"/>
    <w:rsid w:val="00F31325"/>
    <w:rsid w:val="00F31C1F"/>
    <w:rsid w:val="00F32298"/>
    <w:rsid w:val="00F3255B"/>
    <w:rsid w:val="00F32D00"/>
    <w:rsid w:val="00F33125"/>
    <w:rsid w:val="00F340C8"/>
    <w:rsid w:val="00F34155"/>
    <w:rsid w:val="00F34372"/>
    <w:rsid w:val="00F34A80"/>
    <w:rsid w:val="00F3549D"/>
    <w:rsid w:val="00F356AF"/>
    <w:rsid w:val="00F37193"/>
    <w:rsid w:val="00F3754C"/>
    <w:rsid w:val="00F3754D"/>
    <w:rsid w:val="00F42684"/>
    <w:rsid w:val="00F432D2"/>
    <w:rsid w:val="00F4363C"/>
    <w:rsid w:val="00F44128"/>
    <w:rsid w:val="00F45162"/>
    <w:rsid w:val="00F45835"/>
    <w:rsid w:val="00F47AF2"/>
    <w:rsid w:val="00F47E5C"/>
    <w:rsid w:val="00F47EC8"/>
    <w:rsid w:val="00F50E7A"/>
    <w:rsid w:val="00F51590"/>
    <w:rsid w:val="00F521E3"/>
    <w:rsid w:val="00F52884"/>
    <w:rsid w:val="00F5324E"/>
    <w:rsid w:val="00F53F08"/>
    <w:rsid w:val="00F53F33"/>
    <w:rsid w:val="00F556A1"/>
    <w:rsid w:val="00F55802"/>
    <w:rsid w:val="00F560D4"/>
    <w:rsid w:val="00F56145"/>
    <w:rsid w:val="00F56CBC"/>
    <w:rsid w:val="00F6055A"/>
    <w:rsid w:val="00F624F3"/>
    <w:rsid w:val="00F62C80"/>
    <w:rsid w:val="00F6367C"/>
    <w:rsid w:val="00F63EFC"/>
    <w:rsid w:val="00F63F1D"/>
    <w:rsid w:val="00F64582"/>
    <w:rsid w:val="00F64A71"/>
    <w:rsid w:val="00F6537D"/>
    <w:rsid w:val="00F6587F"/>
    <w:rsid w:val="00F65898"/>
    <w:rsid w:val="00F66208"/>
    <w:rsid w:val="00F6660D"/>
    <w:rsid w:val="00F6669E"/>
    <w:rsid w:val="00F66D8E"/>
    <w:rsid w:val="00F6710B"/>
    <w:rsid w:val="00F67E1F"/>
    <w:rsid w:val="00F70CF5"/>
    <w:rsid w:val="00F715FB"/>
    <w:rsid w:val="00F71D1F"/>
    <w:rsid w:val="00F71FBA"/>
    <w:rsid w:val="00F722AD"/>
    <w:rsid w:val="00F72B66"/>
    <w:rsid w:val="00F73384"/>
    <w:rsid w:val="00F73529"/>
    <w:rsid w:val="00F7358E"/>
    <w:rsid w:val="00F7547F"/>
    <w:rsid w:val="00F75A34"/>
    <w:rsid w:val="00F75BEF"/>
    <w:rsid w:val="00F75D01"/>
    <w:rsid w:val="00F76A49"/>
    <w:rsid w:val="00F76AE1"/>
    <w:rsid w:val="00F76DDF"/>
    <w:rsid w:val="00F77479"/>
    <w:rsid w:val="00F80F94"/>
    <w:rsid w:val="00F81BD5"/>
    <w:rsid w:val="00F81D7D"/>
    <w:rsid w:val="00F81E04"/>
    <w:rsid w:val="00F8220C"/>
    <w:rsid w:val="00F82A22"/>
    <w:rsid w:val="00F82AE7"/>
    <w:rsid w:val="00F82D1A"/>
    <w:rsid w:val="00F838B1"/>
    <w:rsid w:val="00F83AF2"/>
    <w:rsid w:val="00F83D95"/>
    <w:rsid w:val="00F8482D"/>
    <w:rsid w:val="00F8574D"/>
    <w:rsid w:val="00F858B8"/>
    <w:rsid w:val="00F8597F"/>
    <w:rsid w:val="00F85BC0"/>
    <w:rsid w:val="00F85D81"/>
    <w:rsid w:val="00F863C7"/>
    <w:rsid w:val="00F874C4"/>
    <w:rsid w:val="00F87E62"/>
    <w:rsid w:val="00F9192C"/>
    <w:rsid w:val="00F91A6B"/>
    <w:rsid w:val="00F91D60"/>
    <w:rsid w:val="00F9204C"/>
    <w:rsid w:val="00F92B8E"/>
    <w:rsid w:val="00F93AD3"/>
    <w:rsid w:val="00F93D80"/>
    <w:rsid w:val="00F93E06"/>
    <w:rsid w:val="00F9423C"/>
    <w:rsid w:val="00F95848"/>
    <w:rsid w:val="00F95969"/>
    <w:rsid w:val="00F97F0D"/>
    <w:rsid w:val="00FA0AD3"/>
    <w:rsid w:val="00FA0B96"/>
    <w:rsid w:val="00FA12CA"/>
    <w:rsid w:val="00FA14B5"/>
    <w:rsid w:val="00FA2721"/>
    <w:rsid w:val="00FA309F"/>
    <w:rsid w:val="00FA34EF"/>
    <w:rsid w:val="00FA36B0"/>
    <w:rsid w:val="00FA3AF1"/>
    <w:rsid w:val="00FA4338"/>
    <w:rsid w:val="00FA45A4"/>
    <w:rsid w:val="00FA4932"/>
    <w:rsid w:val="00FA4E92"/>
    <w:rsid w:val="00FA52C2"/>
    <w:rsid w:val="00FA52CC"/>
    <w:rsid w:val="00FA55DA"/>
    <w:rsid w:val="00FA59AE"/>
    <w:rsid w:val="00FA5B84"/>
    <w:rsid w:val="00FA5DBD"/>
    <w:rsid w:val="00FA5E7C"/>
    <w:rsid w:val="00FA6460"/>
    <w:rsid w:val="00FA7BD8"/>
    <w:rsid w:val="00FB04D4"/>
    <w:rsid w:val="00FB0969"/>
    <w:rsid w:val="00FB0B4E"/>
    <w:rsid w:val="00FB0BEE"/>
    <w:rsid w:val="00FB0E6B"/>
    <w:rsid w:val="00FB2327"/>
    <w:rsid w:val="00FB2758"/>
    <w:rsid w:val="00FB2A33"/>
    <w:rsid w:val="00FB2AD8"/>
    <w:rsid w:val="00FB2BE8"/>
    <w:rsid w:val="00FB3230"/>
    <w:rsid w:val="00FB3767"/>
    <w:rsid w:val="00FB3CA7"/>
    <w:rsid w:val="00FB4174"/>
    <w:rsid w:val="00FB43FB"/>
    <w:rsid w:val="00FB444A"/>
    <w:rsid w:val="00FB48F6"/>
    <w:rsid w:val="00FB4990"/>
    <w:rsid w:val="00FB4DB9"/>
    <w:rsid w:val="00FB62F5"/>
    <w:rsid w:val="00FB65E6"/>
    <w:rsid w:val="00FB682A"/>
    <w:rsid w:val="00FB7267"/>
    <w:rsid w:val="00FB72E1"/>
    <w:rsid w:val="00FB7763"/>
    <w:rsid w:val="00FB779F"/>
    <w:rsid w:val="00FB785C"/>
    <w:rsid w:val="00FC0CF5"/>
    <w:rsid w:val="00FC1B77"/>
    <w:rsid w:val="00FC1FEB"/>
    <w:rsid w:val="00FC241E"/>
    <w:rsid w:val="00FC2717"/>
    <w:rsid w:val="00FC2A78"/>
    <w:rsid w:val="00FC4069"/>
    <w:rsid w:val="00FC452C"/>
    <w:rsid w:val="00FC453E"/>
    <w:rsid w:val="00FC4D75"/>
    <w:rsid w:val="00FC519D"/>
    <w:rsid w:val="00FC57D6"/>
    <w:rsid w:val="00FC583B"/>
    <w:rsid w:val="00FC598D"/>
    <w:rsid w:val="00FC6303"/>
    <w:rsid w:val="00FC6EA7"/>
    <w:rsid w:val="00FC721D"/>
    <w:rsid w:val="00FC7A21"/>
    <w:rsid w:val="00FC7DBE"/>
    <w:rsid w:val="00FD0637"/>
    <w:rsid w:val="00FD0977"/>
    <w:rsid w:val="00FD0EFE"/>
    <w:rsid w:val="00FD1284"/>
    <w:rsid w:val="00FD1A55"/>
    <w:rsid w:val="00FD1CB9"/>
    <w:rsid w:val="00FD2A13"/>
    <w:rsid w:val="00FD2F72"/>
    <w:rsid w:val="00FD3214"/>
    <w:rsid w:val="00FD34AE"/>
    <w:rsid w:val="00FD36EE"/>
    <w:rsid w:val="00FD4366"/>
    <w:rsid w:val="00FD53E9"/>
    <w:rsid w:val="00FD5BFC"/>
    <w:rsid w:val="00FD5DC0"/>
    <w:rsid w:val="00FD61C5"/>
    <w:rsid w:val="00FD645D"/>
    <w:rsid w:val="00FD6CBF"/>
    <w:rsid w:val="00FD6E2B"/>
    <w:rsid w:val="00FD6EFD"/>
    <w:rsid w:val="00FD755B"/>
    <w:rsid w:val="00FD7620"/>
    <w:rsid w:val="00FD7D8E"/>
    <w:rsid w:val="00FE0294"/>
    <w:rsid w:val="00FE0639"/>
    <w:rsid w:val="00FE1FBE"/>
    <w:rsid w:val="00FE2FC9"/>
    <w:rsid w:val="00FE33D0"/>
    <w:rsid w:val="00FE37BE"/>
    <w:rsid w:val="00FE3A77"/>
    <w:rsid w:val="00FE3B48"/>
    <w:rsid w:val="00FE3C5A"/>
    <w:rsid w:val="00FE3E11"/>
    <w:rsid w:val="00FE4037"/>
    <w:rsid w:val="00FE48EB"/>
    <w:rsid w:val="00FE4CE3"/>
    <w:rsid w:val="00FE6391"/>
    <w:rsid w:val="00FE67F1"/>
    <w:rsid w:val="00FE6AF6"/>
    <w:rsid w:val="00FE6B10"/>
    <w:rsid w:val="00FE7AE5"/>
    <w:rsid w:val="00FF02C0"/>
    <w:rsid w:val="00FF03E9"/>
    <w:rsid w:val="00FF0C8C"/>
    <w:rsid w:val="00FF15A3"/>
    <w:rsid w:val="00FF2BA5"/>
    <w:rsid w:val="00FF2BF7"/>
    <w:rsid w:val="00FF3D06"/>
    <w:rsid w:val="00FF3DC8"/>
    <w:rsid w:val="00FF44BB"/>
    <w:rsid w:val="00FF4D0E"/>
    <w:rsid w:val="00FF6095"/>
    <w:rsid w:val="00FF68FB"/>
    <w:rsid w:val="00FF6A0F"/>
    <w:rsid w:val="00FF7626"/>
    <w:rsid w:val="00FF763E"/>
    <w:rsid w:val="00FF76DF"/>
    <w:rsid w:val="010A6962"/>
    <w:rsid w:val="013730A5"/>
    <w:rsid w:val="015F62EE"/>
    <w:rsid w:val="017007D6"/>
    <w:rsid w:val="018865F4"/>
    <w:rsid w:val="01F215E5"/>
    <w:rsid w:val="01F62F61"/>
    <w:rsid w:val="022C5330"/>
    <w:rsid w:val="02317AF5"/>
    <w:rsid w:val="02355551"/>
    <w:rsid w:val="02632D84"/>
    <w:rsid w:val="02925F3C"/>
    <w:rsid w:val="029F0F02"/>
    <w:rsid w:val="03433F84"/>
    <w:rsid w:val="034C27C3"/>
    <w:rsid w:val="03577D7C"/>
    <w:rsid w:val="039848E6"/>
    <w:rsid w:val="03FD2384"/>
    <w:rsid w:val="041871BE"/>
    <w:rsid w:val="042973A7"/>
    <w:rsid w:val="042A5515"/>
    <w:rsid w:val="042E69E2"/>
    <w:rsid w:val="04477AA3"/>
    <w:rsid w:val="04751CEB"/>
    <w:rsid w:val="047967BF"/>
    <w:rsid w:val="048D2EE9"/>
    <w:rsid w:val="04961FC1"/>
    <w:rsid w:val="04983E5B"/>
    <w:rsid w:val="04BA64C7"/>
    <w:rsid w:val="050F4033"/>
    <w:rsid w:val="05360C76"/>
    <w:rsid w:val="053A13B6"/>
    <w:rsid w:val="054F5C7C"/>
    <w:rsid w:val="05526700"/>
    <w:rsid w:val="05595CE0"/>
    <w:rsid w:val="05654685"/>
    <w:rsid w:val="05A01AA2"/>
    <w:rsid w:val="05A50F26"/>
    <w:rsid w:val="05DA4C93"/>
    <w:rsid w:val="05FC34F4"/>
    <w:rsid w:val="06020126"/>
    <w:rsid w:val="0609042C"/>
    <w:rsid w:val="062F6A41"/>
    <w:rsid w:val="06395859"/>
    <w:rsid w:val="065908B4"/>
    <w:rsid w:val="06952D48"/>
    <w:rsid w:val="06B75327"/>
    <w:rsid w:val="06C62F02"/>
    <w:rsid w:val="06CE0008"/>
    <w:rsid w:val="06E66530"/>
    <w:rsid w:val="07396BD4"/>
    <w:rsid w:val="074437CC"/>
    <w:rsid w:val="07603356"/>
    <w:rsid w:val="076039F0"/>
    <w:rsid w:val="076F5347"/>
    <w:rsid w:val="077B2FD9"/>
    <w:rsid w:val="07A86AAB"/>
    <w:rsid w:val="07B45450"/>
    <w:rsid w:val="07DB14CA"/>
    <w:rsid w:val="07E66FA0"/>
    <w:rsid w:val="07FC2953"/>
    <w:rsid w:val="08201D0B"/>
    <w:rsid w:val="08403C42"/>
    <w:rsid w:val="08594CC6"/>
    <w:rsid w:val="08700E09"/>
    <w:rsid w:val="087D3A94"/>
    <w:rsid w:val="08A74FB5"/>
    <w:rsid w:val="08AF5C17"/>
    <w:rsid w:val="08B5322E"/>
    <w:rsid w:val="08C040E2"/>
    <w:rsid w:val="08E104C7"/>
    <w:rsid w:val="09152A74"/>
    <w:rsid w:val="091B52F7"/>
    <w:rsid w:val="09570789"/>
    <w:rsid w:val="096C7998"/>
    <w:rsid w:val="097E4D10"/>
    <w:rsid w:val="09A348B3"/>
    <w:rsid w:val="09A82B6D"/>
    <w:rsid w:val="09AD23CB"/>
    <w:rsid w:val="09AD6DBD"/>
    <w:rsid w:val="09DC47EA"/>
    <w:rsid w:val="09E518F1"/>
    <w:rsid w:val="0A0E7AFE"/>
    <w:rsid w:val="0A1B5312"/>
    <w:rsid w:val="0A544CC8"/>
    <w:rsid w:val="0A7117C8"/>
    <w:rsid w:val="0A832ABF"/>
    <w:rsid w:val="0A943317"/>
    <w:rsid w:val="0AD100C7"/>
    <w:rsid w:val="0ADC47B4"/>
    <w:rsid w:val="0AEE6ECB"/>
    <w:rsid w:val="0B046F2A"/>
    <w:rsid w:val="0B386398"/>
    <w:rsid w:val="0B3D39AE"/>
    <w:rsid w:val="0B574F31"/>
    <w:rsid w:val="0B815649"/>
    <w:rsid w:val="0B971310"/>
    <w:rsid w:val="0BAB0918"/>
    <w:rsid w:val="0BFF569C"/>
    <w:rsid w:val="0C1C35C4"/>
    <w:rsid w:val="0C321039"/>
    <w:rsid w:val="0C4938E9"/>
    <w:rsid w:val="0C774C9E"/>
    <w:rsid w:val="0CB952B6"/>
    <w:rsid w:val="0CE837F4"/>
    <w:rsid w:val="0CF14A50"/>
    <w:rsid w:val="0CF17F05"/>
    <w:rsid w:val="0D026C5D"/>
    <w:rsid w:val="0D2F4C57"/>
    <w:rsid w:val="0D312027"/>
    <w:rsid w:val="0D4C1C87"/>
    <w:rsid w:val="0D562421"/>
    <w:rsid w:val="0D6725AC"/>
    <w:rsid w:val="0D771900"/>
    <w:rsid w:val="0DD34156"/>
    <w:rsid w:val="0DDC74AE"/>
    <w:rsid w:val="0DEC59AE"/>
    <w:rsid w:val="0DEE7B9E"/>
    <w:rsid w:val="0E050E2C"/>
    <w:rsid w:val="0E277F52"/>
    <w:rsid w:val="0E3A4C53"/>
    <w:rsid w:val="0E4F5349"/>
    <w:rsid w:val="0E87741A"/>
    <w:rsid w:val="0EA55AF2"/>
    <w:rsid w:val="0EAA135B"/>
    <w:rsid w:val="0EBC2A42"/>
    <w:rsid w:val="0ECC7523"/>
    <w:rsid w:val="0F0D1285"/>
    <w:rsid w:val="0F3F7EB3"/>
    <w:rsid w:val="0F501F02"/>
    <w:rsid w:val="0F6B4A9D"/>
    <w:rsid w:val="0F825E34"/>
    <w:rsid w:val="0F84737E"/>
    <w:rsid w:val="0F902F5A"/>
    <w:rsid w:val="0FB9077E"/>
    <w:rsid w:val="101747CE"/>
    <w:rsid w:val="1022087C"/>
    <w:rsid w:val="10376C1E"/>
    <w:rsid w:val="10667503"/>
    <w:rsid w:val="10794D4C"/>
    <w:rsid w:val="108C6F6A"/>
    <w:rsid w:val="10A2678D"/>
    <w:rsid w:val="10A73DA4"/>
    <w:rsid w:val="10B849B9"/>
    <w:rsid w:val="10DF11BD"/>
    <w:rsid w:val="10E741A0"/>
    <w:rsid w:val="10EA1EE2"/>
    <w:rsid w:val="115B693C"/>
    <w:rsid w:val="117946AB"/>
    <w:rsid w:val="117A3C29"/>
    <w:rsid w:val="11951E4E"/>
    <w:rsid w:val="11A665A1"/>
    <w:rsid w:val="11C8541C"/>
    <w:rsid w:val="11CE1106"/>
    <w:rsid w:val="11D566EF"/>
    <w:rsid w:val="11F50A00"/>
    <w:rsid w:val="12413F80"/>
    <w:rsid w:val="125808F8"/>
    <w:rsid w:val="12A12A75"/>
    <w:rsid w:val="12AC5940"/>
    <w:rsid w:val="12B95B58"/>
    <w:rsid w:val="12CB18A0"/>
    <w:rsid w:val="12CE4E68"/>
    <w:rsid w:val="12D546F4"/>
    <w:rsid w:val="12E17117"/>
    <w:rsid w:val="1334408C"/>
    <w:rsid w:val="137C26A1"/>
    <w:rsid w:val="13A91BE1"/>
    <w:rsid w:val="13AB373C"/>
    <w:rsid w:val="13BF7656"/>
    <w:rsid w:val="14025795"/>
    <w:rsid w:val="14226FC4"/>
    <w:rsid w:val="14450541"/>
    <w:rsid w:val="14553B17"/>
    <w:rsid w:val="14773A8D"/>
    <w:rsid w:val="1478646D"/>
    <w:rsid w:val="14803AAE"/>
    <w:rsid w:val="148368D6"/>
    <w:rsid w:val="14A4356C"/>
    <w:rsid w:val="14DC4543"/>
    <w:rsid w:val="14E87E2A"/>
    <w:rsid w:val="14EB6229"/>
    <w:rsid w:val="14EE07B2"/>
    <w:rsid w:val="150A559C"/>
    <w:rsid w:val="154F0566"/>
    <w:rsid w:val="156353D2"/>
    <w:rsid w:val="156F6E5A"/>
    <w:rsid w:val="1571672E"/>
    <w:rsid w:val="158421C3"/>
    <w:rsid w:val="158D108E"/>
    <w:rsid w:val="15916DD0"/>
    <w:rsid w:val="15A41023"/>
    <w:rsid w:val="15C40F54"/>
    <w:rsid w:val="15C727F2"/>
    <w:rsid w:val="15E11B06"/>
    <w:rsid w:val="16195BE3"/>
    <w:rsid w:val="161C43CA"/>
    <w:rsid w:val="16351E52"/>
    <w:rsid w:val="16F16B3D"/>
    <w:rsid w:val="16FD314E"/>
    <w:rsid w:val="170D06D9"/>
    <w:rsid w:val="17233A58"/>
    <w:rsid w:val="17B46E5C"/>
    <w:rsid w:val="17D27470"/>
    <w:rsid w:val="1816180F"/>
    <w:rsid w:val="18510A99"/>
    <w:rsid w:val="186E2DBB"/>
    <w:rsid w:val="18753C9F"/>
    <w:rsid w:val="18820C52"/>
    <w:rsid w:val="18BB562B"/>
    <w:rsid w:val="18BE612E"/>
    <w:rsid w:val="18D97FF0"/>
    <w:rsid w:val="18DE232D"/>
    <w:rsid w:val="18FA391B"/>
    <w:rsid w:val="190F2653"/>
    <w:rsid w:val="191527D0"/>
    <w:rsid w:val="192C753C"/>
    <w:rsid w:val="195F3BA8"/>
    <w:rsid w:val="19600F94"/>
    <w:rsid w:val="196A7E27"/>
    <w:rsid w:val="19BE215E"/>
    <w:rsid w:val="19D13C3F"/>
    <w:rsid w:val="19D61256"/>
    <w:rsid w:val="19FD2C86"/>
    <w:rsid w:val="1A002777"/>
    <w:rsid w:val="1A0A635C"/>
    <w:rsid w:val="1A277D03"/>
    <w:rsid w:val="1A5C057B"/>
    <w:rsid w:val="1A62323D"/>
    <w:rsid w:val="1A6C43CC"/>
    <w:rsid w:val="1A6E148E"/>
    <w:rsid w:val="1A6E76E0"/>
    <w:rsid w:val="1A766595"/>
    <w:rsid w:val="1A862C7C"/>
    <w:rsid w:val="1AC179D9"/>
    <w:rsid w:val="1AD4587E"/>
    <w:rsid w:val="1ADF238C"/>
    <w:rsid w:val="1B193AF0"/>
    <w:rsid w:val="1B1C2700"/>
    <w:rsid w:val="1B222279"/>
    <w:rsid w:val="1B2D759B"/>
    <w:rsid w:val="1B46065D"/>
    <w:rsid w:val="1BBB4BA7"/>
    <w:rsid w:val="1BCE2332"/>
    <w:rsid w:val="1BD16179"/>
    <w:rsid w:val="1BE35044"/>
    <w:rsid w:val="1C2362A8"/>
    <w:rsid w:val="1C381D54"/>
    <w:rsid w:val="1C3D6A79"/>
    <w:rsid w:val="1C424981"/>
    <w:rsid w:val="1C480A3B"/>
    <w:rsid w:val="1C8054A9"/>
    <w:rsid w:val="1C8A0618"/>
    <w:rsid w:val="1CC41839"/>
    <w:rsid w:val="1CDB7A3A"/>
    <w:rsid w:val="1CE7377A"/>
    <w:rsid w:val="1D0152EB"/>
    <w:rsid w:val="1D085BCA"/>
    <w:rsid w:val="1D0D67B2"/>
    <w:rsid w:val="1D231F24"/>
    <w:rsid w:val="1D3544E5"/>
    <w:rsid w:val="1D4B1F5B"/>
    <w:rsid w:val="1D765AC0"/>
    <w:rsid w:val="1D8D4321"/>
    <w:rsid w:val="1D9709B8"/>
    <w:rsid w:val="1DB0277A"/>
    <w:rsid w:val="1DB26C50"/>
    <w:rsid w:val="1DBB4C5B"/>
    <w:rsid w:val="1DEB0C2E"/>
    <w:rsid w:val="1DEC54EC"/>
    <w:rsid w:val="1E2527AC"/>
    <w:rsid w:val="1E641526"/>
    <w:rsid w:val="1EAE5EB0"/>
    <w:rsid w:val="1EB37DB8"/>
    <w:rsid w:val="1EBB4B79"/>
    <w:rsid w:val="1EDE5A21"/>
    <w:rsid w:val="1F2C545F"/>
    <w:rsid w:val="1F325180"/>
    <w:rsid w:val="1F4924CA"/>
    <w:rsid w:val="1F5570C1"/>
    <w:rsid w:val="1F66307C"/>
    <w:rsid w:val="1F890B18"/>
    <w:rsid w:val="1F922DF9"/>
    <w:rsid w:val="1FBF453A"/>
    <w:rsid w:val="1FD727B4"/>
    <w:rsid w:val="1FE42E9A"/>
    <w:rsid w:val="1FF00B97"/>
    <w:rsid w:val="1FFF758C"/>
    <w:rsid w:val="20035300"/>
    <w:rsid w:val="20124FB2"/>
    <w:rsid w:val="2020147D"/>
    <w:rsid w:val="20281A25"/>
    <w:rsid w:val="204C53B8"/>
    <w:rsid w:val="207C364F"/>
    <w:rsid w:val="20880DD0"/>
    <w:rsid w:val="20A83220"/>
    <w:rsid w:val="20B322F1"/>
    <w:rsid w:val="20B9542D"/>
    <w:rsid w:val="20C80F25"/>
    <w:rsid w:val="20F31922"/>
    <w:rsid w:val="21026239"/>
    <w:rsid w:val="2110329F"/>
    <w:rsid w:val="21143A54"/>
    <w:rsid w:val="21500EDC"/>
    <w:rsid w:val="21577120"/>
    <w:rsid w:val="21615802"/>
    <w:rsid w:val="217750CC"/>
    <w:rsid w:val="21843C8D"/>
    <w:rsid w:val="219F0AC7"/>
    <w:rsid w:val="22123047"/>
    <w:rsid w:val="223458A4"/>
    <w:rsid w:val="2236169A"/>
    <w:rsid w:val="2240672A"/>
    <w:rsid w:val="225B679C"/>
    <w:rsid w:val="227A0292"/>
    <w:rsid w:val="228026A7"/>
    <w:rsid w:val="22884471"/>
    <w:rsid w:val="22A44CE5"/>
    <w:rsid w:val="22CC58EC"/>
    <w:rsid w:val="22DA732F"/>
    <w:rsid w:val="22E26EBD"/>
    <w:rsid w:val="22EC3898"/>
    <w:rsid w:val="2335523F"/>
    <w:rsid w:val="235D6544"/>
    <w:rsid w:val="23642275"/>
    <w:rsid w:val="236B26EF"/>
    <w:rsid w:val="238C2419"/>
    <w:rsid w:val="23C6233B"/>
    <w:rsid w:val="240E2F4C"/>
    <w:rsid w:val="243A451A"/>
    <w:rsid w:val="244B0A92"/>
    <w:rsid w:val="24635DDC"/>
    <w:rsid w:val="246A53BC"/>
    <w:rsid w:val="249A1D35"/>
    <w:rsid w:val="24AA3A0B"/>
    <w:rsid w:val="24BB5C18"/>
    <w:rsid w:val="251D242F"/>
    <w:rsid w:val="252437BD"/>
    <w:rsid w:val="255B17E2"/>
    <w:rsid w:val="25692DAC"/>
    <w:rsid w:val="256E7A1E"/>
    <w:rsid w:val="25804696"/>
    <w:rsid w:val="25832429"/>
    <w:rsid w:val="258370EC"/>
    <w:rsid w:val="258B55EA"/>
    <w:rsid w:val="2594092A"/>
    <w:rsid w:val="25A77F4A"/>
    <w:rsid w:val="25D32AED"/>
    <w:rsid w:val="26013AFE"/>
    <w:rsid w:val="260D4251"/>
    <w:rsid w:val="261B1605"/>
    <w:rsid w:val="261D2218"/>
    <w:rsid w:val="267E0CAB"/>
    <w:rsid w:val="2686552A"/>
    <w:rsid w:val="26BE379D"/>
    <w:rsid w:val="27196C26"/>
    <w:rsid w:val="274C2B57"/>
    <w:rsid w:val="27E404FE"/>
    <w:rsid w:val="28025F3B"/>
    <w:rsid w:val="28125B4F"/>
    <w:rsid w:val="286F2FA1"/>
    <w:rsid w:val="28893937"/>
    <w:rsid w:val="28F9286B"/>
    <w:rsid w:val="29146F2D"/>
    <w:rsid w:val="293B7327"/>
    <w:rsid w:val="2964687E"/>
    <w:rsid w:val="29793DEB"/>
    <w:rsid w:val="29C81C78"/>
    <w:rsid w:val="29C97866"/>
    <w:rsid w:val="29D042B6"/>
    <w:rsid w:val="29D94565"/>
    <w:rsid w:val="29E22FE7"/>
    <w:rsid w:val="29E4176D"/>
    <w:rsid w:val="29F77037"/>
    <w:rsid w:val="2A426494"/>
    <w:rsid w:val="2A4346E5"/>
    <w:rsid w:val="2A756869"/>
    <w:rsid w:val="2A790107"/>
    <w:rsid w:val="2AB862A8"/>
    <w:rsid w:val="2ABB0720"/>
    <w:rsid w:val="2ABE1FBE"/>
    <w:rsid w:val="2AD03A9F"/>
    <w:rsid w:val="2AF459E0"/>
    <w:rsid w:val="2AFE685E"/>
    <w:rsid w:val="2B0674C1"/>
    <w:rsid w:val="2B2258FC"/>
    <w:rsid w:val="2B27185F"/>
    <w:rsid w:val="2B271A6B"/>
    <w:rsid w:val="2B277B63"/>
    <w:rsid w:val="2B2949B8"/>
    <w:rsid w:val="2B2C682F"/>
    <w:rsid w:val="2B3758CC"/>
    <w:rsid w:val="2B3E4CA7"/>
    <w:rsid w:val="2B4F0E68"/>
    <w:rsid w:val="2B532FC1"/>
    <w:rsid w:val="2B724B56"/>
    <w:rsid w:val="2BA46B00"/>
    <w:rsid w:val="2BA87CB0"/>
    <w:rsid w:val="2BF51A0F"/>
    <w:rsid w:val="2BFD6B16"/>
    <w:rsid w:val="2C131E96"/>
    <w:rsid w:val="2C1A76C8"/>
    <w:rsid w:val="2C1F4CDE"/>
    <w:rsid w:val="2C335C31"/>
    <w:rsid w:val="2C3F712F"/>
    <w:rsid w:val="2C4826C1"/>
    <w:rsid w:val="2C5A1514"/>
    <w:rsid w:val="2C9C632F"/>
    <w:rsid w:val="2CE116BC"/>
    <w:rsid w:val="2D1C121E"/>
    <w:rsid w:val="2D32459D"/>
    <w:rsid w:val="2D5048B3"/>
    <w:rsid w:val="2D550D9D"/>
    <w:rsid w:val="2D727090"/>
    <w:rsid w:val="2D83304B"/>
    <w:rsid w:val="2D8855C5"/>
    <w:rsid w:val="2DD4705F"/>
    <w:rsid w:val="2DE44F47"/>
    <w:rsid w:val="2E0149C6"/>
    <w:rsid w:val="2E187C37"/>
    <w:rsid w:val="2E8C5F2F"/>
    <w:rsid w:val="2E90101B"/>
    <w:rsid w:val="2EDE2C2F"/>
    <w:rsid w:val="2EE12975"/>
    <w:rsid w:val="2EE31A67"/>
    <w:rsid w:val="2EEE5998"/>
    <w:rsid w:val="2EFB16A4"/>
    <w:rsid w:val="2F012EED"/>
    <w:rsid w:val="2F153FF4"/>
    <w:rsid w:val="2F212B1B"/>
    <w:rsid w:val="2F416D1A"/>
    <w:rsid w:val="2F8B5464"/>
    <w:rsid w:val="2F974B8C"/>
    <w:rsid w:val="2FA43322"/>
    <w:rsid w:val="2FA5374C"/>
    <w:rsid w:val="2FBC61F2"/>
    <w:rsid w:val="2FE83639"/>
    <w:rsid w:val="305A7E44"/>
    <w:rsid w:val="305D7B83"/>
    <w:rsid w:val="305F2324"/>
    <w:rsid w:val="308C4A76"/>
    <w:rsid w:val="309C2305"/>
    <w:rsid w:val="30E97669"/>
    <w:rsid w:val="30FB58F9"/>
    <w:rsid w:val="311D68CE"/>
    <w:rsid w:val="31215055"/>
    <w:rsid w:val="313F477C"/>
    <w:rsid w:val="31480833"/>
    <w:rsid w:val="318555E4"/>
    <w:rsid w:val="31863ECE"/>
    <w:rsid w:val="31B41A25"/>
    <w:rsid w:val="31DE5E92"/>
    <w:rsid w:val="32130E41"/>
    <w:rsid w:val="32244DDB"/>
    <w:rsid w:val="325C3341"/>
    <w:rsid w:val="328D071B"/>
    <w:rsid w:val="32963820"/>
    <w:rsid w:val="32A770B3"/>
    <w:rsid w:val="32BA750F"/>
    <w:rsid w:val="32C75B5F"/>
    <w:rsid w:val="32E7407C"/>
    <w:rsid w:val="33112053"/>
    <w:rsid w:val="331C442D"/>
    <w:rsid w:val="333F5C66"/>
    <w:rsid w:val="33660B60"/>
    <w:rsid w:val="337347CC"/>
    <w:rsid w:val="33B26438"/>
    <w:rsid w:val="33C148CD"/>
    <w:rsid w:val="33C543BD"/>
    <w:rsid w:val="33CB74FA"/>
    <w:rsid w:val="33CD6DCE"/>
    <w:rsid w:val="33DC4E8F"/>
    <w:rsid w:val="34263796"/>
    <w:rsid w:val="342B7899"/>
    <w:rsid w:val="34496D9C"/>
    <w:rsid w:val="34620B5F"/>
    <w:rsid w:val="348F6779"/>
    <w:rsid w:val="34943D90"/>
    <w:rsid w:val="34BB30CA"/>
    <w:rsid w:val="34F67C2F"/>
    <w:rsid w:val="35131158"/>
    <w:rsid w:val="353D61D5"/>
    <w:rsid w:val="35470E02"/>
    <w:rsid w:val="35710835"/>
    <w:rsid w:val="357D4824"/>
    <w:rsid w:val="359C2EBC"/>
    <w:rsid w:val="35C80195"/>
    <w:rsid w:val="35D45BD7"/>
    <w:rsid w:val="360B2860"/>
    <w:rsid w:val="36280439"/>
    <w:rsid w:val="36435A6D"/>
    <w:rsid w:val="364F4412"/>
    <w:rsid w:val="367E0853"/>
    <w:rsid w:val="36AA789A"/>
    <w:rsid w:val="36E41BA1"/>
    <w:rsid w:val="370E1068"/>
    <w:rsid w:val="371371EE"/>
    <w:rsid w:val="37294C63"/>
    <w:rsid w:val="37461371"/>
    <w:rsid w:val="375304AB"/>
    <w:rsid w:val="375717D0"/>
    <w:rsid w:val="37B3229A"/>
    <w:rsid w:val="37B37A83"/>
    <w:rsid w:val="37C7002F"/>
    <w:rsid w:val="37F214F9"/>
    <w:rsid w:val="37F7266B"/>
    <w:rsid w:val="382A17AF"/>
    <w:rsid w:val="38514471"/>
    <w:rsid w:val="38B01BD6"/>
    <w:rsid w:val="38C85CE0"/>
    <w:rsid w:val="38CA121E"/>
    <w:rsid w:val="38D0392C"/>
    <w:rsid w:val="392C27E9"/>
    <w:rsid w:val="392E5F1E"/>
    <w:rsid w:val="39335925"/>
    <w:rsid w:val="395D1E84"/>
    <w:rsid w:val="396E1053"/>
    <w:rsid w:val="3971300D"/>
    <w:rsid w:val="39A36075"/>
    <w:rsid w:val="39C26CA9"/>
    <w:rsid w:val="39C705C8"/>
    <w:rsid w:val="39D17100"/>
    <w:rsid w:val="39D60C65"/>
    <w:rsid w:val="39DC7D6B"/>
    <w:rsid w:val="39EA164A"/>
    <w:rsid w:val="39FE4185"/>
    <w:rsid w:val="3A1064FA"/>
    <w:rsid w:val="3A1A0893"/>
    <w:rsid w:val="3A887EF3"/>
    <w:rsid w:val="3A943496"/>
    <w:rsid w:val="3ADB77F2"/>
    <w:rsid w:val="3AE028C3"/>
    <w:rsid w:val="3AF24F9D"/>
    <w:rsid w:val="3AF64E5C"/>
    <w:rsid w:val="3B2A61EB"/>
    <w:rsid w:val="3B413950"/>
    <w:rsid w:val="3B9D177C"/>
    <w:rsid w:val="3BB3496C"/>
    <w:rsid w:val="3BBF7944"/>
    <w:rsid w:val="3BCE5DD9"/>
    <w:rsid w:val="3BD91997"/>
    <w:rsid w:val="3BF21AC7"/>
    <w:rsid w:val="3BF92FEA"/>
    <w:rsid w:val="3BFC46F4"/>
    <w:rsid w:val="3C1F568C"/>
    <w:rsid w:val="3C251641"/>
    <w:rsid w:val="3C3473CD"/>
    <w:rsid w:val="3C4D66E4"/>
    <w:rsid w:val="3C727B82"/>
    <w:rsid w:val="3C795882"/>
    <w:rsid w:val="3C7B30ED"/>
    <w:rsid w:val="3C9A5CBB"/>
    <w:rsid w:val="3CD1792F"/>
    <w:rsid w:val="3CEA6C43"/>
    <w:rsid w:val="3D0205FB"/>
    <w:rsid w:val="3D2463A4"/>
    <w:rsid w:val="3D2757A1"/>
    <w:rsid w:val="3D3908FF"/>
    <w:rsid w:val="3D3A1978"/>
    <w:rsid w:val="3D424389"/>
    <w:rsid w:val="3D4520CB"/>
    <w:rsid w:val="3D546169"/>
    <w:rsid w:val="3D6562C9"/>
    <w:rsid w:val="3D7D7AB7"/>
    <w:rsid w:val="3D8A2C80"/>
    <w:rsid w:val="3D9A2417"/>
    <w:rsid w:val="3DCE3E6E"/>
    <w:rsid w:val="3DE56127"/>
    <w:rsid w:val="3DE6740A"/>
    <w:rsid w:val="3DE90CA8"/>
    <w:rsid w:val="3DEC0798"/>
    <w:rsid w:val="3DFC6639"/>
    <w:rsid w:val="3E0B0C1F"/>
    <w:rsid w:val="3E42524E"/>
    <w:rsid w:val="3E6F5651"/>
    <w:rsid w:val="3E713993"/>
    <w:rsid w:val="3E767CBE"/>
    <w:rsid w:val="3EA6303D"/>
    <w:rsid w:val="3EA66B99"/>
    <w:rsid w:val="3EAB0654"/>
    <w:rsid w:val="3EB96103"/>
    <w:rsid w:val="3EDF7E7C"/>
    <w:rsid w:val="3EFC5C64"/>
    <w:rsid w:val="3F0044FB"/>
    <w:rsid w:val="3F2B78D1"/>
    <w:rsid w:val="3F3F0482"/>
    <w:rsid w:val="3F624C7B"/>
    <w:rsid w:val="3F6A406B"/>
    <w:rsid w:val="3F87005F"/>
    <w:rsid w:val="3F8A64BB"/>
    <w:rsid w:val="3F8C2233"/>
    <w:rsid w:val="3F943452"/>
    <w:rsid w:val="3FA93460"/>
    <w:rsid w:val="3FAB67AA"/>
    <w:rsid w:val="3FBA6DA0"/>
    <w:rsid w:val="3FC372B1"/>
    <w:rsid w:val="3FE23C01"/>
    <w:rsid w:val="3FF83425"/>
    <w:rsid w:val="401D732F"/>
    <w:rsid w:val="40266BB4"/>
    <w:rsid w:val="40327D8C"/>
    <w:rsid w:val="403501D5"/>
    <w:rsid w:val="40AA5DB5"/>
    <w:rsid w:val="40D20119"/>
    <w:rsid w:val="40E57E5D"/>
    <w:rsid w:val="40E92F92"/>
    <w:rsid w:val="41145EC3"/>
    <w:rsid w:val="412F1132"/>
    <w:rsid w:val="414508EB"/>
    <w:rsid w:val="414C2D66"/>
    <w:rsid w:val="418F600A"/>
    <w:rsid w:val="41AF045B"/>
    <w:rsid w:val="41BD4926"/>
    <w:rsid w:val="41C75924"/>
    <w:rsid w:val="41E735AE"/>
    <w:rsid w:val="41EF2344"/>
    <w:rsid w:val="42044912"/>
    <w:rsid w:val="422229DB"/>
    <w:rsid w:val="42442951"/>
    <w:rsid w:val="425F59DD"/>
    <w:rsid w:val="42760D83"/>
    <w:rsid w:val="42813BA5"/>
    <w:rsid w:val="428E2B11"/>
    <w:rsid w:val="42DA1507"/>
    <w:rsid w:val="430166D9"/>
    <w:rsid w:val="43231CEE"/>
    <w:rsid w:val="4368266F"/>
    <w:rsid w:val="43AD7AC7"/>
    <w:rsid w:val="43C56F84"/>
    <w:rsid w:val="43E75C8A"/>
    <w:rsid w:val="441353A5"/>
    <w:rsid w:val="442073EE"/>
    <w:rsid w:val="445743E5"/>
    <w:rsid w:val="44577C5A"/>
    <w:rsid w:val="445F1CC4"/>
    <w:rsid w:val="44627A06"/>
    <w:rsid w:val="448259B3"/>
    <w:rsid w:val="45012D7B"/>
    <w:rsid w:val="45042801"/>
    <w:rsid w:val="451A3E3D"/>
    <w:rsid w:val="456E36C8"/>
    <w:rsid w:val="45745DC3"/>
    <w:rsid w:val="45BD3146"/>
    <w:rsid w:val="45D635B8"/>
    <w:rsid w:val="45E06E35"/>
    <w:rsid w:val="45EC03C2"/>
    <w:rsid w:val="460C75F4"/>
    <w:rsid w:val="461109D1"/>
    <w:rsid w:val="462E6F30"/>
    <w:rsid w:val="46361021"/>
    <w:rsid w:val="464D14EA"/>
    <w:rsid w:val="465D6493"/>
    <w:rsid w:val="466B4F84"/>
    <w:rsid w:val="46AA2F9F"/>
    <w:rsid w:val="46C16B5B"/>
    <w:rsid w:val="46E6047B"/>
    <w:rsid w:val="46FD3721"/>
    <w:rsid w:val="470061F0"/>
    <w:rsid w:val="470C4453"/>
    <w:rsid w:val="47217705"/>
    <w:rsid w:val="472463A2"/>
    <w:rsid w:val="47256C62"/>
    <w:rsid w:val="47835615"/>
    <w:rsid w:val="47A64F4D"/>
    <w:rsid w:val="47AF0A12"/>
    <w:rsid w:val="47B42327"/>
    <w:rsid w:val="47BC6E11"/>
    <w:rsid w:val="47D800DF"/>
    <w:rsid w:val="47DC362C"/>
    <w:rsid w:val="47EF15B1"/>
    <w:rsid w:val="47F0662D"/>
    <w:rsid w:val="481B3E57"/>
    <w:rsid w:val="48250BA2"/>
    <w:rsid w:val="486D42F0"/>
    <w:rsid w:val="489602A6"/>
    <w:rsid w:val="48CF2336"/>
    <w:rsid w:val="48DD765B"/>
    <w:rsid w:val="48E763A6"/>
    <w:rsid w:val="48EB40FE"/>
    <w:rsid w:val="48F86243"/>
    <w:rsid w:val="48FA39A3"/>
    <w:rsid w:val="48FD7CFE"/>
    <w:rsid w:val="49172B6D"/>
    <w:rsid w:val="493E112E"/>
    <w:rsid w:val="498A45C9"/>
    <w:rsid w:val="49AD702E"/>
    <w:rsid w:val="49C02BFA"/>
    <w:rsid w:val="49D40A5E"/>
    <w:rsid w:val="49D92519"/>
    <w:rsid w:val="4A056E6A"/>
    <w:rsid w:val="4A28094E"/>
    <w:rsid w:val="4A29518A"/>
    <w:rsid w:val="4A3239D7"/>
    <w:rsid w:val="4A4F33EA"/>
    <w:rsid w:val="4A534079"/>
    <w:rsid w:val="4A5B731B"/>
    <w:rsid w:val="4ADF590D"/>
    <w:rsid w:val="4B19154C"/>
    <w:rsid w:val="4B71624D"/>
    <w:rsid w:val="4B867A5E"/>
    <w:rsid w:val="4BA90E53"/>
    <w:rsid w:val="4BC0573E"/>
    <w:rsid w:val="4BC941EC"/>
    <w:rsid w:val="4BD533CA"/>
    <w:rsid w:val="4BDE5BC4"/>
    <w:rsid w:val="4BF14C9C"/>
    <w:rsid w:val="4BF45D96"/>
    <w:rsid w:val="4C115F9A"/>
    <w:rsid w:val="4C2304C0"/>
    <w:rsid w:val="4C2526FC"/>
    <w:rsid w:val="4C2E66BE"/>
    <w:rsid w:val="4C3E2B07"/>
    <w:rsid w:val="4C87000A"/>
    <w:rsid w:val="4C9D2539"/>
    <w:rsid w:val="4CA02E7A"/>
    <w:rsid w:val="4CCB1204"/>
    <w:rsid w:val="4CEF6349"/>
    <w:rsid w:val="4D1473C4"/>
    <w:rsid w:val="4D155616"/>
    <w:rsid w:val="4D1A2C2C"/>
    <w:rsid w:val="4D31441A"/>
    <w:rsid w:val="4D345483"/>
    <w:rsid w:val="4D4B519F"/>
    <w:rsid w:val="4D7F0CAB"/>
    <w:rsid w:val="4D875DE8"/>
    <w:rsid w:val="4D901140"/>
    <w:rsid w:val="4D9942CB"/>
    <w:rsid w:val="4DE60D60"/>
    <w:rsid w:val="4E2A50F1"/>
    <w:rsid w:val="4E4837C9"/>
    <w:rsid w:val="4E571C5E"/>
    <w:rsid w:val="4E577EB0"/>
    <w:rsid w:val="4E6044F4"/>
    <w:rsid w:val="4E9133C2"/>
    <w:rsid w:val="4E915170"/>
    <w:rsid w:val="4EC866B8"/>
    <w:rsid w:val="4ED908C5"/>
    <w:rsid w:val="4ED967DA"/>
    <w:rsid w:val="4EF43F51"/>
    <w:rsid w:val="4F347E3A"/>
    <w:rsid w:val="4F5A14D6"/>
    <w:rsid w:val="4F610FE6"/>
    <w:rsid w:val="4F6C798B"/>
    <w:rsid w:val="4F787CF2"/>
    <w:rsid w:val="4F822894"/>
    <w:rsid w:val="4FC155E1"/>
    <w:rsid w:val="4FD42D0B"/>
    <w:rsid w:val="4FFF25AD"/>
    <w:rsid w:val="50675A15"/>
    <w:rsid w:val="507D6800"/>
    <w:rsid w:val="509D6FC4"/>
    <w:rsid w:val="50F32112"/>
    <w:rsid w:val="513F7105"/>
    <w:rsid w:val="514E559A"/>
    <w:rsid w:val="517B4D12"/>
    <w:rsid w:val="51C70EA9"/>
    <w:rsid w:val="51EE1595"/>
    <w:rsid w:val="51F77770"/>
    <w:rsid w:val="52044B50"/>
    <w:rsid w:val="5214721C"/>
    <w:rsid w:val="523C53F3"/>
    <w:rsid w:val="524644C3"/>
    <w:rsid w:val="524C0CD6"/>
    <w:rsid w:val="52817112"/>
    <w:rsid w:val="528172AA"/>
    <w:rsid w:val="52862B12"/>
    <w:rsid w:val="52A944BC"/>
    <w:rsid w:val="52AB2578"/>
    <w:rsid w:val="52BC1524"/>
    <w:rsid w:val="52F856F0"/>
    <w:rsid w:val="52FB52AE"/>
    <w:rsid w:val="53300041"/>
    <w:rsid w:val="535B5D4C"/>
    <w:rsid w:val="535E583D"/>
    <w:rsid w:val="536F7A4A"/>
    <w:rsid w:val="537428FB"/>
    <w:rsid w:val="5394125E"/>
    <w:rsid w:val="539A6875"/>
    <w:rsid w:val="53A92F5C"/>
    <w:rsid w:val="53CB2ED2"/>
    <w:rsid w:val="53D44FAF"/>
    <w:rsid w:val="54014B46"/>
    <w:rsid w:val="54413194"/>
    <w:rsid w:val="54465292"/>
    <w:rsid w:val="54514D64"/>
    <w:rsid w:val="546E1AAF"/>
    <w:rsid w:val="549D0037"/>
    <w:rsid w:val="54A0435F"/>
    <w:rsid w:val="54BE47E5"/>
    <w:rsid w:val="54C811C0"/>
    <w:rsid w:val="54E57FC4"/>
    <w:rsid w:val="54EB46FB"/>
    <w:rsid w:val="54FF095A"/>
    <w:rsid w:val="55147E09"/>
    <w:rsid w:val="55264138"/>
    <w:rsid w:val="5539030F"/>
    <w:rsid w:val="55425416"/>
    <w:rsid w:val="555D3FFE"/>
    <w:rsid w:val="559B4B26"/>
    <w:rsid w:val="55FA184D"/>
    <w:rsid w:val="56095F34"/>
    <w:rsid w:val="56317BEE"/>
    <w:rsid w:val="56701B0F"/>
    <w:rsid w:val="56705FB3"/>
    <w:rsid w:val="56C64A7F"/>
    <w:rsid w:val="56DA58EF"/>
    <w:rsid w:val="56E46059"/>
    <w:rsid w:val="56E5704A"/>
    <w:rsid w:val="57200E97"/>
    <w:rsid w:val="573E1C0D"/>
    <w:rsid w:val="57527466"/>
    <w:rsid w:val="57601B83"/>
    <w:rsid w:val="57697AD4"/>
    <w:rsid w:val="579C1B31"/>
    <w:rsid w:val="57B85C22"/>
    <w:rsid w:val="57B917C4"/>
    <w:rsid w:val="57BF6CE2"/>
    <w:rsid w:val="57DA7B88"/>
    <w:rsid w:val="57DC1308"/>
    <w:rsid w:val="58150BC0"/>
    <w:rsid w:val="583702BA"/>
    <w:rsid w:val="583D3C73"/>
    <w:rsid w:val="586B4C84"/>
    <w:rsid w:val="587F45CD"/>
    <w:rsid w:val="58831FCD"/>
    <w:rsid w:val="588B2C30"/>
    <w:rsid w:val="58B0604A"/>
    <w:rsid w:val="58BA3515"/>
    <w:rsid w:val="58D00467"/>
    <w:rsid w:val="58DB64B6"/>
    <w:rsid w:val="590E560F"/>
    <w:rsid w:val="59464DA9"/>
    <w:rsid w:val="5947784C"/>
    <w:rsid w:val="597C6A1D"/>
    <w:rsid w:val="598A2E99"/>
    <w:rsid w:val="59A55F73"/>
    <w:rsid w:val="59BB4DA4"/>
    <w:rsid w:val="59E44CEE"/>
    <w:rsid w:val="59FE7432"/>
    <w:rsid w:val="5A0763EE"/>
    <w:rsid w:val="5A3572F7"/>
    <w:rsid w:val="5A3966BC"/>
    <w:rsid w:val="5A4953B5"/>
    <w:rsid w:val="5A56101C"/>
    <w:rsid w:val="5A6B184F"/>
    <w:rsid w:val="5A795EC8"/>
    <w:rsid w:val="5AB126F6"/>
    <w:rsid w:val="5ABC2E2C"/>
    <w:rsid w:val="5AE745A2"/>
    <w:rsid w:val="5AF727FF"/>
    <w:rsid w:val="5B653C0C"/>
    <w:rsid w:val="5BC4161C"/>
    <w:rsid w:val="5BE2480A"/>
    <w:rsid w:val="5BE73454"/>
    <w:rsid w:val="5C1123F9"/>
    <w:rsid w:val="5C237623"/>
    <w:rsid w:val="5C2A3DAA"/>
    <w:rsid w:val="5C3435DF"/>
    <w:rsid w:val="5C9D1184"/>
    <w:rsid w:val="5CA93FCD"/>
    <w:rsid w:val="5CE956BC"/>
    <w:rsid w:val="5CF87892"/>
    <w:rsid w:val="5D0829EF"/>
    <w:rsid w:val="5D2E3C8A"/>
    <w:rsid w:val="5D3A69D3"/>
    <w:rsid w:val="5D574DAC"/>
    <w:rsid w:val="5D912E75"/>
    <w:rsid w:val="5D9150C3"/>
    <w:rsid w:val="5DB00FE8"/>
    <w:rsid w:val="5DC9753A"/>
    <w:rsid w:val="5DD5494D"/>
    <w:rsid w:val="5DD9443E"/>
    <w:rsid w:val="5DE03781"/>
    <w:rsid w:val="5DFE6F3B"/>
    <w:rsid w:val="5E0B7ED5"/>
    <w:rsid w:val="5E33483F"/>
    <w:rsid w:val="5E4E777D"/>
    <w:rsid w:val="5E5A37D0"/>
    <w:rsid w:val="5EAB402C"/>
    <w:rsid w:val="5EB033F0"/>
    <w:rsid w:val="5ED03A93"/>
    <w:rsid w:val="5ED5251E"/>
    <w:rsid w:val="5F3C2ED6"/>
    <w:rsid w:val="5F45108D"/>
    <w:rsid w:val="5F6E0BB6"/>
    <w:rsid w:val="5F903222"/>
    <w:rsid w:val="5F9F5213"/>
    <w:rsid w:val="5FA456FA"/>
    <w:rsid w:val="5FA705E8"/>
    <w:rsid w:val="5FAD16DE"/>
    <w:rsid w:val="5FB71E69"/>
    <w:rsid w:val="60132DF2"/>
    <w:rsid w:val="605F08C6"/>
    <w:rsid w:val="606B34EF"/>
    <w:rsid w:val="609F196E"/>
    <w:rsid w:val="60A52CFD"/>
    <w:rsid w:val="60A84DF9"/>
    <w:rsid w:val="60B7606B"/>
    <w:rsid w:val="60CB496B"/>
    <w:rsid w:val="60E10E67"/>
    <w:rsid w:val="611C7987"/>
    <w:rsid w:val="61295ECE"/>
    <w:rsid w:val="61834DEC"/>
    <w:rsid w:val="618F1D67"/>
    <w:rsid w:val="61A96E48"/>
    <w:rsid w:val="61CB0E50"/>
    <w:rsid w:val="61ED6CF8"/>
    <w:rsid w:val="61EF76CE"/>
    <w:rsid w:val="61F41846"/>
    <w:rsid w:val="61F74B04"/>
    <w:rsid w:val="61F7737D"/>
    <w:rsid w:val="62035AB5"/>
    <w:rsid w:val="620A72BB"/>
    <w:rsid w:val="622A5268"/>
    <w:rsid w:val="62522A10"/>
    <w:rsid w:val="62816E52"/>
    <w:rsid w:val="62A278E4"/>
    <w:rsid w:val="62C54F90"/>
    <w:rsid w:val="62DB4DF1"/>
    <w:rsid w:val="62E33669"/>
    <w:rsid w:val="630A5099"/>
    <w:rsid w:val="631C7538"/>
    <w:rsid w:val="63C21F65"/>
    <w:rsid w:val="641E0DFC"/>
    <w:rsid w:val="64212528"/>
    <w:rsid w:val="642A77A1"/>
    <w:rsid w:val="645111D2"/>
    <w:rsid w:val="646802C9"/>
    <w:rsid w:val="648400D6"/>
    <w:rsid w:val="648570CD"/>
    <w:rsid w:val="64CE372A"/>
    <w:rsid w:val="64F7641F"/>
    <w:rsid w:val="64FD6C64"/>
    <w:rsid w:val="65103C83"/>
    <w:rsid w:val="65181CEF"/>
    <w:rsid w:val="652823A1"/>
    <w:rsid w:val="653F727C"/>
    <w:rsid w:val="65420B1A"/>
    <w:rsid w:val="654725D5"/>
    <w:rsid w:val="657B7202"/>
    <w:rsid w:val="658B794A"/>
    <w:rsid w:val="65AB66C0"/>
    <w:rsid w:val="65AE61B0"/>
    <w:rsid w:val="65BA2DA7"/>
    <w:rsid w:val="65BF27BC"/>
    <w:rsid w:val="65CB7A5F"/>
    <w:rsid w:val="65D2300A"/>
    <w:rsid w:val="65DE6ED9"/>
    <w:rsid w:val="65F938CF"/>
    <w:rsid w:val="666526AC"/>
    <w:rsid w:val="667E48C6"/>
    <w:rsid w:val="66C13CC1"/>
    <w:rsid w:val="66FB3677"/>
    <w:rsid w:val="673821D5"/>
    <w:rsid w:val="674C6F6B"/>
    <w:rsid w:val="67C95523"/>
    <w:rsid w:val="68454FB3"/>
    <w:rsid w:val="6852251D"/>
    <w:rsid w:val="68623A2D"/>
    <w:rsid w:val="68632DFF"/>
    <w:rsid w:val="68815DFE"/>
    <w:rsid w:val="68964166"/>
    <w:rsid w:val="6898646E"/>
    <w:rsid w:val="68AA5747"/>
    <w:rsid w:val="68CA50AF"/>
    <w:rsid w:val="68ED30C7"/>
    <w:rsid w:val="68F97A51"/>
    <w:rsid w:val="69382960"/>
    <w:rsid w:val="69653C01"/>
    <w:rsid w:val="69842CB6"/>
    <w:rsid w:val="69A7270E"/>
    <w:rsid w:val="69EE1271"/>
    <w:rsid w:val="6A1B6000"/>
    <w:rsid w:val="6A276531"/>
    <w:rsid w:val="6A4D0DB8"/>
    <w:rsid w:val="6A4E7F61"/>
    <w:rsid w:val="6A641486"/>
    <w:rsid w:val="6A9B3436"/>
    <w:rsid w:val="6AA54025"/>
    <w:rsid w:val="6ACD532A"/>
    <w:rsid w:val="6ACF2E50"/>
    <w:rsid w:val="6ADF58C3"/>
    <w:rsid w:val="6AF52D3C"/>
    <w:rsid w:val="6AF63A7C"/>
    <w:rsid w:val="6B1944DD"/>
    <w:rsid w:val="6B246578"/>
    <w:rsid w:val="6B472799"/>
    <w:rsid w:val="6B5C045C"/>
    <w:rsid w:val="6B5C5131"/>
    <w:rsid w:val="6B777044"/>
    <w:rsid w:val="6B7E4876"/>
    <w:rsid w:val="6B9D6450"/>
    <w:rsid w:val="6BB34520"/>
    <w:rsid w:val="6BC1691B"/>
    <w:rsid w:val="6C1B785A"/>
    <w:rsid w:val="6C7924E7"/>
    <w:rsid w:val="6C7C0DB6"/>
    <w:rsid w:val="6C97799E"/>
    <w:rsid w:val="6CD24E7A"/>
    <w:rsid w:val="6CE4056E"/>
    <w:rsid w:val="6CF748E0"/>
    <w:rsid w:val="6D0D7C60"/>
    <w:rsid w:val="6D286B48"/>
    <w:rsid w:val="6D4C69DA"/>
    <w:rsid w:val="6D745D1B"/>
    <w:rsid w:val="6D7D3037"/>
    <w:rsid w:val="6DB26844"/>
    <w:rsid w:val="6DBF2DFF"/>
    <w:rsid w:val="6DC24EEE"/>
    <w:rsid w:val="6DDE15FC"/>
    <w:rsid w:val="6DE44E65"/>
    <w:rsid w:val="6DF130DE"/>
    <w:rsid w:val="6DF94A8D"/>
    <w:rsid w:val="6E1119D2"/>
    <w:rsid w:val="6E3A0F28"/>
    <w:rsid w:val="6E5064D5"/>
    <w:rsid w:val="6E55366C"/>
    <w:rsid w:val="6E573888"/>
    <w:rsid w:val="6E623FDB"/>
    <w:rsid w:val="6E870740"/>
    <w:rsid w:val="6E8D01F1"/>
    <w:rsid w:val="6EA526DC"/>
    <w:rsid w:val="6EB26D11"/>
    <w:rsid w:val="6EE81E31"/>
    <w:rsid w:val="6EFA06B8"/>
    <w:rsid w:val="6F0C78EF"/>
    <w:rsid w:val="6F0F3E68"/>
    <w:rsid w:val="6F481423"/>
    <w:rsid w:val="6F615C96"/>
    <w:rsid w:val="6F7C2E7B"/>
    <w:rsid w:val="6FC30707"/>
    <w:rsid w:val="6FEB21CE"/>
    <w:rsid w:val="701F03D6"/>
    <w:rsid w:val="702E7434"/>
    <w:rsid w:val="702F422A"/>
    <w:rsid w:val="703E6382"/>
    <w:rsid w:val="7045513D"/>
    <w:rsid w:val="70763D6E"/>
    <w:rsid w:val="70954204"/>
    <w:rsid w:val="70F62355"/>
    <w:rsid w:val="70FD7FEB"/>
    <w:rsid w:val="71030594"/>
    <w:rsid w:val="710B6BAC"/>
    <w:rsid w:val="710E2F45"/>
    <w:rsid w:val="712A4D0E"/>
    <w:rsid w:val="712C2190"/>
    <w:rsid w:val="712E6080"/>
    <w:rsid w:val="713E2ADE"/>
    <w:rsid w:val="716C7B98"/>
    <w:rsid w:val="719A5D5F"/>
    <w:rsid w:val="71A309E7"/>
    <w:rsid w:val="71C9545F"/>
    <w:rsid w:val="71E573FD"/>
    <w:rsid w:val="720535FB"/>
    <w:rsid w:val="720A7322"/>
    <w:rsid w:val="721A6341"/>
    <w:rsid w:val="72361A07"/>
    <w:rsid w:val="725D51E5"/>
    <w:rsid w:val="727D297F"/>
    <w:rsid w:val="728564EA"/>
    <w:rsid w:val="72CA0052"/>
    <w:rsid w:val="72CA5B85"/>
    <w:rsid w:val="72ED47BB"/>
    <w:rsid w:val="72F21DD2"/>
    <w:rsid w:val="73034158"/>
    <w:rsid w:val="73426189"/>
    <w:rsid w:val="7355282B"/>
    <w:rsid w:val="73CA00FB"/>
    <w:rsid w:val="73E060CE"/>
    <w:rsid w:val="74607B7D"/>
    <w:rsid w:val="74737E5E"/>
    <w:rsid w:val="74795BDB"/>
    <w:rsid w:val="748C1DB2"/>
    <w:rsid w:val="74F1703B"/>
    <w:rsid w:val="751F49D4"/>
    <w:rsid w:val="75260F3A"/>
    <w:rsid w:val="75491A51"/>
    <w:rsid w:val="757A60AE"/>
    <w:rsid w:val="7581743D"/>
    <w:rsid w:val="759407F3"/>
    <w:rsid w:val="75AD3D8E"/>
    <w:rsid w:val="75E023B5"/>
    <w:rsid w:val="75E0399A"/>
    <w:rsid w:val="75FD687E"/>
    <w:rsid w:val="760342F6"/>
    <w:rsid w:val="76155601"/>
    <w:rsid w:val="763C4C8E"/>
    <w:rsid w:val="765C7562"/>
    <w:rsid w:val="767D53F7"/>
    <w:rsid w:val="76857BC9"/>
    <w:rsid w:val="76B34A59"/>
    <w:rsid w:val="76BB1752"/>
    <w:rsid w:val="76C53359"/>
    <w:rsid w:val="76D0242A"/>
    <w:rsid w:val="76DD5829"/>
    <w:rsid w:val="77093EA9"/>
    <w:rsid w:val="770E71BF"/>
    <w:rsid w:val="771542E1"/>
    <w:rsid w:val="77161E07"/>
    <w:rsid w:val="775D39A2"/>
    <w:rsid w:val="7791148D"/>
    <w:rsid w:val="77C9479C"/>
    <w:rsid w:val="77E912C9"/>
    <w:rsid w:val="78445A1D"/>
    <w:rsid w:val="78744ECD"/>
    <w:rsid w:val="7892370F"/>
    <w:rsid w:val="78B43685"/>
    <w:rsid w:val="78BD12E1"/>
    <w:rsid w:val="78C25DA2"/>
    <w:rsid w:val="791D122B"/>
    <w:rsid w:val="79366029"/>
    <w:rsid w:val="79655DAF"/>
    <w:rsid w:val="797352EE"/>
    <w:rsid w:val="79872B48"/>
    <w:rsid w:val="79EF0E37"/>
    <w:rsid w:val="7A076F4F"/>
    <w:rsid w:val="7A560E98"/>
    <w:rsid w:val="7A8E5F11"/>
    <w:rsid w:val="7A925C48"/>
    <w:rsid w:val="7AB8093D"/>
    <w:rsid w:val="7ABE6A3D"/>
    <w:rsid w:val="7AC27CB7"/>
    <w:rsid w:val="7AFB37ED"/>
    <w:rsid w:val="7B3137A6"/>
    <w:rsid w:val="7B407452"/>
    <w:rsid w:val="7B4F58E7"/>
    <w:rsid w:val="7B504687"/>
    <w:rsid w:val="7B542EFE"/>
    <w:rsid w:val="7B5D1DB2"/>
    <w:rsid w:val="7B7A2964"/>
    <w:rsid w:val="7BC63DFB"/>
    <w:rsid w:val="7BD227A0"/>
    <w:rsid w:val="7BDF4EBD"/>
    <w:rsid w:val="7BE40725"/>
    <w:rsid w:val="7BF032FA"/>
    <w:rsid w:val="7C027476"/>
    <w:rsid w:val="7C09549A"/>
    <w:rsid w:val="7C1D4A6C"/>
    <w:rsid w:val="7C3E228A"/>
    <w:rsid w:val="7C52777D"/>
    <w:rsid w:val="7C6B1F09"/>
    <w:rsid w:val="7C7519C7"/>
    <w:rsid w:val="7C784F9E"/>
    <w:rsid w:val="7C7A6994"/>
    <w:rsid w:val="7C910C34"/>
    <w:rsid w:val="7CA81753"/>
    <w:rsid w:val="7CAB7D72"/>
    <w:rsid w:val="7CAF2AE1"/>
    <w:rsid w:val="7D032E2D"/>
    <w:rsid w:val="7D0A41BC"/>
    <w:rsid w:val="7D33726F"/>
    <w:rsid w:val="7D382AD7"/>
    <w:rsid w:val="7D554C08"/>
    <w:rsid w:val="7D6733BC"/>
    <w:rsid w:val="7D883684"/>
    <w:rsid w:val="7DB14637"/>
    <w:rsid w:val="7DB83C18"/>
    <w:rsid w:val="7DFB58B2"/>
    <w:rsid w:val="7DFF1847"/>
    <w:rsid w:val="7E265025"/>
    <w:rsid w:val="7E3C65F7"/>
    <w:rsid w:val="7E421F1F"/>
    <w:rsid w:val="7E710B7E"/>
    <w:rsid w:val="7EBE7810"/>
    <w:rsid w:val="7EC17E8E"/>
    <w:rsid w:val="7EE84089"/>
    <w:rsid w:val="7EEB3B79"/>
    <w:rsid w:val="7F08297D"/>
    <w:rsid w:val="7F0F7867"/>
    <w:rsid w:val="7F2F6E31"/>
    <w:rsid w:val="7F3379FA"/>
    <w:rsid w:val="7F345520"/>
    <w:rsid w:val="7F3D345F"/>
    <w:rsid w:val="7F820DA3"/>
    <w:rsid w:val="7F8244DD"/>
    <w:rsid w:val="7F8871E0"/>
    <w:rsid w:val="7F89586C"/>
    <w:rsid w:val="7F9B559F"/>
    <w:rsid w:val="7FAB0179"/>
    <w:rsid w:val="7FB01946"/>
    <w:rsid w:val="7FB1091F"/>
    <w:rsid w:val="7FB87836"/>
    <w:rsid w:val="7FBB79EF"/>
    <w:rsid w:val="7FDE3D8C"/>
    <w:rsid w:val="7FE64A6C"/>
    <w:rsid w:val="7FF16F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84"/>
    <w:autoRedefine/>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link w:val="85"/>
    <w:autoRedefine/>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paragraph" w:styleId="4">
    <w:name w:val="heading 3"/>
    <w:basedOn w:val="1"/>
    <w:next w:val="1"/>
    <w:link w:val="86"/>
    <w:autoRedefine/>
    <w:qFormat/>
    <w:uiPriority w:val="0"/>
    <w:pPr>
      <w:numPr>
        <w:ilvl w:val="2"/>
        <w:numId w:val="1"/>
      </w:numPr>
      <w:tabs>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link w:val="114"/>
    <w:autoRedefine/>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paragraph" w:styleId="6">
    <w:name w:val="heading 5"/>
    <w:basedOn w:val="1"/>
    <w:next w:val="1"/>
    <w:link w:val="88"/>
    <w:autoRedefine/>
    <w:qFormat/>
    <w:uiPriority w:val="0"/>
    <w:pPr>
      <w:keepNext/>
      <w:keepLines/>
      <w:numPr>
        <w:ilvl w:val="4"/>
        <w:numId w:val="2"/>
      </w:numPr>
      <w:adjustRightInd w:val="0"/>
      <w:spacing w:before="280" w:after="290" w:line="376" w:lineRule="atLeast"/>
      <w:textAlignment w:val="baseline"/>
      <w:outlineLvl w:val="4"/>
    </w:pPr>
    <w:rPr>
      <w:b/>
      <w:kern w:val="0"/>
      <w:sz w:val="28"/>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83"/>
    <w:autoRedefine/>
    <w:qFormat/>
    <w:uiPriority w:val="0"/>
    <w:pPr>
      <w:widowControl/>
      <w:ind w:firstLine="420" w:firstLineChars="200"/>
      <w:jc w:val="left"/>
    </w:pPr>
    <w:rPr>
      <w:kern w:val="0"/>
      <w:sz w:val="20"/>
      <w:szCs w:val="20"/>
    </w:rPr>
  </w:style>
  <w:style w:type="paragraph" w:styleId="8">
    <w:name w:val="Document Map"/>
    <w:basedOn w:val="1"/>
    <w:autoRedefine/>
    <w:semiHidden/>
    <w:qFormat/>
    <w:uiPriority w:val="0"/>
    <w:pPr>
      <w:shd w:val="clear" w:color="auto" w:fill="000080"/>
    </w:pPr>
  </w:style>
  <w:style w:type="paragraph" w:styleId="9">
    <w:name w:val="annotation text"/>
    <w:basedOn w:val="1"/>
    <w:link w:val="89"/>
    <w:autoRedefine/>
    <w:qFormat/>
    <w:uiPriority w:val="99"/>
    <w:pPr>
      <w:jc w:val="left"/>
    </w:pPr>
  </w:style>
  <w:style w:type="paragraph" w:styleId="10">
    <w:name w:val="Body Text 3"/>
    <w:basedOn w:val="1"/>
    <w:link w:val="90"/>
    <w:autoRedefine/>
    <w:qFormat/>
    <w:uiPriority w:val="0"/>
    <w:pPr>
      <w:spacing w:after="120"/>
    </w:pPr>
    <w:rPr>
      <w:sz w:val="16"/>
      <w:szCs w:val="16"/>
    </w:rPr>
  </w:style>
  <w:style w:type="paragraph" w:styleId="11">
    <w:name w:val="Body Text"/>
    <w:basedOn w:val="1"/>
    <w:next w:val="1"/>
    <w:link w:val="91"/>
    <w:autoRedefine/>
    <w:qFormat/>
    <w:uiPriority w:val="0"/>
    <w:pPr>
      <w:spacing w:after="120"/>
    </w:pPr>
  </w:style>
  <w:style w:type="paragraph" w:styleId="12">
    <w:name w:val="Body Text Indent"/>
    <w:basedOn w:val="1"/>
    <w:next w:val="13"/>
    <w:autoRedefine/>
    <w:qFormat/>
    <w:uiPriority w:val="0"/>
    <w:pPr>
      <w:spacing w:after="120"/>
      <w:ind w:left="420" w:leftChars="200"/>
    </w:pPr>
  </w:style>
  <w:style w:type="paragraph" w:styleId="13">
    <w:name w:val="envelope return"/>
    <w:basedOn w:val="1"/>
    <w:unhideWhenUsed/>
    <w:qFormat/>
    <w:uiPriority w:val="99"/>
    <w:pPr>
      <w:widowControl w:val="0"/>
      <w:snapToGrid w:val="0"/>
      <w:jc w:val="both"/>
    </w:pPr>
    <w:rPr>
      <w:rFonts w:ascii="Arial" w:hAnsi="Arial" w:eastAsia="宋体" w:cs="Times New Roman"/>
      <w:kern w:val="2"/>
      <w:sz w:val="21"/>
      <w:szCs w:val="20"/>
      <w:lang w:val="en-US" w:eastAsia="zh-CN" w:bidi="ar-SA"/>
    </w:rPr>
  </w:style>
  <w:style w:type="paragraph" w:styleId="14">
    <w:name w:val="toc 3"/>
    <w:basedOn w:val="1"/>
    <w:next w:val="1"/>
    <w:autoRedefine/>
    <w:qFormat/>
    <w:uiPriority w:val="39"/>
    <w:pPr>
      <w:ind w:left="840" w:leftChars="400"/>
    </w:pPr>
  </w:style>
  <w:style w:type="paragraph" w:styleId="15">
    <w:name w:val="Plain Text"/>
    <w:basedOn w:val="1"/>
    <w:next w:val="1"/>
    <w:link w:val="87"/>
    <w:autoRedefine/>
    <w:qFormat/>
    <w:uiPriority w:val="0"/>
    <w:rPr>
      <w:rFonts w:ascii="宋体"/>
      <w:szCs w:val="20"/>
    </w:rPr>
  </w:style>
  <w:style w:type="paragraph" w:styleId="16">
    <w:name w:val="Date"/>
    <w:basedOn w:val="1"/>
    <w:next w:val="1"/>
    <w:link w:val="92"/>
    <w:autoRedefine/>
    <w:qFormat/>
    <w:uiPriority w:val="0"/>
    <w:pPr>
      <w:ind w:left="100" w:leftChars="2500"/>
    </w:pPr>
  </w:style>
  <w:style w:type="paragraph" w:styleId="17">
    <w:name w:val="Body Text Indent 2"/>
    <w:basedOn w:val="1"/>
    <w:link w:val="82"/>
    <w:autoRedefine/>
    <w:qFormat/>
    <w:uiPriority w:val="0"/>
    <w:pPr>
      <w:spacing w:after="120" w:line="480" w:lineRule="auto"/>
      <w:ind w:left="200" w:leftChars="200"/>
    </w:pPr>
  </w:style>
  <w:style w:type="paragraph" w:styleId="18">
    <w:name w:val="Balloon Text"/>
    <w:basedOn w:val="1"/>
    <w:autoRedefine/>
    <w:semiHidden/>
    <w:qFormat/>
    <w:uiPriority w:val="0"/>
    <w:rPr>
      <w:sz w:val="18"/>
      <w:szCs w:val="18"/>
    </w:rPr>
  </w:style>
  <w:style w:type="paragraph" w:styleId="19">
    <w:name w:val="footer"/>
    <w:basedOn w:val="1"/>
    <w:link w:val="93"/>
    <w:autoRedefine/>
    <w:qFormat/>
    <w:uiPriority w:val="99"/>
    <w:pPr>
      <w:tabs>
        <w:tab w:val="center" w:pos="4153"/>
        <w:tab w:val="right" w:pos="8306"/>
      </w:tabs>
      <w:snapToGrid w:val="0"/>
      <w:jc w:val="left"/>
    </w:pPr>
    <w:rPr>
      <w:rFonts w:ascii="宋体"/>
      <w:sz w:val="18"/>
      <w:szCs w:val="20"/>
    </w:rPr>
  </w:style>
  <w:style w:type="paragraph" w:styleId="2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autoRedefine/>
    <w:qFormat/>
    <w:uiPriority w:val="39"/>
    <w:pPr>
      <w:tabs>
        <w:tab w:val="right" w:leader="dot" w:pos="9628"/>
      </w:tabs>
      <w:spacing w:before="120" w:after="120"/>
      <w:ind w:firstLine="74" w:firstLineChars="74"/>
      <w:jc w:val="left"/>
    </w:pPr>
    <w:rPr>
      <w:b/>
      <w:bCs/>
      <w:caps/>
      <w:sz w:val="20"/>
      <w:szCs w:val="20"/>
    </w:rPr>
  </w:style>
  <w:style w:type="paragraph" w:styleId="22">
    <w:name w:val="toc 2"/>
    <w:basedOn w:val="1"/>
    <w:next w:val="1"/>
    <w:autoRedefine/>
    <w:qFormat/>
    <w:uiPriority w:val="39"/>
    <w:pPr>
      <w:tabs>
        <w:tab w:val="right" w:leader="dot" w:pos="9628"/>
      </w:tabs>
      <w:spacing w:line="260" w:lineRule="exact"/>
      <w:ind w:left="210"/>
      <w:jc w:val="left"/>
    </w:pPr>
    <w:rPr>
      <w:smallCaps/>
      <w:sz w:val="20"/>
      <w:szCs w:val="20"/>
    </w:rPr>
  </w:style>
  <w:style w:type="paragraph" w:styleId="23">
    <w:name w:val="toc 9"/>
    <w:basedOn w:val="1"/>
    <w:next w:val="1"/>
    <w:autoRedefine/>
    <w:qFormat/>
    <w:uiPriority w:val="39"/>
    <w:pPr>
      <w:ind w:left="1680"/>
      <w:jc w:val="left"/>
    </w:pPr>
    <w:rPr>
      <w:sz w:val="18"/>
      <w:szCs w:val="18"/>
    </w:rPr>
  </w:style>
  <w:style w:type="paragraph" w:styleId="24">
    <w:name w:val="Body Text 2"/>
    <w:basedOn w:val="1"/>
    <w:link w:val="94"/>
    <w:autoRedefine/>
    <w:qFormat/>
    <w:uiPriority w:val="0"/>
    <w:pPr>
      <w:spacing w:after="120" w:line="480" w:lineRule="auto"/>
    </w:pPr>
  </w:style>
  <w:style w:type="paragraph" w:styleId="25">
    <w:name w:val="Normal (Web)"/>
    <w:basedOn w:val="1"/>
    <w:autoRedefine/>
    <w:qFormat/>
    <w:uiPriority w:val="0"/>
    <w:pPr>
      <w:widowControl/>
      <w:spacing w:before="100" w:beforeAutospacing="1" w:after="100" w:afterAutospacing="1"/>
      <w:jc w:val="left"/>
    </w:pPr>
    <w:rPr>
      <w:rFonts w:ascii="宋体" w:hAnsi="宋体"/>
      <w:kern w:val="0"/>
      <w:sz w:val="24"/>
    </w:rPr>
  </w:style>
  <w:style w:type="paragraph" w:styleId="26">
    <w:name w:val="Title"/>
    <w:basedOn w:val="1"/>
    <w:next w:val="1"/>
    <w:link w:val="79"/>
    <w:autoRedefine/>
    <w:qFormat/>
    <w:uiPriority w:val="0"/>
    <w:pPr>
      <w:spacing w:before="240" w:after="60"/>
      <w:jc w:val="center"/>
      <w:outlineLvl w:val="0"/>
    </w:pPr>
    <w:rPr>
      <w:rFonts w:ascii="Cambria" w:hAnsi="Cambria"/>
      <w:b/>
      <w:bCs/>
      <w:sz w:val="32"/>
      <w:szCs w:val="32"/>
    </w:rPr>
  </w:style>
  <w:style w:type="paragraph" w:styleId="27">
    <w:name w:val="annotation subject"/>
    <w:basedOn w:val="9"/>
    <w:next w:val="9"/>
    <w:link w:val="95"/>
    <w:autoRedefine/>
    <w:qFormat/>
    <w:uiPriority w:val="0"/>
    <w:rPr>
      <w:b/>
      <w:bCs/>
    </w:rPr>
  </w:style>
  <w:style w:type="paragraph" w:styleId="28">
    <w:name w:val="Body Text First Indent"/>
    <w:basedOn w:val="11"/>
    <w:autoRedefine/>
    <w:qFormat/>
    <w:uiPriority w:val="0"/>
    <w:pPr>
      <w:tabs>
        <w:tab w:val="center" w:pos="2185"/>
      </w:tabs>
      <w:spacing w:before="156" w:beforeLines="50" w:line="300" w:lineRule="auto"/>
      <w:ind w:firstLine="200" w:firstLineChars="200"/>
    </w:pPr>
    <w:rPr>
      <w:rFonts w:ascii="楷体_GB2312" w:eastAsia="楷体_GB2312"/>
      <w:spacing w:val="4"/>
      <w:sz w:val="20"/>
      <w:szCs w:val="20"/>
    </w:rPr>
  </w:style>
  <w:style w:type="paragraph" w:styleId="29">
    <w:name w:val="Body Text First Indent 2"/>
    <w:basedOn w:val="12"/>
    <w:autoRedefine/>
    <w:qFormat/>
    <w:uiPriority w:val="0"/>
    <w:pPr>
      <w:ind w:firstLine="420" w:firstLineChars="200"/>
    </w:pPr>
  </w:style>
  <w:style w:type="table" w:styleId="31">
    <w:name w:val="Table Grid"/>
    <w:basedOn w:val="3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autoRedefine/>
    <w:qFormat/>
    <w:uiPriority w:val="22"/>
    <w:rPr>
      <w:b/>
      <w:bCs/>
    </w:rPr>
  </w:style>
  <w:style w:type="character" w:styleId="34">
    <w:name w:val="page number"/>
    <w:autoRedefine/>
    <w:qFormat/>
    <w:uiPriority w:val="0"/>
  </w:style>
  <w:style w:type="character" w:styleId="35">
    <w:name w:val="Emphasis"/>
    <w:autoRedefine/>
    <w:qFormat/>
    <w:uiPriority w:val="20"/>
    <w:rPr>
      <w:i/>
      <w:iCs/>
    </w:rPr>
  </w:style>
  <w:style w:type="character" w:styleId="36">
    <w:name w:val="Hyperlink"/>
    <w:autoRedefine/>
    <w:qFormat/>
    <w:uiPriority w:val="99"/>
    <w:rPr>
      <w:color w:val="0000FF"/>
      <w:u w:val="single"/>
    </w:rPr>
  </w:style>
  <w:style w:type="character" w:styleId="37">
    <w:name w:val="annotation reference"/>
    <w:autoRedefine/>
    <w:qFormat/>
    <w:uiPriority w:val="0"/>
    <w:rPr>
      <w:sz w:val="21"/>
      <w:szCs w:val="21"/>
    </w:rPr>
  </w:style>
  <w:style w:type="paragraph" w:customStyle="1" w:styleId="38">
    <w:name w:val="Char Char Char Char Char Char"/>
    <w:basedOn w:val="1"/>
    <w:autoRedefine/>
    <w:qFormat/>
    <w:uiPriority w:val="0"/>
    <w:rPr>
      <w:rFonts w:ascii="Tahoma" w:hAnsi="Tahoma"/>
      <w:sz w:val="24"/>
      <w:szCs w:val="20"/>
    </w:rPr>
  </w:style>
  <w:style w:type="paragraph" w:customStyle="1" w:styleId="39">
    <w:name w:val="缺省文本"/>
    <w:basedOn w:val="1"/>
    <w:autoRedefine/>
    <w:qFormat/>
    <w:uiPriority w:val="0"/>
    <w:pPr>
      <w:autoSpaceDE w:val="0"/>
      <w:autoSpaceDN w:val="0"/>
      <w:adjustRightInd w:val="0"/>
      <w:jc w:val="left"/>
    </w:pPr>
    <w:rPr>
      <w:kern w:val="0"/>
      <w:sz w:val="24"/>
      <w:szCs w:val="20"/>
    </w:rPr>
  </w:style>
  <w:style w:type="paragraph" w:customStyle="1" w:styleId="40">
    <w:name w:val="纯文本1"/>
    <w:basedOn w:val="1"/>
    <w:link w:val="101"/>
    <w:autoRedefine/>
    <w:qFormat/>
    <w:uiPriority w:val="0"/>
    <w:rPr>
      <w:rFonts w:ascii="宋体" w:hAnsi="Courier New"/>
      <w:szCs w:val="21"/>
    </w:rPr>
  </w:style>
  <w:style w:type="paragraph" w:customStyle="1" w:styleId="41">
    <w:name w:val="List Paragraph1"/>
    <w:basedOn w:val="1"/>
    <w:autoRedefine/>
    <w:qFormat/>
    <w:uiPriority w:val="34"/>
    <w:pPr>
      <w:ind w:firstLine="420" w:firstLineChars="200"/>
    </w:pPr>
    <w:rPr>
      <w:szCs w:val="21"/>
    </w:rPr>
  </w:style>
  <w:style w:type="paragraph" w:customStyle="1" w:styleId="42">
    <w:name w:val="_Style 40"/>
    <w:autoRedefine/>
    <w:semiHidden/>
    <w:qFormat/>
    <w:uiPriority w:val="99"/>
    <w:rPr>
      <w:rFonts w:ascii="Times New Roman" w:hAnsi="Times New Roman" w:eastAsia="宋体" w:cs="Times New Roman"/>
      <w:kern w:val="2"/>
      <w:sz w:val="21"/>
      <w:szCs w:val="24"/>
      <w:lang w:val="en-US" w:eastAsia="zh-CN" w:bidi="ar-SA"/>
    </w:rPr>
  </w:style>
  <w:style w:type="paragraph" w:customStyle="1" w:styleId="43">
    <w:name w:val="表格"/>
    <w:basedOn w:val="1"/>
    <w:autoRedefine/>
    <w:qFormat/>
    <w:uiPriority w:val="0"/>
    <w:pPr>
      <w:tabs>
        <w:tab w:val="left" w:pos="1200"/>
      </w:tabs>
      <w:spacing w:line="500" w:lineRule="exact"/>
      <w:jc w:val="center"/>
    </w:pPr>
    <w:rPr>
      <w:rFonts w:ascii="宋体"/>
      <w:sz w:val="24"/>
      <w:szCs w:val="18"/>
    </w:rPr>
  </w:style>
  <w:style w:type="paragraph" w:customStyle="1" w:styleId="44">
    <w:name w:val="无间隔1"/>
    <w:basedOn w:val="1"/>
    <w:autoRedefine/>
    <w:qFormat/>
    <w:uiPriority w:val="0"/>
    <w:pPr>
      <w:widowControl/>
      <w:jc w:val="left"/>
    </w:pPr>
    <w:rPr>
      <w:kern w:val="0"/>
      <w:sz w:val="22"/>
      <w:szCs w:val="20"/>
      <w:lang w:eastAsia="en-US" w:bidi="en-US"/>
    </w:rPr>
  </w:style>
  <w:style w:type="paragraph" w:customStyle="1" w:styleId="45">
    <w:name w:val="抬头"/>
    <w:basedOn w:val="1"/>
    <w:autoRedefine/>
    <w:qFormat/>
    <w:uiPriority w:val="0"/>
    <w:pPr>
      <w:spacing w:beforeLines="50" w:line="360" w:lineRule="auto"/>
    </w:pPr>
    <w:rPr>
      <w:rFonts w:ascii="宋体"/>
      <w:sz w:val="24"/>
    </w:rPr>
  </w:style>
  <w:style w:type="paragraph" w:customStyle="1" w:styleId="46">
    <w:name w:val="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47">
    <w:name w:val="Char2 Char Char Char Char Char Char"/>
    <w:basedOn w:val="8"/>
    <w:autoRedefine/>
    <w:qFormat/>
    <w:uiPriority w:val="0"/>
    <w:rPr>
      <w:rFonts w:ascii="Tahoma" w:hAnsi="Tahoma"/>
      <w:sz w:val="24"/>
    </w:rPr>
  </w:style>
  <w:style w:type="paragraph" w:customStyle="1" w:styleId="48">
    <w:name w:val="正文五号"/>
    <w:basedOn w:val="1"/>
    <w:autoRedefine/>
    <w:qFormat/>
    <w:uiPriority w:val="0"/>
    <w:rPr>
      <w:rFonts w:ascii="宋体" w:eastAsia="仿宋_GB2312"/>
      <w:szCs w:val="20"/>
    </w:rPr>
  </w:style>
  <w:style w:type="paragraph" w:customStyle="1" w:styleId="49">
    <w:name w:val="日期1"/>
    <w:basedOn w:val="1"/>
    <w:next w:val="1"/>
    <w:link w:val="103"/>
    <w:autoRedefine/>
    <w:qFormat/>
    <w:uiPriority w:val="0"/>
    <w:rPr>
      <w:szCs w:val="20"/>
    </w:rPr>
  </w:style>
  <w:style w:type="paragraph" w:customStyle="1" w:styleId="50">
    <w:name w:val="普通正文"/>
    <w:basedOn w:val="1"/>
    <w:autoRedefine/>
    <w:qFormat/>
    <w:uiPriority w:val="99"/>
    <w:pPr>
      <w:spacing w:line="360" w:lineRule="auto"/>
      <w:ind w:left="34" w:firstLine="480"/>
    </w:pPr>
    <w:rPr>
      <w:sz w:val="24"/>
    </w:rPr>
  </w:style>
  <w:style w:type="paragraph" w:customStyle="1" w:styleId="51">
    <w:name w:val="Char"/>
    <w:basedOn w:val="1"/>
    <w:autoRedefine/>
    <w:qFormat/>
    <w:uiPriority w:val="0"/>
  </w:style>
  <w:style w:type="paragraph" w:customStyle="1" w:styleId="52">
    <w:name w:val="样式2"/>
    <w:basedOn w:val="1"/>
    <w:autoRedefine/>
    <w:qFormat/>
    <w:uiPriority w:val="0"/>
    <w:pPr>
      <w:spacing w:line="360" w:lineRule="auto"/>
    </w:pPr>
    <w:rPr>
      <w:rFonts w:ascii="Century Gothic" w:hAnsi="Century Gothic" w:eastAsia="黑体"/>
      <w:b/>
      <w:sz w:val="32"/>
      <w:szCs w:val="30"/>
    </w:rPr>
  </w:style>
  <w:style w:type="paragraph" w:customStyle="1" w:styleId="53">
    <w:name w:val="正文文本缩进 21"/>
    <w:basedOn w:val="1"/>
    <w:autoRedefine/>
    <w:qFormat/>
    <w:uiPriority w:val="0"/>
    <w:pPr>
      <w:spacing w:after="120" w:line="480" w:lineRule="auto"/>
      <w:ind w:left="420" w:leftChars="200"/>
    </w:pPr>
  </w:style>
  <w:style w:type="paragraph" w:customStyle="1" w:styleId="54">
    <w:name w:val="承康医疗"/>
    <w:basedOn w:val="1"/>
    <w:link w:val="98"/>
    <w:autoRedefine/>
    <w:qFormat/>
    <w:uiPriority w:val="0"/>
    <w:pPr>
      <w:widowControl/>
      <w:jc w:val="left"/>
    </w:pPr>
    <w:rPr>
      <w:rFonts w:ascii="微软雅黑" w:hAnsi="微软雅黑" w:eastAsia="微软雅黑"/>
      <w:kern w:val="0"/>
      <w:szCs w:val="21"/>
    </w:rPr>
  </w:style>
  <w:style w:type="paragraph" w:customStyle="1" w:styleId="55">
    <w:name w:val="Char Char1 Char Char"/>
    <w:basedOn w:val="1"/>
    <w:autoRedefine/>
    <w:qFormat/>
    <w:uiPriority w:val="0"/>
    <w:pPr>
      <w:tabs>
        <w:tab w:val="left" w:pos="360"/>
      </w:tabs>
    </w:pPr>
    <w:rPr>
      <w:szCs w:val="20"/>
    </w:rPr>
  </w:style>
  <w:style w:type="paragraph" w:customStyle="1" w:styleId="56">
    <w:name w:val="xl23"/>
    <w:next w:val="23"/>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57">
    <w:name w:val="p0"/>
    <w:basedOn w:val="1"/>
    <w:autoRedefine/>
    <w:qFormat/>
    <w:uiPriority w:val="99"/>
    <w:pPr>
      <w:widowControl/>
    </w:pPr>
    <w:rPr>
      <w:kern w:val="0"/>
      <w:szCs w:val="21"/>
    </w:rPr>
  </w:style>
  <w:style w:type="paragraph" w:customStyle="1" w:styleId="58">
    <w:name w:val="列出段落1"/>
    <w:basedOn w:val="1"/>
    <w:autoRedefine/>
    <w:qFormat/>
    <w:uiPriority w:val="34"/>
    <w:pPr>
      <w:ind w:firstLine="420" w:firstLineChars="200"/>
    </w:pPr>
    <w:rPr>
      <w:szCs w:val="21"/>
    </w:rPr>
  </w:style>
  <w:style w:type="paragraph" w:customStyle="1" w:styleId="59">
    <w:name w:val="中等深浅网格 21"/>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styleId="60">
    <w:name w:val="No Spacing"/>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61">
    <w:name w:val="Char Char Char"/>
    <w:basedOn w:val="1"/>
    <w:autoRedefine/>
    <w:qFormat/>
    <w:uiPriority w:val="0"/>
    <w:pPr>
      <w:ind w:firstLine="200" w:firstLineChars="200"/>
    </w:pPr>
    <w:rPr>
      <w:sz w:val="24"/>
    </w:rPr>
  </w:style>
  <w:style w:type="paragraph" w:customStyle="1" w:styleId="62">
    <w:name w:val="Char1"/>
    <w:basedOn w:val="1"/>
    <w:autoRedefine/>
    <w:qFormat/>
    <w:uiPriority w:val="0"/>
    <w:pPr>
      <w:ind w:firstLine="200" w:firstLineChars="200"/>
    </w:pPr>
  </w:style>
  <w:style w:type="paragraph" w:customStyle="1" w:styleId="63">
    <w:name w:val="Char Char Char Char Char Char Char Char Char Char Char Char"/>
    <w:basedOn w:val="1"/>
    <w:autoRedefine/>
    <w:qFormat/>
    <w:uiPriority w:val="0"/>
    <w:pPr>
      <w:tabs>
        <w:tab w:val="right" w:pos="-2120"/>
      </w:tabs>
      <w:snapToGrid w:val="0"/>
    </w:pPr>
    <w:rPr>
      <w:rFonts w:ascii="Tahoma" w:hAnsi="Tahoma"/>
      <w:spacing w:val="6"/>
      <w:sz w:val="24"/>
      <w:szCs w:val="20"/>
    </w:rPr>
  </w:style>
  <w:style w:type="paragraph" w:customStyle="1" w:styleId="64">
    <w:name w:val="Absatz2AL"/>
    <w:basedOn w:val="11"/>
    <w:next w:val="1"/>
    <w:autoRedefine/>
    <w:qFormat/>
    <w:uiPriority w:val="0"/>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65">
    <w:name w:val="Char13"/>
    <w:basedOn w:val="1"/>
    <w:autoRedefine/>
    <w:qFormat/>
    <w:uiPriority w:val="0"/>
  </w:style>
  <w:style w:type="paragraph" w:customStyle="1" w:styleId="66">
    <w:name w:val="5"/>
    <w:basedOn w:val="1"/>
    <w:autoRedefine/>
    <w:qFormat/>
    <w:uiPriority w:val="0"/>
    <w:pPr>
      <w:tabs>
        <w:tab w:val="right" w:pos="-2120"/>
      </w:tabs>
      <w:snapToGrid w:val="0"/>
    </w:pPr>
    <w:rPr>
      <w:rFonts w:ascii="Tahoma" w:hAnsi="Tahoma"/>
      <w:spacing w:val="6"/>
      <w:sz w:val="24"/>
      <w:szCs w:val="20"/>
    </w:rPr>
  </w:style>
  <w:style w:type="paragraph" w:customStyle="1" w:styleId="67">
    <w:name w:val="s0"/>
    <w:basedOn w:val="1"/>
    <w:autoRedefine/>
    <w:qFormat/>
    <w:uiPriority w:val="0"/>
    <w:pPr>
      <w:autoSpaceDE w:val="0"/>
      <w:autoSpaceDN w:val="0"/>
      <w:adjustRightInd w:val="0"/>
      <w:jc w:val="left"/>
    </w:pPr>
    <w:rPr>
      <w:rFonts w:ascii="Haansoft Batang" w:cs="宋体"/>
      <w:kern w:val="0"/>
      <w:sz w:val="24"/>
    </w:rPr>
  </w:style>
  <w:style w:type="paragraph" w:styleId="68">
    <w:name w:val="List Paragraph"/>
    <w:basedOn w:val="1"/>
    <w:link w:val="97"/>
    <w:autoRedefine/>
    <w:qFormat/>
    <w:uiPriority w:val="34"/>
    <w:pPr>
      <w:ind w:firstLine="420" w:firstLineChars="200"/>
    </w:pPr>
  </w:style>
  <w:style w:type="paragraph" w:customStyle="1" w:styleId="69">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0">
    <w:name w:val="fonts01-jianjv"/>
    <w:basedOn w:val="1"/>
    <w:autoRedefine/>
    <w:qFormat/>
    <w:uiPriority w:val="0"/>
    <w:pPr>
      <w:widowControl/>
      <w:spacing w:before="100" w:beforeAutospacing="1" w:after="100" w:afterAutospacing="1" w:line="240" w:lineRule="atLeast"/>
      <w:jc w:val="left"/>
    </w:pPr>
    <w:rPr>
      <w:rFonts w:ascii="ˎ̥" w:hAnsi="ˎ̥"/>
      <w:kern w:val="0"/>
      <w:sz w:val="18"/>
      <w:szCs w:val="18"/>
    </w:rPr>
  </w:style>
  <w:style w:type="paragraph" w:customStyle="1" w:styleId="71">
    <w:name w:val="正文文本缩进1"/>
    <w:basedOn w:val="1"/>
    <w:link w:val="107"/>
    <w:autoRedefine/>
    <w:qFormat/>
    <w:uiPriority w:val="0"/>
    <w:pPr>
      <w:ind w:firstLine="560" w:firstLineChars="200"/>
    </w:pPr>
    <w:rPr>
      <w:kern w:val="0"/>
      <w:sz w:val="28"/>
    </w:rPr>
  </w:style>
  <w:style w:type="paragraph" w:customStyle="1" w:styleId="72">
    <w:name w:val="正文文本 31"/>
    <w:basedOn w:val="1"/>
    <w:autoRedefine/>
    <w:qFormat/>
    <w:uiPriority w:val="0"/>
    <w:pPr>
      <w:spacing w:after="120"/>
    </w:pPr>
    <w:rPr>
      <w:sz w:val="16"/>
      <w:szCs w:val="16"/>
    </w:rPr>
  </w:style>
  <w:style w:type="paragraph" w:customStyle="1" w:styleId="73">
    <w:name w:val="正文文本 21"/>
    <w:basedOn w:val="1"/>
    <w:autoRedefine/>
    <w:qFormat/>
    <w:uiPriority w:val="0"/>
    <w:pPr>
      <w:spacing w:after="120" w:line="480" w:lineRule="auto"/>
    </w:pPr>
  </w:style>
  <w:style w:type="paragraph" w:customStyle="1" w:styleId="74">
    <w:name w:val="Normal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5">
    <w:name w:val="表格文字"/>
    <w:next w:val="11"/>
    <w:autoRedefine/>
    <w:qFormat/>
    <w:uiPriority w:val="0"/>
    <w:pPr>
      <w:widowControl w:val="0"/>
      <w:autoSpaceDE w:val="0"/>
      <w:autoSpaceDN w:val="0"/>
      <w:adjustRightInd w:val="0"/>
      <w:jc w:val="both"/>
    </w:pPr>
    <w:rPr>
      <w:rFonts w:ascii="Times New Roman" w:hAnsi="Times New Roman" w:eastAsia="宋体" w:cs="Times New Roman"/>
      <w:color w:val="000000"/>
      <w:lang w:val="en-US" w:eastAsia="zh-CN" w:bidi="ar-SA"/>
    </w:rPr>
  </w:style>
  <w:style w:type="character" w:customStyle="1" w:styleId="76">
    <w:name w:val="页脚 字符"/>
    <w:autoRedefine/>
    <w:qFormat/>
    <w:uiPriority w:val="0"/>
    <w:rPr>
      <w:kern w:val="2"/>
      <w:sz w:val="18"/>
      <w:szCs w:val="18"/>
    </w:rPr>
  </w:style>
  <w:style w:type="character" w:customStyle="1" w:styleId="77">
    <w:name w:val="_Style 75"/>
    <w:autoRedefine/>
    <w:qFormat/>
    <w:uiPriority w:val="0"/>
    <w:rPr>
      <w:rFonts w:eastAsia="仿宋_GB2312"/>
      <w:iCs/>
      <w:color w:val="auto"/>
      <w:sz w:val="24"/>
    </w:rPr>
  </w:style>
  <w:style w:type="character" w:customStyle="1" w:styleId="78">
    <w:name w:val="标题 3 Char"/>
    <w:autoRedefine/>
    <w:qFormat/>
    <w:uiPriority w:val="0"/>
    <w:rPr>
      <w:rFonts w:eastAsia="宋体"/>
      <w:b/>
      <w:bCs/>
      <w:kern w:val="2"/>
      <w:sz w:val="32"/>
      <w:szCs w:val="32"/>
      <w:lang w:val="en-US" w:eastAsia="zh-CN" w:bidi="ar-SA"/>
    </w:rPr>
  </w:style>
  <w:style w:type="character" w:customStyle="1" w:styleId="79">
    <w:name w:val="标题 字符"/>
    <w:link w:val="26"/>
    <w:autoRedefine/>
    <w:qFormat/>
    <w:uiPriority w:val="0"/>
    <w:rPr>
      <w:rFonts w:ascii="Cambria" w:hAnsi="Cambria" w:cs="Times New Roman"/>
      <w:b/>
      <w:bCs/>
      <w:kern w:val="2"/>
      <w:sz w:val="32"/>
      <w:szCs w:val="32"/>
    </w:rPr>
  </w:style>
  <w:style w:type="character" w:customStyle="1" w:styleId="80">
    <w:name w:val="孙普文字 Char"/>
    <w:autoRedefine/>
    <w:qFormat/>
    <w:uiPriority w:val="0"/>
    <w:rPr>
      <w:rFonts w:ascii="宋体" w:hAnsi="Times New Roman" w:eastAsia="宋体" w:cs="Times New Roman"/>
      <w:szCs w:val="20"/>
    </w:rPr>
  </w:style>
  <w:style w:type="character" w:customStyle="1" w:styleId="81">
    <w:name w:val="标题 3 Char1"/>
    <w:autoRedefine/>
    <w:qFormat/>
    <w:uiPriority w:val="0"/>
    <w:rPr>
      <w:rFonts w:eastAsia="宋体"/>
      <w:b/>
      <w:bCs/>
      <w:kern w:val="2"/>
      <w:sz w:val="32"/>
      <w:szCs w:val="32"/>
      <w:lang w:val="en-US" w:eastAsia="zh-CN" w:bidi="ar-SA"/>
    </w:rPr>
  </w:style>
  <w:style w:type="character" w:customStyle="1" w:styleId="82">
    <w:name w:val="正文文本缩进 2 字符"/>
    <w:link w:val="17"/>
    <w:autoRedefine/>
    <w:qFormat/>
    <w:uiPriority w:val="0"/>
    <w:rPr>
      <w:kern w:val="2"/>
      <w:sz w:val="21"/>
      <w:szCs w:val="24"/>
    </w:rPr>
  </w:style>
  <w:style w:type="character" w:customStyle="1" w:styleId="83">
    <w:name w:val="正文缩进 字符"/>
    <w:link w:val="7"/>
    <w:autoRedefine/>
    <w:qFormat/>
    <w:uiPriority w:val="0"/>
  </w:style>
  <w:style w:type="character" w:customStyle="1" w:styleId="84">
    <w:name w:val="标题 1 字符"/>
    <w:link w:val="2"/>
    <w:autoRedefine/>
    <w:qFormat/>
    <w:uiPriority w:val="0"/>
    <w:rPr>
      <w:rFonts w:eastAsia="黑体"/>
      <w:b/>
      <w:kern w:val="44"/>
      <w:sz w:val="28"/>
    </w:rPr>
  </w:style>
  <w:style w:type="character" w:customStyle="1" w:styleId="85">
    <w:name w:val="标题 2 字符"/>
    <w:link w:val="3"/>
    <w:autoRedefine/>
    <w:qFormat/>
    <w:uiPriority w:val="0"/>
    <w:rPr>
      <w:rFonts w:eastAsia="黑体"/>
      <w:b/>
      <w:sz w:val="28"/>
    </w:rPr>
  </w:style>
  <w:style w:type="character" w:customStyle="1" w:styleId="86">
    <w:name w:val="标题 3 字符"/>
    <w:link w:val="4"/>
    <w:autoRedefine/>
    <w:qFormat/>
    <w:uiPriority w:val="0"/>
    <w:rPr>
      <w:rFonts w:eastAsia="黑体"/>
      <w:b/>
      <w:sz w:val="28"/>
    </w:rPr>
  </w:style>
  <w:style w:type="character" w:customStyle="1" w:styleId="87">
    <w:name w:val="纯文本 字符2"/>
    <w:link w:val="15"/>
    <w:autoRedefine/>
    <w:qFormat/>
    <w:uiPriority w:val="0"/>
    <w:rPr>
      <w:rFonts w:ascii="宋体" w:eastAsia="宋体"/>
      <w:kern w:val="2"/>
      <w:sz w:val="21"/>
      <w:lang w:val="en-US" w:eastAsia="zh-CN" w:bidi="ar-SA"/>
    </w:rPr>
  </w:style>
  <w:style w:type="character" w:customStyle="1" w:styleId="88">
    <w:name w:val="标题 5 字符"/>
    <w:link w:val="6"/>
    <w:autoRedefine/>
    <w:qFormat/>
    <w:uiPriority w:val="0"/>
    <w:rPr>
      <w:b/>
      <w:sz w:val="28"/>
      <w:szCs w:val="24"/>
    </w:rPr>
  </w:style>
  <w:style w:type="character" w:customStyle="1" w:styleId="89">
    <w:name w:val="批注文字 字符"/>
    <w:link w:val="9"/>
    <w:autoRedefine/>
    <w:qFormat/>
    <w:uiPriority w:val="0"/>
    <w:rPr>
      <w:kern w:val="2"/>
      <w:sz w:val="21"/>
      <w:szCs w:val="24"/>
    </w:rPr>
  </w:style>
  <w:style w:type="character" w:customStyle="1" w:styleId="90">
    <w:name w:val="正文文本 3 字符"/>
    <w:link w:val="10"/>
    <w:autoRedefine/>
    <w:qFormat/>
    <w:uiPriority w:val="0"/>
    <w:rPr>
      <w:kern w:val="2"/>
      <w:sz w:val="16"/>
      <w:szCs w:val="16"/>
    </w:rPr>
  </w:style>
  <w:style w:type="character" w:customStyle="1" w:styleId="91">
    <w:name w:val="正文文本 字符"/>
    <w:link w:val="11"/>
    <w:autoRedefine/>
    <w:qFormat/>
    <w:uiPriority w:val="0"/>
    <w:rPr>
      <w:kern w:val="2"/>
      <w:sz w:val="21"/>
      <w:szCs w:val="24"/>
    </w:rPr>
  </w:style>
  <w:style w:type="character" w:customStyle="1" w:styleId="92">
    <w:name w:val="日期 字符"/>
    <w:link w:val="16"/>
    <w:autoRedefine/>
    <w:qFormat/>
    <w:uiPriority w:val="0"/>
    <w:rPr>
      <w:kern w:val="2"/>
      <w:sz w:val="21"/>
      <w:szCs w:val="24"/>
    </w:rPr>
  </w:style>
  <w:style w:type="character" w:customStyle="1" w:styleId="93">
    <w:name w:val="页脚 字符1"/>
    <w:link w:val="19"/>
    <w:autoRedefine/>
    <w:qFormat/>
    <w:uiPriority w:val="99"/>
    <w:rPr>
      <w:rFonts w:ascii="宋体"/>
      <w:kern w:val="2"/>
      <w:sz w:val="18"/>
    </w:rPr>
  </w:style>
  <w:style w:type="character" w:customStyle="1" w:styleId="94">
    <w:name w:val="正文文本 2 字符"/>
    <w:link w:val="24"/>
    <w:autoRedefine/>
    <w:qFormat/>
    <w:uiPriority w:val="0"/>
    <w:rPr>
      <w:kern w:val="2"/>
      <w:sz w:val="21"/>
      <w:szCs w:val="24"/>
    </w:rPr>
  </w:style>
  <w:style w:type="character" w:customStyle="1" w:styleId="95">
    <w:name w:val="批注主题 字符"/>
    <w:link w:val="27"/>
    <w:autoRedefine/>
    <w:qFormat/>
    <w:uiPriority w:val="0"/>
    <w:rPr>
      <w:b/>
      <w:bCs/>
      <w:kern w:val="2"/>
      <w:sz w:val="21"/>
      <w:szCs w:val="24"/>
    </w:rPr>
  </w:style>
  <w:style w:type="character" w:customStyle="1" w:styleId="96">
    <w:name w:val="纯文本 字符1"/>
    <w:autoRedefine/>
    <w:qFormat/>
    <w:uiPriority w:val="0"/>
    <w:rPr>
      <w:rFonts w:ascii="宋体" w:eastAsia="宋体"/>
      <w:kern w:val="2"/>
      <w:sz w:val="21"/>
      <w:lang w:val="en-US" w:eastAsia="zh-CN" w:bidi="ar-SA"/>
    </w:rPr>
  </w:style>
  <w:style w:type="character" w:customStyle="1" w:styleId="97">
    <w:name w:val="列表段落 字符"/>
    <w:link w:val="68"/>
    <w:autoRedefine/>
    <w:qFormat/>
    <w:uiPriority w:val="0"/>
    <w:rPr>
      <w:kern w:val="2"/>
      <w:sz w:val="21"/>
      <w:szCs w:val="24"/>
    </w:rPr>
  </w:style>
  <w:style w:type="character" w:customStyle="1" w:styleId="98">
    <w:name w:val="承康医疗 Char"/>
    <w:link w:val="54"/>
    <w:autoRedefine/>
    <w:qFormat/>
    <w:uiPriority w:val="0"/>
    <w:rPr>
      <w:rFonts w:ascii="微软雅黑" w:hAnsi="微软雅黑" w:eastAsia="微软雅黑"/>
      <w:sz w:val="21"/>
      <w:szCs w:val="21"/>
    </w:rPr>
  </w:style>
  <w:style w:type="character" w:customStyle="1" w:styleId="99">
    <w:name w:val="dy_biao_content1"/>
    <w:autoRedefine/>
    <w:qFormat/>
    <w:uiPriority w:val="0"/>
    <w:rPr>
      <w:rFonts w:hint="eastAsia" w:ascii="宋体" w:hAnsi="宋体" w:eastAsia="宋体"/>
      <w:sz w:val="24"/>
      <w:szCs w:val="24"/>
    </w:rPr>
  </w:style>
  <w:style w:type="character" w:customStyle="1" w:styleId="100">
    <w:name w:val="grame"/>
    <w:autoRedefine/>
    <w:qFormat/>
    <w:uiPriority w:val="0"/>
  </w:style>
  <w:style w:type="character" w:customStyle="1" w:styleId="101">
    <w:name w:val="纯文本 字符"/>
    <w:link w:val="40"/>
    <w:autoRedefine/>
    <w:qFormat/>
    <w:uiPriority w:val="0"/>
    <w:rPr>
      <w:rFonts w:ascii="宋体" w:hAnsi="Courier New"/>
      <w:kern w:val="2"/>
      <w:sz w:val="21"/>
      <w:szCs w:val="21"/>
    </w:rPr>
  </w:style>
  <w:style w:type="character" w:customStyle="1" w:styleId="102">
    <w:name w:val="纯文本 Char1"/>
    <w:autoRedefine/>
    <w:qFormat/>
    <w:uiPriority w:val="0"/>
    <w:rPr>
      <w:rFonts w:ascii="宋体" w:eastAsia="宋体"/>
      <w:kern w:val="2"/>
      <w:sz w:val="21"/>
      <w:lang w:val="en-US" w:eastAsia="zh-CN" w:bidi="ar-SA"/>
    </w:rPr>
  </w:style>
  <w:style w:type="character" w:customStyle="1" w:styleId="103">
    <w:name w:val="Date Char Char"/>
    <w:link w:val="49"/>
    <w:autoRedefine/>
    <w:qFormat/>
    <w:uiPriority w:val="0"/>
    <w:rPr>
      <w:kern w:val="2"/>
      <w:sz w:val="21"/>
    </w:rPr>
  </w:style>
  <w:style w:type="character" w:customStyle="1" w:styleId="104">
    <w:name w:val="纯文本 Char2"/>
    <w:autoRedefine/>
    <w:qFormat/>
    <w:uiPriority w:val="0"/>
    <w:rPr>
      <w:rFonts w:ascii="宋体" w:hAnsi="Times New Roman" w:eastAsia="宋体" w:cs="Times New Roman"/>
      <w:kern w:val="2"/>
      <w:sz w:val="21"/>
      <w:lang w:val="en-US" w:eastAsia="zh-CN" w:bidi="ar-SA"/>
    </w:rPr>
  </w:style>
  <w:style w:type="character" w:customStyle="1" w:styleId="105">
    <w:name w:val="NormalCharacter"/>
    <w:autoRedefine/>
    <w:semiHidden/>
    <w:qFormat/>
    <w:uiPriority w:val="0"/>
  </w:style>
  <w:style w:type="character" w:customStyle="1" w:styleId="106">
    <w:name w:val="纯文本 Char"/>
    <w:autoRedefine/>
    <w:qFormat/>
    <w:uiPriority w:val="0"/>
    <w:rPr>
      <w:rFonts w:ascii="宋体"/>
      <w:kern w:val="2"/>
      <w:sz w:val="21"/>
    </w:rPr>
  </w:style>
  <w:style w:type="character" w:customStyle="1" w:styleId="107">
    <w:name w:val="正文文本缩进 字符"/>
    <w:link w:val="71"/>
    <w:autoRedefine/>
    <w:qFormat/>
    <w:uiPriority w:val="0"/>
    <w:rPr>
      <w:sz w:val="28"/>
      <w:szCs w:val="24"/>
    </w:rPr>
  </w:style>
  <w:style w:type="character" w:customStyle="1" w:styleId="108">
    <w:name w:val="正文文本 2 字符1"/>
    <w:autoRedefine/>
    <w:qFormat/>
    <w:uiPriority w:val="0"/>
    <w:rPr>
      <w:kern w:val="2"/>
      <w:sz w:val="21"/>
      <w:szCs w:val="24"/>
    </w:rPr>
  </w:style>
  <w:style w:type="character" w:customStyle="1" w:styleId="109">
    <w:name w:val="15"/>
    <w:autoRedefine/>
    <w:qFormat/>
    <w:uiPriority w:val="0"/>
    <w:rPr>
      <w:rFonts w:hint="default" w:ascii="Calibri" w:hAnsi="Calibri" w:cs="Calibri"/>
    </w:rPr>
  </w:style>
  <w:style w:type="character" w:customStyle="1" w:styleId="110">
    <w:name w:val="列出段落 字符"/>
    <w:autoRedefine/>
    <w:qFormat/>
    <w:uiPriority w:val="99"/>
    <w:rPr>
      <w:kern w:val="2"/>
      <w:sz w:val="21"/>
      <w:szCs w:val="24"/>
    </w:rPr>
  </w:style>
  <w:style w:type="character" w:customStyle="1" w:styleId="111">
    <w:name w:val="纯文本 字符4"/>
    <w:autoRedefine/>
    <w:qFormat/>
    <w:uiPriority w:val="0"/>
    <w:rPr>
      <w:rFonts w:ascii="宋体" w:eastAsia="宋体"/>
      <w:kern w:val="2"/>
      <w:sz w:val="21"/>
      <w:lang w:val="en-US" w:eastAsia="zh-CN" w:bidi="ar-SA"/>
    </w:rPr>
  </w:style>
  <w:style w:type="table" w:customStyle="1" w:styleId="112">
    <w:name w:val="网格型1"/>
    <w:basedOn w:val="30"/>
    <w:autoRedefine/>
    <w:unhideWhenUse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3">
    <w:name w:val="Table Text"/>
    <w:basedOn w:val="1"/>
    <w:autoRedefine/>
    <w:semiHidden/>
    <w:qFormat/>
    <w:uiPriority w:val="0"/>
    <w:rPr>
      <w:rFonts w:ascii="宋体" w:hAnsi="宋体" w:cs="宋体"/>
      <w:sz w:val="20"/>
      <w:szCs w:val="20"/>
      <w:lang w:eastAsia="en-US"/>
    </w:rPr>
  </w:style>
  <w:style w:type="character" w:customStyle="1" w:styleId="114">
    <w:name w:val="标题 4 字符"/>
    <w:link w:val="5"/>
    <w:autoRedefine/>
    <w:qFormat/>
    <w:uiPriority w:val="0"/>
    <w:rPr>
      <w:rFonts w:ascii="Arial" w:hAnsi="Arial" w:eastAsia="黑体"/>
      <w:kern w:val="0"/>
      <w:sz w:val="28"/>
      <w:szCs w:val="20"/>
    </w:rPr>
  </w:style>
  <w:style w:type="paragraph" w:customStyle="1" w:styleId="115">
    <w:name w:val="正文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6">
    <w:name w:val="正文1"/>
    <w:next w:val="1"/>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17">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118">
    <w:name w:val="样式 首行缩进:  2 字符"/>
    <w:basedOn w:val="1"/>
    <w:autoRedefine/>
    <w:qFormat/>
    <w:uiPriority w:val="0"/>
    <w:pPr>
      <w:spacing w:line="400" w:lineRule="exact"/>
      <w:ind w:firstLine="200" w:firstLineChars="200"/>
    </w:pPr>
    <w:rPr>
      <w:rFonts w:cs="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header" Target="header4.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59</Pages>
  <Words>29823</Words>
  <Characters>31401</Characters>
  <Lines>343</Lines>
  <Paragraphs>96</Paragraphs>
  <TotalTime>1</TotalTime>
  <ScaleCrop>false</ScaleCrop>
  <LinksUpToDate>false</LinksUpToDate>
  <CharactersWithSpaces>33086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2022-12-12T03:00:00Z</dcterms:created>
  <dc:creator>User</dc:creator>
  <cp:lastModifiedBy>汤圆</cp:lastModifiedBy>
  <cp:lastPrinted>2019-04-17T09:33:00Z</cp:lastPrinted>
  <dcterms:modified xsi:type="dcterms:W3CDTF">2024-07-19T08:48:16Z</dcterms:modified>
  <dc:title>云南省肿瘤医院（昆明医科大学第三附属医院）</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62FFBF4BDC2849EDAB9BE3FA46660420_13</vt:lpwstr>
  </property>
</Properties>
</file>