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936" w:beforeLines="300"/>
        <w:jc w:val="center"/>
        <w:rPr>
          <w:rFonts w:ascii="黑体" w:eastAsia="黑体"/>
          <w:b/>
          <w:kern w:val="44"/>
          <w:sz w:val="48"/>
          <w:szCs w:val="20"/>
        </w:rPr>
      </w:pPr>
      <w:r>
        <w:rPr>
          <w:rFonts w:hint="eastAsia" w:ascii="黑体" w:eastAsia="黑体"/>
          <w:b/>
          <w:kern w:val="44"/>
          <w:sz w:val="48"/>
          <w:szCs w:val="20"/>
        </w:rPr>
        <w:t>第八部分  采购需求</w:t>
      </w:r>
      <w:r>
        <w:rPr>
          <w:rFonts w:ascii="黑体" w:eastAsia="黑体"/>
          <w:b/>
          <w:kern w:val="44"/>
          <w:sz w:val="48"/>
          <w:szCs w:val="20"/>
        </w:rPr>
        <w:br w:type="page"/>
      </w:r>
    </w:p>
    <w:p>
      <w:pPr>
        <w:numPr>
          <w:ilvl w:val="2"/>
          <w:numId w:val="1"/>
        </w:numPr>
        <w:adjustRightInd w:val="0"/>
        <w:snapToGrid w:val="0"/>
        <w:jc w:val="center"/>
        <w:rPr>
          <w:rFonts w:ascii="宋体" w:hAnsi="宋体"/>
          <w:b/>
          <w:sz w:val="30"/>
          <w:szCs w:val="30"/>
        </w:rPr>
      </w:pPr>
      <w:r>
        <w:rPr>
          <w:rFonts w:hint="eastAsia" w:ascii="宋体" w:hAnsi="宋体"/>
          <w:b/>
          <w:sz w:val="30"/>
          <w:szCs w:val="30"/>
        </w:rPr>
        <w:t>货物需求一览表</w:t>
      </w:r>
    </w:p>
    <w:p>
      <w:pPr>
        <w:adjustRightInd w:val="0"/>
        <w:snapToGrid w:val="0"/>
        <w:jc w:val="center"/>
        <w:rPr>
          <w:rFonts w:ascii="宋体" w:hAnsi="宋体"/>
          <w:b/>
          <w:sz w:val="30"/>
          <w:szCs w:val="30"/>
        </w:rPr>
      </w:pPr>
    </w:p>
    <w:tbl>
      <w:tblPr>
        <w:tblStyle w:val="5"/>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pPr>
              <w:jc w:val="center"/>
              <w:rPr>
                <w:rFonts w:ascii="宋体" w:hAnsi="Bookman Old Style"/>
                <w:sz w:val="24"/>
              </w:rPr>
            </w:pPr>
            <w:r>
              <w:rPr>
                <w:rFonts w:hint="eastAsia" w:ascii="宋体" w:hAnsi="Bookman Old Style"/>
                <w:sz w:val="24"/>
              </w:rPr>
              <w:t>包号</w:t>
            </w:r>
          </w:p>
        </w:tc>
        <w:tc>
          <w:tcPr>
            <w:tcW w:w="2640" w:type="dxa"/>
            <w:vAlign w:val="center"/>
          </w:tcPr>
          <w:p>
            <w:pPr>
              <w:jc w:val="center"/>
              <w:rPr>
                <w:rFonts w:ascii="宋体" w:hAnsi="Bookman Old Style"/>
                <w:sz w:val="24"/>
              </w:rPr>
            </w:pPr>
            <w:r>
              <w:rPr>
                <w:rFonts w:hint="eastAsia" w:ascii="宋体" w:hAnsi="Bookman Old Style"/>
                <w:sz w:val="24"/>
              </w:rPr>
              <w:t>货物名称</w:t>
            </w:r>
          </w:p>
        </w:tc>
        <w:tc>
          <w:tcPr>
            <w:tcW w:w="635" w:type="dxa"/>
            <w:vAlign w:val="center"/>
          </w:tcPr>
          <w:p>
            <w:pPr>
              <w:jc w:val="center"/>
              <w:rPr>
                <w:rFonts w:ascii="宋体" w:hAnsi="Bookman Old Style"/>
                <w:sz w:val="24"/>
              </w:rPr>
            </w:pPr>
            <w:r>
              <w:rPr>
                <w:rFonts w:hint="eastAsia" w:ascii="宋体" w:hAnsi="Bookman Old Style"/>
                <w:sz w:val="24"/>
              </w:rPr>
              <w:t>数量</w:t>
            </w:r>
          </w:p>
        </w:tc>
        <w:tc>
          <w:tcPr>
            <w:tcW w:w="1320" w:type="dxa"/>
            <w:vAlign w:val="center"/>
          </w:tcPr>
          <w:p>
            <w:pPr>
              <w:jc w:val="center"/>
              <w:rPr>
                <w:rFonts w:ascii="宋体" w:hAnsi="Bookman Old Style"/>
                <w:sz w:val="24"/>
              </w:rPr>
            </w:pPr>
            <w:r>
              <w:rPr>
                <w:rFonts w:hint="eastAsia" w:ascii="宋体" w:hAnsi="Bookman Old Style"/>
                <w:sz w:val="24"/>
              </w:rPr>
              <w:t>交货期</w:t>
            </w:r>
          </w:p>
        </w:tc>
        <w:tc>
          <w:tcPr>
            <w:tcW w:w="1765" w:type="dxa"/>
            <w:vAlign w:val="center"/>
          </w:tcPr>
          <w:p>
            <w:pPr>
              <w:jc w:val="center"/>
              <w:rPr>
                <w:rFonts w:ascii="宋体" w:hAnsi="Bookman Old Style"/>
                <w:sz w:val="24"/>
              </w:rPr>
            </w:pPr>
            <w:r>
              <w:rPr>
                <w:rFonts w:hint="eastAsia" w:ascii="宋体" w:hAnsi="Bookman Old Style"/>
                <w:sz w:val="24"/>
              </w:rPr>
              <w:t>指定到货港</w:t>
            </w:r>
          </w:p>
        </w:tc>
        <w:tc>
          <w:tcPr>
            <w:tcW w:w="2520" w:type="dxa"/>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pPr>
              <w:jc w:val="center"/>
              <w:rPr>
                <w:rFonts w:ascii="宋体"/>
                <w:sz w:val="24"/>
              </w:rPr>
            </w:pPr>
            <w:r>
              <w:rPr>
                <w:rFonts w:hint="eastAsia" w:ascii="宋体"/>
                <w:sz w:val="24"/>
              </w:rPr>
              <w:t>1</w:t>
            </w:r>
          </w:p>
        </w:tc>
        <w:tc>
          <w:tcPr>
            <w:tcW w:w="2640" w:type="dxa"/>
            <w:vAlign w:val="center"/>
          </w:tcPr>
          <w:p>
            <w:pPr>
              <w:jc w:val="center"/>
              <w:rPr>
                <w:rFonts w:ascii="Bookman Old Style" w:hAnsi="Bookman Old Style"/>
                <w:sz w:val="24"/>
              </w:rPr>
            </w:pPr>
            <w:r>
              <w:rPr>
                <w:rFonts w:hint="eastAsia" w:ascii="Bookman Old Style" w:hAnsi="Bookman Old Style"/>
                <w:sz w:val="24"/>
              </w:rPr>
              <w:t>元素分析仪</w:t>
            </w:r>
          </w:p>
        </w:tc>
        <w:tc>
          <w:tcPr>
            <w:tcW w:w="635" w:type="dxa"/>
            <w:vAlign w:val="center"/>
          </w:tcPr>
          <w:p>
            <w:pPr>
              <w:jc w:val="center"/>
              <w:rPr>
                <w:rFonts w:ascii="宋体" w:hAnsi="Bookman Old Style"/>
                <w:sz w:val="24"/>
              </w:rPr>
            </w:pPr>
            <w:r>
              <w:rPr>
                <w:rFonts w:hint="eastAsia" w:ascii="宋体" w:hAnsi="Bookman Old Style"/>
                <w:sz w:val="24"/>
              </w:rPr>
              <w:t>1套</w:t>
            </w:r>
          </w:p>
        </w:tc>
        <w:tc>
          <w:tcPr>
            <w:tcW w:w="5605" w:type="dxa"/>
            <w:gridSpan w:val="3"/>
            <w:vAlign w:val="center"/>
          </w:tcPr>
          <w:p>
            <w:pPr>
              <w:jc w:val="center"/>
              <w:rPr>
                <w:rFonts w:ascii="宋体" w:hAnsi="Bookman Old Style"/>
                <w:sz w:val="24"/>
              </w:rPr>
            </w:pPr>
            <w:r>
              <w:rPr>
                <w:rFonts w:hint="eastAsia" w:ascii="宋体" w:hAnsi="Bookman Old Style"/>
                <w:sz w:val="24"/>
              </w:rPr>
              <w:t>详见具体技术规格</w:t>
            </w:r>
          </w:p>
        </w:tc>
      </w:tr>
    </w:tbl>
    <w:p>
      <w:pPr>
        <w:adjustRightInd w:val="0"/>
        <w:snapToGrid w:val="0"/>
        <w:jc w:val="center"/>
        <w:rPr>
          <w:rFonts w:ascii="宋体" w:hAnsi="宋体"/>
          <w:b/>
          <w:sz w:val="30"/>
          <w:szCs w:val="30"/>
        </w:rPr>
      </w:pPr>
    </w:p>
    <w:p>
      <w:pPr>
        <w:adjustRightInd w:val="0"/>
        <w:snapToGrid w:val="0"/>
        <w:jc w:val="center"/>
        <w:rPr>
          <w:rFonts w:ascii="宋体" w:hAnsi="宋体"/>
          <w:b/>
          <w:sz w:val="30"/>
          <w:szCs w:val="30"/>
        </w:rPr>
      </w:pPr>
    </w:p>
    <w:p>
      <w:pPr>
        <w:adjustRightInd w:val="0"/>
        <w:snapToGrid w:val="0"/>
        <w:jc w:val="center"/>
        <w:rPr>
          <w:rFonts w:ascii="宋体" w:hAnsi="宋体"/>
          <w:b/>
          <w:sz w:val="30"/>
          <w:szCs w:val="30"/>
        </w:rPr>
      </w:pPr>
    </w:p>
    <w:p>
      <w:pPr>
        <w:rPr>
          <w:rFonts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szCs w:val="21"/>
        </w:rPr>
      </w:pPr>
    </w:p>
    <w:p>
      <w:pPr>
        <w:adjustRightInd w:val="0"/>
        <w:snapToGrid w:val="0"/>
        <w:rPr>
          <w:rFonts w:ascii="宋体" w:hAnsi="宋体"/>
          <w:b/>
          <w:sz w:val="30"/>
          <w:szCs w:val="30"/>
        </w:rPr>
      </w:pPr>
      <w:r>
        <w:rPr>
          <w:rFonts w:ascii="宋体" w:hAnsi="宋体"/>
          <w:b/>
          <w:sz w:val="30"/>
          <w:szCs w:val="30"/>
        </w:rPr>
        <w:br w:type="page"/>
      </w:r>
    </w:p>
    <w:p>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总则</w:t>
      </w:r>
    </w:p>
    <w:p>
      <w:pPr>
        <w:spacing w:before="156" w:beforeLines="50" w:after="156" w:afterLines="50" w:line="360" w:lineRule="auto"/>
        <w:ind w:left="601" w:hanging="601"/>
        <w:rPr>
          <w:rFonts w:ascii="宋体" w:hAnsi="宋体"/>
          <w:b/>
          <w:sz w:val="28"/>
        </w:rPr>
      </w:pPr>
      <w:r>
        <w:rPr>
          <w:rFonts w:hint="eastAsia" w:ascii="宋体" w:hAnsi="宋体"/>
          <w:b/>
          <w:sz w:val="28"/>
        </w:rPr>
        <w:t>1、工作条件</w:t>
      </w:r>
    </w:p>
    <w:p>
      <w:pPr>
        <w:spacing w:after="312" w:afterLines="100" w:line="360" w:lineRule="auto"/>
        <w:rPr>
          <w:rFonts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ascii="宋体" w:hAnsi="宋体"/>
          <w:sz w:val="24"/>
        </w:rPr>
      </w:pPr>
      <w:r>
        <w:rPr>
          <w:rFonts w:hint="eastAsia" w:ascii="宋体" w:hAnsi="宋体"/>
          <w:sz w:val="24"/>
        </w:rPr>
        <w:t>1.1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ascii="宋体" w:hAnsi="宋体"/>
          <w:sz w:val="24"/>
        </w:rPr>
      </w:pPr>
      <w:r>
        <w:rPr>
          <w:rFonts w:hint="eastAsia" w:ascii="宋体" w:hAnsi="宋体"/>
          <w:sz w:val="24"/>
        </w:rPr>
        <w:t>1.2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ascii="宋体" w:hAnsi="宋体"/>
          <w:sz w:val="24"/>
        </w:rPr>
      </w:pPr>
      <w:r>
        <w:rPr>
          <w:rFonts w:hint="eastAsia" w:ascii="宋体" w:hAnsi="宋体"/>
          <w:sz w:val="24"/>
        </w:rPr>
        <w:t>1.3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ascii="宋体" w:hAnsi="宋体"/>
          <w:sz w:val="24"/>
        </w:rPr>
      </w:pPr>
      <w:r>
        <w:rPr>
          <w:rFonts w:hint="eastAsia" w:ascii="宋体" w:hAnsi="宋体"/>
          <w:sz w:val="24"/>
        </w:rPr>
        <w:t>1.4  如产品达不到上述要求，投标人应注明其偏差。如仪器设备需要特殊工作条件（如水、电源、磁场强度、温度、湿度、动强度等）投标人应在投标书中加以说明。</w:t>
      </w:r>
    </w:p>
    <w:p>
      <w:pPr>
        <w:rPr>
          <w:rFonts w:eastAsia="黑体"/>
          <w:b/>
          <w:bCs/>
          <w:kern w:val="44"/>
          <w:sz w:val="24"/>
        </w:rPr>
      </w:pPr>
    </w:p>
    <w:p>
      <w:pPr>
        <w:spacing w:before="156" w:beforeLines="50" w:after="156" w:afterLines="50" w:line="360" w:lineRule="auto"/>
        <w:ind w:left="601" w:hanging="601"/>
        <w:rPr>
          <w:rFonts w:ascii="宋体" w:hAnsi="宋体"/>
          <w:b/>
          <w:sz w:val="28"/>
        </w:rPr>
      </w:pPr>
      <w:r>
        <w:rPr>
          <w:rFonts w:hint="eastAsia" w:ascii="宋体" w:hAnsi="宋体"/>
          <w:b/>
          <w:sz w:val="28"/>
        </w:rPr>
        <w:t>2、验收标准</w:t>
      </w:r>
    </w:p>
    <w:p>
      <w:pPr>
        <w:spacing w:after="312" w:afterLines="100" w:line="360" w:lineRule="auto"/>
        <w:rPr>
          <w:rFonts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ascii="宋体" w:hAnsi="宋体"/>
          <w:sz w:val="24"/>
        </w:rPr>
      </w:pPr>
      <w:r>
        <w:rPr>
          <w:rFonts w:hint="eastAsia" w:ascii="宋体" w:hAnsi="宋体"/>
          <w:sz w:val="24"/>
        </w:rPr>
        <w:t>2.1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ascii="宋体" w:hAnsi="宋体"/>
          <w:sz w:val="24"/>
        </w:rPr>
      </w:pPr>
      <w:r>
        <w:rPr>
          <w:rFonts w:hint="eastAsia" w:ascii="宋体" w:hAnsi="宋体"/>
          <w:sz w:val="24"/>
        </w:rPr>
        <w:t xml:space="preserve">2.2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宋体"/>
          <w:sz w:val="24"/>
        </w:rPr>
      </w:pPr>
      <w:r>
        <w:rPr>
          <w:rFonts w:hint="eastAsia" w:ascii="宋体" w:hAnsi="宋体"/>
          <w:sz w:val="24"/>
        </w:rPr>
        <w:t xml:space="preserve">2.3  </w:t>
      </w:r>
      <w:r>
        <w:rPr>
          <w:rFonts w:ascii="宋体" w:hAnsi="宋体"/>
          <w:sz w:val="24"/>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Ansi="宋体"/>
          <w:b/>
          <w:sz w:val="24"/>
          <w:szCs w:val="24"/>
        </w:rPr>
      </w:pPr>
    </w:p>
    <w:p>
      <w:pPr>
        <w:pStyle w:val="2"/>
        <w:spacing w:line="360" w:lineRule="auto"/>
        <w:ind w:left="410" w:hanging="410" w:hangingChars="170"/>
        <w:rPr>
          <w:rFonts w:hAnsi="宋体"/>
          <w:b/>
          <w:sz w:val="24"/>
          <w:szCs w:val="24"/>
        </w:rPr>
      </w:pPr>
      <w:r>
        <w:rPr>
          <w:rFonts w:hint="eastAsia" w:hAnsi="宋体"/>
          <w:b/>
          <w:sz w:val="24"/>
          <w:szCs w:val="24"/>
        </w:rPr>
        <w:t>3、本技术规格书中标注“*”号的为实质性要求，不满足其投标将被拒绝。</w:t>
      </w:r>
    </w:p>
    <w:p>
      <w:pPr>
        <w:pStyle w:val="2"/>
        <w:spacing w:line="360" w:lineRule="auto"/>
        <w:rPr>
          <w:rFonts w:hAnsi="宋体"/>
          <w:b/>
          <w:sz w:val="24"/>
          <w:szCs w:val="24"/>
        </w:rPr>
      </w:pPr>
    </w:p>
    <w:p>
      <w:pPr>
        <w:pStyle w:val="2"/>
        <w:spacing w:line="360" w:lineRule="auto"/>
        <w:rPr>
          <w:rFonts w:hAnsi="宋体"/>
          <w:b/>
          <w:sz w:val="24"/>
          <w:szCs w:val="24"/>
        </w:rPr>
      </w:pPr>
      <w:r>
        <w:rPr>
          <w:rFonts w:hint="eastAsia" w:hAnsi="宋体"/>
          <w:b/>
          <w:sz w:val="24"/>
          <w:szCs w:val="24"/>
        </w:rPr>
        <w:t>4、如在具体技术规格中有本总则不一致之处，以具体技术规格中的要求为准。</w:t>
      </w:r>
    </w:p>
    <w:p>
      <w:pPr>
        <w:spacing w:after="156" w:afterLines="50"/>
        <w:ind w:left="601" w:hanging="601"/>
        <w:rPr>
          <w:rFonts w:ascii="宋体" w:hAnsi="宋体"/>
          <w:b/>
          <w:sz w:val="28"/>
        </w:rPr>
      </w:pPr>
      <w:r>
        <w:rPr>
          <w:rFonts w:ascii="宋体" w:hAnsi="宋体"/>
          <w:b/>
          <w:sz w:val="28"/>
        </w:rPr>
        <w:br w:type="page"/>
      </w:r>
      <w:r>
        <w:rPr>
          <w:rFonts w:hint="eastAsia" w:ascii="宋体" w:hAnsi="宋体"/>
          <w:b/>
          <w:sz w:val="28"/>
        </w:rPr>
        <w:t>三、具体技术规格</w:t>
      </w:r>
    </w:p>
    <w:p>
      <w:pPr>
        <w:rPr>
          <w:sz w:val="24"/>
        </w:rPr>
      </w:pPr>
    </w:p>
    <w:p>
      <w:pPr>
        <w:jc w:val="center"/>
        <w:rPr>
          <w:b/>
          <w:sz w:val="24"/>
        </w:rPr>
      </w:pPr>
      <w:r>
        <w:rPr>
          <w:rFonts w:hint="eastAsia"/>
          <w:b/>
          <w:sz w:val="24"/>
        </w:rPr>
        <w:t>第1包 元素分析仪</w:t>
      </w:r>
    </w:p>
    <w:p>
      <w:pPr>
        <w:rPr>
          <w:b/>
          <w:sz w:val="24"/>
          <w:highlight w:val="none"/>
        </w:rPr>
      </w:pPr>
    </w:p>
    <w:p>
      <w:pPr>
        <w:rPr>
          <w:b/>
          <w:sz w:val="24"/>
          <w:highlight w:val="none"/>
        </w:rPr>
      </w:pPr>
    </w:p>
    <w:p>
      <w:pPr>
        <w:numPr>
          <w:ilvl w:val="0"/>
          <w:numId w:val="2"/>
        </w:numPr>
        <w:rPr>
          <w:b/>
          <w:sz w:val="24"/>
          <w:highlight w:val="none"/>
        </w:rPr>
      </w:pPr>
      <w:r>
        <w:rPr>
          <w:rFonts w:hint="eastAsia"/>
          <w:b/>
          <w:sz w:val="24"/>
          <w:highlight w:val="none"/>
        </w:rPr>
        <w:t>技术要求：</w:t>
      </w:r>
    </w:p>
    <w:p>
      <w:pPr>
        <w:rPr>
          <w:b/>
          <w:sz w:val="24"/>
          <w:highlight w:val="none"/>
        </w:rPr>
      </w:pPr>
    </w:p>
    <w:p>
      <w:pPr>
        <w:numPr>
          <w:ilvl w:val="0"/>
          <w:numId w:val="3"/>
        </w:numPr>
        <w:spacing w:line="360" w:lineRule="auto"/>
        <w:rPr>
          <w:b/>
          <w:sz w:val="24"/>
          <w:highlight w:val="none"/>
        </w:rPr>
      </w:pPr>
      <w:r>
        <w:rPr>
          <w:rFonts w:hint="eastAsia"/>
          <w:b/>
          <w:sz w:val="24"/>
          <w:highlight w:val="none"/>
        </w:rPr>
        <w:t>工作条件：</w:t>
      </w:r>
    </w:p>
    <w:p>
      <w:pPr>
        <w:spacing w:line="360" w:lineRule="auto"/>
        <w:rPr>
          <w:rFonts w:ascii="宋体"/>
          <w:sz w:val="24"/>
          <w:highlight w:val="none"/>
        </w:rPr>
      </w:pPr>
      <w:r>
        <w:rPr>
          <w:rFonts w:hint="eastAsia" w:ascii="宋体" w:hAnsi="宋体"/>
          <w:sz w:val="24"/>
          <w:highlight w:val="none"/>
        </w:rPr>
        <w:t>1.1 工作电压：</w:t>
      </w:r>
      <w:r>
        <w:rPr>
          <w:rFonts w:hint="eastAsia"/>
          <w:highlight w:val="none"/>
        </w:rPr>
        <w:t xml:space="preserve"> </w:t>
      </w:r>
      <w:r>
        <w:rPr>
          <w:rFonts w:hint="eastAsia" w:ascii="宋体" w:hAnsi="宋体"/>
          <w:sz w:val="24"/>
          <w:highlight w:val="none"/>
        </w:rPr>
        <w:t>220vac 稳定电压，功率不低于2kw。</w:t>
      </w:r>
    </w:p>
    <w:p>
      <w:pPr>
        <w:spacing w:line="360" w:lineRule="auto"/>
        <w:rPr>
          <w:rFonts w:ascii="宋体"/>
          <w:sz w:val="24"/>
          <w:highlight w:val="none"/>
        </w:rPr>
      </w:pPr>
      <w:r>
        <w:rPr>
          <w:rFonts w:hint="eastAsia" w:ascii="宋体" w:hAnsi="宋体"/>
          <w:sz w:val="24"/>
          <w:highlight w:val="none"/>
        </w:rPr>
        <w:t>1.2 环境温度：温湿度可控，温度控制在15-30℃</w:t>
      </w:r>
    </w:p>
    <w:p>
      <w:pPr>
        <w:spacing w:line="360" w:lineRule="auto"/>
        <w:rPr>
          <w:rFonts w:ascii="宋体"/>
          <w:sz w:val="24"/>
          <w:highlight w:val="none"/>
        </w:rPr>
      </w:pPr>
      <w:r>
        <w:rPr>
          <w:rFonts w:hint="eastAsia" w:ascii="宋体" w:hAnsi="宋体"/>
          <w:sz w:val="24"/>
          <w:highlight w:val="none"/>
        </w:rPr>
        <w:t>1.3 相对湿度：</w:t>
      </w:r>
      <w:r>
        <w:rPr>
          <w:rFonts w:ascii="宋体" w:hAnsi="宋体"/>
          <w:sz w:val="24"/>
          <w:highlight w:val="none"/>
        </w:rPr>
        <w:t xml:space="preserve">&lt; </w:t>
      </w:r>
      <w:r>
        <w:rPr>
          <w:rFonts w:hint="eastAsia" w:ascii="宋体" w:hAnsi="宋体"/>
          <w:sz w:val="24"/>
          <w:highlight w:val="none"/>
        </w:rPr>
        <w:t>8</w:t>
      </w:r>
      <w:r>
        <w:rPr>
          <w:rFonts w:ascii="宋体" w:hAnsi="宋体"/>
          <w:sz w:val="24"/>
          <w:highlight w:val="none"/>
        </w:rPr>
        <w:t xml:space="preserve">0% </w:t>
      </w:r>
      <w:r>
        <w:rPr>
          <w:rFonts w:hint="eastAsia" w:ascii="宋体" w:hAnsi="宋体"/>
          <w:sz w:val="24"/>
          <w:highlight w:val="none"/>
        </w:rPr>
        <w:t>无冷凝</w:t>
      </w:r>
    </w:p>
    <w:p>
      <w:pPr>
        <w:spacing w:line="360" w:lineRule="auto"/>
        <w:rPr>
          <w:b/>
          <w:sz w:val="24"/>
          <w:highlight w:val="none"/>
        </w:rPr>
      </w:pPr>
    </w:p>
    <w:p>
      <w:pPr>
        <w:spacing w:line="360" w:lineRule="auto"/>
        <w:rPr>
          <w:b/>
          <w:sz w:val="24"/>
          <w:highlight w:val="none"/>
        </w:rPr>
      </w:pPr>
      <w:r>
        <w:rPr>
          <w:rFonts w:hint="eastAsia"/>
          <w:b/>
          <w:sz w:val="24"/>
          <w:highlight w:val="none"/>
        </w:rPr>
        <w:t>2.设备用途：</w:t>
      </w:r>
    </w:p>
    <w:p>
      <w:pPr>
        <w:spacing w:line="360" w:lineRule="auto"/>
        <w:rPr>
          <w:sz w:val="24"/>
          <w:highlight w:val="none"/>
        </w:rPr>
      </w:pPr>
      <w:r>
        <w:rPr>
          <w:rFonts w:hint="eastAsia"/>
          <w:sz w:val="24"/>
          <w:highlight w:val="none"/>
        </w:rPr>
        <w:t xml:space="preserve">2.1  </w:t>
      </w:r>
      <w:r>
        <w:rPr>
          <w:rFonts w:hint="eastAsia" w:ascii="Calibri" w:hAnsi="宋体"/>
          <w:kern w:val="0"/>
          <w:sz w:val="24"/>
          <w:highlight w:val="none"/>
        </w:rPr>
        <w:t>适用于土壤、污泥、固废、植物、环境、有机化学（高分子材料、金属配合物等）、药品、食品、材料橡胶纺织等领域，对各种固体或液体的样品进行CHNS/O的精准定量测试。仪器稳定性高、操作性方便，能够提供直观方便的分析结果和分析报告并与LIMS系统兼容。</w:t>
      </w:r>
      <w:r>
        <w:rPr>
          <w:rFonts w:hint="eastAsia"/>
          <w:sz w:val="24"/>
          <w:highlight w:val="none"/>
        </w:rPr>
        <w:t xml:space="preserve">       </w:t>
      </w:r>
    </w:p>
    <w:p>
      <w:pPr>
        <w:spacing w:line="360" w:lineRule="auto"/>
        <w:rPr>
          <w:sz w:val="24"/>
          <w:highlight w:val="none"/>
        </w:rPr>
      </w:pPr>
    </w:p>
    <w:p>
      <w:pPr>
        <w:spacing w:line="360" w:lineRule="auto"/>
        <w:rPr>
          <w:b/>
          <w:sz w:val="24"/>
          <w:highlight w:val="none"/>
        </w:rPr>
      </w:pPr>
      <w:r>
        <w:rPr>
          <w:rFonts w:hint="eastAsia"/>
          <w:b/>
          <w:sz w:val="24"/>
          <w:highlight w:val="none"/>
        </w:rPr>
        <w:t>3.技术规格：</w:t>
      </w:r>
    </w:p>
    <w:p>
      <w:pPr>
        <w:spacing w:line="360" w:lineRule="auto"/>
        <w:rPr>
          <w:sz w:val="24"/>
          <w:highlight w:val="none"/>
        </w:rPr>
      </w:pPr>
      <w:r>
        <w:rPr>
          <w:rFonts w:hint="eastAsia"/>
          <w:sz w:val="24"/>
          <w:highlight w:val="none"/>
        </w:rPr>
        <w:t>*3.1 分离方式：采用色谱法分离捕集柱。投标人需提供官方公开技术资料证明。</w:t>
      </w:r>
    </w:p>
    <w:p>
      <w:pPr>
        <w:spacing w:line="360" w:lineRule="auto"/>
        <w:rPr>
          <w:sz w:val="24"/>
          <w:highlight w:val="none"/>
        </w:rPr>
      </w:pPr>
      <w:r>
        <w:rPr>
          <w:rFonts w:hint="eastAsia"/>
          <w:sz w:val="24"/>
          <w:highlight w:val="none"/>
        </w:rPr>
        <w:t>3.2 分析结果能够给出色谱图，可根据色谱出峰情况自由选择分析的起始段。</w:t>
      </w:r>
    </w:p>
    <w:p>
      <w:pPr>
        <w:spacing w:line="360" w:lineRule="auto"/>
        <w:rPr>
          <w:sz w:val="24"/>
          <w:highlight w:val="none"/>
        </w:rPr>
      </w:pPr>
      <w:r>
        <w:rPr>
          <w:rFonts w:hint="eastAsia"/>
          <w:sz w:val="24"/>
          <w:highlight w:val="none"/>
        </w:rPr>
        <w:t>3.3 进样量范围：可达1000 mg, 测量浓度范围：0.01%～100%</w:t>
      </w:r>
    </w:p>
    <w:p>
      <w:pPr>
        <w:spacing w:line="360" w:lineRule="auto"/>
        <w:rPr>
          <w:sz w:val="24"/>
          <w:highlight w:val="none"/>
        </w:rPr>
      </w:pPr>
      <w:r>
        <w:rPr>
          <w:rFonts w:hint="eastAsia"/>
          <w:sz w:val="24"/>
          <w:highlight w:val="none"/>
        </w:rPr>
        <w:t>#3.4 分析精度：CHNSO≤0.05%abs。</w:t>
      </w:r>
    </w:p>
    <w:p>
      <w:pPr>
        <w:spacing w:line="360" w:lineRule="auto"/>
        <w:rPr>
          <w:sz w:val="24"/>
          <w:highlight w:val="none"/>
        </w:rPr>
      </w:pPr>
      <w:r>
        <w:rPr>
          <w:rFonts w:hint="eastAsia"/>
          <w:sz w:val="24"/>
          <w:highlight w:val="none"/>
        </w:rPr>
        <w:t>3.5 气体消耗：高纯氦气分析时流量≤140 ml/min</w:t>
      </w:r>
    </w:p>
    <w:p>
      <w:pPr>
        <w:spacing w:line="360" w:lineRule="auto"/>
        <w:rPr>
          <w:sz w:val="24"/>
          <w:highlight w:val="none"/>
        </w:rPr>
      </w:pPr>
      <w:r>
        <w:rPr>
          <w:rFonts w:hint="eastAsia"/>
          <w:sz w:val="24"/>
          <w:highlight w:val="none"/>
        </w:rPr>
        <w:t>3.6 睡眠模式：具有自动省气模式，待机状下态流量可降到≤10ml/min。</w:t>
      </w:r>
    </w:p>
    <w:p>
      <w:pPr>
        <w:spacing w:line="360" w:lineRule="auto"/>
        <w:rPr>
          <w:sz w:val="24"/>
          <w:highlight w:val="none"/>
        </w:rPr>
      </w:pPr>
      <w:r>
        <w:rPr>
          <w:rFonts w:hint="eastAsia"/>
          <w:sz w:val="24"/>
          <w:highlight w:val="none"/>
        </w:rPr>
        <w:t>*3.7 标配双炉，各分析模式间便捷转换，配备两个固体自动进样器可分别进行2种模式的测试，无需在两个燃烧炉之间更换自动进样器，更不需要等仪器降温打开反应炉拆卸更换反应管再升温。</w:t>
      </w:r>
    </w:p>
    <w:p>
      <w:pPr>
        <w:spacing w:line="360" w:lineRule="auto"/>
        <w:rPr>
          <w:sz w:val="24"/>
          <w:highlight w:val="none"/>
        </w:rPr>
      </w:pPr>
      <w:r>
        <w:rPr>
          <w:rFonts w:hint="eastAsia"/>
          <w:sz w:val="24"/>
          <w:highlight w:val="none"/>
        </w:rPr>
        <w:t>3.8 气路连接：气路采用快速接头连接方式。保证实验技术人员在经过厂方的培训指导后在正常情况下可以快速安装反应管。</w:t>
      </w:r>
    </w:p>
    <w:p>
      <w:pPr>
        <w:spacing w:line="360" w:lineRule="auto"/>
        <w:rPr>
          <w:sz w:val="24"/>
          <w:highlight w:val="none"/>
        </w:rPr>
      </w:pPr>
      <w:r>
        <w:rPr>
          <w:rFonts w:hint="eastAsia"/>
          <w:sz w:val="24"/>
          <w:highlight w:val="none"/>
        </w:rPr>
        <w:t>#3.9 配置2个全自动固体进样器，非固定位数，每个进样器要求不少于64位，可以拓展到125位。</w:t>
      </w:r>
    </w:p>
    <w:p>
      <w:pPr>
        <w:spacing w:line="360" w:lineRule="auto"/>
        <w:rPr>
          <w:sz w:val="24"/>
          <w:highlight w:val="none"/>
        </w:rPr>
      </w:pPr>
      <w:r>
        <w:rPr>
          <w:rFonts w:hint="eastAsia"/>
          <w:sz w:val="24"/>
          <w:highlight w:val="none"/>
        </w:rPr>
        <w:t>*3.10  带全自动管路及气路控制模块，模式之间的切换包括气路切换无需手动更换任何硬件，只需要软件控制即可。</w:t>
      </w:r>
    </w:p>
    <w:p>
      <w:pPr>
        <w:spacing w:line="360" w:lineRule="auto"/>
        <w:rPr>
          <w:sz w:val="24"/>
          <w:highlight w:val="none"/>
        </w:rPr>
      </w:pPr>
      <w:r>
        <w:rPr>
          <w:rFonts w:hint="eastAsia"/>
          <w:sz w:val="24"/>
          <w:highlight w:val="none"/>
        </w:rPr>
        <w:t>#3.11 软件系统可自动计算热值和二氧化碳交换量。</w:t>
      </w:r>
    </w:p>
    <w:p>
      <w:pPr>
        <w:spacing w:line="360" w:lineRule="auto"/>
        <w:rPr>
          <w:sz w:val="24"/>
          <w:highlight w:val="none"/>
        </w:rPr>
      </w:pPr>
      <w:r>
        <w:rPr>
          <w:rFonts w:hint="eastAsia"/>
          <w:sz w:val="24"/>
          <w:highlight w:val="none"/>
        </w:rPr>
        <w:t>3.12 数据采集与处理系统：工作站接控制主机，并进行数据处理。包含Windows 7或Windows 10正版软件（或最新版本，和工作数据处理软件相匹配）。提供系统适应性软件，相应Windows系统下运行。</w:t>
      </w:r>
    </w:p>
    <w:p>
      <w:pPr>
        <w:spacing w:line="360" w:lineRule="auto"/>
        <w:rPr>
          <w:sz w:val="24"/>
          <w:highlight w:val="none"/>
        </w:rPr>
      </w:pPr>
      <w:r>
        <w:rPr>
          <w:rFonts w:hint="eastAsia"/>
          <w:sz w:val="24"/>
          <w:highlight w:val="none"/>
        </w:rPr>
        <w:t>3.13 提供一套至少包含高分子材料类、化学类、环境类、生物类、地质类、药品类、能源类样品的分析方法的元素分析方法库软件。</w:t>
      </w:r>
    </w:p>
    <w:p>
      <w:pPr>
        <w:spacing w:line="360" w:lineRule="auto"/>
        <w:rPr>
          <w:sz w:val="24"/>
          <w:highlight w:val="none"/>
        </w:rPr>
      </w:pPr>
      <w:r>
        <w:rPr>
          <w:rFonts w:hint="eastAsia"/>
          <w:sz w:val="24"/>
          <w:highlight w:val="none"/>
        </w:rPr>
        <w:t>3.14 提供该型号仪器的视频培训软件一套，可直观的学习元素分析的进样技术、样品制备和处理方法、催化剂装填和更换、仪器安装和拆卸、常见故障处理等。</w:t>
      </w:r>
    </w:p>
    <w:p>
      <w:pPr>
        <w:spacing w:line="360" w:lineRule="auto"/>
        <w:rPr>
          <w:sz w:val="24"/>
          <w:highlight w:val="none"/>
        </w:rPr>
      </w:pPr>
      <w:r>
        <w:rPr>
          <w:rFonts w:hint="eastAsia"/>
          <w:sz w:val="24"/>
          <w:highlight w:val="none"/>
        </w:rPr>
        <w:t>3.15 要求提供4种随机标准品，包括BBOT，磺胺，L胱氨酸,甲硫氨酸标准品。</w:t>
      </w:r>
    </w:p>
    <w:p>
      <w:pPr>
        <w:spacing w:line="360" w:lineRule="auto"/>
        <w:rPr>
          <w:sz w:val="24"/>
          <w:highlight w:val="none"/>
        </w:rPr>
      </w:pPr>
      <w:r>
        <w:rPr>
          <w:rFonts w:hint="eastAsia"/>
          <w:sz w:val="24"/>
          <w:highlight w:val="none"/>
        </w:rPr>
        <w:t>#3.16 软件可通过监控质控标样判断其中样品数据的状态，如有异常会给予用户邮件提醒或停机服务。</w:t>
      </w:r>
    </w:p>
    <w:p>
      <w:pPr>
        <w:spacing w:line="360" w:lineRule="auto"/>
        <w:rPr>
          <w:sz w:val="24"/>
          <w:highlight w:val="none"/>
        </w:rPr>
      </w:pPr>
      <w:r>
        <w:rPr>
          <w:rFonts w:hint="eastAsia"/>
          <w:sz w:val="24"/>
          <w:highlight w:val="none"/>
        </w:rPr>
        <w:t>#3.17 测试硫元素含量，对硫元素产物无残留，不会出现硫元素测试结果假阳性和偏高。测试完高硫样品后，立即测无硫样品时，无假阳性结果。</w:t>
      </w:r>
    </w:p>
    <w:p>
      <w:pPr>
        <w:spacing w:line="360" w:lineRule="auto"/>
        <w:rPr>
          <w:sz w:val="24"/>
          <w:highlight w:val="none"/>
        </w:rPr>
      </w:pPr>
      <w:r>
        <w:rPr>
          <w:rFonts w:hint="eastAsia"/>
          <w:sz w:val="24"/>
          <w:highlight w:val="none"/>
        </w:rPr>
        <w:t>#3.18根据应用需求任意选择CHNS/O,CHNS/CHN,CHN/O模式。</w:t>
      </w:r>
    </w:p>
    <w:p>
      <w:pPr>
        <w:spacing w:line="360" w:lineRule="auto"/>
        <w:rPr>
          <w:b/>
          <w:sz w:val="24"/>
          <w:highlight w:val="none"/>
        </w:rPr>
      </w:pPr>
    </w:p>
    <w:p>
      <w:pPr>
        <w:spacing w:line="360" w:lineRule="auto"/>
        <w:rPr>
          <w:b/>
          <w:sz w:val="24"/>
          <w:highlight w:val="none"/>
        </w:rPr>
      </w:pPr>
      <w:r>
        <w:rPr>
          <w:rFonts w:hint="eastAsia"/>
          <w:b/>
          <w:sz w:val="24"/>
          <w:highlight w:val="none"/>
        </w:rPr>
        <w:t>4.产品配置要求</w:t>
      </w:r>
    </w:p>
    <w:p>
      <w:pPr>
        <w:spacing w:line="360" w:lineRule="auto"/>
        <w:rPr>
          <w:sz w:val="24"/>
          <w:highlight w:val="none"/>
        </w:rPr>
      </w:pPr>
      <w:r>
        <w:rPr>
          <w:rFonts w:hint="eastAsia"/>
          <w:sz w:val="24"/>
          <w:highlight w:val="none"/>
        </w:rPr>
        <w:t>4.1 元素分析仪主机（含C</w:t>
      </w:r>
      <w:r>
        <w:rPr>
          <w:sz w:val="24"/>
          <w:highlight w:val="none"/>
        </w:rPr>
        <w:t>HNS</w:t>
      </w:r>
      <w:r>
        <w:rPr>
          <w:rFonts w:hint="eastAsia"/>
          <w:sz w:val="24"/>
          <w:highlight w:val="none"/>
        </w:rPr>
        <w:t>、C</w:t>
      </w:r>
      <w:r>
        <w:rPr>
          <w:sz w:val="24"/>
          <w:highlight w:val="none"/>
        </w:rPr>
        <w:t>HN</w:t>
      </w:r>
      <w:r>
        <w:rPr>
          <w:rFonts w:hint="eastAsia"/>
          <w:sz w:val="24"/>
          <w:highlight w:val="none"/>
        </w:rPr>
        <w:t>、O三种模式）  1套</w:t>
      </w:r>
    </w:p>
    <w:p>
      <w:pPr>
        <w:spacing w:line="360" w:lineRule="auto"/>
        <w:rPr>
          <w:sz w:val="24"/>
          <w:highlight w:val="none"/>
        </w:rPr>
      </w:pPr>
      <w:r>
        <w:rPr>
          <w:rFonts w:hint="eastAsia"/>
          <w:sz w:val="24"/>
          <w:highlight w:val="none"/>
        </w:rPr>
        <w:t>4.2 多功能全自动进样器（64位） 2个</w:t>
      </w:r>
    </w:p>
    <w:p>
      <w:pPr>
        <w:spacing w:line="360" w:lineRule="auto"/>
        <w:rPr>
          <w:sz w:val="24"/>
          <w:highlight w:val="none"/>
        </w:rPr>
      </w:pPr>
      <w:r>
        <w:rPr>
          <w:rFonts w:hint="eastAsia"/>
          <w:sz w:val="24"/>
          <w:highlight w:val="none"/>
        </w:rPr>
        <w:t>4.3 多功能全自动气路控制模块 1套</w:t>
      </w:r>
    </w:p>
    <w:p>
      <w:pPr>
        <w:spacing w:line="360" w:lineRule="auto"/>
        <w:rPr>
          <w:sz w:val="24"/>
          <w:highlight w:val="none"/>
        </w:rPr>
      </w:pPr>
      <w:r>
        <w:rPr>
          <w:rFonts w:hint="eastAsia"/>
          <w:sz w:val="24"/>
          <w:highlight w:val="none"/>
        </w:rPr>
        <w:t>4.4 1000次O分析用消耗品包  1套</w:t>
      </w:r>
    </w:p>
    <w:p>
      <w:pPr>
        <w:spacing w:line="360" w:lineRule="auto"/>
        <w:rPr>
          <w:sz w:val="24"/>
          <w:highlight w:val="none"/>
        </w:rPr>
      </w:pPr>
      <w:r>
        <w:rPr>
          <w:rFonts w:hint="eastAsia"/>
          <w:sz w:val="24"/>
          <w:highlight w:val="none"/>
        </w:rPr>
        <w:t>4.5 1000次CHNS分析用消耗品包  1套</w:t>
      </w:r>
    </w:p>
    <w:p>
      <w:pPr>
        <w:spacing w:line="360" w:lineRule="auto"/>
        <w:rPr>
          <w:sz w:val="24"/>
          <w:highlight w:val="none"/>
        </w:rPr>
      </w:pPr>
      <w:r>
        <w:rPr>
          <w:rFonts w:hint="eastAsia"/>
          <w:sz w:val="24"/>
          <w:highlight w:val="none"/>
        </w:rPr>
        <w:t>4.6 1000次CHN分析用消耗品包（含色谱柱1根）  1套</w:t>
      </w:r>
    </w:p>
    <w:p>
      <w:pPr>
        <w:spacing w:line="360" w:lineRule="auto"/>
        <w:rPr>
          <w:sz w:val="24"/>
          <w:highlight w:val="none"/>
        </w:rPr>
      </w:pPr>
      <w:r>
        <w:rPr>
          <w:rFonts w:hint="eastAsia"/>
          <w:sz w:val="24"/>
          <w:highlight w:val="none"/>
        </w:rPr>
        <w:t>4.7 液体样品密封器（含200个硬质胶囊）  1套</w:t>
      </w:r>
    </w:p>
    <w:p>
      <w:pPr>
        <w:spacing w:line="360" w:lineRule="auto"/>
        <w:rPr>
          <w:sz w:val="24"/>
          <w:highlight w:val="none"/>
        </w:rPr>
      </w:pPr>
      <w:r>
        <w:rPr>
          <w:rFonts w:hint="eastAsia"/>
          <w:sz w:val="24"/>
          <w:highlight w:val="none"/>
        </w:rPr>
        <w:t>4.8 氟元素测定吸收剂15g          2套</w:t>
      </w:r>
    </w:p>
    <w:p>
      <w:pPr>
        <w:spacing w:line="360" w:lineRule="auto"/>
        <w:rPr>
          <w:sz w:val="24"/>
          <w:highlight w:val="none"/>
        </w:rPr>
      </w:pPr>
      <w:r>
        <w:rPr>
          <w:rFonts w:hint="eastAsia"/>
          <w:sz w:val="24"/>
          <w:highlight w:val="none"/>
        </w:rPr>
        <w:t>4.9 工作站一套                   1套</w:t>
      </w:r>
    </w:p>
    <w:p>
      <w:pPr>
        <w:spacing w:line="360" w:lineRule="auto"/>
        <w:rPr>
          <w:sz w:val="24"/>
          <w:highlight w:val="none"/>
        </w:rPr>
      </w:pPr>
      <w:r>
        <w:rPr>
          <w:rFonts w:hint="eastAsia"/>
          <w:sz w:val="24"/>
          <w:highlight w:val="none"/>
        </w:rPr>
        <w:t xml:space="preserve">4.10 元素分析方法库软件        1套 </w:t>
      </w:r>
    </w:p>
    <w:p>
      <w:pPr>
        <w:spacing w:line="360" w:lineRule="auto"/>
        <w:rPr>
          <w:sz w:val="24"/>
          <w:highlight w:val="none"/>
        </w:rPr>
      </w:pPr>
      <w:r>
        <w:rPr>
          <w:rFonts w:hint="eastAsia"/>
          <w:sz w:val="24"/>
          <w:highlight w:val="none"/>
        </w:rPr>
        <w:t>4.11 该型号仪器的培训视频      1套</w:t>
      </w:r>
    </w:p>
    <w:p>
      <w:pPr>
        <w:spacing w:line="360" w:lineRule="auto"/>
        <w:rPr>
          <w:sz w:val="24"/>
          <w:highlight w:val="none"/>
        </w:rPr>
      </w:pPr>
      <w:r>
        <w:rPr>
          <w:rFonts w:hint="eastAsia"/>
          <w:sz w:val="24"/>
          <w:highlight w:val="none"/>
        </w:rPr>
        <w:t>4.12 系统数据软件管理系统      1套</w:t>
      </w:r>
    </w:p>
    <w:p>
      <w:pPr>
        <w:spacing w:line="360" w:lineRule="auto"/>
        <w:rPr>
          <w:sz w:val="24"/>
          <w:highlight w:val="none"/>
        </w:rPr>
      </w:pPr>
    </w:p>
    <w:p>
      <w:pPr>
        <w:spacing w:line="360" w:lineRule="auto"/>
        <w:rPr>
          <w:b/>
          <w:sz w:val="24"/>
          <w:highlight w:val="none"/>
        </w:rPr>
      </w:pPr>
      <w:r>
        <w:rPr>
          <w:rFonts w:hint="eastAsia"/>
          <w:b/>
          <w:sz w:val="24"/>
          <w:highlight w:val="none"/>
        </w:rPr>
        <w:t>5</w:t>
      </w:r>
      <w:r>
        <w:rPr>
          <w:b/>
          <w:sz w:val="24"/>
          <w:highlight w:val="none"/>
        </w:rPr>
        <w:t xml:space="preserve">. </w:t>
      </w:r>
      <w:r>
        <w:rPr>
          <w:rFonts w:hint="eastAsia"/>
          <w:b/>
          <w:sz w:val="24"/>
          <w:highlight w:val="none"/>
        </w:rPr>
        <w:t>选购附件、备件及消耗品</w:t>
      </w:r>
    </w:p>
    <w:p>
      <w:pPr>
        <w:spacing w:line="360" w:lineRule="auto"/>
        <w:rPr>
          <w:sz w:val="24"/>
          <w:highlight w:val="none"/>
        </w:rPr>
      </w:pPr>
      <w:r>
        <w:rPr>
          <w:rFonts w:hint="eastAsia"/>
          <w:sz w:val="24"/>
          <w:highlight w:val="none"/>
        </w:rPr>
        <w:t xml:space="preserve">无          </w:t>
      </w:r>
    </w:p>
    <w:p>
      <w:pPr>
        <w:tabs>
          <w:tab w:val="left" w:pos="540"/>
        </w:tabs>
        <w:spacing w:line="360" w:lineRule="auto"/>
        <w:rPr>
          <w:sz w:val="24"/>
          <w:highlight w:val="none"/>
        </w:rPr>
      </w:pPr>
      <w:r>
        <w:rPr>
          <w:rFonts w:hint="eastAsia"/>
          <w:sz w:val="24"/>
          <w:highlight w:val="none"/>
        </w:rPr>
        <w:t xml:space="preserve">   </w:t>
      </w:r>
    </w:p>
    <w:p>
      <w:pPr>
        <w:tabs>
          <w:tab w:val="left" w:pos="540"/>
        </w:tabs>
        <w:spacing w:line="360" w:lineRule="auto"/>
        <w:rPr>
          <w:b/>
          <w:sz w:val="24"/>
          <w:highlight w:val="none"/>
        </w:rPr>
      </w:pPr>
      <w:r>
        <w:rPr>
          <w:rFonts w:hint="eastAsia"/>
          <w:b/>
          <w:sz w:val="24"/>
          <w:highlight w:val="none"/>
        </w:rPr>
        <w:t>6.  技术文件：</w:t>
      </w:r>
    </w:p>
    <w:p>
      <w:pPr>
        <w:spacing w:line="360" w:lineRule="auto"/>
        <w:rPr>
          <w:sz w:val="24"/>
          <w:highlight w:val="none"/>
        </w:rPr>
      </w:pPr>
      <w:r>
        <w:rPr>
          <w:rFonts w:hint="eastAsia"/>
          <w:sz w:val="24"/>
          <w:highlight w:val="none"/>
        </w:rPr>
        <w:t>6.1 投标人应提供仪器主体及主要附件的详细的操作、安装及调整说明书。</w:t>
      </w:r>
    </w:p>
    <w:p>
      <w:pPr>
        <w:spacing w:line="360" w:lineRule="auto"/>
        <w:rPr>
          <w:sz w:val="24"/>
          <w:highlight w:val="none"/>
        </w:rPr>
      </w:pPr>
      <w:r>
        <w:rPr>
          <w:rFonts w:hint="eastAsia"/>
          <w:sz w:val="24"/>
          <w:highlight w:val="none"/>
        </w:rPr>
        <w:t>6.2 投标人应提供仪器使用软件的所有说明书。</w:t>
      </w:r>
    </w:p>
    <w:p>
      <w:pPr>
        <w:spacing w:line="360" w:lineRule="auto"/>
        <w:rPr>
          <w:sz w:val="24"/>
          <w:highlight w:val="none"/>
        </w:rPr>
      </w:pPr>
      <w:r>
        <w:rPr>
          <w:rFonts w:hint="eastAsia"/>
          <w:sz w:val="24"/>
          <w:highlight w:val="none"/>
        </w:rPr>
        <w:t>6.3 投标人应提供电子版说明书。</w:t>
      </w:r>
    </w:p>
    <w:p>
      <w:pPr>
        <w:spacing w:line="360" w:lineRule="auto"/>
        <w:rPr>
          <w:sz w:val="24"/>
          <w:highlight w:val="none"/>
        </w:rPr>
      </w:pPr>
      <w:r>
        <w:rPr>
          <w:rFonts w:hint="eastAsia"/>
          <w:sz w:val="24"/>
          <w:highlight w:val="none"/>
        </w:rPr>
        <w:t>6.4 投标人应提供仪器使用软件的备份。</w:t>
      </w:r>
    </w:p>
    <w:p>
      <w:pPr>
        <w:spacing w:line="360" w:lineRule="auto"/>
        <w:rPr>
          <w:sz w:val="24"/>
          <w:highlight w:val="none"/>
        </w:rPr>
      </w:pPr>
    </w:p>
    <w:p>
      <w:pPr>
        <w:spacing w:line="360" w:lineRule="auto"/>
        <w:rPr>
          <w:b/>
          <w:sz w:val="24"/>
          <w:highlight w:val="none"/>
        </w:rPr>
      </w:pPr>
      <w:r>
        <w:rPr>
          <w:rFonts w:hint="eastAsia"/>
          <w:b/>
          <w:sz w:val="24"/>
          <w:highlight w:val="none"/>
        </w:rPr>
        <w:t>（二）质保及售后服务：</w:t>
      </w:r>
    </w:p>
    <w:p>
      <w:pPr>
        <w:spacing w:line="360" w:lineRule="auto"/>
        <w:rPr>
          <w:rFonts w:asci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 xml:space="preserve">.1 </w:t>
      </w:r>
      <w:r>
        <w:rPr>
          <w:rFonts w:hint="eastAsia" w:ascii="宋体" w:hAnsi="宋体" w:cs="宋体"/>
          <w:kern w:val="0"/>
          <w:sz w:val="24"/>
          <w:highlight w:val="none"/>
        </w:rPr>
        <w:t>设备安装、调试和验收</w:t>
      </w:r>
      <w:r>
        <w:rPr>
          <w:rFonts w:ascii="宋体" w:hAnsi="宋体" w:cs="宋体"/>
          <w:kern w:val="0"/>
          <w:sz w:val="24"/>
          <w:highlight w:val="none"/>
        </w:rPr>
        <w:t xml:space="preserve"> </w:t>
      </w:r>
    </w:p>
    <w:p>
      <w:pPr>
        <w:spacing w:line="360" w:lineRule="auto"/>
        <w:rPr>
          <w:rFonts w:asci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 xml:space="preserve">.1.1 </w:t>
      </w:r>
      <w:r>
        <w:rPr>
          <w:rFonts w:hint="eastAsia" w:ascii="宋体" w:hAnsi="宋体" w:cs="宋体"/>
          <w:kern w:val="0"/>
          <w:sz w:val="24"/>
          <w:highlight w:val="none"/>
        </w:rPr>
        <w:t>卖方应在合同生效后的</w:t>
      </w:r>
      <w:r>
        <w:rPr>
          <w:rFonts w:ascii="宋体" w:hAnsi="宋体" w:cs="宋体"/>
          <w:kern w:val="0"/>
          <w:sz w:val="24"/>
          <w:highlight w:val="none"/>
        </w:rPr>
        <w:t>1</w:t>
      </w:r>
      <w:r>
        <w:rPr>
          <w:rFonts w:hint="eastAsia" w:ascii="宋体" w:hAnsi="宋体" w:cs="宋体"/>
          <w:kern w:val="0"/>
          <w:sz w:val="24"/>
          <w:highlight w:val="none"/>
        </w:rPr>
        <w:t>个月内到向买方提出详细的安装要求并提供技术咨询。</w:t>
      </w:r>
    </w:p>
    <w:p>
      <w:pPr>
        <w:spacing w:line="360" w:lineRule="auto"/>
        <w:rPr>
          <w:rFonts w:asci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 xml:space="preserve">.1.2 </w:t>
      </w:r>
      <w:r>
        <w:rPr>
          <w:rFonts w:hint="eastAsia" w:ascii="宋体" w:hAnsi="宋体" w:cs="宋体"/>
          <w:kern w:val="0"/>
          <w:sz w:val="24"/>
          <w:highlight w:val="none"/>
        </w:rPr>
        <w:t>仪器到达买方所在地后，在接到买方通知后</w:t>
      </w:r>
      <w:r>
        <w:rPr>
          <w:rFonts w:ascii="宋体" w:hAnsi="宋体" w:cs="宋体"/>
          <w:kern w:val="0"/>
          <w:sz w:val="24"/>
          <w:highlight w:val="none"/>
        </w:rPr>
        <w:t>2</w:t>
      </w:r>
      <w:r>
        <w:rPr>
          <w:rFonts w:hint="eastAsia" w:ascii="宋体" w:hAnsi="宋体" w:cs="宋体"/>
          <w:kern w:val="0"/>
          <w:sz w:val="24"/>
          <w:highlight w:val="none"/>
        </w:rPr>
        <w:t>周内卖方进行安装调试，并在</w:t>
      </w:r>
      <w:r>
        <w:rPr>
          <w:rFonts w:ascii="宋体" w:hAnsi="宋体" w:cs="宋体"/>
          <w:kern w:val="0"/>
          <w:sz w:val="24"/>
          <w:highlight w:val="none"/>
        </w:rPr>
        <w:t>1</w:t>
      </w:r>
      <w:r>
        <w:rPr>
          <w:rFonts w:hint="eastAsia" w:ascii="宋体" w:hAnsi="宋体" w:cs="宋体"/>
          <w:kern w:val="0"/>
          <w:sz w:val="24"/>
          <w:highlight w:val="none"/>
        </w:rPr>
        <w:t>个月内完成所有技术指标。若</w:t>
      </w:r>
      <w:r>
        <w:rPr>
          <w:rFonts w:ascii="宋体" w:hAnsi="宋体" w:cs="宋体"/>
          <w:kern w:val="0"/>
          <w:sz w:val="24"/>
          <w:highlight w:val="none"/>
        </w:rPr>
        <w:t>1</w:t>
      </w:r>
      <w:r>
        <w:rPr>
          <w:rFonts w:hint="eastAsia" w:ascii="宋体" w:hAnsi="宋体" w:cs="宋体"/>
          <w:kern w:val="0"/>
          <w:sz w:val="24"/>
          <w:highlight w:val="none"/>
        </w:rPr>
        <w:t>个月内无法达到技术指标，买方有权退货，此时卖方必须全额退回买方已支付的款项，</w:t>
      </w:r>
      <w:r>
        <w:rPr>
          <w:rFonts w:hint="eastAsia"/>
          <w:sz w:val="24"/>
          <w:highlight w:val="none"/>
        </w:rPr>
        <w:t>同时承担由此给买方带来的一切经济损失和其它相关责任</w:t>
      </w:r>
      <w:r>
        <w:rPr>
          <w:rFonts w:hint="eastAsia" w:ascii="宋体" w:hAnsi="宋体" w:cs="宋体"/>
          <w:kern w:val="0"/>
          <w:sz w:val="24"/>
          <w:highlight w:val="none"/>
        </w:rPr>
        <w:t>。</w:t>
      </w:r>
    </w:p>
    <w:p>
      <w:pPr>
        <w:spacing w:line="360" w:lineRule="auto"/>
        <w:rPr>
          <w:rFonts w:ascii="宋体" w:hAnsi="宋体" w:cs="宋体"/>
          <w:kern w:val="0"/>
          <w:sz w:val="24"/>
          <w:highlight w:val="none"/>
        </w:rPr>
      </w:pPr>
      <w:r>
        <w:rPr>
          <w:rFonts w:hint="eastAsia" w:ascii="宋体" w:hAnsi="宋体" w:cs="宋体"/>
          <w:kern w:val="0"/>
          <w:sz w:val="24"/>
          <w:highlight w:val="none"/>
        </w:rPr>
        <w:t>1.1.3 卖方、买方共同参加开箱检验，及时对货物数量、品种、型号、规格进行核对、检验，如果在联合开箱检验中发现货物有任何短少，缺损，缺陷或与合同规定不符，双方代表应当场签署1份详细报告，该报告将作为买方在卖方有责任的情况下要求卖方进行更换、修理或补充发货的有效证据。</w:t>
      </w:r>
    </w:p>
    <w:p>
      <w:pPr>
        <w:spacing w:line="360" w:lineRule="auto"/>
        <w:rPr>
          <w:rFonts w:asci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 xml:space="preserve">.2 </w:t>
      </w:r>
      <w:r>
        <w:rPr>
          <w:rFonts w:hint="eastAsia" w:ascii="宋体" w:hAnsi="宋体" w:cs="宋体"/>
          <w:kern w:val="0"/>
          <w:sz w:val="24"/>
          <w:highlight w:val="none"/>
        </w:rPr>
        <w:t>质量保证：卖方保证所提供产品是全新的、其功能与指标满足制造商的技术标准，并保证无条件满足中华人民共和国国家强制性执行标准，确保人身安全和劳动保护条件。</w:t>
      </w:r>
    </w:p>
    <w:p>
      <w:pPr>
        <w:spacing w:line="360" w:lineRule="auto"/>
        <w:rPr>
          <w:rFonts w:ascii="宋体" w:cs="宋体"/>
          <w:kern w:val="0"/>
          <w:sz w:val="24"/>
          <w:highlight w:val="none"/>
        </w:rPr>
      </w:pPr>
      <w:r>
        <w:rPr>
          <w:rFonts w:hint="eastAsia" w:ascii="宋体" w:hAnsi="宋体"/>
          <w:sz w:val="24"/>
          <w:highlight w:val="none"/>
        </w:rPr>
        <w:t>1</w:t>
      </w:r>
      <w:r>
        <w:rPr>
          <w:rFonts w:ascii="宋体" w:hAnsi="宋体"/>
          <w:sz w:val="24"/>
          <w:highlight w:val="none"/>
        </w:rPr>
        <w:t xml:space="preserve">.3 </w:t>
      </w:r>
      <w:r>
        <w:rPr>
          <w:rFonts w:hint="eastAsia" w:ascii="宋体" w:hAnsi="宋体"/>
          <w:sz w:val="24"/>
          <w:highlight w:val="none"/>
        </w:rPr>
        <w:t>技术培训：卖方设备安装调试完成后，应对用户技术人员进行调试、操作、仪器维</w:t>
      </w:r>
      <w:r>
        <w:rPr>
          <w:rFonts w:hint="eastAsia" w:ascii="宋体" w:hAnsi="宋体" w:cs="宋体"/>
          <w:kern w:val="0"/>
          <w:sz w:val="24"/>
          <w:highlight w:val="none"/>
        </w:rPr>
        <w:t>护、故障排除等方面的现场培训，直至用户学会为止。</w:t>
      </w:r>
    </w:p>
    <w:p>
      <w:pPr>
        <w:spacing w:line="360" w:lineRule="auto"/>
        <w:rPr>
          <w:sz w:val="24"/>
          <w:highlight w:val="none"/>
        </w:rPr>
      </w:pPr>
      <w:r>
        <w:rPr>
          <w:rFonts w:hint="eastAsia" w:ascii="宋体" w:hAnsi="宋体" w:cs="宋体"/>
          <w:kern w:val="0"/>
          <w:sz w:val="24"/>
          <w:highlight w:val="none"/>
        </w:rPr>
        <w:t>1</w:t>
      </w:r>
      <w:r>
        <w:rPr>
          <w:rFonts w:ascii="宋体" w:hAnsi="宋体" w:cs="宋体"/>
          <w:kern w:val="0"/>
          <w:sz w:val="24"/>
          <w:highlight w:val="none"/>
        </w:rPr>
        <w:t>.4</w:t>
      </w:r>
      <w:r>
        <w:rPr>
          <w:rFonts w:hint="eastAsia"/>
          <w:sz w:val="24"/>
          <w:highlight w:val="none"/>
        </w:rPr>
        <w:t>保修期：仪器保修期为12个月，主要部件加热炉和TCD检测器保修15年。分离柱报修10年。</w:t>
      </w:r>
    </w:p>
    <w:p>
      <w:pPr>
        <w:spacing w:line="360" w:lineRule="auto"/>
        <w:rPr>
          <w:rFonts w:ascii="宋体" w:hAnsi="宋体" w:cs="宋体"/>
          <w:kern w:val="0"/>
          <w:sz w:val="24"/>
          <w:highlight w:val="none"/>
        </w:rPr>
      </w:pPr>
      <w:r>
        <w:rPr>
          <w:rFonts w:hint="eastAsia"/>
          <w:sz w:val="24"/>
          <w:highlight w:val="none"/>
        </w:rPr>
        <w:t>备注：</w:t>
      </w:r>
      <w:r>
        <w:rPr>
          <w:rFonts w:hint="eastAsia" w:ascii="宋体" w:hAnsi="宋体" w:cs="宋体"/>
          <w:kern w:val="0"/>
          <w:sz w:val="24"/>
          <w:highlight w:val="none"/>
        </w:rPr>
        <w:t>保修期自用户验收签字之日起计算。如因客户原因未能及时安装调试，保修期从货到达目的港口之日计起15个月。保修期内出现故障导致仪器停用的时间，从保修期中扣除。保修期满前</w:t>
      </w:r>
      <w:r>
        <w:rPr>
          <w:rFonts w:ascii="宋体" w:hAnsi="宋体" w:cs="宋体"/>
          <w:kern w:val="0"/>
          <w:sz w:val="24"/>
          <w:highlight w:val="none"/>
        </w:rPr>
        <w:t>1</w:t>
      </w:r>
      <w:r>
        <w:rPr>
          <w:rFonts w:hint="eastAsia" w:ascii="宋体" w:hAnsi="宋体" w:cs="宋体"/>
          <w:kern w:val="0"/>
          <w:sz w:val="24"/>
          <w:highlight w:val="none"/>
        </w:rPr>
        <w:t>个月内卖方应负责一次免费全面检查，并写出正式报告，如发现潜在问题，应负责排除 。</w:t>
      </w:r>
    </w:p>
    <w:p>
      <w:pPr>
        <w:spacing w:line="360" w:lineRule="auto"/>
        <w:rPr>
          <w:rFonts w:ascii="宋体" w:cs="宋体"/>
          <w:kern w:val="0"/>
          <w:sz w:val="24"/>
          <w:highlight w:val="none"/>
        </w:rPr>
      </w:pPr>
    </w:p>
    <w:p>
      <w:pPr>
        <w:spacing w:line="360" w:lineRule="auto"/>
        <w:rPr>
          <w:rFonts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 xml:space="preserve">.5 </w:t>
      </w:r>
      <w:r>
        <w:rPr>
          <w:rFonts w:hint="eastAsia" w:ascii="宋体" w:hAnsi="宋体" w:cs="宋体"/>
          <w:kern w:val="0"/>
          <w:sz w:val="24"/>
          <w:highlight w:val="none"/>
        </w:rPr>
        <w:t>维修响应时间：卖方应在</w:t>
      </w:r>
      <w:r>
        <w:rPr>
          <w:rFonts w:ascii="宋体" w:hAnsi="宋体" w:cs="宋体"/>
          <w:kern w:val="0"/>
          <w:sz w:val="24"/>
          <w:highlight w:val="none"/>
        </w:rPr>
        <w:t>24</w:t>
      </w:r>
      <w:r>
        <w:rPr>
          <w:rFonts w:hint="eastAsia" w:ascii="宋体" w:hAnsi="宋体" w:cs="宋体"/>
          <w:kern w:val="0"/>
          <w:sz w:val="24"/>
          <w:highlight w:val="none"/>
        </w:rPr>
        <w:t>小时内对用户的服务要求做出响应，维修服务包括电话指导和现场维修；需要现场维修的，卖方工程师应尽快到达仪器现场；当设备故障严重时</w:t>
      </w:r>
      <w:r>
        <w:rPr>
          <w:rFonts w:ascii="宋体" w:cs="宋体"/>
          <w:kern w:val="0"/>
          <w:sz w:val="24"/>
          <w:highlight w:val="none"/>
        </w:rPr>
        <w:t>,</w:t>
      </w:r>
      <w:r>
        <w:rPr>
          <w:rFonts w:hint="eastAsia" w:ascii="宋体" w:hAnsi="宋体" w:cs="宋体"/>
          <w:kern w:val="0"/>
          <w:sz w:val="24"/>
          <w:highlight w:val="none"/>
        </w:rPr>
        <w:t>须在五个工作日内到现场解决问题。</w:t>
      </w:r>
    </w:p>
    <w:p>
      <w:pPr>
        <w:spacing w:line="360" w:lineRule="auto"/>
        <w:rPr>
          <w:b/>
          <w:sz w:val="24"/>
          <w:highlight w:val="none"/>
        </w:rPr>
      </w:pPr>
      <w:r>
        <w:rPr>
          <w:rFonts w:hint="eastAsia" w:ascii="宋体" w:hAnsi="宋体" w:cs="宋体"/>
          <w:kern w:val="0"/>
          <w:sz w:val="24"/>
          <w:highlight w:val="none"/>
        </w:rPr>
        <w:t>1.6</w:t>
      </w:r>
      <w:r>
        <w:rPr>
          <w:rFonts w:ascii="宋体" w:hAnsi="宋体" w:cs="宋体"/>
          <w:kern w:val="0"/>
          <w:sz w:val="24"/>
          <w:highlight w:val="none"/>
        </w:rPr>
        <w:t xml:space="preserve"> </w:t>
      </w:r>
      <w:r>
        <w:rPr>
          <w:rFonts w:hint="eastAsia" w:ascii="宋体" w:hAnsi="宋体" w:cs="宋体"/>
          <w:kern w:val="0"/>
          <w:sz w:val="24"/>
          <w:highlight w:val="none"/>
        </w:rPr>
        <w:t>软、硬件升级：仪器在保修期内或保修期外，卖方应免费向用户提供仪器软件升级服务，与之相关的硬件升级收取成本费。</w:t>
      </w:r>
    </w:p>
    <w:p>
      <w:pPr>
        <w:spacing w:line="360" w:lineRule="auto"/>
        <w:rPr>
          <w:b/>
          <w:sz w:val="24"/>
          <w:highlight w:val="none"/>
        </w:rPr>
      </w:pPr>
    </w:p>
    <w:p>
      <w:pPr>
        <w:spacing w:line="360" w:lineRule="auto"/>
        <w:rPr>
          <w:b/>
          <w:sz w:val="24"/>
          <w:highlight w:val="none"/>
        </w:rPr>
      </w:pPr>
      <w:r>
        <w:rPr>
          <w:rFonts w:hint="eastAsia"/>
          <w:b/>
          <w:sz w:val="24"/>
          <w:highlight w:val="none"/>
        </w:rPr>
        <w:t>（三） 订货数量：</w:t>
      </w:r>
    </w:p>
    <w:p>
      <w:pPr>
        <w:spacing w:line="360" w:lineRule="auto"/>
        <w:ind w:firstLine="240" w:firstLineChars="100"/>
        <w:rPr>
          <w:sz w:val="24"/>
          <w:highlight w:val="none"/>
        </w:rPr>
      </w:pPr>
      <w:r>
        <w:rPr>
          <w:rFonts w:hint="eastAsia"/>
          <w:sz w:val="24"/>
          <w:highlight w:val="none"/>
        </w:rPr>
        <w:t xml:space="preserve"> 元素分析仪1套</w:t>
      </w:r>
    </w:p>
    <w:p>
      <w:pPr>
        <w:spacing w:line="360" w:lineRule="auto"/>
        <w:rPr>
          <w:sz w:val="24"/>
          <w:highlight w:val="none"/>
        </w:rPr>
      </w:pPr>
    </w:p>
    <w:p>
      <w:pPr>
        <w:spacing w:line="360" w:lineRule="auto"/>
        <w:rPr>
          <w:b/>
          <w:sz w:val="24"/>
          <w:highlight w:val="none"/>
        </w:rPr>
      </w:pPr>
      <w:r>
        <w:rPr>
          <w:rFonts w:hint="eastAsia"/>
          <w:b/>
          <w:sz w:val="24"/>
          <w:highlight w:val="none"/>
        </w:rPr>
        <w:t>（四） 目的港：</w:t>
      </w:r>
    </w:p>
    <w:p>
      <w:pPr>
        <w:spacing w:line="360" w:lineRule="auto"/>
        <w:ind w:firstLine="240"/>
        <w:rPr>
          <w:sz w:val="24"/>
          <w:highlight w:val="none"/>
        </w:rPr>
      </w:pPr>
      <w:r>
        <w:rPr>
          <w:rFonts w:hint="eastAsia"/>
          <w:sz w:val="24"/>
          <w:highlight w:val="none"/>
        </w:rPr>
        <w:t xml:space="preserve"> CIP福州/用户现场</w:t>
      </w:r>
    </w:p>
    <w:p>
      <w:pPr>
        <w:spacing w:line="360" w:lineRule="auto"/>
        <w:rPr>
          <w:sz w:val="24"/>
          <w:highlight w:val="none"/>
        </w:rPr>
      </w:pPr>
    </w:p>
    <w:p>
      <w:pPr>
        <w:spacing w:line="360" w:lineRule="auto"/>
        <w:rPr>
          <w:b/>
          <w:sz w:val="24"/>
          <w:highlight w:val="none"/>
        </w:rPr>
      </w:pPr>
      <w:r>
        <w:rPr>
          <w:rFonts w:hint="eastAsia"/>
          <w:b/>
          <w:sz w:val="24"/>
          <w:highlight w:val="none"/>
        </w:rPr>
        <w:t>（五）交货日期：</w:t>
      </w:r>
    </w:p>
    <w:p>
      <w:pPr>
        <w:spacing w:line="360" w:lineRule="auto"/>
        <w:rPr>
          <w:sz w:val="24"/>
          <w:highlight w:val="none"/>
        </w:rPr>
      </w:pPr>
      <w:r>
        <w:rPr>
          <w:rFonts w:hint="eastAsia"/>
          <w:sz w:val="24"/>
          <w:highlight w:val="none"/>
        </w:rPr>
        <w:t xml:space="preserve">  合同生效后4-6个月内。                                           </w:t>
      </w:r>
    </w:p>
    <w:p>
      <w:pPr>
        <w:spacing w:line="360" w:lineRule="auto"/>
        <w:rPr>
          <w:sz w:val="24"/>
        </w:rPr>
      </w:pPr>
    </w:p>
    <w:p>
      <w:pPr>
        <w:widowControl/>
        <w:spacing w:line="360" w:lineRule="atLeast"/>
        <w:rPr>
          <w:rFonts w:ascii="宋体" w:hAnsi="宋体"/>
          <w:b/>
          <w:sz w:val="30"/>
          <w:szCs w:val="30"/>
        </w:rPr>
      </w:pPr>
    </w:p>
    <w:p>
      <w:bookmarkStart w:id="0" w:name="_GoBack"/>
      <w:bookmarkEnd w:id="0"/>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22</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YzdjODk4ZWI5MDNiZmQ2YmU5MDUyNmUyYTY1OWUifQ=="/>
  </w:docVars>
  <w:rsids>
    <w:rsidRoot w:val="01031146"/>
    <w:rsid w:val="01031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2023-07-24T09:14:00Z</dcterms:created>
  <dc:creator>godjiao</dc:creator>
  <cp:lastModifiedBy>godjiao</cp:lastModifiedBy>
  <dcterms:modified xsi:type="dcterms:W3CDTF">2023-07-24T09:14:42Z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F1169AE12BC64EB59E510B353A9E559C_11</vt:lpwstr>
  </property>
</Properties>
</file>