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1"/>
        </w:numPr>
        <w:rPr>
          <w:rFonts w:hint="eastAsia" w:ascii="宋体" w:hAnsi="宋体" w:eastAsia="宋体" w:cs="宋体"/>
          <w:color w:val="auto"/>
          <w:sz w:val="36"/>
        </w:rPr>
      </w:pPr>
      <w:r>
        <w:rPr>
          <w:rFonts w:hint="eastAsia" w:ascii="宋体" w:hAnsi="宋体" w:eastAsia="宋体" w:cs="宋体"/>
          <w:color w:val="auto"/>
          <w:sz w:val="36"/>
        </w:rPr>
        <w:t>技术需求书</w:t>
      </w:r>
    </w:p>
    <w:p>
      <w:pPr>
        <w:pStyle w:val="8"/>
        <w:spacing w:line="360" w:lineRule="auto"/>
        <w:ind w:firstLine="0" w:firstLineChars="0"/>
        <w:rPr>
          <w:rFonts w:hint="eastAsia" w:ascii="宋体" w:hAnsi="宋体" w:eastAsia="宋体" w:cs="宋体"/>
          <w:b/>
          <w:bCs/>
          <w:color w:val="auto"/>
          <w:kern w:val="0"/>
          <w:szCs w:val="24"/>
          <w:shd w:val="clear" w:color="auto" w:fill="FFFFFF"/>
        </w:rPr>
      </w:pPr>
      <w:r>
        <w:rPr>
          <w:rFonts w:hint="eastAsia" w:ascii="宋体" w:hAnsi="宋体" w:eastAsia="宋体" w:cs="宋体"/>
          <w:b/>
          <w:bCs/>
          <w:color w:val="auto"/>
          <w:kern w:val="0"/>
          <w:szCs w:val="24"/>
          <w:shd w:val="clear" w:color="auto" w:fill="FFFFFF"/>
        </w:rPr>
        <w:t>一、项目介绍</w:t>
      </w:r>
    </w:p>
    <w:p>
      <w:pPr>
        <w:pStyle w:val="8"/>
        <w:spacing w:line="360" w:lineRule="auto"/>
        <w:ind w:firstLine="480"/>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北京邮电大学电子信息子平台采购项目是智慧柔性电子在全</w:t>
      </w:r>
      <w:bookmarkStart w:id="0" w:name="_GoBack"/>
      <w:bookmarkEnd w:id="0"/>
      <w:r>
        <w:rPr>
          <w:rFonts w:hint="eastAsia" w:ascii="宋体" w:hAnsi="宋体" w:eastAsia="宋体" w:cs="宋体"/>
          <w:color w:val="auto"/>
          <w:kern w:val="0"/>
          <w:szCs w:val="24"/>
          <w:shd w:val="clear" w:color="auto" w:fill="FFFFFF"/>
        </w:rPr>
        <w:t>时全域光电互联人才培养的重要平台，该平台主要涵盖了虚实结合“光核芯”综合设计、开发和测试实验平台和全时全域光电系统综合实验平台，本次拟购买的原子力显微镜和系统测试和创新用误码分析仪是实验平台中的重要测试工具，是开展电子信息</w:t>
      </w:r>
      <w:r>
        <w:rPr>
          <w:rFonts w:hint="eastAsia" w:hAnsi="宋体" w:cs="宋体"/>
          <w:color w:val="auto"/>
          <w:kern w:val="0"/>
          <w:szCs w:val="24"/>
          <w:shd w:val="clear" w:color="auto" w:fill="FFFFFF"/>
          <w:lang w:eastAsia="zh-CN"/>
        </w:rPr>
        <w:t>教学</w:t>
      </w:r>
      <w:r>
        <w:rPr>
          <w:rFonts w:hint="eastAsia" w:ascii="宋体" w:hAnsi="宋体" w:eastAsia="宋体" w:cs="宋体"/>
          <w:color w:val="auto"/>
          <w:kern w:val="0"/>
          <w:szCs w:val="24"/>
          <w:shd w:val="clear" w:color="auto" w:fill="FFFFFF"/>
        </w:rPr>
        <w:t>工作的必要需求。利用原子力显微镜可以对器件的结构实现直接观察和测试，利用系统测试和创新用误码分析仪可以测试器件在系统网络中的特性测试，是材料、器件的教学、科研中不可或缺的工具；该平台能满足北京邮电大学器件测试的教学和科研需求。</w:t>
      </w:r>
    </w:p>
    <w:p>
      <w:pPr>
        <w:pStyle w:val="8"/>
        <w:spacing w:line="360" w:lineRule="auto"/>
        <w:ind w:firstLine="0" w:firstLineChars="0"/>
        <w:rPr>
          <w:rFonts w:hint="eastAsia" w:ascii="宋体" w:hAnsi="宋体" w:eastAsia="宋体" w:cs="宋体"/>
          <w:b/>
          <w:bCs/>
          <w:color w:val="auto"/>
          <w:kern w:val="0"/>
          <w:szCs w:val="24"/>
          <w:shd w:val="clear" w:color="auto" w:fill="FFFFFF"/>
        </w:rPr>
      </w:pPr>
      <w:r>
        <w:rPr>
          <w:rFonts w:hint="eastAsia" w:ascii="宋体" w:hAnsi="宋体" w:eastAsia="宋体" w:cs="宋体"/>
          <w:b/>
          <w:bCs/>
          <w:color w:val="auto"/>
          <w:kern w:val="0"/>
          <w:szCs w:val="24"/>
          <w:shd w:val="clear" w:color="auto" w:fill="FFFFFF"/>
        </w:rPr>
        <w:t>二、项目履约时间、地点</w:t>
      </w:r>
    </w:p>
    <w:p>
      <w:pPr>
        <w:pStyle w:val="8"/>
        <w:spacing w:line="360" w:lineRule="auto"/>
        <w:ind w:firstLine="0" w:firstLineChars="0"/>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1、履约时间：合同签订后60天内交货</w:t>
      </w:r>
    </w:p>
    <w:p>
      <w:pPr>
        <w:pStyle w:val="8"/>
        <w:spacing w:line="360" w:lineRule="auto"/>
        <w:ind w:firstLine="0" w:firstLineChars="0"/>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2、履约地点：（履约详细地址）北京邮电大学主楼707</w:t>
      </w:r>
    </w:p>
    <w:p>
      <w:pPr>
        <w:pStyle w:val="8"/>
        <w:spacing w:line="360" w:lineRule="auto"/>
        <w:ind w:firstLine="0" w:firstLineChars="0"/>
        <w:rPr>
          <w:rFonts w:hint="eastAsia" w:ascii="宋体" w:hAnsi="宋体" w:eastAsia="宋体" w:cs="宋体"/>
          <w:b/>
          <w:bCs/>
          <w:color w:val="auto"/>
          <w:kern w:val="0"/>
          <w:szCs w:val="24"/>
          <w:shd w:val="clear" w:color="auto" w:fill="FFFFFF"/>
        </w:rPr>
      </w:pPr>
      <w:r>
        <w:rPr>
          <w:rFonts w:hint="eastAsia" w:ascii="宋体" w:hAnsi="宋体" w:eastAsia="宋体" w:cs="宋体"/>
          <w:b/>
          <w:bCs/>
          <w:color w:val="auto"/>
          <w:kern w:val="0"/>
          <w:szCs w:val="24"/>
          <w:shd w:val="clear" w:color="auto" w:fill="FFFFFF"/>
        </w:rPr>
        <w:t>三、采购产品一览表</w:t>
      </w:r>
    </w:p>
    <w:tbl>
      <w:tblPr>
        <w:tblStyle w:val="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2390"/>
        <w:gridCol w:w="835"/>
        <w:gridCol w:w="836"/>
        <w:gridCol w:w="1769"/>
        <w:gridCol w:w="15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75" w:type="dxa"/>
            <w:vAlign w:val="center"/>
          </w:tcPr>
          <w:p>
            <w:pPr>
              <w:widowControl/>
              <w:adjustRightInd/>
              <w:snapToGrid/>
              <w:spacing w:line="360" w:lineRule="auto"/>
              <w:jc w:val="center"/>
              <w:textAlignment w:val="center"/>
              <w:rPr>
                <w:rFonts w:hint="eastAsia" w:ascii="宋体" w:hAnsi="宋体" w:eastAsia="宋体" w:cs="宋体"/>
                <w:b/>
                <w:bCs/>
                <w:color w:val="auto"/>
                <w:kern w:val="0"/>
                <w:szCs w:val="24"/>
                <w:lang w:bidi="ar"/>
              </w:rPr>
            </w:pPr>
            <w:r>
              <w:rPr>
                <w:rFonts w:hint="eastAsia" w:ascii="宋体" w:hAnsi="宋体" w:eastAsia="宋体" w:cs="宋体"/>
                <w:b/>
                <w:bCs/>
                <w:color w:val="auto"/>
                <w:kern w:val="0"/>
                <w:szCs w:val="24"/>
                <w:lang w:bidi="ar"/>
              </w:rPr>
              <w:t>序号</w:t>
            </w:r>
          </w:p>
        </w:tc>
        <w:tc>
          <w:tcPr>
            <w:tcW w:w="2465" w:type="dxa"/>
            <w:vAlign w:val="center"/>
          </w:tcPr>
          <w:p>
            <w:pPr>
              <w:widowControl/>
              <w:adjustRightInd/>
              <w:snapToGrid/>
              <w:spacing w:line="360" w:lineRule="auto"/>
              <w:jc w:val="center"/>
              <w:textAlignment w:val="center"/>
              <w:rPr>
                <w:rFonts w:hint="eastAsia" w:ascii="宋体" w:hAnsi="宋体" w:eastAsia="宋体" w:cs="宋体"/>
                <w:b/>
                <w:bCs/>
                <w:color w:val="auto"/>
                <w:kern w:val="0"/>
                <w:szCs w:val="24"/>
                <w:lang w:bidi="ar"/>
              </w:rPr>
            </w:pPr>
            <w:r>
              <w:rPr>
                <w:rFonts w:hint="eastAsia" w:ascii="宋体" w:hAnsi="宋体" w:eastAsia="宋体" w:cs="宋体"/>
                <w:b/>
                <w:bCs/>
                <w:color w:val="auto"/>
                <w:kern w:val="0"/>
                <w:szCs w:val="24"/>
                <w:lang w:bidi="ar"/>
              </w:rPr>
              <w:t>产品名称</w:t>
            </w:r>
          </w:p>
        </w:tc>
        <w:tc>
          <w:tcPr>
            <w:tcW w:w="850" w:type="dxa"/>
            <w:vAlign w:val="center"/>
          </w:tcPr>
          <w:p>
            <w:pPr>
              <w:widowControl/>
              <w:adjustRightInd/>
              <w:snapToGrid/>
              <w:spacing w:line="360" w:lineRule="auto"/>
              <w:jc w:val="center"/>
              <w:textAlignment w:val="center"/>
              <w:rPr>
                <w:rFonts w:hint="eastAsia" w:ascii="宋体" w:hAnsi="宋体" w:eastAsia="宋体" w:cs="宋体"/>
                <w:b/>
                <w:bCs/>
                <w:color w:val="auto"/>
                <w:kern w:val="0"/>
                <w:szCs w:val="24"/>
                <w:lang w:bidi="ar"/>
              </w:rPr>
            </w:pPr>
            <w:r>
              <w:rPr>
                <w:rFonts w:hint="eastAsia" w:ascii="宋体" w:hAnsi="宋体" w:eastAsia="宋体" w:cs="宋体"/>
                <w:b/>
                <w:bCs/>
                <w:color w:val="auto"/>
                <w:kern w:val="0"/>
                <w:szCs w:val="24"/>
                <w:lang w:bidi="ar"/>
              </w:rPr>
              <w:t>单位</w:t>
            </w:r>
          </w:p>
        </w:tc>
        <w:tc>
          <w:tcPr>
            <w:tcW w:w="851" w:type="dxa"/>
            <w:vAlign w:val="center"/>
          </w:tcPr>
          <w:p>
            <w:pPr>
              <w:widowControl/>
              <w:adjustRightInd/>
              <w:snapToGrid/>
              <w:spacing w:line="360" w:lineRule="auto"/>
              <w:jc w:val="center"/>
              <w:textAlignment w:val="center"/>
              <w:rPr>
                <w:rFonts w:hint="eastAsia" w:ascii="宋体" w:hAnsi="宋体" w:eastAsia="宋体" w:cs="宋体"/>
                <w:b/>
                <w:bCs/>
                <w:color w:val="auto"/>
                <w:kern w:val="0"/>
                <w:szCs w:val="24"/>
                <w:lang w:bidi="ar"/>
              </w:rPr>
            </w:pPr>
            <w:r>
              <w:rPr>
                <w:rFonts w:hint="eastAsia" w:ascii="宋体" w:hAnsi="宋体" w:eastAsia="宋体" w:cs="宋体"/>
                <w:b/>
                <w:bCs/>
                <w:color w:val="auto"/>
                <w:kern w:val="0"/>
                <w:szCs w:val="24"/>
                <w:lang w:bidi="ar"/>
              </w:rPr>
              <w:t>数量</w:t>
            </w:r>
          </w:p>
        </w:tc>
        <w:tc>
          <w:tcPr>
            <w:tcW w:w="1819" w:type="dxa"/>
            <w:vAlign w:val="center"/>
          </w:tcPr>
          <w:p>
            <w:pPr>
              <w:adjustRightInd/>
              <w:snapToGrid/>
              <w:spacing w:line="360" w:lineRule="auto"/>
              <w:jc w:val="center"/>
              <w:rPr>
                <w:rFonts w:hint="eastAsia" w:ascii="宋体" w:hAnsi="宋体" w:eastAsia="宋体" w:cs="宋体"/>
                <w:b/>
                <w:bCs/>
                <w:color w:val="auto"/>
                <w:szCs w:val="24"/>
              </w:rPr>
            </w:pPr>
            <w:r>
              <w:rPr>
                <w:rFonts w:hint="eastAsia" w:ascii="宋体" w:hAnsi="宋体" w:eastAsia="宋体" w:cs="宋体"/>
                <w:b/>
                <w:bCs/>
                <w:color w:val="auto"/>
                <w:szCs w:val="24"/>
              </w:rPr>
              <w:t>是否为核心产品</w:t>
            </w:r>
          </w:p>
        </w:tc>
        <w:tc>
          <w:tcPr>
            <w:tcW w:w="1602" w:type="dxa"/>
            <w:vAlign w:val="center"/>
          </w:tcPr>
          <w:p>
            <w:pPr>
              <w:adjustRightInd/>
              <w:snapToGrid/>
              <w:spacing w:line="360" w:lineRule="auto"/>
              <w:jc w:val="center"/>
              <w:rPr>
                <w:rFonts w:hint="eastAsia" w:ascii="宋体" w:hAnsi="宋体" w:eastAsia="宋体" w:cs="宋体"/>
                <w:b/>
                <w:bCs/>
                <w:color w:val="auto"/>
                <w:szCs w:val="24"/>
              </w:rPr>
            </w:pPr>
            <w:r>
              <w:rPr>
                <w:rFonts w:hint="eastAsia" w:ascii="宋体" w:hAnsi="宋体" w:eastAsia="宋体" w:cs="宋体"/>
                <w:b/>
                <w:bCs/>
                <w:color w:val="auto"/>
                <w:szCs w:val="24"/>
              </w:rPr>
              <w:t>产地（国产/进口，进口是否免税）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675"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1</w:t>
            </w:r>
          </w:p>
        </w:tc>
        <w:tc>
          <w:tcPr>
            <w:tcW w:w="2465"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系统测试和创新用误码</w:t>
            </w:r>
          </w:p>
        </w:tc>
        <w:tc>
          <w:tcPr>
            <w:tcW w:w="850"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台</w:t>
            </w:r>
          </w:p>
        </w:tc>
        <w:tc>
          <w:tcPr>
            <w:tcW w:w="851"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1</w:t>
            </w:r>
          </w:p>
        </w:tc>
        <w:tc>
          <w:tcPr>
            <w:tcW w:w="1819"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是</w:t>
            </w:r>
          </w:p>
        </w:tc>
        <w:tc>
          <w:tcPr>
            <w:tcW w:w="1602"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675"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2</w:t>
            </w:r>
          </w:p>
        </w:tc>
        <w:tc>
          <w:tcPr>
            <w:tcW w:w="2465"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原子力显微镜</w:t>
            </w:r>
          </w:p>
        </w:tc>
        <w:tc>
          <w:tcPr>
            <w:tcW w:w="850"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台</w:t>
            </w:r>
          </w:p>
        </w:tc>
        <w:tc>
          <w:tcPr>
            <w:tcW w:w="851"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1</w:t>
            </w:r>
          </w:p>
        </w:tc>
        <w:tc>
          <w:tcPr>
            <w:tcW w:w="1819"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eastAsia="zh-CN" w:bidi="ar"/>
              </w:rPr>
            </w:pPr>
            <w:r>
              <w:rPr>
                <w:rFonts w:hint="eastAsia" w:hAnsi="宋体" w:cs="宋体"/>
                <w:color w:val="auto"/>
                <w:kern w:val="0"/>
                <w:szCs w:val="24"/>
                <w:lang w:eastAsia="zh-CN" w:bidi="ar"/>
              </w:rPr>
              <w:t>否</w:t>
            </w:r>
          </w:p>
        </w:tc>
        <w:tc>
          <w:tcPr>
            <w:tcW w:w="1602" w:type="dxa"/>
            <w:vAlign w:val="center"/>
          </w:tcPr>
          <w:p>
            <w:pPr>
              <w:widowControl/>
              <w:adjustRightInd/>
              <w:snapToGrid/>
              <w:spacing w:line="360" w:lineRule="auto"/>
              <w:jc w:val="center"/>
              <w:textAlignment w:val="center"/>
              <w:rPr>
                <w:rFonts w:hint="eastAsia" w:ascii="宋体" w:hAnsi="宋体" w:eastAsia="宋体" w:cs="宋体"/>
                <w:color w:val="auto"/>
                <w:kern w:val="0"/>
                <w:szCs w:val="24"/>
                <w:lang w:bidi="ar"/>
              </w:rPr>
            </w:pPr>
            <w:r>
              <w:rPr>
                <w:rFonts w:hint="eastAsia" w:ascii="宋体" w:hAnsi="宋体" w:eastAsia="宋体" w:cs="宋体"/>
                <w:color w:val="auto"/>
                <w:kern w:val="0"/>
                <w:szCs w:val="24"/>
                <w:lang w:bidi="ar"/>
              </w:rPr>
              <w:t>国产</w:t>
            </w:r>
          </w:p>
        </w:tc>
      </w:tr>
    </w:tbl>
    <w:p>
      <w:pPr>
        <w:pStyle w:val="8"/>
        <w:spacing w:line="360" w:lineRule="auto"/>
        <w:ind w:firstLine="0" w:firstLineChars="0"/>
        <w:rPr>
          <w:rFonts w:hint="eastAsia" w:ascii="宋体" w:hAnsi="宋体" w:eastAsia="宋体" w:cs="宋体"/>
          <w:b/>
          <w:bCs/>
          <w:color w:val="auto"/>
          <w:kern w:val="0"/>
          <w:szCs w:val="24"/>
          <w:shd w:val="clear" w:color="auto" w:fill="FFFFFF"/>
        </w:rPr>
      </w:pPr>
      <w:r>
        <w:rPr>
          <w:rFonts w:hint="eastAsia" w:ascii="宋体" w:hAnsi="宋体" w:eastAsia="宋体" w:cs="宋体"/>
          <w:b/>
          <w:bCs/>
          <w:color w:val="auto"/>
          <w:kern w:val="0"/>
          <w:szCs w:val="24"/>
          <w:shd w:val="clear" w:color="auto" w:fill="FFFFFF"/>
        </w:rPr>
        <w:t>四、产品指标要求和实施方案</w:t>
      </w:r>
    </w:p>
    <w:p>
      <w:pPr>
        <w:pStyle w:val="8"/>
        <w:spacing w:line="360" w:lineRule="auto"/>
        <w:ind w:firstLine="0" w:firstLineChars="0"/>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重要性分为“★”、“#”和“△”。★代表关键指标，不满足该指标项将导致投标被拒绝，#代表重要指标，△代表一般指标项。</w:t>
      </w:r>
    </w:p>
    <w:p>
      <w:pPr>
        <w:pStyle w:val="8"/>
        <w:spacing w:line="360" w:lineRule="auto"/>
        <w:ind w:firstLine="0" w:firstLineChars="0"/>
        <w:rPr>
          <w:rFonts w:hint="eastAsia" w:ascii="宋体" w:hAnsi="宋体" w:eastAsia="宋体" w:cs="宋体"/>
          <w:b/>
          <w:bCs/>
          <w:color w:val="auto"/>
          <w:kern w:val="0"/>
          <w:szCs w:val="24"/>
          <w:shd w:val="clear" w:color="auto" w:fill="FFFFFF"/>
        </w:rPr>
      </w:pPr>
      <w:r>
        <w:rPr>
          <w:rFonts w:hint="eastAsia" w:hAnsi="宋体" w:cs="宋体"/>
          <w:b/>
          <w:bCs/>
          <w:color w:val="auto"/>
          <w:kern w:val="0"/>
          <w:szCs w:val="24"/>
          <w:shd w:val="clear" w:color="auto" w:fill="FFFFFF"/>
          <w:lang w:val="en-US" w:eastAsia="zh-CN"/>
        </w:rPr>
        <w:t>1</w:t>
      </w:r>
      <w:r>
        <w:rPr>
          <w:rFonts w:hint="eastAsia" w:ascii="宋体" w:hAnsi="宋体" w:eastAsia="宋体" w:cs="宋体"/>
          <w:b/>
          <w:bCs/>
          <w:color w:val="auto"/>
          <w:kern w:val="0"/>
          <w:szCs w:val="24"/>
          <w:shd w:val="clear" w:color="auto" w:fill="FFFFFF"/>
        </w:rPr>
        <w:t>、产品详细技术指标</w:t>
      </w:r>
    </w:p>
    <w:p>
      <w:pPr>
        <w:pStyle w:val="8"/>
        <w:spacing w:line="360" w:lineRule="auto"/>
        <w:ind w:firstLine="0" w:firstLineChars="0"/>
        <w:rPr>
          <w:rFonts w:hint="eastAsia" w:ascii="宋体" w:hAnsi="宋体" w:eastAsia="宋体" w:cs="宋体"/>
          <w:b/>
          <w:bCs/>
          <w:color w:val="auto"/>
          <w:kern w:val="0"/>
          <w:szCs w:val="24"/>
          <w:shd w:val="clear" w:color="auto" w:fill="FFFFFF"/>
          <w:lang w:eastAsia="zh-CN"/>
        </w:rPr>
      </w:pPr>
      <w:r>
        <w:rPr>
          <w:rFonts w:hint="eastAsia" w:hAnsi="宋体" w:cs="宋体"/>
          <w:b/>
          <w:bCs/>
          <w:color w:val="auto"/>
          <w:kern w:val="0"/>
          <w:szCs w:val="24"/>
          <w:shd w:val="clear" w:color="auto" w:fill="FFFFFF"/>
          <w:lang w:val="en-US" w:eastAsia="zh-CN"/>
        </w:rPr>
        <w:t>1</w:t>
      </w:r>
      <w:r>
        <w:rPr>
          <w:rFonts w:hint="eastAsia" w:ascii="宋体" w:hAnsi="宋体" w:eastAsia="宋体" w:cs="宋体"/>
          <w:b/>
          <w:bCs/>
          <w:color w:val="auto"/>
          <w:kern w:val="0"/>
          <w:szCs w:val="24"/>
          <w:shd w:val="clear" w:color="auto" w:fill="FFFFFF"/>
        </w:rPr>
        <w:t>.1 系统测试和创新用误码</w:t>
      </w:r>
      <w:r>
        <w:rPr>
          <w:rFonts w:hint="eastAsia" w:hAnsi="宋体" w:cs="宋体"/>
          <w:b/>
          <w:bCs/>
          <w:color w:val="auto"/>
          <w:kern w:val="0"/>
          <w:szCs w:val="24"/>
          <w:shd w:val="clear" w:color="auto" w:fill="FFFFFF"/>
          <w:lang w:eastAsia="zh-CN"/>
        </w:rPr>
        <w:t>仪</w:t>
      </w:r>
    </w:p>
    <w:tbl>
      <w:tblPr>
        <w:tblStyle w:val="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970"/>
        <w:gridCol w:w="1408"/>
        <w:gridCol w:w="4438"/>
        <w:gridCol w:w="1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13"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序号</w:t>
            </w:r>
          </w:p>
        </w:tc>
        <w:tc>
          <w:tcPr>
            <w:tcW w:w="569"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重要性</w:t>
            </w:r>
          </w:p>
        </w:tc>
        <w:tc>
          <w:tcPr>
            <w:tcW w:w="826"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指标项</w:t>
            </w:r>
          </w:p>
        </w:tc>
        <w:tc>
          <w:tcPr>
            <w:tcW w:w="2603"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指标要求</w:t>
            </w:r>
          </w:p>
        </w:tc>
        <w:tc>
          <w:tcPr>
            <w:tcW w:w="587"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13"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1</w:t>
            </w:r>
          </w:p>
        </w:tc>
        <w:tc>
          <w:tcPr>
            <w:tcW w:w="56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826"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OTN测试速率接口</w:t>
            </w:r>
          </w:p>
        </w:tc>
        <w:tc>
          <w:tcPr>
            <w:tcW w:w="2603"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OTN测试速率接口包含：OTU4, OTU2,OTU1，所有接口都支持双光口并能同时进行独立工作。</w:t>
            </w:r>
          </w:p>
        </w:tc>
        <w:tc>
          <w:tcPr>
            <w:tcW w:w="58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413"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2</w:t>
            </w:r>
          </w:p>
        </w:tc>
        <w:tc>
          <w:tcPr>
            <w:tcW w:w="56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826"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以太网测试速率接口</w:t>
            </w:r>
          </w:p>
        </w:tc>
        <w:tc>
          <w:tcPr>
            <w:tcW w:w="2603"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100GE, 10GE,GE,FE所有接口均为双端口，并能同时独立进行测试.GE电口为原生RJ45接口，非SFP转RJ45的方式</w:t>
            </w:r>
          </w:p>
        </w:tc>
        <w:tc>
          <w:tcPr>
            <w:tcW w:w="58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413"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3</w:t>
            </w:r>
          </w:p>
        </w:tc>
        <w:tc>
          <w:tcPr>
            <w:tcW w:w="56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826"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时延测试功能</w:t>
            </w:r>
          </w:p>
        </w:tc>
        <w:tc>
          <w:tcPr>
            <w:tcW w:w="2603"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支持OTN 业务的时延测试功能，时延测试范围应不小于4s，并提供可测试范围。时延测试精度为优于0.1ms，请提供测试精度。</w:t>
            </w:r>
          </w:p>
        </w:tc>
        <w:tc>
          <w:tcPr>
            <w:tcW w:w="58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413" w:type="pct"/>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4</w:t>
            </w:r>
          </w:p>
        </w:tc>
        <w:tc>
          <w:tcPr>
            <w:tcW w:w="569" w:type="pct"/>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82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中断测试与在线误码测试</w:t>
            </w:r>
          </w:p>
        </w:tc>
        <w:tc>
          <w:tcPr>
            <w:tcW w:w="2603" w:type="pct"/>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支持中断测试与在线误码测试</w:t>
            </w:r>
          </w:p>
        </w:tc>
        <w:tc>
          <w:tcPr>
            <w:tcW w:w="587" w:type="pct"/>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413" w:type="pct"/>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5</w:t>
            </w:r>
          </w:p>
        </w:tc>
        <w:tc>
          <w:tcPr>
            <w:tcW w:w="569" w:type="pct"/>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82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时延测试</w:t>
            </w:r>
          </w:p>
        </w:tc>
        <w:tc>
          <w:tcPr>
            <w:tcW w:w="2603" w:type="pct"/>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可测量信号在网络中传输的时间延迟。时延显示的分辨率为±1μs，最大显示值不小于10秒。</w:t>
            </w:r>
          </w:p>
        </w:tc>
        <w:tc>
          <w:tcPr>
            <w:tcW w:w="587" w:type="pct"/>
            <w:shd w:val="clear" w:color="auto" w:fill="auto"/>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bl>
    <w:p>
      <w:pPr>
        <w:pStyle w:val="5"/>
        <w:spacing w:line="360" w:lineRule="auto"/>
        <w:rPr>
          <w:rFonts w:hint="eastAsia" w:ascii="宋体" w:hAnsi="宋体" w:eastAsia="宋体" w:cs="宋体"/>
          <w:b/>
          <w:bCs/>
          <w:color w:val="auto"/>
          <w:kern w:val="0"/>
          <w:szCs w:val="24"/>
          <w:shd w:val="clear" w:color="auto" w:fill="FFFFFF"/>
        </w:rPr>
      </w:pPr>
      <w:r>
        <w:rPr>
          <w:rFonts w:hint="eastAsia" w:hAnsi="宋体" w:cs="宋体"/>
          <w:b/>
          <w:bCs/>
          <w:color w:val="auto"/>
          <w:kern w:val="0"/>
          <w:szCs w:val="24"/>
          <w:shd w:val="clear" w:color="auto" w:fill="FFFFFF"/>
          <w:lang w:val="en-US" w:eastAsia="zh-CN"/>
        </w:rPr>
        <w:t>1</w:t>
      </w:r>
      <w:r>
        <w:rPr>
          <w:rFonts w:hint="eastAsia" w:ascii="宋体" w:hAnsi="宋体" w:eastAsia="宋体" w:cs="宋体"/>
          <w:b/>
          <w:bCs/>
          <w:color w:val="auto"/>
          <w:kern w:val="0"/>
          <w:szCs w:val="24"/>
          <w:shd w:val="clear" w:color="auto" w:fill="FFFFFF"/>
        </w:rPr>
        <w:t>.2 原子力显微镜</w:t>
      </w:r>
    </w:p>
    <w:tbl>
      <w:tblPr>
        <w:tblStyle w:val="6"/>
        <w:tblW w:w="4910" w:type="pct"/>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971"/>
        <w:gridCol w:w="1120"/>
        <w:gridCol w:w="4733"/>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364"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序号</w:t>
            </w:r>
          </w:p>
        </w:tc>
        <w:tc>
          <w:tcPr>
            <w:tcW w:w="580"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重要性</w:t>
            </w:r>
          </w:p>
        </w:tc>
        <w:tc>
          <w:tcPr>
            <w:tcW w:w="669"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指标项</w:t>
            </w:r>
          </w:p>
        </w:tc>
        <w:tc>
          <w:tcPr>
            <w:tcW w:w="2827"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指标要求</w:t>
            </w:r>
          </w:p>
        </w:tc>
        <w:tc>
          <w:tcPr>
            <w:tcW w:w="559" w:type="pct"/>
            <w:shd w:val="clear" w:color="000000" w:fill="BFBFBF"/>
            <w:vAlign w:val="center"/>
          </w:tcPr>
          <w:p>
            <w:pPr>
              <w:spacing w:line="360" w:lineRule="auto"/>
              <w:jc w:val="center"/>
              <w:rPr>
                <w:rFonts w:hint="eastAsia" w:ascii="宋体" w:hAnsi="宋体" w:eastAsia="宋体" w:cs="宋体"/>
                <w:b/>
                <w:bCs/>
                <w:color w:val="auto"/>
                <w:kern w:val="0"/>
                <w:szCs w:val="24"/>
              </w:rPr>
            </w:pPr>
            <w:r>
              <w:rPr>
                <w:rFonts w:hint="eastAsia" w:ascii="宋体" w:hAnsi="宋体" w:eastAsia="宋体" w:cs="宋体"/>
                <w:b/>
                <w:bCs/>
                <w:color w:val="auto"/>
                <w:kern w:val="0"/>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64" w:type="pct"/>
            <w:vAlign w:val="center"/>
          </w:tcPr>
          <w:p>
            <w:pPr>
              <w:spacing w:line="360" w:lineRule="auto"/>
              <w:jc w:val="center"/>
              <w:rPr>
                <w:rFonts w:hint="eastAsia" w:ascii="宋体" w:hAnsi="宋体" w:eastAsia="宋体" w:cs="宋体"/>
                <w:color w:val="auto"/>
                <w:kern w:val="0"/>
                <w:szCs w:val="24"/>
              </w:rPr>
            </w:pPr>
            <w:r>
              <w:rPr>
                <w:rFonts w:hint="eastAsia" w:ascii="宋体" w:hAnsi="宋体" w:eastAsia="宋体" w:cs="宋体"/>
                <w:color w:val="auto"/>
                <w:kern w:val="0"/>
                <w:szCs w:val="24"/>
              </w:rPr>
              <w:t>1</w:t>
            </w:r>
          </w:p>
        </w:tc>
        <w:tc>
          <w:tcPr>
            <w:tcW w:w="580"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66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分辨率</w:t>
            </w:r>
          </w:p>
        </w:tc>
        <w:tc>
          <w:tcPr>
            <w:tcW w:w="282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具有原子力显微镜（AFM）和横向力/摩擦力显微镜（LFM）功能；分辨率为：横向≤0.2nm，垂直≤0.1nm</w:t>
            </w:r>
          </w:p>
        </w:tc>
        <w:tc>
          <w:tcPr>
            <w:tcW w:w="55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64" w:type="pct"/>
            <w:vAlign w:val="center"/>
          </w:tcPr>
          <w:p>
            <w:pPr>
              <w:spacing w:line="360" w:lineRule="auto"/>
              <w:jc w:val="center"/>
              <w:rPr>
                <w:rFonts w:hint="eastAsia" w:ascii="宋体" w:hAnsi="宋体" w:eastAsia="宋体" w:cs="宋体"/>
                <w:color w:val="auto"/>
                <w:kern w:val="0"/>
                <w:szCs w:val="24"/>
              </w:rPr>
            </w:pPr>
            <w:r>
              <w:rPr>
                <w:rFonts w:hint="eastAsia" w:ascii="宋体" w:hAnsi="宋体" w:eastAsia="宋体" w:cs="宋体"/>
                <w:color w:val="auto"/>
                <w:kern w:val="0"/>
                <w:szCs w:val="24"/>
              </w:rPr>
              <w:t>2</w:t>
            </w:r>
          </w:p>
        </w:tc>
        <w:tc>
          <w:tcPr>
            <w:tcW w:w="580"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66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分辨率</w:t>
            </w:r>
          </w:p>
        </w:tc>
        <w:tc>
          <w:tcPr>
            <w:tcW w:w="282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具有扫描隧道显微镜（STM）功能，分辨率为：横向≤0.1nm，垂直≤0.01nm</w:t>
            </w:r>
          </w:p>
        </w:tc>
        <w:tc>
          <w:tcPr>
            <w:tcW w:w="55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64" w:type="pct"/>
            <w:vAlign w:val="center"/>
          </w:tcPr>
          <w:p>
            <w:pPr>
              <w:spacing w:line="360" w:lineRule="auto"/>
              <w:jc w:val="center"/>
              <w:rPr>
                <w:rFonts w:hint="eastAsia" w:ascii="宋体" w:hAnsi="宋体" w:eastAsia="宋体" w:cs="宋体"/>
                <w:color w:val="auto"/>
                <w:kern w:val="0"/>
                <w:szCs w:val="24"/>
              </w:rPr>
            </w:pPr>
            <w:r>
              <w:rPr>
                <w:rFonts w:hint="eastAsia" w:ascii="宋体" w:hAnsi="宋体" w:eastAsia="宋体" w:cs="宋体"/>
                <w:color w:val="auto"/>
                <w:kern w:val="0"/>
                <w:szCs w:val="24"/>
              </w:rPr>
              <w:t>3</w:t>
            </w:r>
          </w:p>
        </w:tc>
        <w:tc>
          <w:tcPr>
            <w:tcW w:w="580"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66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扫描范围</w:t>
            </w:r>
          </w:p>
        </w:tc>
        <w:tc>
          <w:tcPr>
            <w:tcW w:w="282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X-Y方向扫描范围≥50μm x 50μm，Z方向扫描范围≥5μm；</w:t>
            </w:r>
          </w:p>
        </w:tc>
        <w:tc>
          <w:tcPr>
            <w:tcW w:w="55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64" w:type="pct"/>
            <w:vAlign w:val="center"/>
          </w:tcPr>
          <w:p>
            <w:pPr>
              <w:spacing w:line="360" w:lineRule="auto"/>
              <w:jc w:val="center"/>
              <w:rPr>
                <w:rFonts w:hint="eastAsia" w:ascii="宋体" w:hAnsi="宋体" w:eastAsia="宋体" w:cs="宋体"/>
                <w:color w:val="auto"/>
                <w:kern w:val="0"/>
                <w:szCs w:val="24"/>
              </w:rPr>
            </w:pPr>
            <w:r>
              <w:rPr>
                <w:rFonts w:hint="eastAsia" w:ascii="宋体" w:hAnsi="宋体" w:eastAsia="宋体" w:cs="宋体"/>
                <w:color w:val="auto"/>
                <w:kern w:val="0"/>
                <w:szCs w:val="24"/>
              </w:rPr>
              <w:t>4</w:t>
            </w:r>
          </w:p>
        </w:tc>
        <w:tc>
          <w:tcPr>
            <w:tcW w:w="580"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669" w:type="pct"/>
            <w:vAlign w:val="center"/>
          </w:tcPr>
          <w:p>
            <w:pPr>
              <w:spacing w:line="360" w:lineRule="auto"/>
              <w:jc w:val="center"/>
              <w:rPr>
                <w:rFonts w:hint="eastAsia" w:ascii="宋体" w:hAnsi="宋体" w:eastAsia="宋体" w:cs="宋体"/>
                <w:color w:val="auto"/>
                <w:kern w:val="0"/>
                <w:szCs w:val="24"/>
                <w:lang w:eastAsia="zh-TW"/>
              </w:rPr>
            </w:pPr>
            <w:r>
              <w:rPr>
                <w:rFonts w:hint="eastAsia" w:ascii="宋体" w:hAnsi="宋体" w:eastAsia="宋体" w:cs="宋体"/>
                <w:color w:val="auto"/>
                <w:kern w:val="0"/>
                <w:szCs w:val="24"/>
                <w:lang w:eastAsia="zh-Hans"/>
              </w:rPr>
              <w:t>样品行程</w:t>
            </w:r>
          </w:p>
        </w:tc>
        <w:tc>
          <w:tcPr>
            <w:tcW w:w="282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样品行程≥15mm，且行程精度为≤50nm/步；</w:t>
            </w:r>
          </w:p>
        </w:tc>
        <w:tc>
          <w:tcPr>
            <w:tcW w:w="55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64" w:type="pct"/>
            <w:vAlign w:val="center"/>
          </w:tcPr>
          <w:p>
            <w:pPr>
              <w:spacing w:line="360" w:lineRule="auto"/>
              <w:jc w:val="center"/>
              <w:rPr>
                <w:rFonts w:hint="eastAsia" w:ascii="宋体" w:hAnsi="宋体" w:eastAsia="宋体" w:cs="宋体"/>
                <w:color w:val="auto"/>
                <w:kern w:val="0"/>
                <w:szCs w:val="24"/>
              </w:rPr>
            </w:pPr>
            <w:r>
              <w:rPr>
                <w:rFonts w:hint="eastAsia" w:ascii="宋体" w:hAnsi="宋体" w:eastAsia="宋体" w:cs="宋体"/>
                <w:color w:val="auto"/>
                <w:kern w:val="0"/>
                <w:szCs w:val="24"/>
              </w:rPr>
              <w:t>5</w:t>
            </w:r>
          </w:p>
        </w:tc>
        <w:tc>
          <w:tcPr>
            <w:tcW w:w="580"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66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样品尺寸</w:t>
            </w:r>
          </w:p>
        </w:tc>
        <w:tc>
          <w:tcPr>
            <w:tcW w:w="282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可测试样品的尺寸最大≥45mm，厚度≥15mm；</w:t>
            </w:r>
          </w:p>
        </w:tc>
        <w:tc>
          <w:tcPr>
            <w:tcW w:w="55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64" w:type="pct"/>
            <w:vAlign w:val="center"/>
          </w:tcPr>
          <w:p>
            <w:pPr>
              <w:spacing w:line="360" w:lineRule="auto"/>
              <w:jc w:val="center"/>
              <w:rPr>
                <w:rFonts w:hint="eastAsia" w:ascii="宋体" w:hAnsi="宋体" w:eastAsia="宋体" w:cs="宋体"/>
                <w:color w:val="auto"/>
                <w:kern w:val="0"/>
                <w:szCs w:val="24"/>
              </w:rPr>
            </w:pPr>
            <w:r>
              <w:rPr>
                <w:rFonts w:hint="eastAsia" w:ascii="宋体" w:hAnsi="宋体" w:eastAsia="宋体" w:cs="宋体"/>
                <w:color w:val="auto"/>
                <w:kern w:val="0"/>
                <w:szCs w:val="24"/>
              </w:rPr>
              <w:t>6</w:t>
            </w:r>
          </w:p>
        </w:tc>
        <w:tc>
          <w:tcPr>
            <w:tcW w:w="580"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66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配套软件</w:t>
            </w:r>
          </w:p>
        </w:tc>
        <w:tc>
          <w:tcPr>
            <w:tcW w:w="282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测试及分析软件</w:t>
            </w:r>
          </w:p>
        </w:tc>
        <w:tc>
          <w:tcPr>
            <w:tcW w:w="55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64" w:type="pct"/>
            <w:vAlign w:val="center"/>
          </w:tcPr>
          <w:p>
            <w:pPr>
              <w:spacing w:line="360" w:lineRule="auto"/>
              <w:jc w:val="center"/>
              <w:rPr>
                <w:rFonts w:hint="eastAsia" w:ascii="宋体" w:hAnsi="宋体" w:eastAsia="宋体" w:cs="宋体"/>
                <w:color w:val="auto"/>
                <w:kern w:val="0"/>
                <w:szCs w:val="24"/>
              </w:rPr>
            </w:pPr>
            <w:r>
              <w:rPr>
                <w:rFonts w:hint="eastAsia" w:ascii="宋体" w:hAnsi="宋体" w:eastAsia="宋体" w:cs="宋体"/>
                <w:color w:val="auto"/>
                <w:kern w:val="0"/>
                <w:szCs w:val="24"/>
              </w:rPr>
              <w:t>7</w:t>
            </w:r>
          </w:p>
        </w:tc>
        <w:tc>
          <w:tcPr>
            <w:tcW w:w="580"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w:t>
            </w:r>
          </w:p>
        </w:tc>
        <w:tc>
          <w:tcPr>
            <w:tcW w:w="66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探针</w:t>
            </w:r>
          </w:p>
        </w:tc>
        <w:tc>
          <w:tcPr>
            <w:tcW w:w="2827"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探针2根</w:t>
            </w:r>
          </w:p>
        </w:tc>
        <w:tc>
          <w:tcPr>
            <w:tcW w:w="559" w:type="pct"/>
            <w:vAlign w:val="center"/>
          </w:tcPr>
          <w:p>
            <w:pPr>
              <w:spacing w:line="360" w:lineRule="auto"/>
              <w:jc w:val="center"/>
              <w:rPr>
                <w:rFonts w:hint="eastAsia" w:ascii="宋体" w:hAnsi="宋体" w:eastAsia="宋体" w:cs="宋体"/>
                <w:color w:val="auto"/>
                <w:kern w:val="0"/>
                <w:szCs w:val="24"/>
                <w:lang w:eastAsia="zh-Hans"/>
              </w:rPr>
            </w:pPr>
            <w:r>
              <w:rPr>
                <w:rFonts w:hint="eastAsia" w:ascii="宋体" w:hAnsi="宋体" w:eastAsia="宋体" w:cs="宋体"/>
                <w:color w:val="auto"/>
                <w:kern w:val="0"/>
                <w:szCs w:val="24"/>
                <w:lang w:eastAsia="zh-Hans"/>
              </w:rPr>
              <w:t>否</w:t>
            </w:r>
          </w:p>
        </w:tc>
      </w:tr>
    </w:tbl>
    <w:p>
      <w:pPr>
        <w:pStyle w:val="8"/>
        <w:spacing w:line="360" w:lineRule="auto"/>
        <w:ind w:firstLine="0" w:firstLineChars="0"/>
        <w:rPr>
          <w:rFonts w:hint="eastAsia" w:ascii="宋体" w:hAnsi="宋体" w:eastAsia="宋体" w:cs="宋体"/>
          <w:color w:val="auto"/>
          <w:kern w:val="0"/>
          <w:szCs w:val="24"/>
          <w:shd w:val="clear" w:color="auto" w:fill="FFFFFF"/>
        </w:rPr>
      </w:pPr>
      <w:r>
        <w:rPr>
          <w:rFonts w:hint="eastAsia" w:ascii="宋体" w:hAnsi="宋体" w:eastAsia="宋体" w:cs="宋体"/>
          <w:b/>
          <w:bCs/>
          <w:color w:val="auto"/>
          <w:kern w:val="0"/>
          <w:szCs w:val="24"/>
          <w:shd w:val="clear" w:color="auto" w:fill="FFFFFF"/>
        </w:rPr>
        <w:t>五、服务要求</w:t>
      </w:r>
    </w:p>
    <w:tbl>
      <w:tblPr>
        <w:tblStyle w:val="6"/>
        <w:tblW w:w="50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928"/>
        <w:gridCol w:w="1309"/>
        <w:gridCol w:w="5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8" w:type="pct"/>
            <w:shd w:val="clear" w:color="auto" w:fill="7F7F7F"/>
            <w:vAlign w:val="center"/>
          </w:tcPr>
          <w:p>
            <w:pPr>
              <w:spacing w:line="360" w:lineRule="auto"/>
              <w:jc w:val="center"/>
              <w:rPr>
                <w:rFonts w:hint="eastAsia" w:ascii="宋体" w:hAnsi="宋体" w:eastAsia="宋体" w:cs="宋体"/>
                <w:b/>
                <w:color w:val="auto"/>
                <w:szCs w:val="24"/>
              </w:rPr>
            </w:pPr>
            <w:r>
              <w:rPr>
                <w:rFonts w:hint="eastAsia" w:ascii="宋体" w:hAnsi="宋体" w:eastAsia="宋体" w:cs="宋体"/>
                <w:b/>
                <w:color w:val="auto"/>
                <w:szCs w:val="24"/>
              </w:rPr>
              <w:t>序号</w:t>
            </w:r>
          </w:p>
        </w:tc>
        <w:tc>
          <w:tcPr>
            <w:tcW w:w="540" w:type="pct"/>
            <w:shd w:val="clear" w:color="auto" w:fill="7F7F7F"/>
            <w:vAlign w:val="center"/>
          </w:tcPr>
          <w:p>
            <w:pPr>
              <w:spacing w:line="360" w:lineRule="auto"/>
              <w:jc w:val="center"/>
              <w:rPr>
                <w:rFonts w:hint="eastAsia" w:ascii="宋体" w:hAnsi="宋体" w:eastAsia="宋体" w:cs="宋体"/>
                <w:b/>
                <w:color w:val="auto"/>
                <w:szCs w:val="24"/>
              </w:rPr>
            </w:pPr>
            <w:r>
              <w:rPr>
                <w:rFonts w:hint="eastAsia" w:ascii="宋体" w:hAnsi="宋体" w:eastAsia="宋体" w:cs="宋体"/>
                <w:b/>
                <w:bCs/>
                <w:color w:val="auto"/>
                <w:kern w:val="0"/>
                <w:szCs w:val="24"/>
              </w:rPr>
              <w:t>重要性</w:t>
            </w:r>
          </w:p>
        </w:tc>
        <w:tc>
          <w:tcPr>
            <w:tcW w:w="762" w:type="pct"/>
            <w:shd w:val="clear" w:color="auto" w:fill="7F7F7F"/>
            <w:vAlign w:val="center"/>
          </w:tcPr>
          <w:p>
            <w:pPr>
              <w:spacing w:line="360" w:lineRule="auto"/>
              <w:jc w:val="center"/>
              <w:rPr>
                <w:rFonts w:hint="eastAsia" w:ascii="宋体" w:hAnsi="宋体" w:eastAsia="宋体" w:cs="宋体"/>
                <w:b/>
                <w:color w:val="auto"/>
                <w:szCs w:val="24"/>
              </w:rPr>
            </w:pPr>
            <w:r>
              <w:rPr>
                <w:rFonts w:hint="eastAsia" w:ascii="宋体" w:hAnsi="宋体" w:eastAsia="宋体" w:cs="宋体"/>
                <w:b/>
                <w:color w:val="auto"/>
                <w:szCs w:val="24"/>
              </w:rPr>
              <w:t>服务指标项</w:t>
            </w:r>
          </w:p>
        </w:tc>
        <w:tc>
          <w:tcPr>
            <w:tcW w:w="3308" w:type="pct"/>
            <w:shd w:val="clear" w:color="auto" w:fill="7F7F7F"/>
            <w:vAlign w:val="center"/>
          </w:tcPr>
          <w:p>
            <w:pPr>
              <w:spacing w:line="360" w:lineRule="auto"/>
              <w:jc w:val="center"/>
              <w:rPr>
                <w:rFonts w:hint="eastAsia" w:ascii="宋体" w:hAnsi="宋体" w:eastAsia="宋体" w:cs="宋体"/>
                <w:b/>
                <w:color w:val="auto"/>
                <w:szCs w:val="24"/>
              </w:rPr>
            </w:pPr>
            <w:r>
              <w:rPr>
                <w:rFonts w:hint="eastAsia" w:ascii="宋体" w:hAnsi="宋体" w:eastAsia="宋体" w:cs="宋体"/>
                <w:b/>
                <w:color w:val="auto"/>
                <w:szCs w:val="24"/>
              </w:rPr>
              <w:t>服务要求标准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pct"/>
            <w:vAlign w:val="center"/>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1</w:t>
            </w:r>
          </w:p>
        </w:tc>
        <w:tc>
          <w:tcPr>
            <w:tcW w:w="540" w:type="pct"/>
            <w:vAlign w:val="center"/>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w:t>
            </w:r>
          </w:p>
        </w:tc>
        <w:tc>
          <w:tcPr>
            <w:tcW w:w="762" w:type="pct"/>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质保期</w:t>
            </w:r>
          </w:p>
        </w:tc>
        <w:tc>
          <w:tcPr>
            <w:tcW w:w="3308" w:type="pct"/>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验收合格之日起</w:t>
            </w:r>
            <w:r>
              <w:rPr>
                <w:rFonts w:hint="eastAsia" w:hAnsi="宋体" w:cs="宋体"/>
                <w:color w:val="auto"/>
                <w:szCs w:val="24"/>
                <w:lang w:eastAsia="zh-CN"/>
              </w:rPr>
              <w:t>至少</w:t>
            </w:r>
            <w:r>
              <w:rPr>
                <w:rFonts w:hint="eastAsia" w:ascii="宋体" w:hAnsi="宋体" w:eastAsia="宋体" w:cs="宋体"/>
                <w:color w:val="auto"/>
                <w:szCs w:val="24"/>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pct"/>
            <w:vAlign w:val="center"/>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2</w:t>
            </w:r>
          </w:p>
        </w:tc>
        <w:tc>
          <w:tcPr>
            <w:tcW w:w="540" w:type="pct"/>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w:t>
            </w:r>
          </w:p>
        </w:tc>
        <w:tc>
          <w:tcPr>
            <w:tcW w:w="762" w:type="pct"/>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货物验收</w:t>
            </w:r>
          </w:p>
        </w:tc>
        <w:tc>
          <w:tcPr>
            <w:tcW w:w="3308" w:type="pct"/>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原则上现场验收，如受疫情影响，可远程在线验收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pct"/>
            <w:vAlign w:val="center"/>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3</w:t>
            </w:r>
          </w:p>
        </w:tc>
        <w:tc>
          <w:tcPr>
            <w:tcW w:w="540" w:type="pct"/>
          </w:tcPr>
          <w:p>
            <w:pPr>
              <w:spacing w:line="360" w:lineRule="auto"/>
              <w:jc w:val="center"/>
              <w:rPr>
                <w:rFonts w:hint="eastAsia" w:ascii="宋体" w:hAnsi="宋体" w:eastAsia="宋体" w:cs="宋体"/>
                <w:color w:val="auto"/>
                <w:szCs w:val="24"/>
              </w:rPr>
            </w:pPr>
          </w:p>
        </w:tc>
        <w:tc>
          <w:tcPr>
            <w:tcW w:w="762" w:type="pct"/>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人员培训</w:t>
            </w:r>
          </w:p>
        </w:tc>
        <w:tc>
          <w:tcPr>
            <w:tcW w:w="3308" w:type="pct"/>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原则上现场培训，如受疫情影响，可远程在线培训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pct"/>
            <w:vAlign w:val="center"/>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4</w:t>
            </w:r>
          </w:p>
        </w:tc>
        <w:tc>
          <w:tcPr>
            <w:tcW w:w="540" w:type="pct"/>
          </w:tcPr>
          <w:p>
            <w:pPr>
              <w:spacing w:line="360" w:lineRule="auto"/>
              <w:jc w:val="center"/>
              <w:rPr>
                <w:rFonts w:hint="eastAsia" w:ascii="宋体" w:hAnsi="宋体" w:eastAsia="宋体" w:cs="宋体"/>
                <w:color w:val="auto"/>
                <w:szCs w:val="24"/>
              </w:rPr>
            </w:pPr>
          </w:p>
        </w:tc>
        <w:tc>
          <w:tcPr>
            <w:tcW w:w="762" w:type="pct"/>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技术服务</w:t>
            </w:r>
          </w:p>
        </w:tc>
        <w:tc>
          <w:tcPr>
            <w:tcW w:w="3308" w:type="pct"/>
          </w:tcPr>
          <w:p>
            <w:pPr>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用户在日常的操作中遇到技术问题，可随时通过电话或邮件咨询，供货方在24小时内予以答复</w:t>
            </w:r>
          </w:p>
        </w:tc>
      </w:tr>
    </w:tbl>
    <w:p>
      <w:pPr>
        <w:pStyle w:val="8"/>
        <w:spacing w:line="360" w:lineRule="auto"/>
        <w:ind w:firstLine="0" w:firstLineChars="0"/>
        <w:rPr>
          <w:rFonts w:hint="eastAsia" w:ascii="宋体" w:hAnsi="宋体" w:eastAsia="宋体" w:cs="宋体"/>
          <w:b/>
          <w:bCs/>
          <w:color w:val="auto"/>
          <w:kern w:val="0"/>
          <w:szCs w:val="24"/>
          <w:shd w:val="clear" w:color="auto" w:fill="FFFFFF"/>
        </w:rPr>
      </w:pPr>
      <w:r>
        <w:rPr>
          <w:rFonts w:hint="eastAsia" w:ascii="宋体" w:hAnsi="宋体" w:eastAsia="宋体" w:cs="宋体"/>
          <w:b/>
          <w:bCs/>
          <w:color w:val="auto"/>
          <w:kern w:val="0"/>
          <w:szCs w:val="24"/>
          <w:shd w:val="clear" w:color="auto" w:fill="FFFFFF"/>
        </w:rPr>
        <w:t>六、付款方式</w:t>
      </w:r>
      <w:r>
        <w:rPr>
          <w:rFonts w:hint="eastAsia" w:ascii="宋体" w:hAnsi="宋体" w:eastAsia="宋体" w:cs="宋体"/>
          <w:b/>
          <w:bCs/>
          <w:color w:val="auto"/>
          <w:kern w:val="0"/>
          <w:szCs w:val="24"/>
          <w:shd w:val="clear" w:color="auto" w:fill="FFFFFF"/>
        </w:rPr>
        <w:br w:type="textWrapping"/>
      </w:r>
      <w:r>
        <w:rPr>
          <w:rFonts w:hint="eastAsia" w:ascii="宋体" w:hAnsi="宋体" w:eastAsia="宋体" w:cs="宋体"/>
          <w:color w:val="auto"/>
          <w:kern w:val="0"/>
          <w:szCs w:val="24"/>
          <w:shd w:val="clear" w:color="auto" w:fill="FFFFFF"/>
        </w:rPr>
        <w:t>分期付款：</w:t>
      </w:r>
    </w:p>
    <w:tbl>
      <w:tblPr>
        <w:tblStyle w:val="6"/>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697"/>
        <w:gridCol w:w="2961"/>
        <w:gridCol w:w="4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821" w:type="dxa"/>
            <w:shd w:val="clear" w:color="auto" w:fill="7F7F7F"/>
          </w:tcPr>
          <w:p>
            <w:pPr>
              <w:spacing w:line="360" w:lineRule="auto"/>
              <w:rPr>
                <w:rFonts w:hint="eastAsia" w:ascii="宋体" w:hAnsi="宋体" w:eastAsia="宋体" w:cs="宋体"/>
                <w:b/>
                <w:color w:val="auto"/>
                <w:szCs w:val="24"/>
              </w:rPr>
            </w:pPr>
            <w:r>
              <w:rPr>
                <w:rFonts w:hint="eastAsia" w:ascii="宋体" w:hAnsi="宋体" w:eastAsia="宋体" w:cs="宋体"/>
                <w:b/>
                <w:color w:val="auto"/>
                <w:szCs w:val="24"/>
              </w:rPr>
              <w:t>序号</w:t>
            </w:r>
          </w:p>
        </w:tc>
        <w:tc>
          <w:tcPr>
            <w:tcW w:w="1697" w:type="dxa"/>
            <w:shd w:val="clear" w:color="auto" w:fill="7F7F7F"/>
          </w:tcPr>
          <w:p>
            <w:pPr>
              <w:spacing w:line="360" w:lineRule="auto"/>
              <w:rPr>
                <w:rFonts w:hint="eastAsia" w:ascii="宋体" w:hAnsi="宋体" w:eastAsia="宋体" w:cs="宋体"/>
                <w:b/>
                <w:color w:val="auto"/>
                <w:szCs w:val="24"/>
              </w:rPr>
            </w:pPr>
            <w:r>
              <w:rPr>
                <w:rFonts w:hint="eastAsia" w:ascii="宋体" w:hAnsi="宋体" w:eastAsia="宋体" w:cs="宋体"/>
                <w:b/>
                <w:color w:val="auto"/>
                <w:szCs w:val="24"/>
              </w:rPr>
              <w:t>付款节点</w:t>
            </w:r>
          </w:p>
        </w:tc>
        <w:tc>
          <w:tcPr>
            <w:tcW w:w="2961" w:type="dxa"/>
            <w:shd w:val="clear" w:color="auto" w:fill="7F7F7F"/>
          </w:tcPr>
          <w:p>
            <w:pPr>
              <w:spacing w:line="360" w:lineRule="auto"/>
              <w:rPr>
                <w:rFonts w:hint="eastAsia" w:ascii="宋体" w:hAnsi="宋体" w:eastAsia="宋体" w:cs="宋体"/>
                <w:b/>
                <w:color w:val="auto"/>
                <w:szCs w:val="24"/>
              </w:rPr>
            </w:pPr>
            <w:r>
              <w:rPr>
                <w:rFonts w:hint="eastAsia" w:ascii="宋体" w:hAnsi="宋体" w:eastAsia="宋体" w:cs="宋体"/>
                <w:b/>
                <w:color w:val="auto"/>
                <w:szCs w:val="24"/>
              </w:rPr>
              <w:t>付款条件</w:t>
            </w:r>
          </w:p>
        </w:tc>
        <w:tc>
          <w:tcPr>
            <w:tcW w:w="4297" w:type="dxa"/>
            <w:shd w:val="clear" w:color="auto" w:fill="7F7F7F"/>
          </w:tcPr>
          <w:p>
            <w:pPr>
              <w:spacing w:line="360" w:lineRule="auto"/>
              <w:rPr>
                <w:rFonts w:hint="eastAsia" w:ascii="宋体" w:hAnsi="宋体" w:eastAsia="宋体" w:cs="宋体"/>
                <w:b/>
                <w:color w:val="auto"/>
                <w:szCs w:val="24"/>
              </w:rPr>
            </w:pPr>
            <w:r>
              <w:rPr>
                <w:rFonts w:hint="eastAsia" w:ascii="宋体" w:hAnsi="宋体" w:eastAsia="宋体" w:cs="宋体"/>
                <w:b/>
                <w:color w:val="auto"/>
                <w:szCs w:val="24"/>
              </w:rPr>
              <w:t>付款比例（或金额）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821" w:type="dxa"/>
            <w:vAlign w:val="center"/>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1</w:t>
            </w:r>
          </w:p>
        </w:tc>
        <w:tc>
          <w:tcPr>
            <w:tcW w:w="1697" w:type="dxa"/>
            <w:vAlign w:val="center"/>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第一期款</w:t>
            </w:r>
          </w:p>
        </w:tc>
        <w:tc>
          <w:tcPr>
            <w:tcW w:w="2961" w:type="dxa"/>
            <w:vAlign w:val="center"/>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合同生效10日内</w:t>
            </w:r>
          </w:p>
        </w:tc>
        <w:tc>
          <w:tcPr>
            <w:tcW w:w="4297" w:type="dxa"/>
            <w:vAlign w:val="center"/>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支付合同总金额</w:t>
            </w:r>
            <w:r>
              <w:rPr>
                <w:rFonts w:hint="eastAsia" w:ascii="宋体" w:hAnsi="宋体" w:eastAsia="宋体" w:cs="宋体"/>
                <w:color w:val="auto"/>
                <w:szCs w:val="24"/>
                <w:lang w:val="en-US" w:eastAsia="zh-CN"/>
              </w:rPr>
              <w:t>30</w:t>
            </w:r>
            <w:r>
              <w:rPr>
                <w:rFonts w:hint="eastAsia" w:ascii="宋体" w:hAnsi="宋体" w:eastAsia="宋体" w:cs="宋体"/>
                <w:color w:val="auto"/>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821" w:type="dxa"/>
            <w:vAlign w:val="center"/>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2</w:t>
            </w:r>
          </w:p>
        </w:tc>
        <w:tc>
          <w:tcPr>
            <w:tcW w:w="1697" w:type="dxa"/>
            <w:vAlign w:val="center"/>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第二期款</w:t>
            </w:r>
          </w:p>
        </w:tc>
        <w:tc>
          <w:tcPr>
            <w:tcW w:w="2961" w:type="dxa"/>
            <w:vAlign w:val="center"/>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货物全部安装、调试完毕，随货物开具全额发票，经甲方验收合格</w:t>
            </w:r>
          </w:p>
        </w:tc>
        <w:tc>
          <w:tcPr>
            <w:tcW w:w="4297" w:type="dxa"/>
            <w:vAlign w:val="center"/>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支付合同总金额</w:t>
            </w:r>
            <w:r>
              <w:rPr>
                <w:rFonts w:hint="eastAsia" w:ascii="宋体" w:hAnsi="宋体" w:eastAsia="宋体" w:cs="宋体"/>
                <w:color w:val="auto"/>
                <w:szCs w:val="24"/>
                <w:lang w:val="en-US" w:eastAsia="zh-CN"/>
              </w:rPr>
              <w:t>70</w:t>
            </w:r>
            <w:r>
              <w:rPr>
                <w:rFonts w:hint="eastAsia" w:ascii="宋体" w:hAnsi="宋体" w:eastAsia="宋体" w:cs="宋体"/>
                <w:color w:val="auto"/>
                <w:szCs w:val="24"/>
              </w:rPr>
              <w:t>%</w:t>
            </w:r>
          </w:p>
        </w:tc>
      </w:tr>
    </w:tbl>
    <w:p>
      <w:pPr>
        <w:pStyle w:val="5"/>
        <w:spacing w:line="360" w:lineRule="auto"/>
        <w:rPr>
          <w:rFonts w:hint="eastAsia" w:ascii="宋体" w:hAnsi="宋体" w:eastAsia="宋体" w:cs="宋体"/>
          <w:color w:val="auto"/>
          <w:szCs w:val="21"/>
        </w:rPr>
      </w:pPr>
      <w:r>
        <w:rPr>
          <w:rFonts w:hint="eastAsia" w:ascii="宋体" w:hAnsi="宋体" w:eastAsia="宋体" w:cs="宋体"/>
          <w:b/>
          <w:bCs/>
          <w:color w:val="auto"/>
          <w:kern w:val="0"/>
          <w:szCs w:val="24"/>
          <w:shd w:val="clear" w:color="auto" w:fill="FFFFFF"/>
        </w:rPr>
        <w:t>七、履约验收方案</w:t>
      </w:r>
    </w:p>
    <w:p>
      <w:pPr>
        <w:pStyle w:val="5"/>
        <w:spacing w:line="360" w:lineRule="auto"/>
        <w:rPr>
          <w:rFonts w:hint="eastAsia" w:ascii="宋体" w:hAnsi="宋体" w:eastAsia="宋体" w:cs="宋体"/>
          <w:color w:val="auto"/>
          <w:kern w:val="0"/>
          <w:szCs w:val="24"/>
          <w:shd w:val="clear" w:color="auto" w:fill="FFFFFF"/>
          <w:lang w:val="en-US" w:eastAsia="zh-CN"/>
        </w:rPr>
      </w:pPr>
      <w:r>
        <w:rPr>
          <w:rFonts w:hint="eastAsia" w:ascii="宋体" w:hAnsi="宋体" w:eastAsia="宋体" w:cs="宋体"/>
          <w:color w:val="auto"/>
          <w:kern w:val="0"/>
          <w:szCs w:val="24"/>
          <w:shd w:val="clear" w:color="auto" w:fill="FFFFFF"/>
        </w:rPr>
        <w:t>1、验收主体：北京邮电大学</w:t>
      </w:r>
      <w:r>
        <w:rPr>
          <w:rFonts w:hint="eastAsia" w:ascii="宋体" w:hAnsi="宋体" w:eastAsia="宋体" w:cs="宋体"/>
          <w:color w:val="auto"/>
          <w:kern w:val="0"/>
          <w:szCs w:val="24"/>
          <w:shd w:val="clear" w:color="auto" w:fill="FFFFFF"/>
          <w:lang w:val="en-US" w:eastAsia="zh-CN"/>
        </w:rPr>
        <w:t>电子工程学院</w:t>
      </w:r>
    </w:p>
    <w:p>
      <w:pPr>
        <w:pStyle w:val="5"/>
        <w:spacing w:line="360" w:lineRule="auto"/>
        <w:rPr>
          <w:rFonts w:hint="eastAsia" w:ascii="宋体" w:hAnsi="宋体" w:eastAsia="宋体" w:cs="宋体"/>
          <w:color w:val="auto"/>
          <w:kern w:val="0"/>
          <w:szCs w:val="24"/>
          <w:shd w:val="clear" w:color="auto" w:fill="FFFFFF"/>
          <w:lang w:eastAsia="zh-CN"/>
        </w:rPr>
      </w:pPr>
      <w:r>
        <w:rPr>
          <w:rFonts w:hint="eastAsia" w:ascii="宋体" w:hAnsi="宋体" w:eastAsia="宋体" w:cs="宋体"/>
          <w:color w:val="auto"/>
          <w:kern w:val="0"/>
          <w:szCs w:val="24"/>
          <w:shd w:val="clear" w:color="auto" w:fill="FFFFFF"/>
        </w:rPr>
        <w:t>2、时间：</w:t>
      </w:r>
      <w:r>
        <w:rPr>
          <w:rFonts w:hint="eastAsia" w:hAnsi="宋体" w:cs="宋体"/>
          <w:color w:val="auto"/>
          <w:kern w:val="0"/>
          <w:szCs w:val="24"/>
          <w:shd w:val="clear" w:color="auto" w:fill="FFFFFF"/>
          <w:lang w:eastAsia="zh-CN"/>
        </w:rPr>
        <w:t>按采购人要求。</w:t>
      </w:r>
    </w:p>
    <w:p>
      <w:pPr>
        <w:pStyle w:val="5"/>
        <w:spacing w:line="360" w:lineRule="auto"/>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3、方式：现场验收。</w:t>
      </w:r>
    </w:p>
    <w:p>
      <w:pPr>
        <w:pStyle w:val="5"/>
        <w:spacing w:line="360" w:lineRule="auto"/>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4、程序：根据招标参数功能逐项验收</w:t>
      </w:r>
    </w:p>
    <w:p>
      <w:pPr>
        <w:pStyle w:val="5"/>
        <w:spacing w:line="360" w:lineRule="auto"/>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 xml:space="preserve">5、内容: </w:t>
      </w:r>
    </w:p>
    <w:p>
      <w:pPr>
        <w:pStyle w:val="5"/>
        <w:spacing w:line="360" w:lineRule="auto"/>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（1）投标货物功能、性能、质量、安全、技术规格、服务要求。</w:t>
      </w:r>
    </w:p>
    <w:p>
      <w:pPr>
        <w:pStyle w:val="5"/>
        <w:spacing w:line="360" w:lineRule="auto"/>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（2）项目内容资料，包括技术文档、项目设计方案（含深化设计方案）、项目各类图纸、项目各类技术资料、项目实施方案、系统维护手册、用户操作手册、项目实施报告、项目工作日志和必要的验收报告等</w:t>
      </w:r>
    </w:p>
    <w:p>
      <w:pPr>
        <w:pStyle w:val="5"/>
        <w:spacing w:line="360" w:lineRule="auto"/>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 xml:space="preserve">6、验收标准: </w:t>
      </w:r>
    </w:p>
    <w:p>
      <w:pPr>
        <w:pStyle w:val="5"/>
        <w:spacing w:line="360" w:lineRule="auto"/>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（1）本章“产品指标要求和实施方案”所列要求，</w:t>
      </w:r>
    </w:p>
    <w:p>
      <w:pPr>
        <w:pStyle w:val="5"/>
        <w:spacing w:line="360" w:lineRule="auto"/>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（2）本章“服务要求”具体内容。</w:t>
      </w:r>
    </w:p>
    <w:p>
      <w:pPr>
        <w:pStyle w:val="5"/>
        <w:spacing w:line="360" w:lineRule="auto"/>
        <w:rPr>
          <w:rFonts w:hint="eastAsia" w:ascii="宋体" w:hAnsi="宋体" w:eastAsia="宋体" w:cs="宋体"/>
          <w:color w:val="auto"/>
          <w:kern w:val="0"/>
          <w:szCs w:val="24"/>
          <w:shd w:val="clear" w:color="auto" w:fill="FFFFFF"/>
        </w:rPr>
      </w:pPr>
      <w:r>
        <w:rPr>
          <w:rFonts w:hint="eastAsia" w:ascii="宋体" w:hAnsi="宋体" w:eastAsia="宋体" w:cs="宋体"/>
          <w:color w:val="auto"/>
          <w:kern w:val="0"/>
          <w:szCs w:val="24"/>
          <w:shd w:val="clear" w:color="auto" w:fill="FFFFFF"/>
        </w:rPr>
        <w:t>不满足磋商文件功能视为验收不合格。</w:t>
      </w:r>
    </w:p>
    <w:p>
      <w:pPr>
        <w:spacing w:line="360" w:lineRule="auto"/>
        <w:rPr>
          <w:rFonts w:hint="eastAsia" w:ascii="宋体" w:hAnsi="宋体" w:eastAsia="宋体" w:cs="宋体"/>
          <w:b/>
          <w:bCs/>
          <w:color w:val="auto"/>
          <w:sz w:val="21"/>
          <w:szCs w:val="21"/>
        </w:rPr>
      </w:pP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注：</w:t>
      </w:r>
      <w:r>
        <w:rPr>
          <w:rFonts w:hint="eastAsia" w:ascii="宋体" w:hAnsi="宋体" w:eastAsia="宋体" w:cs="宋体"/>
          <w:b/>
          <w:bCs/>
          <w:color w:val="auto"/>
          <w:sz w:val="21"/>
          <w:szCs w:val="21"/>
        </w:rPr>
        <w:br w:type="textWrapping"/>
      </w:r>
      <w:r>
        <w:rPr>
          <w:rFonts w:hint="eastAsia" w:ascii="宋体" w:hAnsi="宋体" w:eastAsia="宋体" w:cs="宋体"/>
          <w:b/>
          <w:bCs/>
          <w:color w:val="auto"/>
          <w:sz w:val="21"/>
          <w:szCs w:val="21"/>
        </w:rPr>
        <w:t>（1）（本章中如提及品牌、专利、商标、型号或者具体服务的供应商时，采购人只是为准确清楚地说明采购项目的技术标准和要求，仅表达“参照或相当于”之意，相关的评审标准适用于所有相当于同等技术规格的货物、服务及工程。）</w:t>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（2）强制采购节能产品规定：</w:t>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根据《国务院办公厅关于建立政府强制采购节能产品制度的通知》（国办发[2007]51号）、财政部国家发展改革委关于印发《节能产品政府采购实施意见》的通知（财库[2004]185 号）和《财政部发展改革委关于调整公布节能产品政府采购清单的通知》：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供应商所投产品被列入市场监管总局向认证结果信息发布平台公布的品目清单中要求强制采购的，应提供所投产品由国家确定的认证机构出具的处于有效期之内的节能产品认证证书，对获得证书的产品实施政府强制采购（复印件加盖公章）。</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4EF7F"/>
    <w:multiLevelType w:val="singleLevel"/>
    <w:tmpl w:val="93F4EF7F"/>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2MTI2MjM3MTEwMmFiODI3YzhiODdjOGYyNjQyM2IifQ=="/>
  </w:docVars>
  <w:rsids>
    <w:rsidRoot w:val="00000000"/>
    <w:rsid w:val="09043B58"/>
    <w:rsid w:val="2B7C00E6"/>
    <w:rsid w:val="509B32CD"/>
    <w:rsid w:val="6CE06571"/>
    <w:rsid w:val="79AD6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00" w:lineRule="auto"/>
      <w:jc w:val="both"/>
    </w:pPr>
    <w:rPr>
      <w:rFonts w:ascii="宋体" w:hAnsi="Calibri" w:eastAsia="宋体" w:cs="Times New Roman"/>
      <w:kern w:val="2"/>
      <w:sz w:val="24"/>
      <w:szCs w:val="22"/>
      <w:lang w:val="en-US" w:eastAsia="zh-CN" w:bidi="ar-SA"/>
    </w:rPr>
  </w:style>
  <w:style w:type="paragraph" w:styleId="3">
    <w:name w:val="heading 1"/>
    <w:basedOn w:val="1"/>
    <w:next w:val="1"/>
    <w:qFormat/>
    <w:uiPriority w:val="0"/>
    <w:pPr>
      <w:keepNext/>
      <w:keepLines/>
      <w:spacing w:before="1000" w:beforeLines="0" w:beforeAutospacing="0" w:after="330" w:afterLines="0" w:afterAutospacing="0" w:line="576" w:lineRule="auto"/>
      <w:jc w:val="center"/>
      <w:outlineLvl w:val="0"/>
    </w:pPr>
    <w:rPr>
      <w:rFonts w:ascii="Arial" w:hAnsi="Arial" w:eastAsia="宋体" w:cs="Arial"/>
      <w:b/>
      <w:snapToGrid w:val="0"/>
      <w:color w:val="000000"/>
      <w:kern w:val="44"/>
      <w:sz w:val="36"/>
      <w:szCs w:val="21"/>
    </w:rPr>
  </w:style>
  <w:style w:type="paragraph" w:styleId="4">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eastAsia="宋体"/>
      <w:b/>
      <w:sz w:val="28"/>
    </w:rPr>
  </w:style>
  <w:style w:type="paragraph" w:styleId="2">
    <w:name w:val="heading 4"/>
    <w:basedOn w:val="1"/>
    <w:next w:val="1"/>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annotation text"/>
    <w:basedOn w:val="1"/>
    <w:unhideWhenUsed/>
    <w:qFormat/>
    <w:uiPriority w:val="0"/>
    <w:pPr>
      <w:jc w:val="left"/>
    </w:pPr>
  </w:style>
  <w:style w:type="paragraph" w:styleId="8">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2023-01-28T05:33:00Z</dcterms:created>
  <dc:creator>Administrator</dc:creator>
  <cp:lastModifiedBy>代理</cp:lastModifiedBy>
  <dcterms:modified xsi:type="dcterms:W3CDTF">2023-01-30T08:36:38Z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7FE962436DB343A2AA0BF7ADC3E71FF4</vt:lpwstr>
  </property>
</Properties>
</file>