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9046E5">
      <w:pPr>
        <w:spacing w:line="313" w:lineRule="auto"/>
        <w:jc w:val="center"/>
        <w:rPr>
          <w:rFonts w:hint="eastAsia" w:ascii="宋体" w:hAnsi="宋体" w:eastAsia="宋体" w:cs="宋体"/>
          <w:spacing w:val="1"/>
          <w:sz w:val="40"/>
          <w:szCs w:val="40"/>
          <w:lang w:eastAsia="zh-CN"/>
          <w14:textOutline w14:w="9461" w14:cap="sq" w14:cmpd="sng">
            <w14:solidFill>
              <w14:srgbClr w14:val="000000"/>
            </w14:solidFill>
            <w14:prstDash w14:val="solid"/>
            <w14:bevel/>
          </w14:textOutline>
        </w:rPr>
      </w:pPr>
      <w:r>
        <w:rPr>
          <w:rFonts w:hint="eastAsia" w:ascii="宋体" w:hAnsi="宋体" w:eastAsia="宋体" w:cs="宋体"/>
          <w:spacing w:val="1"/>
          <w:sz w:val="40"/>
          <w:szCs w:val="40"/>
          <w:lang w:eastAsia="zh-CN"/>
          <w14:textOutline w14:w="9461" w14:cap="sq" w14:cmpd="sng">
            <w14:solidFill>
              <w14:srgbClr w14:val="000000"/>
            </w14:solidFill>
            <w14:prstDash w14:val="solid"/>
            <w14:bevel/>
          </w14:textOutline>
        </w:rPr>
        <w:t>四川省消防救援总队遂宁市支队“自然灾害应急能力提升工程”装备配备项目（第三批）</w:t>
      </w:r>
    </w:p>
    <w:p w14:paraId="29947A24">
      <w:pPr>
        <w:spacing w:line="313" w:lineRule="auto"/>
        <w:jc w:val="center"/>
        <w:rPr>
          <w:rFonts w:hint="eastAsia" w:ascii="宋体" w:hAnsi="宋体" w:eastAsia="宋体" w:cs="宋体"/>
          <w:spacing w:val="1"/>
          <w:sz w:val="40"/>
          <w:szCs w:val="40"/>
          <w:lang w:eastAsia="zh-CN"/>
          <w14:textOutline w14:w="9461" w14:cap="sq" w14:cmpd="sng">
            <w14:solidFill>
              <w14:srgbClr w14:val="000000"/>
            </w14:solidFill>
            <w14:prstDash w14:val="solid"/>
            <w14:bevel/>
          </w14:textOutline>
        </w:rPr>
      </w:pPr>
      <w:r>
        <w:rPr>
          <w:rFonts w:hint="eastAsia" w:ascii="宋体" w:hAnsi="宋体" w:eastAsia="宋体" w:cs="宋体"/>
          <w:spacing w:val="1"/>
          <w:sz w:val="40"/>
          <w:szCs w:val="40"/>
          <w:lang w:eastAsia="zh-CN"/>
          <w14:textOutline w14:w="9461" w14:cap="sq" w14:cmpd="sng">
            <w14:solidFill>
              <w14:srgbClr w14:val="000000"/>
            </w14:solidFill>
            <w14:prstDash w14:val="solid"/>
            <w14:bevel/>
          </w14:textOutline>
        </w:rPr>
        <w:t>项目编号：</w:t>
      </w:r>
      <w:r>
        <w:rPr>
          <w:rFonts w:hint="eastAsia" w:ascii="宋体" w:hAnsi="宋体" w:eastAsia="宋体" w:cs="宋体"/>
          <w:spacing w:val="1"/>
          <w:sz w:val="40"/>
          <w:szCs w:val="40"/>
          <w:highlight w:val="none"/>
          <w:lang w:eastAsia="zh-CN"/>
          <w14:textOutline w14:w="9461" w14:cap="sq" w14:cmpd="sng">
            <w14:solidFill>
              <w14:srgbClr w14:val="000000"/>
            </w14:solidFill>
            <w14:prstDash w14:val="solid"/>
            <w14:bevel/>
          </w14:textOutline>
        </w:rPr>
        <w:t>HZZB公开（2025）034号</w:t>
      </w:r>
    </w:p>
    <w:p w14:paraId="489EDD82">
      <w:pPr>
        <w:spacing w:line="314" w:lineRule="auto"/>
        <w:rPr>
          <w:rFonts w:ascii="Arial"/>
          <w:sz w:val="21"/>
        </w:rPr>
      </w:pPr>
    </w:p>
    <w:p w14:paraId="67C69D39">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p>
    <w:p w14:paraId="270A0176">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p>
    <w:p w14:paraId="65C77FC9">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p>
    <w:p w14:paraId="0F3B54E0">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p>
    <w:p w14:paraId="281DF04B">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p>
    <w:p w14:paraId="76464AE2">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r>
        <w:rPr>
          <w:rFonts w:hint="eastAsia" w:ascii="宋体" w:hAnsi="宋体" w:eastAsia="宋体" w:cs="宋体"/>
          <w:sz w:val="55"/>
          <w:szCs w:val="55"/>
          <w:lang w:eastAsia="zh-CN"/>
          <w14:textOutline w14:w="10151" w14:cap="sq" w14:cmpd="sng">
            <w14:solidFill>
              <w14:srgbClr w14:val="000000"/>
            </w14:solidFill>
            <w14:prstDash w14:val="solid"/>
            <w14:bevel/>
          </w14:textOutline>
        </w:rPr>
        <w:t>招</w:t>
      </w:r>
    </w:p>
    <w:p w14:paraId="55862E34">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r>
        <w:rPr>
          <w:rFonts w:hint="eastAsia" w:ascii="宋体" w:hAnsi="宋体" w:eastAsia="宋体" w:cs="宋体"/>
          <w:sz w:val="55"/>
          <w:szCs w:val="55"/>
          <w:lang w:eastAsia="zh-CN"/>
          <w14:textOutline w14:w="10151" w14:cap="sq" w14:cmpd="sng">
            <w14:solidFill>
              <w14:srgbClr w14:val="000000"/>
            </w14:solidFill>
            <w14:prstDash w14:val="solid"/>
            <w14:bevel/>
          </w14:textOutline>
        </w:rPr>
        <w:t>标</w:t>
      </w:r>
    </w:p>
    <w:p w14:paraId="3666FD8B">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r>
        <w:rPr>
          <w:rFonts w:hint="eastAsia" w:ascii="宋体" w:hAnsi="宋体" w:eastAsia="宋体" w:cs="宋体"/>
          <w:sz w:val="55"/>
          <w:szCs w:val="55"/>
          <w:lang w:eastAsia="zh-CN"/>
          <w14:textOutline w14:w="10151" w14:cap="sq" w14:cmpd="sng">
            <w14:solidFill>
              <w14:srgbClr w14:val="000000"/>
            </w14:solidFill>
            <w14:prstDash w14:val="solid"/>
            <w14:bevel/>
          </w14:textOutline>
        </w:rPr>
        <w:t>文</w:t>
      </w:r>
    </w:p>
    <w:p w14:paraId="4601ADFB">
      <w:pPr>
        <w:spacing w:before="2" w:line="223" w:lineRule="auto"/>
        <w:ind w:left="4374"/>
        <w:rPr>
          <w:rFonts w:hint="eastAsia" w:ascii="宋体" w:hAnsi="宋体" w:eastAsia="宋体" w:cs="宋体"/>
          <w:sz w:val="55"/>
          <w:szCs w:val="55"/>
          <w:lang w:eastAsia="zh-CN"/>
          <w14:textOutline w14:w="10151" w14:cap="sq" w14:cmpd="sng">
            <w14:solidFill>
              <w14:srgbClr w14:val="000000"/>
            </w14:solidFill>
            <w14:prstDash w14:val="solid"/>
            <w14:bevel/>
          </w14:textOutline>
        </w:rPr>
      </w:pPr>
      <w:r>
        <w:rPr>
          <w:rFonts w:hint="eastAsia" w:ascii="宋体" w:hAnsi="宋体" w:eastAsia="宋体" w:cs="宋体"/>
          <w:sz w:val="55"/>
          <w:szCs w:val="55"/>
          <w:lang w:eastAsia="zh-CN"/>
          <w14:textOutline w14:w="10151" w14:cap="sq" w14:cmpd="sng">
            <w14:solidFill>
              <w14:srgbClr w14:val="000000"/>
            </w14:solidFill>
            <w14:prstDash w14:val="solid"/>
            <w14:bevel/>
          </w14:textOutline>
        </w:rPr>
        <w:t>件</w:t>
      </w:r>
    </w:p>
    <w:p w14:paraId="0C916039">
      <w:pPr>
        <w:spacing w:line="273" w:lineRule="auto"/>
        <w:rPr>
          <w:rFonts w:ascii="Arial"/>
          <w:sz w:val="21"/>
        </w:rPr>
      </w:pPr>
    </w:p>
    <w:p w14:paraId="32777E5E">
      <w:pPr>
        <w:spacing w:line="274" w:lineRule="auto"/>
        <w:rPr>
          <w:rFonts w:ascii="Arial"/>
          <w:sz w:val="21"/>
        </w:rPr>
      </w:pPr>
    </w:p>
    <w:p w14:paraId="597E2903">
      <w:pPr>
        <w:pStyle w:val="13"/>
        <w:rPr>
          <w:rFonts w:ascii="Arial"/>
          <w:sz w:val="21"/>
        </w:rPr>
      </w:pPr>
    </w:p>
    <w:p w14:paraId="6042D111">
      <w:pPr>
        <w:pStyle w:val="14"/>
        <w:rPr>
          <w:rFonts w:ascii="Arial"/>
          <w:sz w:val="21"/>
        </w:rPr>
      </w:pPr>
    </w:p>
    <w:p w14:paraId="0B12B2F6">
      <w:pPr>
        <w:rPr>
          <w:rFonts w:ascii="Arial"/>
          <w:sz w:val="21"/>
        </w:rPr>
      </w:pPr>
    </w:p>
    <w:p w14:paraId="38532314">
      <w:pPr>
        <w:pStyle w:val="13"/>
        <w:rPr>
          <w:rFonts w:ascii="Arial"/>
          <w:sz w:val="21"/>
        </w:rPr>
      </w:pPr>
    </w:p>
    <w:p w14:paraId="060B096A">
      <w:pPr>
        <w:pStyle w:val="14"/>
      </w:pPr>
    </w:p>
    <w:p w14:paraId="05DB61A9">
      <w:pPr>
        <w:spacing w:before="91" w:line="221" w:lineRule="auto"/>
        <w:ind w:left="3404"/>
        <w:rPr>
          <w:rFonts w:ascii="宋体" w:hAnsi="宋体" w:eastAsia="宋体" w:cs="宋体"/>
          <w:spacing w:val="-26"/>
          <w:sz w:val="28"/>
          <w:szCs w:val="28"/>
          <w14:textOutline w14:w="5103" w14:cap="sq" w14:cmpd="sng">
            <w14:solidFill>
              <w14:srgbClr w14:val="000000"/>
            </w14:solidFill>
            <w14:prstDash w14:val="solid"/>
            <w14:bevel/>
          </w14:textOutline>
        </w:rPr>
      </w:pPr>
    </w:p>
    <w:p w14:paraId="48526CCF">
      <w:pPr>
        <w:spacing w:before="91" w:line="221" w:lineRule="auto"/>
        <w:ind w:left="3404"/>
        <w:rPr>
          <w:rFonts w:hint="eastAsia" w:ascii="宋体" w:hAnsi="宋体" w:eastAsia="宋体" w:cs="宋体"/>
          <w:sz w:val="28"/>
          <w:szCs w:val="28"/>
          <w:lang w:eastAsia="zh-CN"/>
        </w:rPr>
      </w:pPr>
      <w:r>
        <w:rPr>
          <w:rFonts w:ascii="宋体" w:hAnsi="宋体" w:eastAsia="宋体" w:cs="宋体"/>
          <w:spacing w:val="-26"/>
          <w:sz w:val="28"/>
          <w:szCs w:val="28"/>
          <w14:textOutline w14:w="5103" w14:cap="sq" w14:cmpd="sng">
            <w14:solidFill>
              <w14:srgbClr w14:val="000000"/>
            </w14:solidFill>
            <w14:prstDash w14:val="solid"/>
            <w14:bevel/>
          </w14:textOutline>
        </w:rPr>
        <w:t>中国</w:t>
      </w:r>
      <w:r>
        <w:rPr>
          <w:rFonts w:ascii="宋体" w:hAnsi="宋体" w:eastAsia="宋体" w:cs="宋体"/>
          <w:spacing w:val="-26"/>
          <w:sz w:val="28"/>
          <w:szCs w:val="28"/>
        </w:rPr>
        <w:t xml:space="preserve"> </w:t>
      </w:r>
      <w:r>
        <w:rPr>
          <w:rFonts w:ascii="宋体" w:hAnsi="宋体" w:eastAsia="宋体" w:cs="宋体"/>
          <w:spacing w:val="-26"/>
          <w:sz w:val="28"/>
          <w:szCs w:val="28"/>
          <w14:textOutline w14:w="5103" w14:cap="sq" w14:cmpd="sng">
            <w14:solidFill>
              <w14:srgbClr w14:val="000000"/>
            </w14:solidFill>
            <w14:prstDash w14:val="solid"/>
            <w14:bevel/>
          </w14:textOutline>
        </w:rPr>
        <w:t>·</w:t>
      </w:r>
      <w:r>
        <w:rPr>
          <w:rFonts w:ascii="宋体" w:hAnsi="宋体" w:eastAsia="宋体" w:cs="宋体"/>
          <w:spacing w:val="-26"/>
          <w:sz w:val="28"/>
          <w:szCs w:val="28"/>
        </w:rPr>
        <w:t xml:space="preserve"> </w:t>
      </w:r>
      <w:r>
        <w:rPr>
          <w:rFonts w:ascii="宋体" w:hAnsi="宋体" w:eastAsia="宋体" w:cs="宋体"/>
          <w:spacing w:val="-26"/>
          <w:sz w:val="28"/>
          <w:szCs w:val="28"/>
          <w14:textOutline w14:w="5103" w14:cap="sq" w14:cmpd="sng">
            <w14:solidFill>
              <w14:srgbClr w14:val="000000"/>
            </w14:solidFill>
            <w14:prstDash w14:val="solid"/>
            <w14:bevel/>
          </w14:textOutline>
        </w:rPr>
        <w:t>四川</w:t>
      </w:r>
      <w:r>
        <w:rPr>
          <w:rFonts w:ascii="宋体" w:hAnsi="宋体" w:eastAsia="宋体" w:cs="宋体"/>
          <w:spacing w:val="-26"/>
          <w:sz w:val="28"/>
          <w:szCs w:val="28"/>
        </w:rPr>
        <w:t xml:space="preserve"> </w:t>
      </w:r>
      <w:r>
        <w:rPr>
          <w:rFonts w:hint="eastAsia" w:ascii="宋体" w:hAnsi="宋体" w:eastAsia="宋体" w:cs="宋体"/>
          <w:spacing w:val="-26"/>
          <w:sz w:val="28"/>
          <w:szCs w:val="28"/>
          <w:lang w:eastAsia="zh-CN"/>
          <w14:textOutline w14:w="5103" w14:cap="sq" w14:cmpd="sng">
            <w14:solidFill>
              <w14:srgbClr w14:val="000000"/>
            </w14:solidFill>
            <w14:prstDash w14:val="solid"/>
            <w14:bevel/>
          </w14:textOutline>
        </w:rPr>
        <w:t>（</w:t>
      </w:r>
      <w:r>
        <w:rPr>
          <w:rFonts w:ascii="宋体" w:hAnsi="宋体" w:eastAsia="宋体" w:cs="宋体"/>
          <w:spacing w:val="-26"/>
          <w:sz w:val="28"/>
          <w:szCs w:val="28"/>
          <w14:textOutline w14:w="5103" w14:cap="sq" w14:cmpd="sng">
            <w14:solidFill>
              <w14:srgbClr w14:val="000000"/>
            </w14:solidFill>
            <w14:prstDash w14:val="solid"/>
            <w14:bevel/>
          </w14:textOutline>
        </w:rPr>
        <w:t>遂宁</w:t>
      </w:r>
      <w:r>
        <w:rPr>
          <w:rFonts w:hint="eastAsia" w:ascii="宋体" w:hAnsi="宋体" w:eastAsia="宋体" w:cs="宋体"/>
          <w:spacing w:val="-25"/>
          <w:sz w:val="28"/>
          <w:szCs w:val="28"/>
          <w:lang w:eastAsia="zh-CN"/>
          <w14:textOutline w14:w="5103" w14:cap="sq" w14:cmpd="sng">
            <w14:solidFill>
              <w14:srgbClr w14:val="000000"/>
            </w14:solidFill>
            <w14:prstDash w14:val="solid"/>
            <w14:bevel/>
          </w14:textOutline>
        </w:rPr>
        <w:t>）</w:t>
      </w:r>
    </w:p>
    <w:p w14:paraId="6727AAFE">
      <w:pPr>
        <w:spacing w:before="210" w:line="220" w:lineRule="auto"/>
        <w:ind w:left="2812"/>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采购人</w:t>
      </w:r>
      <w:r>
        <w:rPr>
          <w:rFonts w:ascii="宋体" w:hAnsi="宋体" w:eastAsia="宋体" w:cs="宋体"/>
          <w:sz w:val="28"/>
          <w:szCs w:val="28"/>
          <w14:textOutline w14:w="5103" w14:cap="sq" w14:cmpd="sng">
            <w14:solidFill>
              <w14:srgbClr w14:val="000000"/>
            </w14:solidFill>
            <w14:prstDash w14:val="solid"/>
            <w14:bevel/>
          </w14:textOutline>
        </w:rPr>
        <w:t>：遂宁市消防救援支队</w:t>
      </w:r>
    </w:p>
    <w:p w14:paraId="47705F96">
      <w:pPr>
        <w:spacing w:before="211" w:line="220" w:lineRule="auto"/>
        <w:ind w:left="1408" w:firstLine="564" w:firstLineChars="200"/>
        <w:rPr>
          <w:rFonts w:hint="eastAsia" w:ascii="宋体" w:hAnsi="宋体" w:eastAsia="宋体" w:cs="宋体"/>
          <w:sz w:val="28"/>
          <w:szCs w:val="28"/>
          <w:lang w:eastAsia="zh-CN"/>
        </w:rPr>
      </w:pPr>
      <w:r>
        <w:rPr>
          <w:rFonts w:ascii="宋体" w:hAnsi="宋体" w:eastAsia="宋体" w:cs="宋体"/>
          <w:spacing w:val="1"/>
          <w:sz w:val="28"/>
          <w:szCs w:val="28"/>
          <w14:textOutline w14:w="5103" w14:cap="sq" w14:cmpd="sng">
            <w14:solidFill>
              <w14:srgbClr w14:val="000000"/>
            </w14:solidFill>
            <w14:prstDash w14:val="solid"/>
            <w14:bevel/>
          </w14:textOutline>
        </w:rPr>
        <w:t>采购代理机构：</w:t>
      </w:r>
      <w:r>
        <w:rPr>
          <w:rFonts w:hint="eastAsia" w:ascii="宋体" w:hAnsi="宋体" w:eastAsia="宋体" w:cs="宋体"/>
          <w:spacing w:val="1"/>
          <w:sz w:val="28"/>
          <w:szCs w:val="28"/>
          <w:lang w:eastAsia="zh-CN"/>
          <w14:textOutline w14:w="5103" w14:cap="sq" w14:cmpd="sng">
            <w14:solidFill>
              <w14:srgbClr w14:val="000000"/>
            </w14:solidFill>
            <w14:prstDash w14:val="solid"/>
            <w14:bevel/>
          </w14:textOutline>
        </w:rPr>
        <w:t>四川华招项目管理有限公司</w:t>
      </w:r>
    </w:p>
    <w:p w14:paraId="7AD9D009">
      <w:pPr>
        <w:spacing w:before="211" w:line="221" w:lineRule="auto"/>
        <w:ind w:left="4079"/>
        <w:rPr>
          <w:rFonts w:ascii="宋体" w:hAnsi="宋体" w:eastAsia="宋体" w:cs="宋体"/>
          <w:sz w:val="28"/>
          <w:szCs w:val="28"/>
        </w:rPr>
      </w:pPr>
      <w:r>
        <w:rPr>
          <w:rFonts w:ascii="宋体" w:hAnsi="宋体" w:eastAsia="宋体" w:cs="宋体"/>
          <w:spacing w:val="-2"/>
          <w:sz w:val="28"/>
          <w:szCs w:val="28"/>
          <w14:textOutline w14:w="5103" w14:cap="sq" w14:cmpd="sng">
            <w14:solidFill>
              <w14:srgbClr w14:val="000000"/>
            </w14:solidFill>
            <w14:prstDash w14:val="solid"/>
            <w14:bevel/>
          </w14:textOutline>
        </w:rPr>
        <w:t>共同编</w:t>
      </w:r>
      <w:r>
        <w:rPr>
          <w:rFonts w:ascii="宋体" w:hAnsi="宋体" w:eastAsia="宋体" w:cs="宋体"/>
          <w:spacing w:val="-1"/>
          <w:sz w:val="28"/>
          <w:szCs w:val="28"/>
          <w14:textOutline w14:w="5103" w14:cap="sq" w14:cmpd="sng">
            <w14:solidFill>
              <w14:srgbClr w14:val="000000"/>
            </w14:solidFill>
            <w14:prstDash w14:val="solid"/>
            <w14:bevel/>
          </w14:textOutline>
        </w:rPr>
        <w:t>制</w:t>
      </w:r>
    </w:p>
    <w:p w14:paraId="67B524A6">
      <w:pPr>
        <w:spacing w:before="210" w:line="221" w:lineRule="auto"/>
        <w:ind w:left="3521"/>
        <w:rPr>
          <w:rFonts w:ascii="宋体" w:hAnsi="宋体" w:eastAsia="宋体" w:cs="宋体"/>
          <w:sz w:val="28"/>
          <w:szCs w:val="28"/>
        </w:rPr>
      </w:pPr>
      <w:r>
        <w:rPr>
          <w:rFonts w:ascii="宋体" w:hAnsi="宋体" w:eastAsia="宋体" w:cs="宋体"/>
          <w:spacing w:val="-1"/>
          <w:sz w:val="28"/>
          <w:szCs w:val="28"/>
          <w14:textOutline w14:w="5103" w14:cap="sq" w14:cmpd="sng">
            <w14:solidFill>
              <w14:srgbClr w14:val="000000"/>
            </w14:solidFill>
            <w14:prstDash w14:val="solid"/>
            <w14:bevel/>
          </w14:textOutline>
        </w:rPr>
        <w:t>二〇二</w:t>
      </w:r>
      <w:r>
        <w:rPr>
          <w:rFonts w:hint="eastAsia" w:ascii="宋体" w:hAnsi="宋体" w:eastAsia="宋体" w:cs="宋体"/>
          <w:spacing w:val="-1"/>
          <w:sz w:val="28"/>
          <w:szCs w:val="28"/>
          <w:lang w:val="en-US" w:eastAsia="zh-CN"/>
          <w14:textOutline w14:w="5103" w14:cap="sq" w14:cmpd="sng">
            <w14:solidFill>
              <w14:srgbClr w14:val="000000"/>
            </w14:solidFill>
            <w14:prstDash w14:val="solid"/>
            <w14:bevel/>
          </w14:textOutline>
        </w:rPr>
        <w:t>五</w:t>
      </w:r>
      <w:r>
        <w:rPr>
          <w:rFonts w:ascii="宋体" w:hAnsi="宋体" w:eastAsia="宋体" w:cs="宋体"/>
          <w:spacing w:val="-1"/>
          <w:sz w:val="28"/>
          <w:szCs w:val="28"/>
          <w14:textOutline w14:w="5103" w14:cap="sq" w14:cmpd="sng">
            <w14:solidFill>
              <w14:srgbClr w14:val="000000"/>
            </w14:solidFill>
            <w14:prstDash w14:val="solid"/>
            <w14:bevel/>
          </w14:textOutline>
        </w:rPr>
        <w:t>年</w:t>
      </w:r>
      <w:r>
        <w:rPr>
          <w:rFonts w:hint="eastAsia" w:ascii="宋体" w:hAnsi="宋体" w:eastAsia="宋体" w:cs="宋体"/>
          <w:spacing w:val="-1"/>
          <w:sz w:val="28"/>
          <w:szCs w:val="28"/>
          <w:lang w:val="en-US" w:eastAsia="zh-CN"/>
          <w14:textOutline w14:w="5103" w14:cap="sq" w14:cmpd="sng">
            <w14:solidFill>
              <w14:srgbClr w14:val="000000"/>
            </w14:solidFill>
            <w14:prstDash w14:val="solid"/>
            <w14:bevel/>
          </w14:textOutline>
        </w:rPr>
        <w:t>四</w:t>
      </w:r>
      <w:r>
        <w:rPr>
          <w:rFonts w:ascii="宋体" w:hAnsi="宋体" w:eastAsia="宋体" w:cs="宋体"/>
          <w:sz w:val="28"/>
          <w:szCs w:val="28"/>
          <w14:textOutline w14:w="5103" w14:cap="sq" w14:cmpd="sng">
            <w14:solidFill>
              <w14:srgbClr w14:val="000000"/>
            </w14:solidFill>
            <w14:prstDash w14:val="solid"/>
            <w14:bevel/>
          </w14:textOutline>
        </w:rPr>
        <w:t>月</w:t>
      </w:r>
    </w:p>
    <w:p w14:paraId="1C692DA5">
      <w:pPr>
        <w:sectPr>
          <w:pgSz w:w="11850" w:h="16783"/>
          <w:pgMar w:top="1424" w:right="1489" w:bottom="0" w:left="1293" w:header="0" w:footer="0" w:gutter="0"/>
          <w:pgNumType w:fmt="decimal"/>
          <w:cols w:space="720" w:num="1"/>
        </w:sectPr>
      </w:pPr>
    </w:p>
    <w:p w14:paraId="38FF5792">
      <w:pPr>
        <w:spacing w:line="373" w:lineRule="auto"/>
        <w:rPr>
          <w:rFonts w:ascii="Arial"/>
          <w:sz w:val="21"/>
        </w:rPr>
      </w:pPr>
    </w:p>
    <w:sdt>
      <w:sdtPr>
        <w:rPr>
          <w:rFonts w:ascii="宋体" w:hAnsi="宋体" w:eastAsia="宋体" w:cs="宋体"/>
          <w:sz w:val="31"/>
          <w:szCs w:val="31"/>
        </w:rPr>
        <w:id w:val="1"/>
        <w:docPartObj>
          <w:docPartGallery w:val="Table of Contents"/>
          <w:docPartUnique/>
        </w:docPartObj>
      </w:sdtPr>
      <w:sdtEndPr>
        <w:rPr>
          <w:rFonts w:hint="default" w:ascii="宋体" w:hAnsi="宋体" w:eastAsia="宋体" w:cs="宋体"/>
          <w:sz w:val="24"/>
          <w:szCs w:val="24"/>
          <w:lang w:val="en-US"/>
        </w:rPr>
      </w:sdtEndPr>
      <w:sdtContent>
        <w:p w14:paraId="3DFFCBC0">
          <w:pPr>
            <w:spacing w:before="101" w:line="228" w:lineRule="auto"/>
            <w:ind w:left="3871"/>
            <w:rPr>
              <w:rFonts w:ascii="宋体" w:hAnsi="宋体" w:eastAsia="宋体" w:cs="宋体"/>
              <w:sz w:val="31"/>
              <w:szCs w:val="31"/>
            </w:rPr>
          </w:pPr>
          <w:r>
            <w:rPr>
              <w:rFonts w:ascii="宋体" w:hAnsi="宋体" w:eastAsia="宋体" w:cs="宋体"/>
              <w:spacing w:val="-8"/>
              <w:sz w:val="31"/>
              <w:szCs w:val="31"/>
              <w14:textOutline w14:w="5793" w14:cap="sq" w14:cmpd="sng">
                <w14:solidFill>
                  <w14:srgbClr w14:val="000000"/>
                </w14:solidFill>
                <w14:prstDash w14:val="solid"/>
                <w14:bevel/>
              </w14:textOutline>
            </w:rPr>
            <w:t>目</w:t>
          </w:r>
          <w:r>
            <w:rPr>
              <w:rFonts w:ascii="宋体" w:hAnsi="宋体" w:eastAsia="宋体" w:cs="宋体"/>
              <w:spacing w:val="-4"/>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录</w:t>
          </w:r>
        </w:p>
        <w:p w14:paraId="2174FD43">
          <w:pPr>
            <w:tabs>
              <w:tab w:val="right" w:leader="dot" w:pos="8949"/>
            </w:tabs>
            <w:spacing w:before="24" w:line="220" w:lineRule="auto"/>
            <w:rPr>
              <w:rFonts w:ascii="宋体" w:hAnsi="宋体" w:eastAsia="宋体" w:cs="宋体"/>
              <w:sz w:val="24"/>
              <w:szCs w:val="24"/>
            </w:rPr>
          </w:pPr>
          <w:r>
            <w:rPr>
              <w:sz w:val="20"/>
              <w:szCs w:val="20"/>
            </w:rPr>
            <w:fldChar w:fldCharType="begin"/>
          </w:r>
          <w:r>
            <w:rPr>
              <w:sz w:val="20"/>
              <w:szCs w:val="20"/>
            </w:rPr>
            <w:instrText xml:space="preserve"> HYPERLINK \l "_bookmark1" </w:instrText>
          </w:r>
          <w:r>
            <w:rPr>
              <w:sz w:val="20"/>
              <w:szCs w:val="20"/>
            </w:rPr>
            <w:fldChar w:fldCharType="separate"/>
          </w:r>
          <w:r>
            <w:rPr>
              <w:rFonts w:ascii="宋体" w:hAnsi="宋体" w:eastAsia="宋体" w:cs="宋体"/>
              <w:spacing w:val="-6"/>
              <w:sz w:val="24"/>
              <w:szCs w:val="24"/>
            </w:rPr>
            <w:t>第</w:t>
          </w:r>
          <w:r>
            <w:rPr>
              <w:rFonts w:ascii="宋体" w:hAnsi="宋体" w:eastAsia="宋体" w:cs="宋体"/>
              <w:spacing w:val="-4"/>
              <w:sz w:val="24"/>
              <w:szCs w:val="24"/>
            </w:rPr>
            <w:t>一</w:t>
          </w:r>
          <w:r>
            <w:rPr>
              <w:rFonts w:ascii="宋体" w:hAnsi="宋体" w:eastAsia="宋体" w:cs="宋体"/>
              <w:spacing w:val="-3"/>
              <w:sz w:val="24"/>
              <w:szCs w:val="24"/>
            </w:rPr>
            <w:t xml:space="preserve">章  投标邀请 </w:t>
          </w:r>
          <w:r>
            <w:rPr>
              <w:rFonts w:hint="eastAsia" w:ascii="宋体" w:hAnsi="宋体" w:eastAsia="宋体" w:cs="宋体"/>
              <w:sz w:val="24"/>
              <w:szCs w:val="24"/>
              <w:lang w:val="en-US" w:eastAsia="zh-CN"/>
            </w:rPr>
            <w:t>........................................................</w:t>
          </w:r>
          <w:r>
            <w:rPr>
              <w:rFonts w:ascii="宋体" w:hAnsi="宋体" w:eastAsia="宋体" w:cs="宋体"/>
              <w:spacing w:val="-3"/>
              <w:sz w:val="24"/>
              <w:szCs w:val="24"/>
            </w:rPr>
            <w:t>1</w:t>
          </w:r>
          <w:r>
            <w:rPr>
              <w:rFonts w:ascii="宋体" w:hAnsi="宋体" w:eastAsia="宋体" w:cs="宋体"/>
              <w:spacing w:val="-3"/>
              <w:sz w:val="24"/>
              <w:szCs w:val="24"/>
            </w:rPr>
            <w:fldChar w:fldCharType="end"/>
          </w:r>
        </w:p>
        <w:p w14:paraId="799412E2">
          <w:pPr>
            <w:spacing w:line="330" w:lineRule="auto"/>
            <w:rPr>
              <w:rFonts w:ascii="Arial"/>
              <w:sz w:val="20"/>
              <w:szCs w:val="20"/>
            </w:rPr>
          </w:pPr>
        </w:p>
        <w:p w14:paraId="150C5FC9">
          <w:pPr>
            <w:spacing w:line="330" w:lineRule="auto"/>
            <w:rPr>
              <w:rFonts w:ascii="Arial"/>
              <w:sz w:val="20"/>
              <w:szCs w:val="20"/>
            </w:rPr>
          </w:pPr>
        </w:p>
        <w:p w14:paraId="0628802E">
          <w:pPr>
            <w:tabs>
              <w:tab w:val="right" w:leader="dot" w:pos="8949"/>
            </w:tabs>
            <w:spacing w:before="91" w:line="220" w:lineRule="auto"/>
            <w:rPr>
              <w:rFonts w:hint="default" w:ascii="宋体" w:hAnsi="宋体" w:eastAsia="宋体" w:cs="宋体"/>
              <w:sz w:val="24"/>
              <w:szCs w:val="24"/>
              <w:lang w:val="en-US"/>
            </w:rPr>
          </w:pPr>
          <w:r>
            <w:rPr>
              <w:sz w:val="20"/>
              <w:szCs w:val="20"/>
            </w:rPr>
            <w:fldChar w:fldCharType="begin"/>
          </w:r>
          <w:r>
            <w:rPr>
              <w:sz w:val="20"/>
              <w:szCs w:val="20"/>
            </w:rPr>
            <w:instrText xml:space="preserve"> HYPERLINK \l "_bookmark2" </w:instrText>
          </w:r>
          <w:r>
            <w:rPr>
              <w:sz w:val="20"/>
              <w:szCs w:val="20"/>
            </w:rPr>
            <w:fldChar w:fldCharType="separate"/>
          </w:r>
          <w:r>
            <w:rPr>
              <w:rFonts w:ascii="宋体" w:hAnsi="宋体" w:eastAsia="宋体" w:cs="宋体"/>
              <w:spacing w:val="-3"/>
              <w:sz w:val="24"/>
              <w:szCs w:val="24"/>
            </w:rPr>
            <w:t xml:space="preserve">第二章  投标人须知 </w:t>
          </w:r>
          <w:r>
            <w:rPr>
              <w:rFonts w:hint="eastAsia" w:ascii="宋体" w:hAnsi="宋体" w:eastAsia="宋体" w:cs="宋体"/>
              <w:sz w:val="24"/>
              <w:szCs w:val="24"/>
              <w:lang w:val="en-US" w:eastAsia="zh-CN"/>
            </w:rPr>
            <w:t>.....................................................</w:t>
          </w:r>
          <w:r>
            <w:rPr>
              <w:rFonts w:ascii="宋体" w:hAnsi="宋体" w:eastAsia="宋体" w:cs="宋体"/>
              <w:spacing w:val="-3"/>
              <w:sz w:val="24"/>
              <w:szCs w:val="24"/>
            </w:rPr>
            <w:fldChar w:fldCharType="end"/>
          </w:r>
          <w:r>
            <w:rPr>
              <w:rFonts w:hint="eastAsia" w:ascii="宋体" w:hAnsi="宋体" w:eastAsia="宋体" w:cs="宋体"/>
              <w:sz w:val="24"/>
              <w:szCs w:val="24"/>
              <w:lang w:val="en-US" w:eastAsia="zh-CN"/>
            </w:rPr>
            <w:t>.</w:t>
          </w:r>
          <w:r>
            <w:rPr>
              <w:rFonts w:hint="eastAsia" w:ascii="宋体" w:hAnsi="宋体" w:eastAsia="宋体" w:cs="宋体"/>
              <w:spacing w:val="-3"/>
              <w:sz w:val="24"/>
              <w:szCs w:val="24"/>
              <w:lang w:val="en-US" w:eastAsia="zh-CN"/>
            </w:rPr>
            <w:t>8</w:t>
          </w:r>
        </w:p>
        <w:p w14:paraId="7B29D6A7">
          <w:pPr>
            <w:spacing w:line="330" w:lineRule="auto"/>
            <w:rPr>
              <w:rFonts w:ascii="Arial"/>
              <w:sz w:val="20"/>
              <w:szCs w:val="20"/>
            </w:rPr>
          </w:pPr>
        </w:p>
        <w:p w14:paraId="2096DFA1">
          <w:pPr>
            <w:spacing w:line="330" w:lineRule="auto"/>
            <w:rPr>
              <w:rFonts w:ascii="Arial"/>
              <w:sz w:val="20"/>
              <w:szCs w:val="20"/>
            </w:rPr>
          </w:pPr>
        </w:p>
        <w:p w14:paraId="2E4EE127">
          <w:pPr>
            <w:tabs>
              <w:tab w:val="right" w:leader="dot" w:pos="8949"/>
            </w:tabs>
            <w:spacing w:before="91" w:line="220" w:lineRule="auto"/>
            <w:rPr>
              <w:rFonts w:hint="eastAsia" w:ascii="宋体" w:hAnsi="宋体" w:eastAsia="宋体" w:cs="宋体"/>
              <w:sz w:val="24"/>
              <w:szCs w:val="24"/>
              <w:lang w:val="en-US" w:eastAsia="zh-CN"/>
            </w:rPr>
          </w:pPr>
          <w:r>
            <w:rPr>
              <w:sz w:val="20"/>
              <w:szCs w:val="20"/>
            </w:rPr>
            <w:fldChar w:fldCharType="begin"/>
          </w:r>
          <w:r>
            <w:rPr>
              <w:sz w:val="20"/>
              <w:szCs w:val="20"/>
            </w:rPr>
            <w:instrText xml:space="preserve"> HYPERLINK \l "_bookmark3" </w:instrText>
          </w:r>
          <w:r>
            <w:rPr>
              <w:sz w:val="20"/>
              <w:szCs w:val="20"/>
            </w:rPr>
            <w:fldChar w:fldCharType="separate"/>
          </w:r>
          <w:r>
            <w:rPr>
              <w:rFonts w:ascii="宋体" w:hAnsi="宋体" w:eastAsia="宋体" w:cs="宋体"/>
              <w:spacing w:val="-4"/>
              <w:sz w:val="24"/>
              <w:szCs w:val="24"/>
            </w:rPr>
            <w:t>第三章</w:t>
          </w:r>
          <w:r>
            <w:rPr>
              <w:rFonts w:ascii="宋体" w:hAnsi="宋体" w:eastAsia="宋体" w:cs="宋体"/>
              <w:spacing w:val="-3"/>
              <w:sz w:val="24"/>
              <w:szCs w:val="24"/>
            </w:rPr>
            <w:t xml:space="preserve"> </w:t>
          </w:r>
          <w:r>
            <w:rPr>
              <w:rFonts w:hint="eastAsia" w:ascii="宋体" w:hAnsi="宋体" w:eastAsia="宋体" w:cs="宋体"/>
              <w:spacing w:val="-3"/>
              <w:sz w:val="24"/>
              <w:szCs w:val="24"/>
              <w:lang w:val="en-US" w:eastAsia="zh-CN"/>
            </w:rPr>
            <w:t xml:space="preserve"> </w:t>
          </w:r>
          <w:r>
            <w:rPr>
              <w:rFonts w:ascii="宋体" w:hAnsi="宋体" w:eastAsia="宋体" w:cs="宋体"/>
              <w:spacing w:val="-2"/>
              <w:sz w:val="24"/>
              <w:szCs w:val="24"/>
            </w:rPr>
            <w:t xml:space="preserve">投标文件格式 </w:t>
          </w:r>
          <w:r>
            <w:rPr>
              <w:rFonts w:hint="eastAsia" w:ascii="宋体" w:hAnsi="宋体" w:eastAsia="宋体" w:cs="宋体"/>
              <w:sz w:val="24"/>
              <w:szCs w:val="24"/>
              <w:lang w:val="en-US" w:eastAsia="zh-CN"/>
            </w:rPr>
            <w:t>...................................................</w:t>
          </w:r>
          <w:r>
            <w:rPr>
              <w:rFonts w:ascii="宋体" w:hAnsi="宋体" w:eastAsia="宋体" w:cs="宋体"/>
              <w:spacing w:val="-2"/>
              <w:sz w:val="24"/>
              <w:szCs w:val="24"/>
            </w:rPr>
            <w:fldChar w:fldCharType="end"/>
          </w:r>
          <w:r>
            <w:rPr>
              <w:rFonts w:hint="eastAsia" w:ascii="宋体" w:hAnsi="宋体" w:eastAsia="宋体" w:cs="宋体"/>
              <w:spacing w:val="-2"/>
              <w:sz w:val="24"/>
              <w:szCs w:val="24"/>
              <w:lang w:val="en-US" w:eastAsia="zh-CN"/>
            </w:rPr>
            <w:t>24</w:t>
          </w:r>
        </w:p>
        <w:p w14:paraId="07A1174F">
          <w:pPr>
            <w:spacing w:line="330" w:lineRule="auto"/>
            <w:rPr>
              <w:rFonts w:ascii="Arial"/>
              <w:sz w:val="20"/>
              <w:szCs w:val="20"/>
            </w:rPr>
          </w:pPr>
        </w:p>
        <w:p w14:paraId="1420D71D">
          <w:pPr>
            <w:spacing w:line="330" w:lineRule="auto"/>
            <w:rPr>
              <w:rFonts w:ascii="Arial"/>
              <w:sz w:val="20"/>
              <w:szCs w:val="20"/>
            </w:rPr>
          </w:pPr>
        </w:p>
        <w:p w14:paraId="495C8EDB">
          <w:pPr>
            <w:tabs>
              <w:tab w:val="right" w:leader="dot" w:pos="8949"/>
            </w:tabs>
            <w:spacing w:before="92" w:line="220" w:lineRule="auto"/>
            <w:rPr>
              <w:rFonts w:hint="default" w:ascii="宋体" w:hAnsi="宋体" w:eastAsia="宋体" w:cs="宋体"/>
              <w:sz w:val="24"/>
              <w:szCs w:val="24"/>
              <w:lang w:val="en-US" w:eastAsia="zh-CN"/>
            </w:rPr>
          </w:pPr>
          <w:r>
            <w:rPr>
              <w:sz w:val="20"/>
              <w:szCs w:val="20"/>
            </w:rPr>
            <w:fldChar w:fldCharType="begin"/>
          </w:r>
          <w:r>
            <w:rPr>
              <w:sz w:val="20"/>
              <w:szCs w:val="20"/>
            </w:rPr>
            <w:instrText xml:space="preserve"> HYPERLINK \l "_bookmark4" </w:instrText>
          </w:r>
          <w:r>
            <w:rPr>
              <w:sz w:val="20"/>
              <w:szCs w:val="20"/>
            </w:rPr>
            <w:fldChar w:fldCharType="separate"/>
          </w:r>
          <w:r>
            <w:rPr>
              <w:rFonts w:ascii="宋体" w:hAnsi="宋体" w:eastAsia="宋体" w:cs="宋体"/>
              <w:spacing w:val="1"/>
              <w:sz w:val="24"/>
              <w:szCs w:val="24"/>
            </w:rPr>
            <w:t xml:space="preserve">第四章 </w:t>
          </w:r>
          <w:r>
            <w:rPr>
              <w:rFonts w:ascii="宋体" w:hAnsi="宋体" w:eastAsia="宋体" w:cs="宋体"/>
              <w:sz w:val="24"/>
              <w:szCs w:val="24"/>
            </w:rPr>
            <w:t xml:space="preserve"> 投标人和投标产品的资格、资质性及其他类似效力要求 </w:t>
          </w:r>
          <w:r>
            <w:rPr>
              <w:rFonts w:hint="eastAsia" w:ascii="宋体" w:hAnsi="宋体" w:eastAsia="宋体" w:cs="宋体"/>
              <w:sz w:val="24"/>
              <w:szCs w:val="24"/>
              <w:lang w:val="en-US" w:eastAsia="zh-CN"/>
            </w:rPr>
            <w:t>...............</w:t>
          </w:r>
          <w:r>
            <w:rPr>
              <w:rFonts w:ascii="宋体" w:hAnsi="宋体" w:eastAsia="宋体" w:cs="宋体"/>
              <w:sz w:val="24"/>
              <w:szCs w:val="24"/>
            </w:rPr>
            <w:fldChar w:fldCharType="end"/>
          </w:r>
          <w:r>
            <w:rPr>
              <w:rFonts w:hint="eastAsia" w:ascii="宋体" w:hAnsi="宋体" w:eastAsia="宋体" w:cs="宋体"/>
              <w:sz w:val="24"/>
              <w:szCs w:val="24"/>
              <w:lang w:val="en-US" w:eastAsia="zh-CN"/>
            </w:rPr>
            <w:t>47</w:t>
          </w:r>
        </w:p>
        <w:p w14:paraId="2256452E">
          <w:pPr>
            <w:spacing w:line="330" w:lineRule="auto"/>
            <w:rPr>
              <w:rFonts w:ascii="Arial"/>
              <w:sz w:val="20"/>
              <w:szCs w:val="20"/>
            </w:rPr>
          </w:pPr>
        </w:p>
        <w:p w14:paraId="474A1662">
          <w:pPr>
            <w:spacing w:line="330" w:lineRule="auto"/>
            <w:rPr>
              <w:rFonts w:ascii="Arial"/>
              <w:sz w:val="20"/>
              <w:szCs w:val="20"/>
            </w:rPr>
          </w:pPr>
        </w:p>
        <w:p w14:paraId="28492A8D">
          <w:pPr>
            <w:spacing w:before="92" w:line="220" w:lineRule="auto"/>
            <w:rPr>
              <w:rFonts w:hint="default" w:ascii="宋体" w:hAnsi="宋体" w:eastAsia="宋体" w:cs="宋体"/>
              <w:sz w:val="24"/>
              <w:szCs w:val="24"/>
              <w:lang w:val="en-US" w:eastAsia="zh-CN"/>
            </w:rPr>
          </w:pPr>
          <w:r>
            <w:rPr>
              <w:sz w:val="20"/>
              <w:szCs w:val="20"/>
            </w:rPr>
            <w:fldChar w:fldCharType="begin"/>
          </w:r>
          <w:r>
            <w:rPr>
              <w:sz w:val="20"/>
              <w:szCs w:val="20"/>
            </w:rPr>
            <w:instrText xml:space="preserve"> HYPERLINK \l "_bookmark5" </w:instrText>
          </w:r>
          <w:r>
            <w:rPr>
              <w:sz w:val="20"/>
              <w:szCs w:val="20"/>
            </w:rPr>
            <w:fldChar w:fldCharType="separate"/>
          </w:r>
          <w:r>
            <w:rPr>
              <w:rFonts w:ascii="宋体" w:hAnsi="宋体" w:eastAsia="宋体" w:cs="宋体"/>
              <w:spacing w:val="-3"/>
              <w:sz w:val="24"/>
              <w:szCs w:val="24"/>
            </w:rPr>
            <w:t>第</w:t>
          </w:r>
          <w:r>
            <w:rPr>
              <w:rFonts w:ascii="宋体" w:hAnsi="宋体" w:eastAsia="宋体" w:cs="宋体"/>
              <w:spacing w:val="-2"/>
              <w:sz w:val="24"/>
              <w:szCs w:val="24"/>
            </w:rPr>
            <w:t>五章  投标人应当提供的资格、资质性及其他类似效力要求的相关证明</w:t>
          </w:r>
          <w:r>
            <w:rPr>
              <w:rFonts w:ascii="宋体" w:hAnsi="宋体" w:eastAsia="宋体" w:cs="宋体"/>
              <w:spacing w:val="-2"/>
              <w:sz w:val="24"/>
              <w:szCs w:val="24"/>
            </w:rPr>
            <w:fldChar w:fldCharType="end"/>
          </w:r>
          <w:r>
            <w:rPr>
              <w:rFonts w:ascii="宋体" w:hAnsi="宋体" w:eastAsia="宋体" w:cs="宋体"/>
              <w:spacing w:val="-5"/>
              <w:sz w:val="24"/>
              <w:szCs w:val="24"/>
            </w:rPr>
            <w:t>材料</w:t>
          </w:r>
          <w:r>
            <w:rPr>
              <w:rFonts w:ascii="宋体" w:hAnsi="宋体" w:eastAsia="宋体" w:cs="宋体"/>
              <w:spacing w:val="-52"/>
              <w:sz w:val="24"/>
              <w:szCs w:val="24"/>
            </w:rPr>
            <w:t xml:space="preserve"> </w:t>
          </w:r>
          <w:r>
            <w:rPr>
              <w:rFonts w:hint="eastAsia" w:ascii="宋体" w:hAnsi="宋体" w:eastAsia="宋体" w:cs="宋体"/>
              <w:sz w:val="24"/>
              <w:szCs w:val="24"/>
              <w:lang w:val="en-US" w:eastAsia="zh-CN"/>
            </w:rPr>
            <w:t>....</w:t>
          </w:r>
          <w:r>
            <w:rPr>
              <w:rFonts w:ascii="宋体" w:hAnsi="宋体" w:eastAsia="宋体" w:cs="宋体"/>
              <w:spacing w:val="-119"/>
              <w:sz w:val="24"/>
              <w:szCs w:val="24"/>
            </w:rPr>
            <w:t xml:space="preserve"> </w:t>
          </w:r>
          <w:r>
            <w:rPr>
              <w:rFonts w:hint="eastAsia" w:ascii="宋体" w:hAnsi="宋体" w:eastAsia="宋体" w:cs="宋体"/>
              <w:spacing w:val="-4"/>
              <w:sz w:val="24"/>
              <w:szCs w:val="24"/>
              <w:lang w:val="en-US" w:eastAsia="zh-CN"/>
            </w:rPr>
            <w:t>49</w:t>
          </w:r>
        </w:p>
        <w:p w14:paraId="51BBB9AF">
          <w:pPr>
            <w:spacing w:line="331" w:lineRule="auto"/>
            <w:rPr>
              <w:rFonts w:ascii="Arial"/>
              <w:sz w:val="20"/>
              <w:szCs w:val="20"/>
            </w:rPr>
          </w:pPr>
        </w:p>
        <w:p w14:paraId="2B25771F">
          <w:pPr>
            <w:spacing w:line="332" w:lineRule="auto"/>
            <w:rPr>
              <w:rFonts w:ascii="Arial"/>
              <w:sz w:val="20"/>
              <w:szCs w:val="20"/>
            </w:rPr>
          </w:pPr>
        </w:p>
        <w:p w14:paraId="0729B198">
          <w:pPr>
            <w:spacing w:before="91" w:line="220" w:lineRule="auto"/>
            <w:rPr>
              <w:rFonts w:hint="default" w:ascii="宋体" w:hAnsi="宋体" w:eastAsia="宋体" w:cs="宋体"/>
              <w:sz w:val="24"/>
              <w:szCs w:val="24"/>
              <w:lang w:val="en-US" w:eastAsia="zh-CN"/>
            </w:rPr>
          </w:pPr>
          <w:r>
            <w:rPr>
              <w:sz w:val="20"/>
              <w:szCs w:val="20"/>
            </w:rPr>
            <w:fldChar w:fldCharType="begin"/>
          </w:r>
          <w:r>
            <w:rPr>
              <w:sz w:val="20"/>
              <w:szCs w:val="20"/>
            </w:rPr>
            <w:instrText xml:space="preserve"> HYPERLINK \l "_bookmark7" </w:instrText>
          </w:r>
          <w:r>
            <w:rPr>
              <w:sz w:val="20"/>
              <w:szCs w:val="20"/>
            </w:rPr>
            <w:fldChar w:fldCharType="separate"/>
          </w:r>
          <w:r>
            <w:rPr>
              <w:rFonts w:ascii="宋体" w:hAnsi="宋体" w:eastAsia="宋体" w:cs="宋体"/>
              <w:spacing w:val="-1"/>
              <w:sz w:val="24"/>
              <w:szCs w:val="24"/>
            </w:rPr>
            <w:t xml:space="preserve">第六章 </w:t>
          </w:r>
          <w:r>
            <w:rPr>
              <w:rFonts w:hint="eastAsia" w:ascii="宋体" w:hAnsi="宋体" w:eastAsia="宋体" w:cs="宋体"/>
              <w:spacing w:val="-1"/>
              <w:sz w:val="24"/>
              <w:szCs w:val="24"/>
              <w:lang w:val="en-US" w:eastAsia="zh-CN"/>
            </w:rPr>
            <w:t xml:space="preserve"> 招标项目技术、服务及其他商务要求</w:t>
          </w:r>
          <w:r>
            <w:rPr>
              <w:rFonts w:ascii="宋体" w:hAnsi="宋体" w:eastAsia="宋体" w:cs="宋体"/>
              <w:sz w:val="24"/>
              <w:szCs w:val="24"/>
            </w:rPr>
            <w:t xml:space="preserve"> </w:t>
          </w:r>
          <w:r>
            <w:rPr>
              <w:rFonts w:ascii="宋体" w:hAnsi="宋体" w:eastAsia="宋体" w:cs="宋体"/>
              <w:sz w:val="24"/>
              <w:szCs w:val="24"/>
            </w:rPr>
            <w:fldChar w:fldCharType="end"/>
          </w:r>
          <w:r>
            <w:rPr>
              <w:rFonts w:hint="eastAsia" w:ascii="宋体" w:hAnsi="宋体" w:eastAsia="宋体" w:cs="宋体"/>
              <w:sz w:val="24"/>
              <w:szCs w:val="24"/>
              <w:lang w:val="en-US" w:eastAsia="zh-CN"/>
            </w:rPr>
            <w:t>...............................51</w:t>
          </w:r>
        </w:p>
        <w:p w14:paraId="0E325F47">
          <w:pPr>
            <w:spacing w:line="329" w:lineRule="auto"/>
            <w:rPr>
              <w:rFonts w:ascii="Arial"/>
              <w:sz w:val="20"/>
              <w:szCs w:val="20"/>
            </w:rPr>
          </w:pPr>
        </w:p>
        <w:p w14:paraId="051487C0">
          <w:pPr>
            <w:spacing w:line="329" w:lineRule="auto"/>
            <w:rPr>
              <w:rFonts w:ascii="Arial"/>
              <w:sz w:val="20"/>
              <w:szCs w:val="20"/>
            </w:rPr>
          </w:pPr>
        </w:p>
        <w:p w14:paraId="3A0BE255">
          <w:pPr>
            <w:tabs>
              <w:tab w:val="right" w:leader="dot" w:pos="8949"/>
            </w:tabs>
            <w:spacing w:before="91" w:line="220" w:lineRule="auto"/>
            <w:rPr>
              <w:rFonts w:hint="default" w:ascii="宋体" w:hAnsi="宋体" w:eastAsia="宋体" w:cs="宋体"/>
              <w:sz w:val="24"/>
              <w:szCs w:val="24"/>
              <w:lang w:val="en-US"/>
            </w:rPr>
          </w:pPr>
          <w:r>
            <w:rPr>
              <w:sz w:val="20"/>
              <w:szCs w:val="20"/>
            </w:rPr>
            <w:fldChar w:fldCharType="begin"/>
          </w:r>
          <w:r>
            <w:rPr>
              <w:sz w:val="20"/>
              <w:szCs w:val="20"/>
            </w:rPr>
            <w:instrText xml:space="preserve"> HYPERLINK \l "_bookmark8" </w:instrText>
          </w:r>
          <w:r>
            <w:rPr>
              <w:sz w:val="20"/>
              <w:szCs w:val="20"/>
            </w:rPr>
            <w:fldChar w:fldCharType="separate"/>
          </w:r>
          <w:r>
            <w:rPr>
              <w:rFonts w:ascii="宋体" w:hAnsi="宋体" w:eastAsia="宋体" w:cs="宋体"/>
              <w:spacing w:val="-3"/>
              <w:sz w:val="24"/>
              <w:szCs w:val="24"/>
            </w:rPr>
            <w:t xml:space="preserve">第七章  评标办法 </w:t>
          </w:r>
          <w:r>
            <w:rPr>
              <w:rFonts w:hint="eastAsia" w:ascii="宋体" w:hAnsi="宋体" w:eastAsia="宋体" w:cs="宋体"/>
              <w:sz w:val="24"/>
              <w:szCs w:val="24"/>
              <w:lang w:val="en-US" w:eastAsia="zh-CN"/>
            </w:rPr>
            <w:t>.......................................................</w:t>
          </w:r>
          <w:r>
            <w:rPr>
              <w:rFonts w:ascii="宋体" w:hAnsi="宋体" w:eastAsia="宋体" w:cs="宋体"/>
              <w:spacing w:val="-3"/>
              <w:sz w:val="24"/>
              <w:szCs w:val="24"/>
            </w:rPr>
            <w:fldChar w:fldCharType="end"/>
          </w:r>
          <w:r>
            <w:rPr>
              <w:rFonts w:hint="eastAsia" w:ascii="宋体" w:hAnsi="宋体" w:eastAsia="宋体" w:cs="宋体"/>
              <w:spacing w:val="-3"/>
              <w:sz w:val="24"/>
              <w:szCs w:val="24"/>
              <w:lang w:val="en-US" w:eastAsia="zh-CN"/>
            </w:rPr>
            <w:t>78</w:t>
          </w:r>
        </w:p>
        <w:p w14:paraId="71C526B9">
          <w:pPr>
            <w:spacing w:line="331" w:lineRule="auto"/>
            <w:rPr>
              <w:rFonts w:ascii="Arial"/>
              <w:sz w:val="20"/>
              <w:szCs w:val="20"/>
            </w:rPr>
          </w:pPr>
        </w:p>
        <w:p w14:paraId="735452BF">
          <w:pPr>
            <w:spacing w:line="332" w:lineRule="auto"/>
            <w:rPr>
              <w:rFonts w:ascii="Arial"/>
              <w:sz w:val="20"/>
              <w:szCs w:val="20"/>
            </w:rPr>
          </w:pPr>
        </w:p>
        <w:p w14:paraId="339725C1">
          <w:pPr>
            <w:tabs>
              <w:tab w:val="right" w:leader="dot" w:pos="8949"/>
            </w:tabs>
            <w:spacing w:before="92" w:line="220" w:lineRule="auto"/>
            <w:rPr>
              <w:rFonts w:ascii="宋体" w:hAnsi="宋体" w:eastAsia="宋体" w:cs="宋体"/>
              <w:sz w:val="24"/>
              <w:szCs w:val="24"/>
            </w:rPr>
          </w:pPr>
          <w:bookmarkStart w:id="0" w:name="_bookmark1"/>
          <w:bookmarkEnd w:id="0"/>
          <w:r>
            <w:rPr>
              <w:sz w:val="20"/>
              <w:szCs w:val="20"/>
            </w:rPr>
            <w:fldChar w:fldCharType="begin"/>
          </w:r>
          <w:r>
            <w:rPr>
              <w:sz w:val="20"/>
              <w:szCs w:val="20"/>
            </w:rPr>
            <w:instrText xml:space="preserve"> HYPERLINK \l "_bookmark9" </w:instrText>
          </w:r>
          <w:r>
            <w:rPr>
              <w:sz w:val="20"/>
              <w:szCs w:val="20"/>
            </w:rPr>
            <w:fldChar w:fldCharType="separate"/>
          </w:r>
          <w:r>
            <w:rPr>
              <w:rFonts w:ascii="宋体" w:hAnsi="宋体" w:eastAsia="宋体" w:cs="宋体"/>
              <w:spacing w:val="18"/>
              <w:sz w:val="24"/>
              <w:szCs w:val="24"/>
            </w:rPr>
            <w:t>第</w:t>
          </w:r>
          <w:r>
            <w:rPr>
              <w:rFonts w:ascii="宋体" w:hAnsi="宋体" w:eastAsia="宋体" w:cs="宋体"/>
              <w:spacing w:val="14"/>
              <w:sz w:val="24"/>
              <w:szCs w:val="24"/>
            </w:rPr>
            <w:t xml:space="preserve">八章 政府采购格式合同样本 </w:t>
          </w:r>
          <w:r>
            <w:rPr>
              <w:rFonts w:hint="eastAsia" w:ascii="宋体" w:hAnsi="宋体" w:eastAsia="宋体" w:cs="宋体"/>
              <w:sz w:val="24"/>
              <w:szCs w:val="24"/>
              <w:lang w:val="en-US" w:eastAsia="zh-CN"/>
            </w:rPr>
            <w:t>..........................................</w:t>
          </w:r>
          <w:r>
            <w:rPr>
              <w:rFonts w:ascii="宋体" w:hAnsi="宋体" w:eastAsia="宋体" w:cs="宋体"/>
              <w:spacing w:val="14"/>
              <w:sz w:val="24"/>
              <w:szCs w:val="24"/>
            </w:rPr>
            <w:fldChar w:fldCharType="end"/>
          </w:r>
          <w:r>
            <w:rPr>
              <w:rFonts w:hint="eastAsia" w:ascii="宋体" w:hAnsi="宋体" w:eastAsia="宋体" w:cs="宋体"/>
              <w:spacing w:val="14"/>
              <w:sz w:val="24"/>
              <w:szCs w:val="24"/>
              <w:lang w:val="en-US" w:eastAsia="zh-CN"/>
            </w:rPr>
            <w:t>88</w:t>
          </w:r>
        </w:p>
      </w:sdtContent>
    </w:sdt>
    <w:p w14:paraId="700EE794">
      <w:pPr>
        <w:sectPr>
          <w:pgSz w:w="11850" w:h="16783"/>
          <w:pgMar w:top="1426" w:right="1415" w:bottom="0" w:left="1484" w:header="0" w:footer="0" w:gutter="0"/>
          <w:pgNumType w:fmt="decimal"/>
          <w:cols w:space="720" w:num="1"/>
        </w:sectPr>
      </w:pPr>
    </w:p>
    <w:p w14:paraId="60480CFE">
      <w:pPr>
        <w:spacing w:before="72" w:line="225" w:lineRule="auto"/>
        <w:ind w:left="3198"/>
        <w:outlineLvl w:val="0"/>
        <w:rPr>
          <w:rFonts w:ascii="宋体" w:hAnsi="宋体" w:eastAsia="宋体" w:cs="宋体"/>
          <w:sz w:val="35"/>
          <w:szCs w:val="35"/>
        </w:rPr>
      </w:pPr>
      <w:r>
        <w:rPr>
          <w:rFonts w:ascii="宋体" w:hAnsi="宋体" w:eastAsia="宋体" w:cs="宋体"/>
          <w:spacing w:val="11"/>
          <w:sz w:val="35"/>
          <w:szCs w:val="35"/>
          <w14:textOutline w14:w="6537" w14:cap="sq" w14:cmpd="sng">
            <w14:solidFill>
              <w14:srgbClr w14:val="000000"/>
            </w14:solidFill>
            <w14:prstDash w14:val="solid"/>
            <w14:bevel/>
          </w14:textOutline>
        </w:rPr>
        <w:t>第</w:t>
      </w:r>
      <w:r>
        <w:rPr>
          <w:rFonts w:ascii="宋体" w:hAnsi="宋体" w:eastAsia="宋体" w:cs="宋体"/>
          <w:spacing w:val="8"/>
          <w:sz w:val="35"/>
          <w:szCs w:val="35"/>
          <w14:textOutline w14:w="6537" w14:cap="sq" w14:cmpd="sng">
            <w14:solidFill>
              <w14:srgbClr w14:val="000000"/>
            </w14:solidFill>
            <w14:prstDash w14:val="solid"/>
            <w14:bevel/>
          </w14:textOutline>
        </w:rPr>
        <w:t>一章</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sq" w14:cmpd="sng">
            <w14:solidFill>
              <w14:srgbClr w14:val="000000"/>
            </w14:solidFill>
            <w14:prstDash w14:val="solid"/>
            <w14:bevel/>
          </w14:textOutline>
        </w:rPr>
        <w:t>投标邀请</w:t>
      </w:r>
    </w:p>
    <w:p w14:paraId="15D8C0F9">
      <w:pPr>
        <w:spacing w:line="250" w:lineRule="auto"/>
        <w:rPr>
          <w:rFonts w:ascii="Arial"/>
          <w:sz w:val="21"/>
        </w:rPr>
      </w:pPr>
    </w:p>
    <w:p w14:paraId="5854B33F">
      <w:pPr>
        <w:spacing w:line="250" w:lineRule="auto"/>
        <w:rPr>
          <w:rFonts w:ascii="Arial"/>
          <w:sz w:val="21"/>
        </w:rPr>
      </w:pPr>
    </w:p>
    <w:p w14:paraId="098E4888">
      <w:pPr>
        <w:tabs>
          <w:tab w:val="left" w:pos="945"/>
        </w:tabs>
        <w:spacing w:before="75" w:line="375" w:lineRule="auto"/>
        <w:ind w:left="200" w:right="99" w:firstLine="609"/>
        <w:rPr>
          <w:rFonts w:ascii="宋体" w:hAnsi="宋体" w:eastAsia="宋体" w:cs="宋体"/>
          <w:sz w:val="24"/>
          <w:szCs w:val="24"/>
        </w:rPr>
      </w:pPr>
      <w:r>
        <w:rPr>
          <w:rFonts w:ascii="宋体" w:hAnsi="宋体" w:eastAsia="宋体" w:cs="宋体"/>
          <w:sz w:val="24"/>
          <w:szCs w:val="24"/>
          <w:u w:val="single" w:color="auto"/>
        </w:rPr>
        <w:tab/>
      </w:r>
      <w:r>
        <w:rPr>
          <w:rFonts w:hint="eastAsia" w:ascii="宋体" w:hAnsi="宋体" w:eastAsia="宋体" w:cs="宋体"/>
          <w:color w:val="000000" w:themeColor="text1"/>
          <w:spacing w:val="16"/>
          <w:sz w:val="24"/>
          <w:szCs w:val="24"/>
          <w:u w:val="single" w:color="auto"/>
          <w:lang w:eastAsia="zh-CN"/>
          <w14:textFill>
            <w14:solidFill>
              <w14:schemeClr w14:val="tx1"/>
            </w14:solidFill>
          </w14:textFill>
        </w:rPr>
        <w:t>四川华招项目管理有限公司</w:t>
      </w:r>
      <w:r>
        <w:rPr>
          <w:rFonts w:ascii="宋体" w:hAnsi="宋体" w:eastAsia="宋体" w:cs="宋体"/>
          <w:color w:val="000000" w:themeColor="text1"/>
          <w:spacing w:val="8"/>
          <w:sz w:val="24"/>
          <w:szCs w:val="24"/>
          <w14:textFill>
            <w14:solidFill>
              <w14:schemeClr w14:val="tx1"/>
            </w14:solidFill>
          </w14:textFill>
        </w:rPr>
        <w:t xml:space="preserve"> </w:t>
      </w:r>
      <w:r>
        <w:rPr>
          <w:rFonts w:hint="eastAsia" w:ascii="宋体" w:hAnsi="宋体" w:eastAsia="宋体" w:cs="宋体"/>
          <w:color w:val="000000" w:themeColor="text1"/>
          <w:spacing w:val="8"/>
          <w:sz w:val="24"/>
          <w:szCs w:val="24"/>
          <w:lang w:eastAsia="zh-CN"/>
          <w14:textFill>
            <w14:solidFill>
              <w14:schemeClr w14:val="tx1"/>
            </w14:solidFill>
          </w14:textFill>
        </w:rPr>
        <w:t>（</w:t>
      </w:r>
      <w:r>
        <w:rPr>
          <w:rFonts w:ascii="宋体" w:hAnsi="宋体" w:eastAsia="宋体" w:cs="宋体"/>
          <w:spacing w:val="8"/>
          <w:sz w:val="24"/>
          <w:szCs w:val="24"/>
        </w:rPr>
        <w:t>采购代理机构</w:t>
      </w:r>
      <w:r>
        <w:rPr>
          <w:rFonts w:hint="eastAsia" w:ascii="宋体" w:hAnsi="宋体" w:eastAsia="宋体" w:cs="宋体"/>
          <w:spacing w:val="8"/>
          <w:sz w:val="24"/>
          <w:szCs w:val="24"/>
          <w:lang w:eastAsia="zh-CN"/>
        </w:rPr>
        <w:t>）</w:t>
      </w:r>
      <w:r>
        <w:rPr>
          <w:rFonts w:ascii="宋体" w:hAnsi="宋体" w:eastAsia="宋体" w:cs="宋体"/>
          <w:spacing w:val="8"/>
          <w:sz w:val="24"/>
          <w:szCs w:val="24"/>
        </w:rPr>
        <w:t>受</w:t>
      </w:r>
      <w:r>
        <w:rPr>
          <w:rFonts w:hint="eastAsia" w:ascii="宋体" w:hAnsi="宋体" w:eastAsia="宋体" w:cs="宋体"/>
          <w:spacing w:val="8"/>
          <w:sz w:val="24"/>
          <w:szCs w:val="24"/>
          <w:u w:val="single"/>
          <w:lang w:val="en-US" w:eastAsia="zh-CN"/>
        </w:rPr>
        <w:t xml:space="preserve"> </w:t>
      </w:r>
      <w:r>
        <w:rPr>
          <w:rFonts w:ascii="宋体" w:hAnsi="宋体" w:eastAsia="宋体" w:cs="宋体"/>
          <w:spacing w:val="8"/>
          <w:sz w:val="24"/>
          <w:szCs w:val="24"/>
          <w:u w:val="single" w:color="auto"/>
        </w:rPr>
        <w:t>遂宁市消防救援支队</w:t>
      </w:r>
      <w:r>
        <w:rPr>
          <w:rFonts w:ascii="宋体" w:hAnsi="宋体" w:eastAsia="宋体" w:cs="宋体"/>
          <w:sz w:val="24"/>
          <w:szCs w:val="24"/>
          <w:u w:val="single"/>
        </w:rPr>
        <w:t xml:space="preserve"> </w:t>
      </w:r>
      <w:r>
        <w:rPr>
          <w:rFonts w:hint="eastAsia" w:ascii="宋体" w:hAnsi="宋体" w:eastAsia="宋体" w:cs="宋体"/>
          <w:spacing w:val="18"/>
          <w:sz w:val="24"/>
          <w:szCs w:val="24"/>
          <w:lang w:eastAsia="zh-CN"/>
        </w:rPr>
        <w:t>（</w:t>
      </w:r>
      <w:r>
        <w:rPr>
          <w:rFonts w:ascii="宋体" w:hAnsi="宋体" w:eastAsia="宋体" w:cs="宋体"/>
          <w:spacing w:val="18"/>
          <w:sz w:val="24"/>
          <w:szCs w:val="24"/>
        </w:rPr>
        <w:t>采</w:t>
      </w:r>
      <w:r>
        <w:rPr>
          <w:rFonts w:ascii="宋体" w:hAnsi="宋体" w:eastAsia="宋体" w:cs="宋体"/>
          <w:spacing w:val="10"/>
          <w:sz w:val="24"/>
          <w:szCs w:val="24"/>
        </w:rPr>
        <w:t>购</w:t>
      </w:r>
      <w:r>
        <w:rPr>
          <w:rFonts w:ascii="宋体" w:hAnsi="宋体" w:eastAsia="宋体" w:cs="宋体"/>
          <w:spacing w:val="9"/>
          <w:sz w:val="24"/>
          <w:szCs w:val="24"/>
        </w:rPr>
        <w:t>人</w:t>
      </w:r>
      <w:r>
        <w:rPr>
          <w:rFonts w:hint="eastAsia" w:ascii="宋体" w:hAnsi="宋体" w:eastAsia="宋体" w:cs="宋体"/>
          <w:spacing w:val="9"/>
          <w:sz w:val="24"/>
          <w:szCs w:val="24"/>
          <w:lang w:eastAsia="zh-CN"/>
        </w:rPr>
        <w:t>）</w:t>
      </w:r>
      <w:r>
        <w:rPr>
          <w:rFonts w:ascii="宋体" w:hAnsi="宋体" w:eastAsia="宋体" w:cs="宋体"/>
          <w:spacing w:val="9"/>
          <w:sz w:val="24"/>
          <w:szCs w:val="24"/>
        </w:rPr>
        <w:t xml:space="preserve"> 委托，拟对</w:t>
      </w:r>
      <w:r>
        <w:rPr>
          <w:rFonts w:ascii="宋体" w:hAnsi="宋体" w:eastAsia="宋体" w:cs="宋体"/>
          <w:spacing w:val="9"/>
          <w:sz w:val="24"/>
          <w:szCs w:val="24"/>
          <w:u w:val="single" w:color="auto"/>
        </w:rPr>
        <w:t xml:space="preserve"> </w:t>
      </w:r>
      <w:r>
        <w:rPr>
          <w:rFonts w:hint="eastAsia" w:ascii="宋体" w:hAnsi="宋体" w:eastAsia="宋体" w:cs="宋体"/>
          <w:spacing w:val="9"/>
          <w:sz w:val="24"/>
          <w:szCs w:val="24"/>
          <w:u w:val="single" w:color="auto"/>
          <w:lang w:eastAsia="zh-CN"/>
        </w:rPr>
        <w:t>四川省消防救援总队遂宁市支队“自然灾害应急能力提升工程”装备配备项目（第三批）</w:t>
      </w:r>
      <w:r>
        <w:rPr>
          <w:rFonts w:ascii="宋体" w:hAnsi="宋体" w:eastAsia="宋体" w:cs="宋体"/>
          <w:spacing w:val="9"/>
          <w:sz w:val="24"/>
          <w:szCs w:val="24"/>
        </w:rPr>
        <w:t>进行公开招标，兹邀请符合本次招标要求的供应商参加投标</w:t>
      </w:r>
      <w:r>
        <w:rPr>
          <w:rFonts w:ascii="宋体" w:hAnsi="宋体" w:eastAsia="宋体" w:cs="宋体"/>
          <w:spacing w:val="4"/>
          <w:sz w:val="24"/>
          <w:szCs w:val="24"/>
        </w:rPr>
        <w:t>。</w:t>
      </w:r>
    </w:p>
    <w:p w14:paraId="452DCEE7">
      <w:pPr>
        <w:tabs>
          <w:tab w:val="left" w:pos="945"/>
        </w:tabs>
        <w:spacing w:before="75" w:line="375" w:lineRule="auto"/>
        <w:ind w:left="200" w:right="99" w:firstLine="609"/>
        <w:rPr>
          <w:rFonts w:hint="eastAsia" w:ascii="宋体" w:hAnsi="宋体" w:eastAsia="宋体" w:cs="宋体"/>
          <w:b/>
          <w:bCs/>
          <w:spacing w:val="9"/>
          <w:sz w:val="24"/>
          <w:szCs w:val="24"/>
          <w:lang w:eastAsia="zh-CN"/>
        </w:rPr>
      </w:pPr>
      <w:r>
        <w:rPr>
          <w:rFonts w:hint="eastAsia" w:ascii="宋体" w:hAnsi="宋体" w:eastAsia="宋体" w:cs="宋体"/>
          <w:b/>
          <w:bCs/>
          <w:spacing w:val="9"/>
          <w:sz w:val="24"/>
          <w:szCs w:val="24"/>
          <w:lang w:eastAsia="zh-CN"/>
        </w:rPr>
        <w:t>一</w:t>
      </w:r>
      <w:r>
        <w:rPr>
          <w:rFonts w:ascii="宋体" w:hAnsi="宋体" w:eastAsia="宋体" w:cs="宋体"/>
          <w:b/>
          <w:bCs/>
          <w:spacing w:val="9"/>
          <w:sz w:val="24"/>
          <w:szCs w:val="24"/>
        </w:rPr>
        <w:t>、</w:t>
      </w:r>
      <w:r>
        <w:rPr>
          <w:rFonts w:hint="eastAsia" w:ascii="宋体" w:hAnsi="宋体" w:eastAsia="宋体" w:cs="宋体"/>
          <w:b/>
          <w:bCs/>
          <w:spacing w:val="9"/>
          <w:sz w:val="24"/>
          <w:szCs w:val="24"/>
          <w:lang w:eastAsia="zh-CN"/>
        </w:rPr>
        <w:t>项目名称</w:t>
      </w:r>
      <w:r>
        <w:rPr>
          <w:rFonts w:ascii="宋体" w:hAnsi="宋体" w:eastAsia="宋体" w:cs="宋体"/>
          <w:b/>
          <w:bCs/>
          <w:spacing w:val="9"/>
          <w:sz w:val="24"/>
          <w:szCs w:val="24"/>
        </w:rPr>
        <w:t>：</w:t>
      </w:r>
      <w:r>
        <w:rPr>
          <w:rFonts w:hint="eastAsia" w:ascii="宋体" w:hAnsi="宋体" w:eastAsia="宋体" w:cs="宋体"/>
          <w:b/>
          <w:bCs/>
          <w:spacing w:val="9"/>
          <w:sz w:val="24"/>
          <w:szCs w:val="24"/>
          <w:u w:val="single"/>
          <w:lang w:eastAsia="zh-CN"/>
        </w:rPr>
        <w:t>四川省消防救援总队遂宁市支队“自然灾害应急能力提升工程”装备配备项目（第三批）</w:t>
      </w:r>
      <w:r>
        <w:rPr>
          <w:rFonts w:hint="eastAsia" w:ascii="宋体" w:hAnsi="宋体" w:eastAsia="宋体" w:cs="宋体"/>
          <w:b/>
          <w:bCs/>
          <w:spacing w:val="9"/>
          <w:sz w:val="24"/>
          <w:szCs w:val="24"/>
          <w:lang w:eastAsia="zh-CN"/>
        </w:rPr>
        <w:t>。</w:t>
      </w:r>
    </w:p>
    <w:p w14:paraId="470C0BDB">
      <w:pPr>
        <w:tabs>
          <w:tab w:val="left" w:pos="945"/>
        </w:tabs>
        <w:spacing w:before="75" w:line="375" w:lineRule="auto"/>
        <w:ind w:left="200" w:right="99" w:firstLine="609"/>
        <w:rPr>
          <w:rFonts w:ascii="宋体" w:hAnsi="宋体" w:eastAsia="宋体" w:cs="宋体"/>
          <w:spacing w:val="9"/>
          <w:sz w:val="24"/>
          <w:szCs w:val="24"/>
        </w:rPr>
      </w:pPr>
      <w:r>
        <w:rPr>
          <w:rFonts w:hint="eastAsia" w:ascii="宋体" w:hAnsi="宋体" w:eastAsia="宋体" w:cs="宋体"/>
          <w:b/>
          <w:bCs/>
          <w:spacing w:val="9"/>
          <w:sz w:val="24"/>
          <w:szCs w:val="24"/>
          <w:lang w:eastAsia="zh-CN"/>
        </w:rPr>
        <w:t>二、项目</w:t>
      </w:r>
      <w:r>
        <w:rPr>
          <w:rFonts w:ascii="宋体" w:hAnsi="宋体" w:eastAsia="宋体" w:cs="宋体"/>
          <w:b/>
          <w:bCs/>
          <w:spacing w:val="9"/>
          <w:sz w:val="24"/>
          <w:szCs w:val="24"/>
        </w:rPr>
        <w:t>编号：</w:t>
      </w:r>
      <w:r>
        <w:rPr>
          <w:rFonts w:hint="eastAsia" w:ascii="宋体" w:hAnsi="宋体" w:eastAsia="宋体" w:cs="宋体"/>
          <w:b/>
          <w:bCs/>
          <w:spacing w:val="9"/>
          <w:sz w:val="24"/>
          <w:szCs w:val="24"/>
          <w:u w:val="single"/>
          <w:lang w:eastAsia="zh-CN"/>
        </w:rPr>
        <w:t>HZZB公开（2025）034号</w:t>
      </w:r>
      <w:r>
        <w:rPr>
          <w:rFonts w:hint="eastAsia" w:ascii="宋体" w:hAnsi="宋体" w:eastAsia="宋体" w:cs="宋体"/>
          <w:b/>
          <w:bCs/>
          <w:spacing w:val="9"/>
          <w:sz w:val="24"/>
          <w:szCs w:val="24"/>
          <w:lang w:eastAsia="zh-CN"/>
        </w:rPr>
        <w:t>。</w:t>
      </w:r>
    </w:p>
    <w:p w14:paraId="3A6E751F">
      <w:pPr>
        <w:tabs>
          <w:tab w:val="left" w:pos="945"/>
        </w:tabs>
        <w:spacing w:before="75" w:line="375" w:lineRule="auto"/>
        <w:ind w:left="200" w:right="99" w:firstLine="609"/>
        <w:rPr>
          <w:rFonts w:hint="eastAsia" w:ascii="宋体" w:hAnsi="宋体" w:eastAsia="宋体" w:cs="宋体"/>
          <w:spacing w:val="9"/>
          <w:sz w:val="24"/>
          <w:szCs w:val="24"/>
          <w:lang w:eastAsia="zh-CN"/>
        </w:rPr>
      </w:pPr>
      <w:r>
        <w:rPr>
          <w:rFonts w:ascii="宋体" w:hAnsi="宋体" w:eastAsia="宋体" w:cs="宋体"/>
          <w:b/>
          <w:bCs/>
          <w:spacing w:val="9"/>
          <w:sz w:val="24"/>
          <w:szCs w:val="24"/>
        </w:rPr>
        <w:t>三、</w:t>
      </w:r>
      <w:r>
        <w:rPr>
          <w:rFonts w:hint="eastAsia" w:ascii="宋体" w:hAnsi="宋体" w:eastAsia="宋体" w:cs="宋体"/>
          <w:b/>
          <w:bCs/>
          <w:spacing w:val="9"/>
          <w:sz w:val="24"/>
          <w:szCs w:val="24"/>
          <w:lang w:eastAsia="zh-CN"/>
        </w:rPr>
        <w:t>预算金额</w:t>
      </w:r>
      <w:r>
        <w:rPr>
          <w:rFonts w:ascii="宋体" w:hAnsi="宋体" w:eastAsia="宋体" w:cs="宋体"/>
          <w:b/>
          <w:bCs/>
          <w:spacing w:val="9"/>
          <w:sz w:val="24"/>
          <w:szCs w:val="24"/>
        </w:rPr>
        <w:t>：</w:t>
      </w:r>
      <w:r>
        <w:rPr>
          <w:rFonts w:hint="eastAsia" w:ascii="宋体" w:hAnsi="宋体" w:eastAsia="宋体" w:cs="宋体"/>
          <w:b/>
          <w:bCs/>
          <w:spacing w:val="9"/>
          <w:sz w:val="24"/>
          <w:szCs w:val="24"/>
          <w:u w:val="single"/>
          <w:lang w:val="en-US" w:eastAsia="zh-CN"/>
        </w:rPr>
        <w:t>1346000</w:t>
      </w:r>
      <w:r>
        <w:rPr>
          <w:rFonts w:ascii="宋体" w:hAnsi="宋体" w:eastAsia="宋体" w:cs="宋体"/>
          <w:b/>
          <w:bCs/>
          <w:spacing w:val="9"/>
          <w:sz w:val="24"/>
          <w:szCs w:val="24"/>
          <w:u w:val="single"/>
        </w:rPr>
        <w:t>元</w:t>
      </w:r>
      <w:r>
        <w:rPr>
          <w:rFonts w:hint="eastAsia" w:ascii="宋体" w:hAnsi="宋体" w:eastAsia="宋体" w:cs="宋体"/>
          <w:b/>
          <w:bCs/>
          <w:spacing w:val="9"/>
          <w:sz w:val="24"/>
          <w:szCs w:val="24"/>
          <w:lang w:eastAsia="zh-CN"/>
        </w:rPr>
        <w:t>。</w:t>
      </w:r>
    </w:p>
    <w:p w14:paraId="078E18F4">
      <w:pPr>
        <w:tabs>
          <w:tab w:val="left" w:pos="945"/>
        </w:tabs>
        <w:spacing w:before="75" w:line="375" w:lineRule="auto"/>
        <w:ind w:left="200" w:right="99" w:firstLine="609"/>
        <w:rPr>
          <w:rFonts w:ascii="宋体" w:hAnsi="宋体" w:eastAsia="宋体" w:cs="宋体"/>
          <w:b/>
          <w:bCs/>
          <w:spacing w:val="9"/>
          <w:sz w:val="24"/>
          <w:szCs w:val="24"/>
        </w:rPr>
      </w:pPr>
      <w:r>
        <w:rPr>
          <w:rFonts w:ascii="宋体" w:hAnsi="宋体" w:eastAsia="宋体" w:cs="宋体"/>
          <w:b/>
          <w:bCs/>
          <w:spacing w:val="9"/>
          <w:sz w:val="24"/>
          <w:szCs w:val="24"/>
        </w:rPr>
        <w:t>四、招标项目</w:t>
      </w:r>
      <w:r>
        <w:rPr>
          <w:rFonts w:hint="eastAsia" w:ascii="宋体" w:hAnsi="宋体" w:eastAsia="宋体" w:cs="宋体"/>
          <w:b/>
          <w:bCs/>
          <w:spacing w:val="9"/>
          <w:sz w:val="24"/>
          <w:szCs w:val="24"/>
          <w:lang w:eastAsia="zh-CN"/>
        </w:rPr>
        <w:t>概况</w:t>
      </w:r>
      <w:r>
        <w:rPr>
          <w:rFonts w:ascii="宋体" w:hAnsi="宋体" w:eastAsia="宋体" w:cs="宋体"/>
          <w:b/>
          <w:bCs/>
          <w:spacing w:val="9"/>
          <w:sz w:val="24"/>
          <w:szCs w:val="24"/>
        </w:rPr>
        <w:t>：</w:t>
      </w:r>
    </w:p>
    <w:p w14:paraId="27187653">
      <w:pPr>
        <w:spacing w:line="500" w:lineRule="exact"/>
        <w:ind w:firstLine="516" w:firstLineChars="200"/>
        <w:rPr>
          <w:rFonts w:hint="default" w:ascii="宋体" w:hAnsi="宋体" w:eastAsia="宋体" w:cs="宋体"/>
          <w:spacing w:val="9"/>
          <w:sz w:val="24"/>
          <w:szCs w:val="24"/>
          <w:lang w:val="en-US" w:eastAsia="zh-CN"/>
        </w:rPr>
      </w:pPr>
      <w:r>
        <w:rPr>
          <w:rFonts w:hint="eastAsia" w:ascii="宋体" w:hAnsi="宋体" w:eastAsia="宋体" w:cs="宋体"/>
          <w:spacing w:val="9"/>
          <w:sz w:val="24"/>
          <w:szCs w:val="24"/>
        </w:rPr>
        <w:t>本项目为</w:t>
      </w:r>
      <w:r>
        <w:rPr>
          <w:rFonts w:hint="eastAsia" w:ascii="宋体" w:hAnsi="宋体" w:eastAsia="宋体" w:cs="宋体"/>
          <w:spacing w:val="9"/>
          <w:sz w:val="24"/>
          <w:szCs w:val="24"/>
          <w:lang w:eastAsia="zh-CN"/>
        </w:rPr>
        <w:t>四川省消防救援总队遂宁市支队“自然灾害应急能力提升工程”装备配备项目（第三批）</w:t>
      </w:r>
      <w:r>
        <w:rPr>
          <w:rFonts w:hint="eastAsia" w:ascii="宋体" w:hAnsi="宋体" w:eastAsia="宋体" w:cs="宋体"/>
          <w:spacing w:val="9"/>
          <w:sz w:val="24"/>
          <w:szCs w:val="24"/>
        </w:rPr>
        <w:t>，共2个包</w:t>
      </w:r>
      <w:r>
        <w:rPr>
          <w:rFonts w:ascii="宋体" w:hAnsi="宋体" w:eastAsia="宋体" w:cs="宋体"/>
          <w:spacing w:val="9"/>
          <w:sz w:val="24"/>
          <w:szCs w:val="24"/>
        </w:rPr>
        <w:t>。</w:t>
      </w:r>
      <w:r>
        <w:rPr>
          <w:rFonts w:hint="eastAsia" w:ascii="宋体" w:hAnsi="宋体" w:eastAsia="宋体" w:cs="宋体"/>
          <w:spacing w:val="9"/>
          <w:sz w:val="24"/>
          <w:szCs w:val="24"/>
          <w:lang w:val="en-US" w:eastAsia="zh-CN"/>
        </w:rPr>
        <w:t xml:space="preserve">                                                                                                                                                                                                                                                                                                                                                                                                                                                                                                                                                                                                                                                                                                                                                                                                                                                                                                                                                                                                               </w:t>
      </w:r>
    </w:p>
    <w:p w14:paraId="1DE9A92D">
      <w:pPr>
        <w:spacing w:line="500" w:lineRule="exact"/>
        <w:ind w:firstLine="516" w:firstLineChars="2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rPr>
        <w:t>包 1</w:t>
      </w:r>
      <w:r>
        <w:rPr>
          <w:rFonts w:hint="eastAsia" w:ascii="宋体" w:hAnsi="宋体" w:eastAsia="宋体" w:cs="宋体"/>
          <w:color w:val="000000"/>
          <w:spacing w:val="9"/>
          <w:sz w:val="24"/>
          <w:szCs w:val="24"/>
          <w:lang w:val="en-US" w:eastAsia="zh-CN"/>
        </w:rPr>
        <w:t>和</w:t>
      </w:r>
      <w:r>
        <w:rPr>
          <w:rFonts w:hint="eastAsia" w:ascii="宋体" w:hAnsi="宋体" w:eastAsia="宋体" w:cs="宋体"/>
          <w:color w:val="000000"/>
          <w:spacing w:val="9"/>
          <w:sz w:val="24"/>
          <w:szCs w:val="24"/>
        </w:rPr>
        <w:t xml:space="preserve">包 </w:t>
      </w:r>
      <w:r>
        <w:rPr>
          <w:rFonts w:hint="eastAsia" w:ascii="宋体" w:hAnsi="宋体" w:eastAsia="宋体" w:cs="宋体"/>
          <w:color w:val="000000"/>
          <w:spacing w:val="9"/>
          <w:sz w:val="24"/>
          <w:szCs w:val="24"/>
          <w:lang w:val="en-US" w:eastAsia="zh-CN"/>
        </w:rPr>
        <w:t>2总</w:t>
      </w:r>
      <w:r>
        <w:rPr>
          <w:rFonts w:hint="eastAsia" w:ascii="宋体" w:hAnsi="宋体" w:eastAsia="宋体" w:cs="宋体"/>
          <w:color w:val="000000"/>
          <w:spacing w:val="9"/>
          <w:sz w:val="24"/>
          <w:szCs w:val="24"/>
        </w:rPr>
        <w:t>预（概）算</w:t>
      </w:r>
      <w:r>
        <w:rPr>
          <w:rFonts w:hint="eastAsia" w:ascii="宋体" w:hAnsi="宋体" w:eastAsia="宋体" w:cs="宋体"/>
          <w:color w:val="000000"/>
          <w:spacing w:val="9"/>
          <w:sz w:val="24"/>
          <w:szCs w:val="24"/>
          <w:u w:val="none"/>
        </w:rPr>
        <w:t xml:space="preserve"> </w:t>
      </w:r>
      <w:r>
        <w:rPr>
          <w:rFonts w:hint="eastAsia" w:ascii="宋体" w:hAnsi="宋体" w:eastAsia="宋体" w:cs="宋体"/>
          <w:color w:val="000000"/>
          <w:spacing w:val="9"/>
          <w:sz w:val="24"/>
          <w:szCs w:val="24"/>
          <w:u w:val="none"/>
          <w:lang w:val="en-US" w:eastAsia="zh-CN"/>
        </w:rPr>
        <w:t>1346000</w:t>
      </w:r>
      <w:r>
        <w:rPr>
          <w:rFonts w:hint="eastAsia" w:ascii="宋体" w:hAnsi="宋体" w:eastAsia="宋体" w:cs="宋体"/>
          <w:color w:val="000000"/>
          <w:spacing w:val="9"/>
          <w:sz w:val="24"/>
          <w:szCs w:val="24"/>
        </w:rPr>
        <w:t>元，最高限价</w:t>
      </w:r>
      <w:r>
        <w:rPr>
          <w:rFonts w:hint="eastAsia" w:ascii="宋体" w:hAnsi="宋体" w:eastAsia="宋体" w:cs="宋体"/>
          <w:color w:val="000000"/>
          <w:spacing w:val="9"/>
          <w:sz w:val="24"/>
          <w:szCs w:val="24"/>
          <w:u w:val="none"/>
        </w:rPr>
        <w:t xml:space="preserve"> </w:t>
      </w:r>
      <w:r>
        <w:rPr>
          <w:rFonts w:hint="eastAsia" w:ascii="宋体" w:hAnsi="宋体" w:eastAsia="宋体" w:cs="宋体"/>
          <w:color w:val="000000"/>
          <w:spacing w:val="9"/>
          <w:sz w:val="24"/>
          <w:szCs w:val="24"/>
          <w:u w:val="none"/>
          <w:lang w:val="en-US" w:eastAsia="zh-CN"/>
        </w:rPr>
        <w:t>1346000</w:t>
      </w:r>
      <w:r>
        <w:rPr>
          <w:rFonts w:hint="eastAsia" w:ascii="宋体" w:hAnsi="宋体" w:eastAsia="宋体" w:cs="宋体"/>
          <w:color w:val="000000"/>
          <w:spacing w:val="9"/>
          <w:sz w:val="24"/>
          <w:szCs w:val="24"/>
        </w:rPr>
        <w:t>元。</w:t>
      </w:r>
    </w:p>
    <w:p w14:paraId="7FCA16FD">
      <w:pPr>
        <w:spacing w:line="500" w:lineRule="exact"/>
        <w:ind w:firstLine="516" w:firstLineChars="2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lang w:eastAsia="zh-CN"/>
        </w:rPr>
        <w:t>注：单项控制单价见</w:t>
      </w:r>
      <w:r>
        <w:rPr>
          <w:rFonts w:hint="eastAsia" w:ascii="宋体" w:hAnsi="宋体" w:eastAsia="宋体" w:cs="宋体"/>
          <w:color w:val="000000"/>
          <w:spacing w:val="9"/>
          <w:sz w:val="24"/>
          <w:szCs w:val="24"/>
          <w:lang w:val="zh-CN" w:eastAsia="zh-CN"/>
        </w:rPr>
        <w:t>采购清单</w:t>
      </w:r>
    </w:p>
    <w:p w14:paraId="74AE90F0">
      <w:pPr>
        <w:spacing w:line="500" w:lineRule="exact"/>
        <w:ind w:firstLine="516" w:firstLineChars="2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rPr>
        <w:t xml:space="preserve">包 1 </w:t>
      </w:r>
      <w:r>
        <w:rPr>
          <w:rFonts w:hint="eastAsia" w:ascii="宋体" w:hAnsi="宋体" w:eastAsia="宋体" w:cs="宋体"/>
          <w:color w:val="000000"/>
          <w:spacing w:val="9"/>
          <w:sz w:val="24"/>
          <w:szCs w:val="24"/>
          <w:lang w:eastAsia="zh-CN"/>
        </w:rPr>
        <w:t>（绳索）</w:t>
      </w:r>
      <w:r>
        <w:rPr>
          <w:rFonts w:hint="eastAsia" w:ascii="宋体" w:hAnsi="宋体" w:eastAsia="宋体" w:cs="宋体"/>
          <w:color w:val="000000"/>
          <w:spacing w:val="9"/>
          <w:sz w:val="24"/>
          <w:szCs w:val="24"/>
        </w:rPr>
        <w:t>预算：</w:t>
      </w:r>
      <w:r>
        <w:rPr>
          <w:rFonts w:hint="eastAsia" w:ascii="宋体" w:hAnsi="宋体" w:eastAsia="宋体" w:cs="宋体"/>
          <w:color w:val="000000"/>
          <w:spacing w:val="9"/>
          <w:sz w:val="24"/>
          <w:szCs w:val="24"/>
          <w:u w:val="none"/>
          <w:lang w:val="en-US" w:eastAsia="zh-CN"/>
        </w:rPr>
        <w:t xml:space="preserve"> 476000</w:t>
      </w:r>
      <w:r>
        <w:rPr>
          <w:rFonts w:hint="eastAsia" w:ascii="宋体" w:hAnsi="宋体" w:eastAsia="宋体" w:cs="宋体"/>
          <w:color w:val="000000"/>
          <w:spacing w:val="9"/>
          <w:sz w:val="24"/>
          <w:szCs w:val="24"/>
        </w:rPr>
        <w:t>元</w:t>
      </w:r>
      <w:r>
        <w:rPr>
          <w:rFonts w:hint="eastAsia" w:ascii="宋体" w:hAnsi="宋体" w:eastAsia="宋体" w:cs="宋体"/>
          <w:color w:val="000000"/>
          <w:spacing w:val="9"/>
          <w:sz w:val="24"/>
          <w:szCs w:val="24"/>
          <w:lang w:eastAsia="zh-CN"/>
        </w:rPr>
        <w:t>。</w:t>
      </w:r>
    </w:p>
    <w:p w14:paraId="12997EC5">
      <w:pPr>
        <w:spacing w:line="500" w:lineRule="exact"/>
        <w:ind w:firstLine="516" w:firstLineChars="200"/>
        <w:rPr>
          <w:rFonts w:hint="eastAsia" w:ascii="宋体" w:hAnsi="宋体" w:eastAsia="宋体" w:cs="宋体"/>
          <w:color w:val="000000"/>
          <w:spacing w:val="9"/>
          <w:sz w:val="24"/>
          <w:szCs w:val="24"/>
          <w:lang w:eastAsia="zh-CN"/>
        </w:rPr>
      </w:pPr>
      <w:r>
        <w:rPr>
          <w:rFonts w:hint="eastAsia" w:ascii="宋体" w:hAnsi="宋体" w:eastAsia="宋体" w:cs="宋体"/>
          <w:color w:val="000000"/>
          <w:spacing w:val="9"/>
          <w:sz w:val="24"/>
          <w:szCs w:val="24"/>
        </w:rPr>
        <w:t xml:space="preserve">包 2 </w:t>
      </w:r>
      <w:r>
        <w:rPr>
          <w:rFonts w:hint="eastAsia" w:ascii="宋体" w:hAnsi="宋体" w:eastAsia="宋体" w:cs="宋体"/>
          <w:color w:val="000000"/>
          <w:spacing w:val="9"/>
          <w:sz w:val="24"/>
          <w:szCs w:val="24"/>
          <w:lang w:eastAsia="zh-CN"/>
        </w:rPr>
        <w:t>（水域）</w:t>
      </w:r>
      <w:r>
        <w:rPr>
          <w:rFonts w:hint="eastAsia" w:ascii="宋体" w:hAnsi="宋体" w:eastAsia="宋体" w:cs="宋体"/>
          <w:color w:val="000000"/>
          <w:spacing w:val="9"/>
          <w:sz w:val="24"/>
          <w:szCs w:val="24"/>
        </w:rPr>
        <w:t>预算：</w:t>
      </w:r>
      <w:r>
        <w:rPr>
          <w:rFonts w:hint="eastAsia" w:ascii="宋体" w:hAnsi="宋体" w:eastAsia="宋体" w:cs="宋体"/>
          <w:color w:val="000000"/>
          <w:spacing w:val="9"/>
          <w:sz w:val="24"/>
          <w:szCs w:val="24"/>
          <w:u w:val="none"/>
          <w:lang w:val="en-US" w:eastAsia="zh-CN"/>
        </w:rPr>
        <w:t xml:space="preserve"> </w:t>
      </w:r>
      <w:r>
        <w:rPr>
          <w:rFonts w:hint="eastAsia" w:ascii="宋体" w:hAnsi="宋体" w:eastAsia="宋体" w:cs="宋体"/>
          <w:color w:val="000000"/>
          <w:spacing w:val="9"/>
          <w:sz w:val="24"/>
          <w:szCs w:val="24"/>
          <w:u w:val="none"/>
          <w:lang w:eastAsia="zh-CN"/>
        </w:rPr>
        <w:t>870000</w:t>
      </w:r>
      <w:r>
        <w:rPr>
          <w:rFonts w:hint="eastAsia" w:ascii="宋体" w:hAnsi="宋体" w:eastAsia="宋体" w:cs="宋体"/>
          <w:color w:val="000000"/>
          <w:spacing w:val="9"/>
          <w:sz w:val="24"/>
          <w:szCs w:val="24"/>
        </w:rPr>
        <w:t>元</w:t>
      </w:r>
      <w:r>
        <w:rPr>
          <w:rFonts w:hint="eastAsia" w:ascii="宋体" w:hAnsi="宋体" w:eastAsia="宋体" w:cs="宋体"/>
          <w:color w:val="000000"/>
          <w:spacing w:val="9"/>
          <w:sz w:val="24"/>
          <w:szCs w:val="24"/>
          <w:lang w:eastAsia="zh-CN"/>
        </w:rPr>
        <w:t>。</w:t>
      </w:r>
    </w:p>
    <w:p w14:paraId="5446C205">
      <w:pPr>
        <w:tabs>
          <w:tab w:val="left" w:pos="945"/>
        </w:tabs>
        <w:spacing w:before="75" w:line="375" w:lineRule="auto"/>
        <w:ind w:left="200" w:right="99" w:firstLine="609"/>
        <w:rPr>
          <w:rFonts w:ascii="宋体" w:hAnsi="宋体" w:eastAsia="宋体" w:cs="宋体"/>
          <w:b/>
          <w:bCs/>
          <w:spacing w:val="9"/>
          <w:sz w:val="24"/>
          <w:szCs w:val="24"/>
        </w:rPr>
      </w:pPr>
      <w:r>
        <w:rPr>
          <w:rFonts w:hint="eastAsia" w:ascii="宋体" w:hAnsi="宋体" w:eastAsia="宋体" w:cs="宋体"/>
          <w:b/>
          <w:bCs/>
          <w:spacing w:val="9"/>
          <w:sz w:val="24"/>
          <w:szCs w:val="24"/>
          <w:lang w:val="en-US" w:eastAsia="zh-CN"/>
        </w:rPr>
        <w:t>五</w:t>
      </w:r>
      <w:r>
        <w:rPr>
          <w:rFonts w:ascii="宋体" w:hAnsi="宋体" w:eastAsia="宋体" w:cs="宋体"/>
          <w:b/>
          <w:bCs/>
          <w:spacing w:val="9"/>
          <w:sz w:val="24"/>
          <w:szCs w:val="24"/>
        </w:rPr>
        <w:t>、供应商参加本次政府采购活动，应当具备下列条件：</w:t>
      </w:r>
    </w:p>
    <w:p w14:paraId="69B08CA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265" w:firstLineChars="100"/>
        <w:textAlignment w:val="baseline"/>
        <w:rPr>
          <w:rFonts w:hint="eastAsia" w:ascii="宋体" w:hAnsi="宋体" w:eastAsia="宋体" w:cs="宋体"/>
          <w:b/>
          <w:bCs/>
          <w:spacing w:val="12"/>
          <w:sz w:val="24"/>
          <w:szCs w:val="24"/>
        </w:rPr>
      </w:pPr>
      <w:r>
        <w:rPr>
          <w:rFonts w:hint="eastAsia" w:ascii="宋体" w:hAnsi="宋体" w:eastAsia="宋体" w:cs="宋体"/>
          <w:b/>
          <w:bCs/>
          <w:spacing w:val="12"/>
          <w:sz w:val="24"/>
          <w:szCs w:val="24"/>
        </w:rPr>
        <w:t>1、满足《中华人民共和国政府采购法》第二十二条规定：</w:t>
      </w:r>
    </w:p>
    <w:p w14:paraId="4DCDFF4B">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（1）具有独立承担民事责任的能力；</w:t>
      </w:r>
    </w:p>
    <w:p w14:paraId="3FC1EC6B">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（2）具有良好的商业信誉和健全的财务会计制度；</w:t>
      </w:r>
    </w:p>
    <w:p w14:paraId="35DA36EA">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（3）具有履行合同所必需的设备和专业技术能力；</w:t>
      </w:r>
    </w:p>
    <w:p w14:paraId="5AE05F53">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（4）具有依法缴纳税收和社会保障资金的良好记录；</w:t>
      </w:r>
    </w:p>
    <w:p w14:paraId="60B44CA9">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（5）参加本次采购活动前三年内，在经营活动中没有重大违法记录；</w:t>
      </w:r>
    </w:p>
    <w:p w14:paraId="60AA5594">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（6）符合法律、行政法规规定的其他条件；</w:t>
      </w:r>
    </w:p>
    <w:p w14:paraId="040C870D">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265" w:firstLineChars="100"/>
        <w:textAlignment w:val="baseline"/>
        <w:rPr>
          <w:rFonts w:hint="eastAsia" w:ascii="宋体" w:hAnsi="宋体" w:eastAsia="宋体" w:cs="宋体"/>
          <w:b/>
          <w:bCs/>
          <w:spacing w:val="12"/>
          <w:sz w:val="24"/>
          <w:szCs w:val="24"/>
        </w:rPr>
      </w:pPr>
      <w:r>
        <w:rPr>
          <w:rFonts w:hint="eastAsia" w:ascii="宋体" w:hAnsi="宋体" w:eastAsia="宋体" w:cs="宋体"/>
          <w:b/>
          <w:bCs/>
          <w:spacing w:val="12"/>
          <w:sz w:val="24"/>
          <w:szCs w:val="24"/>
        </w:rPr>
        <w:t>2、落实政府采购政策需满足的资格要求：</w:t>
      </w:r>
    </w:p>
    <w:p w14:paraId="689BBB6E">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（1）采购包1专门面向中小企业（供应商应为中小微企业、监狱企业、残疾人福利性单位）采购。</w:t>
      </w:r>
    </w:p>
    <w:p w14:paraId="684D466E">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（2）采购包2</w:t>
      </w:r>
      <w:r>
        <w:rPr>
          <w:rFonts w:hint="eastAsia" w:ascii="宋体" w:hAnsi="宋体" w:eastAsia="宋体" w:cs="宋体"/>
          <w:spacing w:val="12"/>
          <w:sz w:val="24"/>
          <w:szCs w:val="24"/>
          <w:lang w:val="en-US" w:eastAsia="zh-CN"/>
        </w:rPr>
        <w:t>不</w:t>
      </w:r>
      <w:r>
        <w:rPr>
          <w:rFonts w:hint="eastAsia" w:ascii="宋体" w:hAnsi="宋体" w:eastAsia="宋体" w:cs="宋体"/>
          <w:spacing w:val="12"/>
          <w:sz w:val="24"/>
          <w:szCs w:val="24"/>
        </w:rPr>
        <w:t>专门面向中小企业采购。</w:t>
      </w:r>
    </w:p>
    <w:p w14:paraId="6088965C">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265" w:firstLineChars="100"/>
        <w:textAlignment w:val="baseline"/>
        <w:rPr>
          <w:rFonts w:hint="eastAsia" w:ascii="宋体" w:hAnsi="宋体" w:eastAsia="宋体" w:cs="宋体"/>
          <w:b/>
          <w:bCs/>
          <w:spacing w:val="12"/>
          <w:sz w:val="24"/>
          <w:szCs w:val="24"/>
        </w:rPr>
      </w:pPr>
      <w:r>
        <w:rPr>
          <w:rFonts w:hint="eastAsia" w:ascii="宋体" w:hAnsi="宋体" w:eastAsia="宋体" w:cs="宋体"/>
          <w:b/>
          <w:bCs/>
          <w:spacing w:val="12"/>
          <w:sz w:val="24"/>
          <w:szCs w:val="24"/>
        </w:rPr>
        <w:t>3、本项目的特定资格要求：</w:t>
      </w:r>
    </w:p>
    <w:p w14:paraId="3DB4EACE">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（1）采购包1：无</w:t>
      </w:r>
    </w:p>
    <w:p w14:paraId="5674FC95">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（2）采购包2：无</w:t>
      </w:r>
    </w:p>
    <w:p w14:paraId="34A4A834">
      <w:pPr>
        <w:keepNext w:val="0"/>
        <w:keepLines w:val="0"/>
        <w:pageBreakBefore w:val="0"/>
        <w:widowControl/>
        <w:kinsoku w:val="0"/>
        <w:wordWrap/>
        <w:overflowPunct/>
        <w:topLinePunct w:val="0"/>
        <w:autoSpaceDE w:val="0"/>
        <w:autoSpaceDN w:val="0"/>
        <w:bidi w:val="0"/>
        <w:adjustRightInd w:val="0"/>
        <w:snapToGrid w:val="0"/>
        <w:spacing w:before="183" w:line="360" w:lineRule="auto"/>
        <w:ind w:firstLine="265" w:firstLineChars="100"/>
        <w:textAlignment w:val="baseline"/>
        <w:rPr>
          <w:rFonts w:hint="eastAsia" w:ascii="宋体" w:hAnsi="宋体" w:eastAsia="宋体" w:cs="宋体"/>
          <w:spacing w:val="12"/>
          <w:sz w:val="24"/>
          <w:szCs w:val="24"/>
        </w:rPr>
      </w:pPr>
      <w:r>
        <w:rPr>
          <w:rFonts w:hint="eastAsia" w:ascii="宋体" w:hAnsi="宋体" w:eastAsia="宋体" w:cs="宋体"/>
          <w:b/>
          <w:bCs/>
          <w:spacing w:val="12"/>
          <w:sz w:val="24"/>
          <w:szCs w:val="24"/>
        </w:rPr>
        <w:t>4、其他类似效力要求：</w:t>
      </w:r>
    </w:p>
    <w:p w14:paraId="41C97115">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（1）符合《中华人民共和国政府采购法实施条例》第十八条的规定；</w:t>
      </w:r>
    </w:p>
    <w:p w14:paraId="14B3954E">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（2）投标供应商单位及其现任法定代表人、</w:t>
      </w:r>
      <w:r>
        <w:rPr>
          <w:rFonts w:hint="eastAsia" w:ascii="宋体" w:hAnsi="宋体" w:eastAsia="宋体" w:cs="宋体"/>
          <w:spacing w:val="12"/>
          <w:sz w:val="24"/>
          <w:szCs w:val="24"/>
          <w:lang w:eastAsia="zh-CN"/>
        </w:rPr>
        <w:t>主要</w:t>
      </w:r>
      <w:r>
        <w:rPr>
          <w:rFonts w:hint="eastAsia" w:ascii="宋体" w:hAnsi="宋体" w:eastAsia="宋体" w:cs="宋体"/>
          <w:spacing w:val="12"/>
          <w:sz w:val="24"/>
          <w:szCs w:val="24"/>
        </w:rPr>
        <w:t>负责人不得具有行贿犯罪记录；</w:t>
      </w:r>
    </w:p>
    <w:p w14:paraId="1757579D">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hint="eastAsia" w:ascii="宋体" w:hAnsi="宋体" w:eastAsia="宋体" w:cs="宋体"/>
          <w:spacing w:val="12"/>
          <w:sz w:val="24"/>
          <w:szCs w:val="24"/>
        </w:rPr>
      </w:pPr>
      <w:r>
        <w:rPr>
          <w:rFonts w:hint="eastAsia" w:ascii="宋体" w:hAnsi="宋体" w:eastAsia="宋体" w:cs="宋体"/>
          <w:spacing w:val="12"/>
          <w:sz w:val="24"/>
          <w:szCs w:val="24"/>
        </w:rPr>
        <w:t>（3）供应商不得为“信用中国”网站（www.creditchina.gov.cn）中列入失信被执行人和重大税收违法案件当事人名单的供应商，不得为“中国政府采购网”网站（www.ccgp.gov.cn）政府采购严重违法失信行为记录名单中被财政部门禁止参加政府采购活动的供应商（处罚决定规定的时间和地域范围内）。</w:t>
      </w:r>
      <w:r>
        <w:rPr>
          <w:rFonts w:hint="eastAsia" w:ascii="宋体" w:hAnsi="宋体" w:eastAsia="宋体" w:cs="宋体"/>
          <w:spacing w:val="12"/>
          <w:sz w:val="24"/>
          <w:szCs w:val="24"/>
        </w:rPr>
        <w:br w:type="textWrapping"/>
      </w:r>
      <w:r>
        <w:rPr>
          <w:rFonts w:hint="eastAsia" w:ascii="宋体" w:hAnsi="宋体" w:eastAsia="宋体" w:cs="宋体"/>
          <w:spacing w:val="12"/>
          <w:sz w:val="24"/>
          <w:szCs w:val="24"/>
        </w:rPr>
        <w:t>（4）授权参加本次投标活动的供应商代表证明材料；</w:t>
      </w:r>
    </w:p>
    <w:p w14:paraId="01DEF8E5">
      <w:pPr>
        <w:keepNext w:val="0"/>
        <w:keepLines w:val="0"/>
        <w:pageBreakBefore w:val="0"/>
        <w:widowControl/>
        <w:kinsoku w:val="0"/>
        <w:wordWrap/>
        <w:overflowPunct/>
        <w:topLinePunct w:val="0"/>
        <w:autoSpaceDE w:val="0"/>
        <w:autoSpaceDN w:val="0"/>
        <w:bidi w:val="0"/>
        <w:adjustRightInd w:val="0"/>
        <w:snapToGrid w:val="0"/>
        <w:spacing w:before="183" w:line="360" w:lineRule="auto"/>
        <w:textAlignment w:val="baseline"/>
        <w:rPr>
          <w:rFonts w:ascii="宋体" w:hAnsi="宋体" w:eastAsia="宋体" w:cs="宋体"/>
          <w:spacing w:val="12"/>
          <w:sz w:val="24"/>
          <w:szCs w:val="24"/>
        </w:rPr>
      </w:pPr>
      <w:r>
        <w:rPr>
          <w:rFonts w:hint="eastAsia" w:ascii="宋体" w:hAnsi="宋体" w:eastAsia="宋体" w:cs="宋体"/>
          <w:spacing w:val="12"/>
          <w:sz w:val="24"/>
          <w:szCs w:val="24"/>
        </w:rPr>
        <w:t>（5）按规定获取了招标文件，属于实质性参加政府采购活动的供应商。</w:t>
      </w:r>
    </w:p>
    <w:p w14:paraId="7FABCB32">
      <w:pPr>
        <w:tabs>
          <w:tab w:val="left" w:pos="945"/>
        </w:tabs>
        <w:spacing w:before="75" w:line="375" w:lineRule="auto"/>
        <w:ind w:right="99" w:firstLine="518" w:firstLineChars="200"/>
        <w:rPr>
          <w:rFonts w:ascii="宋体" w:hAnsi="宋体" w:eastAsia="宋体" w:cs="宋体"/>
          <w:b/>
          <w:bCs/>
          <w:spacing w:val="9"/>
          <w:sz w:val="24"/>
          <w:szCs w:val="24"/>
        </w:rPr>
      </w:pPr>
      <w:r>
        <w:rPr>
          <w:rFonts w:hint="eastAsia" w:ascii="宋体" w:hAnsi="宋体" w:eastAsia="宋体" w:cs="宋体"/>
          <w:b/>
          <w:bCs/>
          <w:spacing w:val="9"/>
          <w:sz w:val="24"/>
          <w:szCs w:val="24"/>
          <w:lang w:eastAsia="zh-CN"/>
        </w:rPr>
        <w:t>六</w:t>
      </w:r>
      <w:r>
        <w:rPr>
          <w:rFonts w:ascii="宋体" w:hAnsi="宋体" w:eastAsia="宋体" w:cs="宋体"/>
          <w:b/>
          <w:bCs/>
          <w:spacing w:val="9"/>
          <w:sz w:val="24"/>
          <w:szCs w:val="24"/>
        </w:rPr>
        <w:t>、招标文件发售时间、地点、方式：</w:t>
      </w:r>
    </w:p>
    <w:p w14:paraId="099BA4AC">
      <w:pPr>
        <w:keepNext w:val="0"/>
        <w:keepLines w:val="0"/>
        <w:pageBreakBefore w:val="0"/>
        <w:widowControl/>
        <w:kinsoku w:val="0"/>
        <w:wordWrap/>
        <w:overflowPunct/>
        <w:topLinePunct w:val="0"/>
        <w:autoSpaceDE w:val="0"/>
        <w:autoSpaceDN w:val="0"/>
        <w:bidi w:val="0"/>
        <w:adjustRightInd w:val="0"/>
        <w:snapToGrid w:val="0"/>
        <w:spacing w:before="193" w:line="480" w:lineRule="auto"/>
        <w:ind w:firstLine="480" w:firstLineChars="200"/>
        <w:textAlignment w:val="baseline"/>
        <w:rPr>
          <w:rFonts w:hint="default"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现场</w:t>
      </w:r>
      <w:r>
        <w:rPr>
          <w:rFonts w:hint="default" w:ascii="宋体" w:hAnsi="宋体" w:eastAsia="宋体" w:cs="宋体"/>
          <w:spacing w:val="0"/>
          <w:sz w:val="24"/>
          <w:szCs w:val="24"/>
          <w:lang w:val="en-US" w:eastAsia="zh-CN"/>
        </w:rPr>
        <w:t>获取</w:t>
      </w:r>
      <w:r>
        <w:rPr>
          <w:rFonts w:hint="eastAsia" w:ascii="宋体" w:hAnsi="宋体" w:eastAsia="宋体" w:cs="宋体"/>
          <w:spacing w:val="0"/>
          <w:sz w:val="24"/>
          <w:szCs w:val="24"/>
          <w:lang w:val="en-US" w:eastAsia="zh-CN"/>
        </w:rPr>
        <w:t>：招标</w:t>
      </w:r>
      <w:r>
        <w:rPr>
          <w:rFonts w:hint="default" w:ascii="宋体" w:hAnsi="宋体" w:eastAsia="宋体" w:cs="宋体"/>
          <w:spacing w:val="0"/>
          <w:sz w:val="24"/>
          <w:szCs w:val="24"/>
          <w:lang w:val="en-US" w:eastAsia="zh-CN"/>
        </w:rPr>
        <w:t>文件</w:t>
      </w:r>
      <w:r>
        <w:rPr>
          <w:rFonts w:hint="eastAsia" w:ascii="宋体" w:hAnsi="宋体" w:eastAsia="宋体" w:cs="宋体"/>
          <w:spacing w:val="0"/>
          <w:sz w:val="24"/>
          <w:szCs w:val="24"/>
          <w:lang w:val="en-US" w:eastAsia="zh-CN"/>
        </w:rPr>
        <w:t>获取时</w:t>
      </w:r>
      <w:r>
        <w:rPr>
          <w:rFonts w:hint="eastAsia" w:ascii="宋体" w:hAnsi="宋体" w:eastAsia="宋体" w:cs="宋体"/>
          <w:spacing w:val="0"/>
          <w:sz w:val="24"/>
          <w:szCs w:val="24"/>
          <w:highlight w:val="none"/>
          <w:lang w:val="en-US" w:eastAsia="zh-CN"/>
        </w:rPr>
        <w:t>间</w:t>
      </w:r>
      <w:r>
        <w:rPr>
          <w:rFonts w:hint="default" w:ascii="宋体" w:hAnsi="宋体" w:eastAsia="宋体" w:cs="宋体"/>
          <w:spacing w:val="0"/>
          <w:sz w:val="24"/>
          <w:szCs w:val="24"/>
          <w:highlight w:val="none"/>
          <w:lang w:val="en-US" w:eastAsia="zh-CN"/>
        </w:rPr>
        <w:t>自</w:t>
      </w:r>
      <w:r>
        <w:rPr>
          <w:rFonts w:hint="eastAsia" w:ascii="宋体" w:hAnsi="宋体" w:eastAsia="宋体" w:cs="宋体"/>
          <w:spacing w:val="0"/>
          <w:sz w:val="24"/>
          <w:szCs w:val="24"/>
          <w:highlight w:val="none"/>
          <w:lang w:val="en-US" w:eastAsia="zh-CN"/>
        </w:rPr>
        <w:t>2025年05月</w:t>
      </w:r>
      <w:r>
        <w:rPr>
          <w:rFonts w:hint="eastAsia" w:ascii="宋体" w:hAnsi="宋体" w:eastAsia="宋体" w:cs="宋体"/>
          <w:b/>
          <w:bCs/>
          <w:spacing w:val="14"/>
          <w:sz w:val="23"/>
          <w:szCs w:val="23"/>
          <w:highlight w:val="none"/>
          <w:lang w:val="en-US" w:eastAsia="zh-CN"/>
        </w:rPr>
        <w:t>06</w:t>
      </w:r>
      <w:r>
        <w:rPr>
          <w:rFonts w:hint="default" w:ascii="宋体" w:hAnsi="宋体" w:eastAsia="宋体" w:cs="宋体"/>
          <w:spacing w:val="0"/>
          <w:sz w:val="24"/>
          <w:szCs w:val="24"/>
          <w:highlight w:val="none"/>
          <w:lang w:val="en-US" w:eastAsia="zh-CN"/>
        </w:rPr>
        <w:t>日至</w:t>
      </w:r>
      <w:r>
        <w:rPr>
          <w:rFonts w:hint="eastAsia" w:ascii="宋体" w:hAnsi="宋体" w:eastAsia="宋体" w:cs="宋体"/>
          <w:spacing w:val="0"/>
          <w:sz w:val="24"/>
          <w:szCs w:val="24"/>
          <w:highlight w:val="none"/>
          <w:lang w:val="en-US" w:eastAsia="zh-CN"/>
        </w:rPr>
        <w:t>2025</w:t>
      </w:r>
      <w:r>
        <w:rPr>
          <w:rFonts w:hint="default" w:ascii="宋体" w:hAnsi="宋体" w:eastAsia="宋体" w:cs="宋体"/>
          <w:spacing w:val="0"/>
          <w:sz w:val="24"/>
          <w:szCs w:val="24"/>
          <w:highlight w:val="none"/>
          <w:lang w:val="en-US" w:eastAsia="zh-CN"/>
        </w:rPr>
        <w:t>年</w:t>
      </w:r>
      <w:r>
        <w:rPr>
          <w:rFonts w:hint="eastAsia" w:ascii="宋体" w:hAnsi="宋体" w:eastAsia="宋体" w:cs="宋体"/>
          <w:spacing w:val="0"/>
          <w:sz w:val="24"/>
          <w:szCs w:val="24"/>
          <w:highlight w:val="none"/>
          <w:lang w:val="en-US" w:eastAsia="zh-CN"/>
        </w:rPr>
        <w:t>05</w:t>
      </w:r>
      <w:r>
        <w:rPr>
          <w:rFonts w:hint="default" w:ascii="宋体" w:hAnsi="宋体" w:eastAsia="宋体" w:cs="宋体"/>
          <w:spacing w:val="0"/>
          <w:sz w:val="24"/>
          <w:szCs w:val="24"/>
          <w:highlight w:val="none"/>
          <w:lang w:val="en-US" w:eastAsia="zh-CN"/>
        </w:rPr>
        <w:t>月</w:t>
      </w:r>
      <w:r>
        <w:rPr>
          <w:rFonts w:hint="eastAsia" w:ascii="宋体" w:hAnsi="宋体" w:eastAsia="宋体" w:cs="宋体"/>
          <w:b/>
          <w:bCs/>
          <w:spacing w:val="14"/>
          <w:sz w:val="23"/>
          <w:szCs w:val="23"/>
          <w:highlight w:val="none"/>
          <w:lang w:val="en-US" w:eastAsia="zh-CN"/>
        </w:rPr>
        <w:t>12</w:t>
      </w:r>
      <w:r>
        <w:rPr>
          <w:rFonts w:hint="default" w:ascii="宋体" w:hAnsi="宋体" w:eastAsia="宋体" w:cs="宋体"/>
          <w:spacing w:val="0"/>
          <w:sz w:val="24"/>
          <w:szCs w:val="24"/>
          <w:highlight w:val="none"/>
          <w:lang w:val="en-US" w:eastAsia="zh-CN"/>
        </w:rPr>
        <w:t>日上</w:t>
      </w:r>
      <w:r>
        <w:rPr>
          <w:rFonts w:hint="default" w:ascii="宋体" w:hAnsi="宋体" w:eastAsia="宋体" w:cs="宋体"/>
          <w:spacing w:val="0"/>
          <w:sz w:val="24"/>
          <w:szCs w:val="24"/>
          <w:lang w:val="en-US" w:eastAsia="zh-CN"/>
        </w:rPr>
        <w:t>午09:00-12:00，下午14:00-17:00（北京时间，法定节假日除外）</w:t>
      </w:r>
      <w:r>
        <w:rPr>
          <w:rFonts w:hint="eastAsia" w:ascii="宋体" w:hAnsi="宋体" w:eastAsia="宋体" w:cs="宋体"/>
          <w:spacing w:val="0"/>
          <w:sz w:val="24"/>
          <w:szCs w:val="24"/>
          <w:lang w:val="en-US" w:eastAsia="zh-CN"/>
        </w:rPr>
        <w:t>，</w:t>
      </w:r>
      <w:r>
        <w:rPr>
          <w:rFonts w:hint="default" w:ascii="宋体" w:hAnsi="宋体" w:eastAsia="宋体" w:cs="宋体"/>
          <w:spacing w:val="0"/>
          <w:sz w:val="24"/>
          <w:szCs w:val="24"/>
          <w:lang w:val="en-US" w:eastAsia="zh-CN"/>
        </w:rPr>
        <w:t>经办人应</w:t>
      </w:r>
      <w:r>
        <w:rPr>
          <w:rFonts w:hint="eastAsia" w:ascii="宋体" w:hAnsi="宋体" w:eastAsia="宋体" w:cs="宋体"/>
          <w:spacing w:val="0"/>
          <w:sz w:val="24"/>
          <w:szCs w:val="24"/>
          <w:lang w:val="en-US" w:eastAsia="zh-CN"/>
        </w:rPr>
        <w:t>手持</w:t>
      </w:r>
      <w:r>
        <w:rPr>
          <w:rFonts w:hint="default" w:ascii="宋体" w:hAnsi="宋体" w:eastAsia="宋体" w:cs="宋体"/>
          <w:spacing w:val="0"/>
          <w:sz w:val="24"/>
          <w:szCs w:val="24"/>
          <w:lang w:val="en-US" w:eastAsia="zh-CN"/>
        </w:rPr>
        <w:t>以下资料</w:t>
      </w:r>
      <w:r>
        <w:rPr>
          <w:rFonts w:hint="eastAsia" w:ascii="宋体" w:hAnsi="宋体" w:eastAsia="宋体" w:cs="宋体"/>
          <w:spacing w:val="0"/>
          <w:sz w:val="24"/>
          <w:szCs w:val="24"/>
          <w:lang w:val="en-US" w:eastAsia="zh-CN"/>
        </w:rPr>
        <w:t>并</w:t>
      </w:r>
      <w:r>
        <w:rPr>
          <w:rFonts w:hint="default" w:ascii="宋体" w:hAnsi="宋体" w:eastAsia="宋体" w:cs="宋体"/>
          <w:spacing w:val="0"/>
          <w:sz w:val="24"/>
          <w:szCs w:val="24"/>
          <w:lang w:val="en-US" w:eastAsia="zh-CN"/>
        </w:rPr>
        <w:t>加盖公章</w:t>
      </w:r>
      <w:r>
        <w:rPr>
          <w:rFonts w:hint="eastAsia" w:ascii="宋体" w:hAnsi="宋体" w:eastAsia="宋体" w:cs="宋体"/>
          <w:spacing w:val="0"/>
          <w:sz w:val="24"/>
          <w:szCs w:val="24"/>
          <w:lang w:val="en-US" w:eastAsia="zh-CN"/>
        </w:rPr>
        <w:t>在</w:t>
      </w:r>
      <w:r>
        <w:rPr>
          <w:rFonts w:hint="eastAsia" w:ascii="宋体" w:hAnsi="宋体" w:eastAsia="宋体" w:cs="宋体"/>
          <w:spacing w:val="0"/>
          <w:sz w:val="24"/>
          <w:szCs w:val="24"/>
          <w:u w:val="single"/>
          <w:lang w:val="en-US" w:eastAsia="zh-CN"/>
        </w:rPr>
        <w:t xml:space="preserve"> 遂宁市船山区河东新区奥城花园北区商业楼3栋4楼4号 </w:t>
      </w:r>
      <w:r>
        <w:rPr>
          <w:rFonts w:hint="eastAsia" w:ascii="宋体" w:hAnsi="宋体" w:eastAsia="宋体" w:cs="宋体"/>
          <w:spacing w:val="0"/>
          <w:sz w:val="24"/>
          <w:szCs w:val="24"/>
          <w:u w:val="none"/>
          <w:lang w:val="en-US" w:eastAsia="zh-CN"/>
        </w:rPr>
        <w:t>获取</w:t>
      </w:r>
      <w:r>
        <w:rPr>
          <w:rFonts w:hint="default" w:ascii="宋体" w:hAnsi="宋体" w:eastAsia="宋体" w:cs="宋体"/>
          <w:spacing w:val="0"/>
          <w:sz w:val="24"/>
          <w:szCs w:val="24"/>
          <w:lang w:val="en-US" w:eastAsia="zh-CN"/>
        </w:rPr>
        <w:t>：供应商为法人或者其他组织的，只需提供单位介绍信、经办人身份证明</w:t>
      </w:r>
      <w:r>
        <w:rPr>
          <w:rFonts w:hint="eastAsia" w:ascii="宋体" w:hAnsi="宋体" w:eastAsia="宋体" w:cs="宋体"/>
          <w:spacing w:val="0"/>
          <w:sz w:val="24"/>
          <w:szCs w:val="24"/>
          <w:lang w:val="en-US" w:eastAsia="zh-CN"/>
        </w:rPr>
        <w:t>。</w:t>
      </w:r>
      <w:r>
        <w:rPr>
          <w:rFonts w:hint="default" w:ascii="宋体" w:hAnsi="宋体" w:eastAsia="宋体" w:cs="宋体"/>
          <w:spacing w:val="0"/>
          <w:sz w:val="24"/>
          <w:szCs w:val="24"/>
          <w:lang w:val="en-US" w:eastAsia="zh-CN"/>
        </w:rPr>
        <w:t>供应商为自然人的，只需提供本人身份证明。采购代理机构在收到报名资料审查无误</w:t>
      </w:r>
      <w:r>
        <w:rPr>
          <w:rFonts w:hint="eastAsia" w:ascii="宋体" w:hAnsi="宋体" w:eastAsia="宋体" w:cs="宋体"/>
          <w:spacing w:val="0"/>
          <w:sz w:val="24"/>
          <w:szCs w:val="24"/>
          <w:lang w:val="en-US" w:eastAsia="zh-CN"/>
        </w:rPr>
        <w:t>并</w:t>
      </w:r>
      <w:r>
        <w:rPr>
          <w:rFonts w:hint="default" w:ascii="宋体" w:hAnsi="宋体" w:eastAsia="宋体" w:cs="宋体"/>
          <w:spacing w:val="0"/>
          <w:sz w:val="24"/>
          <w:szCs w:val="24"/>
          <w:lang w:val="en-US" w:eastAsia="zh-CN"/>
        </w:rPr>
        <w:t>供应商缴费后</w:t>
      </w:r>
      <w:r>
        <w:rPr>
          <w:rFonts w:hint="eastAsia" w:ascii="宋体" w:hAnsi="宋体" w:eastAsia="宋体" w:cs="宋体"/>
          <w:spacing w:val="0"/>
          <w:sz w:val="24"/>
          <w:szCs w:val="24"/>
          <w:lang w:val="en-US" w:eastAsia="zh-CN"/>
        </w:rPr>
        <w:t>获取纸质招标</w:t>
      </w:r>
      <w:r>
        <w:rPr>
          <w:rFonts w:hint="default" w:ascii="宋体" w:hAnsi="宋体" w:eastAsia="宋体" w:cs="宋体"/>
          <w:spacing w:val="0"/>
          <w:sz w:val="24"/>
          <w:szCs w:val="24"/>
          <w:lang w:val="en-US" w:eastAsia="zh-CN"/>
        </w:rPr>
        <w:t>文件。</w:t>
      </w:r>
    </w:p>
    <w:p w14:paraId="740A8E2F">
      <w:pPr>
        <w:keepNext w:val="0"/>
        <w:keepLines w:val="0"/>
        <w:pageBreakBefore w:val="0"/>
        <w:widowControl/>
        <w:kinsoku w:val="0"/>
        <w:wordWrap/>
        <w:overflowPunct/>
        <w:topLinePunct w:val="0"/>
        <w:autoSpaceDE w:val="0"/>
        <w:autoSpaceDN w:val="0"/>
        <w:bidi w:val="0"/>
        <w:adjustRightInd w:val="0"/>
        <w:snapToGrid w:val="0"/>
        <w:spacing w:before="193" w:line="360" w:lineRule="auto"/>
        <w:ind w:firstLine="480" w:firstLineChars="200"/>
        <w:textAlignment w:val="baseline"/>
        <w:rPr>
          <w:rFonts w:hint="default" w:ascii="宋体" w:hAnsi="宋体" w:eastAsia="宋体" w:cs="宋体"/>
          <w:spacing w:val="0"/>
          <w:sz w:val="24"/>
          <w:szCs w:val="24"/>
          <w:lang w:val="en-US" w:eastAsia="zh-CN"/>
        </w:rPr>
      </w:pPr>
      <w:r>
        <w:rPr>
          <w:rFonts w:hint="default" w:ascii="宋体" w:hAnsi="宋体" w:eastAsia="宋体" w:cs="宋体"/>
          <w:spacing w:val="0"/>
          <w:sz w:val="24"/>
          <w:szCs w:val="24"/>
          <w:lang w:val="en-US" w:eastAsia="zh-CN"/>
        </w:rPr>
        <w:t>本项目</w:t>
      </w:r>
      <w:r>
        <w:rPr>
          <w:rFonts w:hint="eastAsia" w:ascii="宋体" w:hAnsi="宋体" w:eastAsia="宋体" w:cs="宋体"/>
          <w:spacing w:val="0"/>
          <w:sz w:val="24"/>
          <w:szCs w:val="24"/>
          <w:lang w:val="en-US" w:eastAsia="zh-CN"/>
        </w:rPr>
        <w:t>招标</w:t>
      </w:r>
      <w:r>
        <w:rPr>
          <w:rFonts w:hint="default" w:ascii="宋体" w:hAnsi="宋体" w:eastAsia="宋体" w:cs="宋体"/>
          <w:spacing w:val="0"/>
          <w:sz w:val="24"/>
          <w:szCs w:val="24"/>
          <w:lang w:val="en-US" w:eastAsia="zh-CN"/>
        </w:rPr>
        <w:t>文件有偿获取，</w:t>
      </w:r>
      <w:r>
        <w:rPr>
          <w:rFonts w:hint="eastAsia" w:ascii="宋体" w:hAnsi="宋体" w:eastAsia="宋体" w:cs="宋体"/>
          <w:spacing w:val="0"/>
          <w:sz w:val="24"/>
          <w:szCs w:val="24"/>
          <w:lang w:val="en-US" w:eastAsia="zh-CN"/>
        </w:rPr>
        <w:t>招标</w:t>
      </w:r>
      <w:r>
        <w:rPr>
          <w:rFonts w:hint="default" w:ascii="宋体" w:hAnsi="宋体" w:eastAsia="宋体" w:cs="宋体"/>
          <w:spacing w:val="0"/>
          <w:sz w:val="24"/>
          <w:szCs w:val="24"/>
          <w:lang w:val="en-US" w:eastAsia="zh-CN"/>
        </w:rPr>
        <w:t>文件售价：人民币300元/份（</w:t>
      </w:r>
      <w:r>
        <w:rPr>
          <w:rFonts w:hint="eastAsia" w:ascii="宋体" w:hAnsi="宋体" w:eastAsia="宋体" w:cs="宋体"/>
          <w:spacing w:val="0"/>
          <w:sz w:val="24"/>
          <w:szCs w:val="24"/>
          <w:lang w:val="en-US" w:eastAsia="zh-CN"/>
        </w:rPr>
        <w:t>招标</w:t>
      </w:r>
      <w:r>
        <w:rPr>
          <w:rFonts w:hint="default" w:ascii="宋体" w:hAnsi="宋体" w:eastAsia="宋体" w:cs="宋体"/>
          <w:spacing w:val="0"/>
          <w:sz w:val="24"/>
          <w:szCs w:val="24"/>
          <w:lang w:val="en-US" w:eastAsia="zh-CN"/>
        </w:rPr>
        <w:t>文件售后不退,</w:t>
      </w:r>
      <w:r>
        <w:rPr>
          <w:rFonts w:hint="eastAsia" w:ascii="宋体" w:hAnsi="宋体" w:eastAsia="宋体" w:cs="宋体"/>
          <w:spacing w:val="0"/>
          <w:sz w:val="24"/>
          <w:szCs w:val="24"/>
          <w:lang w:val="en-US" w:eastAsia="zh-CN"/>
        </w:rPr>
        <w:t>投标</w:t>
      </w:r>
      <w:r>
        <w:rPr>
          <w:rFonts w:hint="default" w:ascii="宋体" w:hAnsi="宋体" w:eastAsia="宋体" w:cs="宋体"/>
          <w:spacing w:val="0"/>
          <w:sz w:val="24"/>
          <w:szCs w:val="24"/>
          <w:lang w:val="en-US" w:eastAsia="zh-CN"/>
        </w:rPr>
        <w:t>资格不能转让）。</w:t>
      </w:r>
    </w:p>
    <w:p w14:paraId="63236241">
      <w:pPr>
        <w:spacing w:before="35" w:line="382" w:lineRule="auto"/>
        <w:ind w:left="1" w:right="219" w:firstLine="481" w:firstLineChars="0"/>
        <w:rPr>
          <w:rFonts w:hint="eastAsia" w:ascii="宋体" w:hAnsi="宋体" w:eastAsia="宋体" w:cs="宋体"/>
          <w:spacing w:val="14"/>
          <w:sz w:val="23"/>
          <w:szCs w:val="23"/>
          <w:highlight w:val="none"/>
          <w:lang w:val="en-US" w:eastAsia="zh-CN"/>
        </w:rPr>
      </w:pPr>
      <w:r>
        <w:rPr>
          <w:rFonts w:hint="eastAsia" w:ascii="宋体" w:hAnsi="宋体" w:eastAsia="宋体" w:cs="宋体"/>
          <w:b/>
          <w:bCs/>
          <w:spacing w:val="12"/>
          <w:sz w:val="24"/>
          <w:szCs w:val="24"/>
          <w:lang w:val="en-US" w:eastAsia="zh-CN"/>
        </w:rPr>
        <w:t>七、投标截止时间</w:t>
      </w:r>
      <w:r>
        <w:rPr>
          <w:rFonts w:hint="eastAsia" w:ascii="宋体" w:hAnsi="宋体" w:eastAsia="宋体" w:cs="宋体"/>
          <w:b/>
          <w:bCs/>
          <w:spacing w:val="12"/>
          <w:sz w:val="24"/>
          <w:szCs w:val="24"/>
          <w:highlight w:val="none"/>
          <w:lang w:val="en-US" w:eastAsia="zh-CN"/>
        </w:rPr>
        <w:t>：</w:t>
      </w:r>
      <w:r>
        <w:rPr>
          <w:rFonts w:hint="eastAsia" w:ascii="宋体" w:hAnsi="宋体" w:eastAsia="宋体" w:cs="宋体"/>
          <w:spacing w:val="14"/>
          <w:sz w:val="23"/>
          <w:szCs w:val="23"/>
          <w:highlight w:val="none"/>
          <w:lang w:val="en-US" w:eastAsia="zh-CN"/>
        </w:rPr>
        <w:t>2025年05月</w:t>
      </w:r>
      <w:r>
        <w:rPr>
          <w:rFonts w:hint="eastAsia" w:ascii="宋体" w:hAnsi="宋体" w:eastAsia="宋体" w:cs="宋体"/>
          <w:b/>
          <w:bCs/>
          <w:spacing w:val="14"/>
          <w:sz w:val="23"/>
          <w:szCs w:val="23"/>
          <w:highlight w:val="none"/>
          <w:lang w:val="en-US" w:eastAsia="zh-CN"/>
        </w:rPr>
        <w:t>26</w:t>
      </w:r>
      <w:r>
        <w:rPr>
          <w:rFonts w:hint="eastAsia" w:ascii="宋体" w:hAnsi="宋体" w:eastAsia="宋体" w:cs="宋体"/>
          <w:spacing w:val="14"/>
          <w:sz w:val="23"/>
          <w:szCs w:val="23"/>
          <w:highlight w:val="none"/>
          <w:lang w:val="en-US" w:eastAsia="zh-CN"/>
        </w:rPr>
        <w:t>日14:00（北京时间）</w:t>
      </w:r>
    </w:p>
    <w:p w14:paraId="7617B84C">
      <w:pPr>
        <w:spacing w:before="35" w:line="382" w:lineRule="auto"/>
        <w:ind w:right="219" w:firstLine="1060" w:firstLineChars="400"/>
        <w:rPr>
          <w:rFonts w:hint="eastAsia" w:ascii="宋体" w:hAnsi="宋体" w:eastAsia="宋体" w:cs="宋体"/>
          <w:spacing w:val="14"/>
          <w:sz w:val="23"/>
          <w:szCs w:val="23"/>
          <w:lang w:val="en-US" w:eastAsia="zh-CN"/>
        </w:rPr>
      </w:pPr>
      <w:r>
        <w:rPr>
          <w:rFonts w:hint="eastAsia" w:ascii="宋体" w:hAnsi="宋体" w:eastAsia="宋体" w:cs="宋体"/>
          <w:b/>
          <w:bCs/>
          <w:spacing w:val="12"/>
          <w:sz w:val="24"/>
          <w:szCs w:val="24"/>
          <w:highlight w:val="none"/>
          <w:lang w:val="en-US" w:eastAsia="zh-CN"/>
        </w:rPr>
        <w:t>开标时间：</w:t>
      </w:r>
      <w:r>
        <w:rPr>
          <w:rFonts w:hint="eastAsia" w:ascii="宋体" w:hAnsi="宋体" w:eastAsia="宋体" w:cs="宋体"/>
          <w:spacing w:val="14"/>
          <w:sz w:val="23"/>
          <w:szCs w:val="23"/>
          <w:highlight w:val="none"/>
          <w:lang w:val="en-US" w:eastAsia="zh-CN"/>
        </w:rPr>
        <w:t>2025年05月</w:t>
      </w:r>
      <w:r>
        <w:rPr>
          <w:rFonts w:hint="eastAsia" w:ascii="宋体" w:hAnsi="宋体" w:eastAsia="宋体" w:cs="宋体"/>
          <w:b/>
          <w:bCs/>
          <w:spacing w:val="14"/>
          <w:sz w:val="23"/>
          <w:szCs w:val="23"/>
          <w:highlight w:val="none"/>
          <w:lang w:val="en-US" w:eastAsia="zh-CN"/>
        </w:rPr>
        <w:t>26</w:t>
      </w:r>
      <w:r>
        <w:rPr>
          <w:rFonts w:hint="eastAsia" w:ascii="宋体" w:hAnsi="宋体" w:eastAsia="宋体" w:cs="宋体"/>
          <w:spacing w:val="14"/>
          <w:sz w:val="23"/>
          <w:szCs w:val="23"/>
          <w:highlight w:val="none"/>
          <w:lang w:val="en-US" w:eastAsia="zh-CN"/>
        </w:rPr>
        <w:t>日14:00（</w:t>
      </w:r>
      <w:r>
        <w:rPr>
          <w:rFonts w:hint="eastAsia" w:ascii="宋体" w:hAnsi="宋体" w:eastAsia="宋体" w:cs="宋体"/>
          <w:spacing w:val="14"/>
          <w:sz w:val="23"/>
          <w:szCs w:val="23"/>
          <w:lang w:val="en-US" w:eastAsia="zh-CN"/>
        </w:rPr>
        <w:t>北京时间）</w:t>
      </w:r>
    </w:p>
    <w:p w14:paraId="7816C98E">
      <w:pPr>
        <w:keepNext w:val="0"/>
        <w:keepLines w:val="0"/>
        <w:pageBreakBefore w:val="0"/>
        <w:widowControl/>
        <w:kinsoku w:val="0"/>
        <w:wordWrap/>
        <w:overflowPunct/>
        <w:topLinePunct w:val="0"/>
        <w:autoSpaceDE w:val="0"/>
        <w:autoSpaceDN w:val="0"/>
        <w:bidi w:val="0"/>
        <w:adjustRightInd w:val="0"/>
        <w:snapToGrid w:val="0"/>
        <w:spacing w:before="193" w:line="360" w:lineRule="auto"/>
        <w:ind w:firstLine="480" w:firstLineChars="200"/>
        <w:textAlignment w:val="baseline"/>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lang w:val="en-US" w:eastAsia="zh-CN"/>
        </w:rPr>
        <w:t>投标文件必须在投标截止时间前送达开标地点。逾期送达的投标文件不予接收。 本次招标不接受邮寄的投标文件。</w:t>
      </w:r>
    </w:p>
    <w:p w14:paraId="1A17537B">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 xml:space="preserve">八、开标地点：遂宁市船山区河东新区奥城花园北区商业楼3栋4楼4号 </w:t>
      </w:r>
    </w:p>
    <w:p w14:paraId="1C5EA966">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九、本投标邀请在中国政府采购网上以公告形式发布。</w:t>
      </w:r>
    </w:p>
    <w:p w14:paraId="685426BB">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十、联系方式</w:t>
      </w:r>
    </w:p>
    <w:p w14:paraId="3E0F40E6">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采购人：遂宁市消防救援支队</w:t>
      </w:r>
    </w:p>
    <w:p w14:paraId="6A0B6287">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地址：遂宁市河东新区德水南路 119 号</w:t>
      </w:r>
    </w:p>
    <w:p w14:paraId="3FFE09D9">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联系人：刘先生</w:t>
      </w:r>
    </w:p>
    <w:p w14:paraId="39E1A5B1">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联系电话：0825-2680030</w:t>
      </w:r>
    </w:p>
    <w:p w14:paraId="468E18A2">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采购代理机构：四川华招项目管理有限公司</w:t>
      </w:r>
    </w:p>
    <w:p w14:paraId="3864F2C3">
      <w:pPr>
        <w:spacing w:before="35" w:line="382" w:lineRule="auto"/>
        <w:ind w:left="1" w:right="219" w:firstLine="481" w:firstLineChars="0"/>
        <w:rPr>
          <w:rFonts w:hint="default"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通讯地址：蓬溪县映山街映山公馆A幢3楼5号</w:t>
      </w:r>
    </w:p>
    <w:p w14:paraId="71DF325C">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联系人：蒋先生</w:t>
      </w:r>
    </w:p>
    <w:p w14:paraId="31C46672">
      <w:pPr>
        <w:spacing w:before="35" w:line="382" w:lineRule="auto"/>
        <w:ind w:left="1" w:right="219" w:firstLine="481" w:firstLineChars="0"/>
        <w:rPr>
          <w:rFonts w:hint="eastAsia" w:ascii="宋体" w:hAnsi="宋体" w:eastAsia="宋体" w:cs="宋体"/>
          <w:b/>
          <w:bCs/>
          <w:spacing w:val="12"/>
          <w:sz w:val="24"/>
          <w:szCs w:val="24"/>
          <w:lang w:val="en-US" w:eastAsia="zh-CN"/>
        </w:rPr>
      </w:pPr>
      <w:r>
        <w:rPr>
          <w:rFonts w:hint="eastAsia" w:ascii="宋体" w:hAnsi="宋体" w:eastAsia="宋体" w:cs="宋体"/>
          <w:b/>
          <w:bCs/>
          <w:spacing w:val="12"/>
          <w:sz w:val="24"/>
          <w:szCs w:val="24"/>
          <w:lang w:val="en-US" w:eastAsia="zh-CN"/>
        </w:rPr>
        <w:t>联系电话： 0825-5181166</w:t>
      </w:r>
    </w:p>
    <w:p w14:paraId="774905EE">
      <w:pPr>
        <w:spacing w:before="0" w:line="240" w:lineRule="auto"/>
        <w:ind w:left="0"/>
        <w:outlineLvl w:val="9"/>
        <w:rPr>
          <w:rFonts w:hint="eastAsia" w:ascii="宋体" w:hAnsi="宋体" w:eastAsia="宋体" w:cs="宋体"/>
          <w:spacing w:val="13"/>
          <w:sz w:val="35"/>
          <w:szCs w:val="35"/>
          <w14:textOutline w14:w="6537" w14:cap="sq" w14:cmpd="sng">
            <w14:solidFill>
              <w14:srgbClr w14:val="000000"/>
            </w14:solidFill>
            <w14:prstDash w14:val="solid"/>
            <w14:bevel/>
          </w14:textOutline>
        </w:rPr>
      </w:pPr>
      <w:r>
        <w:rPr>
          <w:rFonts w:hint="eastAsia" w:ascii="宋体" w:hAnsi="宋体" w:eastAsia="宋体" w:cs="宋体"/>
          <w:spacing w:val="13"/>
          <w:sz w:val="35"/>
          <w:szCs w:val="35"/>
          <w14:textOutline w14:w="6537" w14:cap="sq" w14:cmpd="sng">
            <w14:solidFill>
              <w14:srgbClr w14:val="000000"/>
            </w14:solidFill>
            <w14:prstDash w14:val="solid"/>
            <w14:bevel/>
          </w14:textOutline>
        </w:rPr>
        <w:br w:type="page"/>
      </w:r>
    </w:p>
    <w:p w14:paraId="5272E074">
      <w:pPr>
        <w:spacing w:before="114" w:line="225" w:lineRule="auto"/>
        <w:ind w:left="3018"/>
        <w:outlineLvl w:val="0"/>
        <w:rPr>
          <w:rFonts w:ascii="宋体" w:hAnsi="宋体" w:eastAsia="宋体" w:cs="宋体"/>
          <w:sz w:val="35"/>
          <w:szCs w:val="35"/>
        </w:rPr>
      </w:pPr>
      <w:r>
        <w:rPr>
          <w:rFonts w:ascii="宋体" w:hAnsi="宋体" w:eastAsia="宋体" w:cs="宋体"/>
          <w:spacing w:val="13"/>
          <w:sz w:val="35"/>
          <w:szCs w:val="35"/>
          <w14:textOutline w14:w="6537" w14:cap="sq" w14:cmpd="sng">
            <w14:solidFill>
              <w14:srgbClr w14:val="000000"/>
            </w14:solidFill>
            <w14:prstDash w14:val="solid"/>
            <w14:bevel/>
          </w14:textOutline>
        </w:rPr>
        <w:t>第</w:t>
      </w:r>
      <w:r>
        <w:rPr>
          <w:rFonts w:ascii="宋体" w:hAnsi="宋体" w:eastAsia="宋体" w:cs="宋体"/>
          <w:spacing w:val="8"/>
          <w:sz w:val="35"/>
          <w:szCs w:val="35"/>
          <w14:textOutline w14:w="6537" w14:cap="sq" w14:cmpd="sng">
            <w14:solidFill>
              <w14:srgbClr w14:val="000000"/>
            </w14:solidFill>
            <w14:prstDash w14:val="solid"/>
            <w14:bevel/>
          </w14:textOutline>
        </w:rPr>
        <w:t>二章</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sq" w14:cmpd="sng">
            <w14:solidFill>
              <w14:srgbClr w14:val="000000"/>
            </w14:solidFill>
            <w14:prstDash w14:val="solid"/>
            <w14:bevel/>
          </w14:textOutline>
        </w:rPr>
        <w:t>投标人须知</w:t>
      </w:r>
    </w:p>
    <w:p w14:paraId="7D35364A">
      <w:pPr>
        <w:spacing w:line="265" w:lineRule="auto"/>
        <w:rPr>
          <w:rFonts w:ascii="Arial"/>
          <w:sz w:val="21"/>
        </w:rPr>
      </w:pPr>
    </w:p>
    <w:p w14:paraId="0656802C">
      <w:pPr>
        <w:numPr>
          <w:ilvl w:val="0"/>
          <w:numId w:val="0"/>
        </w:numPr>
        <w:spacing w:before="101" w:line="218" w:lineRule="auto"/>
        <w:ind w:left="3201" w:leftChars="0"/>
        <w:rPr>
          <w:rFonts w:ascii="宋体" w:hAnsi="宋体" w:eastAsia="宋体" w:cs="宋体"/>
          <w:spacing w:val="9"/>
          <w:sz w:val="31"/>
          <w:szCs w:val="31"/>
          <w14:textOutline w14:w="5793" w14:cap="sq" w14:cmpd="sng">
            <w14:solidFill>
              <w14:srgbClr w14:val="000000"/>
            </w14:solidFill>
            <w14:prstDash w14:val="solid"/>
            <w14:bevel/>
          </w14:textOutline>
        </w:rPr>
      </w:pPr>
      <w:r>
        <w:rPr>
          <w:rFonts w:hint="eastAsia" w:ascii="宋体" w:hAnsi="宋体" w:eastAsia="宋体" w:cs="宋体"/>
          <w:snapToGrid w:val="0"/>
          <w:color w:val="000000"/>
          <w:spacing w:val="9"/>
          <w:kern w:val="0"/>
          <w:sz w:val="31"/>
          <w:szCs w:val="31"/>
          <w14:textOutline w14:w="5793" w14:cap="sq" w14:cmpd="sng">
            <w14:solidFill>
              <w14:srgbClr w14:val="000000"/>
            </w14:solidFill>
            <w14:prstDash w14:val="solid"/>
            <w14:bevel/>
          </w14:textOutline>
        </w:rPr>
        <w:t>一、</w:t>
      </w:r>
      <w:r>
        <w:rPr>
          <w:rFonts w:ascii="宋体" w:hAnsi="宋体" w:eastAsia="宋体" w:cs="宋体"/>
          <w:spacing w:val="9"/>
          <w:sz w:val="31"/>
          <w:szCs w:val="31"/>
          <w14:textOutline w14:w="5793" w14:cap="sq" w14:cmpd="sng">
            <w14:solidFill>
              <w14:srgbClr w14:val="000000"/>
            </w14:solidFill>
            <w14:prstDash w14:val="solid"/>
            <w14:bevel/>
          </w14:textOutline>
        </w:rPr>
        <w:t>投标人须知附表</w:t>
      </w:r>
    </w:p>
    <w:p w14:paraId="5931D2B9">
      <w:pPr>
        <w:pStyle w:val="13"/>
        <w:numPr>
          <w:ilvl w:val="0"/>
          <w:numId w:val="0"/>
        </w:numPr>
      </w:pPr>
    </w:p>
    <w:tbl>
      <w:tblPr>
        <w:tblStyle w:val="24"/>
        <w:tblW w:w="9221" w:type="dxa"/>
        <w:tblInd w:w="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1"/>
        <w:gridCol w:w="2153"/>
        <w:gridCol w:w="6517"/>
      </w:tblGrid>
      <w:tr w14:paraId="43D505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551" w:type="dxa"/>
            <w:tcBorders>
              <w:left w:val="single" w:color="000000" w:sz="16" w:space="0"/>
              <w:right w:val="single" w:color="000000" w:sz="6" w:space="0"/>
            </w:tcBorders>
            <w:vAlign w:val="center"/>
          </w:tcPr>
          <w:p w14:paraId="04B90585">
            <w:pPr>
              <w:spacing w:before="120" w:line="230" w:lineRule="auto"/>
              <w:jc w:val="center"/>
              <w:rPr>
                <w:rFonts w:ascii="宋体" w:hAnsi="宋体" w:eastAsia="宋体" w:cs="宋体"/>
                <w:sz w:val="23"/>
                <w:szCs w:val="23"/>
              </w:rPr>
            </w:pPr>
            <w:r>
              <w:rPr>
                <w:rFonts w:ascii="宋体" w:hAnsi="宋体" w:eastAsia="宋体" w:cs="宋体"/>
                <w:spacing w:val="6"/>
                <w:sz w:val="23"/>
                <w:szCs w:val="23"/>
              </w:rPr>
              <w:t>序</w:t>
            </w:r>
            <w:r>
              <w:rPr>
                <w:rFonts w:ascii="宋体" w:hAnsi="宋体" w:eastAsia="宋体" w:cs="宋体"/>
                <w:spacing w:val="5"/>
                <w:sz w:val="23"/>
                <w:szCs w:val="23"/>
              </w:rPr>
              <w:t>号</w:t>
            </w:r>
          </w:p>
        </w:tc>
        <w:tc>
          <w:tcPr>
            <w:tcW w:w="2153" w:type="dxa"/>
            <w:tcBorders>
              <w:left w:val="single" w:color="000000" w:sz="6" w:space="0"/>
              <w:right w:val="single" w:color="000000" w:sz="6" w:space="0"/>
            </w:tcBorders>
            <w:vAlign w:val="center"/>
          </w:tcPr>
          <w:p w14:paraId="4AF59BD7">
            <w:pPr>
              <w:spacing w:before="121" w:line="228" w:lineRule="auto"/>
              <w:ind w:left="0"/>
              <w:jc w:val="center"/>
              <w:rPr>
                <w:rFonts w:ascii="宋体" w:hAnsi="宋体" w:eastAsia="宋体" w:cs="宋体"/>
                <w:sz w:val="23"/>
                <w:szCs w:val="23"/>
              </w:rPr>
            </w:pPr>
            <w:r>
              <w:rPr>
                <w:rFonts w:ascii="宋体" w:hAnsi="宋体" w:eastAsia="宋体" w:cs="宋体"/>
                <w:spacing w:val="7"/>
                <w:sz w:val="23"/>
                <w:szCs w:val="23"/>
              </w:rPr>
              <w:t>条款名称</w:t>
            </w:r>
          </w:p>
        </w:tc>
        <w:tc>
          <w:tcPr>
            <w:tcW w:w="6517" w:type="dxa"/>
            <w:tcBorders>
              <w:left w:val="single" w:color="000000" w:sz="6" w:space="0"/>
              <w:right w:val="single" w:color="000000" w:sz="16" w:space="0"/>
            </w:tcBorders>
            <w:vAlign w:val="center"/>
          </w:tcPr>
          <w:p w14:paraId="164E7549">
            <w:pPr>
              <w:spacing w:before="121" w:line="228" w:lineRule="auto"/>
              <w:jc w:val="center"/>
              <w:rPr>
                <w:rFonts w:ascii="宋体" w:hAnsi="宋体" w:eastAsia="宋体" w:cs="宋体"/>
                <w:sz w:val="23"/>
                <w:szCs w:val="23"/>
              </w:rPr>
            </w:pPr>
            <w:r>
              <w:rPr>
                <w:rFonts w:ascii="宋体" w:hAnsi="宋体" w:eastAsia="宋体" w:cs="宋体"/>
                <w:spacing w:val="9"/>
                <w:sz w:val="23"/>
                <w:szCs w:val="23"/>
              </w:rPr>
              <w:t>说</w:t>
            </w:r>
            <w:r>
              <w:rPr>
                <w:rFonts w:ascii="宋体" w:hAnsi="宋体" w:eastAsia="宋体" w:cs="宋体"/>
                <w:spacing w:val="7"/>
                <w:sz w:val="23"/>
                <w:szCs w:val="23"/>
              </w:rPr>
              <w:t>明和要求</w:t>
            </w:r>
          </w:p>
        </w:tc>
      </w:tr>
      <w:tr w14:paraId="1DA1E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551" w:type="dxa"/>
            <w:vMerge w:val="restart"/>
            <w:tcBorders>
              <w:left w:val="single" w:color="000000" w:sz="16" w:space="0"/>
              <w:bottom w:val="nil"/>
              <w:right w:val="single" w:color="000000" w:sz="6" w:space="0"/>
            </w:tcBorders>
            <w:vAlign w:val="center"/>
          </w:tcPr>
          <w:p w14:paraId="69751DE2">
            <w:pPr>
              <w:spacing w:before="74" w:line="192" w:lineRule="auto"/>
              <w:jc w:val="center"/>
              <w:rPr>
                <w:rFonts w:ascii="宋体" w:hAnsi="宋体" w:eastAsia="宋体" w:cs="宋体"/>
                <w:sz w:val="23"/>
                <w:szCs w:val="23"/>
              </w:rPr>
            </w:pPr>
            <w:r>
              <w:rPr>
                <w:rFonts w:ascii="宋体" w:hAnsi="宋体" w:eastAsia="宋体" w:cs="宋体"/>
                <w:sz w:val="23"/>
                <w:szCs w:val="23"/>
              </w:rPr>
              <w:t>1</w:t>
            </w:r>
          </w:p>
        </w:tc>
        <w:tc>
          <w:tcPr>
            <w:tcW w:w="2153" w:type="dxa"/>
            <w:tcBorders>
              <w:left w:val="single" w:color="000000" w:sz="6" w:space="0"/>
              <w:right w:val="single" w:color="000000" w:sz="6" w:space="0"/>
            </w:tcBorders>
            <w:vAlign w:val="center"/>
          </w:tcPr>
          <w:p w14:paraId="6315EB5E">
            <w:pPr>
              <w:spacing w:before="0" w:line="240" w:lineRule="auto"/>
              <w:ind w:left="0" w:right="0" w:firstLine="0"/>
              <w:jc w:val="center"/>
              <w:rPr>
                <w:rFonts w:ascii="Arial" w:hAnsi="Arial" w:eastAsia="Arial" w:cs="Arial"/>
                <w:spacing w:val="0"/>
                <w:sz w:val="24"/>
                <w:szCs w:val="24"/>
              </w:rPr>
            </w:pPr>
            <w:r>
              <w:rPr>
                <w:rFonts w:ascii="Arial" w:hAnsi="Arial" w:eastAsia="Arial" w:cs="Arial"/>
                <w:spacing w:val="0"/>
                <w:sz w:val="24"/>
                <w:szCs w:val="24"/>
              </w:rPr>
              <w:t>采购预算</w:t>
            </w:r>
          </w:p>
          <w:p w14:paraId="49C9E46D">
            <w:pPr>
              <w:spacing w:before="0" w:line="240" w:lineRule="auto"/>
              <w:ind w:left="0" w:right="0" w:firstLine="0"/>
              <w:jc w:val="center"/>
              <w:rPr>
                <w:rFonts w:hint="eastAsia" w:ascii="宋体" w:hAnsi="宋体" w:eastAsia="宋体" w:cs="宋体"/>
                <w:sz w:val="24"/>
                <w:szCs w:val="24"/>
                <w:lang w:eastAsia="zh-CN"/>
              </w:rPr>
            </w:pPr>
            <w:r>
              <w:rPr>
                <w:rFonts w:hint="eastAsia" w:eastAsia="宋体" w:cs="Arial"/>
                <w:spacing w:val="0"/>
                <w:sz w:val="24"/>
                <w:szCs w:val="24"/>
                <w:lang w:eastAsia="zh-CN"/>
              </w:rPr>
              <w:t>（</w:t>
            </w:r>
            <w:r>
              <w:rPr>
                <w:rFonts w:ascii="Arial" w:hAnsi="Arial" w:eastAsia="Arial" w:cs="Arial"/>
                <w:spacing w:val="0"/>
                <w:sz w:val="24"/>
                <w:szCs w:val="24"/>
              </w:rPr>
              <w:t>实质性要求</w:t>
            </w:r>
            <w:r>
              <w:rPr>
                <w:rFonts w:hint="eastAsia" w:eastAsia="宋体" w:cs="Arial"/>
                <w:spacing w:val="0"/>
                <w:sz w:val="24"/>
                <w:szCs w:val="24"/>
                <w:lang w:eastAsia="zh-CN"/>
              </w:rPr>
              <w:t>）</w:t>
            </w:r>
          </w:p>
        </w:tc>
        <w:tc>
          <w:tcPr>
            <w:tcW w:w="6517" w:type="dxa"/>
            <w:tcBorders>
              <w:left w:val="single" w:color="000000" w:sz="6" w:space="0"/>
              <w:right w:val="single" w:color="000000" w:sz="16" w:space="0"/>
            </w:tcBorders>
            <w:vAlign w:val="top"/>
          </w:tcPr>
          <w:p w14:paraId="479EFE5B">
            <w:pPr>
              <w:spacing w:line="360" w:lineRule="auto"/>
              <w:ind w:left="105" w:leftChars="50" w:right="105" w:rightChars="50" w:firstLine="240" w:firstLineChars="100"/>
              <w:rPr>
                <w:rFonts w:hint="eastAsia" w:ascii="宋体" w:hAnsi="宋体" w:cs="宋体"/>
                <w:color w:val="auto"/>
                <w:sz w:val="24"/>
                <w:szCs w:val="32"/>
                <w:lang w:val="en-US" w:eastAsia="zh-CN"/>
              </w:rPr>
            </w:pPr>
            <w:r>
              <w:rPr>
                <w:rFonts w:hint="eastAsia" w:ascii="宋体" w:hAnsi="宋体" w:cs="宋体"/>
                <w:color w:val="auto"/>
                <w:sz w:val="24"/>
                <w:szCs w:val="32"/>
                <w:lang w:val="en-US" w:eastAsia="zh-CN"/>
              </w:rPr>
              <w:t>采购预算：1346000元（其中采购包1采购预算为：476000元，采购包2采购预算为：870000元）</w:t>
            </w:r>
          </w:p>
          <w:p w14:paraId="7E7110A8">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lang w:val="en-US" w:eastAsia="zh-CN"/>
              </w:rPr>
              <w:t>超过采购预算的投标为无效投标。</w:t>
            </w:r>
          </w:p>
        </w:tc>
      </w:tr>
      <w:tr w14:paraId="5BA200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1" w:type="dxa"/>
            <w:vMerge w:val="continue"/>
            <w:tcBorders>
              <w:top w:val="nil"/>
              <w:left w:val="single" w:color="000000" w:sz="16" w:space="0"/>
              <w:right w:val="single" w:color="000000" w:sz="6" w:space="0"/>
            </w:tcBorders>
            <w:vAlign w:val="center"/>
          </w:tcPr>
          <w:p w14:paraId="4363EE92">
            <w:pPr>
              <w:spacing w:before="74" w:line="192" w:lineRule="auto"/>
              <w:jc w:val="center"/>
              <w:rPr>
                <w:rFonts w:ascii="宋体" w:hAnsi="宋体" w:eastAsia="宋体" w:cs="宋体"/>
                <w:sz w:val="23"/>
                <w:szCs w:val="23"/>
              </w:rPr>
            </w:pPr>
          </w:p>
        </w:tc>
        <w:tc>
          <w:tcPr>
            <w:tcW w:w="2153" w:type="dxa"/>
            <w:tcBorders>
              <w:left w:val="single" w:color="000000" w:sz="6" w:space="0"/>
              <w:right w:val="single" w:color="000000" w:sz="6" w:space="0"/>
            </w:tcBorders>
            <w:vAlign w:val="center"/>
          </w:tcPr>
          <w:p w14:paraId="2AE3387B">
            <w:pPr>
              <w:spacing w:before="0" w:line="240" w:lineRule="auto"/>
              <w:ind w:left="0" w:right="0" w:firstLine="0"/>
              <w:jc w:val="center"/>
              <w:rPr>
                <w:rFonts w:ascii="Arial" w:hAnsi="Arial" w:eastAsia="Arial" w:cs="Arial"/>
                <w:sz w:val="24"/>
                <w:szCs w:val="24"/>
              </w:rPr>
            </w:pPr>
            <w:r>
              <w:rPr>
                <w:rFonts w:ascii="Arial" w:hAnsi="Arial" w:eastAsia="Arial" w:cs="Arial"/>
                <w:spacing w:val="0"/>
                <w:sz w:val="24"/>
                <w:szCs w:val="24"/>
              </w:rPr>
              <w:t>最高限价</w:t>
            </w:r>
          </w:p>
          <w:p w14:paraId="1DA822F5">
            <w:pPr>
              <w:spacing w:before="0" w:line="240" w:lineRule="auto"/>
              <w:ind w:left="0" w:right="0" w:firstLine="0"/>
              <w:jc w:val="center"/>
              <w:rPr>
                <w:rFonts w:hint="eastAsia" w:ascii="Arial" w:hAnsi="Arial" w:eastAsia="宋体" w:cs="Arial"/>
                <w:sz w:val="24"/>
                <w:szCs w:val="24"/>
                <w:lang w:eastAsia="zh-CN"/>
              </w:rPr>
            </w:pPr>
            <w:r>
              <w:rPr>
                <w:rFonts w:hint="eastAsia" w:eastAsia="宋体" w:cs="Arial"/>
                <w:spacing w:val="0"/>
                <w:sz w:val="24"/>
                <w:szCs w:val="24"/>
                <w:lang w:eastAsia="zh-CN"/>
              </w:rPr>
              <w:t>（</w:t>
            </w:r>
            <w:r>
              <w:rPr>
                <w:rFonts w:ascii="Arial" w:hAnsi="Arial" w:eastAsia="Arial" w:cs="Arial"/>
                <w:spacing w:val="0"/>
                <w:sz w:val="24"/>
                <w:szCs w:val="24"/>
              </w:rPr>
              <w:t>实质性要求</w:t>
            </w:r>
            <w:r>
              <w:rPr>
                <w:rFonts w:hint="eastAsia" w:eastAsia="宋体" w:cs="Arial"/>
                <w:spacing w:val="0"/>
                <w:sz w:val="24"/>
                <w:szCs w:val="24"/>
                <w:lang w:eastAsia="zh-CN"/>
              </w:rPr>
              <w:t>）</w:t>
            </w:r>
          </w:p>
        </w:tc>
        <w:tc>
          <w:tcPr>
            <w:tcW w:w="6517" w:type="dxa"/>
            <w:tcBorders>
              <w:left w:val="single" w:color="000000" w:sz="6" w:space="0"/>
              <w:right w:val="single" w:color="000000" w:sz="16" w:space="0"/>
            </w:tcBorders>
            <w:vAlign w:val="top"/>
          </w:tcPr>
          <w:p w14:paraId="0BBAA2BE">
            <w:pPr>
              <w:spacing w:line="360" w:lineRule="auto"/>
              <w:ind w:left="105" w:leftChars="50" w:right="105" w:rightChars="50" w:firstLine="240" w:firstLineChars="100"/>
              <w:rPr>
                <w:rFonts w:hint="eastAsia" w:ascii="宋体" w:hAnsi="宋体" w:cs="宋体"/>
                <w:color w:val="auto"/>
                <w:sz w:val="24"/>
                <w:szCs w:val="32"/>
                <w:lang w:val="en-US"/>
              </w:rPr>
            </w:pPr>
            <w:r>
              <w:rPr>
                <w:rFonts w:hint="eastAsia" w:ascii="宋体" w:hAnsi="宋体" w:cs="宋体"/>
                <w:color w:val="auto"/>
                <w:sz w:val="24"/>
                <w:szCs w:val="32"/>
              </w:rPr>
              <w:t>最高限价：</w:t>
            </w:r>
            <w:r>
              <w:rPr>
                <w:rFonts w:hint="eastAsia" w:ascii="宋体" w:hAnsi="宋体" w:cs="宋体"/>
                <w:color w:val="auto"/>
                <w:sz w:val="24"/>
                <w:szCs w:val="32"/>
                <w:lang w:val="en-US" w:eastAsia="zh-CN"/>
              </w:rPr>
              <w:t>1346000元（其中采购包1最高限价为：476000元，采购包2最高限价为：870000元）</w:t>
            </w:r>
          </w:p>
          <w:p w14:paraId="141718B6">
            <w:pPr>
              <w:spacing w:line="360" w:lineRule="auto"/>
              <w:ind w:left="105" w:leftChars="50" w:right="105" w:rightChars="50" w:firstLine="240" w:firstLineChars="100"/>
              <w:rPr>
                <w:rFonts w:hint="eastAsia" w:ascii="宋体" w:hAnsi="宋体" w:cs="宋体"/>
                <w:color w:val="auto"/>
                <w:sz w:val="24"/>
                <w:szCs w:val="32"/>
                <w:lang w:eastAsia="zh-CN"/>
              </w:rPr>
            </w:pPr>
            <w:r>
              <w:rPr>
                <w:rFonts w:hint="eastAsia" w:ascii="宋体" w:hAnsi="宋体" w:cs="宋体"/>
                <w:color w:val="auto"/>
                <w:sz w:val="24"/>
                <w:szCs w:val="32"/>
                <w:lang w:eastAsia="zh-CN"/>
              </w:rPr>
              <w:t>（</w:t>
            </w:r>
            <w:r>
              <w:rPr>
                <w:rFonts w:hint="eastAsia" w:ascii="宋体" w:hAnsi="宋体" w:cs="宋体"/>
                <w:color w:val="auto"/>
                <w:sz w:val="24"/>
                <w:szCs w:val="32"/>
              </w:rPr>
              <w:t>超过最高限价作无效投标处理</w:t>
            </w:r>
            <w:r>
              <w:rPr>
                <w:rFonts w:hint="eastAsia" w:ascii="宋体" w:hAnsi="宋体" w:cs="宋体"/>
                <w:color w:val="auto"/>
                <w:sz w:val="24"/>
                <w:szCs w:val="32"/>
                <w:lang w:eastAsia="zh-CN"/>
              </w:rPr>
              <w:t>）</w:t>
            </w:r>
          </w:p>
        </w:tc>
      </w:tr>
      <w:tr w14:paraId="46D925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trPr>
        <w:tc>
          <w:tcPr>
            <w:tcW w:w="551" w:type="dxa"/>
            <w:tcBorders>
              <w:left w:val="single" w:color="000000" w:sz="16" w:space="0"/>
              <w:right w:val="single" w:color="000000" w:sz="6" w:space="0"/>
            </w:tcBorders>
            <w:vAlign w:val="center"/>
          </w:tcPr>
          <w:p w14:paraId="0A1A23DC">
            <w:pPr>
              <w:spacing w:before="74" w:line="192" w:lineRule="auto"/>
              <w:jc w:val="center"/>
              <w:rPr>
                <w:rFonts w:ascii="宋体" w:hAnsi="宋体" w:eastAsia="宋体" w:cs="宋体"/>
                <w:sz w:val="23"/>
                <w:szCs w:val="23"/>
              </w:rPr>
            </w:pPr>
            <w:r>
              <w:rPr>
                <w:rFonts w:ascii="宋体" w:hAnsi="宋体" w:eastAsia="宋体" w:cs="宋体"/>
                <w:sz w:val="23"/>
                <w:szCs w:val="23"/>
              </w:rPr>
              <w:t>2</w:t>
            </w:r>
          </w:p>
        </w:tc>
        <w:tc>
          <w:tcPr>
            <w:tcW w:w="2153" w:type="dxa"/>
            <w:tcBorders>
              <w:left w:val="single" w:color="000000" w:sz="6" w:space="0"/>
              <w:right w:val="single" w:color="000000" w:sz="6" w:space="0"/>
            </w:tcBorders>
            <w:vAlign w:val="center"/>
          </w:tcPr>
          <w:p w14:paraId="12429268">
            <w:pPr>
              <w:spacing w:before="0" w:line="240" w:lineRule="auto"/>
              <w:ind w:left="0" w:right="0" w:firstLine="0"/>
              <w:jc w:val="center"/>
              <w:rPr>
                <w:rFonts w:hint="eastAsia" w:ascii="Arial" w:hAnsi="Arial" w:eastAsia="宋体" w:cs="Arial"/>
                <w:sz w:val="24"/>
                <w:szCs w:val="24"/>
                <w:lang w:eastAsia="zh-CN"/>
              </w:rPr>
            </w:pPr>
            <w:r>
              <w:rPr>
                <w:rFonts w:ascii="Arial" w:hAnsi="Arial" w:eastAsia="Arial" w:cs="Arial"/>
                <w:spacing w:val="0"/>
                <w:sz w:val="24"/>
                <w:szCs w:val="24"/>
              </w:rPr>
              <w:t>低于成本价不正当</w:t>
            </w:r>
            <w:r>
              <w:rPr>
                <w:rFonts w:ascii="Arial" w:hAnsi="Arial" w:eastAsia="Arial" w:cs="Arial"/>
                <w:sz w:val="24"/>
                <w:szCs w:val="24"/>
              </w:rPr>
              <w:t xml:space="preserve"> </w:t>
            </w:r>
            <w:r>
              <w:rPr>
                <w:rFonts w:ascii="Arial" w:hAnsi="Arial" w:eastAsia="Arial" w:cs="Arial"/>
                <w:spacing w:val="0"/>
                <w:sz w:val="24"/>
                <w:szCs w:val="24"/>
              </w:rPr>
              <w:t>竞争预防措施</w:t>
            </w:r>
            <w:r>
              <w:rPr>
                <w:rFonts w:ascii="Arial" w:hAnsi="Arial" w:eastAsia="Arial" w:cs="Arial"/>
                <w:sz w:val="24"/>
                <w:szCs w:val="24"/>
              </w:rPr>
              <w:t xml:space="preserve">  </w:t>
            </w:r>
            <w:r>
              <w:rPr>
                <w:rFonts w:hint="eastAsia" w:eastAsia="宋体" w:cs="Arial"/>
                <w:spacing w:val="0"/>
                <w:sz w:val="24"/>
                <w:szCs w:val="24"/>
                <w:lang w:eastAsia="zh-CN"/>
              </w:rPr>
              <w:t>（</w:t>
            </w:r>
            <w:r>
              <w:rPr>
                <w:rFonts w:ascii="Arial" w:hAnsi="Arial" w:eastAsia="Arial" w:cs="Arial"/>
                <w:spacing w:val="0"/>
                <w:sz w:val="24"/>
                <w:szCs w:val="24"/>
              </w:rPr>
              <w:t>实质性要求</w:t>
            </w:r>
            <w:r>
              <w:rPr>
                <w:rFonts w:hint="eastAsia" w:eastAsia="宋体" w:cs="Arial"/>
                <w:spacing w:val="0"/>
                <w:sz w:val="24"/>
                <w:szCs w:val="24"/>
                <w:lang w:eastAsia="zh-CN"/>
              </w:rPr>
              <w:t>）</w:t>
            </w:r>
          </w:p>
        </w:tc>
        <w:tc>
          <w:tcPr>
            <w:tcW w:w="6517" w:type="dxa"/>
            <w:tcBorders>
              <w:left w:val="single" w:color="000000" w:sz="6" w:space="0"/>
              <w:right w:val="single" w:color="000000" w:sz="16" w:space="0"/>
            </w:tcBorders>
            <w:vAlign w:val="top"/>
          </w:tcPr>
          <w:p w14:paraId="2F355B35">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rPr>
              <w:t>1、在评标过程中，评标委员会认为投标人的报价明显低于其他通过符合性审查投标人的报价，有可能影响产品质量或者不能诚信履约的，应当要求其在评标现场合理的时间内</w:t>
            </w:r>
            <w:r>
              <w:rPr>
                <w:rFonts w:hint="eastAsia" w:ascii="宋体" w:hAnsi="宋体" w:cs="宋体"/>
                <w:color w:val="auto"/>
                <w:sz w:val="24"/>
                <w:szCs w:val="32"/>
                <w:lang w:eastAsia="zh-CN"/>
              </w:rPr>
              <w:t>（</w:t>
            </w:r>
            <w:r>
              <w:rPr>
                <w:rFonts w:hint="eastAsia" w:ascii="宋体" w:hAnsi="宋体" w:cs="宋体"/>
                <w:color w:val="auto"/>
                <w:sz w:val="24"/>
                <w:szCs w:val="32"/>
                <w:lang w:val="en-US" w:eastAsia="zh-CN"/>
              </w:rPr>
              <w:t>1小时以内</w:t>
            </w:r>
            <w:r>
              <w:rPr>
                <w:rFonts w:hint="eastAsia" w:ascii="宋体" w:hAnsi="宋体" w:cs="宋体"/>
                <w:color w:val="auto"/>
                <w:sz w:val="24"/>
                <w:szCs w:val="32"/>
                <w:lang w:eastAsia="zh-CN"/>
              </w:rPr>
              <w:t>）</w:t>
            </w:r>
            <w:r>
              <w:rPr>
                <w:rFonts w:hint="eastAsia" w:ascii="宋体" w:hAnsi="宋体" w:cs="宋体"/>
                <w:color w:val="auto"/>
                <w:sz w:val="24"/>
                <w:szCs w:val="32"/>
              </w:rPr>
              <w:t>提供书面说明，必要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w:t>
            </w:r>
          </w:p>
          <w:p w14:paraId="78BD7829">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rPr>
              <w:t>2、供应商书面说明应当签字确认或者加盖公章，否则无效。</w:t>
            </w:r>
          </w:p>
          <w:p w14:paraId="370858A3">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lang w:val="en-US" w:eastAsia="en-US"/>
              </w:rPr>
              <w:t>3、供应商提供书面说明后，评审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其作为无效投标处理。</w:t>
            </w:r>
          </w:p>
        </w:tc>
      </w:tr>
      <w:tr w14:paraId="00A26B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51" w:type="dxa"/>
            <w:tcBorders>
              <w:left w:val="single" w:color="000000" w:sz="16" w:space="0"/>
              <w:right w:val="single" w:color="000000" w:sz="6" w:space="0"/>
            </w:tcBorders>
            <w:vAlign w:val="center"/>
          </w:tcPr>
          <w:p w14:paraId="423065BF">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3</w:t>
            </w:r>
          </w:p>
        </w:tc>
        <w:tc>
          <w:tcPr>
            <w:tcW w:w="2153" w:type="dxa"/>
            <w:tcBorders>
              <w:left w:val="single" w:color="000000" w:sz="6" w:space="0"/>
              <w:right w:val="single" w:color="000000" w:sz="6" w:space="0"/>
            </w:tcBorders>
            <w:vAlign w:val="center"/>
          </w:tcPr>
          <w:p w14:paraId="3D1A416D">
            <w:pPr>
              <w:spacing w:before="0" w:line="240" w:lineRule="auto"/>
              <w:ind w:left="0"/>
              <w:jc w:val="center"/>
              <w:rPr>
                <w:rFonts w:ascii="Arial" w:hAnsi="Arial" w:eastAsia="Arial" w:cs="Arial"/>
                <w:sz w:val="24"/>
                <w:szCs w:val="24"/>
              </w:rPr>
            </w:pPr>
            <w:r>
              <w:rPr>
                <w:spacing w:val="-3"/>
                <w:sz w:val="24"/>
                <w:szCs w:val="24"/>
              </w:rPr>
              <w:t>小微企业（残疾</w:t>
            </w:r>
            <w:r>
              <w:rPr>
                <w:spacing w:val="4"/>
                <w:sz w:val="24"/>
                <w:szCs w:val="24"/>
              </w:rPr>
              <w:t xml:space="preserve"> </w:t>
            </w:r>
            <w:r>
              <w:rPr>
                <w:spacing w:val="-2"/>
                <w:sz w:val="24"/>
                <w:szCs w:val="24"/>
              </w:rPr>
              <w:t>人福利性单位、</w:t>
            </w:r>
            <w:r>
              <w:rPr>
                <w:spacing w:val="3"/>
                <w:sz w:val="24"/>
                <w:szCs w:val="24"/>
              </w:rPr>
              <w:t xml:space="preserve"> </w:t>
            </w:r>
            <w:r>
              <w:rPr>
                <w:spacing w:val="-2"/>
                <w:sz w:val="24"/>
                <w:szCs w:val="24"/>
              </w:rPr>
              <w:t>监狱企业视同小</w:t>
            </w:r>
            <w:r>
              <w:rPr>
                <w:spacing w:val="3"/>
                <w:sz w:val="24"/>
                <w:szCs w:val="24"/>
              </w:rPr>
              <w:t xml:space="preserve"> </w:t>
            </w:r>
            <w:r>
              <w:rPr>
                <w:spacing w:val="-2"/>
                <w:sz w:val="24"/>
                <w:szCs w:val="24"/>
              </w:rPr>
              <w:t>微企业）价格扣</w:t>
            </w:r>
            <w:r>
              <w:rPr>
                <w:spacing w:val="3"/>
                <w:sz w:val="24"/>
                <w:szCs w:val="24"/>
              </w:rPr>
              <w:t xml:space="preserve"> </w:t>
            </w:r>
            <w:r>
              <w:rPr>
                <w:spacing w:val="-2"/>
                <w:sz w:val="24"/>
                <w:szCs w:val="24"/>
              </w:rPr>
              <w:t>除（实质性要求）</w:t>
            </w:r>
          </w:p>
        </w:tc>
        <w:tc>
          <w:tcPr>
            <w:tcW w:w="6517" w:type="dxa"/>
            <w:tcBorders>
              <w:left w:val="single" w:color="000000" w:sz="6" w:space="0"/>
              <w:right w:val="single" w:color="000000" w:sz="16" w:space="0"/>
            </w:tcBorders>
            <w:vAlign w:val="top"/>
          </w:tcPr>
          <w:p w14:paraId="2273BE45">
            <w:pPr>
              <w:spacing w:line="360" w:lineRule="auto"/>
              <w:ind w:left="105" w:leftChars="50" w:right="105" w:rightChars="50" w:firstLine="210" w:firstLineChars="100"/>
              <w:rPr>
                <w:rFonts w:hint="eastAsia" w:ascii="宋体" w:hAnsi="宋体" w:cs="宋体"/>
                <w:color w:val="auto"/>
                <w:sz w:val="24"/>
                <w:szCs w:val="32"/>
              </w:rPr>
            </w:pPr>
            <w:r>
              <w:t xml:space="preserve"> </w:t>
            </w:r>
            <w:bookmarkStart w:id="1" w:name="PO_默认文件内容_13"/>
            <w:r>
              <w:rPr>
                <w:rFonts w:hint="eastAsia" w:ascii="宋体" w:hAnsi="宋体" w:cs="宋体"/>
                <w:color w:val="auto"/>
                <w:sz w:val="24"/>
                <w:szCs w:val="32"/>
              </w:rPr>
              <w:t>1、根据《政府采购促进中小企业发展管理办法》（财库〔2020〕46号）的规定，</w:t>
            </w:r>
            <w:r>
              <w:rPr>
                <w:rFonts w:hint="eastAsia" w:ascii="宋体" w:hAnsi="宋体" w:cs="宋体"/>
                <w:b/>
                <w:bCs/>
                <w:color w:val="auto"/>
                <w:sz w:val="24"/>
                <w:szCs w:val="32"/>
              </w:rPr>
              <w:t>本项目</w:t>
            </w:r>
            <w:r>
              <w:rPr>
                <w:rFonts w:hint="eastAsia" w:ascii="宋体" w:hAnsi="宋体" w:eastAsia="宋体" w:cs="宋体"/>
                <w:b/>
                <w:bCs/>
                <w:color w:val="auto"/>
                <w:sz w:val="24"/>
                <w:szCs w:val="32"/>
                <w:lang w:eastAsia="zh-CN"/>
              </w:rPr>
              <w:t>采购包</w:t>
            </w:r>
            <w:r>
              <w:rPr>
                <w:rFonts w:hint="eastAsia" w:ascii="宋体" w:hAnsi="宋体" w:eastAsia="宋体" w:cs="宋体"/>
                <w:b/>
                <w:bCs/>
                <w:color w:val="auto"/>
                <w:sz w:val="24"/>
                <w:szCs w:val="32"/>
                <w:lang w:val="en-US" w:eastAsia="zh-CN"/>
              </w:rPr>
              <w:t>1</w:t>
            </w:r>
            <w:r>
              <w:rPr>
                <w:rFonts w:hint="eastAsia" w:ascii="宋体" w:hAnsi="宋体" w:cs="宋体"/>
                <w:b/>
                <w:bCs/>
                <w:color w:val="auto"/>
                <w:sz w:val="24"/>
                <w:szCs w:val="32"/>
              </w:rPr>
              <w:t>专门面向中小企业采购</w:t>
            </w:r>
            <w:r>
              <w:rPr>
                <w:rFonts w:hint="eastAsia" w:ascii="宋体" w:hAnsi="宋体" w:eastAsia="宋体" w:cs="宋体"/>
                <w:b/>
                <w:bCs/>
                <w:color w:val="auto"/>
                <w:sz w:val="24"/>
                <w:szCs w:val="32"/>
                <w:lang w:eastAsia="zh-CN"/>
              </w:rPr>
              <w:t>，采购包</w:t>
            </w:r>
            <w:r>
              <w:rPr>
                <w:rFonts w:hint="eastAsia" w:ascii="宋体" w:hAnsi="宋体" w:eastAsia="宋体" w:cs="宋体"/>
                <w:b/>
                <w:bCs/>
                <w:color w:val="auto"/>
                <w:sz w:val="24"/>
                <w:szCs w:val="32"/>
                <w:lang w:val="en-US" w:eastAsia="zh-CN"/>
              </w:rPr>
              <w:t>2不专门面向中小企业采购（价格扣除的相关内容详见综合评分明细表）</w:t>
            </w:r>
            <w:r>
              <w:rPr>
                <w:rFonts w:hint="eastAsia" w:ascii="宋体" w:hAnsi="宋体" w:cs="宋体"/>
                <w:color w:val="auto"/>
                <w:sz w:val="24"/>
                <w:szCs w:val="32"/>
              </w:rPr>
              <w:t>。</w:t>
            </w:r>
          </w:p>
          <w:p w14:paraId="0B5B15DF">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b/>
                <w:bCs/>
                <w:color w:val="auto"/>
                <w:sz w:val="24"/>
                <w:szCs w:val="32"/>
              </w:rPr>
              <w:t>本项目中小企业划分标准所属行业：</w:t>
            </w:r>
            <w:r>
              <w:rPr>
                <w:rFonts w:hint="eastAsia" w:ascii="宋体" w:hAnsi="宋体" w:cs="宋体"/>
                <w:b/>
                <w:bCs/>
                <w:color w:val="auto"/>
                <w:sz w:val="24"/>
                <w:szCs w:val="32"/>
                <w:lang w:eastAsia="zh-CN"/>
              </w:rPr>
              <w:t>制造业</w:t>
            </w:r>
            <w:r>
              <w:rPr>
                <w:rFonts w:hint="eastAsia" w:ascii="宋体" w:hAnsi="宋体" w:cs="宋体"/>
                <w:b/>
                <w:bCs/>
                <w:color w:val="auto"/>
                <w:sz w:val="24"/>
                <w:szCs w:val="32"/>
              </w:rPr>
              <w:t>。</w:t>
            </w:r>
          </w:p>
          <w:p w14:paraId="2E688CFE">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rPr>
              <w:t>2、支持监狱企业发展根据《关于政府采购支持监狱企业发展有关问题的通知》（财库〔2014〕68 号）的规定，监狱企业视同小型、微型企业，享受促进中小企业发展的政府采购政策。投标人为监狱企业的，必须提供由省级以上监狱管理局、戒毒管理局（含新疆生产建设兵团）出具的属于监狱企业的证明文件（影印件加盖投标人公章）。</w:t>
            </w:r>
          </w:p>
          <w:p w14:paraId="1DD6632F">
            <w:pPr>
              <w:spacing w:line="360" w:lineRule="auto"/>
              <w:ind w:left="105" w:leftChars="50" w:right="105" w:rightChars="50" w:firstLine="240" w:firstLineChars="100"/>
              <w:rPr>
                <w:rFonts w:hint="eastAsia" w:ascii="宋体" w:hAnsi="宋体" w:cs="宋体"/>
                <w:color w:val="auto"/>
                <w:sz w:val="24"/>
                <w:szCs w:val="32"/>
              </w:rPr>
            </w:pPr>
            <w:r>
              <w:rPr>
                <w:rFonts w:hint="eastAsia" w:ascii="宋体" w:hAnsi="宋体" w:cs="宋体"/>
                <w:color w:val="auto"/>
                <w:sz w:val="24"/>
                <w:szCs w:val="32"/>
              </w:rPr>
              <w:t xml:space="preserve">3、促进残疾人就业根据《三部门联合发布关于促进残疾人就业政府采购政策的通知》（财库〔2017〕141 号）的规定，在政府采购活动中，残疾人福利性单位视同小型、微型企业，享受预留份额等促进中小企业发展的政府采购政策。 向残疾人福利性单位采购的金额，计入面向中小企业采购的统计数据。残疾人福利性单位视同小型、微型企业的。 </w:t>
            </w:r>
          </w:p>
          <w:p w14:paraId="0C8029D3">
            <w:pPr>
              <w:spacing w:before="29" w:line="375" w:lineRule="auto"/>
              <w:ind w:left="6" w:right="29" w:firstLine="18"/>
              <w:rPr>
                <w:rFonts w:ascii="宋体" w:hAnsi="宋体" w:eastAsia="宋体" w:cs="宋体"/>
                <w:sz w:val="23"/>
                <w:szCs w:val="23"/>
              </w:rPr>
            </w:pPr>
            <w:r>
              <w:rPr>
                <w:rFonts w:hint="eastAsia" w:ascii="宋体" w:hAnsi="宋体" w:cs="宋体"/>
                <w:color w:val="auto"/>
                <w:sz w:val="24"/>
                <w:szCs w:val="32"/>
              </w:rPr>
              <w:t>注：以上1-3政策不重复享受政策。</w:t>
            </w:r>
            <w:bookmarkEnd w:id="1"/>
          </w:p>
        </w:tc>
      </w:tr>
      <w:tr w14:paraId="65EA08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trPr>
        <w:tc>
          <w:tcPr>
            <w:tcW w:w="551" w:type="dxa"/>
            <w:tcBorders>
              <w:left w:val="single" w:color="000000" w:sz="16" w:space="0"/>
              <w:right w:val="single" w:color="000000" w:sz="6" w:space="0"/>
            </w:tcBorders>
            <w:vAlign w:val="center"/>
          </w:tcPr>
          <w:p w14:paraId="1FE731CD">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4</w:t>
            </w:r>
          </w:p>
        </w:tc>
        <w:tc>
          <w:tcPr>
            <w:tcW w:w="2153" w:type="dxa"/>
            <w:tcBorders>
              <w:left w:val="single" w:color="000000" w:sz="6" w:space="0"/>
              <w:right w:val="single" w:color="000000" w:sz="6" w:space="0"/>
            </w:tcBorders>
            <w:vAlign w:val="center"/>
          </w:tcPr>
          <w:p w14:paraId="1EC7D69B">
            <w:pPr>
              <w:spacing w:before="0" w:line="240" w:lineRule="auto"/>
              <w:jc w:val="center"/>
              <w:rPr>
                <w:rFonts w:ascii="Arial" w:hAnsi="Arial" w:eastAsia="Arial" w:cs="Arial"/>
                <w:sz w:val="24"/>
                <w:szCs w:val="24"/>
              </w:rPr>
            </w:pPr>
            <w:r>
              <w:rPr>
                <w:rFonts w:ascii="Arial" w:hAnsi="Arial" w:eastAsia="Arial" w:cs="Arial"/>
                <w:spacing w:val="0"/>
                <w:sz w:val="24"/>
                <w:szCs w:val="24"/>
              </w:rPr>
              <w:t>联合体</w:t>
            </w:r>
          </w:p>
        </w:tc>
        <w:tc>
          <w:tcPr>
            <w:tcW w:w="6517" w:type="dxa"/>
            <w:tcBorders>
              <w:left w:val="single" w:color="000000" w:sz="6" w:space="0"/>
              <w:right w:val="single" w:color="000000" w:sz="16" w:space="0"/>
            </w:tcBorders>
            <w:vAlign w:val="center"/>
          </w:tcPr>
          <w:p w14:paraId="03AF7229">
            <w:pPr>
              <w:spacing w:before="75" w:line="227" w:lineRule="auto"/>
              <w:jc w:val="center"/>
              <w:rPr>
                <w:rFonts w:ascii="宋体" w:hAnsi="宋体" w:eastAsia="宋体" w:cs="宋体"/>
                <w:sz w:val="23"/>
                <w:szCs w:val="23"/>
              </w:rPr>
            </w:pPr>
            <w:r>
              <w:rPr>
                <w:rFonts w:ascii="宋体" w:hAnsi="宋体" w:eastAsia="宋体" w:cs="宋体"/>
                <w:spacing w:val="9"/>
                <w:sz w:val="23"/>
                <w:szCs w:val="23"/>
              </w:rPr>
              <w:t>本项目不接受联合</w:t>
            </w:r>
            <w:r>
              <w:rPr>
                <w:rFonts w:ascii="宋体" w:hAnsi="宋体" w:eastAsia="宋体" w:cs="宋体"/>
                <w:spacing w:val="7"/>
                <w:sz w:val="23"/>
                <w:szCs w:val="23"/>
              </w:rPr>
              <w:t>体</w:t>
            </w:r>
          </w:p>
        </w:tc>
      </w:tr>
      <w:tr w14:paraId="65D08A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551" w:type="dxa"/>
            <w:tcBorders>
              <w:left w:val="single" w:color="000000" w:sz="16" w:space="0"/>
              <w:right w:val="single" w:color="000000" w:sz="6" w:space="0"/>
            </w:tcBorders>
            <w:vAlign w:val="center"/>
          </w:tcPr>
          <w:p w14:paraId="3ADB69ED">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5</w:t>
            </w:r>
          </w:p>
        </w:tc>
        <w:tc>
          <w:tcPr>
            <w:tcW w:w="2153" w:type="dxa"/>
            <w:tcBorders>
              <w:left w:val="single" w:color="000000" w:sz="6" w:space="0"/>
              <w:right w:val="single" w:color="000000" w:sz="6" w:space="0"/>
            </w:tcBorders>
            <w:vAlign w:val="center"/>
          </w:tcPr>
          <w:p w14:paraId="1AC04AC8">
            <w:pPr>
              <w:spacing w:before="74" w:line="192" w:lineRule="auto"/>
              <w:jc w:val="center"/>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评标情况公告</w:t>
            </w:r>
          </w:p>
        </w:tc>
        <w:tc>
          <w:tcPr>
            <w:tcW w:w="6517" w:type="dxa"/>
            <w:tcBorders>
              <w:left w:val="single" w:color="000000" w:sz="6" w:space="0"/>
              <w:right w:val="single" w:color="000000" w:sz="16" w:space="0"/>
            </w:tcBorders>
            <w:vAlign w:val="center"/>
          </w:tcPr>
          <w:p w14:paraId="1BD8F369">
            <w:pPr>
              <w:spacing w:before="74" w:line="227" w:lineRule="auto"/>
              <w:ind w:left="6"/>
              <w:jc w:val="center"/>
              <w:rPr>
                <w:rFonts w:ascii="宋体" w:hAnsi="宋体" w:eastAsia="宋体" w:cs="宋体"/>
                <w:sz w:val="23"/>
                <w:szCs w:val="23"/>
              </w:rPr>
            </w:pPr>
            <w:r>
              <w:rPr>
                <w:rFonts w:ascii="宋体" w:hAnsi="宋体" w:eastAsia="宋体" w:cs="宋体"/>
                <w:spacing w:val="9"/>
                <w:sz w:val="23"/>
                <w:szCs w:val="23"/>
              </w:rPr>
              <w:t>评标结果将在中国政府采购网上予以公告。</w:t>
            </w:r>
          </w:p>
        </w:tc>
      </w:tr>
      <w:tr w14:paraId="4300AB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551" w:type="dxa"/>
            <w:tcBorders>
              <w:left w:val="single" w:color="000000" w:sz="16" w:space="0"/>
              <w:right w:val="single" w:color="000000" w:sz="6" w:space="0"/>
            </w:tcBorders>
            <w:vAlign w:val="center"/>
          </w:tcPr>
          <w:p w14:paraId="51F2DBF6">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6</w:t>
            </w:r>
          </w:p>
        </w:tc>
        <w:tc>
          <w:tcPr>
            <w:tcW w:w="2153" w:type="dxa"/>
            <w:tcBorders>
              <w:left w:val="single" w:color="000000" w:sz="6" w:space="0"/>
              <w:right w:val="single" w:color="000000" w:sz="6" w:space="0"/>
            </w:tcBorders>
            <w:vAlign w:val="center"/>
          </w:tcPr>
          <w:p w14:paraId="60AA21AB">
            <w:pPr>
              <w:spacing w:before="74" w:line="192" w:lineRule="auto"/>
              <w:jc w:val="center"/>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投标保证金</w:t>
            </w:r>
          </w:p>
        </w:tc>
        <w:tc>
          <w:tcPr>
            <w:tcW w:w="6517" w:type="dxa"/>
            <w:tcBorders>
              <w:left w:val="single" w:color="000000" w:sz="6" w:space="0"/>
              <w:right w:val="single" w:color="000000" w:sz="16" w:space="0"/>
            </w:tcBorders>
            <w:vAlign w:val="center"/>
          </w:tcPr>
          <w:p w14:paraId="5F43BB5A">
            <w:pPr>
              <w:spacing w:before="182" w:line="265" w:lineRule="auto"/>
              <w:ind w:left="7" w:right="3"/>
              <w:jc w:val="center"/>
              <w:rPr>
                <w:rFonts w:ascii="宋体" w:hAnsi="宋体" w:eastAsia="宋体" w:cs="宋体"/>
                <w:sz w:val="23"/>
                <w:szCs w:val="23"/>
              </w:rPr>
            </w:pPr>
            <w:r>
              <w:rPr>
                <w:rFonts w:ascii="宋体" w:hAnsi="宋体" w:eastAsia="宋体" w:cs="宋体"/>
                <w:spacing w:val="5"/>
                <w:sz w:val="23"/>
                <w:szCs w:val="23"/>
              </w:rPr>
              <w:t>本项目不收取投标保证金。</w:t>
            </w:r>
          </w:p>
        </w:tc>
      </w:tr>
      <w:tr w14:paraId="5AA7C5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551" w:type="dxa"/>
            <w:tcBorders>
              <w:left w:val="single" w:color="000000" w:sz="16" w:space="0"/>
              <w:right w:val="single" w:color="000000" w:sz="6" w:space="0"/>
            </w:tcBorders>
            <w:vAlign w:val="center"/>
          </w:tcPr>
          <w:p w14:paraId="1CB4A719">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7</w:t>
            </w:r>
          </w:p>
        </w:tc>
        <w:tc>
          <w:tcPr>
            <w:tcW w:w="2153" w:type="dxa"/>
            <w:tcBorders>
              <w:left w:val="single" w:color="000000" w:sz="6" w:space="0"/>
              <w:right w:val="single" w:color="000000" w:sz="6" w:space="0"/>
            </w:tcBorders>
            <w:vAlign w:val="center"/>
          </w:tcPr>
          <w:p w14:paraId="7BC5E722">
            <w:pPr>
              <w:spacing w:before="0" w:line="240" w:lineRule="auto"/>
              <w:ind w:left="0"/>
              <w:jc w:val="center"/>
              <w:rPr>
                <w:rFonts w:ascii="Arial" w:hAnsi="Arial" w:eastAsia="Arial" w:cs="Arial"/>
                <w:sz w:val="24"/>
                <w:szCs w:val="24"/>
              </w:rPr>
            </w:pPr>
            <w:r>
              <w:rPr>
                <w:rFonts w:ascii="Arial" w:hAnsi="Arial" w:eastAsia="Arial" w:cs="Arial"/>
                <w:spacing w:val="0"/>
                <w:sz w:val="24"/>
                <w:szCs w:val="24"/>
              </w:rPr>
              <w:t>履约保证金</w:t>
            </w:r>
          </w:p>
        </w:tc>
        <w:tc>
          <w:tcPr>
            <w:tcW w:w="6517" w:type="dxa"/>
            <w:tcBorders>
              <w:left w:val="single" w:color="000000" w:sz="6" w:space="0"/>
              <w:right w:val="single" w:color="000000" w:sz="16" w:space="0"/>
            </w:tcBorders>
            <w:vAlign w:val="top"/>
          </w:tcPr>
          <w:p w14:paraId="5CCC17D0">
            <w:pPr>
              <w:pStyle w:val="27"/>
              <w:spacing w:before="158" w:line="220" w:lineRule="auto"/>
              <w:ind w:left="493"/>
            </w:pPr>
            <w:r>
              <w:rPr>
                <w:spacing w:val="-2"/>
              </w:rPr>
              <w:t>金额：合同总额的</w:t>
            </w:r>
            <w:r>
              <w:rPr>
                <w:rFonts w:hint="eastAsia"/>
                <w:spacing w:val="-2"/>
                <w:lang w:val="en-US" w:eastAsia="zh-CN"/>
              </w:rPr>
              <w:t>5</w:t>
            </w:r>
            <w:r>
              <w:rPr>
                <w:spacing w:val="-2"/>
              </w:rPr>
              <w:t>%。</w:t>
            </w:r>
          </w:p>
          <w:p w14:paraId="6D7CCEA0">
            <w:pPr>
              <w:pStyle w:val="27"/>
              <w:spacing w:before="174" w:line="354" w:lineRule="auto"/>
              <w:ind w:left="16" w:right="4" w:firstLine="480"/>
            </w:pPr>
            <w:r>
              <w:rPr>
                <w:spacing w:val="2"/>
              </w:rPr>
              <w:t>交款方式：</w:t>
            </w:r>
            <w:r>
              <w:rPr>
                <w:rFonts w:hint="eastAsia"/>
                <w:spacing w:val="2"/>
                <w:lang w:eastAsia="zh-CN"/>
              </w:rPr>
              <w:t>中标供应商可以自主选择以支票、汇票、本票或者金融机</w:t>
            </w:r>
            <w:r>
              <w:rPr>
                <w:rFonts w:hint="eastAsia"/>
                <w:spacing w:val="2"/>
                <w:lang w:val="en-US" w:eastAsia="zh-CN"/>
              </w:rPr>
              <w:t>构</w:t>
            </w:r>
            <w:r>
              <w:rPr>
                <w:rFonts w:hint="eastAsia"/>
                <w:spacing w:val="2"/>
                <w:lang w:eastAsia="zh-CN"/>
              </w:rPr>
              <w:t>、担保机构出具的保函等非现金形式提交（包括网银转账，电汇等方式），所有提交方式均以到账时间为准。</w:t>
            </w:r>
          </w:p>
          <w:p w14:paraId="5BD12CEF">
            <w:pPr>
              <w:pStyle w:val="27"/>
              <w:spacing w:before="171" w:line="220" w:lineRule="auto"/>
              <w:ind w:left="499"/>
            </w:pPr>
            <w:r>
              <w:rPr>
                <w:spacing w:val="-2"/>
              </w:rPr>
              <w:t>收款单位：遂宁市消防救援支队。</w:t>
            </w:r>
          </w:p>
          <w:p w14:paraId="179E1954">
            <w:pPr>
              <w:pStyle w:val="27"/>
              <w:spacing w:before="174" w:line="222" w:lineRule="auto"/>
              <w:ind w:left="495"/>
            </w:pPr>
            <w:r>
              <w:rPr>
                <w:spacing w:val="-1"/>
              </w:rPr>
              <w:t>账号：22320201040002807</w:t>
            </w:r>
          </w:p>
          <w:p w14:paraId="772FF41D">
            <w:pPr>
              <w:pStyle w:val="27"/>
              <w:spacing w:before="172" w:line="220" w:lineRule="auto"/>
              <w:ind w:left="492"/>
            </w:pPr>
            <w:r>
              <w:rPr>
                <w:spacing w:val="-1"/>
              </w:rPr>
              <w:t>开户行：中国农业银行股份有限公司遂宁河东新区支行</w:t>
            </w:r>
          </w:p>
          <w:p w14:paraId="7D7C03B3">
            <w:pPr>
              <w:spacing w:before="1" w:line="228" w:lineRule="auto"/>
              <w:ind w:left="12" w:firstLine="238" w:firstLineChars="100"/>
            </w:pPr>
            <w:r>
              <w:rPr>
                <w:spacing w:val="-1"/>
                <w:sz w:val="24"/>
                <w:szCs w:val="24"/>
              </w:rPr>
              <w:t>交款时间：</w:t>
            </w:r>
            <w:r>
              <w:rPr>
                <w:rFonts w:hint="eastAsia" w:ascii="宋体" w:hAnsi="宋体" w:eastAsia="宋体" w:cs="宋体"/>
                <w:b w:val="0"/>
                <w:bCs w:val="0"/>
                <w:color w:val="auto"/>
                <w:sz w:val="24"/>
                <w:szCs w:val="24"/>
                <w:highlight w:val="none"/>
                <w:lang w:val="en-US" w:eastAsia="zh-CN"/>
              </w:rPr>
              <w:t>中标通知书发放后，</w:t>
            </w:r>
            <w:r>
              <w:rPr>
                <w:rFonts w:hint="eastAsia" w:ascii="宋体" w:hAnsi="宋体" w:eastAsia="宋体" w:cs="宋体"/>
                <w:b w:val="0"/>
                <w:bCs w:val="0"/>
                <w:color w:val="auto"/>
                <w:sz w:val="24"/>
                <w:szCs w:val="24"/>
                <w:highlight w:val="none"/>
                <w:lang w:val="zh-TW"/>
              </w:rPr>
              <w:t>合同签订</w:t>
            </w:r>
            <w:r>
              <w:rPr>
                <w:rFonts w:hint="eastAsia" w:ascii="宋体" w:hAnsi="宋体" w:eastAsia="宋体" w:cs="宋体"/>
                <w:b w:val="0"/>
                <w:bCs w:val="0"/>
                <w:color w:val="auto"/>
                <w:sz w:val="24"/>
                <w:szCs w:val="24"/>
                <w:highlight w:val="none"/>
                <w:lang w:val="en-US" w:eastAsia="zh-CN"/>
              </w:rPr>
              <w:t>前</w:t>
            </w:r>
            <w:r>
              <w:rPr>
                <w:spacing w:val="-1"/>
                <w:sz w:val="24"/>
                <w:szCs w:val="24"/>
              </w:rPr>
              <w:t>。</w:t>
            </w:r>
          </w:p>
          <w:p w14:paraId="68C56B97">
            <w:pPr>
              <w:pStyle w:val="2"/>
            </w:pPr>
            <w:r>
              <w:rPr>
                <w:rFonts w:hint="default" w:ascii="宋体" w:hAnsi="宋体" w:eastAsia="宋体" w:cs="宋体"/>
                <w:b w:val="0"/>
                <w:snapToGrid w:val="0"/>
                <w:color w:val="000000"/>
                <w:spacing w:val="-1"/>
                <w:szCs w:val="24"/>
                <w:lang w:eastAsia="en-US"/>
              </w:rPr>
              <w:t>注：其他具体详见本招标文件第六章“三、商务要求（各包同等适用）中第10条”（以第六章“三、商务要求（各包同等适用）中第10条”规定为准）</w:t>
            </w:r>
          </w:p>
        </w:tc>
      </w:tr>
      <w:tr w14:paraId="2B73BD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551" w:type="dxa"/>
            <w:tcBorders>
              <w:left w:val="single" w:color="000000" w:sz="16" w:space="0"/>
              <w:right w:val="single" w:color="000000" w:sz="6" w:space="0"/>
            </w:tcBorders>
            <w:vAlign w:val="center"/>
          </w:tcPr>
          <w:p w14:paraId="0C9AC675">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8</w:t>
            </w:r>
          </w:p>
        </w:tc>
        <w:tc>
          <w:tcPr>
            <w:tcW w:w="2153" w:type="dxa"/>
            <w:tcBorders>
              <w:left w:val="single" w:color="000000" w:sz="6" w:space="0"/>
              <w:right w:val="single" w:color="000000" w:sz="6" w:space="0"/>
            </w:tcBorders>
            <w:vAlign w:val="center"/>
          </w:tcPr>
          <w:p w14:paraId="17D28C44">
            <w:pPr>
              <w:spacing w:before="0" w:line="240" w:lineRule="auto"/>
              <w:ind w:left="0"/>
              <w:jc w:val="center"/>
              <w:rPr>
                <w:rFonts w:ascii="Arial" w:hAnsi="Arial" w:eastAsia="Arial" w:cs="Arial"/>
                <w:sz w:val="24"/>
                <w:szCs w:val="24"/>
              </w:rPr>
            </w:pPr>
            <w:r>
              <w:rPr>
                <w:rFonts w:hint="default" w:ascii="Arial" w:hAnsi="Arial" w:eastAsia="Arial" w:cs="Arial"/>
                <w:spacing w:val="0"/>
                <w:sz w:val="24"/>
                <w:szCs w:val="24"/>
                <w:lang w:val="en-US" w:eastAsia="zh-CN"/>
              </w:rPr>
              <w:t>招标</w:t>
            </w:r>
            <w:r>
              <w:rPr>
                <w:rFonts w:ascii="Arial" w:hAnsi="Arial" w:eastAsia="Arial" w:cs="Arial"/>
                <w:spacing w:val="0"/>
                <w:sz w:val="24"/>
                <w:szCs w:val="24"/>
              </w:rPr>
              <w:t>文件咨询</w:t>
            </w:r>
          </w:p>
        </w:tc>
        <w:tc>
          <w:tcPr>
            <w:tcW w:w="6517" w:type="dxa"/>
            <w:tcBorders>
              <w:left w:val="single" w:color="000000" w:sz="6" w:space="0"/>
              <w:right w:val="single" w:color="000000" w:sz="16" w:space="0"/>
            </w:tcBorders>
            <w:vAlign w:val="center"/>
          </w:tcPr>
          <w:p w14:paraId="60FB0BD1">
            <w:pPr>
              <w:spacing w:before="72" w:line="230" w:lineRule="auto"/>
              <w:ind w:left="8"/>
              <w:jc w:val="center"/>
              <w:rPr>
                <w:rFonts w:hint="eastAsia" w:ascii="宋体" w:hAnsi="宋体" w:eastAsia="宋体" w:cs="宋体"/>
                <w:spacing w:val="4"/>
                <w:sz w:val="23"/>
                <w:szCs w:val="23"/>
                <w:lang w:val="en-US" w:eastAsia="zh-CN"/>
              </w:rPr>
            </w:pPr>
            <w:r>
              <w:rPr>
                <w:rFonts w:hint="eastAsia" w:ascii="宋体" w:hAnsi="宋体" w:eastAsia="宋体" w:cs="宋体"/>
                <w:spacing w:val="4"/>
                <w:sz w:val="23"/>
                <w:szCs w:val="23"/>
                <w:lang w:val="en-US" w:eastAsia="zh-CN"/>
              </w:rPr>
              <w:t>联系人：蒋先生       联系电话：</w:t>
            </w:r>
            <w:r>
              <w:rPr>
                <w:rFonts w:hint="eastAsia"/>
                <w:color w:val="000000"/>
                <w:sz w:val="24"/>
                <w:szCs w:val="24"/>
                <w:lang w:val="en-US" w:eastAsia="zh-CN"/>
              </w:rPr>
              <w:t xml:space="preserve"> 0825-5181166</w:t>
            </w:r>
          </w:p>
        </w:tc>
      </w:tr>
      <w:tr w14:paraId="255978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7" w:hRule="atLeast"/>
        </w:trPr>
        <w:tc>
          <w:tcPr>
            <w:tcW w:w="551" w:type="dxa"/>
            <w:tcBorders>
              <w:left w:val="single" w:color="000000" w:sz="16" w:space="0"/>
              <w:right w:val="single" w:color="000000" w:sz="6" w:space="0"/>
            </w:tcBorders>
            <w:vAlign w:val="center"/>
          </w:tcPr>
          <w:p w14:paraId="2A2CC3F7">
            <w:pPr>
              <w:spacing w:before="74" w:line="192" w:lineRule="auto"/>
              <w:jc w:val="center"/>
              <w:rPr>
                <w:rFonts w:hint="eastAsia" w:ascii="宋体" w:hAnsi="宋体" w:eastAsia="宋体" w:cs="宋体"/>
                <w:sz w:val="23"/>
                <w:szCs w:val="23"/>
                <w:lang w:eastAsia="zh-CN"/>
              </w:rPr>
            </w:pPr>
            <w:r>
              <w:rPr>
                <w:rFonts w:hint="eastAsia" w:ascii="宋体" w:hAnsi="宋体" w:eastAsia="宋体" w:cs="宋体"/>
                <w:sz w:val="23"/>
                <w:szCs w:val="23"/>
                <w:lang w:val="en-US" w:eastAsia="zh-CN"/>
              </w:rPr>
              <w:t>9</w:t>
            </w:r>
          </w:p>
        </w:tc>
        <w:tc>
          <w:tcPr>
            <w:tcW w:w="2153" w:type="dxa"/>
            <w:tcBorders>
              <w:left w:val="single" w:color="000000" w:sz="6" w:space="0"/>
              <w:right w:val="single" w:color="000000" w:sz="6" w:space="0"/>
            </w:tcBorders>
            <w:vAlign w:val="center"/>
          </w:tcPr>
          <w:p w14:paraId="25F1A66B">
            <w:pPr>
              <w:spacing w:before="0" w:line="240" w:lineRule="auto"/>
              <w:ind w:left="0"/>
              <w:jc w:val="center"/>
              <w:rPr>
                <w:rFonts w:ascii="Arial" w:hAnsi="Arial" w:eastAsia="Arial" w:cs="Arial"/>
                <w:sz w:val="24"/>
                <w:szCs w:val="24"/>
              </w:rPr>
            </w:pPr>
            <w:r>
              <w:rPr>
                <w:rFonts w:ascii="Arial" w:hAnsi="Arial" w:eastAsia="Arial" w:cs="Arial"/>
                <w:spacing w:val="0"/>
                <w:sz w:val="24"/>
                <w:szCs w:val="24"/>
              </w:rPr>
              <w:t>开标、评标工作咨询</w:t>
            </w:r>
          </w:p>
        </w:tc>
        <w:tc>
          <w:tcPr>
            <w:tcW w:w="6517" w:type="dxa"/>
            <w:tcBorders>
              <w:left w:val="single" w:color="000000" w:sz="6" w:space="0"/>
              <w:right w:val="single" w:color="000000" w:sz="16" w:space="0"/>
            </w:tcBorders>
            <w:vAlign w:val="center"/>
          </w:tcPr>
          <w:p w14:paraId="5FBA988A">
            <w:pPr>
              <w:spacing w:before="72" w:line="230" w:lineRule="auto"/>
              <w:ind w:left="8"/>
              <w:jc w:val="center"/>
              <w:rPr>
                <w:rFonts w:hint="eastAsia" w:ascii="宋体" w:hAnsi="宋体" w:eastAsia="宋体" w:cs="宋体"/>
                <w:spacing w:val="4"/>
                <w:sz w:val="23"/>
                <w:szCs w:val="23"/>
                <w:lang w:val="en-US" w:eastAsia="zh-CN"/>
              </w:rPr>
            </w:pPr>
            <w:r>
              <w:rPr>
                <w:rFonts w:hint="eastAsia" w:ascii="宋体" w:hAnsi="宋体" w:eastAsia="宋体" w:cs="宋体"/>
                <w:spacing w:val="4"/>
                <w:sz w:val="23"/>
                <w:szCs w:val="23"/>
                <w:lang w:val="en-US" w:eastAsia="zh-CN"/>
              </w:rPr>
              <w:t>联系人：蒋先生       联系电话：</w:t>
            </w:r>
            <w:r>
              <w:rPr>
                <w:rFonts w:hint="eastAsia"/>
                <w:color w:val="000000"/>
                <w:sz w:val="24"/>
                <w:szCs w:val="24"/>
                <w:lang w:val="en-US" w:eastAsia="zh-CN"/>
              </w:rPr>
              <w:t xml:space="preserve"> 0825-5181166</w:t>
            </w:r>
          </w:p>
        </w:tc>
      </w:tr>
      <w:tr w14:paraId="3461AF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3" w:hRule="atLeast"/>
        </w:trPr>
        <w:tc>
          <w:tcPr>
            <w:tcW w:w="551" w:type="dxa"/>
            <w:tcBorders>
              <w:left w:val="single" w:color="000000" w:sz="16" w:space="0"/>
              <w:right w:val="single" w:color="000000" w:sz="6" w:space="0"/>
            </w:tcBorders>
            <w:vAlign w:val="center"/>
          </w:tcPr>
          <w:p w14:paraId="0E7203FD">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10</w:t>
            </w:r>
          </w:p>
        </w:tc>
        <w:tc>
          <w:tcPr>
            <w:tcW w:w="2153" w:type="dxa"/>
            <w:tcBorders>
              <w:left w:val="single" w:color="000000" w:sz="6" w:space="0"/>
              <w:right w:val="single" w:color="000000" w:sz="6" w:space="0"/>
            </w:tcBorders>
            <w:vAlign w:val="center"/>
          </w:tcPr>
          <w:p w14:paraId="5B1E5A1F">
            <w:pPr>
              <w:spacing w:before="0" w:line="240" w:lineRule="auto"/>
              <w:ind w:left="0"/>
              <w:jc w:val="center"/>
              <w:rPr>
                <w:rFonts w:ascii="Arial" w:hAnsi="Arial" w:eastAsia="Arial" w:cs="Arial"/>
                <w:sz w:val="24"/>
                <w:szCs w:val="24"/>
              </w:rPr>
            </w:pPr>
            <w:r>
              <w:rPr>
                <w:rFonts w:ascii="Arial" w:hAnsi="Arial" w:eastAsia="Arial" w:cs="Arial"/>
                <w:spacing w:val="0"/>
                <w:sz w:val="24"/>
                <w:szCs w:val="24"/>
              </w:rPr>
              <w:t>中标通知书领取</w:t>
            </w:r>
          </w:p>
        </w:tc>
        <w:tc>
          <w:tcPr>
            <w:tcW w:w="6517" w:type="dxa"/>
            <w:tcBorders>
              <w:left w:val="single" w:color="000000" w:sz="6" w:space="0"/>
              <w:right w:val="single" w:color="000000" w:sz="16" w:space="0"/>
            </w:tcBorders>
            <w:vAlign w:val="top"/>
          </w:tcPr>
          <w:p w14:paraId="6D777437">
            <w:pPr>
              <w:spacing w:before="114" w:line="290" w:lineRule="auto"/>
              <w:ind w:left="12" w:firstLine="16"/>
              <w:rPr>
                <w:rFonts w:ascii="宋体" w:hAnsi="宋体" w:eastAsia="宋体" w:cs="宋体"/>
                <w:spacing w:val="1"/>
                <w:sz w:val="23"/>
                <w:szCs w:val="23"/>
              </w:rPr>
            </w:pPr>
            <w:r>
              <w:rPr>
                <w:rFonts w:ascii="宋体" w:hAnsi="宋体" w:eastAsia="宋体" w:cs="宋体"/>
                <w:spacing w:val="1"/>
                <w:sz w:val="23"/>
                <w:szCs w:val="23"/>
              </w:rPr>
              <w:t>中标公告在中国政府采购网上公告后，请中标供应商凭有效身份证明证件</w:t>
            </w:r>
            <w:r>
              <w:rPr>
                <w:rFonts w:hint="eastAsia" w:ascii="宋体" w:hAnsi="宋体" w:eastAsia="宋体" w:cs="宋体"/>
                <w:spacing w:val="1"/>
                <w:sz w:val="23"/>
                <w:szCs w:val="23"/>
                <w:lang w:eastAsia="zh-CN"/>
              </w:rPr>
              <w:t>（</w:t>
            </w:r>
            <w:r>
              <w:rPr>
                <w:rFonts w:ascii="宋体" w:hAnsi="宋体" w:eastAsia="宋体" w:cs="宋体"/>
                <w:spacing w:val="1"/>
                <w:sz w:val="23"/>
                <w:szCs w:val="23"/>
              </w:rPr>
              <w:t>介绍信或委托书、经办人身份证复印件</w:t>
            </w:r>
            <w:r>
              <w:rPr>
                <w:rFonts w:hint="eastAsia" w:ascii="宋体" w:hAnsi="宋体" w:eastAsia="宋体" w:cs="宋体"/>
                <w:spacing w:val="1"/>
                <w:sz w:val="23"/>
                <w:szCs w:val="23"/>
                <w:lang w:eastAsia="zh-CN"/>
              </w:rPr>
              <w:t>）</w:t>
            </w:r>
            <w:r>
              <w:rPr>
                <w:rFonts w:ascii="宋体" w:hAnsi="宋体" w:eastAsia="宋体" w:cs="宋体"/>
                <w:spacing w:val="1"/>
                <w:sz w:val="23"/>
                <w:szCs w:val="23"/>
              </w:rPr>
              <w:t>到</w:t>
            </w:r>
            <w:r>
              <w:rPr>
                <w:rFonts w:hint="eastAsia" w:ascii="宋体" w:hAnsi="宋体" w:eastAsia="宋体" w:cs="宋体"/>
                <w:spacing w:val="1"/>
                <w:sz w:val="23"/>
                <w:szCs w:val="23"/>
                <w:lang w:val="en-US" w:eastAsia="zh-CN"/>
              </w:rPr>
              <w:t>四川华招项目管理有限</w:t>
            </w:r>
            <w:r>
              <w:rPr>
                <w:rFonts w:ascii="宋体" w:hAnsi="宋体" w:eastAsia="宋体" w:cs="宋体"/>
                <w:spacing w:val="1"/>
                <w:sz w:val="23"/>
                <w:szCs w:val="23"/>
              </w:rPr>
              <w:t>公司领取中标通知书。</w:t>
            </w:r>
          </w:p>
          <w:p w14:paraId="31D33D2D">
            <w:pPr>
              <w:spacing w:before="114" w:line="290" w:lineRule="auto"/>
              <w:ind w:left="12" w:firstLine="16"/>
              <w:rPr>
                <w:rFonts w:hint="eastAsia" w:ascii="宋体" w:hAnsi="宋体" w:eastAsia="宋体" w:cs="宋体"/>
                <w:spacing w:val="1"/>
                <w:sz w:val="23"/>
                <w:szCs w:val="23"/>
                <w:lang w:eastAsia="zh-CN"/>
              </w:rPr>
            </w:pPr>
            <w:r>
              <w:rPr>
                <w:rFonts w:ascii="宋体" w:hAnsi="宋体" w:eastAsia="宋体" w:cs="宋体"/>
                <w:spacing w:val="1"/>
                <w:sz w:val="23"/>
                <w:szCs w:val="23"/>
              </w:rPr>
              <w:t>联系人：</w:t>
            </w:r>
            <w:r>
              <w:rPr>
                <w:rFonts w:hint="eastAsia" w:ascii="宋体" w:hAnsi="宋体" w:eastAsia="宋体" w:cs="宋体"/>
                <w:spacing w:val="1"/>
                <w:sz w:val="23"/>
                <w:szCs w:val="23"/>
                <w:lang w:eastAsia="zh-CN"/>
              </w:rPr>
              <w:t>蒋先生</w:t>
            </w:r>
          </w:p>
          <w:p w14:paraId="31A712D7">
            <w:pPr>
              <w:spacing w:before="114" w:line="290" w:lineRule="auto"/>
              <w:ind w:left="12" w:firstLine="16"/>
              <w:rPr>
                <w:rFonts w:ascii="宋体" w:hAnsi="宋体" w:eastAsia="宋体" w:cs="宋体"/>
                <w:spacing w:val="1"/>
                <w:sz w:val="23"/>
                <w:szCs w:val="23"/>
              </w:rPr>
            </w:pPr>
            <w:r>
              <w:rPr>
                <w:rFonts w:ascii="宋体" w:hAnsi="宋体" w:eastAsia="宋体" w:cs="宋体"/>
                <w:spacing w:val="1"/>
                <w:sz w:val="23"/>
                <w:szCs w:val="23"/>
              </w:rPr>
              <w:t>联系电话：</w:t>
            </w:r>
            <w:r>
              <w:rPr>
                <w:rFonts w:hint="eastAsia" w:ascii="宋体" w:hAnsi="宋体" w:eastAsia="宋体" w:cs="宋体"/>
                <w:spacing w:val="1"/>
                <w:sz w:val="23"/>
                <w:szCs w:val="23"/>
                <w:lang w:val="en-US" w:eastAsia="zh-CN"/>
              </w:rPr>
              <w:t xml:space="preserve"> 0825-5181166</w:t>
            </w:r>
          </w:p>
          <w:p w14:paraId="488BCB96">
            <w:pPr>
              <w:spacing w:before="114" w:line="290" w:lineRule="auto"/>
              <w:ind w:left="12" w:firstLine="16"/>
              <w:rPr>
                <w:rFonts w:hint="default" w:ascii="宋体" w:hAnsi="宋体" w:eastAsia="宋体" w:cs="宋体"/>
                <w:spacing w:val="1"/>
                <w:sz w:val="23"/>
                <w:szCs w:val="23"/>
                <w:lang w:val="en-US" w:eastAsia="zh-CN"/>
              </w:rPr>
            </w:pPr>
            <w:r>
              <w:rPr>
                <w:rFonts w:ascii="宋体" w:hAnsi="宋体" w:eastAsia="宋体" w:cs="宋体"/>
                <w:spacing w:val="1"/>
                <w:sz w:val="23"/>
                <w:szCs w:val="23"/>
              </w:rPr>
              <w:t>地址：</w:t>
            </w:r>
            <w:r>
              <w:rPr>
                <w:rFonts w:hint="eastAsia" w:ascii="宋体" w:hAnsi="宋体" w:eastAsia="宋体" w:cs="宋体"/>
                <w:spacing w:val="1"/>
                <w:sz w:val="23"/>
                <w:szCs w:val="23"/>
                <w:lang w:val="en-US" w:eastAsia="zh-CN"/>
              </w:rPr>
              <w:t>蓬溪县映山街映山公馆A幢3楼5号</w:t>
            </w:r>
          </w:p>
        </w:tc>
      </w:tr>
      <w:tr w14:paraId="703FC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1" w:hRule="atLeast"/>
        </w:trPr>
        <w:tc>
          <w:tcPr>
            <w:tcW w:w="551" w:type="dxa"/>
            <w:tcBorders>
              <w:left w:val="single" w:color="000000" w:sz="16" w:space="0"/>
              <w:right w:val="single" w:color="000000" w:sz="6" w:space="0"/>
            </w:tcBorders>
            <w:vAlign w:val="center"/>
          </w:tcPr>
          <w:p w14:paraId="56D53A9F">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11</w:t>
            </w:r>
          </w:p>
        </w:tc>
        <w:tc>
          <w:tcPr>
            <w:tcW w:w="2153" w:type="dxa"/>
            <w:tcBorders>
              <w:left w:val="single" w:color="000000" w:sz="6" w:space="0"/>
              <w:right w:val="single" w:color="000000" w:sz="6" w:space="0"/>
            </w:tcBorders>
            <w:vAlign w:val="center"/>
          </w:tcPr>
          <w:p w14:paraId="1DDBE486">
            <w:pPr>
              <w:spacing w:before="114" w:line="290" w:lineRule="auto"/>
              <w:ind w:left="12" w:leftChars="0" w:firstLine="16" w:firstLineChars="0"/>
              <w:jc w:val="center"/>
              <w:rPr>
                <w:rFonts w:hint="eastAsia" w:ascii="宋体" w:hAnsi="宋体" w:eastAsia="宋体" w:cs="宋体"/>
                <w:b/>
                <w:bCs/>
                <w:spacing w:val="1"/>
                <w:sz w:val="23"/>
                <w:szCs w:val="23"/>
                <w:lang w:val="en-US" w:eastAsia="zh-CN"/>
              </w:rPr>
            </w:pPr>
            <w:r>
              <w:rPr>
                <w:rFonts w:hint="eastAsia" w:ascii="宋体" w:hAnsi="宋体" w:eastAsia="宋体" w:cs="宋体"/>
                <w:b/>
                <w:bCs/>
                <w:spacing w:val="1"/>
                <w:sz w:val="23"/>
                <w:szCs w:val="23"/>
                <w:lang w:val="en-US" w:eastAsia="zh-CN"/>
              </w:rPr>
              <w:t>招标代理服务费</w:t>
            </w:r>
          </w:p>
        </w:tc>
        <w:tc>
          <w:tcPr>
            <w:tcW w:w="6517" w:type="dxa"/>
            <w:tcBorders>
              <w:left w:val="single" w:color="000000" w:sz="6" w:space="0"/>
              <w:right w:val="single" w:color="000000" w:sz="16" w:space="0"/>
            </w:tcBorders>
            <w:vAlign w:val="top"/>
          </w:tcPr>
          <w:p w14:paraId="279AC3CB">
            <w:pPr>
              <w:pStyle w:val="37"/>
              <w:keepNext w:val="0"/>
              <w:keepLines w:val="0"/>
              <w:pageBreakBefore w:val="0"/>
              <w:widowControl w:val="0"/>
              <w:kinsoku/>
              <w:wordWrap/>
              <w:overflowPunct/>
              <w:topLinePunct w:val="0"/>
              <w:autoSpaceDE w:val="0"/>
              <w:autoSpaceDN w:val="0"/>
              <w:bidi w:val="0"/>
              <w:adjustRightInd/>
              <w:snapToGrid/>
              <w:spacing w:after="0" w:line="240" w:lineRule="auto"/>
              <w:ind w:firstLine="420" w:firstLineChars="200"/>
              <w:jc w:val="both"/>
              <w:textAlignment w:val="auto"/>
              <w:rPr>
                <w:rFonts w:hint="eastAsia" w:eastAsia="宋体"/>
                <w:color w:val="auto"/>
                <w:sz w:val="21"/>
                <w:szCs w:val="21"/>
                <w:highlight w:val="none"/>
              </w:rPr>
            </w:pPr>
            <w:r>
              <w:rPr>
                <w:rFonts w:hint="eastAsia"/>
                <w:sz w:val="21"/>
                <w:szCs w:val="21"/>
                <w:lang w:val="en-US" w:eastAsia="zh-CN"/>
              </w:rPr>
              <w:t>收取方式</w:t>
            </w:r>
            <w:r>
              <w:rPr>
                <w:rFonts w:hint="eastAsia"/>
                <w:lang w:val="en-US" w:eastAsia="zh-CN"/>
              </w:rPr>
              <w:t>：</w:t>
            </w:r>
            <w:r>
              <w:rPr>
                <w:rFonts w:hint="eastAsia" w:eastAsia="宋体"/>
                <w:color w:val="auto"/>
                <w:sz w:val="21"/>
                <w:szCs w:val="21"/>
                <w:highlight w:val="none"/>
              </w:rPr>
              <w:t>由各中标供应商在领取中标通知书前一次性向</w:t>
            </w:r>
            <w:r>
              <w:rPr>
                <w:rFonts w:hint="eastAsia" w:eastAsia="宋体"/>
                <w:color w:val="auto"/>
                <w:sz w:val="21"/>
                <w:szCs w:val="21"/>
                <w:highlight w:val="none"/>
                <w:lang w:val="en-US" w:eastAsia="zh-CN"/>
              </w:rPr>
              <w:t>代理机构</w:t>
            </w:r>
            <w:r>
              <w:rPr>
                <w:rFonts w:hint="eastAsia" w:eastAsia="宋体"/>
                <w:color w:val="auto"/>
                <w:sz w:val="21"/>
                <w:szCs w:val="21"/>
                <w:highlight w:val="none"/>
              </w:rPr>
              <w:t xml:space="preserve">支付采购代理服务费。 </w:t>
            </w:r>
          </w:p>
          <w:p w14:paraId="50647BF7">
            <w:pPr>
              <w:pStyle w:val="37"/>
              <w:keepNext w:val="0"/>
              <w:keepLines w:val="0"/>
              <w:pageBreakBefore w:val="0"/>
              <w:widowControl w:val="0"/>
              <w:kinsoku/>
              <w:wordWrap/>
              <w:overflowPunct/>
              <w:topLinePunct w:val="0"/>
              <w:autoSpaceDE w:val="0"/>
              <w:autoSpaceDN w:val="0"/>
              <w:bidi w:val="0"/>
              <w:adjustRightInd/>
              <w:snapToGrid/>
              <w:spacing w:after="0" w:line="240" w:lineRule="auto"/>
              <w:ind w:firstLine="420" w:firstLineChars="200"/>
              <w:jc w:val="both"/>
              <w:textAlignment w:val="auto"/>
              <w:rPr>
                <w:rFonts w:hint="eastAsia" w:ascii="宋体" w:hAnsi="宋体" w:eastAsia="宋体" w:cs="宋体"/>
                <w:color w:val="auto"/>
                <w:sz w:val="21"/>
                <w:szCs w:val="21"/>
                <w:highlight w:val="none"/>
              </w:rPr>
            </w:pPr>
            <w:r>
              <w:rPr>
                <w:rFonts w:hint="eastAsia" w:eastAsia="宋体"/>
                <w:color w:val="auto"/>
                <w:sz w:val="21"/>
                <w:szCs w:val="21"/>
                <w:highlight w:val="none"/>
              </w:rPr>
              <w:t>代理服务费：</w:t>
            </w:r>
            <w:r>
              <w:rPr>
                <w:rFonts w:hint="eastAsia"/>
                <w:color w:val="auto"/>
                <w:sz w:val="21"/>
                <w:szCs w:val="21"/>
                <w:highlight w:val="none"/>
                <w:lang w:val="en-US" w:eastAsia="zh-CN"/>
              </w:rPr>
              <w:t>以</w:t>
            </w:r>
            <w:r>
              <w:rPr>
                <w:rFonts w:hint="eastAsia" w:eastAsia="宋体"/>
                <w:color w:val="auto"/>
                <w:sz w:val="21"/>
                <w:szCs w:val="21"/>
                <w:highlight w:val="none"/>
              </w:rPr>
              <w:t>中标金额作为计算基数, 按下列收费标准下浮</w:t>
            </w:r>
            <w:r>
              <w:rPr>
                <w:rFonts w:hint="eastAsia"/>
                <w:color w:val="auto"/>
                <w:sz w:val="21"/>
                <w:szCs w:val="21"/>
                <w:highlight w:val="none"/>
                <w:lang w:val="en-US" w:eastAsia="zh-CN"/>
              </w:rPr>
              <w:t>1</w:t>
            </w:r>
            <w:r>
              <w:rPr>
                <w:rFonts w:hint="eastAsia" w:eastAsia="宋体"/>
                <w:color w:val="auto"/>
                <w:sz w:val="21"/>
                <w:szCs w:val="21"/>
                <w:highlight w:val="none"/>
              </w:rPr>
              <w:t>0%进行收取：</w:t>
            </w:r>
          </w:p>
          <w:tbl>
            <w:tblPr>
              <w:tblStyle w:val="18"/>
              <w:tblW w:w="6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8"/>
              <w:gridCol w:w="1483"/>
              <w:gridCol w:w="1450"/>
              <w:gridCol w:w="1636"/>
            </w:tblGrid>
            <w:tr w14:paraId="52F1D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795806F0">
                  <w:pPr>
                    <w:rPr>
                      <w:rFonts w:hint="eastAsia" w:ascii="宋体" w:hAnsi="宋体" w:eastAsia="宋体" w:cs="宋体"/>
                      <w:b/>
                      <w:sz w:val="21"/>
                      <w:szCs w:val="21"/>
                    </w:rPr>
                  </w:pPr>
                  <w:r>
                    <w:rPr>
                      <w:rFonts w:hint="eastAsia" w:ascii="宋体" w:hAnsi="宋体" w:eastAsia="宋体" w:cs="宋体"/>
                      <w:b/>
                      <w:sz w:val="21"/>
                      <w:szCs w:val="21"/>
                    </w:rPr>
                    <w:t>服务类型</w:t>
                  </w:r>
                </w:p>
                <w:p w14:paraId="42E2ACAD">
                  <w:pPr>
                    <w:snapToGrid w:val="0"/>
                    <w:rPr>
                      <w:rFonts w:hint="eastAsia" w:ascii="宋体" w:hAnsi="宋体" w:eastAsia="宋体" w:cs="宋体"/>
                      <w:b/>
                      <w:sz w:val="21"/>
                      <w:szCs w:val="21"/>
                    </w:rPr>
                  </w:pPr>
                  <w:r>
                    <w:rPr>
                      <w:rFonts w:hint="eastAsia" w:ascii="宋体" w:hAnsi="宋体" w:eastAsia="宋体" w:cs="宋体"/>
                      <w:b/>
                      <w:sz w:val="21"/>
                      <w:szCs w:val="21"/>
                    </w:rPr>
                    <w:t>费率</w:t>
                  </w:r>
                </w:p>
                <w:p w14:paraId="69C14773">
                  <w:pPr>
                    <w:snapToGrid w:val="0"/>
                    <w:rPr>
                      <w:rFonts w:hint="eastAsia" w:ascii="宋体" w:hAnsi="宋体" w:eastAsia="宋体" w:cs="宋体"/>
                      <w:b/>
                      <w:sz w:val="21"/>
                      <w:szCs w:val="21"/>
                    </w:rPr>
                  </w:pPr>
                  <w:r>
                    <w:rPr>
                      <w:rFonts w:hint="eastAsia" w:ascii="宋体" w:hAnsi="宋体" w:eastAsia="宋体" w:cs="宋体"/>
                      <w:b/>
                      <w:sz w:val="21"/>
                      <w:szCs w:val="21"/>
                    </w:rPr>
                    <w:t>中标金额（万元）</w:t>
                  </w:r>
                </w:p>
              </w:tc>
              <w:tc>
                <w:tcPr>
                  <w:tcW w:w="1483" w:type="dxa"/>
                  <w:tcBorders>
                    <w:top w:val="single" w:color="auto" w:sz="4" w:space="0"/>
                    <w:left w:val="single" w:color="auto" w:sz="4" w:space="0"/>
                    <w:bottom w:val="single" w:color="auto" w:sz="4" w:space="0"/>
                    <w:right w:val="single" w:color="auto" w:sz="4" w:space="0"/>
                  </w:tcBorders>
                  <w:noWrap w:val="0"/>
                  <w:vAlign w:val="center"/>
                </w:tcPr>
                <w:p w14:paraId="3BAFE1C9">
                  <w:pPr>
                    <w:jc w:val="center"/>
                    <w:rPr>
                      <w:rFonts w:hint="eastAsia" w:ascii="宋体" w:hAnsi="宋体" w:eastAsia="宋体" w:cs="宋体"/>
                      <w:b/>
                      <w:sz w:val="21"/>
                      <w:szCs w:val="21"/>
                    </w:rPr>
                  </w:pPr>
                  <w:r>
                    <w:rPr>
                      <w:rFonts w:hint="eastAsia" w:ascii="宋体" w:hAnsi="宋体" w:eastAsia="宋体" w:cs="宋体"/>
                      <w:b/>
                      <w:sz w:val="21"/>
                      <w:szCs w:val="21"/>
                    </w:rPr>
                    <w:t>货物招标</w:t>
                  </w:r>
                </w:p>
              </w:tc>
              <w:tc>
                <w:tcPr>
                  <w:tcW w:w="1450" w:type="dxa"/>
                  <w:tcBorders>
                    <w:top w:val="single" w:color="auto" w:sz="4" w:space="0"/>
                    <w:left w:val="single" w:color="auto" w:sz="4" w:space="0"/>
                    <w:bottom w:val="single" w:color="auto" w:sz="4" w:space="0"/>
                    <w:right w:val="single" w:color="auto" w:sz="4" w:space="0"/>
                  </w:tcBorders>
                  <w:noWrap w:val="0"/>
                  <w:vAlign w:val="center"/>
                </w:tcPr>
                <w:p w14:paraId="7BA98F35">
                  <w:pPr>
                    <w:jc w:val="center"/>
                    <w:rPr>
                      <w:rFonts w:hint="eastAsia" w:ascii="宋体" w:hAnsi="宋体" w:eastAsia="宋体" w:cs="宋体"/>
                      <w:b/>
                      <w:sz w:val="21"/>
                      <w:szCs w:val="21"/>
                    </w:rPr>
                  </w:pPr>
                  <w:r>
                    <w:rPr>
                      <w:rFonts w:hint="eastAsia" w:ascii="宋体" w:hAnsi="宋体" w:eastAsia="宋体" w:cs="宋体"/>
                      <w:b/>
                      <w:sz w:val="21"/>
                      <w:szCs w:val="21"/>
                    </w:rPr>
                    <w:t>服务招标</w:t>
                  </w:r>
                </w:p>
              </w:tc>
              <w:tc>
                <w:tcPr>
                  <w:tcW w:w="1636" w:type="dxa"/>
                  <w:tcBorders>
                    <w:top w:val="single" w:color="auto" w:sz="4" w:space="0"/>
                    <w:left w:val="single" w:color="auto" w:sz="4" w:space="0"/>
                    <w:bottom w:val="single" w:color="auto" w:sz="4" w:space="0"/>
                    <w:right w:val="single" w:color="auto" w:sz="4" w:space="0"/>
                  </w:tcBorders>
                  <w:noWrap w:val="0"/>
                  <w:vAlign w:val="center"/>
                </w:tcPr>
                <w:p w14:paraId="1FE2050A">
                  <w:pPr>
                    <w:jc w:val="center"/>
                    <w:rPr>
                      <w:rFonts w:hint="eastAsia" w:ascii="宋体" w:hAnsi="宋体" w:eastAsia="宋体" w:cs="宋体"/>
                      <w:b/>
                      <w:sz w:val="21"/>
                      <w:szCs w:val="21"/>
                    </w:rPr>
                  </w:pPr>
                  <w:r>
                    <w:rPr>
                      <w:rFonts w:hint="eastAsia" w:ascii="宋体" w:hAnsi="宋体" w:eastAsia="宋体" w:cs="宋体"/>
                      <w:b/>
                      <w:sz w:val="21"/>
                      <w:szCs w:val="21"/>
                    </w:rPr>
                    <w:t>工程招标</w:t>
                  </w:r>
                </w:p>
              </w:tc>
            </w:tr>
            <w:tr w14:paraId="554DD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56CF1FA3">
                  <w:pPr>
                    <w:jc w:val="center"/>
                    <w:rPr>
                      <w:rFonts w:hint="eastAsia" w:ascii="宋体" w:hAnsi="宋体" w:eastAsia="宋体" w:cs="宋体"/>
                      <w:sz w:val="21"/>
                      <w:szCs w:val="21"/>
                    </w:rPr>
                  </w:pPr>
                  <w:r>
                    <w:rPr>
                      <w:rFonts w:hint="eastAsia" w:ascii="宋体" w:hAnsi="宋体" w:eastAsia="宋体" w:cs="宋体"/>
                      <w:sz w:val="21"/>
                      <w:szCs w:val="21"/>
                    </w:rPr>
                    <w:t>100以下</w:t>
                  </w:r>
                </w:p>
              </w:tc>
              <w:tc>
                <w:tcPr>
                  <w:tcW w:w="1483" w:type="dxa"/>
                  <w:tcBorders>
                    <w:top w:val="single" w:color="auto" w:sz="4" w:space="0"/>
                    <w:left w:val="single" w:color="auto" w:sz="4" w:space="0"/>
                    <w:bottom w:val="single" w:color="auto" w:sz="4" w:space="0"/>
                    <w:right w:val="single" w:color="auto" w:sz="4" w:space="0"/>
                  </w:tcBorders>
                  <w:noWrap w:val="0"/>
                  <w:vAlign w:val="top"/>
                </w:tcPr>
                <w:p w14:paraId="43023BB2">
                  <w:pPr>
                    <w:jc w:val="center"/>
                    <w:rPr>
                      <w:rFonts w:hint="eastAsia" w:ascii="宋体" w:hAnsi="宋体" w:eastAsia="宋体" w:cs="宋体"/>
                      <w:sz w:val="21"/>
                      <w:szCs w:val="21"/>
                    </w:rPr>
                  </w:pPr>
                  <w:r>
                    <w:rPr>
                      <w:rFonts w:hint="eastAsia" w:ascii="宋体" w:hAnsi="宋体" w:eastAsia="宋体" w:cs="宋体"/>
                      <w:sz w:val="21"/>
                      <w:szCs w:val="21"/>
                    </w:rPr>
                    <w:t>1.5%</w:t>
                  </w:r>
                </w:p>
              </w:tc>
              <w:tc>
                <w:tcPr>
                  <w:tcW w:w="1450" w:type="dxa"/>
                  <w:tcBorders>
                    <w:top w:val="single" w:color="auto" w:sz="4" w:space="0"/>
                    <w:left w:val="single" w:color="auto" w:sz="4" w:space="0"/>
                    <w:bottom w:val="single" w:color="auto" w:sz="4" w:space="0"/>
                    <w:right w:val="single" w:color="auto" w:sz="4" w:space="0"/>
                  </w:tcBorders>
                  <w:noWrap w:val="0"/>
                  <w:vAlign w:val="top"/>
                </w:tcPr>
                <w:p w14:paraId="156A23C8">
                  <w:pPr>
                    <w:jc w:val="center"/>
                    <w:rPr>
                      <w:rFonts w:hint="eastAsia" w:ascii="宋体" w:hAnsi="宋体" w:eastAsia="宋体" w:cs="宋体"/>
                      <w:sz w:val="21"/>
                      <w:szCs w:val="21"/>
                    </w:rPr>
                  </w:pPr>
                  <w:r>
                    <w:rPr>
                      <w:rFonts w:hint="eastAsia" w:ascii="宋体" w:hAnsi="宋体" w:eastAsia="宋体" w:cs="宋体"/>
                      <w:sz w:val="21"/>
                      <w:szCs w:val="21"/>
                    </w:rPr>
                    <w:t>1.5%</w:t>
                  </w:r>
                </w:p>
              </w:tc>
              <w:tc>
                <w:tcPr>
                  <w:tcW w:w="1636" w:type="dxa"/>
                  <w:tcBorders>
                    <w:top w:val="single" w:color="auto" w:sz="4" w:space="0"/>
                    <w:left w:val="single" w:color="auto" w:sz="4" w:space="0"/>
                    <w:bottom w:val="single" w:color="auto" w:sz="4" w:space="0"/>
                    <w:right w:val="single" w:color="auto" w:sz="4" w:space="0"/>
                  </w:tcBorders>
                  <w:noWrap w:val="0"/>
                  <w:vAlign w:val="top"/>
                </w:tcPr>
                <w:p w14:paraId="4ABCD31A">
                  <w:pPr>
                    <w:jc w:val="center"/>
                    <w:rPr>
                      <w:rFonts w:hint="eastAsia" w:ascii="宋体" w:hAnsi="宋体" w:eastAsia="宋体" w:cs="宋体"/>
                      <w:sz w:val="21"/>
                      <w:szCs w:val="21"/>
                    </w:rPr>
                  </w:pPr>
                  <w:r>
                    <w:rPr>
                      <w:rFonts w:hint="eastAsia" w:ascii="宋体" w:hAnsi="宋体" w:eastAsia="宋体" w:cs="宋体"/>
                      <w:sz w:val="21"/>
                      <w:szCs w:val="21"/>
                    </w:rPr>
                    <w:t>1.0%</w:t>
                  </w:r>
                </w:p>
              </w:tc>
            </w:tr>
            <w:tr w14:paraId="17016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1F8A74E1">
                  <w:pPr>
                    <w:jc w:val="center"/>
                    <w:rPr>
                      <w:rFonts w:hint="eastAsia" w:ascii="宋体" w:hAnsi="宋体" w:eastAsia="宋体" w:cs="宋体"/>
                      <w:sz w:val="21"/>
                      <w:szCs w:val="21"/>
                    </w:rPr>
                  </w:pPr>
                  <w:r>
                    <w:rPr>
                      <w:rFonts w:hint="eastAsia" w:ascii="宋体" w:hAnsi="宋体" w:eastAsia="宋体" w:cs="宋体"/>
                      <w:sz w:val="21"/>
                      <w:szCs w:val="21"/>
                    </w:rPr>
                    <w:t>100-500</w:t>
                  </w:r>
                </w:p>
              </w:tc>
              <w:tc>
                <w:tcPr>
                  <w:tcW w:w="1483" w:type="dxa"/>
                  <w:tcBorders>
                    <w:top w:val="single" w:color="auto" w:sz="4" w:space="0"/>
                    <w:left w:val="single" w:color="auto" w:sz="4" w:space="0"/>
                    <w:bottom w:val="single" w:color="auto" w:sz="4" w:space="0"/>
                    <w:right w:val="single" w:color="auto" w:sz="4" w:space="0"/>
                  </w:tcBorders>
                  <w:noWrap w:val="0"/>
                  <w:vAlign w:val="top"/>
                </w:tcPr>
                <w:p w14:paraId="1AA29B92">
                  <w:pPr>
                    <w:jc w:val="center"/>
                    <w:rPr>
                      <w:rFonts w:hint="eastAsia" w:ascii="宋体" w:hAnsi="宋体" w:eastAsia="宋体" w:cs="宋体"/>
                      <w:sz w:val="21"/>
                      <w:szCs w:val="21"/>
                    </w:rPr>
                  </w:pPr>
                  <w:r>
                    <w:rPr>
                      <w:rFonts w:hint="eastAsia" w:ascii="宋体" w:hAnsi="宋体" w:eastAsia="宋体" w:cs="宋体"/>
                      <w:sz w:val="21"/>
                      <w:szCs w:val="21"/>
                    </w:rPr>
                    <w:t>1.1%</w:t>
                  </w:r>
                </w:p>
              </w:tc>
              <w:tc>
                <w:tcPr>
                  <w:tcW w:w="1450" w:type="dxa"/>
                  <w:tcBorders>
                    <w:top w:val="single" w:color="auto" w:sz="4" w:space="0"/>
                    <w:left w:val="single" w:color="auto" w:sz="4" w:space="0"/>
                    <w:bottom w:val="single" w:color="auto" w:sz="4" w:space="0"/>
                    <w:right w:val="single" w:color="auto" w:sz="4" w:space="0"/>
                  </w:tcBorders>
                  <w:noWrap w:val="0"/>
                  <w:vAlign w:val="top"/>
                </w:tcPr>
                <w:p w14:paraId="560FC285">
                  <w:pPr>
                    <w:jc w:val="center"/>
                    <w:rPr>
                      <w:rFonts w:hint="eastAsia" w:ascii="宋体" w:hAnsi="宋体" w:eastAsia="宋体" w:cs="宋体"/>
                      <w:sz w:val="21"/>
                      <w:szCs w:val="21"/>
                    </w:rPr>
                  </w:pPr>
                  <w:r>
                    <w:rPr>
                      <w:rFonts w:hint="eastAsia" w:ascii="宋体" w:hAnsi="宋体" w:eastAsia="宋体" w:cs="宋体"/>
                      <w:sz w:val="21"/>
                      <w:szCs w:val="21"/>
                    </w:rPr>
                    <w:t>0.8%</w:t>
                  </w:r>
                </w:p>
              </w:tc>
              <w:tc>
                <w:tcPr>
                  <w:tcW w:w="1636" w:type="dxa"/>
                  <w:tcBorders>
                    <w:top w:val="single" w:color="auto" w:sz="4" w:space="0"/>
                    <w:left w:val="single" w:color="auto" w:sz="4" w:space="0"/>
                    <w:bottom w:val="single" w:color="auto" w:sz="4" w:space="0"/>
                    <w:right w:val="single" w:color="auto" w:sz="4" w:space="0"/>
                  </w:tcBorders>
                  <w:noWrap w:val="0"/>
                  <w:vAlign w:val="top"/>
                </w:tcPr>
                <w:p w14:paraId="70EF5581">
                  <w:pPr>
                    <w:jc w:val="center"/>
                    <w:rPr>
                      <w:rFonts w:hint="eastAsia" w:ascii="宋体" w:hAnsi="宋体" w:eastAsia="宋体" w:cs="宋体"/>
                      <w:sz w:val="21"/>
                      <w:szCs w:val="21"/>
                    </w:rPr>
                  </w:pPr>
                  <w:r>
                    <w:rPr>
                      <w:rFonts w:hint="eastAsia" w:ascii="宋体" w:hAnsi="宋体" w:eastAsia="宋体" w:cs="宋体"/>
                      <w:sz w:val="21"/>
                      <w:szCs w:val="21"/>
                    </w:rPr>
                    <w:t>0.7%</w:t>
                  </w:r>
                </w:p>
              </w:tc>
            </w:tr>
            <w:tr w14:paraId="58EB2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3056C399">
                  <w:pPr>
                    <w:jc w:val="center"/>
                    <w:rPr>
                      <w:rFonts w:hint="eastAsia" w:ascii="宋体" w:hAnsi="宋体" w:eastAsia="宋体" w:cs="宋体"/>
                      <w:sz w:val="21"/>
                      <w:szCs w:val="21"/>
                    </w:rPr>
                  </w:pPr>
                  <w:r>
                    <w:rPr>
                      <w:rFonts w:hint="eastAsia" w:ascii="宋体" w:hAnsi="宋体" w:eastAsia="宋体" w:cs="宋体"/>
                      <w:sz w:val="21"/>
                      <w:szCs w:val="21"/>
                    </w:rPr>
                    <w:t>500-1000</w:t>
                  </w:r>
                </w:p>
              </w:tc>
              <w:tc>
                <w:tcPr>
                  <w:tcW w:w="1483" w:type="dxa"/>
                  <w:tcBorders>
                    <w:top w:val="single" w:color="auto" w:sz="4" w:space="0"/>
                    <w:left w:val="single" w:color="auto" w:sz="4" w:space="0"/>
                    <w:bottom w:val="single" w:color="auto" w:sz="4" w:space="0"/>
                    <w:right w:val="single" w:color="auto" w:sz="4" w:space="0"/>
                  </w:tcBorders>
                  <w:noWrap w:val="0"/>
                  <w:vAlign w:val="top"/>
                </w:tcPr>
                <w:p w14:paraId="25ED74A9">
                  <w:pPr>
                    <w:jc w:val="center"/>
                    <w:rPr>
                      <w:rFonts w:hint="eastAsia" w:ascii="宋体" w:hAnsi="宋体" w:eastAsia="宋体" w:cs="宋体"/>
                      <w:sz w:val="21"/>
                      <w:szCs w:val="21"/>
                    </w:rPr>
                  </w:pPr>
                  <w:r>
                    <w:rPr>
                      <w:rFonts w:hint="eastAsia" w:ascii="宋体" w:hAnsi="宋体" w:eastAsia="宋体" w:cs="宋体"/>
                      <w:sz w:val="21"/>
                      <w:szCs w:val="21"/>
                    </w:rPr>
                    <w:t>0.8%</w:t>
                  </w:r>
                </w:p>
              </w:tc>
              <w:tc>
                <w:tcPr>
                  <w:tcW w:w="1450" w:type="dxa"/>
                  <w:tcBorders>
                    <w:top w:val="single" w:color="auto" w:sz="4" w:space="0"/>
                    <w:left w:val="single" w:color="auto" w:sz="4" w:space="0"/>
                    <w:bottom w:val="single" w:color="auto" w:sz="4" w:space="0"/>
                    <w:right w:val="single" w:color="auto" w:sz="4" w:space="0"/>
                  </w:tcBorders>
                  <w:noWrap w:val="0"/>
                  <w:vAlign w:val="top"/>
                </w:tcPr>
                <w:p w14:paraId="2DAC2D70">
                  <w:pPr>
                    <w:jc w:val="center"/>
                    <w:rPr>
                      <w:rFonts w:hint="eastAsia" w:ascii="宋体" w:hAnsi="宋体" w:eastAsia="宋体" w:cs="宋体"/>
                      <w:sz w:val="21"/>
                      <w:szCs w:val="21"/>
                    </w:rPr>
                  </w:pPr>
                  <w:r>
                    <w:rPr>
                      <w:rFonts w:hint="eastAsia" w:ascii="宋体" w:hAnsi="宋体" w:eastAsia="宋体" w:cs="宋体"/>
                      <w:sz w:val="21"/>
                      <w:szCs w:val="21"/>
                    </w:rPr>
                    <w:t>0.45%</w:t>
                  </w:r>
                </w:p>
              </w:tc>
              <w:tc>
                <w:tcPr>
                  <w:tcW w:w="1636" w:type="dxa"/>
                  <w:tcBorders>
                    <w:top w:val="single" w:color="auto" w:sz="4" w:space="0"/>
                    <w:left w:val="single" w:color="auto" w:sz="4" w:space="0"/>
                    <w:bottom w:val="single" w:color="auto" w:sz="4" w:space="0"/>
                    <w:right w:val="single" w:color="auto" w:sz="4" w:space="0"/>
                  </w:tcBorders>
                  <w:noWrap w:val="0"/>
                  <w:vAlign w:val="top"/>
                </w:tcPr>
                <w:p w14:paraId="4317F0BC">
                  <w:pPr>
                    <w:jc w:val="center"/>
                    <w:rPr>
                      <w:rFonts w:hint="eastAsia" w:ascii="宋体" w:hAnsi="宋体" w:eastAsia="宋体" w:cs="宋体"/>
                      <w:sz w:val="21"/>
                      <w:szCs w:val="21"/>
                    </w:rPr>
                  </w:pPr>
                  <w:r>
                    <w:rPr>
                      <w:rFonts w:hint="eastAsia" w:ascii="宋体" w:hAnsi="宋体" w:eastAsia="宋体" w:cs="宋体"/>
                      <w:sz w:val="21"/>
                      <w:szCs w:val="21"/>
                    </w:rPr>
                    <w:t>0.55%</w:t>
                  </w:r>
                </w:p>
              </w:tc>
            </w:tr>
            <w:tr w14:paraId="39C33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100799D8">
                  <w:pPr>
                    <w:jc w:val="center"/>
                    <w:rPr>
                      <w:rFonts w:hint="eastAsia" w:ascii="宋体" w:hAnsi="宋体" w:eastAsia="宋体" w:cs="宋体"/>
                      <w:sz w:val="21"/>
                      <w:szCs w:val="21"/>
                    </w:rPr>
                  </w:pPr>
                  <w:r>
                    <w:rPr>
                      <w:rFonts w:hint="eastAsia" w:ascii="宋体" w:hAnsi="宋体" w:eastAsia="宋体" w:cs="宋体"/>
                      <w:sz w:val="21"/>
                      <w:szCs w:val="21"/>
                    </w:rPr>
                    <w:t>1000-5000</w:t>
                  </w:r>
                </w:p>
              </w:tc>
              <w:tc>
                <w:tcPr>
                  <w:tcW w:w="1483" w:type="dxa"/>
                  <w:tcBorders>
                    <w:top w:val="single" w:color="auto" w:sz="4" w:space="0"/>
                    <w:left w:val="single" w:color="auto" w:sz="4" w:space="0"/>
                    <w:bottom w:val="single" w:color="auto" w:sz="4" w:space="0"/>
                    <w:right w:val="single" w:color="auto" w:sz="4" w:space="0"/>
                  </w:tcBorders>
                  <w:noWrap w:val="0"/>
                  <w:vAlign w:val="top"/>
                </w:tcPr>
                <w:p w14:paraId="61D92B49">
                  <w:pPr>
                    <w:jc w:val="center"/>
                    <w:rPr>
                      <w:rFonts w:hint="eastAsia" w:ascii="宋体" w:hAnsi="宋体" w:eastAsia="宋体" w:cs="宋体"/>
                      <w:sz w:val="21"/>
                      <w:szCs w:val="21"/>
                    </w:rPr>
                  </w:pPr>
                  <w:r>
                    <w:rPr>
                      <w:rFonts w:hint="eastAsia" w:ascii="宋体" w:hAnsi="宋体" w:eastAsia="宋体" w:cs="宋体"/>
                      <w:sz w:val="21"/>
                      <w:szCs w:val="21"/>
                    </w:rPr>
                    <w:t>0.5%</w:t>
                  </w:r>
                </w:p>
              </w:tc>
              <w:tc>
                <w:tcPr>
                  <w:tcW w:w="1450" w:type="dxa"/>
                  <w:tcBorders>
                    <w:top w:val="single" w:color="auto" w:sz="4" w:space="0"/>
                    <w:left w:val="single" w:color="auto" w:sz="4" w:space="0"/>
                    <w:bottom w:val="single" w:color="auto" w:sz="4" w:space="0"/>
                    <w:right w:val="single" w:color="auto" w:sz="4" w:space="0"/>
                  </w:tcBorders>
                  <w:noWrap w:val="0"/>
                  <w:vAlign w:val="top"/>
                </w:tcPr>
                <w:p w14:paraId="21B5E47F">
                  <w:pPr>
                    <w:jc w:val="center"/>
                    <w:rPr>
                      <w:rFonts w:hint="eastAsia" w:ascii="宋体" w:hAnsi="宋体" w:eastAsia="宋体" w:cs="宋体"/>
                      <w:sz w:val="21"/>
                      <w:szCs w:val="21"/>
                    </w:rPr>
                  </w:pPr>
                  <w:r>
                    <w:rPr>
                      <w:rFonts w:hint="eastAsia" w:ascii="宋体" w:hAnsi="宋体" w:eastAsia="宋体" w:cs="宋体"/>
                      <w:sz w:val="21"/>
                      <w:szCs w:val="21"/>
                    </w:rPr>
                    <w:t>0.25%</w:t>
                  </w:r>
                </w:p>
              </w:tc>
              <w:tc>
                <w:tcPr>
                  <w:tcW w:w="1636" w:type="dxa"/>
                  <w:tcBorders>
                    <w:top w:val="single" w:color="auto" w:sz="4" w:space="0"/>
                    <w:left w:val="single" w:color="auto" w:sz="4" w:space="0"/>
                    <w:bottom w:val="single" w:color="auto" w:sz="4" w:space="0"/>
                    <w:right w:val="single" w:color="auto" w:sz="4" w:space="0"/>
                  </w:tcBorders>
                  <w:noWrap w:val="0"/>
                  <w:vAlign w:val="top"/>
                </w:tcPr>
                <w:p w14:paraId="027B54D4">
                  <w:pPr>
                    <w:jc w:val="center"/>
                    <w:rPr>
                      <w:rFonts w:hint="eastAsia" w:ascii="宋体" w:hAnsi="宋体" w:eastAsia="宋体" w:cs="宋体"/>
                      <w:sz w:val="21"/>
                      <w:szCs w:val="21"/>
                    </w:rPr>
                  </w:pPr>
                  <w:r>
                    <w:rPr>
                      <w:rFonts w:hint="eastAsia" w:ascii="宋体" w:hAnsi="宋体" w:eastAsia="宋体" w:cs="宋体"/>
                      <w:sz w:val="21"/>
                      <w:szCs w:val="21"/>
                    </w:rPr>
                    <w:t>0.35%</w:t>
                  </w:r>
                </w:p>
              </w:tc>
            </w:tr>
            <w:tr w14:paraId="5DD4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62552F98">
                  <w:pPr>
                    <w:jc w:val="center"/>
                    <w:rPr>
                      <w:rFonts w:hint="eastAsia" w:ascii="宋体" w:hAnsi="宋体" w:eastAsia="宋体" w:cs="宋体"/>
                      <w:sz w:val="21"/>
                      <w:szCs w:val="21"/>
                    </w:rPr>
                  </w:pPr>
                  <w:r>
                    <w:rPr>
                      <w:rFonts w:hint="eastAsia" w:ascii="宋体" w:hAnsi="宋体" w:eastAsia="宋体" w:cs="宋体"/>
                      <w:sz w:val="21"/>
                      <w:szCs w:val="21"/>
                    </w:rPr>
                    <w:t>5000-10000</w:t>
                  </w:r>
                </w:p>
              </w:tc>
              <w:tc>
                <w:tcPr>
                  <w:tcW w:w="1483" w:type="dxa"/>
                  <w:tcBorders>
                    <w:top w:val="single" w:color="auto" w:sz="4" w:space="0"/>
                    <w:left w:val="single" w:color="auto" w:sz="4" w:space="0"/>
                    <w:bottom w:val="single" w:color="auto" w:sz="4" w:space="0"/>
                    <w:right w:val="single" w:color="auto" w:sz="4" w:space="0"/>
                  </w:tcBorders>
                  <w:noWrap w:val="0"/>
                  <w:vAlign w:val="top"/>
                </w:tcPr>
                <w:p w14:paraId="54809902">
                  <w:pPr>
                    <w:jc w:val="center"/>
                    <w:rPr>
                      <w:rFonts w:hint="eastAsia" w:ascii="宋体" w:hAnsi="宋体" w:eastAsia="宋体" w:cs="宋体"/>
                      <w:sz w:val="21"/>
                      <w:szCs w:val="21"/>
                    </w:rPr>
                  </w:pPr>
                  <w:r>
                    <w:rPr>
                      <w:rFonts w:hint="eastAsia" w:ascii="宋体" w:hAnsi="宋体" w:eastAsia="宋体" w:cs="宋体"/>
                      <w:sz w:val="21"/>
                      <w:szCs w:val="21"/>
                    </w:rPr>
                    <w:t>0.25%</w:t>
                  </w:r>
                </w:p>
              </w:tc>
              <w:tc>
                <w:tcPr>
                  <w:tcW w:w="1450" w:type="dxa"/>
                  <w:tcBorders>
                    <w:top w:val="single" w:color="auto" w:sz="4" w:space="0"/>
                    <w:left w:val="single" w:color="auto" w:sz="4" w:space="0"/>
                    <w:bottom w:val="single" w:color="auto" w:sz="4" w:space="0"/>
                    <w:right w:val="single" w:color="auto" w:sz="4" w:space="0"/>
                  </w:tcBorders>
                  <w:noWrap w:val="0"/>
                  <w:vAlign w:val="top"/>
                </w:tcPr>
                <w:p w14:paraId="4EE63832">
                  <w:pPr>
                    <w:jc w:val="center"/>
                    <w:rPr>
                      <w:rFonts w:hint="eastAsia" w:ascii="宋体" w:hAnsi="宋体" w:eastAsia="宋体" w:cs="宋体"/>
                      <w:sz w:val="21"/>
                      <w:szCs w:val="21"/>
                    </w:rPr>
                  </w:pPr>
                  <w:r>
                    <w:rPr>
                      <w:rFonts w:hint="eastAsia" w:ascii="宋体" w:hAnsi="宋体" w:eastAsia="宋体" w:cs="宋体"/>
                      <w:sz w:val="21"/>
                      <w:szCs w:val="21"/>
                    </w:rPr>
                    <w:t>0.1%</w:t>
                  </w:r>
                </w:p>
              </w:tc>
              <w:tc>
                <w:tcPr>
                  <w:tcW w:w="1636" w:type="dxa"/>
                  <w:tcBorders>
                    <w:top w:val="single" w:color="auto" w:sz="4" w:space="0"/>
                    <w:left w:val="single" w:color="auto" w:sz="4" w:space="0"/>
                    <w:bottom w:val="single" w:color="auto" w:sz="4" w:space="0"/>
                    <w:right w:val="single" w:color="auto" w:sz="4" w:space="0"/>
                  </w:tcBorders>
                  <w:noWrap w:val="0"/>
                  <w:vAlign w:val="top"/>
                </w:tcPr>
                <w:p w14:paraId="6C32C935">
                  <w:pPr>
                    <w:jc w:val="center"/>
                    <w:rPr>
                      <w:rFonts w:hint="eastAsia" w:ascii="宋体" w:hAnsi="宋体" w:eastAsia="宋体" w:cs="宋体"/>
                      <w:sz w:val="21"/>
                      <w:szCs w:val="21"/>
                    </w:rPr>
                  </w:pPr>
                  <w:r>
                    <w:rPr>
                      <w:rFonts w:hint="eastAsia" w:ascii="宋体" w:hAnsi="宋体" w:eastAsia="宋体" w:cs="宋体"/>
                      <w:sz w:val="21"/>
                      <w:szCs w:val="21"/>
                    </w:rPr>
                    <w:t>0.2%</w:t>
                  </w:r>
                </w:p>
              </w:tc>
            </w:tr>
            <w:tr w14:paraId="5E13D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431B2E1E">
                  <w:pPr>
                    <w:jc w:val="center"/>
                    <w:rPr>
                      <w:rFonts w:hint="eastAsia" w:ascii="宋体" w:hAnsi="宋体" w:eastAsia="宋体" w:cs="宋体"/>
                      <w:sz w:val="21"/>
                      <w:szCs w:val="21"/>
                    </w:rPr>
                  </w:pPr>
                  <w:r>
                    <w:rPr>
                      <w:rFonts w:hint="eastAsia" w:ascii="宋体" w:hAnsi="宋体" w:eastAsia="宋体" w:cs="宋体"/>
                      <w:sz w:val="21"/>
                      <w:szCs w:val="21"/>
                    </w:rPr>
                    <w:t>10000-100000</w:t>
                  </w:r>
                </w:p>
              </w:tc>
              <w:tc>
                <w:tcPr>
                  <w:tcW w:w="1483" w:type="dxa"/>
                  <w:tcBorders>
                    <w:top w:val="single" w:color="auto" w:sz="4" w:space="0"/>
                    <w:left w:val="single" w:color="auto" w:sz="4" w:space="0"/>
                    <w:bottom w:val="single" w:color="auto" w:sz="4" w:space="0"/>
                    <w:right w:val="single" w:color="auto" w:sz="4" w:space="0"/>
                  </w:tcBorders>
                  <w:noWrap w:val="0"/>
                  <w:vAlign w:val="top"/>
                </w:tcPr>
                <w:p w14:paraId="2EED86D4">
                  <w:pPr>
                    <w:jc w:val="center"/>
                    <w:rPr>
                      <w:rFonts w:hint="eastAsia" w:ascii="宋体" w:hAnsi="宋体" w:eastAsia="宋体" w:cs="宋体"/>
                      <w:sz w:val="21"/>
                      <w:szCs w:val="21"/>
                    </w:rPr>
                  </w:pPr>
                  <w:r>
                    <w:rPr>
                      <w:rFonts w:hint="eastAsia" w:ascii="宋体" w:hAnsi="宋体" w:eastAsia="宋体" w:cs="宋体"/>
                      <w:sz w:val="21"/>
                      <w:szCs w:val="21"/>
                    </w:rPr>
                    <w:t>0.05%</w:t>
                  </w:r>
                </w:p>
              </w:tc>
              <w:tc>
                <w:tcPr>
                  <w:tcW w:w="1450" w:type="dxa"/>
                  <w:tcBorders>
                    <w:top w:val="single" w:color="auto" w:sz="4" w:space="0"/>
                    <w:left w:val="single" w:color="auto" w:sz="4" w:space="0"/>
                    <w:bottom w:val="single" w:color="auto" w:sz="4" w:space="0"/>
                    <w:right w:val="single" w:color="auto" w:sz="4" w:space="0"/>
                  </w:tcBorders>
                  <w:noWrap w:val="0"/>
                  <w:vAlign w:val="top"/>
                </w:tcPr>
                <w:p w14:paraId="744A2B5C">
                  <w:pPr>
                    <w:jc w:val="center"/>
                    <w:rPr>
                      <w:rFonts w:hint="eastAsia" w:ascii="宋体" w:hAnsi="宋体" w:eastAsia="宋体" w:cs="宋体"/>
                      <w:sz w:val="21"/>
                      <w:szCs w:val="21"/>
                    </w:rPr>
                  </w:pPr>
                  <w:r>
                    <w:rPr>
                      <w:rFonts w:hint="eastAsia" w:ascii="宋体" w:hAnsi="宋体" w:eastAsia="宋体" w:cs="宋体"/>
                      <w:sz w:val="21"/>
                      <w:szCs w:val="21"/>
                    </w:rPr>
                    <w:t>0.05%</w:t>
                  </w:r>
                </w:p>
              </w:tc>
              <w:tc>
                <w:tcPr>
                  <w:tcW w:w="1636" w:type="dxa"/>
                  <w:tcBorders>
                    <w:top w:val="single" w:color="auto" w:sz="4" w:space="0"/>
                    <w:left w:val="single" w:color="auto" w:sz="4" w:space="0"/>
                    <w:bottom w:val="single" w:color="auto" w:sz="4" w:space="0"/>
                    <w:right w:val="single" w:color="auto" w:sz="4" w:space="0"/>
                  </w:tcBorders>
                  <w:noWrap w:val="0"/>
                  <w:vAlign w:val="top"/>
                </w:tcPr>
                <w:p w14:paraId="1FEE38E2">
                  <w:pPr>
                    <w:jc w:val="center"/>
                    <w:rPr>
                      <w:rFonts w:hint="eastAsia" w:ascii="宋体" w:hAnsi="宋体" w:eastAsia="宋体" w:cs="宋体"/>
                      <w:sz w:val="21"/>
                      <w:szCs w:val="21"/>
                    </w:rPr>
                  </w:pPr>
                  <w:r>
                    <w:rPr>
                      <w:rFonts w:hint="eastAsia" w:ascii="宋体" w:hAnsi="宋体" w:eastAsia="宋体" w:cs="宋体"/>
                      <w:sz w:val="21"/>
                      <w:szCs w:val="21"/>
                    </w:rPr>
                    <w:t>0.05%</w:t>
                  </w:r>
                </w:p>
              </w:tc>
            </w:tr>
            <w:tr w14:paraId="7B317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2128" w:type="dxa"/>
                  <w:tcBorders>
                    <w:top w:val="single" w:color="auto" w:sz="4" w:space="0"/>
                    <w:left w:val="single" w:color="auto" w:sz="4" w:space="0"/>
                    <w:bottom w:val="single" w:color="auto" w:sz="4" w:space="0"/>
                    <w:right w:val="single" w:color="auto" w:sz="4" w:space="0"/>
                  </w:tcBorders>
                  <w:noWrap w:val="0"/>
                  <w:vAlign w:val="top"/>
                </w:tcPr>
                <w:p w14:paraId="146E22AD">
                  <w:pPr>
                    <w:jc w:val="center"/>
                    <w:rPr>
                      <w:rFonts w:hint="eastAsia" w:ascii="宋体" w:hAnsi="宋体" w:eastAsia="宋体" w:cs="宋体"/>
                      <w:sz w:val="21"/>
                      <w:szCs w:val="21"/>
                    </w:rPr>
                  </w:pPr>
                  <w:r>
                    <w:rPr>
                      <w:rFonts w:hint="eastAsia" w:ascii="宋体" w:hAnsi="宋体" w:eastAsia="宋体" w:cs="宋体"/>
                      <w:sz w:val="21"/>
                      <w:szCs w:val="21"/>
                    </w:rPr>
                    <w:t>1000000以上</w:t>
                  </w:r>
                </w:p>
              </w:tc>
              <w:tc>
                <w:tcPr>
                  <w:tcW w:w="1483" w:type="dxa"/>
                  <w:tcBorders>
                    <w:top w:val="single" w:color="auto" w:sz="4" w:space="0"/>
                    <w:left w:val="single" w:color="auto" w:sz="4" w:space="0"/>
                    <w:bottom w:val="single" w:color="auto" w:sz="4" w:space="0"/>
                    <w:right w:val="single" w:color="auto" w:sz="4" w:space="0"/>
                  </w:tcBorders>
                  <w:noWrap w:val="0"/>
                  <w:vAlign w:val="top"/>
                </w:tcPr>
                <w:p w14:paraId="0C3751F0">
                  <w:pPr>
                    <w:jc w:val="center"/>
                    <w:rPr>
                      <w:rFonts w:hint="eastAsia" w:ascii="宋体" w:hAnsi="宋体" w:eastAsia="宋体" w:cs="宋体"/>
                      <w:sz w:val="21"/>
                      <w:szCs w:val="21"/>
                    </w:rPr>
                  </w:pPr>
                  <w:r>
                    <w:rPr>
                      <w:rFonts w:hint="eastAsia" w:ascii="宋体" w:hAnsi="宋体" w:eastAsia="宋体" w:cs="宋体"/>
                      <w:sz w:val="21"/>
                      <w:szCs w:val="21"/>
                    </w:rPr>
                    <w:t>0.01%</w:t>
                  </w:r>
                </w:p>
              </w:tc>
              <w:tc>
                <w:tcPr>
                  <w:tcW w:w="1450" w:type="dxa"/>
                  <w:tcBorders>
                    <w:top w:val="single" w:color="auto" w:sz="4" w:space="0"/>
                    <w:left w:val="single" w:color="auto" w:sz="4" w:space="0"/>
                    <w:bottom w:val="single" w:color="auto" w:sz="4" w:space="0"/>
                    <w:right w:val="single" w:color="auto" w:sz="4" w:space="0"/>
                  </w:tcBorders>
                  <w:noWrap w:val="0"/>
                  <w:vAlign w:val="top"/>
                </w:tcPr>
                <w:p w14:paraId="1C375C4C">
                  <w:pPr>
                    <w:jc w:val="center"/>
                    <w:rPr>
                      <w:rFonts w:hint="eastAsia" w:ascii="宋体" w:hAnsi="宋体" w:eastAsia="宋体" w:cs="宋体"/>
                      <w:sz w:val="21"/>
                      <w:szCs w:val="21"/>
                    </w:rPr>
                  </w:pPr>
                  <w:r>
                    <w:rPr>
                      <w:rFonts w:hint="eastAsia" w:ascii="宋体" w:hAnsi="宋体" w:eastAsia="宋体" w:cs="宋体"/>
                      <w:sz w:val="21"/>
                      <w:szCs w:val="21"/>
                    </w:rPr>
                    <w:t>0.01%</w:t>
                  </w:r>
                </w:p>
              </w:tc>
              <w:tc>
                <w:tcPr>
                  <w:tcW w:w="1636" w:type="dxa"/>
                  <w:tcBorders>
                    <w:top w:val="single" w:color="auto" w:sz="4" w:space="0"/>
                    <w:left w:val="single" w:color="auto" w:sz="4" w:space="0"/>
                    <w:bottom w:val="single" w:color="auto" w:sz="4" w:space="0"/>
                    <w:right w:val="single" w:color="auto" w:sz="4" w:space="0"/>
                  </w:tcBorders>
                  <w:noWrap w:val="0"/>
                  <w:vAlign w:val="top"/>
                </w:tcPr>
                <w:p w14:paraId="1CA88CE1">
                  <w:pPr>
                    <w:jc w:val="center"/>
                    <w:rPr>
                      <w:rFonts w:hint="eastAsia" w:ascii="宋体" w:hAnsi="宋体" w:eastAsia="宋体" w:cs="宋体"/>
                      <w:sz w:val="21"/>
                      <w:szCs w:val="21"/>
                    </w:rPr>
                  </w:pPr>
                  <w:r>
                    <w:rPr>
                      <w:rFonts w:hint="eastAsia" w:ascii="宋体" w:hAnsi="宋体" w:eastAsia="宋体" w:cs="宋体"/>
                      <w:sz w:val="21"/>
                      <w:szCs w:val="21"/>
                    </w:rPr>
                    <w:t>0.01%</w:t>
                  </w:r>
                </w:p>
              </w:tc>
            </w:tr>
            <w:tr w14:paraId="6FF3D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6697" w:type="dxa"/>
                  <w:gridSpan w:val="4"/>
                  <w:tcBorders>
                    <w:top w:val="single" w:color="auto" w:sz="4" w:space="0"/>
                    <w:left w:val="single" w:color="auto" w:sz="4" w:space="0"/>
                    <w:bottom w:val="single" w:color="auto" w:sz="4" w:space="0"/>
                    <w:right w:val="single" w:color="auto" w:sz="4" w:space="0"/>
                  </w:tcBorders>
                  <w:noWrap w:val="0"/>
                  <w:vAlign w:val="top"/>
                </w:tcPr>
                <w:p w14:paraId="766EC7DD">
                  <w:pPr>
                    <w:jc w:val="left"/>
                    <w:rPr>
                      <w:rFonts w:hint="eastAsia" w:ascii="宋体" w:hAnsi="宋体" w:eastAsia="宋体" w:cs="宋体"/>
                      <w:sz w:val="21"/>
                      <w:szCs w:val="21"/>
                      <w:lang w:val="en-US"/>
                    </w:rPr>
                  </w:pPr>
                  <w:r>
                    <w:rPr>
                      <w:rFonts w:hint="eastAsia" w:ascii="宋体" w:hAnsi="宋体" w:eastAsia="宋体" w:cs="宋体"/>
                      <w:sz w:val="21"/>
                      <w:szCs w:val="21"/>
                      <w:lang w:val="en-US"/>
                    </w:rPr>
                    <w:t>注: （</w:t>
                  </w:r>
                  <w:r>
                    <w:rPr>
                      <w:rFonts w:hint="eastAsia" w:ascii="宋体" w:hAnsi="宋体" w:eastAsia="宋体" w:cs="宋体"/>
                      <w:sz w:val="21"/>
                      <w:szCs w:val="21"/>
                      <w:lang w:val="en-US" w:eastAsia="zh-CN"/>
                    </w:rPr>
                    <w:t>1</w:t>
                  </w:r>
                  <w:r>
                    <w:rPr>
                      <w:rFonts w:hint="eastAsia" w:ascii="宋体" w:hAnsi="宋体" w:eastAsia="宋体" w:cs="宋体"/>
                      <w:sz w:val="21"/>
                      <w:szCs w:val="21"/>
                      <w:lang w:val="en-US"/>
                    </w:rPr>
                    <w:t>）按本表费率计算的收费为招标代理服务全过程的收费基准价格。</w:t>
                  </w:r>
                </w:p>
                <w:p w14:paraId="1F4DE22C">
                  <w:pPr>
                    <w:jc w:val="left"/>
                    <w:rPr>
                      <w:rFonts w:hint="eastAsia" w:ascii="宋体" w:hAnsi="宋体" w:eastAsia="宋体" w:cs="宋体"/>
                      <w:sz w:val="21"/>
                      <w:szCs w:val="21"/>
                    </w:rPr>
                  </w:pPr>
                  <w:r>
                    <w:rPr>
                      <w:rFonts w:hint="eastAsia" w:ascii="宋体" w:hAnsi="宋体" w:eastAsia="宋体" w:cs="宋体"/>
                      <w:sz w:val="21"/>
                      <w:szCs w:val="21"/>
                      <w:lang w:val="en-US"/>
                    </w:rPr>
                    <w:t xml:space="preserve">    （</w:t>
                  </w:r>
                  <w:r>
                    <w:rPr>
                      <w:rFonts w:hint="eastAsia" w:ascii="宋体" w:hAnsi="宋体" w:eastAsia="宋体" w:cs="宋体"/>
                      <w:sz w:val="21"/>
                      <w:szCs w:val="21"/>
                      <w:lang w:val="en-US" w:eastAsia="zh-CN"/>
                    </w:rPr>
                    <w:t>2</w:t>
                  </w:r>
                  <w:r>
                    <w:rPr>
                      <w:rFonts w:hint="eastAsia" w:ascii="宋体" w:hAnsi="宋体" w:eastAsia="宋体" w:cs="宋体"/>
                      <w:sz w:val="21"/>
                      <w:szCs w:val="21"/>
                      <w:lang w:val="en-US"/>
                    </w:rPr>
                    <w:t>）招标代理服务收费按差额定率累进法计算。</w:t>
                  </w:r>
                </w:p>
              </w:tc>
            </w:tr>
          </w:tbl>
          <w:p w14:paraId="00200F85">
            <w:pPr>
              <w:pStyle w:val="13"/>
              <w:rPr>
                <w:rFonts w:hint="default" w:ascii="宋体" w:hAnsi="宋体" w:cs="宋体"/>
                <w:b/>
                <w:bCs/>
                <w:color w:val="auto"/>
                <w:sz w:val="24"/>
                <w:szCs w:val="32"/>
                <w:lang w:val="en-US" w:eastAsia="zh-CN"/>
              </w:rPr>
            </w:pPr>
          </w:p>
        </w:tc>
      </w:tr>
      <w:tr w14:paraId="4926AF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551" w:type="dxa"/>
            <w:tcBorders>
              <w:left w:val="single" w:color="000000" w:sz="16" w:space="0"/>
              <w:right w:val="single" w:color="000000" w:sz="6" w:space="0"/>
            </w:tcBorders>
            <w:vAlign w:val="center"/>
          </w:tcPr>
          <w:p w14:paraId="278D8AF6">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12</w:t>
            </w:r>
          </w:p>
        </w:tc>
        <w:tc>
          <w:tcPr>
            <w:tcW w:w="2153" w:type="dxa"/>
            <w:tcBorders>
              <w:left w:val="single" w:color="000000" w:sz="6" w:space="0"/>
              <w:right w:val="single" w:color="000000" w:sz="6" w:space="0"/>
            </w:tcBorders>
            <w:vAlign w:val="center"/>
          </w:tcPr>
          <w:p w14:paraId="67906ABF">
            <w:pPr>
              <w:pStyle w:val="27"/>
              <w:spacing w:before="82" w:line="210" w:lineRule="auto"/>
              <w:jc w:val="center"/>
              <w:rPr>
                <w:spacing w:val="-2"/>
              </w:rPr>
            </w:pPr>
            <w:r>
              <w:rPr>
                <w:spacing w:val="-2"/>
              </w:rPr>
              <w:t>供应商询问</w:t>
            </w:r>
          </w:p>
        </w:tc>
        <w:tc>
          <w:tcPr>
            <w:tcW w:w="6517" w:type="dxa"/>
            <w:tcBorders>
              <w:left w:val="single" w:color="000000" w:sz="6" w:space="0"/>
              <w:right w:val="single" w:color="000000" w:sz="16" w:space="0"/>
            </w:tcBorders>
            <w:vAlign w:val="center"/>
          </w:tcPr>
          <w:p w14:paraId="1A50D923">
            <w:pPr>
              <w:pStyle w:val="27"/>
              <w:spacing w:before="82" w:line="210" w:lineRule="auto"/>
              <w:jc w:val="center"/>
              <w:rPr>
                <w:rFonts w:hint="eastAsia"/>
                <w:spacing w:val="-2"/>
                <w:lang w:val="en-US" w:eastAsia="en-US"/>
              </w:rPr>
            </w:pPr>
            <w:r>
              <w:rPr>
                <w:rFonts w:hint="eastAsia"/>
                <w:spacing w:val="-2"/>
                <w:lang w:val="en-US" w:eastAsia="en-US"/>
              </w:rPr>
              <w:t>供应商询问由采购人</w:t>
            </w:r>
            <w:r>
              <w:rPr>
                <w:rFonts w:hint="eastAsia"/>
                <w:spacing w:val="-2"/>
                <w:lang w:val="en-US" w:eastAsia="zh-CN"/>
              </w:rPr>
              <w:t>或者代理机构</w:t>
            </w:r>
            <w:r>
              <w:rPr>
                <w:rFonts w:hint="eastAsia"/>
                <w:spacing w:val="-2"/>
                <w:lang w:val="en-US" w:eastAsia="en-US"/>
              </w:rPr>
              <w:t>答复。</w:t>
            </w:r>
          </w:p>
        </w:tc>
      </w:tr>
      <w:tr w14:paraId="1240B9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1" w:hRule="atLeast"/>
        </w:trPr>
        <w:tc>
          <w:tcPr>
            <w:tcW w:w="551" w:type="dxa"/>
            <w:tcBorders>
              <w:left w:val="single" w:color="000000" w:sz="16" w:space="0"/>
              <w:right w:val="single" w:color="000000" w:sz="6" w:space="0"/>
            </w:tcBorders>
            <w:vAlign w:val="center"/>
          </w:tcPr>
          <w:p w14:paraId="18941EB3">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13</w:t>
            </w:r>
          </w:p>
        </w:tc>
        <w:tc>
          <w:tcPr>
            <w:tcW w:w="2153" w:type="dxa"/>
            <w:tcBorders>
              <w:left w:val="single" w:color="000000" w:sz="6" w:space="0"/>
              <w:right w:val="single" w:color="000000" w:sz="6" w:space="0"/>
            </w:tcBorders>
            <w:vAlign w:val="center"/>
          </w:tcPr>
          <w:p w14:paraId="0053C06C">
            <w:pPr>
              <w:pStyle w:val="27"/>
              <w:spacing w:before="78" w:line="219" w:lineRule="auto"/>
              <w:jc w:val="center"/>
              <w:rPr>
                <w:rFonts w:ascii="Arial" w:hAnsi="Arial" w:eastAsia="Arial" w:cs="Arial"/>
                <w:spacing w:val="0"/>
                <w:sz w:val="24"/>
                <w:szCs w:val="24"/>
              </w:rPr>
            </w:pPr>
            <w:r>
              <w:rPr>
                <w:spacing w:val="-2"/>
              </w:rPr>
              <w:t>供应商质疑</w:t>
            </w:r>
          </w:p>
        </w:tc>
        <w:tc>
          <w:tcPr>
            <w:tcW w:w="6517" w:type="dxa"/>
            <w:tcBorders>
              <w:left w:val="single" w:color="000000" w:sz="6" w:space="0"/>
              <w:right w:val="single" w:color="000000" w:sz="16" w:space="0"/>
            </w:tcBorders>
            <w:vAlign w:val="top"/>
          </w:tcPr>
          <w:p w14:paraId="52234AB6">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eastAsia="宋体" w:cs="宋体"/>
                <w:color w:val="auto"/>
                <w:sz w:val="24"/>
                <w:szCs w:val="32"/>
                <w:lang w:val="en-US" w:eastAsia="zh-CN"/>
              </w:rPr>
              <w:t>根据委托代理协议约定，采购人负责对采购文件服务要求部分的质疑进行答复，代理机构负责采购文件服务要求部分以外的质疑进行答复</w:t>
            </w:r>
            <w:r>
              <w:rPr>
                <w:rFonts w:hint="eastAsia" w:ascii="宋体" w:hAnsi="宋体" w:cs="宋体"/>
                <w:color w:val="auto"/>
                <w:sz w:val="24"/>
                <w:szCs w:val="32"/>
                <w:lang w:val="en-US" w:eastAsia="zh-CN"/>
              </w:rPr>
              <w:t>。</w:t>
            </w:r>
          </w:p>
          <w:p w14:paraId="06AAC24A">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联系人：</w:t>
            </w:r>
            <w:r>
              <w:rPr>
                <w:rFonts w:hint="eastAsia" w:ascii="宋体" w:hAnsi="宋体" w:cs="宋体"/>
                <w:color w:val="auto"/>
                <w:sz w:val="24"/>
                <w:szCs w:val="32"/>
                <w:lang w:val="en-US" w:eastAsia="zh-CN"/>
              </w:rPr>
              <w:t>蒋先生</w:t>
            </w:r>
            <w:r>
              <w:rPr>
                <w:rFonts w:hint="eastAsia" w:ascii="宋体" w:hAnsi="宋体" w:cs="宋体"/>
                <w:color w:val="auto"/>
                <w:sz w:val="24"/>
                <w:szCs w:val="32"/>
                <w:lang w:val="en-US" w:eastAsia="en-US"/>
              </w:rPr>
              <w:t>。</w:t>
            </w:r>
          </w:p>
          <w:p w14:paraId="17B8AFE2">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联系电话：</w:t>
            </w:r>
            <w:r>
              <w:rPr>
                <w:rFonts w:hint="eastAsia" w:ascii="宋体" w:hAnsi="宋体" w:cs="宋体"/>
                <w:color w:val="auto"/>
                <w:sz w:val="24"/>
                <w:szCs w:val="32"/>
                <w:lang w:val="en-US" w:eastAsia="zh-CN"/>
              </w:rPr>
              <w:t>0825-5181166</w:t>
            </w:r>
            <w:r>
              <w:rPr>
                <w:rFonts w:hint="eastAsia" w:ascii="宋体" w:hAnsi="宋体" w:cs="宋体"/>
                <w:color w:val="auto"/>
                <w:sz w:val="24"/>
                <w:szCs w:val="32"/>
                <w:lang w:val="en-US" w:eastAsia="en-US"/>
              </w:rPr>
              <w:t>。</w:t>
            </w:r>
          </w:p>
          <w:p w14:paraId="65DB5526">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地址：</w:t>
            </w:r>
            <w:r>
              <w:rPr>
                <w:rFonts w:hint="eastAsia" w:ascii="宋体" w:hAnsi="宋体" w:cs="宋体"/>
                <w:color w:val="auto"/>
                <w:sz w:val="24"/>
                <w:szCs w:val="32"/>
                <w:lang w:val="en-US" w:eastAsia="zh-CN"/>
              </w:rPr>
              <w:t>蓬溪县映山街映山公馆A幢3楼5号。</w:t>
            </w:r>
          </w:p>
          <w:p w14:paraId="33B4C7AD">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邮编：629000。</w:t>
            </w:r>
          </w:p>
          <w:p w14:paraId="202D4C6D">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注：</w:t>
            </w:r>
            <w:r>
              <w:rPr>
                <w:rFonts w:hint="eastAsia" w:ascii="宋体" w:hAnsi="宋体" w:cs="宋体"/>
                <w:color w:val="auto"/>
                <w:sz w:val="24"/>
                <w:szCs w:val="32"/>
                <w:lang w:val="en-US" w:eastAsia="zh-CN"/>
              </w:rPr>
              <w:t>根据《中华人民共和国政府采购法》及《政府采购质疑和投诉办法》的规定，供应商质疑不得超出采购文件、采购过程、采购结果的范围，供应商需在法定质疑期内一次性提出针对同一采购程序环节的质疑。</w:t>
            </w:r>
          </w:p>
        </w:tc>
      </w:tr>
      <w:tr w14:paraId="638709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551" w:type="dxa"/>
            <w:tcBorders>
              <w:left w:val="single" w:color="000000" w:sz="16" w:space="0"/>
              <w:right w:val="single" w:color="000000" w:sz="6" w:space="0"/>
            </w:tcBorders>
            <w:vAlign w:val="center"/>
          </w:tcPr>
          <w:p w14:paraId="69922410">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14</w:t>
            </w:r>
          </w:p>
        </w:tc>
        <w:tc>
          <w:tcPr>
            <w:tcW w:w="2153" w:type="dxa"/>
            <w:tcBorders>
              <w:left w:val="single" w:color="000000" w:sz="6" w:space="0"/>
              <w:right w:val="single" w:color="000000" w:sz="6" w:space="0"/>
            </w:tcBorders>
            <w:vAlign w:val="center"/>
          </w:tcPr>
          <w:p w14:paraId="320CF70A">
            <w:pPr>
              <w:pStyle w:val="27"/>
              <w:spacing w:before="78" w:line="219" w:lineRule="auto"/>
              <w:jc w:val="center"/>
              <w:rPr>
                <w:rFonts w:ascii="Arial" w:hAnsi="Arial" w:eastAsia="Arial" w:cs="Arial"/>
                <w:spacing w:val="0"/>
                <w:sz w:val="24"/>
                <w:szCs w:val="24"/>
              </w:rPr>
            </w:pPr>
            <w:r>
              <w:rPr>
                <w:spacing w:val="-2"/>
              </w:rPr>
              <w:t>供应商投诉</w:t>
            </w:r>
          </w:p>
        </w:tc>
        <w:tc>
          <w:tcPr>
            <w:tcW w:w="6517" w:type="dxa"/>
            <w:tcBorders>
              <w:left w:val="single" w:color="000000" w:sz="6" w:space="0"/>
              <w:right w:val="single" w:color="000000" w:sz="16" w:space="0"/>
            </w:tcBorders>
            <w:vAlign w:val="top"/>
          </w:tcPr>
          <w:p w14:paraId="03010C43">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投诉受理单位：同级财政部门。</w:t>
            </w:r>
          </w:p>
          <w:p w14:paraId="724E9986">
            <w:pPr>
              <w:spacing w:line="360" w:lineRule="auto"/>
              <w:ind w:left="105" w:leftChars="50" w:right="105" w:rightChars="50" w:firstLine="240" w:firstLineChars="100"/>
              <w:rPr>
                <w:rFonts w:hint="default" w:ascii="宋体" w:hAnsi="宋体" w:cs="宋体"/>
                <w:color w:val="auto"/>
                <w:sz w:val="24"/>
                <w:szCs w:val="32"/>
                <w:lang w:val="en-US" w:eastAsia="zh-CN"/>
              </w:rPr>
            </w:pPr>
            <w:r>
              <w:rPr>
                <w:rFonts w:hint="eastAsia" w:ascii="宋体" w:hAnsi="宋体" w:cs="宋体"/>
                <w:color w:val="auto"/>
                <w:sz w:val="24"/>
                <w:szCs w:val="32"/>
                <w:lang w:val="en-US" w:eastAsia="en-US"/>
              </w:rPr>
              <w:t>注：根据《</w:t>
            </w:r>
            <w:r>
              <w:rPr>
                <w:rFonts w:hint="eastAsia" w:ascii="宋体" w:hAnsi="宋体" w:cs="宋体"/>
                <w:color w:val="auto"/>
                <w:sz w:val="24"/>
                <w:szCs w:val="32"/>
                <w:lang w:val="en-US" w:eastAsia="en-US"/>
              </w:rPr>
              <w:fldChar w:fldCharType="begin"/>
            </w:r>
            <w:r>
              <w:rPr>
                <w:rFonts w:hint="eastAsia" w:ascii="宋体" w:hAnsi="宋体" w:cs="宋体"/>
                <w:color w:val="auto"/>
                <w:sz w:val="24"/>
                <w:szCs w:val="32"/>
                <w:lang w:val="en-US" w:eastAsia="en-US"/>
              </w:rPr>
              <w:instrText xml:space="preserve"> HYPERLINK "https://alphalawyer.cn/ilawregu-search/api/v1/lawregu/redict/9087b04c32d27933441b7bbe92e0dec1" </w:instrText>
            </w:r>
            <w:r>
              <w:rPr>
                <w:rFonts w:hint="eastAsia" w:ascii="宋体" w:hAnsi="宋体" w:cs="宋体"/>
                <w:color w:val="auto"/>
                <w:sz w:val="24"/>
                <w:szCs w:val="32"/>
                <w:lang w:val="en-US" w:eastAsia="en-US"/>
              </w:rPr>
              <w:fldChar w:fldCharType="separate"/>
            </w:r>
            <w:r>
              <w:rPr>
                <w:rFonts w:hint="eastAsia" w:ascii="宋体" w:hAnsi="宋体" w:cs="宋体"/>
                <w:color w:val="auto"/>
                <w:sz w:val="24"/>
                <w:szCs w:val="32"/>
                <w:lang w:val="en-US" w:eastAsia="en-US"/>
              </w:rPr>
              <w:t>政府采购质疑和投诉办法</w:t>
            </w:r>
            <w:r>
              <w:rPr>
                <w:rFonts w:hint="eastAsia" w:ascii="宋体" w:hAnsi="宋体" w:cs="宋体"/>
                <w:color w:val="auto"/>
                <w:sz w:val="24"/>
                <w:szCs w:val="32"/>
                <w:lang w:val="en-US" w:eastAsia="en-US"/>
              </w:rPr>
              <w:fldChar w:fldCharType="end"/>
            </w:r>
            <w:r>
              <w:rPr>
                <w:rFonts w:hint="eastAsia" w:ascii="宋体" w:hAnsi="宋体" w:cs="宋体"/>
                <w:color w:val="auto"/>
                <w:sz w:val="24"/>
                <w:szCs w:val="32"/>
                <w:lang w:val="en-US" w:eastAsia="en-US"/>
              </w:rPr>
              <w:t>》的规定，供应商投诉的事项不得超出已质疑事项的范围，但基于质疑答复内容提出的投诉事项除外。</w:t>
            </w:r>
          </w:p>
        </w:tc>
      </w:tr>
      <w:tr w14:paraId="4F03A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551" w:type="dxa"/>
            <w:tcBorders>
              <w:left w:val="single" w:color="000000" w:sz="16" w:space="0"/>
              <w:right w:val="single" w:color="000000" w:sz="6" w:space="0"/>
            </w:tcBorders>
            <w:vAlign w:val="center"/>
          </w:tcPr>
          <w:p w14:paraId="7AEB5C64">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15</w:t>
            </w:r>
          </w:p>
        </w:tc>
        <w:tc>
          <w:tcPr>
            <w:tcW w:w="2153" w:type="dxa"/>
            <w:tcBorders>
              <w:left w:val="single" w:color="000000" w:sz="6" w:space="0"/>
              <w:right w:val="single" w:color="000000" w:sz="6" w:space="0"/>
            </w:tcBorders>
            <w:vAlign w:val="center"/>
          </w:tcPr>
          <w:p w14:paraId="5C737DC6">
            <w:pPr>
              <w:spacing w:before="0" w:line="240" w:lineRule="auto"/>
              <w:ind w:left="0" w:leftChars="0"/>
              <w:jc w:val="center"/>
              <w:rPr>
                <w:rFonts w:ascii="Arial" w:hAnsi="Arial" w:eastAsia="Arial" w:cs="Arial"/>
                <w:spacing w:val="0"/>
                <w:sz w:val="24"/>
                <w:szCs w:val="24"/>
              </w:rPr>
            </w:pPr>
            <w:r>
              <w:rPr>
                <w:rFonts w:ascii="Arial" w:hAnsi="Arial" w:eastAsia="Arial" w:cs="Arial"/>
                <w:spacing w:val="0"/>
                <w:sz w:val="24"/>
                <w:szCs w:val="24"/>
              </w:rPr>
              <w:t>投标文件份数</w:t>
            </w:r>
          </w:p>
        </w:tc>
        <w:tc>
          <w:tcPr>
            <w:tcW w:w="6517" w:type="dxa"/>
            <w:tcBorders>
              <w:left w:val="single" w:color="000000" w:sz="6" w:space="0"/>
              <w:right w:val="single" w:color="000000" w:sz="16" w:space="0"/>
            </w:tcBorders>
            <w:vAlign w:val="top"/>
          </w:tcPr>
          <w:p w14:paraId="15D74D7D">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资格性投标文件：正本壹份、副本肆份；</w:t>
            </w:r>
          </w:p>
          <w:p w14:paraId="17B62CCF">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其他响应性投标文件：正本壹份、副本肆份；</w:t>
            </w:r>
          </w:p>
          <w:p w14:paraId="7C28C661">
            <w:pPr>
              <w:spacing w:line="360" w:lineRule="auto"/>
              <w:ind w:left="105" w:leftChars="50" w:right="105" w:rightChars="50" w:firstLine="240" w:firstLineChars="100"/>
              <w:rPr>
                <w:rFonts w:hint="eastAsia" w:ascii="宋体" w:hAnsi="宋体" w:cs="宋体"/>
                <w:color w:val="auto"/>
                <w:sz w:val="24"/>
                <w:szCs w:val="32"/>
                <w:lang w:val="en-US" w:eastAsia="en-US"/>
              </w:rPr>
            </w:pPr>
            <w:r>
              <w:rPr>
                <w:rFonts w:hint="eastAsia" w:ascii="宋体" w:hAnsi="宋体" w:cs="宋体"/>
                <w:color w:val="auto"/>
                <w:sz w:val="24"/>
                <w:szCs w:val="32"/>
                <w:lang w:val="en-US" w:eastAsia="en-US"/>
              </w:rPr>
              <w:t>电子文档（U 盘或光盘）：壹份（采用U盘制作，电子文档须为响应文件正本加盖公章、签字后形成PDF扫描件，扫描件内容应与纸质响应文件正本完全一致）；</w:t>
            </w:r>
          </w:p>
          <w:p w14:paraId="7C789A99">
            <w:pPr>
              <w:spacing w:line="360" w:lineRule="auto"/>
              <w:ind w:left="105" w:leftChars="50" w:right="105" w:rightChars="50" w:firstLine="240" w:firstLineChars="100"/>
              <w:rPr>
                <w:rFonts w:hint="eastAsia" w:ascii="宋体" w:hAnsi="宋体" w:cs="宋体"/>
                <w:color w:val="auto"/>
                <w:sz w:val="24"/>
                <w:szCs w:val="32"/>
                <w:lang w:val="en-US" w:eastAsia="zh-CN"/>
              </w:rPr>
            </w:pPr>
            <w:r>
              <w:rPr>
                <w:rFonts w:hint="eastAsia" w:ascii="宋体" w:hAnsi="宋体" w:cs="宋体"/>
                <w:color w:val="auto"/>
                <w:sz w:val="24"/>
                <w:szCs w:val="32"/>
                <w:lang w:val="en-US" w:eastAsia="en-US"/>
              </w:rPr>
              <w:t>用于开标唱标单独密封提交的“开标一览表 ”：壹份。</w:t>
            </w:r>
          </w:p>
        </w:tc>
      </w:tr>
      <w:tr w14:paraId="61ADF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6" w:hRule="atLeast"/>
        </w:trPr>
        <w:tc>
          <w:tcPr>
            <w:tcW w:w="551" w:type="dxa"/>
            <w:tcBorders>
              <w:left w:val="single" w:color="000000" w:sz="16" w:space="0"/>
              <w:right w:val="single" w:color="000000" w:sz="6" w:space="0"/>
            </w:tcBorders>
            <w:vAlign w:val="center"/>
          </w:tcPr>
          <w:p w14:paraId="5ECB0E7A">
            <w:pPr>
              <w:spacing w:before="74" w:line="192" w:lineRule="auto"/>
              <w:jc w:val="center"/>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16</w:t>
            </w:r>
          </w:p>
        </w:tc>
        <w:tc>
          <w:tcPr>
            <w:tcW w:w="2153" w:type="dxa"/>
            <w:tcBorders>
              <w:left w:val="single" w:color="000000" w:sz="6" w:space="0"/>
              <w:right w:val="single" w:color="000000" w:sz="6" w:space="0"/>
            </w:tcBorders>
            <w:vAlign w:val="center"/>
          </w:tcPr>
          <w:p w14:paraId="2D12895B">
            <w:pPr>
              <w:spacing w:before="0" w:line="240" w:lineRule="auto"/>
              <w:ind w:left="0" w:leftChars="0"/>
              <w:jc w:val="center"/>
              <w:rPr>
                <w:rFonts w:hint="default" w:ascii="Arial" w:hAnsi="Arial" w:eastAsia="宋体" w:cs="Arial"/>
                <w:spacing w:val="0"/>
                <w:sz w:val="24"/>
                <w:szCs w:val="24"/>
                <w:lang w:val="en-US" w:eastAsia="zh-CN"/>
              </w:rPr>
            </w:pPr>
            <w:r>
              <w:rPr>
                <w:rFonts w:hint="eastAsia" w:ascii="宋体" w:hAnsi="宋体" w:eastAsia="宋体" w:cs="宋体"/>
                <w:sz w:val="24"/>
                <w:szCs w:val="24"/>
              </w:rPr>
              <w:t>节能、</w:t>
            </w:r>
            <w:r>
              <w:rPr>
                <w:rFonts w:hint="eastAsia" w:ascii="宋体" w:hAnsi="宋体" w:eastAsia="宋体" w:cs="宋体"/>
                <w:sz w:val="24"/>
                <w:szCs w:val="24"/>
                <w:lang w:val="en-US" w:eastAsia="zh-CN"/>
              </w:rPr>
              <w:t>环境标志</w:t>
            </w:r>
            <w:r>
              <w:rPr>
                <w:rFonts w:hint="eastAsia" w:ascii="宋体" w:hAnsi="宋体" w:eastAsia="宋体" w:cs="宋体"/>
                <w:sz w:val="24"/>
                <w:szCs w:val="24"/>
              </w:rPr>
              <w:t>产品政府采购政策</w:t>
            </w:r>
          </w:p>
        </w:tc>
        <w:tc>
          <w:tcPr>
            <w:tcW w:w="6517" w:type="dxa"/>
            <w:tcBorders>
              <w:left w:val="single" w:color="000000" w:sz="6" w:space="0"/>
              <w:right w:val="single" w:color="000000" w:sz="16" w:space="0"/>
            </w:tcBorders>
            <w:vAlign w:val="center"/>
          </w:tcPr>
          <w:p w14:paraId="2CC1DB31">
            <w:pPr>
              <w:keepNext w:val="0"/>
              <w:keepLines w:val="0"/>
              <w:pageBreakBefore w:val="0"/>
              <w:widowControl w:val="0"/>
              <w:kinsoku/>
              <w:wordWrap/>
              <w:overflowPunct/>
              <w:topLinePunct w:val="0"/>
              <w:autoSpaceDE/>
              <w:autoSpaceDN/>
              <w:bidi w:val="0"/>
              <w:adjustRightInd/>
              <w:snapToGrid/>
              <w:spacing w:line="360" w:lineRule="auto"/>
              <w:ind w:firstLine="241" w:firstLineChars="100"/>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rPr>
              <w:t>节能、环境标志产品政府采购政</w:t>
            </w:r>
            <w:r>
              <w:rPr>
                <w:rFonts w:hint="eastAsia" w:ascii="宋体" w:hAnsi="宋体" w:eastAsia="宋体" w:cs="宋体"/>
                <w:b/>
                <w:bCs/>
                <w:sz w:val="24"/>
                <w:szCs w:val="24"/>
                <w:highlight w:val="none"/>
              </w:rPr>
              <w:t>策：</w:t>
            </w:r>
            <w:r>
              <w:rPr>
                <w:rFonts w:hint="eastAsia" w:ascii="宋体" w:hAnsi="宋体" w:eastAsia="宋体" w:cs="宋体"/>
                <w:b/>
                <w:bCs/>
                <w:sz w:val="24"/>
                <w:szCs w:val="24"/>
                <w:highlight w:val="none"/>
                <w:lang w:val="en-US" w:eastAsia="zh-CN"/>
              </w:rPr>
              <w:t>本项目不涉及强制采购节能产品，不涉及优先采购节能、环境标志产品。</w:t>
            </w:r>
          </w:p>
          <w:p w14:paraId="6FD558DD">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根据《财政部发展改革委生态环境部市场监管总局关于调整优化节能产品、环境标志产品政府采购执行机制的通知》（财库〔2019〕9号）相关要求，依据品目清单和认证证书实施政府优先采购和强制采购。本项目采购的产品属于品目清单范围的，依据国家确定的认证机构出具的、处于有效期之内的节能产品、环境标志产品认证信息，对通过认证的产品实施政府优先采购或强制采购。</w:t>
            </w:r>
          </w:p>
          <w:p w14:paraId="2395DD38">
            <w:pPr>
              <w:keepNext w:val="0"/>
              <w:keepLines w:val="0"/>
              <w:pageBreakBefore w:val="0"/>
              <w:widowControl w:val="0"/>
              <w:kinsoku/>
              <w:wordWrap/>
              <w:overflowPunct/>
              <w:topLinePunct w:val="0"/>
              <w:autoSpaceDE/>
              <w:autoSpaceDN/>
              <w:bidi w:val="0"/>
              <w:adjustRightInd/>
              <w:snapToGrid/>
              <w:spacing w:line="360" w:lineRule="auto"/>
              <w:ind w:firstLine="241" w:firstLineChars="100"/>
              <w:jc w:val="left"/>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本项目采购的产品属于品目清单强制采购范围的，供应商应当在响应文件中提供国家确定的认证机构的认证结果信息发布平台公布的该产品认证信息截图或者打印资料并加盖供应商公章（鲜章），否则其响应文件按无效处理。（实质性要求）</w:t>
            </w:r>
          </w:p>
          <w:p w14:paraId="124ED410">
            <w:pPr>
              <w:keepNext w:val="0"/>
              <w:keepLines w:val="0"/>
              <w:pageBreakBefore w:val="0"/>
              <w:widowControl w:val="0"/>
              <w:kinsoku/>
              <w:wordWrap/>
              <w:overflowPunct/>
              <w:topLinePunct w:val="0"/>
              <w:autoSpaceDE/>
              <w:autoSpaceDN/>
              <w:bidi w:val="0"/>
              <w:adjustRightInd/>
              <w:snapToGrid/>
              <w:spacing w:line="360" w:lineRule="auto"/>
              <w:ind w:firstLine="241" w:firstLineChars="100"/>
              <w:jc w:val="left"/>
              <w:textAlignment w:val="auto"/>
              <w:rPr>
                <w:rFonts w:hint="default" w:ascii="宋体" w:hAnsi="宋体" w:eastAsia="宋体" w:cs="宋体"/>
                <w:color w:val="auto"/>
                <w:sz w:val="24"/>
                <w:szCs w:val="32"/>
                <w:lang w:val="en-US" w:eastAsia="zh-CN"/>
              </w:rPr>
            </w:pPr>
            <w:r>
              <w:rPr>
                <w:rFonts w:hint="eastAsia" w:ascii="宋体" w:hAnsi="宋体" w:eastAsia="宋体" w:cs="宋体"/>
                <w:b/>
                <w:bCs/>
                <w:sz w:val="24"/>
                <w:szCs w:val="24"/>
              </w:rPr>
              <w:t>注：对政府采购节能产品、环境标志产品实施品目清单管理</w:t>
            </w:r>
            <w:r>
              <w:rPr>
                <w:rFonts w:hint="eastAsia" w:ascii="宋体" w:hAnsi="宋体" w:eastAsia="宋体" w:cs="宋体"/>
                <w:b/>
                <w:bCs/>
                <w:sz w:val="24"/>
                <w:szCs w:val="24"/>
                <w:lang w:eastAsia="zh-CN"/>
              </w:rPr>
              <w:t>；</w:t>
            </w:r>
            <w:r>
              <w:rPr>
                <w:rFonts w:hint="eastAsia" w:ascii="宋体" w:hAnsi="宋体" w:eastAsia="宋体" w:cs="宋体"/>
                <w:b/>
                <w:bCs/>
                <w:sz w:val="24"/>
                <w:szCs w:val="24"/>
              </w:rPr>
              <w:t>财政部、发展改革委、生态环境部等部门确定实施政府优先采购和强制采购的产品类别，以品目清单的形式发布并适时调整。</w:t>
            </w:r>
          </w:p>
        </w:tc>
      </w:tr>
    </w:tbl>
    <w:p w14:paraId="4AB7F0B7">
      <w:pPr>
        <w:spacing w:line="74" w:lineRule="exact"/>
      </w:pPr>
    </w:p>
    <w:p w14:paraId="6FB9C93E">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r>
        <w:rPr>
          <w:rFonts w:ascii="宋体" w:hAnsi="宋体" w:eastAsia="宋体" w:cs="宋体"/>
          <w:spacing w:val="9"/>
          <w:sz w:val="31"/>
          <w:szCs w:val="31"/>
          <w14:textOutline w14:w="5793" w14:cap="sq" w14:cmpd="sng">
            <w14:solidFill>
              <w14:srgbClr w14:val="000000"/>
            </w14:solidFill>
            <w14:prstDash w14:val="solid"/>
            <w14:bevel/>
          </w14:textOutline>
        </w:rPr>
        <w:t>二、总  则</w:t>
      </w:r>
    </w:p>
    <w:p w14:paraId="2481054C">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 适用范围</w:t>
      </w:r>
    </w:p>
    <w:p w14:paraId="00F05ABD">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1.1 本招标文件仅适用于本次招标采购项目。</w:t>
      </w:r>
    </w:p>
    <w:p w14:paraId="35262AF4">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2. 有关定义</w:t>
      </w:r>
    </w:p>
    <w:p w14:paraId="4C5DAA45">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2.1 “采购人”系指依法进行政府采购的国家机关、事业单位、团体组织。本次 招标的采购人是遂宁市消防救援支队。</w:t>
      </w:r>
    </w:p>
    <w:p w14:paraId="331FE7BA">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2.2 “采购代理机构” 系指根据采购人的委托依法办理招标事宜的采购机构。本 次招标的采购代理机构是</w:t>
      </w:r>
      <w:r>
        <w:rPr>
          <w:rFonts w:hint="eastAsia" w:ascii="宋体" w:hAnsi="宋体" w:eastAsia="宋体" w:cs="宋体"/>
          <w:spacing w:val="2"/>
          <w:sz w:val="24"/>
          <w:szCs w:val="24"/>
          <w:lang w:eastAsia="zh-CN"/>
        </w:rPr>
        <w:t>四川华招项目管理有限公司</w:t>
      </w:r>
      <w:r>
        <w:rPr>
          <w:rFonts w:ascii="宋体" w:hAnsi="宋体" w:eastAsia="宋体" w:cs="宋体"/>
          <w:spacing w:val="2"/>
          <w:sz w:val="24"/>
          <w:szCs w:val="24"/>
        </w:rPr>
        <w:t xml:space="preserve"> 。</w:t>
      </w:r>
    </w:p>
    <w:p w14:paraId="0AD717E8">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2.3 “招标采购单位”系指“采购人”和“采购代理机构”的统称。</w:t>
      </w:r>
    </w:p>
    <w:p w14:paraId="0DF761FB">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2.4 “投标人”系指购买了招标文件拟参加投标和向采购人提供货物及相应服务 的供应商。</w:t>
      </w:r>
    </w:p>
    <w:p w14:paraId="18DA3532">
      <w:pPr>
        <w:spacing w:before="134" w:line="323" w:lineRule="auto"/>
        <w:ind w:left="10" w:right="63" w:firstLine="475"/>
        <w:rPr>
          <w:rFonts w:hint="eastAsia" w:ascii="宋体" w:hAnsi="宋体" w:eastAsia="宋体" w:cs="宋体"/>
          <w:b/>
          <w:bCs/>
          <w:spacing w:val="2"/>
          <w:sz w:val="24"/>
          <w:szCs w:val="24"/>
          <w:lang w:eastAsia="zh-CN"/>
        </w:rPr>
      </w:pPr>
      <w:r>
        <w:rPr>
          <w:rFonts w:ascii="宋体" w:hAnsi="宋体" w:eastAsia="宋体" w:cs="宋体"/>
          <w:b/>
          <w:bCs/>
          <w:spacing w:val="2"/>
          <w:sz w:val="24"/>
          <w:szCs w:val="24"/>
        </w:rPr>
        <w:t xml:space="preserve">3. 合格的投标人 </w:t>
      </w:r>
      <w:r>
        <w:rPr>
          <w:rFonts w:hint="eastAsia" w:ascii="宋体" w:hAnsi="宋体" w:eastAsia="宋体" w:cs="宋体"/>
          <w:b/>
          <w:bCs/>
          <w:spacing w:val="2"/>
          <w:sz w:val="24"/>
          <w:szCs w:val="24"/>
          <w:lang w:eastAsia="zh-CN"/>
        </w:rPr>
        <w:t>（</w:t>
      </w:r>
      <w:r>
        <w:rPr>
          <w:rFonts w:ascii="宋体" w:hAnsi="宋体" w:eastAsia="宋体" w:cs="宋体"/>
          <w:b/>
          <w:bCs/>
          <w:spacing w:val="2"/>
          <w:sz w:val="24"/>
          <w:szCs w:val="24"/>
        </w:rPr>
        <w:t>实质性要求</w:t>
      </w:r>
      <w:r>
        <w:rPr>
          <w:rFonts w:hint="eastAsia" w:ascii="宋体" w:hAnsi="宋体" w:eastAsia="宋体" w:cs="宋体"/>
          <w:b/>
          <w:bCs/>
          <w:spacing w:val="2"/>
          <w:sz w:val="24"/>
          <w:szCs w:val="24"/>
          <w:lang w:eastAsia="zh-CN"/>
        </w:rPr>
        <w:t>）</w:t>
      </w:r>
    </w:p>
    <w:p w14:paraId="40D6E0F8">
      <w:pPr>
        <w:spacing w:before="117" w:line="228" w:lineRule="auto"/>
        <w:ind w:left="671"/>
        <w:rPr>
          <w:rFonts w:ascii="宋体" w:hAnsi="宋体" w:eastAsia="宋体" w:cs="宋体"/>
          <w:sz w:val="24"/>
          <w:szCs w:val="24"/>
        </w:rPr>
      </w:pPr>
      <w:r>
        <w:rPr>
          <w:rFonts w:ascii="宋体" w:hAnsi="宋体" w:eastAsia="宋体" w:cs="宋体"/>
          <w:spacing w:val="15"/>
          <w:sz w:val="24"/>
          <w:szCs w:val="24"/>
        </w:rPr>
        <w:t>合</w:t>
      </w:r>
      <w:r>
        <w:rPr>
          <w:rFonts w:ascii="宋体" w:hAnsi="宋体" w:eastAsia="宋体" w:cs="宋体"/>
          <w:spacing w:val="8"/>
          <w:sz w:val="24"/>
          <w:szCs w:val="24"/>
        </w:rPr>
        <w:t>格的投标人应具备以下条件：</w:t>
      </w:r>
    </w:p>
    <w:p w14:paraId="7CA54C71">
      <w:pPr>
        <w:spacing w:before="114" w:line="227" w:lineRule="auto"/>
        <w:ind w:left="680"/>
        <w:rPr>
          <w:rFonts w:ascii="宋体" w:hAnsi="宋体" w:eastAsia="宋体" w:cs="宋体"/>
          <w:sz w:val="24"/>
          <w:szCs w:val="24"/>
        </w:rPr>
      </w:pPr>
      <w:r>
        <w:rPr>
          <w:rFonts w:hint="eastAsia" w:ascii="宋体" w:hAnsi="宋体" w:eastAsia="宋体" w:cs="宋体"/>
          <w:spacing w:val="22"/>
          <w:sz w:val="24"/>
          <w:szCs w:val="24"/>
          <w:lang w:eastAsia="zh-CN"/>
        </w:rPr>
        <w:t>（</w:t>
      </w:r>
      <w:r>
        <w:rPr>
          <w:rFonts w:ascii="宋体" w:hAnsi="宋体" w:eastAsia="宋体" w:cs="宋体"/>
          <w:spacing w:val="13"/>
          <w:sz w:val="24"/>
          <w:szCs w:val="24"/>
        </w:rPr>
        <w:t>1</w:t>
      </w:r>
      <w:r>
        <w:rPr>
          <w:rFonts w:hint="eastAsia" w:ascii="宋体" w:hAnsi="宋体" w:eastAsia="宋体" w:cs="宋体"/>
          <w:spacing w:val="13"/>
          <w:sz w:val="24"/>
          <w:szCs w:val="24"/>
          <w:lang w:eastAsia="zh-CN"/>
        </w:rPr>
        <w:t>）</w:t>
      </w:r>
      <w:r>
        <w:rPr>
          <w:rFonts w:ascii="宋体" w:hAnsi="宋体" w:eastAsia="宋体" w:cs="宋体"/>
          <w:spacing w:val="13"/>
          <w:sz w:val="24"/>
          <w:szCs w:val="24"/>
        </w:rPr>
        <w:t>本招标文件规定的供应商资格条件；</w:t>
      </w:r>
    </w:p>
    <w:p w14:paraId="27CAE0D7">
      <w:pPr>
        <w:spacing w:before="118" w:line="228" w:lineRule="auto"/>
        <w:ind w:left="680"/>
        <w:rPr>
          <w:rFonts w:ascii="宋体" w:hAnsi="宋体" w:eastAsia="宋体" w:cs="宋体"/>
          <w:sz w:val="24"/>
          <w:szCs w:val="24"/>
        </w:rPr>
      </w:pPr>
      <w:r>
        <w:rPr>
          <w:rFonts w:hint="eastAsia" w:ascii="宋体" w:hAnsi="宋体" w:eastAsia="宋体" w:cs="宋体"/>
          <w:spacing w:val="24"/>
          <w:sz w:val="24"/>
          <w:szCs w:val="24"/>
          <w:lang w:eastAsia="zh-CN"/>
        </w:rPr>
        <w:t>（</w:t>
      </w:r>
      <w:r>
        <w:rPr>
          <w:rFonts w:ascii="宋体" w:hAnsi="宋体" w:eastAsia="宋体" w:cs="宋体"/>
          <w:spacing w:val="15"/>
          <w:sz w:val="24"/>
          <w:szCs w:val="24"/>
        </w:rPr>
        <w:t>2</w:t>
      </w:r>
      <w:r>
        <w:rPr>
          <w:rFonts w:hint="eastAsia" w:ascii="宋体" w:hAnsi="宋体" w:eastAsia="宋体" w:cs="宋体"/>
          <w:spacing w:val="12"/>
          <w:sz w:val="24"/>
          <w:szCs w:val="24"/>
          <w:lang w:eastAsia="zh-CN"/>
        </w:rPr>
        <w:t>）</w:t>
      </w:r>
      <w:r>
        <w:rPr>
          <w:rFonts w:ascii="宋体" w:hAnsi="宋体" w:eastAsia="宋体" w:cs="宋体"/>
          <w:spacing w:val="12"/>
          <w:sz w:val="24"/>
          <w:szCs w:val="24"/>
        </w:rPr>
        <w:t>遵守国家有关的法律、法规、规章和其他政策制度；</w:t>
      </w:r>
    </w:p>
    <w:p w14:paraId="53A564D1">
      <w:pPr>
        <w:spacing w:before="117" w:line="227" w:lineRule="auto"/>
        <w:ind w:left="680"/>
        <w:rPr>
          <w:rFonts w:ascii="Arial"/>
          <w:sz w:val="24"/>
          <w:szCs w:val="24"/>
        </w:rPr>
      </w:pPr>
      <w:r>
        <w:rPr>
          <w:rFonts w:hint="eastAsia" w:ascii="宋体" w:hAnsi="宋体" w:eastAsia="宋体" w:cs="宋体"/>
          <w:spacing w:val="25"/>
          <w:sz w:val="24"/>
          <w:szCs w:val="24"/>
          <w:lang w:eastAsia="zh-CN"/>
        </w:rPr>
        <w:t>（</w:t>
      </w:r>
      <w:r>
        <w:rPr>
          <w:rFonts w:ascii="宋体" w:hAnsi="宋体" w:eastAsia="宋体" w:cs="宋体"/>
          <w:spacing w:val="13"/>
          <w:sz w:val="24"/>
          <w:szCs w:val="24"/>
        </w:rPr>
        <w:t>3</w:t>
      </w:r>
      <w:r>
        <w:rPr>
          <w:rFonts w:hint="eastAsia" w:ascii="宋体" w:hAnsi="宋体" w:eastAsia="宋体" w:cs="宋体"/>
          <w:spacing w:val="13"/>
          <w:sz w:val="24"/>
          <w:szCs w:val="24"/>
          <w:lang w:eastAsia="zh-CN"/>
        </w:rPr>
        <w:t>）</w:t>
      </w:r>
      <w:r>
        <w:rPr>
          <w:rFonts w:ascii="宋体" w:hAnsi="宋体" w:eastAsia="宋体" w:cs="宋体"/>
          <w:spacing w:val="13"/>
          <w:sz w:val="24"/>
          <w:szCs w:val="24"/>
        </w:rPr>
        <w:t>向采购代理机构购买了招标文件。</w:t>
      </w:r>
    </w:p>
    <w:p w14:paraId="6371C3B7">
      <w:pPr>
        <w:spacing w:before="134" w:line="323" w:lineRule="auto"/>
        <w:ind w:left="10" w:right="63" w:firstLine="475"/>
        <w:rPr>
          <w:rFonts w:hint="eastAsia" w:ascii="宋体" w:hAnsi="宋体" w:eastAsia="宋体" w:cs="宋体"/>
          <w:b/>
          <w:bCs/>
          <w:spacing w:val="2"/>
          <w:sz w:val="24"/>
          <w:szCs w:val="24"/>
          <w:lang w:eastAsia="zh-CN"/>
        </w:rPr>
      </w:pPr>
      <w:r>
        <w:rPr>
          <w:rFonts w:ascii="宋体" w:hAnsi="宋体" w:eastAsia="宋体" w:cs="宋体"/>
          <w:b/>
          <w:bCs/>
          <w:spacing w:val="2"/>
          <w:sz w:val="24"/>
          <w:szCs w:val="24"/>
        </w:rPr>
        <w:t xml:space="preserve">4. 投标费用 </w:t>
      </w:r>
      <w:r>
        <w:rPr>
          <w:rFonts w:hint="eastAsia" w:ascii="宋体" w:hAnsi="宋体" w:eastAsia="宋体" w:cs="宋体"/>
          <w:b/>
          <w:bCs/>
          <w:spacing w:val="2"/>
          <w:sz w:val="24"/>
          <w:szCs w:val="24"/>
          <w:lang w:eastAsia="zh-CN"/>
        </w:rPr>
        <w:t>（</w:t>
      </w:r>
      <w:r>
        <w:rPr>
          <w:rFonts w:ascii="宋体" w:hAnsi="宋体" w:eastAsia="宋体" w:cs="宋体"/>
          <w:b/>
          <w:bCs/>
          <w:spacing w:val="2"/>
          <w:sz w:val="24"/>
          <w:szCs w:val="24"/>
        </w:rPr>
        <w:t>实质性要求</w:t>
      </w:r>
      <w:r>
        <w:rPr>
          <w:rFonts w:hint="eastAsia" w:ascii="宋体" w:hAnsi="宋体" w:eastAsia="宋体" w:cs="宋体"/>
          <w:b/>
          <w:bCs/>
          <w:spacing w:val="2"/>
          <w:sz w:val="24"/>
          <w:szCs w:val="24"/>
          <w:lang w:eastAsia="zh-CN"/>
        </w:rPr>
        <w:t>）</w:t>
      </w:r>
    </w:p>
    <w:p w14:paraId="056B09D3">
      <w:pPr>
        <w:spacing w:before="115" w:line="228" w:lineRule="auto"/>
        <w:ind w:left="483"/>
        <w:rPr>
          <w:rFonts w:ascii="宋体" w:hAnsi="宋体" w:eastAsia="宋体" w:cs="宋体"/>
          <w:sz w:val="24"/>
          <w:szCs w:val="24"/>
        </w:rPr>
      </w:pPr>
      <w:r>
        <w:rPr>
          <w:rFonts w:ascii="宋体" w:hAnsi="宋体" w:eastAsia="宋体" w:cs="宋体"/>
          <w:spacing w:val="9"/>
          <w:sz w:val="24"/>
          <w:szCs w:val="24"/>
        </w:rPr>
        <w:t>投标人参加投标的有关费用由投标人自行承担</w:t>
      </w:r>
      <w:r>
        <w:rPr>
          <w:rFonts w:ascii="宋体" w:hAnsi="宋体" w:eastAsia="宋体" w:cs="宋体"/>
          <w:spacing w:val="7"/>
          <w:sz w:val="24"/>
          <w:szCs w:val="24"/>
        </w:rPr>
        <w:t>。</w:t>
      </w:r>
    </w:p>
    <w:p w14:paraId="389441FD">
      <w:pPr>
        <w:spacing w:before="134" w:line="323" w:lineRule="auto"/>
        <w:ind w:left="10" w:right="63" w:firstLine="475"/>
        <w:rPr>
          <w:rFonts w:hint="eastAsia" w:ascii="宋体" w:hAnsi="宋体" w:eastAsia="宋体" w:cs="宋体"/>
          <w:b/>
          <w:bCs/>
          <w:spacing w:val="2"/>
          <w:sz w:val="24"/>
          <w:szCs w:val="24"/>
          <w:lang w:eastAsia="zh-CN"/>
        </w:rPr>
      </w:pPr>
      <w:r>
        <w:rPr>
          <w:rFonts w:ascii="宋体" w:hAnsi="宋体" w:eastAsia="宋体" w:cs="宋体"/>
          <w:b/>
          <w:bCs/>
          <w:spacing w:val="2"/>
          <w:sz w:val="24"/>
          <w:szCs w:val="24"/>
        </w:rPr>
        <w:t xml:space="preserve">5、充分、公平竞争保障措施 </w:t>
      </w:r>
      <w:r>
        <w:rPr>
          <w:rFonts w:hint="eastAsia" w:ascii="宋体" w:hAnsi="宋体" w:eastAsia="宋体" w:cs="宋体"/>
          <w:b/>
          <w:bCs/>
          <w:spacing w:val="2"/>
          <w:sz w:val="24"/>
          <w:szCs w:val="24"/>
          <w:lang w:eastAsia="zh-CN"/>
        </w:rPr>
        <w:t>（</w:t>
      </w:r>
      <w:r>
        <w:rPr>
          <w:rFonts w:ascii="宋体" w:hAnsi="宋体" w:eastAsia="宋体" w:cs="宋体"/>
          <w:b/>
          <w:bCs/>
          <w:spacing w:val="2"/>
          <w:sz w:val="24"/>
          <w:szCs w:val="24"/>
        </w:rPr>
        <w:t>实质性要求</w:t>
      </w:r>
      <w:r>
        <w:rPr>
          <w:rFonts w:hint="eastAsia" w:ascii="宋体" w:hAnsi="宋体" w:eastAsia="宋体" w:cs="宋体"/>
          <w:b/>
          <w:bCs/>
          <w:spacing w:val="2"/>
          <w:sz w:val="24"/>
          <w:szCs w:val="24"/>
          <w:lang w:eastAsia="zh-CN"/>
        </w:rPr>
        <w:t>）</w:t>
      </w:r>
    </w:p>
    <w:p w14:paraId="485503A3">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5.1 利害关系供应商处理。</w:t>
      </w:r>
    </w:p>
    <w:p w14:paraId="2BC91873">
      <w:pPr>
        <w:spacing w:before="134" w:line="323" w:lineRule="auto"/>
        <w:ind w:left="10" w:right="63" w:firstLine="475"/>
        <w:rPr>
          <w:rFonts w:ascii="宋体" w:hAnsi="宋体" w:eastAsia="宋体" w:cs="宋体"/>
          <w:spacing w:val="2"/>
          <w:sz w:val="24"/>
          <w:szCs w:val="24"/>
        </w:rPr>
      </w:pPr>
      <w:r>
        <w:rPr>
          <w:rFonts w:ascii="宋体" w:hAnsi="宋体" w:eastAsia="宋体" w:cs="宋体"/>
          <w:spacing w:val="2"/>
          <w:sz w:val="24"/>
          <w:szCs w:val="24"/>
        </w:rPr>
        <w:t>单位负责人为同一人或者存在直接控股、管理关系的不同供应商不得参加同一合同项下的政府采购活动。采购项目实行资格预审的，单位负责人为同一人或者存在直接控股、管理关系的不同供应商可以参加资格预审，但只能由供应商确定其中一家符合条件的供应商参加后续的政府采购活动，否则，其投标文件作为无效处理。</w:t>
      </w:r>
    </w:p>
    <w:p w14:paraId="190EB42B">
      <w:pPr>
        <w:spacing w:before="133" w:line="323" w:lineRule="auto"/>
        <w:ind w:left="9" w:right="63" w:firstLine="476"/>
        <w:rPr>
          <w:rFonts w:ascii="宋体" w:hAnsi="宋体" w:eastAsia="宋体" w:cs="宋体"/>
          <w:sz w:val="24"/>
          <w:szCs w:val="24"/>
        </w:rPr>
      </w:pPr>
      <w:r>
        <w:rPr>
          <w:rFonts w:ascii="宋体" w:hAnsi="宋体" w:eastAsia="宋体" w:cs="宋体"/>
          <w:b/>
          <w:bCs/>
          <w:spacing w:val="2"/>
          <w:sz w:val="24"/>
          <w:szCs w:val="24"/>
        </w:rPr>
        <w:t>5.2 前期参与供应商处理。</w:t>
      </w:r>
      <w:r>
        <w:rPr>
          <w:rFonts w:ascii="宋体" w:hAnsi="宋体" w:eastAsia="宋体" w:cs="宋体"/>
          <w:spacing w:val="1"/>
          <w:sz w:val="24"/>
          <w:szCs w:val="24"/>
        </w:rPr>
        <w:t>为采购项目提供整体设计、规范编制或者项目管理、监理、检测等服务的供应商，不得再参加该采购项目的其他采购活动。供应商为采购人、</w:t>
      </w:r>
      <w:r>
        <w:rPr>
          <w:rFonts w:ascii="宋体" w:hAnsi="宋体" w:eastAsia="宋体" w:cs="宋体"/>
          <w:spacing w:val="17"/>
          <w:sz w:val="24"/>
          <w:szCs w:val="24"/>
        </w:rPr>
        <w:t xml:space="preserve"> </w:t>
      </w:r>
      <w:r>
        <w:rPr>
          <w:rFonts w:ascii="宋体" w:hAnsi="宋体" w:eastAsia="宋体" w:cs="宋体"/>
          <w:spacing w:val="1"/>
          <w:sz w:val="24"/>
          <w:szCs w:val="24"/>
        </w:rPr>
        <w:t>采购代理机构在确定采购需求、编制采购文件过程中提供咨询论证，其提供的咨询论证</w:t>
      </w:r>
      <w:r>
        <w:rPr>
          <w:rFonts w:ascii="宋体" w:hAnsi="宋体" w:eastAsia="宋体" w:cs="宋体"/>
          <w:spacing w:val="17"/>
          <w:sz w:val="24"/>
          <w:szCs w:val="24"/>
        </w:rPr>
        <w:t xml:space="preserve"> </w:t>
      </w:r>
      <w:r>
        <w:rPr>
          <w:rFonts w:ascii="宋体" w:hAnsi="宋体" w:eastAsia="宋体" w:cs="宋体"/>
          <w:spacing w:val="1"/>
          <w:sz w:val="24"/>
          <w:szCs w:val="24"/>
        </w:rPr>
        <w:t>意见成为采购文件中规定的供应商资格条件、技术服务商务要求、评标因素和标准、政</w:t>
      </w:r>
      <w:r>
        <w:rPr>
          <w:rFonts w:ascii="宋体" w:hAnsi="宋体" w:eastAsia="宋体" w:cs="宋体"/>
          <w:sz w:val="24"/>
          <w:szCs w:val="24"/>
        </w:rPr>
        <w:t>府采购合同等实质性内容条款的，视同为采</w:t>
      </w:r>
      <w:r>
        <w:rPr>
          <w:rFonts w:ascii="宋体" w:hAnsi="宋体" w:eastAsia="宋体" w:cs="宋体"/>
          <w:spacing w:val="-1"/>
          <w:sz w:val="24"/>
          <w:szCs w:val="24"/>
        </w:rPr>
        <w:t>购项目提供规范编制。</w:t>
      </w:r>
    </w:p>
    <w:p w14:paraId="34CDAFE2">
      <w:pPr>
        <w:spacing w:before="135" w:line="323" w:lineRule="auto"/>
        <w:ind w:left="21" w:right="63" w:firstLine="463"/>
        <w:rPr>
          <w:rFonts w:ascii="宋体" w:hAnsi="宋体" w:eastAsia="宋体" w:cs="宋体"/>
          <w:sz w:val="24"/>
          <w:szCs w:val="24"/>
        </w:rPr>
      </w:pPr>
      <w:r>
        <w:rPr>
          <w:rFonts w:ascii="宋体" w:hAnsi="宋体" w:eastAsia="宋体" w:cs="宋体"/>
          <w:b/>
          <w:bCs/>
          <w:spacing w:val="2"/>
          <w:sz w:val="24"/>
          <w:szCs w:val="24"/>
        </w:rPr>
        <w:t>5.3 利害关系代理人处理。</w:t>
      </w:r>
      <w:r>
        <w:rPr>
          <w:rFonts w:ascii="宋体" w:hAnsi="宋体" w:eastAsia="宋体" w:cs="宋体"/>
          <w:spacing w:val="-3"/>
          <w:sz w:val="24"/>
          <w:szCs w:val="24"/>
        </w:rPr>
        <w:t>2</w:t>
      </w:r>
      <w:r>
        <w:rPr>
          <w:rFonts w:ascii="宋体" w:hAnsi="宋体" w:eastAsia="宋体" w:cs="宋体"/>
          <w:spacing w:val="-48"/>
          <w:sz w:val="24"/>
          <w:szCs w:val="24"/>
        </w:rPr>
        <w:t xml:space="preserve"> </w:t>
      </w:r>
      <w:r>
        <w:rPr>
          <w:rFonts w:ascii="宋体" w:hAnsi="宋体" w:eastAsia="宋体" w:cs="宋体"/>
          <w:spacing w:val="-3"/>
          <w:sz w:val="24"/>
          <w:szCs w:val="24"/>
        </w:rPr>
        <w:t>家以上的供应商不</w:t>
      </w:r>
      <w:r>
        <w:rPr>
          <w:rFonts w:ascii="宋体" w:hAnsi="宋体" w:eastAsia="宋体" w:cs="宋体"/>
          <w:spacing w:val="-4"/>
          <w:sz w:val="24"/>
          <w:szCs w:val="24"/>
        </w:rPr>
        <w:t>得在同一合同项下的采购项目中，同</w:t>
      </w:r>
      <w:r>
        <w:rPr>
          <w:rFonts w:ascii="宋体" w:hAnsi="宋体" w:eastAsia="宋体" w:cs="宋体"/>
          <w:spacing w:val="1"/>
          <w:sz w:val="24"/>
          <w:szCs w:val="24"/>
        </w:rPr>
        <w:t>时委托同一个自然人、同一家庭的人员、同一单位的人员作为其代理人，否则，其投标</w:t>
      </w:r>
      <w:r>
        <w:rPr>
          <w:rFonts w:ascii="宋体" w:hAnsi="宋体" w:eastAsia="宋体" w:cs="宋体"/>
          <w:spacing w:val="-2"/>
          <w:sz w:val="24"/>
          <w:szCs w:val="24"/>
        </w:rPr>
        <w:t>文件作为无效处理。</w:t>
      </w:r>
    </w:p>
    <w:p w14:paraId="1A661083">
      <w:pPr>
        <w:spacing w:before="134" w:line="420" w:lineRule="exact"/>
        <w:ind w:left="485"/>
        <w:rPr>
          <w:rFonts w:ascii="宋体" w:hAnsi="宋体" w:eastAsia="宋体" w:cs="宋体"/>
          <w:sz w:val="24"/>
          <w:szCs w:val="24"/>
        </w:rPr>
      </w:pPr>
      <w:r>
        <w:rPr>
          <w:rFonts w:ascii="宋体" w:hAnsi="宋体" w:eastAsia="宋体" w:cs="宋体"/>
          <w:spacing w:val="2"/>
          <w:position w:val="13"/>
          <w:sz w:val="24"/>
          <w:szCs w:val="24"/>
        </w:rPr>
        <w:t>5.4 供应商实际控制人或者中高级管理人</w:t>
      </w:r>
      <w:r>
        <w:rPr>
          <w:rFonts w:ascii="宋体" w:hAnsi="宋体" w:eastAsia="宋体" w:cs="宋体"/>
          <w:spacing w:val="1"/>
          <w:position w:val="13"/>
          <w:sz w:val="24"/>
          <w:szCs w:val="24"/>
        </w:rPr>
        <w:t>员，同时是采购代理机构工作人员，不得</w:t>
      </w:r>
    </w:p>
    <w:p w14:paraId="4DEAFC31">
      <w:pPr>
        <w:spacing w:line="219" w:lineRule="auto"/>
        <w:ind w:left="12"/>
        <w:rPr>
          <w:rFonts w:ascii="宋体" w:hAnsi="宋体" w:eastAsia="宋体" w:cs="宋体"/>
          <w:sz w:val="24"/>
          <w:szCs w:val="24"/>
        </w:rPr>
      </w:pPr>
      <w:r>
        <w:rPr>
          <w:rFonts w:ascii="宋体" w:hAnsi="宋体" w:eastAsia="宋体" w:cs="宋体"/>
          <w:spacing w:val="-1"/>
          <w:sz w:val="24"/>
          <w:szCs w:val="24"/>
        </w:rPr>
        <w:t>参与本项目政府采购活动。</w:t>
      </w:r>
    </w:p>
    <w:p w14:paraId="214D1205">
      <w:pPr>
        <w:spacing w:before="135" w:line="420" w:lineRule="exact"/>
        <w:ind w:left="485"/>
        <w:rPr>
          <w:rFonts w:ascii="宋体" w:hAnsi="宋体" w:eastAsia="宋体" w:cs="宋体"/>
          <w:sz w:val="24"/>
          <w:szCs w:val="24"/>
        </w:rPr>
      </w:pPr>
      <w:r>
        <w:rPr>
          <w:rFonts w:ascii="宋体" w:hAnsi="宋体" w:eastAsia="宋体" w:cs="宋体"/>
          <w:spacing w:val="2"/>
          <w:position w:val="13"/>
          <w:sz w:val="24"/>
          <w:szCs w:val="24"/>
        </w:rPr>
        <w:t>5.5</w:t>
      </w:r>
      <w:r>
        <w:rPr>
          <w:rFonts w:ascii="宋体" w:hAnsi="宋体" w:eastAsia="宋体" w:cs="宋体"/>
          <w:spacing w:val="-18"/>
          <w:position w:val="13"/>
          <w:sz w:val="24"/>
          <w:szCs w:val="24"/>
        </w:rPr>
        <w:t xml:space="preserve"> </w:t>
      </w:r>
      <w:r>
        <w:rPr>
          <w:rFonts w:ascii="宋体" w:hAnsi="宋体" w:eastAsia="宋体" w:cs="宋体"/>
          <w:spacing w:val="2"/>
          <w:position w:val="13"/>
          <w:sz w:val="24"/>
          <w:szCs w:val="24"/>
        </w:rPr>
        <w:t>同一母公司的两家以上的子公司只能组成联合体参加本项目同一合同项下的采</w:t>
      </w:r>
    </w:p>
    <w:p w14:paraId="3DA66DF5">
      <w:pPr>
        <w:spacing w:before="1" w:line="219" w:lineRule="auto"/>
        <w:ind w:left="8"/>
        <w:rPr>
          <w:rFonts w:ascii="宋体" w:hAnsi="宋体" w:eastAsia="宋体" w:cs="宋体"/>
          <w:sz w:val="24"/>
          <w:szCs w:val="24"/>
        </w:rPr>
      </w:pPr>
      <w:r>
        <w:rPr>
          <w:rFonts w:ascii="宋体" w:hAnsi="宋体" w:eastAsia="宋体" w:cs="宋体"/>
          <w:sz w:val="24"/>
          <w:szCs w:val="24"/>
        </w:rPr>
        <w:t>购活动，不得以不同供应商身份同时参加本项目同一合</w:t>
      </w:r>
      <w:r>
        <w:rPr>
          <w:rFonts w:ascii="宋体" w:hAnsi="宋体" w:eastAsia="宋体" w:cs="宋体"/>
          <w:spacing w:val="-1"/>
          <w:sz w:val="24"/>
          <w:szCs w:val="24"/>
        </w:rPr>
        <w:t>同项下的采购活动。</w:t>
      </w:r>
    </w:p>
    <w:p w14:paraId="7B7F15EA">
      <w:pPr>
        <w:spacing w:before="134" w:line="420" w:lineRule="exact"/>
        <w:jc w:val="right"/>
        <w:rPr>
          <w:rFonts w:ascii="宋体" w:hAnsi="宋体" w:eastAsia="宋体" w:cs="宋体"/>
          <w:sz w:val="24"/>
          <w:szCs w:val="24"/>
        </w:rPr>
      </w:pPr>
      <w:r>
        <w:rPr>
          <w:rFonts w:ascii="宋体" w:hAnsi="宋体" w:eastAsia="宋体" w:cs="宋体"/>
          <w:spacing w:val="-2"/>
          <w:position w:val="13"/>
          <w:sz w:val="24"/>
          <w:szCs w:val="24"/>
        </w:rPr>
        <w:t>5.6</w:t>
      </w:r>
      <w:r>
        <w:rPr>
          <w:rFonts w:ascii="宋体" w:hAnsi="宋体" w:eastAsia="宋体" w:cs="宋体"/>
          <w:spacing w:val="-50"/>
          <w:position w:val="13"/>
          <w:sz w:val="24"/>
          <w:szCs w:val="24"/>
        </w:rPr>
        <w:t xml:space="preserve"> </w:t>
      </w:r>
      <w:r>
        <w:rPr>
          <w:rFonts w:ascii="宋体" w:hAnsi="宋体" w:eastAsia="宋体" w:cs="宋体"/>
          <w:spacing w:val="-2"/>
          <w:position w:val="13"/>
          <w:sz w:val="24"/>
          <w:szCs w:val="24"/>
        </w:rPr>
        <w:t>供应商与采购代理机构存在关联关系，或者是采购代理机构的母公</w:t>
      </w:r>
      <w:r>
        <w:rPr>
          <w:rFonts w:ascii="宋体" w:hAnsi="宋体" w:eastAsia="宋体" w:cs="宋体"/>
          <w:spacing w:val="-3"/>
          <w:position w:val="13"/>
          <w:sz w:val="24"/>
          <w:szCs w:val="24"/>
        </w:rPr>
        <w:t>司或子公司，</w:t>
      </w:r>
    </w:p>
    <w:p w14:paraId="0114975E">
      <w:pPr>
        <w:spacing w:before="1" w:line="219" w:lineRule="auto"/>
        <w:ind w:left="14"/>
        <w:rPr>
          <w:rFonts w:ascii="宋体" w:hAnsi="宋体" w:eastAsia="宋体" w:cs="宋体"/>
          <w:sz w:val="24"/>
          <w:szCs w:val="24"/>
        </w:rPr>
      </w:pPr>
      <w:r>
        <w:rPr>
          <w:rFonts w:ascii="宋体" w:hAnsi="宋体" w:eastAsia="宋体" w:cs="宋体"/>
          <w:spacing w:val="-1"/>
          <w:sz w:val="24"/>
          <w:szCs w:val="24"/>
        </w:rPr>
        <w:t>不得参加本项目政府采购活动。</w:t>
      </w:r>
    </w:p>
    <w:p w14:paraId="09FCD59C">
      <w:pPr>
        <w:spacing w:before="135" w:line="420" w:lineRule="exact"/>
        <w:jc w:val="right"/>
        <w:rPr>
          <w:rFonts w:ascii="宋体" w:hAnsi="宋体" w:eastAsia="宋体" w:cs="宋体"/>
          <w:sz w:val="24"/>
          <w:szCs w:val="24"/>
        </w:rPr>
      </w:pPr>
      <w:r>
        <w:rPr>
          <w:rFonts w:ascii="宋体" w:hAnsi="宋体" w:eastAsia="宋体" w:cs="宋体"/>
          <w:spacing w:val="-4"/>
          <w:position w:val="13"/>
          <w:sz w:val="24"/>
          <w:szCs w:val="24"/>
        </w:rPr>
        <w:t>5.7</w:t>
      </w:r>
      <w:r>
        <w:rPr>
          <w:rFonts w:ascii="宋体" w:hAnsi="宋体" w:eastAsia="宋体" w:cs="宋体"/>
          <w:spacing w:val="34"/>
          <w:position w:val="13"/>
          <w:sz w:val="24"/>
          <w:szCs w:val="24"/>
        </w:rPr>
        <w:t xml:space="preserve"> </w:t>
      </w:r>
      <w:r>
        <w:rPr>
          <w:rFonts w:ascii="宋体" w:hAnsi="宋体" w:eastAsia="宋体" w:cs="宋体"/>
          <w:spacing w:val="-4"/>
          <w:position w:val="13"/>
          <w:sz w:val="24"/>
          <w:szCs w:val="24"/>
        </w:rPr>
        <w:t>回避。政府采购活动中，采购人员及相关人员与供应商有下列利害关系之一的，</w:t>
      </w:r>
    </w:p>
    <w:p w14:paraId="12562FAD">
      <w:pPr>
        <w:spacing w:line="222" w:lineRule="auto"/>
        <w:ind w:left="10"/>
        <w:rPr>
          <w:rFonts w:ascii="宋体" w:hAnsi="宋体" w:eastAsia="宋体" w:cs="宋体"/>
          <w:sz w:val="24"/>
          <w:szCs w:val="24"/>
        </w:rPr>
      </w:pPr>
      <w:r>
        <w:rPr>
          <w:rFonts w:ascii="宋体" w:hAnsi="宋体" w:eastAsia="宋体" w:cs="宋体"/>
          <w:spacing w:val="-2"/>
          <w:sz w:val="24"/>
          <w:szCs w:val="24"/>
        </w:rPr>
        <w:t>应当回避：</w:t>
      </w:r>
    </w:p>
    <w:p w14:paraId="4B30786C">
      <w:pPr>
        <w:spacing w:before="78" w:line="219" w:lineRule="auto"/>
        <w:ind w:left="492"/>
        <w:rPr>
          <w:rFonts w:ascii="宋体" w:hAnsi="宋体" w:eastAsia="宋体" w:cs="宋体"/>
          <w:sz w:val="24"/>
          <w:szCs w:val="24"/>
        </w:rPr>
      </w:pPr>
      <w:r>
        <w:rPr>
          <w:rFonts w:ascii="宋体" w:hAnsi="宋体" w:eastAsia="宋体" w:cs="宋体"/>
          <w:spacing w:val="-1"/>
          <w:sz w:val="24"/>
          <w:szCs w:val="24"/>
        </w:rPr>
        <w:t>（1）参加采购活动前 3 年内与供应商存在劳动关系；</w:t>
      </w:r>
    </w:p>
    <w:p w14:paraId="4464F9E7">
      <w:pPr>
        <w:spacing w:before="135" w:line="219" w:lineRule="auto"/>
        <w:ind w:left="492"/>
        <w:rPr>
          <w:rFonts w:ascii="宋体" w:hAnsi="宋体" w:eastAsia="宋体" w:cs="宋体"/>
          <w:sz w:val="24"/>
          <w:szCs w:val="24"/>
        </w:rPr>
      </w:pPr>
      <w:r>
        <w:rPr>
          <w:rFonts w:ascii="宋体" w:hAnsi="宋体" w:eastAsia="宋体" w:cs="宋体"/>
          <w:spacing w:val="-1"/>
          <w:sz w:val="24"/>
          <w:szCs w:val="24"/>
        </w:rPr>
        <w:t>（2）参加采购活动前 3 年内担任供应商的董事、监事；</w:t>
      </w:r>
    </w:p>
    <w:p w14:paraId="020AF7CF">
      <w:pPr>
        <w:spacing w:before="135" w:line="219" w:lineRule="auto"/>
        <w:ind w:left="492"/>
        <w:rPr>
          <w:rFonts w:ascii="宋体" w:hAnsi="宋体" w:eastAsia="宋体" w:cs="宋体"/>
          <w:sz w:val="24"/>
          <w:szCs w:val="24"/>
        </w:rPr>
      </w:pPr>
      <w:r>
        <w:rPr>
          <w:rFonts w:ascii="宋体" w:hAnsi="宋体" w:eastAsia="宋体" w:cs="宋体"/>
          <w:spacing w:val="-1"/>
          <w:sz w:val="24"/>
          <w:szCs w:val="24"/>
        </w:rPr>
        <w:t>（3）参加采购活动前 3 年内是供应商的控股股东或者实际控制人；</w:t>
      </w:r>
    </w:p>
    <w:p w14:paraId="73A30EA7">
      <w:pPr>
        <w:spacing w:before="134" w:line="420" w:lineRule="exact"/>
        <w:ind w:right="58"/>
        <w:jc w:val="right"/>
        <w:rPr>
          <w:rFonts w:ascii="宋体" w:hAnsi="宋体" w:eastAsia="宋体" w:cs="宋体"/>
          <w:sz w:val="24"/>
          <w:szCs w:val="24"/>
        </w:rPr>
      </w:pPr>
      <w:r>
        <w:rPr>
          <w:rFonts w:ascii="宋体" w:hAnsi="宋体" w:eastAsia="宋体" w:cs="宋体"/>
          <w:spacing w:val="-2"/>
          <w:position w:val="13"/>
          <w:sz w:val="24"/>
          <w:szCs w:val="24"/>
        </w:rPr>
        <w:t>（4）与供应商的法定代表人或者负责人有夫妻、直系血亲、三代以内旁系血亲或者</w:t>
      </w:r>
    </w:p>
    <w:p w14:paraId="212B107F">
      <w:pPr>
        <w:spacing w:line="220" w:lineRule="auto"/>
        <w:ind w:left="9"/>
        <w:rPr>
          <w:rFonts w:ascii="宋体" w:hAnsi="宋体" w:eastAsia="宋体" w:cs="宋体"/>
          <w:sz w:val="24"/>
          <w:szCs w:val="24"/>
        </w:rPr>
      </w:pPr>
      <w:r>
        <w:rPr>
          <w:rFonts w:ascii="宋体" w:hAnsi="宋体" w:eastAsia="宋体" w:cs="宋体"/>
          <w:spacing w:val="-2"/>
          <w:sz w:val="24"/>
          <w:szCs w:val="24"/>
        </w:rPr>
        <w:t>近姻亲关系；</w:t>
      </w:r>
    </w:p>
    <w:p w14:paraId="41D6AB64">
      <w:pPr>
        <w:spacing w:before="134" w:line="219" w:lineRule="auto"/>
        <w:ind w:left="492"/>
        <w:rPr>
          <w:rFonts w:ascii="宋体" w:hAnsi="宋体" w:eastAsia="宋体" w:cs="宋体"/>
          <w:sz w:val="24"/>
          <w:szCs w:val="24"/>
        </w:rPr>
      </w:pPr>
      <w:r>
        <w:rPr>
          <w:rFonts w:ascii="宋体" w:hAnsi="宋体" w:eastAsia="宋体" w:cs="宋体"/>
          <w:spacing w:val="-1"/>
          <w:sz w:val="24"/>
          <w:szCs w:val="24"/>
        </w:rPr>
        <w:t>（5）与供应商有其他可能影响政府采购活动公平、公正进行的关系。</w:t>
      </w:r>
    </w:p>
    <w:p w14:paraId="5BCD44CC">
      <w:pPr>
        <w:spacing w:before="135" w:line="323" w:lineRule="auto"/>
        <w:ind w:left="10" w:right="58" w:firstLine="471"/>
        <w:jc w:val="both"/>
        <w:rPr>
          <w:rFonts w:ascii="宋体" w:hAnsi="宋体" w:eastAsia="宋体" w:cs="宋体"/>
          <w:sz w:val="24"/>
          <w:szCs w:val="24"/>
        </w:rPr>
      </w:pPr>
      <w:r>
        <w:rPr>
          <w:rFonts w:ascii="宋体" w:hAnsi="宋体" w:eastAsia="宋体" w:cs="宋体"/>
          <w:spacing w:val="2"/>
          <w:sz w:val="24"/>
          <w:szCs w:val="24"/>
        </w:rPr>
        <w:t>本项目政府采购活动中需要依法回避的采购人员是指采购人</w:t>
      </w:r>
      <w:r>
        <w:rPr>
          <w:rFonts w:ascii="宋体" w:hAnsi="宋体" w:eastAsia="宋体" w:cs="宋体"/>
          <w:spacing w:val="1"/>
          <w:sz w:val="24"/>
          <w:szCs w:val="24"/>
        </w:rPr>
        <w:t>内部负责采购项目的具体经办工作人员和直接分管采购项目的负责人，以及采购代理机构负责采购项目的具体经办工作人员和直接分管采购活动的负责人。本项目政府采购活动中需要依法回避的相</w:t>
      </w:r>
      <w:r>
        <w:rPr>
          <w:rFonts w:ascii="宋体" w:hAnsi="宋体" w:eastAsia="宋体" w:cs="宋体"/>
          <w:spacing w:val="-2"/>
          <w:sz w:val="24"/>
          <w:szCs w:val="24"/>
        </w:rPr>
        <w:t>关人员是指评标委员会成员。</w:t>
      </w:r>
    </w:p>
    <w:p w14:paraId="2F808576">
      <w:pPr>
        <w:spacing w:before="135" w:line="323" w:lineRule="auto"/>
        <w:ind w:left="14" w:right="58" w:firstLine="465"/>
        <w:jc w:val="both"/>
        <w:rPr>
          <w:rFonts w:ascii="宋体" w:hAnsi="宋体" w:eastAsia="宋体" w:cs="宋体"/>
          <w:sz w:val="24"/>
          <w:szCs w:val="24"/>
        </w:rPr>
      </w:pPr>
      <w:r>
        <w:rPr>
          <w:rFonts w:ascii="宋体" w:hAnsi="宋体" w:eastAsia="宋体" w:cs="宋体"/>
          <w:spacing w:val="2"/>
          <w:sz w:val="24"/>
          <w:szCs w:val="24"/>
        </w:rPr>
        <w:t>供应商认为采购人员及相关人员与其他供应商有利害关系的，</w:t>
      </w:r>
      <w:r>
        <w:rPr>
          <w:rFonts w:ascii="宋体" w:hAnsi="宋体" w:eastAsia="宋体" w:cs="宋体"/>
          <w:spacing w:val="1"/>
          <w:sz w:val="24"/>
          <w:szCs w:val="24"/>
        </w:rPr>
        <w:t>可以向采购代理机构书面提出回避申请，并说明理由。采购代理机构将及时询问被申请回避人员，有利害关</w:t>
      </w:r>
      <w:r>
        <w:rPr>
          <w:rFonts w:ascii="宋体" w:hAnsi="宋体" w:eastAsia="宋体" w:cs="宋体"/>
          <w:spacing w:val="-2"/>
          <w:sz w:val="24"/>
          <w:szCs w:val="24"/>
        </w:rPr>
        <w:t>系的被申请回避人员应当回避。</w:t>
      </w:r>
    </w:p>
    <w:p w14:paraId="51005D46">
      <w:pPr>
        <w:spacing w:line="262" w:lineRule="auto"/>
        <w:rPr>
          <w:rFonts w:ascii="Arial"/>
          <w:sz w:val="21"/>
        </w:rPr>
      </w:pPr>
    </w:p>
    <w:p w14:paraId="759FBBED">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r>
        <w:rPr>
          <w:rFonts w:ascii="宋体" w:hAnsi="宋体" w:eastAsia="宋体" w:cs="宋体"/>
          <w:spacing w:val="9"/>
          <w:sz w:val="31"/>
          <w:szCs w:val="31"/>
          <w14:textOutline w14:w="5793" w14:cap="sq" w14:cmpd="sng">
            <w14:solidFill>
              <w14:srgbClr w14:val="000000"/>
            </w14:solidFill>
            <w14:prstDash w14:val="solid"/>
            <w14:bevel/>
          </w14:textOutline>
        </w:rPr>
        <w:t>三、招标文件</w:t>
      </w:r>
    </w:p>
    <w:p w14:paraId="51C208A5">
      <w:pPr>
        <w:pStyle w:val="13"/>
        <w:spacing w:line="473" w:lineRule="auto"/>
      </w:pPr>
    </w:p>
    <w:p w14:paraId="63A31C31">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6．招标文件的构成</w:t>
      </w:r>
    </w:p>
    <w:p w14:paraId="113BB3E1">
      <w:pPr>
        <w:spacing w:before="134" w:line="323" w:lineRule="auto"/>
        <w:ind w:left="12" w:firstLine="480"/>
        <w:jc w:val="both"/>
        <w:rPr>
          <w:rFonts w:ascii="宋体" w:hAnsi="宋体" w:eastAsia="宋体" w:cs="宋体"/>
          <w:sz w:val="24"/>
          <w:szCs w:val="24"/>
        </w:rPr>
      </w:pPr>
      <w:r>
        <w:rPr>
          <w:rFonts w:ascii="宋体" w:hAnsi="宋体" w:eastAsia="宋体" w:cs="宋体"/>
          <w:spacing w:val="-2"/>
          <w:sz w:val="24"/>
          <w:szCs w:val="24"/>
        </w:rPr>
        <w:t>6.1</w:t>
      </w:r>
      <w:r>
        <w:rPr>
          <w:rFonts w:ascii="宋体" w:hAnsi="宋体" w:eastAsia="宋体" w:cs="宋体"/>
          <w:spacing w:val="-49"/>
          <w:sz w:val="24"/>
          <w:szCs w:val="24"/>
        </w:rPr>
        <w:t xml:space="preserve"> </w:t>
      </w:r>
      <w:r>
        <w:rPr>
          <w:rFonts w:ascii="宋体" w:hAnsi="宋体" w:eastAsia="宋体" w:cs="宋体"/>
          <w:spacing w:val="-2"/>
          <w:sz w:val="24"/>
          <w:szCs w:val="24"/>
        </w:rPr>
        <w:t>招标文件是供应商准备投标文件和参加投标的依据，同时也是评标的重</w:t>
      </w:r>
      <w:r>
        <w:rPr>
          <w:rFonts w:ascii="宋体" w:hAnsi="宋体" w:eastAsia="宋体" w:cs="宋体"/>
          <w:spacing w:val="-3"/>
          <w:sz w:val="24"/>
          <w:szCs w:val="24"/>
        </w:rPr>
        <w:t>要依据，</w:t>
      </w:r>
      <w:r>
        <w:rPr>
          <w:rFonts w:ascii="宋体" w:hAnsi="宋体" w:eastAsia="宋体" w:cs="宋体"/>
          <w:spacing w:val="1"/>
          <w:sz w:val="24"/>
          <w:szCs w:val="24"/>
        </w:rPr>
        <w:t>具有准法律文件性质。招标文件用以阐明招标项目所需的资质、技术、服务及报价等要求、招标投标程序、有关规定和注意事项以及合同主要条款等。本招标文件包括以下内</w:t>
      </w:r>
      <w:r>
        <w:rPr>
          <w:rFonts w:ascii="宋体" w:hAnsi="宋体" w:eastAsia="宋体" w:cs="宋体"/>
          <w:spacing w:val="-7"/>
          <w:sz w:val="24"/>
          <w:szCs w:val="24"/>
        </w:rPr>
        <w:t>容：</w:t>
      </w:r>
    </w:p>
    <w:p w14:paraId="2369A400">
      <w:pPr>
        <w:spacing w:before="133" w:line="221" w:lineRule="auto"/>
        <w:ind w:left="501"/>
        <w:rPr>
          <w:rFonts w:ascii="宋体" w:hAnsi="宋体" w:eastAsia="宋体" w:cs="宋体"/>
          <w:sz w:val="24"/>
          <w:szCs w:val="24"/>
        </w:rPr>
      </w:pPr>
      <w:r>
        <w:rPr>
          <w:rFonts w:ascii="宋体" w:hAnsi="宋体" w:eastAsia="宋体" w:cs="宋体"/>
          <w:spacing w:val="-3"/>
          <w:sz w:val="24"/>
          <w:szCs w:val="24"/>
        </w:rPr>
        <w:t>（1）投标邀请；</w:t>
      </w:r>
    </w:p>
    <w:p w14:paraId="56795C2D">
      <w:pPr>
        <w:spacing w:before="133" w:line="221" w:lineRule="auto"/>
        <w:ind w:left="501"/>
        <w:rPr>
          <w:rFonts w:ascii="宋体" w:hAnsi="宋体" w:eastAsia="宋体" w:cs="宋体"/>
          <w:sz w:val="24"/>
          <w:szCs w:val="24"/>
        </w:rPr>
      </w:pPr>
      <w:r>
        <w:rPr>
          <w:rFonts w:ascii="宋体" w:hAnsi="宋体" w:eastAsia="宋体" w:cs="宋体"/>
          <w:spacing w:val="-3"/>
          <w:sz w:val="24"/>
          <w:szCs w:val="24"/>
        </w:rPr>
        <w:t>（2）投标人须知；</w:t>
      </w:r>
    </w:p>
    <w:p w14:paraId="10F5B039">
      <w:pPr>
        <w:spacing w:before="133" w:line="220" w:lineRule="auto"/>
        <w:ind w:left="501"/>
        <w:rPr>
          <w:rFonts w:ascii="宋体" w:hAnsi="宋体" w:eastAsia="宋体" w:cs="宋体"/>
          <w:sz w:val="24"/>
          <w:szCs w:val="24"/>
        </w:rPr>
      </w:pPr>
      <w:r>
        <w:rPr>
          <w:rFonts w:ascii="宋体" w:hAnsi="宋体" w:eastAsia="宋体" w:cs="宋体"/>
          <w:spacing w:val="-3"/>
          <w:sz w:val="24"/>
          <w:szCs w:val="24"/>
        </w:rPr>
        <w:t>（3）投标文件格式；</w:t>
      </w:r>
    </w:p>
    <w:p w14:paraId="4C038AC6">
      <w:pPr>
        <w:spacing w:before="134" w:line="220" w:lineRule="auto"/>
        <w:ind w:left="501"/>
        <w:rPr>
          <w:rFonts w:ascii="宋体" w:hAnsi="宋体" w:eastAsia="宋体" w:cs="宋体"/>
          <w:sz w:val="24"/>
          <w:szCs w:val="24"/>
        </w:rPr>
      </w:pPr>
      <w:r>
        <w:rPr>
          <w:rFonts w:ascii="宋体" w:hAnsi="宋体" w:eastAsia="宋体" w:cs="宋体"/>
          <w:spacing w:val="-1"/>
          <w:sz w:val="24"/>
          <w:szCs w:val="24"/>
        </w:rPr>
        <w:t>（4）投标人和投标产品的资格、资质性及其他类似效力要求；</w:t>
      </w:r>
    </w:p>
    <w:p w14:paraId="129E7882">
      <w:pPr>
        <w:spacing w:before="134" w:line="420" w:lineRule="exact"/>
        <w:ind w:left="501"/>
        <w:rPr>
          <w:rFonts w:ascii="宋体" w:hAnsi="宋体" w:eastAsia="宋体" w:cs="宋体"/>
          <w:sz w:val="24"/>
          <w:szCs w:val="24"/>
        </w:rPr>
      </w:pPr>
      <w:r>
        <w:rPr>
          <w:rFonts w:ascii="宋体" w:hAnsi="宋体" w:eastAsia="宋体" w:cs="宋体"/>
          <w:spacing w:val="-1"/>
          <w:position w:val="13"/>
          <w:sz w:val="24"/>
          <w:szCs w:val="24"/>
        </w:rPr>
        <w:t>（5）投标人应当提供的资格、资质性及其他类似效力要求的相关证明材料；</w:t>
      </w:r>
    </w:p>
    <w:p w14:paraId="771CBD77">
      <w:pPr>
        <w:spacing w:line="220" w:lineRule="auto"/>
        <w:ind w:left="501"/>
        <w:rPr>
          <w:rFonts w:ascii="宋体" w:hAnsi="宋体" w:eastAsia="宋体" w:cs="宋体"/>
          <w:sz w:val="24"/>
          <w:szCs w:val="24"/>
        </w:rPr>
      </w:pPr>
      <w:r>
        <w:rPr>
          <w:rFonts w:ascii="宋体" w:hAnsi="宋体" w:eastAsia="宋体" w:cs="宋体"/>
          <w:spacing w:val="-2"/>
          <w:sz w:val="24"/>
          <w:szCs w:val="24"/>
        </w:rPr>
        <w:t>（6）招标项目技术、商务及其他要求；</w:t>
      </w:r>
    </w:p>
    <w:p w14:paraId="75396001">
      <w:pPr>
        <w:spacing w:before="134" w:line="220" w:lineRule="auto"/>
        <w:ind w:left="501"/>
        <w:rPr>
          <w:rFonts w:ascii="宋体" w:hAnsi="宋体" w:eastAsia="宋体" w:cs="宋体"/>
          <w:sz w:val="24"/>
          <w:szCs w:val="24"/>
        </w:rPr>
      </w:pPr>
      <w:r>
        <w:rPr>
          <w:rFonts w:ascii="宋体" w:hAnsi="宋体" w:eastAsia="宋体" w:cs="宋体"/>
          <w:spacing w:val="-3"/>
          <w:sz w:val="24"/>
          <w:szCs w:val="24"/>
        </w:rPr>
        <w:t>（7）评标办法；</w:t>
      </w:r>
    </w:p>
    <w:p w14:paraId="5B657C36">
      <w:pPr>
        <w:spacing w:before="134" w:line="220" w:lineRule="auto"/>
        <w:ind w:left="501"/>
        <w:rPr>
          <w:rFonts w:ascii="宋体" w:hAnsi="宋体" w:eastAsia="宋体" w:cs="宋体"/>
          <w:sz w:val="24"/>
          <w:szCs w:val="24"/>
        </w:rPr>
      </w:pPr>
      <w:r>
        <w:rPr>
          <w:rFonts w:ascii="宋体" w:hAnsi="宋体" w:eastAsia="宋体" w:cs="宋体"/>
          <w:spacing w:val="-3"/>
          <w:sz w:val="24"/>
          <w:szCs w:val="24"/>
        </w:rPr>
        <w:t>（8）合同主要条款。</w:t>
      </w:r>
    </w:p>
    <w:p w14:paraId="30783BD0">
      <w:pPr>
        <w:spacing w:before="134" w:line="420" w:lineRule="exact"/>
        <w:ind w:left="492"/>
        <w:rPr>
          <w:rFonts w:ascii="宋体" w:hAnsi="宋体" w:eastAsia="宋体" w:cs="宋体"/>
          <w:sz w:val="24"/>
          <w:szCs w:val="24"/>
        </w:rPr>
      </w:pPr>
      <w:r>
        <w:rPr>
          <w:rFonts w:ascii="宋体" w:hAnsi="宋体" w:eastAsia="宋体" w:cs="宋体"/>
          <w:spacing w:val="1"/>
          <w:position w:val="13"/>
          <w:sz w:val="24"/>
          <w:szCs w:val="24"/>
        </w:rPr>
        <w:t>6.2 投标人应认真阅读和充分理解招标文件中所有的事项、格式条款和规范要求。</w:t>
      </w:r>
    </w:p>
    <w:p w14:paraId="076842ED">
      <w:pPr>
        <w:spacing w:line="220" w:lineRule="auto"/>
        <w:ind w:left="13"/>
        <w:rPr>
          <w:rFonts w:ascii="宋体" w:hAnsi="宋体" w:eastAsia="宋体" w:cs="宋体"/>
          <w:sz w:val="24"/>
          <w:szCs w:val="24"/>
        </w:rPr>
      </w:pPr>
      <w:r>
        <w:rPr>
          <w:rFonts w:ascii="宋体" w:hAnsi="宋体" w:eastAsia="宋体" w:cs="宋体"/>
          <w:spacing w:val="-1"/>
          <w:sz w:val="24"/>
          <w:szCs w:val="24"/>
        </w:rPr>
        <w:t>投标人没有对招标文件全面做出实质性响应是投标人的风险。</w:t>
      </w:r>
    </w:p>
    <w:p w14:paraId="7E29185D">
      <w:pPr>
        <w:pStyle w:val="13"/>
        <w:spacing w:line="260" w:lineRule="auto"/>
        <w:rPr>
          <w:sz w:val="24"/>
          <w:szCs w:val="24"/>
        </w:rPr>
      </w:pPr>
    </w:p>
    <w:p w14:paraId="22794399">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7．招标文件的澄清和修改</w:t>
      </w:r>
    </w:p>
    <w:p w14:paraId="4B57874D">
      <w:pPr>
        <w:spacing w:before="134" w:line="219" w:lineRule="auto"/>
        <w:ind w:left="495"/>
        <w:rPr>
          <w:rFonts w:ascii="宋体" w:hAnsi="宋体" w:eastAsia="宋体" w:cs="宋体"/>
          <w:sz w:val="24"/>
          <w:szCs w:val="24"/>
        </w:rPr>
      </w:pPr>
      <w:r>
        <w:rPr>
          <w:rFonts w:ascii="宋体" w:hAnsi="宋体" w:eastAsia="宋体" w:cs="宋体"/>
          <w:spacing w:val="-1"/>
          <w:sz w:val="24"/>
          <w:szCs w:val="24"/>
        </w:rPr>
        <w:t>7.1</w:t>
      </w:r>
      <w:r>
        <w:rPr>
          <w:rFonts w:ascii="宋体" w:hAnsi="宋体" w:eastAsia="宋体" w:cs="宋体"/>
          <w:spacing w:val="-50"/>
          <w:sz w:val="24"/>
          <w:szCs w:val="24"/>
        </w:rPr>
        <w:t xml:space="preserve"> </w:t>
      </w:r>
      <w:r>
        <w:rPr>
          <w:rFonts w:ascii="宋体" w:hAnsi="宋体" w:eastAsia="宋体" w:cs="宋体"/>
          <w:spacing w:val="-1"/>
          <w:sz w:val="24"/>
          <w:szCs w:val="24"/>
        </w:rPr>
        <w:t>招标采购单位可以依法对招标文件进行澄清或者修改。</w:t>
      </w:r>
    </w:p>
    <w:p w14:paraId="4E6E7B36">
      <w:pPr>
        <w:spacing w:before="135" w:line="323" w:lineRule="auto"/>
        <w:ind w:left="12" w:firstLine="483"/>
        <w:jc w:val="both"/>
        <w:rPr>
          <w:rFonts w:ascii="宋体" w:hAnsi="宋体" w:eastAsia="宋体" w:cs="宋体"/>
          <w:sz w:val="24"/>
          <w:szCs w:val="24"/>
        </w:rPr>
      </w:pPr>
      <w:r>
        <w:rPr>
          <w:rFonts w:ascii="宋体" w:hAnsi="宋体" w:eastAsia="宋体" w:cs="宋体"/>
          <w:spacing w:val="-4"/>
          <w:sz w:val="24"/>
          <w:szCs w:val="24"/>
        </w:rPr>
        <w:t>7.2</w:t>
      </w:r>
      <w:r>
        <w:rPr>
          <w:rFonts w:ascii="宋体" w:hAnsi="宋体" w:eastAsia="宋体" w:cs="宋体"/>
          <w:spacing w:val="-40"/>
          <w:sz w:val="24"/>
          <w:szCs w:val="24"/>
        </w:rPr>
        <w:t xml:space="preserve"> </w:t>
      </w:r>
      <w:r>
        <w:rPr>
          <w:rFonts w:ascii="宋体" w:hAnsi="宋体" w:eastAsia="宋体" w:cs="宋体"/>
          <w:spacing w:val="-4"/>
          <w:sz w:val="24"/>
          <w:szCs w:val="24"/>
        </w:rPr>
        <w:t>招标采购单位对已发出的招标文件进行澄清或者修改，应当以书面形式将澄清或</w:t>
      </w:r>
      <w:r>
        <w:rPr>
          <w:rFonts w:ascii="宋体" w:hAnsi="宋体" w:eastAsia="宋体" w:cs="宋体"/>
          <w:sz w:val="24"/>
          <w:szCs w:val="24"/>
        </w:rPr>
        <w:t xml:space="preserve"> </w:t>
      </w:r>
      <w:r>
        <w:rPr>
          <w:rFonts w:ascii="宋体" w:hAnsi="宋体" w:eastAsia="宋体" w:cs="宋体"/>
          <w:spacing w:val="1"/>
          <w:sz w:val="24"/>
          <w:szCs w:val="24"/>
        </w:rPr>
        <w:t>者修改的内容通知所有购买了招标文件的供应商，同时在中国政府采购网上发布更正公</w:t>
      </w:r>
      <w:r>
        <w:rPr>
          <w:rFonts w:ascii="宋体" w:hAnsi="宋体" w:eastAsia="宋体" w:cs="宋体"/>
          <w:spacing w:val="12"/>
          <w:sz w:val="24"/>
          <w:szCs w:val="24"/>
        </w:rPr>
        <w:t xml:space="preserve"> </w:t>
      </w:r>
      <w:r>
        <w:rPr>
          <w:rFonts w:ascii="宋体" w:hAnsi="宋体" w:eastAsia="宋体" w:cs="宋体"/>
          <w:spacing w:val="1"/>
          <w:sz w:val="24"/>
          <w:szCs w:val="24"/>
        </w:rPr>
        <w:t>告。该澄清或者修改的内容为招标文件的组成部分，澄清或者修改的内容可能影响投标</w:t>
      </w:r>
      <w:r>
        <w:rPr>
          <w:rFonts w:ascii="宋体" w:hAnsi="宋体" w:eastAsia="宋体" w:cs="宋体"/>
          <w:spacing w:val="14"/>
          <w:sz w:val="24"/>
          <w:szCs w:val="24"/>
        </w:rPr>
        <w:t xml:space="preserve"> </w:t>
      </w:r>
      <w:r>
        <w:rPr>
          <w:rFonts w:ascii="宋体" w:hAnsi="宋体" w:eastAsia="宋体" w:cs="宋体"/>
          <w:spacing w:val="1"/>
          <w:sz w:val="24"/>
          <w:szCs w:val="24"/>
        </w:rPr>
        <w:t>文件、资格预审申请文件编制的，采购人或者采购代理机构发布公告并书面通知供应商</w:t>
      </w:r>
      <w:r>
        <w:rPr>
          <w:rFonts w:ascii="宋体" w:hAnsi="宋体" w:eastAsia="宋体" w:cs="宋体"/>
          <w:spacing w:val="14"/>
          <w:sz w:val="24"/>
          <w:szCs w:val="24"/>
        </w:rPr>
        <w:t xml:space="preserve"> </w:t>
      </w:r>
      <w:r>
        <w:rPr>
          <w:rFonts w:ascii="宋体" w:hAnsi="宋体" w:eastAsia="宋体" w:cs="宋体"/>
          <w:spacing w:val="7"/>
          <w:sz w:val="24"/>
          <w:szCs w:val="24"/>
        </w:rPr>
        <w:t>的时间，应当在投标截止时间至少15日前、提交资格预</w:t>
      </w:r>
      <w:r>
        <w:rPr>
          <w:rFonts w:ascii="宋体" w:hAnsi="宋体" w:eastAsia="宋体" w:cs="宋体"/>
          <w:spacing w:val="6"/>
          <w:sz w:val="24"/>
          <w:szCs w:val="24"/>
        </w:rPr>
        <w:t>审申请文件截止时间至少3日</w:t>
      </w:r>
    </w:p>
    <w:p w14:paraId="408C49E9">
      <w:pPr>
        <w:spacing w:line="220" w:lineRule="auto"/>
        <w:ind w:left="14"/>
        <w:rPr>
          <w:rFonts w:ascii="宋体" w:hAnsi="宋体" w:eastAsia="宋体" w:cs="宋体"/>
          <w:sz w:val="24"/>
          <w:szCs w:val="24"/>
        </w:rPr>
      </w:pPr>
      <w:r>
        <w:rPr>
          <w:rFonts w:ascii="宋体" w:hAnsi="宋体" w:eastAsia="宋体" w:cs="宋体"/>
          <w:sz w:val="24"/>
          <w:szCs w:val="24"/>
        </w:rPr>
        <w:t>前；不足上述时间的，应当顺延提交投标文件</w:t>
      </w:r>
      <w:r>
        <w:rPr>
          <w:rFonts w:ascii="宋体" w:hAnsi="宋体" w:eastAsia="宋体" w:cs="宋体"/>
          <w:spacing w:val="-1"/>
          <w:sz w:val="24"/>
          <w:szCs w:val="24"/>
        </w:rPr>
        <w:t>、资格预审申请文件的截止时间。</w:t>
      </w:r>
    </w:p>
    <w:p w14:paraId="6EA0605C">
      <w:pPr>
        <w:spacing w:before="134" w:line="323" w:lineRule="auto"/>
        <w:ind w:left="14" w:firstLine="480"/>
        <w:jc w:val="both"/>
        <w:rPr>
          <w:rFonts w:ascii="宋体" w:hAnsi="宋体" w:eastAsia="宋体" w:cs="宋体"/>
          <w:sz w:val="24"/>
          <w:szCs w:val="24"/>
        </w:rPr>
      </w:pPr>
      <w:r>
        <w:rPr>
          <w:rFonts w:ascii="宋体" w:hAnsi="宋体" w:eastAsia="宋体" w:cs="宋体"/>
          <w:spacing w:val="1"/>
          <w:sz w:val="24"/>
          <w:szCs w:val="24"/>
        </w:rPr>
        <w:t>7.3 供应商应于投标文件递交截止时间之前在《中国政府采购网》查询本项目的更</w:t>
      </w:r>
      <w:r>
        <w:rPr>
          <w:rFonts w:ascii="宋体" w:hAnsi="宋体" w:eastAsia="宋体" w:cs="宋体"/>
          <w:spacing w:val="10"/>
          <w:sz w:val="24"/>
          <w:szCs w:val="24"/>
        </w:rPr>
        <w:t xml:space="preserve"> </w:t>
      </w:r>
      <w:r>
        <w:rPr>
          <w:rFonts w:ascii="宋体" w:hAnsi="宋体" w:eastAsia="宋体" w:cs="宋体"/>
          <w:spacing w:val="1"/>
          <w:sz w:val="24"/>
          <w:szCs w:val="24"/>
        </w:rPr>
        <w:t>正公告，以保证其对招标文件做出正确的响应。供应商未按要求下载相关文件，或由于</w:t>
      </w:r>
    </w:p>
    <w:p w14:paraId="4CF18CC8">
      <w:pPr>
        <w:spacing w:line="218" w:lineRule="auto"/>
        <w:ind w:left="14"/>
        <w:rPr>
          <w:rFonts w:ascii="宋体" w:hAnsi="宋体" w:eastAsia="宋体" w:cs="宋体"/>
          <w:sz w:val="24"/>
          <w:szCs w:val="24"/>
        </w:rPr>
      </w:pPr>
      <w:r>
        <w:rPr>
          <w:rFonts w:ascii="宋体" w:hAnsi="宋体" w:eastAsia="宋体" w:cs="宋体"/>
          <w:spacing w:val="-1"/>
          <w:sz w:val="24"/>
          <w:szCs w:val="24"/>
        </w:rPr>
        <w:t>未及时关注更正公告的信息造成的后果，其责任由供应商自行负责。</w:t>
      </w:r>
    </w:p>
    <w:p w14:paraId="6E159342">
      <w:pPr>
        <w:spacing w:before="136" w:line="323" w:lineRule="auto"/>
        <w:ind w:left="10" w:firstLine="482"/>
        <w:jc w:val="both"/>
        <w:rPr>
          <w:rFonts w:ascii="宋体" w:hAnsi="宋体" w:eastAsia="宋体" w:cs="宋体"/>
          <w:sz w:val="24"/>
          <w:szCs w:val="24"/>
        </w:rPr>
      </w:pPr>
      <w:r>
        <w:rPr>
          <w:rFonts w:ascii="宋体" w:hAnsi="宋体" w:eastAsia="宋体" w:cs="宋体"/>
          <w:spacing w:val="1"/>
          <w:sz w:val="24"/>
          <w:szCs w:val="24"/>
        </w:rPr>
        <w:t>更正通知通过供应商报名时备注的电子邮箱发送至所有购买招标文件的供应商，供</w:t>
      </w:r>
      <w:r>
        <w:rPr>
          <w:rFonts w:ascii="宋体" w:hAnsi="宋体" w:eastAsia="宋体" w:cs="宋体"/>
          <w:spacing w:val="15"/>
          <w:sz w:val="24"/>
          <w:szCs w:val="24"/>
        </w:rPr>
        <w:t xml:space="preserve"> </w:t>
      </w:r>
      <w:r>
        <w:rPr>
          <w:rFonts w:ascii="宋体" w:hAnsi="宋体" w:eastAsia="宋体" w:cs="宋体"/>
          <w:spacing w:val="1"/>
          <w:sz w:val="24"/>
          <w:szCs w:val="24"/>
        </w:rPr>
        <w:t>应商在收到相应更正通知后，以书面形式给予确认。如供应商未给予书面回复，则视为</w:t>
      </w:r>
    </w:p>
    <w:p w14:paraId="6415AA47">
      <w:pPr>
        <w:spacing w:line="220" w:lineRule="auto"/>
        <w:ind w:left="18"/>
        <w:rPr>
          <w:rFonts w:ascii="宋体" w:hAnsi="宋体" w:eastAsia="宋体" w:cs="宋体"/>
          <w:sz w:val="24"/>
          <w:szCs w:val="24"/>
        </w:rPr>
      </w:pPr>
      <w:r>
        <w:rPr>
          <w:rFonts w:ascii="宋体" w:hAnsi="宋体" w:eastAsia="宋体" w:cs="宋体"/>
          <w:spacing w:val="-2"/>
          <w:sz w:val="24"/>
          <w:szCs w:val="24"/>
        </w:rPr>
        <w:t>收到并认可该更正通知的内容。</w:t>
      </w:r>
    </w:p>
    <w:p w14:paraId="549757F6">
      <w:pPr>
        <w:spacing w:before="134" w:line="420" w:lineRule="exact"/>
        <w:jc w:val="right"/>
        <w:rPr>
          <w:rFonts w:ascii="宋体" w:hAnsi="宋体" w:eastAsia="宋体" w:cs="宋体"/>
          <w:sz w:val="24"/>
          <w:szCs w:val="24"/>
        </w:rPr>
      </w:pPr>
      <w:r>
        <w:rPr>
          <w:rFonts w:ascii="宋体" w:hAnsi="宋体" w:eastAsia="宋体" w:cs="宋体"/>
          <w:spacing w:val="-4"/>
          <w:position w:val="13"/>
          <w:sz w:val="24"/>
          <w:szCs w:val="24"/>
        </w:rPr>
        <w:t>7.4</w:t>
      </w:r>
      <w:r>
        <w:rPr>
          <w:rFonts w:ascii="宋体" w:hAnsi="宋体" w:eastAsia="宋体" w:cs="宋体"/>
          <w:spacing w:val="-40"/>
          <w:position w:val="13"/>
          <w:sz w:val="24"/>
          <w:szCs w:val="24"/>
        </w:rPr>
        <w:t xml:space="preserve"> </w:t>
      </w:r>
      <w:r>
        <w:rPr>
          <w:rFonts w:ascii="宋体" w:hAnsi="宋体" w:eastAsia="宋体" w:cs="宋体"/>
          <w:spacing w:val="-4"/>
          <w:position w:val="13"/>
          <w:sz w:val="24"/>
          <w:szCs w:val="24"/>
        </w:rPr>
        <w:t>投标人认为需要对招标文件进行澄清或者修改的，可以以书面形式向招标采购单</w:t>
      </w:r>
    </w:p>
    <w:p w14:paraId="1BECCEC8">
      <w:pPr>
        <w:spacing w:line="219" w:lineRule="auto"/>
        <w:ind w:left="10"/>
        <w:rPr>
          <w:rFonts w:ascii="宋体" w:hAnsi="宋体" w:eastAsia="宋体" w:cs="宋体"/>
          <w:sz w:val="24"/>
          <w:szCs w:val="24"/>
        </w:rPr>
      </w:pPr>
      <w:r>
        <w:rPr>
          <w:rFonts w:ascii="宋体" w:hAnsi="宋体" w:eastAsia="宋体" w:cs="宋体"/>
          <w:sz w:val="24"/>
          <w:szCs w:val="24"/>
        </w:rPr>
        <w:t>位构提出申请，但招标采购单位可以决定是否</w:t>
      </w:r>
      <w:r>
        <w:rPr>
          <w:rFonts w:ascii="宋体" w:hAnsi="宋体" w:eastAsia="宋体" w:cs="宋体"/>
          <w:spacing w:val="-1"/>
          <w:sz w:val="24"/>
          <w:szCs w:val="24"/>
        </w:rPr>
        <w:t>采纳投标人的申请事项。</w:t>
      </w:r>
    </w:p>
    <w:p w14:paraId="242750C9">
      <w:pPr>
        <w:pStyle w:val="13"/>
        <w:spacing w:line="474" w:lineRule="auto"/>
        <w:rPr>
          <w:sz w:val="24"/>
          <w:szCs w:val="24"/>
        </w:rPr>
      </w:pPr>
    </w:p>
    <w:p w14:paraId="329022CE">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8．答疑会和现场考察</w:t>
      </w:r>
    </w:p>
    <w:p w14:paraId="0CB9B4A3">
      <w:pPr>
        <w:spacing w:before="135" w:line="323" w:lineRule="auto"/>
        <w:ind w:left="9" w:firstLine="481"/>
        <w:jc w:val="both"/>
        <w:rPr>
          <w:rFonts w:ascii="宋体" w:hAnsi="宋体" w:eastAsia="宋体" w:cs="宋体"/>
          <w:sz w:val="24"/>
          <w:szCs w:val="24"/>
        </w:rPr>
      </w:pPr>
      <w:r>
        <w:rPr>
          <w:rFonts w:ascii="宋体" w:hAnsi="宋体" w:eastAsia="宋体" w:cs="宋体"/>
          <w:spacing w:val="-4"/>
          <w:sz w:val="24"/>
          <w:szCs w:val="24"/>
        </w:rPr>
        <w:t>8.1</w:t>
      </w:r>
      <w:r>
        <w:rPr>
          <w:rFonts w:ascii="宋体" w:hAnsi="宋体" w:eastAsia="宋体" w:cs="宋体"/>
          <w:spacing w:val="-35"/>
          <w:sz w:val="24"/>
          <w:szCs w:val="24"/>
        </w:rPr>
        <w:t xml:space="preserve"> </w:t>
      </w:r>
      <w:r>
        <w:rPr>
          <w:rFonts w:ascii="宋体" w:hAnsi="宋体" w:eastAsia="宋体" w:cs="宋体"/>
          <w:spacing w:val="-4"/>
          <w:sz w:val="24"/>
          <w:szCs w:val="24"/>
        </w:rPr>
        <w:t>根据采购项目和具体情况，招标采购单位认为有必要，可以在招标文件提供期限</w:t>
      </w:r>
      <w:r>
        <w:rPr>
          <w:rFonts w:ascii="宋体" w:hAnsi="宋体" w:eastAsia="宋体" w:cs="宋体"/>
          <w:sz w:val="24"/>
          <w:szCs w:val="24"/>
        </w:rPr>
        <w:t xml:space="preserve"> </w:t>
      </w:r>
      <w:r>
        <w:rPr>
          <w:rFonts w:ascii="宋体" w:hAnsi="宋体" w:eastAsia="宋体" w:cs="宋体"/>
          <w:spacing w:val="1"/>
          <w:sz w:val="24"/>
          <w:szCs w:val="24"/>
        </w:rPr>
        <w:t>截止后，组织已获取招标文件的潜在投标人现场考察或者召开开标前答疑会。组织现场</w:t>
      </w:r>
    </w:p>
    <w:p w14:paraId="2231895E">
      <w:pPr>
        <w:spacing w:line="219" w:lineRule="auto"/>
        <w:ind w:left="10"/>
        <w:rPr>
          <w:rFonts w:ascii="宋体" w:hAnsi="宋体" w:eastAsia="宋体" w:cs="宋体"/>
          <w:sz w:val="24"/>
          <w:szCs w:val="24"/>
        </w:rPr>
      </w:pPr>
      <w:r>
        <w:rPr>
          <w:rFonts w:ascii="宋体" w:hAnsi="宋体" w:eastAsia="宋体" w:cs="宋体"/>
          <w:sz w:val="24"/>
          <w:szCs w:val="24"/>
        </w:rPr>
        <w:t>考察或者召开答疑会的，应当以书面形式通知所有获取</w:t>
      </w:r>
      <w:r>
        <w:rPr>
          <w:rFonts w:ascii="宋体" w:hAnsi="宋体" w:eastAsia="宋体" w:cs="宋体"/>
          <w:spacing w:val="-1"/>
          <w:sz w:val="24"/>
          <w:szCs w:val="24"/>
        </w:rPr>
        <w:t>招标文件的潜在投标人。</w:t>
      </w:r>
    </w:p>
    <w:p w14:paraId="088345AE">
      <w:pPr>
        <w:spacing w:before="118" w:line="401" w:lineRule="exact"/>
        <w:ind w:left="492"/>
        <w:rPr>
          <w:rFonts w:ascii="宋体" w:hAnsi="宋体" w:eastAsia="宋体" w:cs="宋体"/>
          <w:sz w:val="24"/>
          <w:szCs w:val="24"/>
        </w:rPr>
      </w:pPr>
      <w:r>
        <w:rPr>
          <w:rFonts w:ascii="宋体" w:hAnsi="宋体" w:eastAsia="宋体" w:cs="宋体"/>
          <w:spacing w:val="-1"/>
          <w:position w:val="11"/>
          <w:sz w:val="24"/>
          <w:szCs w:val="24"/>
        </w:rPr>
        <w:t>现场考察或标前答疑会时间：本项目不组织。</w:t>
      </w:r>
    </w:p>
    <w:p w14:paraId="73AD037F">
      <w:pPr>
        <w:spacing w:before="1" w:line="219" w:lineRule="auto"/>
        <w:ind w:left="492"/>
        <w:rPr>
          <w:rFonts w:ascii="宋体" w:hAnsi="宋体" w:eastAsia="宋体" w:cs="宋体"/>
          <w:sz w:val="24"/>
          <w:szCs w:val="24"/>
        </w:rPr>
      </w:pPr>
      <w:r>
        <w:rPr>
          <w:rFonts w:ascii="宋体" w:hAnsi="宋体" w:eastAsia="宋体" w:cs="宋体"/>
          <w:spacing w:val="-1"/>
          <w:sz w:val="24"/>
          <w:szCs w:val="24"/>
        </w:rPr>
        <w:t>现场考察或标前答疑会地点：本项目不组织。</w:t>
      </w:r>
    </w:p>
    <w:p w14:paraId="649B98F4">
      <w:pPr>
        <w:spacing w:before="130" w:line="219" w:lineRule="auto"/>
        <w:ind w:left="491"/>
        <w:rPr>
          <w:rFonts w:ascii="宋体" w:hAnsi="宋体" w:eastAsia="宋体" w:cs="宋体"/>
          <w:sz w:val="24"/>
          <w:szCs w:val="24"/>
        </w:rPr>
      </w:pPr>
      <w:r>
        <w:rPr>
          <w:rFonts w:ascii="宋体" w:hAnsi="宋体" w:eastAsia="宋体" w:cs="宋体"/>
          <w:spacing w:val="-1"/>
          <w:sz w:val="24"/>
          <w:szCs w:val="24"/>
        </w:rPr>
        <w:t>8.2</w:t>
      </w:r>
      <w:r>
        <w:rPr>
          <w:rFonts w:ascii="宋体" w:hAnsi="宋体" w:eastAsia="宋体" w:cs="宋体"/>
          <w:spacing w:val="-45"/>
          <w:sz w:val="24"/>
          <w:szCs w:val="24"/>
        </w:rPr>
        <w:t xml:space="preserve"> </w:t>
      </w:r>
      <w:r>
        <w:rPr>
          <w:rFonts w:ascii="宋体" w:hAnsi="宋体" w:eastAsia="宋体" w:cs="宋体"/>
          <w:spacing w:val="-1"/>
          <w:sz w:val="24"/>
          <w:szCs w:val="24"/>
        </w:rPr>
        <w:t>供应商考察现场所发生的一切费用由供应商自己承担。</w:t>
      </w:r>
    </w:p>
    <w:p w14:paraId="62338F95">
      <w:pPr>
        <w:pStyle w:val="13"/>
        <w:spacing w:line="474" w:lineRule="auto"/>
      </w:pPr>
    </w:p>
    <w:p w14:paraId="289C3FCF">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2" w:name="bookmark6"/>
      <w:bookmarkEnd w:id="2"/>
      <w:r>
        <w:rPr>
          <w:rFonts w:ascii="宋体" w:hAnsi="宋体" w:eastAsia="宋体" w:cs="宋体"/>
          <w:spacing w:val="9"/>
          <w:sz w:val="31"/>
          <w:szCs w:val="31"/>
          <w14:textOutline w14:w="5793" w14:cap="sq" w14:cmpd="sng">
            <w14:solidFill>
              <w14:srgbClr w14:val="000000"/>
            </w14:solidFill>
            <w14:prstDash w14:val="solid"/>
            <w14:bevel/>
          </w14:textOutline>
        </w:rPr>
        <w:t>四、投标文件</w:t>
      </w:r>
    </w:p>
    <w:p w14:paraId="1FBAB0D4">
      <w:pPr>
        <w:pStyle w:val="13"/>
        <w:spacing w:line="473" w:lineRule="auto"/>
      </w:pPr>
    </w:p>
    <w:p w14:paraId="4208D387">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9．投标文件的语言（实质性要求）</w:t>
      </w:r>
    </w:p>
    <w:p w14:paraId="5D7E6583">
      <w:pPr>
        <w:spacing w:before="134" w:line="323" w:lineRule="auto"/>
        <w:ind w:left="12" w:firstLine="479"/>
        <w:jc w:val="both"/>
        <w:rPr>
          <w:rFonts w:ascii="宋体" w:hAnsi="宋体" w:eastAsia="宋体" w:cs="宋体"/>
          <w:sz w:val="24"/>
          <w:szCs w:val="24"/>
        </w:rPr>
      </w:pPr>
      <w:r>
        <w:rPr>
          <w:rFonts w:ascii="宋体" w:hAnsi="宋体" w:eastAsia="宋体" w:cs="宋体"/>
          <w:spacing w:val="3"/>
          <w:sz w:val="24"/>
          <w:szCs w:val="24"/>
        </w:rPr>
        <w:t>9.1</w:t>
      </w:r>
      <w:r>
        <w:rPr>
          <w:rFonts w:ascii="宋体" w:hAnsi="宋体" w:eastAsia="宋体" w:cs="宋体"/>
          <w:spacing w:val="-45"/>
          <w:sz w:val="24"/>
          <w:szCs w:val="24"/>
        </w:rPr>
        <w:t xml:space="preserve"> </w:t>
      </w:r>
      <w:r>
        <w:rPr>
          <w:rFonts w:ascii="宋体" w:hAnsi="宋体" w:eastAsia="宋体" w:cs="宋体"/>
          <w:spacing w:val="3"/>
          <w:sz w:val="24"/>
          <w:szCs w:val="24"/>
        </w:rPr>
        <w:t>投标人提交的投标文件以及投标人与招标采购单</w:t>
      </w:r>
      <w:r>
        <w:rPr>
          <w:rFonts w:ascii="宋体" w:hAnsi="宋体" w:eastAsia="宋体" w:cs="宋体"/>
          <w:spacing w:val="2"/>
          <w:sz w:val="24"/>
          <w:szCs w:val="24"/>
        </w:rPr>
        <w:t>位就有关投标的所有来往书面</w:t>
      </w:r>
      <w:r>
        <w:rPr>
          <w:rFonts w:ascii="宋体" w:hAnsi="宋体" w:eastAsia="宋体" w:cs="宋体"/>
          <w:sz w:val="24"/>
          <w:szCs w:val="24"/>
        </w:rPr>
        <w:t xml:space="preserve"> </w:t>
      </w:r>
      <w:r>
        <w:rPr>
          <w:rFonts w:ascii="宋体" w:hAnsi="宋体" w:eastAsia="宋体" w:cs="宋体"/>
          <w:spacing w:val="1"/>
          <w:sz w:val="24"/>
          <w:szCs w:val="24"/>
        </w:rPr>
        <w:t>文件均须使用中文。投标文件中如附有外文资料，必须逐一对应翻译成中文并加盖投标</w:t>
      </w:r>
    </w:p>
    <w:p w14:paraId="520FEB5E">
      <w:pPr>
        <w:pStyle w:val="13"/>
        <w:spacing w:line="363" w:lineRule="auto"/>
        <w:rPr>
          <w:sz w:val="24"/>
          <w:szCs w:val="24"/>
        </w:rPr>
      </w:pPr>
      <w:r>
        <w:rPr>
          <w:rFonts w:ascii="宋体" w:hAnsi="宋体" w:eastAsia="宋体" w:cs="宋体"/>
          <w:spacing w:val="-5"/>
          <w:sz w:val="24"/>
          <w:szCs w:val="24"/>
        </w:rPr>
        <w:t>人公章后附在相关外文资料后面，否则，所提供的外文资料将可能被视为无效材料。（说</w:t>
      </w:r>
    </w:p>
    <w:p w14:paraId="7F743680">
      <w:pPr>
        <w:spacing w:before="78" w:line="219" w:lineRule="auto"/>
        <w:ind w:left="32"/>
        <w:rPr>
          <w:rFonts w:ascii="宋体" w:hAnsi="宋体" w:eastAsia="宋体" w:cs="宋体"/>
          <w:sz w:val="24"/>
          <w:szCs w:val="24"/>
        </w:rPr>
      </w:pPr>
      <w:r>
        <w:rPr>
          <w:rFonts w:ascii="宋体" w:hAnsi="宋体" w:eastAsia="宋体" w:cs="宋体"/>
          <w:spacing w:val="-1"/>
          <w:sz w:val="24"/>
          <w:szCs w:val="24"/>
        </w:rPr>
        <w:t>明：供应商的法定代表人为外籍人士的，法定代表人的签字和护照除外。）</w:t>
      </w:r>
    </w:p>
    <w:p w14:paraId="2A923963">
      <w:pPr>
        <w:spacing w:before="134" w:line="420" w:lineRule="exact"/>
        <w:jc w:val="right"/>
        <w:rPr>
          <w:rFonts w:ascii="宋体" w:hAnsi="宋体" w:eastAsia="宋体" w:cs="宋体"/>
          <w:sz w:val="24"/>
          <w:szCs w:val="24"/>
        </w:rPr>
      </w:pPr>
      <w:r>
        <w:rPr>
          <w:rFonts w:ascii="宋体" w:hAnsi="宋体" w:eastAsia="宋体" w:cs="宋体"/>
          <w:spacing w:val="-4"/>
          <w:position w:val="13"/>
          <w:sz w:val="24"/>
          <w:szCs w:val="24"/>
        </w:rPr>
        <w:t>9.2</w:t>
      </w:r>
      <w:r>
        <w:rPr>
          <w:rFonts w:ascii="宋体" w:hAnsi="宋体" w:eastAsia="宋体" w:cs="宋体"/>
          <w:spacing w:val="-35"/>
          <w:position w:val="13"/>
          <w:sz w:val="24"/>
          <w:szCs w:val="24"/>
        </w:rPr>
        <w:t xml:space="preserve"> </w:t>
      </w:r>
      <w:r>
        <w:rPr>
          <w:rFonts w:ascii="宋体" w:hAnsi="宋体" w:eastAsia="宋体" w:cs="宋体"/>
          <w:spacing w:val="-4"/>
          <w:position w:val="13"/>
          <w:sz w:val="24"/>
          <w:szCs w:val="24"/>
        </w:rPr>
        <w:t>翻译的中文资料与外文资料如果出现差异和矛盾时，以中文为准。涉嫌虚假响应</w:t>
      </w:r>
    </w:p>
    <w:p w14:paraId="6175AE6F">
      <w:pPr>
        <w:spacing w:line="220" w:lineRule="auto"/>
        <w:ind w:left="29"/>
        <w:rPr>
          <w:rFonts w:ascii="宋体" w:hAnsi="宋体" w:eastAsia="宋体" w:cs="宋体"/>
          <w:sz w:val="24"/>
          <w:szCs w:val="24"/>
        </w:rPr>
      </w:pPr>
      <w:r>
        <w:rPr>
          <w:rFonts w:ascii="宋体" w:hAnsi="宋体" w:eastAsia="宋体" w:cs="宋体"/>
          <w:spacing w:val="-3"/>
          <w:sz w:val="24"/>
          <w:szCs w:val="24"/>
        </w:rPr>
        <w:t>的按照相关法律法规处理。</w:t>
      </w:r>
    </w:p>
    <w:p w14:paraId="46BF3B39">
      <w:pPr>
        <w:spacing w:before="134" w:line="220" w:lineRule="auto"/>
        <w:ind w:left="491"/>
        <w:rPr>
          <w:rFonts w:ascii="宋体" w:hAnsi="宋体" w:eastAsia="宋体" w:cs="宋体"/>
          <w:sz w:val="24"/>
          <w:szCs w:val="24"/>
        </w:rPr>
      </w:pPr>
      <w:r>
        <w:rPr>
          <w:rFonts w:ascii="宋体" w:hAnsi="宋体" w:eastAsia="宋体" w:cs="宋体"/>
          <w:spacing w:val="-1"/>
          <w:sz w:val="24"/>
          <w:szCs w:val="24"/>
        </w:rPr>
        <w:t>9.3</w:t>
      </w:r>
      <w:r>
        <w:rPr>
          <w:rFonts w:ascii="宋体" w:hAnsi="宋体" w:eastAsia="宋体" w:cs="宋体"/>
          <w:spacing w:val="-47"/>
          <w:sz w:val="24"/>
          <w:szCs w:val="24"/>
        </w:rPr>
        <w:t xml:space="preserve"> </w:t>
      </w:r>
      <w:r>
        <w:rPr>
          <w:rFonts w:ascii="宋体" w:hAnsi="宋体" w:eastAsia="宋体" w:cs="宋体"/>
          <w:spacing w:val="-1"/>
          <w:sz w:val="24"/>
          <w:szCs w:val="24"/>
        </w:rPr>
        <w:t>如因未翻译而造成的废标，由投标人</w:t>
      </w:r>
      <w:r>
        <w:rPr>
          <w:rFonts w:ascii="宋体" w:hAnsi="宋体" w:eastAsia="宋体" w:cs="宋体"/>
          <w:spacing w:val="-2"/>
          <w:sz w:val="24"/>
          <w:szCs w:val="24"/>
        </w:rPr>
        <w:t>承担。</w:t>
      </w:r>
    </w:p>
    <w:p w14:paraId="721CA286">
      <w:pPr>
        <w:pStyle w:val="13"/>
        <w:spacing w:line="472" w:lineRule="auto"/>
        <w:rPr>
          <w:sz w:val="24"/>
          <w:szCs w:val="24"/>
        </w:rPr>
      </w:pPr>
    </w:p>
    <w:p w14:paraId="70D5E93D">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10．计量单位（实质性要求）</w:t>
      </w:r>
    </w:p>
    <w:p w14:paraId="54E423C5">
      <w:pPr>
        <w:spacing w:before="133" w:line="420" w:lineRule="exact"/>
        <w:ind w:right="2"/>
        <w:jc w:val="right"/>
        <w:rPr>
          <w:rFonts w:ascii="宋体" w:hAnsi="宋体" w:eastAsia="宋体" w:cs="宋体"/>
          <w:sz w:val="24"/>
          <w:szCs w:val="24"/>
        </w:rPr>
      </w:pPr>
      <w:r>
        <w:rPr>
          <w:rFonts w:ascii="宋体" w:hAnsi="宋体" w:eastAsia="宋体" w:cs="宋体"/>
          <w:spacing w:val="1"/>
          <w:position w:val="13"/>
          <w:sz w:val="24"/>
          <w:szCs w:val="24"/>
        </w:rPr>
        <w:t>除招标文件中另有规定外，本次采购项目所有合同项下的投标均采用国家法定的计</w:t>
      </w:r>
    </w:p>
    <w:p w14:paraId="60009CF9">
      <w:pPr>
        <w:spacing w:before="1" w:line="220" w:lineRule="auto"/>
        <w:ind w:left="10"/>
        <w:rPr>
          <w:rFonts w:ascii="宋体" w:hAnsi="宋体" w:eastAsia="宋体" w:cs="宋体"/>
          <w:sz w:val="24"/>
          <w:szCs w:val="24"/>
        </w:rPr>
      </w:pPr>
      <w:r>
        <w:rPr>
          <w:rFonts w:ascii="宋体" w:hAnsi="宋体" w:eastAsia="宋体" w:cs="宋体"/>
          <w:spacing w:val="-3"/>
          <w:sz w:val="24"/>
          <w:szCs w:val="24"/>
        </w:rPr>
        <w:t>量单位。</w:t>
      </w:r>
    </w:p>
    <w:p w14:paraId="1FEFFC62">
      <w:pPr>
        <w:pStyle w:val="13"/>
        <w:spacing w:line="472" w:lineRule="auto"/>
        <w:rPr>
          <w:sz w:val="24"/>
          <w:szCs w:val="24"/>
        </w:rPr>
      </w:pPr>
    </w:p>
    <w:p w14:paraId="1C547E63">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11．投标货币（实质性要求）</w:t>
      </w:r>
    </w:p>
    <w:p w14:paraId="79645DB8">
      <w:pPr>
        <w:spacing w:before="135" w:line="219" w:lineRule="auto"/>
        <w:ind w:left="503"/>
        <w:rPr>
          <w:rFonts w:ascii="宋体" w:hAnsi="宋体" w:eastAsia="宋体" w:cs="宋体"/>
          <w:sz w:val="24"/>
          <w:szCs w:val="24"/>
        </w:rPr>
      </w:pPr>
      <w:r>
        <w:rPr>
          <w:rFonts w:ascii="宋体" w:hAnsi="宋体" w:eastAsia="宋体" w:cs="宋体"/>
          <w:spacing w:val="-1"/>
          <w:sz w:val="24"/>
          <w:szCs w:val="24"/>
        </w:rPr>
        <w:t>本次招标项目的投标均以人民币报价。</w:t>
      </w:r>
    </w:p>
    <w:p w14:paraId="14978DD5">
      <w:pPr>
        <w:pStyle w:val="13"/>
        <w:spacing w:line="474" w:lineRule="auto"/>
        <w:rPr>
          <w:sz w:val="24"/>
          <w:szCs w:val="24"/>
        </w:rPr>
      </w:pPr>
    </w:p>
    <w:p w14:paraId="7F57D68E">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12．联合体投标（实质性要求）</w:t>
      </w:r>
    </w:p>
    <w:p w14:paraId="6F92C180">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本次政府采购活动不接受联合体投标。</w:t>
      </w:r>
    </w:p>
    <w:p w14:paraId="7A28A886">
      <w:pPr>
        <w:spacing w:before="134" w:line="323" w:lineRule="auto"/>
        <w:ind w:left="10" w:right="63" w:firstLine="475"/>
        <w:rPr>
          <w:rFonts w:ascii="宋体" w:hAnsi="宋体" w:eastAsia="宋体" w:cs="宋体"/>
          <w:b/>
          <w:bCs/>
          <w:spacing w:val="2"/>
          <w:sz w:val="24"/>
          <w:szCs w:val="24"/>
        </w:rPr>
      </w:pPr>
    </w:p>
    <w:p w14:paraId="2039373F">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13．知识产权（实质性要求）</w:t>
      </w:r>
    </w:p>
    <w:p w14:paraId="72C71632">
      <w:pPr>
        <w:spacing w:before="134" w:line="323" w:lineRule="auto"/>
        <w:ind w:left="28" w:firstLine="479"/>
        <w:rPr>
          <w:rFonts w:ascii="宋体" w:hAnsi="宋体" w:eastAsia="宋体" w:cs="宋体"/>
          <w:sz w:val="24"/>
          <w:szCs w:val="24"/>
        </w:rPr>
      </w:pPr>
      <w:r>
        <w:rPr>
          <w:rFonts w:ascii="宋体" w:hAnsi="宋体" w:eastAsia="宋体" w:cs="宋体"/>
          <w:spacing w:val="-1"/>
          <w:sz w:val="24"/>
          <w:szCs w:val="24"/>
        </w:rPr>
        <w:t>13.1</w:t>
      </w:r>
      <w:r>
        <w:rPr>
          <w:rFonts w:ascii="宋体" w:hAnsi="宋体" w:eastAsia="宋体" w:cs="宋体"/>
          <w:spacing w:val="-46"/>
          <w:sz w:val="24"/>
          <w:szCs w:val="24"/>
        </w:rPr>
        <w:t xml:space="preserve"> </w:t>
      </w:r>
      <w:r>
        <w:rPr>
          <w:rFonts w:ascii="宋体" w:hAnsi="宋体" w:eastAsia="宋体" w:cs="宋体"/>
          <w:spacing w:val="-1"/>
          <w:sz w:val="24"/>
          <w:szCs w:val="24"/>
        </w:rPr>
        <w:t>投标人应保证在本项目使用的任何产品和服务（包括部分使用）时，不会产生</w:t>
      </w:r>
      <w:r>
        <w:rPr>
          <w:rFonts w:ascii="宋体" w:hAnsi="宋体" w:eastAsia="宋体" w:cs="宋体"/>
          <w:sz w:val="24"/>
          <w:szCs w:val="24"/>
        </w:rPr>
        <w:t xml:space="preserve"> </w:t>
      </w:r>
      <w:r>
        <w:rPr>
          <w:rFonts w:ascii="宋体" w:hAnsi="宋体" w:eastAsia="宋体" w:cs="宋体"/>
          <w:spacing w:val="1"/>
          <w:sz w:val="24"/>
          <w:szCs w:val="24"/>
        </w:rPr>
        <w:t>因第三方提出侵犯其专利权、商标权或其它知识产权而引起的法律和经济纠纷，</w:t>
      </w:r>
      <w:r>
        <w:rPr>
          <w:rFonts w:ascii="宋体" w:hAnsi="宋体" w:eastAsia="宋体" w:cs="宋体"/>
          <w:sz w:val="24"/>
          <w:szCs w:val="24"/>
        </w:rPr>
        <w:t>如因专</w:t>
      </w:r>
    </w:p>
    <w:p w14:paraId="4EA178CB">
      <w:pPr>
        <w:spacing w:line="220" w:lineRule="auto"/>
        <w:ind w:left="11"/>
        <w:rPr>
          <w:rFonts w:ascii="宋体" w:hAnsi="宋体" w:eastAsia="宋体" w:cs="宋体"/>
          <w:sz w:val="24"/>
          <w:szCs w:val="24"/>
        </w:rPr>
      </w:pPr>
      <w:r>
        <w:rPr>
          <w:rFonts w:ascii="宋体" w:hAnsi="宋体" w:eastAsia="宋体" w:cs="宋体"/>
          <w:sz w:val="24"/>
          <w:szCs w:val="24"/>
        </w:rPr>
        <w:t>利权、商标权或其它知识产权而引起法律和经济纠纷，由</w:t>
      </w:r>
      <w:r>
        <w:rPr>
          <w:rFonts w:ascii="宋体" w:hAnsi="宋体" w:eastAsia="宋体" w:cs="宋体"/>
          <w:spacing w:val="-1"/>
          <w:sz w:val="24"/>
          <w:szCs w:val="24"/>
        </w:rPr>
        <w:t>投标人承担所有相关责任。</w:t>
      </w:r>
    </w:p>
    <w:p w14:paraId="275D18E7">
      <w:pPr>
        <w:spacing w:before="134" w:line="219" w:lineRule="auto"/>
        <w:ind w:left="507"/>
        <w:rPr>
          <w:rFonts w:ascii="宋体" w:hAnsi="宋体" w:eastAsia="宋体" w:cs="宋体"/>
          <w:sz w:val="24"/>
          <w:szCs w:val="24"/>
        </w:rPr>
      </w:pPr>
      <w:r>
        <w:rPr>
          <w:rFonts w:ascii="宋体" w:hAnsi="宋体" w:eastAsia="宋体" w:cs="宋体"/>
          <w:spacing w:val="-1"/>
          <w:sz w:val="24"/>
          <w:szCs w:val="24"/>
        </w:rPr>
        <w:t>13.2</w:t>
      </w:r>
      <w:r>
        <w:rPr>
          <w:rFonts w:ascii="宋体" w:hAnsi="宋体" w:eastAsia="宋体" w:cs="宋体"/>
          <w:spacing w:val="-52"/>
          <w:sz w:val="24"/>
          <w:szCs w:val="24"/>
        </w:rPr>
        <w:t xml:space="preserve"> </w:t>
      </w:r>
      <w:r>
        <w:rPr>
          <w:rFonts w:ascii="宋体" w:hAnsi="宋体" w:eastAsia="宋体" w:cs="宋体"/>
          <w:spacing w:val="-1"/>
          <w:sz w:val="24"/>
          <w:szCs w:val="24"/>
        </w:rPr>
        <w:t>采购人享有本项目实施过程中产生的知识成</w:t>
      </w:r>
      <w:r>
        <w:rPr>
          <w:rFonts w:ascii="宋体" w:hAnsi="宋体" w:eastAsia="宋体" w:cs="宋体"/>
          <w:spacing w:val="-2"/>
          <w:sz w:val="24"/>
          <w:szCs w:val="24"/>
        </w:rPr>
        <w:t>果及知识产权。</w:t>
      </w:r>
    </w:p>
    <w:p w14:paraId="55D7FD3C">
      <w:pPr>
        <w:spacing w:before="135" w:line="323" w:lineRule="auto"/>
        <w:ind w:left="10" w:firstLine="497"/>
        <w:rPr>
          <w:rFonts w:ascii="宋体" w:hAnsi="宋体" w:eastAsia="宋体" w:cs="宋体"/>
          <w:sz w:val="24"/>
          <w:szCs w:val="24"/>
        </w:rPr>
      </w:pPr>
      <w:r>
        <w:rPr>
          <w:rFonts w:ascii="宋体" w:hAnsi="宋体" w:eastAsia="宋体" w:cs="宋体"/>
          <w:spacing w:val="-1"/>
          <w:sz w:val="24"/>
          <w:szCs w:val="24"/>
        </w:rPr>
        <w:t>13.3</w:t>
      </w:r>
      <w:r>
        <w:rPr>
          <w:rFonts w:ascii="宋体" w:hAnsi="宋体" w:eastAsia="宋体" w:cs="宋体"/>
          <w:spacing w:val="-46"/>
          <w:sz w:val="24"/>
          <w:szCs w:val="24"/>
        </w:rPr>
        <w:t xml:space="preserve"> </w:t>
      </w:r>
      <w:r>
        <w:rPr>
          <w:rFonts w:ascii="宋体" w:hAnsi="宋体" w:eastAsia="宋体" w:cs="宋体"/>
          <w:spacing w:val="-1"/>
          <w:sz w:val="24"/>
          <w:szCs w:val="24"/>
        </w:rPr>
        <w:t>投标人如欲在项目实施过程中采用自有知识成果，需在投标文件中声明，并提</w:t>
      </w:r>
      <w:r>
        <w:rPr>
          <w:rFonts w:ascii="宋体" w:hAnsi="宋体" w:eastAsia="宋体" w:cs="宋体"/>
          <w:sz w:val="24"/>
          <w:szCs w:val="24"/>
        </w:rPr>
        <w:t xml:space="preserve"> </w:t>
      </w:r>
      <w:r>
        <w:rPr>
          <w:rFonts w:ascii="宋体" w:hAnsi="宋体" w:eastAsia="宋体" w:cs="宋体"/>
          <w:spacing w:val="1"/>
          <w:sz w:val="24"/>
          <w:szCs w:val="24"/>
        </w:rPr>
        <w:t>供相关知识产权证明文件。使用该知识成果后，投标人需提供开发接口和开发手册等技</w:t>
      </w:r>
      <w:r>
        <w:rPr>
          <w:rFonts w:ascii="宋体" w:hAnsi="宋体" w:eastAsia="宋体" w:cs="宋体"/>
          <w:spacing w:val="16"/>
          <w:sz w:val="24"/>
          <w:szCs w:val="24"/>
        </w:rPr>
        <w:t xml:space="preserve"> </w:t>
      </w:r>
      <w:r>
        <w:rPr>
          <w:rFonts w:ascii="宋体" w:hAnsi="宋体" w:eastAsia="宋体" w:cs="宋体"/>
          <w:spacing w:val="1"/>
          <w:sz w:val="24"/>
          <w:szCs w:val="24"/>
        </w:rPr>
        <w:t>术文档，并承诺提供无限期技术支持，采购人享有永久使用权（含采购人委托第三方在</w:t>
      </w:r>
    </w:p>
    <w:p w14:paraId="176C753C">
      <w:pPr>
        <w:spacing w:before="1" w:line="220" w:lineRule="auto"/>
        <w:ind w:left="14"/>
        <w:rPr>
          <w:rFonts w:ascii="宋体" w:hAnsi="宋体" w:eastAsia="宋体" w:cs="宋体"/>
          <w:sz w:val="24"/>
          <w:szCs w:val="24"/>
        </w:rPr>
      </w:pPr>
      <w:r>
        <w:rPr>
          <w:rFonts w:ascii="宋体" w:hAnsi="宋体" w:eastAsia="宋体" w:cs="宋体"/>
          <w:spacing w:val="-2"/>
          <w:sz w:val="24"/>
          <w:szCs w:val="24"/>
        </w:rPr>
        <w:t>该项目后续开发的使用权）。</w:t>
      </w:r>
    </w:p>
    <w:p w14:paraId="3E79B57E">
      <w:pPr>
        <w:spacing w:before="133" w:line="420" w:lineRule="exact"/>
        <w:jc w:val="right"/>
        <w:rPr>
          <w:rFonts w:ascii="宋体" w:hAnsi="宋体" w:eastAsia="宋体" w:cs="宋体"/>
          <w:sz w:val="24"/>
          <w:szCs w:val="24"/>
        </w:rPr>
      </w:pPr>
      <w:r>
        <w:rPr>
          <w:rFonts w:ascii="宋体" w:hAnsi="宋体" w:eastAsia="宋体" w:cs="宋体"/>
          <w:spacing w:val="-1"/>
          <w:position w:val="13"/>
          <w:sz w:val="24"/>
          <w:szCs w:val="24"/>
        </w:rPr>
        <w:t>13.4</w:t>
      </w:r>
      <w:r>
        <w:rPr>
          <w:rFonts w:ascii="宋体" w:hAnsi="宋体" w:eastAsia="宋体" w:cs="宋体"/>
          <w:spacing w:val="-46"/>
          <w:position w:val="13"/>
          <w:sz w:val="24"/>
          <w:szCs w:val="24"/>
        </w:rPr>
        <w:t xml:space="preserve"> </w:t>
      </w:r>
      <w:r>
        <w:rPr>
          <w:rFonts w:ascii="宋体" w:hAnsi="宋体" w:eastAsia="宋体" w:cs="宋体"/>
          <w:spacing w:val="-1"/>
          <w:position w:val="13"/>
          <w:sz w:val="24"/>
          <w:szCs w:val="24"/>
        </w:rPr>
        <w:t>如采用投标人所不拥有的知识产权，则在投标报价中必须包括合法获取该知识</w:t>
      </w:r>
    </w:p>
    <w:p w14:paraId="7DE6E9AD">
      <w:pPr>
        <w:spacing w:before="1" w:line="220" w:lineRule="auto"/>
        <w:ind w:left="10"/>
        <w:rPr>
          <w:rFonts w:ascii="宋体" w:hAnsi="宋体" w:eastAsia="宋体" w:cs="宋体"/>
          <w:sz w:val="24"/>
          <w:szCs w:val="24"/>
        </w:rPr>
      </w:pPr>
      <w:r>
        <w:rPr>
          <w:rFonts w:ascii="宋体" w:hAnsi="宋体" w:eastAsia="宋体" w:cs="宋体"/>
          <w:spacing w:val="-2"/>
          <w:sz w:val="24"/>
          <w:szCs w:val="24"/>
        </w:rPr>
        <w:t>产权的相关费用。</w:t>
      </w:r>
    </w:p>
    <w:p w14:paraId="3EEFAE53">
      <w:pPr>
        <w:pStyle w:val="13"/>
        <w:spacing w:line="473" w:lineRule="auto"/>
        <w:rPr>
          <w:sz w:val="24"/>
          <w:szCs w:val="24"/>
        </w:rPr>
      </w:pPr>
    </w:p>
    <w:p w14:paraId="09ADBCC6">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14．投标文件的组成</w:t>
      </w:r>
    </w:p>
    <w:p w14:paraId="64A069DD">
      <w:pPr>
        <w:spacing w:before="134" w:line="420" w:lineRule="exact"/>
        <w:jc w:val="right"/>
        <w:rPr>
          <w:rFonts w:ascii="宋体" w:hAnsi="宋体" w:eastAsia="宋体" w:cs="宋体"/>
          <w:sz w:val="24"/>
          <w:szCs w:val="24"/>
        </w:rPr>
      </w:pPr>
      <w:r>
        <w:rPr>
          <w:rFonts w:ascii="宋体" w:hAnsi="宋体" w:eastAsia="宋体" w:cs="宋体"/>
          <w:spacing w:val="1"/>
          <w:position w:val="13"/>
          <w:sz w:val="24"/>
          <w:szCs w:val="24"/>
        </w:rPr>
        <w:t>投标人应按照招标文件的规定和要求编制投标文件。投标人编写的投标文件包括下</w:t>
      </w:r>
    </w:p>
    <w:p w14:paraId="00A4E1FD">
      <w:pPr>
        <w:spacing w:line="220" w:lineRule="auto"/>
        <w:ind w:left="14"/>
        <w:rPr>
          <w:rFonts w:ascii="宋体" w:hAnsi="宋体" w:eastAsia="宋体" w:cs="宋体"/>
          <w:sz w:val="24"/>
          <w:szCs w:val="24"/>
        </w:rPr>
      </w:pPr>
      <w:r>
        <w:rPr>
          <w:rFonts w:ascii="宋体" w:hAnsi="宋体" w:eastAsia="宋体" w:cs="宋体"/>
          <w:spacing w:val="-3"/>
          <w:sz w:val="24"/>
          <w:szCs w:val="24"/>
        </w:rPr>
        <w:t>列两部分文件：</w:t>
      </w:r>
    </w:p>
    <w:p w14:paraId="3830C267">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文件一：资格性投标文件（用于资格审查）</w:t>
      </w:r>
    </w:p>
    <w:p w14:paraId="3B0A9F3E">
      <w:pPr>
        <w:spacing w:before="78" w:line="221" w:lineRule="auto"/>
        <w:ind w:left="10"/>
        <w:rPr>
          <w:rFonts w:ascii="宋体" w:hAnsi="宋体" w:eastAsia="宋体" w:cs="宋体"/>
          <w:sz w:val="24"/>
          <w:szCs w:val="24"/>
        </w:rPr>
      </w:pPr>
      <w:r>
        <w:rPr>
          <w:rFonts w:ascii="宋体" w:hAnsi="宋体" w:eastAsia="宋体" w:cs="宋体"/>
          <w:spacing w:val="1"/>
          <w:sz w:val="24"/>
          <w:szCs w:val="24"/>
        </w:rPr>
        <w:t>严格按照第四、五章要求提供相关资格、资质性及其他类似效力要求的相关证明材</w:t>
      </w:r>
      <w:r>
        <w:rPr>
          <w:rFonts w:ascii="宋体" w:hAnsi="宋体" w:eastAsia="宋体" w:cs="宋体"/>
          <w:spacing w:val="-5"/>
          <w:sz w:val="24"/>
          <w:szCs w:val="24"/>
        </w:rPr>
        <w:t>料。</w:t>
      </w:r>
    </w:p>
    <w:p w14:paraId="0F385E86">
      <w:pPr>
        <w:spacing w:before="134" w:line="323" w:lineRule="auto"/>
        <w:ind w:left="10" w:right="63" w:firstLine="475"/>
        <w:rPr>
          <w:rFonts w:ascii="宋体" w:hAnsi="宋体" w:eastAsia="宋体" w:cs="宋体"/>
          <w:b/>
          <w:bCs/>
          <w:spacing w:val="2"/>
          <w:sz w:val="24"/>
          <w:szCs w:val="24"/>
        </w:rPr>
      </w:pPr>
      <w:r>
        <w:rPr>
          <w:rFonts w:ascii="宋体" w:hAnsi="宋体" w:eastAsia="宋体" w:cs="宋体"/>
          <w:b/>
          <w:bCs/>
          <w:spacing w:val="2"/>
          <w:sz w:val="24"/>
          <w:szCs w:val="24"/>
        </w:rPr>
        <w:t>文件二：其他响应性投标文件（用于资格审查以外的评标）</w:t>
      </w:r>
    </w:p>
    <w:p w14:paraId="32311A8A">
      <w:pPr>
        <w:spacing w:before="134" w:line="219" w:lineRule="auto"/>
        <w:ind w:left="491"/>
        <w:rPr>
          <w:rFonts w:ascii="宋体" w:hAnsi="宋体" w:eastAsia="宋体" w:cs="宋体"/>
          <w:sz w:val="24"/>
          <w:szCs w:val="24"/>
        </w:rPr>
      </w:pPr>
      <w:r>
        <w:rPr>
          <w:rFonts w:ascii="宋体" w:hAnsi="宋体" w:eastAsia="宋体" w:cs="宋体"/>
          <w:spacing w:val="-1"/>
          <w:sz w:val="24"/>
          <w:szCs w:val="24"/>
        </w:rPr>
        <w:t>严格按照招标文件要求提供以下四个方面的相关材料：</w:t>
      </w:r>
    </w:p>
    <w:p w14:paraId="5F3C41AE">
      <w:pPr>
        <w:spacing w:before="134" w:line="420" w:lineRule="exact"/>
        <w:ind w:left="501"/>
        <w:rPr>
          <w:rFonts w:ascii="宋体" w:hAnsi="宋体" w:eastAsia="宋体" w:cs="宋体"/>
          <w:sz w:val="24"/>
          <w:szCs w:val="24"/>
        </w:rPr>
      </w:pPr>
      <w:r>
        <w:rPr>
          <w:rFonts w:ascii="宋体" w:hAnsi="宋体" w:eastAsia="宋体" w:cs="宋体"/>
          <w:b/>
          <w:bCs/>
          <w:position w:val="13"/>
          <w:sz w:val="24"/>
          <w:szCs w:val="24"/>
        </w:rPr>
        <w:t>（一）报价部分。</w:t>
      </w:r>
      <w:r>
        <w:rPr>
          <w:rFonts w:ascii="宋体" w:hAnsi="宋体" w:eastAsia="宋体" w:cs="宋体"/>
          <w:position w:val="13"/>
          <w:sz w:val="24"/>
          <w:szCs w:val="24"/>
        </w:rPr>
        <w:t>投标人按照招标文件要求填写的“开标一览表</w:t>
      </w:r>
      <w:r>
        <w:rPr>
          <w:rFonts w:ascii="宋体" w:hAnsi="宋体" w:eastAsia="宋体" w:cs="宋体"/>
          <w:spacing w:val="-80"/>
          <w:position w:val="13"/>
          <w:sz w:val="24"/>
          <w:szCs w:val="24"/>
        </w:rPr>
        <w:t xml:space="preserve"> </w:t>
      </w:r>
      <w:r>
        <w:rPr>
          <w:rFonts w:ascii="宋体" w:hAnsi="宋体" w:eastAsia="宋体" w:cs="宋体"/>
          <w:position w:val="13"/>
          <w:sz w:val="24"/>
          <w:szCs w:val="24"/>
        </w:rPr>
        <w:t>”，本次招标报价</w:t>
      </w:r>
    </w:p>
    <w:p w14:paraId="67A83685">
      <w:pPr>
        <w:spacing w:line="221" w:lineRule="auto"/>
        <w:ind w:left="11"/>
        <w:rPr>
          <w:rFonts w:ascii="宋体" w:hAnsi="宋体" w:eastAsia="宋体" w:cs="宋体"/>
          <w:sz w:val="24"/>
          <w:szCs w:val="24"/>
        </w:rPr>
      </w:pPr>
      <w:r>
        <w:rPr>
          <w:rFonts w:ascii="宋体" w:hAnsi="宋体" w:eastAsia="宋体" w:cs="宋体"/>
          <w:spacing w:val="-4"/>
          <w:sz w:val="24"/>
          <w:szCs w:val="24"/>
        </w:rPr>
        <w:t>要求：</w:t>
      </w:r>
    </w:p>
    <w:p w14:paraId="303523A2">
      <w:pPr>
        <w:spacing w:before="132" w:line="420" w:lineRule="exact"/>
        <w:ind w:left="501"/>
        <w:rPr>
          <w:rFonts w:ascii="宋体" w:hAnsi="宋体" w:eastAsia="宋体" w:cs="宋体"/>
          <w:sz w:val="24"/>
          <w:szCs w:val="24"/>
        </w:rPr>
      </w:pPr>
      <w:r>
        <w:rPr>
          <w:rFonts w:ascii="宋体" w:hAnsi="宋体" w:eastAsia="宋体" w:cs="宋体"/>
          <w:spacing w:val="-2"/>
          <w:position w:val="13"/>
          <w:sz w:val="24"/>
          <w:szCs w:val="24"/>
        </w:rPr>
        <w:t>（1）投标人的报价是投标人响应招标项目要求的全部工作内容的价格体现</w:t>
      </w:r>
      <w:r>
        <w:rPr>
          <w:rFonts w:ascii="宋体" w:hAnsi="宋体" w:eastAsia="宋体" w:cs="宋体"/>
          <w:spacing w:val="-3"/>
          <w:position w:val="13"/>
          <w:sz w:val="24"/>
          <w:szCs w:val="24"/>
        </w:rPr>
        <w:t>，包括投</w:t>
      </w:r>
    </w:p>
    <w:p w14:paraId="63A13377">
      <w:pPr>
        <w:spacing w:before="1" w:line="219" w:lineRule="auto"/>
        <w:ind w:left="11"/>
        <w:rPr>
          <w:rFonts w:ascii="宋体" w:hAnsi="宋体" w:eastAsia="宋体" w:cs="宋体"/>
          <w:sz w:val="24"/>
          <w:szCs w:val="24"/>
        </w:rPr>
      </w:pPr>
      <w:r>
        <w:rPr>
          <w:rFonts w:ascii="宋体" w:hAnsi="宋体" w:eastAsia="宋体" w:cs="宋体"/>
          <w:spacing w:val="-1"/>
          <w:sz w:val="24"/>
          <w:szCs w:val="24"/>
        </w:rPr>
        <w:t>标人完成本项目所需的一切费用。</w:t>
      </w:r>
      <w:r>
        <w:rPr>
          <w:rFonts w:ascii="宋体" w:hAnsi="宋体" w:eastAsia="宋体" w:cs="宋体"/>
          <w:b/>
          <w:bCs/>
          <w:spacing w:val="2"/>
          <w:sz w:val="24"/>
          <w:szCs w:val="24"/>
        </w:rPr>
        <w:t>（实质性要求）</w:t>
      </w:r>
    </w:p>
    <w:p w14:paraId="69194FA2">
      <w:pPr>
        <w:spacing w:before="135" w:line="420" w:lineRule="exact"/>
        <w:ind w:firstLine="452" w:firstLineChars="200"/>
        <w:jc w:val="left"/>
        <w:rPr>
          <w:rFonts w:ascii="宋体" w:hAnsi="宋体" w:eastAsia="宋体" w:cs="宋体"/>
          <w:sz w:val="24"/>
          <w:szCs w:val="24"/>
        </w:rPr>
      </w:pPr>
      <w:r>
        <w:rPr>
          <w:rFonts w:ascii="宋体" w:hAnsi="宋体" w:eastAsia="宋体" w:cs="宋体"/>
          <w:spacing w:val="-7"/>
          <w:position w:val="13"/>
          <w:sz w:val="24"/>
          <w:szCs w:val="24"/>
        </w:rPr>
        <w:t>（2）投标人每个项目只允许有一个报价，并且在合同履行过程中是固定不变的，</w:t>
      </w:r>
    </w:p>
    <w:p w14:paraId="70522141">
      <w:pPr>
        <w:spacing w:before="1" w:line="218" w:lineRule="auto"/>
        <w:ind w:left="9"/>
        <w:rPr>
          <w:rFonts w:ascii="宋体" w:hAnsi="宋体" w:eastAsia="宋体" w:cs="宋体"/>
          <w:sz w:val="24"/>
          <w:szCs w:val="24"/>
        </w:rPr>
      </w:pPr>
      <w:r>
        <w:rPr>
          <w:rFonts w:ascii="宋体" w:hAnsi="宋体" w:eastAsia="宋体" w:cs="宋体"/>
          <w:sz w:val="24"/>
          <w:szCs w:val="24"/>
        </w:rPr>
        <w:t>任何有选择或可调整的报价将不予接受，并按无效投标处理。</w:t>
      </w:r>
      <w:r>
        <w:rPr>
          <w:rFonts w:ascii="宋体" w:hAnsi="宋体" w:eastAsia="宋体" w:cs="宋体"/>
          <w:b/>
          <w:bCs/>
          <w:spacing w:val="2"/>
          <w:sz w:val="24"/>
          <w:szCs w:val="24"/>
        </w:rPr>
        <w:t>（实质性要求）</w:t>
      </w:r>
    </w:p>
    <w:p w14:paraId="65A4F833">
      <w:pPr>
        <w:spacing w:before="136" w:line="323" w:lineRule="auto"/>
        <w:ind w:left="29" w:right="63" w:firstLine="471"/>
        <w:rPr>
          <w:rFonts w:ascii="宋体" w:hAnsi="宋体" w:eastAsia="宋体" w:cs="宋体"/>
          <w:sz w:val="24"/>
          <w:szCs w:val="24"/>
        </w:rPr>
      </w:pPr>
      <w:r>
        <w:rPr>
          <w:rFonts w:ascii="宋体" w:hAnsi="宋体" w:eastAsia="宋体" w:cs="宋体"/>
          <w:b/>
          <w:bCs/>
          <w:spacing w:val="2"/>
          <w:sz w:val="24"/>
          <w:szCs w:val="24"/>
        </w:rPr>
        <w:t>（二）服务部分。</w:t>
      </w:r>
      <w:r>
        <w:rPr>
          <w:rFonts w:ascii="宋体" w:hAnsi="宋体" w:eastAsia="宋体" w:cs="宋体"/>
          <w:spacing w:val="1"/>
          <w:sz w:val="24"/>
          <w:szCs w:val="24"/>
        </w:rPr>
        <w:t>投标人按照招标文件要求做出的技术应答，主要是针对招标项目的技术指标、参数和技术要求做出的实质性响应和满足。投标人的技术应答包</w:t>
      </w:r>
      <w:r>
        <w:rPr>
          <w:rFonts w:ascii="宋体" w:hAnsi="宋体" w:eastAsia="宋体" w:cs="宋体"/>
          <w:sz w:val="24"/>
          <w:szCs w:val="24"/>
        </w:rPr>
        <w:t>括下列内</w:t>
      </w:r>
      <w:r>
        <w:rPr>
          <w:rFonts w:ascii="宋体" w:hAnsi="宋体" w:eastAsia="宋体" w:cs="宋体"/>
          <w:spacing w:val="-3"/>
          <w:sz w:val="24"/>
          <w:szCs w:val="24"/>
        </w:rPr>
        <w:t>容（如涉及</w:t>
      </w:r>
      <w:r>
        <w:rPr>
          <w:rFonts w:ascii="宋体" w:hAnsi="宋体" w:eastAsia="宋体" w:cs="宋体"/>
          <w:sz w:val="24"/>
          <w:szCs w:val="24"/>
        </w:rPr>
        <w:t>）：</w:t>
      </w:r>
    </w:p>
    <w:p w14:paraId="7916C1A0">
      <w:pPr>
        <w:spacing w:before="133" w:line="220" w:lineRule="auto"/>
        <w:ind w:left="501"/>
        <w:rPr>
          <w:rFonts w:ascii="宋体" w:hAnsi="宋体" w:eastAsia="宋体" w:cs="宋体"/>
          <w:sz w:val="24"/>
          <w:szCs w:val="24"/>
        </w:rPr>
      </w:pPr>
      <w:r>
        <w:rPr>
          <w:rFonts w:ascii="宋体" w:hAnsi="宋体" w:eastAsia="宋体" w:cs="宋体"/>
          <w:spacing w:val="-1"/>
          <w:sz w:val="24"/>
          <w:szCs w:val="24"/>
        </w:rPr>
        <w:t>（1）项目总体服务方案、项目具体实施方案、应急方案；</w:t>
      </w:r>
    </w:p>
    <w:p w14:paraId="744A5DF1">
      <w:pPr>
        <w:spacing w:before="134" w:line="220" w:lineRule="auto"/>
        <w:ind w:left="501"/>
        <w:rPr>
          <w:rFonts w:ascii="宋体" w:hAnsi="宋体" w:eastAsia="宋体" w:cs="宋体"/>
          <w:sz w:val="24"/>
          <w:szCs w:val="24"/>
        </w:rPr>
      </w:pPr>
      <w:r>
        <w:rPr>
          <w:rFonts w:ascii="宋体" w:hAnsi="宋体" w:eastAsia="宋体" w:cs="宋体"/>
          <w:spacing w:val="-3"/>
          <w:sz w:val="24"/>
          <w:szCs w:val="24"/>
        </w:rPr>
        <w:t>（2）服务应答表；</w:t>
      </w:r>
    </w:p>
    <w:p w14:paraId="00037C51">
      <w:pPr>
        <w:spacing w:before="134" w:line="219" w:lineRule="auto"/>
        <w:ind w:left="501"/>
        <w:rPr>
          <w:rFonts w:ascii="宋体" w:hAnsi="宋体" w:eastAsia="宋体" w:cs="宋体"/>
          <w:sz w:val="24"/>
          <w:szCs w:val="24"/>
        </w:rPr>
      </w:pPr>
      <w:r>
        <w:rPr>
          <w:rFonts w:ascii="宋体" w:hAnsi="宋体" w:eastAsia="宋体" w:cs="宋体"/>
          <w:spacing w:val="-1"/>
          <w:sz w:val="24"/>
          <w:szCs w:val="24"/>
        </w:rPr>
        <w:t>（3）投标人认为需要提供的其他文件和资料。</w:t>
      </w:r>
    </w:p>
    <w:p w14:paraId="4748E709">
      <w:pPr>
        <w:spacing w:before="136" w:line="323" w:lineRule="auto"/>
        <w:ind w:left="29" w:right="63" w:firstLine="471"/>
        <w:rPr>
          <w:rFonts w:ascii="宋体" w:hAnsi="宋体" w:eastAsia="宋体" w:cs="宋体"/>
          <w:b/>
          <w:bCs/>
          <w:spacing w:val="2"/>
          <w:sz w:val="24"/>
          <w:szCs w:val="24"/>
        </w:rPr>
      </w:pPr>
      <w:r>
        <w:rPr>
          <w:rFonts w:ascii="宋体" w:hAnsi="宋体" w:eastAsia="宋体" w:cs="宋体"/>
          <w:b/>
          <w:bCs/>
          <w:spacing w:val="2"/>
          <w:sz w:val="24"/>
          <w:szCs w:val="24"/>
        </w:rPr>
        <w:t>（三）商务部分。</w:t>
      </w:r>
    </w:p>
    <w:p w14:paraId="589680FD">
      <w:pPr>
        <w:spacing w:before="135" w:line="420" w:lineRule="exact"/>
        <w:ind w:left="501"/>
        <w:rPr>
          <w:rFonts w:ascii="宋体" w:hAnsi="宋体" w:eastAsia="宋体" w:cs="宋体"/>
          <w:sz w:val="24"/>
          <w:szCs w:val="24"/>
        </w:rPr>
      </w:pPr>
      <w:r>
        <w:rPr>
          <w:rFonts w:ascii="宋体" w:hAnsi="宋体" w:eastAsia="宋体" w:cs="宋体"/>
          <w:spacing w:val="1"/>
          <w:position w:val="13"/>
          <w:sz w:val="24"/>
          <w:szCs w:val="24"/>
        </w:rPr>
        <w:t>投标人按照招标文件要求提供的有关文件及优惠承诺。包括以下</w:t>
      </w:r>
    </w:p>
    <w:p w14:paraId="63D9CA43">
      <w:pPr>
        <w:spacing w:line="220" w:lineRule="auto"/>
        <w:ind w:left="39"/>
        <w:rPr>
          <w:rFonts w:ascii="宋体" w:hAnsi="宋体" w:eastAsia="宋体" w:cs="宋体"/>
          <w:sz w:val="24"/>
          <w:szCs w:val="24"/>
        </w:rPr>
      </w:pPr>
      <w:r>
        <w:rPr>
          <w:rFonts w:ascii="宋体" w:hAnsi="宋体" w:eastAsia="宋体" w:cs="宋体"/>
          <w:spacing w:val="-7"/>
          <w:sz w:val="24"/>
          <w:szCs w:val="24"/>
        </w:rPr>
        <w:t>内容（如涉及</w:t>
      </w:r>
      <w:r>
        <w:rPr>
          <w:rFonts w:ascii="宋体" w:hAnsi="宋体" w:eastAsia="宋体" w:cs="宋体"/>
          <w:spacing w:val="1"/>
          <w:sz w:val="24"/>
          <w:szCs w:val="24"/>
        </w:rPr>
        <w:t>）：</w:t>
      </w:r>
    </w:p>
    <w:p w14:paraId="0210AED2">
      <w:pPr>
        <w:spacing w:before="134" w:line="221" w:lineRule="auto"/>
        <w:ind w:left="501"/>
        <w:rPr>
          <w:rFonts w:ascii="宋体" w:hAnsi="宋体" w:eastAsia="宋体" w:cs="宋体"/>
          <w:sz w:val="24"/>
          <w:szCs w:val="24"/>
        </w:rPr>
      </w:pPr>
      <w:r>
        <w:rPr>
          <w:rFonts w:ascii="宋体" w:hAnsi="宋体" w:eastAsia="宋体" w:cs="宋体"/>
          <w:spacing w:val="-3"/>
          <w:sz w:val="24"/>
          <w:szCs w:val="24"/>
        </w:rPr>
        <w:t>（1）投标函；</w:t>
      </w:r>
    </w:p>
    <w:p w14:paraId="5FDA786D">
      <w:pPr>
        <w:spacing w:before="133" w:line="219" w:lineRule="auto"/>
        <w:ind w:left="501"/>
        <w:rPr>
          <w:rFonts w:ascii="宋体" w:hAnsi="宋体" w:eastAsia="宋体" w:cs="宋体"/>
          <w:sz w:val="24"/>
          <w:szCs w:val="24"/>
        </w:rPr>
      </w:pPr>
      <w:r>
        <w:rPr>
          <w:rFonts w:ascii="宋体" w:hAnsi="宋体" w:eastAsia="宋体" w:cs="宋体"/>
          <w:spacing w:val="-1"/>
          <w:sz w:val="24"/>
          <w:szCs w:val="24"/>
        </w:rPr>
        <w:t>（2）证明投标人业绩和荣誉的有关材料复印件；</w:t>
      </w:r>
    </w:p>
    <w:p w14:paraId="39B929B6">
      <w:pPr>
        <w:spacing w:before="135" w:line="220" w:lineRule="auto"/>
        <w:ind w:left="501"/>
        <w:rPr>
          <w:rFonts w:ascii="宋体" w:hAnsi="宋体" w:eastAsia="宋体" w:cs="宋体"/>
          <w:sz w:val="24"/>
          <w:szCs w:val="24"/>
        </w:rPr>
      </w:pPr>
      <w:r>
        <w:rPr>
          <w:rFonts w:ascii="宋体" w:hAnsi="宋体" w:eastAsia="宋体" w:cs="宋体"/>
          <w:spacing w:val="-3"/>
          <w:sz w:val="24"/>
          <w:szCs w:val="24"/>
        </w:rPr>
        <w:t>（3）商务应答表；</w:t>
      </w:r>
    </w:p>
    <w:p w14:paraId="292FFD83">
      <w:pPr>
        <w:spacing w:before="134" w:line="219" w:lineRule="auto"/>
        <w:ind w:left="501"/>
        <w:rPr>
          <w:rFonts w:ascii="宋体" w:hAnsi="宋体" w:eastAsia="宋体" w:cs="宋体"/>
          <w:sz w:val="24"/>
          <w:szCs w:val="24"/>
        </w:rPr>
      </w:pPr>
      <w:r>
        <w:rPr>
          <w:rFonts w:ascii="宋体" w:hAnsi="宋体" w:eastAsia="宋体" w:cs="宋体"/>
          <w:spacing w:val="-1"/>
          <w:sz w:val="24"/>
          <w:szCs w:val="24"/>
        </w:rPr>
        <w:t>（4）其他投标人认为需要提供的文件和资料；</w:t>
      </w:r>
    </w:p>
    <w:p w14:paraId="66EBB4F3">
      <w:pPr>
        <w:spacing w:before="135" w:line="220" w:lineRule="auto"/>
        <w:ind w:left="501"/>
        <w:rPr>
          <w:rFonts w:ascii="宋体" w:hAnsi="宋体" w:eastAsia="宋体" w:cs="宋体"/>
          <w:sz w:val="24"/>
          <w:szCs w:val="24"/>
        </w:rPr>
      </w:pPr>
      <w:r>
        <w:rPr>
          <w:rFonts w:ascii="宋体" w:hAnsi="宋体" w:eastAsia="宋体" w:cs="宋体"/>
          <w:b/>
          <w:bCs/>
          <w:spacing w:val="2"/>
          <w:sz w:val="24"/>
          <w:szCs w:val="24"/>
        </w:rPr>
        <w:t>（四）其他部分。</w:t>
      </w:r>
      <w:r>
        <w:rPr>
          <w:rFonts w:ascii="宋体" w:hAnsi="宋体" w:eastAsia="宋体" w:cs="宋体"/>
          <w:spacing w:val="-1"/>
          <w:sz w:val="24"/>
          <w:szCs w:val="24"/>
        </w:rPr>
        <w:t>投标人按照投标文件要求作出的其他应答和承诺。</w:t>
      </w:r>
    </w:p>
    <w:p w14:paraId="446BF3A0">
      <w:pPr>
        <w:spacing w:before="135" w:line="220" w:lineRule="auto"/>
        <w:ind w:left="501"/>
        <w:rPr>
          <w:rFonts w:ascii="宋体" w:hAnsi="宋体" w:eastAsia="宋体" w:cs="宋体"/>
          <w:b/>
          <w:bCs/>
          <w:spacing w:val="2"/>
          <w:sz w:val="24"/>
          <w:szCs w:val="24"/>
        </w:rPr>
      </w:pPr>
    </w:p>
    <w:p w14:paraId="265E48FF">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15．投标文件格式</w:t>
      </w:r>
    </w:p>
    <w:p w14:paraId="70B69BF7">
      <w:pPr>
        <w:spacing w:before="0" w:line="240" w:lineRule="auto"/>
        <w:ind w:left="0" w:firstLine="480" w:firstLineChars="200"/>
        <w:rPr>
          <w:rFonts w:hint="eastAsia" w:ascii="Arial" w:hAnsi="Arial" w:eastAsia="Arial" w:cs="Arial"/>
          <w:sz w:val="24"/>
          <w:szCs w:val="24"/>
        </w:rPr>
      </w:pPr>
      <w:r>
        <w:rPr>
          <w:rFonts w:hint="eastAsia" w:ascii="宋体" w:hAnsi="宋体" w:eastAsia="宋体" w:cs="宋体"/>
          <w:spacing w:val="0"/>
          <w:position w:val="0"/>
          <w:sz w:val="24"/>
          <w:szCs w:val="24"/>
          <w:lang w:val="en-US" w:eastAsia="zh-CN"/>
        </w:rPr>
        <w:t>15.1</w:t>
      </w:r>
      <w:r>
        <w:rPr>
          <w:rFonts w:hint="eastAsia" w:ascii="宋体" w:hAnsi="宋体" w:eastAsia="宋体" w:cs="宋体"/>
          <w:spacing w:val="0"/>
          <w:position w:val="0"/>
          <w:sz w:val="24"/>
          <w:szCs w:val="24"/>
        </w:rPr>
        <w:t>投标人应执行招标文件第三章的规定要求。第三章格式中“注 ”的内容，投标</w:t>
      </w:r>
      <w:r>
        <w:rPr>
          <w:rFonts w:hint="eastAsia" w:ascii="宋体" w:hAnsi="宋体" w:eastAsia="宋体" w:cs="宋体"/>
          <w:spacing w:val="0"/>
          <w:sz w:val="24"/>
          <w:szCs w:val="24"/>
        </w:rPr>
        <w:t>人可自行决定是否保留在投标文件中，未保留的视为投标人默认接受“注 ”的内容</w:t>
      </w:r>
      <w:r>
        <w:rPr>
          <w:rFonts w:hint="eastAsia" w:ascii="Arial" w:hAnsi="Arial" w:eastAsia="Arial" w:cs="Arial"/>
          <w:spacing w:val="0"/>
          <w:sz w:val="24"/>
          <w:szCs w:val="24"/>
        </w:rPr>
        <w:t>。</w:t>
      </w:r>
    </w:p>
    <w:p w14:paraId="1E693EC3">
      <w:pPr>
        <w:spacing w:before="135" w:line="220" w:lineRule="auto"/>
        <w:ind w:left="519"/>
        <w:rPr>
          <w:rFonts w:ascii="宋体" w:hAnsi="宋体" w:eastAsia="宋体" w:cs="宋体"/>
          <w:sz w:val="24"/>
          <w:szCs w:val="24"/>
        </w:rPr>
      </w:pPr>
      <w:r>
        <w:rPr>
          <w:rFonts w:ascii="宋体" w:hAnsi="宋体" w:eastAsia="宋体" w:cs="宋体"/>
          <w:spacing w:val="-2"/>
          <w:sz w:val="24"/>
          <w:szCs w:val="24"/>
        </w:rPr>
        <w:t>15.2</w:t>
      </w:r>
      <w:r>
        <w:rPr>
          <w:rFonts w:ascii="宋体" w:hAnsi="宋体" w:eastAsia="宋体" w:cs="宋体"/>
          <w:spacing w:val="-37"/>
          <w:sz w:val="24"/>
          <w:szCs w:val="24"/>
        </w:rPr>
        <w:t xml:space="preserve"> </w:t>
      </w:r>
      <w:r>
        <w:rPr>
          <w:rFonts w:ascii="宋体" w:hAnsi="宋体" w:eastAsia="宋体" w:cs="宋体"/>
          <w:spacing w:val="-2"/>
          <w:sz w:val="24"/>
          <w:szCs w:val="24"/>
        </w:rPr>
        <w:t>对于没有格式要求的投标文件由投标人自行编写。</w:t>
      </w:r>
    </w:p>
    <w:p w14:paraId="56691544">
      <w:pPr>
        <w:spacing w:before="135" w:line="220" w:lineRule="auto"/>
        <w:ind w:left="501"/>
        <w:rPr>
          <w:rFonts w:ascii="宋体" w:hAnsi="宋体" w:eastAsia="宋体" w:cs="宋体"/>
          <w:b/>
          <w:bCs/>
          <w:spacing w:val="2"/>
          <w:sz w:val="24"/>
          <w:szCs w:val="24"/>
        </w:rPr>
      </w:pPr>
    </w:p>
    <w:p w14:paraId="13827063">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16．投标保证金（实质性要求）</w:t>
      </w:r>
    </w:p>
    <w:p w14:paraId="3CACB68C">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本项目不收取投标保证金。</w:t>
      </w:r>
    </w:p>
    <w:p w14:paraId="754B2596">
      <w:pPr>
        <w:spacing w:before="135" w:line="220" w:lineRule="auto"/>
        <w:ind w:left="501"/>
        <w:rPr>
          <w:rFonts w:ascii="宋体" w:hAnsi="宋体" w:eastAsia="宋体" w:cs="宋体"/>
          <w:b/>
          <w:bCs/>
          <w:spacing w:val="2"/>
          <w:sz w:val="24"/>
          <w:szCs w:val="24"/>
        </w:rPr>
      </w:pPr>
    </w:p>
    <w:p w14:paraId="0AD6D70A">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17．投标有效期（实质性要求）</w:t>
      </w:r>
    </w:p>
    <w:p w14:paraId="09524C37">
      <w:pPr>
        <w:spacing w:before="135" w:line="220" w:lineRule="auto"/>
        <w:ind w:left="501"/>
        <w:rPr>
          <w:rFonts w:ascii="宋体" w:hAnsi="宋体" w:eastAsia="宋体" w:cs="宋体"/>
          <w:sz w:val="24"/>
          <w:szCs w:val="24"/>
        </w:rPr>
      </w:pPr>
      <w:r>
        <w:rPr>
          <w:rFonts w:ascii="宋体" w:hAnsi="宋体" w:eastAsia="宋体" w:cs="宋体"/>
          <w:spacing w:val="-1"/>
          <w:sz w:val="24"/>
          <w:szCs w:val="24"/>
        </w:rPr>
        <w:t>17.1</w:t>
      </w:r>
      <w:r>
        <w:rPr>
          <w:rFonts w:ascii="宋体" w:hAnsi="宋体" w:eastAsia="宋体" w:cs="宋体"/>
          <w:spacing w:val="-48"/>
          <w:sz w:val="24"/>
          <w:szCs w:val="24"/>
        </w:rPr>
        <w:t xml:space="preserve"> </w:t>
      </w:r>
      <w:r>
        <w:rPr>
          <w:rFonts w:ascii="宋体" w:hAnsi="宋体" w:eastAsia="宋体" w:cs="宋体"/>
          <w:spacing w:val="-1"/>
          <w:sz w:val="24"/>
          <w:szCs w:val="24"/>
        </w:rPr>
        <w:t>投标有效期从</w:t>
      </w:r>
      <w:r>
        <w:rPr>
          <w:rFonts w:ascii="宋体" w:hAnsi="宋体" w:eastAsia="宋体" w:cs="宋体"/>
          <w:b/>
          <w:bCs/>
          <w:spacing w:val="-1"/>
          <w:sz w:val="24"/>
          <w:szCs w:val="24"/>
        </w:rPr>
        <w:t>提交投标文件的截止之日</w:t>
      </w:r>
      <w:r>
        <w:rPr>
          <w:rFonts w:ascii="宋体" w:hAnsi="宋体" w:eastAsia="宋体" w:cs="宋体"/>
          <w:spacing w:val="-2"/>
          <w:sz w:val="24"/>
          <w:szCs w:val="24"/>
        </w:rPr>
        <w:t>起计算。</w:t>
      </w:r>
    </w:p>
    <w:p w14:paraId="325BF2C1">
      <w:pPr>
        <w:spacing w:before="134" w:line="323" w:lineRule="auto"/>
        <w:ind w:left="17" w:right="81" w:firstLine="493"/>
        <w:rPr>
          <w:rFonts w:ascii="宋体" w:hAnsi="宋体" w:eastAsia="宋体" w:cs="宋体"/>
          <w:sz w:val="24"/>
          <w:szCs w:val="24"/>
        </w:rPr>
      </w:pPr>
      <w:r>
        <w:rPr>
          <w:rFonts w:ascii="宋体" w:hAnsi="宋体" w:eastAsia="宋体" w:cs="宋体"/>
          <w:spacing w:val="1"/>
          <w:sz w:val="24"/>
          <w:szCs w:val="24"/>
        </w:rPr>
        <w:t>17.2</w:t>
      </w:r>
      <w:r>
        <w:rPr>
          <w:rFonts w:ascii="宋体" w:hAnsi="宋体" w:eastAsia="宋体" w:cs="宋体"/>
          <w:spacing w:val="-36"/>
          <w:sz w:val="24"/>
          <w:szCs w:val="24"/>
        </w:rPr>
        <w:t xml:space="preserve"> </w:t>
      </w:r>
      <w:r>
        <w:rPr>
          <w:rFonts w:ascii="宋体" w:hAnsi="宋体" w:eastAsia="宋体" w:cs="宋体"/>
          <w:spacing w:val="1"/>
          <w:sz w:val="24"/>
          <w:szCs w:val="24"/>
        </w:rPr>
        <w:t>本项目投标有效期为</w:t>
      </w:r>
      <w:r>
        <w:rPr>
          <w:rFonts w:ascii="宋体" w:hAnsi="宋体" w:eastAsia="宋体" w:cs="宋体"/>
          <w:b/>
          <w:bCs/>
          <w:spacing w:val="-1"/>
          <w:sz w:val="24"/>
          <w:szCs w:val="24"/>
        </w:rPr>
        <w:t>提交投标文件的截止之日起 90 天</w:t>
      </w:r>
      <w:r>
        <w:rPr>
          <w:rFonts w:ascii="宋体" w:hAnsi="宋体" w:eastAsia="宋体" w:cs="宋体"/>
          <w:spacing w:val="1"/>
          <w:sz w:val="24"/>
          <w:szCs w:val="24"/>
        </w:rPr>
        <w:t>。投标人投标文件中必须载明投标有效期，投标文件中载明的投标有效期可以长于招标文件规定的期限，但不</w:t>
      </w:r>
      <w:r>
        <w:rPr>
          <w:rFonts w:ascii="宋体" w:hAnsi="宋体" w:eastAsia="宋体" w:cs="宋体"/>
          <w:sz w:val="24"/>
          <w:szCs w:val="24"/>
        </w:rPr>
        <w:t>得短于招标文件规定的期限。否则，其投标</w:t>
      </w:r>
      <w:r>
        <w:rPr>
          <w:rFonts w:ascii="宋体" w:hAnsi="宋体" w:eastAsia="宋体" w:cs="宋体"/>
          <w:spacing w:val="-1"/>
          <w:sz w:val="24"/>
          <w:szCs w:val="24"/>
        </w:rPr>
        <w:t>文件将作为无效投标处理。</w:t>
      </w:r>
    </w:p>
    <w:p w14:paraId="739AE2FF">
      <w:pPr>
        <w:spacing w:before="134" w:line="323" w:lineRule="auto"/>
        <w:ind w:left="12" w:right="81" w:firstLine="498"/>
        <w:rPr>
          <w:rFonts w:ascii="宋体" w:hAnsi="宋体" w:eastAsia="宋体" w:cs="宋体"/>
          <w:sz w:val="24"/>
          <w:szCs w:val="24"/>
        </w:rPr>
      </w:pPr>
      <w:r>
        <w:rPr>
          <w:rFonts w:ascii="宋体" w:hAnsi="宋体" w:eastAsia="宋体" w:cs="宋体"/>
          <w:spacing w:val="-1"/>
          <w:sz w:val="24"/>
          <w:szCs w:val="24"/>
        </w:rPr>
        <w:t>17.3</w:t>
      </w:r>
      <w:r>
        <w:rPr>
          <w:rFonts w:ascii="宋体" w:hAnsi="宋体" w:eastAsia="宋体" w:cs="宋体"/>
          <w:spacing w:val="-32"/>
          <w:sz w:val="24"/>
          <w:szCs w:val="24"/>
        </w:rPr>
        <w:t xml:space="preserve"> </w:t>
      </w:r>
      <w:r>
        <w:rPr>
          <w:rFonts w:ascii="宋体" w:hAnsi="宋体" w:eastAsia="宋体" w:cs="宋体"/>
          <w:spacing w:val="-1"/>
          <w:sz w:val="24"/>
          <w:szCs w:val="24"/>
        </w:rPr>
        <w:t>因不可抗力事件，采购人可于投标有效期届满</w:t>
      </w:r>
      <w:r>
        <w:rPr>
          <w:rFonts w:ascii="宋体" w:hAnsi="宋体" w:eastAsia="宋体" w:cs="宋体"/>
          <w:spacing w:val="-2"/>
          <w:sz w:val="24"/>
          <w:szCs w:val="24"/>
        </w:rPr>
        <w:t>之前与投标人协商延长投标有效</w:t>
      </w:r>
      <w:r>
        <w:rPr>
          <w:rFonts w:ascii="宋体" w:hAnsi="宋体" w:eastAsia="宋体" w:cs="宋体"/>
          <w:spacing w:val="1"/>
          <w:sz w:val="24"/>
          <w:szCs w:val="24"/>
        </w:rPr>
        <w:t>期。投标人拒绝延长投标有效期的，不得再参与该项目后续采购活动，但由此给投标人造成的损失，采购人可以自主决定是否可以给予适当补偿。投标人同意延长投标有效期</w:t>
      </w:r>
      <w:r>
        <w:rPr>
          <w:rFonts w:ascii="宋体" w:hAnsi="宋体" w:eastAsia="宋体" w:cs="宋体"/>
          <w:spacing w:val="-3"/>
          <w:sz w:val="24"/>
          <w:szCs w:val="24"/>
        </w:rPr>
        <w:t>的，不能修改投标文件。</w:t>
      </w:r>
    </w:p>
    <w:p w14:paraId="7398623A">
      <w:pPr>
        <w:spacing w:before="134" w:line="323" w:lineRule="auto"/>
        <w:ind w:left="11" w:right="81" w:firstLine="499"/>
        <w:rPr>
          <w:rFonts w:ascii="宋体" w:hAnsi="宋体" w:eastAsia="宋体" w:cs="宋体"/>
          <w:sz w:val="24"/>
          <w:szCs w:val="24"/>
        </w:rPr>
      </w:pPr>
      <w:r>
        <w:rPr>
          <w:rFonts w:ascii="宋体" w:hAnsi="宋体" w:eastAsia="宋体" w:cs="宋体"/>
          <w:spacing w:val="-1"/>
          <w:sz w:val="24"/>
          <w:szCs w:val="24"/>
        </w:rPr>
        <w:t>17.4</w:t>
      </w:r>
      <w:r>
        <w:rPr>
          <w:rFonts w:ascii="宋体" w:hAnsi="宋体" w:eastAsia="宋体" w:cs="宋体"/>
          <w:spacing w:val="-32"/>
          <w:sz w:val="24"/>
          <w:szCs w:val="24"/>
        </w:rPr>
        <w:t xml:space="preserve"> </w:t>
      </w:r>
      <w:r>
        <w:rPr>
          <w:rFonts w:ascii="宋体" w:hAnsi="宋体" w:eastAsia="宋体" w:cs="宋体"/>
          <w:spacing w:val="-1"/>
          <w:sz w:val="24"/>
          <w:szCs w:val="24"/>
        </w:rPr>
        <w:t>因采购人采购需求作出必要调整，采购人可于</w:t>
      </w:r>
      <w:r>
        <w:rPr>
          <w:rFonts w:ascii="宋体" w:hAnsi="宋体" w:eastAsia="宋体" w:cs="宋体"/>
          <w:spacing w:val="-2"/>
          <w:sz w:val="24"/>
          <w:szCs w:val="24"/>
        </w:rPr>
        <w:t>投标有效期届满之前与投标人协</w:t>
      </w:r>
      <w:r>
        <w:rPr>
          <w:rFonts w:ascii="宋体" w:hAnsi="宋体" w:eastAsia="宋体" w:cs="宋体"/>
          <w:spacing w:val="1"/>
          <w:sz w:val="24"/>
          <w:szCs w:val="24"/>
        </w:rPr>
        <w:t>商延长投标有效期。投标人拒绝延长投标有效期的，不得再参与该项目后续采购活动，但由此给投标人造成的损失，采购人应当予以赔偿或者合理补偿。投标人同意延长投标</w:t>
      </w:r>
      <w:r>
        <w:rPr>
          <w:rFonts w:ascii="宋体" w:hAnsi="宋体" w:eastAsia="宋体" w:cs="宋体"/>
          <w:spacing w:val="-1"/>
          <w:sz w:val="24"/>
          <w:szCs w:val="24"/>
        </w:rPr>
        <w:t>有效期的，不能修改投标文件。</w:t>
      </w:r>
    </w:p>
    <w:p w14:paraId="2389D104">
      <w:pPr>
        <w:spacing w:before="135" w:line="220" w:lineRule="auto"/>
        <w:ind w:left="501"/>
        <w:rPr>
          <w:rFonts w:ascii="宋体" w:hAnsi="宋体" w:eastAsia="宋体" w:cs="宋体"/>
          <w:b/>
          <w:bCs/>
          <w:spacing w:val="2"/>
          <w:sz w:val="24"/>
          <w:szCs w:val="24"/>
        </w:rPr>
      </w:pPr>
    </w:p>
    <w:p w14:paraId="29C66C40">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18．投标文件的印制和签署</w:t>
      </w:r>
    </w:p>
    <w:p w14:paraId="658EF84A">
      <w:pPr>
        <w:spacing w:before="134" w:line="323" w:lineRule="auto"/>
        <w:ind w:left="16" w:right="17" w:firstLine="494"/>
        <w:rPr>
          <w:rFonts w:hint="eastAsia" w:ascii="宋体" w:hAnsi="宋体" w:eastAsia="宋体" w:cs="宋体"/>
          <w:spacing w:val="-1"/>
          <w:sz w:val="24"/>
          <w:szCs w:val="24"/>
          <w:lang w:eastAsia="zh-CN"/>
        </w:rPr>
      </w:pPr>
      <w:r>
        <w:rPr>
          <w:rFonts w:ascii="宋体" w:hAnsi="宋体" w:eastAsia="宋体" w:cs="宋体"/>
          <w:spacing w:val="-3"/>
          <w:sz w:val="24"/>
          <w:szCs w:val="24"/>
        </w:rPr>
        <w:t>18.1</w:t>
      </w:r>
      <w:r>
        <w:rPr>
          <w:rFonts w:ascii="宋体" w:hAnsi="宋体" w:eastAsia="宋体" w:cs="宋体"/>
          <w:spacing w:val="-38"/>
          <w:sz w:val="24"/>
          <w:szCs w:val="24"/>
        </w:rPr>
        <w:t xml:space="preserve"> </w:t>
      </w:r>
      <w:r>
        <w:rPr>
          <w:rFonts w:ascii="宋体" w:hAnsi="宋体" w:eastAsia="宋体" w:cs="宋体"/>
          <w:spacing w:val="-3"/>
          <w:sz w:val="24"/>
          <w:szCs w:val="24"/>
        </w:rPr>
        <w:t>投标文件分为“资格性投标文件</w:t>
      </w:r>
      <w:r>
        <w:rPr>
          <w:rFonts w:ascii="宋体" w:hAnsi="宋体" w:eastAsia="宋体" w:cs="宋体"/>
          <w:spacing w:val="-89"/>
          <w:sz w:val="24"/>
          <w:szCs w:val="24"/>
        </w:rPr>
        <w:t xml:space="preserve"> </w:t>
      </w:r>
      <w:r>
        <w:rPr>
          <w:rFonts w:ascii="宋体" w:hAnsi="宋体" w:eastAsia="宋体" w:cs="宋体"/>
          <w:spacing w:val="-3"/>
          <w:sz w:val="24"/>
          <w:szCs w:val="24"/>
        </w:rPr>
        <w:t>”和“其他响应性投标文件</w:t>
      </w:r>
      <w:r>
        <w:rPr>
          <w:rFonts w:ascii="宋体" w:hAnsi="宋体" w:eastAsia="宋体" w:cs="宋体"/>
          <w:spacing w:val="-85"/>
          <w:sz w:val="24"/>
          <w:szCs w:val="24"/>
        </w:rPr>
        <w:t xml:space="preserve"> </w:t>
      </w:r>
      <w:r>
        <w:rPr>
          <w:rFonts w:ascii="宋体" w:hAnsi="宋体" w:eastAsia="宋体" w:cs="宋体"/>
          <w:spacing w:val="-3"/>
          <w:sz w:val="24"/>
          <w:szCs w:val="24"/>
        </w:rPr>
        <w:t>”两部分，且该两</w:t>
      </w:r>
      <w:r>
        <w:rPr>
          <w:rFonts w:ascii="宋体" w:hAnsi="宋体" w:eastAsia="宋体" w:cs="宋体"/>
          <w:spacing w:val="-4"/>
          <w:sz w:val="24"/>
          <w:szCs w:val="24"/>
        </w:rPr>
        <w:t>部分应分册装订。“资格性投标文件</w:t>
      </w:r>
      <w:r>
        <w:rPr>
          <w:rFonts w:ascii="宋体" w:hAnsi="宋体" w:eastAsia="宋体" w:cs="宋体"/>
          <w:spacing w:val="-89"/>
          <w:sz w:val="24"/>
          <w:szCs w:val="24"/>
        </w:rPr>
        <w:t xml:space="preserve"> </w:t>
      </w:r>
      <w:r>
        <w:rPr>
          <w:rFonts w:ascii="宋体" w:hAnsi="宋体" w:eastAsia="宋体" w:cs="宋体"/>
          <w:spacing w:val="-4"/>
          <w:sz w:val="24"/>
          <w:szCs w:val="24"/>
        </w:rPr>
        <w:t>”用于采购人或采购代理机构对本项目的资格审查，</w:t>
      </w:r>
      <w:r>
        <w:rPr>
          <w:rFonts w:ascii="宋体" w:hAnsi="宋体" w:eastAsia="宋体" w:cs="宋体"/>
          <w:spacing w:val="-1"/>
          <w:sz w:val="24"/>
          <w:szCs w:val="24"/>
        </w:rPr>
        <w:t>“其他响应性投标文件</w:t>
      </w:r>
      <w:r>
        <w:rPr>
          <w:rFonts w:ascii="宋体" w:hAnsi="宋体" w:eastAsia="宋体" w:cs="宋体"/>
          <w:spacing w:val="-84"/>
          <w:sz w:val="24"/>
          <w:szCs w:val="24"/>
        </w:rPr>
        <w:t xml:space="preserve"> </w:t>
      </w:r>
      <w:r>
        <w:rPr>
          <w:rFonts w:ascii="宋体" w:hAnsi="宋体" w:eastAsia="宋体" w:cs="宋体"/>
          <w:spacing w:val="-1"/>
          <w:sz w:val="24"/>
          <w:szCs w:val="24"/>
        </w:rPr>
        <w:t>”用于评标委员会针对本项目资格审查以外的评审</w:t>
      </w:r>
      <w:r>
        <w:rPr>
          <w:rFonts w:hint="eastAsia" w:ascii="宋体" w:hAnsi="宋体" w:eastAsia="宋体" w:cs="宋体"/>
          <w:spacing w:val="-1"/>
          <w:sz w:val="24"/>
          <w:szCs w:val="24"/>
          <w:lang w:eastAsia="zh-CN"/>
        </w:rPr>
        <w:t>，电子文档采用U盘制作（电子文档须为响应文件正本加盖公章、签字后形成PDF扫描件，扫描件内容应与纸质响应文件正本完全一致）。</w:t>
      </w:r>
    </w:p>
    <w:p w14:paraId="60BA15F4">
      <w:pPr>
        <w:spacing w:before="134" w:line="323" w:lineRule="auto"/>
        <w:ind w:left="16" w:right="17" w:firstLine="494"/>
        <w:rPr>
          <w:rFonts w:ascii="宋体" w:hAnsi="宋体" w:eastAsia="宋体" w:cs="宋体"/>
          <w:sz w:val="24"/>
          <w:szCs w:val="24"/>
        </w:rPr>
      </w:pPr>
      <w:r>
        <w:rPr>
          <w:rFonts w:hint="eastAsia" w:ascii="宋体" w:hAnsi="宋体" w:eastAsia="宋体" w:cs="宋体"/>
          <w:spacing w:val="-1"/>
          <w:sz w:val="24"/>
          <w:szCs w:val="24"/>
          <w:lang w:eastAsia="zh-CN"/>
        </w:rPr>
        <w:t>注：当电子文档和纸质文件不一致时，以纸质文件为准。</w:t>
      </w:r>
    </w:p>
    <w:p w14:paraId="3500EE38">
      <w:pPr>
        <w:spacing w:before="135" w:line="323" w:lineRule="auto"/>
        <w:ind w:left="14" w:right="81" w:firstLine="496"/>
        <w:rPr>
          <w:rFonts w:ascii="宋体" w:hAnsi="宋体" w:eastAsia="宋体" w:cs="宋体"/>
          <w:sz w:val="24"/>
          <w:szCs w:val="24"/>
        </w:rPr>
      </w:pPr>
      <w:r>
        <w:rPr>
          <w:rFonts w:ascii="宋体" w:hAnsi="宋体" w:eastAsia="宋体" w:cs="宋体"/>
          <w:spacing w:val="-6"/>
          <w:sz w:val="24"/>
          <w:szCs w:val="24"/>
        </w:rPr>
        <w:t>18.2</w:t>
      </w:r>
      <w:r>
        <w:rPr>
          <w:rFonts w:ascii="宋体" w:hAnsi="宋体" w:eastAsia="宋体" w:cs="宋体"/>
          <w:spacing w:val="-34"/>
          <w:sz w:val="24"/>
          <w:szCs w:val="24"/>
        </w:rPr>
        <w:t xml:space="preserve"> </w:t>
      </w:r>
      <w:r>
        <w:rPr>
          <w:rFonts w:ascii="宋体" w:hAnsi="宋体" w:eastAsia="宋体" w:cs="宋体"/>
          <w:spacing w:val="-6"/>
          <w:sz w:val="24"/>
          <w:szCs w:val="24"/>
        </w:rPr>
        <w:t>投标人应按</w:t>
      </w:r>
      <w:r>
        <w:rPr>
          <w:rFonts w:ascii="宋体" w:hAnsi="宋体" w:eastAsia="宋体" w:cs="宋体"/>
          <w:spacing w:val="-33"/>
          <w:sz w:val="24"/>
          <w:szCs w:val="24"/>
        </w:rPr>
        <w:t xml:space="preserve"> </w:t>
      </w:r>
      <w:r>
        <w:rPr>
          <w:rFonts w:ascii="宋体" w:hAnsi="宋体" w:eastAsia="宋体" w:cs="宋体"/>
          <w:spacing w:val="-6"/>
          <w:sz w:val="24"/>
          <w:szCs w:val="24"/>
        </w:rPr>
        <w:t>18.1</w:t>
      </w:r>
      <w:r>
        <w:rPr>
          <w:rFonts w:ascii="宋体" w:hAnsi="宋体" w:eastAsia="宋体" w:cs="宋体"/>
          <w:spacing w:val="-49"/>
          <w:sz w:val="24"/>
          <w:szCs w:val="24"/>
        </w:rPr>
        <w:t xml:space="preserve"> </w:t>
      </w:r>
      <w:r>
        <w:rPr>
          <w:rFonts w:ascii="宋体" w:hAnsi="宋体" w:eastAsia="宋体" w:cs="宋体"/>
          <w:spacing w:val="-6"/>
          <w:sz w:val="24"/>
          <w:szCs w:val="24"/>
        </w:rPr>
        <w:t>准备两部分投标文件，“资格性投标文件</w:t>
      </w:r>
      <w:r>
        <w:rPr>
          <w:rFonts w:ascii="宋体" w:hAnsi="宋体" w:eastAsia="宋体" w:cs="宋体"/>
          <w:spacing w:val="-88"/>
          <w:sz w:val="24"/>
          <w:szCs w:val="24"/>
        </w:rPr>
        <w:t xml:space="preserve"> </w:t>
      </w:r>
      <w:r>
        <w:rPr>
          <w:rFonts w:ascii="宋体" w:hAnsi="宋体" w:eastAsia="宋体" w:cs="宋体"/>
          <w:spacing w:val="-6"/>
          <w:sz w:val="24"/>
          <w:szCs w:val="24"/>
        </w:rPr>
        <w:t>”包含正本壹份、副</w:t>
      </w:r>
      <w:r>
        <w:rPr>
          <w:rFonts w:ascii="宋体" w:hAnsi="宋体" w:eastAsia="宋体" w:cs="宋体"/>
          <w:sz w:val="24"/>
          <w:szCs w:val="24"/>
        </w:rPr>
        <w:t>本肆份；“其他响应性投标文件</w:t>
      </w:r>
      <w:r>
        <w:rPr>
          <w:rFonts w:ascii="宋体" w:hAnsi="宋体" w:eastAsia="宋体" w:cs="宋体"/>
          <w:spacing w:val="-70"/>
          <w:sz w:val="24"/>
          <w:szCs w:val="24"/>
        </w:rPr>
        <w:t xml:space="preserve"> </w:t>
      </w:r>
      <w:r>
        <w:rPr>
          <w:rFonts w:ascii="宋体" w:hAnsi="宋体" w:eastAsia="宋体" w:cs="宋体"/>
          <w:sz w:val="24"/>
          <w:szCs w:val="24"/>
        </w:rPr>
        <w:t>”包含正本壹份、副本肆份；</w:t>
      </w:r>
      <w:r>
        <w:rPr>
          <w:rFonts w:hint="eastAsia" w:ascii="宋体" w:hAnsi="宋体" w:eastAsia="宋体" w:cs="宋体"/>
          <w:sz w:val="24"/>
          <w:szCs w:val="24"/>
        </w:rPr>
        <w:t>电子文档壹份</w:t>
      </w:r>
      <w:r>
        <w:rPr>
          <w:rFonts w:ascii="宋体" w:hAnsi="宋体" w:eastAsia="宋体" w:cs="宋体"/>
          <w:sz w:val="24"/>
          <w:szCs w:val="24"/>
        </w:rPr>
        <w:t>；以及用于</w:t>
      </w:r>
      <w:r>
        <w:rPr>
          <w:rFonts w:ascii="宋体" w:hAnsi="宋体" w:eastAsia="宋体" w:cs="宋体"/>
          <w:spacing w:val="1"/>
          <w:sz w:val="24"/>
          <w:szCs w:val="24"/>
        </w:rPr>
        <w:t>开标唱标单独密封提交的“开标一览表</w:t>
      </w:r>
      <w:r>
        <w:rPr>
          <w:rFonts w:ascii="宋体" w:hAnsi="宋体" w:eastAsia="宋体" w:cs="宋体"/>
          <w:spacing w:val="-86"/>
          <w:sz w:val="24"/>
          <w:szCs w:val="24"/>
        </w:rPr>
        <w:t xml:space="preserve"> </w:t>
      </w:r>
      <w:r>
        <w:rPr>
          <w:rFonts w:ascii="宋体" w:hAnsi="宋体" w:eastAsia="宋体" w:cs="宋体"/>
          <w:spacing w:val="1"/>
          <w:sz w:val="24"/>
          <w:szCs w:val="24"/>
        </w:rPr>
        <w:t>”（</w:t>
      </w:r>
      <w:r>
        <w:rPr>
          <w:rFonts w:ascii="宋体" w:hAnsi="宋体" w:eastAsia="宋体" w:cs="宋体"/>
          <w:sz w:val="24"/>
          <w:szCs w:val="24"/>
        </w:rPr>
        <w:t>壹份）。投标文件的正本和副本应在其封面右上角清楚地标明“正本</w:t>
      </w:r>
      <w:r>
        <w:rPr>
          <w:rFonts w:ascii="宋体" w:hAnsi="宋体" w:eastAsia="宋体" w:cs="宋体"/>
          <w:spacing w:val="-86"/>
          <w:sz w:val="24"/>
          <w:szCs w:val="24"/>
        </w:rPr>
        <w:t xml:space="preserve"> </w:t>
      </w:r>
      <w:r>
        <w:rPr>
          <w:rFonts w:ascii="宋体" w:hAnsi="宋体" w:eastAsia="宋体" w:cs="宋体"/>
          <w:sz w:val="24"/>
          <w:szCs w:val="24"/>
        </w:rPr>
        <w:t>”或“副本</w:t>
      </w:r>
      <w:r>
        <w:rPr>
          <w:rFonts w:ascii="宋体" w:hAnsi="宋体" w:eastAsia="宋体" w:cs="宋体"/>
          <w:spacing w:val="-88"/>
          <w:sz w:val="24"/>
          <w:szCs w:val="24"/>
        </w:rPr>
        <w:t xml:space="preserve"> </w:t>
      </w:r>
      <w:r>
        <w:rPr>
          <w:rFonts w:ascii="宋体" w:hAnsi="宋体" w:eastAsia="宋体" w:cs="宋体"/>
          <w:sz w:val="24"/>
          <w:szCs w:val="24"/>
        </w:rPr>
        <w:t>”字样。若正本和副</w:t>
      </w:r>
      <w:r>
        <w:rPr>
          <w:rFonts w:ascii="宋体" w:hAnsi="宋体" w:eastAsia="宋体" w:cs="宋体"/>
          <w:spacing w:val="-1"/>
          <w:sz w:val="24"/>
          <w:szCs w:val="24"/>
        </w:rPr>
        <w:t>本有不一致的内容，以正本书</w:t>
      </w:r>
      <w:r>
        <w:rPr>
          <w:rFonts w:ascii="宋体" w:hAnsi="宋体" w:eastAsia="宋体" w:cs="宋体"/>
          <w:spacing w:val="-2"/>
          <w:sz w:val="24"/>
          <w:szCs w:val="24"/>
        </w:rPr>
        <w:t>面投标文件为准。</w:t>
      </w:r>
    </w:p>
    <w:p w14:paraId="400CA263">
      <w:pPr>
        <w:spacing w:before="134" w:line="420" w:lineRule="exact"/>
        <w:jc w:val="right"/>
        <w:rPr>
          <w:rFonts w:ascii="宋体" w:hAnsi="宋体" w:eastAsia="宋体" w:cs="宋体"/>
          <w:sz w:val="24"/>
          <w:szCs w:val="24"/>
        </w:rPr>
      </w:pPr>
      <w:r>
        <w:rPr>
          <w:rFonts w:ascii="宋体" w:hAnsi="宋体" w:eastAsia="宋体" w:cs="宋体"/>
          <w:spacing w:val="-4"/>
          <w:position w:val="13"/>
          <w:sz w:val="24"/>
          <w:szCs w:val="24"/>
        </w:rPr>
        <w:t>18.3“开标一览表</w:t>
      </w:r>
      <w:r>
        <w:rPr>
          <w:rFonts w:ascii="宋体" w:hAnsi="宋体" w:eastAsia="宋体" w:cs="宋体"/>
          <w:spacing w:val="-88"/>
          <w:position w:val="13"/>
          <w:sz w:val="24"/>
          <w:szCs w:val="24"/>
        </w:rPr>
        <w:t xml:space="preserve"> </w:t>
      </w:r>
      <w:r>
        <w:rPr>
          <w:rFonts w:ascii="宋体" w:hAnsi="宋体" w:eastAsia="宋体" w:cs="宋体"/>
          <w:spacing w:val="-4"/>
          <w:position w:val="13"/>
          <w:sz w:val="24"/>
          <w:szCs w:val="24"/>
        </w:rPr>
        <w:t>”除单独密封提交外，还应编</w:t>
      </w:r>
      <w:r>
        <w:rPr>
          <w:rFonts w:ascii="宋体" w:hAnsi="宋体" w:eastAsia="宋体" w:cs="宋体"/>
          <w:spacing w:val="-5"/>
          <w:position w:val="13"/>
          <w:sz w:val="24"/>
          <w:szCs w:val="24"/>
        </w:rPr>
        <w:t>制于其他响应性投标文件正副本内，</w:t>
      </w:r>
    </w:p>
    <w:p w14:paraId="019516A4">
      <w:pPr>
        <w:spacing w:line="220" w:lineRule="auto"/>
        <w:ind w:left="17"/>
        <w:rPr>
          <w:rFonts w:ascii="宋体" w:hAnsi="宋体" w:eastAsia="宋体" w:cs="宋体"/>
          <w:sz w:val="24"/>
          <w:szCs w:val="24"/>
        </w:rPr>
      </w:pPr>
      <w:r>
        <w:rPr>
          <w:rFonts w:ascii="宋体" w:hAnsi="宋体" w:eastAsia="宋体" w:cs="宋体"/>
          <w:spacing w:val="-1"/>
          <w:sz w:val="24"/>
          <w:szCs w:val="24"/>
        </w:rPr>
        <w:t>如有遗漏，将视为无效投标</w:t>
      </w:r>
      <w:r>
        <w:rPr>
          <w:rFonts w:ascii="宋体" w:hAnsi="宋体" w:eastAsia="宋体" w:cs="宋体"/>
          <w:b/>
          <w:bCs/>
          <w:spacing w:val="2"/>
          <w:sz w:val="24"/>
          <w:szCs w:val="24"/>
        </w:rPr>
        <w:t>（实质性要求）</w:t>
      </w:r>
      <w:r>
        <w:rPr>
          <w:rFonts w:ascii="宋体" w:hAnsi="宋体" w:eastAsia="宋体" w:cs="宋体"/>
          <w:spacing w:val="-1"/>
          <w:sz w:val="24"/>
          <w:szCs w:val="24"/>
        </w:rPr>
        <w:t>。</w:t>
      </w:r>
    </w:p>
    <w:p w14:paraId="68420439">
      <w:pPr>
        <w:spacing w:before="134" w:line="323" w:lineRule="auto"/>
        <w:ind w:left="33" w:right="81" w:firstLine="478"/>
        <w:jc w:val="left"/>
        <w:rPr>
          <w:rFonts w:ascii="宋体" w:hAnsi="宋体" w:eastAsia="宋体" w:cs="宋体"/>
          <w:sz w:val="24"/>
          <w:szCs w:val="24"/>
        </w:rPr>
      </w:pPr>
      <w:r>
        <w:rPr>
          <w:rFonts w:ascii="宋体" w:hAnsi="宋体" w:eastAsia="宋体" w:cs="宋体"/>
          <w:spacing w:val="-2"/>
          <w:sz w:val="24"/>
          <w:szCs w:val="24"/>
        </w:rPr>
        <w:t>18.4 投标文件的正本和副本均需打印或用不褪色、不变质的墨水书写</w:t>
      </w:r>
      <w:r>
        <w:rPr>
          <w:rFonts w:ascii="宋体" w:hAnsi="宋体" w:eastAsia="宋体" w:cs="宋体"/>
          <w:spacing w:val="-3"/>
          <w:sz w:val="24"/>
          <w:szCs w:val="24"/>
        </w:rPr>
        <w:t>，并由投标人</w:t>
      </w:r>
      <w:r>
        <w:rPr>
          <w:rFonts w:ascii="宋体" w:hAnsi="宋体" w:eastAsia="宋体" w:cs="宋体"/>
          <w:spacing w:val="1"/>
          <w:sz w:val="24"/>
          <w:szCs w:val="24"/>
        </w:rPr>
        <w:t>的法定代表人或其授权代表在规定签章处签字或盖章。投标文件副本可采用正</w:t>
      </w:r>
      <w:r>
        <w:rPr>
          <w:rFonts w:ascii="宋体" w:hAnsi="宋体" w:eastAsia="宋体" w:cs="宋体"/>
          <w:sz w:val="24"/>
          <w:szCs w:val="24"/>
        </w:rPr>
        <w:t>本的复印</w:t>
      </w:r>
      <w:r>
        <w:rPr>
          <w:rFonts w:ascii="宋体" w:hAnsi="宋体" w:eastAsia="宋体" w:cs="宋体"/>
          <w:spacing w:val="-4"/>
          <w:sz w:val="24"/>
          <w:szCs w:val="24"/>
        </w:rPr>
        <w:t>件，电子文档采用光盘或</w:t>
      </w:r>
      <w:r>
        <w:rPr>
          <w:rFonts w:ascii="宋体" w:hAnsi="宋体" w:eastAsia="宋体" w:cs="宋体"/>
          <w:spacing w:val="-49"/>
          <w:sz w:val="24"/>
          <w:szCs w:val="24"/>
        </w:rPr>
        <w:t xml:space="preserve"> </w:t>
      </w:r>
      <w:r>
        <w:rPr>
          <w:rFonts w:ascii="宋体" w:hAnsi="宋体" w:eastAsia="宋体" w:cs="宋体"/>
          <w:spacing w:val="-4"/>
          <w:sz w:val="24"/>
          <w:szCs w:val="24"/>
        </w:rPr>
        <w:t>U</w:t>
      </w:r>
      <w:r>
        <w:rPr>
          <w:rFonts w:ascii="宋体" w:hAnsi="宋体" w:eastAsia="宋体" w:cs="宋体"/>
          <w:spacing w:val="-51"/>
          <w:sz w:val="24"/>
          <w:szCs w:val="24"/>
        </w:rPr>
        <w:t xml:space="preserve"> </w:t>
      </w:r>
      <w:r>
        <w:rPr>
          <w:rFonts w:ascii="宋体" w:hAnsi="宋体" w:eastAsia="宋体" w:cs="宋体"/>
          <w:spacing w:val="-4"/>
          <w:sz w:val="24"/>
          <w:szCs w:val="24"/>
        </w:rPr>
        <w:t>盘制作。用于开标唱标单独提交的“开标一览表</w:t>
      </w:r>
      <w:r>
        <w:rPr>
          <w:rFonts w:ascii="宋体" w:hAnsi="宋体" w:eastAsia="宋体" w:cs="宋体"/>
          <w:spacing w:val="-88"/>
          <w:sz w:val="24"/>
          <w:szCs w:val="24"/>
        </w:rPr>
        <w:t xml:space="preserve"> </w:t>
      </w:r>
      <w:r>
        <w:rPr>
          <w:rFonts w:ascii="宋体" w:hAnsi="宋体" w:eastAsia="宋体" w:cs="宋体"/>
          <w:spacing w:val="-4"/>
          <w:sz w:val="24"/>
          <w:szCs w:val="24"/>
        </w:rPr>
        <w:t>”应为原件。</w:t>
      </w:r>
    </w:p>
    <w:p w14:paraId="1DCA1978">
      <w:pPr>
        <w:spacing w:before="135" w:line="323" w:lineRule="auto"/>
        <w:ind w:left="15" w:right="81" w:firstLine="495"/>
        <w:rPr>
          <w:rFonts w:ascii="宋体" w:hAnsi="宋体" w:eastAsia="宋体" w:cs="宋体"/>
          <w:sz w:val="24"/>
          <w:szCs w:val="24"/>
        </w:rPr>
      </w:pPr>
      <w:r>
        <w:rPr>
          <w:rFonts w:ascii="宋体" w:hAnsi="宋体" w:eastAsia="宋体" w:cs="宋体"/>
          <w:spacing w:val="-1"/>
          <w:sz w:val="24"/>
          <w:szCs w:val="24"/>
        </w:rPr>
        <w:t>18.5</w:t>
      </w:r>
      <w:r>
        <w:rPr>
          <w:rFonts w:ascii="宋体" w:hAnsi="宋体" w:eastAsia="宋体" w:cs="宋体"/>
          <w:spacing w:val="-46"/>
          <w:sz w:val="24"/>
          <w:szCs w:val="24"/>
        </w:rPr>
        <w:t xml:space="preserve"> </w:t>
      </w:r>
      <w:r>
        <w:rPr>
          <w:rFonts w:ascii="宋体" w:hAnsi="宋体" w:eastAsia="宋体" w:cs="宋体"/>
          <w:spacing w:val="-1"/>
          <w:sz w:val="24"/>
          <w:szCs w:val="24"/>
        </w:rPr>
        <w:t>投标文件的打印和书写应清楚工整，任何行间插字、涂改或增删，必须由投标</w:t>
      </w:r>
      <w:r>
        <w:rPr>
          <w:rFonts w:ascii="宋体" w:hAnsi="宋体" w:eastAsia="宋体" w:cs="宋体"/>
          <w:spacing w:val="1"/>
          <w:sz w:val="24"/>
          <w:szCs w:val="24"/>
        </w:rPr>
        <w:t>人的法定代表人或其授权代表签字或盖个人印鉴。字迹潦草、表达不清或可能导致非唯</w:t>
      </w:r>
      <w:r>
        <w:rPr>
          <w:rFonts w:ascii="宋体" w:hAnsi="宋体" w:eastAsia="宋体" w:cs="宋体"/>
          <w:spacing w:val="-1"/>
          <w:sz w:val="24"/>
          <w:szCs w:val="24"/>
        </w:rPr>
        <w:t>一理解的投标文件可能视为无效投标。</w:t>
      </w:r>
    </w:p>
    <w:p w14:paraId="5604AAC6">
      <w:pPr>
        <w:spacing w:before="78" w:line="219" w:lineRule="auto"/>
        <w:ind w:left="507"/>
        <w:rPr>
          <w:rFonts w:ascii="宋体" w:hAnsi="宋体" w:eastAsia="宋体" w:cs="宋体"/>
          <w:sz w:val="24"/>
          <w:szCs w:val="24"/>
        </w:rPr>
      </w:pPr>
      <w:r>
        <w:rPr>
          <w:rFonts w:ascii="宋体" w:hAnsi="宋体" w:eastAsia="宋体" w:cs="宋体"/>
          <w:spacing w:val="-2"/>
          <w:sz w:val="24"/>
          <w:szCs w:val="24"/>
        </w:rPr>
        <w:t>18.6</w:t>
      </w:r>
      <w:r>
        <w:rPr>
          <w:rFonts w:ascii="宋体" w:hAnsi="宋体" w:eastAsia="宋体" w:cs="宋体"/>
          <w:spacing w:val="-39"/>
          <w:sz w:val="24"/>
          <w:szCs w:val="24"/>
        </w:rPr>
        <w:t xml:space="preserve"> </w:t>
      </w:r>
      <w:r>
        <w:rPr>
          <w:rFonts w:ascii="宋体" w:hAnsi="宋体" w:eastAsia="宋体" w:cs="宋体"/>
          <w:spacing w:val="-2"/>
          <w:sz w:val="24"/>
          <w:szCs w:val="24"/>
        </w:rPr>
        <w:t>投标文件正本和副本应当装订成册，不得散装。</w:t>
      </w:r>
    </w:p>
    <w:p w14:paraId="43F5E9A2">
      <w:pPr>
        <w:spacing w:before="134" w:line="420" w:lineRule="exact"/>
        <w:ind w:right="57"/>
        <w:jc w:val="right"/>
        <w:rPr>
          <w:rFonts w:ascii="宋体" w:hAnsi="宋体" w:eastAsia="宋体" w:cs="宋体"/>
          <w:sz w:val="24"/>
          <w:szCs w:val="24"/>
        </w:rPr>
      </w:pPr>
      <w:r>
        <w:rPr>
          <w:rFonts w:ascii="宋体" w:hAnsi="宋体" w:eastAsia="宋体" w:cs="宋体"/>
          <w:spacing w:val="-2"/>
          <w:position w:val="13"/>
          <w:sz w:val="24"/>
          <w:szCs w:val="24"/>
        </w:rPr>
        <w:t>18.7 投标文件正副本应根据招标文件的要求制作，签署、盖章和内容</w:t>
      </w:r>
      <w:r>
        <w:rPr>
          <w:rFonts w:ascii="宋体" w:hAnsi="宋体" w:eastAsia="宋体" w:cs="宋体"/>
          <w:spacing w:val="-3"/>
          <w:position w:val="13"/>
          <w:sz w:val="24"/>
          <w:szCs w:val="24"/>
        </w:rPr>
        <w:t>应完整，如有</w:t>
      </w:r>
    </w:p>
    <w:p w14:paraId="5EACC439">
      <w:pPr>
        <w:spacing w:line="220" w:lineRule="auto"/>
        <w:ind w:left="9"/>
        <w:rPr>
          <w:rFonts w:ascii="宋体" w:hAnsi="宋体" w:eastAsia="宋体" w:cs="宋体"/>
          <w:sz w:val="24"/>
          <w:szCs w:val="24"/>
        </w:rPr>
      </w:pPr>
      <w:r>
        <w:rPr>
          <w:rFonts w:ascii="宋体" w:hAnsi="宋体" w:eastAsia="宋体" w:cs="宋体"/>
          <w:spacing w:val="-1"/>
          <w:sz w:val="24"/>
          <w:szCs w:val="24"/>
        </w:rPr>
        <w:t>遗漏，将被视为无效投标。</w:t>
      </w:r>
    </w:p>
    <w:p w14:paraId="7B2E63B4">
      <w:pPr>
        <w:spacing w:before="134" w:line="220" w:lineRule="auto"/>
        <w:ind w:left="507"/>
        <w:rPr>
          <w:rFonts w:ascii="宋体" w:hAnsi="宋体" w:eastAsia="宋体" w:cs="宋体"/>
          <w:sz w:val="24"/>
          <w:szCs w:val="24"/>
        </w:rPr>
      </w:pPr>
      <w:r>
        <w:rPr>
          <w:rFonts w:ascii="宋体" w:hAnsi="宋体" w:eastAsia="宋体" w:cs="宋体"/>
          <w:spacing w:val="-2"/>
          <w:sz w:val="24"/>
          <w:szCs w:val="24"/>
        </w:rPr>
        <w:t>18.8 投标文件统一用</w:t>
      </w:r>
      <w:r>
        <w:rPr>
          <w:rFonts w:ascii="宋体" w:hAnsi="宋体" w:eastAsia="宋体" w:cs="宋体"/>
          <w:spacing w:val="-54"/>
          <w:sz w:val="24"/>
          <w:szCs w:val="24"/>
        </w:rPr>
        <w:t xml:space="preserve"> </w:t>
      </w:r>
      <w:r>
        <w:rPr>
          <w:rFonts w:ascii="宋体" w:hAnsi="宋体" w:eastAsia="宋体" w:cs="宋体"/>
          <w:spacing w:val="-2"/>
          <w:sz w:val="24"/>
          <w:szCs w:val="24"/>
        </w:rPr>
        <w:t>A4</w:t>
      </w:r>
      <w:r>
        <w:rPr>
          <w:rFonts w:ascii="宋体" w:hAnsi="宋体" w:eastAsia="宋体" w:cs="宋体"/>
          <w:spacing w:val="-49"/>
          <w:sz w:val="24"/>
          <w:szCs w:val="24"/>
        </w:rPr>
        <w:t xml:space="preserve"> </w:t>
      </w:r>
      <w:r>
        <w:rPr>
          <w:rFonts w:ascii="宋体" w:hAnsi="宋体" w:eastAsia="宋体" w:cs="宋体"/>
          <w:spacing w:val="-2"/>
          <w:sz w:val="24"/>
          <w:szCs w:val="24"/>
        </w:rPr>
        <w:t>纸印制，逐页编码。</w:t>
      </w:r>
    </w:p>
    <w:p w14:paraId="50A92B6A">
      <w:pPr>
        <w:spacing w:before="133" w:line="420" w:lineRule="exact"/>
        <w:ind w:right="57"/>
        <w:jc w:val="right"/>
        <w:rPr>
          <w:rFonts w:ascii="宋体" w:hAnsi="宋体" w:eastAsia="宋体" w:cs="宋体"/>
          <w:sz w:val="24"/>
          <w:szCs w:val="24"/>
        </w:rPr>
      </w:pPr>
      <w:r>
        <w:rPr>
          <w:rFonts w:ascii="宋体" w:hAnsi="宋体" w:eastAsia="宋体" w:cs="宋体"/>
          <w:spacing w:val="-2"/>
          <w:position w:val="13"/>
          <w:sz w:val="24"/>
          <w:szCs w:val="24"/>
        </w:rPr>
        <w:t>18.9 本次招标要求的复印件是指对图文进行复制后的文件，包括扫描</w:t>
      </w:r>
      <w:r>
        <w:rPr>
          <w:rFonts w:ascii="宋体" w:hAnsi="宋体" w:eastAsia="宋体" w:cs="宋体"/>
          <w:spacing w:val="-3"/>
          <w:position w:val="13"/>
          <w:sz w:val="24"/>
          <w:szCs w:val="24"/>
        </w:rPr>
        <w:t>、复印、影印</w:t>
      </w:r>
    </w:p>
    <w:p w14:paraId="4E9F7BC9">
      <w:pPr>
        <w:spacing w:line="219" w:lineRule="auto"/>
        <w:ind w:left="12"/>
        <w:rPr>
          <w:rFonts w:ascii="宋体" w:hAnsi="宋体" w:eastAsia="宋体" w:cs="宋体"/>
          <w:sz w:val="24"/>
          <w:szCs w:val="24"/>
        </w:rPr>
      </w:pPr>
      <w:r>
        <w:rPr>
          <w:rFonts w:ascii="宋体" w:hAnsi="宋体" w:eastAsia="宋体" w:cs="宋体"/>
          <w:spacing w:val="-2"/>
          <w:sz w:val="24"/>
          <w:szCs w:val="24"/>
        </w:rPr>
        <w:t>等方式复制的材料。</w:t>
      </w:r>
    </w:p>
    <w:p w14:paraId="641CCDFF">
      <w:pPr>
        <w:pStyle w:val="13"/>
        <w:spacing w:line="474" w:lineRule="auto"/>
        <w:rPr>
          <w:sz w:val="24"/>
          <w:szCs w:val="24"/>
        </w:rPr>
      </w:pPr>
    </w:p>
    <w:p w14:paraId="358C9332">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19．投标文件的密封和标注</w:t>
      </w:r>
    </w:p>
    <w:p w14:paraId="5E55BC5A">
      <w:pPr>
        <w:spacing w:before="135" w:line="323" w:lineRule="auto"/>
        <w:ind w:left="10" w:right="23" w:firstLine="497"/>
        <w:rPr>
          <w:rFonts w:ascii="宋体" w:hAnsi="宋体" w:eastAsia="宋体" w:cs="宋体"/>
          <w:sz w:val="24"/>
          <w:szCs w:val="24"/>
        </w:rPr>
      </w:pPr>
      <w:r>
        <w:rPr>
          <w:rFonts w:ascii="宋体" w:hAnsi="宋体" w:eastAsia="宋体" w:cs="宋体"/>
          <w:spacing w:val="-4"/>
          <w:sz w:val="24"/>
          <w:szCs w:val="24"/>
        </w:rPr>
        <w:t>19.1</w:t>
      </w:r>
      <w:r>
        <w:rPr>
          <w:rFonts w:ascii="宋体" w:hAnsi="宋体" w:eastAsia="宋体" w:cs="宋体"/>
          <w:spacing w:val="-48"/>
          <w:sz w:val="24"/>
          <w:szCs w:val="24"/>
        </w:rPr>
        <w:t xml:space="preserve"> </w:t>
      </w:r>
      <w:r>
        <w:rPr>
          <w:rFonts w:ascii="宋体" w:hAnsi="宋体" w:eastAsia="宋体" w:cs="宋体"/>
          <w:spacing w:val="-4"/>
          <w:sz w:val="24"/>
          <w:szCs w:val="24"/>
        </w:rPr>
        <w:t>投标人应在投标文件正本和所有副本的封面上注明“资格性投标文件/其他响应</w:t>
      </w:r>
      <w:r>
        <w:rPr>
          <w:rFonts w:ascii="宋体" w:hAnsi="宋体" w:eastAsia="宋体" w:cs="宋体"/>
          <w:spacing w:val="-1"/>
          <w:sz w:val="24"/>
          <w:szCs w:val="24"/>
        </w:rPr>
        <w:t>性投标文件、正本/副本、投标人名称、采购项目编号、项目名称、分包号（如有分包）</w:t>
      </w:r>
      <w:r>
        <w:rPr>
          <w:rFonts w:ascii="宋体" w:hAnsi="宋体" w:eastAsia="宋体" w:cs="宋体"/>
          <w:spacing w:val="-2"/>
          <w:sz w:val="24"/>
          <w:szCs w:val="24"/>
        </w:rPr>
        <w:t>及投标时间</w:t>
      </w:r>
      <w:r>
        <w:rPr>
          <w:rFonts w:ascii="宋体" w:hAnsi="宋体" w:eastAsia="宋体" w:cs="宋体"/>
          <w:spacing w:val="-83"/>
          <w:sz w:val="24"/>
          <w:szCs w:val="24"/>
        </w:rPr>
        <w:t xml:space="preserve"> </w:t>
      </w:r>
      <w:r>
        <w:rPr>
          <w:rFonts w:ascii="宋体" w:hAnsi="宋体" w:eastAsia="宋体" w:cs="宋体"/>
          <w:spacing w:val="-2"/>
          <w:sz w:val="24"/>
          <w:szCs w:val="24"/>
        </w:rPr>
        <w:t>”。</w:t>
      </w:r>
    </w:p>
    <w:p w14:paraId="6A3DBEE6">
      <w:pPr>
        <w:spacing w:before="133" w:line="323" w:lineRule="auto"/>
        <w:ind w:left="38" w:right="57" w:firstLine="469"/>
        <w:rPr>
          <w:rFonts w:ascii="宋体" w:hAnsi="宋体" w:eastAsia="宋体" w:cs="宋体"/>
          <w:sz w:val="24"/>
          <w:szCs w:val="24"/>
        </w:rPr>
      </w:pPr>
      <w:r>
        <w:rPr>
          <w:rFonts w:ascii="宋体" w:hAnsi="宋体" w:eastAsia="宋体" w:cs="宋体"/>
          <w:spacing w:val="-1"/>
          <w:sz w:val="24"/>
          <w:szCs w:val="24"/>
        </w:rPr>
        <w:t>19.2</w:t>
      </w:r>
      <w:r>
        <w:rPr>
          <w:rFonts w:ascii="宋体" w:hAnsi="宋体" w:eastAsia="宋体" w:cs="宋体"/>
          <w:spacing w:val="-46"/>
          <w:sz w:val="24"/>
          <w:szCs w:val="24"/>
        </w:rPr>
        <w:t xml:space="preserve"> </w:t>
      </w:r>
      <w:r>
        <w:rPr>
          <w:rFonts w:ascii="宋体" w:hAnsi="宋体" w:eastAsia="宋体" w:cs="宋体"/>
          <w:spacing w:val="-1"/>
          <w:sz w:val="24"/>
          <w:szCs w:val="24"/>
        </w:rPr>
        <w:t>投标文件包括资格性投标文件正本及副本、其他响应性投标文件正本及副本、</w:t>
      </w:r>
      <w:r>
        <w:rPr>
          <w:rFonts w:ascii="宋体" w:hAnsi="宋体" w:eastAsia="宋体" w:cs="宋体"/>
          <w:sz w:val="24"/>
          <w:szCs w:val="24"/>
        </w:rPr>
        <w:t xml:space="preserve"> 电子文档和用于开标唱标单独提交的“开标一览表</w:t>
      </w:r>
      <w:r>
        <w:rPr>
          <w:rFonts w:ascii="宋体" w:hAnsi="宋体" w:eastAsia="宋体" w:cs="宋体"/>
          <w:spacing w:val="-88"/>
          <w:sz w:val="24"/>
          <w:szCs w:val="24"/>
        </w:rPr>
        <w:t xml:space="preserve"> </w:t>
      </w:r>
      <w:r>
        <w:rPr>
          <w:rFonts w:ascii="宋体" w:hAnsi="宋体" w:eastAsia="宋体" w:cs="宋体"/>
          <w:sz w:val="24"/>
          <w:szCs w:val="24"/>
        </w:rPr>
        <w:t>”。投标文件应当密封</w:t>
      </w:r>
      <w:r>
        <w:rPr>
          <w:rFonts w:ascii="宋体" w:hAnsi="宋体" w:eastAsia="宋体" w:cs="宋体"/>
          <w:spacing w:val="-1"/>
          <w:sz w:val="24"/>
          <w:szCs w:val="24"/>
        </w:rPr>
        <w:t>，其中，“开</w:t>
      </w:r>
      <w:r>
        <w:rPr>
          <w:rFonts w:ascii="宋体" w:hAnsi="宋体" w:eastAsia="宋体" w:cs="宋体"/>
          <w:spacing w:val="-5"/>
          <w:sz w:val="24"/>
          <w:szCs w:val="24"/>
        </w:rPr>
        <w:t>标一览表</w:t>
      </w:r>
      <w:r>
        <w:rPr>
          <w:rFonts w:ascii="宋体" w:hAnsi="宋体" w:eastAsia="宋体" w:cs="宋体"/>
          <w:spacing w:val="-82"/>
          <w:sz w:val="24"/>
          <w:szCs w:val="24"/>
        </w:rPr>
        <w:t xml:space="preserve"> </w:t>
      </w:r>
      <w:r>
        <w:rPr>
          <w:rFonts w:ascii="宋体" w:hAnsi="宋体" w:eastAsia="宋体" w:cs="宋体"/>
          <w:spacing w:val="-5"/>
          <w:sz w:val="24"/>
          <w:szCs w:val="24"/>
        </w:rPr>
        <w:t>”单独密封。</w:t>
      </w:r>
    </w:p>
    <w:p w14:paraId="74395414">
      <w:pPr>
        <w:spacing w:before="133" w:line="420" w:lineRule="exact"/>
        <w:ind w:right="45"/>
        <w:jc w:val="right"/>
        <w:rPr>
          <w:rFonts w:ascii="宋体" w:hAnsi="宋体" w:eastAsia="宋体" w:cs="宋体"/>
          <w:sz w:val="24"/>
          <w:szCs w:val="24"/>
        </w:rPr>
      </w:pPr>
      <w:r>
        <w:rPr>
          <w:rFonts w:ascii="宋体" w:hAnsi="宋体" w:eastAsia="宋体" w:cs="宋体"/>
          <w:spacing w:val="-1"/>
          <w:position w:val="13"/>
          <w:sz w:val="24"/>
          <w:szCs w:val="24"/>
        </w:rPr>
        <w:t>19.3</w:t>
      </w:r>
      <w:r>
        <w:rPr>
          <w:rFonts w:ascii="宋体" w:hAnsi="宋体" w:eastAsia="宋体" w:cs="宋体"/>
          <w:spacing w:val="-33"/>
          <w:position w:val="13"/>
          <w:sz w:val="24"/>
          <w:szCs w:val="24"/>
        </w:rPr>
        <w:t xml:space="preserve"> </w:t>
      </w:r>
      <w:r>
        <w:rPr>
          <w:rFonts w:ascii="宋体" w:hAnsi="宋体" w:eastAsia="宋体" w:cs="宋体"/>
          <w:spacing w:val="-1"/>
          <w:position w:val="13"/>
          <w:sz w:val="24"/>
          <w:szCs w:val="24"/>
        </w:rPr>
        <w:t>投标文件的密封袋上应当注明资格性投标文件/其他响应性投标文件/开标一览</w:t>
      </w:r>
    </w:p>
    <w:p w14:paraId="77DC71C1">
      <w:pPr>
        <w:spacing w:line="220" w:lineRule="auto"/>
        <w:ind w:left="9"/>
        <w:rPr>
          <w:rFonts w:ascii="宋体" w:hAnsi="宋体" w:eastAsia="宋体" w:cs="宋体"/>
          <w:sz w:val="24"/>
          <w:szCs w:val="24"/>
        </w:rPr>
      </w:pPr>
      <w:r>
        <w:rPr>
          <w:rFonts w:ascii="宋体" w:hAnsi="宋体" w:eastAsia="宋体" w:cs="宋体"/>
          <w:sz w:val="24"/>
          <w:szCs w:val="24"/>
        </w:rPr>
        <w:t>表/电子文档、投标人名称、</w:t>
      </w:r>
      <w:r>
        <w:rPr>
          <w:rFonts w:hint="eastAsia" w:ascii="宋体" w:hAnsi="宋体" w:eastAsia="宋体" w:cs="宋体"/>
          <w:sz w:val="24"/>
          <w:szCs w:val="24"/>
          <w:lang w:eastAsia="zh-CN"/>
        </w:rPr>
        <w:t>项目编号</w:t>
      </w:r>
      <w:r>
        <w:rPr>
          <w:rFonts w:ascii="宋体" w:hAnsi="宋体" w:eastAsia="宋体" w:cs="宋体"/>
          <w:sz w:val="24"/>
          <w:szCs w:val="24"/>
        </w:rPr>
        <w:t>、项目名称及</w:t>
      </w:r>
      <w:r>
        <w:rPr>
          <w:rFonts w:ascii="宋体" w:hAnsi="宋体" w:eastAsia="宋体" w:cs="宋体"/>
          <w:spacing w:val="-1"/>
          <w:sz w:val="24"/>
          <w:szCs w:val="24"/>
        </w:rPr>
        <w:t>分包号（如有分包）。</w:t>
      </w:r>
    </w:p>
    <w:p w14:paraId="4405B449">
      <w:pPr>
        <w:spacing w:before="134" w:line="219" w:lineRule="auto"/>
        <w:ind w:left="507"/>
        <w:rPr>
          <w:rFonts w:ascii="宋体" w:hAnsi="宋体" w:eastAsia="宋体" w:cs="宋体"/>
          <w:sz w:val="24"/>
          <w:szCs w:val="24"/>
        </w:rPr>
      </w:pPr>
      <w:r>
        <w:rPr>
          <w:rFonts w:ascii="宋体" w:hAnsi="宋体" w:eastAsia="宋体" w:cs="宋体"/>
          <w:spacing w:val="-1"/>
          <w:sz w:val="24"/>
          <w:szCs w:val="24"/>
        </w:rPr>
        <w:t>19.4</w:t>
      </w:r>
      <w:r>
        <w:rPr>
          <w:rFonts w:ascii="宋体" w:hAnsi="宋体" w:eastAsia="宋体" w:cs="宋体"/>
          <w:spacing w:val="-51"/>
          <w:sz w:val="24"/>
          <w:szCs w:val="24"/>
        </w:rPr>
        <w:t xml:space="preserve"> </w:t>
      </w:r>
      <w:r>
        <w:rPr>
          <w:rFonts w:ascii="宋体" w:hAnsi="宋体" w:eastAsia="宋体" w:cs="宋体"/>
          <w:spacing w:val="-1"/>
          <w:sz w:val="24"/>
          <w:szCs w:val="24"/>
        </w:rPr>
        <w:t>所有外层密封袋的封口处应粘贴牢固，并加盖密封章（投标人公司印章）。</w:t>
      </w:r>
    </w:p>
    <w:p w14:paraId="086101BF">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19.5 未按要求进行密封的投标文件将被拒收。</w:t>
      </w:r>
    </w:p>
    <w:p w14:paraId="7DDCF3DC">
      <w:pPr>
        <w:pStyle w:val="13"/>
        <w:spacing w:line="473" w:lineRule="auto"/>
        <w:rPr>
          <w:sz w:val="24"/>
          <w:szCs w:val="24"/>
        </w:rPr>
      </w:pPr>
    </w:p>
    <w:p w14:paraId="3D1FEC1A">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20．投标文件的递交</w:t>
      </w:r>
    </w:p>
    <w:p w14:paraId="5E3F7626">
      <w:pPr>
        <w:spacing w:before="134" w:line="323" w:lineRule="auto"/>
        <w:ind w:left="9" w:right="57" w:firstLine="483"/>
        <w:jc w:val="both"/>
        <w:rPr>
          <w:rFonts w:ascii="宋体" w:hAnsi="宋体" w:eastAsia="宋体" w:cs="宋体"/>
          <w:sz w:val="24"/>
          <w:szCs w:val="24"/>
        </w:rPr>
      </w:pPr>
      <w:r>
        <w:rPr>
          <w:rFonts w:ascii="宋体" w:hAnsi="宋体" w:eastAsia="宋体" w:cs="宋体"/>
          <w:spacing w:val="-1"/>
          <w:sz w:val="24"/>
          <w:szCs w:val="24"/>
        </w:rPr>
        <w:t>20.1</w:t>
      </w:r>
      <w:r>
        <w:rPr>
          <w:rFonts w:ascii="宋体" w:hAnsi="宋体" w:eastAsia="宋体" w:cs="宋体"/>
          <w:spacing w:val="-31"/>
          <w:sz w:val="24"/>
          <w:szCs w:val="24"/>
        </w:rPr>
        <w:t xml:space="preserve"> </w:t>
      </w:r>
      <w:r>
        <w:rPr>
          <w:rFonts w:ascii="宋体" w:hAnsi="宋体" w:eastAsia="宋体" w:cs="宋体"/>
          <w:spacing w:val="-1"/>
          <w:sz w:val="24"/>
          <w:szCs w:val="24"/>
        </w:rPr>
        <w:t>投标人应在招标文件规定的投标截止时间前，将投标文件按招标文件的规定密</w:t>
      </w:r>
      <w:r>
        <w:rPr>
          <w:rFonts w:ascii="宋体" w:hAnsi="宋体" w:eastAsia="宋体" w:cs="宋体"/>
          <w:sz w:val="24"/>
          <w:szCs w:val="24"/>
        </w:rPr>
        <w:t xml:space="preserve"> </w:t>
      </w:r>
      <w:r>
        <w:rPr>
          <w:rFonts w:ascii="宋体" w:hAnsi="宋体" w:eastAsia="宋体" w:cs="宋体"/>
          <w:spacing w:val="1"/>
          <w:sz w:val="24"/>
          <w:szCs w:val="24"/>
        </w:rPr>
        <w:t>封后送达开标地点。投标截止时间以后送达的投标文件将不予接收，招标采购单位将告</w:t>
      </w:r>
      <w:r>
        <w:rPr>
          <w:rFonts w:ascii="宋体" w:hAnsi="宋体" w:eastAsia="宋体" w:cs="宋体"/>
          <w:spacing w:val="-2"/>
          <w:sz w:val="24"/>
          <w:szCs w:val="24"/>
        </w:rPr>
        <w:t>知投标人不予接收的原因。</w:t>
      </w:r>
    </w:p>
    <w:p w14:paraId="079264BA">
      <w:pPr>
        <w:spacing w:before="134" w:line="323" w:lineRule="auto"/>
        <w:ind w:left="11" w:right="57" w:firstLine="481"/>
        <w:rPr>
          <w:rFonts w:ascii="宋体" w:hAnsi="宋体" w:eastAsia="宋体" w:cs="宋体"/>
          <w:b/>
          <w:bCs/>
          <w:spacing w:val="1"/>
          <w:sz w:val="24"/>
          <w:szCs w:val="24"/>
        </w:rPr>
      </w:pPr>
      <w:r>
        <w:rPr>
          <w:rFonts w:ascii="宋体" w:hAnsi="宋体" w:eastAsia="宋体" w:cs="宋体"/>
          <w:b/>
          <w:bCs/>
          <w:spacing w:val="1"/>
          <w:sz w:val="24"/>
          <w:szCs w:val="24"/>
        </w:rPr>
        <w:t>20.2 投标人递交投标文件时需同时递交法定代表人授权书或公司介绍信原件 1 份、 法定代表人和授权代表身份证复印件各 1 份；未提供或提供不全的采购人、采购代理机构将拒收或者在开标截止时间前，按要求补充完整后接收。</w:t>
      </w:r>
    </w:p>
    <w:p w14:paraId="526B3CA7">
      <w:pPr>
        <w:spacing w:before="134" w:line="323" w:lineRule="auto"/>
        <w:ind w:left="11" w:right="57" w:firstLine="481"/>
        <w:rPr>
          <w:rFonts w:ascii="宋体" w:hAnsi="宋体" w:eastAsia="宋体" w:cs="宋体"/>
          <w:sz w:val="24"/>
          <w:szCs w:val="24"/>
        </w:rPr>
      </w:pPr>
      <w:r>
        <w:rPr>
          <w:rFonts w:ascii="宋体" w:hAnsi="宋体" w:eastAsia="宋体" w:cs="宋体"/>
          <w:sz w:val="24"/>
          <w:szCs w:val="24"/>
        </w:rPr>
        <w:t>20.3</w:t>
      </w:r>
      <w:r>
        <w:rPr>
          <w:rFonts w:ascii="宋体" w:hAnsi="宋体" w:eastAsia="宋体" w:cs="宋体"/>
          <w:spacing w:val="-50"/>
          <w:sz w:val="24"/>
          <w:szCs w:val="24"/>
        </w:rPr>
        <w:t xml:space="preserve"> </w:t>
      </w:r>
      <w:r>
        <w:rPr>
          <w:rFonts w:ascii="宋体" w:hAnsi="宋体" w:eastAsia="宋体" w:cs="宋体"/>
          <w:sz w:val="24"/>
          <w:szCs w:val="24"/>
        </w:rPr>
        <w:t>递交投标文件时，报名供应商名称</w:t>
      </w:r>
      <w:r>
        <w:rPr>
          <w:rFonts w:ascii="宋体" w:hAnsi="宋体" w:eastAsia="宋体" w:cs="宋体"/>
          <w:spacing w:val="-1"/>
          <w:sz w:val="24"/>
          <w:szCs w:val="24"/>
        </w:rPr>
        <w:t>和招标文件的文号、分包号应当与投标供应</w:t>
      </w:r>
      <w:r>
        <w:rPr>
          <w:rFonts w:ascii="宋体" w:hAnsi="宋体" w:eastAsia="宋体" w:cs="宋体"/>
          <w:spacing w:val="1"/>
          <w:sz w:val="24"/>
          <w:szCs w:val="24"/>
        </w:rPr>
        <w:t>商名称和招标文件的文号、分包号一致。但是，投标文件实质内容报名供应商名称和招标文件的文号、分包号一致，只是封面文字错误的，可以在评标过程中当面予以澄清，</w:t>
      </w:r>
      <w:r>
        <w:rPr>
          <w:rFonts w:ascii="宋体" w:hAnsi="宋体" w:eastAsia="宋体" w:cs="宋体"/>
          <w:spacing w:val="-2"/>
          <w:sz w:val="24"/>
          <w:szCs w:val="24"/>
        </w:rPr>
        <w:t>以有效的澄清材料作为认定投标文件是否有效的依据。</w:t>
      </w:r>
    </w:p>
    <w:p w14:paraId="0061BBF0">
      <w:pPr>
        <w:spacing w:before="136" w:line="219" w:lineRule="auto"/>
        <w:ind w:left="493"/>
        <w:rPr>
          <w:rFonts w:ascii="宋体" w:hAnsi="宋体" w:eastAsia="宋体" w:cs="宋体"/>
          <w:sz w:val="24"/>
          <w:szCs w:val="24"/>
        </w:rPr>
      </w:pPr>
      <w:r>
        <w:rPr>
          <w:rFonts w:ascii="宋体" w:hAnsi="宋体" w:eastAsia="宋体" w:cs="宋体"/>
          <w:spacing w:val="-1"/>
          <w:sz w:val="24"/>
          <w:szCs w:val="24"/>
        </w:rPr>
        <w:t>20.4 本次招标不接受邮寄的投标文件。</w:t>
      </w:r>
    </w:p>
    <w:p w14:paraId="0F2A76D4">
      <w:pPr>
        <w:spacing w:before="134" w:line="323" w:lineRule="auto"/>
        <w:ind w:left="11" w:right="57" w:firstLine="481"/>
        <w:rPr>
          <w:rFonts w:ascii="宋体" w:hAnsi="宋体" w:eastAsia="宋体" w:cs="宋体"/>
          <w:b/>
          <w:bCs/>
          <w:spacing w:val="1"/>
          <w:sz w:val="24"/>
          <w:szCs w:val="24"/>
        </w:rPr>
      </w:pPr>
      <w:r>
        <w:rPr>
          <w:rFonts w:ascii="宋体" w:hAnsi="宋体" w:eastAsia="宋体" w:cs="宋体"/>
          <w:b/>
          <w:bCs/>
          <w:spacing w:val="1"/>
          <w:sz w:val="24"/>
          <w:szCs w:val="24"/>
        </w:rPr>
        <w:t>注：递交投标文件的人员需与投标文件中“法定代表人授权书 ”上的被授权人一致，若不一致按无效投标处理。（实质性要求）</w:t>
      </w:r>
    </w:p>
    <w:p w14:paraId="60694B3B">
      <w:pPr>
        <w:pStyle w:val="13"/>
        <w:spacing w:line="244" w:lineRule="auto"/>
      </w:pPr>
    </w:p>
    <w:p w14:paraId="48292ED4">
      <w:pPr>
        <w:pStyle w:val="13"/>
        <w:spacing w:line="245" w:lineRule="auto"/>
      </w:pPr>
    </w:p>
    <w:p w14:paraId="7D6C0DCE">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21．投标文件的修改和撤回</w:t>
      </w:r>
    </w:p>
    <w:p w14:paraId="0ED2BEF9">
      <w:pPr>
        <w:spacing w:before="0" w:line="240" w:lineRule="auto"/>
        <w:ind w:left="0" w:firstLine="480" w:firstLineChars="200"/>
        <w:rPr>
          <w:rFonts w:hint="eastAsia" w:ascii="宋体" w:hAnsi="宋体" w:eastAsia="宋体" w:cs="宋体"/>
          <w:sz w:val="24"/>
          <w:szCs w:val="24"/>
        </w:rPr>
      </w:pPr>
      <w:r>
        <w:rPr>
          <w:rFonts w:hint="eastAsia" w:ascii="宋体" w:hAnsi="宋体" w:eastAsia="宋体" w:cs="宋体"/>
          <w:spacing w:val="0"/>
          <w:position w:val="0"/>
          <w:sz w:val="24"/>
          <w:szCs w:val="24"/>
        </w:rPr>
        <w:t>21.1 投标人在递交了投标文件后，可以修改或撤回其投标文件，但必须在规定的投</w:t>
      </w:r>
      <w:r>
        <w:rPr>
          <w:rFonts w:hint="eastAsia" w:ascii="宋体" w:hAnsi="宋体" w:eastAsia="宋体" w:cs="宋体"/>
          <w:spacing w:val="0"/>
          <w:sz w:val="24"/>
          <w:szCs w:val="24"/>
        </w:rPr>
        <w:t>标截止时间前，以书面形式通知</w:t>
      </w:r>
      <w:r>
        <w:rPr>
          <w:rFonts w:hint="eastAsia" w:ascii="宋体" w:hAnsi="宋体" w:eastAsia="宋体" w:cs="宋体"/>
          <w:spacing w:val="0"/>
          <w:sz w:val="24"/>
          <w:szCs w:val="24"/>
          <w:lang w:eastAsia="zh-CN"/>
        </w:rPr>
        <w:t>四川华招项目管理有限公司</w:t>
      </w:r>
      <w:r>
        <w:rPr>
          <w:rFonts w:hint="eastAsia" w:ascii="宋体" w:hAnsi="宋体" w:eastAsia="宋体" w:cs="宋体"/>
          <w:spacing w:val="0"/>
          <w:sz w:val="24"/>
          <w:szCs w:val="24"/>
        </w:rPr>
        <w:t>。</w:t>
      </w:r>
    </w:p>
    <w:p w14:paraId="584DE068">
      <w:pPr>
        <w:spacing w:before="135" w:line="323" w:lineRule="auto"/>
        <w:ind w:left="18" w:right="63" w:firstLine="474"/>
        <w:rPr>
          <w:rFonts w:ascii="宋体" w:hAnsi="宋体" w:eastAsia="宋体" w:cs="宋体"/>
          <w:sz w:val="24"/>
          <w:szCs w:val="24"/>
        </w:rPr>
      </w:pPr>
      <w:r>
        <w:rPr>
          <w:rFonts w:ascii="宋体" w:hAnsi="宋体" w:eastAsia="宋体" w:cs="宋体"/>
          <w:spacing w:val="-1"/>
          <w:sz w:val="24"/>
          <w:szCs w:val="24"/>
        </w:rPr>
        <w:t>21.2</w:t>
      </w:r>
      <w:r>
        <w:rPr>
          <w:rFonts w:ascii="宋体" w:hAnsi="宋体" w:eastAsia="宋体" w:cs="宋体"/>
          <w:spacing w:val="-31"/>
          <w:sz w:val="24"/>
          <w:szCs w:val="24"/>
        </w:rPr>
        <w:t xml:space="preserve"> </w:t>
      </w:r>
      <w:r>
        <w:rPr>
          <w:rFonts w:ascii="宋体" w:hAnsi="宋体" w:eastAsia="宋体" w:cs="宋体"/>
          <w:spacing w:val="-1"/>
          <w:sz w:val="24"/>
          <w:szCs w:val="24"/>
        </w:rPr>
        <w:t>投标人的修改书或撤回通知书，应由其法定代表人或授权代表签署并盖单位印章。修改书应按投标人须知第</w:t>
      </w:r>
      <w:r>
        <w:rPr>
          <w:rFonts w:ascii="宋体" w:hAnsi="宋体" w:eastAsia="宋体" w:cs="宋体"/>
          <w:spacing w:val="-30"/>
          <w:sz w:val="24"/>
          <w:szCs w:val="24"/>
        </w:rPr>
        <w:t xml:space="preserve"> </w:t>
      </w:r>
      <w:r>
        <w:rPr>
          <w:rFonts w:ascii="宋体" w:hAnsi="宋体" w:eastAsia="宋体" w:cs="宋体"/>
          <w:spacing w:val="-1"/>
          <w:sz w:val="24"/>
          <w:szCs w:val="24"/>
        </w:rPr>
        <w:t>18</w:t>
      </w:r>
      <w:r>
        <w:rPr>
          <w:rFonts w:ascii="宋体" w:hAnsi="宋体" w:eastAsia="宋体" w:cs="宋体"/>
          <w:spacing w:val="-46"/>
          <w:sz w:val="24"/>
          <w:szCs w:val="24"/>
        </w:rPr>
        <w:t xml:space="preserve"> </w:t>
      </w:r>
      <w:r>
        <w:rPr>
          <w:rFonts w:ascii="宋体" w:hAnsi="宋体" w:eastAsia="宋体" w:cs="宋体"/>
          <w:spacing w:val="-1"/>
          <w:sz w:val="24"/>
          <w:szCs w:val="24"/>
        </w:rPr>
        <w:t>条、第</w:t>
      </w:r>
      <w:r>
        <w:rPr>
          <w:rFonts w:ascii="宋体" w:hAnsi="宋体" w:eastAsia="宋体" w:cs="宋体"/>
          <w:spacing w:val="-33"/>
          <w:sz w:val="24"/>
          <w:szCs w:val="24"/>
        </w:rPr>
        <w:t xml:space="preserve"> </w:t>
      </w:r>
      <w:r>
        <w:rPr>
          <w:rFonts w:ascii="宋体" w:hAnsi="宋体" w:eastAsia="宋体" w:cs="宋体"/>
          <w:spacing w:val="-1"/>
          <w:sz w:val="24"/>
          <w:szCs w:val="24"/>
        </w:rPr>
        <w:t>19</w:t>
      </w:r>
      <w:r>
        <w:rPr>
          <w:rFonts w:ascii="宋体" w:hAnsi="宋体" w:eastAsia="宋体" w:cs="宋体"/>
          <w:spacing w:val="-47"/>
          <w:sz w:val="24"/>
          <w:szCs w:val="24"/>
        </w:rPr>
        <w:t xml:space="preserve"> </w:t>
      </w:r>
      <w:r>
        <w:rPr>
          <w:rFonts w:ascii="宋体" w:hAnsi="宋体" w:eastAsia="宋体" w:cs="宋体"/>
          <w:spacing w:val="-1"/>
          <w:sz w:val="24"/>
          <w:szCs w:val="24"/>
        </w:rPr>
        <w:t>条之规定编制、密封和标注，并在密封袋上</w:t>
      </w:r>
      <w:r>
        <w:rPr>
          <w:rFonts w:ascii="宋体" w:hAnsi="宋体" w:eastAsia="宋体" w:cs="宋体"/>
          <w:spacing w:val="-5"/>
          <w:sz w:val="24"/>
          <w:szCs w:val="24"/>
        </w:rPr>
        <w:t>标注“修改</w:t>
      </w:r>
      <w:r>
        <w:rPr>
          <w:rFonts w:ascii="宋体" w:hAnsi="宋体" w:eastAsia="宋体" w:cs="宋体"/>
          <w:spacing w:val="-87"/>
          <w:sz w:val="24"/>
          <w:szCs w:val="24"/>
        </w:rPr>
        <w:t xml:space="preserve"> </w:t>
      </w:r>
      <w:r>
        <w:rPr>
          <w:rFonts w:ascii="宋体" w:hAnsi="宋体" w:eastAsia="宋体" w:cs="宋体"/>
          <w:spacing w:val="-5"/>
          <w:sz w:val="24"/>
          <w:szCs w:val="24"/>
        </w:rPr>
        <w:t>”字样。</w:t>
      </w:r>
    </w:p>
    <w:p w14:paraId="5108E014">
      <w:pPr>
        <w:spacing w:before="134" w:line="220" w:lineRule="auto"/>
        <w:ind w:left="0" w:firstLine="240" w:firstLineChars="100"/>
        <w:rPr>
          <w:rFonts w:ascii="宋体" w:hAnsi="宋体" w:eastAsia="宋体" w:cs="宋体"/>
          <w:sz w:val="24"/>
          <w:szCs w:val="24"/>
        </w:rPr>
      </w:pPr>
      <w:r>
        <w:rPr>
          <w:rFonts w:ascii="宋体" w:hAnsi="宋体" w:eastAsia="宋体" w:cs="宋体"/>
          <w:sz w:val="24"/>
          <w:szCs w:val="24"/>
        </w:rPr>
        <w:t>21.3</w:t>
      </w:r>
      <w:r>
        <w:rPr>
          <w:rFonts w:ascii="宋体" w:hAnsi="宋体" w:eastAsia="宋体" w:cs="宋体"/>
          <w:spacing w:val="-52"/>
          <w:sz w:val="24"/>
          <w:szCs w:val="24"/>
        </w:rPr>
        <w:t xml:space="preserve"> </w:t>
      </w:r>
      <w:r>
        <w:rPr>
          <w:rFonts w:ascii="宋体" w:hAnsi="宋体" w:eastAsia="宋体" w:cs="宋体"/>
          <w:sz w:val="24"/>
          <w:szCs w:val="24"/>
        </w:rPr>
        <w:t>在投标截止时间之后，投标人不得对其</w:t>
      </w:r>
      <w:r>
        <w:rPr>
          <w:rFonts w:ascii="宋体" w:hAnsi="宋体" w:eastAsia="宋体" w:cs="宋体"/>
          <w:spacing w:val="-1"/>
          <w:sz w:val="24"/>
          <w:szCs w:val="24"/>
        </w:rPr>
        <w:t>递交的投标文件做任何修改，撤回投标</w:t>
      </w:r>
      <w:r>
        <w:rPr>
          <w:rFonts w:ascii="宋体" w:hAnsi="宋体" w:eastAsia="宋体" w:cs="宋体"/>
          <w:spacing w:val="-2"/>
          <w:sz w:val="24"/>
          <w:szCs w:val="24"/>
        </w:rPr>
        <w:t>的，将按照有关规定进行相应处理。</w:t>
      </w:r>
    </w:p>
    <w:p w14:paraId="19EBF266">
      <w:pPr>
        <w:pStyle w:val="13"/>
        <w:spacing w:line="401" w:lineRule="auto"/>
      </w:pPr>
    </w:p>
    <w:p w14:paraId="665B2870">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3" w:name="bookmark7"/>
      <w:bookmarkEnd w:id="3"/>
      <w:r>
        <w:rPr>
          <w:rFonts w:ascii="宋体" w:hAnsi="宋体" w:eastAsia="宋体" w:cs="宋体"/>
          <w:spacing w:val="9"/>
          <w:sz w:val="31"/>
          <w:szCs w:val="31"/>
          <w14:textOutline w14:w="5793" w14:cap="sq" w14:cmpd="sng">
            <w14:solidFill>
              <w14:srgbClr w14:val="000000"/>
            </w14:solidFill>
            <w14:prstDash w14:val="solid"/>
            <w14:bevel/>
          </w14:textOutline>
        </w:rPr>
        <w:t>五、开标和中标</w:t>
      </w:r>
    </w:p>
    <w:p w14:paraId="36498F56">
      <w:pPr>
        <w:pStyle w:val="13"/>
        <w:spacing w:line="390" w:lineRule="auto"/>
      </w:pPr>
    </w:p>
    <w:p w14:paraId="63FCE737">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22．开标</w:t>
      </w:r>
    </w:p>
    <w:p w14:paraId="34C177AD">
      <w:pPr>
        <w:spacing w:before="94" w:line="268" w:lineRule="auto"/>
        <w:ind w:left="10" w:right="63" w:firstLine="482"/>
        <w:rPr>
          <w:rFonts w:ascii="宋体" w:hAnsi="宋体" w:eastAsia="宋体" w:cs="宋体"/>
          <w:sz w:val="24"/>
          <w:szCs w:val="24"/>
        </w:rPr>
      </w:pPr>
      <w:r>
        <w:rPr>
          <w:rFonts w:ascii="宋体" w:hAnsi="宋体" w:eastAsia="宋体" w:cs="宋体"/>
          <w:sz w:val="24"/>
          <w:szCs w:val="24"/>
        </w:rPr>
        <w:t>22.1</w:t>
      </w:r>
      <w:r>
        <w:rPr>
          <w:rFonts w:ascii="宋体" w:hAnsi="宋体" w:eastAsia="宋体" w:cs="宋体"/>
          <w:spacing w:val="-50"/>
          <w:sz w:val="24"/>
          <w:szCs w:val="24"/>
        </w:rPr>
        <w:t xml:space="preserve"> </w:t>
      </w:r>
      <w:r>
        <w:rPr>
          <w:rFonts w:ascii="宋体" w:hAnsi="宋体" w:eastAsia="宋体" w:cs="宋体"/>
          <w:sz w:val="24"/>
          <w:szCs w:val="24"/>
        </w:rPr>
        <w:t>开标在招标文件规定的时间和地点</w:t>
      </w:r>
      <w:r>
        <w:rPr>
          <w:rFonts w:ascii="宋体" w:hAnsi="宋体" w:eastAsia="宋体" w:cs="宋体"/>
          <w:spacing w:val="-1"/>
          <w:sz w:val="24"/>
          <w:szCs w:val="24"/>
        </w:rPr>
        <w:t>公开进行，采购人、投标人须派代表参加并</w:t>
      </w:r>
      <w:r>
        <w:rPr>
          <w:rFonts w:ascii="宋体" w:hAnsi="宋体" w:eastAsia="宋体" w:cs="宋体"/>
          <w:spacing w:val="1"/>
          <w:sz w:val="24"/>
          <w:szCs w:val="24"/>
        </w:rPr>
        <w:t>签到以证明其出席。开标由采购代理机构主持，采购人、投标人代表参加。评标专家不</w:t>
      </w:r>
      <w:r>
        <w:rPr>
          <w:rFonts w:ascii="宋体" w:hAnsi="宋体" w:eastAsia="宋体" w:cs="宋体"/>
          <w:spacing w:val="-2"/>
          <w:sz w:val="24"/>
          <w:szCs w:val="24"/>
        </w:rPr>
        <w:t>参加开标活动。</w:t>
      </w:r>
    </w:p>
    <w:p w14:paraId="0D5F24DE">
      <w:pPr>
        <w:spacing w:before="95" w:line="220" w:lineRule="auto"/>
        <w:ind w:left="493"/>
        <w:rPr>
          <w:rFonts w:ascii="宋体" w:hAnsi="宋体" w:eastAsia="宋体" w:cs="宋体"/>
          <w:sz w:val="24"/>
          <w:szCs w:val="24"/>
        </w:rPr>
      </w:pPr>
      <w:r>
        <w:rPr>
          <w:rFonts w:ascii="宋体" w:hAnsi="宋体" w:eastAsia="宋体" w:cs="宋体"/>
          <w:spacing w:val="-1"/>
          <w:sz w:val="24"/>
          <w:szCs w:val="24"/>
        </w:rPr>
        <w:t>22.2</w:t>
      </w:r>
      <w:r>
        <w:rPr>
          <w:rFonts w:ascii="宋体" w:hAnsi="宋体" w:eastAsia="宋体" w:cs="宋体"/>
          <w:spacing w:val="-36"/>
          <w:sz w:val="24"/>
          <w:szCs w:val="24"/>
        </w:rPr>
        <w:t xml:space="preserve"> </w:t>
      </w:r>
      <w:r>
        <w:rPr>
          <w:rFonts w:ascii="宋体" w:hAnsi="宋体" w:eastAsia="宋体" w:cs="宋体"/>
          <w:spacing w:val="-1"/>
          <w:sz w:val="24"/>
          <w:szCs w:val="24"/>
        </w:rPr>
        <w:t>开标时，可能根据具体情况邀请有关监督管理部门对开标活动进行现场监督。</w:t>
      </w:r>
    </w:p>
    <w:p w14:paraId="139531E3">
      <w:pPr>
        <w:spacing w:before="95" w:line="268" w:lineRule="auto"/>
        <w:ind w:left="11" w:firstLine="481"/>
        <w:rPr>
          <w:rFonts w:ascii="宋体" w:hAnsi="宋体" w:eastAsia="宋体" w:cs="宋体"/>
          <w:sz w:val="24"/>
          <w:szCs w:val="24"/>
        </w:rPr>
      </w:pPr>
      <w:r>
        <w:rPr>
          <w:rFonts w:ascii="宋体" w:hAnsi="宋体" w:eastAsia="宋体" w:cs="宋体"/>
          <w:spacing w:val="-5"/>
          <w:sz w:val="24"/>
          <w:szCs w:val="24"/>
        </w:rPr>
        <w:t>22.3</w:t>
      </w:r>
      <w:r>
        <w:rPr>
          <w:rFonts w:ascii="宋体" w:hAnsi="宋体" w:eastAsia="宋体" w:cs="宋体"/>
          <w:spacing w:val="-50"/>
          <w:sz w:val="24"/>
          <w:szCs w:val="24"/>
        </w:rPr>
        <w:t xml:space="preserve"> </w:t>
      </w:r>
      <w:r>
        <w:rPr>
          <w:rFonts w:ascii="宋体" w:hAnsi="宋体" w:eastAsia="宋体" w:cs="宋体"/>
          <w:spacing w:val="-5"/>
          <w:sz w:val="24"/>
          <w:szCs w:val="24"/>
        </w:rPr>
        <w:t>开标时，由投标人或者其推选的代表先检查其自己递交的投标文件的密封情况，</w:t>
      </w:r>
      <w:r>
        <w:rPr>
          <w:rFonts w:ascii="宋体" w:hAnsi="宋体" w:eastAsia="宋体" w:cs="宋体"/>
          <w:sz w:val="24"/>
          <w:szCs w:val="24"/>
        </w:rPr>
        <w:t xml:space="preserve"> </w:t>
      </w:r>
      <w:r>
        <w:rPr>
          <w:rFonts w:ascii="宋体" w:hAnsi="宋体" w:eastAsia="宋体" w:cs="宋体"/>
          <w:spacing w:val="1"/>
          <w:sz w:val="24"/>
          <w:szCs w:val="24"/>
        </w:rPr>
        <w:t>经确认无误后，由招标工作人员将投标人单</w:t>
      </w:r>
      <w:r>
        <w:rPr>
          <w:rFonts w:ascii="宋体" w:hAnsi="宋体" w:eastAsia="宋体" w:cs="宋体"/>
          <w:sz w:val="24"/>
          <w:szCs w:val="24"/>
        </w:rPr>
        <w:t>独递交的“开标一览表</w:t>
      </w:r>
      <w:r>
        <w:rPr>
          <w:rFonts w:ascii="宋体" w:hAnsi="宋体" w:eastAsia="宋体" w:cs="宋体"/>
          <w:spacing w:val="-88"/>
          <w:sz w:val="24"/>
          <w:szCs w:val="24"/>
        </w:rPr>
        <w:t xml:space="preserve"> </w:t>
      </w:r>
      <w:r>
        <w:rPr>
          <w:rFonts w:ascii="宋体" w:hAnsi="宋体" w:eastAsia="宋体" w:cs="宋体"/>
          <w:sz w:val="24"/>
          <w:szCs w:val="24"/>
        </w:rPr>
        <w:t>”当众拆封，并由唱</w:t>
      </w:r>
      <w:r>
        <w:rPr>
          <w:rFonts w:ascii="宋体" w:hAnsi="宋体" w:eastAsia="宋体" w:cs="宋体"/>
          <w:spacing w:val="-1"/>
          <w:sz w:val="24"/>
          <w:szCs w:val="24"/>
        </w:rPr>
        <w:t>标人员按照招标文件规定的内容进行宣读。</w:t>
      </w:r>
    </w:p>
    <w:p w14:paraId="42217316">
      <w:pPr>
        <w:spacing w:before="92" w:line="278" w:lineRule="auto"/>
        <w:ind w:left="9" w:right="63" w:firstLine="483"/>
        <w:rPr>
          <w:rFonts w:ascii="宋体" w:hAnsi="宋体" w:eastAsia="宋体" w:cs="宋体"/>
          <w:sz w:val="24"/>
          <w:szCs w:val="24"/>
        </w:rPr>
      </w:pPr>
      <w:r>
        <w:rPr>
          <w:rFonts w:ascii="宋体" w:hAnsi="宋体" w:eastAsia="宋体" w:cs="宋体"/>
          <w:spacing w:val="1"/>
          <w:sz w:val="24"/>
          <w:szCs w:val="24"/>
        </w:rPr>
        <w:t>投标人或者其推选的代表确认投标文件情况，仅限于确认其自己递交的投标文件的密封情况，不代表对其他投标人的投标文件的密封情况确认。投标人或者其推选的代表对其他投标人的投标文件密封情况有异议的，可以当场反映开标主持人或者现场监督人员，要求开标现场记录人员予以记录，并在评标时予以认定处理，但不得干扰、阻挠开</w:t>
      </w:r>
      <w:r>
        <w:rPr>
          <w:rFonts w:ascii="宋体" w:hAnsi="宋体" w:eastAsia="宋体" w:cs="宋体"/>
          <w:spacing w:val="-1"/>
          <w:sz w:val="24"/>
          <w:szCs w:val="24"/>
        </w:rPr>
        <w:t>标工作的正常进行。</w:t>
      </w:r>
    </w:p>
    <w:p w14:paraId="495B55D8">
      <w:pPr>
        <w:spacing w:before="96" w:line="267" w:lineRule="auto"/>
        <w:ind w:left="13" w:right="3" w:firstLine="480"/>
        <w:rPr>
          <w:rFonts w:ascii="宋体" w:hAnsi="宋体" w:eastAsia="宋体" w:cs="宋体"/>
          <w:sz w:val="24"/>
          <w:szCs w:val="24"/>
        </w:rPr>
      </w:pPr>
      <w:r>
        <w:rPr>
          <w:rFonts w:ascii="宋体" w:hAnsi="宋体" w:eastAsia="宋体" w:cs="宋体"/>
          <w:spacing w:val="-6"/>
          <w:sz w:val="24"/>
          <w:szCs w:val="24"/>
        </w:rPr>
        <w:t>22.4</w:t>
      </w:r>
      <w:r>
        <w:rPr>
          <w:rFonts w:ascii="宋体" w:hAnsi="宋体" w:eastAsia="宋体" w:cs="宋体"/>
          <w:spacing w:val="-47"/>
          <w:sz w:val="24"/>
          <w:szCs w:val="24"/>
        </w:rPr>
        <w:t xml:space="preserve"> </w:t>
      </w:r>
      <w:r>
        <w:rPr>
          <w:rFonts w:ascii="宋体" w:hAnsi="宋体" w:eastAsia="宋体" w:cs="宋体"/>
          <w:spacing w:val="-6"/>
          <w:sz w:val="24"/>
          <w:szCs w:val="24"/>
        </w:rPr>
        <w:t>开标时，“开标一览表</w:t>
      </w:r>
      <w:r>
        <w:rPr>
          <w:rFonts w:ascii="宋体" w:hAnsi="宋体" w:eastAsia="宋体" w:cs="宋体"/>
          <w:spacing w:val="-88"/>
          <w:sz w:val="24"/>
          <w:szCs w:val="24"/>
        </w:rPr>
        <w:t xml:space="preserve"> </w:t>
      </w:r>
      <w:r>
        <w:rPr>
          <w:rFonts w:ascii="宋体" w:hAnsi="宋体" w:eastAsia="宋体" w:cs="宋体"/>
          <w:spacing w:val="-6"/>
          <w:sz w:val="24"/>
          <w:szCs w:val="24"/>
        </w:rPr>
        <w:t>”中的大写金额与小写金额不一致的，以大写金额为准；</w:t>
      </w:r>
      <w:r>
        <w:rPr>
          <w:rFonts w:ascii="宋体" w:hAnsi="宋体" w:eastAsia="宋体" w:cs="宋体"/>
          <w:spacing w:val="1"/>
          <w:sz w:val="24"/>
          <w:szCs w:val="24"/>
        </w:rPr>
        <w:t>总价金额与按单价计算的汇总金额不一致的，以单价计算的汇总金额为准；单价金额有</w:t>
      </w:r>
      <w:r>
        <w:rPr>
          <w:rFonts w:ascii="宋体" w:hAnsi="宋体" w:eastAsia="宋体" w:cs="宋体"/>
          <w:spacing w:val="-1"/>
          <w:sz w:val="24"/>
          <w:szCs w:val="24"/>
        </w:rPr>
        <w:t>明显小数点错误的，以总价为准，并修改单价。</w:t>
      </w:r>
    </w:p>
    <w:p w14:paraId="4F3EE69C">
      <w:pPr>
        <w:spacing w:before="96" w:line="256" w:lineRule="auto"/>
        <w:ind w:left="14" w:right="65" w:firstLine="479"/>
        <w:rPr>
          <w:rFonts w:ascii="宋体" w:hAnsi="宋体" w:eastAsia="宋体" w:cs="宋体"/>
          <w:sz w:val="24"/>
          <w:szCs w:val="24"/>
        </w:rPr>
      </w:pPr>
      <w:r>
        <w:rPr>
          <w:rFonts w:ascii="宋体" w:hAnsi="宋体" w:eastAsia="宋体" w:cs="宋体"/>
          <w:spacing w:val="-2"/>
          <w:sz w:val="24"/>
          <w:szCs w:val="24"/>
        </w:rPr>
        <w:t>22.5</w:t>
      </w:r>
      <w:r>
        <w:rPr>
          <w:rFonts w:ascii="宋体" w:hAnsi="宋体" w:eastAsia="宋体" w:cs="宋体"/>
          <w:spacing w:val="-48"/>
          <w:sz w:val="24"/>
          <w:szCs w:val="24"/>
        </w:rPr>
        <w:t xml:space="preserve"> </w:t>
      </w:r>
      <w:r>
        <w:rPr>
          <w:rFonts w:ascii="宋体" w:hAnsi="宋体" w:eastAsia="宋体" w:cs="宋体"/>
          <w:spacing w:val="-2"/>
          <w:sz w:val="24"/>
          <w:szCs w:val="24"/>
        </w:rPr>
        <w:t>投标文件中相关内容与“开标一览表</w:t>
      </w:r>
      <w:r>
        <w:rPr>
          <w:rFonts w:ascii="宋体" w:hAnsi="宋体" w:eastAsia="宋体" w:cs="宋体"/>
          <w:spacing w:val="-88"/>
          <w:sz w:val="24"/>
          <w:szCs w:val="24"/>
        </w:rPr>
        <w:t xml:space="preserve"> </w:t>
      </w:r>
      <w:r>
        <w:rPr>
          <w:rFonts w:ascii="宋体" w:hAnsi="宋体" w:eastAsia="宋体" w:cs="宋体"/>
          <w:spacing w:val="-2"/>
          <w:sz w:val="24"/>
          <w:szCs w:val="24"/>
        </w:rPr>
        <w:t>”不一致的，以</w:t>
      </w:r>
      <w:r>
        <w:rPr>
          <w:rFonts w:ascii="宋体" w:hAnsi="宋体" w:eastAsia="宋体" w:cs="宋体"/>
          <w:spacing w:val="-3"/>
          <w:sz w:val="24"/>
          <w:szCs w:val="24"/>
        </w:rPr>
        <w:t>“开标一览表</w:t>
      </w:r>
      <w:r>
        <w:rPr>
          <w:rFonts w:ascii="宋体" w:hAnsi="宋体" w:eastAsia="宋体" w:cs="宋体"/>
          <w:spacing w:val="-88"/>
          <w:sz w:val="24"/>
          <w:szCs w:val="24"/>
        </w:rPr>
        <w:t xml:space="preserve"> </w:t>
      </w:r>
      <w:r>
        <w:rPr>
          <w:rFonts w:ascii="宋体" w:hAnsi="宋体" w:eastAsia="宋体" w:cs="宋体"/>
          <w:spacing w:val="-3"/>
          <w:sz w:val="24"/>
          <w:szCs w:val="24"/>
        </w:rPr>
        <w:t>”为准。对</w:t>
      </w:r>
      <w:r>
        <w:rPr>
          <w:rFonts w:ascii="宋体" w:hAnsi="宋体" w:eastAsia="宋体" w:cs="宋体"/>
          <w:spacing w:val="-1"/>
          <w:sz w:val="24"/>
          <w:szCs w:val="24"/>
        </w:rPr>
        <w:t>不同文字文本投标文件的解释发生异议的，以中文文本为准。</w:t>
      </w:r>
    </w:p>
    <w:p w14:paraId="15EC0EA5">
      <w:pPr>
        <w:spacing w:before="78" w:line="256" w:lineRule="auto"/>
        <w:ind w:left="248" w:leftChars="118" w:right="81" w:firstLine="225" w:firstLineChars="99"/>
        <w:rPr>
          <w:rFonts w:ascii="宋体" w:hAnsi="宋体" w:eastAsia="宋体" w:cs="宋体"/>
          <w:sz w:val="24"/>
          <w:szCs w:val="24"/>
        </w:rPr>
      </w:pPr>
      <w:r>
        <w:rPr>
          <w:rFonts w:ascii="宋体" w:hAnsi="宋体" w:eastAsia="宋体" w:cs="宋体"/>
          <w:spacing w:val="-6"/>
          <w:sz w:val="24"/>
          <w:szCs w:val="24"/>
        </w:rPr>
        <w:t>22.6</w:t>
      </w:r>
      <w:r>
        <w:rPr>
          <w:rFonts w:ascii="宋体" w:hAnsi="宋体" w:eastAsia="宋体" w:cs="宋体"/>
          <w:spacing w:val="-43"/>
          <w:sz w:val="24"/>
          <w:szCs w:val="24"/>
        </w:rPr>
        <w:t xml:space="preserve"> </w:t>
      </w:r>
      <w:r>
        <w:rPr>
          <w:rFonts w:ascii="宋体" w:hAnsi="宋体" w:eastAsia="宋体" w:cs="宋体"/>
          <w:spacing w:val="-6"/>
          <w:sz w:val="24"/>
          <w:szCs w:val="24"/>
        </w:rPr>
        <w:t>所有投标唱标完毕，如投标人代表对宣读的“开标一览表</w:t>
      </w:r>
      <w:r>
        <w:rPr>
          <w:rFonts w:ascii="宋体" w:hAnsi="宋体" w:eastAsia="宋体" w:cs="宋体"/>
          <w:spacing w:val="-89"/>
          <w:sz w:val="24"/>
          <w:szCs w:val="24"/>
        </w:rPr>
        <w:t xml:space="preserve"> </w:t>
      </w:r>
      <w:r>
        <w:rPr>
          <w:rFonts w:ascii="宋体" w:hAnsi="宋体" w:eastAsia="宋体" w:cs="宋体"/>
          <w:spacing w:val="-6"/>
          <w:sz w:val="24"/>
          <w:szCs w:val="24"/>
        </w:rPr>
        <w:t>”上的内容有异议的，</w:t>
      </w:r>
      <w:r>
        <w:rPr>
          <w:rFonts w:ascii="宋体" w:hAnsi="宋体" w:eastAsia="宋体" w:cs="宋体"/>
          <w:spacing w:val="1"/>
          <w:sz w:val="24"/>
          <w:szCs w:val="24"/>
        </w:rPr>
        <w:t>应在获得开标会主持人同意后当场提出。如确实属于唱标人员宣读错了的，经现场监督</w:t>
      </w:r>
      <w:r>
        <w:rPr>
          <w:rFonts w:ascii="宋体" w:hAnsi="宋体" w:eastAsia="宋体" w:cs="宋体"/>
          <w:spacing w:val="-1"/>
          <w:sz w:val="24"/>
          <w:szCs w:val="24"/>
        </w:rPr>
        <w:t>人员核实后，当场予以更正。</w:t>
      </w:r>
    </w:p>
    <w:p w14:paraId="1E19C23B">
      <w:pPr>
        <w:spacing w:before="91" w:line="221" w:lineRule="auto"/>
        <w:ind w:left="493"/>
        <w:rPr>
          <w:rFonts w:ascii="宋体" w:hAnsi="宋体" w:eastAsia="宋体" w:cs="宋体"/>
          <w:sz w:val="24"/>
          <w:szCs w:val="24"/>
        </w:rPr>
      </w:pPr>
      <w:r>
        <w:rPr>
          <w:rFonts w:ascii="宋体" w:hAnsi="宋体" w:eastAsia="宋体" w:cs="宋体"/>
          <w:spacing w:val="-1"/>
          <w:sz w:val="24"/>
          <w:szCs w:val="24"/>
        </w:rPr>
        <w:t>22.7</w:t>
      </w:r>
      <w:r>
        <w:rPr>
          <w:rFonts w:ascii="宋体" w:hAnsi="宋体" w:eastAsia="宋体" w:cs="宋体"/>
          <w:spacing w:val="-48"/>
          <w:sz w:val="24"/>
          <w:szCs w:val="24"/>
        </w:rPr>
        <w:t xml:space="preserve"> </w:t>
      </w:r>
      <w:r>
        <w:rPr>
          <w:rFonts w:ascii="宋体" w:hAnsi="宋体" w:eastAsia="宋体" w:cs="宋体"/>
          <w:spacing w:val="-1"/>
          <w:sz w:val="24"/>
          <w:szCs w:val="24"/>
        </w:rPr>
        <w:t>投标人未参加开标的，视同认可开标</w:t>
      </w:r>
      <w:r>
        <w:rPr>
          <w:rFonts w:ascii="宋体" w:hAnsi="宋体" w:eastAsia="宋体" w:cs="宋体"/>
          <w:spacing w:val="-2"/>
          <w:sz w:val="24"/>
          <w:szCs w:val="24"/>
        </w:rPr>
        <w:t>结果。</w:t>
      </w:r>
    </w:p>
    <w:p w14:paraId="0F1EBAE8">
      <w:pPr>
        <w:pStyle w:val="13"/>
        <w:spacing w:line="393" w:lineRule="auto"/>
        <w:rPr>
          <w:sz w:val="24"/>
          <w:szCs w:val="24"/>
        </w:rPr>
      </w:pPr>
    </w:p>
    <w:p w14:paraId="0540A0D8">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23．开标程序</w:t>
      </w:r>
    </w:p>
    <w:p w14:paraId="776FC75E">
      <w:pPr>
        <w:spacing w:before="91" w:line="257" w:lineRule="auto"/>
        <w:ind w:left="11" w:right="120" w:firstLine="480"/>
        <w:rPr>
          <w:rFonts w:ascii="宋体" w:hAnsi="宋体" w:eastAsia="宋体" w:cs="宋体"/>
          <w:sz w:val="24"/>
          <w:szCs w:val="24"/>
        </w:rPr>
      </w:pPr>
      <w:r>
        <w:rPr>
          <w:rFonts w:ascii="宋体" w:hAnsi="宋体" w:eastAsia="宋体" w:cs="宋体"/>
          <w:sz w:val="24"/>
          <w:szCs w:val="24"/>
        </w:rPr>
        <w:t>开标会主持人按照招标文件规定的开标时间宣布开标，按照规定要求主持开标会。</w:t>
      </w:r>
      <w:r>
        <w:rPr>
          <w:rFonts w:ascii="宋体" w:hAnsi="宋体" w:eastAsia="宋体" w:cs="宋体"/>
          <w:spacing w:val="-1"/>
          <w:sz w:val="24"/>
          <w:szCs w:val="24"/>
        </w:rPr>
        <w:t>开标将按以下程序进行：</w:t>
      </w:r>
    </w:p>
    <w:p w14:paraId="75C612B5">
      <w:pPr>
        <w:spacing w:before="92" w:line="256" w:lineRule="auto"/>
        <w:ind w:left="8" w:firstLine="493"/>
        <w:rPr>
          <w:rFonts w:ascii="宋体" w:hAnsi="宋体" w:eastAsia="宋体" w:cs="宋体"/>
          <w:sz w:val="24"/>
          <w:szCs w:val="24"/>
        </w:rPr>
      </w:pPr>
      <w:r>
        <w:rPr>
          <w:rFonts w:ascii="宋体" w:hAnsi="宋体" w:eastAsia="宋体" w:cs="宋体"/>
          <w:spacing w:val="-3"/>
          <w:sz w:val="24"/>
          <w:szCs w:val="24"/>
        </w:rPr>
        <w:t>（1）宣布开标会开始。当众宣布参加开标会主持人、唱标人、会议记录人以及根据 情况邀请的现场监督人等工作人员，根据“供应</w:t>
      </w:r>
      <w:r>
        <w:rPr>
          <w:rFonts w:ascii="宋体" w:hAnsi="宋体" w:eastAsia="宋体" w:cs="宋体"/>
          <w:spacing w:val="-4"/>
          <w:sz w:val="24"/>
          <w:szCs w:val="24"/>
        </w:rPr>
        <w:t>商签到表</w:t>
      </w:r>
      <w:r>
        <w:rPr>
          <w:rFonts w:ascii="宋体" w:hAnsi="宋体" w:eastAsia="宋体" w:cs="宋体"/>
          <w:spacing w:val="-88"/>
          <w:sz w:val="24"/>
          <w:szCs w:val="24"/>
        </w:rPr>
        <w:t xml:space="preserve"> </w:t>
      </w:r>
      <w:r>
        <w:rPr>
          <w:rFonts w:ascii="宋体" w:hAnsi="宋体" w:eastAsia="宋体" w:cs="宋体"/>
          <w:spacing w:val="-4"/>
          <w:sz w:val="24"/>
          <w:szCs w:val="24"/>
        </w:rPr>
        <w:t>”宣布参加投标的供应商名单。</w:t>
      </w:r>
    </w:p>
    <w:p w14:paraId="4F09EDD7">
      <w:pPr>
        <w:spacing w:before="97" w:line="219" w:lineRule="auto"/>
        <w:ind w:left="501"/>
        <w:rPr>
          <w:rFonts w:ascii="宋体" w:hAnsi="宋体" w:eastAsia="宋体" w:cs="宋体"/>
          <w:sz w:val="24"/>
          <w:szCs w:val="24"/>
        </w:rPr>
      </w:pPr>
      <w:r>
        <w:rPr>
          <w:rFonts w:ascii="宋体" w:hAnsi="宋体" w:eastAsia="宋体" w:cs="宋体"/>
          <w:spacing w:val="-2"/>
          <w:sz w:val="24"/>
          <w:szCs w:val="24"/>
        </w:rPr>
        <w:t>（2）宣布会场纪律和有关注意事项。</w:t>
      </w:r>
    </w:p>
    <w:p w14:paraId="0262CCDE">
      <w:pPr>
        <w:spacing w:before="94" w:line="256" w:lineRule="auto"/>
        <w:ind w:left="29" w:right="81" w:firstLine="471"/>
        <w:rPr>
          <w:rFonts w:ascii="宋体" w:hAnsi="宋体" w:eastAsia="宋体" w:cs="宋体"/>
          <w:sz w:val="24"/>
          <w:szCs w:val="24"/>
        </w:rPr>
      </w:pPr>
      <w:r>
        <w:rPr>
          <w:rFonts w:ascii="宋体" w:hAnsi="宋体" w:eastAsia="宋体" w:cs="宋体"/>
          <w:spacing w:val="-2"/>
          <w:sz w:val="24"/>
          <w:szCs w:val="24"/>
        </w:rPr>
        <w:t>（3）根据投标人或者其推选的代表对投标文件密封的检查结果，当众宣布</w:t>
      </w:r>
      <w:r>
        <w:rPr>
          <w:rFonts w:ascii="宋体" w:hAnsi="宋体" w:eastAsia="宋体" w:cs="宋体"/>
          <w:spacing w:val="-3"/>
          <w:sz w:val="24"/>
          <w:szCs w:val="24"/>
        </w:rPr>
        <w:t>投标文件</w:t>
      </w:r>
      <w:r>
        <w:rPr>
          <w:rFonts w:ascii="宋体" w:hAnsi="宋体" w:eastAsia="宋体" w:cs="宋体"/>
          <w:spacing w:val="-5"/>
          <w:sz w:val="24"/>
          <w:szCs w:val="24"/>
        </w:rPr>
        <w:t>的密封情况。</w:t>
      </w:r>
    </w:p>
    <w:p w14:paraId="73002C1F">
      <w:pPr>
        <w:spacing w:before="97" w:line="285" w:lineRule="auto"/>
        <w:ind w:left="11" w:right="81" w:firstLine="490"/>
        <w:rPr>
          <w:rFonts w:ascii="宋体" w:hAnsi="宋体" w:eastAsia="宋体" w:cs="宋体"/>
          <w:sz w:val="24"/>
          <w:szCs w:val="24"/>
        </w:rPr>
      </w:pPr>
      <w:r>
        <w:rPr>
          <w:rFonts w:ascii="宋体" w:hAnsi="宋体" w:eastAsia="宋体" w:cs="宋体"/>
          <w:spacing w:val="-2"/>
          <w:sz w:val="24"/>
          <w:szCs w:val="24"/>
        </w:rPr>
        <w:t>（4）开标唱标。主持人宣布开标后，由现场工作人员按任意顺序对投标人</w:t>
      </w:r>
      <w:r>
        <w:rPr>
          <w:rFonts w:ascii="宋体" w:hAnsi="宋体" w:eastAsia="宋体" w:cs="宋体"/>
          <w:spacing w:val="-3"/>
          <w:sz w:val="24"/>
          <w:szCs w:val="24"/>
        </w:rPr>
        <w:t>的“开标</w:t>
      </w:r>
      <w:r>
        <w:rPr>
          <w:rFonts w:ascii="宋体" w:hAnsi="宋体" w:eastAsia="宋体" w:cs="宋体"/>
          <w:sz w:val="24"/>
          <w:szCs w:val="24"/>
        </w:rPr>
        <w:t>一览表</w:t>
      </w:r>
      <w:r>
        <w:rPr>
          <w:rFonts w:ascii="宋体" w:hAnsi="宋体" w:eastAsia="宋体" w:cs="宋体"/>
          <w:spacing w:val="-67"/>
          <w:sz w:val="24"/>
          <w:szCs w:val="24"/>
        </w:rPr>
        <w:t xml:space="preserve"> </w:t>
      </w:r>
      <w:r>
        <w:rPr>
          <w:rFonts w:ascii="宋体" w:hAnsi="宋体" w:eastAsia="宋体" w:cs="宋体"/>
          <w:sz w:val="24"/>
          <w:szCs w:val="24"/>
        </w:rPr>
        <w:t>”当众进行拆封，由唱标人员宣读投标人名称、投标价格（价格折扣）、或招标</w:t>
      </w:r>
      <w:r>
        <w:rPr>
          <w:rFonts w:ascii="宋体" w:hAnsi="宋体" w:eastAsia="宋体" w:cs="宋体"/>
          <w:spacing w:val="1"/>
          <w:sz w:val="24"/>
          <w:szCs w:val="24"/>
        </w:rPr>
        <w:t>文件允许提供的备选投标方案和投标文件的其他主要内容。未宣读的投标价格（价格折扣）或招标文件允许提供的备选投标方案等实质内容，评标时不予承认。同时，做好开标记录。唱标人员在唱标过程中，如遇有字迹不清楚或有明显错误的，应即刻报告主持人，经现场核实后，主持人立即请投标人代表现场进行澄清或确认。唱标完毕后投标人或者其推选的代表需现场对开标记录进行签字确认，投标人或者其推选的代表对唱标内容有异议的，可以当场提出，并要求会议记录人在开标记录中予以记录，或者另行提供书面异议资料，不签字又不提出异议的，视同认可唱标内容和结果，且不得干扰、阻挠</w:t>
      </w:r>
      <w:r>
        <w:rPr>
          <w:rFonts w:ascii="宋体" w:hAnsi="宋体" w:eastAsia="宋体" w:cs="宋体"/>
          <w:spacing w:val="-1"/>
          <w:sz w:val="24"/>
          <w:szCs w:val="24"/>
        </w:rPr>
        <w:t>开（唱）标、评标工作。</w:t>
      </w:r>
    </w:p>
    <w:p w14:paraId="7047456D">
      <w:pPr>
        <w:spacing w:before="93" w:line="274" w:lineRule="auto"/>
        <w:ind w:left="9" w:right="81" w:firstLine="492"/>
        <w:rPr>
          <w:rFonts w:ascii="宋体" w:hAnsi="宋体" w:eastAsia="宋体" w:cs="宋体"/>
          <w:sz w:val="24"/>
          <w:szCs w:val="24"/>
        </w:rPr>
      </w:pPr>
      <w:r>
        <w:rPr>
          <w:rFonts w:ascii="宋体" w:hAnsi="宋体" w:eastAsia="宋体" w:cs="宋体"/>
          <w:spacing w:val="-2"/>
          <w:sz w:val="24"/>
          <w:szCs w:val="24"/>
        </w:rPr>
        <w:t>（5）宣布开标会结束。主持人宣布开标会结束。所有投标人代表应立即退</w:t>
      </w:r>
      <w:r>
        <w:rPr>
          <w:rFonts w:ascii="宋体" w:hAnsi="宋体" w:eastAsia="宋体" w:cs="宋体"/>
          <w:spacing w:val="-3"/>
          <w:sz w:val="24"/>
          <w:szCs w:val="24"/>
        </w:rPr>
        <w:t>场（招标</w:t>
      </w:r>
      <w:r>
        <w:rPr>
          <w:rFonts w:ascii="宋体" w:hAnsi="宋体" w:eastAsia="宋体" w:cs="宋体"/>
          <w:sz w:val="24"/>
          <w:szCs w:val="24"/>
        </w:rPr>
        <w:t xml:space="preserve"> </w:t>
      </w:r>
      <w:r>
        <w:rPr>
          <w:rFonts w:ascii="宋体" w:hAnsi="宋体" w:eastAsia="宋体" w:cs="宋体"/>
          <w:spacing w:val="1"/>
          <w:sz w:val="24"/>
          <w:szCs w:val="24"/>
        </w:rPr>
        <w:t>文件要求有演示、介绍等的除外）。同时所有投标人应保持通讯设备的畅通，以方便在</w:t>
      </w:r>
      <w:r>
        <w:rPr>
          <w:rFonts w:ascii="宋体" w:hAnsi="宋体" w:eastAsia="宋体" w:cs="宋体"/>
          <w:spacing w:val="17"/>
          <w:sz w:val="24"/>
          <w:szCs w:val="24"/>
        </w:rPr>
        <w:t xml:space="preserve"> </w:t>
      </w:r>
      <w:r>
        <w:rPr>
          <w:rFonts w:ascii="宋体" w:hAnsi="宋体" w:eastAsia="宋体" w:cs="宋体"/>
          <w:spacing w:val="1"/>
          <w:sz w:val="24"/>
          <w:szCs w:val="24"/>
        </w:rPr>
        <w:t>评标过程中评标委员会要求投标人对投标文件的必要澄清、说明和纠正。评标结果投标</w:t>
      </w:r>
      <w:r>
        <w:rPr>
          <w:rFonts w:ascii="宋体" w:hAnsi="宋体" w:eastAsia="宋体" w:cs="宋体"/>
          <w:spacing w:val="-1"/>
          <w:sz w:val="24"/>
          <w:szCs w:val="24"/>
        </w:rPr>
        <w:t>人在中国政府采购网上查询。</w:t>
      </w:r>
    </w:p>
    <w:p w14:paraId="3F315729">
      <w:pPr>
        <w:spacing w:before="93" w:line="274" w:lineRule="auto"/>
        <w:ind w:left="9" w:right="81" w:firstLine="492"/>
        <w:rPr>
          <w:rFonts w:ascii="宋体" w:hAnsi="宋体" w:eastAsia="宋体" w:cs="宋体"/>
          <w:b/>
          <w:bCs/>
          <w:spacing w:val="1"/>
          <w:sz w:val="24"/>
          <w:szCs w:val="24"/>
        </w:rPr>
      </w:pPr>
      <w:r>
        <w:rPr>
          <w:rFonts w:ascii="宋体" w:hAnsi="宋体" w:eastAsia="宋体" w:cs="宋体"/>
          <w:b/>
          <w:bCs/>
          <w:spacing w:val="1"/>
          <w:sz w:val="24"/>
          <w:szCs w:val="24"/>
        </w:rPr>
        <w:t>（6）投标人代表对开标过程和开标记录有疑义，以及认为采购人、采购代理机构相关工作人员有需要回避的情形的，应当场提出询问或者回避申请。采购人、采购代理机构对投标人代表提出的询问或者回避申请应当及时处理。不接受事后质疑。</w:t>
      </w:r>
    </w:p>
    <w:p w14:paraId="0CF54E6C">
      <w:pPr>
        <w:spacing w:before="93" w:line="274" w:lineRule="auto"/>
        <w:ind w:left="9" w:right="81" w:firstLine="492"/>
        <w:rPr>
          <w:rFonts w:ascii="宋体" w:hAnsi="宋体" w:eastAsia="宋体" w:cs="宋体"/>
          <w:b/>
          <w:bCs/>
          <w:sz w:val="24"/>
          <w:szCs w:val="24"/>
        </w:rPr>
      </w:pPr>
      <w:r>
        <w:rPr>
          <w:rFonts w:ascii="宋体" w:hAnsi="宋体" w:eastAsia="宋体" w:cs="宋体"/>
          <w:b/>
          <w:bCs/>
          <w:spacing w:val="1"/>
          <w:sz w:val="24"/>
          <w:szCs w:val="24"/>
        </w:rPr>
        <w:t>投标人未参加开标的，视同认可开标结果。</w:t>
      </w:r>
    </w:p>
    <w:p w14:paraId="26738592">
      <w:pPr>
        <w:pStyle w:val="13"/>
        <w:spacing w:line="393" w:lineRule="auto"/>
        <w:rPr>
          <w:sz w:val="24"/>
          <w:szCs w:val="24"/>
        </w:rPr>
      </w:pPr>
    </w:p>
    <w:p w14:paraId="14EFC9DE">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24．开评标过程存档</w:t>
      </w:r>
    </w:p>
    <w:p w14:paraId="493E073C">
      <w:pPr>
        <w:spacing w:before="78" w:line="219" w:lineRule="auto"/>
        <w:ind w:left="493"/>
        <w:outlineLvl w:val="2"/>
        <w:rPr>
          <w:rFonts w:ascii="宋体" w:hAnsi="宋体" w:eastAsia="宋体" w:cs="宋体"/>
          <w:spacing w:val="-1"/>
          <w:sz w:val="24"/>
          <w:szCs w:val="24"/>
        </w:rPr>
      </w:pPr>
      <w:r>
        <w:rPr>
          <w:rFonts w:ascii="宋体" w:hAnsi="宋体" w:eastAsia="宋体" w:cs="宋体"/>
          <w:sz w:val="24"/>
          <w:szCs w:val="24"/>
        </w:rPr>
        <w:t>开标和评标过程进行全过程电子监控，并将电子监</w:t>
      </w:r>
      <w:r>
        <w:rPr>
          <w:rFonts w:ascii="宋体" w:hAnsi="宋体" w:eastAsia="宋体" w:cs="宋体"/>
          <w:spacing w:val="-1"/>
          <w:sz w:val="24"/>
          <w:szCs w:val="24"/>
        </w:rPr>
        <w:t>控资料存储介质留存归档。</w:t>
      </w:r>
    </w:p>
    <w:p w14:paraId="3023EDD1">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25．评标情况公告</w:t>
      </w:r>
    </w:p>
    <w:p w14:paraId="019B4399">
      <w:pPr>
        <w:spacing w:before="95" w:line="256" w:lineRule="auto"/>
        <w:ind w:left="10" w:firstLine="480"/>
        <w:rPr>
          <w:rFonts w:ascii="宋体" w:hAnsi="宋体" w:eastAsia="宋体" w:cs="宋体"/>
          <w:sz w:val="24"/>
          <w:szCs w:val="24"/>
        </w:rPr>
      </w:pPr>
      <w:r>
        <w:rPr>
          <w:rFonts w:ascii="宋体" w:hAnsi="宋体" w:eastAsia="宋体" w:cs="宋体"/>
          <w:spacing w:val="1"/>
          <w:sz w:val="24"/>
          <w:szCs w:val="24"/>
        </w:rPr>
        <w:t>所有供应商投标文件资格性、符合性检查情况、采用综合评分法时的总得分和分项</w:t>
      </w:r>
      <w:r>
        <w:rPr>
          <w:rFonts w:ascii="宋体" w:hAnsi="宋体" w:eastAsia="宋体" w:cs="宋体"/>
          <w:spacing w:val="18"/>
          <w:sz w:val="24"/>
          <w:szCs w:val="24"/>
        </w:rPr>
        <w:t xml:space="preserve"> </w:t>
      </w:r>
      <w:r>
        <w:rPr>
          <w:rFonts w:ascii="宋体" w:hAnsi="宋体" w:eastAsia="宋体" w:cs="宋体"/>
          <w:sz w:val="24"/>
          <w:szCs w:val="24"/>
        </w:rPr>
        <w:t>汇总得分情况、评标结果等将在中国政府采购网上采购</w:t>
      </w:r>
      <w:r>
        <w:rPr>
          <w:rFonts w:ascii="宋体" w:hAnsi="宋体" w:eastAsia="宋体" w:cs="宋体"/>
          <w:spacing w:val="-1"/>
          <w:sz w:val="24"/>
          <w:szCs w:val="24"/>
        </w:rPr>
        <w:t>结果公告栏中予以公告。</w:t>
      </w:r>
    </w:p>
    <w:p w14:paraId="5236AA36">
      <w:pPr>
        <w:pStyle w:val="13"/>
        <w:spacing w:line="394" w:lineRule="auto"/>
        <w:rPr>
          <w:sz w:val="24"/>
          <w:szCs w:val="24"/>
        </w:rPr>
      </w:pPr>
    </w:p>
    <w:p w14:paraId="220B8644">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26.采购人确定中标人过程中，发现中标候选人有下列情形之一的，应当不予确定其为中标人：</w:t>
      </w:r>
    </w:p>
    <w:p w14:paraId="74E32C52">
      <w:pPr>
        <w:spacing w:before="90" w:line="256" w:lineRule="auto"/>
        <w:ind w:left="501" w:right="1684"/>
        <w:rPr>
          <w:rFonts w:ascii="宋体" w:hAnsi="宋体" w:eastAsia="宋体" w:cs="宋体"/>
          <w:sz w:val="24"/>
          <w:szCs w:val="24"/>
        </w:rPr>
      </w:pPr>
      <w:r>
        <w:rPr>
          <w:rFonts w:ascii="宋体" w:hAnsi="宋体" w:eastAsia="宋体" w:cs="宋体"/>
          <w:spacing w:val="-3"/>
          <w:sz w:val="24"/>
          <w:szCs w:val="24"/>
        </w:rPr>
        <w:t>（1）发现中标候选人存在禁止参加本项目采购活动的违法行为的；</w:t>
      </w:r>
      <w:r>
        <w:rPr>
          <w:rFonts w:ascii="宋体" w:hAnsi="宋体" w:eastAsia="宋体" w:cs="宋体"/>
          <w:spacing w:val="7"/>
          <w:sz w:val="24"/>
          <w:szCs w:val="24"/>
        </w:rPr>
        <w:t xml:space="preserve"> </w:t>
      </w:r>
      <w:r>
        <w:rPr>
          <w:rFonts w:ascii="宋体" w:hAnsi="宋体" w:eastAsia="宋体" w:cs="宋体"/>
          <w:spacing w:val="-1"/>
          <w:sz w:val="24"/>
          <w:szCs w:val="24"/>
        </w:rPr>
        <w:t>（2）中标候选人因不可抗力，不能继续参加政府采购活动；</w:t>
      </w:r>
    </w:p>
    <w:p w14:paraId="443F1F55">
      <w:pPr>
        <w:spacing w:before="96" w:line="379" w:lineRule="exact"/>
        <w:ind w:left="501"/>
        <w:rPr>
          <w:rFonts w:ascii="宋体" w:hAnsi="宋体" w:eastAsia="宋体" w:cs="宋体"/>
          <w:sz w:val="24"/>
          <w:szCs w:val="24"/>
        </w:rPr>
      </w:pPr>
      <w:r>
        <w:rPr>
          <w:rFonts w:ascii="宋体" w:hAnsi="宋体" w:eastAsia="宋体" w:cs="宋体"/>
          <w:spacing w:val="-1"/>
          <w:position w:val="10"/>
          <w:sz w:val="24"/>
          <w:szCs w:val="24"/>
        </w:rPr>
        <w:t>（3）中标候选人无偿赠与或者低于成本价竞争；</w:t>
      </w:r>
    </w:p>
    <w:p w14:paraId="07EC2051">
      <w:pPr>
        <w:spacing w:before="1" w:line="219" w:lineRule="auto"/>
        <w:ind w:left="501"/>
        <w:rPr>
          <w:rFonts w:ascii="宋体" w:hAnsi="宋体" w:eastAsia="宋体" w:cs="宋体"/>
          <w:sz w:val="24"/>
          <w:szCs w:val="24"/>
        </w:rPr>
      </w:pPr>
      <w:r>
        <w:rPr>
          <w:rFonts w:ascii="宋体" w:hAnsi="宋体" w:eastAsia="宋体" w:cs="宋体"/>
          <w:spacing w:val="-2"/>
          <w:sz w:val="24"/>
          <w:szCs w:val="24"/>
        </w:rPr>
        <w:t>（4）中标候选人提供虚假材料；</w:t>
      </w:r>
    </w:p>
    <w:p w14:paraId="704F833E">
      <w:pPr>
        <w:spacing w:before="94" w:line="220" w:lineRule="auto"/>
        <w:ind w:left="501"/>
        <w:rPr>
          <w:rFonts w:ascii="宋体" w:hAnsi="宋体" w:eastAsia="宋体" w:cs="宋体"/>
          <w:sz w:val="24"/>
          <w:szCs w:val="24"/>
        </w:rPr>
      </w:pPr>
      <w:r>
        <w:rPr>
          <w:rFonts w:ascii="宋体" w:hAnsi="宋体" w:eastAsia="宋体" w:cs="宋体"/>
          <w:spacing w:val="-2"/>
          <w:sz w:val="24"/>
          <w:szCs w:val="24"/>
        </w:rPr>
        <w:t>（5）中标候选人恶意串通。</w:t>
      </w:r>
    </w:p>
    <w:p w14:paraId="75F3C393">
      <w:pPr>
        <w:pStyle w:val="13"/>
        <w:spacing w:line="394" w:lineRule="auto"/>
        <w:rPr>
          <w:sz w:val="24"/>
          <w:szCs w:val="24"/>
        </w:rPr>
      </w:pPr>
    </w:p>
    <w:p w14:paraId="5E7EC240">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27．中标通知书</w:t>
      </w:r>
    </w:p>
    <w:p w14:paraId="614FAB80">
      <w:pPr>
        <w:spacing w:before="94" w:line="219" w:lineRule="auto"/>
        <w:ind w:left="493"/>
        <w:rPr>
          <w:rFonts w:ascii="宋体" w:hAnsi="宋体" w:eastAsia="宋体" w:cs="宋体"/>
          <w:sz w:val="24"/>
          <w:szCs w:val="24"/>
        </w:rPr>
      </w:pPr>
      <w:r>
        <w:rPr>
          <w:rFonts w:ascii="宋体" w:hAnsi="宋体" w:eastAsia="宋体" w:cs="宋体"/>
          <w:spacing w:val="-1"/>
          <w:sz w:val="24"/>
          <w:szCs w:val="24"/>
        </w:rPr>
        <w:t>27</w:t>
      </w:r>
      <w:r>
        <w:rPr>
          <w:rFonts w:ascii="宋体" w:hAnsi="宋体" w:eastAsia="宋体" w:cs="宋体"/>
          <w:spacing w:val="-1"/>
          <w:sz w:val="24"/>
          <w:szCs w:val="24"/>
          <w14:textOutline w14:w="4358" w14:cap="sq" w14:cmpd="sng">
            <w14:solidFill>
              <w14:srgbClr w14:val="000000"/>
            </w14:solidFill>
            <w14:prstDash w14:val="solid"/>
            <w14:bevel/>
          </w14:textOutline>
        </w:rPr>
        <w:t>.</w:t>
      </w:r>
      <w:r>
        <w:rPr>
          <w:rFonts w:ascii="宋体" w:hAnsi="宋体" w:eastAsia="宋体" w:cs="宋体"/>
          <w:spacing w:val="-1"/>
          <w:sz w:val="24"/>
          <w:szCs w:val="24"/>
        </w:rPr>
        <w:t>1</w:t>
      </w:r>
      <w:r>
        <w:rPr>
          <w:rFonts w:ascii="宋体" w:hAnsi="宋体" w:eastAsia="宋体" w:cs="宋体"/>
          <w:spacing w:val="-28"/>
          <w:sz w:val="24"/>
          <w:szCs w:val="24"/>
        </w:rPr>
        <w:t xml:space="preserve"> </w:t>
      </w:r>
      <w:r>
        <w:rPr>
          <w:rFonts w:ascii="宋体" w:hAnsi="宋体" w:eastAsia="宋体" w:cs="宋体"/>
          <w:spacing w:val="-1"/>
          <w:sz w:val="24"/>
          <w:szCs w:val="24"/>
        </w:rPr>
        <w:t>中标通知书为签订政府采购合同的依据之一，</w:t>
      </w:r>
      <w:r>
        <w:rPr>
          <w:rFonts w:ascii="宋体" w:hAnsi="宋体" w:eastAsia="宋体" w:cs="宋体"/>
          <w:spacing w:val="-2"/>
          <w:sz w:val="24"/>
          <w:szCs w:val="24"/>
        </w:rPr>
        <w:t>是合同的有效组成部分。</w:t>
      </w:r>
    </w:p>
    <w:p w14:paraId="1CB9CDF9">
      <w:pPr>
        <w:spacing w:before="96" w:line="256" w:lineRule="auto"/>
        <w:ind w:left="10" w:firstLine="482"/>
        <w:rPr>
          <w:rFonts w:ascii="宋体" w:hAnsi="宋体" w:eastAsia="宋体" w:cs="宋体"/>
          <w:sz w:val="24"/>
          <w:szCs w:val="24"/>
        </w:rPr>
      </w:pPr>
      <w:r>
        <w:rPr>
          <w:rFonts w:ascii="宋体" w:hAnsi="宋体" w:eastAsia="宋体" w:cs="宋体"/>
          <w:spacing w:val="-1"/>
          <w:sz w:val="24"/>
          <w:szCs w:val="24"/>
        </w:rPr>
        <w:t>27.2</w:t>
      </w:r>
      <w:r>
        <w:rPr>
          <w:rFonts w:ascii="宋体" w:hAnsi="宋体" w:eastAsia="宋体" w:cs="宋体"/>
          <w:spacing w:val="-28"/>
          <w:sz w:val="24"/>
          <w:szCs w:val="24"/>
        </w:rPr>
        <w:t xml:space="preserve"> </w:t>
      </w:r>
      <w:r>
        <w:rPr>
          <w:rFonts w:ascii="宋体" w:hAnsi="宋体" w:eastAsia="宋体" w:cs="宋体"/>
          <w:spacing w:val="-1"/>
          <w:sz w:val="24"/>
          <w:szCs w:val="24"/>
        </w:rPr>
        <w:t>中标通知书对采购人和中标人均具有法律效力。中标通知书发出后，采</w:t>
      </w:r>
      <w:r>
        <w:rPr>
          <w:rFonts w:ascii="宋体" w:hAnsi="宋体" w:eastAsia="宋体" w:cs="宋体"/>
          <w:spacing w:val="-2"/>
          <w:sz w:val="24"/>
          <w:szCs w:val="24"/>
        </w:rPr>
        <w:t>购人改</w:t>
      </w:r>
      <w:r>
        <w:rPr>
          <w:rFonts w:ascii="宋体" w:hAnsi="宋体" w:eastAsia="宋体" w:cs="宋体"/>
          <w:sz w:val="24"/>
          <w:szCs w:val="24"/>
        </w:rPr>
        <w:t xml:space="preserve"> 变中标结果，或者中标人无正当理由放弃中标的，应</w:t>
      </w:r>
      <w:r>
        <w:rPr>
          <w:rFonts w:ascii="宋体" w:hAnsi="宋体" w:eastAsia="宋体" w:cs="宋体"/>
          <w:spacing w:val="-1"/>
          <w:sz w:val="24"/>
          <w:szCs w:val="24"/>
        </w:rPr>
        <w:t>当承担相应的法律责任。</w:t>
      </w:r>
    </w:p>
    <w:p w14:paraId="48FF47A0">
      <w:pPr>
        <w:spacing w:before="94" w:line="274" w:lineRule="auto"/>
        <w:ind w:left="11" w:firstLine="481"/>
        <w:rPr>
          <w:rFonts w:ascii="宋体" w:hAnsi="宋体" w:eastAsia="宋体" w:cs="宋体"/>
          <w:sz w:val="24"/>
          <w:szCs w:val="24"/>
        </w:rPr>
      </w:pPr>
      <w:r>
        <w:rPr>
          <w:rFonts w:ascii="宋体" w:hAnsi="宋体" w:eastAsia="宋体" w:cs="宋体"/>
          <w:spacing w:val="-1"/>
          <w:sz w:val="24"/>
          <w:szCs w:val="24"/>
        </w:rPr>
        <w:t>27.3</w:t>
      </w:r>
      <w:r>
        <w:rPr>
          <w:rFonts w:ascii="宋体" w:hAnsi="宋体" w:eastAsia="宋体" w:cs="宋体"/>
          <w:spacing w:val="-28"/>
          <w:sz w:val="24"/>
          <w:szCs w:val="24"/>
        </w:rPr>
        <w:t xml:space="preserve"> </w:t>
      </w:r>
      <w:r>
        <w:rPr>
          <w:rFonts w:ascii="宋体" w:hAnsi="宋体" w:eastAsia="宋体" w:cs="宋体"/>
          <w:spacing w:val="-1"/>
          <w:sz w:val="24"/>
          <w:szCs w:val="24"/>
        </w:rPr>
        <w:t>中标人的投标文件本应作为无效投标处理或者有政府采购法律法规规章</w:t>
      </w:r>
      <w:r>
        <w:rPr>
          <w:rFonts w:ascii="宋体" w:hAnsi="宋体" w:eastAsia="宋体" w:cs="宋体"/>
          <w:spacing w:val="-2"/>
          <w:sz w:val="24"/>
          <w:szCs w:val="24"/>
        </w:rPr>
        <w:t>制度规</w:t>
      </w:r>
      <w:r>
        <w:rPr>
          <w:rFonts w:ascii="宋体" w:hAnsi="宋体" w:eastAsia="宋体" w:cs="宋体"/>
          <w:sz w:val="24"/>
          <w:szCs w:val="24"/>
        </w:rPr>
        <w:t xml:space="preserve"> </w:t>
      </w:r>
      <w:r>
        <w:rPr>
          <w:rFonts w:ascii="宋体" w:hAnsi="宋体" w:eastAsia="宋体" w:cs="宋体"/>
          <w:spacing w:val="1"/>
          <w:sz w:val="24"/>
          <w:szCs w:val="24"/>
        </w:rPr>
        <w:t>定的中标无效情形的，招标采购单位在取得有权主体的认定以后，将宣布发出的中标通</w:t>
      </w:r>
      <w:r>
        <w:rPr>
          <w:rFonts w:ascii="宋体" w:hAnsi="宋体" w:eastAsia="宋体" w:cs="宋体"/>
          <w:spacing w:val="15"/>
          <w:sz w:val="24"/>
          <w:szCs w:val="24"/>
        </w:rPr>
        <w:t xml:space="preserve"> </w:t>
      </w:r>
      <w:r>
        <w:rPr>
          <w:rFonts w:ascii="宋体" w:hAnsi="宋体" w:eastAsia="宋体" w:cs="宋体"/>
          <w:spacing w:val="1"/>
          <w:sz w:val="24"/>
          <w:szCs w:val="24"/>
        </w:rPr>
        <w:t>知书无效，并收回发出的中标通知书（中标人也应当缴回</w:t>
      </w:r>
      <w:r>
        <w:rPr>
          <w:rFonts w:ascii="宋体" w:hAnsi="宋体" w:eastAsia="宋体" w:cs="宋体"/>
          <w:spacing w:val="8"/>
          <w:sz w:val="24"/>
          <w:szCs w:val="24"/>
        </w:rPr>
        <w:t>），</w:t>
      </w:r>
      <w:r>
        <w:rPr>
          <w:rFonts w:ascii="宋体" w:hAnsi="宋体" w:eastAsia="宋体" w:cs="宋体"/>
          <w:spacing w:val="1"/>
          <w:sz w:val="24"/>
          <w:szCs w:val="24"/>
        </w:rPr>
        <w:t xml:space="preserve">依法重新确定中标人或者 </w:t>
      </w:r>
      <w:r>
        <w:rPr>
          <w:rFonts w:ascii="宋体" w:hAnsi="宋体" w:eastAsia="宋体" w:cs="宋体"/>
          <w:spacing w:val="-2"/>
          <w:sz w:val="24"/>
          <w:szCs w:val="24"/>
        </w:rPr>
        <w:t>重新开展采购活动。</w:t>
      </w:r>
    </w:p>
    <w:p w14:paraId="39B1E247">
      <w:pPr>
        <w:spacing w:before="95" w:line="256" w:lineRule="auto"/>
        <w:ind w:left="16" w:firstLine="476"/>
        <w:rPr>
          <w:rFonts w:ascii="宋体" w:hAnsi="宋体" w:eastAsia="宋体" w:cs="宋体"/>
          <w:sz w:val="24"/>
          <w:szCs w:val="24"/>
        </w:rPr>
      </w:pPr>
      <w:r>
        <w:rPr>
          <w:rFonts w:ascii="宋体" w:hAnsi="宋体" w:eastAsia="宋体" w:cs="宋体"/>
          <w:spacing w:val="-1"/>
          <w:sz w:val="24"/>
          <w:szCs w:val="24"/>
        </w:rPr>
        <w:t>27.4</w:t>
      </w:r>
      <w:r>
        <w:rPr>
          <w:rFonts w:ascii="宋体" w:hAnsi="宋体" w:eastAsia="宋体" w:cs="宋体"/>
          <w:spacing w:val="-28"/>
          <w:sz w:val="24"/>
          <w:szCs w:val="24"/>
        </w:rPr>
        <w:t xml:space="preserve"> </w:t>
      </w:r>
      <w:r>
        <w:rPr>
          <w:rFonts w:ascii="宋体" w:hAnsi="宋体" w:eastAsia="宋体" w:cs="宋体"/>
          <w:spacing w:val="-1"/>
          <w:sz w:val="24"/>
          <w:szCs w:val="24"/>
        </w:rPr>
        <w:t>中标公告发出后，中标供应商自行领取中标通知书的，可凭有效身份证</w:t>
      </w:r>
      <w:r>
        <w:rPr>
          <w:rFonts w:ascii="宋体" w:hAnsi="宋体" w:eastAsia="宋体" w:cs="宋体"/>
          <w:spacing w:val="-2"/>
          <w:sz w:val="24"/>
          <w:szCs w:val="24"/>
        </w:rPr>
        <w:t>明证件</w:t>
      </w:r>
      <w:r>
        <w:rPr>
          <w:rFonts w:ascii="宋体" w:hAnsi="宋体" w:eastAsia="宋体" w:cs="宋体"/>
          <w:sz w:val="24"/>
          <w:szCs w:val="24"/>
        </w:rPr>
        <w:t xml:space="preserve"> </w:t>
      </w:r>
      <w:r>
        <w:rPr>
          <w:rFonts w:ascii="宋体" w:hAnsi="宋体" w:eastAsia="宋体" w:cs="宋体"/>
          <w:spacing w:val="-1"/>
          <w:sz w:val="24"/>
          <w:szCs w:val="24"/>
        </w:rPr>
        <w:t>到采购代理机构办理。（详见须知附表中联系方式）。</w:t>
      </w:r>
    </w:p>
    <w:p w14:paraId="13B71C77">
      <w:pPr>
        <w:pStyle w:val="13"/>
        <w:spacing w:line="395" w:lineRule="auto"/>
      </w:pPr>
    </w:p>
    <w:p w14:paraId="25F8888B">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4" w:name="bookmark8"/>
      <w:bookmarkEnd w:id="4"/>
      <w:r>
        <w:rPr>
          <w:rFonts w:ascii="宋体" w:hAnsi="宋体" w:eastAsia="宋体" w:cs="宋体"/>
          <w:spacing w:val="9"/>
          <w:sz w:val="31"/>
          <w:szCs w:val="31"/>
          <w14:textOutline w14:w="5793" w14:cap="sq" w14:cmpd="sng">
            <w14:solidFill>
              <w14:srgbClr w14:val="000000"/>
            </w14:solidFill>
            <w14:prstDash w14:val="solid"/>
            <w14:bevel/>
          </w14:textOutline>
        </w:rPr>
        <w:t>六、签订及履行合同和验收</w:t>
      </w:r>
    </w:p>
    <w:p w14:paraId="672B9072">
      <w:pPr>
        <w:spacing w:before="135" w:line="220" w:lineRule="auto"/>
        <w:ind w:left="501"/>
        <w:rPr>
          <w:rFonts w:ascii="宋体" w:hAnsi="宋体" w:eastAsia="宋体" w:cs="宋体"/>
          <w:b/>
          <w:bCs/>
          <w:spacing w:val="2"/>
          <w:sz w:val="24"/>
          <w:szCs w:val="24"/>
        </w:rPr>
      </w:pPr>
    </w:p>
    <w:p w14:paraId="26B17AFC">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28．签订合同</w:t>
      </w:r>
    </w:p>
    <w:p w14:paraId="16394432">
      <w:pPr>
        <w:spacing w:before="93" w:line="268" w:lineRule="auto"/>
        <w:ind w:left="12" w:firstLine="480"/>
        <w:jc w:val="both"/>
        <w:rPr>
          <w:rFonts w:ascii="宋体" w:hAnsi="宋体" w:eastAsia="宋体" w:cs="宋体"/>
          <w:sz w:val="24"/>
          <w:szCs w:val="24"/>
        </w:rPr>
      </w:pPr>
      <w:r>
        <w:rPr>
          <w:rFonts w:ascii="宋体" w:hAnsi="宋体" w:eastAsia="宋体" w:cs="宋体"/>
          <w:spacing w:val="-1"/>
          <w:sz w:val="24"/>
          <w:szCs w:val="24"/>
        </w:rPr>
        <w:t>28.1</w:t>
      </w:r>
      <w:r>
        <w:rPr>
          <w:rFonts w:ascii="宋体" w:hAnsi="宋体" w:eastAsia="宋体" w:cs="宋体"/>
          <w:spacing w:val="-28"/>
          <w:sz w:val="24"/>
          <w:szCs w:val="24"/>
        </w:rPr>
        <w:t xml:space="preserve"> </w:t>
      </w:r>
      <w:r>
        <w:rPr>
          <w:rFonts w:ascii="宋体" w:hAnsi="宋体" w:eastAsia="宋体" w:cs="宋体"/>
          <w:spacing w:val="-1"/>
          <w:sz w:val="24"/>
          <w:szCs w:val="24"/>
        </w:rPr>
        <w:t>中标人应在中标通知书发出之日起三十日内与采购人签订采购合同。由</w:t>
      </w:r>
      <w:r>
        <w:rPr>
          <w:rFonts w:ascii="宋体" w:hAnsi="宋体" w:eastAsia="宋体" w:cs="宋体"/>
          <w:spacing w:val="-2"/>
          <w:sz w:val="24"/>
          <w:szCs w:val="24"/>
        </w:rPr>
        <w:t>于中标</w:t>
      </w:r>
      <w:r>
        <w:rPr>
          <w:rFonts w:ascii="宋体" w:hAnsi="宋体" w:eastAsia="宋体" w:cs="宋体"/>
          <w:sz w:val="24"/>
          <w:szCs w:val="24"/>
        </w:rPr>
        <w:t xml:space="preserve"> </w:t>
      </w:r>
      <w:r>
        <w:rPr>
          <w:rFonts w:ascii="宋体" w:hAnsi="宋体" w:eastAsia="宋体" w:cs="宋体"/>
          <w:spacing w:val="1"/>
          <w:sz w:val="24"/>
          <w:szCs w:val="24"/>
        </w:rPr>
        <w:t>人的原因逾期未与采购人签订采购合同的，将视为放弃中标，取消其中标资格并将按相</w:t>
      </w:r>
      <w:r>
        <w:rPr>
          <w:rFonts w:ascii="宋体" w:hAnsi="宋体" w:eastAsia="宋体" w:cs="宋体"/>
          <w:spacing w:val="14"/>
          <w:sz w:val="24"/>
          <w:szCs w:val="24"/>
        </w:rPr>
        <w:t xml:space="preserve"> </w:t>
      </w:r>
      <w:r>
        <w:rPr>
          <w:rFonts w:ascii="宋体" w:hAnsi="宋体" w:eastAsia="宋体" w:cs="宋体"/>
          <w:spacing w:val="-2"/>
          <w:sz w:val="24"/>
          <w:szCs w:val="24"/>
        </w:rPr>
        <w:t>关规定进行处理。</w:t>
      </w:r>
    </w:p>
    <w:p w14:paraId="76D0053A">
      <w:pPr>
        <w:spacing w:before="94" w:line="268" w:lineRule="auto"/>
        <w:ind w:left="11" w:firstLine="481"/>
        <w:jc w:val="both"/>
        <w:rPr>
          <w:rFonts w:ascii="宋体" w:hAnsi="宋体" w:eastAsia="宋体" w:cs="宋体"/>
          <w:sz w:val="24"/>
          <w:szCs w:val="24"/>
        </w:rPr>
      </w:pPr>
      <w:r>
        <w:rPr>
          <w:rFonts w:ascii="宋体" w:hAnsi="宋体" w:eastAsia="宋体" w:cs="宋体"/>
          <w:sz w:val="24"/>
          <w:szCs w:val="24"/>
        </w:rPr>
        <w:t>28.2</w:t>
      </w:r>
      <w:r>
        <w:rPr>
          <w:rFonts w:ascii="宋体" w:hAnsi="宋体" w:eastAsia="宋体" w:cs="宋体"/>
          <w:spacing w:val="-52"/>
          <w:sz w:val="24"/>
          <w:szCs w:val="24"/>
        </w:rPr>
        <w:t xml:space="preserve"> </w:t>
      </w:r>
      <w:r>
        <w:rPr>
          <w:rFonts w:ascii="宋体" w:hAnsi="宋体" w:eastAsia="宋体" w:cs="宋体"/>
          <w:sz w:val="24"/>
          <w:szCs w:val="24"/>
        </w:rPr>
        <w:t>采购人不得向中标人提出任何不合理的</w:t>
      </w:r>
      <w:r>
        <w:rPr>
          <w:rFonts w:ascii="宋体" w:hAnsi="宋体" w:eastAsia="宋体" w:cs="宋体"/>
          <w:spacing w:val="-1"/>
          <w:sz w:val="24"/>
          <w:szCs w:val="24"/>
        </w:rPr>
        <w:t>要求，作为签订合同的条件，不得与中</w:t>
      </w:r>
      <w:r>
        <w:rPr>
          <w:rFonts w:ascii="宋体" w:hAnsi="宋体" w:eastAsia="宋体" w:cs="宋体"/>
          <w:sz w:val="24"/>
          <w:szCs w:val="24"/>
        </w:rPr>
        <w:t xml:space="preserve"> </w:t>
      </w:r>
      <w:r>
        <w:rPr>
          <w:rFonts w:ascii="宋体" w:hAnsi="宋体" w:eastAsia="宋体" w:cs="宋体"/>
          <w:spacing w:val="1"/>
          <w:sz w:val="24"/>
          <w:szCs w:val="24"/>
        </w:rPr>
        <w:t>标人私下订立背离合同实质性内容的任何协议，所签订的合同不得对招标文件和中标人</w:t>
      </w:r>
      <w:r>
        <w:rPr>
          <w:rFonts w:ascii="宋体" w:hAnsi="宋体" w:eastAsia="宋体" w:cs="宋体"/>
          <w:spacing w:val="15"/>
          <w:sz w:val="24"/>
          <w:szCs w:val="24"/>
        </w:rPr>
        <w:t xml:space="preserve"> </w:t>
      </w:r>
      <w:r>
        <w:rPr>
          <w:rFonts w:ascii="宋体" w:hAnsi="宋体" w:eastAsia="宋体" w:cs="宋体"/>
          <w:spacing w:val="-1"/>
          <w:sz w:val="24"/>
          <w:szCs w:val="24"/>
        </w:rPr>
        <w:t>投标文件确定的事项进行修改。</w:t>
      </w:r>
    </w:p>
    <w:p w14:paraId="03B02CA5">
      <w:pPr>
        <w:spacing w:before="94" w:line="256" w:lineRule="auto"/>
        <w:ind w:left="11" w:firstLine="481"/>
        <w:rPr>
          <w:rFonts w:ascii="宋体" w:hAnsi="宋体" w:eastAsia="宋体" w:cs="宋体"/>
          <w:sz w:val="24"/>
          <w:szCs w:val="24"/>
        </w:rPr>
      </w:pPr>
      <w:r>
        <w:rPr>
          <w:rFonts w:ascii="宋体" w:hAnsi="宋体" w:eastAsia="宋体" w:cs="宋体"/>
          <w:spacing w:val="-1"/>
          <w:sz w:val="24"/>
          <w:szCs w:val="24"/>
        </w:rPr>
        <w:t>28.3</w:t>
      </w:r>
      <w:r>
        <w:rPr>
          <w:rFonts w:ascii="宋体" w:hAnsi="宋体" w:eastAsia="宋体" w:cs="宋体"/>
          <w:spacing w:val="-28"/>
          <w:sz w:val="24"/>
          <w:szCs w:val="24"/>
        </w:rPr>
        <w:t xml:space="preserve"> </w:t>
      </w:r>
      <w:r>
        <w:rPr>
          <w:rFonts w:ascii="宋体" w:hAnsi="宋体" w:eastAsia="宋体" w:cs="宋体"/>
          <w:spacing w:val="-1"/>
          <w:sz w:val="24"/>
          <w:szCs w:val="24"/>
        </w:rPr>
        <w:t>中标人因不可抗力原因不能履行采购合同或放弃中标的，采购人可以与</w:t>
      </w:r>
      <w:r>
        <w:rPr>
          <w:rFonts w:ascii="宋体" w:hAnsi="宋体" w:eastAsia="宋体" w:cs="宋体"/>
          <w:spacing w:val="-2"/>
          <w:sz w:val="24"/>
          <w:szCs w:val="24"/>
        </w:rPr>
        <w:t>排在中</w:t>
      </w:r>
      <w:r>
        <w:rPr>
          <w:rFonts w:ascii="宋体" w:hAnsi="宋体" w:eastAsia="宋体" w:cs="宋体"/>
          <w:sz w:val="24"/>
          <w:szCs w:val="24"/>
        </w:rPr>
        <w:t xml:space="preserve"> </w:t>
      </w:r>
      <w:r>
        <w:rPr>
          <w:rFonts w:ascii="宋体" w:hAnsi="宋体" w:eastAsia="宋体" w:cs="宋体"/>
          <w:spacing w:val="-1"/>
          <w:sz w:val="24"/>
          <w:szCs w:val="24"/>
        </w:rPr>
        <w:t>标人之后第一位的中标候选人签订采购合同，以此类推。</w:t>
      </w:r>
    </w:p>
    <w:p w14:paraId="01F50F16">
      <w:pPr>
        <w:pStyle w:val="13"/>
        <w:spacing w:line="394" w:lineRule="auto"/>
      </w:pPr>
    </w:p>
    <w:p w14:paraId="7CCCC233">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29．合同分包</w:t>
      </w:r>
    </w:p>
    <w:p w14:paraId="14E560ED">
      <w:pPr>
        <w:spacing w:before="93" w:line="268" w:lineRule="auto"/>
        <w:ind w:left="10" w:right="34" w:firstLine="482"/>
        <w:rPr>
          <w:rFonts w:ascii="宋体" w:hAnsi="宋体" w:eastAsia="宋体" w:cs="宋体"/>
          <w:sz w:val="24"/>
          <w:szCs w:val="24"/>
        </w:rPr>
      </w:pPr>
      <w:r>
        <w:rPr>
          <w:rFonts w:ascii="宋体" w:hAnsi="宋体" w:eastAsia="宋体" w:cs="宋体"/>
          <w:spacing w:val="-1"/>
          <w:sz w:val="24"/>
          <w:szCs w:val="24"/>
        </w:rPr>
        <w:t>29.1</w:t>
      </w:r>
      <w:r>
        <w:rPr>
          <w:rFonts w:ascii="宋体" w:hAnsi="宋体" w:eastAsia="宋体" w:cs="宋体"/>
          <w:spacing w:val="-31"/>
          <w:sz w:val="24"/>
          <w:szCs w:val="24"/>
        </w:rPr>
        <w:t xml:space="preserve"> </w:t>
      </w:r>
      <w:r>
        <w:rPr>
          <w:rFonts w:ascii="宋体" w:hAnsi="宋体" w:eastAsia="宋体" w:cs="宋体"/>
          <w:spacing w:val="-1"/>
          <w:sz w:val="24"/>
          <w:szCs w:val="24"/>
        </w:rPr>
        <w:t>经采购人同意，中标人可以依法采取分包方式履行合同。这种要求应当在合同</w:t>
      </w:r>
      <w:r>
        <w:rPr>
          <w:rFonts w:ascii="宋体" w:hAnsi="宋体" w:eastAsia="宋体" w:cs="宋体"/>
          <w:spacing w:val="1"/>
          <w:sz w:val="24"/>
          <w:szCs w:val="24"/>
        </w:rPr>
        <w:t>签订之前征得采购人同意，并且分包供应商履行的分包项目的品牌、规格型号及技术要</w:t>
      </w:r>
      <w:r>
        <w:rPr>
          <w:rFonts w:ascii="宋体" w:hAnsi="宋体" w:eastAsia="宋体" w:cs="宋体"/>
          <w:spacing w:val="-1"/>
          <w:sz w:val="24"/>
          <w:szCs w:val="24"/>
        </w:rPr>
        <w:t>求等，必须与中标的一致。</w:t>
      </w:r>
    </w:p>
    <w:p w14:paraId="41ECE1B3">
      <w:pPr>
        <w:spacing w:before="93" w:line="256" w:lineRule="auto"/>
        <w:ind w:left="11" w:right="34" w:firstLine="481"/>
        <w:rPr>
          <w:rFonts w:ascii="宋体" w:hAnsi="宋体" w:eastAsia="宋体" w:cs="宋体"/>
          <w:sz w:val="24"/>
          <w:szCs w:val="24"/>
        </w:rPr>
      </w:pPr>
      <w:r>
        <w:rPr>
          <w:rFonts w:ascii="宋体" w:hAnsi="宋体" w:eastAsia="宋体" w:cs="宋体"/>
          <w:spacing w:val="1"/>
          <w:sz w:val="24"/>
          <w:szCs w:val="24"/>
        </w:rPr>
        <w:t>分包履行合同的部分应当为采购项目的非主体、非关键性工作，不属于中标人的主</w:t>
      </w:r>
      <w:r>
        <w:rPr>
          <w:rFonts w:ascii="宋体" w:hAnsi="宋体" w:eastAsia="宋体" w:cs="宋体"/>
          <w:spacing w:val="15"/>
          <w:sz w:val="24"/>
          <w:szCs w:val="24"/>
        </w:rPr>
        <w:t xml:space="preserve"> </w:t>
      </w:r>
      <w:r>
        <w:rPr>
          <w:rFonts w:ascii="宋体" w:hAnsi="宋体" w:eastAsia="宋体" w:cs="宋体"/>
          <w:spacing w:val="-2"/>
          <w:sz w:val="24"/>
          <w:szCs w:val="24"/>
        </w:rPr>
        <w:t>要合同义务。</w:t>
      </w:r>
    </w:p>
    <w:p w14:paraId="22458BF4">
      <w:pPr>
        <w:spacing w:before="94" w:line="256" w:lineRule="auto"/>
        <w:ind w:left="10" w:right="34" w:firstLine="482"/>
        <w:rPr>
          <w:rFonts w:ascii="宋体" w:hAnsi="宋体" w:eastAsia="宋体" w:cs="宋体"/>
          <w:sz w:val="24"/>
          <w:szCs w:val="24"/>
        </w:rPr>
      </w:pPr>
      <w:r>
        <w:rPr>
          <w:rFonts w:ascii="宋体" w:hAnsi="宋体" w:eastAsia="宋体" w:cs="宋体"/>
          <w:sz w:val="24"/>
          <w:szCs w:val="24"/>
        </w:rPr>
        <w:t>29.2</w:t>
      </w:r>
      <w:r>
        <w:rPr>
          <w:rFonts w:ascii="宋体" w:hAnsi="宋体" w:eastAsia="宋体" w:cs="宋体"/>
          <w:spacing w:val="-52"/>
          <w:sz w:val="24"/>
          <w:szCs w:val="24"/>
        </w:rPr>
        <w:t xml:space="preserve"> </w:t>
      </w:r>
      <w:r>
        <w:rPr>
          <w:rFonts w:ascii="宋体" w:hAnsi="宋体" w:eastAsia="宋体" w:cs="宋体"/>
          <w:sz w:val="24"/>
          <w:szCs w:val="24"/>
        </w:rPr>
        <w:t>采购合同实行分包履行的，中标人就采</w:t>
      </w:r>
      <w:r>
        <w:rPr>
          <w:rFonts w:ascii="宋体" w:hAnsi="宋体" w:eastAsia="宋体" w:cs="宋体"/>
          <w:spacing w:val="-1"/>
          <w:sz w:val="24"/>
          <w:szCs w:val="24"/>
        </w:rPr>
        <w:t>购项目和分包项目向采购人负责，分包</w:t>
      </w:r>
      <w:r>
        <w:rPr>
          <w:rFonts w:ascii="宋体" w:hAnsi="宋体" w:eastAsia="宋体" w:cs="宋体"/>
          <w:sz w:val="24"/>
          <w:szCs w:val="24"/>
        </w:rPr>
        <w:t xml:space="preserve"> </w:t>
      </w:r>
      <w:r>
        <w:rPr>
          <w:rFonts w:ascii="宋体" w:hAnsi="宋体" w:eastAsia="宋体" w:cs="宋体"/>
          <w:spacing w:val="-1"/>
          <w:sz w:val="24"/>
          <w:szCs w:val="24"/>
        </w:rPr>
        <w:t>供应商就分包项目承担责任。</w:t>
      </w:r>
    </w:p>
    <w:p w14:paraId="53BA59CC">
      <w:pPr>
        <w:spacing w:before="96" w:line="268" w:lineRule="auto"/>
        <w:ind w:left="11" w:firstLine="481"/>
        <w:rPr>
          <w:rFonts w:ascii="宋体" w:hAnsi="宋体" w:eastAsia="宋体" w:cs="宋体"/>
          <w:sz w:val="24"/>
          <w:szCs w:val="24"/>
        </w:rPr>
      </w:pPr>
      <w:r>
        <w:rPr>
          <w:rFonts w:ascii="宋体" w:hAnsi="宋体" w:eastAsia="宋体" w:cs="宋体"/>
          <w:spacing w:val="-2"/>
          <w:sz w:val="24"/>
          <w:szCs w:val="24"/>
        </w:rPr>
        <w:t>29.3</w:t>
      </w:r>
      <w:r>
        <w:rPr>
          <w:rFonts w:ascii="宋体" w:hAnsi="宋体" w:eastAsia="宋体" w:cs="宋体"/>
          <w:spacing w:val="-28"/>
          <w:sz w:val="24"/>
          <w:szCs w:val="24"/>
        </w:rPr>
        <w:t xml:space="preserve"> </w:t>
      </w:r>
      <w:r>
        <w:rPr>
          <w:rFonts w:ascii="宋体" w:hAnsi="宋体" w:eastAsia="宋体" w:cs="宋体"/>
          <w:spacing w:val="-2"/>
          <w:sz w:val="24"/>
          <w:szCs w:val="24"/>
        </w:rPr>
        <w:t>中小企业依据《政府采购促进中小企业发展管理办法》（财库〔2020〕46</w:t>
      </w:r>
      <w:r>
        <w:rPr>
          <w:rFonts w:ascii="宋体" w:hAnsi="宋体" w:eastAsia="宋体" w:cs="宋体"/>
          <w:spacing w:val="-45"/>
          <w:sz w:val="24"/>
          <w:szCs w:val="24"/>
        </w:rPr>
        <w:t xml:space="preserve"> </w:t>
      </w:r>
      <w:r>
        <w:rPr>
          <w:rFonts w:ascii="宋体" w:hAnsi="宋体" w:eastAsia="宋体" w:cs="宋体"/>
          <w:spacing w:val="-2"/>
          <w:sz w:val="24"/>
          <w:szCs w:val="24"/>
        </w:rPr>
        <w:t>号）</w:t>
      </w:r>
      <w:r>
        <w:rPr>
          <w:rFonts w:ascii="宋体" w:hAnsi="宋体" w:eastAsia="宋体" w:cs="宋体"/>
          <w:sz w:val="24"/>
          <w:szCs w:val="24"/>
        </w:rPr>
        <w:t xml:space="preserve"> </w:t>
      </w:r>
      <w:r>
        <w:rPr>
          <w:rFonts w:ascii="宋体" w:hAnsi="宋体" w:eastAsia="宋体" w:cs="宋体"/>
          <w:spacing w:val="2"/>
          <w:sz w:val="24"/>
          <w:szCs w:val="24"/>
        </w:rPr>
        <w:t>规定的政策获取政府采购合同后，小型、微型企业不得分包或转包给大型、中型企业，</w:t>
      </w:r>
      <w:r>
        <w:rPr>
          <w:rFonts w:ascii="宋体" w:hAnsi="宋体" w:eastAsia="宋体" w:cs="宋体"/>
          <w:spacing w:val="3"/>
          <w:sz w:val="24"/>
          <w:szCs w:val="24"/>
        </w:rPr>
        <w:t xml:space="preserve"> </w:t>
      </w:r>
      <w:r>
        <w:rPr>
          <w:rFonts w:ascii="宋体" w:hAnsi="宋体" w:eastAsia="宋体" w:cs="宋体"/>
          <w:spacing w:val="-1"/>
          <w:sz w:val="24"/>
          <w:szCs w:val="24"/>
        </w:rPr>
        <w:t>中型企业不得分包或转包给大型企业。</w:t>
      </w:r>
    </w:p>
    <w:p w14:paraId="0E29C270">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29.4 本次政府采购活动</w:t>
      </w:r>
      <w:r>
        <w:rPr>
          <w:rFonts w:hint="eastAsia" w:ascii="宋体" w:hAnsi="宋体" w:eastAsia="宋体" w:cs="宋体"/>
          <w:b/>
          <w:bCs/>
          <w:spacing w:val="2"/>
          <w:sz w:val="24"/>
          <w:szCs w:val="24"/>
          <w:lang w:eastAsia="zh-CN"/>
        </w:rPr>
        <w:t>不允许</w:t>
      </w:r>
      <w:r>
        <w:rPr>
          <w:rFonts w:ascii="宋体" w:hAnsi="宋体" w:eastAsia="宋体" w:cs="宋体"/>
          <w:b/>
          <w:bCs/>
          <w:spacing w:val="2"/>
          <w:sz w:val="24"/>
          <w:szCs w:val="24"/>
        </w:rPr>
        <w:t>合同分包。</w:t>
      </w:r>
    </w:p>
    <w:p w14:paraId="04271322">
      <w:pPr>
        <w:pStyle w:val="13"/>
        <w:spacing w:line="394" w:lineRule="auto"/>
      </w:pPr>
    </w:p>
    <w:p w14:paraId="3AC0F561">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30.合同转包（实质性要求）</w:t>
      </w:r>
    </w:p>
    <w:p w14:paraId="5A2409D1">
      <w:pPr>
        <w:spacing w:before="93" w:line="268" w:lineRule="auto"/>
        <w:ind w:left="12" w:right="34" w:firstLine="539"/>
        <w:jc w:val="both"/>
        <w:rPr>
          <w:rFonts w:ascii="宋体" w:hAnsi="宋体" w:eastAsia="宋体" w:cs="宋体"/>
          <w:sz w:val="24"/>
          <w:szCs w:val="24"/>
        </w:rPr>
      </w:pPr>
      <w:r>
        <w:rPr>
          <w:rFonts w:ascii="宋体" w:hAnsi="宋体" w:eastAsia="宋体" w:cs="宋体"/>
          <w:sz w:val="24"/>
          <w:szCs w:val="24"/>
        </w:rPr>
        <w:t>本采购项目严禁中标人将任何政府采购合同义务转包。本项目所称</w:t>
      </w:r>
      <w:r>
        <w:rPr>
          <w:rFonts w:ascii="宋体" w:hAnsi="宋体" w:eastAsia="宋体" w:cs="宋体"/>
          <w:spacing w:val="-1"/>
          <w:sz w:val="24"/>
          <w:szCs w:val="24"/>
        </w:rPr>
        <w:t>转包，是指中标</w:t>
      </w:r>
      <w:r>
        <w:rPr>
          <w:rFonts w:ascii="宋体" w:hAnsi="宋体" w:eastAsia="宋体" w:cs="宋体"/>
          <w:spacing w:val="1"/>
          <w:sz w:val="24"/>
          <w:szCs w:val="24"/>
        </w:rPr>
        <w:t>人将政府采购合同义务转让给第三人，并退出现有政府采购合同当事人双方的权利义务</w:t>
      </w:r>
      <w:r>
        <w:rPr>
          <w:rFonts w:ascii="宋体" w:hAnsi="宋体" w:eastAsia="宋体" w:cs="宋体"/>
          <w:spacing w:val="-1"/>
          <w:sz w:val="24"/>
          <w:szCs w:val="24"/>
        </w:rPr>
        <w:t>关系，受让人（即第三人）成为政府采购合同的另一方当事人的行为。</w:t>
      </w:r>
    </w:p>
    <w:p w14:paraId="4E229E73">
      <w:pPr>
        <w:spacing w:before="94" w:line="219" w:lineRule="auto"/>
        <w:ind w:left="572"/>
        <w:rPr>
          <w:rFonts w:ascii="宋体" w:hAnsi="宋体" w:eastAsia="宋体" w:cs="宋体"/>
          <w:sz w:val="24"/>
          <w:szCs w:val="24"/>
        </w:rPr>
      </w:pPr>
      <w:r>
        <w:rPr>
          <w:rFonts w:ascii="宋体" w:hAnsi="宋体" w:eastAsia="宋体" w:cs="宋体"/>
          <w:spacing w:val="-1"/>
          <w:sz w:val="24"/>
          <w:szCs w:val="24"/>
        </w:rPr>
        <w:t>中标人转包的，视同拒绝履行政府采购合同义务，将依法追究法律责任。</w:t>
      </w:r>
    </w:p>
    <w:p w14:paraId="17995C4A">
      <w:pPr>
        <w:pStyle w:val="13"/>
        <w:spacing w:line="394" w:lineRule="auto"/>
      </w:pPr>
    </w:p>
    <w:p w14:paraId="3BFDC333">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31．补充合同</w:t>
      </w:r>
    </w:p>
    <w:p w14:paraId="78E2A456">
      <w:pPr>
        <w:spacing w:before="92" w:line="278" w:lineRule="auto"/>
        <w:ind w:left="8" w:right="34" w:firstLine="480"/>
        <w:jc w:val="both"/>
        <w:rPr>
          <w:rFonts w:ascii="宋体" w:hAnsi="宋体" w:eastAsia="宋体" w:cs="宋体"/>
          <w:sz w:val="24"/>
          <w:szCs w:val="24"/>
        </w:rPr>
      </w:pPr>
      <w:r>
        <w:rPr>
          <w:rFonts w:ascii="宋体" w:hAnsi="宋体" w:eastAsia="宋体" w:cs="宋体"/>
          <w:spacing w:val="2"/>
          <w:sz w:val="24"/>
          <w:szCs w:val="24"/>
        </w:rPr>
        <w:t>采购合同履行过程中，采购人需要追加与合</w:t>
      </w:r>
      <w:r>
        <w:rPr>
          <w:rFonts w:ascii="宋体" w:hAnsi="宋体" w:eastAsia="宋体" w:cs="宋体"/>
          <w:spacing w:val="1"/>
          <w:sz w:val="24"/>
          <w:szCs w:val="24"/>
        </w:rPr>
        <w:t>同标的相同的货物或者服务的，在不改变合同其他条款的前提下，可以与中标供应商协商签订补充合同，但所有补充合同的采购金额不得超过原合同采购金额的百分之十，该补充合同应当在原政府采购合同履行过程中，不得在原政府采购合同履行结束后，且采购货物、工程和服务的名称、价格、履</w:t>
      </w:r>
      <w:r>
        <w:rPr>
          <w:rFonts w:ascii="宋体" w:hAnsi="宋体" w:eastAsia="宋体" w:cs="宋体"/>
          <w:spacing w:val="-1"/>
          <w:sz w:val="24"/>
          <w:szCs w:val="24"/>
        </w:rPr>
        <w:t>约方式、验收标准等必须与原政府采购合同一致。</w:t>
      </w:r>
    </w:p>
    <w:p w14:paraId="0621AB3B">
      <w:pPr>
        <w:pStyle w:val="13"/>
        <w:spacing w:line="392" w:lineRule="auto"/>
      </w:pPr>
    </w:p>
    <w:p w14:paraId="7F625800">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32. 履约保证金</w:t>
      </w:r>
    </w:p>
    <w:p w14:paraId="2A883F8D">
      <w:pPr>
        <w:spacing w:before="92" w:line="278" w:lineRule="auto"/>
        <w:ind w:left="8" w:right="34" w:firstLine="480"/>
        <w:jc w:val="both"/>
        <w:rPr>
          <w:rFonts w:ascii="宋体" w:hAnsi="宋体" w:eastAsia="宋体" w:cs="宋体"/>
          <w:spacing w:val="1"/>
          <w:sz w:val="24"/>
          <w:szCs w:val="24"/>
        </w:rPr>
      </w:pPr>
      <w:r>
        <w:rPr>
          <w:rFonts w:ascii="宋体" w:hAnsi="宋体" w:eastAsia="宋体" w:cs="宋体"/>
          <w:spacing w:val="1"/>
          <w:sz w:val="24"/>
          <w:szCs w:val="24"/>
        </w:rPr>
        <w:t>32.1 中标人</w:t>
      </w:r>
      <w:r>
        <w:rPr>
          <w:rFonts w:hint="default" w:ascii="宋体" w:hAnsi="宋体" w:eastAsia="宋体" w:cs="宋体"/>
          <w:color w:val="000000"/>
          <w:spacing w:val="1"/>
          <w:sz w:val="24"/>
          <w:szCs w:val="24"/>
          <w:lang w:eastAsia="zh-CN"/>
        </w:rPr>
        <w:t>应在</w:t>
      </w:r>
      <w:r>
        <w:rPr>
          <w:rFonts w:hint="default" w:ascii="宋体" w:hAnsi="宋体" w:eastAsia="宋体" w:cs="宋体"/>
          <w:color w:val="000000"/>
          <w:spacing w:val="1"/>
          <w:sz w:val="24"/>
          <w:szCs w:val="24"/>
        </w:rPr>
        <w:t>中标通知书发放后，合同签订前，</w:t>
      </w:r>
      <w:r>
        <w:rPr>
          <w:rFonts w:ascii="宋体" w:hAnsi="宋体" w:eastAsia="宋体" w:cs="宋体"/>
          <w:spacing w:val="1"/>
          <w:sz w:val="24"/>
          <w:szCs w:val="24"/>
        </w:rPr>
        <w:t>交纳招标文件规定数额的履约保证金。</w:t>
      </w:r>
    </w:p>
    <w:p w14:paraId="5393CF82">
      <w:pPr>
        <w:spacing w:before="92" w:line="278" w:lineRule="auto"/>
        <w:ind w:left="8" w:right="34" w:firstLine="480"/>
        <w:jc w:val="both"/>
        <w:rPr>
          <w:rFonts w:ascii="宋体" w:hAnsi="宋体" w:eastAsia="宋体" w:cs="宋体"/>
          <w:color w:val="0000FF"/>
          <w:sz w:val="24"/>
          <w:szCs w:val="24"/>
        </w:rPr>
      </w:pPr>
      <w:r>
        <w:rPr>
          <w:rFonts w:ascii="宋体" w:hAnsi="宋体" w:eastAsia="宋体" w:cs="宋体"/>
          <w:spacing w:val="1"/>
          <w:sz w:val="24"/>
          <w:szCs w:val="24"/>
        </w:rPr>
        <w:t>32.2 如果中标人没有按照招标文件的规定交纳履约保证金，且又无正当理由的，将视为放弃中标。</w:t>
      </w:r>
    </w:p>
    <w:p w14:paraId="3278B2F2">
      <w:pPr>
        <w:spacing w:before="78" w:line="219" w:lineRule="auto"/>
        <w:ind w:left="494"/>
        <w:outlineLvl w:val="2"/>
        <w:rPr>
          <w:rFonts w:ascii="宋体" w:hAnsi="宋体" w:eastAsia="宋体" w:cs="宋体"/>
          <w:spacing w:val="-2"/>
          <w:sz w:val="24"/>
          <w:szCs w:val="24"/>
          <w14:textOutline w14:w="4358" w14:cap="sq" w14:cmpd="sng">
            <w14:solidFill>
              <w14:srgbClr w14:val="000000"/>
            </w14:solidFill>
            <w14:prstDash w14:val="solid"/>
            <w14:bevel/>
          </w14:textOutline>
        </w:rPr>
      </w:pPr>
    </w:p>
    <w:p w14:paraId="1C4C8CC9">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33.合同公告</w:t>
      </w:r>
    </w:p>
    <w:p w14:paraId="7E23D5CB">
      <w:pPr>
        <w:spacing w:before="95" w:line="268" w:lineRule="auto"/>
        <w:ind w:left="8" w:firstLine="480"/>
        <w:rPr>
          <w:rFonts w:ascii="宋体" w:hAnsi="宋体" w:eastAsia="宋体" w:cs="宋体"/>
          <w:sz w:val="24"/>
          <w:szCs w:val="24"/>
        </w:rPr>
      </w:pPr>
      <w:r>
        <w:rPr>
          <w:rFonts w:ascii="宋体" w:hAnsi="宋体" w:eastAsia="宋体" w:cs="宋体"/>
          <w:spacing w:val="-4"/>
          <w:sz w:val="24"/>
          <w:szCs w:val="24"/>
        </w:rPr>
        <w:t>采购人应当自政府采购合同签订（双方当事人均已签字盖章）之日起</w:t>
      </w:r>
      <w:r>
        <w:rPr>
          <w:rFonts w:ascii="宋体" w:hAnsi="宋体" w:eastAsia="宋体" w:cs="宋体"/>
          <w:spacing w:val="-43"/>
          <w:sz w:val="24"/>
          <w:szCs w:val="24"/>
        </w:rPr>
        <w:t xml:space="preserve"> </w:t>
      </w:r>
      <w:r>
        <w:rPr>
          <w:rFonts w:ascii="宋体" w:hAnsi="宋体" w:eastAsia="宋体" w:cs="宋体"/>
          <w:spacing w:val="-4"/>
          <w:sz w:val="24"/>
          <w:szCs w:val="24"/>
        </w:rPr>
        <w:t>2</w:t>
      </w:r>
      <w:r>
        <w:rPr>
          <w:rFonts w:ascii="宋体" w:hAnsi="宋体" w:eastAsia="宋体" w:cs="宋体"/>
          <w:spacing w:val="-51"/>
          <w:sz w:val="24"/>
          <w:szCs w:val="24"/>
        </w:rPr>
        <w:t xml:space="preserve"> </w:t>
      </w:r>
      <w:r>
        <w:rPr>
          <w:rFonts w:ascii="宋体" w:hAnsi="宋体" w:eastAsia="宋体" w:cs="宋体"/>
          <w:spacing w:val="-4"/>
          <w:sz w:val="24"/>
          <w:szCs w:val="24"/>
        </w:rPr>
        <w:t>个工作日内，</w:t>
      </w:r>
      <w:r>
        <w:rPr>
          <w:rFonts w:ascii="宋体" w:hAnsi="宋体" w:eastAsia="宋体" w:cs="宋体"/>
          <w:sz w:val="24"/>
          <w:szCs w:val="24"/>
        </w:rPr>
        <w:t xml:space="preserve"> </w:t>
      </w:r>
      <w:r>
        <w:rPr>
          <w:rFonts w:ascii="宋体" w:hAnsi="宋体" w:eastAsia="宋体" w:cs="宋体"/>
          <w:spacing w:val="1"/>
          <w:sz w:val="24"/>
          <w:szCs w:val="24"/>
        </w:rPr>
        <w:t>将政府采购合同在省级以上人民政府财政部门指定的媒体上公告（中国政府采购网</w:t>
      </w:r>
      <w:r>
        <w:rPr>
          <w:rFonts w:ascii="宋体" w:hAnsi="宋体" w:eastAsia="宋体" w:cs="宋体"/>
          <w:spacing w:val="22"/>
          <w:sz w:val="24"/>
          <w:szCs w:val="24"/>
        </w:rPr>
        <w:t>），</w:t>
      </w:r>
      <w:r>
        <w:rPr>
          <w:rFonts w:ascii="宋体" w:hAnsi="宋体" w:eastAsia="宋体" w:cs="宋体"/>
          <w:spacing w:val="-1"/>
          <w:sz w:val="24"/>
          <w:szCs w:val="24"/>
        </w:rPr>
        <w:t>但政府采购合同中涉及国家秘密、商业秘密的内容除外。</w:t>
      </w:r>
    </w:p>
    <w:p w14:paraId="3EB00792">
      <w:pPr>
        <w:pStyle w:val="13"/>
        <w:spacing w:line="394" w:lineRule="auto"/>
      </w:pPr>
    </w:p>
    <w:p w14:paraId="376E5F9F">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34、合同备案</w:t>
      </w:r>
    </w:p>
    <w:p w14:paraId="1E477A55">
      <w:pPr>
        <w:spacing w:before="91" w:line="256" w:lineRule="auto"/>
        <w:ind w:left="11" w:right="63" w:firstLine="478"/>
        <w:rPr>
          <w:rFonts w:ascii="宋体" w:hAnsi="宋体" w:eastAsia="宋体" w:cs="宋体"/>
          <w:sz w:val="24"/>
          <w:szCs w:val="24"/>
        </w:rPr>
      </w:pPr>
      <w:r>
        <w:rPr>
          <w:rFonts w:ascii="宋体" w:hAnsi="宋体" w:eastAsia="宋体" w:cs="宋体"/>
          <w:spacing w:val="2"/>
          <w:sz w:val="24"/>
          <w:szCs w:val="24"/>
        </w:rPr>
        <w:t>采购人应当将政府采购合同副本自签订（双</w:t>
      </w:r>
      <w:r>
        <w:rPr>
          <w:rFonts w:ascii="宋体" w:hAnsi="宋体" w:eastAsia="宋体" w:cs="宋体"/>
          <w:spacing w:val="1"/>
          <w:sz w:val="24"/>
          <w:szCs w:val="24"/>
        </w:rPr>
        <w:t>方当事人均已签字盖章）之日起七个工</w:t>
      </w:r>
      <w:r>
        <w:rPr>
          <w:rFonts w:ascii="宋体" w:hAnsi="宋体" w:eastAsia="宋体" w:cs="宋体"/>
          <w:sz w:val="24"/>
          <w:szCs w:val="24"/>
        </w:rPr>
        <w:t xml:space="preserve"> </w:t>
      </w:r>
      <w:r>
        <w:rPr>
          <w:rFonts w:ascii="宋体" w:hAnsi="宋体" w:eastAsia="宋体" w:cs="宋体"/>
          <w:spacing w:val="-1"/>
          <w:sz w:val="24"/>
          <w:szCs w:val="24"/>
        </w:rPr>
        <w:t>作日内通过中国政府采购网报同级财政部门备案。</w:t>
      </w:r>
    </w:p>
    <w:p w14:paraId="26A96E6C">
      <w:pPr>
        <w:pStyle w:val="13"/>
        <w:spacing w:line="394" w:lineRule="auto"/>
      </w:pPr>
    </w:p>
    <w:p w14:paraId="0F5314C5">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35．履行合同</w:t>
      </w:r>
    </w:p>
    <w:p w14:paraId="3F56FF12">
      <w:pPr>
        <w:spacing w:before="91" w:line="257" w:lineRule="auto"/>
        <w:ind w:left="13" w:right="63" w:firstLine="481"/>
        <w:rPr>
          <w:rFonts w:ascii="宋体" w:hAnsi="宋体" w:eastAsia="宋体" w:cs="宋体"/>
          <w:sz w:val="24"/>
          <w:szCs w:val="24"/>
        </w:rPr>
      </w:pPr>
      <w:r>
        <w:rPr>
          <w:rFonts w:ascii="宋体" w:hAnsi="宋体" w:eastAsia="宋体" w:cs="宋体"/>
          <w:spacing w:val="-1"/>
          <w:sz w:val="24"/>
          <w:szCs w:val="24"/>
        </w:rPr>
        <w:t>35.1</w:t>
      </w:r>
      <w:r>
        <w:rPr>
          <w:rFonts w:ascii="宋体" w:hAnsi="宋体" w:eastAsia="宋体" w:cs="宋体"/>
          <w:spacing w:val="-28"/>
          <w:sz w:val="24"/>
          <w:szCs w:val="24"/>
        </w:rPr>
        <w:t xml:space="preserve"> </w:t>
      </w:r>
      <w:r>
        <w:rPr>
          <w:rFonts w:ascii="宋体" w:hAnsi="宋体" w:eastAsia="宋体" w:cs="宋体"/>
          <w:spacing w:val="-1"/>
          <w:sz w:val="24"/>
          <w:szCs w:val="24"/>
        </w:rPr>
        <w:t>中标人与采购人签订合同后，合同双方应严格执行合同条款，履行</w:t>
      </w:r>
      <w:r>
        <w:rPr>
          <w:rFonts w:ascii="宋体" w:hAnsi="宋体" w:eastAsia="宋体" w:cs="宋体"/>
          <w:spacing w:val="-2"/>
          <w:sz w:val="24"/>
          <w:szCs w:val="24"/>
        </w:rPr>
        <w:t>合同规定的</w:t>
      </w:r>
      <w:r>
        <w:rPr>
          <w:rFonts w:ascii="宋体" w:hAnsi="宋体" w:eastAsia="宋体" w:cs="宋体"/>
          <w:spacing w:val="-1"/>
          <w:sz w:val="24"/>
          <w:szCs w:val="24"/>
        </w:rPr>
        <w:t>义务，保证合同的顺利完成。</w:t>
      </w:r>
    </w:p>
    <w:p w14:paraId="5E955147">
      <w:pPr>
        <w:spacing w:before="93" w:line="256" w:lineRule="auto"/>
        <w:ind w:left="14" w:right="63" w:firstLine="480"/>
        <w:rPr>
          <w:rFonts w:ascii="宋体" w:hAnsi="宋体" w:eastAsia="宋体" w:cs="宋体"/>
          <w:sz w:val="24"/>
          <w:szCs w:val="24"/>
        </w:rPr>
      </w:pPr>
      <w:r>
        <w:rPr>
          <w:rFonts w:ascii="宋体" w:hAnsi="宋体" w:eastAsia="宋体" w:cs="宋体"/>
          <w:spacing w:val="-2"/>
          <w:sz w:val="24"/>
          <w:szCs w:val="24"/>
        </w:rPr>
        <w:t>35.2 在合同履行过程中，如发生合同纠纷，合同双方应按照《中华人民共和国民法典》的有关规定进行处理。</w:t>
      </w:r>
    </w:p>
    <w:p w14:paraId="0BF2363B">
      <w:pPr>
        <w:pStyle w:val="13"/>
        <w:spacing w:line="394" w:lineRule="auto"/>
      </w:pPr>
    </w:p>
    <w:p w14:paraId="1E5390C7">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36．验收</w:t>
      </w:r>
    </w:p>
    <w:p w14:paraId="07351CFB">
      <w:pPr>
        <w:spacing w:before="94" w:line="274" w:lineRule="auto"/>
        <w:ind w:left="14" w:right="63" w:firstLine="480"/>
        <w:jc w:val="both"/>
        <w:rPr>
          <w:rFonts w:ascii="宋体" w:hAnsi="宋体" w:eastAsia="宋体" w:cs="宋体"/>
          <w:sz w:val="24"/>
          <w:szCs w:val="24"/>
        </w:rPr>
      </w:pPr>
      <w:r>
        <w:rPr>
          <w:rFonts w:ascii="宋体" w:hAnsi="宋体" w:eastAsia="宋体" w:cs="宋体"/>
          <w:sz w:val="24"/>
          <w:szCs w:val="24"/>
        </w:rPr>
        <w:t>36.1</w:t>
      </w:r>
      <w:r>
        <w:rPr>
          <w:rFonts w:ascii="宋体" w:hAnsi="宋体" w:eastAsia="宋体" w:cs="宋体"/>
          <w:spacing w:val="-52"/>
          <w:sz w:val="24"/>
          <w:szCs w:val="24"/>
        </w:rPr>
        <w:t xml:space="preserve"> </w:t>
      </w:r>
      <w:r>
        <w:rPr>
          <w:rFonts w:ascii="宋体" w:hAnsi="宋体" w:eastAsia="宋体" w:cs="宋体"/>
          <w:sz w:val="24"/>
          <w:szCs w:val="24"/>
        </w:rPr>
        <w:t>政府采购项目履约验收工作由采购</w:t>
      </w:r>
      <w:r>
        <w:rPr>
          <w:rFonts w:ascii="宋体" w:hAnsi="宋体" w:eastAsia="宋体" w:cs="宋体"/>
          <w:spacing w:val="-1"/>
          <w:sz w:val="24"/>
          <w:szCs w:val="24"/>
        </w:rPr>
        <w:t>人负责。采购人可以根据采购项目具体情况</w:t>
      </w:r>
      <w:r>
        <w:rPr>
          <w:rFonts w:ascii="宋体" w:hAnsi="宋体" w:eastAsia="宋体" w:cs="宋体"/>
          <w:spacing w:val="1"/>
          <w:sz w:val="24"/>
          <w:szCs w:val="24"/>
        </w:rPr>
        <w:t>自行组织验收，或者委托采购代理机构组织验收，但委托验收不能免除采购人应当承担的法律责任。采购人委托采购代理机构组织验收的，验收服务费及验收过程中发生的有</w:t>
      </w:r>
      <w:r>
        <w:rPr>
          <w:rFonts w:ascii="宋体" w:hAnsi="宋体" w:eastAsia="宋体" w:cs="宋体"/>
          <w:spacing w:val="-2"/>
          <w:sz w:val="24"/>
          <w:szCs w:val="24"/>
        </w:rPr>
        <w:t>关费用不得由供应商支付。</w:t>
      </w:r>
    </w:p>
    <w:p w14:paraId="5A173117">
      <w:pPr>
        <w:spacing w:before="96" w:line="268" w:lineRule="auto"/>
        <w:ind w:left="15" w:right="63" w:firstLine="479"/>
        <w:jc w:val="both"/>
        <w:rPr>
          <w:rFonts w:ascii="宋体" w:hAnsi="宋体" w:eastAsia="宋体" w:cs="宋体"/>
          <w:sz w:val="24"/>
          <w:szCs w:val="24"/>
        </w:rPr>
      </w:pPr>
      <w:r>
        <w:rPr>
          <w:rFonts w:ascii="宋体" w:hAnsi="宋体" w:eastAsia="宋体" w:cs="宋体"/>
          <w:spacing w:val="-1"/>
          <w:sz w:val="24"/>
          <w:szCs w:val="24"/>
        </w:rPr>
        <w:t>36.2</w:t>
      </w:r>
      <w:r>
        <w:rPr>
          <w:rFonts w:ascii="宋体" w:hAnsi="宋体" w:eastAsia="宋体" w:cs="宋体"/>
          <w:spacing w:val="-33"/>
          <w:sz w:val="24"/>
          <w:szCs w:val="24"/>
        </w:rPr>
        <w:t xml:space="preserve"> </w:t>
      </w:r>
      <w:r>
        <w:rPr>
          <w:rFonts w:ascii="宋体" w:hAnsi="宋体" w:eastAsia="宋体" w:cs="宋体"/>
          <w:spacing w:val="-1"/>
          <w:sz w:val="24"/>
          <w:szCs w:val="24"/>
        </w:rPr>
        <w:t>本项目采购人及其委托的采购代理机构将严格按照政府采购相关法律法规以及</w:t>
      </w:r>
      <w:r>
        <w:rPr>
          <w:rFonts w:ascii="宋体" w:hAnsi="宋体" w:eastAsia="宋体" w:cs="宋体"/>
          <w:spacing w:val="-2"/>
          <w:sz w:val="24"/>
          <w:szCs w:val="24"/>
        </w:rPr>
        <w:t>《财政部关于进一步加强政府采购需求和履约验收管理的指导意见》（财库〔</w:t>
      </w:r>
      <w:r>
        <w:rPr>
          <w:rFonts w:ascii="Calibri" w:hAnsi="Calibri" w:eastAsia="Calibri" w:cs="Calibri"/>
          <w:spacing w:val="-2"/>
          <w:sz w:val="24"/>
          <w:szCs w:val="24"/>
        </w:rPr>
        <w:t>2016</w:t>
      </w:r>
      <w:r>
        <w:rPr>
          <w:rFonts w:ascii="宋体" w:hAnsi="宋体" w:eastAsia="宋体" w:cs="宋体"/>
          <w:spacing w:val="-2"/>
          <w:sz w:val="24"/>
          <w:szCs w:val="24"/>
        </w:rPr>
        <w:t>〕</w:t>
      </w:r>
      <w:r>
        <w:rPr>
          <w:rFonts w:ascii="Calibri" w:hAnsi="Calibri" w:eastAsia="Calibri" w:cs="Calibri"/>
          <w:spacing w:val="-2"/>
          <w:sz w:val="24"/>
          <w:szCs w:val="24"/>
        </w:rPr>
        <w:t>205</w:t>
      </w:r>
      <w:r>
        <w:rPr>
          <w:rFonts w:ascii="Calibri" w:hAnsi="Calibri" w:eastAsia="Calibri" w:cs="Calibri"/>
          <w:sz w:val="24"/>
          <w:szCs w:val="24"/>
        </w:rPr>
        <w:t xml:space="preserve"> </w:t>
      </w:r>
      <w:r>
        <w:rPr>
          <w:rFonts w:ascii="宋体" w:hAnsi="宋体" w:eastAsia="宋体" w:cs="宋体"/>
          <w:spacing w:val="-2"/>
          <w:sz w:val="24"/>
          <w:szCs w:val="24"/>
        </w:rPr>
        <w:t>号）的要求进行验收。</w:t>
      </w:r>
    </w:p>
    <w:p w14:paraId="5B51AF1D">
      <w:pPr>
        <w:spacing w:before="95" w:line="219" w:lineRule="auto"/>
        <w:ind w:left="520"/>
        <w:rPr>
          <w:rFonts w:ascii="宋体" w:hAnsi="宋体" w:eastAsia="宋体" w:cs="宋体"/>
          <w:sz w:val="24"/>
          <w:szCs w:val="24"/>
        </w:rPr>
      </w:pPr>
      <w:r>
        <w:rPr>
          <w:rFonts w:ascii="宋体" w:hAnsi="宋体" w:eastAsia="宋体" w:cs="宋体"/>
          <w:spacing w:val="8"/>
          <w:sz w:val="24"/>
          <w:szCs w:val="24"/>
        </w:rPr>
        <w:t>验收合格采购人向中标供应商出具《政府采购项目履约验收报告》。</w:t>
      </w:r>
    </w:p>
    <w:p w14:paraId="07EC85D9">
      <w:pPr>
        <w:pStyle w:val="13"/>
        <w:spacing w:line="393" w:lineRule="auto"/>
      </w:pPr>
    </w:p>
    <w:p w14:paraId="2136C586">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37.资金支付</w:t>
      </w:r>
    </w:p>
    <w:p w14:paraId="46EE118C">
      <w:pPr>
        <w:spacing w:before="94" w:line="256" w:lineRule="auto"/>
        <w:ind w:left="12" w:right="63" w:firstLine="477"/>
        <w:rPr>
          <w:rFonts w:ascii="宋体" w:hAnsi="宋体" w:eastAsia="宋体" w:cs="宋体"/>
          <w:sz w:val="24"/>
          <w:szCs w:val="24"/>
        </w:rPr>
      </w:pPr>
      <w:r>
        <w:rPr>
          <w:rFonts w:ascii="宋体" w:hAnsi="宋体" w:eastAsia="宋体" w:cs="宋体"/>
          <w:spacing w:val="2"/>
          <w:sz w:val="24"/>
          <w:szCs w:val="24"/>
        </w:rPr>
        <w:t>采购人将按照政府采购合同规定，及时向中</w:t>
      </w:r>
      <w:r>
        <w:rPr>
          <w:rFonts w:ascii="宋体" w:hAnsi="宋体" w:eastAsia="宋体" w:cs="宋体"/>
          <w:spacing w:val="1"/>
          <w:sz w:val="24"/>
          <w:szCs w:val="24"/>
        </w:rPr>
        <w:t>标供应商支付采购资金。本项目采购资</w:t>
      </w:r>
      <w:r>
        <w:rPr>
          <w:rFonts w:ascii="宋体" w:hAnsi="宋体" w:eastAsia="宋体" w:cs="宋体"/>
          <w:sz w:val="24"/>
          <w:szCs w:val="24"/>
        </w:rPr>
        <w:t xml:space="preserve"> </w:t>
      </w:r>
      <w:r>
        <w:rPr>
          <w:rFonts w:ascii="宋体" w:hAnsi="宋体" w:eastAsia="宋体" w:cs="宋体"/>
          <w:spacing w:val="-1"/>
          <w:sz w:val="24"/>
          <w:szCs w:val="24"/>
        </w:rPr>
        <w:t>金付款详见第六章商务要求中付款方式。</w:t>
      </w:r>
    </w:p>
    <w:p w14:paraId="41B22533">
      <w:pPr>
        <w:pStyle w:val="13"/>
        <w:spacing w:line="395" w:lineRule="auto"/>
      </w:pPr>
    </w:p>
    <w:p w14:paraId="2AF7ABDA">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5" w:name="bookmark9"/>
      <w:bookmarkEnd w:id="5"/>
      <w:r>
        <w:rPr>
          <w:rFonts w:ascii="宋体" w:hAnsi="宋体" w:eastAsia="宋体" w:cs="宋体"/>
          <w:spacing w:val="9"/>
          <w:sz w:val="31"/>
          <w:szCs w:val="31"/>
          <w14:textOutline w14:w="5793" w14:cap="sq" w14:cmpd="sng">
            <w14:solidFill>
              <w14:srgbClr w14:val="000000"/>
            </w14:solidFill>
            <w14:prstDash w14:val="solid"/>
            <w14:bevel/>
          </w14:textOutline>
        </w:rPr>
        <w:t>七、投标纪律要求</w:t>
      </w:r>
    </w:p>
    <w:p w14:paraId="61666FEE">
      <w:pPr>
        <w:pStyle w:val="13"/>
        <w:spacing w:line="391" w:lineRule="auto"/>
      </w:pPr>
    </w:p>
    <w:p w14:paraId="1192E8BB">
      <w:pPr>
        <w:spacing w:before="135" w:line="220" w:lineRule="auto"/>
        <w:ind w:left="501"/>
        <w:rPr>
          <w:rFonts w:ascii="宋体" w:hAnsi="宋体" w:eastAsia="宋体" w:cs="宋体"/>
          <w:b/>
          <w:bCs/>
          <w:spacing w:val="2"/>
          <w:sz w:val="24"/>
          <w:szCs w:val="24"/>
        </w:rPr>
      </w:pPr>
      <w:r>
        <w:rPr>
          <w:rFonts w:ascii="宋体" w:hAnsi="宋体" w:eastAsia="宋体" w:cs="宋体"/>
          <w:b/>
          <w:bCs/>
          <w:spacing w:val="2"/>
          <w:sz w:val="24"/>
          <w:szCs w:val="24"/>
        </w:rPr>
        <w:t>38．投标人不得具有的情形</w:t>
      </w:r>
    </w:p>
    <w:p w14:paraId="3FBD3235">
      <w:pPr>
        <w:spacing w:before="96" w:line="379" w:lineRule="exact"/>
        <w:ind w:left="493"/>
        <w:rPr>
          <w:rFonts w:ascii="宋体" w:hAnsi="宋体" w:eastAsia="宋体" w:cs="宋体"/>
          <w:sz w:val="24"/>
          <w:szCs w:val="24"/>
        </w:rPr>
      </w:pPr>
      <w:r>
        <w:rPr>
          <w:rFonts w:ascii="宋体" w:hAnsi="宋体" w:eastAsia="宋体" w:cs="宋体"/>
          <w:spacing w:val="-1"/>
          <w:position w:val="10"/>
          <w:sz w:val="24"/>
          <w:szCs w:val="24"/>
        </w:rPr>
        <w:t>投标人参加投标不得有下列情形：</w:t>
      </w:r>
    </w:p>
    <w:p w14:paraId="1B9C5AEB">
      <w:pPr>
        <w:spacing w:line="219" w:lineRule="auto"/>
        <w:ind w:left="501"/>
        <w:rPr>
          <w:rFonts w:ascii="宋体" w:hAnsi="宋体" w:eastAsia="宋体" w:cs="宋体"/>
          <w:sz w:val="24"/>
          <w:szCs w:val="24"/>
        </w:rPr>
      </w:pPr>
      <w:r>
        <w:rPr>
          <w:rFonts w:ascii="宋体" w:hAnsi="宋体" w:eastAsia="宋体" w:cs="宋体"/>
          <w:spacing w:val="-2"/>
          <w:sz w:val="24"/>
          <w:szCs w:val="24"/>
        </w:rPr>
        <w:t>（1）提供虚假材料谋取中标；</w:t>
      </w:r>
    </w:p>
    <w:p w14:paraId="2A8D8A8E">
      <w:pPr>
        <w:spacing w:before="78" w:line="379" w:lineRule="exact"/>
        <w:ind w:left="501"/>
        <w:rPr>
          <w:rFonts w:ascii="宋体" w:hAnsi="宋体" w:eastAsia="宋体" w:cs="宋体"/>
          <w:sz w:val="24"/>
          <w:szCs w:val="24"/>
        </w:rPr>
      </w:pPr>
      <w:r>
        <w:rPr>
          <w:rFonts w:ascii="宋体" w:hAnsi="宋体" w:eastAsia="宋体" w:cs="宋体"/>
          <w:spacing w:val="-1"/>
          <w:position w:val="10"/>
          <w:sz w:val="24"/>
          <w:szCs w:val="24"/>
        </w:rPr>
        <w:t>（2）采取不正当手段诋毁、排挤其他投标人；</w:t>
      </w:r>
    </w:p>
    <w:p w14:paraId="33FBA2F9">
      <w:pPr>
        <w:spacing w:line="219" w:lineRule="auto"/>
        <w:ind w:left="501"/>
        <w:rPr>
          <w:rFonts w:ascii="宋体" w:hAnsi="宋体" w:eastAsia="宋体" w:cs="宋体"/>
          <w:sz w:val="24"/>
          <w:szCs w:val="24"/>
        </w:rPr>
      </w:pPr>
      <w:r>
        <w:rPr>
          <w:rFonts w:ascii="宋体" w:hAnsi="宋体" w:eastAsia="宋体" w:cs="宋体"/>
          <w:spacing w:val="-1"/>
          <w:sz w:val="24"/>
          <w:szCs w:val="24"/>
        </w:rPr>
        <w:t>（3）与招标采购单位、其他投标人恶意串通；</w:t>
      </w:r>
    </w:p>
    <w:p w14:paraId="5E5EA5A0">
      <w:pPr>
        <w:spacing w:before="95" w:line="256" w:lineRule="auto"/>
        <w:ind w:left="501" w:right="1205"/>
        <w:rPr>
          <w:rFonts w:ascii="宋体" w:hAnsi="宋体" w:eastAsia="宋体" w:cs="宋体"/>
          <w:sz w:val="24"/>
          <w:szCs w:val="24"/>
        </w:rPr>
      </w:pPr>
      <w:r>
        <w:rPr>
          <w:rFonts w:ascii="宋体" w:hAnsi="宋体" w:eastAsia="宋体" w:cs="宋体"/>
          <w:spacing w:val="-3"/>
          <w:sz w:val="24"/>
          <w:szCs w:val="24"/>
        </w:rPr>
        <w:t>（4）向招标采购单位、评标委员会成员行贿或者提供其他不正当利益；</w:t>
      </w:r>
      <w:r>
        <w:rPr>
          <w:rFonts w:ascii="宋体" w:hAnsi="宋体" w:eastAsia="宋体" w:cs="宋体"/>
          <w:spacing w:val="13"/>
          <w:sz w:val="24"/>
          <w:szCs w:val="24"/>
        </w:rPr>
        <w:t xml:space="preserve"> </w:t>
      </w:r>
      <w:r>
        <w:rPr>
          <w:rFonts w:ascii="宋体" w:hAnsi="宋体" w:eastAsia="宋体" w:cs="宋体"/>
          <w:spacing w:val="-1"/>
          <w:sz w:val="24"/>
          <w:szCs w:val="24"/>
        </w:rPr>
        <w:t>（5）在招标过程中与招标采购单位进行协商谈判；</w:t>
      </w:r>
    </w:p>
    <w:p w14:paraId="2243AA68">
      <w:pPr>
        <w:spacing w:before="92" w:line="256" w:lineRule="auto"/>
        <w:ind w:left="501" w:right="1685"/>
        <w:rPr>
          <w:rFonts w:ascii="宋体" w:hAnsi="宋体" w:eastAsia="宋体" w:cs="宋体"/>
          <w:sz w:val="24"/>
          <w:szCs w:val="24"/>
        </w:rPr>
      </w:pPr>
      <w:r>
        <w:rPr>
          <w:rFonts w:ascii="宋体" w:hAnsi="宋体" w:eastAsia="宋体" w:cs="宋体"/>
          <w:spacing w:val="-3"/>
          <w:sz w:val="24"/>
          <w:szCs w:val="24"/>
        </w:rPr>
        <w:t>（6）中标或者成交后无正当理由拒不与采购人签订政府采购合同；</w:t>
      </w:r>
      <w:r>
        <w:rPr>
          <w:rFonts w:ascii="宋体" w:hAnsi="宋体" w:eastAsia="宋体" w:cs="宋体"/>
          <w:spacing w:val="7"/>
          <w:sz w:val="24"/>
          <w:szCs w:val="24"/>
        </w:rPr>
        <w:t xml:space="preserve"> </w:t>
      </w:r>
      <w:r>
        <w:rPr>
          <w:rFonts w:ascii="宋体" w:hAnsi="宋体" w:eastAsia="宋体" w:cs="宋体"/>
          <w:spacing w:val="-1"/>
          <w:sz w:val="24"/>
          <w:szCs w:val="24"/>
        </w:rPr>
        <w:t>（7）未按照采购文件确定的事项签订政府采购合同；</w:t>
      </w:r>
    </w:p>
    <w:p w14:paraId="50830FE4">
      <w:pPr>
        <w:spacing w:before="96" w:line="379" w:lineRule="exact"/>
        <w:ind w:left="501"/>
        <w:rPr>
          <w:rFonts w:ascii="宋体" w:hAnsi="宋体" w:eastAsia="宋体" w:cs="宋体"/>
          <w:sz w:val="24"/>
          <w:szCs w:val="24"/>
        </w:rPr>
      </w:pPr>
      <w:r>
        <w:rPr>
          <w:rFonts w:ascii="宋体" w:hAnsi="宋体" w:eastAsia="宋体" w:cs="宋体"/>
          <w:spacing w:val="-2"/>
          <w:position w:val="10"/>
          <w:sz w:val="24"/>
          <w:szCs w:val="24"/>
        </w:rPr>
        <w:t>（8）将政府采购合同转包或者违规分包；</w:t>
      </w:r>
    </w:p>
    <w:p w14:paraId="60ACAE3E">
      <w:pPr>
        <w:spacing w:line="219" w:lineRule="auto"/>
        <w:ind w:left="501"/>
        <w:rPr>
          <w:rFonts w:ascii="宋体" w:hAnsi="宋体" w:eastAsia="宋体" w:cs="宋体"/>
          <w:sz w:val="24"/>
          <w:szCs w:val="24"/>
        </w:rPr>
      </w:pPr>
      <w:r>
        <w:rPr>
          <w:rFonts w:ascii="宋体" w:hAnsi="宋体" w:eastAsia="宋体" w:cs="宋体"/>
          <w:spacing w:val="-2"/>
          <w:sz w:val="24"/>
          <w:szCs w:val="24"/>
        </w:rPr>
        <w:t>（9）提供假冒伪劣产品；</w:t>
      </w:r>
    </w:p>
    <w:p w14:paraId="7C59C29E">
      <w:pPr>
        <w:spacing w:before="95" w:line="219" w:lineRule="auto"/>
        <w:ind w:left="501"/>
        <w:rPr>
          <w:rFonts w:ascii="宋体" w:hAnsi="宋体" w:eastAsia="宋体" w:cs="宋体"/>
          <w:sz w:val="24"/>
          <w:szCs w:val="24"/>
        </w:rPr>
      </w:pPr>
      <w:r>
        <w:rPr>
          <w:rFonts w:ascii="宋体" w:hAnsi="宋体" w:eastAsia="宋体" w:cs="宋体"/>
          <w:spacing w:val="-1"/>
          <w:sz w:val="24"/>
          <w:szCs w:val="24"/>
        </w:rPr>
        <w:t>（10）擅自变更、中止或者终止政府采购合同；</w:t>
      </w:r>
    </w:p>
    <w:p w14:paraId="5A860F32">
      <w:pPr>
        <w:spacing w:before="96" w:line="256" w:lineRule="auto"/>
        <w:ind w:left="501" w:right="1565"/>
        <w:rPr>
          <w:rFonts w:ascii="宋体" w:hAnsi="宋体" w:eastAsia="宋体" w:cs="宋体"/>
          <w:sz w:val="24"/>
          <w:szCs w:val="24"/>
        </w:rPr>
      </w:pPr>
      <w:r>
        <w:rPr>
          <w:rFonts w:ascii="宋体" w:hAnsi="宋体" w:eastAsia="宋体" w:cs="宋体"/>
          <w:spacing w:val="-3"/>
          <w:sz w:val="24"/>
          <w:szCs w:val="24"/>
        </w:rPr>
        <w:t>（11）拒绝有关部门的监督检查或者向监督检查部门提供虚假情况；</w:t>
      </w:r>
      <w:r>
        <w:rPr>
          <w:rFonts w:ascii="宋体" w:hAnsi="宋体" w:eastAsia="宋体" w:cs="宋体"/>
          <w:spacing w:val="10"/>
          <w:sz w:val="24"/>
          <w:szCs w:val="24"/>
        </w:rPr>
        <w:t xml:space="preserve"> </w:t>
      </w:r>
      <w:r>
        <w:rPr>
          <w:rFonts w:ascii="宋体" w:hAnsi="宋体" w:eastAsia="宋体" w:cs="宋体"/>
          <w:spacing w:val="-2"/>
          <w:sz w:val="24"/>
          <w:szCs w:val="24"/>
        </w:rPr>
        <w:t>（12）法律法规规定的其他情形。</w:t>
      </w:r>
    </w:p>
    <w:p w14:paraId="6CE71FE7">
      <w:pPr>
        <w:spacing w:before="93" w:line="257" w:lineRule="auto"/>
        <w:ind w:left="33" w:right="59" w:firstLine="459"/>
        <w:rPr>
          <w:rFonts w:ascii="宋体" w:hAnsi="宋体" w:eastAsia="宋体" w:cs="宋体"/>
          <w:sz w:val="24"/>
          <w:szCs w:val="24"/>
        </w:rPr>
      </w:pPr>
      <w:r>
        <w:rPr>
          <w:rFonts w:ascii="宋体" w:hAnsi="宋体" w:eastAsia="宋体" w:cs="宋体"/>
          <w:sz w:val="24"/>
          <w:szCs w:val="24"/>
        </w:rPr>
        <w:t>投标人有上述情形的，按照规定追究法律责任，具备（1）-（10</w:t>
      </w:r>
      <w:r>
        <w:rPr>
          <w:rFonts w:ascii="宋体" w:hAnsi="宋体" w:eastAsia="宋体" w:cs="宋体"/>
          <w:spacing w:val="-1"/>
          <w:sz w:val="24"/>
          <w:szCs w:val="24"/>
        </w:rPr>
        <w:t>）条情形之一的，</w:t>
      </w:r>
      <w:r>
        <w:rPr>
          <w:rFonts w:ascii="宋体" w:hAnsi="宋体" w:eastAsia="宋体" w:cs="宋体"/>
          <w:sz w:val="24"/>
          <w:szCs w:val="24"/>
        </w:rPr>
        <w:t xml:space="preserve"> </w:t>
      </w:r>
      <w:r>
        <w:rPr>
          <w:rFonts w:ascii="宋体" w:hAnsi="宋体" w:eastAsia="宋体" w:cs="宋体"/>
          <w:spacing w:val="-2"/>
          <w:sz w:val="24"/>
          <w:szCs w:val="24"/>
        </w:rPr>
        <w:t>同时将取消中标资格或者认定中标无效。</w:t>
      </w:r>
    </w:p>
    <w:p w14:paraId="6B8EC894">
      <w:pPr>
        <w:pStyle w:val="13"/>
        <w:spacing w:line="391" w:lineRule="auto"/>
      </w:pPr>
    </w:p>
    <w:p w14:paraId="0A61B14B">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6" w:name="bookmark10"/>
      <w:bookmarkEnd w:id="6"/>
      <w:r>
        <w:rPr>
          <w:rFonts w:ascii="宋体" w:hAnsi="宋体" w:eastAsia="宋体" w:cs="宋体"/>
          <w:spacing w:val="9"/>
          <w:sz w:val="31"/>
          <w:szCs w:val="31"/>
          <w14:textOutline w14:w="5793" w14:cap="sq" w14:cmpd="sng">
            <w14:solidFill>
              <w14:srgbClr w14:val="000000"/>
            </w14:solidFill>
            <w14:prstDash w14:val="solid"/>
            <w14:bevel/>
          </w14:textOutline>
        </w:rPr>
        <w:t>八、询问、质疑和投诉</w:t>
      </w:r>
    </w:p>
    <w:p w14:paraId="58F61E00">
      <w:pPr>
        <w:pStyle w:val="13"/>
        <w:spacing w:line="392" w:lineRule="auto"/>
      </w:pPr>
    </w:p>
    <w:p w14:paraId="34B87CAB">
      <w:pPr>
        <w:spacing w:before="79" w:line="275" w:lineRule="auto"/>
        <w:ind w:left="9" w:firstLine="485"/>
        <w:jc w:val="both"/>
        <w:rPr>
          <w:rFonts w:ascii="宋体" w:hAnsi="宋体" w:eastAsia="宋体" w:cs="宋体"/>
          <w:sz w:val="24"/>
          <w:szCs w:val="24"/>
        </w:rPr>
      </w:pPr>
      <w:r>
        <w:rPr>
          <w:rFonts w:ascii="宋体" w:hAnsi="宋体" w:eastAsia="宋体" w:cs="宋体"/>
          <w:spacing w:val="-5"/>
          <w:sz w:val="24"/>
          <w:szCs w:val="24"/>
        </w:rPr>
        <w:t>39．询问、质疑、投诉的接收和处理严格按照《中华人民共和国政府采购法》、《中</w:t>
      </w:r>
      <w:r>
        <w:rPr>
          <w:rFonts w:ascii="宋体" w:hAnsi="宋体" w:eastAsia="宋体" w:cs="宋体"/>
          <w:sz w:val="24"/>
          <w:szCs w:val="24"/>
        </w:rPr>
        <w:t xml:space="preserve"> </w:t>
      </w:r>
      <w:r>
        <w:rPr>
          <w:rFonts w:ascii="宋体" w:hAnsi="宋体" w:eastAsia="宋体" w:cs="宋体"/>
          <w:spacing w:val="-5"/>
          <w:sz w:val="24"/>
          <w:szCs w:val="24"/>
        </w:rPr>
        <w:t>华人民共和国政府采购法实施条例》、《政府采购货物和服务招标投标管理办法》、《</w:t>
      </w:r>
      <w:r>
        <w:rPr>
          <w:rFonts w:hint="eastAsia" w:ascii="宋体" w:hAnsi="宋体" w:eastAsia="宋体" w:cs="宋体"/>
          <w:spacing w:val="-5"/>
          <w:sz w:val="24"/>
          <w:szCs w:val="24"/>
        </w:rPr>
        <w:t>政府采购质疑和投诉办法</w:t>
      </w:r>
      <w:r>
        <w:rPr>
          <w:rFonts w:ascii="宋体" w:hAnsi="宋体" w:eastAsia="宋体" w:cs="宋体"/>
          <w:spacing w:val="1"/>
          <w:sz w:val="24"/>
          <w:szCs w:val="24"/>
        </w:rPr>
        <w:t>》、《财政部关于加强政府采购供应商投诉受理审查工作的</w:t>
      </w:r>
      <w:r>
        <w:rPr>
          <w:rFonts w:ascii="宋体" w:hAnsi="宋体" w:eastAsia="宋体" w:cs="宋体"/>
          <w:spacing w:val="17"/>
          <w:sz w:val="24"/>
          <w:szCs w:val="24"/>
        </w:rPr>
        <w:t xml:space="preserve"> </w:t>
      </w:r>
      <w:r>
        <w:rPr>
          <w:rFonts w:ascii="宋体" w:hAnsi="宋体" w:eastAsia="宋体" w:cs="宋体"/>
          <w:spacing w:val="-3"/>
          <w:sz w:val="24"/>
          <w:szCs w:val="24"/>
        </w:rPr>
        <w:t>通知》。</w:t>
      </w:r>
    </w:p>
    <w:p w14:paraId="20FA5E80">
      <w:pPr>
        <w:pStyle w:val="13"/>
        <w:spacing w:line="391" w:lineRule="auto"/>
      </w:pPr>
    </w:p>
    <w:p w14:paraId="00510C63">
      <w:pPr>
        <w:numPr>
          <w:ilvl w:val="0"/>
          <w:numId w:val="0"/>
        </w:numPr>
        <w:spacing w:before="101" w:line="218" w:lineRule="auto"/>
        <w:jc w:val="center"/>
        <w:rPr>
          <w:rFonts w:ascii="宋体" w:hAnsi="宋体" w:eastAsia="宋体" w:cs="宋体"/>
          <w:spacing w:val="9"/>
          <w:sz w:val="31"/>
          <w:szCs w:val="31"/>
          <w14:textOutline w14:w="5793" w14:cap="sq" w14:cmpd="sng">
            <w14:solidFill>
              <w14:srgbClr w14:val="000000"/>
            </w14:solidFill>
            <w14:prstDash w14:val="solid"/>
            <w14:bevel/>
          </w14:textOutline>
        </w:rPr>
      </w:pPr>
      <w:bookmarkStart w:id="7" w:name="bookmark11"/>
      <w:bookmarkEnd w:id="7"/>
      <w:r>
        <w:rPr>
          <w:rFonts w:ascii="宋体" w:hAnsi="宋体" w:eastAsia="宋体" w:cs="宋体"/>
          <w:spacing w:val="9"/>
          <w:sz w:val="31"/>
          <w:szCs w:val="31"/>
          <w14:textOutline w14:w="5793" w14:cap="sq" w14:cmpd="sng">
            <w14:solidFill>
              <w14:srgbClr w14:val="000000"/>
            </w14:solidFill>
            <w14:prstDash w14:val="solid"/>
            <w14:bevel/>
          </w14:textOutline>
        </w:rPr>
        <w:t>九、其他</w:t>
      </w:r>
    </w:p>
    <w:p w14:paraId="093365CD">
      <w:pPr>
        <w:pStyle w:val="13"/>
        <w:spacing w:line="391" w:lineRule="auto"/>
      </w:pPr>
    </w:p>
    <w:p w14:paraId="6CC13CAE">
      <w:pPr>
        <w:spacing w:before="78" w:line="274" w:lineRule="auto"/>
        <w:ind w:left="10" w:firstLine="479"/>
        <w:jc w:val="both"/>
        <w:rPr>
          <w:rFonts w:ascii="宋体" w:hAnsi="宋体" w:eastAsia="宋体" w:cs="宋体"/>
          <w:sz w:val="24"/>
          <w:szCs w:val="24"/>
        </w:rPr>
      </w:pPr>
      <w:r>
        <w:rPr>
          <w:rFonts w:ascii="宋体" w:hAnsi="宋体" w:eastAsia="宋体" w:cs="宋体"/>
          <w:spacing w:val="1"/>
          <w:sz w:val="24"/>
          <w:szCs w:val="24"/>
        </w:rPr>
        <w:t>40．本招标文件中所引相关法律制度规定，在政府采购中有变化的，按照变化后的</w:t>
      </w:r>
      <w:r>
        <w:rPr>
          <w:rFonts w:ascii="宋体" w:hAnsi="宋体" w:eastAsia="宋体" w:cs="宋体"/>
          <w:spacing w:val="15"/>
          <w:sz w:val="24"/>
          <w:szCs w:val="24"/>
        </w:rPr>
        <w:t xml:space="preserve"> </w:t>
      </w:r>
      <w:r>
        <w:rPr>
          <w:rFonts w:ascii="宋体" w:hAnsi="宋体" w:eastAsia="宋体" w:cs="宋体"/>
          <w:sz w:val="24"/>
          <w:szCs w:val="24"/>
        </w:rPr>
        <w:t>相关法律制度规定执行。本章和第七章中“</w:t>
      </w:r>
      <w:r>
        <w:rPr>
          <w:rFonts w:ascii="宋体" w:hAnsi="宋体" w:eastAsia="宋体" w:cs="宋体"/>
          <w:spacing w:val="-93"/>
          <w:sz w:val="24"/>
          <w:szCs w:val="24"/>
        </w:rPr>
        <w:t xml:space="preserve"> </w:t>
      </w:r>
      <w:r>
        <w:rPr>
          <w:rFonts w:ascii="宋体" w:hAnsi="宋体" w:eastAsia="宋体" w:cs="宋体"/>
          <w:sz w:val="24"/>
          <w:szCs w:val="24"/>
        </w:rPr>
        <w:t>1.总则、2.评标方法、</w:t>
      </w:r>
      <w:r>
        <w:rPr>
          <w:rFonts w:ascii="宋体" w:hAnsi="宋体" w:eastAsia="宋体" w:cs="宋体"/>
          <w:spacing w:val="-1"/>
          <w:sz w:val="24"/>
          <w:szCs w:val="24"/>
        </w:rPr>
        <w:t>3.评标程序</w:t>
      </w:r>
      <w:r>
        <w:rPr>
          <w:rFonts w:ascii="宋体" w:hAnsi="宋体" w:eastAsia="宋体" w:cs="宋体"/>
          <w:spacing w:val="-85"/>
          <w:sz w:val="24"/>
          <w:szCs w:val="24"/>
        </w:rPr>
        <w:t xml:space="preserve"> </w:t>
      </w:r>
      <w:r>
        <w:rPr>
          <w:rFonts w:ascii="宋体" w:hAnsi="宋体" w:eastAsia="宋体" w:cs="宋体"/>
          <w:spacing w:val="-1"/>
          <w:sz w:val="24"/>
          <w:szCs w:val="24"/>
        </w:rPr>
        <w:t>”规定的</w:t>
      </w:r>
      <w:r>
        <w:rPr>
          <w:rFonts w:ascii="宋体" w:hAnsi="宋体" w:eastAsia="宋体" w:cs="宋体"/>
          <w:sz w:val="24"/>
          <w:szCs w:val="24"/>
        </w:rPr>
        <w:t xml:space="preserve"> </w:t>
      </w:r>
      <w:r>
        <w:rPr>
          <w:rFonts w:ascii="宋体" w:hAnsi="宋体" w:eastAsia="宋体" w:cs="宋体"/>
          <w:spacing w:val="1"/>
          <w:sz w:val="24"/>
          <w:szCs w:val="24"/>
        </w:rPr>
        <w:t>内容条款，在本项目投标截止时间届满后，因相关法律制度规定的变化导致不符合相关</w:t>
      </w:r>
      <w:r>
        <w:rPr>
          <w:rFonts w:ascii="宋体" w:hAnsi="宋体" w:eastAsia="宋体" w:cs="宋体"/>
          <w:spacing w:val="16"/>
          <w:sz w:val="24"/>
          <w:szCs w:val="24"/>
        </w:rPr>
        <w:t xml:space="preserve"> </w:t>
      </w:r>
      <w:r>
        <w:rPr>
          <w:rFonts w:ascii="宋体" w:hAnsi="宋体" w:eastAsia="宋体" w:cs="宋体"/>
          <w:sz w:val="24"/>
          <w:szCs w:val="24"/>
        </w:rPr>
        <w:t>法律制度规定的，直接按照变化后的相关法律制度规定执行，</w:t>
      </w:r>
      <w:r>
        <w:rPr>
          <w:rFonts w:ascii="宋体" w:hAnsi="宋体" w:eastAsia="宋体" w:cs="宋体"/>
          <w:spacing w:val="-1"/>
          <w:sz w:val="24"/>
          <w:szCs w:val="24"/>
        </w:rPr>
        <w:t>本招标文件不再做调整。</w:t>
      </w:r>
    </w:p>
    <w:p w14:paraId="763A90EF">
      <w:pPr>
        <w:pStyle w:val="13"/>
        <w:spacing w:line="392" w:lineRule="auto"/>
        <w:rPr>
          <w:sz w:val="24"/>
          <w:szCs w:val="24"/>
        </w:rPr>
      </w:pPr>
    </w:p>
    <w:p w14:paraId="45761E10"/>
    <w:p w14:paraId="794DF6E7">
      <w:pPr>
        <w:spacing w:before="90" w:line="321" w:lineRule="auto"/>
        <w:ind w:left="2" w:firstLine="360"/>
        <w:rPr>
          <w:rFonts w:ascii="宋体" w:hAnsi="宋体" w:eastAsia="宋体" w:cs="宋体"/>
          <w:spacing w:val="7"/>
          <w:sz w:val="23"/>
          <w:szCs w:val="23"/>
        </w:rPr>
      </w:pPr>
      <w:r>
        <w:rPr>
          <w:rFonts w:ascii="宋体" w:hAnsi="宋体" w:eastAsia="宋体" w:cs="宋体"/>
          <w:b/>
          <w:bCs/>
          <w:spacing w:val="2"/>
          <w:sz w:val="24"/>
          <w:szCs w:val="24"/>
        </w:rPr>
        <w:t>4</w:t>
      </w:r>
      <w:r>
        <w:rPr>
          <w:rFonts w:hint="eastAsia" w:ascii="宋体" w:hAnsi="宋体" w:eastAsia="宋体" w:cs="宋体"/>
          <w:b/>
          <w:bCs/>
          <w:spacing w:val="2"/>
          <w:sz w:val="24"/>
          <w:szCs w:val="24"/>
          <w:lang w:val="en-US" w:eastAsia="zh-CN"/>
        </w:rPr>
        <w:t>1</w:t>
      </w:r>
      <w:r>
        <w:rPr>
          <w:rFonts w:ascii="宋体" w:hAnsi="宋体" w:eastAsia="宋体" w:cs="宋体"/>
          <w:b/>
          <w:bCs/>
          <w:spacing w:val="2"/>
          <w:sz w:val="24"/>
          <w:szCs w:val="24"/>
        </w:rPr>
        <w:t>.（实质性要求）</w:t>
      </w:r>
      <w:r>
        <w:rPr>
          <w:rFonts w:ascii="宋体" w:hAnsi="宋体" w:eastAsia="宋体" w:cs="宋体"/>
          <w:spacing w:val="7"/>
          <w:sz w:val="24"/>
          <w:szCs w:val="24"/>
        </w:rPr>
        <w:t>若投标产品中有属于政府强制采购节能产品的,投标人提供国家确定的认证机构出具的、处于有效期之内的节能产品认证证书（复印件）。否则以符合性审查不通过处理。</w:t>
      </w:r>
    </w:p>
    <w:p w14:paraId="0987E636">
      <w:pPr>
        <w:rPr>
          <w:rFonts w:ascii="Arial"/>
          <w:sz w:val="21"/>
        </w:rPr>
      </w:pPr>
      <w:r>
        <w:rPr>
          <w:rFonts w:ascii="Arial"/>
          <w:sz w:val="21"/>
        </w:rPr>
        <w:br w:type="page"/>
      </w:r>
    </w:p>
    <w:p w14:paraId="521AE70F">
      <w:pPr>
        <w:spacing w:before="113" w:line="225" w:lineRule="auto"/>
        <w:ind w:left="2740"/>
        <w:outlineLvl w:val="0"/>
        <w:rPr>
          <w:rFonts w:ascii="宋体" w:hAnsi="宋体" w:eastAsia="宋体" w:cs="宋体"/>
          <w:sz w:val="35"/>
          <w:szCs w:val="35"/>
        </w:rPr>
      </w:pPr>
      <w:r>
        <w:rPr>
          <w:rFonts w:ascii="宋体" w:hAnsi="宋体" w:eastAsia="宋体" w:cs="宋体"/>
          <w:spacing w:val="11"/>
          <w:sz w:val="35"/>
          <w:szCs w:val="35"/>
          <w14:textOutline w14:w="6537" w14:cap="sq" w14:cmpd="sng">
            <w14:solidFill>
              <w14:srgbClr w14:val="000000"/>
            </w14:solidFill>
            <w14:prstDash w14:val="solid"/>
            <w14:bevel/>
          </w14:textOutline>
        </w:rPr>
        <w:t>第</w:t>
      </w:r>
      <w:r>
        <w:rPr>
          <w:rFonts w:ascii="宋体" w:hAnsi="宋体" w:eastAsia="宋体" w:cs="宋体"/>
          <w:spacing w:val="9"/>
          <w:sz w:val="35"/>
          <w:szCs w:val="35"/>
          <w14:textOutline w14:w="6537" w14:cap="sq" w14:cmpd="sng">
            <w14:solidFill>
              <w14:srgbClr w14:val="000000"/>
            </w14:solidFill>
            <w14:prstDash w14:val="solid"/>
            <w14:bevel/>
          </w14:textOutline>
        </w:rPr>
        <w:t>三章</w:t>
      </w:r>
      <w:r>
        <w:rPr>
          <w:rFonts w:ascii="宋体" w:hAnsi="宋体" w:eastAsia="宋体" w:cs="宋体"/>
          <w:spacing w:val="9"/>
          <w:sz w:val="35"/>
          <w:szCs w:val="35"/>
        </w:rPr>
        <w:t xml:space="preserve"> </w:t>
      </w:r>
      <w:r>
        <w:rPr>
          <w:rFonts w:hint="eastAsia" w:ascii="宋体" w:hAnsi="宋体" w:eastAsia="宋体" w:cs="宋体"/>
          <w:spacing w:val="9"/>
          <w:sz w:val="35"/>
          <w:szCs w:val="35"/>
          <w:lang w:val="en-US" w:eastAsia="zh-CN"/>
        </w:rPr>
        <w:t xml:space="preserve"> </w:t>
      </w:r>
      <w:r>
        <w:rPr>
          <w:rFonts w:ascii="宋体" w:hAnsi="宋体" w:eastAsia="宋体" w:cs="宋体"/>
          <w:spacing w:val="9"/>
          <w:sz w:val="35"/>
          <w:szCs w:val="35"/>
          <w14:textOutline w14:w="6537" w14:cap="sq" w14:cmpd="sng">
            <w14:solidFill>
              <w14:srgbClr w14:val="000000"/>
            </w14:solidFill>
            <w14:prstDash w14:val="solid"/>
            <w14:bevel/>
          </w14:textOutline>
        </w:rPr>
        <w:t>投标文件格式</w:t>
      </w:r>
    </w:p>
    <w:p w14:paraId="1635758E">
      <w:pPr>
        <w:spacing w:line="356" w:lineRule="auto"/>
        <w:rPr>
          <w:rFonts w:ascii="Arial"/>
          <w:sz w:val="21"/>
        </w:rPr>
      </w:pPr>
    </w:p>
    <w:p w14:paraId="6D3FD87C">
      <w:pPr>
        <w:spacing w:before="74" w:line="289" w:lineRule="auto"/>
        <w:ind w:right="63" w:firstLine="476"/>
        <w:rPr>
          <w:rFonts w:hint="eastAsia" w:ascii="宋体" w:hAnsi="宋体" w:eastAsia="宋体" w:cs="宋体"/>
          <w:color w:val="auto"/>
          <w:sz w:val="23"/>
          <w:szCs w:val="23"/>
          <w:lang w:eastAsia="zh-CN"/>
        </w:rPr>
      </w:pPr>
      <w:r>
        <w:rPr>
          <w:rFonts w:ascii="宋体" w:hAnsi="宋体" w:eastAsia="宋体" w:cs="宋体"/>
          <w:color w:val="auto"/>
          <w:spacing w:val="20"/>
          <w:sz w:val="23"/>
          <w:szCs w:val="23"/>
        </w:rPr>
        <w:t>一</w:t>
      </w:r>
      <w:r>
        <w:rPr>
          <w:rFonts w:ascii="宋体" w:hAnsi="宋体" w:eastAsia="宋体" w:cs="宋体"/>
          <w:color w:val="auto"/>
          <w:spacing w:val="17"/>
          <w:sz w:val="23"/>
          <w:szCs w:val="23"/>
        </w:rPr>
        <w:t>、</w:t>
      </w:r>
      <w:r>
        <w:rPr>
          <w:rFonts w:ascii="宋体" w:hAnsi="宋体" w:eastAsia="宋体" w:cs="宋体"/>
          <w:color w:val="auto"/>
          <w:spacing w:val="10"/>
          <w:sz w:val="23"/>
          <w:szCs w:val="23"/>
        </w:rPr>
        <w:t>本章所制投标文件格式，除格式中明确将该格式作为实质性要求的，一律不</w:t>
      </w:r>
      <w:r>
        <w:rPr>
          <w:rFonts w:ascii="宋体" w:hAnsi="宋体" w:eastAsia="宋体" w:cs="宋体"/>
          <w:color w:val="auto"/>
          <w:sz w:val="23"/>
          <w:szCs w:val="23"/>
        </w:rPr>
        <w:t xml:space="preserve"> </w:t>
      </w:r>
      <w:r>
        <w:rPr>
          <w:rFonts w:ascii="宋体" w:hAnsi="宋体" w:eastAsia="宋体" w:cs="宋体"/>
          <w:color w:val="auto"/>
          <w:spacing w:val="20"/>
          <w:sz w:val="23"/>
          <w:szCs w:val="23"/>
        </w:rPr>
        <w:t>具</w:t>
      </w:r>
      <w:r>
        <w:rPr>
          <w:rFonts w:ascii="宋体" w:hAnsi="宋体" w:eastAsia="宋体" w:cs="宋体"/>
          <w:color w:val="auto"/>
          <w:spacing w:val="14"/>
          <w:sz w:val="23"/>
          <w:szCs w:val="23"/>
        </w:rPr>
        <w:t>有</w:t>
      </w:r>
      <w:r>
        <w:rPr>
          <w:rFonts w:ascii="宋体" w:hAnsi="宋体" w:eastAsia="宋体" w:cs="宋体"/>
          <w:color w:val="auto"/>
          <w:spacing w:val="10"/>
          <w:sz w:val="23"/>
          <w:szCs w:val="23"/>
        </w:rPr>
        <w:t>强制</w:t>
      </w:r>
      <w:r>
        <w:rPr>
          <w:rFonts w:hint="eastAsia" w:ascii="宋体" w:hAnsi="宋体" w:eastAsia="宋体" w:cs="宋体"/>
          <w:color w:val="auto"/>
          <w:spacing w:val="10"/>
          <w:sz w:val="23"/>
          <w:szCs w:val="23"/>
          <w:lang w:val="en-US" w:eastAsia="zh-CN"/>
        </w:rPr>
        <w:t>性</w:t>
      </w:r>
      <w:r>
        <w:rPr>
          <w:rFonts w:hint="eastAsia" w:ascii="宋体" w:hAnsi="宋体" w:eastAsia="宋体" w:cs="宋体"/>
          <w:color w:val="auto"/>
          <w:spacing w:val="10"/>
          <w:sz w:val="23"/>
          <w:szCs w:val="23"/>
          <w:lang w:eastAsia="zh-CN"/>
        </w:rPr>
        <w:t>。</w:t>
      </w:r>
    </w:p>
    <w:p w14:paraId="459D0EC9">
      <w:pPr>
        <w:spacing w:before="2" w:line="288" w:lineRule="auto"/>
        <w:ind w:right="63" w:firstLine="475"/>
        <w:rPr>
          <w:rFonts w:ascii="宋体" w:hAnsi="宋体" w:eastAsia="宋体" w:cs="宋体"/>
          <w:sz w:val="23"/>
          <w:szCs w:val="23"/>
        </w:rPr>
      </w:pPr>
      <w:r>
        <w:rPr>
          <w:rFonts w:ascii="宋体" w:hAnsi="宋体" w:eastAsia="宋体" w:cs="宋体"/>
          <w:spacing w:val="7"/>
          <w:sz w:val="23"/>
          <w:szCs w:val="23"/>
        </w:rPr>
        <w:t>二、本章所制投标文件格式有关表格中的备注栏， 由投标人根据自身投标情况作</w:t>
      </w:r>
      <w:r>
        <w:rPr>
          <w:rFonts w:ascii="宋体" w:hAnsi="宋体" w:eastAsia="宋体" w:cs="宋体"/>
          <w:sz w:val="23"/>
          <w:szCs w:val="23"/>
        </w:rPr>
        <w:t xml:space="preserve"> </w:t>
      </w:r>
      <w:r>
        <w:rPr>
          <w:rFonts w:ascii="宋体" w:hAnsi="宋体" w:eastAsia="宋体" w:cs="宋体"/>
          <w:spacing w:val="15"/>
          <w:sz w:val="23"/>
          <w:szCs w:val="23"/>
        </w:rPr>
        <w:t>解</w:t>
      </w:r>
      <w:r>
        <w:rPr>
          <w:rFonts w:ascii="宋体" w:hAnsi="宋体" w:eastAsia="宋体" w:cs="宋体"/>
          <w:spacing w:val="8"/>
          <w:sz w:val="23"/>
          <w:szCs w:val="23"/>
        </w:rPr>
        <w:t>释性说明，不作为必填项。</w:t>
      </w:r>
    </w:p>
    <w:p w14:paraId="1CD83AD0">
      <w:pPr>
        <w:spacing w:line="305" w:lineRule="exact"/>
        <w:ind w:left="472"/>
        <w:rPr>
          <w:rFonts w:ascii="宋体" w:hAnsi="宋体" w:eastAsia="宋体" w:cs="宋体"/>
          <w:sz w:val="23"/>
          <w:szCs w:val="23"/>
        </w:rPr>
      </w:pPr>
      <w:r>
        <w:rPr>
          <w:rFonts w:ascii="宋体" w:hAnsi="宋体" w:eastAsia="宋体" w:cs="宋体"/>
          <w:spacing w:val="20"/>
          <w:position w:val="1"/>
          <w:sz w:val="23"/>
          <w:szCs w:val="23"/>
        </w:rPr>
        <w:t>三、</w:t>
      </w:r>
      <w:r>
        <w:rPr>
          <w:rFonts w:ascii="宋体" w:hAnsi="宋体" w:eastAsia="宋体" w:cs="宋体"/>
          <w:spacing w:val="11"/>
          <w:position w:val="1"/>
          <w:sz w:val="23"/>
          <w:szCs w:val="23"/>
        </w:rPr>
        <w:t>本</w:t>
      </w:r>
      <w:r>
        <w:rPr>
          <w:rFonts w:ascii="宋体" w:hAnsi="宋体" w:eastAsia="宋体" w:cs="宋体"/>
          <w:spacing w:val="10"/>
          <w:position w:val="1"/>
          <w:sz w:val="23"/>
          <w:szCs w:val="23"/>
        </w:rPr>
        <w:t>章所制投标文件格式中需要填写的相关内容事项，可能会与本采购项目无</w:t>
      </w:r>
    </w:p>
    <w:p w14:paraId="54A87E39">
      <w:pPr>
        <w:spacing w:before="54" w:line="302" w:lineRule="auto"/>
        <w:ind w:firstLine="5"/>
        <w:rPr>
          <w:rFonts w:ascii="宋体" w:hAnsi="宋体" w:eastAsia="宋体" w:cs="宋体"/>
          <w:sz w:val="23"/>
          <w:szCs w:val="23"/>
        </w:rPr>
      </w:pPr>
      <w:r>
        <w:rPr>
          <w:rFonts w:ascii="宋体" w:hAnsi="宋体" w:eastAsia="宋体" w:cs="宋体"/>
          <w:spacing w:val="10"/>
          <w:sz w:val="23"/>
          <w:szCs w:val="23"/>
        </w:rPr>
        <w:t>关，在不</w:t>
      </w:r>
      <w:r>
        <w:rPr>
          <w:rFonts w:ascii="宋体" w:hAnsi="宋体" w:eastAsia="宋体" w:cs="宋体"/>
          <w:spacing w:val="6"/>
          <w:sz w:val="23"/>
          <w:szCs w:val="23"/>
        </w:rPr>
        <w:t>改</w:t>
      </w:r>
      <w:r>
        <w:rPr>
          <w:rFonts w:ascii="宋体" w:hAnsi="宋体" w:eastAsia="宋体" w:cs="宋体"/>
          <w:spacing w:val="5"/>
          <w:sz w:val="23"/>
          <w:szCs w:val="23"/>
        </w:rPr>
        <w:t>变投标文件原义、不影响本项目采购需求的情况下，投标人可以不予填写，</w:t>
      </w:r>
      <w:r>
        <w:rPr>
          <w:rFonts w:ascii="宋体" w:hAnsi="宋体" w:eastAsia="宋体" w:cs="宋体"/>
          <w:sz w:val="23"/>
          <w:szCs w:val="23"/>
        </w:rPr>
        <w:t xml:space="preserve"> </w:t>
      </w:r>
      <w:r>
        <w:rPr>
          <w:rFonts w:ascii="宋体" w:hAnsi="宋体" w:eastAsia="宋体" w:cs="宋体"/>
          <w:spacing w:val="7"/>
          <w:sz w:val="23"/>
          <w:szCs w:val="23"/>
        </w:rPr>
        <w:t>但应当注明。</w:t>
      </w:r>
    </w:p>
    <w:p w14:paraId="1FA4A5F4">
      <w:pPr>
        <w:sectPr>
          <w:headerReference r:id="rId5" w:type="default"/>
          <w:footerReference r:id="rId6" w:type="default"/>
          <w:pgSz w:w="11850" w:h="16783"/>
          <w:pgMar w:top="1083" w:right="1298" w:bottom="1152" w:left="1253" w:header="0" w:footer="989" w:gutter="0"/>
          <w:pgNumType w:fmt="decimal"/>
          <w:cols w:space="720" w:num="1"/>
        </w:sectPr>
      </w:pPr>
    </w:p>
    <w:p w14:paraId="58A9AC49">
      <w:pPr>
        <w:spacing w:line="246" w:lineRule="auto"/>
        <w:rPr>
          <w:rFonts w:ascii="Arial"/>
          <w:sz w:val="21"/>
        </w:rPr>
      </w:pPr>
    </w:p>
    <w:p w14:paraId="58237077">
      <w:pPr>
        <w:spacing w:line="246" w:lineRule="auto"/>
        <w:rPr>
          <w:rFonts w:ascii="Arial"/>
          <w:sz w:val="21"/>
        </w:rPr>
      </w:pPr>
    </w:p>
    <w:p w14:paraId="0D9075DD">
      <w:pPr>
        <w:spacing w:before="98" w:line="226" w:lineRule="auto"/>
        <w:ind w:left="1748"/>
        <w:rPr>
          <w:rFonts w:ascii="宋体" w:hAnsi="宋体" w:eastAsia="宋体" w:cs="宋体"/>
          <w:sz w:val="30"/>
          <w:szCs w:val="30"/>
        </w:rPr>
      </w:pPr>
      <w:r>
        <w:rPr>
          <w:rFonts w:ascii="宋体" w:hAnsi="宋体" w:eastAsia="宋体" w:cs="宋体"/>
          <w:spacing w:val="10"/>
          <w:sz w:val="30"/>
          <w:szCs w:val="30"/>
          <w14:textOutline w14:w="5629" w14:cap="sq" w14:cmpd="sng">
            <w14:solidFill>
              <w14:srgbClr w14:val="000000"/>
            </w14:solidFill>
            <w14:prstDash w14:val="solid"/>
            <w14:bevel/>
          </w14:textOutline>
        </w:rPr>
        <w:t>第一部分</w:t>
      </w:r>
      <w:r>
        <w:rPr>
          <w:rFonts w:ascii="宋体" w:hAnsi="宋体" w:eastAsia="宋体" w:cs="宋体"/>
          <w:spacing w:val="10"/>
          <w:sz w:val="30"/>
          <w:szCs w:val="30"/>
        </w:rPr>
        <w:t xml:space="preserve"> </w:t>
      </w:r>
      <w:r>
        <w:rPr>
          <w:rFonts w:ascii="宋体" w:hAnsi="宋体" w:eastAsia="宋体" w:cs="宋体"/>
          <w:spacing w:val="10"/>
          <w:sz w:val="30"/>
          <w:szCs w:val="30"/>
          <w14:textOutline w14:w="5629" w14:cap="sq" w14:cmpd="sng">
            <w14:solidFill>
              <w14:srgbClr w14:val="000000"/>
            </w14:solidFill>
            <w14:prstDash w14:val="solid"/>
            <w14:bevel/>
          </w14:textOutline>
        </w:rPr>
        <w:t>“资格性投标文件”格</w:t>
      </w:r>
      <w:r>
        <w:rPr>
          <w:rFonts w:ascii="宋体" w:hAnsi="宋体" w:eastAsia="宋体" w:cs="宋体"/>
          <w:spacing w:val="9"/>
          <w:sz w:val="30"/>
          <w:szCs w:val="30"/>
          <w14:textOutline w14:w="5629" w14:cap="sq" w14:cmpd="sng">
            <w14:solidFill>
              <w14:srgbClr w14:val="000000"/>
            </w14:solidFill>
            <w14:prstDash w14:val="solid"/>
            <w14:bevel/>
          </w14:textOutline>
        </w:rPr>
        <w:t>式</w:t>
      </w:r>
    </w:p>
    <w:p w14:paraId="546C3E25">
      <w:pPr>
        <w:spacing w:line="266" w:lineRule="auto"/>
        <w:rPr>
          <w:rFonts w:ascii="Arial"/>
          <w:sz w:val="21"/>
        </w:rPr>
      </w:pPr>
    </w:p>
    <w:p w14:paraId="4581616E">
      <w:pPr>
        <w:spacing w:line="267" w:lineRule="auto"/>
        <w:rPr>
          <w:rFonts w:ascii="Arial"/>
          <w:sz w:val="21"/>
        </w:rPr>
      </w:pPr>
    </w:p>
    <w:p w14:paraId="0BE9805B">
      <w:pPr>
        <w:spacing w:line="267" w:lineRule="auto"/>
        <w:rPr>
          <w:rFonts w:ascii="Arial"/>
          <w:sz w:val="21"/>
        </w:rPr>
      </w:pPr>
    </w:p>
    <w:p w14:paraId="2CEBA9C8">
      <w:pPr>
        <w:spacing w:before="101" w:line="799" w:lineRule="exact"/>
        <w:ind w:left="13"/>
        <w:rPr>
          <w:rFonts w:ascii="宋体" w:hAnsi="宋体" w:eastAsia="宋体" w:cs="宋体"/>
          <w:sz w:val="31"/>
          <w:szCs w:val="31"/>
        </w:rPr>
      </w:pPr>
      <w:r>
        <w:rPr>
          <w:rFonts w:ascii="宋体" w:hAnsi="宋体" w:eastAsia="宋体" w:cs="宋体"/>
          <w:spacing w:val="4"/>
          <w:position w:val="37"/>
          <w:sz w:val="31"/>
          <w:szCs w:val="31"/>
          <w14:textOutline w14:w="5793" w14:cap="sq" w14:cmpd="sng">
            <w14:solidFill>
              <w14:srgbClr w14:val="000000"/>
            </w14:solidFill>
            <w14:prstDash w14:val="solid"/>
            <w14:bevel/>
          </w14:textOutline>
        </w:rPr>
        <w:t>格式</w:t>
      </w:r>
      <w:r>
        <w:rPr>
          <w:rFonts w:ascii="宋体" w:hAnsi="宋体" w:eastAsia="宋体" w:cs="宋体"/>
          <w:spacing w:val="-39"/>
          <w:position w:val="37"/>
          <w:sz w:val="31"/>
          <w:szCs w:val="31"/>
        </w:rPr>
        <w:t xml:space="preserve"> </w:t>
      </w:r>
      <w:r>
        <w:rPr>
          <w:rFonts w:ascii="宋体" w:hAnsi="宋体" w:eastAsia="宋体" w:cs="宋体"/>
          <w:spacing w:val="4"/>
          <w:position w:val="37"/>
          <w:sz w:val="31"/>
          <w:szCs w:val="31"/>
          <w14:textOutline w14:w="5793" w14:cap="sq" w14:cmpd="sng">
            <w14:solidFill>
              <w14:srgbClr w14:val="000000"/>
            </w14:solidFill>
            <w14:prstDash w14:val="solid"/>
            <w14:bevel/>
          </w14:textOutline>
        </w:rPr>
        <w:t>1-1</w:t>
      </w:r>
    </w:p>
    <w:p w14:paraId="04427CE9">
      <w:pPr>
        <w:spacing w:before="1" w:line="226" w:lineRule="auto"/>
        <w:ind w:left="11"/>
        <w:rPr>
          <w:rFonts w:ascii="宋体" w:hAnsi="宋体" w:eastAsia="宋体" w:cs="宋体"/>
          <w:sz w:val="31"/>
          <w:szCs w:val="31"/>
        </w:rPr>
      </w:pPr>
      <w:r>
        <w:rPr>
          <w:rFonts w:ascii="宋体" w:hAnsi="宋体" w:eastAsia="宋体" w:cs="宋体"/>
          <w:spacing w:val="3"/>
          <w:sz w:val="31"/>
          <w:szCs w:val="31"/>
          <w14:textOutline w14:w="5793" w14:cap="sq" w14:cmpd="sng">
            <w14:solidFill>
              <w14:srgbClr w14:val="000000"/>
            </w14:solidFill>
            <w14:prstDash w14:val="solid"/>
            <w14:bevel/>
          </w14:textOutline>
        </w:rPr>
        <w:t>封面：</w:t>
      </w:r>
    </w:p>
    <w:p w14:paraId="5F25DA9D">
      <w:pPr>
        <w:pStyle w:val="13"/>
        <w:spacing w:line="266" w:lineRule="auto"/>
      </w:pPr>
    </w:p>
    <w:p w14:paraId="2B70CF73">
      <w:pPr>
        <w:spacing w:before="114" w:line="225" w:lineRule="auto"/>
        <w:ind w:right="11"/>
        <w:jc w:val="right"/>
        <w:rPr>
          <w:rFonts w:ascii="宋体" w:hAnsi="宋体" w:eastAsia="宋体" w:cs="宋体"/>
          <w:sz w:val="35"/>
          <w:szCs w:val="35"/>
        </w:rPr>
      </w:pPr>
      <w:r>
        <w:rPr>
          <w:rFonts w:ascii="宋体" w:hAnsi="宋体" w:eastAsia="宋体" w:cs="宋体"/>
          <w:spacing w:val="4"/>
          <w:sz w:val="35"/>
          <w:szCs w:val="35"/>
          <w14:textOutline w14:w="6537" w14:cap="sq" w14:cmpd="sng">
            <w14:solidFill>
              <w14:srgbClr w14:val="000000"/>
            </w14:solidFill>
            <w14:prstDash w14:val="solid"/>
            <w14:bevel/>
          </w14:textOutline>
        </w:rPr>
        <w:t>（正本/副本）</w:t>
      </w:r>
    </w:p>
    <w:p w14:paraId="2B1626EB">
      <w:pPr>
        <w:pStyle w:val="13"/>
        <w:spacing w:line="257" w:lineRule="auto"/>
      </w:pPr>
    </w:p>
    <w:p w14:paraId="4E475156">
      <w:pPr>
        <w:pStyle w:val="13"/>
        <w:spacing w:line="257" w:lineRule="auto"/>
      </w:pPr>
    </w:p>
    <w:p w14:paraId="37E6FD2B">
      <w:pPr>
        <w:pStyle w:val="13"/>
        <w:spacing w:line="257" w:lineRule="auto"/>
      </w:pPr>
    </w:p>
    <w:p w14:paraId="2DF6423F">
      <w:pPr>
        <w:pStyle w:val="13"/>
        <w:spacing w:line="257" w:lineRule="auto"/>
      </w:pPr>
    </w:p>
    <w:p w14:paraId="6885BCD9">
      <w:pPr>
        <w:tabs>
          <w:tab w:val="left" w:pos="6397"/>
        </w:tabs>
        <w:spacing w:before="130" w:line="221" w:lineRule="auto"/>
        <w:ind w:left="1979"/>
        <w:rPr>
          <w:rFonts w:ascii="宋体" w:hAnsi="宋体" w:eastAsia="宋体" w:cs="宋体"/>
          <w:sz w:val="40"/>
          <w:szCs w:val="40"/>
        </w:rPr>
      </w:pPr>
      <w:r>
        <w:rPr>
          <w:rFonts w:ascii="宋体" w:hAnsi="宋体" w:eastAsia="宋体" w:cs="宋体"/>
          <w:sz w:val="40"/>
          <w:szCs w:val="40"/>
          <w:u w:val="single" w:color="auto"/>
        </w:rPr>
        <w:tab/>
      </w:r>
      <w:r>
        <w:rPr>
          <w:rFonts w:ascii="宋体" w:hAnsi="宋体" w:eastAsia="宋体" w:cs="宋体"/>
          <w:spacing w:val="-177"/>
          <w:sz w:val="40"/>
          <w:szCs w:val="40"/>
        </w:rPr>
        <w:t xml:space="preserve"> </w:t>
      </w:r>
      <w:r>
        <w:rPr>
          <w:rFonts w:ascii="宋体" w:hAnsi="宋体" w:eastAsia="宋体" w:cs="宋体"/>
          <w:spacing w:val="-11"/>
          <w:sz w:val="40"/>
          <w:szCs w:val="40"/>
          <w14:textOutline w14:w="7282" w14:cap="sq" w14:cmpd="sng">
            <w14:solidFill>
              <w14:srgbClr w14:val="000000"/>
            </w14:solidFill>
            <w14:prstDash w14:val="solid"/>
            <w14:bevel/>
          </w14:textOutline>
        </w:rPr>
        <w:t>项目</w:t>
      </w:r>
    </w:p>
    <w:p w14:paraId="053F7445">
      <w:pPr>
        <w:pStyle w:val="13"/>
        <w:spacing w:line="281" w:lineRule="auto"/>
      </w:pPr>
    </w:p>
    <w:p w14:paraId="4E29E062">
      <w:pPr>
        <w:pStyle w:val="13"/>
        <w:spacing w:line="282" w:lineRule="auto"/>
      </w:pPr>
    </w:p>
    <w:p w14:paraId="2CA7D7D2">
      <w:pPr>
        <w:pStyle w:val="13"/>
        <w:spacing w:line="282" w:lineRule="auto"/>
      </w:pPr>
    </w:p>
    <w:p w14:paraId="385E54A8">
      <w:pPr>
        <w:spacing w:before="170" w:line="220" w:lineRule="auto"/>
        <w:ind w:left="2808"/>
        <w:outlineLvl w:val="2"/>
        <w:rPr>
          <w:rFonts w:ascii="宋体" w:hAnsi="宋体" w:eastAsia="宋体" w:cs="宋体"/>
          <w:sz w:val="52"/>
          <w:szCs w:val="52"/>
        </w:rPr>
      </w:pPr>
      <w:bookmarkStart w:id="8" w:name="bookmark13"/>
      <w:bookmarkEnd w:id="8"/>
      <w:r>
        <w:rPr>
          <w:rFonts w:ascii="宋体" w:hAnsi="宋体" w:eastAsia="宋体" w:cs="宋体"/>
          <w:spacing w:val="-5"/>
          <w:sz w:val="52"/>
          <w:szCs w:val="52"/>
          <w14:textOutline w14:w="9461" w14:cap="sq" w14:cmpd="sng">
            <w14:solidFill>
              <w14:srgbClr w14:val="000000"/>
            </w14:solidFill>
            <w14:prstDash w14:val="solid"/>
            <w14:bevel/>
          </w14:textOutline>
        </w:rPr>
        <w:t>资格性投标文件</w:t>
      </w:r>
    </w:p>
    <w:p w14:paraId="58018438">
      <w:pPr>
        <w:pStyle w:val="13"/>
        <w:spacing w:line="254" w:lineRule="auto"/>
      </w:pPr>
    </w:p>
    <w:p w14:paraId="7FFAB0C3">
      <w:pPr>
        <w:pStyle w:val="13"/>
        <w:spacing w:line="254" w:lineRule="auto"/>
      </w:pPr>
    </w:p>
    <w:p w14:paraId="18F03CE2">
      <w:pPr>
        <w:pStyle w:val="13"/>
        <w:spacing w:line="254" w:lineRule="auto"/>
      </w:pPr>
    </w:p>
    <w:p w14:paraId="05AB31EA">
      <w:pPr>
        <w:pStyle w:val="13"/>
        <w:spacing w:line="254" w:lineRule="auto"/>
      </w:pPr>
    </w:p>
    <w:p w14:paraId="74086D4D">
      <w:pPr>
        <w:pStyle w:val="13"/>
        <w:spacing w:line="254" w:lineRule="auto"/>
      </w:pPr>
    </w:p>
    <w:p w14:paraId="6EEC71DD">
      <w:pPr>
        <w:pStyle w:val="13"/>
        <w:spacing w:line="255" w:lineRule="auto"/>
      </w:pPr>
    </w:p>
    <w:p w14:paraId="7DCB1503">
      <w:pPr>
        <w:bidi w:val="0"/>
        <w:rPr>
          <w:rFonts w:hint="eastAsia" w:ascii="宋体" w:hAnsi="宋体" w:eastAsia="宋体" w:cs="宋体"/>
          <w:b/>
          <w:bCs/>
          <w:sz w:val="32"/>
          <w:szCs w:val="32"/>
        </w:rPr>
      </w:pPr>
    </w:p>
    <w:p w14:paraId="29275CCC">
      <w:pPr>
        <w:bidi w:val="0"/>
        <w:rPr>
          <w:rFonts w:hint="eastAsia" w:ascii="宋体" w:hAnsi="宋体" w:eastAsia="宋体" w:cs="宋体"/>
          <w:b/>
          <w:bCs/>
          <w:sz w:val="32"/>
          <w:szCs w:val="32"/>
        </w:rPr>
      </w:pPr>
      <w:r>
        <w:rPr>
          <w:rFonts w:hint="eastAsia" w:ascii="宋体" w:hAnsi="宋体" w:eastAsia="宋体" w:cs="宋体"/>
          <w:b/>
          <w:bCs/>
          <w:sz w:val="32"/>
          <w:szCs w:val="32"/>
        </w:rPr>
        <w:t>投标人名称：</w:t>
      </w:r>
      <w:r>
        <w:rPr>
          <w:rFonts w:hint="eastAsia" w:ascii="宋体" w:hAnsi="宋体" w:eastAsia="宋体" w:cs="宋体"/>
          <w:b/>
          <w:bCs/>
          <w:sz w:val="32"/>
          <w:szCs w:val="32"/>
          <w:u w:val="single"/>
        </w:rPr>
        <w:t xml:space="preserve">                    </w:t>
      </w:r>
    </w:p>
    <w:p w14:paraId="71B9EF38">
      <w:pPr>
        <w:bidi w:val="0"/>
        <w:rPr>
          <w:rFonts w:hint="eastAsia" w:ascii="宋体" w:hAnsi="宋体" w:eastAsia="宋体" w:cs="宋体"/>
          <w:b/>
          <w:bCs/>
          <w:sz w:val="32"/>
          <w:szCs w:val="32"/>
        </w:rPr>
      </w:pPr>
    </w:p>
    <w:p w14:paraId="5BBBA9AE">
      <w:pPr>
        <w:bidi w:val="0"/>
        <w:rPr>
          <w:rFonts w:hint="eastAsia" w:ascii="宋体" w:hAnsi="宋体" w:eastAsia="宋体" w:cs="宋体"/>
          <w:b/>
          <w:bCs/>
          <w:sz w:val="32"/>
          <w:szCs w:val="32"/>
        </w:rPr>
      </w:pPr>
      <w:r>
        <w:rPr>
          <w:rFonts w:hint="eastAsia" w:ascii="宋体" w:hAnsi="宋体" w:eastAsia="宋体" w:cs="宋体"/>
          <w:b/>
          <w:bCs/>
          <w:sz w:val="32"/>
          <w:szCs w:val="32"/>
        </w:rPr>
        <w:t>采购项目编号：</w:t>
      </w:r>
      <w:r>
        <w:rPr>
          <w:rFonts w:hint="eastAsia" w:ascii="宋体" w:hAnsi="宋体" w:eastAsia="宋体" w:cs="宋体"/>
          <w:b/>
          <w:bCs/>
          <w:sz w:val="32"/>
          <w:szCs w:val="32"/>
          <w:u w:val="single"/>
        </w:rPr>
        <w:t xml:space="preserve">                  </w:t>
      </w:r>
    </w:p>
    <w:p w14:paraId="0C2F9254">
      <w:pPr>
        <w:bidi w:val="0"/>
        <w:rPr>
          <w:rFonts w:hint="eastAsia" w:ascii="宋体" w:hAnsi="宋体" w:eastAsia="宋体" w:cs="宋体"/>
          <w:b/>
          <w:bCs/>
          <w:sz w:val="32"/>
          <w:szCs w:val="32"/>
        </w:rPr>
      </w:pPr>
    </w:p>
    <w:p w14:paraId="03A63CD1">
      <w:pPr>
        <w:bidi w:val="0"/>
        <w:rPr>
          <w:rFonts w:hint="eastAsia" w:ascii="宋体" w:hAnsi="宋体" w:eastAsia="宋体" w:cs="宋体"/>
          <w:b/>
          <w:bCs/>
          <w:sz w:val="32"/>
          <w:szCs w:val="32"/>
          <w:u w:val="single"/>
          <w:lang w:val="en-US" w:eastAsia="zh-CN"/>
        </w:rPr>
      </w:pPr>
      <w:r>
        <w:rPr>
          <w:rFonts w:hint="eastAsia" w:ascii="宋体" w:hAnsi="宋体" w:eastAsia="宋体" w:cs="宋体"/>
          <w:b/>
          <w:bCs/>
          <w:sz w:val="32"/>
          <w:szCs w:val="32"/>
          <w:lang w:eastAsia="zh-CN"/>
        </w:rPr>
        <w:t>包号：</w:t>
      </w:r>
      <w:r>
        <w:rPr>
          <w:rFonts w:hint="eastAsia" w:ascii="宋体" w:hAnsi="宋体" w:eastAsia="宋体" w:cs="宋体"/>
          <w:b/>
          <w:bCs/>
          <w:sz w:val="32"/>
          <w:szCs w:val="32"/>
          <w:u w:val="single"/>
          <w:lang w:val="en-US" w:eastAsia="zh-CN"/>
        </w:rPr>
        <w:t xml:space="preserve">             </w:t>
      </w:r>
    </w:p>
    <w:p w14:paraId="5EAA7B9B">
      <w:pPr>
        <w:bidi w:val="0"/>
        <w:rPr>
          <w:rFonts w:hint="eastAsia" w:ascii="宋体" w:hAnsi="宋体" w:eastAsia="宋体" w:cs="宋体"/>
          <w:b/>
          <w:bCs/>
          <w:sz w:val="32"/>
          <w:szCs w:val="32"/>
        </w:rPr>
      </w:pPr>
    </w:p>
    <w:p w14:paraId="6C45D7BE">
      <w:pPr>
        <w:bidi w:val="0"/>
      </w:pPr>
      <w:r>
        <w:rPr>
          <w:rFonts w:hint="eastAsia" w:ascii="宋体" w:hAnsi="宋体" w:eastAsia="宋体" w:cs="宋体"/>
          <w:b/>
          <w:bCs/>
          <w:sz w:val="32"/>
          <w:szCs w:val="32"/>
        </w:rPr>
        <w:t>投标时间：</w:t>
      </w:r>
      <w:r>
        <w:rPr>
          <w:rFonts w:hint="eastAsia" w:ascii="宋体" w:hAnsi="宋体" w:eastAsia="宋体" w:cs="宋体"/>
          <w:b/>
          <w:bCs/>
          <w:sz w:val="32"/>
          <w:szCs w:val="32"/>
          <w:u w:val="single"/>
        </w:rPr>
        <w:t xml:space="preserve">    年   月   日</w:t>
      </w:r>
    </w:p>
    <w:p w14:paraId="00768613">
      <w:pPr>
        <w:spacing w:line="267" w:lineRule="auto"/>
        <w:rPr>
          <w:rFonts w:ascii="Arial"/>
          <w:sz w:val="21"/>
        </w:rPr>
      </w:pPr>
    </w:p>
    <w:p w14:paraId="273A8197">
      <w:pPr>
        <w:spacing w:line="267" w:lineRule="auto"/>
        <w:rPr>
          <w:rFonts w:ascii="Arial"/>
          <w:sz w:val="21"/>
        </w:rPr>
      </w:pPr>
    </w:p>
    <w:p w14:paraId="1978AF05">
      <w:pPr>
        <w:sectPr>
          <w:footerReference r:id="rId7" w:type="default"/>
          <w:pgSz w:w="11850" w:h="16783"/>
          <w:pgMar w:top="913" w:right="1464" w:bottom="1152" w:left="1777" w:header="0" w:footer="989" w:gutter="0"/>
          <w:pgNumType w:fmt="decimal"/>
          <w:cols w:space="720" w:num="1"/>
        </w:sectPr>
      </w:pPr>
    </w:p>
    <w:p w14:paraId="46D9F717">
      <w:pPr>
        <w:spacing w:before="101" w:line="209" w:lineRule="auto"/>
        <w:ind w:left="13"/>
        <w:rPr>
          <w:rFonts w:ascii="宋体" w:hAnsi="宋体" w:eastAsia="宋体" w:cs="宋体"/>
          <w:sz w:val="31"/>
          <w:szCs w:val="31"/>
        </w:rPr>
      </w:pPr>
      <w:r>
        <w:rPr>
          <w:rFonts w:ascii="宋体" w:hAnsi="宋体" w:eastAsia="宋体" w:cs="宋体"/>
          <w:sz w:val="31"/>
          <w:szCs w:val="31"/>
          <w14:textOutline w14:w="5793" w14:cap="sq" w14:cmpd="sng">
            <w14:solidFill>
              <w14:srgbClr w14:val="000000"/>
            </w14:solidFill>
            <w14:prstDash w14:val="solid"/>
            <w14:bevel/>
          </w14:textOutline>
        </w:rPr>
        <w:t>格式</w:t>
      </w:r>
      <w:r>
        <w:rPr>
          <w:rFonts w:ascii="宋体" w:hAnsi="宋体" w:eastAsia="宋体" w:cs="宋体"/>
          <w:spacing w:val="-39"/>
          <w:sz w:val="31"/>
          <w:szCs w:val="31"/>
        </w:rPr>
        <w:t xml:space="preserve"> </w:t>
      </w:r>
      <w:r>
        <w:rPr>
          <w:rFonts w:ascii="宋体" w:hAnsi="宋体" w:eastAsia="宋体" w:cs="宋体"/>
          <w:sz w:val="31"/>
          <w:szCs w:val="31"/>
          <w14:textOutline w14:w="5793" w14:cap="sq" w14:cmpd="sng">
            <w14:solidFill>
              <w14:srgbClr w14:val="000000"/>
            </w14:solidFill>
            <w14:prstDash w14:val="solid"/>
            <w14:bevel/>
          </w14:textOutline>
        </w:rPr>
        <w:t>1-2</w:t>
      </w:r>
    </w:p>
    <w:p w14:paraId="79DEAE6D">
      <w:pPr>
        <w:spacing w:before="1" w:line="224" w:lineRule="auto"/>
        <w:ind w:left="2682"/>
        <w:outlineLvl w:val="2"/>
        <w:rPr>
          <w:rFonts w:ascii="宋体" w:hAnsi="宋体" w:eastAsia="宋体" w:cs="宋体"/>
          <w:sz w:val="31"/>
          <w:szCs w:val="31"/>
        </w:rPr>
      </w:pPr>
      <w:bookmarkStart w:id="9" w:name="bookmark14"/>
      <w:bookmarkEnd w:id="9"/>
      <w:r>
        <w:rPr>
          <w:rFonts w:ascii="宋体" w:hAnsi="宋体" w:eastAsia="宋体" w:cs="宋体"/>
          <w:spacing w:val="9"/>
          <w:sz w:val="31"/>
          <w:szCs w:val="31"/>
          <w14:textOutline w14:w="5793" w14:cap="sq" w14:cmpd="sng">
            <w14:solidFill>
              <w14:srgbClr w14:val="000000"/>
            </w14:solidFill>
            <w14:prstDash w14:val="solid"/>
            <w14:bevel/>
          </w14:textOutline>
        </w:rPr>
        <w:t>一、法定代表人身份证明书</w:t>
      </w:r>
    </w:p>
    <w:p w14:paraId="1734DB50">
      <w:pPr>
        <w:pStyle w:val="13"/>
        <w:spacing w:line="322" w:lineRule="auto"/>
      </w:pPr>
    </w:p>
    <w:p w14:paraId="3E87C194">
      <w:pPr>
        <w:pStyle w:val="13"/>
        <w:spacing w:line="323" w:lineRule="auto"/>
      </w:pPr>
    </w:p>
    <w:p w14:paraId="319834A5">
      <w:pPr>
        <w:spacing w:before="78" w:line="360" w:lineRule="auto"/>
        <w:ind w:left="12"/>
        <w:rPr>
          <w:rFonts w:ascii="新宋体" w:hAnsi="新宋体" w:eastAsia="新宋体" w:cs="新宋体"/>
          <w:sz w:val="24"/>
          <w:szCs w:val="24"/>
        </w:rPr>
      </w:pPr>
      <w:r>
        <w:rPr>
          <w:rFonts w:ascii="新宋体" w:hAnsi="新宋体" w:eastAsia="新宋体" w:cs="新宋体"/>
          <w:spacing w:val="4"/>
          <w:sz w:val="24"/>
          <w:szCs w:val="24"/>
        </w:rPr>
        <w:t>单位名称：</w:t>
      </w:r>
      <w:r>
        <w:rPr>
          <w:rFonts w:ascii="新宋体" w:hAnsi="新宋体" w:eastAsia="新宋体" w:cs="新宋体"/>
          <w:spacing w:val="-94"/>
          <w:sz w:val="24"/>
          <w:szCs w:val="24"/>
        </w:rPr>
        <w:t xml:space="preserve"> </w:t>
      </w:r>
      <w:r>
        <w:rPr>
          <w:rFonts w:ascii="新宋体" w:hAnsi="新宋体" w:eastAsia="新宋体" w:cs="新宋体"/>
          <w:sz w:val="24"/>
          <w:szCs w:val="24"/>
          <w:u w:val="single" w:color="auto"/>
        </w:rPr>
        <w:t xml:space="preserve">                            </w:t>
      </w:r>
    </w:p>
    <w:p w14:paraId="6BAD8AD6">
      <w:pPr>
        <w:spacing w:before="1" w:line="220" w:lineRule="auto"/>
        <w:ind w:left="12"/>
        <w:rPr>
          <w:rFonts w:ascii="新宋体" w:hAnsi="新宋体" w:eastAsia="新宋体" w:cs="新宋体"/>
          <w:sz w:val="24"/>
          <w:szCs w:val="24"/>
        </w:rPr>
      </w:pPr>
      <w:r>
        <w:rPr>
          <w:rFonts w:ascii="新宋体" w:hAnsi="新宋体" w:eastAsia="新宋体" w:cs="新宋体"/>
          <w:spacing w:val="4"/>
          <w:sz w:val="24"/>
          <w:szCs w:val="24"/>
        </w:rPr>
        <w:t>单位性质：</w:t>
      </w:r>
      <w:r>
        <w:rPr>
          <w:rFonts w:ascii="新宋体" w:hAnsi="新宋体" w:eastAsia="新宋体" w:cs="新宋体"/>
          <w:spacing w:val="-94"/>
          <w:sz w:val="24"/>
          <w:szCs w:val="24"/>
        </w:rPr>
        <w:t xml:space="preserve"> </w:t>
      </w:r>
      <w:r>
        <w:rPr>
          <w:rFonts w:ascii="新宋体" w:hAnsi="新宋体" w:eastAsia="新宋体" w:cs="新宋体"/>
          <w:sz w:val="24"/>
          <w:szCs w:val="24"/>
          <w:u w:val="single" w:color="auto"/>
        </w:rPr>
        <w:t xml:space="preserve">                            </w:t>
      </w:r>
    </w:p>
    <w:p w14:paraId="03D4AF5A">
      <w:pPr>
        <w:spacing w:before="179" w:line="229" w:lineRule="auto"/>
        <w:ind w:left="10"/>
        <w:rPr>
          <w:rFonts w:ascii="新宋体" w:hAnsi="新宋体" w:eastAsia="新宋体" w:cs="新宋体"/>
          <w:sz w:val="24"/>
          <w:szCs w:val="24"/>
        </w:rPr>
      </w:pPr>
      <w:r>
        <w:rPr>
          <w:rFonts w:ascii="新宋体" w:hAnsi="新宋体" w:eastAsia="新宋体" w:cs="新宋体"/>
          <w:spacing w:val="-7"/>
          <w:sz w:val="24"/>
          <w:szCs w:val="24"/>
        </w:rPr>
        <w:t>地</w:t>
      </w:r>
      <w:r>
        <w:rPr>
          <w:rFonts w:ascii="新宋体" w:hAnsi="新宋体" w:eastAsia="新宋体" w:cs="新宋体"/>
          <w:spacing w:val="2"/>
          <w:sz w:val="24"/>
          <w:szCs w:val="24"/>
        </w:rPr>
        <w:t xml:space="preserve">    </w:t>
      </w:r>
      <w:r>
        <w:rPr>
          <w:rFonts w:ascii="新宋体" w:hAnsi="新宋体" w:eastAsia="新宋体" w:cs="新宋体"/>
          <w:spacing w:val="-7"/>
          <w:sz w:val="24"/>
          <w:szCs w:val="24"/>
        </w:rPr>
        <w:t>址：</w:t>
      </w:r>
      <w:r>
        <w:rPr>
          <w:rFonts w:ascii="新宋体" w:hAnsi="新宋体" w:eastAsia="新宋体" w:cs="新宋体"/>
          <w:spacing w:val="-95"/>
          <w:sz w:val="24"/>
          <w:szCs w:val="24"/>
        </w:rPr>
        <w:t xml:space="preserve"> </w:t>
      </w:r>
      <w:r>
        <w:rPr>
          <w:rFonts w:ascii="新宋体" w:hAnsi="新宋体" w:eastAsia="新宋体" w:cs="新宋体"/>
          <w:sz w:val="24"/>
          <w:szCs w:val="24"/>
          <w:u w:val="single" w:color="auto"/>
        </w:rPr>
        <w:t xml:space="preserve">                            </w:t>
      </w:r>
    </w:p>
    <w:p w14:paraId="252F8F9E">
      <w:pPr>
        <w:spacing w:before="169" w:line="220" w:lineRule="auto"/>
        <w:ind w:left="12"/>
        <w:rPr>
          <w:rFonts w:ascii="新宋体" w:hAnsi="新宋体" w:eastAsia="新宋体" w:cs="新宋体"/>
          <w:sz w:val="24"/>
          <w:szCs w:val="24"/>
        </w:rPr>
      </w:pPr>
      <w:r>
        <w:rPr>
          <w:rFonts w:ascii="新宋体" w:hAnsi="新宋体" w:eastAsia="新宋体" w:cs="新宋体"/>
          <w:spacing w:val="-1"/>
          <w:sz w:val="24"/>
          <w:szCs w:val="24"/>
        </w:rPr>
        <w:t>成立时间：</w:t>
      </w:r>
      <w:r>
        <w:rPr>
          <w:rFonts w:ascii="新宋体" w:hAnsi="新宋体" w:eastAsia="新宋体" w:cs="新宋体"/>
          <w:spacing w:val="-91"/>
          <w:sz w:val="24"/>
          <w:szCs w:val="24"/>
        </w:rPr>
        <w:t xml:space="preserve"> </w:t>
      </w:r>
      <w:r>
        <w:rPr>
          <w:rFonts w:ascii="新宋体" w:hAnsi="新宋体" w:eastAsia="新宋体" w:cs="新宋体"/>
          <w:spacing w:val="12"/>
          <w:sz w:val="24"/>
          <w:szCs w:val="24"/>
          <w:u w:val="single" w:color="auto"/>
        </w:rPr>
        <w:t xml:space="preserve">       </w:t>
      </w:r>
      <w:r>
        <w:rPr>
          <w:rFonts w:ascii="新宋体" w:hAnsi="新宋体" w:eastAsia="新宋体" w:cs="新宋体"/>
          <w:spacing w:val="-109"/>
          <w:sz w:val="24"/>
          <w:szCs w:val="24"/>
        </w:rPr>
        <w:t xml:space="preserve"> </w:t>
      </w:r>
      <w:r>
        <w:rPr>
          <w:rFonts w:ascii="新宋体" w:hAnsi="新宋体" w:eastAsia="新宋体" w:cs="新宋体"/>
          <w:spacing w:val="-1"/>
          <w:sz w:val="24"/>
          <w:szCs w:val="24"/>
        </w:rPr>
        <w:t>年</w:t>
      </w:r>
      <w:r>
        <w:rPr>
          <w:rFonts w:ascii="新宋体" w:hAnsi="新宋体" w:eastAsia="新宋体" w:cs="新宋体"/>
          <w:spacing w:val="19"/>
          <w:sz w:val="24"/>
          <w:szCs w:val="24"/>
          <w:u w:val="single" w:color="auto"/>
        </w:rPr>
        <w:t xml:space="preserve">      </w:t>
      </w:r>
      <w:r>
        <w:rPr>
          <w:rFonts w:ascii="新宋体" w:hAnsi="新宋体" w:eastAsia="新宋体" w:cs="新宋体"/>
          <w:spacing w:val="-99"/>
          <w:sz w:val="24"/>
          <w:szCs w:val="24"/>
        </w:rPr>
        <w:t xml:space="preserve"> </w:t>
      </w:r>
      <w:r>
        <w:rPr>
          <w:rFonts w:ascii="新宋体" w:hAnsi="新宋体" w:eastAsia="新宋体" w:cs="新宋体"/>
          <w:spacing w:val="-1"/>
          <w:sz w:val="24"/>
          <w:szCs w:val="24"/>
        </w:rPr>
        <w:t>月</w:t>
      </w:r>
      <w:r>
        <w:rPr>
          <w:rFonts w:ascii="新宋体" w:hAnsi="新宋体" w:eastAsia="新宋体" w:cs="新宋体"/>
          <w:spacing w:val="19"/>
          <w:sz w:val="24"/>
          <w:szCs w:val="24"/>
          <w:u w:val="single" w:color="auto"/>
        </w:rPr>
        <w:t xml:space="preserve">      </w:t>
      </w:r>
      <w:r>
        <w:rPr>
          <w:rFonts w:ascii="新宋体" w:hAnsi="新宋体" w:eastAsia="新宋体" w:cs="新宋体"/>
          <w:spacing w:val="-63"/>
          <w:sz w:val="24"/>
          <w:szCs w:val="24"/>
        </w:rPr>
        <w:t xml:space="preserve"> </w:t>
      </w:r>
      <w:r>
        <w:rPr>
          <w:rFonts w:ascii="新宋体" w:hAnsi="新宋体" w:eastAsia="新宋体" w:cs="新宋体"/>
          <w:spacing w:val="-1"/>
          <w:sz w:val="24"/>
          <w:szCs w:val="24"/>
        </w:rPr>
        <w:t>日</w:t>
      </w:r>
    </w:p>
    <w:p w14:paraId="045EC2E3">
      <w:pPr>
        <w:spacing w:before="179" w:line="221" w:lineRule="auto"/>
        <w:ind w:left="12"/>
        <w:rPr>
          <w:rFonts w:ascii="新宋体" w:hAnsi="新宋体" w:eastAsia="新宋体" w:cs="新宋体"/>
          <w:sz w:val="24"/>
          <w:szCs w:val="24"/>
        </w:rPr>
      </w:pPr>
      <w:r>
        <w:rPr>
          <w:rFonts w:ascii="新宋体" w:hAnsi="新宋体" w:eastAsia="新宋体" w:cs="新宋体"/>
          <w:spacing w:val="4"/>
          <w:sz w:val="24"/>
          <w:szCs w:val="24"/>
        </w:rPr>
        <w:t>经营期限：</w:t>
      </w:r>
      <w:r>
        <w:rPr>
          <w:rFonts w:ascii="新宋体" w:hAnsi="新宋体" w:eastAsia="新宋体" w:cs="新宋体"/>
          <w:spacing w:val="-94"/>
          <w:sz w:val="24"/>
          <w:szCs w:val="24"/>
        </w:rPr>
        <w:t xml:space="preserve"> </w:t>
      </w:r>
      <w:r>
        <w:rPr>
          <w:rFonts w:ascii="新宋体" w:hAnsi="新宋体" w:eastAsia="新宋体" w:cs="新宋体"/>
          <w:sz w:val="24"/>
          <w:szCs w:val="24"/>
          <w:u w:val="single" w:color="auto"/>
        </w:rPr>
        <w:t xml:space="preserve">                            </w:t>
      </w:r>
    </w:p>
    <w:p w14:paraId="04EA123B">
      <w:pPr>
        <w:pStyle w:val="13"/>
        <w:spacing w:line="283" w:lineRule="auto"/>
      </w:pPr>
    </w:p>
    <w:p w14:paraId="15B0F633">
      <w:pPr>
        <w:pStyle w:val="13"/>
        <w:spacing w:line="284" w:lineRule="auto"/>
      </w:pPr>
    </w:p>
    <w:p w14:paraId="65056F3A">
      <w:pPr>
        <w:spacing w:before="78" w:line="358" w:lineRule="auto"/>
        <w:ind w:right="1"/>
        <w:jc w:val="both"/>
        <w:rPr>
          <w:rFonts w:ascii="新宋体" w:hAnsi="新宋体" w:eastAsia="新宋体" w:cs="新宋体"/>
          <w:sz w:val="24"/>
          <w:szCs w:val="24"/>
        </w:rPr>
      </w:pPr>
      <w:r>
        <w:rPr>
          <w:rFonts w:ascii="新宋体" w:hAnsi="新宋体" w:eastAsia="新宋体" w:cs="新宋体"/>
          <w:spacing w:val="-10"/>
          <w:sz w:val="24"/>
          <w:szCs w:val="24"/>
        </w:rPr>
        <w:t>姓名：</w:t>
      </w:r>
      <w:r>
        <w:rPr>
          <w:rFonts w:ascii="新宋体" w:hAnsi="新宋体" w:eastAsia="新宋体" w:cs="新宋体"/>
          <w:spacing w:val="12"/>
          <w:sz w:val="24"/>
          <w:szCs w:val="24"/>
          <w:u w:val="single" w:color="auto"/>
        </w:rPr>
        <w:t xml:space="preserve">         </w:t>
      </w:r>
      <w:r>
        <w:rPr>
          <w:rFonts w:ascii="新宋体" w:hAnsi="新宋体" w:eastAsia="新宋体" w:cs="新宋体"/>
          <w:spacing w:val="-110"/>
          <w:sz w:val="24"/>
          <w:szCs w:val="24"/>
        </w:rPr>
        <w:t xml:space="preserve"> </w:t>
      </w:r>
      <w:r>
        <w:rPr>
          <w:rFonts w:ascii="新宋体" w:hAnsi="新宋体" w:eastAsia="新宋体" w:cs="新宋体"/>
          <w:spacing w:val="-10"/>
          <w:sz w:val="24"/>
          <w:szCs w:val="24"/>
        </w:rPr>
        <w:t>性别：</w:t>
      </w:r>
      <w:r>
        <w:rPr>
          <w:rFonts w:ascii="新宋体" w:hAnsi="新宋体" w:eastAsia="新宋体" w:cs="新宋体"/>
          <w:spacing w:val="12"/>
          <w:sz w:val="24"/>
          <w:szCs w:val="24"/>
          <w:u w:val="single" w:color="auto"/>
        </w:rPr>
        <w:t xml:space="preserve">    </w:t>
      </w:r>
      <w:r>
        <w:rPr>
          <w:rFonts w:ascii="新宋体" w:hAnsi="新宋体" w:eastAsia="新宋体" w:cs="新宋体"/>
          <w:spacing w:val="27"/>
          <w:sz w:val="24"/>
          <w:szCs w:val="24"/>
        </w:rPr>
        <w:t xml:space="preserve"> </w:t>
      </w:r>
      <w:r>
        <w:rPr>
          <w:rFonts w:ascii="新宋体" w:hAnsi="新宋体" w:eastAsia="新宋体" w:cs="新宋体"/>
          <w:spacing w:val="-10"/>
          <w:sz w:val="24"/>
          <w:szCs w:val="24"/>
        </w:rPr>
        <w:t>身份证号码：</w:t>
      </w:r>
      <w:r>
        <w:rPr>
          <w:rFonts w:ascii="新宋体" w:hAnsi="新宋体" w:eastAsia="新宋体" w:cs="新宋体"/>
          <w:spacing w:val="-10"/>
          <w:sz w:val="24"/>
          <w:szCs w:val="24"/>
          <w:u w:val="single" w:color="auto"/>
        </w:rPr>
        <w:t xml:space="preserve">               </w:t>
      </w:r>
      <w:r>
        <w:rPr>
          <w:rFonts w:ascii="新宋体" w:hAnsi="新宋体" w:eastAsia="新宋体" w:cs="新宋体"/>
          <w:spacing w:val="-11"/>
          <w:sz w:val="24"/>
          <w:szCs w:val="24"/>
          <w:u w:val="single" w:color="auto"/>
        </w:rPr>
        <w:t xml:space="preserve">       </w:t>
      </w:r>
      <w:r>
        <w:rPr>
          <w:rFonts w:ascii="新宋体" w:hAnsi="新宋体" w:eastAsia="新宋体" w:cs="新宋体"/>
          <w:spacing w:val="-109"/>
          <w:sz w:val="24"/>
          <w:szCs w:val="24"/>
        </w:rPr>
        <w:t xml:space="preserve"> </w:t>
      </w:r>
      <w:r>
        <w:rPr>
          <w:rFonts w:ascii="新宋体" w:hAnsi="新宋体" w:eastAsia="新宋体" w:cs="新宋体"/>
          <w:spacing w:val="-11"/>
          <w:sz w:val="24"/>
          <w:szCs w:val="24"/>
        </w:rPr>
        <w:t>年龄：</w:t>
      </w:r>
      <w:r>
        <w:rPr>
          <w:rFonts w:ascii="新宋体" w:hAnsi="新宋体" w:eastAsia="新宋体" w:cs="新宋体"/>
          <w:spacing w:val="12"/>
          <w:sz w:val="24"/>
          <w:szCs w:val="24"/>
          <w:u w:val="single" w:color="auto"/>
        </w:rPr>
        <w:t xml:space="preserve">        </w:t>
      </w:r>
      <w:r>
        <w:rPr>
          <w:rFonts w:ascii="新宋体" w:hAnsi="新宋体" w:eastAsia="新宋体" w:cs="新宋体"/>
          <w:spacing w:val="23"/>
          <w:sz w:val="24"/>
          <w:szCs w:val="24"/>
        </w:rPr>
        <w:t xml:space="preserve"> </w:t>
      </w:r>
    </w:p>
    <w:p w14:paraId="21A10D77">
      <w:pPr>
        <w:spacing w:line="219" w:lineRule="auto"/>
        <w:ind w:left="12"/>
        <w:rPr>
          <w:rFonts w:ascii="新宋体" w:hAnsi="新宋体" w:eastAsia="新宋体" w:cs="新宋体"/>
          <w:sz w:val="24"/>
          <w:szCs w:val="24"/>
        </w:rPr>
      </w:pPr>
      <w:r>
        <w:rPr>
          <w:rFonts w:hint="eastAsia" w:ascii="新宋体" w:hAnsi="新宋体" w:eastAsia="新宋体" w:cs="新宋体"/>
          <w:spacing w:val="-3"/>
          <w:sz w:val="24"/>
          <w:szCs w:val="24"/>
          <w:lang w:val="en-US" w:eastAsia="zh-CN"/>
        </w:rPr>
        <w:t>职务</w:t>
      </w:r>
      <w:r>
        <w:rPr>
          <w:rFonts w:ascii="新宋体" w:hAnsi="新宋体" w:eastAsia="新宋体" w:cs="新宋体"/>
          <w:spacing w:val="-3"/>
          <w:sz w:val="24"/>
          <w:szCs w:val="24"/>
        </w:rPr>
        <w:t>：</w:t>
      </w:r>
      <w:r>
        <w:rPr>
          <w:rFonts w:ascii="新宋体" w:hAnsi="新宋体" w:eastAsia="新宋体" w:cs="新宋体"/>
          <w:spacing w:val="-91"/>
          <w:sz w:val="24"/>
          <w:szCs w:val="24"/>
        </w:rPr>
        <w:t xml:space="preserve"> </w:t>
      </w:r>
      <w:r>
        <w:rPr>
          <w:rFonts w:ascii="新宋体" w:hAnsi="新宋体" w:eastAsia="新宋体" w:cs="新宋体"/>
          <w:sz w:val="24"/>
          <w:szCs w:val="24"/>
          <w:u w:val="single" w:color="auto"/>
        </w:rPr>
        <w:t xml:space="preserve">           </w:t>
      </w:r>
      <w:r>
        <w:rPr>
          <w:rFonts w:ascii="新宋体" w:hAnsi="新宋体" w:eastAsia="新宋体" w:cs="新宋体"/>
          <w:spacing w:val="-105"/>
          <w:sz w:val="24"/>
          <w:szCs w:val="24"/>
        </w:rPr>
        <w:t xml:space="preserve"> </w:t>
      </w:r>
      <w:r>
        <w:rPr>
          <w:rFonts w:ascii="新宋体" w:hAnsi="新宋体" w:eastAsia="新宋体" w:cs="新宋体"/>
          <w:spacing w:val="-3"/>
          <w:sz w:val="24"/>
          <w:szCs w:val="24"/>
        </w:rPr>
        <w:t>系</w:t>
      </w:r>
      <w:r>
        <w:rPr>
          <w:rFonts w:ascii="新宋体" w:hAnsi="新宋体" w:eastAsia="新宋体" w:cs="新宋体"/>
          <w:spacing w:val="-3"/>
          <w:sz w:val="24"/>
          <w:szCs w:val="24"/>
          <w:u w:val="single" w:color="auto"/>
        </w:rPr>
        <w:t xml:space="preserve">                </w:t>
      </w:r>
      <w:r>
        <w:rPr>
          <w:rFonts w:hint="eastAsia" w:ascii="新宋体" w:hAnsi="新宋体" w:eastAsia="新宋体" w:cs="新宋体"/>
          <w:spacing w:val="-3"/>
          <w:sz w:val="24"/>
          <w:szCs w:val="24"/>
          <w:u w:val="single" w:color="auto"/>
          <w:lang w:eastAsia="zh-CN"/>
        </w:rPr>
        <w:t>（</w:t>
      </w:r>
      <w:r>
        <w:rPr>
          <w:rFonts w:ascii="新宋体" w:hAnsi="新宋体" w:eastAsia="新宋体" w:cs="新宋体"/>
          <w:spacing w:val="-3"/>
          <w:sz w:val="24"/>
          <w:szCs w:val="24"/>
          <w:u w:val="single" w:color="auto"/>
        </w:rPr>
        <w:t>供应商</w:t>
      </w:r>
      <w:r>
        <w:rPr>
          <w:rFonts w:hint="eastAsia" w:ascii="新宋体" w:hAnsi="新宋体" w:eastAsia="新宋体" w:cs="新宋体"/>
          <w:spacing w:val="-3"/>
          <w:sz w:val="24"/>
          <w:szCs w:val="24"/>
          <w:u w:val="single" w:color="auto"/>
          <w:lang w:eastAsia="zh-CN"/>
        </w:rPr>
        <w:t>）</w:t>
      </w:r>
      <w:r>
        <w:rPr>
          <w:rFonts w:ascii="新宋体" w:hAnsi="新宋体" w:eastAsia="新宋体" w:cs="新宋体"/>
          <w:spacing w:val="36"/>
          <w:sz w:val="24"/>
          <w:szCs w:val="24"/>
        </w:rPr>
        <w:t xml:space="preserve"> </w:t>
      </w:r>
      <w:r>
        <w:rPr>
          <w:rFonts w:ascii="新宋体" w:hAnsi="新宋体" w:eastAsia="新宋体" w:cs="新宋体"/>
          <w:spacing w:val="-3"/>
          <w:sz w:val="24"/>
          <w:szCs w:val="24"/>
        </w:rPr>
        <w:t>的法定代表人。</w:t>
      </w:r>
    </w:p>
    <w:p w14:paraId="0B3B9060">
      <w:pPr>
        <w:pStyle w:val="13"/>
        <w:spacing w:line="283" w:lineRule="auto"/>
      </w:pPr>
    </w:p>
    <w:p w14:paraId="3AF5C0AA">
      <w:pPr>
        <w:pStyle w:val="13"/>
        <w:spacing w:line="284" w:lineRule="auto"/>
      </w:pPr>
    </w:p>
    <w:p w14:paraId="50B9C8BF">
      <w:pPr>
        <w:spacing w:before="78" w:line="220" w:lineRule="auto"/>
        <w:ind w:left="10"/>
        <w:rPr>
          <w:rFonts w:ascii="新宋体" w:hAnsi="新宋体" w:eastAsia="新宋体" w:cs="新宋体"/>
          <w:sz w:val="24"/>
          <w:szCs w:val="24"/>
        </w:rPr>
      </w:pPr>
      <w:r>
        <w:rPr>
          <w:rFonts w:ascii="新宋体" w:hAnsi="新宋体" w:eastAsia="新宋体" w:cs="新宋体"/>
          <w:spacing w:val="5"/>
          <w:sz w:val="24"/>
          <w:szCs w:val="24"/>
        </w:rPr>
        <w:t>特此证明。</w:t>
      </w:r>
    </w:p>
    <w:p w14:paraId="216A979F">
      <w:pPr>
        <w:pStyle w:val="13"/>
        <w:spacing w:line="283" w:lineRule="auto"/>
      </w:pPr>
    </w:p>
    <w:p w14:paraId="20C242D0">
      <w:pPr>
        <w:pStyle w:val="13"/>
        <w:spacing w:line="283" w:lineRule="auto"/>
      </w:pPr>
    </w:p>
    <w:p w14:paraId="0A5B4867">
      <w:pPr>
        <w:spacing w:before="79" w:line="360" w:lineRule="auto"/>
        <w:ind w:left="10"/>
        <w:rPr>
          <w:rFonts w:hint="eastAsia" w:ascii="新宋体" w:hAnsi="新宋体" w:eastAsia="新宋体" w:cs="新宋体"/>
          <w:sz w:val="24"/>
          <w:szCs w:val="24"/>
          <w:lang w:eastAsia="zh-CN"/>
        </w:rPr>
      </w:pPr>
      <w:r>
        <w:rPr>
          <w:rFonts w:ascii="新宋体" w:hAnsi="新宋体" w:eastAsia="新宋体" w:cs="新宋体"/>
          <w:spacing w:val="-7"/>
          <w:sz w:val="24"/>
          <w:szCs w:val="24"/>
        </w:rPr>
        <w:t>供应商</w:t>
      </w:r>
      <w:r>
        <w:rPr>
          <w:rFonts w:ascii="新宋体" w:hAnsi="新宋体" w:eastAsia="新宋体" w:cs="新宋体"/>
          <w:spacing w:val="-59"/>
          <w:sz w:val="24"/>
          <w:szCs w:val="24"/>
        </w:rPr>
        <w:t xml:space="preserve"> </w:t>
      </w:r>
      <w:r>
        <w:rPr>
          <w:rFonts w:ascii="新宋体" w:hAnsi="新宋体" w:eastAsia="新宋体" w:cs="新宋体"/>
          <w:spacing w:val="-7"/>
          <w:sz w:val="24"/>
          <w:szCs w:val="24"/>
        </w:rPr>
        <w:t>:</w:t>
      </w:r>
      <w:r>
        <w:rPr>
          <w:rFonts w:ascii="新宋体" w:hAnsi="新宋体" w:eastAsia="新宋体" w:cs="新宋体"/>
          <w:spacing w:val="-116"/>
          <w:sz w:val="24"/>
          <w:szCs w:val="24"/>
        </w:rPr>
        <w:t xml:space="preserve"> </w:t>
      </w:r>
      <w:r>
        <w:rPr>
          <w:rFonts w:ascii="新宋体" w:hAnsi="新宋体" w:eastAsia="新宋体" w:cs="新宋体"/>
          <w:sz w:val="24"/>
          <w:szCs w:val="24"/>
          <w:u w:val="single" w:color="auto"/>
        </w:rPr>
        <w:t xml:space="preserve">                       </w:t>
      </w:r>
      <w:r>
        <w:rPr>
          <w:rFonts w:ascii="新宋体" w:hAnsi="新宋体" w:eastAsia="新宋体" w:cs="新宋体"/>
          <w:spacing w:val="-56"/>
          <w:sz w:val="24"/>
          <w:szCs w:val="24"/>
        </w:rPr>
        <w:t xml:space="preserve"> </w:t>
      </w:r>
      <w:r>
        <w:rPr>
          <w:rFonts w:hint="eastAsia" w:ascii="新宋体" w:hAnsi="新宋体" w:eastAsia="新宋体" w:cs="新宋体"/>
          <w:spacing w:val="-7"/>
          <w:sz w:val="24"/>
          <w:szCs w:val="24"/>
          <w:lang w:eastAsia="zh-CN"/>
        </w:rPr>
        <w:t>（</w:t>
      </w:r>
      <w:r>
        <w:rPr>
          <w:rFonts w:ascii="新宋体" w:hAnsi="新宋体" w:eastAsia="新宋体" w:cs="新宋体"/>
          <w:spacing w:val="-7"/>
          <w:sz w:val="24"/>
          <w:szCs w:val="24"/>
        </w:rPr>
        <w:t>盖章</w:t>
      </w:r>
      <w:r>
        <w:rPr>
          <w:rFonts w:hint="eastAsia" w:ascii="新宋体" w:hAnsi="新宋体" w:eastAsia="新宋体" w:cs="新宋体"/>
          <w:spacing w:val="-7"/>
          <w:sz w:val="24"/>
          <w:szCs w:val="24"/>
          <w:lang w:eastAsia="zh-CN"/>
        </w:rPr>
        <w:t>）</w:t>
      </w:r>
    </w:p>
    <w:p w14:paraId="04B7DAE0">
      <w:pPr>
        <w:spacing w:line="220" w:lineRule="auto"/>
        <w:ind w:left="51"/>
        <w:rPr>
          <w:rFonts w:ascii="新宋体" w:hAnsi="新宋体" w:eastAsia="新宋体" w:cs="新宋体"/>
          <w:sz w:val="24"/>
          <w:szCs w:val="24"/>
        </w:rPr>
      </w:pPr>
      <w:r>
        <w:rPr>
          <w:rFonts w:ascii="新宋体" w:hAnsi="新宋体" w:eastAsia="新宋体" w:cs="新宋体"/>
          <w:spacing w:val="-23"/>
          <w:sz w:val="24"/>
          <w:szCs w:val="24"/>
        </w:rPr>
        <w:t>日</w:t>
      </w:r>
      <w:r>
        <w:rPr>
          <w:rFonts w:ascii="新宋体" w:hAnsi="新宋体" w:eastAsia="新宋体" w:cs="新宋体"/>
          <w:spacing w:val="25"/>
          <w:sz w:val="24"/>
          <w:szCs w:val="24"/>
        </w:rPr>
        <w:t xml:space="preserve">  </w:t>
      </w:r>
      <w:r>
        <w:rPr>
          <w:rFonts w:ascii="新宋体" w:hAnsi="新宋体" w:eastAsia="新宋体" w:cs="新宋体"/>
          <w:spacing w:val="-23"/>
          <w:sz w:val="24"/>
          <w:szCs w:val="24"/>
        </w:rPr>
        <w:t>期</w:t>
      </w:r>
      <w:r>
        <w:rPr>
          <w:rFonts w:ascii="新宋体" w:hAnsi="新宋体" w:eastAsia="新宋体" w:cs="新宋体"/>
          <w:spacing w:val="-62"/>
          <w:sz w:val="24"/>
          <w:szCs w:val="24"/>
        </w:rPr>
        <w:t xml:space="preserve"> </w:t>
      </w:r>
      <w:r>
        <w:rPr>
          <w:rFonts w:ascii="新宋体" w:hAnsi="新宋体" w:eastAsia="新宋体" w:cs="新宋体"/>
          <w:spacing w:val="-23"/>
          <w:sz w:val="24"/>
          <w:szCs w:val="24"/>
        </w:rPr>
        <w:t>:</w:t>
      </w:r>
      <w:r>
        <w:rPr>
          <w:rFonts w:ascii="新宋体" w:hAnsi="新宋体" w:eastAsia="新宋体" w:cs="新宋体"/>
          <w:spacing w:val="-115"/>
          <w:sz w:val="24"/>
          <w:szCs w:val="24"/>
        </w:rPr>
        <w:t xml:space="preserve"> </w:t>
      </w:r>
      <w:r>
        <w:rPr>
          <w:rFonts w:ascii="新宋体" w:hAnsi="新宋体" w:eastAsia="新宋体" w:cs="新宋体"/>
          <w:spacing w:val="12"/>
          <w:sz w:val="24"/>
          <w:szCs w:val="24"/>
          <w:u w:val="single" w:color="auto"/>
        </w:rPr>
        <w:t xml:space="preserve">       </w:t>
      </w:r>
      <w:r>
        <w:rPr>
          <w:rFonts w:ascii="新宋体" w:hAnsi="新宋体" w:eastAsia="新宋体" w:cs="新宋体"/>
          <w:spacing w:val="-109"/>
          <w:sz w:val="24"/>
          <w:szCs w:val="24"/>
        </w:rPr>
        <w:t xml:space="preserve"> </w:t>
      </w:r>
      <w:r>
        <w:rPr>
          <w:rFonts w:ascii="新宋体" w:hAnsi="新宋体" w:eastAsia="新宋体" w:cs="新宋体"/>
          <w:spacing w:val="-23"/>
          <w:sz w:val="24"/>
          <w:szCs w:val="24"/>
        </w:rPr>
        <w:t>年</w:t>
      </w:r>
      <w:r>
        <w:rPr>
          <w:rFonts w:ascii="新宋体" w:hAnsi="新宋体" w:eastAsia="新宋体" w:cs="新宋体"/>
          <w:spacing w:val="19"/>
          <w:sz w:val="24"/>
          <w:szCs w:val="24"/>
          <w:u w:val="single" w:color="auto"/>
        </w:rPr>
        <w:t xml:space="preserve">      </w:t>
      </w:r>
      <w:r>
        <w:rPr>
          <w:rFonts w:ascii="新宋体" w:hAnsi="新宋体" w:eastAsia="新宋体" w:cs="新宋体"/>
          <w:spacing w:val="-99"/>
          <w:sz w:val="24"/>
          <w:szCs w:val="24"/>
        </w:rPr>
        <w:t xml:space="preserve"> </w:t>
      </w:r>
      <w:r>
        <w:rPr>
          <w:rFonts w:ascii="新宋体" w:hAnsi="新宋体" w:eastAsia="新宋体" w:cs="新宋体"/>
          <w:spacing w:val="-23"/>
          <w:sz w:val="24"/>
          <w:szCs w:val="24"/>
        </w:rPr>
        <w:t>月</w:t>
      </w:r>
      <w:r>
        <w:rPr>
          <w:rFonts w:ascii="新宋体" w:hAnsi="新宋体" w:eastAsia="新宋体" w:cs="新宋体"/>
          <w:spacing w:val="19"/>
          <w:sz w:val="24"/>
          <w:szCs w:val="24"/>
          <w:u w:val="single" w:color="auto"/>
        </w:rPr>
        <w:t xml:space="preserve">      </w:t>
      </w:r>
      <w:r>
        <w:rPr>
          <w:rFonts w:ascii="新宋体" w:hAnsi="新宋体" w:eastAsia="新宋体" w:cs="新宋体"/>
          <w:spacing w:val="-64"/>
          <w:sz w:val="24"/>
          <w:szCs w:val="24"/>
        </w:rPr>
        <w:t xml:space="preserve"> </w:t>
      </w:r>
      <w:r>
        <w:rPr>
          <w:rFonts w:ascii="新宋体" w:hAnsi="新宋体" w:eastAsia="新宋体" w:cs="新宋体"/>
          <w:spacing w:val="-23"/>
          <w:sz w:val="24"/>
          <w:szCs w:val="24"/>
        </w:rPr>
        <w:t>日</w:t>
      </w:r>
    </w:p>
    <w:p w14:paraId="281B5DC9">
      <w:pPr>
        <w:pStyle w:val="13"/>
        <w:spacing w:line="282" w:lineRule="auto"/>
      </w:pPr>
    </w:p>
    <w:p w14:paraId="1DB7F2B5">
      <w:pPr>
        <w:pStyle w:val="13"/>
        <w:spacing w:line="283" w:lineRule="auto"/>
      </w:pPr>
    </w:p>
    <w:p w14:paraId="2AB617E0">
      <w:pPr>
        <w:spacing w:before="79" w:line="465" w:lineRule="exact"/>
        <w:ind w:left="28"/>
        <w:rPr>
          <w:rFonts w:ascii="新宋体" w:hAnsi="新宋体" w:eastAsia="新宋体" w:cs="新宋体"/>
          <w:sz w:val="24"/>
          <w:szCs w:val="24"/>
        </w:rPr>
      </w:pPr>
      <w:r>
        <w:rPr>
          <w:rFonts w:ascii="新宋体" w:hAnsi="新宋体" w:eastAsia="新宋体" w:cs="新宋体"/>
          <w:spacing w:val="7"/>
          <w:position w:val="17"/>
          <w:sz w:val="24"/>
          <w:szCs w:val="24"/>
        </w:rPr>
        <w:t>附：法定代表人联系地址：</w:t>
      </w:r>
    </w:p>
    <w:p w14:paraId="16D9C545">
      <w:pPr>
        <w:spacing w:before="1" w:line="222" w:lineRule="auto"/>
        <w:ind w:left="515"/>
        <w:rPr>
          <w:rFonts w:ascii="新宋体" w:hAnsi="新宋体" w:eastAsia="新宋体" w:cs="新宋体"/>
          <w:sz w:val="24"/>
          <w:szCs w:val="24"/>
        </w:rPr>
      </w:pPr>
      <w:r>
        <w:rPr>
          <w:rFonts w:ascii="新宋体" w:hAnsi="新宋体" w:eastAsia="新宋体" w:cs="新宋体"/>
          <w:spacing w:val="5"/>
          <w:sz w:val="24"/>
          <w:szCs w:val="24"/>
        </w:rPr>
        <w:t>联系电话：</w:t>
      </w:r>
    </w:p>
    <w:p w14:paraId="720EE69F">
      <w:pPr>
        <w:pStyle w:val="13"/>
        <w:spacing w:line="281" w:lineRule="auto"/>
      </w:pPr>
    </w:p>
    <w:p w14:paraId="799CE0EC">
      <w:pPr>
        <w:pStyle w:val="13"/>
        <w:spacing w:line="282" w:lineRule="auto"/>
      </w:pPr>
    </w:p>
    <w:p w14:paraId="72666263">
      <w:pPr>
        <w:spacing w:before="78" w:line="220" w:lineRule="auto"/>
        <w:ind w:left="3035"/>
        <w:rPr>
          <w:rFonts w:ascii="新宋体" w:hAnsi="新宋体" w:eastAsia="新宋体" w:cs="新宋体"/>
          <w:sz w:val="24"/>
          <w:szCs w:val="24"/>
        </w:rPr>
      </w:pPr>
      <w:r>
        <w:rPr>
          <w:rFonts w:ascii="新宋体" w:hAnsi="新宋体" w:eastAsia="新宋体" w:cs="新宋体"/>
          <w:spacing w:val="9"/>
          <w:sz w:val="24"/>
          <w:szCs w:val="24"/>
        </w:rPr>
        <w:t>法定代表人身份证复印件粘贴处：</w:t>
      </w:r>
    </w:p>
    <w:p w14:paraId="44B8B8D3">
      <w:pPr>
        <w:spacing w:line="220" w:lineRule="auto"/>
        <w:rPr>
          <w:rFonts w:ascii="新宋体" w:hAnsi="新宋体" w:eastAsia="新宋体" w:cs="新宋体"/>
          <w:sz w:val="24"/>
          <w:szCs w:val="24"/>
        </w:rPr>
        <w:sectPr>
          <w:footerReference r:id="rId8" w:type="default"/>
          <w:pgSz w:w="11906" w:h="16839"/>
          <w:pgMar w:top="1338" w:right="1132" w:bottom="1157" w:left="1588" w:header="851" w:footer="992" w:gutter="0"/>
          <w:pgNumType w:fmt="decimal"/>
          <w:cols w:space="720" w:num="1"/>
        </w:sectPr>
      </w:pPr>
    </w:p>
    <w:p w14:paraId="7613D5BC">
      <w:pPr>
        <w:pStyle w:val="13"/>
        <w:spacing w:line="259" w:lineRule="auto"/>
      </w:pPr>
    </w:p>
    <w:p w14:paraId="2F9C972B">
      <w:pPr>
        <w:spacing w:before="101" w:line="225" w:lineRule="auto"/>
        <w:ind w:left="13"/>
        <w:rPr>
          <w:rFonts w:ascii="宋体" w:hAnsi="宋体" w:eastAsia="宋体" w:cs="宋体"/>
          <w:sz w:val="31"/>
          <w:szCs w:val="31"/>
        </w:rPr>
      </w:pPr>
      <w:r>
        <w:rPr>
          <w:rFonts w:ascii="宋体" w:hAnsi="宋体" w:eastAsia="宋体" w:cs="宋体"/>
          <w:sz w:val="31"/>
          <w:szCs w:val="31"/>
          <w14:textOutline w14:w="5793" w14:cap="sq" w14:cmpd="sng">
            <w14:solidFill>
              <w14:srgbClr w14:val="000000"/>
            </w14:solidFill>
            <w14:prstDash w14:val="solid"/>
            <w14:bevel/>
          </w14:textOutline>
        </w:rPr>
        <w:t>格式</w:t>
      </w:r>
      <w:r>
        <w:rPr>
          <w:rFonts w:ascii="宋体" w:hAnsi="宋体" w:eastAsia="宋体" w:cs="宋体"/>
          <w:spacing w:val="-36"/>
          <w:sz w:val="31"/>
          <w:szCs w:val="31"/>
        </w:rPr>
        <w:t xml:space="preserve"> </w:t>
      </w:r>
      <w:r>
        <w:rPr>
          <w:rFonts w:ascii="宋体" w:hAnsi="宋体" w:eastAsia="宋体" w:cs="宋体"/>
          <w:sz w:val="31"/>
          <w:szCs w:val="31"/>
          <w14:textOutline w14:w="5793" w14:cap="sq" w14:cmpd="sng">
            <w14:solidFill>
              <w14:srgbClr w14:val="000000"/>
            </w14:solidFill>
            <w14:prstDash w14:val="solid"/>
            <w14:bevel/>
          </w14:textOutline>
        </w:rPr>
        <w:t>1-3</w:t>
      </w:r>
    </w:p>
    <w:p w14:paraId="1983028C">
      <w:pPr>
        <w:spacing w:before="177" w:line="225" w:lineRule="auto"/>
        <w:ind w:left="3003"/>
        <w:outlineLvl w:val="2"/>
        <w:rPr>
          <w:rFonts w:ascii="宋体" w:hAnsi="宋体" w:eastAsia="宋体" w:cs="宋体"/>
          <w:sz w:val="31"/>
          <w:szCs w:val="31"/>
        </w:rPr>
      </w:pPr>
      <w:bookmarkStart w:id="10" w:name="bookmark15"/>
      <w:bookmarkEnd w:id="10"/>
      <w:r>
        <w:rPr>
          <w:rFonts w:ascii="宋体" w:hAnsi="宋体" w:eastAsia="宋体" w:cs="宋体"/>
          <w:spacing w:val="9"/>
          <w:sz w:val="31"/>
          <w:szCs w:val="31"/>
          <w14:textOutline w14:w="5793" w14:cap="sq" w14:cmpd="sng">
            <w14:solidFill>
              <w14:srgbClr w14:val="000000"/>
            </w14:solidFill>
            <w14:prstDash w14:val="solid"/>
            <w14:bevel/>
          </w14:textOutline>
        </w:rPr>
        <w:t>二、法定代表人授权书</w:t>
      </w:r>
    </w:p>
    <w:p w14:paraId="6F68D63B">
      <w:pPr>
        <w:pStyle w:val="13"/>
        <w:spacing w:line="339" w:lineRule="auto"/>
      </w:pPr>
    </w:p>
    <w:p w14:paraId="146DDD99">
      <w:pPr>
        <w:pStyle w:val="13"/>
        <w:spacing w:line="339" w:lineRule="auto"/>
      </w:pPr>
    </w:p>
    <w:p w14:paraId="4490566C">
      <w:pPr>
        <w:spacing w:before="78" w:line="220" w:lineRule="auto"/>
        <w:ind w:left="32"/>
        <w:rPr>
          <w:rFonts w:ascii="宋体" w:hAnsi="宋体" w:eastAsia="宋体" w:cs="宋体"/>
          <w:sz w:val="24"/>
          <w:szCs w:val="24"/>
        </w:rPr>
      </w:pPr>
      <w:r>
        <w:rPr>
          <w:rFonts w:hint="eastAsia" w:ascii="宋体" w:hAnsi="宋体" w:eastAsia="宋体" w:cs="宋体"/>
          <w:spacing w:val="-3"/>
          <w:sz w:val="24"/>
          <w:szCs w:val="24"/>
          <w:lang w:eastAsia="zh-CN"/>
        </w:rPr>
        <w:t>四川华招项目管理有限公司</w:t>
      </w:r>
      <w:r>
        <w:rPr>
          <w:rFonts w:ascii="宋体" w:hAnsi="宋体" w:eastAsia="宋体" w:cs="宋体"/>
          <w:spacing w:val="-3"/>
          <w:sz w:val="24"/>
          <w:szCs w:val="24"/>
        </w:rPr>
        <w:t>：</w:t>
      </w:r>
    </w:p>
    <w:p w14:paraId="29BE5D4A">
      <w:pPr>
        <w:spacing w:before="274" w:line="431" w:lineRule="auto"/>
        <w:ind w:left="9" w:firstLine="481"/>
        <w:jc w:val="both"/>
        <w:rPr>
          <w:rFonts w:ascii="宋体" w:hAnsi="宋体" w:eastAsia="宋体" w:cs="宋体"/>
          <w:sz w:val="24"/>
          <w:szCs w:val="24"/>
        </w:rPr>
      </w:pPr>
      <w:r>
        <w:rPr>
          <w:rFonts w:ascii="宋体" w:hAnsi="宋体" w:eastAsia="宋体" w:cs="宋体"/>
          <w:spacing w:val="4"/>
          <w:sz w:val="24"/>
          <w:szCs w:val="24"/>
        </w:rPr>
        <w:t>本授权声明</w:t>
      </w:r>
      <w:r>
        <w:rPr>
          <w:rFonts w:ascii="宋体" w:hAnsi="宋体" w:eastAsia="宋体" w:cs="宋体"/>
          <w:spacing w:val="-16"/>
          <w:sz w:val="24"/>
          <w:szCs w:val="24"/>
        </w:rPr>
        <w:t>：</w:t>
      </w:r>
      <w:r>
        <w:rPr>
          <w:rFonts w:ascii="宋体" w:hAnsi="宋体" w:eastAsia="宋体" w:cs="宋体"/>
          <w:spacing w:val="1"/>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4"/>
          <w:sz w:val="24"/>
          <w:szCs w:val="24"/>
        </w:rPr>
        <w:t>投标人名称</w:t>
      </w:r>
      <w:r>
        <w:rPr>
          <w:rFonts w:ascii="宋体" w:hAnsi="宋体" w:eastAsia="宋体" w:cs="宋体"/>
          <w:spacing w:val="-16"/>
          <w:sz w:val="24"/>
          <w:szCs w:val="24"/>
        </w:rPr>
        <w:t>）</w:t>
      </w:r>
      <w:r>
        <w:rPr>
          <w:rFonts w:ascii="宋体" w:hAnsi="宋体" w:eastAsia="宋体" w:cs="宋体"/>
          <w:spacing w:val="1"/>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4"/>
          <w:sz w:val="24"/>
          <w:szCs w:val="24"/>
        </w:rPr>
        <w:t>法定代表人姓名、职</w:t>
      </w:r>
      <w:r>
        <w:rPr>
          <w:rFonts w:ascii="宋体" w:hAnsi="宋体" w:eastAsia="宋体" w:cs="宋体"/>
          <w:spacing w:val="3"/>
          <w:sz w:val="24"/>
          <w:szCs w:val="24"/>
        </w:rPr>
        <w:t>务）授</w:t>
      </w:r>
      <w:r>
        <w:rPr>
          <w:rFonts w:ascii="宋体" w:hAnsi="宋体" w:eastAsia="宋体" w:cs="宋体"/>
          <w:spacing w:val="-19"/>
          <w:sz w:val="24"/>
          <w:szCs w:val="24"/>
        </w:rPr>
        <w:t>权</w:t>
      </w:r>
      <w:r>
        <w:rPr>
          <w:rFonts w:ascii="宋体" w:hAnsi="宋体" w:eastAsia="宋体" w:cs="宋体"/>
          <w:spacing w:val="-19"/>
          <w:sz w:val="24"/>
          <w:szCs w:val="24"/>
          <w:u w:val="single" w:color="auto"/>
        </w:rPr>
        <w:t xml:space="preserve">            </w:t>
      </w:r>
      <w:r>
        <w:rPr>
          <w:rFonts w:hint="eastAsia" w:ascii="宋体" w:hAnsi="宋体" w:eastAsia="宋体" w:cs="宋体"/>
          <w:spacing w:val="-19"/>
          <w:sz w:val="24"/>
          <w:szCs w:val="24"/>
          <w:u w:val="single" w:color="auto"/>
          <w:lang w:val="en-US" w:eastAsia="zh-CN"/>
        </w:rPr>
        <w:t xml:space="preserve"> </w:t>
      </w:r>
      <w:r>
        <w:rPr>
          <w:rFonts w:ascii="宋体" w:hAnsi="宋体" w:eastAsia="宋体" w:cs="宋体"/>
          <w:spacing w:val="-19"/>
          <w:sz w:val="24"/>
          <w:szCs w:val="24"/>
        </w:rPr>
        <w:t>（被授权人姓名、职务）为我方“</w:t>
      </w:r>
      <w:r>
        <w:rPr>
          <w:rFonts w:ascii="宋体" w:hAnsi="宋体" w:eastAsia="宋体" w:cs="宋体"/>
          <w:spacing w:val="10"/>
          <w:sz w:val="24"/>
          <w:szCs w:val="24"/>
          <w:u w:val="single" w:color="auto"/>
        </w:rPr>
        <w:t xml:space="preserve">        </w:t>
      </w:r>
      <w:r>
        <w:rPr>
          <w:rFonts w:ascii="宋体" w:hAnsi="宋体" w:eastAsia="宋体" w:cs="宋体"/>
          <w:spacing w:val="-80"/>
          <w:sz w:val="24"/>
          <w:szCs w:val="24"/>
        </w:rPr>
        <w:t xml:space="preserve"> </w:t>
      </w:r>
      <w:r>
        <w:rPr>
          <w:rFonts w:ascii="宋体" w:hAnsi="宋体" w:eastAsia="宋体" w:cs="宋体"/>
          <w:spacing w:val="-19"/>
          <w:sz w:val="24"/>
          <w:szCs w:val="24"/>
        </w:rPr>
        <w:t>”项目（</w:t>
      </w:r>
      <w:r>
        <w:rPr>
          <w:rFonts w:hint="eastAsia" w:ascii="宋体" w:hAnsi="宋体" w:eastAsia="宋体" w:cs="宋体"/>
          <w:spacing w:val="-19"/>
          <w:sz w:val="24"/>
          <w:szCs w:val="24"/>
          <w:lang w:eastAsia="zh-CN"/>
        </w:rPr>
        <w:t>项目</w:t>
      </w:r>
      <w:r>
        <w:rPr>
          <w:rFonts w:ascii="宋体" w:hAnsi="宋体" w:eastAsia="宋体" w:cs="宋体"/>
          <w:spacing w:val="-19"/>
          <w:sz w:val="24"/>
          <w:szCs w:val="24"/>
        </w:rPr>
        <w:t>编号</w:t>
      </w:r>
      <w:r>
        <w:rPr>
          <w:rFonts w:ascii="宋体" w:hAnsi="宋体" w:eastAsia="宋体" w:cs="宋体"/>
          <w:spacing w:val="-61"/>
          <w:sz w:val="24"/>
          <w:szCs w:val="24"/>
        </w:rPr>
        <w:t>：</w:t>
      </w:r>
      <w:r>
        <w:rPr>
          <w:rFonts w:ascii="宋体" w:hAnsi="宋体" w:eastAsia="宋体" w:cs="宋体"/>
          <w:spacing w:val="12"/>
          <w:sz w:val="24"/>
          <w:szCs w:val="24"/>
          <w:u w:val="single" w:color="auto"/>
        </w:rPr>
        <w:t xml:space="preserve">          </w:t>
      </w:r>
      <w:r>
        <w:rPr>
          <w:rFonts w:ascii="宋体" w:hAnsi="宋体" w:eastAsia="宋体" w:cs="宋体"/>
          <w:spacing w:val="-61"/>
          <w:sz w:val="24"/>
          <w:szCs w:val="24"/>
        </w:rPr>
        <w:t>）</w:t>
      </w:r>
      <w:r>
        <w:rPr>
          <w:rFonts w:ascii="宋体" w:hAnsi="宋体" w:eastAsia="宋体" w:cs="宋体"/>
          <w:sz w:val="24"/>
          <w:szCs w:val="24"/>
        </w:rPr>
        <w:t xml:space="preserve"> </w:t>
      </w:r>
      <w:r>
        <w:rPr>
          <w:rFonts w:ascii="宋体" w:hAnsi="宋体" w:eastAsia="宋体" w:cs="宋体"/>
          <w:spacing w:val="1"/>
          <w:sz w:val="24"/>
          <w:szCs w:val="24"/>
        </w:rPr>
        <w:t>投标活动的合法代表，以我方名义全权处理该项目有关投标、签订合同以及执行合同等</w:t>
      </w:r>
    </w:p>
    <w:p w14:paraId="10C66D95">
      <w:pPr>
        <w:spacing w:before="1" w:line="220" w:lineRule="auto"/>
        <w:ind w:left="14"/>
        <w:rPr>
          <w:rFonts w:ascii="宋体" w:hAnsi="宋体" w:eastAsia="宋体" w:cs="宋体"/>
          <w:sz w:val="24"/>
          <w:szCs w:val="24"/>
        </w:rPr>
      </w:pPr>
      <w:r>
        <w:rPr>
          <w:rFonts w:ascii="宋体" w:hAnsi="宋体" w:eastAsia="宋体" w:cs="宋体"/>
          <w:spacing w:val="-3"/>
          <w:sz w:val="24"/>
          <w:szCs w:val="24"/>
        </w:rPr>
        <w:t>一切事宜。</w:t>
      </w:r>
    </w:p>
    <w:p w14:paraId="423C74F6">
      <w:pPr>
        <w:spacing w:before="272" w:line="220" w:lineRule="auto"/>
        <w:ind w:left="490"/>
        <w:rPr>
          <w:rFonts w:ascii="宋体" w:hAnsi="宋体" w:eastAsia="宋体" w:cs="宋体"/>
          <w:sz w:val="24"/>
          <w:szCs w:val="24"/>
        </w:rPr>
      </w:pPr>
      <w:r>
        <w:rPr>
          <w:rFonts w:ascii="宋体" w:hAnsi="宋体" w:eastAsia="宋体" w:cs="宋体"/>
          <w:spacing w:val="-2"/>
          <w:sz w:val="24"/>
          <w:szCs w:val="24"/>
        </w:rPr>
        <w:t>特此声明。</w:t>
      </w:r>
    </w:p>
    <w:p w14:paraId="021E8B02">
      <w:pPr>
        <w:pStyle w:val="13"/>
        <w:spacing w:line="266" w:lineRule="auto"/>
      </w:pPr>
    </w:p>
    <w:p w14:paraId="4EEE6D7B">
      <w:pPr>
        <w:pStyle w:val="13"/>
        <w:spacing w:line="266" w:lineRule="auto"/>
      </w:pPr>
    </w:p>
    <w:p w14:paraId="1ACD04FE">
      <w:pPr>
        <w:pStyle w:val="13"/>
        <w:spacing w:line="266" w:lineRule="auto"/>
      </w:pPr>
    </w:p>
    <w:p w14:paraId="6CCBAA3F">
      <w:pPr>
        <w:pStyle w:val="13"/>
        <w:spacing w:line="266" w:lineRule="auto"/>
      </w:pPr>
    </w:p>
    <w:p w14:paraId="3AE250F6">
      <w:pPr>
        <w:pStyle w:val="13"/>
        <w:spacing w:line="266" w:lineRule="auto"/>
      </w:pPr>
    </w:p>
    <w:p w14:paraId="23183810">
      <w:pPr>
        <w:pStyle w:val="13"/>
        <w:spacing w:line="266" w:lineRule="auto"/>
      </w:pPr>
    </w:p>
    <w:p w14:paraId="2A10589D">
      <w:pPr>
        <w:pStyle w:val="13"/>
        <w:spacing w:line="267" w:lineRule="auto"/>
      </w:pPr>
    </w:p>
    <w:p w14:paraId="4846F3A6">
      <w:pPr>
        <w:spacing w:before="79" w:line="562" w:lineRule="exact"/>
        <w:ind w:left="491"/>
        <w:rPr>
          <w:rFonts w:ascii="宋体" w:hAnsi="宋体" w:eastAsia="宋体" w:cs="宋体"/>
          <w:sz w:val="24"/>
          <w:szCs w:val="24"/>
        </w:rPr>
      </w:pPr>
      <w:r>
        <w:rPr>
          <w:rFonts w:ascii="宋体" w:hAnsi="宋体" w:eastAsia="宋体" w:cs="宋体"/>
          <w:spacing w:val="8"/>
          <w:position w:val="24"/>
          <w:sz w:val="24"/>
          <w:szCs w:val="24"/>
        </w:rPr>
        <w:t>法定代表人（签字或加盖个人名章</w:t>
      </w:r>
      <w:r>
        <w:rPr>
          <w:rFonts w:ascii="宋体" w:hAnsi="宋体" w:eastAsia="宋体" w:cs="宋体"/>
          <w:spacing w:val="21"/>
          <w:position w:val="24"/>
          <w:sz w:val="24"/>
          <w:szCs w:val="24"/>
        </w:rPr>
        <w:t>）：</w:t>
      </w:r>
    </w:p>
    <w:p w14:paraId="29F3A869">
      <w:pPr>
        <w:spacing w:line="220" w:lineRule="auto"/>
        <w:ind w:left="489"/>
        <w:rPr>
          <w:rFonts w:ascii="宋体" w:hAnsi="宋体" w:eastAsia="宋体" w:cs="宋体"/>
          <w:sz w:val="24"/>
          <w:szCs w:val="24"/>
        </w:rPr>
      </w:pPr>
      <w:r>
        <w:rPr>
          <w:rFonts w:ascii="宋体" w:hAnsi="宋体" w:eastAsia="宋体" w:cs="宋体"/>
          <w:spacing w:val="-2"/>
          <w:sz w:val="24"/>
          <w:szCs w:val="24"/>
        </w:rPr>
        <w:t>授权代表签字：</w:t>
      </w:r>
    </w:p>
    <w:p w14:paraId="3444AD57">
      <w:pPr>
        <w:spacing w:before="273" w:line="219" w:lineRule="auto"/>
        <w:ind w:left="493"/>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17"/>
          <w:sz w:val="24"/>
          <w:szCs w:val="24"/>
        </w:rPr>
        <w:t xml:space="preserve">       </w:t>
      </w:r>
      <w:r>
        <w:rPr>
          <w:rFonts w:ascii="宋体" w:hAnsi="宋体" w:eastAsia="宋体" w:cs="宋体"/>
          <w:spacing w:val="-18"/>
          <w:sz w:val="24"/>
          <w:szCs w:val="24"/>
        </w:rPr>
        <w:t>（</w:t>
      </w:r>
      <w:r>
        <w:rPr>
          <w:rFonts w:ascii="宋体" w:hAnsi="宋体" w:eastAsia="宋体" w:cs="宋体"/>
          <w:spacing w:val="2"/>
          <w:sz w:val="24"/>
          <w:szCs w:val="24"/>
        </w:rPr>
        <w:t>盖单位公章）</w:t>
      </w:r>
    </w:p>
    <w:p w14:paraId="131CC830">
      <w:pPr>
        <w:spacing w:before="274" w:line="221" w:lineRule="auto"/>
        <w:ind w:left="493"/>
        <w:rPr>
          <w:rFonts w:ascii="宋体" w:hAnsi="宋体" w:eastAsia="宋体" w:cs="宋体"/>
          <w:sz w:val="24"/>
          <w:szCs w:val="24"/>
        </w:rPr>
      </w:pPr>
      <w:r>
        <w:rPr>
          <w:rFonts w:ascii="宋体" w:hAnsi="宋体" w:eastAsia="宋体" w:cs="宋体"/>
          <w:spacing w:val="-3"/>
          <w:sz w:val="24"/>
          <w:szCs w:val="24"/>
        </w:rPr>
        <w:t>投标日期：</w:t>
      </w:r>
    </w:p>
    <w:p w14:paraId="45459D76">
      <w:pPr>
        <w:pStyle w:val="13"/>
        <w:spacing w:line="351" w:lineRule="auto"/>
      </w:pPr>
    </w:p>
    <w:p w14:paraId="71796E2E">
      <w:pPr>
        <w:pStyle w:val="13"/>
        <w:spacing w:line="352" w:lineRule="auto"/>
      </w:pPr>
    </w:p>
    <w:p w14:paraId="1D14F231">
      <w:pPr>
        <w:spacing w:before="79" w:line="220" w:lineRule="auto"/>
        <w:ind w:left="13"/>
        <w:rPr>
          <w:rFonts w:ascii="宋体" w:hAnsi="宋体" w:eastAsia="宋体" w:cs="宋体"/>
          <w:sz w:val="24"/>
          <w:szCs w:val="24"/>
        </w:rPr>
      </w:pPr>
      <w:r>
        <w:rPr>
          <w:rFonts w:ascii="宋体" w:hAnsi="宋体" w:eastAsia="宋体" w:cs="宋体"/>
          <w:spacing w:val="-5"/>
          <w:sz w:val="24"/>
          <w:szCs w:val="24"/>
        </w:rPr>
        <w:t>说明：</w:t>
      </w:r>
    </w:p>
    <w:p w14:paraId="05E9C261">
      <w:pPr>
        <w:spacing w:before="114" w:line="263" w:lineRule="auto"/>
        <w:ind w:left="16" w:right="99" w:firstLine="11"/>
        <w:rPr>
          <w:rFonts w:ascii="宋体" w:hAnsi="宋体" w:eastAsia="宋体" w:cs="宋体"/>
          <w:sz w:val="24"/>
          <w:szCs w:val="24"/>
        </w:rPr>
      </w:pPr>
      <w:r>
        <w:rPr>
          <w:rFonts w:ascii="宋体" w:hAnsi="宋体" w:eastAsia="宋体" w:cs="宋体"/>
          <w:spacing w:val="-2"/>
          <w:sz w:val="24"/>
          <w:szCs w:val="24"/>
        </w:rPr>
        <w:t>1、如法定代表人参加投标的，响应文件中不需提供授权委托书，但必须提</w:t>
      </w:r>
      <w:r>
        <w:rPr>
          <w:rFonts w:ascii="宋体" w:hAnsi="宋体" w:eastAsia="宋体" w:cs="宋体"/>
          <w:spacing w:val="-3"/>
          <w:sz w:val="24"/>
          <w:szCs w:val="24"/>
        </w:rPr>
        <w:t>供法定代表人</w:t>
      </w:r>
      <w:r>
        <w:rPr>
          <w:rFonts w:ascii="宋体" w:hAnsi="宋体" w:eastAsia="宋体" w:cs="宋体"/>
          <w:sz w:val="24"/>
          <w:szCs w:val="24"/>
        </w:rPr>
        <w:t xml:space="preserve"> </w:t>
      </w:r>
      <w:r>
        <w:rPr>
          <w:rFonts w:ascii="宋体" w:hAnsi="宋体" w:eastAsia="宋体" w:cs="宋体"/>
          <w:spacing w:val="-1"/>
          <w:sz w:val="24"/>
          <w:szCs w:val="24"/>
        </w:rPr>
        <w:t>身份证明书（包含：法定代表人身份证复印件）。</w:t>
      </w:r>
    </w:p>
    <w:p w14:paraId="06E6875A">
      <w:pPr>
        <w:spacing w:before="116" w:line="400" w:lineRule="exact"/>
        <w:ind w:left="13"/>
        <w:rPr>
          <w:rFonts w:ascii="宋体" w:hAnsi="宋体" w:eastAsia="宋体" w:cs="宋体"/>
          <w:sz w:val="24"/>
          <w:szCs w:val="24"/>
        </w:rPr>
      </w:pPr>
      <w:r>
        <w:rPr>
          <w:rFonts w:ascii="宋体" w:hAnsi="宋体" w:eastAsia="宋体" w:cs="宋体"/>
          <w:spacing w:val="-2"/>
          <w:position w:val="11"/>
          <w:sz w:val="24"/>
          <w:szCs w:val="24"/>
          <w14:textOutline w14:w="4358" w14:cap="sq" w14:cmpd="sng">
            <w14:solidFill>
              <w14:srgbClr w14:val="000000"/>
            </w14:solidFill>
            <w14:prstDash w14:val="solid"/>
            <w14:bevel/>
          </w14:textOutline>
        </w:rPr>
        <w:t>2、如委托代理人参加投标的，响应文件中必须提供授权委托书、法定代表人和委托代理</w:t>
      </w:r>
    </w:p>
    <w:p w14:paraId="412F3560">
      <w:pPr>
        <w:spacing w:line="220" w:lineRule="auto"/>
        <w:ind w:left="12"/>
        <w:rPr>
          <w:rFonts w:ascii="宋体" w:hAnsi="宋体" w:eastAsia="宋体" w:cs="宋体"/>
          <w:sz w:val="24"/>
          <w:szCs w:val="24"/>
        </w:rPr>
      </w:pPr>
      <w:r>
        <w:rPr>
          <w:rFonts w:ascii="宋体" w:hAnsi="宋体" w:eastAsia="宋体" w:cs="宋体"/>
          <w:spacing w:val="-1"/>
          <w:sz w:val="24"/>
          <w:szCs w:val="24"/>
          <w14:textOutline w14:w="4358" w14:cap="sq" w14:cmpd="sng">
            <w14:solidFill>
              <w14:srgbClr w14:val="000000"/>
            </w14:solidFill>
            <w14:prstDash w14:val="solid"/>
            <w14:bevel/>
          </w14:textOutline>
        </w:rPr>
        <w:t>人的身份证复印件。</w:t>
      </w:r>
    </w:p>
    <w:p w14:paraId="6A7B6E34">
      <w:pPr>
        <w:spacing w:line="220" w:lineRule="auto"/>
        <w:rPr>
          <w:rFonts w:ascii="宋体" w:hAnsi="宋体" w:eastAsia="宋体" w:cs="宋体"/>
          <w:sz w:val="24"/>
          <w:szCs w:val="24"/>
        </w:rPr>
        <w:sectPr>
          <w:headerReference r:id="rId9" w:type="default"/>
          <w:footerReference r:id="rId10" w:type="default"/>
          <w:pgSz w:w="11906" w:h="16839"/>
          <w:pgMar w:top="1395" w:right="1033" w:bottom="1157" w:left="1361" w:header="851" w:footer="992" w:gutter="0"/>
          <w:pgNumType w:fmt="decimal"/>
          <w:cols w:space="720" w:num="1"/>
        </w:sectPr>
      </w:pPr>
    </w:p>
    <w:p w14:paraId="5CFA1BB2">
      <w:pPr>
        <w:pStyle w:val="13"/>
        <w:spacing w:line="259" w:lineRule="auto"/>
      </w:pPr>
    </w:p>
    <w:p w14:paraId="39FCE5FE">
      <w:pPr>
        <w:spacing w:before="101" w:line="225" w:lineRule="auto"/>
        <w:ind w:left="13"/>
        <w:rPr>
          <w:rFonts w:ascii="宋体" w:hAnsi="宋体" w:eastAsia="宋体" w:cs="宋体"/>
          <w:sz w:val="31"/>
          <w:szCs w:val="31"/>
        </w:rPr>
      </w:pPr>
      <w:bookmarkStart w:id="11" w:name="bookmark16"/>
      <w:bookmarkEnd w:id="11"/>
      <w:r>
        <w:rPr>
          <w:rFonts w:ascii="宋体" w:hAnsi="宋体" w:eastAsia="宋体" w:cs="宋体"/>
          <w:spacing w:val="-2"/>
          <w:sz w:val="31"/>
          <w:szCs w:val="31"/>
          <w14:textOutline w14:w="5793" w14:cap="sq" w14:cmpd="sng">
            <w14:solidFill>
              <w14:srgbClr w14:val="000000"/>
            </w14:solidFill>
            <w14:prstDash w14:val="solid"/>
            <w14:bevel/>
          </w14:textOutline>
        </w:rPr>
        <w:t>格式</w:t>
      </w:r>
      <w:r>
        <w:rPr>
          <w:rFonts w:ascii="宋体" w:hAnsi="宋体" w:eastAsia="宋体" w:cs="宋体"/>
          <w:spacing w:val="-40"/>
          <w:sz w:val="31"/>
          <w:szCs w:val="31"/>
        </w:rPr>
        <w:t xml:space="preserve"> </w:t>
      </w:r>
      <w:r>
        <w:rPr>
          <w:rFonts w:ascii="宋体" w:hAnsi="宋体" w:eastAsia="宋体" w:cs="宋体"/>
          <w:spacing w:val="-2"/>
          <w:sz w:val="31"/>
          <w:szCs w:val="31"/>
          <w14:textOutline w14:w="5793" w14:cap="sq" w14:cmpd="sng">
            <w14:solidFill>
              <w14:srgbClr w14:val="000000"/>
            </w14:solidFill>
            <w14:prstDash w14:val="solid"/>
            <w14:bevel/>
          </w14:textOutline>
        </w:rPr>
        <w:t>1-4</w:t>
      </w:r>
    </w:p>
    <w:p w14:paraId="23221B7D">
      <w:pPr>
        <w:spacing w:before="178" w:line="227" w:lineRule="auto"/>
        <w:ind w:left="2684"/>
        <w:outlineLvl w:val="2"/>
        <w:rPr>
          <w:rFonts w:hint="eastAsia" w:ascii="宋体" w:hAnsi="宋体" w:eastAsia="宋体" w:cs="宋体"/>
          <w:sz w:val="31"/>
          <w:szCs w:val="31"/>
        </w:rPr>
      </w:pPr>
      <w:r>
        <w:rPr>
          <w:rFonts w:hint="eastAsia" w:ascii="宋体" w:hAnsi="宋体" w:eastAsia="宋体" w:cs="宋体"/>
          <w:spacing w:val="8"/>
          <w:sz w:val="31"/>
          <w:szCs w:val="31"/>
          <w14:textOutline w14:w="5793" w14:cap="sq" w14:cmpd="sng">
            <w14:solidFill>
              <w14:srgbClr w14:val="000000"/>
            </w14:solidFill>
            <w14:prstDash w14:val="solid"/>
            <w14:bevel/>
          </w14:textOutline>
        </w:rPr>
        <w:t>三、</w:t>
      </w:r>
      <w:r>
        <w:rPr>
          <w:rFonts w:hint="eastAsia" w:ascii="宋体" w:hAnsi="宋体" w:eastAsia="宋体" w:cs="宋体"/>
          <w:b/>
          <w:bCs/>
          <w:spacing w:val="8"/>
          <w:sz w:val="31"/>
          <w:szCs w:val="31"/>
        </w:rPr>
        <w:t>无行贿犯罪记录承诺书</w:t>
      </w:r>
    </w:p>
    <w:p w14:paraId="09497962">
      <w:pPr>
        <w:pStyle w:val="13"/>
        <w:spacing w:line="329" w:lineRule="auto"/>
      </w:pPr>
    </w:p>
    <w:p w14:paraId="20D00F3D">
      <w:pPr>
        <w:pStyle w:val="13"/>
        <w:spacing w:line="329" w:lineRule="auto"/>
      </w:pPr>
    </w:p>
    <w:p w14:paraId="494B5444">
      <w:pPr>
        <w:spacing w:before="78" w:line="219" w:lineRule="auto"/>
        <w:ind w:left="489"/>
        <w:rPr>
          <w:rFonts w:ascii="宋体" w:hAnsi="宋体" w:eastAsia="宋体" w:cs="宋体"/>
          <w:sz w:val="24"/>
          <w:szCs w:val="24"/>
        </w:rPr>
      </w:pPr>
      <w:r>
        <w:rPr>
          <w:rFonts w:ascii="宋体" w:hAnsi="宋体" w:eastAsia="宋体" w:cs="宋体"/>
          <w:spacing w:val="-2"/>
          <w:sz w:val="24"/>
          <w:szCs w:val="24"/>
        </w:rPr>
        <w:t>采购项目名称：</w:t>
      </w:r>
    </w:p>
    <w:p w14:paraId="7915A33B">
      <w:pPr>
        <w:spacing w:before="175" w:line="220" w:lineRule="auto"/>
        <w:ind w:left="512"/>
        <w:rPr>
          <w:rFonts w:ascii="宋体" w:hAnsi="宋体" w:eastAsia="宋体" w:cs="宋体"/>
          <w:sz w:val="24"/>
          <w:szCs w:val="24"/>
        </w:rPr>
      </w:pPr>
      <w:r>
        <w:rPr>
          <w:rFonts w:hint="eastAsia" w:ascii="宋体" w:hAnsi="宋体" w:eastAsia="宋体" w:cs="宋体"/>
          <w:spacing w:val="-3"/>
          <w:sz w:val="24"/>
          <w:szCs w:val="24"/>
          <w:lang w:eastAsia="zh-CN"/>
        </w:rPr>
        <w:t>四川华招项目管理有限公司</w:t>
      </w:r>
      <w:r>
        <w:rPr>
          <w:rFonts w:ascii="宋体" w:hAnsi="宋体" w:eastAsia="宋体" w:cs="宋体"/>
          <w:spacing w:val="-3"/>
          <w:sz w:val="24"/>
          <w:szCs w:val="24"/>
        </w:rPr>
        <w:t>：</w:t>
      </w:r>
    </w:p>
    <w:p w14:paraId="4FE6614E">
      <w:pPr>
        <w:tabs>
          <w:tab w:val="left" w:pos="3016"/>
        </w:tabs>
        <w:spacing w:before="174" w:line="353" w:lineRule="auto"/>
        <w:ind w:left="0" w:firstLine="480" w:firstLineChars="200"/>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pacing w:val="-8"/>
          <w:sz w:val="24"/>
          <w:szCs w:val="24"/>
          <w:u w:val="single" w:color="auto"/>
        </w:rPr>
        <w:t xml:space="preserve">（投标单位） </w:t>
      </w:r>
      <w:r>
        <w:rPr>
          <w:rFonts w:ascii="宋体" w:hAnsi="宋体" w:eastAsia="宋体" w:cs="宋体"/>
          <w:spacing w:val="-96"/>
          <w:sz w:val="24"/>
          <w:szCs w:val="24"/>
        </w:rPr>
        <w:t xml:space="preserve"> </w:t>
      </w:r>
      <w:r>
        <w:rPr>
          <w:rFonts w:ascii="宋体" w:hAnsi="宋体" w:eastAsia="宋体" w:cs="宋体"/>
          <w:spacing w:val="-8"/>
          <w:sz w:val="24"/>
          <w:szCs w:val="24"/>
        </w:rPr>
        <w:t>在此承诺，我方参加本次政府采购活动前，我</w:t>
      </w:r>
      <w:r>
        <w:rPr>
          <w:rFonts w:ascii="宋体" w:hAnsi="宋体" w:eastAsia="宋体" w:cs="宋体"/>
          <w:spacing w:val="-1"/>
          <w:sz w:val="24"/>
          <w:szCs w:val="24"/>
        </w:rPr>
        <w:t>公司及其现任法定代表人、主要负责人不具有行贿犯罪记录。</w:t>
      </w:r>
    </w:p>
    <w:p w14:paraId="3A4F1D06">
      <w:pPr>
        <w:spacing w:before="175" w:line="220" w:lineRule="auto"/>
        <w:ind w:left="732"/>
        <w:rPr>
          <w:rFonts w:ascii="宋体" w:hAnsi="宋体" w:eastAsia="宋体" w:cs="宋体"/>
          <w:sz w:val="24"/>
          <w:szCs w:val="24"/>
        </w:rPr>
      </w:pPr>
      <w:r>
        <w:rPr>
          <w:rFonts w:ascii="宋体" w:hAnsi="宋体" w:eastAsia="宋体" w:cs="宋体"/>
          <w:spacing w:val="-1"/>
          <w:sz w:val="24"/>
          <w:szCs w:val="24"/>
        </w:rPr>
        <w:t>我方对此承诺负全部法律责任，特此承诺！</w:t>
      </w:r>
    </w:p>
    <w:p w14:paraId="5D80F28A">
      <w:pPr>
        <w:pStyle w:val="13"/>
      </w:pPr>
    </w:p>
    <w:p w14:paraId="4F6FDD31">
      <w:pPr>
        <w:pStyle w:val="13"/>
      </w:pPr>
    </w:p>
    <w:p w14:paraId="335C038E">
      <w:pPr>
        <w:pStyle w:val="13"/>
      </w:pPr>
    </w:p>
    <w:p w14:paraId="621AD47B">
      <w:pPr>
        <w:pStyle w:val="13"/>
      </w:pPr>
    </w:p>
    <w:p w14:paraId="4BF20931">
      <w:pPr>
        <w:pStyle w:val="13"/>
      </w:pPr>
    </w:p>
    <w:p w14:paraId="7B9B624F">
      <w:pPr>
        <w:pStyle w:val="13"/>
        <w:spacing w:line="241" w:lineRule="auto"/>
      </w:pPr>
    </w:p>
    <w:p w14:paraId="4A359B73">
      <w:pPr>
        <w:pStyle w:val="13"/>
        <w:spacing w:line="241" w:lineRule="auto"/>
      </w:pPr>
    </w:p>
    <w:p w14:paraId="765ABA03">
      <w:pPr>
        <w:pStyle w:val="13"/>
        <w:spacing w:line="241" w:lineRule="auto"/>
      </w:pPr>
    </w:p>
    <w:p w14:paraId="25806B7E">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102410A8">
      <w:pPr>
        <w:spacing w:before="176" w:line="461" w:lineRule="exact"/>
        <w:ind w:left="479"/>
        <w:rPr>
          <w:rFonts w:ascii="宋体" w:hAnsi="宋体" w:eastAsia="宋体" w:cs="宋体"/>
          <w:sz w:val="24"/>
          <w:szCs w:val="24"/>
        </w:rPr>
      </w:pPr>
      <w:r>
        <w:rPr>
          <w:rFonts w:ascii="宋体" w:hAnsi="宋体" w:eastAsia="宋体" w:cs="宋体"/>
          <w:spacing w:val="-1"/>
          <w:position w:val="16"/>
          <w:sz w:val="24"/>
          <w:szCs w:val="24"/>
        </w:rPr>
        <w:t>法定代表人或授权代表（签字或加盖个人名章</w:t>
      </w:r>
      <w:r>
        <w:rPr>
          <w:rFonts w:ascii="宋体" w:hAnsi="宋体" w:eastAsia="宋体" w:cs="宋体"/>
          <w:spacing w:val="4"/>
          <w:position w:val="16"/>
          <w:sz w:val="24"/>
          <w:szCs w:val="24"/>
        </w:rPr>
        <w:t>）：</w:t>
      </w:r>
    </w:p>
    <w:p w14:paraId="2EDCFD51">
      <w:pPr>
        <w:spacing w:before="1"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67F8052B">
      <w:pPr>
        <w:spacing w:line="220" w:lineRule="auto"/>
        <w:rPr>
          <w:rFonts w:ascii="宋体" w:hAnsi="宋体" w:eastAsia="宋体" w:cs="宋体"/>
          <w:sz w:val="24"/>
          <w:szCs w:val="24"/>
        </w:rPr>
        <w:sectPr>
          <w:headerReference r:id="rId11" w:type="default"/>
          <w:footerReference r:id="rId12" w:type="default"/>
          <w:pgSz w:w="11906" w:h="16839"/>
          <w:pgMar w:top="1395" w:right="1132" w:bottom="1157" w:left="1361" w:header="851" w:footer="992" w:gutter="0"/>
          <w:pgNumType w:fmt="decimal"/>
          <w:cols w:space="720" w:num="1"/>
        </w:sectPr>
      </w:pPr>
    </w:p>
    <w:p w14:paraId="57F3963F">
      <w:pPr>
        <w:pStyle w:val="13"/>
        <w:spacing w:line="248" w:lineRule="auto"/>
      </w:pPr>
    </w:p>
    <w:p w14:paraId="0E461E06">
      <w:pPr>
        <w:spacing w:before="101" w:line="225" w:lineRule="auto"/>
        <w:ind w:left="33"/>
        <w:rPr>
          <w:rFonts w:ascii="宋体" w:hAnsi="宋体" w:eastAsia="宋体" w:cs="宋体"/>
          <w:color w:val="0000FF"/>
          <w:sz w:val="31"/>
          <w:szCs w:val="31"/>
        </w:rPr>
      </w:pPr>
      <w:r>
        <w:rPr>
          <w:rFonts w:ascii="宋体" w:hAnsi="宋体" w:eastAsia="宋体" w:cs="宋体"/>
          <w:color w:val="0000FF"/>
          <w:sz w:val="31"/>
          <w:szCs w:val="31"/>
          <w14:textOutline w14:w="5793" w14:cap="sq" w14:cmpd="sng">
            <w14:solidFill>
              <w14:srgbClr w14:val="000000"/>
            </w14:solidFill>
            <w14:prstDash w14:val="solid"/>
            <w14:bevel/>
          </w14:textOutline>
        </w:rPr>
        <w:t>格式</w:t>
      </w:r>
      <w:r>
        <w:rPr>
          <w:rFonts w:ascii="宋体" w:hAnsi="宋体" w:eastAsia="宋体" w:cs="宋体"/>
          <w:color w:val="0000FF"/>
          <w:spacing w:val="-36"/>
          <w:sz w:val="31"/>
          <w:szCs w:val="31"/>
        </w:rPr>
        <w:t xml:space="preserve"> </w:t>
      </w:r>
      <w:r>
        <w:rPr>
          <w:rFonts w:ascii="宋体" w:hAnsi="宋体" w:eastAsia="宋体" w:cs="宋体"/>
          <w:color w:val="0000FF"/>
          <w:sz w:val="31"/>
          <w:szCs w:val="31"/>
          <w14:textOutline w14:w="5793" w14:cap="sq" w14:cmpd="sng">
            <w14:solidFill>
              <w14:srgbClr w14:val="000000"/>
            </w14:solidFill>
            <w14:prstDash w14:val="solid"/>
            <w14:bevel/>
          </w14:textOutline>
        </w:rPr>
        <w:t>1-5</w:t>
      </w:r>
    </w:p>
    <w:p w14:paraId="7697C6E2">
      <w:pPr>
        <w:spacing w:before="114" w:line="225" w:lineRule="auto"/>
        <w:ind w:left="3209"/>
        <w:outlineLvl w:val="2"/>
        <w:rPr>
          <w:rFonts w:ascii="宋体" w:hAnsi="宋体" w:eastAsia="宋体" w:cs="宋体"/>
          <w:color w:val="0000FF"/>
          <w:sz w:val="31"/>
          <w:szCs w:val="31"/>
        </w:rPr>
      </w:pPr>
      <w:bookmarkStart w:id="12" w:name="bookmark17"/>
      <w:bookmarkEnd w:id="12"/>
      <w:r>
        <w:rPr>
          <w:rFonts w:ascii="宋体" w:hAnsi="宋体" w:eastAsia="宋体" w:cs="宋体"/>
          <w:color w:val="0000FF"/>
          <w:spacing w:val="6"/>
          <w:sz w:val="31"/>
          <w:szCs w:val="31"/>
          <w14:textOutline w14:w="5793" w14:cap="sq" w14:cmpd="sng">
            <w14:solidFill>
              <w14:srgbClr w14:val="000000"/>
            </w14:solidFill>
            <w14:prstDash w14:val="solid"/>
            <w14:bevel/>
          </w14:textOutline>
        </w:rPr>
        <w:t>四、中小企业声明函</w:t>
      </w:r>
    </w:p>
    <w:p w14:paraId="6E71E19E">
      <w:pPr>
        <w:pStyle w:val="13"/>
        <w:spacing w:line="268" w:lineRule="auto"/>
        <w:rPr>
          <w:color w:val="0000FF"/>
        </w:rPr>
      </w:pPr>
    </w:p>
    <w:p w14:paraId="08039904">
      <w:pPr>
        <w:pStyle w:val="13"/>
        <w:spacing w:line="268" w:lineRule="auto"/>
        <w:rPr>
          <w:color w:val="0000FF"/>
        </w:rPr>
      </w:pPr>
    </w:p>
    <w:p w14:paraId="207B1A54">
      <w:pPr>
        <w:keepNext w:val="0"/>
        <w:keepLines w:val="0"/>
        <w:pageBreakBefore w:val="0"/>
        <w:kinsoku/>
        <w:wordWrap/>
        <w:overflowPunct/>
        <w:topLinePunct w:val="0"/>
        <w:autoSpaceDE/>
        <w:autoSpaceDN/>
        <w:bidi w:val="0"/>
        <w:adjustRightInd/>
        <w:snapToGrid/>
        <w:spacing w:line="500" w:lineRule="exact"/>
        <w:ind w:firstLine="360" w:firstLineChars="150"/>
        <w:textAlignment w:val="auto"/>
        <w:rPr>
          <w:rFonts w:hint="eastAsia"/>
          <w:color w:val="auto"/>
          <w:sz w:val="24"/>
        </w:rPr>
      </w:pPr>
      <w:r>
        <w:rPr>
          <w:color w:val="auto"/>
          <w:sz w:val="24"/>
        </w:rPr>
        <w:t>本公司（联合体）郑重声明，根据《政府采购促进中小企业发展管理办法》（财库﹝2020﹞46 号）的规定，本公司</w:t>
      </w:r>
      <w:r>
        <w:rPr>
          <w:color w:val="auto"/>
          <w:sz w:val="24"/>
          <w:u w:val="none"/>
        </w:rPr>
        <w:t>（联合体）</w:t>
      </w:r>
      <w:r>
        <w:rPr>
          <w:color w:val="auto"/>
          <w:sz w:val="24"/>
        </w:rPr>
        <w:t>参加</w:t>
      </w:r>
      <w:r>
        <w:rPr>
          <w:rFonts w:hint="eastAsia"/>
          <w:color w:val="auto"/>
          <w:sz w:val="24"/>
          <w:u w:val="single"/>
          <w:lang w:val="en-US" w:eastAsia="zh-CN"/>
        </w:rPr>
        <w:t xml:space="preserve">       </w:t>
      </w:r>
      <w:r>
        <w:rPr>
          <w:color w:val="auto"/>
          <w:sz w:val="24"/>
          <w:u w:val="single"/>
        </w:rPr>
        <w:t>（</w:t>
      </w:r>
      <w:r>
        <w:rPr>
          <w:rFonts w:hint="eastAsia"/>
          <w:color w:val="auto"/>
          <w:sz w:val="24"/>
          <w:u w:val="single"/>
          <w:lang w:eastAsia="zh-CN"/>
        </w:rPr>
        <w:t>采购人</w:t>
      </w:r>
      <w:r>
        <w:rPr>
          <w:color w:val="auto"/>
          <w:sz w:val="24"/>
          <w:u w:val="single"/>
        </w:rPr>
        <w:t>名称）</w:t>
      </w:r>
      <w:r>
        <w:rPr>
          <w:color w:val="auto"/>
          <w:sz w:val="24"/>
        </w:rPr>
        <w:t>的</w:t>
      </w:r>
      <w:r>
        <w:rPr>
          <w:rFonts w:hint="eastAsia"/>
          <w:color w:val="auto"/>
          <w:sz w:val="24"/>
          <w:u w:val="single"/>
          <w:lang w:val="en-US" w:eastAsia="zh-CN"/>
        </w:rPr>
        <w:t xml:space="preserve">        </w:t>
      </w:r>
      <w:r>
        <w:rPr>
          <w:color w:val="auto"/>
          <w:sz w:val="24"/>
          <w:u w:val="single"/>
        </w:rPr>
        <w:t>（项目名称）</w:t>
      </w:r>
      <w:r>
        <w:rPr>
          <w:color w:val="auto"/>
          <w:sz w:val="24"/>
        </w:rPr>
        <w:t>采购活动，提供的货物全部由符合政策要求的中小企业制造。相关企业</w:t>
      </w:r>
      <w:r>
        <w:rPr>
          <w:color w:val="auto"/>
          <w:sz w:val="24"/>
          <w:u w:val="none"/>
        </w:rPr>
        <w:t>（含联合体中的中小企业、签订分包意向协议的中小企业）</w:t>
      </w:r>
      <w:r>
        <w:rPr>
          <w:color w:val="auto"/>
          <w:sz w:val="24"/>
        </w:rPr>
        <w:t>的具体情况如下：</w:t>
      </w:r>
    </w:p>
    <w:p w14:paraId="6CC5F46E">
      <w:pPr>
        <w:keepNext w:val="0"/>
        <w:keepLines w:val="0"/>
        <w:pageBreakBefore w:val="0"/>
        <w:kinsoku/>
        <w:wordWrap/>
        <w:overflowPunct/>
        <w:topLinePunct w:val="0"/>
        <w:autoSpaceDE/>
        <w:autoSpaceDN/>
        <w:bidi w:val="0"/>
        <w:adjustRightInd/>
        <w:snapToGrid/>
        <w:spacing w:line="500" w:lineRule="exact"/>
        <w:ind w:firstLine="360" w:firstLineChars="150"/>
        <w:textAlignment w:val="auto"/>
        <w:rPr>
          <w:rFonts w:hint="eastAsia"/>
          <w:color w:val="auto"/>
          <w:sz w:val="24"/>
        </w:rPr>
      </w:pPr>
      <w:r>
        <w:rPr>
          <w:color w:val="auto"/>
          <w:sz w:val="24"/>
        </w:rPr>
        <w:t xml:space="preserve"> </w:t>
      </w:r>
    </w:p>
    <w:p w14:paraId="1C671E29">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color w:val="auto"/>
          <w:sz w:val="24"/>
        </w:rPr>
      </w:pPr>
      <w:r>
        <w:rPr>
          <w:rFonts w:hint="eastAsia"/>
          <w:color w:val="auto"/>
          <w:sz w:val="24"/>
          <w:lang w:val="en-US" w:eastAsia="zh-CN"/>
        </w:rPr>
        <w:t>1.</w:t>
      </w:r>
      <w:r>
        <w:rPr>
          <w:color w:val="auto"/>
          <w:sz w:val="24"/>
        </w:rPr>
        <w:t xml:space="preserve"> </w:t>
      </w:r>
      <w:r>
        <w:rPr>
          <w:rFonts w:hint="eastAsia"/>
          <w:color w:val="auto"/>
          <w:sz w:val="24"/>
          <w:u w:val="single"/>
          <w:lang w:val="en-US" w:eastAsia="zh-CN"/>
        </w:rPr>
        <w:t xml:space="preserve">     </w:t>
      </w:r>
      <w:r>
        <w:rPr>
          <w:color w:val="auto"/>
          <w:sz w:val="24"/>
          <w:u w:val="single"/>
        </w:rPr>
        <w:t>（标的名称）</w:t>
      </w:r>
      <w:r>
        <w:rPr>
          <w:color w:val="auto"/>
          <w:sz w:val="24"/>
        </w:rPr>
        <w:t xml:space="preserve"> ，属于</w:t>
      </w:r>
      <w:r>
        <w:rPr>
          <w:color w:val="auto"/>
          <w:sz w:val="24"/>
          <w:u w:val="single"/>
        </w:rPr>
        <w:t>（</w:t>
      </w:r>
      <w:r>
        <w:rPr>
          <w:rFonts w:hint="eastAsia" w:eastAsia="宋体"/>
          <w:color w:val="auto"/>
          <w:sz w:val="24"/>
          <w:u w:val="single"/>
          <w:lang w:val="en-US" w:eastAsia="zh-CN"/>
        </w:rPr>
        <w:t xml:space="preserve">    </w:t>
      </w:r>
      <w:r>
        <w:rPr>
          <w:color w:val="auto"/>
          <w:sz w:val="24"/>
          <w:u w:val="single"/>
        </w:rPr>
        <w:t xml:space="preserve">） </w:t>
      </w:r>
      <w:r>
        <w:rPr>
          <w:color w:val="auto"/>
          <w:sz w:val="24"/>
        </w:rPr>
        <w:t>行业；制造商为</w:t>
      </w:r>
      <w:r>
        <w:rPr>
          <w:rFonts w:hint="eastAsia"/>
          <w:color w:val="auto"/>
          <w:sz w:val="24"/>
          <w:u w:val="single"/>
          <w:lang w:val="en-US" w:eastAsia="zh-CN"/>
        </w:rPr>
        <w:t xml:space="preserve">   </w:t>
      </w:r>
      <w:r>
        <w:rPr>
          <w:color w:val="auto"/>
          <w:sz w:val="24"/>
          <w:u w:val="single"/>
        </w:rPr>
        <w:t>（企业名称）</w:t>
      </w:r>
      <w:r>
        <w:rPr>
          <w:color w:val="auto"/>
          <w:sz w:val="24"/>
        </w:rPr>
        <w:t>，从业人员</w:t>
      </w:r>
      <w:r>
        <w:rPr>
          <w:rFonts w:hint="eastAsia"/>
          <w:color w:val="auto"/>
          <w:sz w:val="24"/>
          <w:u w:val="single"/>
        </w:rPr>
        <w:t xml:space="preserve">   </w:t>
      </w:r>
      <w:r>
        <w:rPr>
          <w:color w:val="auto"/>
          <w:sz w:val="24"/>
        </w:rPr>
        <w:t>人，营业收入为</w:t>
      </w:r>
      <w:r>
        <w:rPr>
          <w:rFonts w:hint="eastAsia"/>
          <w:color w:val="auto"/>
          <w:sz w:val="24"/>
          <w:u w:val="single"/>
        </w:rPr>
        <w:t xml:space="preserve">      </w:t>
      </w:r>
      <w:r>
        <w:rPr>
          <w:color w:val="auto"/>
          <w:sz w:val="24"/>
        </w:rPr>
        <w:t>万元，资产总额为</w:t>
      </w:r>
      <w:r>
        <w:rPr>
          <w:rFonts w:hint="eastAsia"/>
          <w:color w:val="auto"/>
          <w:sz w:val="24"/>
          <w:u w:val="single"/>
        </w:rPr>
        <w:t xml:space="preserve">     </w:t>
      </w:r>
      <w:r>
        <w:rPr>
          <w:color w:val="auto"/>
          <w:sz w:val="24"/>
        </w:rPr>
        <w:t>万元，属于</w:t>
      </w:r>
      <w:r>
        <w:rPr>
          <w:rFonts w:hint="eastAsia"/>
          <w:color w:val="auto"/>
          <w:sz w:val="24"/>
          <w:u w:val="single"/>
          <w:lang w:val="en-US" w:eastAsia="zh-CN"/>
        </w:rPr>
        <w:t xml:space="preserve">      </w:t>
      </w:r>
      <w:r>
        <w:rPr>
          <w:color w:val="auto"/>
          <w:sz w:val="24"/>
        </w:rPr>
        <w:t>（中型企业、小型企业、微型企业）；</w:t>
      </w:r>
    </w:p>
    <w:p w14:paraId="6FBA0DD4">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color w:val="auto"/>
          <w:sz w:val="24"/>
        </w:rPr>
      </w:pPr>
      <w:r>
        <w:rPr>
          <w:rFonts w:hint="eastAsia"/>
          <w:color w:val="auto"/>
          <w:sz w:val="24"/>
          <w:lang w:val="en-US" w:eastAsia="zh-CN"/>
        </w:rPr>
        <w:t>2.</w:t>
      </w:r>
      <w:r>
        <w:rPr>
          <w:color w:val="auto"/>
          <w:sz w:val="24"/>
        </w:rPr>
        <w:t xml:space="preserve"> </w:t>
      </w:r>
      <w:r>
        <w:rPr>
          <w:rFonts w:hint="eastAsia"/>
          <w:color w:val="auto"/>
          <w:sz w:val="24"/>
          <w:u w:val="single"/>
          <w:lang w:val="en-US" w:eastAsia="zh-CN"/>
        </w:rPr>
        <w:t xml:space="preserve">    </w:t>
      </w:r>
      <w:r>
        <w:rPr>
          <w:color w:val="auto"/>
          <w:sz w:val="24"/>
          <w:u w:val="single"/>
        </w:rPr>
        <w:t xml:space="preserve">（标的名称） </w:t>
      </w:r>
      <w:r>
        <w:rPr>
          <w:color w:val="auto"/>
          <w:sz w:val="24"/>
        </w:rPr>
        <w:t>，属于</w:t>
      </w:r>
      <w:r>
        <w:rPr>
          <w:color w:val="auto"/>
          <w:sz w:val="24"/>
          <w:u w:val="single"/>
        </w:rPr>
        <w:t>（</w:t>
      </w:r>
      <w:r>
        <w:rPr>
          <w:rFonts w:hint="eastAsia"/>
          <w:color w:val="auto"/>
          <w:sz w:val="24"/>
          <w:u w:val="single"/>
        </w:rPr>
        <w:t xml:space="preserve">    </w:t>
      </w:r>
      <w:r>
        <w:rPr>
          <w:color w:val="auto"/>
          <w:sz w:val="24"/>
          <w:u w:val="single"/>
        </w:rPr>
        <w:t xml:space="preserve">） </w:t>
      </w:r>
      <w:r>
        <w:rPr>
          <w:color w:val="auto"/>
          <w:sz w:val="24"/>
        </w:rPr>
        <w:t>行业；制造商为</w:t>
      </w:r>
      <w:r>
        <w:rPr>
          <w:rFonts w:hint="eastAsia"/>
          <w:color w:val="auto"/>
          <w:sz w:val="24"/>
          <w:u w:val="single"/>
          <w:lang w:val="en-US" w:eastAsia="zh-CN"/>
        </w:rPr>
        <w:t xml:space="preserve">   </w:t>
      </w:r>
      <w:r>
        <w:rPr>
          <w:color w:val="auto"/>
          <w:sz w:val="24"/>
          <w:u w:val="single"/>
        </w:rPr>
        <w:t>（企业名称）</w:t>
      </w:r>
      <w:r>
        <w:rPr>
          <w:color w:val="auto"/>
          <w:sz w:val="24"/>
        </w:rPr>
        <w:t>，从业人员</w:t>
      </w:r>
      <w:r>
        <w:rPr>
          <w:rFonts w:hint="eastAsia"/>
          <w:color w:val="auto"/>
          <w:sz w:val="24"/>
          <w:u w:val="single"/>
        </w:rPr>
        <w:t xml:space="preserve">   </w:t>
      </w:r>
      <w:r>
        <w:rPr>
          <w:color w:val="auto"/>
          <w:sz w:val="24"/>
        </w:rPr>
        <w:t>人，营业收入</w:t>
      </w:r>
      <w:r>
        <w:rPr>
          <w:rFonts w:hint="eastAsia"/>
          <w:color w:val="auto"/>
          <w:sz w:val="24"/>
          <w:lang w:eastAsia="zh-CN"/>
        </w:rPr>
        <w:t>为</w:t>
      </w:r>
      <w:r>
        <w:rPr>
          <w:rFonts w:hint="eastAsia"/>
          <w:color w:val="auto"/>
          <w:sz w:val="24"/>
          <w:u w:val="single"/>
        </w:rPr>
        <w:t xml:space="preserve">    </w:t>
      </w:r>
      <w:r>
        <w:rPr>
          <w:color w:val="auto"/>
          <w:sz w:val="24"/>
        </w:rPr>
        <w:t>万元，资产总额为</w:t>
      </w:r>
      <w:r>
        <w:rPr>
          <w:rFonts w:hint="eastAsia"/>
          <w:color w:val="auto"/>
          <w:sz w:val="24"/>
          <w:u w:val="single"/>
        </w:rPr>
        <w:t xml:space="preserve">       </w:t>
      </w:r>
      <w:r>
        <w:rPr>
          <w:color w:val="auto"/>
          <w:sz w:val="24"/>
        </w:rPr>
        <w:t>万元，属于</w:t>
      </w:r>
      <w:r>
        <w:rPr>
          <w:rFonts w:hint="eastAsia"/>
          <w:color w:val="auto"/>
          <w:sz w:val="24"/>
          <w:u w:val="single"/>
          <w:lang w:val="en-US" w:eastAsia="zh-CN"/>
        </w:rPr>
        <w:t xml:space="preserve">      </w:t>
      </w:r>
      <w:r>
        <w:rPr>
          <w:color w:val="auto"/>
          <w:sz w:val="24"/>
        </w:rPr>
        <w:t>（中型企业、小型企业、微型企业）；</w:t>
      </w:r>
    </w:p>
    <w:p w14:paraId="6D9DF35D">
      <w:pPr>
        <w:keepNext w:val="0"/>
        <w:keepLines w:val="0"/>
        <w:pageBreakBefore w:val="0"/>
        <w:kinsoku/>
        <w:wordWrap/>
        <w:overflowPunct/>
        <w:topLinePunct w:val="0"/>
        <w:autoSpaceDE/>
        <w:autoSpaceDN/>
        <w:bidi w:val="0"/>
        <w:adjustRightInd/>
        <w:snapToGrid/>
        <w:spacing w:line="500" w:lineRule="exact"/>
        <w:ind w:firstLine="360" w:firstLineChars="150"/>
        <w:textAlignment w:val="auto"/>
        <w:rPr>
          <w:rFonts w:hint="eastAsia"/>
          <w:color w:val="auto"/>
          <w:sz w:val="24"/>
        </w:rPr>
      </w:pPr>
      <w:r>
        <w:rPr>
          <w:color w:val="auto"/>
          <w:sz w:val="24"/>
        </w:rPr>
        <w:t xml:space="preserve"> ……</w:t>
      </w:r>
    </w:p>
    <w:p w14:paraId="508392CA">
      <w:pPr>
        <w:keepNext w:val="0"/>
        <w:keepLines w:val="0"/>
        <w:pageBreakBefore w:val="0"/>
        <w:kinsoku/>
        <w:wordWrap/>
        <w:overflowPunct/>
        <w:topLinePunct w:val="0"/>
        <w:autoSpaceDE/>
        <w:autoSpaceDN/>
        <w:bidi w:val="0"/>
        <w:adjustRightInd/>
        <w:snapToGrid/>
        <w:spacing w:line="500" w:lineRule="exact"/>
        <w:ind w:firstLine="360" w:firstLineChars="150"/>
        <w:textAlignment w:val="auto"/>
        <w:rPr>
          <w:rFonts w:hint="eastAsia"/>
          <w:color w:val="auto"/>
          <w:sz w:val="24"/>
        </w:rPr>
      </w:pPr>
      <w:r>
        <w:rPr>
          <w:color w:val="auto"/>
          <w:sz w:val="24"/>
        </w:rPr>
        <w:t xml:space="preserve"> 以上企业，不属于大企业的分支机构，不存在控股股东为大企业的情形，也不存在与大企业的负责人为同一人的情形。 </w:t>
      </w:r>
    </w:p>
    <w:p w14:paraId="4E935460">
      <w:pPr>
        <w:keepNext w:val="0"/>
        <w:keepLines w:val="0"/>
        <w:pageBreakBefore w:val="0"/>
        <w:kinsoku/>
        <w:wordWrap/>
        <w:overflowPunct/>
        <w:topLinePunct w:val="0"/>
        <w:autoSpaceDE/>
        <w:autoSpaceDN/>
        <w:bidi w:val="0"/>
        <w:adjustRightInd/>
        <w:snapToGrid/>
        <w:spacing w:line="500" w:lineRule="exact"/>
        <w:ind w:firstLine="360" w:firstLineChars="150"/>
        <w:textAlignment w:val="auto"/>
        <w:rPr>
          <w:rFonts w:hint="eastAsia"/>
          <w:color w:val="auto"/>
          <w:sz w:val="24"/>
        </w:rPr>
      </w:pPr>
      <w:r>
        <w:rPr>
          <w:color w:val="auto"/>
          <w:sz w:val="24"/>
        </w:rPr>
        <w:t>本企业对上述声明内容的真实性负责。如有虚假，将依法承担相应责任。</w:t>
      </w:r>
    </w:p>
    <w:p w14:paraId="6F2CFDC6">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宋体" w:hAnsi="宋体"/>
          <w:color w:val="auto"/>
          <w:sz w:val="24"/>
        </w:rPr>
      </w:pPr>
    </w:p>
    <w:p w14:paraId="6F0C187E">
      <w:pPr>
        <w:keepNext w:val="0"/>
        <w:keepLines w:val="0"/>
        <w:pageBreakBefore w:val="0"/>
        <w:widowControl/>
        <w:kinsoku/>
        <w:wordWrap/>
        <w:overflowPunct/>
        <w:topLinePunct w:val="0"/>
        <w:autoSpaceDE/>
        <w:autoSpaceDN/>
        <w:bidi w:val="0"/>
        <w:adjustRightInd/>
        <w:snapToGrid/>
        <w:spacing w:line="500" w:lineRule="exact"/>
        <w:ind w:firstLine="470" w:firstLineChars="196"/>
        <w:jc w:val="left"/>
        <w:textAlignment w:val="auto"/>
        <w:outlineLvl w:val="1"/>
        <w:rPr>
          <w:rFonts w:ascii="宋体" w:hAnsi="宋体"/>
          <w:color w:val="auto"/>
          <w:sz w:val="24"/>
        </w:rPr>
      </w:pPr>
      <w:bookmarkStart w:id="13" w:name="_Toc20187"/>
      <w:r>
        <w:rPr>
          <w:rFonts w:hint="eastAsia" w:ascii="宋体" w:hAnsi="宋体"/>
          <w:color w:val="auto"/>
          <w:sz w:val="24"/>
        </w:rPr>
        <w:t>供应商名称：（单位盖章）</w:t>
      </w:r>
      <w:bookmarkEnd w:id="13"/>
    </w:p>
    <w:p w14:paraId="225A7A50">
      <w:pPr>
        <w:keepNext w:val="0"/>
        <w:keepLines w:val="0"/>
        <w:pageBreakBefore w:val="0"/>
        <w:widowControl/>
        <w:kinsoku/>
        <w:wordWrap/>
        <w:overflowPunct/>
        <w:topLinePunct w:val="0"/>
        <w:autoSpaceDE/>
        <w:autoSpaceDN/>
        <w:bidi w:val="0"/>
        <w:adjustRightInd/>
        <w:snapToGrid/>
        <w:spacing w:line="500" w:lineRule="exact"/>
        <w:ind w:firstLine="470" w:firstLineChars="196"/>
        <w:jc w:val="left"/>
        <w:textAlignment w:val="auto"/>
        <w:outlineLvl w:val="1"/>
        <w:rPr>
          <w:rFonts w:ascii="宋体" w:hAnsi="宋体"/>
          <w:color w:val="auto"/>
          <w:sz w:val="24"/>
        </w:rPr>
      </w:pPr>
      <w:bookmarkStart w:id="14" w:name="_Toc22557"/>
      <w:r>
        <w:rPr>
          <w:rFonts w:hint="eastAsia" w:ascii="宋体" w:hAnsi="宋体"/>
          <w:color w:val="auto"/>
          <w:sz w:val="24"/>
        </w:rPr>
        <w:t>法定代表人/主要负责人或授权代表（签字或加盖个人名章）：</w:t>
      </w:r>
      <w:bookmarkEnd w:id="14"/>
      <w:r>
        <w:rPr>
          <w:rFonts w:hint="eastAsia" w:ascii="宋体" w:hAnsi="宋体"/>
          <w:color w:val="auto"/>
          <w:sz w:val="24"/>
        </w:rPr>
        <w:t xml:space="preserve"> </w:t>
      </w:r>
    </w:p>
    <w:p w14:paraId="571BCC73">
      <w:pPr>
        <w:keepNext w:val="0"/>
        <w:keepLines w:val="0"/>
        <w:pageBreakBefore w:val="0"/>
        <w:widowControl/>
        <w:kinsoku/>
        <w:wordWrap/>
        <w:overflowPunct/>
        <w:topLinePunct w:val="0"/>
        <w:autoSpaceDE/>
        <w:autoSpaceDN/>
        <w:bidi w:val="0"/>
        <w:adjustRightInd/>
        <w:snapToGrid/>
        <w:spacing w:line="500" w:lineRule="exact"/>
        <w:ind w:firstLine="470" w:firstLineChars="196"/>
        <w:jc w:val="left"/>
        <w:textAlignment w:val="auto"/>
        <w:outlineLvl w:val="1"/>
        <w:rPr>
          <w:rFonts w:hint="eastAsia"/>
          <w:color w:val="auto"/>
          <w:sz w:val="24"/>
        </w:rPr>
      </w:pPr>
      <w:bookmarkStart w:id="15" w:name="_Toc22161"/>
      <w:r>
        <w:rPr>
          <w:rFonts w:hint="eastAsia" w:ascii="宋体" w:hAnsi="宋体"/>
          <w:color w:val="auto"/>
          <w:sz w:val="24"/>
        </w:rPr>
        <w:t>日期:</w:t>
      </w:r>
      <w:bookmarkEnd w:id="15"/>
      <w:r>
        <w:rPr>
          <w:rFonts w:hint="eastAsia" w:ascii="宋体" w:hAnsi="宋体"/>
          <w:color w:val="auto"/>
          <w:sz w:val="24"/>
        </w:rPr>
        <w:t xml:space="preserve"> </w:t>
      </w:r>
    </w:p>
    <w:p w14:paraId="4FCB6D93">
      <w:pPr>
        <w:ind w:firstLine="360" w:firstLineChars="150"/>
        <w:rPr>
          <w:rFonts w:hint="eastAsia"/>
          <w:color w:val="auto"/>
          <w:sz w:val="24"/>
        </w:rPr>
      </w:pPr>
    </w:p>
    <w:p w14:paraId="65716B59">
      <w:pPr>
        <w:ind w:firstLine="360" w:firstLineChars="150"/>
        <w:rPr>
          <w:rFonts w:hint="eastAsia"/>
          <w:color w:val="auto"/>
          <w:sz w:val="24"/>
        </w:rPr>
      </w:pPr>
    </w:p>
    <w:p w14:paraId="2CF14692">
      <w:pPr>
        <w:rPr>
          <w:rFonts w:hint="eastAsia"/>
          <w:color w:val="auto"/>
          <w:sz w:val="24"/>
        </w:rPr>
      </w:pPr>
    </w:p>
    <w:p w14:paraId="246DAAA5">
      <w:pPr>
        <w:spacing w:line="227" w:lineRule="auto"/>
        <w:ind w:left="31"/>
        <w:rPr>
          <w:rFonts w:ascii="宋体" w:hAnsi="宋体" w:eastAsia="宋体" w:cs="宋体"/>
          <w:color w:val="0000FF"/>
          <w:sz w:val="20"/>
          <w:szCs w:val="20"/>
        </w:rPr>
      </w:pPr>
      <w:r>
        <w:rPr>
          <w:b/>
          <w:color w:val="auto"/>
          <w:sz w:val="24"/>
        </w:rPr>
        <w:t>注</w:t>
      </w:r>
      <w:r>
        <w:rPr>
          <w:rFonts w:hint="eastAsia"/>
          <w:b/>
          <w:color w:val="auto"/>
          <w:sz w:val="24"/>
        </w:rPr>
        <w:t>：</w:t>
      </w:r>
      <w:r>
        <w:rPr>
          <w:b/>
          <w:color w:val="auto"/>
          <w:sz w:val="24"/>
        </w:rPr>
        <w:t>从业人员、营业收入、资产总额填报上一年度数据，无上一年度数据的新成立企业可不填报。</w:t>
      </w:r>
    </w:p>
    <w:p w14:paraId="75973424">
      <w:pPr>
        <w:spacing w:line="227" w:lineRule="auto"/>
        <w:rPr>
          <w:rFonts w:ascii="宋体" w:hAnsi="宋体" w:eastAsia="宋体" w:cs="宋体"/>
          <w:sz w:val="20"/>
          <w:szCs w:val="20"/>
        </w:rPr>
        <w:sectPr>
          <w:headerReference r:id="rId13" w:type="default"/>
          <w:footerReference r:id="rId14" w:type="default"/>
          <w:pgSz w:w="11906" w:h="16839"/>
          <w:pgMar w:top="1619" w:right="1033" w:bottom="1157" w:left="1568" w:header="851" w:footer="992" w:gutter="0"/>
          <w:pgNumType w:fmt="decimal"/>
          <w:cols w:space="720" w:num="1"/>
        </w:sectPr>
      </w:pPr>
    </w:p>
    <w:p w14:paraId="59D9E84B">
      <w:pPr>
        <w:pStyle w:val="13"/>
        <w:spacing w:line="248" w:lineRule="auto"/>
      </w:pPr>
    </w:p>
    <w:p w14:paraId="4D02CE80">
      <w:pPr>
        <w:spacing w:before="101" w:line="225" w:lineRule="auto"/>
        <w:ind w:left="13"/>
        <w:rPr>
          <w:rFonts w:ascii="宋体" w:hAnsi="宋体" w:eastAsia="宋体" w:cs="宋体"/>
          <w:sz w:val="31"/>
          <w:szCs w:val="31"/>
        </w:rPr>
      </w:pPr>
      <w:r>
        <w:rPr>
          <w:rFonts w:ascii="宋体" w:hAnsi="宋体" w:eastAsia="宋体" w:cs="宋体"/>
          <w:sz w:val="31"/>
          <w:szCs w:val="31"/>
          <w14:textOutline w14:w="5793" w14:cap="sq" w14:cmpd="sng">
            <w14:solidFill>
              <w14:srgbClr w14:val="000000"/>
            </w14:solidFill>
            <w14:prstDash w14:val="solid"/>
            <w14:bevel/>
          </w14:textOutline>
        </w:rPr>
        <w:t>格式</w:t>
      </w:r>
      <w:r>
        <w:rPr>
          <w:rFonts w:ascii="宋体" w:hAnsi="宋体" w:eastAsia="宋体" w:cs="宋体"/>
          <w:spacing w:val="-40"/>
          <w:sz w:val="31"/>
          <w:szCs w:val="31"/>
        </w:rPr>
        <w:t xml:space="preserve"> </w:t>
      </w:r>
      <w:r>
        <w:rPr>
          <w:rFonts w:ascii="宋体" w:hAnsi="宋体" w:eastAsia="宋体" w:cs="宋体"/>
          <w:sz w:val="31"/>
          <w:szCs w:val="31"/>
          <w14:textOutline w14:w="5793" w14:cap="sq" w14:cmpd="sng">
            <w14:solidFill>
              <w14:srgbClr w14:val="000000"/>
            </w14:solidFill>
            <w14:prstDash w14:val="solid"/>
            <w14:bevel/>
          </w14:textOutline>
        </w:rPr>
        <w:t>1-6</w:t>
      </w:r>
    </w:p>
    <w:p w14:paraId="6D088D68">
      <w:pPr>
        <w:spacing w:before="114" w:line="225" w:lineRule="auto"/>
        <w:ind w:left="3164"/>
        <w:outlineLvl w:val="2"/>
        <w:rPr>
          <w:rFonts w:ascii="宋体" w:hAnsi="宋体" w:eastAsia="宋体" w:cs="宋体"/>
          <w:sz w:val="31"/>
          <w:szCs w:val="31"/>
        </w:rPr>
      </w:pPr>
      <w:bookmarkStart w:id="16" w:name="bookmark18"/>
      <w:bookmarkEnd w:id="16"/>
      <w:r>
        <w:rPr>
          <w:rFonts w:ascii="宋体" w:hAnsi="宋体" w:eastAsia="宋体" w:cs="宋体"/>
          <w:spacing w:val="9"/>
          <w:sz w:val="31"/>
          <w:szCs w:val="31"/>
          <w14:textOutline w14:w="5793" w14:cap="sq" w14:cmpd="sng">
            <w14:solidFill>
              <w14:srgbClr w14:val="000000"/>
            </w14:solidFill>
            <w14:prstDash w14:val="solid"/>
            <w14:bevel/>
          </w14:textOutline>
        </w:rPr>
        <w:t>五、监狱企业声明函</w:t>
      </w:r>
    </w:p>
    <w:p w14:paraId="6D5F1F0E">
      <w:pPr>
        <w:pStyle w:val="13"/>
        <w:spacing w:line="379" w:lineRule="auto"/>
      </w:pPr>
    </w:p>
    <w:p w14:paraId="3EDC909D">
      <w:pPr>
        <w:spacing w:before="78" w:line="465" w:lineRule="exact"/>
        <w:ind w:left="971"/>
        <w:rPr>
          <w:rFonts w:ascii="宋体" w:hAnsi="宋体" w:eastAsia="宋体" w:cs="宋体"/>
          <w:sz w:val="24"/>
          <w:szCs w:val="24"/>
        </w:rPr>
      </w:pPr>
      <w:r>
        <w:rPr>
          <w:rFonts w:ascii="宋体" w:hAnsi="宋体" w:eastAsia="宋体" w:cs="宋体"/>
          <w:position w:val="17"/>
          <w:sz w:val="24"/>
          <w:szCs w:val="24"/>
        </w:rPr>
        <w:t>本公司郑重声明，根据《政府采购支持监狱企业发</w:t>
      </w:r>
      <w:r>
        <w:rPr>
          <w:rFonts w:ascii="宋体" w:hAnsi="宋体" w:eastAsia="宋体" w:cs="宋体"/>
          <w:spacing w:val="-1"/>
          <w:position w:val="17"/>
          <w:sz w:val="24"/>
          <w:szCs w:val="24"/>
        </w:rPr>
        <w:t>展有关问题的通知》（财库</w:t>
      </w:r>
    </w:p>
    <w:p w14:paraId="7F68C59E">
      <w:pPr>
        <w:spacing w:line="219" w:lineRule="auto"/>
        <w:ind w:left="42"/>
        <w:rPr>
          <w:rFonts w:ascii="宋体" w:hAnsi="宋体" w:eastAsia="宋体" w:cs="宋体"/>
          <w:sz w:val="24"/>
          <w:szCs w:val="24"/>
        </w:rPr>
      </w:pPr>
      <w:r>
        <w:rPr>
          <w:rFonts w:ascii="宋体" w:hAnsi="宋体" w:eastAsia="宋体" w:cs="宋体"/>
          <w:spacing w:val="-1"/>
          <w:sz w:val="24"/>
          <w:szCs w:val="24"/>
        </w:rPr>
        <w:t>〔2014〕68</w:t>
      </w:r>
      <w:r>
        <w:rPr>
          <w:rFonts w:ascii="宋体" w:hAnsi="宋体" w:eastAsia="宋体" w:cs="宋体"/>
          <w:spacing w:val="-45"/>
          <w:sz w:val="24"/>
          <w:szCs w:val="24"/>
        </w:rPr>
        <w:t xml:space="preserve"> </w:t>
      </w:r>
      <w:r>
        <w:rPr>
          <w:rFonts w:ascii="宋体" w:hAnsi="宋体" w:eastAsia="宋体" w:cs="宋体"/>
          <w:spacing w:val="-1"/>
          <w:sz w:val="24"/>
          <w:szCs w:val="24"/>
        </w:rPr>
        <w:t xml:space="preserve">号）的规定，本公司为 </w:t>
      </w:r>
      <w:r>
        <w:rPr>
          <w:rFonts w:ascii="宋体" w:hAnsi="宋体" w:eastAsia="宋体" w:cs="宋体"/>
          <w:spacing w:val="-1"/>
          <w:sz w:val="24"/>
          <w:szCs w:val="24"/>
          <w:u w:val="single" w:color="auto"/>
        </w:rPr>
        <w:t xml:space="preserve"> 监狱 </w:t>
      </w:r>
      <w:r>
        <w:rPr>
          <w:rFonts w:ascii="宋体" w:hAnsi="宋体" w:eastAsia="宋体" w:cs="宋体"/>
          <w:spacing w:val="-1"/>
          <w:sz w:val="24"/>
          <w:szCs w:val="24"/>
        </w:rPr>
        <w:t xml:space="preserve"> </w:t>
      </w:r>
      <w:r>
        <w:rPr>
          <w:rFonts w:ascii="宋体" w:hAnsi="宋体" w:eastAsia="宋体" w:cs="宋体"/>
          <w:spacing w:val="-2"/>
          <w:sz w:val="24"/>
          <w:szCs w:val="24"/>
        </w:rPr>
        <w:t>企业。即，本公司同时满足以下条件：</w:t>
      </w:r>
    </w:p>
    <w:p w14:paraId="10B9AB1C">
      <w:pPr>
        <w:spacing w:before="180" w:line="468" w:lineRule="exact"/>
        <w:ind w:left="507"/>
        <w:rPr>
          <w:rFonts w:ascii="宋体" w:hAnsi="宋体" w:eastAsia="宋体" w:cs="宋体"/>
          <w:sz w:val="24"/>
          <w:szCs w:val="24"/>
        </w:rPr>
      </w:pPr>
      <w:r>
        <w:rPr>
          <w:rFonts w:ascii="宋体" w:hAnsi="宋体" w:eastAsia="宋体" w:cs="宋体"/>
          <w:spacing w:val="-1"/>
          <w:position w:val="17"/>
          <w:sz w:val="24"/>
          <w:szCs w:val="24"/>
        </w:rPr>
        <w:t>1.根据《政府采购支持监狱企业发展有关问题的通知》（财库〔2014〕68</w:t>
      </w:r>
      <w:r>
        <w:rPr>
          <w:rFonts w:ascii="宋体" w:hAnsi="宋体" w:eastAsia="宋体" w:cs="宋体"/>
          <w:spacing w:val="-45"/>
          <w:position w:val="17"/>
          <w:sz w:val="24"/>
          <w:szCs w:val="24"/>
        </w:rPr>
        <w:t xml:space="preserve"> </w:t>
      </w:r>
      <w:r>
        <w:rPr>
          <w:rFonts w:ascii="宋体" w:hAnsi="宋体" w:eastAsia="宋体" w:cs="宋体"/>
          <w:spacing w:val="-2"/>
          <w:position w:val="17"/>
          <w:sz w:val="24"/>
          <w:szCs w:val="24"/>
        </w:rPr>
        <w:t>号）规定</w:t>
      </w:r>
    </w:p>
    <w:p w14:paraId="6ACAEDA3">
      <w:pPr>
        <w:spacing w:line="219" w:lineRule="auto"/>
        <w:ind w:left="29"/>
        <w:rPr>
          <w:rFonts w:ascii="宋体" w:hAnsi="宋体" w:eastAsia="宋体" w:cs="宋体"/>
          <w:sz w:val="24"/>
          <w:szCs w:val="24"/>
        </w:rPr>
      </w:pPr>
      <w:r>
        <w:rPr>
          <w:rFonts w:ascii="宋体" w:hAnsi="宋体" w:eastAsia="宋体" w:cs="宋体"/>
          <w:spacing w:val="-2"/>
          <w:sz w:val="24"/>
          <w:szCs w:val="24"/>
        </w:rPr>
        <w:t xml:space="preserve">的划分标准，本公司为 </w:t>
      </w:r>
      <w:r>
        <w:rPr>
          <w:rFonts w:ascii="宋体" w:hAnsi="宋体" w:eastAsia="宋体" w:cs="宋体"/>
          <w:spacing w:val="-2"/>
          <w:sz w:val="24"/>
          <w:szCs w:val="24"/>
          <w:u w:val="single" w:color="auto"/>
        </w:rPr>
        <w:t xml:space="preserve"> 监狱 </w:t>
      </w:r>
      <w:r>
        <w:rPr>
          <w:rFonts w:ascii="宋体" w:hAnsi="宋体" w:eastAsia="宋体" w:cs="宋体"/>
          <w:spacing w:val="-2"/>
          <w:sz w:val="24"/>
          <w:szCs w:val="24"/>
        </w:rPr>
        <w:t xml:space="preserve"> 企业。</w:t>
      </w:r>
    </w:p>
    <w:p w14:paraId="7CD094ED">
      <w:pPr>
        <w:spacing w:before="184" w:line="359" w:lineRule="auto"/>
        <w:ind w:left="11" w:firstLine="481"/>
        <w:rPr>
          <w:rFonts w:ascii="宋体" w:hAnsi="宋体" w:eastAsia="宋体" w:cs="宋体"/>
          <w:sz w:val="24"/>
          <w:szCs w:val="24"/>
        </w:rPr>
      </w:pPr>
      <w:r>
        <w:rPr>
          <w:rFonts w:ascii="宋体" w:hAnsi="宋体" w:eastAsia="宋体" w:cs="宋体"/>
          <w:spacing w:val="-1"/>
          <w:sz w:val="24"/>
          <w:szCs w:val="24"/>
        </w:rPr>
        <w:t>2.本公司参加</w:t>
      </w:r>
      <w:r>
        <w:rPr>
          <w:rFonts w:ascii="宋体" w:hAnsi="宋体" w:eastAsia="宋体" w:cs="宋体"/>
          <w:spacing w:val="-1"/>
          <w:sz w:val="24"/>
          <w:szCs w:val="24"/>
          <w:u w:val="single" w:color="auto"/>
        </w:rPr>
        <w:t>XXXX</w:t>
      </w:r>
      <w:r>
        <w:rPr>
          <w:rFonts w:ascii="宋体" w:hAnsi="宋体" w:eastAsia="宋体" w:cs="宋体"/>
          <w:spacing w:val="-1"/>
          <w:sz w:val="24"/>
          <w:szCs w:val="24"/>
        </w:rPr>
        <w:t>单位的</w:t>
      </w:r>
      <w:r>
        <w:rPr>
          <w:rFonts w:ascii="宋体" w:hAnsi="宋体" w:eastAsia="宋体" w:cs="宋体"/>
          <w:spacing w:val="-1"/>
          <w:sz w:val="24"/>
          <w:szCs w:val="24"/>
          <w:u w:val="single" w:color="auto"/>
        </w:rPr>
        <w:t>XX</w:t>
      </w:r>
      <w:r>
        <w:rPr>
          <w:rFonts w:ascii="宋体" w:hAnsi="宋体" w:eastAsia="宋体" w:cs="宋体"/>
          <w:spacing w:val="-2"/>
          <w:sz w:val="24"/>
          <w:szCs w:val="24"/>
          <w:u w:val="single" w:color="auto"/>
        </w:rPr>
        <w:t>XX</w:t>
      </w:r>
      <w:r>
        <w:rPr>
          <w:rFonts w:ascii="宋体" w:hAnsi="宋体" w:eastAsia="宋体" w:cs="宋体"/>
          <w:spacing w:val="-2"/>
          <w:sz w:val="24"/>
          <w:szCs w:val="24"/>
        </w:rPr>
        <w:t>项目采购活动提供本企业制造的货物及服务，由本企业承担工程、提供服务，或者提供其他</w:t>
      </w:r>
      <w:r>
        <w:rPr>
          <w:rFonts w:ascii="宋体" w:hAnsi="宋体" w:eastAsia="宋体" w:cs="宋体"/>
          <w:spacing w:val="-2"/>
          <w:sz w:val="24"/>
          <w:szCs w:val="24"/>
          <w:u w:val="single" w:color="auto"/>
        </w:rPr>
        <w:t>XXXX</w:t>
      </w:r>
      <w:r>
        <w:rPr>
          <w:rFonts w:ascii="宋体" w:hAnsi="宋体" w:eastAsia="宋体" w:cs="宋体"/>
          <w:spacing w:val="-2"/>
          <w:sz w:val="24"/>
          <w:szCs w:val="24"/>
        </w:rPr>
        <w:t>（请填写：中型、小型、微型</w:t>
      </w:r>
      <w:r>
        <w:rPr>
          <w:rFonts w:ascii="宋体" w:hAnsi="宋体" w:eastAsia="宋体" w:cs="宋体"/>
          <w:spacing w:val="-3"/>
          <w:sz w:val="24"/>
          <w:szCs w:val="24"/>
        </w:rPr>
        <w:t>或监狱）</w:t>
      </w:r>
    </w:p>
    <w:p w14:paraId="49C77BA7">
      <w:pPr>
        <w:spacing w:line="219" w:lineRule="auto"/>
        <w:ind w:left="14"/>
        <w:rPr>
          <w:rFonts w:ascii="宋体" w:hAnsi="宋体" w:eastAsia="宋体" w:cs="宋体"/>
          <w:sz w:val="24"/>
          <w:szCs w:val="24"/>
        </w:rPr>
      </w:pPr>
      <w:r>
        <w:rPr>
          <w:rFonts w:ascii="宋体" w:hAnsi="宋体" w:eastAsia="宋体" w:cs="宋体"/>
          <w:spacing w:val="-1"/>
          <w:sz w:val="24"/>
          <w:szCs w:val="24"/>
        </w:rPr>
        <w:t>企业制造的货物。本条所称货物不包括使用大型企业注册商标的货物。</w:t>
      </w:r>
    </w:p>
    <w:p w14:paraId="40A83208">
      <w:pPr>
        <w:spacing w:before="181" w:line="219" w:lineRule="auto"/>
        <w:ind w:left="491"/>
        <w:rPr>
          <w:rFonts w:ascii="宋体" w:hAnsi="宋体" w:eastAsia="宋体" w:cs="宋体"/>
          <w:sz w:val="24"/>
          <w:szCs w:val="24"/>
        </w:rPr>
      </w:pPr>
      <w:r>
        <w:rPr>
          <w:rFonts w:ascii="宋体" w:hAnsi="宋体" w:eastAsia="宋体" w:cs="宋体"/>
          <w:spacing w:val="-1"/>
          <w:sz w:val="24"/>
          <w:szCs w:val="24"/>
        </w:rPr>
        <w:t>本公司对上述声明的真实性负责。如有虚假，将依法承担相应责任。</w:t>
      </w:r>
    </w:p>
    <w:p w14:paraId="450EC6C4">
      <w:pPr>
        <w:pStyle w:val="13"/>
        <w:spacing w:line="297" w:lineRule="auto"/>
      </w:pPr>
    </w:p>
    <w:p w14:paraId="7DE8CAC2">
      <w:pPr>
        <w:pStyle w:val="13"/>
        <w:spacing w:line="297" w:lineRule="auto"/>
      </w:pPr>
    </w:p>
    <w:p w14:paraId="0A7E17C5">
      <w:pPr>
        <w:pStyle w:val="13"/>
        <w:spacing w:line="297" w:lineRule="auto"/>
      </w:pPr>
    </w:p>
    <w:p w14:paraId="7DABBC67">
      <w:pPr>
        <w:pStyle w:val="13"/>
        <w:spacing w:line="298" w:lineRule="auto"/>
      </w:pPr>
    </w:p>
    <w:p w14:paraId="15541B49">
      <w:pPr>
        <w:spacing w:before="79"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3E081771">
      <w:pPr>
        <w:spacing w:before="214" w:line="501" w:lineRule="exact"/>
        <w:ind w:left="479"/>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78E2AFEE">
      <w:pPr>
        <w:spacing w:before="2"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4E6404DC">
      <w:pPr>
        <w:pStyle w:val="13"/>
        <w:spacing w:line="301" w:lineRule="auto"/>
      </w:pPr>
    </w:p>
    <w:p w14:paraId="0DAE8FDF">
      <w:pPr>
        <w:pStyle w:val="13"/>
        <w:spacing w:line="302" w:lineRule="auto"/>
      </w:pPr>
    </w:p>
    <w:p w14:paraId="2B8C8739">
      <w:pPr>
        <w:spacing w:before="78" w:line="224" w:lineRule="auto"/>
        <w:ind w:left="10"/>
        <w:rPr>
          <w:rFonts w:ascii="宋体" w:hAnsi="宋体" w:eastAsia="宋体" w:cs="宋体"/>
          <w:sz w:val="24"/>
          <w:szCs w:val="24"/>
        </w:rPr>
      </w:pPr>
      <w:r>
        <w:rPr>
          <w:rFonts w:ascii="宋体" w:hAnsi="宋体" w:eastAsia="宋体" w:cs="宋体"/>
          <w:spacing w:val="-5"/>
          <w:sz w:val="24"/>
          <w:szCs w:val="24"/>
        </w:rPr>
        <w:t>注：</w:t>
      </w:r>
    </w:p>
    <w:p w14:paraId="2988D3C4">
      <w:pPr>
        <w:spacing w:before="184" w:line="359" w:lineRule="auto"/>
        <w:ind w:left="11" w:firstLine="481"/>
        <w:rPr>
          <w:rFonts w:ascii="宋体" w:hAnsi="宋体" w:eastAsia="宋体" w:cs="宋体"/>
          <w:spacing w:val="-2"/>
          <w:sz w:val="24"/>
          <w:szCs w:val="24"/>
        </w:rPr>
      </w:pPr>
      <w:r>
        <w:rPr>
          <w:rFonts w:ascii="宋体" w:hAnsi="宋体" w:eastAsia="宋体" w:cs="宋体"/>
          <w:spacing w:val="-2"/>
          <w:sz w:val="24"/>
          <w:szCs w:val="24"/>
        </w:rPr>
        <w:t>1、《政府采购支持监狱企业发展有关问题的通知》（财库〔2014〕68 号）规定的划分标准为监狱企业适用。</w:t>
      </w:r>
    </w:p>
    <w:p w14:paraId="0052098E">
      <w:pPr>
        <w:spacing w:before="184" w:line="359" w:lineRule="auto"/>
        <w:ind w:left="11" w:firstLine="481"/>
        <w:rPr>
          <w:rFonts w:ascii="宋体" w:hAnsi="宋体" w:eastAsia="宋体" w:cs="宋体"/>
          <w:spacing w:val="-2"/>
          <w:sz w:val="24"/>
          <w:szCs w:val="24"/>
        </w:rPr>
      </w:pPr>
      <w:r>
        <w:rPr>
          <w:rFonts w:ascii="宋体" w:hAnsi="宋体" w:eastAsia="宋体" w:cs="宋体"/>
          <w:spacing w:val="-2"/>
          <w:sz w:val="24"/>
          <w:szCs w:val="24"/>
        </w:rPr>
        <w:t>2、在政府采购活动中，监狱企业视同小型、微型企业，享受预留份额、评审中价格扣除 等政府采购促进中小企业发展的政府采购政策。（监狱企业参加政府采购活动时，还应 当提供由省级以上监狱管理局、戒毒管理局</w:t>
      </w:r>
      <w:r>
        <w:rPr>
          <w:rFonts w:hint="eastAsia" w:ascii="宋体" w:hAnsi="宋体" w:eastAsia="宋体" w:cs="宋体"/>
          <w:spacing w:val="-2"/>
          <w:sz w:val="24"/>
          <w:szCs w:val="24"/>
          <w:lang w:eastAsia="zh-CN"/>
        </w:rPr>
        <w:t>（</w:t>
      </w:r>
      <w:r>
        <w:rPr>
          <w:rFonts w:ascii="宋体" w:hAnsi="宋体" w:eastAsia="宋体" w:cs="宋体"/>
          <w:spacing w:val="-2"/>
          <w:sz w:val="24"/>
          <w:szCs w:val="24"/>
        </w:rPr>
        <w:t>含新疆生产建设兵团</w:t>
      </w:r>
      <w:r>
        <w:rPr>
          <w:rFonts w:hint="eastAsia" w:ascii="宋体" w:hAnsi="宋体" w:eastAsia="宋体" w:cs="宋体"/>
          <w:spacing w:val="-2"/>
          <w:sz w:val="24"/>
          <w:szCs w:val="24"/>
          <w:lang w:eastAsia="zh-CN"/>
        </w:rPr>
        <w:t>）</w:t>
      </w:r>
      <w:r>
        <w:rPr>
          <w:rFonts w:ascii="宋体" w:hAnsi="宋体" w:eastAsia="宋体" w:cs="宋体"/>
          <w:spacing w:val="-2"/>
          <w:sz w:val="24"/>
          <w:szCs w:val="24"/>
        </w:rPr>
        <w:t>出具的属于监狱企业的证明文件。）</w:t>
      </w:r>
    </w:p>
    <w:p w14:paraId="174F889A">
      <w:pPr>
        <w:spacing w:before="182" w:line="219" w:lineRule="auto"/>
        <w:ind w:left="14" w:firstLine="480" w:firstLineChars="200"/>
        <w:rPr>
          <w:rFonts w:ascii="宋体" w:hAnsi="宋体" w:eastAsia="宋体" w:cs="宋体"/>
          <w:sz w:val="24"/>
          <w:szCs w:val="24"/>
        </w:rPr>
      </w:pPr>
      <w:r>
        <w:rPr>
          <w:rFonts w:ascii="宋体" w:hAnsi="宋体" w:eastAsia="宋体" w:cs="宋体"/>
          <w:sz w:val="24"/>
          <w:szCs w:val="24"/>
          <w14:textOutline w14:w="4358" w14:cap="sq" w14:cmpd="sng">
            <w14:solidFill>
              <w14:srgbClr w14:val="000000"/>
            </w14:solidFill>
            <w14:prstDash w14:val="solid"/>
            <w14:bevel/>
          </w14:textOutline>
        </w:rPr>
        <w:t>3、如供应商不属于监狱企业单位，可不填写或不提供此声明函。</w:t>
      </w:r>
    </w:p>
    <w:p w14:paraId="35672D42">
      <w:pPr>
        <w:spacing w:line="219" w:lineRule="auto"/>
        <w:rPr>
          <w:rFonts w:ascii="宋体" w:hAnsi="宋体" w:eastAsia="宋体" w:cs="宋体"/>
          <w:sz w:val="24"/>
          <w:szCs w:val="24"/>
        </w:rPr>
        <w:sectPr>
          <w:headerReference r:id="rId15" w:type="default"/>
          <w:footerReference r:id="rId16" w:type="default"/>
          <w:pgSz w:w="11906" w:h="16839"/>
          <w:pgMar w:top="1619" w:right="1033" w:bottom="1157" w:left="1588" w:header="851" w:footer="992" w:gutter="0"/>
          <w:pgNumType w:fmt="decimal"/>
          <w:cols w:space="720" w:num="1"/>
        </w:sectPr>
      </w:pPr>
    </w:p>
    <w:p w14:paraId="577185DD">
      <w:pPr>
        <w:pStyle w:val="13"/>
        <w:spacing w:line="247" w:lineRule="auto"/>
      </w:pPr>
    </w:p>
    <w:p w14:paraId="5409596F">
      <w:pPr>
        <w:pStyle w:val="13"/>
        <w:spacing w:line="248" w:lineRule="auto"/>
      </w:pPr>
    </w:p>
    <w:p w14:paraId="0349E55D">
      <w:pPr>
        <w:spacing w:before="101" w:line="225" w:lineRule="auto"/>
        <w:ind w:left="13"/>
        <w:outlineLvl w:val="2"/>
        <w:rPr>
          <w:rFonts w:ascii="宋体" w:hAnsi="宋体" w:eastAsia="宋体" w:cs="宋体"/>
          <w:sz w:val="31"/>
          <w:szCs w:val="31"/>
        </w:rPr>
      </w:pPr>
      <w:r>
        <w:rPr>
          <w:rFonts w:ascii="宋体" w:hAnsi="宋体" w:eastAsia="宋体" w:cs="宋体"/>
          <w:spacing w:val="1"/>
          <w:sz w:val="31"/>
          <w:szCs w:val="31"/>
          <w14:textOutline w14:w="5793" w14:cap="sq" w14:cmpd="sng">
            <w14:solidFill>
              <w14:srgbClr w14:val="000000"/>
            </w14:solidFill>
            <w14:prstDash w14:val="solid"/>
            <w14:bevel/>
          </w14:textOutline>
        </w:rPr>
        <w:t>格式</w:t>
      </w:r>
      <w:r>
        <w:rPr>
          <w:rFonts w:ascii="宋体" w:hAnsi="宋体" w:eastAsia="宋体" w:cs="宋体"/>
          <w:spacing w:val="-40"/>
          <w:sz w:val="31"/>
          <w:szCs w:val="31"/>
        </w:rPr>
        <w:t xml:space="preserve"> </w:t>
      </w:r>
      <w:r>
        <w:rPr>
          <w:rFonts w:ascii="宋体" w:hAnsi="宋体" w:eastAsia="宋体" w:cs="宋体"/>
          <w:spacing w:val="1"/>
          <w:sz w:val="31"/>
          <w:szCs w:val="31"/>
          <w14:textOutline w14:w="5793" w14:cap="sq" w14:cmpd="sng">
            <w14:solidFill>
              <w14:srgbClr w14:val="000000"/>
            </w14:solidFill>
            <w14:prstDash w14:val="solid"/>
            <w14:bevel/>
          </w14:textOutline>
        </w:rPr>
        <w:t>1-7</w:t>
      </w:r>
    </w:p>
    <w:p w14:paraId="15361042">
      <w:pPr>
        <w:spacing w:before="18" w:line="225" w:lineRule="auto"/>
        <w:ind w:left="2518"/>
        <w:outlineLvl w:val="2"/>
        <w:rPr>
          <w:rFonts w:ascii="宋体" w:hAnsi="宋体" w:eastAsia="宋体" w:cs="宋体"/>
          <w:sz w:val="31"/>
          <w:szCs w:val="31"/>
        </w:rPr>
      </w:pPr>
      <w:bookmarkStart w:id="17" w:name="bookmark19"/>
      <w:bookmarkEnd w:id="17"/>
      <w:r>
        <w:rPr>
          <w:rFonts w:ascii="宋体" w:hAnsi="宋体" w:eastAsia="宋体" w:cs="宋体"/>
          <w:spacing w:val="9"/>
          <w:sz w:val="31"/>
          <w:szCs w:val="31"/>
          <w14:textOutline w14:w="5793" w14:cap="sq" w14:cmpd="sng">
            <w14:solidFill>
              <w14:srgbClr w14:val="000000"/>
            </w14:solidFill>
            <w14:prstDash w14:val="solid"/>
            <w14:bevel/>
          </w14:textOutline>
        </w:rPr>
        <w:t>六、残疾人福利性单位声明函</w:t>
      </w:r>
    </w:p>
    <w:p w14:paraId="715154CA">
      <w:pPr>
        <w:pStyle w:val="13"/>
        <w:spacing w:line="271" w:lineRule="auto"/>
      </w:pPr>
    </w:p>
    <w:p w14:paraId="76170420">
      <w:pPr>
        <w:pStyle w:val="13"/>
        <w:spacing w:line="272" w:lineRule="auto"/>
      </w:pPr>
    </w:p>
    <w:p w14:paraId="1577B4B6">
      <w:pPr>
        <w:spacing w:before="78" w:line="452" w:lineRule="auto"/>
        <w:ind w:left="9" w:right="80" w:firstLine="481"/>
        <w:jc w:val="both"/>
        <w:rPr>
          <w:rFonts w:ascii="宋体" w:hAnsi="宋体" w:eastAsia="宋体" w:cs="宋体"/>
          <w:sz w:val="24"/>
          <w:szCs w:val="24"/>
        </w:rPr>
      </w:pPr>
      <w:r>
        <w:rPr>
          <w:rFonts w:ascii="宋体" w:hAnsi="宋体" w:eastAsia="宋体" w:cs="宋体"/>
          <w:spacing w:val="-1"/>
          <w:sz w:val="24"/>
          <w:szCs w:val="24"/>
        </w:rPr>
        <w:t>本单位郑重声明，根据《财政部</w:t>
      </w:r>
      <w:r>
        <w:rPr>
          <w:rFonts w:ascii="宋体" w:hAnsi="宋体" w:eastAsia="宋体" w:cs="宋体"/>
          <w:spacing w:val="54"/>
          <w:sz w:val="24"/>
          <w:szCs w:val="24"/>
        </w:rPr>
        <w:t xml:space="preserve"> </w:t>
      </w:r>
      <w:r>
        <w:rPr>
          <w:rFonts w:ascii="宋体" w:hAnsi="宋体" w:eastAsia="宋体" w:cs="宋体"/>
          <w:spacing w:val="-1"/>
          <w:sz w:val="24"/>
          <w:szCs w:val="24"/>
        </w:rPr>
        <w:t>民政部</w:t>
      </w:r>
      <w:r>
        <w:rPr>
          <w:rFonts w:ascii="宋体" w:hAnsi="宋体" w:eastAsia="宋体" w:cs="宋体"/>
          <w:spacing w:val="34"/>
          <w:sz w:val="24"/>
          <w:szCs w:val="24"/>
        </w:rPr>
        <w:t xml:space="preserve"> </w:t>
      </w:r>
      <w:r>
        <w:rPr>
          <w:rFonts w:ascii="宋体" w:hAnsi="宋体" w:eastAsia="宋体" w:cs="宋体"/>
          <w:spacing w:val="-1"/>
          <w:sz w:val="24"/>
          <w:szCs w:val="24"/>
        </w:rPr>
        <w:t>中国残疾人联合会关于促进残疾人就业政</w:t>
      </w:r>
      <w:r>
        <w:rPr>
          <w:rFonts w:ascii="宋体" w:hAnsi="宋体" w:eastAsia="宋体" w:cs="宋体"/>
          <w:sz w:val="24"/>
          <w:szCs w:val="24"/>
        </w:rPr>
        <w:t xml:space="preserve"> 府采购政策的通知》（财库〔2017〕 </w:t>
      </w:r>
      <w:r>
        <w:rPr>
          <w:rFonts w:ascii="宋体" w:hAnsi="宋体" w:eastAsia="宋体" w:cs="宋体"/>
          <w:spacing w:val="-1"/>
          <w:sz w:val="24"/>
          <w:szCs w:val="24"/>
        </w:rPr>
        <w:t>141</w:t>
      </w:r>
      <w:r>
        <w:rPr>
          <w:rFonts w:ascii="宋体" w:hAnsi="宋体" w:eastAsia="宋体" w:cs="宋体"/>
          <w:spacing w:val="-45"/>
          <w:sz w:val="24"/>
          <w:szCs w:val="24"/>
        </w:rPr>
        <w:t xml:space="preserve"> </w:t>
      </w:r>
      <w:r>
        <w:rPr>
          <w:rFonts w:ascii="宋体" w:hAnsi="宋体" w:eastAsia="宋体" w:cs="宋体"/>
          <w:spacing w:val="-1"/>
          <w:sz w:val="24"/>
          <w:szCs w:val="24"/>
        </w:rPr>
        <w:t>号）的规定，本单位为符合条件的残疾人福利</w:t>
      </w:r>
      <w:r>
        <w:rPr>
          <w:rFonts w:ascii="宋体" w:hAnsi="宋体" w:eastAsia="宋体" w:cs="宋体"/>
          <w:sz w:val="24"/>
          <w:szCs w:val="24"/>
        </w:rPr>
        <w:t xml:space="preserve"> </w:t>
      </w:r>
      <w:r>
        <w:rPr>
          <w:rFonts w:ascii="宋体" w:hAnsi="宋体" w:eastAsia="宋体" w:cs="宋体"/>
          <w:spacing w:val="1"/>
          <w:sz w:val="24"/>
          <w:szCs w:val="24"/>
        </w:rPr>
        <w:t>性单位，且本单位参加</w:t>
      </w:r>
      <w:r>
        <w:rPr>
          <w:rFonts w:ascii="宋体" w:hAnsi="宋体" w:eastAsia="宋体" w:cs="宋体"/>
          <w:spacing w:val="-118"/>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1"/>
          <w:sz w:val="24"/>
          <w:szCs w:val="24"/>
        </w:rPr>
        <w:t>单位的</w:t>
      </w:r>
      <w:r>
        <w:rPr>
          <w:rFonts w:ascii="宋体" w:hAnsi="宋体" w:eastAsia="宋体" w:cs="宋体"/>
          <w:spacing w:val="-118"/>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1"/>
          <w:sz w:val="24"/>
          <w:szCs w:val="24"/>
        </w:rPr>
        <w:t>项目采购活动提供本单</w:t>
      </w:r>
      <w:r>
        <w:rPr>
          <w:rFonts w:ascii="宋体" w:hAnsi="宋体" w:eastAsia="宋体" w:cs="宋体"/>
          <w:sz w:val="24"/>
          <w:szCs w:val="24"/>
        </w:rPr>
        <w:t xml:space="preserve">位制造的货物（由本 </w:t>
      </w:r>
      <w:r>
        <w:rPr>
          <w:rFonts w:ascii="宋体" w:hAnsi="宋体" w:eastAsia="宋体" w:cs="宋体"/>
          <w:spacing w:val="-1"/>
          <w:sz w:val="24"/>
          <w:szCs w:val="24"/>
        </w:rPr>
        <w:t>单位承担工程/提供服务</w:t>
      </w:r>
      <w:r>
        <w:rPr>
          <w:rFonts w:ascii="宋体" w:hAnsi="宋体" w:eastAsia="宋体" w:cs="宋体"/>
          <w:spacing w:val="-13"/>
          <w:sz w:val="24"/>
          <w:szCs w:val="24"/>
        </w:rPr>
        <w:t>），</w:t>
      </w:r>
      <w:r>
        <w:rPr>
          <w:rFonts w:ascii="宋体" w:hAnsi="宋体" w:eastAsia="宋体" w:cs="宋体"/>
          <w:spacing w:val="-1"/>
          <w:sz w:val="24"/>
          <w:szCs w:val="24"/>
        </w:rPr>
        <w:t>或者提供其他残疾人福利性单位制造的货物（不包括使</w:t>
      </w:r>
      <w:r>
        <w:rPr>
          <w:rFonts w:ascii="宋体" w:hAnsi="宋体" w:eastAsia="宋体" w:cs="宋体"/>
          <w:spacing w:val="-2"/>
          <w:sz w:val="24"/>
          <w:szCs w:val="24"/>
        </w:rPr>
        <w:t>用非</w:t>
      </w:r>
      <w:r>
        <w:rPr>
          <w:rFonts w:ascii="宋体" w:hAnsi="宋体" w:eastAsia="宋体" w:cs="宋体"/>
          <w:spacing w:val="-1"/>
          <w:sz w:val="24"/>
          <w:szCs w:val="24"/>
        </w:rPr>
        <w:t>残疾人福利性单位注册商标的货物）。</w:t>
      </w:r>
    </w:p>
    <w:p w14:paraId="6BBE227D">
      <w:pPr>
        <w:spacing w:before="303" w:line="219" w:lineRule="auto"/>
        <w:ind w:left="491"/>
        <w:rPr>
          <w:rFonts w:ascii="宋体" w:hAnsi="宋体" w:eastAsia="宋体" w:cs="宋体"/>
          <w:sz w:val="24"/>
          <w:szCs w:val="24"/>
        </w:rPr>
      </w:pPr>
      <w:r>
        <w:rPr>
          <w:rFonts w:ascii="宋体" w:hAnsi="宋体" w:eastAsia="宋体" w:cs="宋体"/>
          <w:spacing w:val="-1"/>
          <w:sz w:val="24"/>
          <w:szCs w:val="24"/>
        </w:rPr>
        <w:t>本单位对上述声明的真实性负责。如有虚假，将依法承担相应责任。</w:t>
      </w:r>
    </w:p>
    <w:p w14:paraId="4BAE5EE4">
      <w:pPr>
        <w:pStyle w:val="13"/>
        <w:spacing w:line="264" w:lineRule="auto"/>
      </w:pPr>
    </w:p>
    <w:p w14:paraId="698C5A2D">
      <w:pPr>
        <w:pStyle w:val="13"/>
        <w:spacing w:line="264" w:lineRule="auto"/>
      </w:pPr>
    </w:p>
    <w:p w14:paraId="0A0F07FA">
      <w:pPr>
        <w:pStyle w:val="13"/>
        <w:spacing w:line="265" w:lineRule="auto"/>
      </w:pPr>
    </w:p>
    <w:p w14:paraId="716EA145">
      <w:pPr>
        <w:pStyle w:val="13"/>
        <w:spacing w:line="265" w:lineRule="auto"/>
      </w:pPr>
    </w:p>
    <w:p w14:paraId="2EE3EAF6">
      <w:pPr>
        <w:pStyle w:val="13"/>
        <w:spacing w:line="265" w:lineRule="auto"/>
      </w:pPr>
    </w:p>
    <w:p w14:paraId="16D10821">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132FF969">
      <w:pPr>
        <w:spacing w:before="216" w:line="499" w:lineRule="exact"/>
        <w:ind w:left="479"/>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1A3FC082">
      <w:pPr>
        <w:spacing w:before="1"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6662DFA5">
      <w:pPr>
        <w:pStyle w:val="13"/>
        <w:spacing w:line="258" w:lineRule="auto"/>
      </w:pPr>
    </w:p>
    <w:p w14:paraId="6C136E60">
      <w:pPr>
        <w:pStyle w:val="13"/>
        <w:spacing w:line="258" w:lineRule="auto"/>
      </w:pPr>
    </w:p>
    <w:p w14:paraId="28DFA3CA">
      <w:pPr>
        <w:spacing w:before="78" w:line="308" w:lineRule="auto"/>
        <w:ind w:left="9" w:firstLine="480"/>
        <w:jc w:val="both"/>
        <w:rPr>
          <w:rFonts w:ascii="宋体" w:hAnsi="宋体" w:eastAsia="宋体" w:cs="宋体"/>
          <w:spacing w:val="-6"/>
          <w:sz w:val="24"/>
          <w:szCs w:val="24"/>
        </w:rPr>
      </w:pPr>
      <w:r>
        <w:rPr>
          <w:rFonts w:ascii="宋体" w:hAnsi="宋体" w:eastAsia="宋体" w:cs="宋体"/>
          <w:spacing w:val="-6"/>
          <w:sz w:val="24"/>
          <w:szCs w:val="24"/>
        </w:rPr>
        <w:t>注：</w:t>
      </w:r>
    </w:p>
    <w:p w14:paraId="18EA536A">
      <w:pPr>
        <w:spacing w:before="78" w:line="308" w:lineRule="auto"/>
        <w:ind w:left="9" w:firstLine="480"/>
        <w:jc w:val="both"/>
        <w:rPr>
          <w:rFonts w:ascii="宋体" w:hAnsi="宋体" w:eastAsia="宋体" w:cs="宋体"/>
          <w:sz w:val="24"/>
          <w:szCs w:val="24"/>
        </w:rPr>
      </w:pPr>
      <w:r>
        <w:rPr>
          <w:rFonts w:ascii="宋体" w:hAnsi="宋体" w:eastAsia="宋体" w:cs="宋体"/>
          <w:spacing w:val="-6"/>
          <w:sz w:val="24"/>
          <w:szCs w:val="24"/>
        </w:rPr>
        <w:t>1、在政府采购活动中，残疾人福利性单位视同小型、微型企业，享受预留份额、</w:t>
      </w:r>
      <w:r>
        <w:rPr>
          <w:rFonts w:ascii="宋体" w:hAnsi="宋体" w:eastAsia="宋体" w:cs="宋体"/>
          <w:spacing w:val="2"/>
          <w:sz w:val="24"/>
          <w:szCs w:val="24"/>
        </w:rPr>
        <w:t xml:space="preserve"> </w:t>
      </w:r>
      <w:r>
        <w:rPr>
          <w:rFonts w:ascii="宋体" w:hAnsi="宋体" w:eastAsia="宋体" w:cs="宋体"/>
          <w:spacing w:val="-3"/>
          <w:sz w:val="24"/>
          <w:szCs w:val="24"/>
        </w:rPr>
        <w:t>评审中价格扣除等促进中小企业发展的政府采购政策。向残疾人福利性单位采购的金额，</w:t>
      </w:r>
      <w:r>
        <w:rPr>
          <w:rFonts w:ascii="宋体" w:hAnsi="宋体" w:eastAsia="宋体" w:cs="宋体"/>
          <w:spacing w:val="12"/>
          <w:sz w:val="24"/>
          <w:szCs w:val="24"/>
        </w:rPr>
        <w:t xml:space="preserve"> </w:t>
      </w:r>
      <w:r>
        <w:rPr>
          <w:rFonts w:ascii="宋体" w:hAnsi="宋体" w:eastAsia="宋体" w:cs="宋体"/>
          <w:spacing w:val="1"/>
          <w:sz w:val="24"/>
          <w:szCs w:val="24"/>
        </w:rPr>
        <w:t>计入面向中小企业采购的统计数据。残疾人福利性单位属于小型、微型企业的，不重复</w:t>
      </w:r>
      <w:r>
        <w:rPr>
          <w:rFonts w:ascii="宋体" w:hAnsi="宋体" w:eastAsia="宋体" w:cs="宋体"/>
          <w:spacing w:val="-3"/>
          <w:sz w:val="24"/>
          <w:szCs w:val="24"/>
        </w:rPr>
        <w:t>享受政策。</w:t>
      </w:r>
    </w:p>
    <w:p w14:paraId="5D712DAF">
      <w:pPr>
        <w:spacing w:before="115" w:line="219" w:lineRule="auto"/>
        <w:ind w:firstLine="480" w:firstLineChars="200"/>
        <w:rPr>
          <w:rFonts w:ascii="宋体" w:hAnsi="宋体" w:eastAsia="宋体" w:cs="宋体"/>
          <w:sz w:val="24"/>
          <w:szCs w:val="24"/>
        </w:rPr>
      </w:pPr>
      <w:r>
        <w:rPr>
          <w:rFonts w:ascii="宋体" w:hAnsi="宋体" w:eastAsia="宋体" w:cs="宋体"/>
          <w:sz w:val="24"/>
          <w:szCs w:val="24"/>
          <w14:textOutline w14:w="4358" w14:cap="sq" w14:cmpd="sng">
            <w14:solidFill>
              <w14:srgbClr w14:val="000000"/>
            </w14:solidFill>
            <w14:prstDash w14:val="solid"/>
            <w14:bevel/>
          </w14:textOutline>
        </w:rPr>
        <w:t>2、如供应商不属于残疾人福利性单位，可不填写或不提供此声明函。</w:t>
      </w:r>
    </w:p>
    <w:p w14:paraId="6E5E4296">
      <w:pPr>
        <w:spacing w:line="219" w:lineRule="auto"/>
        <w:rPr>
          <w:rFonts w:ascii="宋体" w:hAnsi="宋体" w:eastAsia="宋体" w:cs="宋体"/>
          <w:sz w:val="24"/>
          <w:szCs w:val="24"/>
        </w:rPr>
        <w:sectPr>
          <w:headerReference r:id="rId17" w:type="default"/>
          <w:footerReference r:id="rId18" w:type="default"/>
          <w:pgSz w:w="11906" w:h="16839"/>
          <w:pgMar w:top="1225" w:right="1052" w:bottom="1157" w:left="1247" w:header="851" w:footer="992" w:gutter="0"/>
          <w:pgNumType w:fmt="decimal"/>
          <w:cols w:space="720" w:num="1"/>
        </w:sectPr>
      </w:pPr>
    </w:p>
    <w:p w14:paraId="6BF2833A">
      <w:pPr>
        <w:pStyle w:val="13"/>
        <w:spacing w:line="259" w:lineRule="auto"/>
      </w:pPr>
    </w:p>
    <w:p w14:paraId="3DF3C01A">
      <w:pPr>
        <w:spacing w:before="101" w:line="225" w:lineRule="auto"/>
        <w:ind w:left="13"/>
        <w:outlineLvl w:val="1"/>
        <w:rPr>
          <w:rFonts w:ascii="宋体" w:hAnsi="宋体" w:eastAsia="宋体" w:cs="宋体"/>
          <w:sz w:val="31"/>
          <w:szCs w:val="31"/>
        </w:rPr>
      </w:pPr>
      <w:r>
        <w:rPr>
          <w:rFonts w:ascii="宋体" w:hAnsi="宋体" w:eastAsia="宋体" w:cs="宋体"/>
          <w:spacing w:val="-1"/>
          <w:sz w:val="31"/>
          <w:szCs w:val="31"/>
          <w14:textOutline w14:w="5793" w14:cap="sq" w14:cmpd="sng">
            <w14:solidFill>
              <w14:srgbClr w14:val="000000"/>
            </w14:solidFill>
            <w14:prstDash w14:val="solid"/>
            <w14:bevel/>
          </w14:textOutline>
        </w:rPr>
        <w:t>格式</w:t>
      </w:r>
      <w:r>
        <w:rPr>
          <w:rFonts w:ascii="宋体" w:hAnsi="宋体" w:eastAsia="宋体" w:cs="宋体"/>
          <w:spacing w:val="-36"/>
          <w:sz w:val="31"/>
          <w:szCs w:val="31"/>
        </w:rPr>
        <w:t xml:space="preserve"> </w:t>
      </w:r>
      <w:r>
        <w:rPr>
          <w:rFonts w:ascii="宋体" w:hAnsi="宋体" w:eastAsia="宋体" w:cs="宋体"/>
          <w:spacing w:val="-1"/>
          <w:sz w:val="31"/>
          <w:szCs w:val="31"/>
          <w14:textOutline w14:w="5793" w14:cap="sq" w14:cmpd="sng">
            <w14:solidFill>
              <w14:srgbClr w14:val="000000"/>
            </w14:solidFill>
            <w14:prstDash w14:val="solid"/>
            <w14:bevel/>
          </w14:textOutline>
        </w:rPr>
        <w:t>1-9</w:t>
      </w:r>
    </w:p>
    <w:p w14:paraId="49E498B5">
      <w:pPr>
        <w:spacing w:before="243" w:line="624" w:lineRule="exact"/>
        <w:ind w:right="26"/>
        <w:jc w:val="right"/>
        <w:rPr>
          <w:rFonts w:ascii="黑体" w:hAnsi="黑体" w:eastAsia="黑体" w:cs="黑体"/>
          <w:sz w:val="31"/>
          <w:szCs w:val="31"/>
        </w:rPr>
      </w:pPr>
      <w:r>
        <w:rPr>
          <w:rFonts w:ascii="黑体" w:hAnsi="黑体" w:eastAsia="黑体" w:cs="黑体"/>
          <w:spacing w:val="10"/>
          <w:position w:val="23"/>
          <w:sz w:val="31"/>
          <w:szCs w:val="31"/>
          <w14:textOutline w14:w="5793" w14:cap="sq" w14:cmpd="sng">
            <w14:solidFill>
              <w14:srgbClr w14:val="000000"/>
            </w14:solidFill>
            <w14:prstDash w14:val="solid"/>
            <w14:bevel/>
          </w14:textOutline>
        </w:rPr>
        <w:t>投标人和投标产品其他资格、资质性及其他类似效力要求的</w:t>
      </w:r>
    </w:p>
    <w:p w14:paraId="7C09CE6F">
      <w:pPr>
        <w:spacing w:line="226" w:lineRule="auto"/>
        <w:ind w:left="3642"/>
        <w:rPr>
          <w:rFonts w:ascii="黑体" w:hAnsi="黑体" w:eastAsia="黑体" w:cs="黑体"/>
          <w:sz w:val="31"/>
          <w:szCs w:val="31"/>
        </w:rPr>
      </w:pPr>
      <w:r>
        <w:rPr>
          <w:rFonts w:ascii="黑体" w:hAnsi="黑体" w:eastAsia="黑体" w:cs="黑体"/>
          <w:spacing w:val="8"/>
          <w:sz w:val="31"/>
          <w:szCs w:val="31"/>
          <w14:textOutline w14:w="5793" w14:cap="sq" w14:cmpd="sng">
            <w14:solidFill>
              <w14:srgbClr w14:val="000000"/>
            </w14:solidFill>
            <w14:prstDash w14:val="solid"/>
            <w14:bevel/>
          </w14:textOutline>
        </w:rPr>
        <w:t>相关证明材料</w:t>
      </w:r>
    </w:p>
    <w:p w14:paraId="77A8BEE7">
      <w:pPr>
        <w:spacing w:before="227" w:line="468" w:lineRule="exact"/>
        <w:jc w:val="right"/>
        <w:rPr>
          <w:rFonts w:ascii="宋体" w:hAnsi="宋体" w:eastAsia="宋体" w:cs="宋体"/>
          <w:sz w:val="24"/>
          <w:szCs w:val="24"/>
        </w:rPr>
      </w:pPr>
      <w:r>
        <w:rPr>
          <w:rFonts w:ascii="宋体" w:hAnsi="宋体" w:eastAsia="宋体" w:cs="宋体"/>
          <w:spacing w:val="1"/>
          <w:position w:val="17"/>
          <w:sz w:val="24"/>
          <w:szCs w:val="24"/>
        </w:rPr>
        <w:t>注：投标人应按招标文件第五章相关要求提供佐证材料，有格式要求的从其要求，无格</w:t>
      </w:r>
    </w:p>
    <w:p w14:paraId="7D12C1AF">
      <w:pPr>
        <w:spacing w:line="219" w:lineRule="auto"/>
        <w:ind w:left="14"/>
        <w:rPr>
          <w:rFonts w:ascii="宋体" w:hAnsi="宋体" w:eastAsia="宋体" w:cs="宋体"/>
          <w:sz w:val="24"/>
          <w:szCs w:val="24"/>
        </w:rPr>
      </w:pPr>
      <w:r>
        <w:rPr>
          <w:rFonts w:ascii="宋体" w:hAnsi="宋体" w:eastAsia="宋体" w:cs="宋体"/>
          <w:spacing w:val="-2"/>
          <w:sz w:val="24"/>
          <w:szCs w:val="24"/>
        </w:rPr>
        <w:t>式要求的格式自拟。</w:t>
      </w:r>
    </w:p>
    <w:p w14:paraId="478FAC74">
      <w:pPr>
        <w:spacing w:line="219" w:lineRule="auto"/>
        <w:rPr>
          <w:rFonts w:ascii="宋体" w:hAnsi="宋体" w:eastAsia="宋体" w:cs="宋体"/>
          <w:sz w:val="24"/>
          <w:szCs w:val="24"/>
        </w:rPr>
        <w:sectPr>
          <w:headerReference r:id="rId19" w:type="default"/>
          <w:footerReference r:id="rId20" w:type="default"/>
          <w:pgSz w:w="11906" w:h="16839"/>
          <w:pgMar w:top="1451" w:right="1132" w:bottom="1157" w:left="1304" w:header="851" w:footer="992" w:gutter="0"/>
          <w:pgNumType w:fmt="decimal"/>
          <w:cols w:space="720" w:num="1"/>
        </w:sectPr>
      </w:pPr>
    </w:p>
    <w:p w14:paraId="7FEE62E6">
      <w:pPr>
        <w:spacing w:line="268" w:lineRule="auto"/>
        <w:rPr>
          <w:rFonts w:ascii="Arial"/>
          <w:sz w:val="21"/>
        </w:rPr>
      </w:pPr>
    </w:p>
    <w:p w14:paraId="1985F789">
      <w:pPr>
        <w:spacing w:before="98" w:line="226" w:lineRule="auto"/>
        <w:ind w:left="1436"/>
        <w:rPr>
          <w:rFonts w:ascii="宋体" w:hAnsi="宋体" w:eastAsia="宋体" w:cs="宋体"/>
          <w:sz w:val="30"/>
          <w:szCs w:val="30"/>
        </w:rPr>
      </w:pPr>
      <w:r>
        <w:rPr>
          <w:rFonts w:ascii="宋体" w:hAnsi="宋体" w:eastAsia="宋体" w:cs="宋体"/>
          <w:spacing w:val="13"/>
          <w:sz w:val="30"/>
          <w:szCs w:val="30"/>
          <w14:textOutline w14:w="5629" w14:cap="sq" w14:cmpd="sng">
            <w14:solidFill>
              <w14:srgbClr w14:val="000000"/>
            </w14:solidFill>
            <w14:prstDash w14:val="solid"/>
            <w14:bevel/>
          </w14:textOutline>
        </w:rPr>
        <w:t>第</w:t>
      </w:r>
      <w:r>
        <w:rPr>
          <w:rFonts w:ascii="宋体" w:hAnsi="宋体" w:eastAsia="宋体" w:cs="宋体"/>
          <w:spacing w:val="10"/>
          <w:sz w:val="30"/>
          <w:szCs w:val="30"/>
          <w14:textOutline w14:w="5629" w14:cap="sq" w14:cmpd="sng">
            <w14:solidFill>
              <w14:srgbClr w14:val="000000"/>
            </w14:solidFill>
            <w14:prstDash w14:val="solid"/>
            <w14:bevel/>
          </w14:textOutline>
        </w:rPr>
        <w:t>二部分</w:t>
      </w:r>
      <w:r>
        <w:rPr>
          <w:rFonts w:ascii="宋体" w:hAnsi="宋体" w:eastAsia="宋体" w:cs="宋体"/>
          <w:spacing w:val="10"/>
          <w:sz w:val="30"/>
          <w:szCs w:val="30"/>
        </w:rPr>
        <w:t xml:space="preserve"> </w:t>
      </w:r>
      <w:r>
        <w:rPr>
          <w:rFonts w:ascii="宋体" w:hAnsi="宋体" w:eastAsia="宋体" w:cs="宋体"/>
          <w:spacing w:val="10"/>
          <w:sz w:val="30"/>
          <w:szCs w:val="30"/>
          <w14:textOutline w14:w="5629" w14:cap="sq" w14:cmpd="sng">
            <w14:solidFill>
              <w14:srgbClr w14:val="000000"/>
            </w14:solidFill>
            <w14:prstDash w14:val="solid"/>
            <w14:bevel/>
          </w14:textOutline>
        </w:rPr>
        <w:t>“其他响应性投标文件”格式</w:t>
      </w:r>
    </w:p>
    <w:p w14:paraId="00C58DF8">
      <w:pPr>
        <w:spacing w:line="266" w:lineRule="auto"/>
        <w:rPr>
          <w:rFonts w:ascii="Arial"/>
          <w:sz w:val="21"/>
        </w:rPr>
      </w:pPr>
    </w:p>
    <w:p w14:paraId="52B01923">
      <w:pPr>
        <w:spacing w:before="101" w:line="799" w:lineRule="exact"/>
        <w:ind w:left="13"/>
        <w:rPr>
          <w:rFonts w:ascii="宋体" w:hAnsi="宋体" w:eastAsia="宋体" w:cs="宋体"/>
          <w:sz w:val="31"/>
          <w:szCs w:val="31"/>
        </w:rPr>
      </w:pPr>
      <w:r>
        <w:rPr>
          <w:rFonts w:ascii="宋体" w:hAnsi="宋体" w:eastAsia="宋体" w:cs="宋体"/>
          <w:spacing w:val="8"/>
          <w:position w:val="37"/>
          <w:sz w:val="31"/>
          <w:szCs w:val="31"/>
          <w14:textOutline w14:w="5793" w14:cap="sq" w14:cmpd="sng">
            <w14:solidFill>
              <w14:srgbClr w14:val="000000"/>
            </w14:solidFill>
            <w14:prstDash w14:val="solid"/>
            <w14:bevel/>
          </w14:textOutline>
        </w:rPr>
        <w:t>格式</w:t>
      </w:r>
      <w:r>
        <w:rPr>
          <w:rFonts w:ascii="宋体" w:hAnsi="宋体" w:eastAsia="宋体" w:cs="宋体"/>
          <w:spacing w:val="-59"/>
          <w:position w:val="37"/>
          <w:sz w:val="31"/>
          <w:szCs w:val="31"/>
        </w:rPr>
        <w:t xml:space="preserve"> </w:t>
      </w:r>
      <w:r>
        <w:rPr>
          <w:rFonts w:ascii="宋体" w:hAnsi="宋体" w:eastAsia="宋体" w:cs="宋体"/>
          <w:spacing w:val="8"/>
          <w:position w:val="37"/>
          <w:sz w:val="31"/>
          <w:szCs w:val="31"/>
          <w14:textOutline w14:w="5793" w14:cap="sq" w14:cmpd="sng">
            <w14:solidFill>
              <w14:srgbClr w14:val="000000"/>
            </w14:solidFill>
            <w14:prstDash w14:val="solid"/>
            <w14:bevel/>
          </w14:textOutline>
        </w:rPr>
        <w:t>2-1</w:t>
      </w:r>
    </w:p>
    <w:p w14:paraId="40AE59A7">
      <w:pPr>
        <w:spacing w:before="1" w:line="226" w:lineRule="auto"/>
        <w:ind w:left="11"/>
        <w:rPr>
          <w:rFonts w:ascii="宋体" w:hAnsi="宋体" w:eastAsia="宋体" w:cs="宋体"/>
          <w:sz w:val="31"/>
          <w:szCs w:val="31"/>
        </w:rPr>
      </w:pPr>
      <w:r>
        <w:rPr>
          <w:rFonts w:ascii="宋体" w:hAnsi="宋体" w:eastAsia="宋体" w:cs="宋体"/>
          <w:spacing w:val="3"/>
          <w:sz w:val="31"/>
          <w:szCs w:val="31"/>
          <w14:textOutline w14:w="5793" w14:cap="sq" w14:cmpd="sng">
            <w14:solidFill>
              <w14:srgbClr w14:val="000000"/>
            </w14:solidFill>
            <w14:prstDash w14:val="solid"/>
            <w14:bevel/>
          </w14:textOutline>
        </w:rPr>
        <w:t>封面：</w:t>
      </w:r>
    </w:p>
    <w:p w14:paraId="0EDF3B61">
      <w:pPr>
        <w:pStyle w:val="13"/>
        <w:spacing w:line="266" w:lineRule="auto"/>
      </w:pPr>
    </w:p>
    <w:p w14:paraId="102C4187">
      <w:pPr>
        <w:spacing w:before="114" w:line="225" w:lineRule="auto"/>
        <w:ind w:right="11"/>
        <w:jc w:val="right"/>
        <w:rPr>
          <w:rFonts w:ascii="宋体" w:hAnsi="宋体" w:eastAsia="宋体" w:cs="宋体"/>
          <w:sz w:val="35"/>
          <w:szCs w:val="35"/>
        </w:rPr>
      </w:pPr>
      <w:r>
        <w:rPr>
          <w:rFonts w:ascii="宋体" w:hAnsi="宋体" w:eastAsia="宋体" w:cs="宋体"/>
          <w:spacing w:val="4"/>
          <w:sz w:val="35"/>
          <w:szCs w:val="35"/>
          <w14:textOutline w14:w="6537" w14:cap="sq" w14:cmpd="sng">
            <w14:solidFill>
              <w14:srgbClr w14:val="000000"/>
            </w14:solidFill>
            <w14:prstDash w14:val="solid"/>
            <w14:bevel/>
          </w14:textOutline>
        </w:rPr>
        <w:t>（正本/副本）</w:t>
      </w:r>
    </w:p>
    <w:p w14:paraId="743BD8C4">
      <w:pPr>
        <w:pStyle w:val="13"/>
        <w:spacing w:line="256" w:lineRule="auto"/>
      </w:pPr>
    </w:p>
    <w:p w14:paraId="71543794">
      <w:pPr>
        <w:pStyle w:val="13"/>
        <w:spacing w:line="257" w:lineRule="auto"/>
      </w:pPr>
    </w:p>
    <w:p w14:paraId="0667A43D">
      <w:pPr>
        <w:pStyle w:val="13"/>
        <w:spacing w:line="257" w:lineRule="auto"/>
      </w:pPr>
    </w:p>
    <w:p w14:paraId="6E70CF21">
      <w:pPr>
        <w:pStyle w:val="13"/>
        <w:spacing w:line="257" w:lineRule="auto"/>
      </w:pPr>
    </w:p>
    <w:p w14:paraId="56986986">
      <w:pPr>
        <w:tabs>
          <w:tab w:val="left" w:pos="6397"/>
        </w:tabs>
        <w:spacing w:before="130" w:line="221" w:lineRule="auto"/>
        <w:ind w:left="1979"/>
        <w:rPr>
          <w:rFonts w:ascii="宋体" w:hAnsi="宋体" w:eastAsia="宋体" w:cs="宋体"/>
          <w:sz w:val="40"/>
          <w:szCs w:val="40"/>
        </w:rPr>
      </w:pPr>
      <w:r>
        <w:rPr>
          <w:rFonts w:ascii="宋体" w:hAnsi="宋体" w:eastAsia="宋体" w:cs="宋体"/>
          <w:sz w:val="40"/>
          <w:szCs w:val="40"/>
          <w:u w:val="single" w:color="auto"/>
        </w:rPr>
        <w:tab/>
      </w:r>
      <w:r>
        <w:rPr>
          <w:rFonts w:ascii="宋体" w:hAnsi="宋体" w:eastAsia="宋体" w:cs="宋体"/>
          <w:spacing w:val="-177"/>
          <w:sz w:val="40"/>
          <w:szCs w:val="40"/>
        </w:rPr>
        <w:t xml:space="preserve"> </w:t>
      </w:r>
      <w:r>
        <w:rPr>
          <w:rFonts w:ascii="宋体" w:hAnsi="宋体" w:eastAsia="宋体" w:cs="宋体"/>
          <w:spacing w:val="-11"/>
          <w:sz w:val="40"/>
          <w:szCs w:val="40"/>
          <w14:textOutline w14:w="7282" w14:cap="sq" w14:cmpd="sng">
            <w14:solidFill>
              <w14:srgbClr w14:val="000000"/>
            </w14:solidFill>
            <w14:prstDash w14:val="solid"/>
            <w14:bevel/>
          </w14:textOutline>
        </w:rPr>
        <w:t>项目</w:t>
      </w:r>
    </w:p>
    <w:p w14:paraId="72B45EE6">
      <w:pPr>
        <w:pStyle w:val="13"/>
        <w:spacing w:line="281" w:lineRule="auto"/>
      </w:pPr>
    </w:p>
    <w:p w14:paraId="78702D1B">
      <w:pPr>
        <w:pStyle w:val="13"/>
        <w:spacing w:line="282" w:lineRule="auto"/>
      </w:pPr>
    </w:p>
    <w:p w14:paraId="78382DCD">
      <w:pPr>
        <w:pStyle w:val="13"/>
        <w:spacing w:line="282" w:lineRule="auto"/>
      </w:pPr>
    </w:p>
    <w:p w14:paraId="35E5F3D8">
      <w:pPr>
        <w:spacing w:before="170" w:line="220" w:lineRule="auto"/>
        <w:ind w:left="2264"/>
        <w:outlineLvl w:val="2"/>
        <w:rPr>
          <w:rFonts w:ascii="宋体" w:hAnsi="宋体" w:eastAsia="宋体" w:cs="宋体"/>
          <w:sz w:val="52"/>
          <w:szCs w:val="52"/>
        </w:rPr>
      </w:pPr>
      <w:bookmarkStart w:id="18" w:name="bookmark20"/>
      <w:bookmarkEnd w:id="18"/>
      <w:r>
        <w:rPr>
          <w:rFonts w:ascii="宋体" w:hAnsi="宋体" w:eastAsia="宋体" w:cs="宋体"/>
          <w:spacing w:val="-1"/>
          <w:sz w:val="52"/>
          <w:szCs w:val="52"/>
          <w14:textOutline w14:w="9461" w14:cap="sq" w14:cmpd="sng">
            <w14:solidFill>
              <w14:srgbClr w14:val="000000"/>
            </w14:solidFill>
            <w14:prstDash w14:val="solid"/>
            <w14:bevel/>
          </w14:textOutline>
        </w:rPr>
        <w:t>其他响应性投标文件</w:t>
      </w:r>
    </w:p>
    <w:p w14:paraId="7633F9B0">
      <w:pPr>
        <w:pStyle w:val="13"/>
        <w:spacing w:line="254" w:lineRule="auto"/>
      </w:pPr>
    </w:p>
    <w:p w14:paraId="772FA31A">
      <w:pPr>
        <w:pStyle w:val="13"/>
        <w:spacing w:line="254" w:lineRule="auto"/>
      </w:pPr>
    </w:p>
    <w:p w14:paraId="13E003B1">
      <w:pPr>
        <w:pStyle w:val="13"/>
        <w:spacing w:line="254" w:lineRule="auto"/>
      </w:pPr>
    </w:p>
    <w:p w14:paraId="3C451724">
      <w:pPr>
        <w:pStyle w:val="13"/>
        <w:spacing w:line="254" w:lineRule="auto"/>
      </w:pPr>
    </w:p>
    <w:p w14:paraId="75EF54CA">
      <w:pPr>
        <w:pStyle w:val="13"/>
        <w:spacing w:line="254" w:lineRule="auto"/>
      </w:pPr>
    </w:p>
    <w:p w14:paraId="18D44EB1">
      <w:pPr>
        <w:pStyle w:val="13"/>
        <w:spacing w:line="255" w:lineRule="auto"/>
      </w:pPr>
    </w:p>
    <w:p w14:paraId="4DAE8CD7">
      <w:pPr>
        <w:bidi w:val="0"/>
        <w:rPr>
          <w:rFonts w:hint="eastAsia" w:ascii="宋体" w:hAnsi="宋体" w:eastAsia="宋体" w:cs="宋体"/>
          <w:b/>
          <w:bCs/>
          <w:sz w:val="32"/>
          <w:szCs w:val="32"/>
        </w:rPr>
      </w:pPr>
      <w:r>
        <w:rPr>
          <w:rFonts w:hint="eastAsia" w:ascii="宋体" w:hAnsi="宋体" w:eastAsia="宋体" w:cs="宋体"/>
          <w:b/>
          <w:bCs/>
          <w:sz w:val="32"/>
          <w:szCs w:val="32"/>
        </w:rPr>
        <w:t>投标人名称：</w:t>
      </w:r>
      <w:r>
        <w:rPr>
          <w:rFonts w:hint="eastAsia" w:ascii="宋体" w:hAnsi="宋体" w:eastAsia="宋体" w:cs="宋体"/>
          <w:b/>
          <w:bCs/>
          <w:sz w:val="32"/>
          <w:szCs w:val="32"/>
          <w:u w:val="single"/>
        </w:rPr>
        <w:t xml:space="preserve">                    </w:t>
      </w:r>
    </w:p>
    <w:p w14:paraId="47F40E91">
      <w:pPr>
        <w:bidi w:val="0"/>
        <w:rPr>
          <w:rFonts w:hint="eastAsia" w:ascii="宋体" w:hAnsi="宋体" w:eastAsia="宋体" w:cs="宋体"/>
          <w:b/>
          <w:bCs/>
          <w:sz w:val="32"/>
          <w:szCs w:val="32"/>
        </w:rPr>
      </w:pPr>
    </w:p>
    <w:p w14:paraId="791286EE">
      <w:pPr>
        <w:bidi w:val="0"/>
        <w:rPr>
          <w:rFonts w:hint="eastAsia" w:ascii="宋体" w:hAnsi="宋体" w:eastAsia="宋体" w:cs="宋体"/>
          <w:b/>
          <w:bCs/>
          <w:sz w:val="32"/>
          <w:szCs w:val="32"/>
        </w:rPr>
      </w:pPr>
      <w:r>
        <w:rPr>
          <w:rFonts w:hint="eastAsia" w:ascii="宋体" w:hAnsi="宋体" w:eastAsia="宋体" w:cs="宋体"/>
          <w:b/>
          <w:bCs/>
          <w:sz w:val="32"/>
          <w:szCs w:val="32"/>
        </w:rPr>
        <w:t>采购项目编号：</w:t>
      </w:r>
      <w:r>
        <w:rPr>
          <w:rFonts w:hint="eastAsia" w:ascii="宋体" w:hAnsi="宋体" w:eastAsia="宋体" w:cs="宋体"/>
          <w:b/>
          <w:bCs/>
          <w:sz w:val="32"/>
          <w:szCs w:val="32"/>
          <w:u w:val="single"/>
        </w:rPr>
        <w:t xml:space="preserve">                  </w:t>
      </w:r>
    </w:p>
    <w:p w14:paraId="712FF5A3">
      <w:pPr>
        <w:bidi w:val="0"/>
        <w:rPr>
          <w:rFonts w:hint="eastAsia" w:ascii="宋体" w:hAnsi="宋体" w:eastAsia="宋体" w:cs="宋体"/>
          <w:b/>
          <w:bCs/>
          <w:sz w:val="32"/>
          <w:szCs w:val="32"/>
        </w:rPr>
      </w:pPr>
    </w:p>
    <w:p w14:paraId="3B004807">
      <w:pPr>
        <w:bidi w:val="0"/>
        <w:rPr>
          <w:rFonts w:hint="eastAsia" w:ascii="宋体" w:hAnsi="宋体" w:eastAsia="宋体" w:cs="宋体"/>
          <w:b/>
          <w:bCs/>
          <w:sz w:val="32"/>
          <w:szCs w:val="32"/>
          <w:u w:val="single"/>
          <w:lang w:val="en-US" w:eastAsia="zh-CN"/>
        </w:rPr>
      </w:pPr>
      <w:r>
        <w:rPr>
          <w:rFonts w:hint="eastAsia" w:ascii="宋体" w:hAnsi="宋体" w:eastAsia="宋体" w:cs="宋体"/>
          <w:b/>
          <w:bCs/>
          <w:sz w:val="32"/>
          <w:szCs w:val="32"/>
          <w:lang w:eastAsia="zh-CN"/>
        </w:rPr>
        <w:t>包号：</w:t>
      </w:r>
      <w:r>
        <w:rPr>
          <w:rFonts w:hint="eastAsia" w:ascii="宋体" w:hAnsi="宋体" w:eastAsia="宋体" w:cs="宋体"/>
          <w:b/>
          <w:bCs/>
          <w:sz w:val="32"/>
          <w:szCs w:val="32"/>
          <w:u w:val="single"/>
          <w:lang w:val="en-US" w:eastAsia="zh-CN"/>
        </w:rPr>
        <w:t xml:space="preserve">             </w:t>
      </w:r>
    </w:p>
    <w:p w14:paraId="7BE34ECB">
      <w:pPr>
        <w:bidi w:val="0"/>
        <w:rPr>
          <w:rFonts w:hint="eastAsia" w:ascii="宋体" w:hAnsi="宋体" w:eastAsia="宋体" w:cs="宋体"/>
          <w:b/>
          <w:bCs/>
          <w:sz w:val="32"/>
          <w:szCs w:val="32"/>
        </w:rPr>
      </w:pPr>
    </w:p>
    <w:p w14:paraId="5EB5B72B">
      <w:pPr>
        <w:spacing w:before="101" w:line="225" w:lineRule="auto"/>
        <w:ind w:left="17"/>
        <w:rPr>
          <w:rFonts w:ascii="宋体" w:hAnsi="宋体" w:eastAsia="宋体" w:cs="宋体"/>
          <w:sz w:val="31"/>
          <w:szCs w:val="31"/>
        </w:rPr>
      </w:pPr>
      <w:r>
        <w:rPr>
          <w:rFonts w:hint="eastAsia" w:ascii="宋体" w:hAnsi="宋体" w:eastAsia="宋体" w:cs="宋体"/>
          <w:b/>
          <w:bCs/>
          <w:sz w:val="32"/>
          <w:szCs w:val="32"/>
        </w:rPr>
        <w:t>投标时间：</w:t>
      </w:r>
      <w:r>
        <w:rPr>
          <w:rFonts w:hint="eastAsia" w:ascii="宋体" w:hAnsi="宋体" w:eastAsia="宋体" w:cs="宋体"/>
          <w:b/>
          <w:bCs/>
          <w:sz w:val="32"/>
          <w:szCs w:val="32"/>
          <w:u w:val="single"/>
        </w:rPr>
        <w:t xml:space="preserve">    年   月   日</w:t>
      </w:r>
    </w:p>
    <w:p w14:paraId="158B1A37">
      <w:pPr>
        <w:spacing w:line="225" w:lineRule="auto"/>
        <w:rPr>
          <w:rFonts w:ascii="宋体" w:hAnsi="宋体" w:eastAsia="宋体" w:cs="宋体"/>
          <w:sz w:val="31"/>
          <w:szCs w:val="31"/>
        </w:rPr>
        <w:sectPr>
          <w:headerReference r:id="rId21" w:type="default"/>
          <w:footerReference r:id="rId22" w:type="default"/>
          <w:pgSz w:w="11906" w:h="16839"/>
          <w:pgMar w:top="1619" w:right="1132" w:bottom="1157" w:left="1588" w:header="851" w:footer="992" w:gutter="0"/>
          <w:pgNumType w:fmt="decimal"/>
          <w:cols w:space="720" w:num="1"/>
        </w:sectPr>
      </w:pPr>
    </w:p>
    <w:p w14:paraId="29D773F6">
      <w:pPr>
        <w:spacing w:line="267" w:lineRule="auto"/>
        <w:rPr>
          <w:rFonts w:ascii="Arial"/>
          <w:sz w:val="21"/>
        </w:rPr>
      </w:pPr>
    </w:p>
    <w:p w14:paraId="52B85FC8">
      <w:pPr>
        <w:spacing w:line="268" w:lineRule="auto"/>
        <w:rPr>
          <w:rFonts w:ascii="Arial"/>
          <w:sz w:val="21"/>
        </w:rPr>
      </w:pPr>
    </w:p>
    <w:p w14:paraId="1462B996">
      <w:pPr>
        <w:pStyle w:val="13"/>
        <w:spacing w:line="248" w:lineRule="auto"/>
      </w:pPr>
    </w:p>
    <w:p w14:paraId="071F7655">
      <w:pPr>
        <w:spacing w:before="101" w:line="225" w:lineRule="auto"/>
        <w:ind w:left="13"/>
        <w:rPr>
          <w:rFonts w:ascii="宋体" w:hAnsi="宋体" w:eastAsia="宋体" w:cs="宋体"/>
          <w:sz w:val="31"/>
          <w:szCs w:val="31"/>
        </w:rPr>
      </w:pPr>
      <w:r>
        <w:rPr>
          <w:rFonts w:ascii="宋体" w:hAnsi="宋体" w:eastAsia="宋体" w:cs="宋体"/>
          <w:spacing w:val="4"/>
          <w:sz w:val="31"/>
          <w:szCs w:val="31"/>
          <w14:textOutline w14:w="5793" w14:cap="sq" w14:cmpd="sng">
            <w14:solidFill>
              <w14:srgbClr w14:val="000000"/>
            </w14:solidFill>
            <w14:prstDash w14:val="solid"/>
            <w14:bevel/>
          </w14:textOutline>
        </w:rPr>
        <w:t>格式</w:t>
      </w:r>
      <w:r>
        <w:rPr>
          <w:rFonts w:ascii="宋体" w:hAnsi="宋体" w:eastAsia="宋体" w:cs="宋体"/>
          <w:spacing w:val="-59"/>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2-2</w:t>
      </w:r>
    </w:p>
    <w:p w14:paraId="22319103">
      <w:pPr>
        <w:spacing w:before="17" w:line="226" w:lineRule="auto"/>
        <w:ind w:left="2682"/>
        <w:outlineLvl w:val="2"/>
        <w:rPr>
          <w:rFonts w:ascii="宋体" w:hAnsi="宋体" w:eastAsia="宋体" w:cs="宋体"/>
          <w:sz w:val="31"/>
          <w:szCs w:val="31"/>
        </w:rPr>
      </w:pPr>
      <w:bookmarkStart w:id="19" w:name="bookmark21"/>
      <w:bookmarkEnd w:id="19"/>
      <w:r>
        <w:rPr>
          <w:rFonts w:ascii="宋体" w:hAnsi="宋体" w:eastAsia="宋体" w:cs="宋体"/>
          <w:spacing w:val="8"/>
          <w:sz w:val="31"/>
          <w:szCs w:val="31"/>
          <w14:textOutline w14:w="5793" w14:cap="sq" w14:cmpd="sng">
            <w14:solidFill>
              <w14:srgbClr w14:val="000000"/>
            </w14:solidFill>
            <w14:prstDash w14:val="solid"/>
            <w14:bevel/>
          </w14:textOutline>
        </w:rPr>
        <w:t>一、投标函（实质性要求）</w:t>
      </w:r>
    </w:p>
    <w:p w14:paraId="43D2374A">
      <w:pPr>
        <w:pStyle w:val="13"/>
        <w:spacing w:line="421" w:lineRule="auto"/>
      </w:pPr>
    </w:p>
    <w:p w14:paraId="3727FEF2">
      <w:pPr>
        <w:spacing w:before="78" w:line="220" w:lineRule="auto"/>
        <w:ind w:left="32"/>
        <w:rPr>
          <w:rFonts w:ascii="宋体" w:hAnsi="宋体" w:eastAsia="宋体" w:cs="宋体"/>
          <w:sz w:val="24"/>
          <w:szCs w:val="24"/>
        </w:rPr>
      </w:pPr>
      <w:r>
        <w:rPr>
          <w:rFonts w:hint="eastAsia" w:ascii="宋体" w:hAnsi="宋体" w:eastAsia="宋体" w:cs="宋体"/>
          <w:spacing w:val="-3"/>
          <w:sz w:val="24"/>
          <w:szCs w:val="24"/>
          <w:lang w:eastAsia="zh-CN"/>
        </w:rPr>
        <w:t>四川华招项目管理有限公司</w:t>
      </w:r>
      <w:r>
        <w:rPr>
          <w:rFonts w:ascii="宋体" w:hAnsi="宋体" w:eastAsia="宋体" w:cs="宋体"/>
          <w:spacing w:val="-3"/>
          <w:sz w:val="24"/>
          <w:szCs w:val="24"/>
        </w:rPr>
        <w:t>：</w:t>
      </w:r>
    </w:p>
    <w:p w14:paraId="5A7EF371">
      <w:pPr>
        <w:spacing w:before="173" w:line="354" w:lineRule="auto"/>
        <w:ind w:left="12" w:firstLine="468"/>
        <w:jc w:val="both"/>
        <w:rPr>
          <w:rFonts w:ascii="宋体" w:hAnsi="宋体" w:eastAsia="宋体" w:cs="宋体"/>
          <w:sz w:val="24"/>
          <w:szCs w:val="24"/>
        </w:rPr>
      </w:pPr>
      <w:r>
        <w:rPr>
          <w:rFonts w:ascii="宋体" w:hAnsi="宋体" w:eastAsia="宋体" w:cs="宋体"/>
          <w:spacing w:val="-2"/>
          <w:sz w:val="24"/>
          <w:szCs w:val="24"/>
        </w:rPr>
        <w:t>我方全面研究了“</w:t>
      </w:r>
      <w:r>
        <w:rPr>
          <w:rFonts w:ascii="宋体" w:hAnsi="宋体" w:eastAsia="宋体" w:cs="宋体"/>
          <w:spacing w:val="-2"/>
          <w:sz w:val="24"/>
          <w:szCs w:val="24"/>
          <w:u w:val="single" w:color="auto"/>
        </w:rPr>
        <w:t xml:space="preserve">                  </w:t>
      </w:r>
      <w:r>
        <w:rPr>
          <w:rFonts w:ascii="宋体" w:hAnsi="宋体" w:eastAsia="宋体" w:cs="宋体"/>
          <w:spacing w:val="-87"/>
          <w:sz w:val="24"/>
          <w:szCs w:val="24"/>
        </w:rPr>
        <w:t xml:space="preserve"> </w:t>
      </w:r>
      <w:r>
        <w:rPr>
          <w:rFonts w:ascii="宋体" w:hAnsi="宋体" w:eastAsia="宋体" w:cs="宋体"/>
          <w:spacing w:val="-2"/>
          <w:sz w:val="24"/>
          <w:szCs w:val="24"/>
        </w:rPr>
        <w:t>”项目（</w:t>
      </w:r>
      <w:r>
        <w:rPr>
          <w:rFonts w:hint="eastAsia" w:ascii="宋体" w:hAnsi="宋体" w:eastAsia="宋体" w:cs="宋体"/>
          <w:spacing w:val="-2"/>
          <w:sz w:val="24"/>
          <w:szCs w:val="24"/>
          <w:lang w:eastAsia="zh-CN"/>
        </w:rPr>
        <w:t>项目</w:t>
      </w:r>
      <w:r>
        <w:rPr>
          <w:rFonts w:ascii="宋体" w:hAnsi="宋体" w:eastAsia="宋体" w:cs="宋体"/>
          <w:spacing w:val="-2"/>
          <w:sz w:val="24"/>
          <w:szCs w:val="24"/>
        </w:rPr>
        <w:t>编号</w:t>
      </w:r>
      <w:r>
        <w:rPr>
          <w:rFonts w:ascii="宋体" w:hAnsi="宋体" w:eastAsia="宋体" w:cs="宋体"/>
          <w:spacing w:val="-20"/>
          <w:sz w:val="24"/>
          <w:szCs w:val="24"/>
        </w:rPr>
        <w:t>：</w:t>
      </w:r>
      <w:r>
        <w:rPr>
          <w:rFonts w:ascii="宋体" w:hAnsi="宋体" w:eastAsia="宋体" w:cs="宋体"/>
          <w:sz w:val="24"/>
          <w:szCs w:val="24"/>
          <w:u w:val="single" w:color="auto"/>
        </w:rPr>
        <w:t xml:space="preserve">     </w:t>
      </w:r>
      <w:r>
        <w:rPr>
          <w:rFonts w:ascii="宋体" w:hAnsi="宋体" w:eastAsia="宋体" w:cs="宋体"/>
          <w:spacing w:val="-85"/>
          <w:sz w:val="24"/>
          <w:szCs w:val="24"/>
        </w:rPr>
        <w:t xml:space="preserve"> </w:t>
      </w:r>
      <w:r>
        <w:rPr>
          <w:rFonts w:ascii="宋体" w:hAnsi="宋体" w:eastAsia="宋体" w:cs="宋体"/>
          <w:spacing w:val="-20"/>
          <w:sz w:val="24"/>
          <w:szCs w:val="24"/>
        </w:rPr>
        <w:t>）</w:t>
      </w:r>
      <w:r>
        <w:rPr>
          <w:rFonts w:ascii="宋体" w:hAnsi="宋体" w:eastAsia="宋体" w:cs="宋体"/>
          <w:spacing w:val="-2"/>
          <w:sz w:val="24"/>
          <w:szCs w:val="24"/>
        </w:rPr>
        <w:t>招标文件，</w:t>
      </w:r>
      <w:r>
        <w:rPr>
          <w:rFonts w:ascii="宋体" w:hAnsi="宋体" w:eastAsia="宋体" w:cs="宋体"/>
          <w:spacing w:val="-3"/>
          <w:sz w:val="24"/>
          <w:szCs w:val="24"/>
        </w:rPr>
        <w:t>决定</w:t>
      </w:r>
      <w:r>
        <w:rPr>
          <w:rFonts w:ascii="宋体" w:hAnsi="宋体" w:eastAsia="宋体" w:cs="宋体"/>
          <w:sz w:val="24"/>
          <w:szCs w:val="24"/>
        </w:rPr>
        <w:t xml:space="preserve"> </w:t>
      </w:r>
      <w:r>
        <w:rPr>
          <w:rFonts w:ascii="宋体" w:hAnsi="宋体" w:eastAsia="宋体" w:cs="宋体"/>
          <w:spacing w:val="-1"/>
          <w:sz w:val="24"/>
          <w:szCs w:val="24"/>
        </w:rPr>
        <w:t>参加贵单位组织的本项目投标。我方授权</w:t>
      </w:r>
      <w:r>
        <w:rPr>
          <w:rFonts w:ascii="宋体" w:hAnsi="宋体" w:eastAsia="宋体" w:cs="宋体"/>
          <w:spacing w:val="-1"/>
          <w:sz w:val="24"/>
          <w:szCs w:val="24"/>
          <w:u w:val="single" w:color="auto"/>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（姓名、职务）代表我方</w:t>
      </w:r>
      <w:r>
        <w:rPr>
          <w:rFonts w:ascii="宋体" w:hAnsi="宋体" w:eastAsia="宋体" w:cs="宋体"/>
          <w:spacing w:val="-2"/>
          <w:sz w:val="24"/>
          <w:szCs w:val="24"/>
          <w:u w:val="single" w:color="auto"/>
        </w:rPr>
        <w:t xml:space="preserve">       </w:t>
      </w:r>
    </w:p>
    <w:p w14:paraId="1A2D4506">
      <w:pPr>
        <w:spacing w:line="219" w:lineRule="auto"/>
        <w:ind w:left="21"/>
        <w:rPr>
          <w:rFonts w:ascii="宋体" w:hAnsi="宋体" w:eastAsia="宋体" w:cs="宋体"/>
          <w:sz w:val="24"/>
          <w:szCs w:val="24"/>
        </w:rPr>
      </w:pPr>
      <w:r>
        <w:rPr>
          <w:rFonts w:ascii="宋体" w:hAnsi="宋体" w:eastAsia="宋体" w:cs="宋体"/>
          <w:spacing w:val="-1"/>
          <w:sz w:val="24"/>
          <w:szCs w:val="24"/>
        </w:rPr>
        <w:t>（投标单位的名称）全权处理本项目投标的有关事宜。</w:t>
      </w:r>
    </w:p>
    <w:p w14:paraId="5585767E">
      <w:pPr>
        <w:spacing w:before="174" w:line="219" w:lineRule="auto"/>
        <w:ind w:left="482"/>
        <w:outlineLvl w:val="2"/>
        <w:rPr>
          <w:rFonts w:ascii="宋体" w:hAnsi="宋体" w:eastAsia="宋体" w:cs="宋体"/>
          <w:sz w:val="24"/>
          <w:szCs w:val="24"/>
        </w:rPr>
      </w:pPr>
      <w:r>
        <w:rPr>
          <w:rFonts w:ascii="宋体" w:hAnsi="宋体" w:eastAsia="宋体" w:cs="宋体"/>
          <w:spacing w:val="-1"/>
          <w:sz w:val="24"/>
          <w:szCs w:val="24"/>
        </w:rPr>
        <w:t>一、我方自愿按照招标文件规定的各项要求向采购人提供所需服务。</w:t>
      </w:r>
    </w:p>
    <w:p w14:paraId="5F93475B">
      <w:pPr>
        <w:spacing w:before="176" w:line="219" w:lineRule="auto"/>
        <w:ind w:left="482"/>
        <w:rPr>
          <w:rFonts w:ascii="宋体" w:hAnsi="宋体" w:eastAsia="宋体" w:cs="宋体"/>
          <w:spacing w:val="-1"/>
          <w:sz w:val="24"/>
          <w:szCs w:val="24"/>
        </w:rPr>
      </w:pPr>
      <w:r>
        <w:rPr>
          <w:rFonts w:ascii="宋体" w:hAnsi="宋体" w:eastAsia="宋体" w:cs="宋体"/>
          <w:spacing w:val="-1"/>
          <w:sz w:val="24"/>
          <w:szCs w:val="24"/>
        </w:rPr>
        <w:t>二、一旦我方中标，我方将严格履行政府采购合同规定的责任和义务。</w:t>
      </w:r>
    </w:p>
    <w:p w14:paraId="19E0EC05">
      <w:pPr>
        <w:spacing w:before="174" w:line="219" w:lineRule="auto"/>
        <w:ind w:left="482"/>
        <w:outlineLvl w:val="2"/>
        <w:rPr>
          <w:rFonts w:ascii="宋体" w:hAnsi="宋体" w:eastAsia="宋体" w:cs="宋体"/>
          <w:sz w:val="24"/>
          <w:szCs w:val="24"/>
        </w:rPr>
      </w:pPr>
      <w:r>
        <w:rPr>
          <w:rFonts w:ascii="宋体" w:hAnsi="宋体" w:eastAsia="宋体" w:cs="宋体"/>
          <w:spacing w:val="-1"/>
          <w:position w:val="0"/>
          <w:sz w:val="24"/>
          <w:szCs w:val="24"/>
        </w:rPr>
        <w:t>三、我方为本项目提交的投标文件正本壹份，副本肆份，</w:t>
      </w:r>
      <w:r>
        <w:rPr>
          <w:rFonts w:hint="default" w:ascii="宋体" w:hAnsi="宋体" w:eastAsia="宋体" w:cs="宋体"/>
          <w:spacing w:val="-1"/>
          <w:position w:val="0"/>
          <w:sz w:val="24"/>
          <w:szCs w:val="24"/>
          <w:lang w:val="en-US" w:eastAsia="en-US"/>
        </w:rPr>
        <w:t>电子文档壹份</w:t>
      </w:r>
      <w:r>
        <w:rPr>
          <w:rFonts w:hint="default" w:ascii="宋体" w:hAnsi="宋体" w:eastAsia="宋体" w:cs="宋体"/>
          <w:spacing w:val="-1"/>
          <w:position w:val="0"/>
          <w:sz w:val="24"/>
          <w:szCs w:val="24"/>
          <w:lang w:val="en-US" w:eastAsia="zh-CN"/>
        </w:rPr>
        <w:t>，</w:t>
      </w:r>
      <w:r>
        <w:rPr>
          <w:rFonts w:ascii="宋体" w:hAnsi="宋体" w:eastAsia="宋体" w:cs="宋体"/>
          <w:spacing w:val="-1"/>
          <w:position w:val="0"/>
          <w:sz w:val="24"/>
          <w:szCs w:val="24"/>
        </w:rPr>
        <w:t>用于开标唱标的“开标一</w:t>
      </w:r>
      <w:r>
        <w:rPr>
          <w:rFonts w:ascii="宋体" w:hAnsi="宋体" w:eastAsia="宋体" w:cs="宋体"/>
          <w:spacing w:val="-1"/>
          <w:sz w:val="24"/>
          <w:szCs w:val="24"/>
        </w:rPr>
        <w:t>览表 ”一式壹份。</w:t>
      </w:r>
    </w:p>
    <w:p w14:paraId="2A8BFC4B">
      <w:pPr>
        <w:spacing w:before="175" w:line="219" w:lineRule="auto"/>
        <w:ind w:left="500"/>
        <w:outlineLvl w:val="2"/>
        <w:rPr>
          <w:rFonts w:ascii="宋体" w:hAnsi="宋体" w:eastAsia="宋体" w:cs="宋体"/>
          <w:sz w:val="24"/>
          <w:szCs w:val="24"/>
        </w:rPr>
      </w:pPr>
      <w:r>
        <w:rPr>
          <w:rFonts w:ascii="宋体" w:hAnsi="宋体" w:eastAsia="宋体" w:cs="宋体"/>
          <w:spacing w:val="-3"/>
          <w:sz w:val="24"/>
          <w:szCs w:val="24"/>
        </w:rPr>
        <w:t>四、我方同意本次招标的投标有效期为</w:t>
      </w:r>
      <w:r>
        <w:rPr>
          <w:rFonts w:ascii="宋体" w:hAnsi="宋体" w:eastAsia="宋体" w:cs="宋体"/>
          <w:spacing w:val="-45"/>
          <w:sz w:val="24"/>
          <w:szCs w:val="24"/>
          <w:u w:val="single"/>
        </w:rPr>
        <w:t xml:space="preserve"> </w:t>
      </w:r>
      <w:r>
        <w:rPr>
          <w:rFonts w:hint="eastAsia" w:ascii="宋体" w:hAnsi="宋体" w:eastAsia="宋体" w:cs="宋体"/>
          <w:spacing w:val="-45"/>
          <w:sz w:val="24"/>
          <w:szCs w:val="24"/>
          <w:u w:val="single"/>
          <w:lang w:val="en-US" w:eastAsia="zh-CN"/>
        </w:rPr>
        <w:t xml:space="preserve">  </w:t>
      </w:r>
      <w:r>
        <w:rPr>
          <w:rFonts w:ascii="宋体" w:hAnsi="宋体" w:eastAsia="宋体" w:cs="宋体"/>
          <w:spacing w:val="-3"/>
          <w:sz w:val="24"/>
          <w:szCs w:val="24"/>
          <w:u w:val="single"/>
        </w:rPr>
        <w:t>XX</w:t>
      </w:r>
      <w:r>
        <w:rPr>
          <w:rFonts w:ascii="宋体" w:hAnsi="宋体" w:eastAsia="宋体" w:cs="宋体"/>
          <w:spacing w:val="-45"/>
          <w:sz w:val="24"/>
          <w:szCs w:val="24"/>
          <w:u w:val="single"/>
        </w:rPr>
        <w:t xml:space="preserve"> </w:t>
      </w:r>
      <w:r>
        <w:rPr>
          <w:rFonts w:hint="eastAsia" w:ascii="宋体" w:hAnsi="宋体" w:eastAsia="宋体" w:cs="宋体"/>
          <w:spacing w:val="-45"/>
          <w:sz w:val="24"/>
          <w:szCs w:val="24"/>
          <w:u w:val="single"/>
          <w:lang w:val="en-US" w:eastAsia="zh-CN"/>
        </w:rPr>
        <w:t xml:space="preserve">  </w:t>
      </w:r>
      <w:r>
        <w:rPr>
          <w:rFonts w:ascii="宋体" w:hAnsi="宋体" w:eastAsia="宋体" w:cs="宋体"/>
          <w:spacing w:val="-3"/>
          <w:sz w:val="24"/>
          <w:szCs w:val="24"/>
        </w:rPr>
        <w:t>天。</w:t>
      </w:r>
    </w:p>
    <w:p w14:paraId="0F91274A">
      <w:pPr>
        <w:spacing w:before="176" w:line="458" w:lineRule="exact"/>
        <w:ind w:left="482"/>
        <w:rPr>
          <w:rFonts w:ascii="宋体" w:hAnsi="宋体" w:eastAsia="宋体" w:cs="宋体"/>
          <w:sz w:val="24"/>
          <w:szCs w:val="24"/>
        </w:rPr>
      </w:pPr>
      <w:r>
        <w:rPr>
          <w:rFonts w:ascii="宋体" w:hAnsi="宋体" w:eastAsia="宋体" w:cs="宋体"/>
          <w:position w:val="16"/>
          <w:sz w:val="24"/>
          <w:szCs w:val="24"/>
        </w:rPr>
        <w:t>五、我方愿意提供贵单位可能另外要求的，与投</w:t>
      </w:r>
      <w:r>
        <w:rPr>
          <w:rFonts w:ascii="宋体" w:hAnsi="宋体" w:eastAsia="宋体" w:cs="宋体"/>
          <w:spacing w:val="-1"/>
          <w:position w:val="16"/>
          <w:sz w:val="24"/>
          <w:szCs w:val="24"/>
        </w:rPr>
        <w:t>标有关的文件资料，并保证我方已</w:t>
      </w:r>
    </w:p>
    <w:p w14:paraId="5F217462">
      <w:pPr>
        <w:spacing w:line="219" w:lineRule="auto"/>
        <w:ind w:left="11"/>
        <w:rPr>
          <w:rFonts w:ascii="宋体" w:hAnsi="宋体" w:eastAsia="宋体" w:cs="宋体"/>
          <w:sz w:val="24"/>
          <w:szCs w:val="24"/>
        </w:rPr>
      </w:pPr>
      <w:r>
        <w:rPr>
          <w:rFonts w:ascii="宋体" w:hAnsi="宋体" w:eastAsia="宋体" w:cs="宋体"/>
          <w:spacing w:val="-1"/>
          <w:sz w:val="24"/>
          <w:szCs w:val="24"/>
        </w:rPr>
        <w:t>提供和将要提供的文件资料是真实、准确的。</w:t>
      </w:r>
    </w:p>
    <w:p w14:paraId="6F8A0900">
      <w:pPr>
        <w:pStyle w:val="13"/>
        <w:spacing w:line="252" w:lineRule="auto"/>
      </w:pPr>
    </w:p>
    <w:p w14:paraId="18ACC2FD">
      <w:pPr>
        <w:pStyle w:val="13"/>
        <w:spacing w:line="253" w:lineRule="auto"/>
      </w:pPr>
    </w:p>
    <w:p w14:paraId="5761C480">
      <w:pPr>
        <w:pStyle w:val="13"/>
        <w:spacing w:line="253" w:lineRule="auto"/>
      </w:pPr>
    </w:p>
    <w:p w14:paraId="5C11C2E5">
      <w:pPr>
        <w:pStyle w:val="13"/>
        <w:spacing w:line="253" w:lineRule="auto"/>
      </w:pPr>
    </w:p>
    <w:p w14:paraId="2CEA99EB">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5D2E0317">
      <w:pPr>
        <w:spacing w:before="176" w:line="461" w:lineRule="exact"/>
        <w:ind w:left="479"/>
        <w:rPr>
          <w:rFonts w:ascii="宋体" w:hAnsi="宋体" w:eastAsia="宋体" w:cs="宋体"/>
          <w:sz w:val="24"/>
          <w:szCs w:val="24"/>
        </w:rPr>
      </w:pPr>
      <w:r>
        <w:rPr>
          <w:rFonts w:ascii="宋体" w:hAnsi="宋体" w:eastAsia="宋体" w:cs="宋体"/>
          <w:spacing w:val="-1"/>
          <w:position w:val="16"/>
          <w:sz w:val="24"/>
          <w:szCs w:val="24"/>
        </w:rPr>
        <w:t>法定代表人或授权代表（签字或加盖个人名章</w:t>
      </w:r>
      <w:r>
        <w:rPr>
          <w:rFonts w:ascii="宋体" w:hAnsi="宋体" w:eastAsia="宋体" w:cs="宋体"/>
          <w:spacing w:val="4"/>
          <w:position w:val="16"/>
          <w:sz w:val="24"/>
          <w:szCs w:val="24"/>
        </w:rPr>
        <w:t>）：</w:t>
      </w:r>
    </w:p>
    <w:p w14:paraId="5E40FE23">
      <w:pPr>
        <w:spacing w:line="227" w:lineRule="auto"/>
        <w:ind w:left="478"/>
        <w:rPr>
          <w:rFonts w:ascii="宋体" w:hAnsi="宋体" w:eastAsia="宋体" w:cs="宋体"/>
          <w:sz w:val="24"/>
          <w:szCs w:val="24"/>
        </w:rPr>
      </w:pPr>
      <w:r>
        <w:rPr>
          <w:rFonts w:ascii="宋体" w:hAnsi="宋体" w:eastAsia="宋体" w:cs="宋体"/>
          <w:spacing w:val="-2"/>
          <w:sz w:val="24"/>
          <w:szCs w:val="24"/>
        </w:rPr>
        <w:t>通讯地址：</w:t>
      </w:r>
    </w:p>
    <w:p w14:paraId="49C852FB">
      <w:pPr>
        <w:spacing w:before="163" w:line="461" w:lineRule="exact"/>
        <w:ind w:left="495"/>
        <w:rPr>
          <w:rFonts w:ascii="宋体" w:hAnsi="宋体" w:eastAsia="宋体" w:cs="宋体"/>
          <w:sz w:val="24"/>
          <w:szCs w:val="24"/>
        </w:rPr>
      </w:pPr>
      <w:r>
        <w:rPr>
          <w:rFonts w:ascii="宋体" w:hAnsi="宋体" w:eastAsia="宋体" w:cs="宋体"/>
          <w:spacing w:val="-6"/>
          <w:position w:val="16"/>
          <w:sz w:val="24"/>
          <w:szCs w:val="24"/>
        </w:rPr>
        <w:t>邮政编码：</w:t>
      </w:r>
    </w:p>
    <w:p w14:paraId="3E244A04">
      <w:pPr>
        <w:spacing w:line="222" w:lineRule="auto"/>
        <w:ind w:left="479"/>
        <w:rPr>
          <w:rFonts w:ascii="宋体" w:hAnsi="宋体" w:eastAsia="宋体" w:cs="宋体"/>
          <w:sz w:val="24"/>
          <w:szCs w:val="24"/>
        </w:rPr>
      </w:pPr>
      <w:r>
        <w:rPr>
          <w:rFonts w:ascii="宋体" w:hAnsi="宋体" w:eastAsia="宋体" w:cs="宋体"/>
          <w:spacing w:val="-3"/>
          <w:sz w:val="24"/>
          <w:szCs w:val="24"/>
        </w:rPr>
        <w:t>联系电话：</w:t>
      </w:r>
    </w:p>
    <w:p w14:paraId="7561052E">
      <w:pPr>
        <w:spacing w:before="173" w:line="219" w:lineRule="auto"/>
        <w:ind w:left="476"/>
        <w:rPr>
          <w:rFonts w:ascii="宋体" w:hAnsi="宋体" w:eastAsia="宋体" w:cs="宋体"/>
          <w:sz w:val="24"/>
          <w:szCs w:val="24"/>
        </w:rPr>
      </w:pPr>
      <w:r>
        <w:rPr>
          <w:rFonts w:ascii="宋体" w:hAnsi="宋体" w:eastAsia="宋体" w:cs="宋体"/>
          <w:spacing w:val="-7"/>
          <w:sz w:val="24"/>
          <w:szCs w:val="24"/>
        </w:rPr>
        <w:t>传</w:t>
      </w:r>
      <w:r>
        <w:rPr>
          <w:rFonts w:ascii="宋体" w:hAnsi="宋体" w:eastAsia="宋体" w:cs="宋体"/>
          <w:spacing w:val="3"/>
          <w:sz w:val="24"/>
          <w:szCs w:val="24"/>
        </w:rPr>
        <w:t xml:space="preserve">    </w:t>
      </w:r>
      <w:r>
        <w:rPr>
          <w:rFonts w:ascii="宋体" w:hAnsi="宋体" w:eastAsia="宋体" w:cs="宋体"/>
          <w:spacing w:val="-7"/>
          <w:sz w:val="24"/>
          <w:szCs w:val="24"/>
        </w:rPr>
        <w:t>真：</w:t>
      </w:r>
    </w:p>
    <w:p w14:paraId="6D2B92AD">
      <w:pPr>
        <w:spacing w:before="173" w:line="220" w:lineRule="auto"/>
        <w:ind w:left="493"/>
        <w:rPr>
          <w:rFonts w:ascii="宋体" w:hAnsi="宋体" w:eastAsia="宋体" w:cs="宋体"/>
          <w:sz w:val="24"/>
          <w:szCs w:val="24"/>
        </w:rPr>
      </w:pPr>
      <w:r>
        <w:rPr>
          <w:rFonts w:ascii="宋体" w:hAnsi="宋体" w:eastAsia="宋体" w:cs="宋体"/>
          <w:spacing w:val="-3"/>
          <w:sz w:val="24"/>
          <w:szCs w:val="24"/>
        </w:rPr>
        <w:t>投标日期：  年</w:t>
      </w:r>
      <w:r>
        <w:rPr>
          <w:rFonts w:ascii="宋体" w:hAnsi="宋体" w:eastAsia="宋体" w:cs="宋体"/>
          <w:spacing w:val="5"/>
          <w:sz w:val="24"/>
          <w:szCs w:val="24"/>
        </w:rPr>
        <w:t xml:space="preserve">   </w:t>
      </w:r>
      <w:r>
        <w:rPr>
          <w:rFonts w:ascii="宋体" w:hAnsi="宋体" w:eastAsia="宋体" w:cs="宋体"/>
          <w:spacing w:val="-3"/>
          <w:sz w:val="24"/>
          <w:szCs w:val="24"/>
        </w:rPr>
        <w:t>月</w:t>
      </w:r>
      <w:r>
        <w:rPr>
          <w:rFonts w:ascii="宋体" w:hAnsi="宋体" w:eastAsia="宋体" w:cs="宋体"/>
          <w:spacing w:val="13"/>
          <w:sz w:val="24"/>
          <w:szCs w:val="24"/>
        </w:rPr>
        <w:t xml:space="preserve">    </w:t>
      </w:r>
      <w:r>
        <w:rPr>
          <w:rFonts w:ascii="宋体" w:hAnsi="宋体" w:eastAsia="宋体" w:cs="宋体"/>
          <w:spacing w:val="-3"/>
          <w:sz w:val="24"/>
          <w:szCs w:val="24"/>
        </w:rPr>
        <w:t>日</w:t>
      </w:r>
    </w:p>
    <w:p w14:paraId="0541A67E">
      <w:pPr>
        <w:spacing w:line="220" w:lineRule="auto"/>
        <w:rPr>
          <w:rFonts w:ascii="宋体" w:hAnsi="宋体" w:eastAsia="宋体" w:cs="宋体"/>
          <w:sz w:val="24"/>
          <w:szCs w:val="24"/>
        </w:rPr>
        <w:sectPr>
          <w:footerReference r:id="rId23" w:type="default"/>
          <w:pgSz w:w="11906" w:h="16839"/>
          <w:pgMar w:top="1619" w:right="1132" w:bottom="1157" w:left="1588" w:header="851" w:footer="992" w:gutter="0"/>
          <w:pgNumType w:fmt="decimal"/>
          <w:cols w:space="720" w:num="1"/>
        </w:sectPr>
      </w:pPr>
    </w:p>
    <w:p w14:paraId="747002CB">
      <w:pPr>
        <w:pStyle w:val="13"/>
        <w:spacing w:line="248" w:lineRule="auto"/>
      </w:pPr>
    </w:p>
    <w:p w14:paraId="07944681">
      <w:pPr>
        <w:spacing w:before="101" w:line="225" w:lineRule="auto"/>
        <w:ind w:left="13"/>
        <w:rPr>
          <w:rFonts w:ascii="宋体" w:hAnsi="宋体" w:eastAsia="宋体" w:cs="宋体"/>
          <w:sz w:val="31"/>
          <w:szCs w:val="31"/>
        </w:rPr>
      </w:pPr>
      <w:r>
        <w:rPr>
          <w:rFonts w:ascii="宋体" w:hAnsi="宋体" w:eastAsia="宋体" w:cs="宋体"/>
          <w:spacing w:val="4"/>
          <w:sz w:val="31"/>
          <w:szCs w:val="31"/>
          <w14:textOutline w14:w="5793" w14:cap="sq" w14:cmpd="sng">
            <w14:solidFill>
              <w14:srgbClr w14:val="000000"/>
            </w14:solidFill>
            <w14:prstDash w14:val="solid"/>
            <w14:bevel/>
          </w14:textOutline>
        </w:rPr>
        <w:t>格式</w:t>
      </w:r>
      <w:r>
        <w:rPr>
          <w:rFonts w:ascii="宋体" w:hAnsi="宋体" w:eastAsia="宋体" w:cs="宋体"/>
          <w:spacing w:val="-56"/>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2-3</w:t>
      </w:r>
    </w:p>
    <w:p w14:paraId="6D9E2FF5">
      <w:pPr>
        <w:spacing w:before="18" w:line="225" w:lineRule="auto"/>
        <w:ind w:left="2682"/>
        <w:outlineLvl w:val="2"/>
        <w:rPr>
          <w:rFonts w:ascii="宋体" w:hAnsi="宋体" w:eastAsia="宋体" w:cs="宋体"/>
          <w:sz w:val="31"/>
          <w:szCs w:val="31"/>
        </w:rPr>
      </w:pPr>
      <w:bookmarkStart w:id="20" w:name="bookmark22"/>
      <w:bookmarkEnd w:id="20"/>
      <w:r>
        <w:rPr>
          <w:rFonts w:ascii="宋体" w:hAnsi="宋体" w:eastAsia="宋体" w:cs="宋体"/>
          <w:spacing w:val="8"/>
          <w:sz w:val="31"/>
          <w:szCs w:val="31"/>
          <w14:textOutline w14:w="5793" w14:cap="sq" w14:cmpd="sng">
            <w14:solidFill>
              <w14:srgbClr w14:val="000000"/>
            </w14:solidFill>
            <w14:prstDash w14:val="solid"/>
            <w14:bevel/>
          </w14:textOutline>
        </w:rPr>
        <w:t>二、承诺函（实质性要求）</w:t>
      </w:r>
    </w:p>
    <w:p w14:paraId="3E6A7024">
      <w:pPr>
        <w:pStyle w:val="13"/>
        <w:spacing w:line="398" w:lineRule="auto"/>
      </w:pPr>
    </w:p>
    <w:p w14:paraId="2EDE49ED">
      <w:pPr>
        <w:spacing w:before="78" w:line="220" w:lineRule="auto"/>
        <w:ind w:left="32"/>
        <w:rPr>
          <w:rFonts w:ascii="宋体" w:hAnsi="宋体" w:eastAsia="宋体" w:cs="宋体"/>
          <w:sz w:val="24"/>
          <w:szCs w:val="24"/>
        </w:rPr>
      </w:pPr>
      <w:r>
        <w:rPr>
          <w:rFonts w:hint="eastAsia" w:ascii="宋体" w:hAnsi="宋体" w:eastAsia="宋体" w:cs="宋体"/>
          <w:spacing w:val="-3"/>
          <w:sz w:val="24"/>
          <w:szCs w:val="24"/>
          <w:lang w:eastAsia="zh-CN"/>
        </w:rPr>
        <w:t>四川华招项目管理有限公司</w:t>
      </w:r>
      <w:r>
        <w:rPr>
          <w:rFonts w:ascii="宋体" w:hAnsi="宋体" w:eastAsia="宋体" w:cs="宋体"/>
          <w:spacing w:val="-3"/>
          <w:sz w:val="24"/>
          <w:szCs w:val="24"/>
        </w:rPr>
        <w:t>：</w:t>
      </w:r>
    </w:p>
    <w:p w14:paraId="0DAA9B55">
      <w:pPr>
        <w:spacing w:before="134" w:line="219" w:lineRule="auto"/>
        <w:ind w:left="492"/>
        <w:rPr>
          <w:rFonts w:ascii="宋体" w:hAnsi="宋体" w:eastAsia="宋体" w:cs="宋体"/>
          <w:sz w:val="24"/>
          <w:szCs w:val="24"/>
        </w:rPr>
      </w:pPr>
      <w:r>
        <w:rPr>
          <w:rFonts w:ascii="宋体" w:hAnsi="宋体" w:eastAsia="宋体" w:cs="宋体"/>
          <w:sz w:val="24"/>
          <w:szCs w:val="24"/>
        </w:rPr>
        <w:t>我单位作为本次采购项目的投标人，根据招标</w:t>
      </w:r>
      <w:r>
        <w:rPr>
          <w:rFonts w:ascii="宋体" w:hAnsi="宋体" w:eastAsia="宋体" w:cs="宋体"/>
          <w:spacing w:val="-1"/>
          <w:sz w:val="24"/>
          <w:szCs w:val="24"/>
        </w:rPr>
        <w:t>文件要求，现郑重承诺如下：</w:t>
      </w:r>
    </w:p>
    <w:p w14:paraId="776F27E7">
      <w:pPr>
        <w:spacing w:before="135" w:line="323" w:lineRule="auto"/>
        <w:ind w:left="9" w:right="128" w:firstLine="484"/>
        <w:rPr>
          <w:rFonts w:ascii="宋体" w:hAnsi="宋体" w:eastAsia="宋体" w:cs="宋体"/>
          <w:sz w:val="24"/>
          <w:szCs w:val="24"/>
        </w:rPr>
      </w:pPr>
      <w:r>
        <w:rPr>
          <w:rFonts w:ascii="宋体" w:hAnsi="宋体" w:eastAsia="宋体" w:cs="宋体"/>
          <w:sz w:val="24"/>
          <w:szCs w:val="24"/>
        </w:rPr>
        <w:t>一、完全接受和满足本项目招标文件中规定的实</w:t>
      </w:r>
      <w:r>
        <w:rPr>
          <w:rFonts w:ascii="宋体" w:hAnsi="宋体" w:eastAsia="宋体" w:cs="宋体"/>
          <w:spacing w:val="-1"/>
          <w:sz w:val="24"/>
          <w:szCs w:val="24"/>
        </w:rPr>
        <w:t>质性要求（如低于成本价不正当竞</w:t>
      </w:r>
      <w:r>
        <w:rPr>
          <w:rFonts w:ascii="宋体" w:hAnsi="宋体" w:eastAsia="宋体" w:cs="宋体"/>
          <w:sz w:val="24"/>
          <w:szCs w:val="24"/>
        </w:rPr>
        <w:t xml:space="preserve"> 争预防措施、进口产品、国家规定的强制采购范围、投标费用、</w:t>
      </w:r>
      <w:r>
        <w:rPr>
          <w:rFonts w:ascii="宋体" w:hAnsi="宋体" w:eastAsia="宋体" w:cs="宋体"/>
          <w:spacing w:val="-1"/>
          <w:sz w:val="24"/>
          <w:szCs w:val="24"/>
        </w:rPr>
        <w:t>充分、公平竞争保障措</w:t>
      </w:r>
      <w:r>
        <w:rPr>
          <w:rFonts w:ascii="宋体" w:hAnsi="宋体" w:eastAsia="宋体" w:cs="宋体"/>
          <w:sz w:val="24"/>
          <w:szCs w:val="24"/>
        </w:rPr>
        <w:t xml:space="preserve"> 施、投标文件的语言、计量单位、投标货币、联合体投标、知识</w:t>
      </w:r>
      <w:r>
        <w:rPr>
          <w:rFonts w:ascii="宋体" w:hAnsi="宋体" w:eastAsia="宋体" w:cs="宋体"/>
          <w:spacing w:val="-1"/>
          <w:sz w:val="24"/>
          <w:szCs w:val="24"/>
        </w:rPr>
        <w:t>产权、投标保证金、投</w:t>
      </w:r>
      <w:r>
        <w:rPr>
          <w:rFonts w:ascii="宋体" w:hAnsi="宋体" w:eastAsia="宋体" w:cs="宋体"/>
          <w:sz w:val="24"/>
          <w:szCs w:val="24"/>
        </w:rPr>
        <w:t xml:space="preserve"> </w:t>
      </w:r>
      <w:r>
        <w:rPr>
          <w:rFonts w:ascii="宋体" w:hAnsi="宋体" w:eastAsia="宋体" w:cs="宋体"/>
          <w:spacing w:val="-1"/>
          <w:sz w:val="24"/>
          <w:szCs w:val="24"/>
        </w:rPr>
        <w:t>标有效期、合同分包、合同转包等实质性要求</w:t>
      </w:r>
      <w:r>
        <w:rPr>
          <w:rFonts w:ascii="宋体" w:hAnsi="宋体" w:eastAsia="宋体" w:cs="宋体"/>
          <w:spacing w:val="13"/>
          <w:sz w:val="24"/>
          <w:szCs w:val="24"/>
        </w:rPr>
        <w:t>），</w:t>
      </w:r>
      <w:r>
        <w:rPr>
          <w:rFonts w:ascii="宋体" w:hAnsi="宋体" w:eastAsia="宋体" w:cs="宋体"/>
          <w:spacing w:val="-1"/>
          <w:sz w:val="24"/>
          <w:szCs w:val="24"/>
        </w:rPr>
        <w:t>如对招标文件有异议，已依法进行维</w:t>
      </w:r>
      <w:r>
        <w:rPr>
          <w:rFonts w:ascii="宋体" w:hAnsi="宋体" w:eastAsia="宋体" w:cs="宋体"/>
          <w:sz w:val="24"/>
          <w:szCs w:val="24"/>
        </w:rPr>
        <w:t xml:space="preserve"> 权救济，不存在对招标文件有异议的同时又参加投标以求侥幸中</w:t>
      </w:r>
      <w:r>
        <w:rPr>
          <w:rFonts w:ascii="宋体" w:hAnsi="宋体" w:eastAsia="宋体" w:cs="宋体"/>
          <w:spacing w:val="-1"/>
          <w:sz w:val="24"/>
          <w:szCs w:val="24"/>
        </w:rPr>
        <w:t>标或者为实现其他非法</w:t>
      </w:r>
    </w:p>
    <w:p w14:paraId="498AC572">
      <w:pPr>
        <w:spacing w:before="1" w:line="220" w:lineRule="auto"/>
        <w:ind w:left="56"/>
        <w:rPr>
          <w:rFonts w:ascii="宋体" w:hAnsi="宋体" w:eastAsia="宋体" w:cs="宋体"/>
          <w:sz w:val="24"/>
          <w:szCs w:val="24"/>
        </w:rPr>
      </w:pPr>
      <w:r>
        <w:rPr>
          <w:rFonts w:ascii="宋体" w:hAnsi="宋体" w:eastAsia="宋体" w:cs="宋体"/>
          <w:spacing w:val="-10"/>
          <w:sz w:val="24"/>
          <w:szCs w:val="24"/>
        </w:rPr>
        <w:t>目的的行为。</w:t>
      </w:r>
    </w:p>
    <w:p w14:paraId="47908A99">
      <w:pPr>
        <w:spacing w:before="133" w:line="323" w:lineRule="auto"/>
        <w:ind w:left="10" w:right="128" w:firstLine="483"/>
        <w:rPr>
          <w:rFonts w:ascii="宋体" w:hAnsi="宋体" w:eastAsia="宋体" w:cs="宋体"/>
          <w:sz w:val="24"/>
          <w:szCs w:val="24"/>
        </w:rPr>
      </w:pPr>
      <w:r>
        <w:rPr>
          <w:rFonts w:ascii="宋体" w:hAnsi="宋体" w:eastAsia="宋体" w:cs="宋体"/>
          <w:sz w:val="24"/>
          <w:szCs w:val="24"/>
        </w:rPr>
        <w:t>二、参加本次招标采购活动，不存在与单位负责</w:t>
      </w:r>
      <w:r>
        <w:rPr>
          <w:rFonts w:ascii="宋体" w:hAnsi="宋体" w:eastAsia="宋体" w:cs="宋体"/>
          <w:spacing w:val="-1"/>
          <w:sz w:val="24"/>
          <w:szCs w:val="24"/>
        </w:rPr>
        <w:t>人为同一人或者存在直接控股、管</w:t>
      </w:r>
      <w:r>
        <w:rPr>
          <w:rFonts w:ascii="宋体" w:hAnsi="宋体" w:eastAsia="宋体" w:cs="宋体"/>
          <w:sz w:val="24"/>
          <w:szCs w:val="24"/>
        </w:rPr>
        <w:t xml:space="preserve"> 理关系的其他供应商参与同一合同项下的政府采购活动的行为</w:t>
      </w:r>
      <w:r>
        <w:rPr>
          <w:rFonts w:ascii="宋体" w:hAnsi="宋体" w:eastAsia="宋体" w:cs="宋体"/>
          <w:spacing w:val="-1"/>
          <w:sz w:val="24"/>
          <w:szCs w:val="24"/>
        </w:rPr>
        <w:t>。为采购项目提供整体设</w:t>
      </w:r>
      <w:r>
        <w:rPr>
          <w:rFonts w:ascii="宋体" w:hAnsi="宋体" w:eastAsia="宋体" w:cs="宋体"/>
          <w:sz w:val="24"/>
          <w:szCs w:val="24"/>
        </w:rPr>
        <w:t xml:space="preserve"> 计、规范编制或者项目管理、监理、检测等服务的供应商，不</w:t>
      </w:r>
      <w:r>
        <w:rPr>
          <w:rFonts w:ascii="宋体" w:hAnsi="宋体" w:eastAsia="宋体" w:cs="宋体"/>
          <w:spacing w:val="-1"/>
          <w:sz w:val="24"/>
          <w:szCs w:val="24"/>
        </w:rPr>
        <w:t>得再参加该采购项目的其</w:t>
      </w:r>
    </w:p>
    <w:p w14:paraId="6E6AF39E">
      <w:pPr>
        <w:spacing w:line="219" w:lineRule="auto"/>
        <w:ind w:left="10"/>
        <w:rPr>
          <w:rFonts w:ascii="宋体" w:hAnsi="宋体" w:eastAsia="宋体" w:cs="宋体"/>
          <w:sz w:val="24"/>
          <w:szCs w:val="24"/>
        </w:rPr>
      </w:pPr>
      <w:r>
        <w:rPr>
          <w:rFonts w:ascii="宋体" w:hAnsi="宋体" w:eastAsia="宋体" w:cs="宋体"/>
          <w:spacing w:val="-2"/>
          <w:sz w:val="24"/>
          <w:szCs w:val="24"/>
        </w:rPr>
        <w:t>他采购活动。</w:t>
      </w:r>
    </w:p>
    <w:p w14:paraId="2AE6DB46">
      <w:pPr>
        <w:spacing w:before="135" w:line="420" w:lineRule="exact"/>
        <w:ind w:left="490"/>
        <w:rPr>
          <w:rFonts w:ascii="宋体" w:hAnsi="宋体" w:eastAsia="宋体" w:cs="宋体"/>
          <w:sz w:val="24"/>
          <w:szCs w:val="24"/>
        </w:rPr>
      </w:pPr>
      <w:r>
        <w:rPr>
          <w:rFonts w:ascii="宋体" w:hAnsi="宋体" w:eastAsia="宋体" w:cs="宋体"/>
          <w:position w:val="13"/>
          <w:sz w:val="24"/>
          <w:szCs w:val="24"/>
        </w:rPr>
        <w:t>三、参加本次招标采购活动，不存在和其他供应商在同一</w:t>
      </w:r>
      <w:r>
        <w:rPr>
          <w:rFonts w:ascii="宋体" w:hAnsi="宋体" w:eastAsia="宋体" w:cs="宋体"/>
          <w:spacing w:val="-1"/>
          <w:position w:val="13"/>
          <w:sz w:val="24"/>
          <w:szCs w:val="24"/>
        </w:rPr>
        <w:t>合同项下的采购项目中，</w:t>
      </w:r>
    </w:p>
    <w:p w14:paraId="0395037F">
      <w:pPr>
        <w:spacing w:line="220" w:lineRule="auto"/>
        <w:ind w:left="33"/>
        <w:rPr>
          <w:rFonts w:ascii="宋体" w:hAnsi="宋体" w:eastAsia="宋体" w:cs="宋体"/>
          <w:sz w:val="24"/>
          <w:szCs w:val="24"/>
        </w:rPr>
      </w:pPr>
      <w:r>
        <w:rPr>
          <w:rFonts w:ascii="宋体" w:hAnsi="宋体" w:eastAsia="宋体" w:cs="宋体"/>
          <w:spacing w:val="-1"/>
          <w:sz w:val="24"/>
          <w:szCs w:val="24"/>
        </w:rPr>
        <w:t>同时委托同一个自然人、同一家庭的人员、同一单位的人员作为代理人的行为。</w:t>
      </w:r>
    </w:p>
    <w:p w14:paraId="345E21A4">
      <w:pPr>
        <w:spacing w:before="134" w:line="420" w:lineRule="exact"/>
        <w:ind w:left="512"/>
        <w:rPr>
          <w:rFonts w:ascii="宋体" w:hAnsi="宋体" w:eastAsia="宋体" w:cs="宋体"/>
          <w:sz w:val="24"/>
          <w:szCs w:val="24"/>
        </w:rPr>
      </w:pPr>
      <w:r>
        <w:rPr>
          <w:rFonts w:ascii="宋体" w:hAnsi="宋体" w:eastAsia="宋体" w:cs="宋体"/>
          <w:spacing w:val="-1"/>
          <w:position w:val="13"/>
          <w:sz w:val="24"/>
          <w:szCs w:val="24"/>
        </w:rPr>
        <w:t>四、投标文件中提供的能够给予我单位带来优惠、好处的任何材料资料和技术、服</w:t>
      </w:r>
    </w:p>
    <w:p w14:paraId="12A5E524">
      <w:pPr>
        <w:spacing w:line="220" w:lineRule="auto"/>
        <w:ind w:left="12"/>
        <w:rPr>
          <w:rFonts w:ascii="宋体" w:hAnsi="宋体" w:eastAsia="宋体" w:cs="宋体"/>
          <w:sz w:val="24"/>
          <w:szCs w:val="24"/>
        </w:rPr>
      </w:pPr>
      <w:r>
        <w:rPr>
          <w:rFonts w:ascii="宋体" w:hAnsi="宋体" w:eastAsia="宋体" w:cs="宋体"/>
          <w:spacing w:val="-1"/>
          <w:sz w:val="24"/>
          <w:szCs w:val="24"/>
        </w:rPr>
        <w:t>务、商务、响应产品等响应承诺情况都是真实的、有效的、合法的。</w:t>
      </w:r>
    </w:p>
    <w:p w14:paraId="689E57CA">
      <w:pPr>
        <w:spacing w:before="134" w:line="323" w:lineRule="auto"/>
        <w:ind w:left="29" w:right="128" w:firstLine="464"/>
        <w:rPr>
          <w:rFonts w:ascii="宋体" w:hAnsi="宋体" w:eastAsia="宋体" w:cs="宋体"/>
          <w:sz w:val="24"/>
          <w:szCs w:val="24"/>
        </w:rPr>
      </w:pPr>
      <w:r>
        <w:rPr>
          <w:rFonts w:ascii="宋体" w:hAnsi="宋体" w:eastAsia="宋体" w:cs="宋体"/>
          <w:sz w:val="24"/>
          <w:szCs w:val="24"/>
        </w:rPr>
        <w:t>五、如本项目评标过程中需要提供样品，则我单</w:t>
      </w:r>
      <w:r>
        <w:rPr>
          <w:rFonts w:ascii="宋体" w:hAnsi="宋体" w:eastAsia="宋体" w:cs="宋体"/>
          <w:spacing w:val="-1"/>
          <w:sz w:val="24"/>
          <w:szCs w:val="24"/>
        </w:rPr>
        <w:t>位提供的样品即为中标后将要提供</w:t>
      </w:r>
      <w:r>
        <w:rPr>
          <w:rFonts w:ascii="宋体" w:hAnsi="宋体" w:eastAsia="宋体" w:cs="宋体"/>
          <w:sz w:val="24"/>
          <w:szCs w:val="24"/>
        </w:rPr>
        <w:t xml:space="preserve"> </w:t>
      </w:r>
      <w:r>
        <w:rPr>
          <w:rFonts w:ascii="宋体" w:hAnsi="宋体" w:eastAsia="宋体" w:cs="宋体"/>
          <w:spacing w:val="-1"/>
          <w:sz w:val="24"/>
          <w:szCs w:val="24"/>
        </w:rPr>
        <w:t>的中标产品，我单位对提供样品的性能和质量负责，因样品存在缺陷或者不符合招标文</w:t>
      </w:r>
    </w:p>
    <w:p w14:paraId="7E8FC033">
      <w:pPr>
        <w:spacing w:line="220" w:lineRule="auto"/>
        <w:ind w:left="9"/>
        <w:rPr>
          <w:rFonts w:ascii="宋体" w:hAnsi="宋体" w:eastAsia="宋体" w:cs="宋体"/>
          <w:sz w:val="24"/>
          <w:szCs w:val="24"/>
        </w:rPr>
      </w:pPr>
      <w:r>
        <w:rPr>
          <w:rFonts w:ascii="宋体" w:hAnsi="宋体" w:eastAsia="宋体" w:cs="宋体"/>
          <w:spacing w:val="-1"/>
          <w:sz w:val="24"/>
          <w:szCs w:val="24"/>
        </w:rPr>
        <w:t>件要求导致未能中标的，我单位愿意承担相应不利后果。</w:t>
      </w:r>
    </w:p>
    <w:p w14:paraId="3D0BDD48">
      <w:pPr>
        <w:spacing w:before="134" w:line="420" w:lineRule="exact"/>
        <w:ind w:left="492"/>
        <w:rPr>
          <w:rFonts w:ascii="宋体" w:hAnsi="宋体" w:eastAsia="宋体" w:cs="宋体"/>
          <w:sz w:val="24"/>
          <w:szCs w:val="24"/>
        </w:rPr>
      </w:pPr>
      <w:r>
        <w:rPr>
          <w:rFonts w:ascii="宋体" w:hAnsi="宋体" w:eastAsia="宋体" w:cs="宋体"/>
          <w:position w:val="13"/>
          <w:sz w:val="24"/>
          <w:szCs w:val="24"/>
        </w:rPr>
        <w:t>六、我单位和投标产品符合国家或行业主管部门要求</w:t>
      </w:r>
      <w:r>
        <w:rPr>
          <w:rFonts w:ascii="宋体" w:hAnsi="宋体" w:eastAsia="宋体" w:cs="宋体"/>
          <w:spacing w:val="-1"/>
          <w:position w:val="13"/>
          <w:sz w:val="24"/>
          <w:szCs w:val="24"/>
        </w:rPr>
        <w:t>的技术标准、质量标准和资格</w:t>
      </w:r>
    </w:p>
    <w:p w14:paraId="3F222C6E">
      <w:pPr>
        <w:spacing w:line="220" w:lineRule="auto"/>
        <w:ind w:left="20"/>
        <w:rPr>
          <w:rFonts w:ascii="宋体" w:hAnsi="宋体" w:eastAsia="宋体" w:cs="宋体"/>
          <w:sz w:val="24"/>
          <w:szCs w:val="24"/>
        </w:rPr>
      </w:pPr>
      <w:r>
        <w:rPr>
          <w:rFonts w:ascii="宋体" w:hAnsi="宋体" w:eastAsia="宋体" w:cs="宋体"/>
          <w:spacing w:val="-2"/>
          <w:sz w:val="24"/>
          <w:szCs w:val="24"/>
        </w:rPr>
        <w:t>资质条件等强制性规定。</w:t>
      </w:r>
    </w:p>
    <w:p w14:paraId="1098F30F">
      <w:pPr>
        <w:spacing w:before="134" w:line="420" w:lineRule="exact"/>
        <w:jc w:val="right"/>
        <w:rPr>
          <w:rFonts w:ascii="宋体" w:hAnsi="宋体" w:eastAsia="宋体" w:cs="宋体"/>
          <w:sz w:val="24"/>
          <w:szCs w:val="24"/>
        </w:rPr>
      </w:pPr>
      <w:r>
        <w:rPr>
          <w:rFonts w:ascii="宋体" w:hAnsi="宋体" w:eastAsia="宋体" w:cs="宋体"/>
          <w:spacing w:val="-3"/>
          <w:position w:val="13"/>
          <w:sz w:val="24"/>
          <w:szCs w:val="24"/>
        </w:rPr>
        <w:t>本单位对上述承诺的内容事项真实性负责。如经查实上</w:t>
      </w:r>
      <w:r>
        <w:rPr>
          <w:rFonts w:ascii="宋体" w:hAnsi="宋体" w:eastAsia="宋体" w:cs="宋体"/>
          <w:spacing w:val="-4"/>
          <w:position w:val="13"/>
          <w:sz w:val="24"/>
          <w:szCs w:val="24"/>
        </w:rPr>
        <w:t>述承诺的内容事项存在虚假，</w:t>
      </w:r>
    </w:p>
    <w:p w14:paraId="41092BA9">
      <w:pPr>
        <w:spacing w:before="1" w:line="219" w:lineRule="auto"/>
        <w:ind w:left="12"/>
        <w:rPr>
          <w:rFonts w:ascii="宋体" w:hAnsi="宋体" w:eastAsia="宋体" w:cs="宋体"/>
          <w:sz w:val="24"/>
          <w:szCs w:val="24"/>
        </w:rPr>
      </w:pPr>
      <w:r>
        <w:rPr>
          <w:rFonts w:ascii="宋体" w:hAnsi="宋体" w:eastAsia="宋体" w:cs="宋体"/>
          <w:spacing w:val="-1"/>
          <w:sz w:val="24"/>
          <w:szCs w:val="24"/>
        </w:rPr>
        <w:t>我单位愿意接受以提供虚假材料谋取中标追究法律责任。</w:t>
      </w:r>
    </w:p>
    <w:p w14:paraId="22358587">
      <w:pPr>
        <w:pStyle w:val="13"/>
        <w:spacing w:line="474" w:lineRule="auto"/>
      </w:pPr>
    </w:p>
    <w:p w14:paraId="5BF73F2A">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hint="eastAsia" w:ascii="宋体" w:hAnsi="宋体" w:eastAsia="宋体" w:cs="宋体"/>
          <w:spacing w:val="-18"/>
          <w:sz w:val="24"/>
          <w:szCs w:val="24"/>
          <w:lang w:val="en-US" w:eastAsia="zh-CN"/>
        </w:rPr>
        <w:t xml:space="preserve">       </w:t>
      </w:r>
      <w:r>
        <w:rPr>
          <w:rFonts w:ascii="宋体" w:hAnsi="宋体" w:eastAsia="宋体" w:cs="宋体"/>
          <w:spacing w:val="-18"/>
          <w:sz w:val="24"/>
          <w:szCs w:val="24"/>
        </w:rPr>
        <w:t>（</w:t>
      </w:r>
      <w:r>
        <w:rPr>
          <w:rFonts w:ascii="宋体" w:hAnsi="宋体" w:eastAsia="宋体" w:cs="宋体"/>
          <w:spacing w:val="2"/>
          <w:sz w:val="24"/>
          <w:szCs w:val="24"/>
        </w:rPr>
        <w:t>盖单位公章）</w:t>
      </w:r>
    </w:p>
    <w:p w14:paraId="26B10306">
      <w:pPr>
        <w:spacing w:before="135" w:line="420" w:lineRule="exact"/>
        <w:ind w:left="479"/>
        <w:rPr>
          <w:rFonts w:ascii="宋体" w:hAnsi="宋体" w:eastAsia="宋体" w:cs="宋体"/>
          <w:sz w:val="24"/>
          <w:szCs w:val="24"/>
        </w:rPr>
      </w:pPr>
      <w:r>
        <w:rPr>
          <w:rFonts w:ascii="宋体" w:hAnsi="宋体" w:eastAsia="宋体" w:cs="宋体"/>
          <w:spacing w:val="-1"/>
          <w:position w:val="13"/>
          <w:sz w:val="24"/>
          <w:szCs w:val="24"/>
        </w:rPr>
        <w:t>法定代表人或授权代表（签字或加盖个人名章</w:t>
      </w:r>
      <w:r>
        <w:rPr>
          <w:rFonts w:ascii="宋体" w:hAnsi="宋体" w:eastAsia="宋体" w:cs="宋体"/>
          <w:spacing w:val="4"/>
          <w:position w:val="13"/>
          <w:sz w:val="24"/>
          <w:szCs w:val="24"/>
        </w:rPr>
        <w:t>）：</w:t>
      </w:r>
    </w:p>
    <w:p w14:paraId="23827A04">
      <w:pPr>
        <w:spacing w:before="1"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0A2AE4A4">
      <w:pPr>
        <w:spacing w:line="220" w:lineRule="auto"/>
        <w:rPr>
          <w:rFonts w:ascii="宋体" w:hAnsi="宋体" w:eastAsia="宋体" w:cs="宋体"/>
          <w:sz w:val="24"/>
          <w:szCs w:val="24"/>
        </w:rPr>
        <w:sectPr>
          <w:headerReference r:id="rId24" w:type="default"/>
          <w:footerReference r:id="rId25" w:type="default"/>
          <w:pgSz w:w="11906" w:h="16839"/>
          <w:pgMar w:top="1281" w:right="1069" w:bottom="1157" w:left="1361" w:header="851" w:footer="992" w:gutter="0"/>
          <w:pgNumType w:fmt="decimal"/>
          <w:cols w:space="720" w:num="1"/>
        </w:sectPr>
      </w:pPr>
    </w:p>
    <w:p w14:paraId="45A6A46E">
      <w:r>
        <w:br w:type="page"/>
      </w:r>
    </w:p>
    <w:p w14:paraId="590E9DED">
      <w:pPr>
        <w:spacing w:before="101" w:line="225" w:lineRule="auto"/>
        <w:ind w:left="13"/>
        <w:rPr>
          <w:rFonts w:hint="eastAsia" w:ascii="宋体" w:hAnsi="宋体" w:eastAsia="宋体" w:cs="宋体"/>
          <w:spacing w:val="4"/>
          <w:sz w:val="31"/>
          <w:szCs w:val="31"/>
          <w:lang w:val="en-US" w:eastAsia="zh-CN"/>
          <w14:textOutline w14:w="5793" w14:cap="sq" w14:cmpd="sng">
            <w14:solidFill>
              <w14:srgbClr w14:val="000000"/>
            </w14:solidFill>
            <w14:prstDash w14:val="solid"/>
            <w14:bevel/>
          </w14:textOutline>
        </w:rPr>
      </w:pPr>
      <w:r>
        <w:rPr>
          <w:rFonts w:hint="eastAsia" w:ascii="宋体" w:hAnsi="宋体" w:eastAsia="宋体" w:cs="宋体"/>
          <w:spacing w:val="4"/>
          <w:sz w:val="31"/>
          <w:szCs w:val="31"/>
          <w:lang w:eastAsia="zh-CN"/>
          <w14:textOutline w14:w="5793" w14:cap="sq" w14:cmpd="sng">
            <w14:solidFill>
              <w14:srgbClr w14:val="000000"/>
            </w14:solidFill>
            <w14:prstDash w14:val="solid"/>
            <w14:bevel/>
          </w14:textOutline>
        </w:rPr>
        <w:t>格式</w:t>
      </w:r>
      <w:r>
        <w:rPr>
          <w:rFonts w:hint="eastAsia" w:ascii="宋体" w:hAnsi="宋体" w:eastAsia="宋体" w:cs="宋体"/>
          <w:spacing w:val="4"/>
          <w:sz w:val="31"/>
          <w:szCs w:val="31"/>
          <w:lang w:val="en-US" w:eastAsia="zh-CN"/>
          <w14:textOutline w14:w="5793" w14:cap="sq" w14:cmpd="sng">
            <w14:solidFill>
              <w14:srgbClr w14:val="000000"/>
            </w14:solidFill>
            <w14:prstDash w14:val="solid"/>
            <w14:bevel/>
          </w14:textOutline>
        </w:rPr>
        <w:t>2-4</w:t>
      </w:r>
    </w:p>
    <w:p w14:paraId="3747394F">
      <w:pPr>
        <w:pStyle w:val="6"/>
        <w:rPr>
          <w:rFonts w:hint="default"/>
          <w:lang w:val="en-US" w:eastAsia="zh-CN"/>
        </w:rPr>
      </w:pPr>
    </w:p>
    <w:p w14:paraId="000EFB54">
      <w:pPr>
        <w:spacing w:before="18" w:line="225" w:lineRule="auto"/>
        <w:jc w:val="center"/>
        <w:outlineLvl w:val="2"/>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pP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三、开标一览表</w:t>
      </w:r>
    </w:p>
    <w:p w14:paraId="7F7B2FCA">
      <w:pPr>
        <w:pStyle w:val="6"/>
      </w:pPr>
    </w:p>
    <w:p w14:paraId="71A7C08E">
      <w:pPr>
        <w:spacing w:before="78" w:line="206" w:lineRule="auto"/>
        <w:ind w:left="15"/>
        <w:rPr>
          <w:rFonts w:hint="default" w:ascii="宋体" w:hAnsi="宋体" w:eastAsia="宋体" w:cs="宋体"/>
          <w:spacing w:val="-3"/>
          <w:sz w:val="24"/>
          <w:szCs w:val="24"/>
          <w:lang w:val="en-US" w:eastAsia="zh-CN"/>
        </w:rPr>
      </w:pPr>
      <w:r>
        <w:rPr>
          <w:rFonts w:hint="eastAsia" w:ascii="宋体" w:hAnsi="宋体" w:eastAsia="宋体" w:cs="宋体"/>
          <w:spacing w:val="-3"/>
          <w:sz w:val="24"/>
          <w:szCs w:val="24"/>
          <w:lang w:eastAsia="zh-CN"/>
        </w:rPr>
        <w:t>采购项目名称：</w:t>
      </w:r>
    </w:p>
    <w:p w14:paraId="5EC05889">
      <w:pPr>
        <w:spacing w:before="78" w:line="206" w:lineRule="auto"/>
        <w:ind w:left="15"/>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采购项目编号：</w:t>
      </w:r>
    </w:p>
    <w:tbl>
      <w:tblPr>
        <w:tblStyle w:val="24"/>
        <w:tblW w:w="92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886"/>
        <w:gridCol w:w="2758"/>
        <w:gridCol w:w="3606"/>
      </w:tblGrid>
      <w:tr w14:paraId="02EA3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2886" w:type="dxa"/>
            <w:vMerge w:val="restart"/>
            <w:tcBorders>
              <w:bottom w:val="nil"/>
            </w:tcBorders>
            <w:vAlign w:val="top"/>
          </w:tcPr>
          <w:p w14:paraId="385DF60D">
            <w:pPr>
              <w:spacing w:line="291" w:lineRule="auto"/>
              <w:rPr>
                <w:rFonts w:ascii="Arial"/>
                <w:sz w:val="21"/>
              </w:rPr>
            </w:pPr>
          </w:p>
          <w:p w14:paraId="2F964D87">
            <w:pPr>
              <w:spacing w:line="291" w:lineRule="auto"/>
              <w:rPr>
                <w:rFonts w:ascii="Arial"/>
                <w:sz w:val="21"/>
              </w:rPr>
            </w:pPr>
          </w:p>
          <w:p w14:paraId="163EF187">
            <w:pPr>
              <w:pStyle w:val="27"/>
              <w:spacing w:before="78" w:line="219" w:lineRule="auto"/>
              <w:ind w:left="851"/>
            </w:pPr>
            <w:r>
              <w:rPr>
                <w:spacing w:val="-2"/>
                <w14:textOutline w14:w="4358" w14:cap="sq" w14:cmpd="sng">
                  <w14:solidFill>
                    <w14:srgbClr w14:val="000000"/>
                  </w14:solidFill>
                  <w14:prstDash w14:val="solid"/>
                  <w14:bevel/>
                </w14:textOutline>
              </w:rPr>
              <w:t>总价（元）</w:t>
            </w:r>
          </w:p>
        </w:tc>
        <w:tc>
          <w:tcPr>
            <w:tcW w:w="2758" w:type="dxa"/>
            <w:vAlign w:val="top"/>
          </w:tcPr>
          <w:p w14:paraId="275B1239">
            <w:pPr>
              <w:pStyle w:val="27"/>
              <w:spacing w:before="267" w:line="219" w:lineRule="auto"/>
              <w:ind w:left="660"/>
            </w:pPr>
            <w:r>
              <w:rPr>
                <w:spacing w:val="-1"/>
                <w14:textOutline w14:w="4358" w14:cap="sq" w14:cmpd="sng">
                  <w14:solidFill>
                    <w14:srgbClr w14:val="000000"/>
                  </w14:solidFill>
                  <w14:prstDash w14:val="solid"/>
                  <w14:bevel/>
                </w14:textOutline>
              </w:rPr>
              <w:t>报价合计小写</w:t>
            </w:r>
          </w:p>
        </w:tc>
        <w:tc>
          <w:tcPr>
            <w:tcW w:w="3606" w:type="dxa"/>
            <w:vAlign w:val="top"/>
          </w:tcPr>
          <w:p w14:paraId="373155CA">
            <w:pPr>
              <w:rPr>
                <w:rFonts w:ascii="Arial"/>
                <w:sz w:val="21"/>
              </w:rPr>
            </w:pPr>
          </w:p>
        </w:tc>
      </w:tr>
      <w:tr w14:paraId="17A72F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4" w:hRule="atLeast"/>
        </w:trPr>
        <w:tc>
          <w:tcPr>
            <w:tcW w:w="2886" w:type="dxa"/>
            <w:vMerge w:val="continue"/>
            <w:tcBorders>
              <w:top w:val="nil"/>
            </w:tcBorders>
            <w:vAlign w:val="top"/>
          </w:tcPr>
          <w:p w14:paraId="1C79F07C">
            <w:pPr>
              <w:rPr>
                <w:rFonts w:ascii="Arial"/>
                <w:sz w:val="21"/>
              </w:rPr>
            </w:pPr>
          </w:p>
        </w:tc>
        <w:tc>
          <w:tcPr>
            <w:tcW w:w="2758" w:type="dxa"/>
            <w:vAlign w:val="top"/>
          </w:tcPr>
          <w:p w14:paraId="35669969">
            <w:pPr>
              <w:pStyle w:val="27"/>
              <w:spacing w:before="305" w:line="219" w:lineRule="auto"/>
              <w:ind w:left="660"/>
            </w:pPr>
            <w:r>
              <w:rPr>
                <w:spacing w:val="-1"/>
                <w14:textOutline w14:w="4358" w14:cap="sq" w14:cmpd="sng">
                  <w14:solidFill>
                    <w14:srgbClr w14:val="000000"/>
                  </w14:solidFill>
                  <w14:prstDash w14:val="solid"/>
                  <w14:bevel/>
                </w14:textOutline>
              </w:rPr>
              <w:t>报价合计大写</w:t>
            </w:r>
          </w:p>
        </w:tc>
        <w:tc>
          <w:tcPr>
            <w:tcW w:w="3606" w:type="dxa"/>
            <w:vAlign w:val="top"/>
          </w:tcPr>
          <w:p w14:paraId="763FAC0F">
            <w:pPr>
              <w:rPr>
                <w:rFonts w:ascii="Arial"/>
                <w:sz w:val="21"/>
              </w:rPr>
            </w:pPr>
          </w:p>
        </w:tc>
      </w:tr>
      <w:tr w14:paraId="77673B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6" w:hRule="atLeast"/>
        </w:trPr>
        <w:tc>
          <w:tcPr>
            <w:tcW w:w="9250" w:type="dxa"/>
            <w:gridSpan w:val="3"/>
            <w:vAlign w:val="top"/>
          </w:tcPr>
          <w:p w14:paraId="50018DC6">
            <w:pPr>
              <w:pStyle w:val="27"/>
              <w:spacing w:before="179" w:line="222" w:lineRule="auto"/>
              <w:ind w:left="368"/>
            </w:pPr>
            <w:r>
              <w:rPr>
                <w:spacing w:val="1"/>
                <w14:textOutline w14:w="4358" w14:cap="sq" w14:cmpd="sng">
                  <w14:solidFill>
                    <w14:srgbClr w14:val="000000"/>
                  </w14:solidFill>
                  <w14:prstDash w14:val="solid"/>
                  <w14:bevel/>
                </w14:textOutline>
              </w:rPr>
              <w:t>备注：</w:t>
            </w:r>
          </w:p>
          <w:p w14:paraId="28C42A87">
            <w:pPr>
              <w:pStyle w:val="27"/>
              <w:spacing w:before="192" w:line="480" w:lineRule="exact"/>
              <w:ind w:left="544"/>
            </w:pPr>
            <w:r>
              <w:rPr>
                <w:spacing w:val="16"/>
                <w:position w:val="18"/>
                <w14:textOutline w14:w="4358" w14:cap="sq" w14:cmpd="sng">
                  <w14:solidFill>
                    <w14:srgbClr w14:val="000000"/>
                  </w14:solidFill>
                  <w14:prstDash w14:val="solid"/>
                  <w14:bevel/>
                </w14:textOutline>
              </w:rPr>
              <w:t>1、报价应包含完成本项目的全部费用及招标文件要求的</w:t>
            </w:r>
            <w:r>
              <w:rPr>
                <w:spacing w:val="15"/>
                <w:position w:val="18"/>
                <w14:textOutline w14:w="4358" w14:cap="sq" w14:cmpd="sng">
                  <w14:solidFill>
                    <w14:srgbClr w14:val="000000"/>
                  </w14:solidFill>
                  <w14:prstDash w14:val="solid"/>
                  <w14:bevel/>
                </w14:textOutline>
              </w:rPr>
              <w:t>其他费用，因供应商</w:t>
            </w:r>
          </w:p>
          <w:p w14:paraId="70B2271B">
            <w:pPr>
              <w:pStyle w:val="27"/>
              <w:spacing w:line="219" w:lineRule="auto"/>
              <w:ind w:left="155"/>
            </w:pPr>
            <w:r>
              <w:rPr>
                <w:spacing w:val="14"/>
                <w14:textOutline w14:w="4358" w14:cap="sq" w14:cmpd="sng">
                  <w14:solidFill>
                    <w14:srgbClr w14:val="000000"/>
                  </w14:solidFill>
                  <w14:prstDash w14:val="solid"/>
                  <w14:bevel/>
                </w14:textOutline>
              </w:rPr>
              <w:t>自身原因造成漏报、少报皆由其自行承担责任，采购人不再补偿。</w:t>
            </w:r>
          </w:p>
          <w:p w14:paraId="7EE01A53">
            <w:pPr>
              <w:pStyle w:val="27"/>
              <w:spacing w:before="195" w:line="219" w:lineRule="auto"/>
              <w:ind w:left="481"/>
            </w:pPr>
            <w:r>
              <w:rPr>
                <w:spacing w:val="3"/>
                <w14:textOutline w14:w="4358" w14:cap="sq" w14:cmpd="sng">
                  <w14:solidFill>
                    <w14:srgbClr w14:val="000000"/>
                  </w14:solidFill>
                  <w14:prstDash w14:val="solid"/>
                  <w14:bevel/>
                </w14:textOutline>
              </w:rPr>
              <w:t>2、“开标一览表</w:t>
            </w:r>
            <w:r>
              <w:rPr>
                <w:spacing w:val="-83"/>
              </w:rPr>
              <w:t xml:space="preserve"> </w:t>
            </w:r>
            <w:r>
              <w:rPr>
                <w:spacing w:val="3"/>
                <w14:textOutline w14:w="4358" w14:cap="sq" w14:cmpd="sng">
                  <w14:solidFill>
                    <w14:srgbClr w14:val="000000"/>
                  </w14:solidFill>
                  <w14:prstDash w14:val="solid"/>
                  <w14:bevel/>
                </w14:textOutline>
              </w:rPr>
              <w:t>”除了单独密封递交外，投标文件（正副</w:t>
            </w:r>
            <w:r>
              <w:rPr>
                <w:spacing w:val="2"/>
                <w14:textOutline w14:w="4358" w14:cap="sq" w14:cmpd="sng">
                  <w14:solidFill>
                    <w14:srgbClr w14:val="000000"/>
                  </w14:solidFill>
                  <w14:prstDash w14:val="solid"/>
                  <w14:bevel/>
                </w14:textOutline>
              </w:rPr>
              <w:t>本）也应当提供，如有</w:t>
            </w:r>
          </w:p>
          <w:p w14:paraId="1526AF53">
            <w:pPr>
              <w:pStyle w:val="27"/>
              <w:spacing w:before="194" w:line="220" w:lineRule="auto"/>
              <w:ind w:left="115"/>
            </w:pPr>
            <w:r>
              <w:rPr>
                <w14:textOutline w14:w="4358" w14:cap="sq" w14:cmpd="sng">
                  <w14:solidFill>
                    <w14:srgbClr w14:val="000000"/>
                  </w14:solidFill>
                  <w14:prstDash w14:val="solid"/>
                  <w14:bevel/>
                </w14:textOutline>
              </w:rPr>
              <w:t>遗漏，将视为无效投标。</w:t>
            </w:r>
          </w:p>
          <w:p w14:paraId="6DFBA1F6">
            <w:pPr>
              <w:pStyle w:val="27"/>
              <w:spacing w:before="193" w:line="219" w:lineRule="auto"/>
              <w:ind w:left="360"/>
            </w:pPr>
            <w:r>
              <w:rPr>
                <w:spacing w:val="14"/>
                <w14:textOutline w14:w="4358" w14:cap="sq" w14:cmpd="sng">
                  <w14:solidFill>
                    <w14:srgbClr w14:val="000000"/>
                  </w14:solidFill>
                  <w14:prstDash w14:val="solid"/>
                  <w14:bevel/>
                </w14:textOutline>
              </w:rPr>
              <w:t>3、本表内任何有选择或可调整的报价将按无效</w:t>
            </w:r>
            <w:r>
              <w:rPr>
                <w:spacing w:val="13"/>
                <w14:textOutline w14:w="4358" w14:cap="sq" w14:cmpd="sng">
                  <w14:solidFill>
                    <w14:srgbClr w14:val="000000"/>
                  </w14:solidFill>
                  <w14:prstDash w14:val="solid"/>
                  <w14:bevel/>
                </w14:textOutline>
              </w:rPr>
              <w:t>响应处理。</w:t>
            </w:r>
          </w:p>
        </w:tc>
      </w:tr>
    </w:tbl>
    <w:p w14:paraId="5C6F2CE8">
      <w:pPr>
        <w:pStyle w:val="13"/>
        <w:spacing w:line="266" w:lineRule="auto"/>
      </w:pPr>
    </w:p>
    <w:p w14:paraId="7737F1C3">
      <w:pPr>
        <w:pStyle w:val="13"/>
        <w:spacing w:line="266" w:lineRule="auto"/>
      </w:pPr>
    </w:p>
    <w:p w14:paraId="57056411">
      <w:pPr>
        <w:pStyle w:val="13"/>
        <w:spacing w:line="266" w:lineRule="auto"/>
        <w:ind w:firstLine="482" w:firstLineChars="200"/>
        <w:rPr>
          <w:rFonts w:hint="eastAsia" w:eastAsia="宋体"/>
          <w:b/>
          <w:bCs/>
          <w:lang w:eastAsia="zh-CN"/>
        </w:rPr>
      </w:pPr>
      <w:r>
        <w:rPr>
          <w:rFonts w:hint="eastAsia"/>
          <w:b/>
          <w:bCs/>
          <w:lang w:eastAsia="zh-CN"/>
        </w:rPr>
        <w:t>附：分项报价明细表</w:t>
      </w:r>
    </w:p>
    <w:p w14:paraId="534269D1">
      <w:pPr>
        <w:pStyle w:val="13"/>
        <w:spacing w:line="266" w:lineRule="auto"/>
      </w:pPr>
    </w:p>
    <w:p w14:paraId="61BB88C4">
      <w:pPr>
        <w:pStyle w:val="13"/>
        <w:spacing w:line="266" w:lineRule="auto"/>
      </w:pPr>
    </w:p>
    <w:p w14:paraId="605B4FFF">
      <w:pPr>
        <w:spacing w:before="78" w:line="219" w:lineRule="auto"/>
        <w:ind w:firstLine="488" w:firstLineChars="200"/>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hint="eastAsia" w:ascii="宋体" w:hAnsi="宋体" w:eastAsia="宋体" w:cs="宋体"/>
          <w:spacing w:val="-18"/>
          <w:sz w:val="24"/>
          <w:szCs w:val="24"/>
          <w:lang w:val="en-US" w:eastAsia="zh-CN"/>
        </w:rPr>
        <w:t xml:space="preserve">     </w:t>
      </w:r>
      <w:r>
        <w:rPr>
          <w:rFonts w:ascii="宋体" w:hAnsi="宋体" w:eastAsia="宋体" w:cs="宋体"/>
          <w:spacing w:val="-18"/>
          <w:sz w:val="24"/>
          <w:szCs w:val="24"/>
        </w:rPr>
        <w:t>（</w:t>
      </w:r>
      <w:r>
        <w:rPr>
          <w:rFonts w:ascii="宋体" w:hAnsi="宋体" w:eastAsia="宋体" w:cs="宋体"/>
          <w:spacing w:val="2"/>
          <w:sz w:val="24"/>
          <w:szCs w:val="24"/>
        </w:rPr>
        <w:t>盖单位公章）</w:t>
      </w:r>
    </w:p>
    <w:p w14:paraId="03C34A56">
      <w:pPr>
        <w:spacing w:before="215" w:line="499" w:lineRule="exact"/>
        <w:ind w:firstLine="476" w:firstLineChars="200"/>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3AFB636A">
      <w:pPr>
        <w:spacing w:line="240" w:lineRule="auto"/>
        <w:ind w:firstLine="468" w:firstLineChars="200"/>
        <w:rPr>
          <w:rFonts w:ascii="宋体" w:hAnsi="宋体" w:eastAsia="宋体" w:cs="宋体"/>
          <w:sz w:val="24"/>
          <w:szCs w:val="24"/>
        </w:rPr>
      </w:pPr>
      <w:r>
        <w:rPr>
          <w:rFonts w:ascii="宋体" w:hAnsi="宋体" w:eastAsia="宋体" w:cs="宋体"/>
          <w:spacing w:val="-3"/>
          <w:sz w:val="24"/>
          <w:szCs w:val="24"/>
        </w:rPr>
        <w:t>投标</w:t>
      </w:r>
      <w:r>
        <w:rPr>
          <w:rFonts w:hint="eastAsia" w:ascii="宋体" w:hAnsi="宋体" w:eastAsia="宋体" w:cs="宋体"/>
          <w:spacing w:val="-3"/>
          <w:sz w:val="24"/>
          <w:szCs w:val="24"/>
          <w:lang w:val="en-US" w:eastAsia="zh-CN"/>
        </w:rPr>
        <w:t>日</w:t>
      </w:r>
      <w:r>
        <w:rPr>
          <w:rFonts w:ascii="宋体" w:hAnsi="宋体" w:eastAsia="宋体" w:cs="宋体"/>
          <w:spacing w:val="-3"/>
          <w:sz w:val="24"/>
          <w:szCs w:val="24"/>
        </w:rPr>
        <w:t>期：</w:t>
      </w:r>
    </w:p>
    <w:p w14:paraId="63E7B493">
      <w:pPr>
        <w:rPr>
          <w:rFonts w:ascii="宋体" w:hAnsi="宋体" w:eastAsia="宋体" w:cs="宋体"/>
          <w:sz w:val="24"/>
          <w:szCs w:val="24"/>
        </w:rPr>
      </w:pPr>
      <w:r>
        <w:rPr>
          <w:rFonts w:ascii="宋体" w:hAnsi="宋体" w:eastAsia="宋体" w:cs="宋体"/>
          <w:sz w:val="24"/>
          <w:szCs w:val="24"/>
        </w:rPr>
        <w:br w:type="page"/>
      </w:r>
    </w:p>
    <w:p w14:paraId="13699754">
      <w:pP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pP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附：分项报价明细表</w:t>
      </w:r>
    </w:p>
    <w:p w14:paraId="09266215">
      <w:pP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pPr>
    </w:p>
    <w:p w14:paraId="2134488A">
      <w:pP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项目名称：</w:t>
      </w:r>
    </w:p>
    <w:p w14:paraId="675DD6C1">
      <w:pP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项目编号：</w:t>
      </w:r>
    </w:p>
    <w:p w14:paraId="744C9E27">
      <w:pPr>
        <w:spacing w:before="78" w:line="219"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包号：</w:t>
      </w:r>
    </w:p>
    <w:tbl>
      <w:tblPr>
        <w:tblStyle w:val="18"/>
        <w:tblpPr w:leftFromText="180" w:rightFromText="180" w:vertAnchor="text" w:horzAnchor="page" w:tblpX="1407" w:tblpY="137"/>
        <w:tblOverlap w:val="never"/>
        <w:tblW w:w="94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5"/>
        <w:gridCol w:w="1519"/>
        <w:gridCol w:w="1219"/>
        <w:gridCol w:w="862"/>
        <w:gridCol w:w="844"/>
        <w:gridCol w:w="825"/>
        <w:gridCol w:w="881"/>
        <w:gridCol w:w="900"/>
        <w:gridCol w:w="890"/>
        <w:gridCol w:w="717"/>
      </w:tblGrid>
      <w:tr w14:paraId="5BECE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6001444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514A05F4">
            <w:pPr>
              <w:jc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sz w:val="22"/>
                <w:szCs w:val="22"/>
                <w:u w:val="none"/>
                <w:lang w:eastAsia="zh-CN"/>
              </w:rPr>
              <w:t>产品名称（</w:t>
            </w:r>
            <w:r>
              <w:rPr>
                <w:rFonts w:hint="eastAsia" w:ascii="宋体" w:hAnsi="宋体" w:eastAsia="宋体" w:cs="宋体"/>
                <w:b/>
                <w:bCs/>
                <w:i w:val="0"/>
                <w:iCs w:val="0"/>
                <w:color w:val="000000"/>
                <w:sz w:val="22"/>
                <w:szCs w:val="22"/>
                <w:u w:val="none"/>
                <w:lang w:val="en-US" w:eastAsia="zh-CN"/>
              </w:rPr>
              <w:t>标的名称</w:t>
            </w:r>
            <w:r>
              <w:rPr>
                <w:rFonts w:hint="eastAsia" w:ascii="宋体" w:hAnsi="宋体" w:eastAsia="宋体" w:cs="宋体"/>
                <w:b/>
                <w:bCs/>
                <w:i w:val="0"/>
                <w:iCs w:val="0"/>
                <w:color w:val="000000"/>
                <w:sz w:val="22"/>
                <w:szCs w:val="22"/>
                <w:u w:val="none"/>
                <w:lang w:eastAsia="zh-CN"/>
              </w:rPr>
              <w:t>）</w:t>
            </w: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358F56A0">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规格型号</w:t>
            </w: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3F34F04C">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制造商家</w:t>
            </w: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85C0ADB">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货物品牌</w:t>
            </w: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151788A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3E8AFDC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FB08B0D">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单价（元）</w:t>
            </w: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5C351457">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合计（元）</w:t>
            </w: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17E72453">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14:paraId="49186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1D0FCE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3814E335">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2C03D8F7">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5D66C37E">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35DD80C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080631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11917B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0FB630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538A040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0926E31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965D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0E35C4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52E9B492">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3581B0D4">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4BFD50D0">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C2A5165">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6A1CEF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14D87F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D44DB7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40EFE18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2DE2545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E65F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677DE0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374B24E8">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4A8C0BD9">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49B3DF0E">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05327604">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5AB265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481D27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6DA6133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50D5D5D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673C237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04894C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6FEEA8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0D657BEF">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6C75957C">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3A76B837">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2E138C09">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00E3D9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78F961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3584373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49C8B60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639ACA3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7CDE4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497BAF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67C0E997">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3F9E7A4B">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3A505427">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524DA8A9">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12196D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48C8A5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019E919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2B07C06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3D1BC0B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19C34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0565DE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4A5E470F">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4F824547">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6E855F0E">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7A4B4D82">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17925EE8">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0278257F">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99DAD7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3BF8A9F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1D3E33B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5E57F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65270C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3AB9DA1F">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63A87E2D">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087B923F">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17CE4545">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5D87BBC4">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49972037">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5955EC4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46347B8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09A398A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r w14:paraId="3C152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775" w:type="dxa"/>
            <w:tcBorders>
              <w:top w:val="single" w:color="000000" w:sz="4" w:space="0"/>
              <w:left w:val="single" w:color="000000" w:sz="4" w:space="0"/>
              <w:bottom w:val="single" w:color="000000" w:sz="4" w:space="0"/>
              <w:right w:val="single" w:color="000000" w:sz="4" w:space="0"/>
            </w:tcBorders>
            <w:noWrap/>
            <w:vAlign w:val="center"/>
          </w:tcPr>
          <w:p w14:paraId="5D0D8D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519" w:type="dxa"/>
            <w:tcBorders>
              <w:top w:val="single" w:color="000000" w:sz="4" w:space="0"/>
              <w:left w:val="single" w:color="000000" w:sz="4" w:space="0"/>
              <w:bottom w:val="single" w:color="000000" w:sz="4" w:space="0"/>
              <w:right w:val="single" w:color="000000" w:sz="4" w:space="0"/>
            </w:tcBorders>
            <w:noWrap/>
            <w:vAlign w:val="center"/>
          </w:tcPr>
          <w:p w14:paraId="2B28EBA3">
            <w:pPr>
              <w:pStyle w:val="23"/>
              <w:rPr>
                <w:rFonts w:hint="eastAsia" w:ascii="微软雅黑" w:eastAsia="微软雅黑" w:cs="微软雅黑"/>
                <w:color w:val="000000"/>
                <w:sz w:val="24"/>
                <w:szCs w:val="24"/>
                <w:lang w:val="en-US" w:eastAsia="zh-CN" w:bidi="ar-SA"/>
              </w:rPr>
            </w:pPr>
          </w:p>
        </w:tc>
        <w:tc>
          <w:tcPr>
            <w:tcW w:w="1219" w:type="dxa"/>
            <w:tcBorders>
              <w:top w:val="single" w:color="000000" w:sz="4" w:space="0"/>
              <w:left w:val="single" w:color="000000" w:sz="4" w:space="0"/>
              <w:bottom w:val="single" w:color="000000" w:sz="4" w:space="0"/>
              <w:right w:val="single" w:color="000000" w:sz="4" w:space="0"/>
            </w:tcBorders>
            <w:noWrap/>
            <w:vAlign w:val="center"/>
          </w:tcPr>
          <w:p w14:paraId="6E1B20B3">
            <w:pPr>
              <w:pStyle w:val="23"/>
              <w:rPr>
                <w:rFonts w:hint="eastAsia" w:ascii="微软雅黑" w:eastAsia="微软雅黑" w:cs="微软雅黑"/>
                <w:color w:val="000000"/>
                <w:sz w:val="24"/>
                <w:szCs w:val="24"/>
                <w:lang w:val="en-US" w:eastAsia="zh-CN" w:bidi="ar-SA"/>
              </w:rPr>
            </w:pPr>
          </w:p>
        </w:tc>
        <w:tc>
          <w:tcPr>
            <w:tcW w:w="862" w:type="dxa"/>
            <w:tcBorders>
              <w:top w:val="single" w:color="000000" w:sz="4" w:space="0"/>
              <w:left w:val="single" w:color="000000" w:sz="4" w:space="0"/>
              <w:bottom w:val="single" w:color="000000" w:sz="4" w:space="0"/>
              <w:right w:val="single" w:color="000000" w:sz="4" w:space="0"/>
            </w:tcBorders>
            <w:noWrap/>
            <w:vAlign w:val="center"/>
          </w:tcPr>
          <w:p w14:paraId="23C05A39">
            <w:pPr>
              <w:pStyle w:val="23"/>
              <w:rPr>
                <w:rFonts w:hint="eastAsia" w:ascii="微软雅黑" w:eastAsia="微软雅黑" w:cs="微软雅黑"/>
                <w:color w:val="000000"/>
                <w:sz w:val="24"/>
                <w:szCs w:val="24"/>
                <w:lang w:val="en-US" w:eastAsia="zh-CN" w:bidi="ar-SA"/>
              </w:rPr>
            </w:pPr>
          </w:p>
        </w:tc>
        <w:tc>
          <w:tcPr>
            <w:tcW w:w="844" w:type="dxa"/>
            <w:tcBorders>
              <w:top w:val="single" w:color="000000" w:sz="4" w:space="0"/>
              <w:left w:val="single" w:color="000000" w:sz="4" w:space="0"/>
              <w:bottom w:val="single" w:color="000000" w:sz="4" w:space="0"/>
              <w:right w:val="single" w:color="000000" w:sz="4" w:space="0"/>
            </w:tcBorders>
            <w:noWrap/>
            <w:vAlign w:val="center"/>
          </w:tcPr>
          <w:p w14:paraId="3E2E4114">
            <w:pPr>
              <w:pStyle w:val="23"/>
              <w:rPr>
                <w:rFonts w:hint="eastAsia" w:ascii="宋体" w:hAnsi="宋体" w:eastAsia="宋体" w:cs="宋体"/>
                <w:i w:val="0"/>
                <w:iCs w:val="0"/>
                <w:color w:val="000000"/>
                <w:kern w:val="0"/>
                <w:sz w:val="22"/>
                <w:szCs w:val="22"/>
                <w:u w:val="none"/>
                <w:lang w:val="en-US" w:eastAsia="zh-CN" w:bidi="ar"/>
              </w:rPr>
            </w:pPr>
          </w:p>
        </w:tc>
        <w:tc>
          <w:tcPr>
            <w:tcW w:w="825" w:type="dxa"/>
            <w:tcBorders>
              <w:top w:val="single" w:color="000000" w:sz="4" w:space="0"/>
              <w:left w:val="single" w:color="000000" w:sz="4" w:space="0"/>
              <w:bottom w:val="single" w:color="000000" w:sz="4" w:space="0"/>
              <w:right w:val="single" w:color="000000" w:sz="4" w:space="0"/>
            </w:tcBorders>
            <w:noWrap/>
            <w:vAlign w:val="center"/>
          </w:tcPr>
          <w:p w14:paraId="364DE921">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881" w:type="dxa"/>
            <w:tcBorders>
              <w:top w:val="single" w:color="000000" w:sz="4" w:space="0"/>
              <w:left w:val="single" w:color="000000" w:sz="4" w:space="0"/>
              <w:bottom w:val="single" w:color="000000" w:sz="4" w:space="0"/>
              <w:right w:val="single" w:color="000000" w:sz="4" w:space="0"/>
            </w:tcBorders>
            <w:noWrap/>
            <w:vAlign w:val="center"/>
          </w:tcPr>
          <w:p w14:paraId="375FE625">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p>
        </w:tc>
        <w:tc>
          <w:tcPr>
            <w:tcW w:w="900" w:type="dxa"/>
            <w:tcBorders>
              <w:top w:val="single" w:color="000000" w:sz="4" w:space="0"/>
              <w:left w:val="single" w:color="000000" w:sz="4" w:space="0"/>
              <w:bottom w:val="single" w:color="000000" w:sz="4" w:space="0"/>
              <w:right w:val="single" w:color="000000" w:sz="4" w:space="0"/>
            </w:tcBorders>
            <w:noWrap/>
            <w:vAlign w:val="center"/>
          </w:tcPr>
          <w:p w14:paraId="11E4F27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890" w:type="dxa"/>
            <w:tcBorders>
              <w:top w:val="single" w:color="000000" w:sz="4" w:space="0"/>
              <w:left w:val="single" w:color="000000" w:sz="4" w:space="0"/>
              <w:bottom w:val="single" w:color="000000" w:sz="4" w:space="0"/>
              <w:right w:val="single" w:color="000000" w:sz="4" w:space="0"/>
            </w:tcBorders>
            <w:noWrap/>
            <w:vAlign w:val="center"/>
          </w:tcPr>
          <w:p w14:paraId="5B59039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717" w:type="dxa"/>
            <w:tcBorders>
              <w:top w:val="single" w:color="000000" w:sz="4" w:space="0"/>
              <w:left w:val="single" w:color="000000" w:sz="4" w:space="0"/>
              <w:bottom w:val="single" w:color="000000" w:sz="4" w:space="0"/>
              <w:right w:val="single" w:color="000000" w:sz="4" w:space="0"/>
            </w:tcBorders>
            <w:noWrap/>
            <w:vAlign w:val="center"/>
          </w:tcPr>
          <w:p w14:paraId="569FE0C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r>
    </w:tbl>
    <w:p w14:paraId="5104E7F2">
      <w:pPr>
        <w:spacing w:before="78" w:line="219" w:lineRule="auto"/>
        <w:rPr>
          <w:rFonts w:hint="eastAsia" w:ascii="宋体" w:hAnsi="宋体" w:eastAsia="宋体" w:cs="宋体"/>
          <w:b/>
          <w:bCs/>
          <w:color w:val="auto"/>
          <w:sz w:val="24"/>
          <w:szCs w:val="24"/>
          <w:lang w:eastAsia="zh-CN"/>
        </w:rPr>
      </w:pPr>
    </w:p>
    <w:p w14:paraId="4F28C8A2">
      <w:pPr>
        <w:spacing w:before="78" w:line="219" w:lineRule="auto"/>
        <w:ind w:firstLine="482" w:firstLineChars="200"/>
        <w:rPr>
          <w:rFonts w:hint="eastAsia" w:ascii="宋体" w:hAnsi="宋体" w:eastAsia="宋体" w:cs="宋体"/>
          <w:b/>
          <w:bCs/>
          <w:color w:val="auto"/>
          <w:sz w:val="24"/>
          <w:szCs w:val="24"/>
          <w:lang w:eastAsia="zh-CN"/>
        </w:rPr>
      </w:pPr>
    </w:p>
    <w:p w14:paraId="297244CE">
      <w:pPr>
        <w:spacing w:before="78" w:line="219" w:lineRule="auto"/>
        <w:ind w:firstLine="482" w:firstLineChars="200"/>
        <w:rPr>
          <w:rFonts w:hint="eastAsia" w:ascii="宋体" w:hAnsi="宋体" w:eastAsia="宋体" w:cs="宋体"/>
          <w:b/>
          <w:bCs/>
          <w:color w:val="auto"/>
          <w:sz w:val="24"/>
          <w:szCs w:val="24"/>
          <w:lang w:eastAsia="zh-CN"/>
        </w:rPr>
      </w:pPr>
    </w:p>
    <w:p w14:paraId="5BA80578">
      <w:pPr>
        <w:spacing w:before="78" w:line="219" w:lineRule="auto"/>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hint="eastAsia" w:ascii="宋体" w:hAnsi="宋体" w:eastAsia="宋体" w:cs="宋体"/>
          <w:spacing w:val="-18"/>
          <w:sz w:val="24"/>
          <w:szCs w:val="24"/>
          <w:lang w:val="en-US" w:eastAsia="zh-CN"/>
        </w:rPr>
        <w:t xml:space="preserve">         </w:t>
      </w:r>
      <w:r>
        <w:rPr>
          <w:rFonts w:ascii="宋体" w:hAnsi="宋体" w:eastAsia="宋体" w:cs="宋体"/>
          <w:spacing w:val="-18"/>
          <w:sz w:val="24"/>
          <w:szCs w:val="24"/>
        </w:rPr>
        <w:t>（</w:t>
      </w:r>
      <w:r>
        <w:rPr>
          <w:rFonts w:ascii="宋体" w:hAnsi="宋体" w:eastAsia="宋体" w:cs="宋体"/>
          <w:spacing w:val="2"/>
          <w:sz w:val="24"/>
          <w:szCs w:val="24"/>
        </w:rPr>
        <w:t>盖单位公章）</w:t>
      </w:r>
    </w:p>
    <w:p w14:paraId="10925ECA">
      <w:pPr>
        <w:spacing w:before="215" w:line="499" w:lineRule="exact"/>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3C5EBA9A">
      <w:pPr>
        <w:rPr>
          <w:rFonts w:hint="eastAsia" w:ascii="宋体" w:hAnsi="宋体" w:eastAsia="宋体" w:cs="宋体"/>
          <w:b/>
          <w:bCs/>
          <w:color w:val="auto"/>
          <w:sz w:val="24"/>
          <w:szCs w:val="24"/>
          <w:lang w:eastAsia="zh-CN"/>
        </w:rPr>
        <w:sectPr>
          <w:headerReference r:id="rId26" w:type="default"/>
          <w:footerReference r:id="rId27" w:type="default"/>
          <w:type w:val="continuous"/>
          <w:pgSz w:w="11906" w:h="16839"/>
          <w:pgMar w:top="1619" w:right="1132" w:bottom="1157" w:left="1268" w:header="851" w:footer="992" w:gutter="0"/>
          <w:pgNumType w:fmt="decimal"/>
          <w:cols w:equalWidth="0" w:num="1">
            <w:col w:w="9505"/>
          </w:cols>
        </w:sectPr>
      </w:pPr>
      <w:r>
        <w:rPr>
          <w:rFonts w:ascii="宋体" w:hAnsi="宋体" w:eastAsia="宋体" w:cs="宋体"/>
          <w:spacing w:val="-3"/>
          <w:sz w:val="24"/>
          <w:szCs w:val="24"/>
        </w:rPr>
        <w:t>投标</w:t>
      </w:r>
      <w:r>
        <w:rPr>
          <w:rFonts w:hint="eastAsia" w:ascii="宋体" w:hAnsi="宋体" w:eastAsia="宋体" w:cs="宋体"/>
          <w:spacing w:val="-3"/>
          <w:sz w:val="24"/>
          <w:szCs w:val="24"/>
          <w:lang w:val="en-US" w:eastAsia="zh-CN"/>
        </w:rPr>
        <w:t>日</w:t>
      </w:r>
      <w:r>
        <w:rPr>
          <w:rFonts w:ascii="宋体" w:hAnsi="宋体" w:eastAsia="宋体" w:cs="宋体"/>
          <w:spacing w:val="-3"/>
          <w:sz w:val="24"/>
          <w:szCs w:val="24"/>
        </w:rPr>
        <w:t>期：</w:t>
      </w:r>
    </w:p>
    <w:p w14:paraId="22E05C25">
      <w:pPr>
        <w:pStyle w:val="13"/>
        <w:spacing w:line="336" w:lineRule="auto"/>
      </w:pPr>
    </w:p>
    <w:p w14:paraId="7CB7ED6C">
      <w:pPr>
        <w:spacing w:before="101" w:line="212" w:lineRule="auto"/>
        <w:ind w:left="18"/>
        <w:rPr>
          <w:rFonts w:ascii="宋体" w:hAnsi="宋体" w:eastAsia="宋体" w:cs="宋体"/>
          <w:sz w:val="31"/>
          <w:szCs w:val="31"/>
        </w:rPr>
      </w:pPr>
      <w:r>
        <w:rPr>
          <w:rFonts w:ascii="宋体" w:hAnsi="宋体" w:eastAsia="宋体" w:cs="宋体"/>
          <w:spacing w:val="4"/>
          <w:sz w:val="31"/>
          <w:szCs w:val="31"/>
          <w14:textOutline w14:w="5793" w14:cap="sq" w14:cmpd="sng">
            <w14:solidFill>
              <w14:srgbClr w14:val="000000"/>
            </w14:solidFill>
            <w14:prstDash w14:val="solid"/>
            <w14:bevel/>
          </w14:textOutline>
        </w:rPr>
        <w:t>格式</w:t>
      </w:r>
      <w:r>
        <w:rPr>
          <w:rFonts w:ascii="宋体" w:hAnsi="宋体" w:eastAsia="宋体" w:cs="宋体"/>
          <w:spacing w:val="-56"/>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2-5</w:t>
      </w:r>
    </w:p>
    <w:p w14:paraId="2773B9FC">
      <w:pPr>
        <w:spacing w:line="225" w:lineRule="auto"/>
        <w:ind w:left="3516"/>
        <w:outlineLvl w:val="2"/>
        <w:rPr>
          <w:rFonts w:ascii="宋体" w:hAnsi="宋体" w:eastAsia="宋体" w:cs="宋体"/>
          <w:sz w:val="31"/>
          <w:szCs w:val="31"/>
        </w:rPr>
      </w:pPr>
      <w:bookmarkStart w:id="21" w:name="bookmark24"/>
      <w:bookmarkEnd w:id="21"/>
      <w:r>
        <w:rPr>
          <w:rFonts w:ascii="宋体" w:hAnsi="宋体" w:eastAsia="宋体" w:cs="宋体"/>
          <w:spacing w:val="4"/>
          <w:sz w:val="31"/>
          <w:szCs w:val="31"/>
          <w14:textOutline w14:w="5793" w14:cap="sq" w14:cmpd="sng">
            <w14:solidFill>
              <w14:srgbClr w14:val="000000"/>
            </w14:solidFill>
            <w14:prstDash w14:val="solid"/>
            <w14:bevel/>
          </w14:textOutline>
        </w:rPr>
        <w:t>四、商务应答表</w:t>
      </w:r>
    </w:p>
    <w:p w14:paraId="21680E2B">
      <w:pPr>
        <w:pStyle w:val="13"/>
        <w:spacing w:line="251" w:lineRule="auto"/>
      </w:pPr>
    </w:p>
    <w:p w14:paraId="402B97A9">
      <w:pPr>
        <w:spacing w:before="78" w:line="206" w:lineRule="auto"/>
        <w:ind w:left="15"/>
        <w:rPr>
          <w:rFonts w:ascii="宋体" w:hAnsi="宋体" w:eastAsia="宋体" w:cs="宋体"/>
          <w:sz w:val="24"/>
          <w:szCs w:val="24"/>
        </w:rPr>
      </w:pPr>
      <w:r>
        <w:rPr>
          <w:rFonts w:hint="eastAsia" w:ascii="宋体" w:hAnsi="宋体" w:eastAsia="宋体" w:cs="宋体"/>
          <w:spacing w:val="-3"/>
          <w:sz w:val="24"/>
          <w:szCs w:val="24"/>
          <w:lang w:eastAsia="zh-CN"/>
        </w:rPr>
        <w:t>项目编号</w:t>
      </w:r>
      <w:r>
        <w:rPr>
          <w:rFonts w:ascii="宋体" w:hAnsi="宋体" w:eastAsia="宋体" w:cs="宋体"/>
          <w:spacing w:val="-3"/>
          <w:sz w:val="24"/>
          <w:szCs w:val="24"/>
        </w:rPr>
        <w:t>：</w:t>
      </w:r>
    </w:p>
    <w:tbl>
      <w:tblPr>
        <w:tblStyle w:val="24"/>
        <w:tblW w:w="845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1"/>
        <w:gridCol w:w="3819"/>
        <w:gridCol w:w="3820"/>
      </w:tblGrid>
      <w:tr w14:paraId="15151D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811" w:type="dxa"/>
            <w:vAlign w:val="center"/>
          </w:tcPr>
          <w:p w14:paraId="35808364">
            <w:pPr>
              <w:pStyle w:val="27"/>
              <w:spacing w:before="78" w:line="222" w:lineRule="auto"/>
              <w:jc w:val="center"/>
            </w:pPr>
            <w:r>
              <w:rPr>
                <w:spacing w:val="-5"/>
              </w:rPr>
              <w:t>序号</w:t>
            </w:r>
          </w:p>
        </w:tc>
        <w:tc>
          <w:tcPr>
            <w:tcW w:w="3819" w:type="dxa"/>
            <w:vAlign w:val="center"/>
          </w:tcPr>
          <w:p w14:paraId="4D8EA69F">
            <w:pPr>
              <w:pStyle w:val="27"/>
              <w:spacing w:before="78" w:line="221" w:lineRule="auto"/>
              <w:jc w:val="center"/>
            </w:pPr>
            <w:r>
              <w:rPr>
                <w:spacing w:val="-3"/>
              </w:rPr>
              <w:t>招标要求</w:t>
            </w:r>
          </w:p>
        </w:tc>
        <w:tc>
          <w:tcPr>
            <w:tcW w:w="3820" w:type="dxa"/>
            <w:vAlign w:val="center"/>
          </w:tcPr>
          <w:p w14:paraId="4D74B4A9">
            <w:pPr>
              <w:pStyle w:val="27"/>
              <w:spacing w:before="78" w:line="221" w:lineRule="auto"/>
              <w:jc w:val="center"/>
            </w:pPr>
            <w:r>
              <w:rPr>
                <w:spacing w:val="-4"/>
              </w:rPr>
              <w:t>投标应答</w:t>
            </w:r>
          </w:p>
        </w:tc>
      </w:tr>
      <w:tr w14:paraId="7C4921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811" w:type="dxa"/>
            <w:vAlign w:val="top"/>
          </w:tcPr>
          <w:p w14:paraId="380E7CF7">
            <w:pPr>
              <w:rPr>
                <w:rFonts w:ascii="Arial"/>
                <w:sz w:val="21"/>
              </w:rPr>
            </w:pPr>
          </w:p>
        </w:tc>
        <w:tc>
          <w:tcPr>
            <w:tcW w:w="3819" w:type="dxa"/>
            <w:vAlign w:val="top"/>
          </w:tcPr>
          <w:p w14:paraId="75FA2182">
            <w:pPr>
              <w:rPr>
                <w:rFonts w:ascii="Arial"/>
                <w:sz w:val="21"/>
              </w:rPr>
            </w:pPr>
          </w:p>
        </w:tc>
        <w:tc>
          <w:tcPr>
            <w:tcW w:w="3820" w:type="dxa"/>
            <w:vAlign w:val="top"/>
          </w:tcPr>
          <w:p w14:paraId="31BEE5C0">
            <w:pPr>
              <w:rPr>
                <w:rFonts w:ascii="Arial"/>
                <w:sz w:val="21"/>
              </w:rPr>
            </w:pPr>
          </w:p>
        </w:tc>
      </w:tr>
      <w:tr w14:paraId="790D3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811" w:type="dxa"/>
            <w:vAlign w:val="top"/>
          </w:tcPr>
          <w:p w14:paraId="3D93D013">
            <w:pPr>
              <w:rPr>
                <w:rFonts w:ascii="Arial"/>
                <w:sz w:val="21"/>
              </w:rPr>
            </w:pPr>
          </w:p>
        </w:tc>
        <w:tc>
          <w:tcPr>
            <w:tcW w:w="3819" w:type="dxa"/>
            <w:vAlign w:val="top"/>
          </w:tcPr>
          <w:p w14:paraId="6B6CFD18">
            <w:pPr>
              <w:rPr>
                <w:rFonts w:ascii="Arial"/>
                <w:sz w:val="21"/>
              </w:rPr>
            </w:pPr>
          </w:p>
        </w:tc>
        <w:tc>
          <w:tcPr>
            <w:tcW w:w="3820" w:type="dxa"/>
            <w:vAlign w:val="top"/>
          </w:tcPr>
          <w:p w14:paraId="1A5D42D9">
            <w:pPr>
              <w:rPr>
                <w:rFonts w:ascii="Arial"/>
                <w:sz w:val="21"/>
              </w:rPr>
            </w:pPr>
          </w:p>
        </w:tc>
      </w:tr>
      <w:tr w14:paraId="666B5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4" w:hRule="atLeast"/>
        </w:trPr>
        <w:tc>
          <w:tcPr>
            <w:tcW w:w="811" w:type="dxa"/>
            <w:vAlign w:val="top"/>
          </w:tcPr>
          <w:p w14:paraId="3A214510">
            <w:pPr>
              <w:rPr>
                <w:rFonts w:ascii="Arial"/>
                <w:sz w:val="21"/>
              </w:rPr>
            </w:pPr>
          </w:p>
        </w:tc>
        <w:tc>
          <w:tcPr>
            <w:tcW w:w="3819" w:type="dxa"/>
            <w:vAlign w:val="top"/>
          </w:tcPr>
          <w:p w14:paraId="21CC932B">
            <w:pPr>
              <w:rPr>
                <w:rFonts w:ascii="Arial"/>
                <w:sz w:val="21"/>
              </w:rPr>
            </w:pPr>
          </w:p>
        </w:tc>
        <w:tc>
          <w:tcPr>
            <w:tcW w:w="3820" w:type="dxa"/>
            <w:vAlign w:val="top"/>
          </w:tcPr>
          <w:p w14:paraId="1472F236">
            <w:pPr>
              <w:rPr>
                <w:rFonts w:ascii="Arial"/>
                <w:sz w:val="21"/>
              </w:rPr>
            </w:pPr>
          </w:p>
        </w:tc>
      </w:tr>
      <w:tr w14:paraId="63C014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8" w:hRule="atLeast"/>
        </w:trPr>
        <w:tc>
          <w:tcPr>
            <w:tcW w:w="811" w:type="dxa"/>
            <w:vAlign w:val="top"/>
          </w:tcPr>
          <w:p w14:paraId="6059A868">
            <w:pPr>
              <w:rPr>
                <w:rFonts w:ascii="Arial"/>
                <w:sz w:val="21"/>
              </w:rPr>
            </w:pPr>
          </w:p>
        </w:tc>
        <w:tc>
          <w:tcPr>
            <w:tcW w:w="3819" w:type="dxa"/>
            <w:vAlign w:val="top"/>
          </w:tcPr>
          <w:p w14:paraId="48DAD3BD">
            <w:pPr>
              <w:rPr>
                <w:rFonts w:ascii="Arial"/>
                <w:sz w:val="21"/>
              </w:rPr>
            </w:pPr>
          </w:p>
        </w:tc>
        <w:tc>
          <w:tcPr>
            <w:tcW w:w="3820" w:type="dxa"/>
            <w:vAlign w:val="top"/>
          </w:tcPr>
          <w:p w14:paraId="62A56E49">
            <w:pPr>
              <w:rPr>
                <w:rFonts w:ascii="Arial"/>
                <w:sz w:val="21"/>
              </w:rPr>
            </w:pPr>
          </w:p>
        </w:tc>
      </w:tr>
    </w:tbl>
    <w:p w14:paraId="6D38B7EC">
      <w:pPr>
        <w:pStyle w:val="13"/>
        <w:spacing w:line="402" w:lineRule="auto"/>
      </w:pPr>
    </w:p>
    <w:p w14:paraId="3450D298">
      <w:pPr>
        <w:spacing w:before="78" w:line="461" w:lineRule="exact"/>
        <w:ind w:left="134"/>
        <w:rPr>
          <w:rFonts w:ascii="宋体" w:hAnsi="宋体" w:eastAsia="宋体" w:cs="宋体"/>
          <w:sz w:val="24"/>
          <w:szCs w:val="24"/>
        </w:rPr>
      </w:pPr>
      <w:r>
        <w:rPr>
          <w:rFonts w:ascii="宋体" w:hAnsi="宋体" w:eastAsia="宋体" w:cs="宋体"/>
          <w:spacing w:val="-1"/>
          <w:position w:val="16"/>
          <w:sz w:val="24"/>
          <w:szCs w:val="24"/>
        </w:rPr>
        <w:t>注：1. 供应商必须把招标文件</w:t>
      </w:r>
      <w:r>
        <w:rPr>
          <w:rFonts w:ascii="宋体" w:hAnsi="宋体" w:eastAsia="宋体" w:cs="宋体"/>
          <w:b/>
          <w:bCs/>
          <w:spacing w:val="-1"/>
          <w:position w:val="16"/>
          <w:sz w:val="24"/>
          <w:szCs w:val="24"/>
        </w:rPr>
        <w:t>第六章“三、商务要求 ”</w:t>
      </w:r>
      <w:r>
        <w:rPr>
          <w:rFonts w:ascii="宋体" w:hAnsi="宋体" w:eastAsia="宋体" w:cs="宋体"/>
          <w:spacing w:val="-1"/>
          <w:position w:val="16"/>
          <w:sz w:val="24"/>
          <w:szCs w:val="24"/>
        </w:rPr>
        <w:t>全部列入此表。</w:t>
      </w:r>
    </w:p>
    <w:p w14:paraId="68B529CF">
      <w:pPr>
        <w:spacing w:line="220" w:lineRule="auto"/>
        <w:ind w:left="605"/>
        <w:rPr>
          <w:rFonts w:ascii="宋体" w:hAnsi="宋体" w:eastAsia="宋体" w:cs="宋体"/>
          <w:sz w:val="24"/>
          <w:szCs w:val="24"/>
        </w:rPr>
      </w:pPr>
      <w:r>
        <w:rPr>
          <w:rFonts w:ascii="宋体" w:hAnsi="宋体" w:eastAsia="宋体" w:cs="宋体"/>
          <w:spacing w:val="-1"/>
          <w:sz w:val="24"/>
          <w:szCs w:val="24"/>
        </w:rPr>
        <w:t>2．按照招标项目商务要求的顺序逐条对应填写。</w:t>
      </w:r>
    </w:p>
    <w:p w14:paraId="30F0DE4D">
      <w:pPr>
        <w:spacing w:before="172" w:line="219" w:lineRule="auto"/>
        <w:ind w:left="607"/>
        <w:rPr>
          <w:rFonts w:ascii="宋体" w:hAnsi="宋体" w:eastAsia="宋体" w:cs="宋体"/>
          <w:sz w:val="24"/>
          <w:szCs w:val="24"/>
        </w:rPr>
      </w:pPr>
      <w:r>
        <w:rPr>
          <w:rFonts w:ascii="宋体" w:hAnsi="宋体" w:eastAsia="宋体" w:cs="宋体"/>
          <w:spacing w:val="-1"/>
          <w:sz w:val="24"/>
          <w:szCs w:val="24"/>
        </w:rPr>
        <w:t>3．供应商必须据实填写，不得虚假填写，否则将取消其投标或中标资格。</w:t>
      </w:r>
    </w:p>
    <w:p w14:paraId="452B20AA">
      <w:pPr>
        <w:pStyle w:val="13"/>
        <w:spacing w:line="261" w:lineRule="auto"/>
      </w:pPr>
    </w:p>
    <w:p w14:paraId="38A69D17">
      <w:pPr>
        <w:pStyle w:val="13"/>
        <w:spacing w:line="261" w:lineRule="auto"/>
      </w:pPr>
    </w:p>
    <w:p w14:paraId="42515B5E">
      <w:pPr>
        <w:pStyle w:val="13"/>
        <w:spacing w:line="261" w:lineRule="auto"/>
      </w:pPr>
    </w:p>
    <w:p w14:paraId="7B3DC53E">
      <w:pPr>
        <w:pStyle w:val="13"/>
        <w:spacing w:line="261" w:lineRule="auto"/>
      </w:pPr>
    </w:p>
    <w:p w14:paraId="4E949AEB">
      <w:pPr>
        <w:spacing w:before="79" w:line="219" w:lineRule="auto"/>
        <w:ind w:left="485"/>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2A02FB1D">
      <w:pPr>
        <w:spacing w:before="214" w:line="499" w:lineRule="exact"/>
        <w:ind w:left="483"/>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63900BB8">
      <w:pPr>
        <w:spacing w:before="1" w:line="220" w:lineRule="auto"/>
        <w:ind w:left="485"/>
        <w:rPr>
          <w:rFonts w:ascii="宋体" w:hAnsi="宋体" w:eastAsia="宋体" w:cs="宋体"/>
          <w:sz w:val="24"/>
          <w:szCs w:val="24"/>
        </w:rPr>
      </w:pPr>
      <w:r>
        <w:rPr>
          <w:rFonts w:ascii="宋体" w:hAnsi="宋体" w:eastAsia="宋体" w:cs="宋体"/>
          <w:spacing w:val="-3"/>
          <w:sz w:val="24"/>
          <w:szCs w:val="24"/>
        </w:rPr>
        <w:t>投标日期：</w:t>
      </w:r>
    </w:p>
    <w:p w14:paraId="0C2C9B6B">
      <w:pPr>
        <w:spacing w:line="220" w:lineRule="auto"/>
        <w:rPr>
          <w:rFonts w:ascii="宋体" w:hAnsi="宋体" w:eastAsia="宋体" w:cs="宋体"/>
          <w:sz w:val="24"/>
          <w:szCs w:val="24"/>
        </w:rPr>
        <w:sectPr>
          <w:headerReference r:id="rId28" w:type="default"/>
          <w:footerReference r:id="rId29" w:type="default"/>
          <w:pgSz w:w="11906" w:h="16839"/>
          <w:pgMar w:top="1619" w:right="1132" w:bottom="1157" w:left="1583" w:header="851" w:footer="992" w:gutter="0"/>
          <w:pgNumType w:fmt="decimal"/>
          <w:cols w:space="720" w:num="1"/>
        </w:sectPr>
      </w:pPr>
    </w:p>
    <w:p w14:paraId="14D7D768">
      <w:pPr>
        <w:pStyle w:val="13"/>
        <w:spacing w:line="247" w:lineRule="auto"/>
      </w:pPr>
    </w:p>
    <w:p w14:paraId="168A2794">
      <w:pPr>
        <w:pStyle w:val="13"/>
        <w:spacing w:line="248" w:lineRule="auto"/>
      </w:pPr>
    </w:p>
    <w:p w14:paraId="747391EA">
      <w:pPr>
        <w:spacing w:before="101" w:line="225" w:lineRule="auto"/>
        <w:ind w:left="160"/>
        <w:outlineLvl w:val="2"/>
        <w:rPr>
          <w:rFonts w:ascii="宋体" w:hAnsi="宋体" w:eastAsia="宋体" w:cs="宋体"/>
          <w:sz w:val="31"/>
          <w:szCs w:val="31"/>
        </w:rPr>
      </w:pPr>
      <w:r>
        <w:rPr>
          <w:rFonts w:ascii="宋体" w:hAnsi="宋体" w:eastAsia="宋体" w:cs="宋体"/>
          <w:spacing w:val="4"/>
          <w:sz w:val="31"/>
          <w:szCs w:val="31"/>
          <w14:textOutline w14:w="5793" w14:cap="sq" w14:cmpd="sng">
            <w14:solidFill>
              <w14:srgbClr w14:val="000000"/>
            </w14:solidFill>
            <w14:prstDash w14:val="solid"/>
            <w14:bevel/>
          </w14:textOutline>
        </w:rPr>
        <w:t>格式</w:t>
      </w:r>
      <w:r>
        <w:rPr>
          <w:rFonts w:ascii="宋体" w:hAnsi="宋体" w:eastAsia="宋体" w:cs="宋体"/>
          <w:spacing w:val="-60"/>
          <w:sz w:val="31"/>
          <w:szCs w:val="31"/>
        </w:rPr>
        <w:t xml:space="preserve"> </w:t>
      </w:r>
      <w:r>
        <w:rPr>
          <w:rFonts w:ascii="宋体" w:hAnsi="宋体" w:eastAsia="宋体" w:cs="宋体"/>
          <w:spacing w:val="4"/>
          <w:sz w:val="31"/>
          <w:szCs w:val="31"/>
          <w14:textOutline w14:w="5793" w14:cap="sq" w14:cmpd="sng">
            <w14:solidFill>
              <w14:srgbClr w14:val="000000"/>
            </w14:solidFill>
            <w14:prstDash w14:val="solid"/>
            <w14:bevel/>
          </w14:textOutline>
        </w:rPr>
        <w:t>2-6</w:t>
      </w:r>
    </w:p>
    <w:p w14:paraId="01585F56">
      <w:pPr>
        <w:spacing w:before="16" w:line="225" w:lineRule="auto"/>
        <w:ind w:left="3150"/>
        <w:outlineLvl w:val="2"/>
        <w:rPr>
          <w:rFonts w:ascii="宋体" w:hAnsi="宋体" w:eastAsia="宋体" w:cs="宋体"/>
          <w:sz w:val="31"/>
          <w:szCs w:val="31"/>
        </w:rPr>
      </w:pPr>
      <w:bookmarkStart w:id="22" w:name="bookmark25"/>
      <w:bookmarkEnd w:id="22"/>
      <w:r>
        <w:rPr>
          <w:rFonts w:ascii="宋体" w:hAnsi="宋体" w:eastAsia="宋体" w:cs="宋体"/>
          <w:spacing w:val="9"/>
          <w:sz w:val="31"/>
          <w:szCs w:val="31"/>
          <w14:textOutline w14:w="5793" w14:cap="sq" w14:cmpd="sng">
            <w14:solidFill>
              <w14:srgbClr w14:val="000000"/>
            </w14:solidFill>
            <w14:prstDash w14:val="solid"/>
            <w14:bevel/>
          </w14:textOutline>
        </w:rPr>
        <w:t>五、投标人基本情况表</w:t>
      </w:r>
    </w:p>
    <w:p w14:paraId="77C8708B">
      <w:pPr>
        <w:spacing w:before="19"/>
      </w:pPr>
    </w:p>
    <w:p w14:paraId="57781C47">
      <w:pPr>
        <w:spacing w:before="18"/>
      </w:pPr>
    </w:p>
    <w:tbl>
      <w:tblPr>
        <w:tblStyle w:val="24"/>
        <w:tblW w:w="933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31"/>
        <w:gridCol w:w="898"/>
        <w:gridCol w:w="180"/>
        <w:gridCol w:w="1078"/>
        <w:gridCol w:w="719"/>
        <w:gridCol w:w="345"/>
        <w:gridCol w:w="1290"/>
        <w:gridCol w:w="174"/>
        <w:gridCol w:w="720"/>
        <w:gridCol w:w="1798"/>
      </w:tblGrid>
      <w:tr w14:paraId="3A7AD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2131" w:type="dxa"/>
            <w:tcBorders>
              <w:top w:val="single" w:color="000000" w:sz="2" w:space="0"/>
              <w:left w:val="single" w:color="000000" w:sz="2" w:space="0"/>
            </w:tcBorders>
            <w:vAlign w:val="top"/>
          </w:tcPr>
          <w:p w14:paraId="7D5373D2">
            <w:pPr>
              <w:pStyle w:val="27"/>
              <w:spacing w:before="127" w:line="221" w:lineRule="auto"/>
              <w:ind w:left="474"/>
            </w:pPr>
            <w:r>
              <w:rPr>
                <w:spacing w:val="-3"/>
              </w:rPr>
              <w:t>投标人名称</w:t>
            </w:r>
          </w:p>
        </w:tc>
        <w:tc>
          <w:tcPr>
            <w:tcW w:w="7202" w:type="dxa"/>
            <w:gridSpan w:val="9"/>
            <w:tcBorders>
              <w:top w:val="single" w:color="000000" w:sz="2" w:space="0"/>
              <w:right w:val="single" w:color="000000" w:sz="2" w:space="0"/>
            </w:tcBorders>
            <w:vAlign w:val="top"/>
          </w:tcPr>
          <w:p w14:paraId="0F526D1E">
            <w:pPr>
              <w:rPr>
                <w:rFonts w:ascii="Arial"/>
                <w:sz w:val="21"/>
              </w:rPr>
            </w:pPr>
          </w:p>
        </w:tc>
      </w:tr>
      <w:tr w14:paraId="307949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131" w:type="dxa"/>
            <w:tcBorders>
              <w:left w:val="single" w:color="000000" w:sz="2" w:space="0"/>
            </w:tcBorders>
            <w:vAlign w:val="top"/>
          </w:tcPr>
          <w:p w14:paraId="4AD59022">
            <w:pPr>
              <w:pStyle w:val="27"/>
              <w:spacing w:before="118" w:line="222" w:lineRule="auto"/>
              <w:ind w:left="591"/>
            </w:pPr>
            <w:r>
              <w:rPr>
                <w:spacing w:val="-3"/>
              </w:rPr>
              <w:t>注册地址</w:t>
            </w:r>
          </w:p>
        </w:tc>
        <w:tc>
          <w:tcPr>
            <w:tcW w:w="3220" w:type="dxa"/>
            <w:gridSpan w:val="5"/>
            <w:vAlign w:val="top"/>
          </w:tcPr>
          <w:p w14:paraId="6858747B">
            <w:pPr>
              <w:rPr>
                <w:rFonts w:ascii="Arial"/>
                <w:sz w:val="21"/>
              </w:rPr>
            </w:pPr>
          </w:p>
        </w:tc>
        <w:tc>
          <w:tcPr>
            <w:tcW w:w="1290" w:type="dxa"/>
            <w:vAlign w:val="top"/>
          </w:tcPr>
          <w:p w14:paraId="11ACDB99">
            <w:pPr>
              <w:pStyle w:val="27"/>
              <w:spacing w:before="118" w:line="220" w:lineRule="auto"/>
              <w:ind w:left="177"/>
            </w:pPr>
            <w:r>
              <w:rPr>
                <w:spacing w:val="-7"/>
              </w:rPr>
              <w:t>邮政编码</w:t>
            </w:r>
          </w:p>
        </w:tc>
        <w:tc>
          <w:tcPr>
            <w:tcW w:w="2692" w:type="dxa"/>
            <w:gridSpan w:val="3"/>
            <w:tcBorders>
              <w:right w:val="single" w:color="000000" w:sz="2" w:space="0"/>
            </w:tcBorders>
            <w:vAlign w:val="top"/>
          </w:tcPr>
          <w:p w14:paraId="35CA3BCB">
            <w:pPr>
              <w:rPr>
                <w:rFonts w:ascii="Arial"/>
                <w:sz w:val="21"/>
              </w:rPr>
            </w:pPr>
          </w:p>
        </w:tc>
      </w:tr>
      <w:tr w14:paraId="31430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vMerge w:val="restart"/>
            <w:tcBorders>
              <w:left w:val="single" w:color="000000" w:sz="2" w:space="0"/>
              <w:bottom w:val="nil"/>
            </w:tcBorders>
            <w:vAlign w:val="top"/>
          </w:tcPr>
          <w:p w14:paraId="0CA4CC53">
            <w:pPr>
              <w:spacing w:line="276" w:lineRule="auto"/>
              <w:rPr>
                <w:rFonts w:ascii="Arial"/>
                <w:sz w:val="21"/>
              </w:rPr>
            </w:pPr>
          </w:p>
          <w:p w14:paraId="2AB354B4">
            <w:pPr>
              <w:pStyle w:val="27"/>
              <w:spacing w:before="78" w:line="222" w:lineRule="auto"/>
              <w:ind w:left="592"/>
            </w:pPr>
            <w:r>
              <w:rPr>
                <w:spacing w:val="-3"/>
              </w:rPr>
              <w:t>联系方式</w:t>
            </w:r>
          </w:p>
        </w:tc>
        <w:tc>
          <w:tcPr>
            <w:tcW w:w="1078" w:type="dxa"/>
            <w:gridSpan w:val="2"/>
            <w:vAlign w:val="top"/>
          </w:tcPr>
          <w:p w14:paraId="560521EF">
            <w:pPr>
              <w:pStyle w:val="27"/>
              <w:spacing w:before="109" w:line="222" w:lineRule="auto"/>
              <w:ind w:left="181"/>
            </w:pPr>
            <w:r>
              <w:rPr>
                <w:spacing w:val="-4"/>
              </w:rPr>
              <w:t>联系人</w:t>
            </w:r>
          </w:p>
        </w:tc>
        <w:tc>
          <w:tcPr>
            <w:tcW w:w="2142" w:type="dxa"/>
            <w:gridSpan w:val="3"/>
            <w:vAlign w:val="top"/>
          </w:tcPr>
          <w:p w14:paraId="36BF211C">
            <w:pPr>
              <w:rPr>
                <w:rFonts w:ascii="Arial"/>
                <w:sz w:val="21"/>
              </w:rPr>
            </w:pPr>
          </w:p>
        </w:tc>
        <w:tc>
          <w:tcPr>
            <w:tcW w:w="1290" w:type="dxa"/>
            <w:vAlign w:val="top"/>
          </w:tcPr>
          <w:p w14:paraId="0C24424A">
            <w:pPr>
              <w:pStyle w:val="27"/>
              <w:spacing w:before="109" w:line="222" w:lineRule="auto"/>
              <w:ind w:left="428"/>
            </w:pPr>
            <w:r>
              <w:rPr>
                <w:spacing w:val="-19"/>
              </w:rPr>
              <w:t>电话</w:t>
            </w:r>
          </w:p>
        </w:tc>
        <w:tc>
          <w:tcPr>
            <w:tcW w:w="2692" w:type="dxa"/>
            <w:gridSpan w:val="3"/>
            <w:tcBorders>
              <w:right w:val="single" w:color="000000" w:sz="2" w:space="0"/>
            </w:tcBorders>
            <w:vAlign w:val="top"/>
          </w:tcPr>
          <w:p w14:paraId="173F88B0">
            <w:pPr>
              <w:rPr>
                <w:rFonts w:ascii="Arial"/>
                <w:sz w:val="21"/>
              </w:rPr>
            </w:pPr>
          </w:p>
        </w:tc>
      </w:tr>
      <w:tr w14:paraId="04677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atLeast"/>
        </w:trPr>
        <w:tc>
          <w:tcPr>
            <w:tcW w:w="2131" w:type="dxa"/>
            <w:vMerge w:val="continue"/>
            <w:tcBorders>
              <w:top w:val="nil"/>
              <w:left w:val="single" w:color="000000" w:sz="2" w:space="0"/>
            </w:tcBorders>
            <w:vAlign w:val="top"/>
          </w:tcPr>
          <w:p w14:paraId="5B62024F">
            <w:pPr>
              <w:rPr>
                <w:rFonts w:ascii="Arial"/>
                <w:sz w:val="21"/>
              </w:rPr>
            </w:pPr>
          </w:p>
        </w:tc>
        <w:tc>
          <w:tcPr>
            <w:tcW w:w="1078" w:type="dxa"/>
            <w:gridSpan w:val="2"/>
            <w:vAlign w:val="top"/>
          </w:tcPr>
          <w:p w14:paraId="59001D33">
            <w:pPr>
              <w:pStyle w:val="27"/>
              <w:spacing w:before="128" w:line="219" w:lineRule="auto"/>
              <w:ind w:left="298"/>
            </w:pPr>
            <w:r>
              <w:rPr>
                <w:spacing w:val="-4"/>
              </w:rPr>
              <w:t>传真</w:t>
            </w:r>
          </w:p>
        </w:tc>
        <w:tc>
          <w:tcPr>
            <w:tcW w:w="2142" w:type="dxa"/>
            <w:gridSpan w:val="3"/>
            <w:vAlign w:val="top"/>
          </w:tcPr>
          <w:p w14:paraId="6E3116FD">
            <w:pPr>
              <w:rPr>
                <w:rFonts w:ascii="Arial"/>
                <w:sz w:val="21"/>
              </w:rPr>
            </w:pPr>
          </w:p>
        </w:tc>
        <w:tc>
          <w:tcPr>
            <w:tcW w:w="1290" w:type="dxa"/>
            <w:vAlign w:val="top"/>
          </w:tcPr>
          <w:p w14:paraId="44EAD985">
            <w:pPr>
              <w:pStyle w:val="27"/>
              <w:spacing w:before="127" w:line="225" w:lineRule="auto"/>
              <w:ind w:left="418"/>
            </w:pPr>
            <w:r>
              <w:rPr>
                <w:spacing w:val="-15"/>
              </w:rPr>
              <w:t>网址</w:t>
            </w:r>
          </w:p>
        </w:tc>
        <w:tc>
          <w:tcPr>
            <w:tcW w:w="2692" w:type="dxa"/>
            <w:gridSpan w:val="3"/>
            <w:tcBorders>
              <w:right w:val="single" w:color="000000" w:sz="2" w:space="0"/>
            </w:tcBorders>
            <w:vAlign w:val="top"/>
          </w:tcPr>
          <w:p w14:paraId="46EACCA9">
            <w:pPr>
              <w:rPr>
                <w:rFonts w:ascii="Arial"/>
                <w:sz w:val="21"/>
              </w:rPr>
            </w:pPr>
          </w:p>
        </w:tc>
      </w:tr>
      <w:tr w14:paraId="76EDB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tcBorders>
              <w:left w:val="single" w:color="000000" w:sz="2" w:space="0"/>
            </w:tcBorders>
            <w:vAlign w:val="top"/>
          </w:tcPr>
          <w:p w14:paraId="2C70CB0F">
            <w:pPr>
              <w:pStyle w:val="27"/>
              <w:spacing w:before="109" w:line="221" w:lineRule="auto"/>
              <w:ind w:left="594"/>
            </w:pPr>
            <w:r>
              <w:rPr>
                <w:spacing w:val="-4"/>
              </w:rPr>
              <w:t>组织结构</w:t>
            </w:r>
          </w:p>
        </w:tc>
        <w:tc>
          <w:tcPr>
            <w:tcW w:w="7202" w:type="dxa"/>
            <w:gridSpan w:val="9"/>
            <w:tcBorders>
              <w:right w:val="single" w:color="000000" w:sz="2" w:space="0"/>
            </w:tcBorders>
            <w:vAlign w:val="top"/>
          </w:tcPr>
          <w:p w14:paraId="636EF388">
            <w:pPr>
              <w:rPr>
                <w:rFonts w:ascii="Arial"/>
                <w:sz w:val="21"/>
              </w:rPr>
            </w:pPr>
          </w:p>
        </w:tc>
      </w:tr>
      <w:tr w14:paraId="4D7A9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2131" w:type="dxa"/>
            <w:tcBorders>
              <w:left w:val="single" w:color="000000" w:sz="2" w:space="0"/>
            </w:tcBorders>
            <w:vAlign w:val="top"/>
          </w:tcPr>
          <w:p w14:paraId="782B8BBC">
            <w:pPr>
              <w:pStyle w:val="27"/>
              <w:spacing w:before="209" w:line="220" w:lineRule="auto"/>
              <w:ind w:left="472"/>
            </w:pPr>
            <w:r>
              <w:rPr>
                <w:spacing w:val="-3"/>
              </w:rPr>
              <w:t>法定代表人</w:t>
            </w:r>
          </w:p>
        </w:tc>
        <w:tc>
          <w:tcPr>
            <w:tcW w:w="898" w:type="dxa"/>
            <w:vAlign w:val="top"/>
          </w:tcPr>
          <w:p w14:paraId="347B0267">
            <w:pPr>
              <w:pStyle w:val="27"/>
              <w:spacing w:before="209" w:line="220" w:lineRule="auto"/>
              <w:ind w:left="212"/>
            </w:pPr>
            <w:r>
              <w:rPr>
                <w:spacing w:val="-5"/>
              </w:rPr>
              <w:t>姓名</w:t>
            </w:r>
          </w:p>
        </w:tc>
        <w:tc>
          <w:tcPr>
            <w:tcW w:w="1258" w:type="dxa"/>
            <w:gridSpan w:val="2"/>
            <w:vAlign w:val="top"/>
          </w:tcPr>
          <w:p w14:paraId="79B76250">
            <w:pPr>
              <w:rPr>
                <w:rFonts w:ascii="Arial"/>
                <w:sz w:val="21"/>
              </w:rPr>
            </w:pPr>
          </w:p>
        </w:tc>
        <w:tc>
          <w:tcPr>
            <w:tcW w:w="1064" w:type="dxa"/>
            <w:gridSpan w:val="2"/>
            <w:vAlign w:val="top"/>
          </w:tcPr>
          <w:p w14:paraId="02B51A9F">
            <w:pPr>
              <w:pStyle w:val="27"/>
              <w:spacing w:before="48" w:line="322" w:lineRule="exact"/>
              <w:ind w:left="305"/>
            </w:pPr>
            <w:r>
              <w:rPr>
                <w:spacing w:val="-6"/>
                <w:position w:val="5"/>
              </w:rPr>
              <w:t>技术</w:t>
            </w:r>
          </w:p>
          <w:p w14:paraId="3270FC45">
            <w:pPr>
              <w:pStyle w:val="27"/>
              <w:spacing w:before="1" w:line="202" w:lineRule="auto"/>
              <w:ind w:left="305"/>
            </w:pPr>
            <w:r>
              <w:rPr>
                <w:spacing w:val="-6"/>
              </w:rPr>
              <w:t>职称</w:t>
            </w:r>
          </w:p>
        </w:tc>
        <w:tc>
          <w:tcPr>
            <w:tcW w:w="1464" w:type="dxa"/>
            <w:gridSpan w:val="2"/>
            <w:vAlign w:val="top"/>
          </w:tcPr>
          <w:p w14:paraId="64A592AB">
            <w:pPr>
              <w:rPr>
                <w:rFonts w:ascii="Arial"/>
                <w:sz w:val="21"/>
              </w:rPr>
            </w:pPr>
          </w:p>
        </w:tc>
        <w:tc>
          <w:tcPr>
            <w:tcW w:w="720" w:type="dxa"/>
            <w:vAlign w:val="top"/>
          </w:tcPr>
          <w:p w14:paraId="668E2970">
            <w:pPr>
              <w:pStyle w:val="27"/>
              <w:spacing w:before="209" w:line="222" w:lineRule="auto"/>
              <w:ind w:left="142"/>
            </w:pPr>
            <w:r>
              <w:rPr>
                <w:spacing w:val="-19"/>
              </w:rPr>
              <w:t>电话</w:t>
            </w:r>
          </w:p>
        </w:tc>
        <w:tc>
          <w:tcPr>
            <w:tcW w:w="1798" w:type="dxa"/>
            <w:tcBorders>
              <w:right w:val="single" w:color="000000" w:sz="2" w:space="0"/>
            </w:tcBorders>
            <w:vAlign w:val="top"/>
          </w:tcPr>
          <w:p w14:paraId="5F66A72C">
            <w:pPr>
              <w:rPr>
                <w:rFonts w:ascii="Arial"/>
                <w:sz w:val="21"/>
              </w:rPr>
            </w:pPr>
          </w:p>
        </w:tc>
      </w:tr>
      <w:tr w14:paraId="4C587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2131" w:type="dxa"/>
            <w:tcBorders>
              <w:left w:val="single" w:color="000000" w:sz="2" w:space="0"/>
            </w:tcBorders>
            <w:vAlign w:val="top"/>
          </w:tcPr>
          <w:p w14:paraId="58780211">
            <w:pPr>
              <w:pStyle w:val="27"/>
              <w:spacing w:before="210" w:line="220" w:lineRule="auto"/>
              <w:ind w:left="472"/>
            </w:pPr>
            <w:r>
              <w:rPr>
                <w:spacing w:val="-3"/>
              </w:rPr>
              <w:t>技术负责人</w:t>
            </w:r>
          </w:p>
        </w:tc>
        <w:tc>
          <w:tcPr>
            <w:tcW w:w="898" w:type="dxa"/>
            <w:vAlign w:val="top"/>
          </w:tcPr>
          <w:p w14:paraId="620E52E2">
            <w:pPr>
              <w:pStyle w:val="27"/>
              <w:spacing w:before="210" w:line="220" w:lineRule="auto"/>
              <w:ind w:left="212"/>
            </w:pPr>
            <w:r>
              <w:rPr>
                <w:spacing w:val="-5"/>
              </w:rPr>
              <w:t>姓名</w:t>
            </w:r>
          </w:p>
        </w:tc>
        <w:tc>
          <w:tcPr>
            <w:tcW w:w="1258" w:type="dxa"/>
            <w:gridSpan w:val="2"/>
            <w:vAlign w:val="top"/>
          </w:tcPr>
          <w:p w14:paraId="62F36D09">
            <w:pPr>
              <w:rPr>
                <w:rFonts w:ascii="Arial"/>
                <w:sz w:val="21"/>
              </w:rPr>
            </w:pPr>
          </w:p>
        </w:tc>
        <w:tc>
          <w:tcPr>
            <w:tcW w:w="1064" w:type="dxa"/>
            <w:gridSpan w:val="2"/>
            <w:vAlign w:val="top"/>
          </w:tcPr>
          <w:p w14:paraId="275AD613">
            <w:pPr>
              <w:pStyle w:val="27"/>
              <w:spacing w:before="49" w:line="322" w:lineRule="exact"/>
              <w:ind w:left="305"/>
            </w:pPr>
            <w:r>
              <w:rPr>
                <w:spacing w:val="-6"/>
                <w:position w:val="5"/>
              </w:rPr>
              <w:t>技术</w:t>
            </w:r>
          </w:p>
          <w:p w14:paraId="485EAA00">
            <w:pPr>
              <w:pStyle w:val="27"/>
              <w:spacing w:before="1" w:line="201" w:lineRule="auto"/>
              <w:ind w:left="305"/>
            </w:pPr>
            <w:r>
              <w:rPr>
                <w:spacing w:val="-6"/>
              </w:rPr>
              <w:t>职称</w:t>
            </w:r>
          </w:p>
        </w:tc>
        <w:tc>
          <w:tcPr>
            <w:tcW w:w="1464" w:type="dxa"/>
            <w:gridSpan w:val="2"/>
            <w:vAlign w:val="top"/>
          </w:tcPr>
          <w:p w14:paraId="1269EDE0">
            <w:pPr>
              <w:rPr>
                <w:rFonts w:ascii="Arial"/>
                <w:sz w:val="21"/>
              </w:rPr>
            </w:pPr>
          </w:p>
        </w:tc>
        <w:tc>
          <w:tcPr>
            <w:tcW w:w="720" w:type="dxa"/>
            <w:vAlign w:val="top"/>
          </w:tcPr>
          <w:p w14:paraId="62949321">
            <w:pPr>
              <w:pStyle w:val="27"/>
              <w:spacing w:before="210" w:line="222" w:lineRule="auto"/>
              <w:ind w:left="142"/>
            </w:pPr>
            <w:r>
              <w:rPr>
                <w:spacing w:val="-19"/>
              </w:rPr>
              <w:t>电话</w:t>
            </w:r>
          </w:p>
        </w:tc>
        <w:tc>
          <w:tcPr>
            <w:tcW w:w="1798" w:type="dxa"/>
            <w:tcBorders>
              <w:right w:val="single" w:color="000000" w:sz="2" w:space="0"/>
            </w:tcBorders>
            <w:vAlign w:val="top"/>
          </w:tcPr>
          <w:p w14:paraId="197E6791">
            <w:pPr>
              <w:rPr>
                <w:rFonts w:ascii="Arial"/>
                <w:sz w:val="21"/>
              </w:rPr>
            </w:pPr>
          </w:p>
        </w:tc>
      </w:tr>
      <w:tr w14:paraId="5F174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tcBorders>
              <w:left w:val="single" w:color="000000" w:sz="2" w:space="0"/>
            </w:tcBorders>
            <w:vAlign w:val="top"/>
          </w:tcPr>
          <w:p w14:paraId="42BE26D9">
            <w:pPr>
              <w:pStyle w:val="27"/>
              <w:spacing w:before="112" w:line="222" w:lineRule="auto"/>
              <w:ind w:left="593"/>
            </w:pPr>
            <w:r>
              <w:rPr>
                <w:spacing w:val="-3"/>
              </w:rPr>
              <w:t>成立时间</w:t>
            </w:r>
          </w:p>
        </w:tc>
        <w:tc>
          <w:tcPr>
            <w:tcW w:w="2156" w:type="dxa"/>
            <w:gridSpan w:val="3"/>
            <w:vAlign w:val="top"/>
          </w:tcPr>
          <w:p w14:paraId="2F18C28F">
            <w:pPr>
              <w:rPr>
                <w:rFonts w:ascii="Arial"/>
                <w:sz w:val="21"/>
              </w:rPr>
            </w:pPr>
          </w:p>
        </w:tc>
        <w:tc>
          <w:tcPr>
            <w:tcW w:w="5046" w:type="dxa"/>
            <w:gridSpan w:val="6"/>
            <w:tcBorders>
              <w:right w:val="single" w:color="000000" w:sz="2" w:space="0"/>
            </w:tcBorders>
            <w:vAlign w:val="top"/>
          </w:tcPr>
          <w:p w14:paraId="622865DE">
            <w:pPr>
              <w:pStyle w:val="27"/>
              <w:spacing w:before="113" w:line="220" w:lineRule="auto"/>
              <w:ind w:left="1802"/>
            </w:pPr>
            <w:r>
              <w:rPr>
                <w:spacing w:val="-4"/>
              </w:rPr>
              <w:t>员工总人数：</w:t>
            </w:r>
          </w:p>
        </w:tc>
      </w:tr>
      <w:tr w14:paraId="0F8F3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2131" w:type="dxa"/>
            <w:tcBorders>
              <w:left w:val="single" w:color="000000" w:sz="2" w:space="0"/>
            </w:tcBorders>
            <w:vAlign w:val="top"/>
          </w:tcPr>
          <w:p w14:paraId="0C4B7E16">
            <w:pPr>
              <w:pStyle w:val="27"/>
              <w:spacing w:before="122" w:line="220" w:lineRule="auto"/>
              <w:ind w:left="355"/>
            </w:pPr>
            <w:r>
              <w:rPr>
                <w:spacing w:val="-3"/>
              </w:rPr>
              <w:t>企业资质等级</w:t>
            </w:r>
          </w:p>
        </w:tc>
        <w:tc>
          <w:tcPr>
            <w:tcW w:w="2156" w:type="dxa"/>
            <w:gridSpan w:val="3"/>
            <w:vAlign w:val="top"/>
          </w:tcPr>
          <w:p w14:paraId="4A881DF0">
            <w:pPr>
              <w:rPr>
                <w:rFonts w:ascii="Arial"/>
                <w:sz w:val="21"/>
              </w:rPr>
            </w:pPr>
          </w:p>
        </w:tc>
        <w:tc>
          <w:tcPr>
            <w:tcW w:w="719" w:type="dxa"/>
            <w:vMerge w:val="restart"/>
            <w:tcBorders>
              <w:bottom w:val="nil"/>
            </w:tcBorders>
            <w:vAlign w:val="top"/>
          </w:tcPr>
          <w:p w14:paraId="29A5C1B4">
            <w:pPr>
              <w:rPr>
                <w:rFonts w:ascii="Arial"/>
                <w:sz w:val="21"/>
              </w:rPr>
            </w:pPr>
          </w:p>
          <w:p w14:paraId="159F5C29">
            <w:pPr>
              <w:rPr>
                <w:rFonts w:ascii="Arial"/>
                <w:sz w:val="21"/>
              </w:rPr>
            </w:pPr>
          </w:p>
          <w:p w14:paraId="44BD82E9">
            <w:pPr>
              <w:rPr>
                <w:rFonts w:ascii="Arial"/>
                <w:sz w:val="21"/>
              </w:rPr>
            </w:pPr>
          </w:p>
          <w:p w14:paraId="26AC00DC">
            <w:pPr>
              <w:spacing w:line="241" w:lineRule="auto"/>
              <w:rPr>
                <w:rFonts w:ascii="Arial"/>
                <w:sz w:val="21"/>
              </w:rPr>
            </w:pPr>
          </w:p>
          <w:p w14:paraId="091AD54A">
            <w:pPr>
              <w:pStyle w:val="27"/>
              <w:spacing w:before="78" w:line="221" w:lineRule="auto"/>
              <w:ind w:left="125"/>
            </w:pPr>
            <w:r>
              <w:rPr>
                <w:spacing w:val="-6"/>
              </w:rPr>
              <w:t>其中</w:t>
            </w:r>
          </w:p>
        </w:tc>
        <w:tc>
          <w:tcPr>
            <w:tcW w:w="1809" w:type="dxa"/>
            <w:gridSpan w:val="3"/>
            <w:vAlign w:val="top"/>
          </w:tcPr>
          <w:p w14:paraId="313D46F2">
            <w:pPr>
              <w:pStyle w:val="27"/>
              <w:spacing w:before="121" w:line="221" w:lineRule="auto"/>
              <w:ind w:left="439"/>
            </w:pPr>
            <w:r>
              <w:rPr>
                <w:spacing w:val="-4"/>
              </w:rPr>
              <w:t>项目经理</w:t>
            </w:r>
          </w:p>
        </w:tc>
        <w:tc>
          <w:tcPr>
            <w:tcW w:w="2518" w:type="dxa"/>
            <w:gridSpan w:val="2"/>
            <w:tcBorders>
              <w:right w:val="single" w:color="000000" w:sz="2" w:space="0"/>
            </w:tcBorders>
            <w:vAlign w:val="top"/>
          </w:tcPr>
          <w:p w14:paraId="3C0A7B89">
            <w:pPr>
              <w:rPr>
                <w:rFonts w:ascii="Arial"/>
                <w:sz w:val="21"/>
              </w:rPr>
            </w:pPr>
          </w:p>
        </w:tc>
      </w:tr>
      <w:tr w14:paraId="7DDE1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tcBorders>
              <w:left w:val="single" w:color="000000" w:sz="2" w:space="0"/>
            </w:tcBorders>
            <w:vAlign w:val="top"/>
          </w:tcPr>
          <w:p w14:paraId="07F26CC3">
            <w:pPr>
              <w:pStyle w:val="27"/>
              <w:spacing w:before="113" w:line="220" w:lineRule="auto"/>
              <w:ind w:left="478"/>
            </w:pPr>
            <w:r>
              <w:rPr>
                <w:spacing w:val="-4"/>
              </w:rPr>
              <w:t>营业执照号</w:t>
            </w:r>
          </w:p>
        </w:tc>
        <w:tc>
          <w:tcPr>
            <w:tcW w:w="2156" w:type="dxa"/>
            <w:gridSpan w:val="3"/>
            <w:vAlign w:val="top"/>
          </w:tcPr>
          <w:p w14:paraId="2C8F3058">
            <w:pPr>
              <w:rPr>
                <w:rFonts w:ascii="Arial"/>
                <w:sz w:val="21"/>
              </w:rPr>
            </w:pPr>
          </w:p>
        </w:tc>
        <w:tc>
          <w:tcPr>
            <w:tcW w:w="719" w:type="dxa"/>
            <w:vMerge w:val="continue"/>
            <w:tcBorders>
              <w:top w:val="nil"/>
              <w:bottom w:val="nil"/>
            </w:tcBorders>
            <w:vAlign w:val="top"/>
          </w:tcPr>
          <w:p w14:paraId="239A069F">
            <w:pPr>
              <w:rPr>
                <w:rFonts w:ascii="Arial"/>
                <w:sz w:val="21"/>
              </w:rPr>
            </w:pPr>
          </w:p>
        </w:tc>
        <w:tc>
          <w:tcPr>
            <w:tcW w:w="1809" w:type="dxa"/>
            <w:gridSpan w:val="3"/>
            <w:vAlign w:val="top"/>
          </w:tcPr>
          <w:p w14:paraId="429FE066">
            <w:pPr>
              <w:pStyle w:val="27"/>
              <w:spacing w:before="113" w:line="220" w:lineRule="auto"/>
              <w:ind w:left="201"/>
            </w:pPr>
            <w:r>
              <w:rPr>
                <w:spacing w:val="-3"/>
              </w:rPr>
              <w:t>高级职称人员</w:t>
            </w:r>
          </w:p>
        </w:tc>
        <w:tc>
          <w:tcPr>
            <w:tcW w:w="2518" w:type="dxa"/>
            <w:gridSpan w:val="2"/>
            <w:tcBorders>
              <w:right w:val="single" w:color="000000" w:sz="2" w:space="0"/>
            </w:tcBorders>
            <w:vAlign w:val="top"/>
          </w:tcPr>
          <w:p w14:paraId="70D206A9">
            <w:pPr>
              <w:rPr>
                <w:rFonts w:ascii="Arial"/>
                <w:sz w:val="21"/>
              </w:rPr>
            </w:pPr>
          </w:p>
        </w:tc>
      </w:tr>
      <w:tr w14:paraId="48B7F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tcBorders>
              <w:left w:val="single" w:color="000000" w:sz="2" w:space="0"/>
            </w:tcBorders>
            <w:vAlign w:val="top"/>
          </w:tcPr>
          <w:p w14:paraId="68A2B7F5">
            <w:pPr>
              <w:pStyle w:val="27"/>
              <w:spacing w:before="111" w:line="222" w:lineRule="auto"/>
              <w:ind w:left="591"/>
            </w:pPr>
            <w:r>
              <w:rPr>
                <w:spacing w:val="-3"/>
              </w:rPr>
              <w:t>注册资金</w:t>
            </w:r>
          </w:p>
        </w:tc>
        <w:tc>
          <w:tcPr>
            <w:tcW w:w="2156" w:type="dxa"/>
            <w:gridSpan w:val="3"/>
            <w:vAlign w:val="top"/>
          </w:tcPr>
          <w:p w14:paraId="10838605">
            <w:pPr>
              <w:rPr>
                <w:rFonts w:ascii="Arial"/>
                <w:sz w:val="21"/>
              </w:rPr>
            </w:pPr>
          </w:p>
        </w:tc>
        <w:tc>
          <w:tcPr>
            <w:tcW w:w="719" w:type="dxa"/>
            <w:vMerge w:val="continue"/>
            <w:tcBorders>
              <w:top w:val="nil"/>
              <w:bottom w:val="nil"/>
            </w:tcBorders>
            <w:vAlign w:val="top"/>
          </w:tcPr>
          <w:p w14:paraId="74922632">
            <w:pPr>
              <w:rPr>
                <w:rFonts w:ascii="Arial"/>
                <w:sz w:val="21"/>
              </w:rPr>
            </w:pPr>
          </w:p>
        </w:tc>
        <w:tc>
          <w:tcPr>
            <w:tcW w:w="1809" w:type="dxa"/>
            <w:gridSpan w:val="3"/>
            <w:vAlign w:val="top"/>
          </w:tcPr>
          <w:p w14:paraId="709DCA64">
            <w:pPr>
              <w:pStyle w:val="27"/>
              <w:spacing w:before="111" w:line="221" w:lineRule="auto"/>
              <w:ind w:left="218"/>
            </w:pPr>
            <w:r>
              <w:rPr>
                <w:spacing w:val="-6"/>
              </w:rPr>
              <w:t>中级职称人员</w:t>
            </w:r>
          </w:p>
        </w:tc>
        <w:tc>
          <w:tcPr>
            <w:tcW w:w="2518" w:type="dxa"/>
            <w:gridSpan w:val="2"/>
            <w:tcBorders>
              <w:right w:val="single" w:color="000000" w:sz="2" w:space="0"/>
            </w:tcBorders>
            <w:vAlign w:val="top"/>
          </w:tcPr>
          <w:p w14:paraId="0DD5255D">
            <w:pPr>
              <w:rPr>
                <w:rFonts w:ascii="Arial"/>
                <w:sz w:val="21"/>
              </w:rPr>
            </w:pPr>
          </w:p>
        </w:tc>
      </w:tr>
      <w:tr w14:paraId="3AD65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2131" w:type="dxa"/>
            <w:tcBorders>
              <w:left w:val="single" w:color="000000" w:sz="2" w:space="0"/>
            </w:tcBorders>
            <w:vAlign w:val="top"/>
          </w:tcPr>
          <w:p w14:paraId="15A867C7">
            <w:pPr>
              <w:pStyle w:val="27"/>
              <w:spacing w:before="122" w:line="221" w:lineRule="auto"/>
              <w:ind w:left="592"/>
            </w:pPr>
            <w:r>
              <w:rPr>
                <w:spacing w:val="-3"/>
              </w:rPr>
              <w:t>开户银行</w:t>
            </w:r>
          </w:p>
        </w:tc>
        <w:tc>
          <w:tcPr>
            <w:tcW w:w="2156" w:type="dxa"/>
            <w:gridSpan w:val="3"/>
            <w:vAlign w:val="top"/>
          </w:tcPr>
          <w:p w14:paraId="53263E87">
            <w:pPr>
              <w:rPr>
                <w:rFonts w:ascii="Arial"/>
                <w:sz w:val="21"/>
              </w:rPr>
            </w:pPr>
          </w:p>
        </w:tc>
        <w:tc>
          <w:tcPr>
            <w:tcW w:w="719" w:type="dxa"/>
            <w:vMerge w:val="continue"/>
            <w:tcBorders>
              <w:top w:val="nil"/>
              <w:bottom w:val="nil"/>
            </w:tcBorders>
            <w:vAlign w:val="top"/>
          </w:tcPr>
          <w:p w14:paraId="55CF2723">
            <w:pPr>
              <w:rPr>
                <w:rFonts w:ascii="Arial"/>
                <w:sz w:val="21"/>
              </w:rPr>
            </w:pPr>
          </w:p>
        </w:tc>
        <w:tc>
          <w:tcPr>
            <w:tcW w:w="1809" w:type="dxa"/>
            <w:gridSpan w:val="3"/>
            <w:vAlign w:val="top"/>
          </w:tcPr>
          <w:p w14:paraId="6009774D">
            <w:pPr>
              <w:pStyle w:val="27"/>
              <w:spacing w:before="122" w:line="222" w:lineRule="auto"/>
              <w:ind w:left="194"/>
            </w:pPr>
            <w:r>
              <w:rPr>
                <w:spacing w:val="-2"/>
              </w:rPr>
              <w:t>初级职称人员</w:t>
            </w:r>
          </w:p>
        </w:tc>
        <w:tc>
          <w:tcPr>
            <w:tcW w:w="2518" w:type="dxa"/>
            <w:gridSpan w:val="2"/>
            <w:tcBorders>
              <w:right w:val="single" w:color="000000" w:sz="2" w:space="0"/>
            </w:tcBorders>
            <w:vAlign w:val="top"/>
          </w:tcPr>
          <w:p w14:paraId="366DFA00">
            <w:pPr>
              <w:rPr>
                <w:rFonts w:ascii="Arial"/>
                <w:sz w:val="21"/>
              </w:rPr>
            </w:pPr>
          </w:p>
        </w:tc>
      </w:tr>
      <w:tr w14:paraId="342A3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trPr>
        <w:tc>
          <w:tcPr>
            <w:tcW w:w="2131" w:type="dxa"/>
            <w:tcBorders>
              <w:left w:val="single" w:color="000000" w:sz="2" w:space="0"/>
            </w:tcBorders>
            <w:vAlign w:val="top"/>
          </w:tcPr>
          <w:p w14:paraId="673C7C69">
            <w:pPr>
              <w:pStyle w:val="27"/>
              <w:spacing w:before="112" w:line="222" w:lineRule="auto"/>
              <w:ind w:left="835"/>
            </w:pPr>
            <w:r>
              <w:rPr>
                <w:spacing w:val="-7"/>
              </w:rPr>
              <w:t>账号</w:t>
            </w:r>
          </w:p>
        </w:tc>
        <w:tc>
          <w:tcPr>
            <w:tcW w:w="2156" w:type="dxa"/>
            <w:gridSpan w:val="3"/>
            <w:vAlign w:val="top"/>
          </w:tcPr>
          <w:p w14:paraId="0369CCD3">
            <w:pPr>
              <w:rPr>
                <w:rFonts w:ascii="Arial"/>
                <w:sz w:val="21"/>
              </w:rPr>
            </w:pPr>
          </w:p>
        </w:tc>
        <w:tc>
          <w:tcPr>
            <w:tcW w:w="719" w:type="dxa"/>
            <w:vMerge w:val="continue"/>
            <w:tcBorders>
              <w:top w:val="nil"/>
            </w:tcBorders>
            <w:vAlign w:val="top"/>
          </w:tcPr>
          <w:p w14:paraId="37E2DD12">
            <w:pPr>
              <w:rPr>
                <w:rFonts w:ascii="Arial"/>
                <w:sz w:val="21"/>
              </w:rPr>
            </w:pPr>
          </w:p>
        </w:tc>
        <w:tc>
          <w:tcPr>
            <w:tcW w:w="1809" w:type="dxa"/>
            <w:gridSpan w:val="3"/>
            <w:vAlign w:val="top"/>
          </w:tcPr>
          <w:p w14:paraId="0AE1ACE7">
            <w:pPr>
              <w:pStyle w:val="27"/>
              <w:spacing w:before="112" w:line="222" w:lineRule="auto"/>
              <w:ind w:left="676"/>
            </w:pPr>
            <w:r>
              <w:rPr>
                <w:spacing w:val="-6"/>
              </w:rPr>
              <w:t>技工</w:t>
            </w:r>
          </w:p>
        </w:tc>
        <w:tc>
          <w:tcPr>
            <w:tcW w:w="2518" w:type="dxa"/>
            <w:gridSpan w:val="2"/>
            <w:tcBorders>
              <w:right w:val="single" w:color="000000" w:sz="2" w:space="0"/>
            </w:tcBorders>
            <w:vAlign w:val="top"/>
          </w:tcPr>
          <w:p w14:paraId="5497823B">
            <w:pPr>
              <w:rPr>
                <w:rFonts w:ascii="Arial"/>
                <w:sz w:val="21"/>
              </w:rPr>
            </w:pPr>
          </w:p>
        </w:tc>
      </w:tr>
      <w:tr w14:paraId="4D192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5" w:hRule="atLeast"/>
        </w:trPr>
        <w:tc>
          <w:tcPr>
            <w:tcW w:w="2131" w:type="dxa"/>
            <w:tcBorders>
              <w:left w:val="single" w:color="000000" w:sz="2" w:space="0"/>
            </w:tcBorders>
            <w:vAlign w:val="top"/>
          </w:tcPr>
          <w:p w14:paraId="4B58A9FE">
            <w:pPr>
              <w:spacing w:line="281" w:lineRule="auto"/>
              <w:rPr>
                <w:rFonts w:ascii="Arial"/>
                <w:sz w:val="21"/>
              </w:rPr>
            </w:pPr>
          </w:p>
          <w:p w14:paraId="26A96FFB">
            <w:pPr>
              <w:spacing w:line="281" w:lineRule="auto"/>
              <w:rPr>
                <w:rFonts w:ascii="Arial"/>
                <w:sz w:val="21"/>
              </w:rPr>
            </w:pPr>
          </w:p>
          <w:p w14:paraId="579F9145">
            <w:pPr>
              <w:spacing w:line="282" w:lineRule="auto"/>
              <w:rPr>
                <w:rFonts w:ascii="Arial"/>
                <w:sz w:val="21"/>
              </w:rPr>
            </w:pPr>
          </w:p>
          <w:p w14:paraId="14062C87">
            <w:pPr>
              <w:pStyle w:val="27"/>
              <w:spacing w:before="78" w:line="221" w:lineRule="auto"/>
              <w:ind w:left="593"/>
            </w:pPr>
            <w:r>
              <w:rPr>
                <w:spacing w:val="-3"/>
              </w:rPr>
              <w:t>经营范围</w:t>
            </w:r>
          </w:p>
        </w:tc>
        <w:tc>
          <w:tcPr>
            <w:tcW w:w="7202" w:type="dxa"/>
            <w:gridSpan w:val="9"/>
            <w:tcBorders>
              <w:right w:val="single" w:color="000000" w:sz="2" w:space="0"/>
            </w:tcBorders>
            <w:vAlign w:val="top"/>
          </w:tcPr>
          <w:p w14:paraId="50F34D8D">
            <w:pPr>
              <w:rPr>
                <w:rFonts w:ascii="Arial"/>
                <w:sz w:val="21"/>
              </w:rPr>
            </w:pPr>
          </w:p>
        </w:tc>
      </w:tr>
      <w:tr w14:paraId="7E466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atLeast"/>
        </w:trPr>
        <w:tc>
          <w:tcPr>
            <w:tcW w:w="2131" w:type="dxa"/>
            <w:tcBorders>
              <w:left w:val="single" w:color="000000" w:sz="2" w:space="0"/>
              <w:bottom w:val="single" w:color="000000" w:sz="2" w:space="0"/>
            </w:tcBorders>
            <w:vAlign w:val="top"/>
          </w:tcPr>
          <w:p w14:paraId="431E1320">
            <w:pPr>
              <w:spacing w:line="348" w:lineRule="auto"/>
              <w:rPr>
                <w:rFonts w:ascii="Arial"/>
                <w:sz w:val="21"/>
              </w:rPr>
            </w:pPr>
          </w:p>
          <w:p w14:paraId="31599009">
            <w:pPr>
              <w:pStyle w:val="27"/>
              <w:spacing w:before="78" w:line="222" w:lineRule="auto"/>
              <w:ind w:left="834"/>
            </w:pPr>
            <w:r>
              <w:rPr>
                <w:spacing w:val="-7"/>
              </w:rPr>
              <w:t>备注</w:t>
            </w:r>
          </w:p>
        </w:tc>
        <w:tc>
          <w:tcPr>
            <w:tcW w:w="7202" w:type="dxa"/>
            <w:gridSpan w:val="9"/>
            <w:tcBorders>
              <w:bottom w:val="single" w:color="000000" w:sz="2" w:space="0"/>
              <w:right w:val="single" w:color="000000" w:sz="2" w:space="0"/>
            </w:tcBorders>
            <w:vAlign w:val="top"/>
          </w:tcPr>
          <w:p w14:paraId="53AB0B19">
            <w:pPr>
              <w:rPr>
                <w:rFonts w:ascii="Arial"/>
                <w:sz w:val="21"/>
              </w:rPr>
            </w:pPr>
          </w:p>
        </w:tc>
      </w:tr>
    </w:tbl>
    <w:p w14:paraId="77959A9B">
      <w:pPr>
        <w:pStyle w:val="13"/>
        <w:spacing w:line="435" w:lineRule="auto"/>
      </w:pPr>
    </w:p>
    <w:p w14:paraId="13896042">
      <w:pPr>
        <w:spacing w:before="78" w:line="219" w:lineRule="auto"/>
        <w:ind w:left="627"/>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73E7DFB6">
      <w:pPr>
        <w:spacing w:before="214" w:line="499" w:lineRule="exact"/>
        <w:ind w:left="625"/>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71FEF3A4">
      <w:pPr>
        <w:spacing w:before="1" w:line="220" w:lineRule="auto"/>
        <w:ind w:left="627"/>
        <w:rPr>
          <w:rFonts w:ascii="宋体" w:hAnsi="宋体" w:eastAsia="宋体" w:cs="宋体"/>
          <w:sz w:val="24"/>
          <w:szCs w:val="24"/>
        </w:rPr>
      </w:pPr>
      <w:r>
        <w:rPr>
          <w:rFonts w:ascii="宋体" w:hAnsi="宋体" w:eastAsia="宋体" w:cs="宋体"/>
          <w:spacing w:val="-3"/>
          <w:sz w:val="24"/>
          <w:szCs w:val="24"/>
        </w:rPr>
        <w:t>投标日期：</w:t>
      </w:r>
    </w:p>
    <w:p w14:paraId="6722FFE6">
      <w:pPr>
        <w:spacing w:line="220" w:lineRule="auto"/>
        <w:rPr>
          <w:rFonts w:ascii="宋体" w:hAnsi="宋体" w:eastAsia="宋体" w:cs="宋体"/>
          <w:sz w:val="24"/>
          <w:szCs w:val="24"/>
        </w:rPr>
        <w:sectPr>
          <w:headerReference r:id="rId30" w:type="default"/>
          <w:footerReference r:id="rId31" w:type="default"/>
          <w:pgSz w:w="11906" w:h="16839"/>
          <w:pgMar w:top="1619" w:right="1126" w:bottom="1157" w:left="1441" w:header="851" w:footer="992" w:gutter="0"/>
          <w:pgNumType w:fmt="decimal"/>
          <w:cols w:space="720" w:num="1"/>
        </w:sectPr>
      </w:pPr>
    </w:p>
    <w:p w14:paraId="32639EAC">
      <w:pPr>
        <w:pStyle w:val="13"/>
        <w:spacing w:line="247" w:lineRule="auto"/>
      </w:pPr>
    </w:p>
    <w:p w14:paraId="29814A8F">
      <w:pPr>
        <w:pStyle w:val="13"/>
        <w:spacing w:line="248" w:lineRule="auto"/>
      </w:pPr>
    </w:p>
    <w:p w14:paraId="0B456007">
      <w:pPr>
        <w:spacing w:before="101" w:line="225" w:lineRule="auto"/>
        <w:ind w:left="18"/>
        <w:rPr>
          <w:rFonts w:ascii="宋体" w:hAnsi="宋体" w:eastAsia="宋体" w:cs="宋体"/>
          <w:sz w:val="31"/>
          <w:szCs w:val="31"/>
        </w:rPr>
      </w:pPr>
      <w:r>
        <w:rPr>
          <w:rFonts w:ascii="宋体" w:hAnsi="宋体" w:eastAsia="宋体" w:cs="宋体"/>
          <w:spacing w:val="5"/>
          <w:sz w:val="31"/>
          <w:szCs w:val="31"/>
          <w14:textOutline w14:w="5793" w14:cap="sq" w14:cmpd="sng">
            <w14:solidFill>
              <w14:srgbClr w14:val="000000"/>
            </w14:solidFill>
            <w14:prstDash w14:val="solid"/>
            <w14:bevel/>
          </w14:textOutline>
        </w:rPr>
        <w:t>格式</w:t>
      </w:r>
      <w:r>
        <w:rPr>
          <w:rFonts w:ascii="宋体" w:hAnsi="宋体" w:eastAsia="宋体" w:cs="宋体"/>
          <w:spacing w:val="-60"/>
          <w:sz w:val="31"/>
          <w:szCs w:val="31"/>
        </w:rPr>
        <w:t xml:space="preserve"> </w:t>
      </w:r>
      <w:r>
        <w:rPr>
          <w:rFonts w:ascii="宋体" w:hAnsi="宋体" w:eastAsia="宋体" w:cs="宋体"/>
          <w:spacing w:val="5"/>
          <w:sz w:val="31"/>
          <w:szCs w:val="31"/>
          <w14:textOutline w14:w="5793" w14:cap="sq" w14:cmpd="sng">
            <w14:solidFill>
              <w14:srgbClr w14:val="000000"/>
            </w14:solidFill>
            <w14:prstDash w14:val="solid"/>
            <w14:bevel/>
          </w14:textOutline>
        </w:rPr>
        <w:t>2-7</w:t>
      </w:r>
    </w:p>
    <w:p w14:paraId="2B0E6AF8">
      <w:pPr>
        <w:spacing w:before="18" w:line="225" w:lineRule="auto"/>
        <w:ind w:left="2362"/>
        <w:outlineLvl w:val="2"/>
        <w:rPr>
          <w:rFonts w:ascii="宋体" w:hAnsi="宋体" w:eastAsia="宋体" w:cs="宋体"/>
          <w:sz w:val="31"/>
          <w:szCs w:val="31"/>
        </w:rPr>
      </w:pPr>
      <w:bookmarkStart w:id="23" w:name="bookmark26"/>
      <w:bookmarkEnd w:id="23"/>
      <w:r>
        <w:rPr>
          <w:rFonts w:ascii="宋体" w:hAnsi="宋体" w:eastAsia="宋体" w:cs="宋体"/>
          <w:spacing w:val="9"/>
          <w:sz w:val="31"/>
          <w:szCs w:val="31"/>
          <w14:textOutline w14:w="5793" w14:cap="sq" w14:cmpd="sng">
            <w14:solidFill>
              <w14:srgbClr w14:val="000000"/>
            </w14:solidFill>
            <w14:prstDash w14:val="solid"/>
            <w14:bevel/>
          </w14:textOutline>
        </w:rPr>
        <w:t>六、投标人类似项目业绩一览表</w:t>
      </w:r>
    </w:p>
    <w:p w14:paraId="01B829CB">
      <w:pPr>
        <w:spacing w:before="37"/>
      </w:pPr>
    </w:p>
    <w:tbl>
      <w:tblPr>
        <w:tblStyle w:val="24"/>
        <w:tblW w:w="8824"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5"/>
        <w:gridCol w:w="1799"/>
        <w:gridCol w:w="2159"/>
        <w:gridCol w:w="1439"/>
        <w:gridCol w:w="899"/>
        <w:gridCol w:w="1259"/>
        <w:gridCol w:w="724"/>
      </w:tblGrid>
      <w:tr w14:paraId="25482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5" w:hRule="atLeast"/>
        </w:trPr>
        <w:tc>
          <w:tcPr>
            <w:tcW w:w="545" w:type="dxa"/>
            <w:tcBorders>
              <w:top w:val="single" w:color="000000" w:sz="2" w:space="0"/>
              <w:left w:val="single" w:color="000000" w:sz="2" w:space="0"/>
            </w:tcBorders>
            <w:vAlign w:val="top"/>
          </w:tcPr>
          <w:p w14:paraId="73504056">
            <w:pPr>
              <w:spacing w:line="258" w:lineRule="auto"/>
              <w:rPr>
                <w:rFonts w:ascii="Arial"/>
                <w:sz w:val="21"/>
              </w:rPr>
            </w:pPr>
          </w:p>
          <w:p w14:paraId="4499547C">
            <w:pPr>
              <w:pStyle w:val="27"/>
              <w:spacing w:before="65" w:line="228" w:lineRule="auto"/>
              <w:ind w:left="69"/>
              <w:rPr>
                <w:sz w:val="20"/>
                <w:szCs w:val="20"/>
              </w:rPr>
            </w:pPr>
            <w:r>
              <w:rPr>
                <w:spacing w:val="4"/>
                <w:sz w:val="20"/>
                <w:szCs w:val="20"/>
              </w:rPr>
              <w:t>年份</w:t>
            </w:r>
          </w:p>
        </w:tc>
        <w:tc>
          <w:tcPr>
            <w:tcW w:w="1799" w:type="dxa"/>
            <w:tcBorders>
              <w:top w:val="single" w:color="000000" w:sz="2" w:space="0"/>
            </w:tcBorders>
            <w:vAlign w:val="top"/>
          </w:tcPr>
          <w:p w14:paraId="1C12E38F">
            <w:pPr>
              <w:spacing w:line="258" w:lineRule="auto"/>
              <w:rPr>
                <w:rFonts w:ascii="Arial"/>
                <w:sz w:val="21"/>
              </w:rPr>
            </w:pPr>
          </w:p>
          <w:p w14:paraId="1E20330F">
            <w:pPr>
              <w:pStyle w:val="27"/>
              <w:spacing w:before="65" w:line="229" w:lineRule="auto"/>
              <w:ind w:left="482"/>
              <w:rPr>
                <w:sz w:val="20"/>
                <w:szCs w:val="20"/>
              </w:rPr>
            </w:pPr>
            <w:r>
              <w:rPr>
                <w:spacing w:val="6"/>
                <w:sz w:val="20"/>
                <w:szCs w:val="20"/>
              </w:rPr>
              <w:t>用户名称</w:t>
            </w:r>
          </w:p>
        </w:tc>
        <w:tc>
          <w:tcPr>
            <w:tcW w:w="2159" w:type="dxa"/>
            <w:tcBorders>
              <w:top w:val="single" w:color="000000" w:sz="2" w:space="0"/>
            </w:tcBorders>
            <w:vAlign w:val="top"/>
          </w:tcPr>
          <w:p w14:paraId="1074B170">
            <w:pPr>
              <w:spacing w:line="258" w:lineRule="auto"/>
              <w:rPr>
                <w:rFonts w:ascii="Arial"/>
                <w:sz w:val="21"/>
              </w:rPr>
            </w:pPr>
          </w:p>
          <w:p w14:paraId="62DD3DB8">
            <w:pPr>
              <w:pStyle w:val="27"/>
              <w:spacing w:before="65" w:line="229" w:lineRule="auto"/>
              <w:ind w:left="665"/>
              <w:rPr>
                <w:sz w:val="20"/>
                <w:szCs w:val="20"/>
              </w:rPr>
            </w:pPr>
            <w:r>
              <w:rPr>
                <w:spacing w:val="6"/>
                <w:sz w:val="20"/>
                <w:szCs w:val="20"/>
              </w:rPr>
              <w:t>项目名称</w:t>
            </w:r>
          </w:p>
        </w:tc>
        <w:tc>
          <w:tcPr>
            <w:tcW w:w="1439" w:type="dxa"/>
            <w:tcBorders>
              <w:top w:val="single" w:color="000000" w:sz="2" w:space="0"/>
            </w:tcBorders>
            <w:vAlign w:val="top"/>
          </w:tcPr>
          <w:p w14:paraId="2723D56B">
            <w:pPr>
              <w:spacing w:line="258" w:lineRule="auto"/>
              <w:rPr>
                <w:rFonts w:ascii="Arial"/>
                <w:sz w:val="21"/>
              </w:rPr>
            </w:pPr>
          </w:p>
          <w:p w14:paraId="7E5C3DB7">
            <w:pPr>
              <w:pStyle w:val="27"/>
              <w:spacing w:before="65" w:line="228" w:lineRule="auto"/>
              <w:ind w:left="304"/>
              <w:rPr>
                <w:sz w:val="20"/>
                <w:szCs w:val="20"/>
              </w:rPr>
            </w:pPr>
            <w:r>
              <w:rPr>
                <w:spacing w:val="6"/>
                <w:sz w:val="20"/>
                <w:szCs w:val="20"/>
              </w:rPr>
              <w:t>完成时间</w:t>
            </w:r>
          </w:p>
        </w:tc>
        <w:tc>
          <w:tcPr>
            <w:tcW w:w="899" w:type="dxa"/>
            <w:tcBorders>
              <w:top w:val="single" w:color="000000" w:sz="2" w:space="0"/>
            </w:tcBorders>
            <w:vAlign w:val="top"/>
          </w:tcPr>
          <w:p w14:paraId="22990A92">
            <w:pPr>
              <w:pStyle w:val="27"/>
              <w:spacing w:before="163" w:line="319" w:lineRule="exact"/>
              <w:ind w:left="245"/>
              <w:rPr>
                <w:sz w:val="20"/>
                <w:szCs w:val="20"/>
              </w:rPr>
            </w:pPr>
            <w:r>
              <w:rPr>
                <w:spacing w:val="4"/>
                <w:position w:val="8"/>
                <w:sz w:val="20"/>
                <w:szCs w:val="20"/>
              </w:rPr>
              <w:t>合同</w:t>
            </w:r>
          </w:p>
          <w:p w14:paraId="28AAD9E7">
            <w:pPr>
              <w:pStyle w:val="27"/>
              <w:spacing w:line="228" w:lineRule="auto"/>
              <w:ind w:left="245"/>
              <w:rPr>
                <w:sz w:val="20"/>
                <w:szCs w:val="20"/>
              </w:rPr>
            </w:pPr>
            <w:r>
              <w:rPr>
                <w:spacing w:val="3"/>
                <w:sz w:val="20"/>
                <w:szCs w:val="20"/>
              </w:rPr>
              <w:t>金额</w:t>
            </w:r>
          </w:p>
        </w:tc>
        <w:tc>
          <w:tcPr>
            <w:tcW w:w="1259" w:type="dxa"/>
            <w:tcBorders>
              <w:top w:val="single" w:color="000000" w:sz="2" w:space="0"/>
              <w:right w:val="single" w:color="000000" w:sz="2" w:space="0"/>
            </w:tcBorders>
            <w:vAlign w:val="top"/>
          </w:tcPr>
          <w:p w14:paraId="278D63F5">
            <w:pPr>
              <w:pStyle w:val="27"/>
              <w:spacing w:before="163" w:line="262" w:lineRule="auto"/>
              <w:ind w:left="425" w:right="207" w:hanging="210"/>
              <w:rPr>
                <w:sz w:val="20"/>
                <w:szCs w:val="20"/>
              </w:rPr>
            </w:pPr>
            <w:r>
              <w:rPr>
                <w:spacing w:val="6"/>
                <w:sz w:val="20"/>
                <w:szCs w:val="20"/>
              </w:rPr>
              <w:t>完成项目</w:t>
            </w:r>
            <w:r>
              <w:rPr>
                <w:spacing w:val="2"/>
                <w:sz w:val="20"/>
                <w:szCs w:val="20"/>
              </w:rPr>
              <w:t xml:space="preserve"> </w:t>
            </w:r>
            <w:r>
              <w:rPr>
                <w:spacing w:val="4"/>
                <w:sz w:val="20"/>
                <w:szCs w:val="20"/>
              </w:rPr>
              <w:t>质量</w:t>
            </w:r>
          </w:p>
        </w:tc>
        <w:tc>
          <w:tcPr>
            <w:tcW w:w="724" w:type="dxa"/>
            <w:tcBorders>
              <w:top w:val="single" w:color="000000" w:sz="2" w:space="0"/>
              <w:left w:val="single" w:color="000000" w:sz="2" w:space="0"/>
              <w:right w:val="single" w:color="000000" w:sz="2" w:space="0"/>
            </w:tcBorders>
            <w:vAlign w:val="top"/>
          </w:tcPr>
          <w:p w14:paraId="4217B1F6">
            <w:pPr>
              <w:spacing w:line="257" w:lineRule="auto"/>
              <w:rPr>
                <w:rFonts w:ascii="Arial"/>
                <w:sz w:val="21"/>
              </w:rPr>
            </w:pPr>
          </w:p>
          <w:p w14:paraId="2A260652">
            <w:pPr>
              <w:pStyle w:val="27"/>
              <w:spacing w:before="65" w:line="230" w:lineRule="auto"/>
              <w:ind w:left="160"/>
              <w:rPr>
                <w:sz w:val="20"/>
                <w:szCs w:val="20"/>
              </w:rPr>
            </w:pPr>
            <w:r>
              <w:rPr>
                <w:spacing w:val="3"/>
                <w:sz w:val="20"/>
                <w:szCs w:val="20"/>
              </w:rPr>
              <w:t>备注</w:t>
            </w:r>
          </w:p>
        </w:tc>
      </w:tr>
      <w:tr w14:paraId="2BF26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545" w:type="dxa"/>
            <w:tcBorders>
              <w:left w:val="single" w:color="000000" w:sz="2" w:space="0"/>
            </w:tcBorders>
            <w:vAlign w:val="top"/>
          </w:tcPr>
          <w:p w14:paraId="536C1DE8">
            <w:pPr>
              <w:rPr>
                <w:rFonts w:ascii="Arial"/>
                <w:sz w:val="21"/>
              </w:rPr>
            </w:pPr>
          </w:p>
        </w:tc>
        <w:tc>
          <w:tcPr>
            <w:tcW w:w="1799" w:type="dxa"/>
            <w:vAlign w:val="top"/>
          </w:tcPr>
          <w:p w14:paraId="3915D133">
            <w:pPr>
              <w:rPr>
                <w:rFonts w:ascii="Arial"/>
                <w:sz w:val="21"/>
              </w:rPr>
            </w:pPr>
          </w:p>
        </w:tc>
        <w:tc>
          <w:tcPr>
            <w:tcW w:w="2159" w:type="dxa"/>
            <w:vAlign w:val="top"/>
          </w:tcPr>
          <w:p w14:paraId="577F065F">
            <w:pPr>
              <w:rPr>
                <w:rFonts w:ascii="Arial"/>
                <w:sz w:val="21"/>
              </w:rPr>
            </w:pPr>
          </w:p>
        </w:tc>
        <w:tc>
          <w:tcPr>
            <w:tcW w:w="1439" w:type="dxa"/>
            <w:vAlign w:val="top"/>
          </w:tcPr>
          <w:p w14:paraId="24F95E73">
            <w:pPr>
              <w:rPr>
                <w:rFonts w:ascii="Arial"/>
                <w:sz w:val="21"/>
              </w:rPr>
            </w:pPr>
          </w:p>
        </w:tc>
        <w:tc>
          <w:tcPr>
            <w:tcW w:w="899" w:type="dxa"/>
            <w:vAlign w:val="top"/>
          </w:tcPr>
          <w:p w14:paraId="3EA017AF">
            <w:pPr>
              <w:rPr>
                <w:rFonts w:ascii="Arial"/>
                <w:sz w:val="21"/>
              </w:rPr>
            </w:pPr>
          </w:p>
        </w:tc>
        <w:tc>
          <w:tcPr>
            <w:tcW w:w="1259" w:type="dxa"/>
            <w:tcBorders>
              <w:right w:val="single" w:color="000000" w:sz="2" w:space="0"/>
            </w:tcBorders>
            <w:vAlign w:val="top"/>
          </w:tcPr>
          <w:p w14:paraId="6C48834A">
            <w:pPr>
              <w:rPr>
                <w:rFonts w:ascii="Arial"/>
                <w:sz w:val="21"/>
              </w:rPr>
            </w:pPr>
          </w:p>
        </w:tc>
        <w:tc>
          <w:tcPr>
            <w:tcW w:w="724" w:type="dxa"/>
            <w:tcBorders>
              <w:left w:val="single" w:color="000000" w:sz="2" w:space="0"/>
              <w:right w:val="single" w:color="000000" w:sz="2" w:space="0"/>
            </w:tcBorders>
            <w:vAlign w:val="top"/>
          </w:tcPr>
          <w:p w14:paraId="428967A4">
            <w:pPr>
              <w:rPr>
                <w:rFonts w:ascii="Arial"/>
                <w:sz w:val="21"/>
              </w:rPr>
            </w:pPr>
          </w:p>
        </w:tc>
      </w:tr>
      <w:tr w14:paraId="73592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left w:val="single" w:color="000000" w:sz="2" w:space="0"/>
            </w:tcBorders>
            <w:vAlign w:val="top"/>
          </w:tcPr>
          <w:p w14:paraId="6A8FFE4B">
            <w:pPr>
              <w:rPr>
                <w:rFonts w:ascii="Arial"/>
                <w:sz w:val="21"/>
              </w:rPr>
            </w:pPr>
          </w:p>
        </w:tc>
        <w:tc>
          <w:tcPr>
            <w:tcW w:w="1799" w:type="dxa"/>
            <w:vAlign w:val="top"/>
          </w:tcPr>
          <w:p w14:paraId="330F7A17">
            <w:pPr>
              <w:rPr>
                <w:rFonts w:ascii="Arial"/>
                <w:sz w:val="21"/>
              </w:rPr>
            </w:pPr>
          </w:p>
        </w:tc>
        <w:tc>
          <w:tcPr>
            <w:tcW w:w="2159" w:type="dxa"/>
            <w:vAlign w:val="top"/>
          </w:tcPr>
          <w:p w14:paraId="44D7D3F9">
            <w:pPr>
              <w:rPr>
                <w:rFonts w:ascii="Arial"/>
                <w:sz w:val="21"/>
              </w:rPr>
            </w:pPr>
          </w:p>
        </w:tc>
        <w:tc>
          <w:tcPr>
            <w:tcW w:w="1439" w:type="dxa"/>
            <w:vAlign w:val="top"/>
          </w:tcPr>
          <w:p w14:paraId="4426A77B">
            <w:pPr>
              <w:rPr>
                <w:rFonts w:ascii="Arial"/>
                <w:sz w:val="21"/>
              </w:rPr>
            </w:pPr>
          </w:p>
        </w:tc>
        <w:tc>
          <w:tcPr>
            <w:tcW w:w="899" w:type="dxa"/>
            <w:vAlign w:val="top"/>
          </w:tcPr>
          <w:p w14:paraId="2DF38B68">
            <w:pPr>
              <w:rPr>
                <w:rFonts w:ascii="Arial"/>
                <w:sz w:val="21"/>
              </w:rPr>
            </w:pPr>
          </w:p>
        </w:tc>
        <w:tc>
          <w:tcPr>
            <w:tcW w:w="1259" w:type="dxa"/>
            <w:tcBorders>
              <w:right w:val="single" w:color="000000" w:sz="2" w:space="0"/>
            </w:tcBorders>
            <w:vAlign w:val="top"/>
          </w:tcPr>
          <w:p w14:paraId="505E2592">
            <w:pPr>
              <w:rPr>
                <w:rFonts w:ascii="Arial"/>
                <w:sz w:val="21"/>
              </w:rPr>
            </w:pPr>
          </w:p>
        </w:tc>
        <w:tc>
          <w:tcPr>
            <w:tcW w:w="724" w:type="dxa"/>
            <w:tcBorders>
              <w:left w:val="single" w:color="000000" w:sz="2" w:space="0"/>
              <w:right w:val="single" w:color="000000" w:sz="2" w:space="0"/>
            </w:tcBorders>
            <w:vAlign w:val="top"/>
          </w:tcPr>
          <w:p w14:paraId="29F7B614">
            <w:pPr>
              <w:rPr>
                <w:rFonts w:ascii="Arial"/>
                <w:sz w:val="21"/>
              </w:rPr>
            </w:pPr>
          </w:p>
        </w:tc>
      </w:tr>
      <w:tr w14:paraId="41B0E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left w:val="single" w:color="000000" w:sz="2" w:space="0"/>
            </w:tcBorders>
            <w:vAlign w:val="top"/>
          </w:tcPr>
          <w:p w14:paraId="4937B993">
            <w:pPr>
              <w:rPr>
                <w:rFonts w:ascii="Arial"/>
                <w:sz w:val="21"/>
              </w:rPr>
            </w:pPr>
          </w:p>
        </w:tc>
        <w:tc>
          <w:tcPr>
            <w:tcW w:w="1799" w:type="dxa"/>
            <w:vAlign w:val="top"/>
          </w:tcPr>
          <w:p w14:paraId="5DA8FEB8">
            <w:pPr>
              <w:rPr>
                <w:rFonts w:ascii="Arial"/>
                <w:sz w:val="21"/>
              </w:rPr>
            </w:pPr>
          </w:p>
        </w:tc>
        <w:tc>
          <w:tcPr>
            <w:tcW w:w="2159" w:type="dxa"/>
            <w:vAlign w:val="top"/>
          </w:tcPr>
          <w:p w14:paraId="4227BA05">
            <w:pPr>
              <w:rPr>
                <w:rFonts w:ascii="Arial"/>
                <w:sz w:val="21"/>
              </w:rPr>
            </w:pPr>
          </w:p>
        </w:tc>
        <w:tc>
          <w:tcPr>
            <w:tcW w:w="1439" w:type="dxa"/>
            <w:vAlign w:val="top"/>
          </w:tcPr>
          <w:p w14:paraId="587CE37D">
            <w:pPr>
              <w:rPr>
                <w:rFonts w:ascii="Arial"/>
                <w:sz w:val="21"/>
              </w:rPr>
            </w:pPr>
          </w:p>
        </w:tc>
        <w:tc>
          <w:tcPr>
            <w:tcW w:w="899" w:type="dxa"/>
            <w:vAlign w:val="top"/>
          </w:tcPr>
          <w:p w14:paraId="351C5872">
            <w:pPr>
              <w:rPr>
                <w:rFonts w:ascii="Arial"/>
                <w:sz w:val="21"/>
              </w:rPr>
            </w:pPr>
          </w:p>
        </w:tc>
        <w:tc>
          <w:tcPr>
            <w:tcW w:w="1259" w:type="dxa"/>
            <w:tcBorders>
              <w:right w:val="single" w:color="000000" w:sz="2" w:space="0"/>
            </w:tcBorders>
            <w:vAlign w:val="top"/>
          </w:tcPr>
          <w:p w14:paraId="09DDDFCC">
            <w:pPr>
              <w:rPr>
                <w:rFonts w:ascii="Arial"/>
                <w:sz w:val="21"/>
              </w:rPr>
            </w:pPr>
          </w:p>
        </w:tc>
        <w:tc>
          <w:tcPr>
            <w:tcW w:w="724" w:type="dxa"/>
            <w:tcBorders>
              <w:left w:val="single" w:color="000000" w:sz="2" w:space="0"/>
              <w:right w:val="single" w:color="000000" w:sz="2" w:space="0"/>
            </w:tcBorders>
            <w:vAlign w:val="top"/>
          </w:tcPr>
          <w:p w14:paraId="772B188D">
            <w:pPr>
              <w:rPr>
                <w:rFonts w:ascii="Arial"/>
                <w:sz w:val="21"/>
              </w:rPr>
            </w:pPr>
          </w:p>
        </w:tc>
      </w:tr>
      <w:tr w14:paraId="16770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545" w:type="dxa"/>
            <w:tcBorders>
              <w:left w:val="single" w:color="000000" w:sz="2" w:space="0"/>
              <w:bottom w:val="single" w:color="000000" w:sz="2" w:space="0"/>
            </w:tcBorders>
            <w:vAlign w:val="top"/>
          </w:tcPr>
          <w:p w14:paraId="38270480">
            <w:pPr>
              <w:rPr>
                <w:rFonts w:ascii="Arial"/>
                <w:sz w:val="21"/>
              </w:rPr>
            </w:pPr>
          </w:p>
        </w:tc>
        <w:tc>
          <w:tcPr>
            <w:tcW w:w="1799" w:type="dxa"/>
            <w:tcBorders>
              <w:bottom w:val="single" w:color="000000" w:sz="2" w:space="0"/>
              <w:right w:val="single" w:color="000000" w:sz="2" w:space="0"/>
            </w:tcBorders>
            <w:vAlign w:val="top"/>
          </w:tcPr>
          <w:p w14:paraId="1B8FB560">
            <w:pPr>
              <w:rPr>
                <w:rFonts w:ascii="Arial"/>
                <w:sz w:val="21"/>
              </w:rPr>
            </w:pPr>
          </w:p>
        </w:tc>
        <w:tc>
          <w:tcPr>
            <w:tcW w:w="2159" w:type="dxa"/>
            <w:tcBorders>
              <w:left w:val="single" w:color="000000" w:sz="2" w:space="0"/>
              <w:bottom w:val="single" w:color="000000" w:sz="2" w:space="0"/>
            </w:tcBorders>
            <w:vAlign w:val="top"/>
          </w:tcPr>
          <w:p w14:paraId="27A6636D">
            <w:pPr>
              <w:rPr>
                <w:rFonts w:ascii="Arial"/>
                <w:sz w:val="21"/>
              </w:rPr>
            </w:pPr>
          </w:p>
        </w:tc>
        <w:tc>
          <w:tcPr>
            <w:tcW w:w="1439" w:type="dxa"/>
            <w:tcBorders>
              <w:bottom w:val="single" w:color="000000" w:sz="2" w:space="0"/>
            </w:tcBorders>
            <w:vAlign w:val="top"/>
          </w:tcPr>
          <w:p w14:paraId="2F7531AA">
            <w:pPr>
              <w:rPr>
                <w:rFonts w:ascii="Arial"/>
                <w:sz w:val="21"/>
              </w:rPr>
            </w:pPr>
          </w:p>
        </w:tc>
        <w:tc>
          <w:tcPr>
            <w:tcW w:w="899" w:type="dxa"/>
            <w:tcBorders>
              <w:bottom w:val="single" w:color="000000" w:sz="2" w:space="0"/>
            </w:tcBorders>
            <w:vAlign w:val="top"/>
          </w:tcPr>
          <w:p w14:paraId="569D882C">
            <w:pPr>
              <w:rPr>
                <w:rFonts w:ascii="Arial"/>
                <w:sz w:val="21"/>
              </w:rPr>
            </w:pPr>
          </w:p>
        </w:tc>
        <w:tc>
          <w:tcPr>
            <w:tcW w:w="1259" w:type="dxa"/>
            <w:tcBorders>
              <w:bottom w:val="single" w:color="000000" w:sz="2" w:space="0"/>
              <w:right w:val="single" w:color="000000" w:sz="2" w:space="0"/>
            </w:tcBorders>
            <w:vAlign w:val="top"/>
          </w:tcPr>
          <w:p w14:paraId="4ABACBA9">
            <w:pPr>
              <w:rPr>
                <w:rFonts w:ascii="Arial"/>
                <w:sz w:val="21"/>
              </w:rPr>
            </w:pPr>
          </w:p>
        </w:tc>
        <w:tc>
          <w:tcPr>
            <w:tcW w:w="724" w:type="dxa"/>
            <w:tcBorders>
              <w:left w:val="single" w:color="000000" w:sz="2" w:space="0"/>
              <w:bottom w:val="single" w:color="000000" w:sz="2" w:space="0"/>
              <w:right w:val="single" w:color="000000" w:sz="2" w:space="0"/>
            </w:tcBorders>
            <w:vAlign w:val="top"/>
          </w:tcPr>
          <w:p w14:paraId="7413C300">
            <w:pPr>
              <w:rPr>
                <w:rFonts w:ascii="Arial"/>
                <w:sz w:val="21"/>
              </w:rPr>
            </w:pPr>
          </w:p>
        </w:tc>
      </w:tr>
      <w:tr w14:paraId="4A0E8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545" w:type="dxa"/>
            <w:tcBorders>
              <w:top w:val="single" w:color="000000" w:sz="2" w:space="0"/>
              <w:left w:val="single" w:color="000000" w:sz="2" w:space="0"/>
            </w:tcBorders>
            <w:vAlign w:val="top"/>
          </w:tcPr>
          <w:p w14:paraId="312A19FB">
            <w:pPr>
              <w:rPr>
                <w:rFonts w:ascii="Arial"/>
                <w:sz w:val="21"/>
              </w:rPr>
            </w:pPr>
          </w:p>
        </w:tc>
        <w:tc>
          <w:tcPr>
            <w:tcW w:w="1799" w:type="dxa"/>
            <w:tcBorders>
              <w:top w:val="single" w:color="000000" w:sz="2" w:space="0"/>
              <w:right w:val="single" w:color="000000" w:sz="2" w:space="0"/>
            </w:tcBorders>
            <w:vAlign w:val="top"/>
          </w:tcPr>
          <w:p w14:paraId="24007B96">
            <w:pPr>
              <w:rPr>
                <w:rFonts w:ascii="Arial"/>
                <w:sz w:val="21"/>
              </w:rPr>
            </w:pPr>
          </w:p>
        </w:tc>
        <w:tc>
          <w:tcPr>
            <w:tcW w:w="2159" w:type="dxa"/>
            <w:tcBorders>
              <w:top w:val="single" w:color="000000" w:sz="2" w:space="0"/>
              <w:left w:val="single" w:color="000000" w:sz="2" w:space="0"/>
            </w:tcBorders>
            <w:vAlign w:val="top"/>
          </w:tcPr>
          <w:p w14:paraId="66AB4145">
            <w:pPr>
              <w:rPr>
                <w:rFonts w:ascii="Arial"/>
                <w:sz w:val="21"/>
              </w:rPr>
            </w:pPr>
          </w:p>
        </w:tc>
        <w:tc>
          <w:tcPr>
            <w:tcW w:w="1439" w:type="dxa"/>
            <w:tcBorders>
              <w:top w:val="single" w:color="000000" w:sz="2" w:space="0"/>
            </w:tcBorders>
            <w:vAlign w:val="top"/>
          </w:tcPr>
          <w:p w14:paraId="52096212">
            <w:pPr>
              <w:rPr>
                <w:rFonts w:ascii="Arial"/>
                <w:sz w:val="21"/>
              </w:rPr>
            </w:pPr>
          </w:p>
        </w:tc>
        <w:tc>
          <w:tcPr>
            <w:tcW w:w="899" w:type="dxa"/>
            <w:tcBorders>
              <w:top w:val="single" w:color="000000" w:sz="2" w:space="0"/>
            </w:tcBorders>
            <w:vAlign w:val="top"/>
          </w:tcPr>
          <w:p w14:paraId="49B22FE0">
            <w:pPr>
              <w:rPr>
                <w:rFonts w:ascii="Arial"/>
                <w:sz w:val="21"/>
              </w:rPr>
            </w:pPr>
          </w:p>
        </w:tc>
        <w:tc>
          <w:tcPr>
            <w:tcW w:w="1259" w:type="dxa"/>
            <w:tcBorders>
              <w:top w:val="single" w:color="000000" w:sz="2" w:space="0"/>
              <w:right w:val="single" w:color="000000" w:sz="2" w:space="0"/>
            </w:tcBorders>
            <w:vAlign w:val="top"/>
          </w:tcPr>
          <w:p w14:paraId="5DE131DA">
            <w:pPr>
              <w:rPr>
                <w:rFonts w:ascii="Arial"/>
                <w:sz w:val="21"/>
              </w:rPr>
            </w:pPr>
          </w:p>
        </w:tc>
        <w:tc>
          <w:tcPr>
            <w:tcW w:w="724" w:type="dxa"/>
            <w:tcBorders>
              <w:top w:val="single" w:color="000000" w:sz="2" w:space="0"/>
              <w:left w:val="single" w:color="000000" w:sz="2" w:space="0"/>
              <w:right w:val="single" w:color="000000" w:sz="2" w:space="0"/>
            </w:tcBorders>
            <w:vAlign w:val="top"/>
          </w:tcPr>
          <w:p w14:paraId="0E05DA2A">
            <w:pPr>
              <w:rPr>
                <w:rFonts w:ascii="Arial"/>
                <w:sz w:val="21"/>
              </w:rPr>
            </w:pPr>
          </w:p>
        </w:tc>
      </w:tr>
      <w:tr w14:paraId="0F5B3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545" w:type="dxa"/>
            <w:tcBorders>
              <w:left w:val="single" w:color="000000" w:sz="2" w:space="0"/>
              <w:bottom w:val="single" w:color="000000" w:sz="2" w:space="0"/>
              <w:right w:val="single" w:color="000000" w:sz="2" w:space="0"/>
            </w:tcBorders>
            <w:vAlign w:val="top"/>
          </w:tcPr>
          <w:p w14:paraId="6DF8EEDC">
            <w:pPr>
              <w:rPr>
                <w:rFonts w:ascii="Arial"/>
                <w:sz w:val="21"/>
              </w:rPr>
            </w:pPr>
          </w:p>
        </w:tc>
        <w:tc>
          <w:tcPr>
            <w:tcW w:w="1799" w:type="dxa"/>
            <w:tcBorders>
              <w:left w:val="single" w:color="000000" w:sz="2" w:space="0"/>
              <w:bottom w:val="single" w:color="000000" w:sz="2" w:space="0"/>
              <w:right w:val="single" w:color="000000" w:sz="2" w:space="0"/>
            </w:tcBorders>
            <w:vAlign w:val="top"/>
          </w:tcPr>
          <w:p w14:paraId="2EF068A8">
            <w:pPr>
              <w:rPr>
                <w:rFonts w:ascii="Arial"/>
                <w:sz w:val="21"/>
              </w:rPr>
            </w:pPr>
          </w:p>
        </w:tc>
        <w:tc>
          <w:tcPr>
            <w:tcW w:w="2159" w:type="dxa"/>
            <w:tcBorders>
              <w:left w:val="single" w:color="000000" w:sz="2" w:space="0"/>
              <w:bottom w:val="single" w:color="000000" w:sz="2" w:space="0"/>
              <w:right w:val="single" w:color="000000" w:sz="2" w:space="0"/>
            </w:tcBorders>
            <w:vAlign w:val="top"/>
          </w:tcPr>
          <w:p w14:paraId="596CA01F">
            <w:pPr>
              <w:rPr>
                <w:rFonts w:ascii="Arial"/>
                <w:sz w:val="21"/>
              </w:rPr>
            </w:pPr>
          </w:p>
        </w:tc>
        <w:tc>
          <w:tcPr>
            <w:tcW w:w="1439" w:type="dxa"/>
            <w:tcBorders>
              <w:left w:val="single" w:color="000000" w:sz="2" w:space="0"/>
              <w:bottom w:val="single" w:color="000000" w:sz="2" w:space="0"/>
              <w:right w:val="single" w:color="000000" w:sz="2" w:space="0"/>
            </w:tcBorders>
            <w:vAlign w:val="top"/>
          </w:tcPr>
          <w:p w14:paraId="422E3797">
            <w:pPr>
              <w:rPr>
                <w:rFonts w:ascii="Arial"/>
                <w:sz w:val="21"/>
              </w:rPr>
            </w:pPr>
          </w:p>
        </w:tc>
        <w:tc>
          <w:tcPr>
            <w:tcW w:w="899" w:type="dxa"/>
            <w:tcBorders>
              <w:left w:val="single" w:color="000000" w:sz="2" w:space="0"/>
              <w:bottom w:val="single" w:color="000000" w:sz="2" w:space="0"/>
              <w:right w:val="single" w:color="000000" w:sz="2" w:space="0"/>
            </w:tcBorders>
            <w:vAlign w:val="top"/>
          </w:tcPr>
          <w:p w14:paraId="1F3D92DB">
            <w:pPr>
              <w:rPr>
                <w:rFonts w:ascii="Arial"/>
                <w:sz w:val="21"/>
              </w:rPr>
            </w:pPr>
          </w:p>
        </w:tc>
        <w:tc>
          <w:tcPr>
            <w:tcW w:w="1259" w:type="dxa"/>
            <w:tcBorders>
              <w:left w:val="single" w:color="000000" w:sz="2" w:space="0"/>
              <w:bottom w:val="single" w:color="000000" w:sz="2" w:space="0"/>
              <w:right w:val="single" w:color="000000" w:sz="2" w:space="0"/>
            </w:tcBorders>
            <w:vAlign w:val="top"/>
          </w:tcPr>
          <w:p w14:paraId="467323E8">
            <w:pPr>
              <w:rPr>
                <w:rFonts w:ascii="Arial"/>
                <w:sz w:val="21"/>
              </w:rPr>
            </w:pPr>
          </w:p>
        </w:tc>
        <w:tc>
          <w:tcPr>
            <w:tcW w:w="724" w:type="dxa"/>
            <w:tcBorders>
              <w:left w:val="single" w:color="000000" w:sz="2" w:space="0"/>
              <w:bottom w:val="single" w:color="000000" w:sz="2" w:space="0"/>
              <w:right w:val="single" w:color="000000" w:sz="2" w:space="0"/>
            </w:tcBorders>
            <w:vAlign w:val="top"/>
          </w:tcPr>
          <w:p w14:paraId="39F3C872">
            <w:pPr>
              <w:rPr>
                <w:rFonts w:ascii="Arial"/>
                <w:sz w:val="21"/>
              </w:rPr>
            </w:pPr>
          </w:p>
        </w:tc>
      </w:tr>
      <w:tr w14:paraId="49518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top w:val="single" w:color="000000" w:sz="2" w:space="0"/>
              <w:left w:val="single" w:color="000000" w:sz="2" w:space="0"/>
              <w:bottom w:val="single" w:color="000000" w:sz="2" w:space="0"/>
              <w:right w:val="single" w:color="000000" w:sz="2" w:space="0"/>
            </w:tcBorders>
            <w:vAlign w:val="top"/>
          </w:tcPr>
          <w:p w14:paraId="64B70863">
            <w:pPr>
              <w:rPr>
                <w:rFonts w:ascii="Arial"/>
                <w:sz w:val="21"/>
              </w:rPr>
            </w:pPr>
          </w:p>
        </w:tc>
        <w:tc>
          <w:tcPr>
            <w:tcW w:w="1799" w:type="dxa"/>
            <w:tcBorders>
              <w:top w:val="single" w:color="000000" w:sz="2" w:space="0"/>
              <w:left w:val="single" w:color="000000" w:sz="2" w:space="0"/>
              <w:bottom w:val="single" w:color="000000" w:sz="2" w:space="0"/>
              <w:right w:val="single" w:color="000000" w:sz="2" w:space="0"/>
            </w:tcBorders>
            <w:vAlign w:val="top"/>
          </w:tcPr>
          <w:p w14:paraId="654E9F41">
            <w:pPr>
              <w:rPr>
                <w:rFonts w:ascii="Arial"/>
                <w:sz w:val="21"/>
              </w:rPr>
            </w:pPr>
          </w:p>
        </w:tc>
        <w:tc>
          <w:tcPr>
            <w:tcW w:w="2159" w:type="dxa"/>
            <w:tcBorders>
              <w:top w:val="single" w:color="000000" w:sz="2" w:space="0"/>
              <w:left w:val="single" w:color="000000" w:sz="2" w:space="0"/>
              <w:bottom w:val="single" w:color="000000" w:sz="2" w:space="0"/>
              <w:right w:val="single" w:color="000000" w:sz="2" w:space="0"/>
            </w:tcBorders>
            <w:vAlign w:val="top"/>
          </w:tcPr>
          <w:p w14:paraId="21A67F7F">
            <w:pPr>
              <w:rPr>
                <w:rFonts w:ascii="Arial"/>
                <w:sz w:val="21"/>
              </w:rPr>
            </w:pPr>
          </w:p>
        </w:tc>
        <w:tc>
          <w:tcPr>
            <w:tcW w:w="1439" w:type="dxa"/>
            <w:tcBorders>
              <w:top w:val="single" w:color="000000" w:sz="2" w:space="0"/>
              <w:left w:val="single" w:color="000000" w:sz="2" w:space="0"/>
              <w:bottom w:val="single" w:color="000000" w:sz="2" w:space="0"/>
              <w:right w:val="single" w:color="000000" w:sz="2" w:space="0"/>
            </w:tcBorders>
            <w:vAlign w:val="top"/>
          </w:tcPr>
          <w:p w14:paraId="6B6E8266">
            <w:pPr>
              <w:rPr>
                <w:rFonts w:ascii="Arial"/>
                <w:sz w:val="21"/>
              </w:rPr>
            </w:pPr>
          </w:p>
        </w:tc>
        <w:tc>
          <w:tcPr>
            <w:tcW w:w="899" w:type="dxa"/>
            <w:tcBorders>
              <w:top w:val="single" w:color="000000" w:sz="2" w:space="0"/>
              <w:left w:val="single" w:color="000000" w:sz="2" w:space="0"/>
              <w:bottom w:val="single" w:color="000000" w:sz="2" w:space="0"/>
              <w:right w:val="single" w:color="000000" w:sz="2" w:space="0"/>
            </w:tcBorders>
            <w:vAlign w:val="top"/>
          </w:tcPr>
          <w:p w14:paraId="772FA42A">
            <w:pPr>
              <w:rPr>
                <w:rFonts w:ascii="Arial"/>
                <w:sz w:val="21"/>
              </w:rPr>
            </w:pPr>
          </w:p>
        </w:tc>
        <w:tc>
          <w:tcPr>
            <w:tcW w:w="1259" w:type="dxa"/>
            <w:tcBorders>
              <w:top w:val="single" w:color="000000" w:sz="2" w:space="0"/>
              <w:left w:val="single" w:color="000000" w:sz="2" w:space="0"/>
              <w:bottom w:val="single" w:color="000000" w:sz="2" w:space="0"/>
              <w:right w:val="single" w:color="000000" w:sz="2" w:space="0"/>
            </w:tcBorders>
            <w:vAlign w:val="top"/>
          </w:tcPr>
          <w:p w14:paraId="167EAFA4">
            <w:pPr>
              <w:rPr>
                <w:rFonts w:ascii="Arial"/>
                <w:sz w:val="21"/>
              </w:rPr>
            </w:pPr>
          </w:p>
        </w:tc>
        <w:tc>
          <w:tcPr>
            <w:tcW w:w="724" w:type="dxa"/>
            <w:tcBorders>
              <w:top w:val="single" w:color="000000" w:sz="2" w:space="0"/>
              <w:left w:val="single" w:color="000000" w:sz="2" w:space="0"/>
              <w:bottom w:val="single" w:color="000000" w:sz="2" w:space="0"/>
              <w:right w:val="single" w:color="000000" w:sz="2" w:space="0"/>
            </w:tcBorders>
            <w:vAlign w:val="top"/>
          </w:tcPr>
          <w:p w14:paraId="707D0492">
            <w:pPr>
              <w:rPr>
                <w:rFonts w:ascii="Arial"/>
                <w:sz w:val="21"/>
              </w:rPr>
            </w:pPr>
          </w:p>
        </w:tc>
      </w:tr>
      <w:tr w14:paraId="52EA2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7" w:hRule="atLeast"/>
        </w:trPr>
        <w:tc>
          <w:tcPr>
            <w:tcW w:w="545" w:type="dxa"/>
            <w:tcBorders>
              <w:top w:val="single" w:color="000000" w:sz="2" w:space="0"/>
              <w:left w:val="single" w:color="000000" w:sz="2" w:space="0"/>
              <w:right w:val="single" w:color="000000" w:sz="2" w:space="0"/>
            </w:tcBorders>
            <w:vAlign w:val="top"/>
          </w:tcPr>
          <w:p w14:paraId="35029153">
            <w:pPr>
              <w:rPr>
                <w:rFonts w:ascii="Arial"/>
                <w:sz w:val="21"/>
              </w:rPr>
            </w:pPr>
          </w:p>
        </w:tc>
        <w:tc>
          <w:tcPr>
            <w:tcW w:w="1799" w:type="dxa"/>
            <w:tcBorders>
              <w:top w:val="single" w:color="000000" w:sz="2" w:space="0"/>
              <w:left w:val="single" w:color="000000" w:sz="2" w:space="0"/>
              <w:right w:val="single" w:color="000000" w:sz="2" w:space="0"/>
            </w:tcBorders>
            <w:vAlign w:val="top"/>
          </w:tcPr>
          <w:p w14:paraId="36B4E2DF">
            <w:pPr>
              <w:rPr>
                <w:rFonts w:ascii="Arial"/>
                <w:sz w:val="21"/>
              </w:rPr>
            </w:pPr>
          </w:p>
        </w:tc>
        <w:tc>
          <w:tcPr>
            <w:tcW w:w="2159" w:type="dxa"/>
            <w:tcBorders>
              <w:top w:val="single" w:color="000000" w:sz="2" w:space="0"/>
              <w:left w:val="single" w:color="000000" w:sz="2" w:space="0"/>
              <w:right w:val="single" w:color="000000" w:sz="2" w:space="0"/>
            </w:tcBorders>
            <w:vAlign w:val="top"/>
          </w:tcPr>
          <w:p w14:paraId="1FB6F7C6">
            <w:pPr>
              <w:rPr>
                <w:rFonts w:ascii="Arial"/>
                <w:sz w:val="21"/>
              </w:rPr>
            </w:pPr>
          </w:p>
        </w:tc>
        <w:tc>
          <w:tcPr>
            <w:tcW w:w="1439" w:type="dxa"/>
            <w:tcBorders>
              <w:top w:val="single" w:color="000000" w:sz="2" w:space="0"/>
              <w:left w:val="single" w:color="000000" w:sz="2" w:space="0"/>
              <w:right w:val="single" w:color="000000" w:sz="2" w:space="0"/>
            </w:tcBorders>
            <w:vAlign w:val="top"/>
          </w:tcPr>
          <w:p w14:paraId="0431E593">
            <w:pPr>
              <w:rPr>
                <w:rFonts w:ascii="Arial"/>
                <w:sz w:val="21"/>
              </w:rPr>
            </w:pPr>
          </w:p>
        </w:tc>
        <w:tc>
          <w:tcPr>
            <w:tcW w:w="899" w:type="dxa"/>
            <w:tcBorders>
              <w:top w:val="single" w:color="000000" w:sz="2" w:space="0"/>
              <w:left w:val="single" w:color="000000" w:sz="2" w:space="0"/>
              <w:right w:val="single" w:color="000000" w:sz="2" w:space="0"/>
            </w:tcBorders>
            <w:vAlign w:val="top"/>
          </w:tcPr>
          <w:p w14:paraId="0032BF1A">
            <w:pPr>
              <w:rPr>
                <w:rFonts w:ascii="Arial"/>
                <w:sz w:val="21"/>
              </w:rPr>
            </w:pPr>
          </w:p>
        </w:tc>
        <w:tc>
          <w:tcPr>
            <w:tcW w:w="1259" w:type="dxa"/>
            <w:tcBorders>
              <w:top w:val="single" w:color="000000" w:sz="2" w:space="0"/>
              <w:left w:val="single" w:color="000000" w:sz="2" w:space="0"/>
              <w:right w:val="single" w:color="000000" w:sz="2" w:space="0"/>
            </w:tcBorders>
            <w:vAlign w:val="top"/>
          </w:tcPr>
          <w:p w14:paraId="57612100">
            <w:pPr>
              <w:rPr>
                <w:rFonts w:ascii="Arial"/>
                <w:sz w:val="21"/>
              </w:rPr>
            </w:pPr>
          </w:p>
        </w:tc>
        <w:tc>
          <w:tcPr>
            <w:tcW w:w="724" w:type="dxa"/>
            <w:tcBorders>
              <w:top w:val="single" w:color="000000" w:sz="2" w:space="0"/>
              <w:left w:val="single" w:color="000000" w:sz="2" w:space="0"/>
              <w:right w:val="single" w:color="000000" w:sz="2" w:space="0"/>
            </w:tcBorders>
            <w:vAlign w:val="top"/>
          </w:tcPr>
          <w:p w14:paraId="614C7777">
            <w:pPr>
              <w:rPr>
                <w:rFonts w:ascii="Arial"/>
                <w:sz w:val="21"/>
              </w:rPr>
            </w:pPr>
          </w:p>
        </w:tc>
      </w:tr>
      <w:tr w14:paraId="54817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left w:val="single" w:color="000000" w:sz="2" w:space="0"/>
            </w:tcBorders>
            <w:vAlign w:val="top"/>
          </w:tcPr>
          <w:p w14:paraId="7E387919">
            <w:pPr>
              <w:rPr>
                <w:rFonts w:ascii="Arial"/>
                <w:sz w:val="21"/>
              </w:rPr>
            </w:pPr>
          </w:p>
        </w:tc>
        <w:tc>
          <w:tcPr>
            <w:tcW w:w="1799" w:type="dxa"/>
            <w:vAlign w:val="top"/>
          </w:tcPr>
          <w:p w14:paraId="1062314E">
            <w:pPr>
              <w:rPr>
                <w:rFonts w:ascii="Arial"/>
                <w:sz w:val="21"/>
              </w:rPr>
            </w:pPr>
          </w:p>
        </w:tc>
        <w:tc>
          <w:tcPr>
            <w:tcW w:w="2159" w:type="dxa"/>
            <w:vAlign w:val="top"/>
          </w:tcPr>
          <w:p w14:paraId="425CEC44">
            <w:pPr>
              <w:rPr>
                <w:rFonts w:ascii="Arial"/>
                <w:sz w:val="21"/>
              </w:rPr>
            </w:pPr>
          </w:p>
        </w:tc>
        <w:tc>
          <w:tcPr>
            <w:tcW w:w="1439" w:type="dxa"/>
            <w:vAlign w:val="top"/>
          </w:tcPr>
          <w:p w14:paraId="3C84F47D">
            <w:pPr>
              <w:rPr>
                <w:rFonts w:ascii="Arial"/>
                <w:sz w:val="21"/>
              </w:rPr>
            </w:pPr>
          </w:p>
        </w:tc>
        <w:tc>
          <w:tcPr>
            <w:tcW w:w="899" w:type="dxa"/>
            <w:tcBorders>
              <w:right w:val="single" w:color="000000" w:sz="2" w:space="0"/>
            </w:tcBorders>
            <w:vAlign w:val="top"/>
          </w:tcPr>
          <w:p w14:paraId="1620ACDC">
            <w:pPr>
              <w:rPr>
                <w:rFonts w:ascii="Arial"/>
                <w:sz w:val="21"/>
              </w:rPr>
            </w:pPr>
          </w:p>
        </w:tc>
        <w:tc>
          <w:tcPr>
            <w:tcW w:w="1259" w:type="dxa"/>
            <w:tcBorders>
              <w:left w:val="single" w:color="000000" w:sz="2" w:space="0"/>
              <w:right w:val="single" w:color="000000" w:sz="2" w:space="0"/>
            </w:tcBorders>
            <w:vAlign w:val="top"/>
          </w:tcPr>
          <w:p w14:paraId="5BBF582E">
            <w:pPr>
              <w:rPr>
                <w:rFonts w:ascii="Arial"/>
                <w:sz w:val="21"/>
              </w:rPr>
            </w:pPr>
          </w:p>
        </w:tc>
        <w:tc>
          <w:tcPr>
            <w:tcW w:w="724" w:type="dxa"/>
            <w:tcBorders>
              <w:left w:val="single" w:color="000000" w:sz="2" w:space="0"/>
              <w:right w:val="single" w:color="000000" w:sz="2" w:space="0"/>
            </w:tcBorders>
            <w:vAlign w:val="top"/>
          </w:tcPr>
          <w:p w14:paraId="16AA5363">
            <w:pPr>
              <w:rPr>
                <w:rFonts w:ascii="Arial"/>
                <w:sz w:val="21"/>
              </w:rPr>
            </w:pPr>
          </w:p>
        </w:tc>
      </w:tr>
      <w:tr w14:paraId="3D68B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left w:val="single" w:color="000000" w:sz="2" w:space="0"/>
            </w:tcBorders>
            <w:vAlign w:val="top"/>
          </w:tcPr>
          <w:p w14:paraId="765B7659">
            <w:pPr>
              <w:rPr>
                <w:rFonts w:ascii="Arial"/>
                <w:sz w:val="21"/>
              </w:rPr>
            </w:pPr>
          </w:p>
        </w:tc>
        <w:tc>
          <w:tcPr>
            <w:tcW w:w="1799" w:type="dxa"/>
            <w:vAlign w:val="top"/>
          </w:tcPr>
          <w:p w14:paraId="18B22156">
            <w:pPr>
              <w:rPr>
                <w:rFonts w:ascii="Arial"/>
                <w:sz w:val="21"/>
              </w:rPr>
            </w:pPr>
          </w:p>
        </w:tc>
        <w:tc>
          <w:tcPr>
            <w:tcW w:w="2159" w:type="dxa"/>
            <w:vAlign w:val="top"/>
          </w:tcPr>
          <w:p w14:paraId="462B0D72">
            <w:pPr>
              <w:rPr>
                <w:rFonts w:ascii="Arial"/>
                <w:sz w:val="21"/>
              </w:rPr>
            </w:pPr>
          </w:p>
        </w:tc>
        <w:tc>
          <w:tcPr>
            <w:tcW w:w="1439" w:type="dxa"/>
            <w:vAlign w:val="top"/>
          </w:tcPr>
          <w:p w14:paraId="2285B25B">
            <w:pPr>
              <w:rPr>
                <w:rFonts w:ascii="Arial"/>
                <w:sz w:val="21"/>
              </w:rPr>
            </w:pPr>
          </w:p>
        </w:tc>
        <w:tc>
          <w:tcPr>
            <w:tcW w:w="899" w:type="dxa"/>
            <w:tcBorders>
              <w:right w:val="single" w:color="000000" w:sz="2" w:space="0"/>
            </w:tcBorders>
            <w:vAlign w:val="top"/>
          </w:tcPr>
          <w:p w14:paraId="057FD9B1">
            <w:pPr>
              <w:rPr>
                <w:rFonts w:ascii="Arial"/>
                <w:sz w:val="21"/>
              </w:rPr>
            </w:pPr>
          </w:p>
        </w:tc>
        <w:tc>
          <w:tcPr>
            <w:tcW w:w="1259" w:type="dxa"/>
            <w:tcBorders>
              <w:left w:val="single" w:color="000000" w:sz="2" w:space="0"/>
              <w:right w:val="single" w:color="000000" w:sz="2" w:space="0"/>
            </w:tcBorders>
            <w:vAlign w:val="top"/>
          </w:tcPr>
          <w:p w14:paraId="4F369F68">
            <w:pPr>
              <w:rPr>
                <w:rFonts w:ascii="Arial"/>
                <w:sz w:val="21"/>
              </w:rPr>
            </w:pPr>
          </w:p>
        </w:tc>
        <w:tc>
          <w:tcPr>
            <w:tcW w:w="724" w:type="dxa"/>
            <w:tcBorders>
              <w:left w:val="single" w:color="000000" w:sz="2" w:space="0"/>
              <w:right w:val="single" w:color="000000" w:sz="2" w:space="0"/>
            </w:tcBorders>
            <w:vAlign w:val="top"/>
          </w:tcPr>
          <w:p w14:paraId="63183739">
            <w:pPr>
              <w:rPr>
                <w:rFonts w:ascii="Arial"/>
                <w:sz w:val="21"/>
              </w:rPr>
            </w:pPr>
          </w:p>
        </w:tc>
      </w:tr>
      <w:tr w14:paraId="18777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left w:val="single" w:color="000000" w:sz="2" w:space="0"/>
            </w:tcBorders>
            <w:vAlign w:val="top"/>
          </w:tcPr>
          <w:p w14:paraId="2EA2076F">
            <w:pPr>
              <w:rPr>
                <w:rFonts w:ascii="Arial"/>
                <w:sz w:val="21"/>
              </w:rPr>
            </w:pPr>
          </w:p>
        </w:tc>
        <w:tc>
          <w:tcPr>
            <w:tcW w:w="1799" w:type="dxa"/>
            <w:vAlign w:val="top"/>
          </w:tcPr>
          <w:p w14:paraId="0EEBD505">
            <w:pPr>
              <w:rPr>
                <w:rFonts w:ascii="Arial"/>
                <w:sz w:val="21"/>
              </w:rPr>
            </w:pPr>
          </w:p>
        </w:tc>
        <w:tc>
          <w:tcPr>
            <w:tcW w:w="2159" w:type="dxa"/>
            <w:vAlign w:val="top"/>
          </w:tcPr>
          <w:p w14:paraId="4964D667">
            <w:pPr>
              <w:rPr>
                <w:rFonts w:ascii="Arial"/>
                <w:sz w:val="21"/>
              </w:rPr>
            </w:pPr>
          </w:p>
        </w:tc>
        <w:tc>
          <w:tcPr>
            <w:tcW w:w="1439" w:type="dxa"/>
            <w:vAlign w:val="top"/>
          </w:tcPr>
          <w:p w14:paraId="52D14EB5">
            <w:pPr>
              <w:rPr>
                <w:rFonts w:ascii="Arial"/>
                <w:sz w:val="21"/>
              </w:rPr>
            </w:pPr>
          </w:p>
        </w:tc>
        <w:tc>
          <w:tcPr>
            <w:tcW w:w="899" w:type="dxa"/>
            <w:tcBorders>
              <w:right w:val="single" w:color="000000" w:sz="2" w:space="0"/>
            </w:tcBorders>
            <w:vAlign w:val="top"/>
          </w:tcPr>
          <w:p w14:paraId="176794CF">
            <w:pPr>
              <w:rPr>
                <w:rFonts w:ascii="Arial"/>
                <w:sz w:val="21"/>
              </w:rPr>
            </w:pPr>
          </w:p>
        </w:tc>
        <w:tc>
          <w:tcPr>
            <w:tcW w:w="1259" w:type="dxa"/>
            <w:tcBorders>
              <w:left w:val="single" w:color="000000" w:sz="2" w:space="0"/>
              <w:right w:val="single" w:color="000000" w:sz="2" w:space="0"/>
            </w:tcBorders>
            <w:vAlign w:val="top"/>
          </w:tcPr>
          <w:p w14:paraId="083D462C">
            <w:pPr>
              <w:rPr>
                <w:rFonts w:ascii="Arial"/>
                <w:sz w:val="21"/>
              </w:rPr>
            </w:pPr>
          </w:p>
        </w:tc>
        <w:tc>
          <w:tcPr>
            <w:tcW w:w="724" w:type="dxa"/>
            <w:tcBorders>
              <w:left w:val="single" w:color="000000" w:sz="2" w:space="0"/>
              <w:right w:val="single" w:color="000000" w:sz="2" w:space="0"/>
            </w:tcBorders>
            <w:vAlign w:val="top"/>
          </w:tcPr>
          <w:p w14:paraId="58F84D5A">
            <w:pPr>
              <w:rPr>
                <w:rFonts w:ascii="Arial"/>
                <w:sz w:val="21"/>
              </w:rPr>
            </w:pPr>
          </w:p>
        </w:tc>
      </w:tr>
      <w:tr w14:paraId="4046D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545" w:type="dxa"/>
            <w:tcBorders>
              <w:left w:val="single" w:color="000000" w:sz="2" w:space="0"/>
              <w:bottom w:val="single" w:color="000000" w:sz="2" w:space="0"/>
            </w:tcBorders>
            <w:vAlign w:val="top"/>
          </w:tcPr>
          <w:p w14:paraId="5578C2C5">
            <w:pPr>
              <w:rPr>
                <w:rFonts w:ascii="Arial"/>
                <w:sz w:val="21"/>
              </w:rPr>
            </w:pPr>
          </w:p>
        </w:tc>
        <w:tc>
          <w:tcPr>
            <w:tcW w:w="1799" w:type="dxa"/>
            <w:tcBorders>
              <w:bottom w:val="single" w:color="000000" w:sz="2" w:space="0"/>
            </w:tcBorders>
            <w:vAlign w:val="top"/>
          </w:tcPr>
          <w:p w14:paraId="6D79D97B">
            <w:pPr>
              <w:rPr>
                <w:rFonts w:ascii="Arial"/>
                <w:sz w:val="21"/>
              </w:rPr>
            </w:pPr>
          </w:p>
        </w:tc>
        <w:tc>
          <w:tcPr>
            <w:tcW w:w="2159" w:type="dxa"/>
            <w:tcBorders>
              <w:bottom w:val="single" w:color="000000" w:sz="2" w:space="0"/>
            </w:tcBorders>
            <w:vAlign w:val="top"/>
          </w:tcPr>
          <w:p w14:paraId="37D4A3BC">
            <w:pPr>
              <w:rPr>
                <w:rFonts w:ascii="Arial"/>
                <w:sz w:val="21"/>
              </w:rPr>
            </w:pPr>
          </w:p>
        </w:tc>
        <w:tc>
          <w:tcPr>
            <w:tcW w:w="1439" w:type="dxa"/>
            <w:tcBorders>
              <w:bottom w:val="single" w:color="000000" w:sz="2" w:space="0"/>
            </w:tcBorders>
            <w:vAlign w:val="top"/>
          </w:tcPr>
          <w:p w14:paraId="6BD6C3A2">
            <w:pPr>
              <w:rPr>
                <w:rFonts w:ascii="Arial"/>
                <w:sz w:val="21"/>
              </w:rPr>
            </w:pPr>
          </w:p>
        </w:tc>
        <w:tc>
          <w:tcPr>
            <w:tcW w:w="899" w:type="dxa"/>
            <w:tcBorders>
              <w:bottom w:val="single" w:color="000000" w:sz="2" w:space="0"/>
              <w:right w:val="single" w:color="000000" w:sz="2" w:space="0"/>
            </w:tcBorders>
            <w:vAlign w:val="top"/>
          </w:tcPr>
          <w:p w14:paraId="68F9CE73">
            <w:pPr>
              <w:rPr>
                <w:rFonts w:ascii="Arial"/>
                <w:sz w:val="21"/>
              </w:rPr>
            </w:pPr>
          </w:p>
        </w:tc>
        <w:tc>
          <w:tcPr>
            <w:tcW w:w="1259" w:type="dxa"/>
            <w:tcBorders>
              <w:left w:val="single" w:color="000000" w:sz="2" w:space="0"/>
              <w:bottom w:val="single" w:color="000000" w:sz="2" w:space="0"/>
              <w:right w:val="single" w:color="000000" w:sz="2" w:space="0"/>
            </w:tcBorders>
            <w:vAlign w:val="top"/>
          </w:tcPr>
          <w:p w14:paraId="5E04AD8E">
            <w:pPr>
              <w:rPr>
                <w:rFonts w:ascii="Arial"/>
                <w:sz w:val="21"/>
              </w:rPr>
            </w:pPr>
          </w:p>
        </w:tc>
        <w:tc>
          <w:tcPr>
            <w:tcW w:w="724" w:type="dxa"/>
            <w:tcBorders>
              <w:left w:val="single" w:color="000000" w:sz="2" w:space="0"/>
              <w:bottom w:val="single" w:color="000000" w:sz="2" w:space="0"/>
              <w:right w:val="single" w:color="000000" w:sz="2" w:space="0"/>
            </w:tcBorders>
            <w:vAlign w:val="top"/>
          </w:tcPr>
          <w:p w14:paraId="66D58250">
            <w:pPr>
              <w:rPr>
                <w:rFonts w:ascii="Arial"/>
                <w:sz w:val="21"/>
              </w:rPr>
            </w:pPr>
          </w:p>
        </w:tc>
      </w:tr>
      <w:tr w14:paraId="6A695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top w:val="single" w:color="000000" w:sz="2" w:space="0"/>
              <w:left w:val="single" w:color="000000" w:sz="2" w:space="0"/>
              <w:bottom w:val="single" w:color="000000" w:sz="2" w:space="0"/>
            </w:tcBorders>
            <w:vAlign w:val="top"/>
          </w:tcPr>
          <w:p w14:paraId="55B7E105">
            <w:pPr>
              <w:rPr>
                <w:rFonts w:ascii="Arial"/>
                <w:sz w:val="21"/>
              </w:rPr>
            </w:pPr>
          </w:p>
        </w:tc>
        <w:tc>
          <w:tcPr>
            <w:tcW w:w="1799" w:type="dxa"/>
            <w:tcBorders>
              <w:top w:val="single" w:color="000000" w:sz="2" w:space="0"/>
              <w:bottom w:val="single" w:color="000000" w:sz="2" w:space="0"/>
            </w:tcBorders>
            <w:vAlign w:val="top"/>
          </w:tcPr>
          <w:p w14:paraId="36F8B4A6">
            <w:pPr>
              <w:rPr>
                <w:rFonts w:ascii="Arial"/>
                <w:sz w:val="21"/>
              </w:rPr>
            </w:pPr>
          </w:p>
        </w:tc>
        <w:tc>
          <w:tcPr>
            <w:tcW w:w="2159" w:type="dxa"/>
            <w:tcBorders>
              <w:top w:val="single" w:color="000000" w:sz="2" w:space="0"/>
              <w:bottom w:val="single" w:color="000000" w:sz="2" w:space="0"/>
            </w:tcBorders>
            <w:vAlign w:val="top"/>
          </w:tcPr>
          <w:p w14:paraId="7998EEC2">
            <w:pPr>
              <w:rPr>
                <w:rFonts w:ascii="Arial"/>
                <w:sz w:val="21"/>
              </w:rPr>
            </w:pPr>
          </w:p>
        </w:tc>
        <w:tc>
          <w:tcPr>
            <w:tcW w:w="1439" w:type="dxa"/>
            <w:tcBorders>
              <w:top w:val="single" w:color="000000" w:sz="2" w:space="0"/>
              <w:bottom w:val="single" w:color="000000" w:sz="2" w:space="0"/>
            </w:tcBorders>
            <w:vAlign w:val="top"/>
          </w:tcPr>
          <w:p w14:paraId="258F7CCF">
            <w:pPr>
              <w:rPr>
                <w:rFonts w:ascii="Arial"/>
                <w:sz w:val="21"/>
              </w:rPr>
            </w:pPr>
          </w:p>
        </w:tc>
        <w:tc>
          <w:tcPr>
            <w:tcW w:w="899" w:type="dxa"/>
            <w:tcBorders>
              <w:top w:val="single" w:color="000000" w:sz="2" w:space="0"/>
              <w:bottom w:val="single" w:color="000000" w:sz="2" w:space="0"/>
              <w:right w:val="single" w:color="000000" w:sz="2" w:space="0"/>
            </w:tcBorders>
            <w:vAlign w:val="top"/>
          </w:tcPr>
          <w:p w14:paraId="58B7E78B">
            <w:pPr>
              <w:rPr>
                <w:rFonts w:ascii="Arial"/>
                <w:sz w:val="21"/>
              </w:rPr>
            </w:pPr>
          </w:p>
        </w:tc>
        <w:tc>
          <w:tcPr>
            <w:tcW w:w="1259" w:type="dxa"/>
            <w:tcBorders>
              <w:top w:val="single" w:color="000000" w:sz="2" w:space="0"/>
              <w:left w:val="single" w:color="000000" w:sz="2" w:space="0"/>
              <w:bottom w:val="single" w:color="000000" w:sz="2" w:space="0"/>
              <w:right w:val="single" w:color="000000" w:sz="2" w:space="0"/>
            </w:tcBorders>
            <w:vAlign w:val="top"/>
          </w:tcPr>
          <w:p w14:paraId="2AB35E71">
            <w:pPr>
              <w:rPr>
                <w:rFonts w:ascii="Arial"/>
                <w:sz w:val="21"/>
              </w:rPr>
            </w:pPr>
          </w:p>
        </w:tc>
        <w:tc>
          <w:tcPr>
            <w:tcW w:w="724" w:type="dxa"/>
            <w:tcBorders>
              <w:top w:val="single" w:color="000000" w:sz="2" w:space="0"/>
              <w:left w:val="single" w:color="000000" w:sz="2" w:space="0"/>
              <w:bottom w:val="single" w:color="000000" w:sz="2" w:space="0"/>
              <w:right w:val="single" w:color="000000" w:sz="2" w:space="0"/>
            </w:tcBorders>
            <w:vAlign w:val="top"/>
          </w:tcPr>
          <w:p w14:paraId="0298723C">
            <w:pPr>
              <w:rPr>
                <w:rFonts w:ascii="Arial"/>
                <w:sz w:val="21"/>
              </w:rPr>
            </w:pPr>
          </w:p>
        </w:tc>
      </w:tr>
      <w:tr w14:paraId="58E66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top w:val="single" w:color="000000" w:sz="2" w:space="0"/>
              <w:left w:val="single" w:color="000000" w:sz="2" w:space="0"/>
              <w:bottom w:val="single" w:color="000000" w:sz="2" w:space="0"/>
            </w:tcBorders>
            <w:vAlign w:val="top"/>
          </w:tcPr>
          <w:p w14:paraId="02C67507">
            <w:pPr>
              <w:rPr>
                <w:rFonts w:ascii="Arial"/>
                <w:sz w:val="21"/>
              </w:rPr>
            </w:pPr>
          </w:p>
        </w:tc>
        <w:tc>
          <w:tcPr>
            <w:tcW w:w="1799" w:type="dxa"/>
            <w:tcBorders>
              <w:top w:val="single" w:color="000000" w:sz="2" w:space="0"/>
              <w:bottom w:val="single" w:color="000000" w:sz="2" w:space="0"/>
            </w:tcBorders>
            <w:vAlign w:val="top"/>
          </w:tcPr>
          <w:p w14:paraId="2C1301A7">
            <w:pPr>
              <w:rPr>
                <w:rFonts w:ascii="Arial"/>
                <w:sz w:val="21"/>
              </w:rPr>
            </w:pPr>
          </w:p>
        </w:tc>
        <w:tc>
          <w:tcPr>
            <w:tcW w:w="2159" w:type="dxa"/>
            <w:tcBorders>
              <w:top w:val="single" w:color="000000" w:sz="2" w:space="0"/>
              <w:bottom w:val="single" w:color="000000" w:sz="2" w:space="0"/>
            </w:tcBorders>
            <w:vAlign w:val="top"/>
          </w:tcPr>
          <w:p w14:paraId="5CEF0622">
            <w:pPr>
              <w:rPr>
                <w:rFonts w:ascii="Arial"/>
                <w:sz w:val="21"/>
              </w:rPr>
            </w:pPr>
          </w:p>
        </w:tc>
        <w:tc>
          <w:tcPr>
            <w:tcW w:w="1439" w:type="dxa"/>
            <w:tcBorders>
              <w:top w:val="single" w:color="000000" w:sz="2" w:space="0"/>
              <w:bottom w:val="single" w:color="000000" w:sz="2" w:space="0"/>
            </w:tcBorders>
            <w:vAlign w:val="top"/>
          </w:tcPr>
          <w:p w14:paraId="2F2BEB4B">
            <w:pPr>
              <w:rPr>
                <w:rFonts w:ascii="Arial"/>
                <w:sz w:val="21"/>
              </w:rPr>
            </w:pPr>
          </w:p>
        </w:tc>
        <w:tc>
          <w:tcPr>
            <w:tcW w:w="899" w:type="dxa"/>
            <w:tcBorders>
              <w:top w:val="single" w:color="000000" w:sz="2" w:space="0"/>
              <w:bottom w:val="single" w:color="000000" w:sz="2" w:space="0"/>
              <w:right w:val="single" w:color="000000" w:sz="2" w:space="0"/>
            </w:tcBorders>
            <w:vAlign w:val="top"/>
          </w:tcPr>
          <w:p w14:paraId="69232514">
            <w:pPr>
              <w:rPr>
                <w:rFonts w:ascii="Arial"/>
                <w:sz w:val="21"/>
              </w:rPr>
            </w:pPr>
          </w:p>
        </w:tc>
        <w:tc>
          <w:tcPr>
            <w:tcW w:w="1259" w:type="dxa"/>
            <w:tcBorders>
              <w:top w:val="single" w:color="000000" w:sz="2" w:space="0"/>
              <w:left w:val="single" w:color="000000" w:sz="2" w:space="0"/>
              <w:bottom w:val="single" w:color="000000" w:sz="2" w:space="0"/>
              <w:right w:val="single" w:color="000000" w:sz="2" w:space="0"/>
            </w:tcBorders>
            <w:vAlign w:val="top"/>
          </w:tcPr>
          <w:p w14:paraId="202E1FDA">
            <w:pPr>
              <w:rPr>
                <w:rFonts w:ascii="Arial"/>
                <w:sz w:val="21"/>
              </w:rPr>
            </w:pPr>
          </w:p>
        </w:tc>
        <w:tc>
          <w:tcPr>
            <w:tcW w:w="724" w:type="dxa"/>
            <w:tcBorders>
              <w:top w:val="single" w:color="000000" w:sz="2" w:space="0"/>
              <w:left w:val="single" w:color="000000" w:sz="2" w:space="0"/>
              <w:bottom w:val="single" w:color="000000" w:sz="2" w:space="0"/>
              <w:right w:val="single" w:color="000000" w:sz="2" w:space="0"/>
            </w:tcBorders>
            <w:vAlign w:val="top"/>
          </w:tcPr>
          <w:p w14:paraId="4AEE4A81">
            <w:pPr>
              <w:rPr>
                <w:rFonts w:ascii="Arial"/>
                <w:sz w:val="21"/>
              </w:rPr>
            </w:pPr>
          </w:p>
        </w:tc>
      </w:tr>
      <w:tr w14:paraId="3D783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545" w:type="dxa"/>
            <w:tcBorders>
              <w:top w:val="single" w:color="000000" w:sz="2" w:space="0"/>
              <w:left w:val="single" w:color="000000" w:sz="2" w:space="0"/>
              <w:bottom w:val="single" w:color="000000" w:sz="2" w:space="0"/>
            </w:tcBorders>
            <w:vAlign w:val="top"/>
          </w:tcPr>
          <w:p w14:paraId="47804FB2">
            <w:pPr>
              <w:rPr>
                <w:rFonts w:ascii="Arial"/>
                <w:sz w:val="21"/>
              </w:rPr>
            </w:pPr>
          </w:p>
        </w:tc>
        <w:tc>
          <w:tcPr>
            <w:tcW w:w="1799" w:type="dxa"/>
            <w:tcBorders>
              <w:top w:val="single" w:color="000000" w:sz="2" w:space="0"/>
              <w:bottom w:val="single" w:color="000000" w:sz="2" w:space="0"/>
            </w:tcBorders>
            <w:vAlign w:val="top"/>
          </w:tcPr>
          <w:p w14:paraId="40EEF156">
            <w:pPr>
              <w:rPr>
                <w:rFonts w:ascii="Arial"/>
                <w:sz w:val="21"/>
              </w:rPr>
            </w:pPr>
          </w:p>
        </w:tc>
        <w:tc>
          <w:tcPr>
            <w:tcW w:w="2159" w:type="dxa"/>
            <w:tcBorders>
              <w:top w:val="single" w:color="000000" w:sz="2" w:space="0"/>
              <w:bottom w:val="single" w:color="000000" w:sz="2" w:space="0"/>
            </w:tcBorders>
            <w:vAlign w:val="top"/>
          </w:tcPr>
          <w:p w14:paraId="7840150E">
            <w:pPr>
              <w:rPr>
                <w:rFonts w:ascii="Arial"/>
                <w:sz w:val="21"/>
              </w:rPr>
            </w:pPr>
          </w:p>
        </w:tc>
        <w:tc>
          <w:tcPr>
            <w:tcW w:w="1439" w:type="dxa"/>
            <w:tcBorders>
              <w:top w:val="single" w:color="000000" w:sz="2" w:space="0"/>
              <w:bottom w:val="single" w:color="000000" w:sz="2" w:space="0"/>
            </w:tcBorders>
            <w:vAlign w:val="top"/>
          </w:tcPr>
          <w:p w14:paraId="036BCCD5">
            <w:pPr>
              <w:rPr>
                <w:rFonts w:ascii="Arial"/>
                <w:sz w:val="21"/>
              </w:rPr>
            </w:pPr>
          </w:p>
        </w:tc>
        <w:tc>
          <w:tcPr>
            <w:tcW w:w="899" w:type="dxa"/>
            <w:tcBorders>
              <w:top w:val="single" w:color="000000" w:sz="2" w:space="0"/>
              <w:bottom w:val="single" w:color="000000" w:sz="2" w:space="0"/>
              <w:right w:val="single" w:color="000000" w:sz="2" w:space="0"/>
            </w:tcBorders>
            <w:vAlign w:val="top"/>
          </w:tcPr>
          <w:p w14:paraId="04E2B77C">
            <w:pPr>
              <w:rPr>
                <w:rFonts w:ascii="Arial"/>
                <w:sz w:val="21"/>
              </w:rPr>
            </w:pPr>
          </w:p>
        </w:tc>
        <w:tc>
          <w:tcPr>
            <w:tcW w:w="1259" w:type="dxa"/>
            <w:tcBorders>
              <w:top w:val="single" w:color="000000" w:sz="2" w:space="0"/>
              <w:left w:val="single" w:color="000000" w:sz="2" w:space="0"/>
              <w:bottom w:val="single" w:color="000000" w:sz="2" w:space="0"/>
              <w:right w:val="single" w:color="000000" w:sz="2" w:space="0"/>
            </w:tcBorders>
            <w:vAlign w:val="top"/>
          </w:tcPr>
          <w:p w14:paraId="5BA4D17D">
            <w:pPr>
              <w:rPr>
                <w:rFonts w:ascii="Arial"/>
                <w:sz w:val="21"/>
              </w:rPr>
            </w:pPr>
          </w:p>
        </w:tc>
        <w:tc>
          <w:tcPr>
            <w:tcW w:w="724" w:type="dxa"/>
            <w:tcBorders>
              <w:top w:val="single" w:color="000000" w:sz="2" w:space="0"/>
              <w:left w:val="single" w:color="000000" w:sz="2" w:space="0"/>
              <w:bottom w:val="single" w:color="000000" w:sz="2" w:space="0"/>
              <w:right w:val="single" w:color="000000" w:sz="2" w:space="0"/>
            </w:tcBorders>
            <w:vAlign w:val="top"/>
          </w:tcPr>
          <w:p w14:paraId="44EEC42A">
            <w:pPr>
              <w:rPr>
                <w:rFonts w:ascii="Arial"/>
                <w:sz w:val="21"/>
              </w:rPr>
            </w:pPr>
          </w:p>
        </w:tc>
      </w:tr>
      <w:tr w14:paraId="44009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9" w:hRule="atLeast"/>
        </w:trPr>
        <w:tc>
          <w:tcPr>
            <w:tcW w:w="545" w:type="dxa"/>
            <w:tcBorders>
              <w:top w:val="single" w:color="000000" w:sz="2" w:space="0"/>
              <w:left w:val="single" w:color="000000" w:sz="2" w:space="0"/>
              <w:bottom w:val="single" w:color="000000" w:sz="2" w:space="0"/>
            </w:tcBorders>
            <w:vAlign w:val="top"/>
          </w:tcPr>
          <w:p w14:paraId="2EAE5474">
            <w:pPr>
              <w:rPr>
                <w:rFonts w:ascii="Arial"/>
                <w:sz w:val="21"/>
              </w:rPr>
            </w:pPr>
          </w:p>
        </w:tc>
        <w:tc>
          <w:tcPr>
            <w:tcW w:w="1799" w:type="dxa"/>
            <w:tcBorders>
              <w:top w:val="single" w:color="000000" w:sz="2" w:space="0"/>
              <w:bottom w:val="single" w:color="000000" w:sz="2" w:space="0"/>
            </w:tcBorders>
            <w:vAlign w:val="top"/>
          </w:tcPr>
          <w:p w14:paraId="2487DAD4">
            <w:pPr>
              <w:rPr>
                <w:rFonts w:ascii="Arial"/>
                <w:sz w:val="21"/>
              </w:rPr>
            </w:pPr>
          </w:p>
        </w:tc>
        <w:tc>
          <w:tcPr>
            <w:tcW w:w="2159" w:type="dxa"/>
            <w:tcBorders>
              <w:top w:val="single" w:color="000000" w:sz="2" w:space="0"/>
              <w:bottom w:val="single" w:color="000000" w:sz="2" w:space="0"/>
            </w:tcBorders>
            <w:vAlign w:val="top"/>
          </w:tcPr>
          <w:p w14:paraId="0246B27E">
            <w:pPr>
              <w:rPr>
                <w:rFonts w:ascii="Arial"/>
                <w:sz w:val="21"/>
              </w:rPr>
            </w:pPr>
          </w:p>
        </w:tc>
        <w:tc>
          <w:tcPr>
            <w:tcW w:w="1439" w:type="dxa"/>
            <w:tcBorders>
              <w:top w:val="single" w:color="000000" w:sz="2" w:space="0"/>
              <w:bottom w:val="single" w:color="000000" w:sz="2" w:space="0"/>
            </w:tcBorders>
            <w:vAlign w:val="top"/>
          </w:tcPr>
          <w:p w14:paraId="7C661911">
            <w:pPr>
              <w:rPr>
                <w:rFonts w:ascii="Arial"/>
                <w:sz w:val="21"/>
              </w:rPr>
            </w:pPr>
          </w:p>
        </w:tc>
        <w:tc>
          <w:tcPr>
            <w:tcW w:w="899" w:type="dxa"/>
            <w:tcBorders>
              <w:top w:val="single" w:color="000000" w:sz="2" w:space="0"/>
              <w:bottom w:val="single" w:color="000000" w:sz="2" w:space="0"/>
              <w:right w:val="single" w:color="000000" w:sz="2" w:space="0"/>
            </w:tcBorders>
            <w:vAlign w:val="top"/>
          </w:tcPr>
          <w:p w14:paraId="79BF7DA7">
            <w:pPr>
              <w:rPr>
                <w:rFonts w:ascii="Arial"/>
                <w:sz w:val="21"/>
              </w:rPr>
            </w:pPr>
          </w:p>
        </w:tc>
        <w:tc>
          <w:tcPr>
            <w:tcW w:w="1259" w:type="dxa"/>
            <w:tcBorders>
              <w:top w:val="single" w:color="000000" w:sz="2" w:space="0"/>
              <w:left w:val="single" w:color="000000" w:sz="2" w:space="0"/>
              <w:bottom w:val="single" w:color="000000" w:sz="2" w:space="0"/>
              <w:right w:val="single" w:color="000000" w:sz="2" w:space="0"/>
            </w:tcBorders>
            <w:vAlign w:val="top"/>
          </w:tcPr>
          <w:p w14:paraId="5892331F">
            <w:pPr>
              <w:rPr>
                <w:rFonts w:ascii="Arial"/>
                <w:sz w:val="21"/>
              </w:rPr>
            </w:pPr>
          </w:p>
        </w:tc>
        <w:tc>
          <w:tcPr>
            <w:tcW w:w="724" w:type="dxa"/>
            <w:tcBorders>
              <w:top w:val="single" w:color="000000" w:sz="2" w:space="0"/>
              <w:left w:val="single" w:color="000000" w:sz="2" w:space="0"/>
              <w:bottom w:val="single" w:color="000000" w:sz="2" w:space="0"/>
              <w:right w:val="single" w:color="000000" w:sz="2" w:space="0"/>
            </w:tcBorders>
            <w:vAlign w:val="top"/>
          </w:tcPr>
          <w:p w14:paraId="5737DD5E">
            <w:pPr>
              <w:rPr>
                <w:rFonts w:ascii="Arial"/>
                <w:sz w:val="21"/>
              </w:rPr>
            </w:pPr>
          </w:p>
        </w:tc>
      </w:tr>
    </w:tbl>
    <w:p w14:paraId="49B88F97">
      <w:pPr>
        <w:pStyle w:val="13"/>
        <w:spacing w:line="290" w:lineRule="auto"/>
      </w:pPr>
    </w:p>
    <w:p w14:paraId="04E4E4FC">
      <w:pPr>
        <w:spacing w:before="78" w:line="219" w:lineRule="auto"/>
        <w:ind w:left="852"/>
        <w:rPr>
          <w:rFonts w:ascii="宋体" w:hAnsi="宋体" w:eastAsia="宋体" w:cs="宋体"/>
          <w:sz w:val="24"/>
          <w:szCs w:val="24"/>
        </w:rPr>
      </w:pPr>
      <w:r>
        <w:rPr>
          <w:rFonts w:ascii="宋体" w:hAnsi="宋体" w:eastAsia="宋体" w:cs="宋体"/>
          <w:spacing w:val="-1"/>
          <w:sz w:val="24"/>
          <w:szCs w:val="24"/>
        </w:rPr>
        <w:t>注：以上业绩需提供招标文件要求的有关书面证明材料。</w:t>
      </w:r>
    </w:p>
    <w:p w14:paraId="27A8C197">
      <w:pPr>
        <w:pStyle w:val="13"/>
        <w:spacing w:line="245" w:lineRule="auto"/>
      </w:pPr>
    </w:p>
    <w:p w14:paraId="74F8F948">
      <w:pPr>
        <w:pStyle w:val="13"/>
        <w:spacing w:line="245" w:lineRule="auto"/>
      </w:pPr>
    </w:p>
    <w:p w14:paraId="1D363B72">
      <w:pPr>
        <w:pStyle w:val="13"/>
        <w:spacing w:line="246" w:lineRule="auto"/>
      </w:pPr>
    </w:p>
    <w:p w14:paraId="18E4FF49">
      <w:pPr>
        <w:spacing w:before="79" w:line="219" w:lineRule="auto"/>
        <w:ind w:left="485"/>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0D823EE5">
      <w:pPr>
        <w:spacing w:before="216" w:line="499" w:lineRule="exact"/>
        <w:ind w:left="483"/>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7F91825E">
      <w:pPr>
        <w:spacing w:before="1" w:line="220" w:lineRule="auto"/>
        <w:ind w:left="485"/>
        <w:rPr>
          <w:rFonts w:ascii="宋体" w:hAnsi="宋体" w:eastAsia="宋体" w:cs="宋体"/>
          <w:sz w:val="24"/>
          <w:szCs w:val="24"/>
        </w:rPr>
      </w:pPr>
      <w:r>
        <w:rPr>
          <w:rFonts w:ascii="宋体" w:hAnsi="宋体" w:eastAsia="宋体" w:cs="宋体"/>
          <w:spacing w:val="-3"/>
          <w:sz w:val="24"/>
          <w:szCs w:val="24"/>
        </w:rPr>
        <w:t>投标日期：</w:t>
      </w:r>
    </w:p>
    <w:p w14:paraId="3CCE0E2C">
      <w:pPr>
        <w:spacing w:line="220" w:lineRule="auto"/>
        <w:rPr>
          <w:rFonts w:ascii="宋体" w:hAnsi="宋体" w:eastAsia="宋体" w:cs="宋体"/>
          <w:sz w:val="24"/>
          <w:szCs w:val="24"/>
        </w:rPr>
        <w:sectPr>
          <w:headerReference r:id="rId32" w:type="default"/>
          <w:footerReference r:id="rId33" w:type="default"/>
          <w:pgSz w:w="11906" w:h="16839"/>
          <w:pgMar w:top="1619" w:right="1132" w:bottom="1157" w:left="1583" w:header="851" w:footer="992" w:gutter="0"/>
          <w:pgNumType w:fmt="decimal"/>
          <w:cols w:space="720" w:num="1"/>
        </w:sectPr>
      </w:pPr>
    </w:p>
    <w:p w14:paraId="16FCB1A0">
      <w:pPr>
        <w:pStyle w:val="13"/>
        <w:spacing w:line="247" w:lineRule="auto"/>
      </w:pPr>
    </w:p>
    <w:p w14:paraId="1EA69D81">
      <w:pPr>
        <w:pStyle w:val="13"/>
        <w:spacing w:line="248" w:lineRule="auto"/>
      </w:pPr>
    </w:p>
    <w:p w14:paraId="625BCDAF">
      <w:pPr>
        <w:spacing w:before="101" w:line="225" w:lineRule="auto"/>
        <w:ind w:left="18"/>
        <w:rPr>
          <w:rFonts w:ascii="宋体" w:hAnsi="宋体" w:eastAsia="宋体" w:cs="宋体"/>
          <w:sz w:val="31"/>
          <w:szCs w:val="31"/>
        </w:rPr>
      </w:pPr>
      <w:bookmarkStart w:id="24" w:name="bookmark27"/>
      <w:bookmarkEnd w:id="24"/>
      <w:r>
        <w:rPr>
          <w:rFonts w:ascii="宋体" w:hAnsi="宋体" w:eastAsia="宋体" w:cs="宋体"/>
          <w:spacing w:val="3"/>
          <w:sz w:val="31"/>
          <w:szCs w:val="31"/>
          <w14:textOutline w14:w="5793" w14:cap="sq" w14:cmpd="sng">
            <w14:solidFill>
              <w14:srgbClr w14:val="000000"/>
            </w14:solidFill>
            <w14:prstDash w14:val="solid"/>
            <w14:bevel/>
          </w14:textOutline>
        </w:rPr>
        <w:t>格式</w:t>
      </w:r>
      <w:r>
        <w:rPr>
          <w:rFonts w:ascii="宋体" w:hAnsi="宋体" w:eastAsia="宋体" w:cs="宋体"/>
          <w:spacing w:val="-56"/>
          <w:sz w:val="31"/>
          <w:szCs w:val="31"/>
        </w:rPr>
        <w:t xml:space="preserve"> </w:t>
      </w:r>
      <w:r>
        <w:rPr>
          <w:rFonts w:ascii="宋体" w:hAnsi="宋体" w:eastAsia="宋体" w:cs="宋体"/>
          <w:spacing w:val="3"/>
          <w:sz w:val="31"/>
          <w:szCs w:val="31"/>
          <w14:textOutline w14:w="5793" w14:cap="sq" w14:cmpd="sng">
            <w14:solidFill>
              <w14:srgbClr w14:val="000000"/>
            </w14:solidFill>
            <w14:prstDash w14:val="solid"/>
            <w14:bevel/>
          </w14:textOutline>
        </w:rPr>
        <w:t>2-8</w:t>
      </w:r>
    </w:p>
    <w:p w14:paraId="5524DAA9">
      <w:pPr>
        <w:spacing w:before="16" w:line="225" w:lineRule="auto"/>
        <w:ind w:left="1235"/>
        <w:outlineLvl w:val="2"/>
        <w:rPr>
          <w:rFonts w:ascii="宋体" w:hAnsi="宋体" w:eastAsia="宋体" w:cs="宋体"/>
          <w:sz w:val="31"/>
          <w:szCs w:val="31"/>
        </w:rPr>
      </w:pPr>
      <w:r>
        <w:rPr>
          <w:rFonts w:ascii="宋体" w:hAnsi="宋体" w:eastAsia="宋体" w:cs="宋体"/>
          <w:spacing w:val="10"/>
          <w:sz w:val="31"/>
          <w:szCs w:val="31"/>
          <w14:textOutline w14:w="5793" w14:cap="sq" w14:cmpd="sng">
            <w14:solidFill>
              <w14:srgbClr w14:val="000000"/>
            </w14:solidFill>
            <w14:prstDash w14:val="solid"/>
            <w14:bevel/>
          </w14:textOutline>
        </w:rPr>
        <w:t>七、投标人本项目管理、技术、服务人员情况表</w:t>
      </w:r>
    </w:p>
    <w:p w14:paraId="1960C95A">
      <w:pPr>
        <w:spacing w:before="283" w:line="207" w:lineRule="auto"/>
        <w:ind w:left="483"/>
        <w:rPr>
          <w:rFonts w:ascii="宋体" w:hAnsi="宋体" w:eastAsia="宋体" w:cs="宋体"/>
          <w:sz w:val="24"/>
          <w:szCs w:val="24"/>
        </w:rPr>
      </w:pPr>
      <w:r>
        <w:rPr>
          <w:rFonts w:hint="eastAsia" w:ascii="宋体" w:hAnsi="宋体" w:eastAsia="宋体" w:cs="宋体"/>
          <w:spacing w:val="-3"/>
          <w:sz w:val="24"/>
          <w:szCs w:val="24"/>
          <w:lang w:eastAsia="zh-CN"/>
        </w:rPr>
        <w:t>项目编号</w:t>
      </w:r>
      <w:r>
        <w:rPr>
          <w:rFonts w:ascii="宋体" w:hAnsi="宋体" w:eastAsia="宋体" w:cs="宋体"/>
          <w:spacing w:val="-3"/>
          <w:sz w:val="24"/>
          <w:szCs w:val="24"/>
        </w:rPr>
        <w:t>：</w:t>
      </w:r>
    </w:p>
    <w:tbl>
      <w:tblPr>
        <w:tblStyle w:val="24"/>
        <w:tblW w:w="88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4"/>
        <w:gridCol w:w="899"/>
        <w:gridCol w:w="900"/>
        <w:gridCol w:w="900"/>
        <w:gridCol w:w="1608"/>
        <w:gridCol w:w="1090"/>
        <w:gridCol w:w="720"/>
        <w:gridCol w:w="1259"/>
        <w:gridCol w:w="724"/>
      </w:tblGrid>
      <w:tr w14:paraId="68D54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trPr>
        <w:tc>
          <w:tcPr>
            <w:tcW w:w="724" w:type="dxa"/>
            <w:vMerge w:val="restart"/>
            <w:tcBorders>
              <w:bottom w:val="nil"/>
            </w:tcBorders>
            <w:vAlign w:val="top"/>
          </w:tcPr>
          <w:p w14:paraId="4B560F49">
            <w:pPr>
              <w:spacing w:line="406" w:lineRule="auto"/>
              <w:rPr>
                <w:rFonts w:ascii="Arial"/>
                <w:sz w:val="21"/>
              </w:rPr>
            </w:pPr>
          </w:p>
          <w:p w14:paraId="791711FE">
            <w:pPr>
              <w:pStyle w:val="27"/>
              <w:spacing w:before="78" w:line="220" w:lineRule="auto"/>
              <w:ind w:left="129"/>
            </w:pPr>
            <w:r>
              <w:rPr>
                <w:spacing w:val="-5"/>
              </w:rPr>
              <w:t>类别</w:t>
            </w:r>
          </w:p>
        </w:tc>
        <w:tc>
          <w:tcPr>
            <w:tcW w:w="899" w:type="dxa"/>
            <w:vMerge w:val="restart"/>
            <w:tcBorders>
              <w:bottom w:val="nil"/>
            </w:tcBorders>
            <w:vAlign w:val="top"/>
          </w:tcPr>
          <w:p w14:paraId="7AF06016">
            <w:pPr>
              <w:spacing w:line="406" w:lineRule="auto"/>
              <w:rPr>
                <w:rFonts w:ascii="Arial"/>
                <w:sz w:val="21"/>
              </w:rPr>
            </w:pPr>
          </w:p>
          <w:p w14:paraId="3E8D2C05">
            <w:pPr>
              <w:pStyle w:val="27"/>
              <w:spacing w:before="78" w:line="220" w:lineRule="auto"/>
              <w:ind w:left="215"/>
            </w:pPr>
            <w:r>
              <w:rPr>
                <w:spacing w:val="-6"/>
              </w:rPr>
              <w:t>职务</w:t>
            </w:r>
          </w:p>
        </w:tc>
        <w:tc>
          <w:tcPr>
            <w:tcW w:w="900" w:type="dxa"/>
            <w:vMerge w:val="restart"/>
            <w:tcBorders>
              <w:bottom w:val="nil"/>
            </w:tcBorders>
            <w:vAlign w:val="top"/>
          </w:tcPr>
          <w:p w14:paraId="2DAA5A48">
            <w:pPr>
              <w:spacing w:line="406" w:lineRule="auto"/>
              <w:rPr>
                <w:rFonts w:ascii="Arial"/>
                <w:sz w:val="21"/>
              </w:rPr>
            </w:pPr>
          </w:p>
          <w:p w14:paraId="0B707C1F">
            <w:pPr>
              <w:pStyle w:val="27"/>
              <w:spacing w:before="78" w:line="220" w:lineRule="auto"/>
              <w:ind w:left="215"/>
            </w:pPr>
            <w:r>
              <w:rPr>
                <w:spacing w:val="-5"/>
              </w:rPr>
              <w:t>姓名</w:t>
            </w:r>
          </w:p>
        </w:tc>
        <w:tc>
          <w:tcPr>
            <w:tcW w:w="900" w:type="dxa"/>
            <w:vMerge w:val="restart"/>
            <w:tcBorders>
              <w:bottom w:val="nil"/>
            </w:tcBorders>
            <w:vAlign w:val="top"/>
          </w:tcPr>
          <w:p w14:paraId="74F085F2">
            <w:pPr>
              <w:spacing w:line="406" w:lineRule="auto"/>
              <w:rPr>
                <w:rFonts w:ascii="Arial"/>
                <w:sz w:val="21"/>
              </w:rPr>
            </w:pPr>
          </w:p>
          <w:p w14:paraId="22E8C6CF">
            <w:pPr>
              <w:pStyle w:val="27"/>
              <w:spacing w:before="78" w:line="222" w:lineRule="auto"/>
              <w:ind w:left="216"/>
            </w:pPr>
            <w:r>
              <w:rPr>
                <w:spacing w:val="-6"/>
              </w:rPr>
              <w:t>职称</w:t>
            </w:r>
          </w:p>
        </w:tc>
        <w:tc>
          <w:tcPr>
            <w:tcW w:w="1608" w:type="dxa"/>
            <w:vMerge w:val="restart"/>
            <w:tcBorders>
              <w:bottom w:val="nil"/>
            </w:tcBorders>
            <w:vAlign w:val="top"/>
          </w:tcPr>
          <w:p w14:paraId="0EF3C489">
            <w:pPr>
              <w:spacing w:line="405" w:lineRule="auto"/>
              <w:rPr>
                <w:rFonts w:ascii="Arial"/>
                <w:sz w:val="21"/>
              </w:rPr>
            </w:pPr>
          </w:p>
          <w:p w14:paraId="7F703829">
            <w:pPr>
              <w:pStyle w:val="27"/>
              <w:spacing w:before="78" w:line="221" w:lineRule="auto"/>
              <w:ind w:left="456"/>
            </w:pPr>
            <w:r>
              <w:rPr>
                <w:spacing w:val="-6"/>
              </w:rPr>
              <w:t>常住地</w:t>
            </w:r>
          </w:p>
        </w:tc>
        <w:tc>
          <w:tcPr>
            <w:tcW w:w="3793" w:type="dxa"/>
            <w:gridSpan w:val="4"/>
            <w:vAlign w:val="top"/>
          </w:tcPr>
          <w:p w14:paraId="18D0491D">
            <w:pPr>
              <w:pStyle w:val="27"/>
              <w:spacing w:before="160" w:line="219" w:lineRule="auto"/>
              <w:ind w:left="713"/>
            </w:pPr>
            <w:r>
              <w:rPr>
                <w:spacing w:val="-2"/>
              </w:rPr>
              <w:t>资格证明（附复印件）</w:t>
            </w:r>
          </w:p>
        </w:tc>
      </w:tr>
      <w:tr w14:paraId="779875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724" w:type="dxa"/>
            <w:vMerge w:val="continue"/>
            <w:tcBorders>
              <w:top w:val="nil"/>
            </w:tcBorders>
            <w:vAlign w:val="top"/>
          </w:tcPr>
          <w:p w14:paraId="2F3A4F32">
            <w:pPr>
              <w:rPr>
                <w:rFonts w:ascii="Arial"/>
                <w:sz w:val="21"/>
              </w:rPr>
            </w:pPr>
          </w:p>
        </w:tc>
        <w:tc>
          <w:tcPr>
            <w:tcW w:w="899" w:type="dxa"/>
            <w:vMerge w:val="continue"/>
            <w:tcBorders>
              <w:top w:val="nil"/>
            </w:tcBorders>
            <w:vAlign w:val="top"/>
          </w:tcPr>
          <w:p w14:paraId="113B4977">
            <w:pPr>
              <w:rPr>
                <w:rFonts w:ascii="Arial"/>
                <w:sz w:val="21"/>
              </w:rPr>
            </w:pPr>
          </w:p>
        </w:tc>
        <w:tc>
          <w:tcPr>
            <w:tcW w:w="900" w:type="dxa"/>
            <w:vMerge w:val="continue"/>
            <w:tcBorders>
              <w:top w:val="nil"/>
            </w:tcBorders>
            <w:vAlign w:val="top"/>
          </w:tcPr>
          <w:p w14:paraId="58C388EF">
            <w:pPr>
              <w:rPr>
                <w:rFonts w:ascii="Arial"/>
                <w:sz w:val="21"/>
              </w:rPr>
            </w:pPr>
          </w:p>
        </w:tc>
        <w:tc>
          <w:tcPr>
            <w:tcW w:w="900" w:type="dxa"/>
            <w:vMerge w:val="continue"/>
            <w:tcBorders>
              <w:top w:val="nil"/>
            </w:tcBorders>
            <w:vAlign w:val="top"/>
          </w:tcPr>
          <w:p w14:paraId="1BABB20B">
            <w:pPr>
              <w:rPr>
                <w:rFonts w:ascii="Arial"/>
                <w:sz w:val="21"/>
              </w:rPr>
            </w:pPr>
          </w:p>
        </w:tc>
        <w:tc>
          <w:tcPr>
            <w:tcW w:w="1608" w:type="dxa"/>
            <w:vMerge w:val="continue"/>
            <w:tcBorders>
              <w:top w:val="nil"/>
            </w:tcBorders>
            <w:vAlign w:val="top"/>
          </w:tcPr>
          <w:p w14:paraId="0CD6FF7D">
            <w:pPr>
              <w:rPr>
                <w:rFonts w:ascii="Arial"/>
                <w:sz w:val="21"/>
              </w:rPr>
            </w:pPr>
          </w:p>
        </w:tc>
        <w:tc>
          <w:tcPr>
            <w:tcW w:w="1090" w:type="dxa"/>
            <w:vAlign w:val="top"/>
          </w:tcPr>
          <w:p w14:paraId="11866206">
            <w:pPr>
              <w:pStyle w:val="27"/>
              <w:spacing w:before="50" w:line="322" w:lineRule="exact"/>
              <w:ind w:left="311"/>
            </w:pPr>
            <w:r>
              <w:rPr>
                <w:spacing w:val="-5"/>
                <w:position w:val="5"/>
              </w:rPr>
              <w:t>证书</w:t>
            </w:r>
          </w:p>
          <w:p w14:paraId="144ACB74">
            <w:pPr>
              <w:pStyle w:val="27"/>
              <w:spacing w:line="201" w:lineRule="auto"/>
              <w:ind w:left="314"/>
            </w:pPr>
            <w:r>
              <w:rPr>
                <w:spacing w:val="-7"/>
              </w:rPr>
              <w:t>名称</w:t>
            </w:r>
          </w:p>
        </w:tc>
        <w:tc>
          <w:tcPr>
            <w:tcW w:w="720" w:type="dxa"/>
            <w:vAlign w:val="top"/>
          </w:tcPr>
          <w:p w14:paraId="4AB4E386">
            <w:pPr>
              <w:pStyle w:val="27"/>
              <w:spacing w:before="211" w:line="221" w:lineRule="auto"/>
              <w:ind w:left="132"/>
            </w:pPr>
            <w:r>
              <w:rPr>
                <w:spacing w:val="-7"/>
              </w:rPr>
              <w:t>级别</w:t>
            </w:r>
          </w:p>
        </w:tc>
        <w:tc>
          <w:tcPr>
            <w:tcW w:w="1259" w:type="dxa"/>
            <w:vAlign w:val="top"/>
          </w:tcPr>
          <w:p w14:paraId="2F999F25">
            <w:pPr>
              <w:pStyle w:val="27"/>
              <w:spacing w:before="210" w:line="222" w:lineRule="auto"/>
              <w:ind w:left="397"/>
            </w:pPr>
            <w:r>
              <w:rPr>
                <w:spacing w:val="-5"/>
              </w:rPr>
              <w:t>证号</w:t>
            </w:r>
          </w:p>
        </w:tc>
        <w:tc>
          <w:tcPr>
            <w:tcW w:w="724" w:type="dxa"/>
            <w:vAlign w:val="top"/>
          </w:tcPr>
          <w:p w14:paraId="7061FEA6">
            <w:pPr>
              <w:pStyle w:val="27"/>
              <w:spacing w:before="211" w:line="221" w:lineRule="auto"/>
              <w:ind w:left="130"/>
            </w:pPr>
            <w:r>
              <w:rPr>
                <w:spacing w:val="-6"/>
              </w:rPr>
              <w:t>专业</w:t>
            </w:r>
          </w:p>
        </w:tc>
      </w:tr>
      <w:tr w14:paraId="234BED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724" w:type="dxa"/>
            <w:vMerge w:val="restart"/>
            <w:tcBorders>
              <w:bottom w:val="nil"/>
            </w:tcBorders>
            <w:textDirection w:val="tbRlV"/>
            <w:vAlign w:val="top"/>
          </w:tcPr>
          <w:p w14:paraId="5DD6E213">
            <w:pPr>
              <w:pStyle w:val="27"/>
              <w:spacing w:before="238" w:line="206" w:lineRule="auto"/>
              <w:ind w:left="133"/>
            </w:pPr>
            <w:r>
              <w:t>管</w:t>
            </w:r>
            <w:r>
              <w:rPr>
                <w:spacing w:val="-38"/>
              </w:rPr>
              <w:t xml:space="preserve"> </w:t>
            </w:r>
            <w:r>
              <w:t>理</w:t>
            </w:r>
            <w:r>
              <w:rPr>
                <w:spacing w:val="-41"/>
              </w:rPr>
              <w:t xml:space="preserve"> </w:t>
            </w:r>
            <w:r>
              <w:t>人</w:t>
            </w:r>
            <w:r>
              <w:rPr>
                <w:spacing w:val="-42"/>
              </w:rPr>
              <w:t xml:space="preserve"> </w:t>
            </w:r>
            <w:r>
              <w:t>员</w:t>
            </w:r>
          </w:p>
        </w:tc>
        <w:tc>
          <w:tcPr>
            <w:tcW w:w="899" w:type="dxa"/>
            <w:vAlign w:val="top"/>
          </w:tcPr>
          <w:p w14:paraId="58FB2D16">
            <w:pPr>
              <w:rPr>
                <w:rFonts w:ascii="Arial"/>
                <w:sz w:val="21"/>
              </w:rPr>
            </w:pPr>
          </w:p>
        </w:tc>
        <w:tc>
          <w:tcPr>
            <w:tcW w:w="900" w:type="dxa"/>
            <w:vAlign w:val="top"/>
          </w:tcPr>
          <w:p w14:paraId="5F5DB3CB">
            <w:pPr>
              <w:rPr>
                <w:rFonts w:ascii="Arial"/>
                <w:sz w:val="21"/>
              </w:rPr>
            </w:pPr>
          </w:p>
        </w:tc>
        <w:tc>
          <w:tcPr>
            <w:tcW w:w="900" w:type="dxa"/>
            <w:vAlign w:val="top"/>
          </w:tcPr>
          <w:p w14:paraId="1C2E043A">
            <w:pPr>
              <w:rPr>
                <w:rFonts w:ascii="Arial"/>
                <w:sz w:val="21"/>
              </w:rPr>
            </w:pPr>
          </w:p>
        </w:tc>
        <w:tc>
          <w:tcPr>
            <w:tcW w:w="1608" w:type="dxa"/>
            <w:vAlign w:val="top"/>
          </w:tcPr>
          <w:p w14:paraId="56D52505">
            <w:pPr>
              <w:rPr>
                <w:rFonts w:ascii="Arial"/>
                <w:sz w:val="21"/>
              </w:rPr>
            </w:pPr>
          </w:p>
        </w:tc>
        <w:tc>
          <w:tcPr>
            <w:tcW w:w="1090" w:type="dxa"/>
            <w:vAlign w:val="top"/>
          </w:tcPr>
          <w:p w14:paraId="50C4984F">
            <w:pPr>
              <w:rPr>
                <w:rFonts w:ascii="Arial"/>
                <w:sz w:val="21"/>
              </w:rPr>
            </w:pPr>
          </w:p>
        </w:tc>
        <w:tc>
          <w:tcPr>
            <w:tcW w:w="720" w:type="dxa"/>
            <w:vAlign w:val="top"/>
          </w:tcPr>
          <w:p w14:paraId="38E25F8F">
            <w:pPr>
              <w:rPr>
                <w:rFonts w:ascii="Arial"/>
                <w:sz w:val="21"/>
              </w:rPr>
            </w:pPr>
          </w:p>
        </w:tc>
        <w:tc>
          <w:tcPr>
            <w:tcW w:w="1259" w:type="dxa"/>
            <w:vAlign w:val="top"/>
          </w:tcPr>
          <w:p w14:paraId="483CCD99">
            <w:pPr>
              <w:rPr>
                <w:rFonts w:ascii="Arial"/>
                <w:sz w:val="21"/>
              </w:rPr>
            </w:pPr>
          </w:p>
        </w:tc>
        <w:tc>
          <w:tcPr>
            <w:tcW w:w="724" w:type="dxa"/>
            <w:vAlign w:val="top"/>
          </w:tcPr>
          <w:p w14:paraId="3E07B87C">
            <w:pPr>
              <w:rPr>
                <w:rFonts w:ascii="Arial"/>
                <w:sz w:val="21"/>
              </w:rPr>
            </w:pPr>
          </w:p>
        </w:tc>
      </w:tr>
      <w:tr w14:paraId="7D6FE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continue"/>
            <w:tcBorders>
              <w:top w:val="nil"/>
              <w:bottom w:val="nil"/>
            </w:tcBorders>
            <w:textDirection w:val="tbRlV"/>
            <w:vAlign w:val="top"/>
          </w:tcPr>
          <w:p w14:paraId="5CB32A87">
            <w:pPr>
              <w:rPr>
                <w:rFonts w:ascii="Arial"/>
                <w:sz w:val="21"/>
              </w:rPr>
            </w:pPr>
          </w:p>
        </w:tc>
        <w:tc>
          <w:tcPr>
            <w:tcW w:w="899" w:type="dxa"/>
            <w:vAlign w:val="top"/>
          </w:tcPr>
          <w:p w14:paraId="74D96D4E">
            <w:pPr>
              <w:rPr>
                <w:rFonts w:ascii="Arial"/>
                <w:sz w:val="21"/>
              </w:rPr>
            </w:pPr>
          </w:p>
        </w:tc>
        <w:tc>
          <w:tcPr>
            <w:tcW w:w="900" w:type="dxa"/>
            <w:vAlign w:val="top"/>
          </w:tcPr>
          <w:p w14:paraId="44B9959A">
            <w:pPr>
              <w:rPr>
                <w:rFonts w:ascii="Arial"/>
                <w:sz w:val="21"/>
              </w:rPr>
            </w:pPr>
          </w:p>
        </w:tc>
        <w:tc>
          <w:tcPr>
            <w:tcW w:w="900" w:type="dxa"/>
            <w:vAlign w:val="top"/>
          </w:tcPr>
          <w:p w14:paraId="5B38E835">
            <w:pPr>
              <w:rPr>
                <w:rFonts w:ascii="Arial"/>
                <w:sz w:val="21"/>
              </w:rPr>
            </w:pPr>
          </w:p>
        </w:tc>
        <w:tc>
          <w:tcPr>
            <w:tcW w:w="1608" w:type="dxa"/>
            <w:vAlign w:val="top"/>
          </w:tcPr>
          <w:p w14:paraId="392ECC58">
            <w:pPr>
              <w:rPr>
                <w:rFonts w:ascii="Arial"/>
                <w:sz w:val="21"/>
              </w:rPr>
            </w:pPr>
          </w:p>
        </w:tc>
        <w:tc>
          <w:tcPr>
            <w:tcW w:w="1090" w:type="dxa"/>
            <w:vAlign w:val="top"/>
          </w:tcPr>
          <w:p w14:paraId="5FC9A364">
            <w:pPr>
              <w:rPr>
                <w:rFonts w:ascii="Arial"/>
                <w:sz w:val="21"/>
              </w:rPr>
            </w:pPr>
          </w:p>
        </w:tc>
        <w:tc>
          <w:tcPr>
            <w:tcW w:w="720" w:type="dxa"/>
            <w:vAlign w:val="top"/>
          </w:tcPr>
          <w:p w14:paraId="5DA71FC1">
            <w:pPr>
              <w:rPr>
                <w:rFonts w:ascii="Arial"/>
                <w:sz w:val="21"/>
              </w:rPr>
            </w:pPr>
          </w:p>
        </w:tc>
        <w:tc>
          <w:tcPr>
            <w:tcW w:w="1259" w:type="dxa"/>
            <w:vAlign w:val="top"/>
          </w:tcPr>
          <w:p w14:paraId="1F5D4ED9">
            <w:pPr>
              <w:rPr>
                <w:rFonts w:ascii="Arial"/>
                <w:sz w:val="21"/>
              </w:rPr>
            </w:pPr>
          </w:p>
        </w:tc>
        <w:tc>
          <w:tcPr>
            <w:tcW w:w="724" w:type="dxa"/>
            <w:vAlign w:val="top"/>
          </w:tcPr>
          <w:p w14:paraId="2E6B82BF">
            <w:pPr>
              <w:rPr>
                <w:rFonts w:ascii="Arial"/>
                <w:sz w:val="21"/>
              </w:rPr>
            </w:pPr>
          </w:p>
        </w:tc>
      </w:tr>
      <w:tr w14:paraId="3D0A52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trPr>
        <w:tc>
          <w:tcPr>
            <w:tcW w:w="724" w:type="dxa"/>
            <w:vMerge w:val="continue"/>
            <w:tcBorders>
              <w:top w:val="nil"/>
              <w:bottom w:val="nil"/>
            </w:tcBorders>
            <w:textDirection w:val="tbRlV"/>
            <w:vAlign w:val="top"/>
          </w:tcPr>
          <w:p w14:paraId="0430C462">
            <w:pPr>
              <w:rPr>
                <w:rFonts w:ascii="Arial"/>
                <w:sz w:val="21"/>
              </w:rPr>
            </w:pPr>
          </w:p>
        </w:tc>
        <w:tc>
          <w:tcPr>
            <w:tcW w:w="899" w:type="dxa"/>
            <w:vAlign w:val="top"/>
          </w:tcPr>
          <w:p w14:paraId="27D9C9FC">
            <w:pPr>
              <w:rPr>
                <w:rFonts w:ascii="Arial"/>
                <w:sz w:val="21"/>
              </w:rPr>
            </w:pPr>
          </w:p>
        </w:tc>
        <w:tc>
          <w:tcPr>
            <w:tcW w:w="900" w:type="dxa"/>
            <w:vAlign w:val="top"/>
          </w:tcPr>
          <w:p w14:paraId="39D357F0">
            <w:pPr>
              <w:rPr>
                <w:rFonts w:ascii="Arial"/>
                <w:sz w:val="21"/>
              </w:rPr>
            </w:pPr>
          </w:p>
        </w:tc>
        <w:tc>
          <w:tcPr>
            <w:tcW w:w="900" w:type="dxa"/>
            <w:vAlign w:val="top"/>
          </w:tcPr>
          <w:p w14:paraId="58815FBA">
            <w:pPr>
              <w:rPr>
                <w:rFonts w:ascii="Arial"/>
                <w:sz w:val="21"/>
              </w:rPr>
            </w:pPr>
          </w:p>
        </w:tc>
        <w:tc>
          <w:tcPr>
            <w:tcW w:w="1608" w:type="dxa"/>
            <w:vAlign w:val="top"/>
          </w:tcPr>
          <w:p w14:paraId="071C6BAD">
            <w:pPr>
              <w:rPr>
                <w:rFonts w:ascii="Arial"/>
                <w:sz w:val="21"/>
              </w:rPr>
            </w:pPr>
          </w:p>
        </w:tc>
        <w:tc>
          <w:tcPr>
            <w:tcW w:w="1090" w:type="dxa"/>
            <w:vAlign w:val="top"/>
          </w:tcPr>
          <w:p w14:paraId="35CE1311">
            <w:pPr>
              <w:rPr>
                <w:rFonts w:ascii="Arial"/>
                <w:sz w:val="21"/>
              </w:rPr>
            </w:pPr>
          </w:p>
        </w:tc>
        <w:tc>
          <w:tcPr>
            <w:tcW w:w="720" w:type="dxa"/>
            <w:vAlign w:val="top"/>
          </w:tcPr>
          <w:p w14:paraId="7ADC23B5">
            <w:pPr>
              <w:rPr>
                <w:rFonts w:ascii="Arial"/>
                <w:sz w:val="21"/>
              </w:rPr>
            </w:pPr>
          </w:p>
        </w:tc>
        <w:tc>
          <w:tcPr>
            <w:tcW w:w="1259" w:type="dxa"/>
            <w:vAlign w:val="top"/>
          </w:tcPr>
          <w:p w14:paraId="466FCE34">
            <w:pPr>
              <w:rPr>
                <w:rFonts w:ascii="Arial"/>
                <w:sz w:val="21"/>
              </w:rPr>
            </w:pPr>
          </w:p>
        </w:tc>
        <w:tc>
          <w:tcPr>
            <w:tcW w:w="724" w:type="dxa"/>
            <w:vAlign w:val="top"/>
          </w:tcPr>
          <w:p w14:paraId="31444E6D">
            <w:pPr>
              <w:rPr>
                <w:rFonts w:ascii="Arial"/>
                <w:sz w:val="21"/>
              </w:rPr>
            </w:pPr>
          </w:p>
        </w:tc>
      </w:tr>
      <w:tr w14:paraId="21903C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724" w:type="dxa"/>
            <w:vMerge w:val="continue"/>
            <w:tcBorders>
              <w:top w:val="nil"/>
            </w:tcBorders>
            <w:textDirection w:val="tbRlV"/>
            <w:vAlign w:val="top"/>
          </w:tcPr>
          <w:p w14:paraId="3B94252F">
            <w:pPr>
              <w:rPr>
                <w:rFonts w:ascii="Arial"/>
                <w:sz w:val="21"/>
              </w:rPr>
            </w:pPr>
          </w:p>
        </w:tc>
        <w:tc>
          <w:tcPr>
            <w:tcW w:w="899" w:type="dxa"/>
            <w:vAlign w:val="top"/>
          </w:tcPr>
          <w:p w14:paraId="704CF6F2">
            <w:pPr>
              <w:rPr>
                <w:rFonts w:ascii="Arial"/>
                <w:sz w:val="21"/>
              </w:rPr>
            </w:pPr>
          </w:p>
        </w:tc>
        <w:tc>
          <w:tcPr>
            <w:tcW w:w="900" w:type="dxa"/>
            <w:vAlign w:val="top"/>
          </w:tcPr>
          <w:p w14:paraId="11AD338B">
            <w:pPr>
              <w:rPr>
                <w:rFonts w:ascii="Arial"/>
                <w:sz w:val="21"/>
              </w:rPr>
            </w:pPr>
          </w:p>
        </w:tc>
        <w:tc>
          <w:tcPr>
            <w:tcW w:w="900" w:type="dxa"/>
            <w:vAlign w:val="top"/>
          </w:tcPr>
          <w:p w14:paraId="057B5C69">
            <w:pPr>
              <w:rPr>
                <w:rFonts w:ascii="Arial"/>
                <w:sz w:val="21"/>
              </w:rPr>
            </w:pPr>
          </w:p>
        </w:tc>
        <w:tc>
          <w:tcPr>
            <w:tcW w:w="1608" w:type="dxa"/>
            <w:vAlign w:val="top"/>
          </w:tcPr>
          <w:p w14:paraId="226A3E3E">
            <w:pPr>
              <w:rPr>
                <w:rFonts w:ascii="Arial"/>
                <w:sz w:val="21"/>
              </w:rPr>
            </w:pPr>
          </w:p>
        </w:tc>
        <w:tc>
          <w:tcPr>
            <w:tcW w:w="1090" w:type="dxa"/>
            <w:vAlign w:val="top"/>
          </w:tcPr>
          <w:p w14:paraId="70942937">
            <w:pPr>
              <w:rPr>
                <w:rFonts w:ascii="Arial"/>
                <w:sz w:val="21"/>
              </w:rPr>
            </w:pPr>
          </w:p>
        </w:tc>
        <w:tc>
          <w:tcPr>
            <w:tcW w:w="720" w:type="dxa"/>
            <w:vAlign w:val="top"/>
          </w:tcPr>
          <w:p w14:paraId="5DAF054A">
            <w:pPr>
              <w:rPr>
                <w:rFonts w:ascii="Arial"/>
                <w:sz w:val="21"/>
              </w:rPr>
            </w:pPr>
          </w:p>
        </w:tc>
        <w:tc>
          <w:tcPr>
            <w:tcW w:w="1259" w:type="dxa"/>
            <w:vAlign w:val="top"/>
          </w:tcPr>
          <w:p w14:paraId="64B90D01">
            <w:pPr>
              <w:rPr>
                <w:rFonts w:ascii="Arial"/>
                <w:sz w:val="21"/>
              </w:rPr>
            </w:pPr>
          </w:p>
        </w:tc>
        <w:tc>
          <w:tcPr>
            <w:tcW w:w="724" w:type="dxa"/>
            <w:vAlign w:val="top"/>
          </w:tcPr>
          <w:p w14:paraId="40A8A9DF">
            <w:pPr>
              <w:rPr>
                <w:rFonts w:ascii="Arial"/>
                <w:sz w:val="21"/>
              </w:rPr>
            </w:pPr>
          </w:p>
        </w:tc>
      </w:tr>
      <w:tr w14:paraId="3DB4A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restart"/>
            <w:tcBorders>
              <w:bottom w:val="nil"/>
            </w:tcBorders>
            <w:textDirection w:val="tbRlV"/>
            <w:vAlign w:val="top"/>
          </w:tcPr>
          <w:p w14:paraId="54C9986B">
            <w:pPr>
              <w:pStyle w:val="27"/>
              <w:spacing w:before="238" w:line="207" w:lineRule="auto"/>
              <w:ind w:left="69"/>
            </w:pPr>
            <w:r>
              <w:t>技</w:t>
            </w:r>
            <w:r>
              <w:rPr>
                <w:spacing w:val="-38"/>
              </w:rPr>
              <w:t xml:space="preserve"> </w:t>
            </w:r>
            <w:r>
              <w:t>术</w:t>
            </w:r>
            <w:r>
              <w:rPr>
                <w:spacing w:val="-41"/>
              </w:rPr>
              <w:t xml:space="preserve"> </w:t>
            </w:r>
            <w:r>
              <w:t>人</w:t>
            </w:r>
            <w:r>
              <w:rPr>
                <w:spacing w:val="-42"/>
              </w:rPr>
              <w:t xml:space="preserve"> </w:t>
            </w:r>
            <w:r>
              <w:t>员</w:t>
            </w:r>
          </w:p>
        </w:tc>
        <w:tc>
          <w:tcPr>
            <w:tcW w:w="899" w:type="dxa"/>
            <w:vAlign w:val="top"/>
          </w:tcPr>
          <w:p w14:paraId="4CCF3443">
            <w:pPr>
              <w:rPr>
                <w:rFonts w:ascii="Arial"/>
                <w:sz w:val="21"/>
              </w:rPr>
            </w:pPr>
          </w:p>
        </w:tc>
        <w:tc>
          <w:tcPr>
            <w:tcW w:w="900" w:type="dxa"/>
            <w:vAlign w:val="top"/>
          </w:tcPr>
          <w:p w14:paraId="409DA441">
            <w:pPr>
              <w:rPr>
                <w:rFonts w:ascii="Arial"/>
                <w:sz w:val="21"/>
              </w:rPr>
            </w:pPr>
          </w:p>
        </w:tc>
        <w:tc>
          <w:tcPr>
            <w:tcW w:w="900" w:type="dxa"/>
            <w:vAlign w:val="top"/>
          </w:tcPr>
          <w:p w14:paraId="767E0156">
            <w:pPr>
              <w:rPr>
                <w:rFonts w:ascii="Arial"/>
                <w:sz w:val="21"/>
              </w:rPr>
            </w:pPr>
          </w:p>
        </w:tc>
        <w:tc>
          <w:tcPr>
            <w:tcW w:w="1608" w:type="dxa"/>
            <w:vAlign w:val="top"/>
          </w:tcPr>
          <w:p w14:paraId="76B54EFD">
            <w:pPr>
              <w:rPr>
                <w:rFonts w:ascii="Arial"/>
                <w:sz w:val="21"/>
              </w:rPr>
            </w:pPr>
          </w:p>
        </w:tc>
        <w:tc>
          <w:tcPr>
            <w:tcW w:w="1090" w:type="dxa"/>
            <w:vAlign w:val="top"/>
          </w:tcPr>
          <w:p w14:paraId="1593FFE9">
            <w:pPr>
              <w:rPr>
                <w:rFonts w:ascii="Arial"/>
                <w:sz w:val="21"/>
              </w:rPr>
            </w:pPr>
          </w:p>
        </w:tc>
        <w:tc>
          <w:tcPr>
            <w:tcW w:w="720" w:type="dxa"/>
            <w:vAlign w:val="top"/>
          </w:tcPr>
          <w:p w14:paraId="27A7A611">
            <w:pPr>
              <w:rPr>
                <w:rFonts w:ascii="Arial"/>
                <w:sz w:val="21"/>
              </w:rPr>
            </w:pPr>
          </w:p>
        </w:tc>
        <w:tc>
          <w:tcPr>
            <w:tcW w:w="1259" w:type="dxa"/>
            <w:vAlign w:val="top"/>
          </w:tcPr>
          <w:p w14:paraId="4919E280">
            <w:pPr>
              <w:rPr>
                <w:rFonts w:ascii="Arial"/>
                <w:sz w:val="21"/>
              </w:rPr>
            </w:pPr>
          </w:p>
        </w:tc>
        <w:tc>
          <w:tcPr>
            <w:tcW w:w="724" w:type="dxa"/>
            <w:vAlign w:val="top"/>
          </w:tcPr>
          <w:p w14:paraId="6C770ECD">
            <w:pPr>
              <w:rPr>
                <w:rFonts w:ascii="Arial"/>
                <w:sz w:val="21"/>
              </w:rPr>
            </w:pPr>
          </w:p>
        </w:tc>
      </w:tr>
      <w:tr w14:paraId="7E29DF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continue"/>
            <w:tcBorders>
              <w:top w:val="nil"/>
              <w:bottom w:val="nil"/>
            </w:tcBorders>
            <w:textDirection w:val="tbRlV"/>
            <w:vAlign w:val="top"/>
          </w:tcPr>
          <w:p w14:paraId="7477A713">
            <w:pPr>
              <w:rPr>
                <w:rFonts w:ascii="Arial"/>
                <w:sz w:val="21"/>
              </w:rPr>
            </w:pPr>
          </w:p>
        </w:tc>
        <w:tc>
          <w:tcPr>
            <w:tcW w:w="899" w:type="dxa"/>
            <w:vAlign w:val="top"/>
          </w:tcPr>
          <w:p w14:paraId="41716765">
            <w:pPr>
              <w:rPr>
                <w:rFonts w:ascii="Arial"/>
                <w:sz w:val="21"/>
              </w:rPr>
            </w:pPr>
          </w:p>
        </w:tc>
        <w:tc>
          <w:tcPr>
            <w:tcW w:w="900" w:type="dxa"/>
            <w:vAlign w:val="top"/>
          </w:tcPr>
          <w:p w14:paraId="3DAABF22">
            <w:pPr>
              <w:rPr>
                <w:rFonts w:ascii="Arial"/>
                <w:sz w:val="21"/>
              </w:rPr>
            </w:pPr>
          </w:p>
        </w:tc>
        <w:tc>
          <w:tcPr>
            <w:tcW w:w="900" w:type="dxa"/>
            <w:vAlign w:val="top"/>
          </w:tcPr>
          <w:p w14:paraId="5B3BD025">
            <w:pPr>
              <w:rPr>
                <w:rFonts w:ascii="Arial"/>
                <w:sz w:val="21"/>
              </w:rPr>
            </w:pPr>
          </w:p>
        </w:tc>
        <w:tc>
          <w:tcPr>
            <w:tcW w:w="1608" w:type="dxa"/>
            <w:vAlign w:val="top"/>
          </w:tcPr>
          <w:p w14:paraId="676832D2">
            <w:pPr>
              <w:rPr>
                <w:rFonts w:ascii="Arial"/>
                <w:sz w:val="21"/>
              </w:rPr>
            </w:pPr>
          </w:p>
        </w:tc>
        <w:tc>
          <w:tcPr>
            <w:tcW w:w="1090" w:type="dxa"/>
            <w:vAlign w:val="top"/>
          </w:tcPr>
          <w:p w14:paraId="0723D61B">
            <w:pPr>
              <w:rPr>
                <w:rFonts w:ascii="Arial"/>
                <w:sz w:val="21"/>
              </w:rPr>
            </w:pPr>
          </w:p>
        </w:tc>
        <w:tc>
          <w:tcPr>
            <w:tcW w:w="720" w:type="dxa"/>
            <w:vAlign w:val="top"/>
          </w:tcPr>
          <w:p w14:paraId="397F4D8E">
            <w:pPr>
              <w:rPr>
                <w:rFonts w:ascii="Arial"/>
                <w:sz w:val="21"/>
              </w:rPr>
            </w:pPr>
          </w:p>
        </w:tc>
        <w:tc>
          <w:tcPr>
            <w:tcW w:w="1259" w:type="dxa"/>
            <w:vAlign w:val="top"/>
          </w:tcPr>
          <w:p w14:paraId="0996605A">
            <w:pPr>
              <w:rPr>
                <w:rFonts w:ascii="Arial"/>
                <w:sz w:val="21"/>
              </w:rPr>
            </w:pPr>
          </w:p>
        </w:tc>
        <w:tc>
          <w:tcPr>
            <w:tcW w:w="724" w:type="dxa"/>
            <w:vAlign w:val="top"/>
          </w:tcPr>
          <w:p w14:paraId="41A951FC">
            <w:pPr>
              <w:rPr>
                <w:rFonts w:ascii="Arial"/>
                <w:sz w:val="21"/>
              </w:rPr>
            </w:pPr>
          </w:p>
        </w:tc>
      </w:tr>
      <w:tr w14:paraId="087B38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continue"/>
            <w:tcBorders>
              <w:top w:val="nil"/>
              <w:bottom w:val="nil"/>
            </w:tcBorders>
            <w:textDirection w:val="tbRlV"/>
            <w:vAlign w:val="top"/>
          </w:tcPr>
          <w:p w14:paraId="47F765A7">
            <w:pPr>
              <w:rPr>
                <w:rFonts w:ascii="Arial"/>
                <w:sz w:val="21"/>
              </w:rPr>
            </w:pPr>
          </w:p>
        </w:tc>
        <w:tc>
          <w:tcPr>
            <w:tcW w:w="899" w:type="dxa"/>
            <w:vAlign w:val="top"/>
          </w:tcPr>
          <w:p w14:paraId="47B19988">
            <w:pPr>
              <w:rPr>
                <w:rFonts w:ascii="Arial"/>
                <w:sz w:val="21"/>
              </w:rPr>
            </w:pPr>
          </w:p>
        </w:tc>
        <w:tc>
          <w:tcPr>
            <w:tcW w:w="900" w:type="dxa"/>
            <w:vAlign w:val="top"/>
          </w:tcPr>
          <w:p w14:paraId="6FED615D">
            <w:pPr>
              <w:rPr>
                <w:rFonts w:ascii="Arial"/>
                <w:sz w:val="21"/>
              </w:rPr>
            </w:pPr>
          </w:p>
        </w:tc>
        <w:tc>
          <w:tcPr>
            <w:tcW w:w="900" w:type="dxa"/>
            <w:vAlign w:val="top"/>
          </w:tcPr>
          <w:p w14:paraId="1A6E5A4E">
            <w:pPr>
              <w:rPr>
                <w:rFonts w:ascii="Arial"/>
                <w:sz w:val="21"/>
              </w:rPr>
            </w:pPr>
          </w:p>
        </w:tc>
        <w:tc>
          <w:tcPr>
            <w:tcW w:w="1608" w:type="dxa"/>
            <w:vAlign w:val="top"/>
          </w:tcPr>
          <w:p w14:paraId="2F85066E">
            <w:pPr>
              <w:rPr>
                <w:rFonts w:ascii="Arial"/>
                <w:sz w:val="21"/>
              </w:rPr>
            </w:pPr>
          </w:p>
        </w:tc>
        <w:tc>
          <w:tcPr>
            <w:tcW w:w="1090" w:type="dxa"/>
            <w:vAlign w:val="top"/>
          </w:tcPr>
          <w:p w14:paraId="7F1B6AF3">
            <w:pPr>
              <w:rPr>
                <w:rFonts w:ascii="Arial"/>
                <w:sz w:val="21"/>
              </w:rPr>
            </w:pPr>
          </w:p>
        </w:tc>
        <w:tc>
          <w:tcPr>
            <w:tcW w:w="720" w:type="dxa"/>
            <w:vAlign w:val="top"/>
          </w:tcPr>
          <w:p w14:paraId="371450DC">
            <w:pPr>
              <w:rPr>
                <w:rFonts w:ascii="Arial"/>
                <w:sz w:val="21"/>
              </w:rPr>
            </w:pPr>
          </w:p>
        </w:tc>
        <w:tc>
          <w:tcPr>
            <w:tcW w:w="1259" w:type="dxa"/>
            <w:vAlign w:val="top"/>
          </w:tcPr>
          <w:p w14:paraId="171D1795">
            <w:pPr>
              <w:rPr>
                <w:rFonts w:ascii="Arial"/>
                <w:sz w:val="21"/>
              </w:rPr>
            </w:pPr>
          </w:p>
        </w:tc>
        <w:tc>
          <w:tcPr>
            <w:tcW w:w="724" w:type="dxa"/>
            <w:vAlign w:val="top"/>
          </w:tcPr>
          <w:p w14:paraId="65B0F030">
            <w:pPr>
              <w:rPr>
                <w:rFonts w:ascii="Arial"/>
                <w:sz w:val="21"/>
              </w:rPr>
            </w:pPr>
          </w:p>
        </w:tc>
      </w:tr>
      <w:tr w14:paraId="3DDAB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continue"/>
            <w:tcBorders>
              <w:top w:val="nil"/>
            </w:tcBorders>
            <w:textDirection w:val="tbRlV"/>
            <w:vAlign w:val="top"/>
          </w:tcPr>
          <w:p w14:paraId="0AFD92F7">
            <w:pPr>
              <w:rPr>
                <w:rFonts w:ascii="Arial"/>
                <w:sz w:val="21"/>
              </w:rPr>
            </w:pPr>
          </w:p>
        </w:tc>
        <w:tc>
          <w:tcPr>
            <w:tcW w:w="899" w:type="dxa"/>
            <w:vAlign w:val="top"/>
          </w:tcPr>
          <w:p w14:paraId="68D67B5A">
            <w:pPr>
              <w:rPr>
                <w:rFonts w:ascii="Arial"/>
                <w:sz w:val="21"/>
              </w:rPr>
            </w:pPr>
          </w:p>
        </w:tc>
        <w:tc>
          <w:tcPr>
            <w:tcW w:w="900" w:type="dxa"/>
            <w:vAlign w:val="top"/>
          </w:tcPr>
          <w:p w14:paraId="4E72EA91">
            <w:pPr>
              <w:rPr>
                <w:rFonts w:ascii="Arial"/>
                <w:sz w:val="21"/>
              </w:rPr>
            </w:pPr>
          </w:p>
        </w:tc>
        <w:tc>
          <w:tcPr>
            <w:tcW w:w="900" w:type="dxa"/>
            <w:vAlign w:val="top"/>
          </w:tcPr>
          <w:p w14:paraId="792ABF2F">
            <w:pPr>
              <w:rPr>
                <w:rFonts w:ascii="Arial"/>
                <w:sz w:val="21"/>
              </w:rPr>
            </w:pPr>
          </w:p>
        </w:tc>
        <w:tc>
          <w:tcPr>
            <w:tcW w:w="1608" w:type="dxa"/>
            <w:vAlign w:val="top"/>
          </w:tcPr>
          <w:p w14:paraId="731847D9">
            <w:pPr>
              <w:rPr>
                <w:rFonts w:ascii="Arial"/>
                <w:sz w:val="21"/>
              </w:rPr>
            </w:pPr>
          </w:p>
        </w:tc>
        <w:tc>
          <w:tcPr>
            <w:tcW w:w="1090" w:type="dxa"/>
            <w:vAlign w:val="top"/>
          </w:tcPr>
          <w:p w14:paraId="49C04538">
            <w:pPr>
              <w:rPr>
                <w:rFonts w:ascii="Arial"/>
                <w:sz w:val="21"/>
              </w:rPr>
            </w:pPr>
          </w:p>
        </w:tc>
        <w:tc>
          <w:tcPr>
            <w:tcW w:w="720" w:type="dxa"/>
            <w:vAlign w:val="top"/>
          </w:tcPr>
          <w:p w14:paraId="7DDA3300">
            <w:pPr>
              <w:rPr>
                <w:rFonts w:ascii="Arial"/>
                <w:sz w:val="21"/>
              </w:rPr>
            </w:pPr>
          </w:p>
        </w:tc>
        <w:tc>
          <w:tcPr>
            <w:tcW w:w="1259" w:type="dxa"/>
            <w:vAlign w:val="top"/>
          </w:tcPr>
          <w:p w14:paraId="457E3BB2">
            <w:pPr>
              <w:rPr>
                <w:rFonts w:ascii="Arial"/>
                <w:sz w:val="21"/>
              </w:rPr>
            </w:pPr>
          </w:p>
        </w:tc>
        <w:tc>
          <w:tcPr>
            <w:tcW w:w="724" w:type="dxa"/>
            <w:vAlign w:val="top"/>
          </w:tcPr>
          <w:p w14:paraId="38277416">
            <w:pPr>
              <w:rPr>
                <w:rFonts w:ascii="Arial"/>
                <w:sz w:val="21"/>
              </w:rPr>
            </w:pPr>
          </w:p>
        </w:tc>
      </w:tr>
      <w:tr w14:paraId="44A74A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restart"/>
            <w:tcBorders>
              <w:bottom w:val="nil"/>
            </w:tcBorders>
            <w:vAlign w:val="top"/>
          </w:tcPr>
          <w:p w14:paraId="447AC733">
            <w:pPr>
              <w:spacing w:line="310" w:lineRule="auto"/>
              <w:rPr>
                <w:rFonts w:ascii="Arial"/>
                <w:sz w:val="21"/>
              </w:rPr>
            </w:pPr>
          </w:p>
          <w:p w14:paraId="5CAD760C">
            <w:pPr>
              <w:pStyle w:val="27"/>
              <w:spacing w:before="78" w:line="234" w:lineRule="auto"/>
              <w:ind w:left="130" w:right="118" w:hanging="1"/>
            </w:pPr>
            <w:r>
              <w:rPr>
                <w:spacing w:val="-5"/>
              </w:rPr>
              <w:t>服务</w:t>
            </w:r>
            <w:r>
              <w:t xml:space="preserve"> </w:t>
            </w:r>
            <w:r>
              <w:rPr>
                <w:spacing w:val="-6"/>
              </w:rPr>
              <w:t>人员</w:t>
            </w:r>
          </w:p>
        </w:tc>
        <w:tc>
          <w:tcPr>
            <w:tcW w:w="899" w:type="dxa"/>
            <w:vAlign w:val="top"/>
          </w:tcPr>
          <w:p w14:paraId="1C63BE99">
            <w:pPr>
              <w:rPr>
                <w:rFonts w:ascii="Arial"/>
                <w:sz w:val="21"/>
              </w:rPr>
            </w:pPr>
          </w:p>
        </w:tc>
        <w:tc>
          <w:tcPr>
            <w:tcW w:w="900" w:type="dxa"/>
            <w:vAlign w:val="top"/>
          </w:tcPr>
          <w:p w14:paraId="75DE44AE">
            <w:pPr>
              <w:rPr>
                <w:rFonts w:ascii="Arial"/>
                <w:sz w:val="21"/>
              </w:rPr>
            </w:pPr>
          </w:p>
        </w:tc>
        <w:tc>
          <w:tcPr>
            <w:tcW w:w="900" w:type="dxa"/>
            <w:vAlign w:val="top"/>
          </w:tcPr>
          <w:p w14:paraId="04FB5AC8">
            <w:pPr>
              <w:rPr>
                <w:rFonts w:ascii="Arial"/>
                <w:sz w:val="21"/>
              </w:rPr>
            </w:pPr>
          </w:p>
        </w:tc>
        <w:tc>
          <w:tcPr>
            <w:tcW w:w="1608" w:type="dxa"/>
            <w:vAlign w:val="top"/>
          </w:tcPr>
          <w:p w14:paraId="4795172F">
            <w:pPr>
              <w:rPr>
                <w:rFonts w:ascii="Arial"/>
                <w:sz w:val="21"/>
              </w:rPr>
            </w:pPr>
          </w:p>
        </w:tc>
        <w:tc>
          <w:tcPr>
            <w:tcW w:w="1090" w:type="dxa"/>
            <w:vAlign w:val="top"/>
          </w:tcPr>
          <w:p w14:paraId="5AF75EEB">
            <w:pPr>
              <w:rPr>
                <w:rFonts w:ascii="Arial"/>
                <w:sz w:val="21"/>
              </w:rPr>
            </w:pPr>
          </w:p>
        </w:tc>
        <w:tc>
          <w:tcPr>
            <w:tcW w:w="720" w:type="dxa"/>
            <w:vAlign w:val="top"/>
          </w:tcPr>
          <w:p w14:paraId="7EECD809">
            <w:pPr>
              <w:rPr>
                <w:rFonts w:ascii="Arial"/>
                <w:sz w:val="21"/>
              </w:rPr>
            </w:pPr>
          </w:p>
        </w:tc>
        <w:tc>
          <w:tcPr>
            <w:tcW w:w="1259" w:type="dxa"/>
            <w:vAlign w:val="top"/>
          </w:tcPr>
          <w:p w14:paraId="024FC53C">
            <w:pPr>
              <w:rPr>
                <w:rFonts w:ascii="Arial"/>
                <w:sz w:val="21"/>
              </w:rPr>
            </w:pPr>
          </w:p>
        </w:tc>
        <w:tc>
          <w:tcPr>
            <w:tcW w:w="724" w:type="dxa"/>
            <w:vAlign w:val="top"/>
          </w:tcPr>
          <w:p w14:paraId="3693BF56">
            <w:pPr>
              <w:rPr>
                <w:rFonts w:ascii="Arial"/>
                <w:sz w:val="21"/>
              </w:rPr>
            </w:pPr>
          </w:p>
        </w:tc>
      </w:tr>
      <w:tr w14:paraId="028D9D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continue"/>
            <w:tcBorders>
              <w:top w:val="nil"/>
              <w:bottom w:val="nil"/>
            </w:tcBorders>
            <w:vAlign w:val="top"/>
          </w:tcPr>
          <w:p w14:paraId="3DCB4AC0">
            <w:pPr>
              <w:rPr>
                <w:rFonts w:ascii="Arial"/>
                <w:sz w:val="21"/>
              </w:rPr>
            </w:pPr>
          </w:p>
        </w:tc>
        <w:tc>
          <w:tcPr>
            <w:tcW w:w="899" w:type="dxa"/>
            <w:vAlign w:val="top"/>
          </w:tcPr>
          <w:p w14:paraId="5656ED89">
            <w:pPr>
              <w:rPr>
                <w:rFonts w:ascii="Arial"/>
                <w:sz w:val="21"/>
              </w:rPr>
            </w:pPr>
          </w:p>
        </w:tc>
        <w:tc>
          <w:tcPr>
            <w:tcW w:w="900" w:type="dxa"/>
            <w:vAlign w:val="top"/>
          </w:tcPr>
          <w:p w14:paraId="2BC63309">
            <w:pPr>
              <w:rPr>
                <w:rFonts w:ascii="Arial"/>
                <w:sz w:val="21"/>
              </w:rPr>
            </w:pPr>
          </w:p>
        </w:tc>
        <w:tc>
          <w:tcPr>
            <w:tcW w:w="900" w:type="dxa"/>
            <w:vAlign w:val="top"/>
          </w:tcPr>
          <w:p w14:paraId="5EA4E17F">
            <w:pPr>
              <w:rPr>
                <w:rFonts w:ascii="Arial"/>
                <w:sz w:val="21"/>
              </w:rPr>
            </w:pPr>
          </w:p>
        </w:tc>
        <w:tc>
          <w:tcPr>
            <w:tcW w:w="1608" w:type="dxa"/>
            <w:vAlign w:val="top"/>
          </w:tcPr>
          <w:p w14:paraId="70A68536">
            <w:pPr>
              <w:rPr>
                <w:rFonts w:ascii="Arial"/>
                <w:sz w:val="21"/>
              </w:rPr>
            </w:pPr>
          </w:p>
        </w:tc>
        <w:tc>
          <w:tcPr>
            <w:tcW w:w="1090" w:type="dxa"/>
            <w:vAlign w:val="top"/>
          </w:tcPr>
          <w:p w14:paraId="79B7DE23">
            <w:pPr>
              <w:rPr>
                <w:rFonts w:ascii="Arial"/>
                <w:sz w:val="21"/>
              </w:rPr>
            </w:pPr>
          </w:p>
        </w:tc>
        <w:tc>
          <w:tcPr>
            <w:tcW w:w="720" w:type="dxa"/>
            <w:vAlign w:val="top"/>
          </w:tcPr>
          <w:p w14:paraId="3BFCBC06">
            <w:pPr>
              <w:rPr>
                <w:rFonts w:ascii="Arial"/>
                <w:sz w:val="21"/>
              </w:rPr>
            </w:pPr>
          </w:p>
        </w:tc>
        <w:tc>
          <w:tcPr>
            <w:tcW w:w="1259" w:type="dxa"/>
            <w:vAlign w:val="top"/>
          </w:tcPr>
          <w:p w14:paraId="3201A046">
            <w:pPr>
              <w:rPr>
                <w:rFonts w:ascii="Arial"/>
                <w:sz w:val="21"/>
              </w:rPr>
            </w:pPr>
          </w:p>
        </w:tc>
        <w:tc>
          <w:tcPr>
            <w:tcW w:w="724" w:type="dxa"/>
            <w:vAlign w:val="top"/>
          </w:tcPr>
          <w:p w14:paraId="26F03F56">
            <w:pPr>
              <w:rPr>
                <w:rFonts w:ascii="Arial"/>
                <w:sz w:val="21"/>
              </w:rPr>
            </w:pPr>
          </w:p>
        </w:tc>
      </w:tr>
      <w:tr w14:paraId="4ED3FB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trPr>
        <w:tc>
          <w:tcPr>
            <w:tcW w:w="724" w:type="dxa"/>
            <w:vMerge w:val="continue"/>
            <w:tcBorders>
              <w:top w:val="nil"/>
              <w:bottom w:val="nil"/>
            </w:tcBorders>
            <w:vAlign w:val="top"/>
          </w:tcPr>
          <w:p w14:paraId="063DB780">
            <w:pPr>
              <w:rPr>
                <w:rFonts w:ascii="Arial"/>
                <w:sz w:val="21"/>
              </w:rPr>
            </w:pPr>
          </w:p>
        </w:tc>
        <w:tc>
          <w:tcPr>
            <w:tcW w:w="899" w:type="dxa"/>
            <w:vAlign w:val="top"/>
          </w:tcPr>
          <w:p w14:paraId="6DF2D333">
            <w:pPr>
              <w:rPr>
                <w:rFonts w:ascii="Arial"/>
                <w:sz w:val="21"/>
              </w:rPr>
            </w:pPr>
          </w:p>
        </w:tc>
        <w:tc>
          <w:tcPr>
            <w:tcW w:w="900" w:type="dxa"/>
            <w:vAlign w:val="top"/>
          </w:tcPr>
          <w:p w14:paraId="2500DB76">
            <w:pPr>
              <w:rPr>
                <w:rFonts w:ascii="Arial"/>
                <w:sz w:val="21"/>
              </w:rPr>
            </w:pPr>
          </w:p>
        </w:tc>
        <w:tc>
          <w:tcPr>
            <w:tcW w:w="900" w:type="dxa"/>
            <w:vAlign w:val="top"/>
          </w:tcPr>
          <w:p w14:paraId="6CE94280">
            <w:pPr>
              <w:rPr>
                <w:rFonts w:ascii="Arial"/>
                <w:sz w:val="21"/>
              </w:rPr>
            </w:pPr>
          </w:p>
        </w:tc>
        <w:tc>
          <w:tcPr>
            <w:tcW w:w="1608" w:type="dxa"/>
            <w:vAlign w:val="top"/>
          </w:tcPr>
          <w:p w14:paraId="27776CE7">
            <w:pPr>
              <w:rPr>
                <w:rFonts w:ascii="Arial"/>
                <w:sz w:val="21"/>
              </w:rPr>
            </w:pPr>
          </w:p>
        </w:tc>
        <w:tc>
          <w:tcPr>
            <w:tcW w:w="1090" w:type="dxa"/>
            <w:vAlign w:val="top"/>
          </w:tcPr>
          <w:p w14:paraId="3AB54647">
            <w:pPr>
              <w:rPr>
                <w:rFonts w:ascii="Arial"/>
                <w:sz w:val="21"/>
              </w:rPr>
            </w:pPr>
          </w:p>
        </w:tc>
        <w:tc>
          <w:tcPr>
            <w:tcW w:w="720" w:type="dxa"/>
            <w:vAlign w:val="top"/>
          </w:tcPr>
          <w:p w14:paraId="2697414A">
            <w:pPr>
              <w:rPr>
                <w:rFonts w:ascii="Arial"/>
                <w:sz w:val="21"/>
              </w:rPr>
            </w:pPr>
          </w:p>
        </w:tc>
        <w:tc>
          <w:tcPr>
            <w:tcW w:w="1259" w:type="dxa"/>
            <w:vAlign w:val="top"/>
          </w:tcPr>
          <w:p w14:paraId="436B8C4A">
            <w:pPr>
              <w:rPr>
                <w:rFonts w:ascii="Arial"/>
                <w:sz w:val="21"/>
              </w:rPr>
            </w:pPr>
          </w:p>
        </w:tc>
        <w:tc>
          <w:tcPr>
            <w:tcW w:w="724" w:type="dxa"/>
            <w:vAlign w:val="top"/>
          </w:tcPr>
          <w:p w14:paraId="592EF9E5">
            <w:pPr>
              <w:rPr>
                <w:rFonts w:ascii="Arial"/>
                <w:sz w:val="21"/>
              </w:rPr>
            </w:pPr>
          </w:p>
        </w:tc>
      </w:tr>
      <w:tr w14:paraId="71E067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9" w:hRule="atLeast"/>
        </w:trPr>
        <w:tc>
          <w:tcPr>
            <w:tcW w:w="724" w:type="dxa"/>
            <w:vMerge w:val="continue"/>
            <w:tcBorders>
              <w:top w:val="nil"/>
            </w:tcBorders>
            <w:vAlign w:val="top"/>
          </w:tcPr>
          <w:p w14:paraId="0FEF0E22">
            <w:pPr>
              <w:rPr>
                <w:rFonts w:ascii="Arial"/>
                <w:sz w:val="21"/>
              </w:rPr>
            </w:pPr>
          </w:p>
        </w:tc>
        <w:tc>
          <w:tcPr>
            <w:tcW w:w="899" w:type="dxa"/>
            <w:vAlign w:val="top"/>
          </w:tcPr>
          <w:p w14:paraId="367C13C7">
            <w:pPr>
              <w:rPr>
                <w:rFonts w:ascii="Arial"/>
                <w:sz w:val="21"/>
              </w:rPr>
            </w:pPr>
          </w:p>
        </w:tc>
        <w:tc>
          <w:tcPr>
            <w:tcW w:w="900" w:type="dxa"/>
            <w:vAlign w:val="top"/>
          </w:tcPr>
          <w:p w14:paraId="00B7854B">
            <w:pPr>
              <w:rPr>
                <w:rFonts w:ascii="Arial"/>
                <w:sz w:val="21"/>
              </w:rPr>
            </w:pPr>
          </w:p>
        </w:tc>
        <w:tc>
          <w:tcPr>
            <w:tcW w:w="900" w:type="dxa"/>
            <w:vAlign w:val="top"/>
          </w:tcPr>
          <w:p w14:paraId="515DA162">
            <w:pPr>
              <w:rPr>
                <w:rFonts w:ascii="Arial"/>
                <w:sz w:val="21"/>
              </w:rPr>
            </w:pPr>
          </w:p>
        </w:tc>
        <w:tc>
          <w:tcPr>
            <w:tcW w:w="1608" w:type="dxa"/>
            <w:vAlign w:val="top"/>
          </w:tcPr>
          <w:p w14:paraId="599718D7">
            <w:pPr>
              <w:rPr>
                <w:rFonts w:ascii="Arial"/>
                <w:sz w:val="21"/>
              </w:rPr>
            </w:pPr>
          </w:p>
        </w:tc>
        <w:tc>
          <w:tcPr>
            <w:tcW w:w="1090" w:type="dxa"/>
            <w:vAlign w:val="top"/>
          </w:tcPr>
          <w:p w14:paraId="24182DE7">
            <w:pPr>
              <w:rPr>
                <w:rFonts w:ascii="Arial"/>
                <w:sz w:val="21"/>
              </w:rPr>
            </w:pPr>
          </w:p>
        </w:tc>
        <w:tc>
          <w:tcPr>
            <w:tcW w:w="720" w:type="dxa"/>
            <w:vAlign w:val="top"/>
          </w:tcPr>
          <w:p w14:paraId="55783152">
            <w:pPr>
              <w:rPr>
                <w:rFonts w:ascii="Arial"/>
                <w:sz w:val="21"/>
              </w:rPr>
            </w:pPr>
          </w:p>
        </w:tc>
        <w:tc>
          <w:tcPr>
            <w:tcW w:w="1259" w:type="dxa"/>
            <w:vAlign w:val="top"/>
          </w:tcPr>
          <w:p w14:paraId="5FC38D64">
            <w:pPr>
              <w:rPr>
                <w:rFonts w:ascii="Arial"/>
                <w:sz w:val="21"/>
              </w:rPr>
            </w:pPr>
          </w:p>
        </w:tc>
        <w:tc>
          <w:tcPr>
            <w:tcW w:w="724" w:type="dxa"/>
            <w:vAlign w:val="top"/>
          </w:tcPr>
          <w:p w14:paraId="58BD451A">
            <w:pPr>
              <w:rPr>
                <w:rFonts w:ascii="Arial"/>
                <w:sz w:val="21"/>
              </w:rPr>
            </w:pPr>
          </w:p>
        </w:tc>
      </w:tr>
    </w:tbl>
    <w:p w14:paraId="1CEF4E0C">
      <w:pPr>
        <w:pStyle w:val="13"/>
        <w:spacing w:line="285" w:lineRule="auto"/>
      </w:pPr>
    </w:p>
    <w:p w14:paraId="5866C03B">
      <w:pPr>
        <w:pStyle w:val="13"/>
        <w:spacing w:line="285" w:lineRule="auto"/>
      </w:pPr>
    </w:p>
    <w:p w14:paraId="4873EA44">
      <w:pPr>
        <w:pStyle w:val="13"/>
        <w:spacing w:line="286" w:lineRule="auto"/>
      </w:pPr>
    </w:p>
    <w:p w14:paraId="3E5B82EC">
      <w:pPr>
        <w:pStyle w:val="13"/>
        <w:spacing w:line="286" w:lineRule="auto"/>
      </w:pPr>
    </w:p>
    <w:p w14:paraId="6DFDFCE7">
      <w:pPr>
        <w:pStyle w:val="13"/>
        <w:spacing w:line="286" w:lineRule="auto"/>
      </w:pPr>
    </w:p>
    <w:p w14:paraId="03CB1453">
      <w:pPr>
        <w:spacing w:before="78" w:line="219" w:lineRule="auto"/>
        <w:ind w:left="485"/>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66ED170A">
      <w:pPr>
        <w:spacing w:before="214" w:line="501" w:lineRule="exact"/>
        <w:ind w:left="483"/>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72708260">
      <w:pPr>
        <w:spacing w:before="1" w:line="220" w:lineRule="auto"/>
        <w:ind w:left="485"/>
        <w:rPr>
          <w:rFonts w:ascii="宋体" w:hAnsi="宋体" w:eastAsia="宋体" w:cs="宋体"/>
          <w:sz w:val="24"/>
          <w:szCs w:val="24"/>
        </w:rPr>
      </w:pPr>
      <w:r>
        <w:rPr>
          <w:rFonts w:ascii="宋体" w:hAnsi="宋体" w:eastAsia="宋体" w:cs="宋体"/>
          <w:spacing w:val="-3"/>
          <w:sz w:val="24"/>
          <w:szCs w:val="24"/>
        </w:rPr>
        <w:t>投标日期：</w:t>
      </w:r>
    </w:p>
    <w:p w14:paraId="3D4021AF">
      <w:pPr>
        <w:spacing w:line="220" w:lineRule="auto"/>
        <w:rPr>
          <w:rFonts w:ascii="宋体" w:hAnsi="宋体" w:eastAsia="宋体" w:cs="宋体"/>
          <w:sz w:val="24"/>
          <w:szCs w:val="24"/>
        </w:rPr>
        <w:sectPr>
          <w:footerReference r:id="rId34" w:type="default"/>
          <w:pgSz w:w="11906" w:h="16839"/>
          <w:pgMar w:top="1619" w:right="1132" w:bottom="1157" w:left="1583" w:header="851" w:footer="992" w:gutter="0"/>
          <w:pgNumType w:fmt="decimal"/>
          <w:cols w:space="720" w:num="1"/>
        </w:sectPr>
      </w:pPr>
    </w:p>
    <w:p w14:paraId="1059F78F">
      <w:pPr>
        <w:pStyle w:val="13"/>
        <w:spacing w:line="247" w:lineRule="auto"/>
      </w:pPr>
    </w:p>
    <w:p w14:paraId="0B6AEF69">
      <w:pPr>
        <w:pStyle w:val="13"/>
        <w:spacing w:line="248" w:lineRule="auto"/>
      </w:pPr>
    </w:p>
    <w:p w14:paraId="0C96C142">
      <w:pPr>
        <w:spacing w:before="101" w:line="225" w:lineRule="auto"/>
        <w:ind w:left="13"/>
        <w:rPr>
          <w:rFonts w:ascii="宋体" w:hAnsi="宋体" w:eastAsia="宋体" w:cs="宋体"/>
          <w:sz w:val="31"/>
          <w:szCs w:val="31"/>
        </w:rPr>
      </w:pPr>
      <w:r>
        <w:rPr>
          <w:rFonts w:ascii="宋体" w:hAnsi="宋体" w:eastAsia="宋体" w:cs="宋体"/>
          <w:spacing w:val="3"/>
          <w:sz w:val="31"/>
          <w:szCs w:val="31"/>
          <w14:textOutline w14:w="5793" w14:cap="sq" w14:cmpd="sng">
            <w14:solidFill>
              <w14:srgbClr w14:val="000000"/>
            </w14:solidFill>
            <w14:prstDash w14:val="solid"/>
            <w14:bevel/>
          </w14:textOutline>
        </w:rPr>
        <w:t>格式</w:t>
      </w:r>
      <w:r>
        <w:rPr>
          <w:rFonts w:ascii="宋体" w:hAnsi="宋体" w:eastAsia="宋体" w:cs="宋体"/>
          <w:spacing w:val="-56"/>
          <w:sz w:val="31"/>
          <w:szCs w:val="31"/>
        </w:rPr>
        <w:t xml:space="preserve"> </w:t>
      </w:r>
      <w:r>
        <w:rPr>
          <w:rFonts w:ascii="宋体" w:hAnsi="宋体" w:eastAsia="宋体" w:cs="宋体"/>
          <w:spacing w:val="3"/>
          <w:sz w:val="31"/>
          <w:szCs w:val="31"/>
          <w14:textOutline w14:w="5793" w14:cap="sq" w14:cmpd="sng">
            <w14:solidFill>
              <w14:srgbClr w14:val="000000"/>
            </w14:solidFill>
            <w14:prstDash w14:val="solid"/>
            <w14:bevel/>
          </w14:textOutline>
        </w:rPr>
        <w:t>2-9</w:t>
      </w:r>
    </w:p>
    <w:p w14:paraId="310203A0">
      <w:pPr>
        <w:spacing w:before="18" w:line="225" w:lineRule="auto"/>
        <w:jc w:val="center"/>
        <w:outlineLvl w:val="2"/>
        <w:rPr>
          <w:rFonts w:ascii="宋体" w:hAnsi="宋体" w:eastAsia="宋体" w:cs="宋体"/>
          <w:sz w:val="31"/>
          <w:szCs w:val="31"/>
        </w:rPr>
      </w:pPr>
      <w:bookmarkStart w:id="25" w:name="bookmark29"/>
      <w:bookmarkEnd w:id="25"/>
      <w:bookmarkStart w:id="26" w:name="bookmark28"/>
      <w:bookmarkEnd w:id="26"/>
      <w:r>
        <w:rPr>
          <w:rFonts w:ascii="宋体" w:hAnsi="宋体" w:eastAsia="宋体" w:cs="宋体"/>
          <w:spacing w:val="8"/>
          <w:sz w:val="31"/>
          <w:szCs w:val="31"/>
          <w14:textOutline w14:w="5793" w14:cap="sq" w14:cmpd="sng">
            <w14:solidFill>
              <w14:srgbClr w14:val="000000"/>
            </w14:solidFill>
            <w14:prstDash w14:val="solid"/>
            <w14:bevel/>
          </w14:textOutline>
        </w:rPr>
        <w:t>八、</w:t>
      </w: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技术要求</w:t>
      </w:r>
      <w:r>
        <w:rPr>
          <w:rFonts w:ascii="宋体" w:hAnsi="宋体" w:eastAsia="宋体" w:cs="宋体"/>
          <w:spacing w:val="8"/>
          <w:sz w:val="31"/>
          <w:szCs w:val="31"/>
          <w14:textOutline w14:w="5793" w14:cap="sq" w14:cmpd="sng">
            <w14:solidFill>
              <w14:srgbClr w14:val="000000"/>
            </w14:solidFill>
            <w14:prstDash w14:val="solid"/>
            <w14:bevel/>
          </w14:textOutline>
        </w:rPr>
        <w:t>应答表</w:t>
      </w:r>
    </w:p>
    <w:p w14:paraId="56B01B54">
      <w:pPr>
        <w:pStyle w:val="13"/>
        <w:spacing w:line="324" w:lineRule="auto"/>
        <w:rPr>
          <w:rFonts w:hint="eastAsia"/>
          <w:lang w:eastAsia="zh-CN"/>
        </w:rPr>
      </w:pPr>
      <w:r>
        <w:rPr>
          <w:rFonts w:hint="eastAsia"/>
          <w:lang w:eastAsia="zh-CN"/>
        </w:rPr>
        <w:t>项目名称：</w:t>
      </w:r>
    </w:p>
    <w:p w14:paraId="27F3ED0F">
      <w:pPr>
        <w:pStyle w:val="13"/>
        <w:spacing w:line="324" w:lineRule="auto"/>
        <w:rPr>
          <w:rFonts w:hint="eastAsia"/>
          <w:lang w:eastAsia="zh-CN"/>
        </w:rPr>
      </w:pPr>
      <w:r>
        <w:rPr>
          <w:rFonts w:hint="eastAsia"/>
          <w:lang w:eastAsia="zh-CN"/>
        </w:rPr>
        <w:t>项目编号：</w:t>
      </w:r>
    </w:p>
    <w:p w14:paraId="481F56C2">
      <w:pPr>
        <w:pStyle w:val="13"/>
        <w:spacing w:line="324" w:lineRule="auto"/>
        <w:rPr>
          <w:rFonts w:hint="eastAsia"/>
          <w:lang w:eastAsia="zh-CN"/>
        </w:rPr>
      </w:pPr>
      <w:r>
        <w:rPr>
          <w:rFonts w:hint="eastAsia"/>
          <w:lang w:eastAsia="zh-CN"/>
        </w:rPr>
        <w:t>包号：</w:t>
      </w:r>
    </w:p>
    <w:tbl>
      <w:tblPr>
        <w:tblStyle w:val="24"/>
        <w:tblW w:w="91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0"/>
        <w:gridCol w:w="1550"/>
        <w:gridCol w:w="3464"/>
        <w:gridCol w:w="3465"/>
      </w:tblGrid>
      <w:tr w14:paraId="0F28D9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688B7C3C">
            <w:pPr>
              <w:pStyle w:val="27"/>
              <w:spacing w:before="89" w:line="207" w:lineRule="auto"/>
              <w:jc w:val="center"/>
            </w:pPr>
            <w:r>
              <w:rPr>
                <w:spacing w:val="-5"/>
              </w:rPr>
              <w:t>序号</w:t>
            </w:r>
          </w:p>
        </w:tc>
        <w:tc>
          <w:tcPr>
            <w:tcW w:w="1550" w:type="dxa"/>
            <w:vAlign w:val="center"/>
          </w:tcPr>
          <w:p w14:paraId="0C1F1617">
            <w:pPr>
              <w:pStyle w:val="27"/>
              <w:spacing w:before="89" w:line="207" w:lineRule="auto"/>
              <w:jc w:val="center"/>
              <w:rPr>
                <w:rFonts w:hint="eastAsia" w:eastAsia="宋体"/>
                <w:lang w:eastAsia="zh-CN"/>
              </w:rPr>
            </w:pPr>
            <w:r>
              <w:rPr>
                <w:rFonts w:hint="eastAsia"/>
                <w:spacing w:val="-2"/>
                <w:lang w:eastAsia="zh-CN"/>
              </w:rPr>
              <w:t>装备名称（标的名称）</w:t>
            </w:r>
          </w:p>
        </w:tc>
        <w:tc>
          <w:tcPr>
            <w:tcW w:w="3464" w:type="dxa"/>
            <w:vAlign w:val="center"/>
          </w:tcPr>
          <w:p w14:paraId="783BFCA7">
            <w:pPr>
              <w:pStyle w:val="27"/>
              <w:spacing w:before="89" w:line="207" w:lineRule="auto"/>
              <w:jc w:val="center"/>
              <w:rPr>
                <w:rFonts w:hint="eastAsia" w:eastAsia="宋体"/>
                <w:lang w:eastAsia="zh-CN"/>
              </w:rPr>
            </w:pPr>
            <w:r>
              <w:rPr>
                <w:spacing w:val="-2"/>
              </w:rPr>
              <w:t>招标文件要求</w:t>
            </w:r>
            <w:r>
              <w:rPr>
                <w:rFonts w:hint="eastAsia"/>
                <w:spacing w:val="-2"/>
                <w:lang w:eastAsia="zh-CN"/>
              </w:rPr>
              <w:t>（技术参数）</w:t>
            </w:r>
          </w:p>
        </w:tc>
        <w:tc>
          <w:tcPr>
            <w:tcW w:w="3465" w:type="dxa"/>
            <w:vAlign w:val="center"/>
          </w:tcPr>
          <w:p w14:paraId="56617631">
            <w:pPr>
              <w:pStyle w:val="27"/>
              <w:spacing w:before="89" w:line="207" w:lineRule="auto"/>
              <w:jc w:val="center"/>
              <w:rPr>
                <w:rFonts w:hint="eastAsia" w:eastAsia="宋体"/>
                <w:lang w:eastAsia="zh-CN"/>
              </w:rPr>
            </w:pPr>
            <w:r>
              <w:rPr>
                <w:spacing w:val="-3"/>
              </w:rPr>
              <w:t>投标文件应答</w:t>
            </w:r>
            <w:r>
              <w:rPr>
                <w:rFonts w:hint="eastAsia"/>
                <w:spacing w:val="-3"/>
                <w:lang w:eastAsia="zh-CN"/>
              </w:rPr>
              <w:t>（技术参数）</w:t>
            </w:r>
          </w:p>
        </w:tc>
      </w:tr>
      <w:tr w14:paraId="174B9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720" w:type="dxa"/>
            <w:vAlign w:val="center"/>
          </w:tcPr>
          <w:p w14:paraId="1B15FBC8">
            <w:pPr>
              <w:jc w:val="center"/>
              <w:rPr>
                <w:rFonts w:ascii="Arial"/>
                <w:sz w:val="21"/>
              </w:rPr>
            </w:pPr>
          </w:p>
        </w:tc>
        <w:tc>
          <w:tcPr>
            <w:tcW w:w="1550" w:type="dxa"/>
            <w:vAlign w:val="center"/>
          </w:tcPr>
          <w:p w14:paraId="4164153A">
            <w:pPr>
              <w:jc w:val="center"/>
              <w:rPr>
                <w:rFonts w:ascii="Arial"/>
                <w:sz w:val="21"/>
              </w:rPr>
            </w:pPr>
          </w:p>
        </w:tc>
        <w:tc>
          <w:tcPr>
            <w:tcW w:w="3464" w:type="dxa"/>
            <w:vAlign w:val="top"/>
          </w:tcPr>
          <w:p w14:paraId="007258FA">
            <w:pPr>
              <w:rPr>
                <w:rFonts w:ascii="Arial"/>
                <w:sz w:val="21"/>
              </w:rPr>
            </w:pPr>
          </w:p>
        </w:tc>
        <w:tc>
          <w:tcPr>
            <w:tcW w:w="3465" w:type="dxa"/>
            <w:vAlign w:val="top"/>
          </w:tcPr>
          <w:p w14:paraId="0792ADFA">
            <w:pPr>
              <w:rPr>
                <w:rFonts w:ascii="Arial"/>
                <w:sz w:val="21"/>
              </w:rPr>
            </w:pPr>
          </w:p>
        </w:tc>
      </w:tr>
      <w:tr w14:paraId="40281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720" w:type="dxa"/>
            <w:vAlign w:val="center"/>
          </w:tcPr>
          <w:p w14:paraId="244B1E47">
            <w:pPr>
              <w:jc w:val="center"/>
              <w:rPr>
                <w:rFonts w:ascii="Arial"/>
                <w:sz w:val="21"/>
              </w:rPr>
            </w:pPr>
          </w:p>
        </w:tc>
        <w:tc>
          <w:tcPr>
            <w:tcW w:w="1550" w:type="dxa"/>
            <w:vAlign w:val="center"/>
          </w:tcPr>
          <w:p w14:paraId="2CAC18D0">
            <w:pPr>
              <w:jc w:val="center"/>
              <w:rPr>
                <w:rFonts w:ascii="Arial"/>
                <w:sz w:val="21"/>
              </w:rPr>
            </w:pPr>
          </w:p>
        </w:tc>
        <w:tc>
          <w:tcPr>
            <w:tcW w:w="3464" w:type="dxa"/>
            <w:vAlign w:val="top"/>
          </w:tcPr>
          <w:p w14:paraId="5A3F025A">
            <w:pPr>
              <w:rPr>
                <w:rFonts w:ascii="Arial"/>
                <w:sz w:val="21"/>
              </w:rPr>
            </w:pPr>
          </w:p>
        </w:tc>
        <w:tc>
          <w:tcPr>
            <w:tcW w:w="3465" w:type="dxa"/>
            <w:vAlign w:val="top"/>
          </w:tcPr>
          <w:p w14:paraId="7353B34C">
            <w:pPr>
              <w:rPr>
                <w:rFonts w:ascii="Arial"/>
                <w:sz w:val="21"/>
              </w:rPr>
            </w:pPr>
          </w:p>
        </w:tc>
      </w:tr>
      <w:tr w14:paraId="22D33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720" w:type="dxa"/>
            <w:vAlign w:val="center"/>
          </w:tcPr>
          <w:p w14:paraId="56B0F29A">
            <w:pPr>
              <w:jc w:val="center"/>
              <w:rPr>
                <w:rFonts w:ascii="Arial"/>
                <w:sz w:val="21"/>
              </w:rPr>
            </w:pPr>
          </w:p>
        </w:tc>
        <w:tc>
          <w:tcPr>
            <w:tcW w:w="1550" w:type="dxa"/>
            <w:vAlign w:val="center"/>
          </w:tcPr>
          <w:p w14:paraId="65D369CC">
            <w:pPr>
              <w:jc w:val="center"/>
              <w:rPr>
                <w:rFonts w:ascii="Arial"/>
                <w:sz w:val="21"/>
              </w:rPr>
            </w:pPr>
          </w:p>
        </w:tc>
        <w:tc>
          <w:tcPr>
            <w:tcW w:w="3464" w:type="dxa"/>
            <w:vAlign w:val="top"/>
          </w:tcPr>
          <w:p w14:paraId="3AB75D91">
            <w:pPr>
              <w:rPr>
                <w:rFonts w:ascii="Arial"/>
                <w:sz w:val="21"/>
              </w:rPr>
            </w:pPr>
          </w:p>
        </w:tc>
        <w:tc>
          <w:tcPr>
            <w:tcW w:w="3465" w:type="dxa"/>
            <w:vAlign w:val="top"/>
          </w:tcPr>
          <w:p w14:paraId="41DC04C3">
            <w:pPr>
              <w:rPr>
                <w:rFonts w:ascii="Arial"/>
                <w:sz w:val="21"/>
              </w:rPr>
            </w:pPr>
          </w:p>
        </w:tc>
      </w:tr>
      <w:tr w14:paraId="0986E9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720" w:type="dxa"/>
            <w:vAlign w:val="center"/>
          </w:tcPr>
          <w:p w14:paraId="4FEE0DE6">
            <w:pPr>
              <w:jc w:val="center"/>
              <w:rPr>
                <w:rFonts w:ascii="Arial"/>
                <w:sz w:val="21"/>
              </w:rPr>
            </w:pPr>
          </w:p>
        </w:tc>
        <w:tc>
          <w:tcPr>
            <w:tcW w:w="1550" w:type="dxa"/>
            <w:vAlign w:val="center"/>
          </w:tcPr>
          <w:p w14:paraId="20D54CCF">
            <w:pPr>
              <w:jc w:val="center"/>
              <w:rPr>
                <w:rFonts w:ascii="Arial"/>
                <w:sz w:val="21"/>
              </w:rPr>
            </w:pPr>
          </w:p>
        </w:tc>
        <w:tc>
          <w:tcPr>
            <w:tcW w:w="3464" w:type="dxa"/>
            <w:vAlign w:val="top"/>
          </w:tcPr>
          <w:p w14:paraId="2C1A253A">
            <w:pPr>
              <w:rPr>
                <w:rFonts w:ascii="Arial"/>
                <w:sz w:val="21"/>
              </w:rPr>
            </w:pPr>
          </w:p>
        </w:tc>
        <w:tc>
          <w:tcPr>
            <w:tcW w:w="3465" w:type="dxa"/>
            <w:vAlign w:val="top"/>
          </w:tcPr>
          <w:p w14:paraId="3CBF6E61">
            <w:pPr>
              <w:rPr>
                <w:rFonts w:ascii="Arial"/>
                <w:sz w:val="21"/>
              </w:rPr>
            </w:pPr>
          </w:p>
        </w:tc>
      </w:tr>
      <w:tr w14:paraId="03768F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jc w:val="center"/>
        </w:trPr>
        <w:tc>
          <w:tcPr>
            <w:tcW w:w="720" w:type="dxa"/>
            <w:vAlign w:val="center"/>
          </w:tcPr>
          <w:p w14:paraId="7912BA18">
            <w:pPr>
              <w:jc w:val="center"/>
              <w:rPr>
                <w:rFonts w:ascii="Arial"/>
                <w:sz w:val="21"/>
              </w:rPr>
            </w:pPr>
          </w:p>
        </w:tc>
        <w:tc>
          <w:tcPr>
            <w:tcW w:w="1550" w:type="dxa"/>
            <w:vAlign w:val="center"/>
          </w:tcPr>
          <w:p w14:paraId="778BC316">
            <w:pPr>
              <w:jc w:val="center"/>
              <w:rPr>
                <w:rFonts w:ascii="Arial"/>
                <w:sz w:val="21"/>
              </w:rPr>
            </w:pPr>
          </w:p>
        </w:tc>
        <w:tc>
          <w:tcPr>
            <w:tcW w:w="3464" w:type="dxa"/>
            <w:vAlign w:val="top"/>
          </w:tcPr>
          <w:p w14:paraId="383EB7CB">
            <w:pPr>
              <w:rPr>
                <w:rFonts w:ascii="Arial"/>
                <w:sz w:val="21"/>
              </w:rPr>
            </w:pPr>
          </w:p>
        </w:tc>
        <w:tc>
          <w:tcPr>
            <w:tcW w:w="3465" w:type="dxa"/>
            <w:vAlign w:val="top"/>
          </w:tcPr>
          <w:p w14:paraId="04E6A318">
            <w:pPr>
              <w:rPr>
                <w:rFonts w:ascii="Arial"/>
                <w:sz w:val="21"/>
              </w:rPr>
            </w:pPr>
          </w:p>
        </w:tc>
      </w:tr>
      <w:tr w14:paraId="47577A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jc w:val="center"/>
        </w:trPr>
        <w:tc>
          <w:tcPr>
            <w:tcW w:w="720" w:type="dxa"/>
            <w:vAlign w:val="center"/>
          </w:tcPr>
          <w:p w14:paraId="1E7EED07">
            <w:pPr>
              <w:jc w:val="center"/>
              <w:rPr>
                <w:rFonts w:ascii="Arial"/>
                <w:sz w:val="21"/>
              </w:rPr>
            </w:pPr>
          </w:p>
        </w:tc>
        <w:tc>
          <w:tcPr>
            <w:tcW w:w="1550" w:type="dxa"/>
            <w:vAlign w:val="center"/>
          </w:tcPr>
          <w:p w14:paraId="70FDB4CE">
            <w:pPr>
              <w:jc w:val="center"/>
              <w:rPr>
                <w:rFonts w:ascii="Arial"/>
                <w:sz w:val="21"/>
              </w:rPr>
            </w:pPr>
          </w:p>
        </w:tc>
        <w:tc>
          <w:tcPr>
            <w:tcW w:w="3464" w:type="dxa"/>
            <w:vAlign w:val="top"/>
          </w:tcPr>
          <w:p w14:paraId="3430BF92">
            <w:pPr>
              <w:rPr>
                <w:rFonts w:ascii="Arial"/>
                <w:sz w:val="21"/>
              </w:rPr>
            </w:pPr>
          </w:p>
        </w:tc>
        <w:tc>
          <w:tcPr>
            <w:tcW w:w="3465" w:type="dxa"/>
            <w:vAlign w:val="top"/>
          </w:tcPr>
          <w:p w14:paraId="6633E788">
            <w:pPr>
              <w:rPr>
                <w:rFonts w:ascii="Arial"/>
                <w:sz w:val="21"/>
              </w:rPr>
            </w:pPr>
          </w:p>
        </w:tc>
      </w:tr>
      <w:tr w14:paraId="6B59D3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280824FE">
            <w:pPr>
              <w:jc w:val="center"/>
              <w:rPr>
                <w:rFonts w:ascii="Arial"/>
                <w:sz w:val="21"/>
              </w:rPr>
            </w:pPr>
          </w:p>
        </w:tc>
        <w:tc>
          <w:tcPr>
            <w:tcW w:w="1550" w:type="dxa"/>
            <w:vAlign w:val="center"/>
          </w:tcPr>
          <w:p w14:paraId="64F4AA5F">
            <w:pPr>
              <w:jc w:val="center"/>
              <w:rPr>
                <w:rFonts w:ascii="Arial"/>
                <w:sz w:val="21"/>
              </w:rPr>
            </w:pPr>
          </w:p>
        </w:tc>
        <w:tc>
          <w:tcPr>
            <w:tcW w:w="3464" w:type="dxa"/>
            <w:vAlign w:val="top"/>
          </w:tcPr>
          <w:p w14:paraId="78ECB7A2">
            <w:pPr>
              <w:rPr>
                <w:rFonts w:ascii="Arial"/>
                <w:sz w:val="21"/>
              </w:rPr>
            </w:pPr>
          </w:p>
        </w:tc>
        <w:tc>
          <w:tcPr>
            <w:tcW w:w="3465" w:type="dxa"/>
            <w:vAlign w:val="top"/>
          </w:tcPr>
          <w:p w14:paraId="7DDB953D">
            <w:pPr>
              <w:rPr>
                <w:rFonts w:ascii="Arial"/>
                <w:sz w:val="21"/>
              </w:rPr>
            </w:pPr>
          </w:p>
        </w:tc>
      </w:tr>
      <w:tr w14:paraId="21474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1F8D94C7">
            <w:pPr>
              <w:jc w:val="center"/>
              <w:rPr>
                <w:rFonts w:ascii="Arial"/>
                <w:sz w:val="21"/>
              </w:rPr>
            </w:pPr>
          </w:p>
        </w:tc>
        <w:tc>
          <w:tcPr>
            <w:tcW w:w="1550" w:type="dxa"/>
            <w:vAlign w:val="center"/>
          </w:tcPr>
          <w:p w14:paraId="0736AC28">
            <w:pPr>
              <w:jc w:val="center"/>
              <w:rPr>
                <w:rFonts w:ascii="Arial"/>
                <w:sz w:val="21"/>
              </w:rPr>
            </w:pPr>
          </w:p>
        </w:tc>
        <w:tc>
          <w:tcPr>
            <w:tcW w:w="3464" w:type="dxa"/>
            <w:vAlign w:val="top"/>
          </w:tcPr>
          <w:p w14:paraId="74B9FCF5">
            <w:pPr>
              <w:rPr>
                <w:rFonts w:ascii="Arial"/>
                <w:sz w:val="21"/>
              </w:rPr>
            </w:pPr>
          </w:p>
        </w:tc>
        <w:tc>
          <w:tcPr>
            <w:tcW w:w="3465" w:type="dxa"/>
            <w:vAlign w:val="top"/>
          </w:tcPr>
          <w:p w14:paraId="1715B8A7">
            <w:pPr>
              <w:rPr>
                <w:rFonts w:ascii="Arial"/>
                <w:sz w:val="21"/>
              </w:rPr>
            </w:pPr>
          </w:p>
        </w:tc>
      </w:tr>
      <w:tr w14:paraId="2607DE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1D558B71">
            <w:pPr>
              <w:jc w:val="center"/>
              <w:rPr>
                <w:rFonts w:ascii="Arial"/>
                <w:sz w:val="21"/>
              </w:rPr>
            </w:pPr>
          </w:p>
        </w:tc>
        <w:tc>
          <w:tcPr>
            <w:tcW w:w="1550" w:type="dxa"/>
            <w:vAlign w:val="center"/>
          </w:tcPr>
          <w:p w14:paraId="1593568E">
            <w:pPr>
              <w:jc w:val="center"/>
              <w:rPr>
                <w:rFonts w:ascii="Arial"/>
                <w:sz w:val="21"/>
              </w:rPr>
            </w:pPr>
          </w:p>
        </w:tc>
        <w:tc>
          <w:tcPr>
            <w:tcW w:w="3464" w:type="dxa"/>
            <w:vAlign w:val="top"/>
          </w:tcPr>
          <w:p w14:paraId="7A19D88B">
            <w:pPr>
              <w:rPr>
                <w:rFonts w:ascii="Arial"/>
                <w:sz w:val="21"/>
              </w:rPr>
            </w:pPr>
          </w:p>
        </w:tc>
        <w:tc>
          <w:tcPr>
            <w:tcW w:w="3465" w:type="dxa"/>
            <w:vAlign w:val="top"/>
          </w:tcPr>
          <w:p w14:paraId="4F5BD09C">
            <w:pPr>
              <w:rPr>
                <w:rFonts w:ascii="Arial"/>
                <w:sz w:val="21"/>
              </w:rPr>
            </w:pPr>
          </w:p>
        </w:tc>
      </w:tr>
      <w:tr w14:paraId="24E16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1238411B">
            <w:pPr>
              <w:jc w:val="center"/>
              <w:rPr>
                <w:rFonts w:ascii="Arial"/>
                <w:sz w:val="21"/>
              </w:rPr>
            </w:pPr>
          </w:p>
        </w:tc>
        <w:tc>
          <w:tcPr>
            <w:tcW w:w="1550" w:type="dxa"/>
            <w:vAlign w:val="center"/>
          </w:tcPr>
          <w:p w14:paraId="1751A242">
            <w:pPr>
              <w:jc w:val="center"/>
              <w:rPr>
                <w:rFonts w:ascii="Arial"/>
                <w:sz w:val="21"/>
              </w:rPr>
            </w:pPr>
          </w:p>
        </w:tc>
        <w:tc>
          <w:tcPr>
            <w:tcW w:w="3464" w:type="dxa"/>
            <w:vAlign w:val="top"/>
          </w:tcPr>
          <w:p w14:paraId="71392338">
            <w:pPr>
              <w:rPr>
                <w:rFonts w:ascii="Arial"/>
                <w:sz w:val="21"/>
              </w:rPr>
            </w:pPr>
          </w:p>
        </w:tc>
        <w:tc>
          <w:tcPr>
            <w:tcW w:w="3465" w:type="dxa"/>
            <w:vAlign w:val="top"/>
          </w:tcPr>
          <w:p w14:paraId="12A01005">
            <w:pPr>
              <w:rPr>
                <w:rFonts w:ascii="Arial"/>
                <w:sz w:val="21"/>
              </w:rPr>
            </w:pPr>
          </w:p>
        </w:tc>
      </w:tr>
      <w:tr w14:paraId="784B9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720" w:type="dxa"/>
            <w:vAlign w:val="center"/>
          </w:tcPr>
          <w:p w14:paraId="122D3294">
            <w:pPr>
              <w:jc w:val="center"/>
              <w:rPr>
                <w:rFonts w:ascii="Arial"/>
                <w:sz w:val="21"/>
              </w:rPr>
            </w:pPr>
          </w:p>
        </w:tc>
        <w:tc>
          <w:tcPr>
            <w:tcW w:w="1550" w:type="dxa"/>
            <w:vAlign w:val="center"/>
          </w:tcPr>
          <w:p w14:paraId="115C18AF">
            <w:pPr>
              <w:jc w:val="center"/>
              <w:rPr>
                <w:rFonts w:ascii="Arial"/>
                <w:sz w:val="21"/>
              </w:rPr>
            </w:pPr>
          </w:p>
        </w:tc>
        <w:tc>
          <w:tcPr>
            <w:tcW w:w="3464" w:type="dxa"/>
            <w:vAlign w:val="top"/>
          </w:tcPr>
          <w:p w14:paraId="6E0ED539">
            <w:pPr>
              <w:rPr>
                <w:rFonts w:ascii="Arial"/>
                <w:sz w:val="21"/>
              </w:rPr>
            </w:pPr>
          </w:p>
        </w:tc>
        <w:tc>
          <w:tcPr>
            <w:tcW w:w="3465" w:type="dxa"/>
            <w:vAlign w:val="top"/>
          </w:tcPr>
          <w:p w14:paraId="0A31FAB9">
            <w:pPr>
              <w:rPr>
                <w:rFonts w:ascii="Arial"/>
                <w:sz w:val="21"/>
              </w:rPr>
            </w:pPr>
          </w:p>
        </w:tc>
      </w:tr>
    </w:tbl>
    <w:p w14:paraId="6C489464">
      <w:pPr>
        <w:pStyle w:val="13"/>
        <w:spacing w:line="365" w:lineRule="auto"/>
      </w:pPr>
    </w:p>
    <w:p w14:paraId="7C1D6489">
      <w:pPr>
        <w:pStyle w:val="14"/>
      </w:pPr>
    </w:p>
    <w:p w14:paraId="0CCD9D15"/>
    <w:p w14:paraId="2AF5636E">
      <w:pPr>
        <w:spacing w:before="78" w:line="248" w:lineRule="auto"/>
        <w:ind w:left="960" w:hanging="482"/>
        <w:rPr>
          <w:rFonts w:hint="default" w:ascii="宋体" w:hAnsi="宋体" w:eastAsia="宋体" w:cs="宋体"/>
          <w:sz w:val="24"/>
          <w:szCs w:val="24"/>
          <w:lang w:val="en-US" w:eastAsia="zh-CN"/>
        </w:rPr>
      </w:pPr>
      <w:r>
        <w:rPr>
          <w:rFonts w:ascii="宋体" w:hAnsi="宋体" w:eastAsia="宋体" w:cs="宋体"/>
          <w:spacing w:val="-2"/>
          <w:sz w:val="24"/>
          <w:szCs w:val="24"/>
        </w:rPr>
        <w:t>注：</w:t>
      </w:r>
      <w:r>
        <w:rPr>
          <w:rFonts w:hint="eastAsia" w:ascii="宋体" w:hAnsi="宋体" w:eastAsia="宋体" w:cs="宋体"/>
          <w:spacing w:val="-2"/>
          <w:sz w:val="24"/>
          <w:szCs w:val="24"/>
          <w:lang w:val="en-US" w:eastAsia="zh-CN"/>
        </w:rPr>
        <w:t>1</w:t>
      </w:r>
      <w:r>
        <w:rPr>
          <w:rFonts w:hint="eastAsia" w:ascii="宋体" w:hAnsi="宋体" w:eastAsia="宋体" w:cs="宋体"/>
          <w:spacing w:val="-1"/>
          <w:sz w:val="24"/>
          <w:szCs w:val="24"/>
          <w:lang w:val="en-US" w:eastAsia="zh-CN"/>
        </w:rPr>
        <w:t>.</w:t>
      </w:r>
      <w:r>
        <w:rPr>
          <w:rFonts w:ascii="宋体" w:hAnsi="宋体" w:eastAsia="宋体" w:cs="宋体"/>
          <w:spacing w:val="-1"/>
          <w:sz w:val="24"/>
          <w:szCs w:val="24"/>
        </w:rPr>
        <w:t>按照招标项目</w:t>
      </w:r>
      <w:r>
        <w:rPr>
          <w:rFonts w:hint="eastAsia" w:ascii="宋体" w:hAnsi="宋体" w:eastAsia="宋体" w:cs="宋体"/>
          <w:spacing w:val="-1"/>
          <w:sz w:val="24"/>
          <w:szCs w:val="24"/>
          <w:lang w:eastAsia="zh-CN"/>
        </w:rPr>
        <w:t>标的名称及技术参数</w:t>
      </w:r>
      <w:r>
        <w:rPr>
          <w:rFonts w:ascii="宋体" w:hAnsi="宋体" w:eastAsia="宋体" w:cs="宋体"/>
          <w:spacing w:val="-1"/>
          <w:sz w:val="24"/>
          <w:szCs w:val="24"/>
        </w:rPr>
        <w:t>的顺序逐</w:t>
      </w:r>
      <w:r>
        <w:rPr>
          <w:rFonts w:hint="eastAsia" w:ascii="宋体" w:hAnsi="宋体" w:eastAsia="宋体" w:cs="宋体"/>
          <w:spacing w:val="-1"/>
          <w:sz w:val="24"/>
          <w:szCs w:val="24"/>
          <w:lang w:eastAsia="zh-CN"/>
        </w:rPr>
        <w:t>项</w:t>
      </w:r>
      <w:r>
        <w:rPr>
          <w:rFonts w:ascii="宋体" w:hAnsi="宋体" w:eastAsia="宋体" w:cs="宋体"/>
          <w:spacing w:val="-1"/>
          <w:sz w:val="24"/>
          <w:szCs w:val="24"/>
        </w:rPr>
        <w:t>对应填写。</w:t>
      </w:r>
      <w:r>
        <w:rPr>
          <w:rFonts w:ascii="宋体" w:hAnsi="宋体" w:eastAsia="宋体" w:cs="宋体"/>
          <w:spacing w:val="-1"/>
          <w:sz w:val="24"/>
          <w:szCs w:val="24"/>
        </w:rPr>
        <w:br w:type="textWrapping"/>
      </w:r>
      <w:r>
        <w:rPr>
          <w:rFonts w:hint="eastAsia" w:ascii="宋体" w:hAnsi="宋体" w:eastAsia="宋体" w:cs="宋体"/>
          <w:spacing w:val="-1"/>
          <w:sz w:val="24"/>
          <w:szCs w:val="24"/>
          <w:lang w:val="en-US" w:eastAsia="zh-CN"/>
        </w:rPr>
        <w:t>2.技术参数中有要求提供相关资料或供应商自愿提供相关资料的，将材料附此应答表之后。</w:t>
      </w:r>
    </w:p>
    <w:p w14:paraId="642DBEC4">
      <w:pPr>
        <w:spacing w:before="74" w:line="219" w:lineRule="auto"/>
        <w:ind w:left="962"/>
        <w:rPr>
          <w:rFonts w:ascii="宋体" w:hAnsi="宋体" w:eastAsia="宋体" w:cs="宋体"/>
          <w:sz w:val="24"/>
          <w:szCs w:val="24"/>
        </w:rPr>
      </w:pPr>
      <w:r>
        <w:rPr>
          <w:rFonts w:hint="eastAsia" w:ascii="宋体" w:hAnsi="宋体" w:eastAsia="宋体" w:cs="宋体"/>
          <w:spacing w:val="-1"/>
          <w:sz w:val="24"/>
          <w:szCs w:val="24"/>
          <w:lang w:val="en-US" w:eastAsia="zh-CN"/>
        </w:rPr>
        <w:t>3.</w:t>
      </w:r>
      <w:r>
        <w:rPr>
          <w:rFonts w:ascii="宋体" w:hAnsi="宋体" w:eastAsia="宋体" w:cs="宋体"/>
          <w:spacing w:val="-1"/>
          <w:sz w:val="24"/>
          <w:szCs w:val="24"/>
        </w:rPr>
        <w:t>供应商必须据实填写，不得虚假填写，否则将取消其投标或中标资格。</w:t>
      </w:r>
    </w:p>
    <w:p w14:paraId="5237672B">
      <w:pPr>
        <w:pStyle w:val="13"/>
        <w:spacing w:line="255" w:lineRule="auto"/>
        <w:rPr>
          <w:rFonts w:hint="eastAsia" w:eastAsia="宋体"/>
          <w:lang w:val="en-US" w:eastAsia="zh-CN"/>
        </w:rPr>
      </w:pPr>
    </w:p>
    <w:p w14:paraId="4441B27A">
      <w:pPr>
        <w:pStyle w:val="13"/>
        <w:spacing w:line="255" w:lineRule="auto"/>
      </w:pPr>
    </w:p>
    <w:p w14:paraId="742B4788">
      <w:pPr>
        <w:pStyle w:val="13"/>
        <w:spacing w:line="255" w:lineRule="auto"/>
      </w:pPr>
    </w:p>
    <w:p w14:paraId="31E6E1AB">
      <w:pPr>
        <w:spacing w:before="78" w:line="219" w:lineRule="auto"/>
        <w:ind w:left="485"/>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66BB3FB0">
      <w:pPr>
        <w:spacing w:before="214" w:line="501" w:lineRule="exact"/>
        <w:ind w:left="483"/>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09E6FA37">
      <w:pPr>
        <w:spacing w:before="1" w:line="220" w:lineRule="auto"/>
        <w:ind w:left="485"/>
        <w:rPr>
          <w:rFonts w:ascii="宋体" w:hAnsi="宋体" w:eastAsia="宋体" w:cs="宋体"/>
          <w:sz w:val="24"/>
          <w:szCs w:val="24"/>
        </w:rPr>
      </w:pPr>
      <w:r>
        <w:rPr>
          <w:rFonts w:ascii="宋体" w:hAnsi="宋体" w:eastAsia="宋体" w:cs="宋体"/>
          <w:spacing w:val="-3"/>
          <w:sz w:val="24"/>
          <w:szCs w:val="24"/>
        </w:rPr>
        <w:t>投标日期：</w:t>
      </w:r>
    </w:p>
    <w:p w14:paraId="3E470D12">
      <w:pPr>
        <w:spacing w:line="221" w:lineRule="auto"/>
        <w:rPr>
          <w:rFonts w:ascii="宋体" w:hAnsi="宋体" w:eastAsia="宋体" w:cs="宋体"/>
          <w:sz w:val="24"/>
          <w:szCs w:val="24"/>
        </w:rPr>
        <w:sectPr>
          <w:headerReference r:id="rId35" w:type="default"/>
          <w:footerReference r:id="rId36" w:type="default"/>
          <w:pgSz w:w="11906" w:h="16839"/>
          <w:pgMar w:top="1619" w:right="1111" w:bottom="1157" w:left="1588" w:header="851" w:footer="992" w:gutter="0"/>
          <w:pgNumType w:fmt="decimal"/>
          <w:cols w:space="720" w:num="1"/>
        </w:sectPr>
      </w:pPr>
    </w:p>
    <w:p w14:paraId="3484DD9D">
      <w:pPr>
        <w:pStyle w:val="13"/>
        <w:spacing w:line="248" w:lineRule="auto"/>
        <w:rPr>
          <w:color w:val="0000FF"/>
        </w:rPr>
      </w:pPr>
    </w:p>
    <w:p w14:paraId="709BF88E">
      <w:pPr>
        <w:spacing w:before="101" w:line="225" w:lineRule="auto"/>
        <w:ind w:left="13"/>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pPr>
      <w:r>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t>格式</w:t>
      </w:r>
      <w:r>
        <w:rPr>
          <w:rFonts w:ascii="宋体" w:hAnsi="宋体" w:eastAsia="宋体" w:cs="宋体"/>
          <w:color w:val="0000FF"/>
          <w:spacing w:val="-60"/>
          <w:sz w:val="31"/>
          <w:szCs w:val="31"/>
          <w:shd w:val="clear" w:color="auto" w:fill="auto"/>
        </w:rPr>
        <w:t xml:space="preserve"> </w:t>
      </w:r>
      <w:r>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t>2-10</w:t>
      </w:r>
    </w:p>
    <w:p w14:paraId="1BB1C41B">
      <w:pPr>
        <w:spacing w:before="18" w:line="225" w:lineRule="auto"/>
        <w:jc w:val="center"/>
        <w:outlineLvl w:val="2"/>
        <w:rPr>
          <w:rFonts w:ascii="宋体" w:hAnsi="宋体" w:eastAsia="宋体" w:cs="宋体"/>
          <w:sz w:val="31"/>
          <w:szCs w:val="31"/>
        </w:rPr>
      </w:pP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九</w:t>
      </w:r>
      <w:r>
        <w:rPr>
          <w:rFonts w:ascii="宋体" w:hAnsi="宋体" w:eastAsia="宋体" w:cs="宋体"/>
          <w:spacing w:val="8"/>
          <w:sz w:val="31"/>
          <w:szCs w:val="31"/>
          <w14:textOutline w14:w="5793" w14:cap="sq" w14:cmpd="sng">
            <w14:solidFill>
              <w14:srgbClr w14:val="000000"/>
            </w14:solidFill>
            <w14:prstDash w14:val="solid"/>
            <w14:bevel/>
          </w14:textOutline>
        </w:rPr>
        <w:t>、</w:t>
      </w:r>
      <w:r>
        <w:rPr>
          <w:rFonts w:hint="eastAsia" w:ascii="宋体" w:hAnsi="宋体" w:eastAsia="宋体" w:cs="宋体"/>
          <w:spacing w:val="8"/>
          <w:sz w:val="31"/>
          <w:szCs w:val="31"/>
          <w:lang w:eastAsia="zh-CN"/>
          <w14:textOutline w14:w="5793" w14:cap="sq" w14:cmpd="sng">
            <w14:solidFill>
              <w14:srgbClr w14:val="000000"/>
            </w14:solidFill>
            <w14:prstDash w14:val="solid"/>
            <w14:bevel/>
          </w14:textOutline>
        </w:rPr>
        <w:t>其他服务内容要求</w:t>
      </w:r>
      <w:r>
        <w:rPr>
          <w:rFonts w:ascii="宋体" w:hAnsi="宋体" w:eastAsia="宋体" w:cs="宋体"/>
          <w:spacing w:val="8"/>
          <w:sz w:val="31"/>
          <w:szCs w:val="31"/>
          <w14:textOutline w14:w="5793" w14:cap="sq" w14:cmpd="sng">
            <w14:solidFill>
              <w14:srgbClr w14:val="000000"/>
            </w14:solidFill>
            <w14:prstDash w14:val="solid"/>
            <w14:bevel/>
          </w14:textOutline>
        </w:rPr>
        <w:t>应答表</w:t>
      </w:r>
    </w:p>
    <w:p w14:paraId="55ABB96B">
      <w:pPr>
        <w:pStyle w:val="13"/>
        <w:spacing w:line="324" w:lineRule="auto"/>
        <w:rPr>
          <w:rFonts w:hint="eastAsia"/>
          <w:lang w:eastAsia="zh-CN"/>
        </w:rPr>
      </w:pPr>
      <w:r>
        <w:rPr>
          <w:rFonts w:hint="eastAsia"/>
          <w:lang w:eastAsia="zh-CN"/>
        </w:rPr>
        <w:t>项目名称：</w:t>
      </w:r>
    </w:p>
    <w:p w14:paraId="2DEBBC6B">
      <w:pPr>
        <w:pStyle w:val="13"/>
        <w:spacing w:line="324" w:lineRule="auto"/>
        <w:rPr>
          <w:rFonts w:hint="eastAsia"/>
          <w:lang w:eastAsia="zh-CN"/>
        </w:rPr>
      </w:pPr>
      <w:r>
        <w:rPr>
          <w:rFonts w:hint="eastAsia"/>
          <w:lang w:eastAsia="zh-CN"/>
        </w:rPr>
        <w:t>项目编号：</w:t>
      </w:r>
    </w:p>
    <w:p w14:paraId="61C6254F">
      <w:pPr>
        <w:pStyle w:val="13"/>
        <w:spacing w:line="324" w:lineRule="auto"/>
        <w:rPr>
          <w:rFonts w:hint="eastAsia"/>
          <w:lang w:eastAsia="zh-CN"/>
        </w:rPr>
      </w:pPr>
      <w:r>
        <w:rPr>
          <w:rFonts w:hint="eastAsia"/>
          <w:lang w:eastAsia="zh-CN"/>
        </w:rPr>
        <w:t>包号：</w:t>
      </w:r>
    </w:p>
    <w:tbl>
      <w:tblPr>
        <w:tblStyle w:val="24"/>
        <w:tblW w:w="927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8"/>
        <w:gridCol w:w="4181"/>
        <w:gridCol w:w="4254"/>
      </w:tblGrid>
      <w:tr w14:paraId="440088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838" w:type="dxa"/>
            <w:vAlign w:val="center"/>
          </w:tcPr>
          <w:p w14:paraId="3923C475">
            <w:pPr>
              <w:pStyle w:val="27"/>
              <w:spacing w:before="89" w:line="207" w:lineRule="auto"/>
              <w:jc w:val="center"/>
            </w:pPr>
            <w:r>
              <w:rPr>
                <w:spacing w:val="-5"/>
              </w:rPr>
              <w:t>序号</w:t>
            </w:r>
          </w:p>
        </w:tc>
        <w:tc>
          <w:tcPr>
            <w:tcW w:w="4181" w:type="dxa"/>
            <w:vAlign w:val="center"/>
          </w:tcPr>
          <w:p w14:paraId="1BF5520D">
            <w:pPr>
              <w:pStyle w:val="27"/>
              <w:spacing w:before="89" w:line="207" w:lineRule="auto"/>
              <w:jc w:val="center"/>
              <w:rPr>
                <w:rFonts w:hint="eastAsia" w:eastAsia="宋体"/>
                <w:lang w:eastAsia="zh-CN"/>
              </w:rPr>
            </w:pPr>
            <w:r>
              <w:rPr>
                <w:spacing w:val="-2"/>
              </w:rPr>
              <w:t>招标文件要求</w:t>
            </w:r>
          </w:p>
        </w:tc>
        <w:tc>
          <w:tcPr>
            <w:tcW w:w="4254" w:type="dxa"/>
            <w:vAlign w:val="center"/>
          </w:tcPr>
          <w:p w14:paraId="5F8403C5">
            <w:pPr>
              <w:pStyle w:val="27"/>
              <w:spacing w:before="89" w:line="207" w:lineRule="auto"/>
              <w:jc w:val="center"/>
              <w:rPr>
                <w:rFonts w:hint="eastAsia" w:eastAsia="宋体"/>
                <w:lang w:eastAsia="zh-CN"/>
              </w:rPr>
            </w:pPr>
            <w:r>
              <w:rPr>
                <w:spacing w:val="-3"/>
              </w:rPr>
              <w:t>投标文件应答</w:t>
            </w:r>
          </w:p>
        </w:tc>
      </w:tr>
      <w:tr w14:paraId="23EEC4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838" w:type="dxa"/>
            <w:vAlign w:val="center"/>
          </w:tcPr>
          <w:p w14:paraId="0C8874A8">
            <w:pPr>
              <w:jc w:val="center"/>
              <w:rPr>
                <w:rFonts w:ascii="Arial"/>
                <w:sz w:val="21"/>
              </w:rPr>
            </w:pPr>
          </w:p>
        </w:tc>
        <w:tc>
          <w:tcPr>
            <w:tcW w:w="4181" w:type="dxa"/>
            <w:vAlign w:val="top"/>
          </w:tcPr>
          <w:p w14:paraId="5B4B764F">
            <w:pPr>
              <w:rPr>
                <w:rFonts w:ascii="Arial"/>
                <w:sz w:val="21"/>
              </w:rPr>
            </w:pPr>
          </w:p>
        </w:tc>
        <w:tc>
          <w:tcPr>
            <w:tcW w:w="4254" w:type="dxa"/>
            <w:vAlign w:val="top"/>
          </w:tcPr>
          <w:p w14:paraId="6ED14090">
            <w:pPr>
              <w:rPr>
                <w:rFonts w:ascii="Arial"/>
                <w:sz w:val="21"/>
              </w:rPr>
            </w:pPr>
          </w:p>
        </w:tc>
      </w:tr>
      <w:tr w14:paraId="18620D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838" w:type="dxa"/>
            <w:vAlign w:val="center"/>
          </w:tcPr>
          <w:p w14:paraId="42FBE4C7">
            <w:pPr>
              <w:jc w:val="center"/>
              <w:rPr>
                <w:rFonts w:ascii="Arial"/>
                <w:sz w:val="21"/>
              </w:rPr>
            </w:pPr>
          </w:p>
        </w:tc>
        <w:tc>
          <w:tcPr>
            <w:tcW w:w="4181" w:type="dxa"/>
            <w:vAlign w:val="top"/>
          </w:tcPr>
          <w:p w14:paraId="4E0670AA">
            <w:pPr>
              <w:rPr>
                <w:rFonts w:ascii="Arial"/>
                <w:sz w:val="21"/>
              </w:rPr>
            </w:pPr>
          </w:p>
        </w:tc>
        <w:tc>
          <w:tcPr>
            <w:tcW w:w="4254" w:type="dxa"/>
            <w:vAlign w:val="top"/>
          </w:tcPr>
          <w:p w14:paraId="388C13E3">
            <w:pPr>
              <w:rPr>
                <w:rFonts w:ascii="Arial"/>
                <w:sz w:val="21"/>
              </w:rPr>
            </w:pPr>
          </w:p>
        </w:tc>
      </w:tr>
      <w:tr w14:paraId="2B1616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838" w:type="dxa"/>
            <w:vAlign w:val="center"/>
          </w:tcPr>
          <w:p w14:paraId="30B8C5CB">
            <w:pPr>
              <w:jc w:val="center"/>
              <w:rPr>
                <w:rFonts w:ascii="Arial"/>
                <w:sz w:val="21"/>
              </w:rPr>
            </w:pPr>
          </w:p>
        </w:tc>
        <w:tc>
          <w:tcPr>
            <w:tcW w:w="4181" w:type="dxa"/>
            <w:vAlign w:val="top"/>
          </w:tcPr>
          <w:p w14:paraId="172A5837">
            <w:pPr>
              <w:rPr>
                <w:rFonts w:ascii="Arial"/>
                <w:sz w:val="21"/>
              </w:rPr>
            </w:pPr>
          </w:p>
        </w:tc>
        <w:tc>
          <w:tcPr>
            <w:tcW w:w="4254" w:type="dxa"/>
            <w:vAlign w:val="top"/>
          </w:tcPr>
          <w:p w14:paraId="7DB1DB55">
            <w:pPr>
              <w:rPr>
                <w:rFonts w:ascii="Arial"/>
                <w:sz w:val="21"/>
              </w:rPr>
            </w:pPr>
          </w:p>
        </w:tc>
      </w:tr>
      <w:tr w14:paraId="6ED614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jc w:val="center"/>
        </w:trPr>
        <w:tc>
          <w:tcPr>
            <w:tcW w:w="838" w:type="dxa"/>
            <w:vAlign w:val="center"/>
          </w:tcPr>
          <w:p w14:paraId="4387D0AB">
            <w:pPr>
              <w:jc w:val="center"/>
              <w:rPr>
                <w:rFonts w:ascii="Arial"/>
                <w:sz w:val="21"/>
              </w:rPr>
            </w:pPr>
          </w:p>
        </w:tc>
        <w:tc>
          <w:tcPr>
            <w:tcW w:w="4181" w:type="dxa"/>
            <w:vAlign w:val="top"/>
          </w:tcPr>
          <w:p w14:paraId="6FB32307">
            <w:pPr>
              <w:rPr>
                <w:rFonts w:ascii="Arial"/>
                <w:sz w:val="21"/>
              </w:rPr>
            </w:pPr>
          </w:p>
        </w:tc>
        <w:tc>
          <w:tcPr>
            <w:tcW w:w="4254" w:type="dxa"/>
            <w:vAlign w:val="top"/>
          </w:tcPr>
          <w:p w14:paraId="63179BEC">
            <w:pPr>
              <w:rPr>
                <w:rFonts w:ascii="Arial"/>
                <w:sz w:val="21"/>
              </w:rPr>
            </w:pPr>
          </w:p>
        </w:tc>
      </w:tr>
      <w:tr w14:paraId="63291E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jc w:val="center"/>
        </w:trPr>
        <w:tc>
          <w:tcPr>
            <w:tcW w:w="838" w:type="dxa"/>
            <w:vAlign w:val="center"/>
          </w:tcPr>
          <w:p w14:paraId="6CBC2DA1">
            <w:pPr>
              <w:jc w:val="center"/>
              <w:rPr>
                <w:rFonts w:ascii="Arial"/>
                <w:sz w:val="21"/>
              </w:rPr>
            </w:pPr>
          </w:p>
        </w:tc>
        <w:tc>
          <w:tcPr>
            <w:tcW w:w="4181" w:type="dxa"/>
            <w:vAlign w:val="top"/>
          </w:tcPr>
          <w:p w14:paraId="3D9FECC1">
            <w:pPr>
              <w:rPr>
                <w:rFonts w:ascii="Arial"/>
                <w:sz w:val="21"/>
              </w:rPr>
            </w:pPr>
          </w:p>
        </w:tc>
        <w:tc>
          <w:tcPr>
            <w:tcW w:w="4254" w:type="dxa"/>
            <w:vAlign w:val="top"/>
          </w:tcPr>
          <w:p w14:paraId="3412ECC0">
            <w:pPr>
              <w:rPr>
                <w:rFonts w:ascii="Arial"/>
                <w:sz w:val="21"/>
              </w:rPr>
            </w:pPr>
          </w:p>
        </w:tc>
      </w:tr>
      <w:tr w14:paraId="6C4C50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jc w:val="center"/>
        </w:trPr>
        <w:tc>
          <w:tcPr>
            <w:tcW w:w="838" w:type="dxa"/>
            <w:vAlign w:val="center"/>
          </w:tcPr>
          <w:p w14:paraId="261E2335">
            <w:pPr>
              <w:jc w:val="center"/>
              <w:rPr>
                <w:rFonts w:ascii="Arial"/>
                <w:sz w:val="21"/>
              </w:rPr>
            </w:pPr>
          </w:p>
        </w:tc>
        <w:tc>
          <w:tcPr>
            <w:tcW w:w="4181" w:type="dxa"/>
            <w:vAlign w:val="top"/>
          </w:tcPr>
          <w:p w14:paraId="359A4AC3">
            <w:pPr>
              <w:rPr>
                <w:rFonts w:ascii="Arial"/>
                <w:sz w:val="21"/>
              </w:rPr>
            </w:pPr>
          </w:p>
        </w:tc>
        <w:tc>
          <w:tcPr>
            <w:tcW w:w="4254" w:type="dxa"/>
            <w:vAlign w:val="top"/>
          </w:tcPr>
          <w:p w14:paraId="44FBFBC2">
            <w:pPr>
              <w:rPr>
                <w:rFonts w:ascii="Arial"/>
                <w:sz w:val="21"/>
              </w:rPr>
            </w:pPr>
          </w:p>
        </w:tc>
      </w:tr>
      <w:tr w14:paraId="7A19FD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838" w:type="dxa"/>
            <w:vAlign w:val="center"/>
          </w:tcPr>
          <w:p w14:paraId="7564EDEA">
            <w:pPr>
              <w:jc w:val="center"/>
              <w:rPr>
                <w:rFonts w:ascii="Arial"/>
                <w:sz w:val="21"/>
              </w:rPr>
            </w:pPr>
          </w:p>
        </w:tc>
        <w:tc>
          <w:tcPr>
            <w:tcW w:w="4181" w:type="dxa"/>
            <w:vAlign w:val="top"/>
          </w:tcPr>
          <w:p w14:paraId="42999B61">
            <w:pPr>
              <w:rPr>
                <w:rFonts w:ascii="Arial"/>
                <w:sz w:val="21"/>
              </w:rPr>
            </w:pPr>
          </w:p>
        </w:tc>
        <w:tc>
          <w:tcPr>
            <w:tcW w:w="4254" w:type="dxa"/>
            <w:vAlign w:val="top"/>
          </w:tcPr>
          <w:p w14:paraId="2711B798">
            <w:pPr>
              <w:rPr>
                <w:rFonts w:ascii="Arial"/>
                <w:sz w:val="21"/>
              </w:rPr>
            </w:pPr>
          </w:p>
        </w:tc>
      </w:tr>
      <w:tr w14:paraId="4A9C06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838" w:type="dxa"/>
            <w:vAlign w:val="center"/>
          </w:tcPr>
          <w:p w14:paraId="1376CB5D">
            <w:pPr>
              <w:jc w:val="center"/>
              <w:rPr>
                <w:rFonts w:ascii="Arial"/>
                <w:sz w:val="21"/>
              </w:rPr>
            </w:pPr>
          </w:p>
        </w:tc>
        <w:tc>
          <w:tcPr>
            <w:tcW w:w="4181" w:type="dxa"/>
            <w:vAlign w:val="top"/>
          </w:tcPr>
          <w:p w14:paraId="53DFAA5B">
            <w:pPr>
              <w:rPr>
                <w:rFonts w:ascii="Arial"/>
                <w:sz w:val="21"/>
              </w:rPr>
            </w:pPr>
          </w:p>
        </w:tc>
        <w:tc>
          <w:tcPr>
            <w:tcW w:w="4254" w:type="dxa"/>
            <w:vAlign w:val="top"/>
          </w:tcPr>
          <w:p w14:paraId="27F50B1F">
            <w:pPr>
              <w:rPr>
                <w:rFonts w:ascii="Arial"/>
                <w:sz w:val="21"/>
              </w:rPr>
            </w:pPr>
          </w:p>
        </w:tc>
      </w:tr>
      <w:tr w14:paraId="12DD42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838" w:type="dxa"/>
            <w:vAlign w:val="center"/>
          </w:tcPr>
          <w:p w14:paraId="0E7A1420">
            <w:pPr>
              <w:jc w:val="center"/>
              <w:rPr>
                <w:rFonts w:ascii="Arial"/>
                <w:sz w:val="21"/>
              </w:rPr>
            </w:pPr>
          </w:p>
        </w:tc>
        <w:tc>
          <w:tcPr>
            <w:tcW w:w="4181" w:type="dxa"/>
            <w:vAlign w:val="top"/>
          </w:tcPr>
          <w:p w14:paraId="33320C05">
            <w:pPr>
              <w:rPr>
                <w:rFonts w:ascii="Arial"/>
                <w:sz w:val="21"/>
              </w:rPr>
            </w:pPr>
          </w:p>
        </w:tc>
        <w:tc>
          <w:tcPr>
            <w:tcW w:w="4254" w:type="dxa"/>
            <w:vAlign w:val="top"/>
          </w:tcPr>
          <w:p w14:paraId="12007EF2">
            <w:pPr>
              <w:rPr>
                <w:rFonts w:ascii="Arial"/>
                <w:sz w:val="21"/>
              </w:rPr>
            </w:pPr>
          </w:p>
        </w:tc>
      </w:tr>
      <w:tr w14:paraId="37905B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838" w:type="dxa"/>
            <w:vAlign w:val="center"/>
          </w:tcPr>
          <w:p w14:paraId="1EBA9EED">
            <w:pPr>
              <w:jc w:val="center"/>
              <w:rPr>
                <w:rFonts w:ascii="Arial"/>
                <w:sz w:val="21"/>
              </w:rPr>
            </w:pPr>
          </w:p>
        </w:tc>
        <w:tc>
          <w:tcPr>
            <w:tcW w:w="4181" w:type="dxa"/>
            <w:vAlign w:val="top"/>
          </w:tcPr>
          <w:p w14:paraId="506E8E7C">
            <w:pPr>
              <w:rPr>
                <w:rFonts w:ascii="Arial"/>
                <w:sz w:val="21"/>
              </w:rPr>
            </w:pPr>
          </w:p>
        </w:tc>
        <w:tc>
          <w:tcPr>
            <w:tcW w:w="4254" w:type="dxa"/>
            <w:vAlign w:val="top"/>
          </w:tcPr>
          <w:p w14:paraId="3D4A07C8">
            <w:pPr>
              <w:rPr>
                <w:rFonts w:ascii="Arial"/>
                <w:sz w:val="21"/>
              </w:rPr>
            </w:pPr>
          </w:p>
        </w:tc>
      </w:tr>
      <w:tr w14:paraId="117ED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838" w:type="dxa"/>
            <w:vAlign w:val="center"/>
          </w:tcPr>
          <w:p w14:paraId="57515DF5">
            <w:pPr>
              <w:jc w:val="center"/>
              <w:rPr>
                <w:rFonts w:ascii="Arial"/>
                <w:sz w:val="21"/>
              </w:rPr>
            </w:pPr>
          </w:p>
        </w:tc>
        <w:tc>
          <w:tcPr>
            <w:tcW w:w="4181" w:type="dxa"/>
            <w:vAlign w:val="top"/>
          </w:tcPr>
          <w:p w14:paraId="2473E7E8">
            <w:pPr>
              <w:rPr>
                <w:rFonts w:ascii="Arial"/>
                <w:sz w:val="21"/>
              </w:rPr>
            </w:pPr>
          </w:p>
        </w:tc>
        <w:tc>
          <w:tcPr>
            <w:tcW w:w="4254" w:type="dxa"/>
            <w:vAlign w:val="top"/>
          </w:tcPr>
          <w:p w14:paraId="059F4CED">
            <w:pPr>
              <w:rPr>
                <w:rFonts w:ascii="Arial"/>
                <w:sz w:val="21"/>
              </w:rPr>
            </w:pPr>
          </w:p>
        </w:tc>
      </w:tr>
    </w:tbl>
    <w:p w14:paraId="0EC42079">
      <w:pPr>
        <w:pStyle w:val="13"/>
        <w:spacing w:line="365" w:lineRule="auto"/>
      </w:pPr>
    </w:p>
    <w:p w14:paraId="1ADADCD1">
      <w:pPr>
        <w:pStyle w:val="14"/>
      </w:pPr>
    </w:p>
    <w:p w14:paraId="37A36124"/>
    <w:p w14:paraId="631C3EB6">
      <w:pPr>
        <w:spacing w:before="78" w:line="248" w:lineRule="auto"/>
        <w:ind w:left="960" w:hanging="482"/>
        <w:rPr>
          <w:rFonts w:ascii="宋体" w:hAnsi="宋体" w:eastAsia="宋体" w:cs="宋体"/>
          <w:sz w:val="24"/>
          <w:szCs w:val="24"/>
        </w:rPr>
      </w:pPr>
      <w:r>
        <w:rPr>
          <w:rFonts w:ascii="宋体" w:hAnsi="宋体" w:eastAsia="宋体" w:cs="宋体"/>
          <w:spacing w:val="-2"/>
          <w:sz w:val="24"/>
          <w:szCs w:val="24"/>
        </w:rPr>
        <w:t>注：</w:t>
      </w:r>
      <w:r>
        <w:rPr>
          <w:rFonts w:hint="eastAsia" w:ascii="宋体" w:hAnsi="宋体" w:eastAsia="宋体" w:cs="宋体"/>
          <w:spacing w:val="-2"/>
          <w:sz w:val="24"/>
          <w:szCs w:val="24"/>
          <w:lang w:val="en-US" w:eastAsia="zh-CN"/>
        </w:rPr>
        <w:t>1</w:t>
      </w:r>
      <w:r>
        <w:rPr>
          <w:rFonts w:hint="eastAsia" w:ascii="宋体" w:hAnsi="宋体" w:eastAsia="宋体" w:cs="宋体"/>
          <w:spacing w:val="-1"/>
          <w:sz w:val="24"/>
          <w:szCs w:val="24"/>
          <w:lang w:val="en-US" w:eastAsia="zh-CN"/>
        </w:rPr>
        <w:t>.</w:t>
      </w:r>
      <w:r>
        <w:rPr>
          <w:rFonts w:ascii="宋体" w:hAnsi="宋体" w:eastAsia="宋体" w:cs="宋体"/>
          <w:spacing w:val="-1"/>
          <w:sz w:val="24"/>
          <w:szCs w:val="24"/>
        </w:rPr>
        <w:t>供应商必须据实填写，不得虚假填写，否则将取消其投标或中标资格。</w:t>
      </w:r>
    </w:p>
    <w:p w14:paraId="5721926A">
      <w:pPr>
        <w:pStyle w:val="13"/>
        <w:spacing w:line="255" w:lineRule="auto"/>
        <w:rPr>
          <w:rFonts w:hint="eastAsia" w:eastAsia="宋体"/>
          <w:lang w:val="en-US" w:eastAsia="zh-CN"/>
        </w:rPr>
      </w:pPr>
    </w:p>
    <w:p w14:paraId="08C23179">
      <w:pPr>
        <w:pStyle w:val="13"/>
        <w:spacing w:line="255" w:lineRule="auto"/>
      </w:pPr>
    </w:p>
    <w:p w14:paraId="13C98D9E">
      <w:pPr>
        <w:pStyle w:val="13"/>
        <w:spacing w:line="255" w:lineRule="auto"/>
      </w:pPr>
    </w:p>
    <w:p w14:paraId="5E7D53C5">
      <w:pPr>
        <w:spacing w:before="78" w:line="219" w:lineRule="auto"/>
        <w:ind w:left="485"/>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0C2368A3">
      <w:pPr>
        <w:spacing w:before="214" w:line="501" w:lineRule="exact"/>
        <w:ind w:left="483"/>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13BE06A7">
      <w:pPr>
        <w:spacing w:before="1" w:line="220" w:lineRule="auto"/>
        <w:ind w:left="485"/>
        <w:rPr>
          <w:rFonts w:ascii="宋体" w:hAnsi="宋体" w:eastAsia="宋体" w:cs="宋体"/>
          <w:sz w:val="24"/>
          <w:szCs w:val="24"/>
        </w:rPr>
      </w:pPr>
      <w:r>
        <w:rPr>
          <w:rFonts w:ascii="宋体" w:hAnsi="宋体" w:eastAsia="宋体" w:cs="宋体"/>
          <w:spacing w:val="-3"/>
          <w:sz w:val="24"/>
          <w:szCs w:val="24"/>
        </w:rPr>
        <w:t>投标日期：</w:t>
      </w:r>
    </w:p>
    <w:p w14:paraId="1C412544">
      <w:pPr>
        <w:spacing w:before="78" w:line="219" w:lineRule="auto"/>
        <w:ind w:left="485"/>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pPr>
      <w:r>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br w:type="page"/>
      </w:r>
    </w:p>
    <w:p w14:paraId="1CF0A8EA">
      <w:pPr>
        <w:spacing w:before="101" w:line="225" w:lineRule="auto"/>
        <w:ind w:left="13"/>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pPr>
    </w:p>
    <w:p w14:paraId="72A2DAD2">
      <w:pPr>
        <w:spacing w:before="101" w:line="225" w:lineRule="auto"/>
        <w:ind w:left="13"/>
        <w:rPr>
          <w:rFonts w:hint="default" w:ascii="宋体" w:hAnsi="宋体" w:eastAsia="宋体" w:cs="宋体"/>
          <w:color w:val="0000FF"/>
          <w:spacing w:val="3"/>
          <w:sz w:val="31"/>
          <w:szCs w:val="31"/>
          <w:shd w:val="clear" w:color="auto" w:fill="auto"/>
          <w:lang w:val="en-US" w:eastAsia="zh-CN"/>
          <w14:textOutline w14:w="5793" w14:cap="sq" w14:cmpd="sng">
            <w14:solidFill>
              <w14:srgbClr w14:val="000000"/>
            </w14:solidFill>
            <w14:prstDash w14:val="solid"/>
            <w14:bevel/>
          </w14:textOutline>
        </w:rPr>
      </w:pPr>
      <w:r>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t>格式</w:t>
      </w:r>
      <w:r>
        <w:rPr>
          <w:rFonts w:ascii="宋体" w:hAnsi="宋体" w:eastAsia="宋体" w:cs="宋体"/>
          <w:color w:val="0000FF"/>
          <w:spacing w:val="-60"/>
          <w:sz w:val="31"/>
          <w:szCs w:val="31"/>
          <w:shd w:val="clear" w:color="auto" w:fill="auto"/>
        </w:rPr>
        <w:t xml:space="preserve"> </w:t>
      </w:r>
      <w:r>
        <w:rPr>
          <w:rFonts w:ascii="宋体" w:hAnsi="宋体" w:eastAsia="宋体" w:cs="宋体"/>
          <w:color w:val="0000FF"/>
          <w:spacing w:val="3"/>
          <w:sz w:val="31"/>
          <w:szCs w:val="31"/>
          <w:shd w:val="clear" w:color="auto" w:fill="auto"/>
          <w14:textOutline w14:w="5793" w14:cap="sq" w14:cmpd="sng">
            <w14:solidFill>
              <w14:srgbClr w14:val="000000"/>
            </w14:solidFill>
            <w14:prstDash w14:val="solid"/>
            <w14:bevel/>
          </w14:textOutline>
        </w:rPr>
        <w:t>2-</w:t>
      </w:r>
      <w:r>
        <w:rPr>
          <w:rFonts w:hint="eastAsia" w:ascii="宋体" w:hAnsi="宋体" w:eastAsia="宋体" w:cs="宋体"/>
          <w:color w:val="0000FF"/>
          <w:spacing w:val="3"/>
          <w:sz w:val="31"/>
          <w:szCs w:val="31"/>
          <w:shd w:val="clear" w:color="auto" w:fill="auto"/>
          <w:lang w:val="en-US" w:eastAsia="zh-CN"/>
          <w14:textOutline w14:w="5793" w14:cap="sq" w14:cmpd="sng">
            <w14:solidFill>
              <w14:srgbClr w14:val="000000"/>
            </w14:solidFill>
            <w14:prstDash w14:val="solid"/>
            <w14:bevel/>
          </w14:textOutline>
        </w:rPr>
        <w:t>11</w:t>
      </w:r>
    </w:p>
    <w:p w14:paraId="1B98862C">
      <w:pPr>
        <w:pStyle w:val="2"/>
      </w:pPr>
    </w:p>
    <w:p w14:paraId="2941C0BE">
      <w:pPr>
        <w:numPr>
          <w:ilvl w:val="0"/>
          <w:numId w:val="0"/>
        </w:numPr>
        <w:spacing w:before="85" w:line="236" w:lineRule="auto"/>
        <w:ind w:left="20" w:leftChars="0" w:right="2" w:rightChars="0"/>
        <w:jc w:val="center"/>
        <w:rPr>
          <w:rFonts w:ascii="宋体" w:hAnsi="宋体" w:eastAsia="宋体" w:cs="宋体"/>
          <w:color w:val="0000FF"/>
          <w:spacing w:val="4"/>
          <w:sz w:val="31"/>
          <w:szCs w:val="31"/>
          <w:shd w:val="clear" w:color="auto" w:fill="auto"/>
          <w14:textOutline w14:w="5793" w14:cap="sq" w14:cmpd="sng">
            <w14:solidFill>
              <w14:srgbClr w14:val="000000"/>
            </w14:solidFill>
            <w14:prstDash w14:val="solid"/>
            <w14:bevel/>
          </w14:textOutline>
        </w:rPr>
      </w:pPr>
      <w:r>
        <w:rPr>
          <w:rFonts w:hint="eastAsia" w:ascii="宋体" w:hAnsi="宋体" w:eastAsia="宋体" w:cs="宋体"/>
          <w:color w:val="0000FF"/>
          <w:spacing w:val="6"/>
          <w:sz w:val="31"/>
          <w:szCs w:val="31"/>
          <w:shd w:val="clear" w:color="auto" w:fill="auto"/>
          <w:lang w:eastAsia="zh-CN"/>
          <w14:textOutline w14:w="5793" w14:cap="sq" w14:cmpd="sng">
            <w14:solidFill>
              <w14:srgbClr w14:val="000000"/>
            </w14:solidFill>
            <w14:prstDash w14:val="solid"/>
            <w14:bevel/>
          </w14:textOutline>
        </w:rPr>
        <w:t>十、</w:t>
      </w:r>
      <w:r>
        <w:rPr>
          <w:rFonts w:ascii="宋体" w:hAnsi="宋体" w:eastAsia="宋体" w:cs="宋体"/>
          <w:color w:val="0000FF"/>
          <w:spacing w:val="6"/>
          <w:sz w:val="31"/>
          <w:szCs w:val="31"/>
          <w:shd w:val="clear" w:color="auto" w:fill="auto"/>
          <w14:textOutline w14:w="5793" w14:cap="sq" w14:cmpd="sng">
            <w14:solidFill>
              <w14:srgbClr w14:val="000000"/>
            </w14:solidFill>
            <w14:prstDash w14:val="solid"/>
            <w14:bevel/>
          </w14:textOutline>
        </w:rPr>
        <w:t>项目</w:t>
      </w:r>
      <w:r>
        <w:rPr>
          <w:rFonts w:hint="eastAsia" w:ascii="宋体" w:hAnsi="宋体" w:eastAsia="宋体" w:cs="宋体"/>
          <w:color w:val="0000FF"/>
          <w:spacing w:val="6"/>
          <w:sz w:val="31"/>
          <w:szCs w:val="31"/>
          <w:shd w:val="clear" w:color="auto" w:fill="auto"/>
          <w:lang w:eastAsia="zh-CN"/>
          <w14:textOutline w14:w="5793" w14:cap="sq" w14:cmpd="sng">
            <w14:solidFill>
              <w14:srgbClr w14:val="000000"/>
            </w14:solidFill>
            <w14:prstDash w14:val="solid"/>
            <w14:bevel/>
          </w14:textOutline>
        </w:rPr>
        <w:t>实施方案、售后服务方案等</w:t>
      </w:r>
      <w:r>
        <w:rPr>
          <w:rFonts w:ascii="宋体" w:hAnsi="宋体" w:eastAsia="宋体" w:cs="宋体"/>
          <w:color w:val="0000FF"/>
          <w:spacing w:val="6"/>
          <w:sz w:val="31"/>
          <w:szCs w:val="31"/>
          <w:shd w:val="clear" w:color="auto" w:fill="auto"/>
          <w14:textOutline w14:w="5793" w14:cap="sq" w14:cmpd="sng">
            <w14:solidFill>
              <w14:srgbClr w14:val="000000"/>
            </w14:solidFill>
            <w14:prstDash w14:val="solid"/>
            <w14:bevel/>
          </w14:textOutline>
        </w:rPr>
        <w:t>由投</w:t>
      </w:r>
      <w:r>
        <w:rPr>
          <w:rFonts w:ascii="宋体" w:hAnsi="宋体" w:eastAsia="宋体" w:cs="宋体"/>
          <w:color w:val="0000FF"/>
          <w:spacing w:val="5"/>
          <w:sz w:val="31"/>
          <w:szCs w:val="31"/>
          <w:shd w:val="clear" w:color="auto" w:fill="auto"/>
          <w14:textOutline w14:w="5793" w14:cap="sq" w14:cmpd="sng">
            <w14:solidFill>
              <w14:srgbClr w14:val="000000"/>
            </w14:solidFill>
            <w14:prstDash w14:val="solid"/>
            <w14:bevel/>
          </w14:textOutline>
        </w:rPr>
        <w:t>标人自</w:t>
      </w:r>
      <w:r>
        <w:rPr>
          <w:rFonts w:ascii="宋体" w:hAnsi="宋体" w:eastAsia="宋体" w:cs="宋体"/>
          <w:color w:val="0000FF"/>
          <w:spacing w:val="4"/>
          <w:sz w:val="31"/>
          <w:szCs w:val="31"/>
          <w:shd w:val="clear" w:color="auto" w:fill="auto"/>
          <w14:textOutline w14:w="5793" w14:cap="sq" w14:cmpd="sng">
            <w14:solidFill>
              <w14:srgbClr w14:val="000000"/>
            </w14:solidFill>
            <w14:prstDash w14:val="solid"/>
            <w14:bevel/>
          </w14:textOutline>
        </w:rPr>
        <w:t>行编写</w:t>
      </w:r>
    </w:p>
    <w:p w14:paraId="14F6873E">
      <w:pPr>
        <w:pStyle w:val="23"/>
        <w:numPr>
          <w:ilvl w:val="0"/>
          <w:numId w:val="0"/>
        </w:numPr>
      </w:pPr>
    </w:p>
    <w:p w14:paraId="3C6D6317">
      <w:pPr>
        <w:pStyle w:val="23"/>
        <w:numPr>
          <w:ilvl w:val="0"/>
          <w:numId w:val="0"/>
        </w:numPr>
      </w:pPr>
    </w:p>
    <w:p w14:paraId="6B56A75A">
      <w:pPr>
        <w:spacing w:line="236" w:lineRule="auto"/>
        <w:rPr>
          <w:rFonts w:ascii="宋体" w:hAnsi="宋体" w:eastAsia="宋体" w:cs="宋体"/>
          <w:sz w:val="31"/>
          <w:szCs w:val="31"/>
        </w:rPr>
        <w:sectPr>
          <w:headerReference r:id="rId37" w:type="default"/>
          <w:footerReference r:id="rId38" w:type="default"/>
          <w:pgSz w:w="11906" w:h="16839"/>
          <w:pgMar w:top="1619" w:right="1132" w:bottom="1156" w:left="1588" w:header="851" w:footer="992" w:gutter="0"/>
          <w:pgNumType w:fmt="decimal"/>
          <w:cols w:space="720" w:num="1"/>
        </w:sectPr>
      </w:pPr>
    </w:p>
    <w:p w14:paraId="6473E287">
      <w:pPr>
        <w:pStyle w:val="13"/>
        <w:spacing w:line="248" w:lineRule="auto"/>
      </w:pPr>
    </w:p>
    <w:p w14:paraId="0601EC97">
      <w:pPr>
        <w:spacing w:before="101" w:line="225" w:lineRule="auto"/>
        <w:ind w:left="13"/>
        <w:rPr>
          <w:rFonts w:hint="eastAsia" w:ascii="宋体" w:hAnsi="宋体" w:eastAsia="宋体" w:cs="宋体"/>
          <w:sz w:val="31"/>
          <w:szCs w:val="31"/>
          <w:lang w:eastAsia="zh-CN"/>
        </w:rPr>
      </w:pPr>
      <w:bookmarkStart w:id="27" w:name="bookmark30"/>
      <w:bookmarkEnd w:id="27"/>
      <w:r>
        <w:rPr>
          <w:rFonts w:ascii="宋体" w:hAnsi="宋体" w:eastAsia="宋体" w:cs="宋体"/>
          <w:spacing w:val="2"/>
          <w:sz w:val="31"/>
          <w:szCs w:val="31"/>
          <w14:textOutline w14:w="5793" w14:cap="sq" w14:cmpd="sng">
            <w14:solidFill>
              <w14:srgbClr w14:val="000000"/>
            </w14:solidFill>
            <w14:prstDash w14:val="solid"/>
            <w14:bevel/>
          </w14:textOutline>
        </w:rPr>
        <w:t>格式</w:t>
      </w:r>
      <w:r>
        <w:rPr>
          <w:rFonts w:ascii="宋体" w:hAnsi="宋体" w:eastAsia="宋体" w:cs="宋体"/>
          <w:spacing w:val="-57"/>
          <w:sz w:val="31"/>
          <w:szCs w:val="31"/>
        </w:rPr>
        <w:t xml:space="preserve"> </w:t>
      </w:r>
      <w:r>
        <w:rPr>
          <w:rFonts w:ascii="宋体" w:hAnsi="宋体" w:eastAsia="宋体" w:cs="宋体"/>
          <w:spacing w:val="2"/>
          <w:sz w:val="31"/>
          <w:szCs w:val="31"/>
          <w14:textOutline w14:w="5793" w14:cap="sq" w14:cmpd="sng">
            <w14:solidFill>
              <w14:srgbClr w14:val="000000"/>
            </w14:solidFill>
            <w14:prstDash w14:val="solid"/>
            <w14:bevel/>
          </w14:textOutline>
        </w:rPr>
        <w:t>2-1</w:t>
      </w:r>
      <w:r>
        <w:rPr>
          <w:rFonts w:hint="eastAsia" w:ascii="宋体" w:hAnsi="宋体" w:eastAsia="宋体" w:cs="宋体"/>
          <w:spacing w:val="2"/>
          <w:sz w:val="31"/>
          <w:szCs w:val="31"/>
          <w:lang w:val="en-US" w:eastAsia="zh-CN"/>
          <w14:textOutline w14:w="5793" w14:cap="sq" w14:cmpd="sng">
            <w14:solidFill>
              <w14:srgbClr w14:val="000000"/>
            </w14:solidFill>
            <w14:prstDash w14:val="solid"/>
            <w14:bevel/>
          </w14:textOutline>
        </w:rPr>
        <w:t>2</w:t>
      </w:r>
    </w:p>
    <w:p w14:paraId="66B4D5DD">
      <w:pPr>
        <w:spacing w:before="242" w:line="225" w:lineRule="auto"/>
        <w:ind w:left="2678"/>
        <w:outlineLvl w:val="2"/>
        <w:rPr>
          <w:rFonts w:ascii="宋体" w:hAnsi="宋体" w:eastAsia="宋体" w:cs="宋体"/>
          <w:sz w:val="31"/>
          <w:szCs w:val="31"/>
        </w:rPr>
      </w:pPr>
      <w:r>
        <w:rPr>
          <w:rFonts w:hint="eastAsia" w:ascii="宋体" w:hAnsi="宋体" w:eastAsia="宋体" w:cs="宋体"/>
          <w:spacing w:val="10"/>
          <w:sz w:val="31"/>
          <w:szCs w:val="31"/>
          <w:lang w:eastAsia="zh-CN"/>
          <w14:textOutline w14:w="5793" w14:cap="sq" w14:cmpd="sng">
            <w14:solidFill>
              <w14:srgbClr w14:val="000000"/>
            </w14:solidFill>
            <w14:prstDash w14:val="solid"/>
            <w14:bevel/>
          </w14:textOutline>
        </w:rPr>
        <w:t>十一</w:t>
      </w:r>
      <w:r>
        <w:rPr>
          <w:rFonts w:ascii="宋体" w:hAnsi="宋体" w:eastAsia="宋体" w:cs="宋体"/>
          <w:spacing w:val="10"/>
          <w:sz w:val="31"/>
          <w:szCs w:val="31"/>
          <w14:textOutline w14:w="5793" w14:cap="sq" w14:cmpd="sng">
            <w14:solidFill>
              <w14:srgbClr w14:val="000000"/>
            </w14:solidFill>
            <w14:prstDash w14:val="solid"/>
            <w14:bevel/>
          </w14:textOutline>
        </w:rPr>
        <w:t>、供应商诚信情况承诺函</w:t>
      </w:r>
    </w:p>
    <w:p w14:paraId="4BD25688">
      <w:pPr>
        <w:pStyle w:val="13"/>
        <w:spacing w:line="289" w:lineRule="auto"/>
      </w:pPr>
    </w:p>
    <w:p w14:paraId="2FF0927B">
      <w:pPr>
        <w:pStyle w:val="13"/>
        <w:spacing w:line="289" w:lineRule="auto"/>
      </w:pPr>
    </w:p>
    <w:p w14:paraId="32D5D2F3">
      <w:pPr>
        <w:spacing w:before="78" w:line="220" w:lineRule="auto"/>
        <w:ind w:left="10"/>
        <w:rPr>
          <w:rFonts w:ascii="宋体" w:hAnsi="宋体" w:eastAsia="宋体" w:cs="宋体"/>
          <w:sz w:val="24"/>
          <w:szCs w:val="24"/>
        </w:rPr>
      </w:pPr>
      <w:r>
        <w:rPr>
          <w:rFonts w:ascii="宋体" w:hAnsi="宋体" w:eastAsia="宋体" w:cs="宋体"/>
          <w:spacing w:val="-1"/>
          <w:sz w:val="24"/>
          <w:szCs w:val="24"/>
        </w:rPr>
        <w:t>致</w:t>
      </w:r>
      <w:r>
        <w:rPr>
          <w:rFonts w:hint="eastAsia" w:ascii="宋体" w:hAnsi="宋体" w:eastAsia="宋体" w:cs="宋体"/>
          <w:spacing w:val="-1"/>
          <w:sz w:val="24"/>
          <w:szCs w:val="24"/>
          <w:lang w:eastAsia="zh-CN"/>
        </w:rPr>
        <w:t>四川华招项目管理有限公司</w:t>
      </w:r>
      <w:r>
        <w:rPr>
          <w:rFonts w:ascii="宋体" w:hAnsi="宋体" w:eastAsia="宋体" w:cs="宋体"/>
          <w:spacing w:val="-1"/>
          <w:sz w:val="24"/>
          <w:szCs w:val="24"/>
        </w:rPr>
        <w:t>：</w:t>
      </w:r>
    </w:p>
    <w:p w14:paraId="50381AE7">
      <w:pPr>
        <w:spacing w:before="194" w:line="369" w:lineRule="auto"/>
        <w:jc w:val="right"/>
        <w:rPr>
          <w:rFonts w:ascii="宋体" w:hAnsi="宋体" w:eastAsia="宋体" w:cs="宋体"/>
          <w:sz w:val="24"/>
          <w:szCs w:val="24"/>
        </w:rPr>
      </w:pPr>
      <w:r>
        <w:rPr>
          <w:rFonts w:ascii="宋体" w:hAnsi="宋体" w:eastAsia="宋体" w:cs="宋体"/>
          <w:spacing w:val="-6"/>
          <w:sz w:val="24"/>
          <w:szCs w:val="24"/>
        </w:rPr>
        <w:t>本单位</w:t>
      </w:r>
      <w:r>
        <w:rPr>
          <w:rFonts w:ascii="宋体" w:hAnsi="宋体" w:eastAsia="宋体" w:cs="宋体"/>
          <w:spacing w:val="8"/>
          <w:sz w:val="24"/>
          <w:szCs w:val="24"/>
          <w:u w:val="single" w:color="auto"/>
        </w:rPr>
        <w:t xml:space="preserve">               </w:t>
      </w:r>
      <w:r>
        <w:rPr>
          <w:rFonts w:ascii="宋体" w:hAnsi="宋体" w:eastAsia="宋体" w:cs="宋体"/>
          <w:spacing w:val="-6"/>
          <w:sz w:val="24"/>
          <w:szCs w:val="24"/>
        </w:rPr>
        <w:t>（投标人名称）参加</w:t>
      </w:r>
      <w:r>
        <w:rPr>
          <w:rFonts w:ascii="宋体" w:hAnsi="宋体" w:eastAsia="宋体" w:cs="宋体"/>
          <w:spacing w:val="-6"/>
          <w:sz w:val="24"/>
          <w:szCs w:val="24"/>
          <w:u w:val="single" w:color="auto"/>
        </w:rPr>
        <w:t xml:space="preserve">             </w:t>
      </w:r>
      <w:r>
        <w:rPr>
          <w:rFonts w:ascii="宋体" w:hAnsi="宋体" w:eastAsia="宋体" w:cs="宋体"/>
          <w:spacing w:val="-6"/>
          <w:sz w:val="24"/>
          <w:szCs w:val="24"/>
        </w:rPr>
        <w:t>（项目名称及采购编号）</w:t>
      </w:r>
    </w:p>
    <w:p w14:paraId="65187139">
      <w:pPr>
        <w:spacing w:line="219" w:lineRule="auto"/>
        <w:ind w:left="29"/>
        <w:rPr>
          <w:rFonts w:ascii="宋体" w:hAnsi="宋体" w:eastAsia="宋体" w:cs="宋体"/>
          <w:sz w:val="24"/>
          <w:szCs w:val="24"/>
        </w:rPr>
      </w:pPr>
      <w:r>
        <w:rPr>
          <w:rFonts w:ascii="宋体" w:hAnsi="宋体" w:eastAsia="宋体" w:cs="宋体"/>
          <w:spacing w:val="-1"/>
          <w:sz w:val="24"/>
          <w:szCs w:val="24"/>
        </w:rPr>
        <w:t>的政府采购活动，针对本单位的诚信情况作</w:t>
      </w:r>
      <w:r>
        <w:rPr>
          <w:rFonts w:ascii="宋体" w:hAnsi="宋体" w:eastAsia="宋体" w:cs="宋体"/>
          <w:spacing w:val="-2"/>
          <w:sz w:val="24"/>
          <w:szCs w:val="24"/>
        </w:rPr>
        <w:t>出以下承诺：</w:t>
      </w:r>
    </w:p>
    <w:p w14:paraId="6D44136B">
      <w:pPr>
        <w:spacing w:before="195" w:line="369" w:lineRule="auto"/>
        <w:ind w:left="492"/>
        <w:rPr>
          <w:rFonts w:ascii="宋体" w:hAnsi="宋体" w:eastAsia="宋体" w:cs="宋体"/>
          <w:sz w:val="24"/>
          <w:szCs w:val="24"/>
        </w:rPr>
      </w:pPr>
      <w:r>
        <w:rPr>
          <w:rFonts w:ascii="宋体" w:hAnsi="宋体" w:eastAsia="宋体" w:cs="宋体"/>
          <w:sz w:val="24"/>
          <w:szCs w:val="24"/>
        </w:rPr>
        <w:t>我单位具有失信行为</w:t>
      </w:r>
      <w:r>
        <w:rPr>
          <w:rFonts w:ascii="宋体" w:hAnsi="宋体" w:eastAsia="宋体" w:cs="宋体"/>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z w:val="24"/>
          <w:szCs w:val="24"/>
        </w:rPr>
        <w:t>次（填写失信行</w:t>
      </w:r>
      <w:r>
        <w:rPr>
          <w:rFonts w:ascii="宋体" w:hAnsi="宋体" w:eastAsia="宋体" w:cs="宋体"/>
          <w:spacing w:val="-1"/>
          <w:sz w:val="24"/>
          <w:szCs w:val="24"/>
        </w:rPr>
        <w:t>为的次数时，建议使用大写数字，如</w:t>
      </w:r>
    </w:p>
    <w:p w14:paraId="1BAC469B">
      <w:pPr>
        <w:spacing w:line="219" w:lineRule="auto"/>
        <w:ind w:left="11"/>
        <w:rPr>
          <w:rFonts w:ascii="宋体" w:hAnsi="宋体" w:eastAsia="宋体" w:cs="宋体"/>
          <w:sz w:val="24"/>
          <w:szCs w:val="24"/>
        </w:rPr>
      </w:pPr>
      <w:r>
        <w:rPr>
          <w:rFonts w:ascii="宋体" w:hAnsi="宋体" w:eastAsia="宋体" w:cs="宋体"/>
          <w:spacing w:val="2"/>
          <w:sz w:val="24"/>
          <w:szCs w:val="24"/>
        </w:rPr>
        <w:t>零、壹、贰、叁、肆等。</w:t>
      </w:r>
      <w:r>
        <w:rPr>
          <w:rFonts w:ascii="宋体" w:hAnsi="宋体" w:eastAsia="宋体" w:cs="宋体"/>
          <w:spacing w:val="-24"/>
          <w:sz w:val="24"/>
          <w:szCs w:val="24"/>
        </w:rPr>
        <w:t>）；（</w:t>
      </w:r>
      <w:r>
        <w:rPr>
          <w:rFonts w:ascii="宋体" w:hAnsi="宋体" w:eastAsia="宋体" w:cs="宋体"/>
          <w:spacing w:val="2"/>
          <w:sz w:val="24"/>
          <w:szCs w:val="24"/>
        </w:rPr>
        <w:t>仅限递交响应文件截止当日仍在有</w:t>
      </w:r>
      <w:r>
        <w:rPr>
          <w:rFonts w:ascii="宋体" w:hAnsi="宋体" w:eastAsia="宋体" w:cs="宋体"/>
          <w:spacing w:val="1"/>
          <w:sz w:val="24"/>
          <w:szCs w:val="24"/>
        </w:rPr>
        <w:t>效期的次数）</w:t>
      </w:r>
    </w:p>
    <w:p w14:paraId="79392B26">
      <w:pPr>
        <w:spacing w:before="195" w:line="480" w:lineRule="exact"/>
        <w:ind w:left="492"/>
        <w:rPr>
          <w:rFonts w:ascii="宋体" w:hAnsi="宋体" w:eastAsia="宋体" w:cs="宋体"/>
          <w:sz w:val="24"/>
          <w:szCs w:val="24"/>
        </w:rPr>
      </w:pPr>
      <w:r>
        <w:rPr>
          <w:rFonts w:ascii="宋体" w:hAnsi="宋体" w:eastAsia="宋体" w:cs="宋体"/>
          <w:position w:val="18"/>
          <w:sz w:val="24"/>
          <w:szCs w:val="24"/>
        </w:rPr>
        <w:t>我单位对以上填写信息的真实性负责。如有不实，本</w:t>
      </w:r>
      <w:r>
        <w:rPr>
          <w:rFonts w:ascii="宋体" w:hAnsi="宋体" w:eastAsia="宋体" w:cs="宋体"/>
          <w:spacing w:val="-1"/>
          <w:position w:val="18"/>
          <w:sz w:val="24"/>
          <w:szCs w:val="24"/>
        </w:rPr>
        <w:t>单位愿承担由此产生的一切法</w:t>
      </w:r>
    </w:p>
    <w:p w14:paraId="1327FAB2">
      <w:pPr>
        <w:spacing w:line="220" w:lineRule="auto"/>
        <w:ind w:left="10"/>
        <w:rPr>
          <w:rFonts w:ascii="宋体" w:hAnsi="宋体" w:eastAsia="宋体" w:cs="宋体"/>
          <w:sz w:val="24"/>
          <w:szCs w:val="24"/>
        </w:rPr>
      </w:pPr>
      <w:r>
        <w:rPr>
          <w:rFonts w:ascii="宋体" w:hAnsi="宋体" w:eastAsia="宋体" w:cs="宋体"/>
          <w:spacing w:val="-2"/>
          <w:sz w:val="24"/>
          <w:szCs w:val="24"/>
        </w:rPr>
        <w:t>律责任和后果。</w:t>
      </w:r>
    </w:p>
    <w:p w14:paraId="3A0BDAE4">
      <w:pPr>
        <w:pStyle w:val="13"/>
        <w:spacing w:line="271" w:lineRule="auto"/>
      </w:pPr>
    </w:p>
    <w:p w14:paraId="7773A624">
      <w:pPr>
        <w:pStyle w:val="13"/>
        <w:spacing w:line="271" w:lineRule="auto"/>
      </w:pPr>
    </w:p>
    <w:p w14:paraId="03C61373">
      <w:pPr>
        <w:pStyle w:val="13"/>
        <w:spacing w:line="271" w:lineRule="auto"/>
      </w:pPr>
    </w:p>
    <w:p w14:paraId="15EA2442">
      <w:pPr>
        <w:pStyle w:val="13"/>
        <w:spacing w:line="271" w:lineRule="auto"/>
      </w:pPr>
    </w:p>
    <w:p w14:paraId="7D1FC8EB">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5E66D125">
      <w:pPr>
        <w:spacing w:before="217" w:line="499" w:lineRule="exact"/>
        <w:ind w:left="479"/>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2AC2CF2D">
      <w:pPr>
        <w:spacing w:before="1"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042A71C3">
      <w:pPr>
        <w:pStyle w:val="13"/>
        <w:spacing w:line="298" w:lineRule="auto"/>
      </w:pPr>
    </w:p>
    <w:p w14:paraId="46BB4CFC">
      <w:pPr>
        <w:pStyle w:val="13"/>
        <w:spacing w:line="298" w:lineRule="auto"/>
      </w:pPr>
    </w:p>
    <w:p w14:paraId="2333E6F9">
      <w:pPr>
        <w:spacing w:before="79" w:line="224" w:lineRule="auto"/>
        <w:ind w:left="10"/>
        <w:rPr>
          <w:rFonts w:ascii="宋体" w:hAnsi="宋体" w:eastAsia="宋体" w:cs="宋体"/>
          <w:sz w:val="24"/>
          <w:szCs w:val="24"/>
        </w:rPr>
      </w:pPr>
      <w:r>
        <w:rPr>
          <w:rFonts w:ascii="宋体" w:hAnsi="宋体" w:eastAsia="宋体" w:cs="宋体"/>
          <w:spacing w:val="-5"/>
          <w:sz w:val="24"/>
          <w:szCs w:val="24"/>
        </w:rPr>
        <w:t>注：</w:t>
      </w:r>
    </w:p>
    <w:p w14:paraId="5DBC56DB">
      <w:pPr>
        <w:spacing w:before="188" w:line="219" w:lineRule="auto"/>
        <w:ind w:left="507"/>
        <w:rPr>
          <w:rFonts w:ascii="宋体" w:hAnsi="宋体" w:eastAsia="宋体" w:cs="宋体"/>
          <w:sz w:val="24"/>
          <w:szCs w:val="24"/>
        </w:rPr>
      </w:pPr>
      <w:r>
        <w:rPr>
          <w:rFonts w:ascii="宋体" w:hAnsi="宋体" w:eastAsia="宋体" w:cs="宋体"/>
          <w:spacing w:val="-1"/>
          <w:sz w:val="24"/>
          <w:szCs w:val="24"/>
        </w:rPr>
        <w:t>1、本表格式及内容仅供参考，投标人也可提供自己的格</w:t>
      </w:r>
      <w:r>
        <w:rPr>
          <w:rFonts w:ascii="宋体" w:hAnsi="宋体" w:eastAsia="宋体" w:cs="宋体"/>
          <w:spacing w:val="-2"/>
          <w:sz w:val="24"/>
          <w:szCs w:val="24"/>
        </w:rPr>
        <w:t>式；</w:t>
      </w:r>
    </w:p>
    <w:p w14:paraId="0C460AAC">
      <w:pPr>
        <w:spacing w:before="196" w:line="219" w:lineRule="auto"/>
        <w:jc w:val="right"/>
        <w:rPr>
          <w:rFonts w:ascii="宋体" w:hAnsi="宋体" w:eastAsia="宋体" w:cs="宋体"/>
          <w:sz w:val="24"/>
          <w:szCs w:val="24"/>
        </w:rPr>
      </w:pPr>
      <w:r>
        <w:rPr>
          <w:rFonts w:ascii="宋体" w:hAnsi="宋体" w:eastAsia="宋体" w:cs="宋体"/>
          <w:spacing w:val="-7"/>
          <w:sz w:val="24"/>
          <w:szCs w:val="24"/>
        </w:rPr>
        <w:t>2、供应商存在以上所述失信行为的，将按照第二章投标人须知附表的要求进行处理；</w:t>
      </w:r>
    </w:p>
    <w:p w14:paraId="39746BC1">
      <w:pPr>
        <w:spacing w:before="195" w:line="369" w:lineRule="auto"/>
        <w:ind w:left="9" w:right="99" w:firstLine="485"/>
        <w:rPr>
          <w:rFonts w:ascii="宋体" w:hAnsi="宋体" w:eastAsia="宋体" w:cs="宋体"/>
          <w:sz w:val="24"/>
          <w:szCs w:val="24"/>
        </w:rPr>
      </w:pPr>
      <w:r>
        <w:rPr>
          <w:rFonts w:ascii="宋体" w:hAnsi="宋体" w:eastAsia="宋体" w:cs="宋体"/>
          <w:spacing w:val="-2"/>
          <w:sz w:val="24"/>
          <w:szCs w:val="24"/>
        </w:rPr>
        <w:t>3、财政部门对政府采购当事人的失信行为依法进行处罚、处理后，应当在中国政府</w:t>
      </w:r>
      <w:r>
        <w:rPr>
          <w:rFonts w:ascii="宋体" w:hAnsi="宋体" w:eastAsia="宋体" w:cs="宋体"/>
          <w:spacing w:val="3"/>
          <w:sz w:val="24"/>
          <w:szCs w:val="24"/>
        </w:rPr>
        <w:t xml:space="preserve"> </w:t>
      </w:r>
      <w:r>
        <w:rPr>
          <w:rFonts w:ascii="宋体" w:hAnsi="宋体" w:eastAsia="宋体" w:cs="宋体"/>
          <w:spacing w:val="-1"/>
          <w:sz w:val="24"/>
          <w:szCs w:val="24"/>
        </w:rPr>
        <w:t>采购网向社会公告，并记入诚信档案，有效期为</w:t>
      </w:r>
      <w:r>
        <w:rPr>
          <w:rFonts w:ascii="宋体" w:hAnsi="宋体" w:eastAsia="宋体" w:cs="宋体"/>
          <w:spacing w:val="-33"/>
          <w:sz w:val="24"/>
          <w:szCs w:val="24"/>
        </w:rPr>
        <w:t xml:space="preserve"> </w:t>
      </w:r>
      <w:r>
        <w:rPr>
          <w:rFonts w:ascii="宋体" w:hAnsi="宋体" w:eastAsia="宋体" w:cs="宋体"/>
          <w:spacing w:val="-1"/>
          <w:sz w:val="24"/>
          <w:szCs w:val="24"/>
        </w:rPr>
        <w:t>1</w:t>
      </w:r>
      <w:r>
        <w:rPr>
          <w:rFonts w:ascii="宋体" w:hAnsi="宋体" w:eastAsia="宋体" w:cs="宋体"/>
          <w:spacing w:val="-50"/>
          <w:sz w:val="24"/>
          <w:szCs w:val="24"/>
        </w:rPr>
        <w:t xml:space="preserve"> </w:t>
      </w:r>
      <w:r>
        <w:rPr>
          <w:rFonts w:ascii="宋体" w:hAnsi="宋体" w:eastAsia="宋体" w:cs="宋体"/>
          <w:spacing w:val="-1"/>
          <w:sz w:val="24"/>
          <w:szCs w:val="24"/>
        </w:rPr>
        <w:t>年。工商部门、</w:t>
      </w:r>
      <w:r>
        <w:rPr>
          <w:rFonts w:ascii="宋体" w:hAnsi="宋体" w:eastAsia="宋体" w:cs="宋体"/>
          <w:spacing w:val="-2"/>
          <w:sz w:val="24"/>
          <w:szCs w:val="24"/>
        </w:rPr>
        <w:t>税务部门、审判机关</w:t>
      </w:r>
    </w:p>
    <w:p w14:paraId="79588951">
      <w:pPr>
        <w:spacing w:before="1" w:line="219" w:lineRule="auto"/>
        <w:ind w:left="9"/>
        <w:rPr>
          <w:rFonts w:ascii="宋体" w:hAnsi="宋体" w:eastAsia="宋体" w:cs="宋体"/>
          <w:sz w:val="24"/>
          <w:szCs w:val="24"/>
        </w:rPr>
      </w:pPr>
      <w:r>
        <w:rPr>
          <w:rFonts w:ascii="宋体" w:hAnsi="宋体" w:eastAsia="宋体" w:cs="宋体"/>
          <w:sz w:val="24"/>
          <w:szCs w:val="24"/>
        </w:rPr>
        <w:t>及其他有关部门单位认定供应商的失信行为明确了有效</w:t>
      </w:r>
      <w:r>
        <w:rPr>
          <w:rFonts w:ascii="宋体" w:hAnsi="宋体" w:eastAsia="宋体" w:cs="宋体"/>
          <w:spacing w:val="-1"/>
          <w:sz w:val="24"/>
          <w:szCs w:val="24"/>
        </w:rPr>
        <w:t>期的，不再重复计算。</w:t>
      </w:r>
    </w:p>
    <w:p w14:paraId="7956D923">
      <w:pPr>
        <w:spacing w:before="195" w:line="219" w:lineRule="auto"/>
        <w:jc w:val="right"/>
        <w:rPr>
          <w:rFonts w:ascii="宋体" w:hAnsi="宋体" w:eastAsia="宋体" w:cs="宋体"/>
          <w:sz w:val="24"/>
          <w:szCs w:val="24"/>
        </w:rPr>
      </w:pPr>
      <w:r>
        <w:rPr>
          <w:rFonts w:ascii="宋体" w:hAnsi="宋体" w:eastAsia="宋体" w:cs="宋体"/>
          <w:spacing w:val="-6"/>
          <w:sz w:val="24"/>
          <w:szCs w:val="24"/>
        </w:rPr>
        <w:t>4、供应商的失信行为受到行政处罚或司法惩处的，评审时不再对其以扣分进行惩戒。</w:t>
      </w:r>
    </w:p>
    <w:p w14:paraId="7FC5CC20">
      <w:pPr>
        <w:spacing w:line="219" w:lineRule="auto"/>
        <w:rPr>
          <w:rFonts w:ascii="宋体" w:hAnsi="宋体" w:eastAsia="宋体" w:cs="宋体"/>
          <w:sz w:val="24"/>
          <w:szCs w:val="24"/>
        </w:rPr>
        <w:sectPr>
          <w:headerReference r:id="rId39" w:type="default"/>
          <w:footerReference r:id="rId40" w:type="default"/>
          <w:pgSz w:w="11906" w:h="16839"/>
          <w:pgMar w:top="1281" w:right="1033" w:bottom="1157" w:left="1304" w:header="851" w:footer="992" w:gutter="0"/>
          <w:pgNumType w:fmt="decimal"/>
          <w:cols w:space="720" w:num="1"/>
        </w:sectPr>
      </w:pPr>
    </w:p>
    <w:p w14:paraId="1EA3C506">
      <w:pPr>
        <w:pStyle w:val="13"/>
        <w:spacing w:line="248" w:lineRule="auto"/>
      </w:pPr>
    </w:p>
    <w:p w14:paraId="08292232">
      <w:pPr>
        <w:spacing w:before="101" w:line="225" w:lineRule="auto"/>
        <w:ind w:left="13"/>
        <w:outlineLvl w:val="2"/>
        <w:rPr>
          <w:rFonts w:hint="eastAsia" w:ascii="宋体" w:hAnsi="宋体" w:eastAsia="宋体" w:cs="宋体"/>
          <w:sz w:val="31"/>
          <w:szCs w:val="31"/>
          <w:lang w:eastAsia="zh-CN"/>
        </w:rPr>
      </w:pPr>
      <w:bookmarkStart w:id="28" w:name="bookmark31"/>
      <w:bookmarkEnd w:id="28"/>
      <w:r>
        <w:rPr>
          <w:rFonts w:ascii="宋体" w:hAnsi="宋体" w:eastAsia="宋体" w:cs="宋体"/>
          <w:spacing w:val="2"/>
          <w:sz w:val="31"/>
          <w:szCs w:val="31"/>
          <w14:textOutline w14:w="5793" w14:cap="sq" w14:cmpd="sng">
            <w14:solidFill>
              <w14:srgbClr w14:val="000000"/>
            </w14:solidFill>
            <w14:prstDash w14:val="solid"/>
            <w14:bevel/>
          </w14:textOutline>
        </w:rPr>
        <w:t>格式</w:t>
      </w:r>
      <w:r>
        <w:rPr>
          <w:rFonts w:ascii="宋体" w:hAnsi="宋体" w:eastAsia="宋体" w:cs="宋体"/>
          <w:spacing w:val="-57"/>
          <w:sz w:val="31"/>
          <w:szCs w:val="31"/>
        </w:rPr>
        <w:t xml:space="preserve"> </w:t>
      </w:r>
      <w:r>
        <w:rPr>
          <w:rFonts w:ascii="宋体" w:hAnsi="宋体" w:eastAsia="宋体" w:cs="宋体"/>
          <w:spacing w:val="2"/>
          <w:sz w:val="31"/>
          <w:szCs w:val="31"/>
          <w14:textOutline w14:w="5793" w14:cap="sq" w14:cmpd="sng">
            <w14:solidFill>
              <w14:srgbClr w14:val="000000"/>
            </w14:solidFill>
            <w14:prstDash w14:val="solid"/>
            <w14:bevel/>
          </w14:textOutline>
        </w:rPr>
        <w:t>2-1</w:t>
      </w:r>
      <w:r>
        <w:rPr>
          <w:rFonts w:hint="eastAsia" w:ascii="宋体" w:hAnsi="宋体" w:eastAsia="宋体" w:cs="宋体"/>
          <w:spacing w:val="2"/>
          <w:sz w:val="31"/>
          <w:szCs w:val="31"/>
          <w:lang w:val="en-US" w:eastAsia="zh-CN"/>
          <w14:textOutline w14:w="5793" w14:cap="sq" w14:cmpd="sng">
            <w14:solidFill>
              <w14:srgbClr w14:val="000000"/>
            </w14:solidFill>
            <w14:prstDash w14:val="solid"/>
            <w14:bevel/>
          </w14:textOutline>
        </w:rPr>
        <w:t>3</w:t>
      </w:r>
    </w:p>
    <w:p w14:paraId="7589E73D">
      <w:pPr>
        <w:spacing w:before="243" w:line="225" w:lineRule="auto"/>
        <w:ind w:left="2356"/>
        <w:outlineLvl w:val="2"/>
        <w:rPr>
          <w:rFonts w:ascii="宋体" w:hAnsi="宋体" w:eastAsia="宋体" w:cs="宋体"/>
          <w:sz w:val="31"/>
          <w:szCs w:val="31"/>
        </w:rPr>
      </w:pPr>
      <w:r>
        <w:rPr>
          <w:rFonts w:ascii="宋体" w:hAnsi="宋体" w:eastAsia="宋体" w:cs="宋体"/>
          <w:spacing w:val="9"/>
          <w:sz w:val="31"/>
          <w:szCs w:val="31"/>
          <w14:textOutline w14:w="5793" w14:cap="sq" w14:cmpd="sng">
            <w14:solidFill>
              <w14:srgbClr w14:val="000000"/>
            </w14:solidFill>
            <w14:prstDash w14:val="solid"/>
            <w14:bevel/>
          </w14:textOutline>
        </w:rPr>
        <w:t>十</w:t>
      </w:r>
      <w:r>
        <w:rPr>
          <w:rFonts w:hint="eastAsia" w:ascii="宋体" w:hAnsi="宋体" w:eastAsia="宋体" w:cs="宋体"/>
          <w:spacing w:val="9"/>
          <w:sz w:val="31"/>
          <w:szCs w:val="31"/>
          <w:lang w:eastAsia="zh-CN"/>
          <w14:textOutline w14:w="5793" w14:cap="sq" w14:cmpd="sng">
            <w14:solidFill>
              <w14:srgbClr w14:val="000000"/>
            </w14:solidFill>
            <w14:prstDash w14:val="solid"/>
            <w14:bevel/>
          </w14:textOutline>
        </w:rPr>
        <w:t>二</w:t>
      </w:r>
      <w:r>
        <w:rPr>
          <w:rFonts w:ascii="宋体" w:hAnsi="宋体" w:eastAsia="宋体" w:cs="宋体"/>
          <w:spacing w:val="9"/>
          <w:sz w:val="31"/>
          <w:szCs w:val="31"/>
          <w14:textOutline w14:w="5793" w14:cap="sq" w14:cmpd="sng">
            <w14:solidFill>
              <w14:srgbClr w14:val="000000"/>
            </w14:solidFill>
            <w14:prstDash w14:val="solid"/>
            <w14:bevel/>
          </w14:textOutline>
        </w:rPr>
        <w:t>、关于知识产权的相关承诺</w:t>
      </w:r>
    </w:p>
    <w:p w14:paraId="2D4278FA">
      <w:pPr>
        <w:pStyle w:val="13"/>
        <w:spacing w:line="288" w:lineRule="auto"/>
      </w:pPr>
    </w:p>
    <w:p w14:paraId="46514B9C">
      <w:pPr>
        <w:pStyle w:val="13"/>
        <w:spacing w:line="289" w:lineRule="auto"/>
      </w:pPr>
    </w:p>
    <w:p w14:paraId="684CF9FE">
      <w:pPr>
        <w:tabs>
          <w:tab w:val="left" w:pos="2160"/>
        </w:tabs>
        <w:spacing w:before="78" w:line="219" w:lineRule="auto"/>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z w:val="24"/>
          <w:szCs w:val="24"/>
        </w:rPr>
        <w:t>（代理机构名称）：</w:t>
      </w:r>
    </w:p>
    <w:p w14:paraId="31494791">
      <w:pPr>
        <w:spacing w:before="195" w:line="369" w:lineRule="auto"/>
        <w:ind w:left="12" w:right="64" w:firstLine="479"/>
        <w:jc w:val="both"/>
        <w:rPr>
          <w:rFonts w:ascii="宋体" w:hAnsi="宋体" w:eastAsia="宋体" w:cs="宋体"/>
          <w:sz w:val="24"/>
          <w:szCs w:val="24"/>
        </w:rPr>
      </w:pPr>
      <w:r>
        <w:rPr>
          <w:rFonts w:ascii="宋体" w:hAnsi="宋体" w:eastAsia="宋体" w:cs="宋体"/>
          <w:spacing w:val="-1"/>
          <w:sz w:val="24"/>
          <w:szCs w:val="24"/>
        </w:rPr>
        <w:t>本公司作为“</w:t>
      </w:r>
      <w:r>
        <w:rPr>
          <w:rFonts w:ascii="宋体" w:hAnsi="宋体" w:eastAsia="宋体" w:cs="宋体"/>
          <w:spacing w:val="-1"/>
          <w:sz w:val="24"/>
          <w:szCs w:val="24"/>
          <w:u w:val="single" w:color="auto"/>
        </w:rPr>
        <w:t xml:space="preserve">     （项目名称）       </w:t>
      </w:r>
      <w:r>
        <w:rPr>
          <w:rFonts w:ascii="宋体" w:hAnsi="宋体" w:eastAsia="宋体" w:cs="宋体"/>
          <w:spacing w:val="-87"/>
          <w:sz w:val="24"/>
          <w:szCs w:val="24"/>
        </w:rPr>
        <w:t xml:space="preserve"> </w:t>
      </w:r>
      <w:r>
        <w:rPr>
          <w:rFonts w:ascii="宋体" w:hAnsi="宋体" w:eastAsia="宋体" w:cs="宋体"/>
          <w:spacing w:val="-1"/>
          <w:sz w:val="24"/>
          <w:szCs w:val="24"/>
        </w:rPr>
        <w:t>”</w:t>
      </w:r>
      <w:r>
        <w:rPr>
          <w:rFonts w:ascii="宋体" w:hAnsi="宋体" w:eastAsia="宋体" w:cs="宋体"/>
          <w:spacing w:val="-1"/>
          <w:sz w:val="24"/>
          <w:szCs w:val="24"/>
          <w:u w:val="single" w:color="auto"/>
        </w:rPr>
        <w:t xml:space="preserve"> 编号：             </w:t>
      </w:r>
      <w:r>
        <w:rPr>
          <w:rFonts w:ascii="宋体" w:hAnsi="宋体" w:eastAsia="宋体" w:cs="宋体"/>
          <w:spacing w:val="-111"/>
          <w:sz w:val="24"/>
          <w:szCs w:val="24"/>
        </w:rPr>
        <w:t xml:space="preserve"> </w:t>
      </w:r>
      <w:r>
        <w:rPr>
          <w:rFonts w:ascii="宋体" w:hAnsi="宋体" w:eastAsia="宋体" w:cs="宋体"/>
          <w:spacing w:val="-1"/>
          <w:sz w:val="24"/>
          <w:szCs w:val="24"/>
        </w:rPr>
        <w:t>采购</w:t>
      </w:r>
      <w:r>
        <w:rPr>
          <w:rFonts w:ascii="宋体" w:hAnsi="宋体" w:eastAsia="宋体" w:cs="宋体"/>
          <w:spacing w:val="-2"/>
          <w:sz w:val="24"/>
          <w:szCs w:val="24"/>
        </w:rPr>
        <w:t>项目的投标</w:t>
      </w:r>
      <w:r>
        <w:rPr>
          <w:rFonts w:ascii="宋体" w:hAnsi="宋体" w:eastAsia="宋体" w:cs="宋体"/>
          <w:sz w:val="24"/>
          <w:szCs w:val="24"/>
        </w:rPr>
        <w:t xml:space="preserve"> 人，郑重承诺：我方保证在本项目使用的任何产品和服务</w:t>
      </w:r>
      <w:r>
        <w:rPr>
          <w:rFonts w:ascii="宋体" w:hAnsi="宋体" w:eastAsia="宋体" w:cs="宋体"/>
          <w:spacing w:val="-1"/>
          <w:sz w:val="24"/>
          <w:szCs w:val="24"/>
        </w:rPr>
        <w:t>（包括部分使用）时，不会产</w:t>
      </w:r>
      <w:r>
        <w:rPr>
          <w:rFonts w:ascii="宋体" w:hAnsi="宋体" w:eastAsia="宋体" w:cs="宋体"/>
          <w:sz w:val="24"/>
          <w:szCs w:val="24"/>
        </w:rPr>
        <w:t xml:space="preserve"> 生因第三方提出侵犯其专利权、商标权或其它知识产权而</w:t>
      </w:r>
      <w:r>
        <w:rPr>
          <w:rFonts w:ascii="宋体" w:hAnsi="宋体" w:eastAsia="宋体" w:cs="宋体"/>
          <w:spacing w:val="-1"/>
          <w:sz w:val="24"/>
          <w:szCs w:val="24"/>
        </w:rPr>
        <w:t>引起的法律和经济纠纷，如因</w:t>
      </w:r>
    </w:p>
    <w:p w14:paraId="628B024B">
      <w:pPr>
        <w:spacing w:line="220" w:lineRule="auto"/>
        <w:ind w:left="11"/>
        <w:rPr>
          <w:rFonts w:ascii="宋体" w:hAnsi="宋体" w:eastAsia="宋体" w:cs="宋体"/>
          <w:sz w:val="24"/>
          <w:szCs w:val="24"/>
        </w:rPr>
      </w:pPr>
      <w:r>
        <w:rPr>
          <w:rFonts w:ascii="宋体" w:hAnsi="宋体" w:eastAsia="宋体" w:cs="宋体"/>
          <w:sz w:val="24"/>
          <w:szCs w:val="24"/>
        </w:rPr>
        <w:t>专利权、商标权或其它知识产权而引起法律和经济纠纷，</w:t>
      </w:r>
      <w:r>
        <w:rPr>
          <w:rFonts w:ascii="宋体" w:hAnsi="宋体" w:eastAsia="宋体" w:cs="宋体"/>
          <w:spacing w:val="-1"/>
          <w:sz w:val="24"/>
          <w:szCs w:val="24"/>
        </w:rPr>
        <w:t>由我方承担所有相关责任。</w:t>
      </w:r>
    </w:p>
    <w:p w14:paraId="5ECE87C6">
      <w:pPr>
        <w:spacing w:before="195" w:line="369" w:lineRule="auto"/>
        <w:ind w:left="11" w:right="64" w:firstLine="482"/>
        <w:jc w:val="both"/>
        <w:rPr>
          <w:rFonts w:ascii="宋体" w:hAnsi="宋体" w:eastAsia="宋体" w:cs="宋体"/>
          <w:sz w:val="24"/>
          <w:szCs w:val="24"/>
        </w:rPr>
      </w:pPr>
      <w:r>
        <w:rPr>
          <w:rFonts w:ascii="宋体" w:hAnsi="宋体" w:eastAsia="宋体" w:cs="宋体"/>
          <w:sz w:val="24"/>
          <w:szCs w:val="24"/>
        </w:rPr>
        <w:t>如我方在项目实施过程中采用自有知识成果，我</w:t>
      </w:r>
      <w:r>
        <w:rPr>
          <w:rFonts w:ascii="宋体" w:hAnsi="宋体" w:eastAsia="宋体" w:cs="宋体"/>
          <w:spacing w:val="-1"/>
          <w:sz w:val="24"/>
          <w:szCs w:val="24"/>
        </w:rPr>
        <w:t>方承诺提供开发接口和开发手册等</w:t>
      </w:r>
      <w:r>
        <w:rPr>
          <w:rFonts w:ascii="宋体" w:hAnsi="宋体" w:eastAsia="宋体" w:cs="宋体"/>
          <w:sz w:val="24"/>
          <w:szCs w:val="24"/>
        </w:rPr>
        <w:t xml:space="preserve"> 技术文档，并承诺提供无限期技术支持，采购人享有永久使</w:t>
      </w:r>
      <w:r>
        <w:rPr>
          <w:rFonts w:ascii="宋体" w:hAnsi="宋体" w:eastAsia="宋体" w:cs="宋体"/>
          <w:spacing w:val="-1"/>
          <w:sz w:val="24"/>
          <w:szCs w:val="24"/>
        </w:rPr>
        <w:t>用权（含采购人委托第三方</w:t>
      </w:r>
    </w:p>
    <w:p w14:paraId="7ADA46B1">
      <w:pPr>
        <w:spacing w:line="220" w:lineRule="auto"/>
        <w:ind w:left="9"/>
        <w:rPr>
          <w:rFonts w:ascii="宋体" w:hAnsi="宋体" w:eastAsia="宋体" w:cs="宋体"/>
          <w:sz w:val="24"/>
          <w:szCs w:val="24"/>
        </w:rPr>
      </w:pPr>
      <w:r>
        <w:rPr>
          <w:rFonts w:ascii="宋体" w:hAnsi="宋体" w:eastAsia="宋体" w:cs="宋体"/>
          <w:spacing w:val="-1"/>
          <w:sz w:val="24"/>
          <w:szCs w:val="24"/>
        </w:rPr>
        <w:t>在该项目后续开发的使用权）。</w:t>
      </w:r>
    </w:p>
    <w:p w14:paraId="619B0249">
      <w:pPr>
        <w:spacing w:before="194" w:line="480" w:lineRule="exact"/>
        <w:ind w:right="64"/>
        <w:jc w:val="right"/>
        <w:rPr>
          <w:rFonts w:ascii="宋体" w:hAnsi="宋体" w:eastAsia="宋体" w:cs="宋体"/>
          <w:sz w:val="24"/>
          <w:szCs w:val="24"/>
        </w:rPr>
      </w:pPr>
      <w:r>
        <w:rPr>
          <w:rFonts w:ascii="宋体" w:hAnsi="宋体" w:eastAsia="宋体" w:cs="宋体"/>
          <w:position w:val="18"/>
          <w:sz w:val="24"/>
          <w:szCs w:val="24"/>
        </w:rPr>
        <w:t>如我方在项目实施过程中采用非自有的知识产权</w:t>
      </w:r>
      <w:r>
        <w:rPr>
          <w:rFonts w:ascii="宋体" w:hAnsi="宋体" w:eastAsia="宋体" w:cs="宋体"/>
          <w:spacing w:val="-1"/>
          <w:position w:val="18"/>
          <w:sz w:val="24"/>
          <w:szCs w:val="24"/>
        </w:rPr>
        <w:t>，则在投标报价中已包括合法获取</w:t>
      </w:r>
    </w:p>
    <w:p w14:paraId="0050AE55">
      <w:pPr>
        <w:spacing w:line="220" w:lineRule="auto"/>
        <w:ind w:left="14"/>
        <w:rPr>
          <w:rFonts w:ascii="宋体" w:hAnsi="宋体" w:eastAsia="宋体" w:cs="宋体"/>
          <w:sz w:val="24"/>
          <w:szCs w:val="24"/>
        </w:rPr>
      </w:pPr>
      <w:r>
        <w:rPr>
          <w:rFonts w:ascii="宋体" w:hAnsi="宋体" w:eastAsia="宋体" w:cs="宋体"/>
          <w:spacing w:val="-2"/>
          <w:sz w:val="24"/>
          <w:szCs w:val="24"/>
        </w:rPr>
        <w:t>该知识产权的相关费用。</w:t>
      </w:r>
    </w:p>
    <w:p w14:paraId="270C7760">
      <w:pPr>
        <w:spacing w:before="194" w:line="219" w:lineRule="auto"/>
        <w:ind w:left="491"/>
        <w:rPr>
          <w:rFonts w:ascii="宋体" w:hAnsi="宋体" w:eastAsia="宋体" w:cs="宋体"/>
          <w:sz w:val="24"/>
          <w:szCs w:val="24"/>
        </w:rPr>
      </w:pPr>
      <w:r>
        <w:rPr>
          <w:rFonts w:ascii="宋体" w:hAnsi="宋体" w:eastAsia="宋体" w:cs="宋体"/>
          <w:sz w:val="24"/>
          <w:szCs w:val="24"/>
          <w14:textOutline w14:w="4358" w14:cap="sq" w14:cmpd="sng">
            <w14:solidFill>
              <w14:srgbClr w14:val="000000"/>
            </w14:solidFill>
            <w14:prstDash w14:val="solid"/>
            <w14:bevel/>
          </w14:textOutline>
        </w:rPr>
        <w:t>本公司对上述承诺的真实性负责。如有虚假，将依法承担相应责任。</w:t>
      </w:r>
    </w:p>
    <w:p w14:paraId="10E1375B">
      <w:pPr>
        <w:pStyle w:val="13"/>
        <w:spacing w:line="271" w:lineRule="auto"/>
      </w:pPr>
    </w:p>
    <w:p w14:paraId="69F41015">
      <w:pPr>
        <w:pStyle w:val="13"/>
        <w:spacing w:line="271" w:lineRule="auto"/>
      </w:pPr>
    </w:p>
    <w:p w14:paraId="774A754D">
      <w:pPr>
        <w:pStyle w:val="13"/>
        <w:spacing w:line="271" w:lineRule="auto"/>
      </w:pPr>
    </w:p>
    <w:p w14:paraId="7364E9E2">
      <w:pPr>
        <w:pStyle w:val="13"/>
        <w:spacing w:line="272" w:lineRule="auto"/>
      </w:pPr>
    </w:p>
    <w:p w14:paraId="5513EF5D">
      <w:pPr>
        <w:spacing w:before="78" w:line="219" w:lineRule="auto"/>
        <w:ind w:left="481"/>
        <w:rPr>
          <w:rFonts w:ascii="宋体" w:hAnsi="宋体" w:eastAsia="宋体" w:cs="宋体"/>
          <w:sz w:val="24"/>
          <w:szCs w:val="24"/>
        </w:rPr>
      </w:pPr>
      <w:r>
        <w:rPr>
          <w:rFonts w:ascii="宋体" w:hAnsi="宋体" w:eastAsia="宋体" w:cs="宋体"/>
          <w:spacing w:val="2"/>
          <w:sz w:val="24"/>
          <w:szCs w:val="24"/>
        </w:rPr>
        <w:t>投标人名称</w:t>
      </w:r>
      <w:r>
        <w:rPr>
          <w:rFonts w:ascii="宋体" w:hAnsi="宋体" w:eastAsia="宋体" w:cs="宋体"/>
          <w:spacing w:val="-18"/>
          <w:sz w:val="24"/>
          <w:szCs w:val="24"/>
        </w:rPr>
        <w:t>：（</w:t>
      </w:r>
      <w:r>
        <w:rPr>
          <w:rFonts w:ascii="宋体" w:hAnsi="宋体" w:eastAsia="宋体" w:cs="宋体"/>
          <w:spacing w:val="2"/>
          <w:sz w:val="24"/>
          <w:szCs w:val="24"/>
        </w:rPr>
        <w:t>盖单位公章）</w:t>
      </w:r>
    </w:p>
    <w:p w14:paraId="07F96475">
      <w:pPr>
        <w:spacing w:before="217" w:line="499" w:lineRule="exact"/>
        <w:ind w:left="479"/>
        <w:rPr>
          <w:rFonts w:ascii="宋体" w:hAnsi="宋体" w:eastAsia="宋体" w:cs="宋体"/>
          <w:sz w:val="24"/>
          <w:szCs w:val="24"/>
        </w:rPr>
      </w:pPr>
      <w:r>
        <w:rPr>
          <w:rFonts w:ascii="宋体" w:hAnsi="宋体" w:eastAsia="宋体" w:cs="宋体"/>
          <w:spacing w:val="-1"/>
          <w:position w:val="19"/>
          <w:sz w:val="24"/>
          <w:szCs w:val="24"/>
        </w:rPr>
        <w:t>法定代表人或授权代表（签字或加盖个人名章</w:t>
      </w:r>
      <w:r>
        <w:rPr>
          <w:rFonts w:ascii="宋体" w:hAnsi="宋体" w:eastAsia="宋体" w:cs="宋体"/>
          <w:spacing w:val="4"/>
          <w:position w:val="19"/>
          <w:sz w:val="24"/>
          <w:szCs w:val="24"/>
        </w:rPr>
        <w:t>）：</w:t>
      </w:r>
    </w:p>
    <w:p w14:paraId="03331A73">
      <w:pPr>
        <w:spacing w:before="1" w:line="220" w:lineRule="auto"/>
        <w:ind w:left="481"/>
        <w:rPr>
          <w:rFonts w:ascii="宋体" w:hAnsi="宋体" w:eastAsia="宋体" w:cs="宋体"/>
          <w:sz w:val="24"/>
          <w:szCs w:val="24"/>
        </w:rPr>
      </w:pPr>
      <w:r>
        <w:rPr>
          <w:rFonts w:ascii="宋体" w:hAnsi="宋体" w:eastAsia="宋体" w:cs="宋体"/>
          <w:spacing w:val="-3"/>
          <w:sz w:val="24"/>
          <w:szCs w:val="24"/>
        </w:rPr>
        <w:t>投标日期：</w:t>
      </w:r>
    </w:p>
    <w:p w14:paraId="450AA03E">
      <w:pPr>
        <w:spacing w:line="220" w:lineRule="auto"/>
        <w:rPr>
          <w:rFonts w:ascii="宋体" w:hAnsi="宋体" w:eastAsia="宋体" w:cs="宋体"/>
          <w:sz w:val="24"/>
          <w:szCs w:val="24"/>
        </w:rPr>
        <w:sectPr>
          <w:headerReference r:id="rId41" w:type="default"/>
          <w:footerReference r:id="rId42" w:type="default"/>
          <w:pgSz w:w="11906" w:h="16839"/>
          <w:pgMar w:top="1619" w:right="1132" w:bottom="1157" w:left="1588" w:header="851" w:footer="992" w:gutter="0"/>
          <w:pgNumType w:fmt="decimal"/>
          <w:cols w:space="720" w:num="1"/>
        </w:sectPr>
      </w:pPr>
    </w:p>
    <w:p w14:paraId="2F4B839F">
      <w:pPr>
        <w:spacing w:line="300" w:lineRule="auto"/>
        <w:rPr>
          <w:rFonts w:ascii="Arial"/>
          <w:sz w:val="21"/>
        </w:rPr>
      </w:pPr>
    </w:p>
    <w:p w14:paraId="3266433D">
      <w:pPr>
        <w:spacing w:before="114" w:line="190" w:lineRule="auto"/>
        <w:ind w:left="77"/>
        <w:jc w:val="center"/>
        <w:outlineLvl w:val="0"/>
        <w:rPr>
          <w:rFonts w:ascii="宋体" w:hAnsi="宋体" w:eastAsia="宋体" w:cs="宋体"/>
          <w:sz w:val="35"/>
          <w:szCs w:val="35"/>
        </w:rPr>
      </w:pPr>
      <w:bookmarkStart w:id="29" w:name="_bookmark4"/>
      <w:bookmarkEnd w:id="29"/>
      <w:r>
        <w:rPr>
          <w:rFonts w:ascii="宋体" w:hAnsi="宋体" w:eastAsia="宋体" w:cs="宋体"/>
          <w:spacing w:val="19"/>
          <w:sz w:val="35"/>
          <w:szCs w:val="35"/>
          <w14:textOutline w14:w="6528" w14:cap="sq" w14:cmpd="sng">
            <w14:solidFill>
              <w14:srgbClr w14:val="000000"/>
            </w14:solidFill>
            <w14:prstDash w14:val="solid"/>
            <w14:bevel/>
          </w14:textOutline>
        </w:rPr>
        <w:t>第</w:t>
      </w:r>
      <w:r>
        <w:rPr>
          <w:rFonts w:ascii="宋体" w:hAnsi="宋体" w:eastAsia="宋体" w:cs="宋体"/>
          <w:spacing w:val="10"/>
          <w:sz w:val="35"/>
          <w:szCs w:val="35"/>
          <w14:textOutline w14:w="6528" w14:cap="sq" w14:cmpd="sng">
            <w14:solidFill>
              <w14:srgbClr w14:val="000000"/>
            </w14:solidFill>
            <w14:prstDash w14:val="solid"/>
            <w14:bevel/>
          </w14:textOutline>
        </w:rPr>
        <w:t>四章</w:t>
      </w:r>
      <w:r>
        <w:rPr>
          <w:rFonts w:ascii="宋体" w:hAnsi="宋体" w:eastAsia="宋体" w:cs="宋体"/>
          <w:spacing w:val="10"/>
          <w:sz w:val="35"/>
          <w:szCs w:val="35"/>
        </w:rPr>
        <w:t xml:space="preserve"> </w:t>
      </w:r>
      <w:r>
        <w:rPr>
          <w:rFonts w:hint="eastAsia" w:ascii="宋体" w:hAnsi="宋体" w:eastAsia="宋体" w:cs="宋体"/>
          <w:spacing w:val="10"/>
          <w:sz w:val="35"/>
          <w:szCs w:val="35"/>
          <w:lang w:val="en-US" w:eastAsia="zh-CN"/>
        </w:rPr>
        <w:t xml:space="preserve"> </w:t>
      </w:r>
      <w:r>
        <w:rPr>
          <w:rFonts w:ascii="宋体" w:hAnsi="宋体" w:eastAsia="宋体" w:cs="宋体"/>
          <w:spacing w:val="10"/>
          <w:sz w:val="35"/>
          <w:szCs w:val="35"/>
          <w14:textOutline w14:w="6528" w14:cap="sq" w14:cmpd="sng">
            <w14:solidFill>
              <w14:srgbClr w14:val="000000"/>
            </w14:solidFill>
            <w14:prstDash w14:val="solid"/>
            <w14:bevel/>
          </w14:textOutline>
        </w:rPr>
        <w:t>投标人和投标产品的资格、资质性及其他类似效</w:t>
      </w:r>
      <w:r>
        <w:rPr>
          <w:rFonts w:ascii="宋体" w:hAnsi="宋体" w:eastAsia="宋体" w:cs="宋体"/>
          <w:spacing w:val="4"/>
          <w:sz w:val="35"/>
          <w:szCs w:val="35"/>
          <w14:textOutline w14:w="6528" w14:cap="sq" w14:cmpd="sng">
            <w14:solidFill>
              <w14:srgbClr w14:val="000000"/>
            </w14:solidFill>
            <w14:prstDash w14:val="solid"/>
            <w14:bevel/>
          </w14:textOutline>
        </w:rPr>
        <w:t>力要求</w:t>
      </w:r>
    </w:p>
    <w:p w14:paraId="2F12C5A7">
      <w:pPr>
        <w:spacing w:line="321" w:lineRule="auto"/>
        <w:rPr>
          <w:rFonts w:ascii="Arial"/>
          <w:sz w:val="21"/>
        </w:rPr>
      </w:pPr>
    </w:p>
    <w:p w14:paraId="408B1432">
      <w:pPr>
        <w:spacing w:before="78" w:line="384" w:lineRule="auto"/>
        <w:ind w:left="10"/>
        <w:jc w:val="both"/>
        <w:rPr>
          <w:rFonts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lang w:eastAsia="zh-CN"/>
        </w:rPr>
        <w:t>一、</w:t>
      </w:r>
      <w:r>
        <w:rPr>
          <w:rFonts w:ascii="Times New Roman" w:hAnsi="Times New Roman" w:eastAsia="Times New Roman" w:cs="Times New Roman"/>
          <w:b/>
          <w:bCs/>
          <w:sz w:val="24"/>
          <w:szCs w:val="24"/>
        </w:rPr>
        <w:t>资格要求：</w:t>
      </w:r>
    </w:p>
    <w:p w14:paraId="50139D02">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pacing w:val="0"/>
          <w:position w:val="0"/>
          <w:sz w:val="24"/>
          <w:szCs w:val="24"/>
        </w:rPr>
        <w:t>1、具备《中华人民共和国政府采购法》第二十二条规定的条件，具体为：</w:t>
      </w:r>
    </w:p>
    <w:p w14:paraId="1AEA7A1E">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（1）具有独立承担民事责任的能力；</w:t>
      </w:r>
    </w:p>
    <w:p w14:paraId="4F449C8A">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（2）具有良好的商业信誉和健全的财务会计制度；</w:t>
      </w:r>
    </w:p>
    <w:p w14:paraId="69377BE5">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（3）具有履行合同所必需的设备和专业技术能力；</w:t>
      </w:r>
    </w:p>
    <w:p w14:paraId="53DEF449">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（4）具有依法缴纳税收和社会保障资金的良好记录；</w:t>
      </w:r>
    </w:p>
    <w:p w14:paraId="26DC9926">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（5）参加本次采购活动前三年内，在经营活动中没有重大违法记录；</w:t>
      </w:r>
    </w:p>
    <w:p w14:paraId="183FFAC6">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（6）符合法律、行政法规规定的其他条件；</w:t>
      </w:r>
    </w:p>
    <w:p w14:paraId="2E52262B">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30DD1A05">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（1）采购包1专门面向中小企业（供应商应为中小微企业、监狱企业、残疾人福利性单位）采购。</w:t>
      </w:r>
    </w:p>
    <w:p w14:paraId="52399F5D">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（2）采购包2不专门面向中小企业采购。</w:t>
      </w:r>
      <w:r>
        <w:rPr>
          <w:rFonts w:hint="eastAsia" w:ascii="宋体" w:hAnsi="宋体" w:eastAsia="宋体" w:cs="宋体"/>
          <w:sz w:val="24"/>
          <w:szCs w:val="24"/>
        </w:rPr>
        <w:br w:type="textWrapping"/>
      </w:r>
      <w:r>
        <w:rPr>
          <w:rFonts w:hint="eastAsia" w:ascii="宋体" w:hAnsi="宋体" w:eastAsia="宋体" w:cs="宋体"/>
          <w:sz w:val="24"/>
          <w:szCs w:val="24"/>
        </w:rPr>
        <w:t>3、本项目的特定资格要求：</w:t>
      </w:r>
    </w:p>
    <w:p w14:paraId="7BBE83F0">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（1）采购包1：无</w:t>
      </w:r>
    </w:p>
    <w:p w14:paraId="4CB51333">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（2）采购包2：无</w:t>
      </w:r>
    </w:p>
    <w:p w14:paraId="5F16572F">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bookmarkStart w:id="30" w:name="bookmark35"/>
      <w:bookmarkEnd w:id="30"/>
      <w:r>
        <w:rPr>
          <w:rFonts w:hint="eastAsia" w:ascii="宋体" w:hAnsi="宋体" w:eastAsia="宋体" w:cs="宋体"/>
          <w:b/>
          <w:bCs/>
          <w:sz w:val="24"/>
          <w:szCs w:val="24"/>
        </w:rPr>
        <w:t>二、投标产品的资格、资质性及其他类似效力要求</w:t>
      </w:r>
    </w:p>
    <w:p w14:paraId="73B6F813">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（1）符合《中华人民共和国政府采购法实施条例》第十八条的规定；</w:t>
      </w:r>
    </w:p>
    <w:p w14:paraId="09D6C880">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（2）投标供应商单位及其现任法定代表人、</w:t>
      </w:r>
      <w:r>
        <w:rPr>
          <w:rFonts w:hint="eastAsia" w:ascii="宋体" w:hAnsi="宋体" w:eastAsia="宋体" w:cs="宋体"/>
          <w:sz w:val="24"/>
          <w:szCs w:val="24"/>
          <w:lang w:eastAsia="zh-CN"/>
        </w:rPr>
        <w:t>主要</w:t>
      </w:r>
      <w:r>
        <w:rPr>
          <w:rFonts w:hint="eastAsia" w:ascii="宋体" w:hAnsi="宋体" w:eastAsia="宋体" w:cs="宋体"/>
          <w:sz w:val="24"/>
          <w:szCs w:val="24"/>
        </w:rPr>
        <w:t>负责人不得具有行贿犯罪记录；</w:t>
      </w:r>
    </w:p>
    <w:p w14:paraId="72C8D2F8">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ascii="宋体" w:hAnsi="宋体" w:eastAsia="宋体" w:cs="宋体"/>
          <w:b/>
          <w:bCs/>
          <w:sz w:val="24"/>
          <w:szCs w:val="24"/>
        </w:rPr>
      </w:pPr>
      <w:r>
        <w:rPr>
          <w:rFonts w:hint="eastAsia" w:ascii="宋体" w:hAnsi="宋体" w:eastAsia="宋体" w:cs="宋体"/>
          <w:sz w:val="24"/>
          <w:szCs w:val="24"/>
        </w:rPr>
        <w:t>（3）供应商不得为“信用中国”网站（www.creditchina.gov.cn）中列入失信被执行人和重大税收违法案件当事人名单的供应商，不得为“中国政府采购网”网站（www.ccgp.gov.cn）政府采购严重违法失信行为记录名单中被财政部门禁止参加政府采购活动的供应商（处罚决定规定的时间和地域范围内）。</w:t>
      </w:r>
    </w:p>
    <w:p w14:paraId="4D48481B">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）授权参加本次投标活动的供应商代表证明材料；</w:t>
      </w:r>
    </w:p>
    <w:p w14:paraId="385AFD12">
      <w:pPr>
        <w:keepNext w:val="0"/>
        <w:keepLines w:val="0"/>
        <w:pageBreakBefore w:val="0"/>
        <w:widowControl/>
        <w:kinsoku w:val="0"/>
        <w:wordWrap/>
        <w:overflowPunct/>
        <w:topLinePunct w:val="0"/>
        <w:autoSpaceDE w:val="0"/>
        <w:autoSpaceDN w:val="0"/>
        <w:bidi w:val="0"/>
        <w:adjustRightInd w:val="0"/>
        <w:snapToGrid w:val="0"/>
        <w:spacing w:before="0" w:line="360" w:lineRule="auto"/>
        <w:ind w:left="0"/>
        <w:textAlignment w:val="baseline"/>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）按规定获取了招标文件，属于实质性参加政府采购活动的供应商。</w:t>
      </w:r>
    </w:p>
    <w:p w14:paraId="7D42EB3F">
      <w:pPr>
        <w:spacing w:before="78" w:line="384" w:lineRule="auto"/>
        <w:ind w:left="10"/>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注：1.本章资格要求第（5  款）中“参加本次政府采购活动前三年内，在经营活动中没有重大违法记录 ”中的重大违法记录是指：投标人因违法经营受到刑事处罚或者责令停产停业、吊销许可证或者执照、较大数额罚款等行政处罚，其中较大数额罚款的具体金额标准以财库〔2022〕3 号文为准，即：认定为 200  万元以上的罚款，法律、行政法规以及国务院有关部门明确规定相关领域“较大数额罚款 ”标准高于 200  万元的，从其规定。</w:t>
      </w:r>
    </w:p>
    <w:p w14:paraId="091F6BD4">
      <w:pPr>
        <w:spacing w:before="78" w:line="384" w:lineRule="auto"/>
        <w:ind w:left="10"/>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供应商在参加政府采购活动前，被纳入法院、市场监管部门、税务部门、银行认定的失信名单且在有效期内，或者在前三年政府采购合同履约过程中及其他经营活动履约过程中未依法履约被有关行政部门处罚（处理）的，本项目不认定其具有良好的商业信誉。</w:t>
      </w:r>
    </w:p>
    <w:p w14:paraId="4CDE58DC">
      <w:pPr>
        <w:rPr>
          <w:rFonts w:ascii="宋体" w:hAnsi="宋体" w:eastAsia="宋体" w:cs="宋体"/>
          <w:spacing w:val="19"/>
          <w:sz w:val="35"/>
          <w:szCs w:val="35"/>
          <w14:textOutline w14:w="6537" w14:cap="sq" w14:cmpd="sng">
            <w14:solidFill>
              <w14:srgbClr w14:val="000000"/>
            </w14:solidFill>
            <w14:prstDash w14:val="solid"/>
            <w14:bevel/>
          </w14:textOutline>
        </w:rPr>
      </w:pPr>
      <w:r>
        <w:rPr>
          <w:rFonts w:ascii="宋体" w:hAnsi="宋体" w:eastAsia="宋体" w:cs="宋体"/>
          <w:spacing w:val="19"/>
          <w:sz w:val="35"/>
          <w:szCs w:val="35"/>
          <w14:textOutline w14:w="6537" w14:cap="sq" w14:cmpd="sng">
            <w14:solidFill>
              <w14:srgbClr w14:val="000000"/>
            </w14:solidFill>
            <w14:prstDash w14:val="solid"/>
            <w14:bevel/>
          </w14:textOutline>
        </w:rPr>
        <w:br w:type="page"/>
      </w:r>
    </w:p>
    <w:p w14:paraId="10D651FF">
      <w:pPr>
        <w:spacing w:before="113" w:line="225" w:lineRule="auto"/>
        <w:ind w:left="78"/>
        <w:jc w:val="center"/>
        <w:outlineLvl w:val="0"/>
        <w:rPr>
          <w:rFonts w:ascii="宋体" w:hAnsi="宋体" w:eastAsia="宋体" w:cs="宋体"/>
          <w:sz w:val="35"/>
          <w:szCs w:val="35"/>
        </w:rPr>
      </w:pPr>
      <w:r>
        <w:rPr>
          <w:rFonts w:ascii="宋体" w:hAnsi="宋体" w:eastAsia="宋体" w:cs="宋体"/>
          <w:spacing w:val="19"/>
          <w:sz w:val="35"/>
          <w:szCs w:val="35"/>
          <w14:textOutline w14:w="6537" w14:cap="sq" w14:cmpd="sng">
            <w14:solidFill>
              <w14:srgbClr w14:val="000000"/>
            </w14:solidFill>
            <w14:prstDash w14:val="solid"/>
            <w14:bevel/>
          </w14:textOutline>
        </w:rPr>
        <w:t>第</w:t>
      </w:r>
      <w:r>
        <w:rPr>
          <w:rFonts w:ascii="宋体" w:hAnsi="宋体" w:eastAsia="宋体" w:cs="宋体"/>
          <w:spacing w:val="10"/>
          <w:sz w:val="35"/>
          <w:szCs w:val="35"/>
          <w14:textOutline w14:w="6537" w14:cap="sq" w14:cmpd="sng">
            <w14:solidFill>
              <w14:srgbClr w14:val="000000"/>
            </w14:solidFill>
            <w14:prstDash w14:val="solid"/>
            <w14:bevel/>
          </w14:textOutline>
        </w:rPr>
        <w:t>五章</w:t>
      </w:r>
      <w:r>
        <w:rPr>
          <w:rFonts w:ascii="宋体" w:hAnsi="宋体" w:eastAsia="宋体" w:cs="宋体"/>
          <w:spacing w:val="10"/>
          <w:sz w:val="35"/>
          <w:szCs w:val="35"/>
        </w:rPr>
        <w:t xml:space="preserve">  </w:t>
      </w:r>
      <w:r>
        <w:rPr>
          <w:rFonts w:ascii="宋体" w:hAnsi="宋体" w:eastAsia="宋体" w:cs="宋体"/>
          <w:spacing w:val="10"/>
          <w:sz w:val="35"/>
          <w:szCs w:val="35"/>
          <w14:textOutline w14:w="6537" w14:cap="sq" w14:cmpd="sng">
            <w14:solidFill>
              <w14:srgbClr w14:val="000000"/>
            </w14:solidFill>
            <w14:prstDash w14:val="solid"/>
            <w14:bevel/>
          </w14:textOutline>
        </w:rPr>
        <w:t>投标人应当提供的资格、资质性及其他类似效力</w:t>
      </w:r>
      <w:r>
        <w:rPr>
          <w:rFonts w:ascii="宋体" w:hAnsi="宋体" w:eastAsia="宋体" w:cs="宋体"/>
          <w:spacing w:val="14"/>
          <w:sz w:val="35"/>
          <w:szCs w:val="35"/>
          <w14:textOutline w14:w="6537" w14:cap="sq" w14:cmpd="sng">
            <w14:solidFill>
              <w14:srgbClr w14:val="000000"/>
            </w14:solidFill>
            <w14:prstDash w14:val="solid"/>
            <w14:bevel/>
          </w14:textOutline>
        </w:rPr>
        <w:t>要</w:t>
      </w:r>
      <w:r>
        <w:rPr>
          <w:rFonts w:ascii="宋体" w:hAnsi="宋体" w:eastAsia="宋体" w:cs="宋体"/>
          <w:spacing w:val="9"/>
          <w:sz w:val="35"/>
          <w:szCs w:val="35"/>
          <w14:textOutline w14:w="6537" w14:cap="sq" w14:cmpd="sng">
            <w14:solidFill>
              <w14:srgbClr w14:val="000000"/>
            </w14:solidFill>
            <w14:prstDash w14:val="solid"/>
            <w14:bevel/>
          </w14:textOutline>
        </w:rPr>
        <w:t>求的相关证明材料</w:t>
      </w:r>
    </w:p>
    <w:p w14:paraId="5C56C2F1">
      <w:pPr>
        <w:spacing w:line="340" w:lineRule="auto"/>
        <w:rPr>
          <w:rFonts w:ascii="Arial"/>
          <w:sz w:val="21"/>
        </w:rPr>
      </w:pPr>
    </w:p>
    <w:p w14:paraId="028A468C">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lang w:eastAsia="zh-CN"/>
        </w:rPr>
        <w:t>一、</w:t>
      </w:r>
      <w:r>
        <w:rPr>
          <w:rFonts w:hint="eastAsia" w:ascii="Times New Roman" w:hAnsi="Times New Roman" w:eastAsia="Times New Roman" w:cs="Times New Roman"/>
          <w:b/>
          <w:bCs/>
          <w:sz w:val="24"/>
          <w:szCs w:val="24"/>
        </w:rPr>
        <w:t>资格要求相关证明材料</w:t>
      </w:r>
    </w:p>
    <w:p w14:paraId="0C5E304A">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1、具有独立承担民事责任的能力；</w:t>
      </w:r>
    </w:p>
    <w:p w14:paraId="031758B3">
      <w:pPr>
        <w:spacing w:before="2" w:line="250" w:lineRule="auto"/>
        <w:ind w:right="141" w:firstLine="480"/>
        <w:rPr>
          <w:rFonts w:hint="eastAsia" w:ascii="宋体" w:hAnsi="宋体" w:eastAsia="宋体" w:cs="宋体"/>
          <w:sz w:val="24"/>
          <w:szCs w:val="24"/>
        </w:rPr>
      </w:pPr>
      <w:r>
        <w:rPr>
          <w:rFonts w:hint="eastAsia" w:ascii="宋体" w:hAnsi="宋体" w:eastAsia="宋体" w:cs="宋体"/>
          <w:spacing w:val="18"/>
          <w:sz w:val="24"/>
          <w:szCs w:val="24"/>
        </w:rPr>
        <w:t>①供应</w:t>
      </w:r>
      <w:r>
        <w:rPr>
          <w:rFonts w:hint="eastAsia" w:ascii="宋体" w:hAnsi="宋体" w:eastAsia="宋体" w:cs="宋体"/>
          <w:spacing w:val="9"/>
          <w:sz w:val="24"/>
          <w:szCs w:val="24"/>
        </w:rPr>
        <w:t>商若为企业法人：提供“统一社会信用代码营业执照”；未换证的提供“营</w:t>
      </w:r>
      <w:r>
        <w:rPr>
          <w:rFonts w:hint="eastAsia" w:ascii="宋体" w:hAnsi="宋体" w:eastAsia="宋体" w:cs="宋体"/>
          <w:spacing w:val="18"/>
          <w:sz w:val="24"/>
          <w:szCs w:val="24"/>
        </w:rPr>
        <w:t>业</w:t>
      </w:r>
      <w:r>
        <w:rPr>
          <w:rFonts w:hint="eastAsia" w:ascii="宋体" w:hAnsi="宋体" w:eastAsia="宋体" w:cs="宋体"/>
          <w:spacing w:val="10"/>
          <w:sz w:val="24"/>
          <w:szCs w:val="24"/>
        </w:rPr>
        <w:t>执</w:t>
      </w:r>
      <w:r>
        <w:rPr>
          <w:rFonts w:hint="eastAsia" w:ascii="宋体" w:hAnsi="宋体" w:eastAsia="宋体" w:cs="宋体"/>
          <w:spacing w:val="9"/>
          <w:sz w:val="24"/>
          <w:szCs w:val="24"/>
        </w:rPr>
        <w:t>照、税务登记证、组织机构代码证或三证合一的营业执照”。</w:t>
      </w:r>
    </w:p>
    <w:p w14:paraId="610F319B">
      <w:pPr>
        <w:spacing w:before="1" w:line="250" w:lineRule="auto"/>
        <w:ind w:right="81" w:firstLine="479"/>
        <w:rPr>
          <w:rFonts w:hint="eastAsia" w:ascii="宋体" w:hAnsi="宋体" w:eastAsia="宋体" w:cs="宋体"/>
          <w:sz w:val="24"/>
          <w:szCs w:val="24"/>
        </w:rPr>
      </w:pPr>
      <w:r>
        <w:rPr>
          <w:rFonts w:hint="eastAsia" w:ascii="宋体" w:hAnsi="宋体" w:eastAsia="宋体" w:cs="宋体"/>
          <w:spacing w:val="-8"/>
          <w:sz w:val="24"/>
          <w:szCs w:val="24"/>
        </w:rPr>
        <w:t>②</w:t>
      </w:r>
      <w:r>
        <w:rPr>
          <w:rFonts w:hint="eastAsia" w:ascii="宋体" w:hAnsi="宋体" w:eastAsia="宋体" w:cs="宋体"/>
          <w:spacing w:val="-7"/>
          <w:sz w:val="24"/>
          <w:szCs w:val="24"/>
        </w:rPr>
        <w:t>供</w:t>
      </w:r>
      <w:r>
        <w:rPr>
          <w:rFonts w:hint="eastAsia" w:ascii="宋体" w:hAnsi="宋体" w:eastAsia="宋体" w:cs="宋体"/>
          <w:spacing w:val="-4"/>
          <w:sz w:val="24"/>
          <w:szCs w:val="24"/>
        </w:rPr>
        <w:t>应商若为事业法人：提供“统一社会信用代码法人登记证书”；未换证的提交“事</w:t>
      </w:r>
      <w:r>
        <w:rPr>
          <w:rFonts w:hint="eastAsia" w:ascii="宋体" w:hAnsi="宋体" w:eastAsia="宋体" w:cs="宋体"/>
          <w:spacing w:val="9"/>
          <w:sz w:val="24"/>
          <w:szCs w:val="24"/>
        </w:rPr>
        <w:t>业法人登记证书、组织机构代码证”</w:t>
      </w:r>
      <w:r>
        <w:rPr>
          <w:rFonts w:hint="eastAsia" w:ascii="宋体" w:hAnsi="宋体" w:eastAsia="宋体" w:cs="宋体"/>
          <w:spacing w:val="7"/>
          <w:sz w:val="24"/>
          <w:szCs w:val="24"/>
        </w:rPr>
        <w:t>；</w:t>
      </w:r>
    </w:p>
    <w:p w14:paraId="41A2ECD0">
      <w:pPr>
        <w:spacing w:before="2" w:line="225" w:lineRule="auto"/>
        <w:ind w:left="480"/>
        <w:rPr>
          <w:rFonts w:hint="eastAsia" w:ascii="宋体" w:hAnsi="宋体" w:eastAsia="宋体" w:cs="宋体"/>
          <w:sz w:val="24"/>
          <w:szCs w:val="24"/>
        </w:rPr>
      </w:pPr>
      <w:r>
        <w:rPr>
          <w:rFonts w:hint="eastAsia" w:ascii="宋体" w:hAnsi="宋体" w:eastAsia="宋体" w:cs="宋体"/>
          <w:spacing w:val="1"/>
          <w:sz w:val="24"/>
          <w:szCs w:val="24"/>
        </w:rPr>
        <w:t>③供应商若为其他组织：提</w:t>
      </w:r>
      <w:r>
        <w:rPr>
          <w:rFonts w:hint="eastAsia" w:ascii="宋体" w:hAnsi="宋体" w:eastAsia="宋体" w:cs="宋体"/>
          <w:sz w:val="24"/>
          <w:szCs w:val="24"/>
        </w:rPr>
        <w:t>供“对应主管部门颁发的准许执业证明文件或营业执照”；</w:t>
      </w:r>
    </w:p>
    <w:p w14:paraId="276FF00B">
      <w:pPr>
        <w:spacing w:before="30" w:line="226" w:lineRule="auto"/>
        <w:ind w:left="480"/>
        <w:rPr>
          <w:rFonts w:hint="eastAsia" w:ascii="宋体" w:hAnsi="宋体" w:eastAsia="宋体" w:cs="宋体"/>
          <w:sz w:val="24"/>
          <w:szCs w:val="24"/>
        </w:rPr>
      </w:pPr>
      <w:r>
        <w:rPr>
          <w:rFonts w:hint="eastAsia" w:ascii="宋体" w:hAnsi="宋体" w:eastAsia="宋体" w:cs="宋体"/>
          <w:spacing w:val="12"/>
          <w:sz w:val="24"/>
          <w:szCs w:val="24"/>
        </w:rPr>
        <w:t>④</w:t>
      </w:r>
      <w:r>
        <w:rPr>
          <w:rFonts w:hint="eastAsia" w:ascii="宋体" w:hAnsi="宋体" w:eastAsia="宋体" w:cs="宋体"/>
          <w:spacing w:val="9"/>
          <w:sz w:val="24"/>
          <w:szCs w:val="24"/>
        </w:rPr>
        <w:t>供应商若为自然人：提供“身份证明材料”。</w:t>
      </w:r>
    </w:p>
    <w:p w14:paraId="6410180D">
      <w:pPr>
        <w:spacing w:before="31" w:line="232" w:lineRule="auto"/>
        <w:ind w:left="1"/>
        <w:rPr>
          <w:rFonts w:hint="eastAsia" w:ascii="宋体" w:hAnsi="宋体" w:eastAsia="宋体" w:cs="宋体"/>
          <w:sz w:val="24"/>
          <w:szCs w:val="24"/>
        </w:rPr>
      </w:pPr>
      <w:r>
        <w:rPr>
          <w:rFonts w:hint="eastAsia" w:ascii="宋体" w:hAnsi="宋体" w:eastAsia="宋体" w:cs="宋体"/>
          <w:spacing w:val="16"/>
          <w:sz w:val="24"/>
          <w:szCs w:val="24"/>
        </w:rPr>
        <w:t>注</w:t>
      </w:r>
      <w:r>
        <w:rPr>
          <w:rFonts w:hint="eastAsia" w:ascii="宋体" w:hAnsi="宋体" w:eastAsia="宋体" w:cs="宋体"/>
          <w:spacing w:val="10"/>
          <w:sz w:val="24"/>
          <w:szCs w:val="24"/>
        </w:rPr>
        <w:t>：</w:t>
      </w:r>
      <w:r>
        <w:rPr>
          <w:rFonts w:hint="eastAsia" w:ascii="宋体" w:hAnsi="宋体" w:eastAsia="宋体" w:cs="宋体"/>
          <w:spacing w:val="8"/>
          <w:sz w:val="24"/>
          <w:szCs w:val="24"/>
        </w:rPr>
        <w:t>以上证明材料均提供复印件。</w:t>
      </w:r>
    </w:p>
    <w:p w14:paraId="45F07DB7">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2、具有良好的商业信誉；</w:t>
      </w:r>
    </w:p>
    <w:p w14:paraId="7DD906B8">
      <w:pPr>
        <w:spacing w:line="226" w:lineRule="auto"/>
        <w:ind w:left="480"/>
        <w:rPr>
          <w:rFonts w:hint="eastAsia" w:ascii="宋体" w:hAnsi="宋体" w:eastAsia="宋体" w:cs="宋体"/>
          <w:sz w:val="24"/>
          <w:szCs w:val="24"/>
        </w:rPr>
      </w:pPr>
      <w:r>
        <w:rPr>
          <w:rFonts w:hint="eastAsia" w:ascii="宋体" w:hAnsi="宋体" w:eastAsia="宋体" w:cs="宋体"/>
          <w:spacing w:val="9"/>
          <w:sz w:val="24"/>
          <w:szCs w:val="24"/>
        </w:rPr>
        <w:t>①供应商可提供相应证明材料复印件</w:t>
      </w:r>
      <w:r>
        <w:rPr>
          <w:rFonts w:hint="eastAsia" w:ascii="宋体" w:hAnsi="宋体" w:eastAsia="宋体" w:cs="宋体"/>
          <w:spacing w:val="7"/>
          <w:sz w:val="24"/>
          <w:szCs w:val="24"/>
        </w:rPr>
        <w:t>。</w:t>
      </w:r>
    </w:p>
    <w:p w14:paraId="1FA39300">
      <w:pPr>
        <w:spacing w:before="31" w:line="226" w:lineRule="auto"/>
        <w:ind w:left="480"/>
        <w:rPr>
          <w:rFonts w:hint="eastAsia" w:ascii="宋体" w:hAnsi="宋体" w:eastAsia="宋体" w:cs="宋体"/>
          <w:sz w:val="24"/>
          <w:szCs w:val="24"/>
        </w:rPr>
      </w:pPr>
      <w:r>
        <w:rPr>
          <w:rFonts w:hint="eastAsia" w:ascii="宋体" w:hAnsi="宋体" w:eastAsia="宋体" w:cs="宋体"/>
          <w:spacing w:val="11"/>
          <w:sz w:val="24"/>
          <w:szCs w:val="24"/>
        </w:rPr>
        <w:t>②</w:t>
      </w:r>
      <w:r>
        <w:rPr>
          <w:rFonts w:hint="eastAsia" w:ascii="宋体" w:hAnsi="宋体" w:eastAsia="宋体" w:cs="宋体"/>
          <w:spacing w:val="9"/>
          <w:sz w:val="24"/>
          <w:szCs w:val="24"/>
        </w:rPr>
        <w:t>供应商也可提供承诺函，承诺函格式自拟。</w:t>
      </w:r>
    </w:p>
    <w:p w14:paraId="1653DD77">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3、健全的财务会计制度；</w:t>
      </w:r>
    </w:p>
    <w:p w14:paraId="25A8805C">
      <w:pPr>
        <w:spacing w:before="3" w:line="250" w:lineRule="auto"/>
        <w:ind w:right="141" w:firstLine="480"/>
        <w:rPr>
          <w:rFonts w:hint="eastAsia" w:ascii="宋体" w:hAnsi="宋体" w:eastAsia="宋体" w:cs="宋体"/>
          <w:sz w:val="24"/>
          <w:szCs w:val="24"/>
        </w:rPr>
      </w:pPr>
      <w:r>
        <w:rPr>
          <w:rFonts w:hint="eastAsia" w:ascii="宋体" w:hAnsi="宋体" w:eastAsia="宋体" w:cs="宋体"/>
          <w:spacing w:val="15"/>
          <w:sz w:val="24"/>
          <w:szCs w:val="24"/>
        </w:rPr>
        <w:t>①</w:t>
      </w:r>
      <w:r>
        <w:rPr>
          <w:rFonts w:hint="eastAsia" w:ascii="宋体" w:hAnsi="宋体" w:eastAsia="宋体" w:cs="宋体"/>
          <w:spacing w:val="11"/>
          <w:sz w:val="24"/>
          <w:szCs w:val="24"/>
        </w:rPr>
        <w:t>供应商可提供</w:t>
      </w:r>
      <w:r>
        <w:rPr>
          <w:rFonts w:hint="eastAsia" w:ascii="宋体" w:hAnsi="宋体" w:eastAsia="宋体" w:cs="宋体"/>
          <w:spacing w:val="11"/>
          <w:sz w:val="24"/>
          <w:szCs w:val="24"/>
          <w:lang w:val="en-US" w:eastAsia="zh-CN"/>
        </w:rPr>
        <w:t>2022-</w:t>
      </w:r>
      <w:r>
        <w:rPr>
          <w:rFonts w:hint="eastAsia" w:ascii="宋体" w:hAnsi="宋体" w:eastAsia="宋体" w:cs="宋体"/>
          <w:spacing w:val="11"/>
          <w:sz w:val="24"/>
          <w:szCs w:val="24"/>
        </w:rPr>
        <w:t>202</w:t>
      </w:r>
      <w:r>
        <w:rPr>
          <w:rFonts w:hint="eastAsia" w:ascii="宋体" w:hAnsi="宋体" w:eastAsia="宋体" w:cs="宋体"/>
          <w:spacing w:val="11"/>
          <w:sz w:val="24"/>
          <w:szCs w:val="24"/>
          <w:lang w:val="en-US" w:eastAsia="zh-CN"/>
        </w:rPr>
        <w:t>4</w:t>
      </w:r>
      <w:r>
        <w:rPr>
          <w:rFonts w:hint="eastAsia" w:ascii="宋体" w:hAnsi="宋体" w:eastAsia="宋体" w:cs="宋体"/>
          <w:spacing w:val="11"/>
          <w:sz w:val="24"/>
          <w:szCs w:val="24"/>
        </w:rPr>
        <w:t>年任意一年年度经审计的财务报告复印件</w:t>
      </w:r>
      <w:r>
        <w:rPr>
          <w:rFonts w:hint="eastAsia" w:ascii="宋体" w:hAnsi="宋体" w:eastAsia="宋体" w:cs="宋体"/>
          <w:spacing w:val="11"/>
          <w:sz w:val="24"/>
          <w:szCs w:val="24"/>
          <w:lang w:eastAsia="zh-CN"/>
        </w:rPr>
        <w:t>（</w:t>
      </w:r>
      <w:r>
        <w:rPr>
          <w:rFonts w:hint="eastAsia" w:ascii="宋体" w:hAnsi="宋体" w:eastAsia="宋体" w:cs="宋体"/>
          <w:spacing w:val="11"/>
          <w:sz w:val="24"/>
          <w:szCs w:val="24"/>
        </w:rPr>
        <w:t>包含审计</w:t>
      </w:r>
      <w:r>
        <w:rPr>
          <w:rFonts w:hint="eastAsia" w:ascii="宋体" w:hAnsi="宋体" w:eastAsia="宋体" w:cs="宋体"/>
          <w:spacing w:val="9"/>
          <w:sz w:val="24"/>
          <w:szCs w:val="24"/>
        </w:rPr>
        <w:t>报告和审计报告中所涉及的财务报表和报表附注</w:t>
      </w:r>
      <w:r>
        <w:rPr>
          <w:rFonts w:hint="eastAsia" w:ascii="宋体" w:hAnsi="宋体" w:eastAsia="宋体" w:cs="宋体"/>
          <w:spacing w:val="9"/>
          <w:sz w:val="24"/>
          <w:szCs w:val="24"/>
          <w:lang w:eastAsia="zh-CN"/>
        </w:rPr>
        <w:t>）</w:t>
      </w:r>
      <w:r>
        <w:rPr>
          <w:rFonts w:hint="eastAsia" w:ascii="宋体" w:hAnsi="宋体" w:eastAsia="宋体" w:cs="宋体"/>
          <w:spacing w:val="9"/>
          <w:sz w:val="24"/>
          <w:szCs w:val="24"/>
        </w:rPr>
        <w:t xml:space="preserve"> </w:t>
      </w:r>
      <w:r>
        <w:rPr>
          <w:rFonts w:hint="eastAsia" w:ascii="宋体" w:hAnsi="宋体" w:eastAsia="宋体" w:cs="宋体"/>
          <w:spacing w:val="6"/>
          <w:sz w:val="24"/>
          <w:szCs w:val="24"/>
        </w:rPr>
        <w:t>。</w:t>
      </w:r>
    </w:p>
    <w:p w14:paraId="609086D2">
      <w:pPr>
        <w:spacing w:before="2" w:line="250" w:lineRule="auto"/>
        <w:ind w:left="1" w:right="81" w:firstLine="478"/>
        <w:rPr>
          <w:rFonts w:hint="eastAsia" w:ascii="宋体" w:hAnsi="宋体" w:eastAsia="宋体" w:cs="宋体"/>
          <w:sz w:val="24"/>
          <w:szCs w:val="24"/>
        </w:rPr>
      </w:pPr>
      <w:r>
        <w:rPr>
          <w:rFonts w:hint="eastAsia" w:ascii="宋体" w:hAnsi="宋体" w:eastAsia="宋体" w:cs="宋体"/>
          <w:spacing w:val="10"/>
          <w:sz w:val="24"/>
          <w:szCs w:val="24"/>
        </w:rPr>
        <w:t>②供应商也可提供20</w:t>
      </w:r>
      <w:r>
        <w:rPr>
          <w:rFonts w:hint="eastAsia" w:ascii="宋体" w:hAnsi="宋体" w:eastAsia="宋体" w:cs="宋体"/>
          <w:spacing w:val="10"/>
          <w:sz w:val="24"/>
          <w:szCs w:val="24"/>
          <w:lang w:val="en-US" w:eastAsia="zh-CN"/>
        </w:rPr>
        <w:t>22-</w:t>
      </w:r>
      <w:r>
        <w:rPr>
          <w:rFonts w:hint="eastAsia" w:ascii="宋体" w:hAnsi="宋体" w:eastAsia="宋体" w:cs="宋体"/>
          <w:spacing w:val="10"/>
          <w:sz w:val="24"/>
          <w:szCs w:val="24"/>
        </w:rPr>
        <w:t>202</w:t>
      </w:r>
      <w:r>
        <w:rPr>
          <w:rFonts w:hint="eastAsia" w:ascii="宋体" w:hAnsi="宋体" w:eastAsia="宋体" w:cs="宋体"/>
          <w:spacing w:val="10"/>
          <w:sz w:val="24"/>
          <w:szCs w:val="24"/>
          <w:lang w:val="en-US" w:eastAsia="zh-CN"/>
        </w:rPr>
        <w:t>4</w:t>
      </w:r>
      <w:r>
        <w:rPr>
          <w:rFonts w:hint="eastAsia" w:ascii="宋体" w:hAnsi="宋体" w:eastAsia="宋体" w:cs="宋体"/>
          <w:spacing w:val="10"/>
          <w:sz w:val="24"/>
          <w:szCs w:val="24"/>
        </w:rPr>
        <w:t>年任意一年年度供应商内部的财务报表复印件</w:t>
      </w:r>
      <w:r>
        <w:rPr>
          <w:rFonts w:hint="eastAsia" w:ascii="宋体" w:hAnsi="宋体" w:eastAsia="宋体" w:cs="宋体"/>
          <w:spacing w:val="10"/>
          <w:sz w:val="24"/>
          <w:szCs w:val="24"/>
          <w:lang w:eastAsia="zh-CN"/>
        </w:rPr>
        <w:t>（</w:t>
      </w:r>
      <w:r>
        <w:rPr>
          <w:rFonts w:hint="eastAsia" w:ascii="宋体" w:hAnsi="宋体" w:eastAsia="宋体" w:cs="宋体"/>
          <w:spacing w:val="10"/>
          <w:sz w:val="24"/>
          <w:szCs w:val="24"/>
        </w:rPr>
        <w:t>至</w:t>
      </w:r>
      <w:r>
        <w:rPr>
          <w:rFonts w:hint="eastAsia" w:ascii="宋体" w:hAnsi="宋体" w:eastAsia="宋体" w:cs="宋体"/>
          <w:spacing w:val="2"/>
          <w:sz w:val="24"/>
          <w:szCs w:val="24"/>
        </w:rPr>
        <w:t>少</w:t>
      </w:r>
      <w:r>
        <w:rPr>
          <w:rFonts w:hint="eastAsia" w:ascii="宋体" w:hAnsi="宋体" w:eastAsia="宋体" w:cs="宋体"/>
          <w:spacing w:val="9"/>
          <w:sz w:val="24"/>
          <w:szCs w:val="24"/>
        </w:rPr>
        <w:t>包</w:t>
      </w:r>
      <w:r>
        <w:rPr>
          <w:rFonts w:hint="eastAsia" w:ascii="宋体" w:hAnsi="宋体" w:eastAsia="宋体" w:cs="宋体"/>
          <w:spacing w:val="7"/>
          <w:sz w:val="24"/>
          <w:szCs w:val="24"/>
        </w:rPr>
        <w:t>含资产负债表</w:t>
      </w:r>
      <w:r>
        <w:rPr>
          <w:rFonts w:hint="eastAsia" w:ascii="宋体" w:hAnsi="宋体" w:eastAsia="宋体" w:cs="宋体"/>
          <w:spacing w:val="7"/>
          <w:sz w:val="24"/>
          <w:szCs w:val="24"/>
          <w:lang w:eastAsia="zh-CN"/>
        </w:rPr>
        <w:t>）</w:t>
      </w:r>
      <w:r>
        <w:rPr>
          <w:rFonts w:hint="eastAsia" w:ascii="宋体" w:hAnsi="宋体" w:eastAsia="宋体" w:cs="宋体"/>
          <w:spacing w:val="7"/>
          <w:sz w:val="24"/>
          <w:szCs w:val="24"/>
        </w:rPr>
        <w:t>。</w:t>
      </w:r>
    </w:p>
    <w:p w14:paraId="2B0225E4">
      <w:pPr>
        <w:spacing w:before="1" w:line="225" w:lineRule="auto"/>
        <w:ind w:left="480"/>
        <w:rPr>
          <w:rFonts w:hint="eastAsia" w:ascii="宋体" w:hAnsi="宋体" w:eastAsia="宋体" w:cs="宋体"/>
          <w:sz w:val="24"/>
          <w:szCs w:val="24"/>
        </w:rPr>
      </w:pPr>
      <w:r>
        <w:rPr>
          <w:rFonts w:hint="eastAsia" w:ascii="宋体" w:hAnsi="宋体" w:eastAsia="宋体" w:cs="宋体"/>
          <w:spacing w:val="12"/>
          <w:sz w:val="24"/>
          <w:szCs w:val="24"/>
        </w:rPr>
        <w:t>③供应商</w:t>
      </w:r>
      <w:r>
        <w:rPr>
          <w:rFonts w:hint="eastAsia" w:ascii="宋体" w:hAnsi="宋体" w:eastAsia="宋体" w:cs="宋体"/>
          <w:spacing w:val="11"/>
          <w:sz w:val="24"/>
          <w:szCs w:val="24"/>
        </w:rPr>
        <w:t>也</w:t>
      </w:r>
      <w:r>
        <w:rPr>
          <w:rFonts w:hint="eastAsia" w:ascii="宋体" w:hAnsi="宋体" w:eastAsia="宋体" w:cs="宋体"/>
          <w:spacing w:val="6"/>
          <w:sz w:val="24"/>
          <w:szCs w:val="24"/>
        </w:rPr>
        <w:t xml:space="preserve">可提供截至投标文件递交截止日一年内银行出具的资信证明 </w:t>
      </w:r>
      <w:r>
        <w:rPr>
          <w:rFonts w:hint="eastAsia" w:ascii="宋体" w:hAnsi="宋体" w:eastAsia="宋体" w:cs="宋体"/>
          <w:spacing w:val="6"/>
          <w:sz w:val="24"/>
          <w:szCs w:val="24"/>
          <w:lang w:eastAsia="zh-CN"/>
        </w:rPr>
        <w:t>（</w:t>
      </w:r>
      <w:r>
        <w:rPr>
          <w:rFonts w:hint="eastAsia" w:ascii="宋体" w:hAnsi="宋体" w:eastAsia="宋体" w:cs="宋体"/>
          <w:spacing w:val="6"/>
          <w:sz w:val="24"/>
          <w:szCs w:val="24"/>
        </w:rPr>
        <w:t>复印件。</w:t>
      </w:r>
    </w:p>
    <w:p w14:paraId="7069E899">
      <w:pPr>
        <w:spacing w:before="31" w:line="250" w:lineRule="auto"/>
        <w:ind w:left="11" w:right="141" w:firstLine="468"/>
        <w:rPr>
          <w:rFonts w:hint="eastAsia" w:ascii="宋体" w:hAnsi="宋体" w:eastAsia="宋体" w:cs="宋体"/>
          <w:sz w:val="24"/>
          <w:szCs w:val="24"/>
        </w:rPr>
      </w:pPr>
      <w:r>
        <w:rPr>
          <w:rFonts w:hint="eastAsia" w:ascii="宋体" w:hAnsi="宋体" w:eastAsia="宋体" w:cs="宋体"/>
          <w:spacing w:val="18"/>
          <w:sz w:val="24"/>
          <w:szCs w:val="24"/>
        </w:rPr>
        <w:t>④供应</w:t>
      </w:r>
      <w:r>
        <w:rPr>
          <w:rFonts w:hint="eastAsia" w:ascii="宋体" w:hAnsi="宋体" w:eastAsia="宋体" w:cs="宋体"/>
          <w:spacing w:val="10"/>
          <w:sz w:val="24"/>
          <w:szCs w:val="24"/>
        </w:rPr>
        <w:t>商</w:t>
      </w:r>
      <w:r>
        <w:rPr>
          <w:rFonts w:hint="eastAsia" w:ascii="宋体" w:hAnsi="宋体" w:eastAsia="宋体" w:cs="宋体"/>
          <w:spacing w:val="9"/>
          <w:sz w:val="24"/>
          <w:szCs w:val="24"/>
        </w:rPr>
        <w:t>注册时间截至投标文件递交截止日不足一年的，也可提供在工商备案的公</w:t>
      </w:r>
      <w:r>
        <w:rPr>
          <w:rFonts w:hint="eastAsia" w:ascii="宋体" w:hAnsi="宋体" w:eastAsia="宋体" w:cs="宋体"/>
          <w:spacing w:val="10"/>
          <w:sz w:val="24"/>
          <w:szCs w:val="24"/>
        </w:rPr>
        <w:t>司</w:t>
      </w:r>
      <w:r>
        <w:rPr>
          <w:rFonts w:hint="eastAsia" w:ascii="宋体" w:hAnsi="宋体" w:eastAsia="宋体" w:cs="宋体"/>
          <w:spacing w:val="7"/>
          <w:sz w:val="24"/>
          <w:szCs w:val="24"/>
        </w:rPr>
        <w:t>章</w:t>
      </w:r>
      <w:r>
        <w:rPr>
          <w:rFonts w:hint="eastAsia" w:ascii="宋体" w:hAnsi="宋体" w:eastAsia="宋体" w:cs="宋体"/>
          <w:spacing w:val="5"/>
          <w:sz w:val="24"/>
          <w:szCs w:val="24"/>
        </w:rPr>
        <w:t>程</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复印件</w:t>
      </w:r>
      <w:r>
        <w:rPr>
          <w:rFonts w:hint="eastAsia" w:ascii="宋体" w:hAnsi="宋体" w:eastAsia="宋体" w:cs="宋体"/>
          <w:spacing w:val="5"/>
          <w:sz w:val="24"/>
          <w:szCs w:val="24"/>
          <w:lang w:eastAsia="zh-CN"/>
        </w:rPr>
        <w:t>）</w:t>
      </w:r>
      <w:r>
        <w:rPr>
          <w:rFonts w:hint="eastAsia" w:ascii="宋体" w:hAnsi="宋体" w:eastAsia="宋体" w:cs="宋体"/>
          <w:spacing w:val="5"/>
          <w:sz w:val="24"/>
          <w:szCs w:val="24"/>
        </w:rPr>
        <w:t>。</w:t>
      </w:r>
    </w:p>
    <w:p w14:paraId="505F984C">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4、具有履行合同所必</w:t>
      </w:r>
      <w:r>
        <w:rPr>
          <w:rFonts w:hint="eastAsia" w:ascii="Times New Roman" w:hAnsi="Times New Roman" w:eastAsia="Times New Roman" w:cs="Times New Roman"/>
          <w:b/>
          <w:bCs/>
          <w:sz w:val="24"/>
          <w:szCs w:val="24"/>
          <w:lang w:val="en-US" w:eastAsia="zh-CN"/>
        </w:rPr>
        <w:t>需</w:t>
      </w:r>
      <w:r>
        <w:rPr>
          <w:rFonts w:hint="eastAsia" w:ascii="Times New Roman" w:hAnsi="Times New Roman" w:eastAsia="Times New Roman" w:cs="Times New Roman"/>
          <w:b/>
          <w:bCs/>
          <w:sz w:val="24"/>
          <w:szCs w:val="24"/>
        </w:rPr>
        <w:t>的设备和专业技术能力；</w:t>
      </w:r>
    </w:p>
    <w:p w14:paraId="6A411BFA">
      <w:pPr>
        <w:spacing w:before="1" w:line="226" w:lineRule="auto"/>
        <w:ind w:left="480"/>
        <w:rPr>
          <w:rFonts w:hint="eastAsia" w:ascii="宋体" w:hAnsi="宋体" w:eastAsia="宋体" w:cs="宋体"/>
          <w:sz w:val="24"/>
          <w:szCs w:val="24"/>
        </w:rPr>
      </w:pPr>
      <w:r>
        <w:rPr>
          <w:rFonts w:hint="eastAsia" w:ascii="宋体" w:hAnsi="宋体" w:eastAsia="宋体" w:cs="宋体"/>
          <w:spacing w:val="9"/>
          <w:sz w:val="24"/>
          <w:szCs w:val="24"/>
        </w:rPr>
        <w:t>①供应商提供承诺函，承诺函格式自拟</w:t>
      </w:r>
      <w:r>
        <w:rPr>
          <w:rFonts w:hint="eastAsia" w:ascii="宋体" w:hAnsi="宋体" w:eastAsia="宋体" w:cs="宋体"/>
          <w:spacing w:val="8"/>
          <w:sz w:val="24"/>
          <w:szCs w:val="24"/>
        </w:rPr>
        <w:t>。</w:t>
      </w:r>
    </w:p>
    <w:p w14:paraId="651FA251">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5、具有依法缴纳税收和社会保障资金的良好记录；</w:t>
      </w:r>
    </w:p>
    <w:p w14:paraId="7F32E4D6">
      <w:pPr>
        <w:spacing w:before="4" w:line="250" w:lineRule="auto"/>
        <w:ind w:left="3" w:right="201" w:firstLine="477"/>
        <w:rPr>
          <w:rFonts w:hint="eastAsia" w:ascii="宋体" w:hAnsi="宋体" w:eastAsia="宋体" w:cs="宋体"/>
          <w:sz w:val="24"/>
          <w:szCs w:val="24"/>
        </w:rPr>
      </w:pPr>
      <w:r>
        <w:rPr>
          <w:rFonts w:hint="eastAsia" w:ascii="宋体" w:hAnsi="宋体" w:eastAsia="宋体" w:cs="宋体"/>
          <w:spacing w:val="7"/>
          <w:sz w:val="24"/>
          <w:szCs w:val="24"/>
        </w:rPr>
        <w:t>①供应商提供202</w:t>
      </w:r>
      <w:r>
        <w:rPr>
          <w:rFonts w:hint="eastAsia" w:ascii="宋体" w:hAnsi="宋体" w:eastAsia="宋体" w:cs="宋体"/>
          <w:spacing w:val="7"/>
          <w:sz w:val="24"/>
          <w:szCs w:val="24"/>
          <w:lang w:val="en-US" w:eastAsia="zh-CN"/>
        </w:rPr>
        <w:t>4</w:t>
      </w:r>
      <w:r>
        <w:rPr>
          <w:rFonts w:hint="eastAsia" w:ascii="宋体" w:hAnsi="宋体" w:eastAsia="宋体" w:cs="宋体"/>
          <w:spacing w:val="7"/>
          <w:sz w:val="24"/>
          <w:szCs w:val="24"/>
        </w:rPr>
        <w:t>年1月1日至投标截止日任意一个月社保缴纳证明复印件</w:t>
      </w:r>
      <w:r>
        <w:rPr>
          <w:rFonts w:hint="eastAsia" w:ascii="宋体" w:hAnsi="宋体" w:eastAsia="宋体" w:cs="宋体"/>
          <w:spacing w:val="4"/>
          <w:sz w:val="24"/>
          <w:szCs w:val="24"/>
        </w:rPr>
        <w:t>和</w:t>
      </w:r>
      <w:r>
        <w:rPr>
          <w:rFonts w:hint="eastAsia" w:ascii="宋体" w:hAnsi="宋体" w:eastAsia="宋体" w:cs="宋体"/>
          <w:spacing w:val="9"/>
          <w:sz w:val="24"/>
          <w:szCs w:val="24"/>
        </w:rPr>
        <w:t>纳</w:t>
      </w:r>
      <w:r>
        <w:rPr>
          <w:rFonts w:hint="eastAsia" w:ascii="宋体" w:hAnsi="宋体" w:eastAsia="宋体" w:cs="宋体"/>
          <w:spacing w:val="7"/>
          <w:sz w:val="24"/>
          <w:szCs w:val="24"/>
        </w:rPr>
        <w:t>税证明复印件。</w:t>
      </w:r>
    </w:p>
    <w:p w14:paraId="2AE0DE2B">
      <w:pPr>
        <w:spacing w:before="1" w:line="225" w:lineRule="auto"/>
        <w:ind w:left="480"/>
        <w:rPr>
          <w:rFonts w:hint="eastAsia" w:ascii="宋体" w:hAnsi="宋体" w:eastAsia="宋体" w:cs="宋体"/>
          <w:sz w:val="24"/>
          <w:szCs w:val="24"/>
        </w:rPr>
      </w:pPr>
      <w:r>
        <w:rPr>
          <w:rFonts w:hint="eastAsia" w:ascii="宋体" w:hAnsi="宋体" w:eastAsia="宋体" w:cs="宋体"/>
          <w:spacing w:val="10"/>
          <w:sz w:val="24"/>
          <w:szCs w:val="24"/>
        </w:rPr>
        <w:t>②</w:t>
      </w:r>
      <w:r>
        <w:rPr>
          <w:rFonts w:hint="eastAsia" w:ascii="宋体" w:hAnsi="宋体" w:eastAsia="宋体" w:cs="宋体"/>
          <w:spacing w:val="9"/>
          <w:sz w:val="24"/>
          <w:szCs w:val="24"/>
        </w:rPr>
        <w:t>供应商也可做出承诺，承诺函格式自拟。</w:t>
      </w:r>
    </w:p>
    <w:p w14:paraId="124BFDF7">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6、参加本次政府采购活动前三年内，在经营活动中没有重大违法记录；</w:t>
      </w:r>
    </w:p>
    <w:p w14:paraId="01EC47C3">
      <w:pPr>
        <w:spacing w:before="2" w:line="226" w:lineRule="auto"/>
        <w:ind w:left="480"/>
        <w:rPr>
          <w:rFonts w:hint="eastAsia" w:ascii="宋体" w:hAnsi="宋体" w:eastAsia="宋体" w:cs="宋体"/>
          <w:sz w:val="24"/>
          <w:szCs w:val="24"/>
        </w:rPr>
      </w:pPr>
      <w:r>
        <w:rPr>
          <w:rFonts w:hint="eastAsia" w:ascii="宋体" w:hAnsi="宋体" w:eastAsia="宋体" w:cs="宋体"/>
          <w:spacing w:val="9"/>
          <w:sz w:val="24"/>
          <w:szCs w:val="24"/>
        </w:rPr>
        <w:t>①供应商提供承诺函，承诺函格式自拟</w:t>
      </w:r>
      <w:r>
        <w:rPr>
          <w:rFonts w:hint="eastAsia" w:ascii="宋体" w:hAnsi="宋体" w:eastAsia="宋体" w:cs="宋体"/>
          <w:spacing w:val="8"/>
          <w:sz w:val="24"/>
          <w:szCs w:val="24"/>
        </w:rPr>
        <w:t>。</w:t>
      </w:r>
    </w:p>
    <w:p w14:paraId="54DA3414">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7、法律、行政法规规定的其他条件；</w:t>
      </w:r>
    </w:p>
    <w:p w14:paraId="5E66D8DC">
      <w:pPr>
        <w:spacing w:before="3" w:line="226" w:lineRule="auto"/>
        <w:ind w:left="480"/>
        <w:rPr>
          <w:rFonts w:hint="eastAsia" w:ascii="宋体" w:hAnsi="宋体" w:eastAsia="宋体" w:cs="宋体"/>
          <w:sz w:val="24"/>
          <w:szCs w:val="24"/>
        </w:rPr>
      </w:pPr>
      <w:r>
        <w:rPr>
          <w:rFonts w:hint="eastAsia" w:ascii="宋体" w:hAnsi="宋体" w:eastAsia="宋体" w:cs="宋体"/>
          <w:spacing w:val="10"/>
          <w:sz w:val="24"/>
          <w:szCs w:val="24"/>
        </w:rPr>
        <w:t>①</w:t>
      </w:r>
      <w:r>
        <w:rPr>
          <w:rFonts w:hint="eastAsia" w:ascii="宋体" w:hAnsi="宋体" w:eastAsia="宋体" w:cs="宋体"/>
          <w:spacing w:val="7"/>
          <w:sz w:val="24"/>
          <w:szCs w:val="24"/>
        </w:rPr>
        <w:t>采购人对法律、行政法规规定的其他条件无特殊要求的，可不提供其他证明材料。</w:t>
      </w:r>
    </w:p>
    <w:p w14:paraId="0F20BAA0">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lang w:val="en-US" w:eastAsia="zh-CN"/>
        </w:rPr>
        <w:t>8、</w:t>
      </w:r>
      <w:r>
        <w:rPr>
          <w:rFonts w:hint="eastAsia" w:ascii="Times New Roman" w:hAnsi="Times New Roman" w:eastAsia="Times New Roman" w:cs="Times New Roman"/>
          <w:b/>
          <w:bCs/>
          <w:sz w:val="24"/>
          <w:szCs w:val="24"/>
        </w:rPr>
        <w:t>本项目</w:t>
      </w:r>
      <w:r>
        <w:rPr>
          <w:rFonts w:hint="eastAsia" w:ascii="Times New Roman" w:hAnsi="Times New Roman" w:eastAsia="Times New Roman" w:cs="Times New Roman"/>
          <w:b/>
          <w:bCs/>
          <w:sz w:val="24"/>
          <w:szCs w:val="24"/>
          <w:lang w:eastAsia="zh-CN"/>
        </w:rPr>
        <w:t>采购包</w:t>
      </w:r>
      <w:r>
        <w:rPr>
          <w:rFonts w:hint="eastAsia" w:ascii="Times New Roman" w:hAnsi="Times New Roman" w:eastAsia="Times New Roman" w:cs="Times New Roman"/>
          <w:b/>
          <w:bCs/>
          <w:sz w:val="24"/>
          <w:szCs w:val="24"/>
          <w:lang w:val="en-US" w:eastAsia="zh-CN"/>
        </w:rPr>
        <w:t>1</w:t>
      </w:r>
      <w:r>
        <w:rPr>
          <w:rFonts w:hint="eastAsia" w:ascii="Times New Roman" w:hAnsi="Times New Roman" w:eastAsia="Times New Roman" w:cs="Times New Roman"/>
          <w:b/>
          <w:bCs/>
          <w:sz w:val="24"/>
          <w:szCs w:val="24"/>
        </w:rPr>
        <w:t>专门面向中小企业（供应商应为中小微企业、监狱企业、残疾人福利性单位）采购。</w:t>
      </w:r>
    </w:p>
    <w:p w14:paraId="267DFD96">
      <w:pPr>
        <w:pStyle w:val="23"/>
        <w:numPr>
          <w:ilvl w:val="0"/>
          <w:numId w:val="0"/>
        </w:numPr>
        <w:ind w:firstLine="520" w:firstLineChars="200"/>
        <w:rPr>
          <w:rFonts w:hint="eastAsia" w:ascii="宋体" w:hAnsi="宋体" w:eastAsia="宋体" w:cs="宋体"/>
          <w:sz w:val="24"/>
          <w:szCs w:val="24"/>
        </w:rPr>
      </w:pPr>
      <w:r>
        <w:rPr>
          <w:rFonts w:hint="eastAsia" w:ascii="宋体" w:hAnsi="宋体" w:eastAsia="宋体" w:cs="宋体"/>
          <w:spacing w:val="10"/>
          <w:sz w:val="24"/>
          <w:szCs w:val="24"/>
        </w:rPr>
        <w:t>①</w:t>
      </w:r>
      <w:r>
        <w:rPr>
          <w:rFonts w:hint="eastAsia" w:hAnsi="宋体" w:cs="宋体"/>
          <w:spacing w:val="7"/>
          <w:sz w:val="24"/>
          <w:szCs w:val="24"/>
          <w:lang w:eastAsia="zh-CN"/>
        </w:rPr>
        <w:t>供应商应当提供中小企业声明函原件，</w:t>
      </w:r>
      <w:r>
        <w:rPr>
          <w:rFonts w:hint="eastAsia" w:ascii="宋体" w:hAnsi="宋体" w:eastAsia="宋体" w:cs="宋体"/>
          <w:spacing w:val="-1"/>
          <w:sz w:val="24"/>
          <w:szCs w:val="24"/>
        </w:rPr>
        <w:t>格式详见第三章投标文件格式第一部分。</w:t>
      </w:r>
    </w:p>
    <w:p w14:paraId="1F637E56">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宋体" w:cs="Times New Roman"/>
          <w:b/>
          <w:bCs/>
          <w:sz w:val="24"/>
          <w:szCs w:val="24"/>
          <w:lang w:eastAsia="zh-CN"/>
        </w:rPr>
        <w:t>二、</w:t>
      </w:r>
      <w:r>
        <w:rPr>
          <w:rFonts w:hint="eastAsia" w:ascii="Times New Roman" w:hAnsi="Times New Roman" w:eastAsia="Times New Roman" w:cs="Times New Roman"/>
          <w:b/>
          <w:bCs/>
          <w:sz w:val="24"/>
          <w:szCs w:val="24"/>
        </w:rPr>
        <w:t>资质性要求相关证明材料：无</w:t>
      </w:r>
    </w:p>
    <w:p w14:paraId="5C97661E">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宋体" w:cs="Times New Roman"/>
          <w:b/>
          <w:bCs/>
          <w:sz w:val="24"/>
          <w:szCs w:val="24"/>
          <w:lang w:eastAsia="zh-CN"/>
        </w:rPr>
        <w:t>三、</w:t>
      </w:r>
      <w:r>
        <w:rPr>
          <w:rFonts w:hint="eastAsia" w:ascii="Times New Roman" w:hAnsi="Times New Roman" w:eastAsia="Times New Roman" w:cs="Times New Roman"/>
          <w:b/>
          <w:bCs/>
          <w:sz w:val="24"/>
          <w:szCs w:val="24"/>
        </w:rPr>
        <w:t>其他类似效力要求相关证明材料：</w:t>
      </w:r>
    </w:p>
    <w:p w14:paraId="5C263D3C">
      <w:pPr>
        <w:pStyle w:val="23"/>
        <w:numPr>
          <w:ilvl w:val="0"/>
          <w:numId w:val="0"/>
        </w:numPr>
        <w:ind w:firstLine="508"/>
        <w:rPr>
          <w:rFonts w:hint="eastAsia" w:ascii="宋体" w:hAnsi="宋体" w:eastAsia="宋体" w:cs="宋体"/>
          <w:spacing w:val="7"/>
          <w:sz w:val="24"/>
          <w:szCs w:val="24"/>
          <w:lang w:eastAsia="zh-CN"/>
        </w:rPr>
      </w:pPr>
      <w:r>
        <w:rPr>
          <w:rFonts w:hint="eastAsia" w:ascii="宋体" w:hAnsi="宋体" w:eastAsia="宋体" w:cs="宋体"/>
          <w:spacing w:val="7"/>
          <w:sz w:val="24"/>
          <w:szCs w:val="24"/>
          <w:lang w:val="en-US" w:eastAsia="zh-CN"/>
        </w:rPr>
        <w:t>1、</w:t>
      </w:r>
      <w:r>
        <w:rPr>
          <w:rFonts w:hint="eastAsia" w:ascii="宋体" w:hAnsi="宋体" w:eastAsia="宋体" w:cs="宋体"/>
          <w:spacing w:val="7"/>
          <w:sz w:val="24"/>
          <w:szCs w:val="24"/>
        </w:rPr>
        <w:t>符合《中华人民共和国政府采购法实施条例》第十八条的规定；</w:t>
      </w:r>
      <w:r>
        <w:rPr>
          <w:rFonts w:hint="eastAsia" w:ascii="宋体" w:hAnsi="宋体" w:eastAsia="宋体" w:cs="宋体"/>
          <w:spacing w:val="7"/>
          <w:sz w:val="24"/>
          <w:szCs w:val="24"/>
          <w:lang w:eastAsia="zh-CN"/>
        </w:rPr>
        <w:t>（单独提供承诺函）</w:t>
      </w:r>
    </w:p>
    <w:p w14:paraId="4F29BBFC">
      <w:pPr>
        <w:pStyle w:val="23"/>
        <w:numPr>
          <w:ilvl w:val="0"/>
          <w:numId w:val="0"/>
        </w:numPr>
        <w:ind w:firstLine="508"/>
        <w:rPr>
          <w:rFonts w:hint="eastAsia" w:ascii="宋体" w:hAnsi="宋体" w:eastAsia="宋体" w:cs="宋体"/>
          <w:spacing w:val="7"/>
          <w:sz w:val="24"/>
          <w:szCs w:val="24"/>
        </w:rPr>
      </w:pPr>
      <w:r>
        <w:rPr>
          <w:rFonts w:hint="eastAsia" w:ascii="宋体" w:hAnsi="宋体" w:eastAsia="宋体" w:cs="宋体"/>
          <w:spacing w:val="7"/>
          <w:sz w:val="24"/>
          <w:szCs w:val="24"/>
          <w:lang w:val="en-US" w:eastAsia="zh-CN"/>
        </w:rPr>
        <w:t>2、</w:t>
      </w:r>
      <w:r>
        <w:rPr>
          <w:rFonts w:hint="eastAsia" w:ascii="宋体" w:hAnsi="宋体" w:eastAsia="宋体" w:cs="宋体"/>
          <w:spacing w:val="7"/>
          <w:sz w:val="24"/>
          <w:szCs w:val="24"/>
        </w:rPr>
        <w:t>投标供应商单位及其现任法定代表人、</w:t>
      </w:r>
      <w:r>
        <w:rPr>
          <w:rFonts w:hint="eastAsia" w:hAnsi="宋体" w:cs="宋体"/>
          <w:spacing w:val="7"/>
          <w:sz w:val="24"/>
          <w:szCs w:val="24"/>
          <w:lang w:eastAsia="zh-CN"/>
        </w:rPr>
        <w:t>主要</w:t>
      </w:r>
      <w:r>
        <w:rPr>
          <w:rFonts w:hint="eastAsia" w:ascii="宋体" w:hAnsi="宋体" w:eastAsia="宋体" w:cs="宋体"/>
          <w:spacing w:val="7"/>
          <w:sz w:val="24"/>
          <w:szCs w:val="24"/>
        </w:rPr>
        <w:t>负责人不得具有行贿犯罪记录；</w:t>
      </w:r>
      <w:r>
        <w:rPr>
          <w:rFonts w:hint="eastAsia" w:ascii="宋体" w:hAnsi="宋体" w:eastAsia="宋体" w:cs="宋体"/>
          <w:spacing w:val="7"/>
          <w:sz w:val="24"/>
          <w:szCs w:val="24"/>
          <w:lang w:eastAsia="zh-CN"/>
        </w:rPr>
        <w:t>（单独提供承诺函）</w:t>
      </w:r>
    </w:p>
    <w:p w14:paraId="76EA4197">
      <w:pPr>
        <w:pStyle w:val="23"/>
        <w:numPr>
          <w:ilvl w:val="0"/>
          <w:numId w:val="0"/>
        </w:numPr>
        <w:ind w:firstLine="508" w:firstLineChars="200"/>
        <w:rPr>
          <w:rFonts w:hint="eastAsia" w:hAnsi="宋体" w:cs="宋体"/>
          <w:spacing w:val="7"/>
          <w:sz w:val="24"/>
          <w:szCs w:val="24"/>
          <w:lang w:val="en-US" w:eastAsia="zh-CN"/>
        </w:rPr>
      </w:pPr>
      <w:r>
        <w:rPr>
          <w:rFonts w:hint="eastAsia" w:ascii="宋体" w:hAnsi="宋体" w:eastAsia="宋体" w:cs="宋体"/>
          <w:spacing w:val="7"/>
          <w:sz w:val="24"/>
          <w:szCs w:val="24"/>
          <w:lang w:val="en-US" w:eastAsia="zh-CN"/>
        </w:rPr>
        <w:t>3、</w:t>
      </w:r>
      <w:r>
        <w:rPr>
          <w:rFonts w:hint="eastAsia" w:ascii="宋体" w:hAnsi="宋体" w:eastAsia="宋体" w:cs="宋体"/>
          <w:spacing w:val="7"/>
          <w:sz w:val="24"/>
          <w:szCs w:val="24"/>
        </w:rPr>
        <w:t>供应商不得为“信用中国”网站（www.creditchina.gov.cn）中列入失信被执行人和重大税收违法案件当事人名单的供应商，不得为“中国政府采购网”网站（www.ccgp.gov.cn）政府采购严重违法失信行为记录名单中被财政部门禁止参加政府采购活动的供应商（处罚决定规定的时间和地域范围内）。</w:t>
      </w:r>
      <w:r>
        <w:rPr>
          <w:rFonts w:hint="eastAsia" w:ascii="宋体" w:hAnsi="宋体" w:eastAsia="宋体" w:cs="宋体"/>
          <w:spacing w:val="7"/>
          <w:sz w:val="24"/>
          <w:szCs w:val="24"/>
          <w:lang w:eastAsia="zh-CN"/>
        </w:rPr>
        <w:t>（由采购代理机构</w:t>
      </w:r>
      <w:r>
        <w:rPr>
          <w:rFonts w:hint="eastAsia" w:hAnsi="宋体" w:cs="宋体"/>
          <w:spacing w:val="7"/>
          <w:sz w:val="24"/>
          <w:szCs w:val="24"/>
          <w:lang w:eastAsia="zh-CN"/>
        </w:rPr>
        <w:t>查询并</w:t>
      </w:r>
      <w:r>
        <w:rPr>
          <w:rFonts w:hint="eastAsia" w:ascii="宋体" w:hAnsi="宋体" w:eastAsia="宋体" w:cs="宋体"/>
          <w:spacing w:val="7"/>
          <w:sz w:val="24"/>
          <w:szCs w:val="24"/>
          <w:lang w:eastAsia="zh-CN"/>
        </w:rPr>
        <w:t>提供）</w:t>
      </w:r>
    </w:p>
    <w:p w14:paraId="504CCC16">
      <w:pPr>
        <w:pStyle w:val="23"/>
        <w:numPr>
          <w:ilvl w:val="0"/>
          <w:numId w:val="0"/>
        </w:numPr>
        <w:ind w:firstLine="508" w:firstLineChars="200"/>
        <w:rPr>
          <w:rFonts w:hint="eastAsia" w:hAnsi="宋体" w:cs="宋体"/>
          <w:spacing w:val="7"/>
          <w:sz w:val="24"/>
          <w:szCs w:val="24"/>
          <w:lang w:eastAsia="zh-CN"/>
        </w:rPr>
      </w:pPr>
      <w:r>
        <w:rPr>
          <w:rFonts w:hint="eastAsia" w:hAnsi="宋体" w:cs="宋体"/>
          <w:spacing w:val="7"/>
          <w:sz w:val="24"/>
          <w:szCs w:val="24"/>
          <w:lang w:val="en-US" w:eastAsia="zh-CN"/>
        </w:rPr>
        <w:t>4、</w:t>
      </w:r>
      <w:r>
        <w:rPr>
          <w:rFonts w:hint="eastAsia" w:ascii="宋体" w:hAnsi="宋体" w:eastAsia="宋体" w:cs="宋体"/>
          <w:spacing w:val="7"/>
          <w:sz w:val="24"/>
          <w:szCs w:val="24"/>
        </w:rPr>
        <w:t>授权参加本次投标活动的供应商代表证明材料</w:t>
      </w:r>
      <w:r>
        <w:rPr>
          <w:rFonts w:hint="eastAsia" w:hAnsi="宋体" w:cs="宋体"/>
          <w:spacing w:val="7"/>
          <w:sz w:val="24"/>
          <w:szCs w:val="24"/>
          <w:lang w:eastAsia="zh-CN"/>
        </w:rPr>
        <w:t>：法定代表人身份证明书或法定代表人授权书原件；【注：1、如法定代表人参加投标的，响应文件中不需提供授权委托书，但必须提供法定代表人身份证明书（包含：法定代表人身份证复印件，提供二代身份证正、反两面）；2.如委托代理人参加投标的，响应文件中不需提供法定代表人身份证明书，但必须提供授权委托书、法定代表人和委托代理人的身份证复印件（提供二代身份证正、反两面）。】</w:t>
      </w:r>
    </w:p>
    <w:p w14:paraId="35464555">
      <w:pPr>
        <w:pStyle w:val="23"/>
        <w:numPr>
          <w:ilvl w:val="0"/>
          <w:numId w:val="0"/>
        </w:numPr>
        <w:ind w:firstLine="508" w:firstLineChars="200"/>
        <w:rPr>
          <w:rFonts w:hint="eastAsia" w:hAnsi="宋体" w:cs="宋体"/>
          <w:spacing w:val="7"/>
          <w:sz w:val="24"/>
          <w:szCs w:val="24"/>
          <w:lang w:eastAsia="zh-CN"/>
        </w:rPr>
      </w:pPr>
      <w:r>
        <w:rPr>
          <w:rFonts w:hint="eastAsia" w:hAnsi="宋体" w:cs="宋体"/>
          <w:spacing w:val="7"/>
          <w:sz w:val="24"/>
          <w:szCs w:val="24"/>
          <w:lang w:val="en-US" w:eastAsia="zh-CN"/>
        </w:rPr>
        <w:t>5、</w:t>
      </w:r>
      <w:r>
        <w:rPr>
          <w:rFonts w:hint="eastAsia" w:ascii="宋体" w:hAnsi="宋体" w:eastAsia="宋体" w:cs="宋体"/>
          <w:spacing w:val="7"/>
          <w:sz w:val="24"/>
          <w:szCs w:val="24"/>
        </w:rPr>
        <w:t>按规定获取了招标文件，属于实质性参加政府采购活动的供应商</w:t>
      </w:r>
      <w:r>
        <w:rPr>
          <w:rFonts w:hint="eastAsia" w:hAnsi="宋体" w:cs="宋体"/>
          <w:spacing w:val="7"/>
          <w:sz w:val="24"/>
          <w:szCs w:val="24"/>
          <w:lang w:eastAsia="zh-CN"/>
        </w:rPr>
        <w:t>。（代理机构将报名资料交采购人查验。）</w:t>
      </w:r>
    </w:p>
    <w:p w14:paraId="27B4FFA1">
      <w:pPr>
        <w:spacing w:before="78" w:line="384" w:lineRule="auto"/>
        <w:ind w:left="10"/>
        <w:jc w:val="both"/>
        <w:rPr>
          <w:rFonts w:hint="eastAsia" w:ascii="Times New Roman" w:hAnsi="Times New Roman" w:eastAsia="Times New Roman" w:cs="Times New Roman"/>
          <w:b/>
          <w:bCs/>
          <w:sz w:val="24"/>
          <w:szCs w:val="24"/>
        </w:rPr>
      </w:pPr>
      <w:bookmarkStart w:id="31" w:name="bookmark38"/>
      <w:bookmarkEnd w:id="31"/>
      <w:r>
        <w:rPr>
          <w:rFonts w:hint="eastAsia" w:ascii="Times New Roman" w:hAnsi="Times New Roman" w:eastAsia="Times New Roman" w:cs="Times New Roman"/>
          <w:b/>
          <w:bCs/>
          <w:sz w:val="24"/>
          <w:szCs w:val="24"/>
        </w:rPr>
        <w:t>注：1、除投标人自愿以外，不能要求投标人提供额外的证明材料。如果要求提供额外的证明材料，投标人有权不予提供，且不影响投标文件的有效性和完整性。</w:t>
      </w:r>
    </w:p>
    <w:p w14:paraId="1208DDF1">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lang w:val="en-US" w:eastAsia="zh-CN"/>
        </w:rPr>
        <w:t>2、</w:t>
      </w:r>
      <w:r>
        <w:rPr>
          <w:rFonts w:hint="eastAsia" w:ascii="Times New Roman" w:hAnsi="Times New Roman" w:eastAsia="Times New Roman" w:cs="Times New Roman"/>
          <w:b/>
          <w:bCs/>
          <w:sz w:val="24"/>
          <w:szCs w:val="24"/>
        </w:rPr>
        <w:t>本章要求提供的相关证明材料应当结合采购项目具体情况和投标人的组织机构性质确定，不得一概而论。</w:t>
      </w:r>
    </w:p>
    <w:p w14:paraId="77840D8E">
      <w:pPr>
        <w:spacing w:before="78" w:line="384" w:lineRule="auto"/>
        <w:ind w:left="10"/>
        <w:jc w:val="both"/>
        <w:rPr>
          <w:rFonts w:hint="eastAsia" w:ascii="Times New Roman" w:hAnsi="Times New Roman" w:eastAsia="Times New Roman" w:cs="Times New Roman"/>
          <w:b/>
          <w:bCs/>
          <w:sz w:val="24"/>
          <w:szCs w:val="24"/>
        </w:rPr>
      </w:pPr>
      <w:r>
        <w:rPr>
          <w:rFonts w:hint="eastAsia" w:ascii="Times New Roman" w:hAnsi="Times New Roman" w:eastAsia="宋体" w:cs="Times New Roman"/>
          <w:b/>
          <w:bCs/>
          <w:sz w:val="24"/>
          <w:szCs w:val="24"/>
          <w:lang w:val="en-US" w:eastAsia="zh-CN"/>
        </w:rPr>
        <w:t>3、针对</w:t>
      </w:r>
      <w:r>
        <w:rPr>
          <w:rFonts w:hint="eastAsia" w:ascii="Times New Roman" w:hAnsi="Times New Roman" w:eastAsia="Times New Roman" w:cs="Times New Roman"/>
          <w:b/>
          <w:bCs/>
          <w:sz w:val="24"/>
          <w:szCs w:val="24"/>
        </w:rPr>
        <w:t>投标人</w:t>
      </w:r>
      <w:r>
        <w:rPr>
          <w:rFonts w:hint="eastAsia" w:ascii="Times New Roman" w:hAnsi="Times New Roman" w:eastAsia="宋体" w:cs="Times New Roman"/>
          <w:b/>
          <w:bCs/>
          <w:sz w:val="24"/>
          <w:szCs w:val="24"/>
          <w:lang w:val="en-US" w:eastAsia="zh-CN"/>
        </w:rPr>
        <w:t>既可提供承诺函，也可提供其他证明材料的证明事项，若</w:t>
      </w:r>
      <w:r>
        <w:rPr>
          <w:rFonts w:hint="eastAsia" w:ascii="Times New Roman" w:hAnsi="Times New Roman" w:eastAsia="Times New Roman" w:cs="Times New Roman"/>
          <w:b/>
          <w:bCs/>
          <w:sz w:val="24"/>
          <w:szCs w:val="24"/>
        </w:rPr>
        <w:t>投标人</w:t>
      </w:r>
      <w:r>
        <w:rPr>
          <w:rFonts w:hint="eastAsia" w:ascii="Times New Roman" w:hAnsi="Times New Roman" w:eastAsia="宋体" w:cs="Times New Roman"/>
          <w:b/>
          <w:bCs/>
          <w:sz w:val="24"/>
          <w:szCs w:val="24"/>
          <w:lang w:val="en-US" w:eastAsia="zh-CN"/>
        </w:rPr>
        <w:t>同时提供了承诺函及其他证明材料的，以</w:t>
      </w:r>
      <w:r>
        <w:rPr>
          <w:rFonts w:hint="eastAsia" w:ascii="Times New Roman" w:hAnsi="Times New Roman" w:eastAsia="Times New Roman" w:cs="Times New Roman"/>
          <w:b/>
          <w:bCs/>
          <w:sz w:val="24"/>
          <w:szCs w:val="24"/>
        </w:rPr>
        <w:t>投标人</w:t>
      </w:r>
      <w:r>
        <w:rPr>
          <w:rFonts w:hint="eastAsia" w:ascii="Times New Roman" w:hAnsi="Times New Roman" w:eastAsia="宋体" w:cs="Times New Roman"/>
          <w:b/>
          <w:bCs/>
          <w:sz w:val="24"/>
          <w:szCs w:val="24"/>
          <w:lang w:val="en-US" w:eastAsia="zh-CN"/>
        </w:rPr>
        <w:t>提供的证明材料为准。</w:t>
      </w:r>
    </w:p>
    <w:p w14:paraId="6E645A8A">
      <w:pPr>
        <w:spacing w:before="0" w:line="240" w:lineRule="auto"/>
        <w:ind w:left="0"/>
        <w:outlineLvl w:val="9"/>
        <w:rPr>
          <w:rFonts w:ascii="宋体" w:hAnsi="宋体" w:eastAsia="宋体" w:cs="宋体"/>
          <w:spacing w:val="10"/>
          <w:sz w:val="36"/>
          <w:szCs w:val="36"/>
          <w14:textOutline w14:w="5793" w14:cap="sq" w14:cmpd="sng">
            <w14:solidFill>
              <w14:srgbClr w14:val="000000"/>
            </w14:solidFill>
            <w14:prstDash w14:val="solid"/>
            <w14:bevel/>
          </w14:textOutline>
        </w:rPr>
      </w:pPr>
      <w:r>
        <w:rPr>
          <w:rFonts w:ascii="宋体" w:hAnsi="宋体" w:eastAsia="宋体" w:cs="宋体"/>
          <w:spacing w:val="10"/>
          <w:sz w:val="36"/>
          <w:szCs w:val="36"/>
          <w14:textOutline w14:w="5793" w14:cap="sq" w14:cmpd="sng">
            <w14:solidFill>
              <w14:srgbClr w14:val="000000"/>
            </w14:solidFill>
            <w14:prstDash w14:val="solid"/>
            <w14:bevel/>
          </w14:textOutline>
        </w:rPr>
        <w:br w:type="page"/>
      </w:r>
    </w:p>
    <w:p w14:paraId="32857C35">
      <w:pPr>
        <w:spacing w:before="295" w:line="225" w:lineRule="auto"/>
        <w:ind w:left="1311"/>
        <w:outlineLvl w:val="0"/>
        <w:rPr>
          <w:rFonts w:ascii="宋体" w:hAnsi="宋体" w:eastAsia="宋体" w:cs="宋体"/>
          <w:sz w:val="36"/>
          <w:szCs w:val="36"/>
        </w:rPr>
      </w:pPr>
      <w:r>
        <w:rPr>
          <w:rFonts w:ascii="宋体" w:hAnsi="宋体" w:eastAsia="宋体" w:cs="宋体"/>
          <w:spacing w:val="10"/>
          <w:sz w:val="36"/>
          <w:szCs w:val="36"/>
          <w14:textOutline w14:w="5793" w14:cap="sq" w14:cmpd="sng">
            <w14:solidFill>
              <w14:srgbClr w14:val="000000"/>
            </w14:solidFill>
            <w14:prstDash w14:val="solid"/>
            <w14:bevel/>
          </w14:textOutline>
        </w:rPr>
        <w:t>第六章</w:t>
      </w:r>
      <w:r>
        <w:rPr>
          <w:rFonts w:ascii="宋体" w:hAnsi="宋体" w:eastAsia="宋体" w:cs="宋体"/>
          <w:spacing w:val="10"/>
          <w:sz w:val="36"/>
          <w:szCs w:val="36"/>
        </w:rPr>
        <w:t xml:space="preserve"> </w:t>
      </w:r>
      <w:r>
        <w:rPr>
          <w:rFonts w:hint="eastAsia" w:ascii="宋体" w:hAnsi="宋体" w:eastAsia="宋体" w:cs="宋体"/>
          <w:spacing w:val="10"/>
          <w:sz w:val="36"/>
          <w:szCs w:val="36"/>
          <w:lang w:val="en-US" w:eastAsia="zh-CN"/>
        </w:rPr>
        <w:t xml:space="preserve"> </w:t>
      </w:r>
      <w:r>
        <w:rPr>
          <w:rFonts w:ascii="宋体" w:hAnsi="宋体" w:eastAsia="宋体" w:cs="宋体"/>
          <w:spacing w:val="10"/>
          <w:sz w:val="36"/>
          <w:szCs w:val="36"/>
          <w14:textOutline w14:w="5793" w14:cap="sq" w14:cmpd="sng">
            <w14:solidFill>
              <w14:srgbClr w14:val="000000"/>
            </w14:solidFill>
            <w14:prstDash w14:val="solid"/>
            <w14:bevel/>
          </w14:textOutline>
        </w:rPr>
        <w:t>招标项目技术、服务及其他商务要求</w:t>
      </w:r>
    </w:p>
    <w:p w14:paraId="7F3D069E">
      <w:pPr>
        <w:pStyle w:val="13"/>
        <w:spacing w:line="267" w:lineRule="auto"/>
      </w:pPr>
    </w:p>
    <w:p w14:paraId="3D829453">
      <w:pPr>
        <w:pStyle w:val="13"/>
        <w:spacing w:after="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本章标注“★”项为实质性要求，不允许负偏离。</w:t>
      </w:r>
    </w:p>
    <w:p w14:paraId="1CA057D5">
      <w:pPr>
        <w:rPr>
          <w:sz w:val="24"/>
          <w:szCs w:val="24"/>
        </w:rPr>
      </w:pPr>
    </w:p>
    <w:p w14:paraId="65A4B3B9">
      <w:pPr>
        <w:pStyle w:val="8"/>
        <w:keepNext/>
        <w:keepLines/>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highlight w:val="none"/>
        </w:rPr>
      </w:pPr>
      <w:bookmarkStart w:id="32" w:name="_Toc31046"/>
      <w:r>
        <w:rPr>
          <w:rFonts w:hint="eastAsia" w:ascii="宋体" w:hAnsi="宋体" w:eastAsia="宋体" w:cs="宋体"/>
          <w:color w:val="auto"/>
          <w:highlight w:val="none"/>
          <w:lang w:val="zh-CN" w:eastAsia="zh-CN"/>
        </w:rPr>
        <w:t>★</w:t>
      </w:r>
      <w:r>
        <w:rPr>
          <w:rFonts w:hint="eastAsia" w:ascii="宋体" w:hAnsi="宋体" w:cs="宋体"/>
          <w:color w:val="auto"/>
          <w:sz w:val="28"/>
          <w:szCs w:val="28"/>
          <w:highlight w:val="none"/>
          <w:lang w:val="zh-CN" w:eastAsia="zh-CN"/>
        </w:rPr>
        <w:t>一</w:t>
      </w:r>
      <w:r>
        <w:rPr>
          <w:rFonts w:hint="eastAsia" w:ascii="宋体" w:hAnsi="宋体" w:eastAsia="宋体" w:cs="宋体"/>
          <w:color w:val="auto"/>
          <w:sz w:val="28"/>
          <w:szCs w:val="28"/>
          <w:highlight w:val="none"/>
          <w:lang w:val="zh-CN" w:eastAsia="zh-CN"/>
        </w:rPr>
        <w:t>、采购清单</w:t>
      </w:r>
      <w:bookmarkEnd w:id="32"/>
    </w:p>
    <w:tbl>
      <w:tblPr>
        <w:tblStyle w:val="19"/>
        <w:tblW w:w="8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850"/>
        <w:gridCol w:w="2050"/>
        <w:gridCol w:w="700"/>
        <w:gridCol w:w="733"/>
        <w:gridCol w:w="1117"/>
        <w:gridCol w:w="1100"/>
        <w:gridCol w:w="1150"/>
        <w:gridCol w:w="690"/>
      </w:tblGrid>
      <w:tr w14:paraId="693D1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533" w:type="dxa"/>
            <w:tcBorders>
              <w:tl2br w:val="nil"/>
              <w:tr2bl w:val="nil"/>
            </w:tcBorders>
            <w:noWrap w:val="0"/>
            <w:vAlign w:val="center"/>
          </w:tcPr>
          <w:p w14:paraId="2F9AC241">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序号</w:t>
            </w:r>
          </w:p>
        </w:tc>
        <w:tc>
          <w:tcPr>
            <w:tcW w:w="850" w:type="dxa"/>
            <w:tcBorders>
              <w:tl2br w:val="nil"/>
              <w:tr2bl w:val="nil"/>
            </w:tcBorders>
            <w:noWrap w:val="0"/>
            <w:vAlign w:val="center"/>
          </w:tcPr>
          <w:p w14:paraId="576282D9">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包件</w:t>
            </w:r>
          </w:p>
        </w:tc>
        <w:tc>
          <w:tcPr>
            <w:tcW w:w="2050" w:type="dxa"/>
            <w:tcBorders>
              <w:tl2br w:val="nil"/>
              <w:tr2bl w:val="nil"/>
            </w:tcBorders>
            <w:noWrap w:val="0"/>
            <w:vAlign w:val="center"/>
          </w:tcPr>
          <w:p w14:paraId="57B764D1">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产品名称（标的名称）</w:t>
            </w:r>
          </w:p>
        </w:tc>
        <w:tc>
          <w:tcPr>
            <w:tcW w:w="700" w:type="dxa"/>
            <w:tcBorders>
              <w:tl2br w:val="nil"/>
              <w:tr2bl w:val="nil"/>
            </w:tcBorders>
            <w:noWrap w:val="0"/>
            <w:vAlign w:val="center"/>
          </w:tcPr>
          <w:p w14:paraId="1AD16828">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数量</w:t>
            </w:r>
          </w:p>
        </w:tc>
        <w:tc>
          <w:tcPr>
            <w:tcW w:w="733" w:type="dxa"/>
            <w:tcBorders>
              <w:tl2br w:val="nil"/>
              <w:tr2bl w:val="nil"/>
            </w:tcBorders>
            <w:noWrap w:val="0"/>
            <w:vAlign w:val="center"/>
          </w:tcPr>
          <w:p w14:paraId="4CC7333A">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单位</w:t>
            </w:r>
          </w:p>
        </w:tc>
        <w:tc>
          <w:tcPr>
            <w:tcW w:w="1117" w:type="dxa"/>
            <w:tcBorders>
              <w:tl2br w:val="nil"/>
              <w:tr2bl w:val="nil"/>
            </w:tcBorders>
            <w:noWrap w:val="0"/>
            <w:vAlign w:val="center"/>
          </w:tcPr>
          <w:p w14:paraId="5D1B30D9">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控制单价（元）</w:t>
            </w:r>
          </w:p>
        </w:tc>
        <w:tc>
          <w:tcPr>
            <w:tcW w:w="1100" w:type="dxa"/>
            <w:tcBorders>
              <w:tl2br w:val="nil"/>
              <w:tr2bl w:val="nil"/>
            </w:tcBorders>
            <w:noWrap w:val="0"/>
            <w:vAlign w:val="center"/>
          </w:tcPr>
          <w:p w14:paraId="4384933A">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eastAsia" w:ascii="宋体" w:hAnsi="宋体" w:eastAsia="宋体" w:cs="宋体"/>
                <w:i w:val="0"/>
                <w:iCs w:val="0"/>
                <w:color w:val="auto"/>
                <w:kern w:val="0"/>
                <w:sz w:val="21"/>
                <w:szCs w:val="21"/>
                <w:highlight w:val="none"/>
                <w:u w:val="none"/>
                <w:lang w:val="en-US" w:eastAsia="zh-CN" w:bidi="ar-SA"/>
              </w:rPr>
              <w:t>合计限价（元）</w:t>
            </w:r>
          </w:p>
        </w:tc>
        <w:tc>
          <w:tcPr>
            <w:tcW w:w="1150" w:type="dxa"/>
            <w:tcBorders>
              <w:tl2br w:val="nil"/>
              <w:tr2bl w:val="nil"/>
            </w:tcBorders>
            <w:noWrap w:val="0"/>
            <w:vAlign w:val="center"/>
          </w:tcPr>
          <w:p w14:paraId="244A90B5">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包最高限价（元）</w:t>
            </w:r>
          </w:p>
        </w:tc>
        <w:tc>
          <w:tcPr>
            <w:tcW w:w="690" w:type="dxa"/>
            <w:tcBorders>
              <w:tl2br w:val="nil"/>
              <w:tr2bl w:val="nil"/>
            </w:tcBorders>
            <w:noWrap w:val="0"/>
            <w:vAlign w:val="center"/>
          </w:tcPr>
          <w:p w14:paraId="6F0D2E83">
            <w:pPr>
              <w:widowControl w:val="0"/>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14:paraId="48DF9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533" w:type="dxa"/>
            <w:vMerge w:val="restart"/>
            <w:tcBorders>
              <w:tl2br w:val="nil"/>
              <w:tr2bl w:val="nil"/>
            </w:tcBorders>
            <w:noWrap w:val="0"/>
            <w:vAlign w:val="center"/>
          </w:tcPr>
          <w:p w14:paraId="0C03696F">
            <w:pPr>
              <w:widowControl w:val="0"/>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850" w:type="dxa"/>
            <w:vMerge w:val="restart"/>
            <w:tcBorders>
              <w:tl2br w:val="nil"/>
              <w:tr2bl w:val="nil"/>
            </w:tcBorders>
            <w:noWrap w:val="0"/>
            <w:vAlign w:val="center"/>
          </w:tcPr>
          <w:p w14:paraId="589CAC9A">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包1</w:t>
            </w:r>
          </w:p>
          <w:p w14:paraId="2C862128">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绳索</w:t>
            </w:r>
          </w:p>
        </w:tc>
        <w:tc>
          <w:tcPr>
            <w:tcW w:w="2050" w:type="dxa"/>
            <w:tcBorders>
              <w:tl2br w:val="nil"/>
              <w:tr2bl w:val="nil"/>
            </w:tcBorders>
            <w:noWrap w:val="0"/>
            <w:vAlign w:val="center"/>
          </w:tcPr>
          <w:p w14:paraId="0A353C2C">
            <w:pPr>
              <w:keepNext w:val="0"/>
              <w:keepLines w:val="0"/>
              <w:widowControl/>
              <w:suppressLineNumbers w:val="0"/>
              <w:spacing w:line="360" w:lineRule="auto"/>
              <w:jc w:val="center"/>
              <w:textAlignment w:val="auto"/>
              <w:rPr>
                <w:rFonts w:hint="default"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全身安全吊带</w:t>
            </w:r>
          </w:p>
        </w:tc>
        <w:tc>
          <w:tcPr>
            <w:tcW w:w="700" w:type="dxa"/>
            <w:tcBorders>
              <w:tl2br w:val="nil"/>
              <w:tr2bl w:val="nil"/>
            </w:tcBorders>
            <w:noWrap w:val="0"/>
            <w:vAlign w:val="center"/>
          </w:tcPr>
          <w:p w14:paraId="437551DB">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20</w:t>
            </w:r>
          </w:p>
        </w:tc>
        <w:tc>
          <w:tcPr>
            <w:tcW w:w="733" w:type="dxa"/>
            <w:tcBorders>
              <w:tl2br w:val="nil"/>
              <w:tr2bl w:val="nil"/>
            </w:tcBorders>
            <w:noWrap w:val="0"/>
            <w:vAlign w:val="center"/>
          </w:tcPr>
          <w:p w14:paraId="4FDD7A73">
            <w:pPr>
              <w:keepNext w:val="0"/>
              <w:keepLines w:val="0"/>
              <w:widowControl/>
              <w:suppressLineNumbers w:val="0"/>
              <w:spacing w:line="360" w:lineRule="auto"/>
              <w:jc w:val="center"/>
              <w:textAlignment w:val="auto"/>
              <w:rPr>
                <w:rFonts w:hint="default"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套</w:t>
            </w:r>
          </w:p>
        </w:tc>
        <w:tc>
          <w:tcPr>
            <w:tcW w:w="1117" w:type="dxa"/>
            <w:tcBorders>
              <w:tl2br w:val="nil"/>
              <w:tr2bl w:val="nil"/>
            </w:tcBorders>
            <w:noWrap w:val="0"/>
            <w:vAlign w:val="center"/>
          </w:tcPr>
          <w:p w14:paraId="2113B9D8">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2300</w:t>
            </w:r>
          </w:p>
        </w:tc>
        <w:tc>
          <w:tcPr>
            <w:tcW w:w="1100" w:type="dxa"/>
            <w:tcBorders>
              <w:tl2br w:val="nil"/>
              <w:tr2bl w:val="nil"/>
            </w:tcBorders>
            <w:noWrap w:val="0"/>
            <w:vAlign w:val="center"/>
          </w:tcPr>
          <w:p w14:paraId="4B9C7E3D">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46000</w:t>
            </w:r>
          </w:p>
        </w:tc>
        <w:tc>
          <w:tcPr>
            <w:tcW w:w="1150" w:type="dxa"/>
            <w:vMerge w:val="restart"/>
            <w:tcBorders>
              <w:tl2br w:val="nil"/>
              <w:tr2bl w:val="nil"/>
            </w:tcBorders>
            <w:noWrap w:val="0"/>
            <w:vAlign w:val="center"/>
          </w:tcPr>
          <w:p w14:paraId="36685832">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476000</w:t>
            </w:r>
          </w:p>
        </w:tc>
        <w:tc>
          <w:tcPr>
            <w:tcW w:w="690" w:type="dxa"/>
            <w:tcBorders>
              <w:tl2br w:val="nil"/>
              <w:tr2bl w:val="nil"/>
            </w:tcBorders>
            <w:noWrap w:val="0"/>
            <w:vAlign w:val="center"/>
          </w:tcPr>
          <w:p w14:paraId="3222571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6952A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533" w:type="dxa"/>
            <w:vMerge w:val="continue"/>
            <w:tcBorders>
              <w:tl2br w:val="nil"/>
              <w:tr2bl w:val="nil"/>
            </w:tcBorders>
            <w:noWrap w:val="0"/>
            <w:vAlign w:val="center"/>
          </w:tcPr>
          <w:p w14:paraId="7972B385">
            <w:pPr>
              <w:widowControl w:val="0"/>
              <w:spacing w:line="360" w:lineRule="auto"/>
              <w:jc w:val="center"/>
            </w:pPr>
          </w:p>
        </w:tc>
        <w:tc>
          <w:tcPr>
            <w:tcW w:w="850" w:type="dxa"/>
            <w:vMerge w:val="continue"/>
            <w:tcBorders>
              <w:tl2br w:val="nil"/>
              <w:tr2bl w:val="nil"/>
            </w:tcBorders>
            <w:noWrap w:val="0"/>
            <w:vAlign w:val="center"/>
          </w:tcPr>
          <w:p w14:paraId="6B49BE8C">
            <w:pPr>
              <w:widowControl w:val="0"/>
              <w:spacing w:line="360" w:lineRule="auto"/>
              <w:jc w:val="center"/>
            </w:pPr>
          </w:p>
        </w:tc>
        <w:tc>
          <w:tcPr>
            <w:tcW w:w="2050" w:type="dxa"/>
            <w:tcBorders>
              <w:tl2br w:val="nil"/>
              <w:tr2bl w:val="nil"/>
            </w:tcBorders>
            <w:shd w:val="clear" w:color="auto" w:fill="auto"/>
            <w:noWrap w:val="0"/>
            <w:vAlign w:val="center"/>
          </w:tcPr>
          <w:p w14:paraId="582EE9AA">
            <w:pPr>
              <w:keepNext w:val="0"/>
              <w:keepLines w:val="0"/>
              <w:widowControl/>
              <w:suppressLineNumbers w:val="0"/>
              <w:spacing w:line="360" w:lineRule="auto"/>
              <w:jc w:val="center"/>
              <w:textAlignment w:val="auto"/>
              <w:rPr>
                <w:rFonts w:hint="default"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动力绳（100米）</w:t>
            </w:r>
          </w:p>
        </w:tc>
        <w:tc>
          <w:tcPr>
            <w:tcW w:w="700" w:type="dxa"/>
            <w:tcBorders>
              <w:tl2br w:val="nil"/>
              <w:tr2bl w:val="nil"/>
            </w:tcBorders>
            <w:shd w:val="clear" w:color="auto" w:fill="auto"/>
            <w:noWrap w:val="0"/>
            <w:vAlign w:val="center"/>
          </w:tcPr>
          <w:p w14:paraId="0101308A">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10</w:t>
            </w:r>
          </w:p>
        </w:tc>
        <w:tc>
          <w:tcPr>
            <w:tcW w:w="733" w:type="dxa"/>
            <w:tcBorders>
              <w:tl2br w:val="nil"/>
              <w:tr2bl w:val="nil"/>
            </w:tcBorders>
            <w:shd w:val="clear" w:color="auto" w:fill="auto"/>
            <w:noWrap w:val="0"/>
            <w:vAlign w:val="center"/>
          </w:tcPr>
          <w:p w14:paraId="1D3B9D11">
            <w:pPr>
              <w:keepNext w:val="0"/>
              <w:keepLines w:val="0"/>
              <w:widowControl/>
              <w:suppressLineNumbers w:val="0"/>
              <w:spacing w:line="360" w:lineRule="auto"/>
              <w:jc w:val="center"/>
              <w:textAlignment w:val="auto"/>
              <w:rPr>
                <w:rFonts w:hint="default"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卷</w:t>
            </w:r>
          </w:p>
        </w:tc>
        <w:tc>
          <w:tcPr>
            <w:tcW w:w="1117" w:type="dxa"/>
            <w:tcBorders>
              <w:tl2br w:val="nil"/>
              <w:tr2bl w:val="nil"/>
            </w:tcBorders>
            <w:shd w:val="clear" w:color="auto" w:fill="auto"/>
            <w:noWrap w:val="0"/>
            <w:vAlign w:val="center"/>
          </w:tcPr>
          <w:p w14:paraId="7FA8335B">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2000</w:t>
            </w:r>
          </w:p>
        </w:tc>
        <w:tc>
          <w:tcPr>
            <w:tcW w:w="1100" w:type="dxa"/>
            <w:tcBorders>
              <w:tl2br w:val="nil"/>
              <w:tr2bl w:val="nil"/>
            </w:tcBorders>
            <w:shd w:val="clear" w:color="auto" w:fill="auto"/>
            <w:noWrap w:val="0"/>
            <w:vAlign w:val="center"/>
          </w:tcPr>
          <w:p w14:paraId="05626D43">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20000</w:t>
            </w:r>
          </w:p>
        </w:tc>
        <w:tc>
          <w:tcPr>
            <w:tcW w:w="1150" w:type="dxa"/>
            <w:vMerge w:val="continue"/>
            <w:tcBorders>
              <w:tl2br w:val="nil"/>
              <w:tr2bl w:val="nil"/>
            </w:tcBorders>
            <w:noWrap w:val="0"/>
            <w:vAlign w:val="center"/>
          </w:tcPr>
          <w:p w14:paraId="3C1D4A7A">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33BDA9D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24695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3" w:type="dxa"/>
            <w:vMerge w:val="continue"/>
            <w:tcBorders>
              <w:tl2br w:val="nil"/>
              <w:tr2bl w:val="nil"/>
            </w:tcBorders>
            <w:noWrap w:val="0"/>
            <w:vAlign w:val="center"/>
          </w:tcPr>
          <w:p w14:paraId="32DEA819">
            <w:pPr>
              <w:widowControl w:val="0"/>
              <w:spacing w:line="360" w:lineRule="auto"/>
              <w:jc w:val="center"/>
              <w:rPr>
                <w:rFonts w:hint="default"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3979571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36CC5C9A">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静力绳（200米-定制）</w:t>
            </w:r>
          </w:p>
        </w:tc>
        <w:tc>
          <w:tcPr>
            <w:tcW w:w="700" w:type="dxa"/>
            <w:tcBorders>
              <w:tl2br w:val="nil"/>
              <w:tr2bl w:val="nil"/>
            </w:tcBorders>
            <w:shd w:val="clear" w:color="auto" w:fill="auto"/>
            <w:noWrap w:val="0"/>
            <w:vAlign w:val="center"/>
          </w:tcPr>
          <w:p w14:paraId="18E53228">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20</w:t>
            </w:r>
          </w:p>
        </w:tc>
        <w:tc>
          <w:tcPr>
            <w:tcW w:w="733" w:type="dxa"/>
            <w:tcBorders>
              <w:tl2br w:val="nil"/>
              <w:tr2bl w:val="nil"/>
            </w:tcBorders>
            <w:shd w:val="clear" w:color="auto" w:fill="auto"/>
            <w:noWrap w:val="0"/>
            <w:vAlign w:val="center"/>
          </w:tcPr>
          <w:p w14:paraId="326D3F0C">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卷</w:t>
            </w:r>
          </w:p>
        </w:tc>
        <w:tc>
          <w:tcPr>
            <w:tcW w:w="1117" w:type="dxa"/>
            <w:tcBorders>
              <w:tl2br w:val="nil"/>
              <w:tr2bl w:val="nil"/>
            </w:tcBorders>
            <w:shd w:val="clear" w:color="auto" w:fill="auto"/>
            <w:noWrap w:val="0"/>
            <w:vAlign w:val="center"/>
          </w:tcPr>
          <w:p w14:paraId="2C919576">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2500</w:t>
            </w:r>
          </w:p>
        </w:tc>
        <w:tc>
          <w:tcPr>
            <w:tcW w:w="1100" w:type="dxa"/>
            <w:tcBorders>
              <w:tl2br w:val="nil"/>
              <w:tr2bl w:val="nil"/>
            </w:tcBorders>
            <w:shd w:val="clear" w:color="auto" w:fill="auto"/>
            <w:noWrap w:val="0"/>
            <w:vAlign w:val="center"/>
          </w:tcPr>
          <w:p w14:paraId="4AE5C1F5">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50000</w:t>
            </w:r>
          </w:p>
        </w:tc>
        <w:tc>
          <w:tcPr>
            <w:tcW w:w="1150" w:type="dxa"/>
            <w:vMerge w:val="continue"/>
            <w:tcBorders>
              <w:tl2br w:val="nil"/>
              <w:tr2bl w:val="nil"/>
            </w:tcBorders>
            <w:noWrap w:val="0"/>
            <w:vAlign w:val="center"/>
          </w:tcPr>
          <w:p w14:paraId="25B176FE">
            <w:pPr>
              <w:widowControl w:val="0"/>
              <w:spacing w:line="360" w:lineRule="auto"/>
              <w:jc w:val="center"/>
              <w:rPr>
                <w:rFonts w:hint="default"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07095644">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14A65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33" w:type="dxa"/>
            <w:vMerge w:val="continue"/>
            <w:tcBorders>
              <w:tl2br w:val="nil"/>
              <w:tr2bl w:val="nil"/>
            </w:tcBorders>
            <w:noWrap w:val="0"/>
            <w:vAlign w:val="center"/>
          </w:tcPr>
          <w:p w14:paraId="573206F8">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1E6FB9CF">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3425494B">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电动上升器</w:t>
            </w:r>
          </w:p>
          <w:p w14:paraId="6BCF7F80">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b/>
                <w:bCs/>
                <w:i w:val="0"/>
                <w:iCs w:val="0"/>
                <w:color w:val="auto"/>
                <w:kern w:val="2"/>
                <w:sz w:val="21"/>
                <w:szCs w:val="21"/>
                <w:highlight w:val="none"/>
                <w:u w:val="none"/>
                <w:lang w:val="en-US" w:eastAsia="zh-CN" w:bidi="ar"/>
              </w:rPr>
              <w:t>（核心产品）</w:t>
            </w:r>
          </w:p>
        </w:tc>
        <w:tc>
          <w:tcPr>
            <w:tcW w:w="700" w:type="dxa"/>
            <w:tcBorders>
              <w:tl2br w:val="nil"/>
              <w:tr2bl w:val="nil"/>
            </w:tcBorders>
            <w:shd w:val="clear" w:color="auto" w:fill="auto"/>
            <w:noWrap w:val="0"/>
            <w:vAlign w:val="center"/>
          </w:tcPr>
          <w:p w14:paraId="31CE1D4A">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w:t>
            </w:r>
          </w:p>
        </w:tc>
        <w:tc>
          <w:tcPr>
            <w:tcW w:w="733" w:type="dxa"/>
            <w:tcBorders>
              <w:tl2br w:val="nil"/>
              <w:tr2bl w:val="nil"/>
            </w:tcBorders>
            <w:shd w:val="clear" w:color="auto" w:fill="auto"/>
            <w:noWrap w:val="0"/>
            <w:vAlign w:val="center"/>
          </w:tcPr>
          <w:p w14:paraId="33F39AF4">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个</w:t>
            </w:r>
          </w:p>
        </w:tc>
        <w:tc>
          <w:tcPr>
            <w:tcW w:w="1117" w:type="dxa"/>
            <w:tcBorders>
              <w:tl2br w:val="nil"/>
              <w:tr2bl w:val="nil"/>
            </w:tcBorders>
            <w:shd w:val="clear" w:color="auto" w:fill="auto"/>
            <w:noWrap w:val="0"/>
            <w:vAlign w:val="center"/>
          </w:tcPr>
          <w:p w14:paraId="7135CB71">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100000</w:t>
            </w:r>
          </w:p>
        </w:tc>
        <w:tc>
          <w:tcPr>
            <w:tcW w:w="1100" w:type="dxa"/>
            <w:tcBorders>
              <w:tl2br w:val="nil"/>
              <w:tr2bl w:val="nil"/>
            </w:tcBorders>
            <w:shd w:val="clear" w:color="auto" w:fill="auto"/>
            <w:noWrap w:val="0"/>
            <w:vAlign w:val="center"/>
          </w:tcPr>
          <w:p w14:paraId="5E0A8E60">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200000</w:t>
            </w:r>
          </w:p>
        </w:tc>
        <w:tc>
          <w:tcPr>
            <w:tcW w:w="1150" w:type="dxa"/>
            <w:vMerge w:val="continue"/>
            <w:tcBorders>
              <w:tl2br w:val="nil"/>
              <w:tr2bl w:val="nil"/>
            </w:tcBorders>
            <w:noWrap w:val="0"/>
            <w:vAlign w:val="center"/>
          </w:tcPr>
          <w:p w14:paraId="28FCE171">
            <w:pPr>
              <w:widowControl w:val="0"/>
              <w:spacing w:line="360" w:lineRule="auto"/>
              <w:jc w:val="center"/>
              <w:rPr>
                <w:rFonts w:hint="default"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6D375826">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41C6E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533" w:type="dxa"/>
            <w:vMerge w:val="continue"/>
            <w:tcBorders>
              <w:tl2br w:val="nil"/>
              <w:tr2bl w:val="nil"/>
            </w:tcBorders>
            <w:noWrap w:val="0"/>
            <w:vAlign w:val="center"/>
          </w:tcPr>
          <w:p w14:paraId="1A4263BD">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6DB4FDA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5E15284E">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复杂地形组合式救援支架</w:t>
            </w:r>
          </w:p>
        </w:tc>
        <w:tc>
          <w:tcPr>
            <w:tcW w:w="700" w:type="dxa"/>
            <w:tcBorders>
              <w:tl2br w:val="nil"/>
              <w:tr2bl w:val="nil"/>
            </w:tcBorders>
            <w:shd w:val="clear" w:color="auto" w:fill="auto"/>
            <w:noWrap w:val="0"/>
            <w:vAlign w:val="center"/>
          </w:tcPr>
          <w:p w14:paraId="3FF665D3">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w:t>
            </w:r>
          </w:p>
        </w:tc>
        <w:tc>
          <w:tcPr>
            <w:tcW w:w="733" w:type="dxa"/>
            <w:tcBorders>
              <w:tl2br w:val="nil"/>
              <w:tr2bl w:val="nil"/>
            </w:tcBorders>
            <w:shd w:val="clear" w:color="auto" w:fill="auto"/>
            <w:noWrap w:val="0"/>
            <w:vAlign w:val="center"/>
          </w:tcPr>
          <w:p w14:paraId="74456BCE">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副</w:t>
            </w:r>
          </w:p>
        </w:tc>
        <w:tc>
          <w:tcPr>
            <w:tcW w:w="1117" w:type="dxa"/>
            <w:tcBorders>
              <w:tl2br w:val="nil"/>
              <w:tr2bl w:val="nil"/>
            </w:tcBorders>
            <w:shd w:val="clear" w:color="auto" w:fill="auto"/>
            <w:noWrap w:val="0"/>
            <w:vAlign w:val="center"/>
          </w:tcPr>
          <w:p w14:paraId="0EEF8596">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60000</w:t>
            </w:r>
          </w:p>
        </w:tc>
        <w:tc>
          <w:tcPr>
            <w:tcW w:w="1100" w:type="dxa"/>
            <w:tcBorders>
              <w:tl2br w:val="nil"/>
              <w:tr2bl w:val="nil"/>
            </w:tcBorders>
            <w:shd w:val="clear" w:color="auto" w:fill="auto"/>
            <w:noWrap w:val="0"/>
            <w:vAlign w:val="center"/>
          </w:tcPr>
          <w:p w14:paraId="38891226">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120000</w:t>
            </w:r>
          </w:p>
        </w:tc>
        <w:tc>
          <w:tcPr>
            <w:tcW w:w="1150" w:type="dxa"/>
            <w:vMerge w:val="continue"/>
            <w:tcBorders>
              <w:tl2br w:val="nil"/>
              <w:tr2bl w:val="nil"/>
            </w:tcBorders>
            <w:noWrap w:val="0"/>
            <w:vAlign w:val="center"/>
          </w:tcPr>
          <w:p w14:paraId="527CE7CD">
            <w:pPr>
              <w:widowControl w:val="0"/>
              <w:spacing w:line="360" w:lineRule="auto"/>
              <w:jc w:val="center"/>
              <w:rPr>
                <w:rFonts w:hint="default"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5D23925C">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07EA7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3" w:type="dxa"/>
            <w:vMerge w:val="continue"/>
            <w:tcBorders>
              <w:tl2br w:val="nil"/>
              <w:tr2bl w:val="nil"/>
            </w:tcBorders>
            <w:noWrap w:val="0"/>
            <w:vAlign w:val="center"/>
          </w:tcPr>
          <w:p w14:paraId="50705E5F">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7D425DFE">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0F8AC62D">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全包裹超轻担架</w:t>
            </w:r>
          </w:p>
        </w:tc>
        <w:tc>
          <w:tcPr>
            <w:tcW w:w="700" w:type="dxa"/>
            <w:tcBorders>
              <w:tl2br w:val="nil"/>
              <w:tr2bl w:val="nil"/>
            </w:tcBorders>
            <w:shd w:val="clear" w:color="auto" w:fill="auto"/>
            <w:noWrap w:val="0"/>
            <w:vAlign w:val="center"/>
          </w:tcPr>
          <w:p w14:paraId="45EC6F4D">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10</w:t>
            </w:r>
          </w:p>
        </w:tc>
        <w:tc>
          <w:tcPr>
            <w:tcW w:w="733" w:type="dxa"/>
            <w:tcBorders>
              <w:tl2br w:val="nil"/>
              <w:tr2bl w:val="nil"/>
            </w:tcBorders>
            <w:shd w:val="clear" w:color="auto" w:fill="auto"/>
            <w:noWrap w:val="0"/>
            <w:vAlign w:val="center"/>
          </w:tcPr>
          <w:p w14:paraId="5FB7962A">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副</w:t>
            </w:r>
          </w:p>
        </w:tc>
        <w:tc>
          <w:tcPr>
            <w:tcW w:w="1117" w:type="dxa"/>
            <w:tcBorders>
              <w:tl2br w:val="nil"/>
              <w:tr2bl w:val="nil"/>
            </w:tcBorders>
            <w:shd w:val="clear" w:color="auto" w:fill="auto"/>
            <w:noWrap w:val="0"/>
            <w:vAlign w:val="center"/>
          </w:tcPr>
          <w:p w14:paraId="768ECED9">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4000</w:t>
            </w:r>
          </w:p>
        </w:tc>
        <w:tc>
          <w:tcPr>
            <w:tcW w:w="1100" w:type="dxa"/>
            <w:tcBorders>
              <w:tl2br w:val="nil"/>
              <w:tr2bl w:val="nil"/>
            </w:tcBorders>
            <w:shd w:val="clear" w:color="auto" w:fill="auto"/>
            <w:noWrap w:val="0"/>
            <w:vAlign w:val="center"/>
          </w:tcPr>
          <w:p w14:paraId="0B00F3DE">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40000</w:t>
            </w:r>
          </w:p>
        </w:tc>
        <w:tc>
          <w:tcPr>
            <w:tcW w:w="1150" w:type="dxa"/>
            <w:vMerge w:val="continue"/>
            <w:tcBorders>
              <w:tl2br w:val="nil"/>
              <w:tr2bl w:val="nil"/>
            </w:tcBorders>
            <w:noWrap w:val="0"/>
            <w:vAlign w:val="center"/>
          </w:tcPr>
          <w:p w14:paraId="6DA40E36">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7DCB5DD1">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70C56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33" w:type="dxa"/>
            <w:vMerge w:val="restart"/>
            <w:tcBorders>
              <w:tl2br w:val="nil"/>
              <w:tr2bl w:val="nil"/>
            </w:tcBorders>
            <w:shd w:val="clear" w:color="auto" w:fill="auto"/>
            <w:noWrap w:val="0"/>
            <w:vAlign w:val="center"/>
          </w:tcPr>
          <w:p w14:paraId="422C3C4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vertAlign w:val="baseline"/>
                <w:lang w:val="en-US" w:eastAsia="zh-CN" w:bidi="ar-SA"/>
              </w:rPr>
              <w:t>2</w:t>
            </w:r>
          </w:p>
        </w:tc>
        <w:tc>
          <w:tcPr>
            <w:tcW w:w="850" w:type="dxa"/>
            <w:vMerge w:val="restart"/>
            <w:tcBorders>
              <w:tl2br w:val="nil"/>
              <w:tr2bl w:val="nil"/>
            </w:tcBorders>
            <w:shd w:val="clear" w:color="auto" w:fill="auto"/>
            <w:noWrap w:val="0"/>
            <w:vAlign w:val="center"/>
          </w:tcPr>
          <w:p w14:paraId="51772892">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包2</w:t>
            </w:r>
          </w:p>
          <w:p w14:paraId="69E48AAF">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水域</w:t>
            </w:r>
          </w:p>
        </w:tc>
        <w:tc>
          <w:tcPr>
            <w:tcW w:w="2050" w:type="dxa"/>
            <w:tcBorders>
              <w:tl2br w:val="nil"/>
              <w:tr2bl w:val="nil"/>
            </w:tcBorders>
            <w:shd w:val="clear" w:color="auto" w:fill="auto"/>
            <w:noWrap w:val="0"/>
            <w:vAlign w:val="center"/>
          </w:tcPr>
          <w:p w14:paraId="2297F85D">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摩托艇</w:t>
            </w:r>
          </w:p>
        </w:tc>
        <w:tc>
          <w:tcPr>
            <w:tcW w:w="700" w:type="dxa"/>
            <w:tcBorders>
              <w:tl2br w:val="nil"/>
              <w:tr2bl w:val="nil"/>
            </w:tcBorders>
            <w:shd w:val="clear" w:color="auto" w:fill="auto"/>
            <w:noWrap w:val="0"/>
            <w:vAlign w:val="center"/>
          </w:tcPr>
          <w:p w14:paraId="505BC3BA">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2</w:t>
            </w:r>
          </w:p>
        </w:tc>
        <w:tc>
          <w:tcPr>
            <w:tcW w:w="733" w:type="dxa"/>
            <w:tcBorders>
              <w:tl2br w:val="nil"/>
              <w:tr2bl w:val="nil"/>
            </w:tcBorders>
            <w:shd w:val="clear" w:color="auto" w:fill="auto"/>
            <w:noWrap w:val="0"/>
            <w:vAlign w:val="center"/>
          </w:tcPr>
          <w:p w14:paraId="21103F44">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艘</w:t>
            </w:r>
          </w:p>
        </w:tc>
        <w:tc>
          <w:tcPr>
            <w:tcW w:w="1117" w:type="dxa"/>
            <w:tcBorders>
              <w:tl2br w:val="nil"/>
              <w:tr2bl w:val="nil"/>
            </w:tcBorders>
            <w:shd w:val="clear" w:color="auto" w:fill="auto"/>
            <w:noWrap w:val="0"/>
            <w:vAlign w:val="center"/>
          </w:tcPr>
          <w:p w14:paraId="1EC4BDED">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65000</w:t>
            </w:r>
          </w:p>
        </w:tc>
        <w:tc>
          <w:tcPr>
            <w:tcW w:w="1100" w:type="dxa"/>
            <w:tcBorders>
              <w:tl2br w:val="nil"/>
              <w:tr2bl w:val="nil"/>
            </w:tcBorders>
            <w:shd w:val="clear" w:color="auto" w:fill="auto"/>
            <w:noWrap w:val="0"/>
            <w:vAlign w:val="center"/>
          </w:tcPr>
          <w:p w14:paraId="53DE4971">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130000</w:t>
            </w:r>
          </w:p>
        </w:tc>
        <w:tc>
          <w:tcPr>
            <w:tcW w:w="1150" w:type="dxa"/>
            <w:vMerge w:val="restart"/>
            <w:tcBorders>
              <w:tl2br w:val="nil"/>
              <w:tr2bl w:val="nil"/>
            </w:tcBorders>
            <w:shd w:val="clear" w:color="auto" w:fill="auto"/>
            <w:noWrap w:val="0"/>
            <w:vAlign w:val="center"/>
          </w:tcPr>
          <w:p w14:paraId="2E964B5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870000</w:t>
            </w:r>
          </w:p>
        </w:tc>
        <w:tc>
          <w:tcPr>
            <w:tcW w:w="690" w:type="dxa"/>
            <w:tcBorders>
              <w:tl2br w:val="nil"/>
              <w:tr2bl w:val="nil"/>
            </w:tcBorders>
            <w:noWrap w:val="0"/>
            <w:vAlign w:val="center"/>
          </w:tcPr>
          <w:p w14:paraId="550D36E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7DB4C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533" w:type="dxa"/>
            <w:vMerge w:val="continue"/>
            <w:tcBorders>
              <w:tl2br w:val="nil"/>
              <w:tr2bl w:val="nil"/>
            </w:tcBorders>
            <w:noWrap w:val="0"/>
            <w:vAlign w:val="center"/>
          </w:tcPr>
          <w:p w14:paraId="15AB50A5">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670968CA">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4E36442D">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救援浆板</w:t>
            </w:r>
          </w:p>
        </w:tc>
        <w:tc>
          <w:tcPr>
            <w:tcW w:w="700" w:type="dxa"/>
            <w:tcBorders>
              <w:tl2br w:val="nil"/>
              <w:tr2bl w:val="nil"/>
            </w:tcBorders>
            <w:shd w:val="clear" w:color="auto" w:fill="auto"/>
            <w:noWrap w:val="0"/>
            <w:vAlign w:val="center"/>
          </w:tcPr>
          <w:p w14:paraId="7227E2C0">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10</w:t>
            </w:r>
          </w:p>
        </w:tc>
        <w:tc>
          <w:tcPr>
            <w:tcW w:w="733" w:type="dxa"/>
            <w:tcBorders>
              <w:tl2br w:val="nil"/>
              <w:tr2bl w:val="nil"/>
            </w:tcBorders>
            <w:shd w:val="clear" w:color="auto" w:fill="auto"/>
            <w:noWrap w:val="0"/>
            <w:vAlign w:val="center"/>
          </w:tcPr>
          <w:p w14:paraId="6182E78C">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个</w:t>
            </w:r>
          </w:p>
        </w:tc>
        <w:tc>
          <w:tcPr>
            <w:tcW w:w="1117" w:type="dxa"/>
            <w:tcBorders>
              <w:tl2br w:val="nil"/>
              <w:tr2bl w:val="nil"/>
            </w:tcBorders>
            <w:shd w:val="clear" w:color="auto" w:fill="auto"/>
            <w:noWrap w:val="0"/>
            <w:vAlign w:val="center"/>
          </w:tcPr>
          <w:p w14:paraId="3612FCEA">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4500</w:t>
            </w:r>
          </w:p>
        </w:tc>
        <w:tc>
          <w:tcPr>
            <w:tcW w:w="1100" w:type="dxa"/>
            <w:tcBorders>
              <w:tl2br w:val="nil"/>
              <w:tr2bl w:val="nil"/>
            </w:tcBorders>
            <w:shd w:val="clear" w:color="auto" w:fill="auto"/>
            <w:noWrap w:val="0"/>
            <w:vAlign w:val="center"/>
          </w:tcPr>
          <w:p w14:paraId="7C251C67">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45000</w:t>
            </w:r>
          </w:p>
        </w:tc>
        <w:tc>
          <w:tcPr>
            <w:tcW w:w="1150" w:type="dxa"/>
            <w:vMerge w:val="continue"/>
            <w:tcBorders>
              <w:tl2br w:val="nil"/>
              <w:tr2bl w:val="nil"/>
            </w:tcBorders>
            <w:shd w:val="clear" w:color="auto" w:fill="auto"/>
            <w:noWrap w:val="0"/>
            <w:vAlign w:val="center"/>
          </w:tcPr>
          <w:p w14:paraId="40054431">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690" w:type="dxa"/>
            <w:tcBorders>
              <w:tl2br w:val="nil"/>
              <w:tr2bl w:val="nil"/>
            </w:tcBorders>
            <w:noWrap w:val="0"/>
            <w:vAlign w:val="center"/>
          </w:tcPr>
          <w:p w14:paraId="42F3CD48">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3AC88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533" w:type="dxa"/>
            <w:vMerge w:val="continue"/>
            <w:tcBorders>
              <w:tl2br w:val="nil"/>
              <w:tr2bl w:val="nil"/>
            </w:tcBorders>
            <w:noWrap w:val="0"/>
            <w:vAlign w:val="center"/>
          </w:tcPr>
          <w:p w14:paraId="04735571">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4126DD77">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097FED17">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水下金属探测仪</w:t>
            </w:r>
          </w:p>
        </w:tc>
        <w:tc>
          <w:tcPr>
            <w:tcW w:w="700" w:type="dxa"/>
            <w:tcBorders>
              <w:tl2br w:val="nil"/>
              <w:tr2bl w:val="nil"/>
            </w:tcBorders>
            <w:shd w:val="clear" w:color="auto" w:fill="auto"/>
            <w:noWrap w:val="0"/>
            <w:vAlign w:val="center"/>
          </w:tcPr>
          <w:p w14:paraId="0AE179D4">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9</w:t>
            </w:r>
          </w:p>
        </w:tc>
        <w:tc>
          <w:tcPr>
            <w:tcW w:w="733" w:type="dxa"/>
            <w:tcBorders>
              <w:tl2br w:val="nil"/>
              <w:tr2bl w:val="nil"/>
            </w:tcBorders>
            <w:shd w:val="clear" w:color="auto" w:fill="auto"/>
            <w:noWrap w:val="0"/>
            <w:vAlign w:val="center"/>
          </w:tcPr>
          <w:p w14:paraId="0D411B2D">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台</w:t>
            </w:r>
          </w:p>
        </w:tc>
        <w:tc>
          <w:tcPr>
            <w:tcW w:w="1117" w:type="dxa"/>
            <w:tcBorders>
              <w:tl2br w:val="nil"/>
              <w:tr2bl w:val="nil"/>
            </w:tcBorders>
            <w:shd w:val="clear" w:color="auto" w:fill="auto"/>
            <w:noWrap w:val="0"/>
            <w:vAlign w:val="center"/>
          </w:tcPr>
          <w:p w14:paraId="47B38DBD">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15000</w:t>
            </w:r>
          </w:p>
        </w:tc>
        <w:tc>
          <w:tcPr>
            <w:tcW w:w="1100" w:type="dxa"/>
            <w:tcBorders>
              <w:tl2br w:val="nil"/>
              <w:tr2bl w:val="nil"/>
            </w:tcBorders>
            <w:shd w:val="clear" w:color="auto" w:fill="auto"/>
            <w:noWrap w:val="0"/>
            <w:vAlign w:val="center"/>
          </w:tcPr>
          <w:p w14:paraId="7299BDEA">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135000</w:t>
            </w:r>
          </w:p>
        </w:tc>
        <w:tc>
          <w:tcPr>
            <w:tcW w:w="1150" w:type="dxa"/>
            <w:vMerge w:val="continue"/>
            <w:tcBorders>
              <w:tl2br w:val="nil"/>
              <w:tr2bl w:val="nil"/>
            </w:tcBorders>
            <w:noWrap w:val="0"/>
            <w:vAlign w:val="center"/>
          </w:tcPr>
          <w:p w14:paraId="7C41579B">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1D138B0A">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r w14:paraId="3C4CA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533" w:type="dxa"/>
            <w:vMerge w:val="continue"/>
            <w:tcBorders>
              <w:tl2br w:val="nil"/>
              <w:tr2bl w:val="nil"/>
            </w:tcBorders>
            <w:noWrap w:val="0"/>
            <w:vAlign w:val="center"/>
          </w:tcPr>
          <w:p w14:paraId="61897C31">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p>
        </w:tc>
        <w:tc>
          <w:tcPr>
            <w:tcW w:w="850" w:type="dxa"/>
            <w:vMerge w:val="continue"/>
            <w:tcBorders>
              <w:tl2br w:val="nil"/>
              <w:tr2bl w:val="nil"/>
            </w:tcBorders>
            <w:noWrap w:val="0"/>
            <w:vAlign w:val="center"/>
          </w:tcPr>
          <w:p w14:paraId="5994AD80">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2050" w:type="dxa"/>
            <w:tcBorders>
              <w:tl2br w:val="nil"/>
              <w:tr2bl w:val="nil"/>
            </w:tcBorders>
            <w:shd w:val="clear" w:color="auto" w:fill="auto"/>
            <w:noWrap w:val="0"/>
            <w:vAlign w:val="center"/>
          </w:tcPr>
          <w:p w14:paraId="6DF22EFD">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排水机器人</w:t>
            </w:r>
          </w:p>
          <w:p w14:paraId="64E17914">
            <w:pPr>
              <w:keepNext w:val="0"/>
              <w:keepLines w:val="0"/>
              <w:widowControl/>
              <w:suppressLineNumbers w:val="0"/>
              <w:spacing w:line="360" w:lineRule="auto"/>
              <w:jc w:val="center"/>
              <w:textAlignment w:val="auto"/>
              <w:rPr>
                <w:rFonts w:hint="eastAsia"/>
                <w:lang w:val="en-US" w:eastAsia="zh-CN"/>
              </w:rPr>
            </w:pPr>
            <w:r>
              <w:rPr>
                <w:rFonts w:hint="eastAsia" w:ascii="宋体" w:hAnsi="宋体" w:eastAsia="宋体" w:cs="宋体"/>
                <w:b/>
                <w:bCs/>
                <w:i w:val="0"/>
                <w:iCs w:val="0"/>
                <w:color w:val="auto"/>
                <w:kern w:val="2"/>
                <w:sz w:val="21"/>
                <w:szCs w:val="21"/>
                <w:highlight w:val="none"/>
                <w:u w:val="none"/>
                <w:lang w:val="en-US" w:eastAsia="zh-CN" w:bidi="ar"/>
              </w:rPr>
              <w:t>（核心产品）</w:t>
            </w:r>
          </w:p>
        </w:tc>
        <w:tc>
          <w:tcPr>
            <w:tcW w:w="700" w:type="dxa"/>
            <w:tcBorders>
              <w:tl2br w:val="nil"/>
              <w:tr2bl w:val="nil"/>
            </w:tcBorders>
            <w:shd w:val="clear" w:color="auto" w:fill="auto"/>
            <w:noWrap w:val="0"/>
            <w:vAlign w:val="center"/>
          </w:tcPr>
          <w:p w14:paraId="24B6D13D">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1</w:t>
            </w:r>
          </w:p>
        </w:tc>
        <w:tc>
          <w:tcPr>
            <w:tcW w:w="733" w:type="dxa"/>
            <w:tcBorders>
              <w:tl2br w:val="nil"/>
              <w:tr2bl w:val="nil"/>
            </w:tcBorders>
            <w:shd w:val="clear" w:color="auto" w:fill="auto"/>
            <w:noWrap w:val="0"/>
            <w:vAlign w:val="center"/>
          </w:tcPr>
          <w:p w14:paraId="019DF5E4">
            <w:pPr>
              <w:keepNext w:val="0"/>
              <w:keepLines w:val="0"/>
              <w:widowControl/>
              <w:suppressLineNumbers w:val="0"/>
              <w:spacing w:line="360" w:lineRule="auto"/>
              <w:jc w:val="center"/>
              <w:textAlignment w:val="auto"/>
              <w:rPr>
                <w:rFonts w:hint="eastAsia" w:ascii="宋体" w:hAnsi="宋体" w:eastAsia="宋体" w:cs="宋体"/>
                <w:i w:val="0"/>
                <w:iCs w:val="0"/>
                <w:color w:val="auto"/>
                <w:kern w:val="2"/>
                <w:sz w:val="21"/>
                <w:szCs w:val="21"/>
                <w:highlight w:val="none"/>
                <w:u w:val="none"/>
                <w:lang w:val="en-US" w:eastAsia="zh-CN" w:bidi="ar"/>
              </w:rPr>
            </w:pPr>
            <w:r>
              <w:rPr>
                <w:rFonts w:hint="eastAsia" w:ascii="宋体" w:hAnsi="宋体" w:eastAsia="宋体" w:cs="宋体"/>
                <w:i w:val="0"/>
                <w:iCs w:val="0"/>
                <w:color w:val="auto"/>
                <w:kern w:val="2"/>
                <w:sz w:val="21"/>
                <w:szCs w:val="21"/>
                <w:highlight w:val="none"/>
                <w:u w:val="none"/>
                <w:lang w:val="en-US" w:eastAsia="zh-CN" w:bidi="ar"/>
              </w:rPr>
              <w:t>台</w:t>
            </w:r>
          </w:p>
        </w:tc>
        <w:tc>
          <w:tcPr>
            <w:tcW w:w="1117" w:type="dxa"/>
            <w:tcBorders>
              <w:tl2br w:val="nil"/>
              <w:tr2bl w:val="nil"/>
            </w:tcBorders>
            <w:shd w:val="clear" w:color="auto" w:fill="auto"/>
            <w:noWrap w:val="0"/>
            <w:vAlign w:val="center"/>
          </w:tcPr>
          <w:p w14:paraId="6AB8FEC4">
            <w:pPr>
              <w:keepNext w:val="0"/>
              <w:keepLines w:val="0"/>
              <w:widowControl/>
              <w:suppressLineNumbers w:val="0"/>
              <w:spacing w:line="360" w:lineRule="auto"/>
              <w:jc w:val="center"/>
              <w:textAlignment w:val="auto"/>
              <w:rPr>
                <w:rFonts w:hint="eastAsia"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560000</w:t>
            </w:r>
          </w:p>
        </w:tc>
        <w:tc>
          <w:tcPr>
            <w:tcW w:w="1100" w:type="dxa"/>
            <w:tcBorders>
              <w:tl2br w:val="nil"/>
              <w:tr2bl w:val="nil"/>
            </w:tcBorders>
            <w:shd w:val="clear" w:color="auto" w:fill="auto"/>
            <w:noWrap w:val="0"/>
            <w:vAlign w:val="center"/>
          </w:tcPr>
          <w:p w14:paraId="2DBE4472">
            <w:pPr>
              <w:keepNext w:val="0"/>
              <w:keepLines w:val="0"/>
              <w:widowControl/>
              <w:suppressLineNumbers w:val="0"/>
              <w:spacing w:line="360" w:lineRule="auto"/>
              <w:jc w:val="center"/>
              <w:textAlignment w:val="auto"/>
              <w:rPr>
                <w:rFonts w:hint="default" w:ascii="宋体" w:hAnsi="宋体" w:eastAsia="宋体" w:cs="宋体"/>
                <w:i w:val="0"/>
                <w:iCs w:val="0"/>
                <w:color w:val="auto"/>
                <w:kern w:val="0"/>
                <w:sz w:val="21"/>
                <w:szCs w:val="21"/>
                <w:highlight w:val="none"/>
                <w:u w:val="none"/>
                <w:lang w:val="en-US" w:eastAsia="zh-CN" w:bidi="ar-SA"/>
              </w:rPr>
            </w:pPr>
            <w:r>
              <w:rPr>
                <w:rFonts w:hint="default" w:ascii="宋体" w:hAnsi="宋体" w:eastAsia="宋体" w:cs="宋体"/>
                <w:i w:val="0"/>
                <w:iCs w:val="0"/>
                <w:color w:val="auto"/>
                <w:kern w:val="0"/>
                <w:sz w:val="21"/>
                <w:szCs w:val="21"/>
                <w:highlight w:val="none"/>
                <w:u w:val="none"/>
                <w:lang w:val="en-US" w:eastAsia="zh-CN" w:bidi="ar-SA"/>
              </w:rPr>
              <w:t>560000</w:t>
            </w:r>
          </w:p>
        </w:tc>
        <w:tc>
          <w:tcPr>
            <w:tcW w:w="1150" w:type="dxa"/>
            <w:vMerge w:val="continue"/>
            <w:tcBorders>
              <w:tl2br w:val="nil"/>
              <w:tr2bl w:val="nil"/>
            </w:tcBorders>
            <w:noWrap w:val="0"/>
            <w:vAlign w:val="center"/>
          </w:tcPr>
          <w:p w14:paraId="09B878D5">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c>
          <w:tcPr>
            <w:tcW w:w="690" w:type="dxa"/>
            <w:tcBorders>
              <w:tl2br w:val="nil"/>
              <w:tr2bl w:val="nil"/>
            </w:tcBorders>
            <w:noWrap w:val="0"/>
            <w:vAlign w:val="center"/>
          </w:tcPr>
          <w:p w14:paraId="528D5969">
            <w:pPr>
              <w:widowControl w:val="0"/>
              <w:spacing w:line="360" w:lineRule="auto"/>
              <w:jc w:val="center"/>
              <w:rPr>
                <w:rFonts w:hint="eastAsia" w:ascii="宋体" w:hAnsi="宋体" w:eastAsia="宋体" w:cs="宋体"/>
                <w:color w:val="auto"/>
                <w:sz w:val="21"/>
                <w:szCs w:val="21"/>
                <w:highlight w:val="none"/>
                <w:vertAlign w:val="baseline"/>
                <w:lang w:val="en-US" w:eastAsia="zh-CN"/>
              </w:rPr>
            </w:pPr>
          </w:p>
        </w:tc>
      </w:tr>
    </w:tbl>
    <w:p w14:paraId="7A4BE3E9">
      <w:pPr>
        <w:rPr>
          <w:rFonts w:hint="eastAsia" w:ascii="宋体" w:hAnsi="宋体" w:cs="宋体"/>
          <w:color w:val="auto"/>
          <w:highlight w:val="none"/>
          <w:lang w:val="en-US" w:eastAsia="zh-CN"/>
        </w:rPr>
      </w:pPr>
      <w:r>
        <w:rPr>
          <w:rFonts w:hint="eastAsia" w:ascii="宋体" w:hAnsi="宋体" w:cs="宋体"/>
          <w:color w:val="auto"/>
          <w:highlight w:val="none"/>
          <w:lang w:val="en-US" w:eastAsia="zh-CN"/>
        </w:rPr>
        <w:br w:type="page"/>
      </w:r>
    </w:p>
    <w:p w14:paraId="3C1F16D7">
      <w:pPr>
        <w:pStyle w:val="8"/>
        <w:keepNext/>
        <w:keepLines/>
        <w:pageBreakBefore w:val="0"/>
        <w:widowControl w:val="0"/>
        <w:shd w:val="clear" w:color="auto" w:fill="auto"/>
        <w:kinsoku/>
        <w:wordWrap/>
        <w:overflowPunct/>
        <w:topLinePunct w:val="0"/>
        <w:autoSpaceDE/>
        <w:autoSpaceDN/>
        <w:bidi w:val="0"/>
        <w:adjustRightInd/>
        <w:snapToGrid/>
        <w:spacing w:before="0" w:after="0" w:line="360" w:lineRule="auto"/>
        <w:jc w:val="left"/>
        <w:textAlignment w:val="auto"/>
        <w:rPr>
          <w:rFonts w:hint="eastAsia" w:ascii="宋体" w:hAnsi="宋体" w:eastAsia="宋体" w:cs="宋体"/>
          <w:color w:val="auto"/>
          <w:highlight w:val="none"/>
        </w:rPr>
      </w:pPr>
      <w:r>
        <w:rPr>
          <w:rFonts w:hint="eastAsia" w:ascii="宋体" w:hAnsi="宋体" w:cs="宋体"/>
          <w:color w:val="auto"/>
          <w:highlight w:val="none"/>
          <w:lang w:val="en-US" w:eastAsia="zh-CN"/>
        </w:rPr>
        <w:t>二</w:t>
      </w:r>
      <w:r>
        <w:rPr>
          <w:rFonts w:hint="eastAsia" w:ascii="宋体" w:hAnsi="宋体" w:eastAsia="宋体" w:cs="宋体"/>
          <w:color w:val="auto"/>
          <w:sz w:val="28"/>
          <w:szCs w:val="28"/>
          <w:highlight w:val="none"/>
          <w:lang w:val="zh-CN" w:eastAsia="zh-CN"/>
        </w:rPr>
        <w:t>、技术参数要求</w:t>
      </w:r>
    </w:p>
    <w:tbl>
      <w:tblPr>
        <w:tblStyle w:val="19"/>
        <w:tblW w:w="8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686"/>
        <w:gridCol w:w="1244"/>
        <w:gridCol w:w="1537"/>
        <w:gridCol w:w="5034"/>
      </w:tblGrid>
      <w:tr w14:paraId="2D812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2" w:type="dxa"/>
            <w:vAlign w:val="center"/>
          </w:tcPr>
          <w:p w14:paraId="3775556B">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序号</w:t>
            </w:r>
          </w:p>
        </w:tc>
        <w:tc>
          <w:tcPr>
            <w:tcW w:w="686" w:type="dxa"/>
            <w:vAlign w:val="center"/>
          </w:tcPr>
          <w:p w14:paraId="2F18B0C7">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包件号</w:t>
            </w:r>
          </w:p>
        </w:tc>
        <w:tc>
          <w:tcPr>
            <w:tcW w:w="1244" w:type="dxa"/>
            <w:vAlign w:val="center"/>
          </w:tcPr>
          <w:p w14:paraId="0C676C6E">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包件名称</w:t>
            </w:r>
          </w:p>
        </w:tc>
        <w:tc>
          <w:tcPr>
            <w:tcW w:w="1537" w:type="dxa"/>
            <w:vAlign w:val="center"/>
          </w:tcPr>
          <w:p w14:paraId="6CBBE39C">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装备名称（标的名称）</w:t>
            </w:r>
          </w:p>
        </w:tc>
        <w:tc>
          <w:tcPr>
            <w:tcW w:w="5034" w:type="dxa"/>
            <w:vAlign w:val="center"/>
          </w:tcPr>
          <w:p w14:paraId="7DEB21A8">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技术参数要求</w:t>
            </w:r>
          </w:p>
        </w:tc>
      </w:tr>
      <w:tr w14:paraId="3B256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jc w:val="center"/>
        </w:trPr>
        <w:tc>
          <w:tcPr>
            <w:tcW w:w="462" w:type="dxa"/>
            <w:vAlign w:val="center"/>
          </w:tcPr>
          <w:p w14:paraId="2283FA1C">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w:t>
            </w:r>
          </w:p>
        </w:tc>
        <w:tc>
          <w:tcPr>
            <w:tcW w:w="686" w:type="dxa"/>
            <w:vAlign w:val="center"/>
          </w:tcPr>
          <w:p w14:paraId="2D187100">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vAlign w:val="center"/>
          </w:tcPr>
          <w:p w14:paraId="66242264">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绳索</w:t>
            </w:r>
          </w:p>
        </w:tc>
        <w:tc>
          <w:tcPr>
            <w:tcW w:w="1537" w:type="dxa"/>
            <w:vAlign w:val="center"/>
          </w:tcPr>
          <w:p w14:paraId="4226CE83">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全身安全吊带</w:t>
            </w:r>
          </w:p>
        </w:tc>
        <w:tc>
          <w:tcPr>
            <w:tcW w:w="5034" w:type="dxa"/>
            <w:shd w:val="clear" w:color="auto" w:fill="auto"/>
            <w:vAlign w:val="center"/>
          </w:tcPr>
          <w:p w14:paraId="4374B945">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★一、内置胸式上升器且有解锁系统；</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★二、配有连接点数量≥5个（腰部1个/两侧各1个/胸部1个/背部1个）；</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三、肩带调节方式：可独立调节；</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四、腰部有衬垫支撑；</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五、背环高度能调节；</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六、两侧的连接点位置模式：腰部；</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七、装备环数量：至少4个；</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▲八、肩部工具槽数量：至少2个；</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★九、安全吊带静态负荷≥22kN，后背连接点破断强度≥22kN，腰部连接点破断强度≥22kN，胸部连接点破断强度≥22kN，腹部连接点破断强度≥22kN；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★十、产品应符合XF 494-2023《消防用防坠落装备》的要求。</w:t>
            </w:r>
          </w:p>
        </w:tc>
      </w:tr>
      <w:tr w14:paraId="48B4C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9" w:hRule="atLeast"/>
          <w:jc w:val="center"/>
        </w:trPr>
        <w:tc>
          <w:tcPr>
            <w:tcW w:w="462" w:type="dxa"/>
            <w:shd w:val="clear" w:color="auto" w:fill="auto"/>
            <w:vAlign w:val="center"/>
          </w:tcPr>
          <w:p w14:paraId="7C811533">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2</w:t>
            </w:r>
          </w:p>
        </w:tc>
        <w:tc>
          <w:tcPr>
            <w:tcW w:w="686" w:type="dxa"/>
            <w:shd w:val="clear" w:color="auto" w:fill="auto"/>
            <w:vAlign w:val="center"/>
          </w:tcPr>
          <w:p w14:paraId="72F8B6B5">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vAlign w:val="center"/>
          </w:tcPr>
          <w:p w14:paraId="64385C9C">
            <w:pPr>
              <w:widowControl w:val="0"/>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绳索</w:t>
            </w:r>
          </w:p>
        </w:tc>
        <w:tc>
          <w:tcPr>
            <w:tcW w:w="1537" w:type="dxa"/>
            <w:vAlign w:val="center"/>
          </w:tcPr>
          <w:p w14:paraId="2F616379">
            <w:pPr>
              <w:keepNext w:val="0"/>
              <w:keepLines w:val="0"/>
              <w:widowControl/>
              <w:suppressLineNumbers w:val="0"/>
              <w:jc w:val="both"/>
              <w:textAlignment w:val="center"/>
              <w:rPr>
                <w:rFonts w:hint="eastAsia" w:ascii="宋体" w:hAnsi="宋体" w:eastAsia="宋体" w:cs="宋体"/>
                <w:color w:val="auto"/>
                <w:sz w:val="21"/>
                <w:szCs w:val="21"/>
                <w:highlight w:val="none"/>
                <w:vertAlign w:val="baseline"/>
                <w:lang w:val="en-US" w:eastAsia="zh-CN"/>
              </w:rPr>
            </w:pPr>
            <w:r>
              <w:rPr>
                <w:rStyle w:val="34"/>
                <w:rFonts w:hint="eastAsia" w:ascii="宋体" w:hAnsi="宋体" w:eastAsia="宋体" w:cs="宋体"/>
                <w:sz w:val="21"/>
                <w:szCs w:val="21"/>
                <w:lang w:val="en-US" w:eastAsia="zh-CN" w:bidi="ar"/>
              </w:rPr>
              <w:t>动力绳（</w:t>
            </w:r>
            <w:r>
              <w:rPr>
                <w:rStyle w:val="36"/>
                <w:rFonts w:hint="eastAsia" w:ascii="宋体" w:hAnsi="宋体" w:eastAsia="宋体" w:cs="宋体"/>
                <w:sz w:val="21"/>
                <w:szCs w:val="21"/>
                <w:lang w:val="en-US" w:eastAsia="zh-CN" w:bidi="ar"/>
              </w:rPr>
              <w:t>100</w:t>
            </w:r>
            <w:r>
              <w:rPr>
                <w:rStyle w:val="34"/>
                <w:rFonts w:hint="eastAsia" w:ascii="宋体" w:hAnsi="宋体" w:eastAsia="宋体" w:cs="宋体"/>
                <w:sz w:val="21"/>
                <w:szCs w:val="21"/>
                <w:lang w:val="en-US" w:eastAsia="zh-CN" w:bidi="ar"/>
              </w:rPr>
              <w:t>米）</w:t>
            </w:r>
          </w:p>
        </w:tc>
        <w:tc>
          <w:tcPr>
            <w:tcW w:w="5034" w:type="dxa"/>
            <w:shd w:val="clear" w:color="auto" w:fill="auto"/>
            <w:vAlign w:val="center"/>
          </w:tcPr>
          <w:p w14:paraId="430EF8F3">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★一、绳直径：9.5-10.5mm；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★二、表皮滑动率：≤0.3%；</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三、首次动态伸长率：≥31%；</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★四、静力延展率：≥8%；</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五、重量每米克重：≤70g；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★六、产品应符合XF 494-2023《消防用防坠落装备》的要求。</w:t>
            </w:r>
          </w:p>
        </w:tc>
      </w:tr>
      <w:tr w14:paraId="6D573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2" w:type="dxa"/>
            <w:vAlign w:val="center"/>
          </w:tcPr>
          <w:p w14:paraId="5D353D44">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3</w:t>
            </w:r>
          </w:p>
        </w:tc>
        <w:tc>
          <w:tcPr>
            <w:tcW w:w="686" w:type="dxa"/>
            <w:vAlign w:val="center"/>
          </w:tcPr>
          <w:p w14:paraId="2234191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vAlign w:val="center"/>
          </w:tcPr>
          <w:p w14:paraId="0C04BD52">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绳索</w:t>
            </w:r>
          </w:p>
        </w:tc>
        <w:tc>
          <w:tcPr>
            <w:tcW w:w="1537" w:type="dxa"/>
            <w:vAlign w:val="center"/>
          </w:tcPr>
          <w:p w14:paraId="33D9CFF9">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Style w:val="34"/>
                <w:rFonts w:hint="eastAsia" w:ascii="宋体" w:hAnsi="宋体" w:eastAsia="宋体" w:cs="宋体"/>
                <w:sz w:val="21"/>
                <w:szCs w:val="21"/>
                <w:lang w:val="en-US" w:eastAsia="zh-CN" w:bidi="ar"/>
              </w:rPr>
              <w:t>静力绳（</w:t>
            </w:r>
            <w:r>
              <w:rPr>
                <w:rStyle w:val="36"/>
                <w:rFonts w:hint="eastAsia" w:ascii="宋体" w:hAnsi="宋体" w:eastAsia="宋体" w:cs="宋体"/>
                <w:sz w:val="21"/>
                <w:szCs w:val="21"/>
                <w:lang w:val="en-US" w:eastAsia="zh-CN" w:bidi="ar"/>
              </w:rPr>
              <w:t>200</w:t>
            </w:r>
            <w:r>
              <w:rPr>
                <w:rStyle w:val="34"/>
                <w:rFonts w:hint="eastAsia" w:ascii="宋体" w:hAnsi="宋体" w:eastAsia="宋体" w:cs="宋体"/>
                <w:sz w:val="21"/>
                <w:szCs w:val="21"/>
                <w:lang w:val="en-US" w:eastAsia="zh-CN" w:bidi="ar"/>
              </w:rPr>
              <w:t>米</w:t>
            </w:r>
            <w:r>
              <w:rPr>
                <w:rStyle w:val="36"/>
                <w:rFonts w:hint="eastAsia" w:ascii="宋体" w:hAnsi="宋体" w:eastAsia="宋体" w:cs="宋体"/>
                <w:sz w:val="21"/>
                <w:szCs w:val="21"/>
                <w:lang w:val="en-US" w:eastAsia="zh-CN" w:bidi="ar"/>
              </w:rPr>
              <w:t>-</w:t>
            </w:r>
            <w:r>
              <w:rPr>
                <w:rStyle w:val="34"/>
                <w:rFonts w:hint="eastAsia" w:ascii="宋体" w:hAnsi="宋体" w:eastAsia="宋体" w:cs="宋体"/>
                <w:sz w:val="21"/>
                <w:szCs w:val="21"/>
                <w:lang w:val="en-US" w:eastAsia="zh-CN" w:bidi="ar"/>
              </w:rPr>
              <w:t>定制）</w:t>
            </w:r>
          </w:p>
        </w:tc>
        <w:tc>
          <w:tcPr>
            <w:tcW w:w="5034" w:type="dxa"/>
            <w:shd w:val="clear" w:color="auto" w:fill="auto"/>
            <w:vAlign w:val="center"/>
          </w:tcPr>
          <w:p w14:paraId="39BED445">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★一、绳直径10.5mm；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二、可选颜色：颜色可定制；</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★三、最小破断强度：≥22kN；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★四、表皮滑动率：≤0.6%；</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★五、静力延展率：≤3.4%；</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★六、产品应符合XF 494-2023《消防用防坠落装备》的要求。</w:t>
            </w:r>
          </w:p>
        </w:tc>
      </w:tr>
      <w:tr w14:paraId="2D6CA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42AFC7F8">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4</w:t>
            </w:r>
          </w:p>
        </w:tc>
        <w:tc>
          <w:tcPr>
            <w:tcW w:w="686" w:type="dxa"/>
            <w:vAlign w:val="center"/>
          </w:tcPr>
          <w:p w14:paraId="3EA843BB">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vAlign w:val="center"/>
          </w:tcPr>
          <w:p w14:paraId="69F22F07">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绳索</w:t>
            </w:r>
          </w:p>
        </w:tc>
        <w:tc>
          <w:tcPr>
            <w:tcW w:w="1537" w:type="dxa"/>
            <w:vAlign w:val="center"/>
          </w:tcPr>
          <w:p w14:paraId="7D02640E">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电动上升器</w:t>
            </w:r>
          </w:p>
        </w:tc>
        <w:tc>
          <w:tcPr>
            <w:tcW w:w="5034" w:type="dxa"/>
            <w:shd w:val="clear" w:color="auto" w:fill="auto"/>
            <w:vAlign w:val="center"/>
          </w:tcPr>
          <w:p w14:paraId="67EF20EC">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一、适用场景：能够满足消防人员对于上升速度、下降速度、安全性和可靠性的一切要求；</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▲二、升降速度可控；</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★三、适用绳索直径：10.5-11mm；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★四、额定工作载荷：≥220kg，最大载荷：≥280kg，上升速率≥27m/min；下降速率≥22m/min，可以连续调速；</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★五、遥控及遥控距离≥150m：配有静力绳以及防水绳包；</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★六、有紧急手动下降功能；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▲七、重量（含电池）≤22kg。</w:t>
            </w:r>
          </w:p>
        </w:tc>
      </w:tr>
      <w:tr w14:paraId="55D7E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5A0CF462">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5</w:t>
            </w:r>
          </w:p>
        </w:tc>
        <w:tc>
          <w:tcPr>
            <w:tcW w:w="686" w:type="dxa"/>
            <w:vAlign w:val="center"/>
          </w:tcPr>
          <w:p w14:paraId="77DA9293">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vAlign w:val="center"/>
          </w:tcPr>
          <w:p w14:paraId="5D04B8C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绳索</w:t>
            </w:r>
          </w:p>
        </w:tc>
        <w:tc>
          <w:tcPr>
            <w:tcW w:w="1537" w:type="dxa"/>
            <w:vAlign w:val="center"/>
          </w:tcPr>
          <w:p w14:paraId="54C13509">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复杂地形组合式救援支架</w:t>
            </w:r>
          </w:p>
        </w:tc>
        <w:tc>
          <w:tcPr>
            <w:tcW w:w="5034" w:type="dxa"/>
            <w:shd w:val="clear" w:color="auto" w:fill="auto"/>
            <w:vAlign w:val="center"/>
          </w:tcPr>
          <w:p w14:paraId="11819F85">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★一、可以调节各脚架长度，连接头可以组合成三角型、A型支架、斜A型支架或起重支架，具备适应沙地、岩石、水泥地等多种环境的架设能力；</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三脚架至少包含头部组件1套、上肢腿3根、下肢腿7根、尖支脚3个、平支脚3个、高强度固定销1套、配套组件套包1套。头部组件：万向装置支持≥90°展开。腿部组件：可调节不同长度。支架脚部组件：适用于平地和山地地形。收紧扁带（含收紧器）、绳包、器材包等组成；</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三、最大高度：（单脚架最大长度）（2800±5）mm；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★四、最小破断强度：≥36kN；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▲五、重量（整重）：≤45kg。</w:t>
            </w:r>
          </w:p>
        </w:tc>
      </w:tr>
      <w:tr w14:paraId="51366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72A0E2B0">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6</w:t>
            </w:r>
          </w:p>
        </w:tc>
        <w:tc>
          <w:tcPr>
            <w:tcW w:w="686" w:type="dxa"/>
            <w:vAlign w:val="center"/>
          </w:tcPr>
          <w:p w14:paraId="5F503A33">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包1</w:t>
            </w:r>
          </w:p>
        </w:tc>
        <w:tc>
          <w:tcPr>
            <w:tcW w:w="1244" w:type="dxa"/>
            <w:vAlign w:val="center"/>
          </w:tcPr>
          <w:p w14:paraId="752D13A9">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绳索</w:t>
            </w:r>
          </w:p>
        </w:tc>
        <w:tc>
          <w:tcPr>
            <w:tcW w:w="1537" w:type="dxa"/>
            <w:vAlign w:val="center"/>
          </w:tcPr>
          <w:p w14:paraId="3B3B1C1C">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全包裹超轻担架</w:t>
            </w:r>
          </w:p>
        </w:tc>
        <w:tc>
          <w:tcPr>
            <w:tcW w:w="5034" w:type="dxa"/>
            <w:shd w:val="clear" w:color="auto" w:fill="auto"/>
            <w:vAlign w:val="center"/>
          </w:tcPr>
          <w:p w14:paraId="07D6113A">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一、材料：聚氯乙烯、不锈钢、尼龙；</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★二、规格：外担架平铺尺寸：90×230cm（允差为±5cm）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脊柱板内胆：60×120cm（允差为±5cm）；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★三、载重：有效⼯作负载：≥200kg；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四、耐温：﹣20℃～45℃无皱缩、开裂、膨胀、分解等现象。</w:t>
            </w:r>
          </w:p>
        </w:tc>
      </w:tr>
      <w:tr w14:paraId="6A78E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1F57177D">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7</w:t>
            </w:r>
          </w:p>
        </w:tc>
        <w:tc>
          <w:tcPr>
            <w:tcW w:w="686" w:type="dxa"/>
            <w:vAlign w:val="center"/>
          </w:tcPr>
          <w:p w14:paraId="333A5918">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vAlign w:val="center"/>
          </w:tcPr>
          <w:p w14:paraId="30654249">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水域</w:t>
            </w:r>
          </w:p>
        </w:tc>
        <w:tc>
          <w:tcPr>
            <w:tcW w:w="1537" w:type="dxa"/>
            <w:vAlign w:val="center"/>
          </w:tcPr>
          <w:p w14:paraId="7C4D260D">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摩托艇</w:t>
            </w:r>
          </w:p>
        </w:tc>
        <w:tc>
          <w:tcPr>
            <w:tcW w:w="5034" w:type="dxa"/>
            <w:shd w:val="clear" w:color="auto" w:fill="auto"/>
            <w:vAlign w:val="center"/>
          </w:tcPr>
          <w:p w14:paraId="394745B2">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一、材质：船体：玻璃钢；</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★二、承载人数：≥2人；</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★三、最大载荷：≥240kg；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▲四、重量；≤390kg；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★五、最大输出功率≥63kW；</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六、最大燃油消耗：≤28升；</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七、满油门航行时间：≥1.7小时；</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八、发动机：汽缸数量：4缸16气门；</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九、发动机排量：≥1000cm³；</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十、燃油箱总容量：≥30升；</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十一、发动机油总量：≥3升。</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★十二、配备拖运架；</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★十三、提供船级社检测报告。</w:t>
            </w:r>
          </w:p>
        </w:tc>
      </w:tr>
      <w:tr w14:paraId="28739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4CFE6CAC">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8</w:t>
            </w:r>
          </w:p>
        </w:tc>
        <w:tc>
          <w:tcPr>
            <w:tcW w:w="686" w:type="dxa"/>
            <w:vAlign w:val="center"/>
          </w:tcPr>
          <w:p w14:paraId="51B35CA6">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vAlign w:val="center"/>
          </w:tcPr>
          <w:p w14:paraId="367D5EAC">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水域</w:t>
            </w:r>
          </w:p>
        </w:tc>
        <w:tc>
          <w:tcPr>
            <w:tcW w:w="1537" w:type="dxa"/>
            <w:vAlign w:val="center"/>
          </w:tcPr>
          <w:p w14:paraId="3D265D19">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救援浆板</w:t>
            </w:r>
          </w:p>
        </w:tc>
        <w:tc>
          <w:tcPr>
            <w:tcW w:w="5034" w:type="dxa"/>
            <w:shd w:val="clear" w:color="auto" w:fill="auto"/>
            <w:vAlign w:val="center"/>
          </w:tcPr>
          <w:p w14:paraId="2F6539BA">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一、尺寸：长≥320cm，宽≤70cm，高≥15cm；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★二、材质：碳纤维材质；</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★三、水上漂浮载重：≥150kg；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★四、桨板净重：≤14kg；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五、桨板四周装有D型扣：设有多个把手、金属D环和固定绳</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六、把手抗</w:t>
            </w:r>
            <w:bookmarkStart w:id="108" w:name="_GoBack"/>
            <w:bookmarkEnd w:id="108"/>
            <w:r>
              <w:rPr>
                <w:rFonts w:hint="eastAsia" w:ascii="宋体" w:hAnsi="宋体" w:eastAsia="宋体" w:cs="宋体"/>
                <w:color w:val="auto"/>
                <w:sz w:val="21"/>
                <w:szCs w:val="21"/>
                <w:highlight w:val="none"/>
                <w:lang w:val="en-US" w:eastAsia="zh-CN"/>
              </w:rPr>
              <w:t>拉强度：≥3kN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七、配有反光贴；</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★八、配件至少配备：插销鱼鳍、桨、安全脚绳、背包、修补桶；</w:t>
            </w:r>
          </w:p>
        </w:tc>
      </w:tr>
      <w:tr w14:paraId="2D0B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462" w:type="dxa"/>
            <w:vAlign w:val="center"/>
          </w:tcPr>
          <w:p w14:paraId="1E60C1C3">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9</w:t>
            </w:r>
          </w:p>
        </w:tc>
        <w:tc>
          <w:tcPr>
            <w:tcW w:w="686" w:type="dxa"/>
            <w:vAlign w:val="center"/>
          </w:tcPr>
          <w:p w14:paraId="1847D433">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vAlign w:val="center"/>
          </w:tcPr>
          <w:p w14:paraId="531B783B">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水域</w:t>
            </w:r>
          </w:p>
        </w:tc>
        <w:tc>
          <w:tcPr>
            <w:tcW w:w="1537" w:type="dxa"/>
            <w:vAlign w:val="center"/>
          </w:tcPr>
          <w:p w14:paraId="7662C7AD">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水下金属探测仪</w:t>
            </w:r>
          </w:p>
        </w:tc>
        <w:tc>
          <w:tcPr>
            <w:tcW w:w="5034" w:type="dxa"/>
            <w:vAlign w:val="center"/>
          </w:tcPr>
          <w:p w14:paraId="4778C4E2">
            <w:pPr>
              <w:widowControl w:val="0"/>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一、搜索形式和距离：同心圆形开放式搜索，线圈直径：25cm，⼟壤表层以下0.1⾄0.5m；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二、最大工作深度：≥60m；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三、重量：≤10kg；</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四、用于探测水下金属物体，完全可折叠杆组件，可拆卸安装皮带，在海水或淡水环境中均可使用；</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五、防水等级：≥IP68等级；</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六、灵敏度调整：可变；</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★七、产品应符合GB 12899-2018《手持式金属探测器通用技术规范》的要求。</w:t>
            </w:r>
          </w:p>
        </w:tc>
      </w:tr>
      <w:tr w14:paraId="2D643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3" w:hRule="atLeast"/>
          <w:jc w:val="center"/>
        </w:trPr>
        <w:tc>
          <w:tcPr>
            <w:tcW w:w="462" w:type="dxa"/>
            <w:vAlign w:val="center"/>
          </w:tcPr>
          <w:p w14:paraId="753B869B">
            <w:pPr>
              <w:widowControl w:val="0"/>
              <w:spacing w:line="360" w:lineRule="auto"/>
              <w:jc w:val="both"/>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10</w:t>
            </w:r>
          </w:p>
        </w:tc>
        <w:tc>
          <w:tcPr>
            <w:tcW w:w="686" w:type="dxa"/>
            <w:vAlign w:val="center"/>
          </w:tcPr>
          <w:p w14:paraId="7430C32F">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包2</w:t>
            </w:r>
          </w:p>
        </w:tc>
        <w:tc>
          <w:tcPr>
            <w:tcW w:w="1244" w:type="dxa"/>
            <w:vAlign w:val="center"/>
          </w:tcPr>
          <w:p w14:paraId="46C8378B">
            <w:pPr>
              <w:widowControl w:val="0"/>
              <w:spacing w:line="360" w:lineRule="auto"/>
              <w:jc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水域</w:t>
            </w:r>
          </w:p>
        </w:tc>
        <w:tc>
          <w:tcPr>
            <w:tcW w:w="1537" w:type="dxa"/>
            <w:vAlign w:val="center"/>
          </w:tcPr>
          <w:p w14:paraId="6E4B934D">
            <w:pPr>
              <w:keepNext w:val="0"/>
              <w:keepLines w:val="0"/>
              <w:widowControl/>
              <w:suppressLineNumbers w:val="0"/>
              <w:jc w:val="both"/>
              <w:textAlignment w:val="center"/>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i w:val="0"/>
                <w:iCs w:val="0"/>
                <w:color w:val="000000"/>
                <w:kern w:val="0"/>
                <w:sz w:val="21"/>
                <w:szCs w:val="21"/>
                <w:u w:val="none"/>
                <w:lang w:val="en-US" w:eastAsia="zh-CN" w:bidi="ar"/>
              </w:rPr>
              <w:t>排水机器人</w:t>
            </w:r>
          </w:p>
        </w:tc>
        <w:tc>
          <w:tcPr>
            <w:tcW w:w="5034" w:type="dxa"/>
            <w:shd w:val="clear" w:color="auto" w:fill="auto"/>
            <w:vAlign w:val="center"/>
          </w:tcPr>
          <w:p w14:paraId="7A486C89">
            <w:pPr>
              <w:widowControl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一、整体性能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1、电动绞盘：≥10m；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2、牵引力：≥4.5kN；</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★3、操控形式：无线；</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★4、外形尺寸：长*宽*高≤2600mm*1700mm*1800mm；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5、输出功率≥26kW；</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★6、无线遥控距离≥300m。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二、底盘参数</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1、主体材质：不锈钢；</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2、行走机构：履带式或轮式；</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3、驱动形式：两驱或四驱；</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4、满箱燃油下全功率状态工作时间不少于2h，最大工作时长不少于8h（连续加油）；</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5、垂直越障高度：≥100mm；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6、爬坡能力：≥25°；</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★7、能在水面漂浮作业；</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8、转弯半径：≤6000mm；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★9、涉水深度：≥200mm；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10、倾覆角：≥25°；</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11、离地距离：≤200mm；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12、最小制动距离：≤0.3m；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13、陆地行驶速度（无级变速）（km/h）：≥1.5m/s；</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三、供排水系统参数</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★1、扬程：≥7m；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★2、最小吸水入水深度：≥150mm；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★3、排水量：≥200L/s；</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4、最大排水距离：≥300m；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5、可吸排含有最大固体颗粒直径：≥20mm；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6、进水口尺寸：≥200mm；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▲7、吸水口具有升降功能；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四、控制系统参数：</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1、遥控器可实时接收和显示机器人油温、电量、水泵工作状态等信息：</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★2、控制距离：≥300m；</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五、电动水带收卷车：大口径水带自动收卷推车；</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1、具有全智能电控设计；</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2、带有水带收卷轮；</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3、具备夜间照明行车灯功能；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4、具备低电压报警功能；</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★六、产品应符合XF 892.1-2010《消防机器人第1部分：通用技术条件》的要求。</w:t>
            </w:r>
          </w:p>
        </w:tc>
      </w:tr>
    </w:tbl>
    <w:p w14:paraId="4A0C7EBE">
      <w:pPr>
        <w:pStyle w:val="8"/>
        <w:keepNext/>
        <w:keepLines/>
        <w:pageBreakBefore w:val="0"/>
        <w:widowControl w:val="0"/>
        <w:shd w:val="clear" w:color="auto" w:fill="auto"/>
        <w:kinsoku/>
        <w:wordWrap/>
        <w:overflowPunct/>
        <w:topLinePunct w:val="0"/>
        <w:autoSpaceDE/>
        <w:autoSpaceDN/>
        <w:bidi w:val="0"/>
        <w:adjustRightInd/>
        <w:snapToGrid/>
        <w:spacing w:before="0" w:after="0" w:line="413" w:lineRule="auto"/>
        <w:jc w:val="left"/>
        <w:textAlignment w:val="auto"/>
        <w:rPr>
          <w:rFonts w:hint="eastAsia" w:ascii="宋体" w:hAnsi="宋体" w:eastAsia="宋体" w:cs="宋体"/>
          <w:color w:val="auto"/>
          <w:sz w:val="28"/>
          <w:szCs w:val="28"/>
          <w:highlight w:val="none"/>
          <w:lang w:val="en-US" w:eastAsia="zh-CN"/>
        </w:rPr>
      </w:pPr>
    </w:p>
    <w:p w14:paraId="1F1E8B87">
      <w:pPr>
        <w:pStyle w:val="8"/>
        <w:keepNext/>
        <w:keepLines/>
        <w:pageBreakBefore w:val="0"/>
        <w:widowControl w:val="0"/>
        <w:shd w:val="clear" w:color="auto" w:fill="auto"/>
        <w:kinsoku/>
        <w:wordWrap/>
        <w:overflowPunct/>
        <w:topLinePunct w:val="0"/>
        <w:autoSpaceDE/>
        <w:autoSpaceDN/>
        <w:bidi w:val="0"/>
        <w:adjustRightInd/>
        <w:snapToGrid/>
        <w:spacing w:before="0" w:after="0" w:line="413" w:lineRule="auto"/>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三</w:t>
      </w:r>
      <w:r>
        <w:rPr>
          <w:rFonts w:hint="eastAsia" w:ascii="宋体" w:hAnsi="宋体" w:eastAsia="宋体" w:cs="宋体"/>
          <w:color w:val="auto"/>
          <w:sz w:val="28"/>
          <w:szCs w:val="28"/>
          <w:highlight w:val="none"/>
          <w:lang w:eastAsia="zh-CN"/>
        </w:rPr>
        <w:t>、商务要求（各包同等适用）</w:t>
      </w:r>
    </w:p>
    <w:p w14:paraId="05C533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1、交货时间：合同签订后</w:t>
      </w:r>
      <w:r>
        <w:rPr>
          <w:rFonts w:hint="eastAsia" w:ascii="宋体" w:hAnsi="宋体" w:eastAsia="宋体" w:cs="宋体"/>
          <w:b w:val="0"/>
          <w:bCs w:val="0"/>
          <w:color w:val="auto"/>
          <w:sz w:val="24"/>
          <w:szCs w:val="24"/>
          <w:highlight w:val="none"/>
          <w:lang w:val="en-US" w:eastAsia="zh-CN"/>
        </w:rPr>
        <w:t>60</w:t>
      </w:r>
      <w:r>
        <w:rPr>
          <w:rFonts w:hint="eastAsia" w:ascii="宋体" w:hAnsi="宋体" w:eastAsia="宋体" w:cs="宋体"/>
          <w:b w:val="0"/>
          <w:bCs w:val="0"/>
          <w:color w:val="auto"/>
          <w:sz w:val="24"/>
          <w:szCs w:val="24"/>
          <w:highlight w:val="none"/>
          <w:lang w:val="zh-TW"/>
        </w:rPr>
        <w:t>天内交货。</w:t>
      </w:r>
    </w:p>
    <w:p w14:paraId="1D16FB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若中标供应商因遇不可抗力或其他特殊情况导致无法交货或无法按时交货的（不可抗力包括战争、叛乱、严重火灾、水灾、地震等人力无法抗拒的原因，及双方在缔结合同时不能预见的，并且它的发生及其后果是无法避免和无法克服的事件），中标供应商应当</w:t>
      </w:r>
      <w:r>
        <w:rPr>
          <w:rFonts w:hint="eastAsia" w:ascii="宋体" w:hAnsi="宋体" w:eastAsia="宋体" w:cs="宋体"/>
          <w:b w:val="0"/>
          <w:bCs w:val="0"/>
          <w:color w:val="auto"/>
          <w:sz w:val="24"/>
          <w:szCs w:val="24"/>
          <w:highlight w:val="none"/>
          <w:lang w:val="en-US" w:eastAsia="zh-CN"/>
        </w:rPr>
        <w:t>在不可抗力发生后3日内</w:t>
      </w:r>
      <w:r>
        <w:rPr>
          <w:rFonts w:hint="eastAsia" w:ascii="宋体" w:hAnsi="宋体" w:eastAsia="宋体" w:cs="宋体"/>
          <w:b w:val="0"/>
          <w:bCs w:val="0"/>
          <w:color w:val="auto"/>
          <w:sz w:val="24"/>
          <w:szCs w:val="24"/>
          <w:highlight w:val="none"/>
          <w:lang w:val="zh-TW"/>
        </w:rPr>
        <w:t>通知采购人</w:t>
      </w:r>
      <w:r>
        <w:rPr>
          <w:rFonts w:hint="eastAsia" w:ascii="宋体" w:hAnsi="宋体" w:eastAsia="宋体" w:cs="宋体"/>
          <w:b w:val="0"/>
          <w:bCs w:val="0"/>
          <w:color w:val="auto"/>
          <w:sz w:val="24"/>
          <w:szCs w:val="24"/>
          <w:highlight w:val="none"/>
          <w:lang w:val="zh-TW" w:eastAsia="zh-CN"/>
        </w:rPr>
        <w:t>（若因通讯未恢复无法按时在前述时间内向对方通报的，则需在通讯恢复后次日向对方通报）</w:t>
      </w:r>
      <w:r>
        <w:rPr>
          <w:rFonts w:hint="eastAsia" w:ascii="宋体" w:hAnsi="宋体" w:eastAsia="宋体" w:cs="宋体"/>
          <w:b w:val="0"/>
          <w:bCs w:val="0"/>
          <w:color w:val="auto"/>
          <w:sz w:val="24"/>
          <w:szCs w:val="24"/>
          <w:highlight w:val="none"/>
          <w:lang w:val="zh-TW"/>
        </w:rPr>
        <w:t>。同时，中标供应商须取得有关权威机关出具的不可抗力证明并</w:t>
      </w:r>
      <w:r>
        <w:rPr>
          <w:rFonts w:hint="eastAsia" w:ascii="宋体" w:hAnsi="宋体" w:eastAsia="宋体" w:cs="宋体"/>
          <w:b w:val="0"/>
          <w:bCs w:val="0"/>
          <w:color w:val="auto"/>
          <w:sz w:val="24"/>
          <w:szCs w:val="24"/>
          <w:highlight w:val="none"/>
          <w:lang w:val="en-US" w:eastAsia="zh-CN"/>
        </w:rPr>
        <w:t>在取得证明后的3日内</w:t>
      </w:r>
      <w:r>
        <w:rPr>
          <w:rFonts w:hint="eastAsia" w:ascii="宋体" w:hAnsi="宋体" w:eastAsia="宋体" w:cs="宋体"/>
          <w:b w:val="0"/>
          <w:bCs w:val="0"/>
          <w:color w:val="auto"/>
          <w:sz w:val="24"/>
          <w:szCs w:val="24"/>
          <w:highlight w:val="none"/>
          <w:lang w:val="zh-TW"/>
        </w:rPr>
        <w:t>向采购人提供，采购人有权对其真实性、合法性进行审查并决定是否采纳。中标供应商不得因自身履约能力不足或者因正常的商业风险导致的无法交货或者无法按时交货向</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lang w:val="zh-TW"/>
        </w:rPr>
        <w:t>主张不可抗力。确定由不可抗力造成的损失，免于承担赔偿责任，但任何一方违约后发生的不可抗力情形，并不能免除违约方应当承担的违约责任。</w:t>
      </w:r>
    </w:p>
    <w:p w14:paraId="3B0B5C0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2、履约（实施）地点</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遂宁市</w:t>
      </w:r>
      <w:r>
        <w:rPr>
          <w:rFonts w:hint="eastAsia" w:ascii="宋体" w:hAnsi="宋体" w:eastAsia="宋体" w:cs="宋体"/>
          <w:b w:val="0"/>
          <w:bCs w:val="0"/>
          <w:color w:val="auto"/>
          <w:sz w:val="24"/>
          <w:szCs w:val="24"/>
          <w:highlight w:val="none"/>
          <w:lang w:val="en-US" w:eastAsia="zh-CN"/>
        </w:rPr>
        <w:t>德水南路119号</w:t>
      </w:r>
      <w:r>
        <w:rPr>
          <w:rFonts w:hint="eastAsia" w:ascii="宋体" w:hAnsi="宋体" w:eastAsia="宋体" w:cs="宋体"/>
          <w:b w:val="0"/>
          <w:bCs w:val="0"/>
          <w:color w:val="auto"/>
          <w:sz w:val="24"/>
          <w:szCs w:val="24"/>
          <w:highlight w:val="none"/>
          <w:lang w:val="zh-TW"/>
        </w:rPr>
        <w:t>。</w:t>
      </w:r>
    </w:p>
    <w:p w14:paraId="533BD3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3、付款条件（进度和方式）：</w:t>
      </w:r>
    </w:p>
    <w:p w14:paraId="6C7AC7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3.1合同签订生效后，</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自收到中标供应商出具的合法有效完整的完税发票及凭证资料之日起7个工作日内以转账方式预付其相应货款的</w:t>
      </w:r>
      <w:r>
        <w:rPr>
          <w:rFonts w:hint="eastAsia" w:ascii="宋体" w:hAnsi="宋体" w:eastAsia="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lang w:val="zh-TW"/>
        </w:rPr>
        <w:t>到中标供应商指定账户。</w:t>
      </w:r>
    </w:p>
    <w:p w14:paraId="1B4EC3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3.2全部货物验收合格</w:t>
      </w:r>
      <w:r>
        <w:rPr>
          <w:rFonts w:hint="eastAsia" w:ascii="宋体" w:hAnsi="宋体" w:eastAsia="宋体" w:cs="宋体"/>
          <w:b w:val="0"/>
          <w:bCs w:val="0"/>
          <w:color w:val="auto"/>
          <w:sz w:val="24"/>
          <w:szCs w:val="24"/>
          <w:highlight w:val="none"/>
          <w:lang w:val="en-US" w:eastAsia="zh-CN"/>
        </w:rPr>
        <w:t>并</w:t>
      </w:r>
      <w:r>
        <w:rPr>
          <w:rFonts w:hint="eastAsia" w:ascii="宋体" w:hAnsi="宋体" w:eastAsia="宋体" w:cs="宋体"/>
          <w:b w:val="0"/>
          <w:bCs w:val="0"/>
          <w:color w:val="auto"/>
          <w:sz w:val="24"/>
          <w:highlight w:val="none"/>
          <w:lang w:val="zh-TW" w:eastAsia="zh-CN"/>
        </w:rPr>
        <w:t>经采购人结算审计后</w:t>
      </w:r>
      <w:r>
        <w:rPr>
          <w:rFonts w:hint="eastAsia"/>
          <w:color w:val="auto"/>
          <w:lang w:eastAsia="zh-CN"/>
        </w:rPr>
        <w:t>，</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自收到中标供应商出具的合法有效完整的完税发票</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或收据</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及凭证资料之日起10个工作日内以转账方式支付其相应剩余货款到中标供应商指定账户。</w:t>
      </w:r>
    </w:p>
    <w:p w14:paraId="531113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3.3中标供应商未按照前述规定提供付款所需票据凭证资料的，</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付款期限相应顺延且不承担任何违约责任。</w:t>
      </w:r>
    </w:p>
    <w:p w14:paraId="25CAC7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3.4中标供应商变更收款账户的，应当在变更后1个工作日内书面通知</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，因中标供应商未及时通知导致的不利后果，由中标供应商自行承担。在变更通知到达</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前，</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按原合同约定的账户信息进行价款支付的，视为已完成支付义务。</w:t>
      </w:r>
    </w:p>
    <w:p w14:paraId="150287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w:t>
      </w:r>
      <w:r>
        <w:rPr>
          <w:rFonts w:hint="eastAsia" w:ascii="宋体" w:hAnsi="宋体" w:eastAsia="宋体" w:cs="宋体"/>
          <w:b w:val="0"/>
          <w:bCs w:val="0"/>
          <w:color w:val="auto"/>
          <w:sz w:val="24"/>
          <w:szCs w:val="24"/>
          <w:highlight w:val="none"/>
          <w:lang w:val="en-US" w:eastAsia="zh-CN"/>
        </w:rPr>
        <w:t>履约验收</w:t>
      </w:r>
      <w:r>
        <w:rPr>
          <w:rFonts w:hint="eastAsia" w:ascii="宋体" w:hAnsi="宋体" w:eastAsia="宋体" w:cs="宋体"/>
          <w:b w:val="0"/>
          <w:bCs w:val="0"/>
          <w:color w:val="auto"/>
          <w:sz w:val="24"/>
          <w:szCs w:val="24"/>
          <w:highlight w:val="none"/>
          <w:lang w:val="zh-TW"/>
        </w:rPr>
        <w:t>：</w:t>
      </w:r>
    </w:p>
    <w:p w14:paraId="43675D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4.1中标供应商应在交货时间内以原厂包装形式交货到采购人指定地点。依据国家消防装备质量检验检测中心产品抽查检验目录</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凡是国家消防装备质量检验检测中心能检验的装备品目，验收时必须抽样送检</w:t>
      </w:r>
      <w:r>
        <w:rPr>
          <w:rFonts w:hint="eastAsia" w:ascii="宋体" w:hAnsi="宋体" w:eastAsia="宋体" w:cs="宋体"/>
          <w:b w:val="0"/>
          <w:bCs w:val="0"/>
          <w:color w:val="auto"/>
          <w:sz w:val="24"/>
          <w:szCs w:val="24"/>
          <w:highlight w:val="none"/>
          <w:lang w:val="en-US" w:eastAsia="zh-CN"/>
        </w:rPr>
        <w:t>；不属于</w:t>
      </w:r>
      <w:r>
        <w:rPr>
          <w:rFonts w:hint="eastAsia" w:ascii="宋体" w:hAnsi="宋体" w:eastAsia="宋体" w:cs="宋体"/>
          <w:b w:val="0"/>
          <w:bCs w:val="0"/>
          <w:color w:val="auto"/>
          <w:sz w:val="24"/>
          <w:szCs w:val="24"/>
          <w:highlight w:val="none"/>
          <w:lang w:val="zh-TW"/>
        </w:rPr>
        <w:t>国家消防装备质量检验检测中心检验的装备品目若采购人要求中标供应商交货验收时提供产品质检部门从同类产品中抽样检查合格的检测报告，中标供应商必须无条件配合。检验范围包括但不限于：货物及所属配件的质量性能等。如第三方检验机构出具的检验报告</w:t>
      </w:r>
      <w:r>
        <w:rPr>
          <w:rFonts w:hint="eastAsia" w:ascii="宋体" w:hAnsi="宋体" w:eastAsia="宋体" w:cs="宋体"/>
          <w:b w:val="0"/>
          <w:bCs w:val="0"/>
          <w:color w:val="auto"/>
          <w:sz w:val="24"/>
          <w:szCs w:val="24"/>
          <w:highlight w:val="none"/>
          <w:lang w:val="en-US" w:eastAsia="zh-CN"/>
        </w:rPr>
        <w:t>结果为</w:t>
      </w:r>
      <w:r>
        <w:rPr>
          <w:rFonts w:hint="eastAsia" w:ascii="宋体" w:hAnsi="宋体" w:eastAsia="宋体" w:cs="宋体"/>
          <w:b w:val="0"/>
          <w:bCs w:val="0"/>
          <w:color w:val="auto"/>
          <w:sz w:val="24"/>
          <w:szCs w:val="24"/>
          <w:highlight w:val="none"/>
          <w:lang w:val="zh-TW"/>
        </w:rPr>
        <w:t>合格，采购人可以视为中标供应商交付货物通过了</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lang w:val="zh-TW"/>
        </w:rPr>
        <w:t>组织的抽样送检。如第三方检验机构出具的检验报告</w:t>
      </w:r>
      <w:r>
        <w:rPr>
          <w:rFonts w:hint="eastAsia" w:ascii="宋体" w:hAnsi="宋体" w:eastAsia="宋体" w:cs="宋体"/>
          <w:b w:val="0"/>
          <w:bCs w:val="0"/>
          <w:color w:val="auto"/>
          <w:sz w:val="24"/>
          <w:szCs w:val="24"/>
          <w:highlight w:val="none"/>
          <w:lang w:val="en-US" w:eastAsia="zh-CN"/>
        </w:rPr>
        <w:t>结果为</w:t>
      </w:r>
      <w:r>
        <w:rPr>
          <w:rFonts w:hint="eastAsia" w:ascii="宋体" w:hAnsi="宋体" w:eastAsia="宋体" w:cs="宋体"/>
          <w:b w:val="0"/>
          <w:bCs w:val="0"/>
          <w:color w:val="auto"/>
          <w:sz w:val="24"/>
          <w:szCs w:val="24"/>
          <w:highlight w:val="none"/>
          <w:lang w:val="zh-TW"/>
        </w:rPr>
        <w:t>不合格，则视为中标供应商交付货物未通过采购人组织的抽样送检。</w:t>
      </w:r>
    </w:p>
    <w:p w14:paraId="609C97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中标供应商交付货物未通过采购人组织的抽样送检</w:t>
      </w:r>
      <w:r>
        <w:rPr>
          <w:rFonts w:hint="eastAsia" w:ascii="宋体" w:hAnsi="宋体" w:eastAsia="宋体" w:cs="宋体"/>
          <w:b w:val="0"/>
          <w:bCs w:val="0"/>
          <w:color w:val="auto"/>
          <w:sz w:val="24"/>
          <w:szCs w:val="24"/>
          <w:highlight w:val="none"/>
          <w:lang w:val="en-US" w:eastAsia="zh-CN"/>
        </w:rPr>
        <w:t>时</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采购人有权要求中标供应商无条件更换货物。采购人收到更换货物后，</w:t>
      </w:r>
      <w:r>
        <w:rPr>
          <w:rFonts w:hint="eastAsia" w:ascii="宋体" w:hAnsi="宋体" w:eastAsia="宋体" w:cs="宋体"/>
          <w:b w:val="0"/>
          <w:bCs w:val="0"/>
          <w:color w:val="auto"/>
          <w:sz w:val="24"/>
          <w:szCs w:val="24"/>
          <w:highlight w:val="none"/>
          <w:lang w:val="en-US" w:eastAsia="zh-CN"/>
        </w:rPr>
        <w:t>原则上须</w:t>
      </w:r>
      <w:r>
        <w:rPr>
          <w:rFonts w:hint="eastAsia" w:ascii="宋体" w:hAnsi="宋体" w:eastAsia="宋体" w:cs="宋体"/>
          <w:b w:val="0"/>
          <w:bCs w:val="0"/>
          <w:color w:val="auto"/>
          <w:sz w:val="24"/>
          <w:szCs w:val="24"/>
          <w:highlight w:val="none"/>
          <w:lang w:val="zh-TW"/>
        </w:rPr>
        <w:t>向中标供应商退还不合格产品</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但</w:t>
      </w:r>
      <w:r>
        <w:rPr>
          <w:rFonts w:hint="eastAsia" w:ascii="宋体" w:hAnsi="宋体" w:eastAsia="宋体" w:cs="宋体"/>
          <w:b w:val="0"/>
          <w:bCs w:val="0"/>
          <w:color w:val="auto"/>
          <w:sz w:val="24"/>
          <w:szCs w:val="24"/>
          <w:highlight w:val="none"/>
          <w:lang w:val="zh-TW"/>
        </w:rPr>
        <w:t>如货物已使用，采购人</w:t>
      </w:r>
      <w:r>
        <w:rPr>
          <w:rFonts w:hint="eastAsia" w:ascii="宋体" w:hAnsi="宋体" w:eastAsia="宋体" w:cs="宋体"/>
          <w:b w:val="0"/>
          <w:bCs w:val="0"/>
          <w:color w:val="auto"/>
          <w:sz w:val="24"/>
          <w:szCs w:val="24"/>
          <w:highlight w:val="none"/>
          <w:lang w:val="en-US" w:eastAsia="zh-CN"/>
        </w:rPr>
        <w:t>有权自行对不合格产品进行处理，且</w:t>
      </w:r>
      <w:r>
        <w:rPr>
          <w:rFonts w:hint="eastAsia" w:ascii="宋体" w:hAnsi="宋体" w:eastAsia="宋体" w:cs="宋体"/>
          <w:b w:val="0"/>
          <w:bCs w:val="0"/>
          <w:color w:val="auto"/>
          <w:sz w:val="24"/>
          <w:szCs w:val="24"/>
          <w:highlight w:val="none"/>
          <w:lang w:val="zh-TW"/>
        </w:rPr>
        <w:t>无需</w:t>
      </w:r>
      <w:r>
        <w:rPr>
          <w:rFonts w:hint="eastAsia" w:ascii="宋体" w:hAnsi="宋体" w:eastAsia="宋体" w:cs="宋体"/>
          <w:b w:val="0"/>
          <w:bCs w:val="0"/>
          <w:color w:val="auto"/>
          <w:sz w:val="24"/>
          <w:szCs w:val="24"/>
          <w:highlight w:val="none"/>
          <w:lang w:val="en-US" w:eastAsia="zh-CN"/>
        </w:rPr>
        <w:t>针对不合格产品</w:t>
      </w:r>
      <w:r>
        <w:rPr>
          <w:rFonts w:hint="eastAsia" w:ascii="宋体" w:hAnsi="宋体" w:eastAsia="宋体" w:cs="宋体"/>
          <w:b w:val="0"/>
          <w:bCs w:val="0"/>
          <w:color w:val="auto"/>
          <w:sz w:val="24"/>
          <w:szCs w:val="24"/>
          <w:highlight w:val="none"/>
          <w:lang w:val="zh-TW"/>
        </w:rPr>
        <w:t>向中标供应商支付任何费用。如中标供应商拒不配合更换，则</w:t>
      </w:r>
      <w:r>
        <w:rPr>
          <w:rFonts w:hint="eastAsia" w:ascii="宋体" w:hAnsi="宋体" w:eastAsia="宋体" w:cs="宋体"/>
          <w:b w:val="0"/>
          <w:bCs w:val="0"/>
          <w:color w:val="auto"/>
          <w:sz w:val="24"/>
          <w:szCs w:val="24"/>
          <w:highlight w:val="none"/>
          <w:lang w:val="zh-TW" w:eastAsia="zh-CN"/>
        </w:rPr>
        <w:t>视为供应商交付的货物不符合合同规定，</w:t>
      </w:r>
      <w:r>
        <w:rPr>
          <w:rFonts w:hint="eastAsia" w:ascii="宋体" w:hAnsi="宋体" w:eastAsia="宋体" w:cs="宋体"/>
          <w:b w:val="0"/>
          <w:bCs w:val="0"/>
          <w:color w:val="auto"/>
          <w:sz w:val="24"/>
          <w:szCs w:val="24"/>
          <w:highlight w:val="none"/>
          <w:lang w:val="zh-TW"/>
        </w:rPr>
        <w:t>采购人有权</w:t>
      </w:r>
      <w:r>
        <w:rPr>
          <w:rFonts w:hint="eastAsia" w:ascii="宋体" w:hAnsi="宋体" w:eastAsia="宋体" w:cs="宋体"/>
          <w:b w:val="0"/>
          <w:bCs w:val="0"/>
          <w:color w:val="auto"/>
          <w:sz w:val="24"/>
          <w:szCs w:val="24"/>
          <w:highlight w:val="none"/>
          <w:lang w:val="zh-TW" w:eastAsia="zh-CN"/>
        </w:rPr>
        <w:t>按照双方签订的合同要求中标供应商承担违约责任</w:t>
      </w:r>
      <w:r>
        <w:rPr>
          <w:rFonts w:hint="eastAsia" w:ascii="宋体" w:hAnsi="宋体" w:eastAsia="宋体" w:cs="宋体"/>
          <w:b w:val="0"/>
          <w:bCs w:val="0"/>
          <w:color w:val="auto"/>
          <w:sz w:val="24"/>
          <w:szCs w:val="24"/>
          <w:highlight w:val="none"/>
          <w:lang w:val="zh-TW"/>
        </w:rPr>
        <w:t xml:space="preserve">。 </w:t>
      </w:r>
    </w:p>
    <w:p w14:paraId="53B9C6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抽样检查合格，则相关检测费用由采购人支付。抽样检查不合格，则相</w:t>
      </w:r>
      <w:r>
        <w:rPr>
          <w:rFonts w:hint="eastAsia" w:ascii="宋体" w:hAnsi="宋体" w:eastAsia="宋体" w:cs="宋体"/>
          <w:b w:val="0"/>
          <w:bCs w:val="0"/>
          <w:color w:val="auto"/>
          <w:sz w:val="24"/>
          <w:szCs w:val="24"/>
          <w:highlight w:val="none"/>
          <w:lang w:val="en-US" w:eastAsia="zh-CN"/>
        </w:rPr>
        <w:t>关</w:t>
      </w:r>
      <w:r>
        <w:rPr>
          <w:rFonts w:hint="eastAsia" w:ascii="宋体" w:hAnsi="宋体" w:eastAsia="宋体" w:cs="宋体"/>
          <w:b w:val="0"/>
          <w:bCs w:val="0"/>
          <w:color w:val="auto"/>
          <w:sz w:val="24"/>
          <w:szCs w:val="24"/>
          <w:highlight w:val="none"/>
          <w:lang w:val="zh-TW"/>
        </w:rPr>
        <w:t>检测费用由中标供应商支付。</w:t>
      </w:r>
    </w:p>
    <w:p w14:paraId="51EAC7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4.2中标供应商应对提供的货物作全面自查和整理，并列出清单，作为采购人验收和使用的技术条件依据，清单应随提供的验收资料一并递交。</w:t>
      </w:r>
    </w:p>
    <w:p w14:paraId="3BF6DA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4.3中标供应商提供的货物应包括本合同规定的全部货物及其附（辅）件、资料</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具体附（辅）件及资料包含</w:t>
      </w:r>
      <w:r>
        <w:rPr>
          <w:rFonts w:hint="eastAsia" w:ascii="宋体" w:hAnsi="宋体" w:eastAsia="宋体" w:cs="宋体"/>
          <w:b w:val="0"/>
          <w:bCs w:val="0"/>
          <w:color w:val="auto"/>
          <w:sz w:val="24"/>
          <w:szCs w:val="24"/>
          <w:highlight w:val="none"/>
          <w:lang w:val="zh-TW"/>
        </w:rPr>
        <w:t>产品彩色图片</w:t>
      </w:r>
      <w:r>
        <w:rPr>
          <w:rFonts w:hint="eastAsia" w:ascii="宋体" w:hAnsi="宋体" w:eastAsia="宋体" w:cs="宋体"/>
          <w:b w:val="0"/>
          <w:bCs w:val="0"/>
          <w:color w:val="auto"/>
          <w:sz w:val="24"/>
          <w:szCs w:val="24"/>
          <w:highlight w:val="none"/>
          <w:lang w:val="en-US" w:eastAsia="zh-CN"/>
        </w:rPr>
        <w:t>PDF</w:t>
      </w:r>
      <w:r>
        <w:rPr>
          <w:rFonts w:hint="eastAsia" w:ascii="宋体" w:hAnsi="宋体" w:eastAsia="宋体" w:cs="宋体"/>
          <w:b w:val="0"/>
          <w:bCs w:val="0"/>
          <w:color w:val="auto"/>
          <w:sz w:val="24"/>
          <w:szCs w:val="24"/>
          <w:highlight w:val="none"/>
          <w:lang w:val="zh-TW"/>
        </w:rPr>
        <w:t>、产品说明书</w:t>
      </w:r>
      <w:r>
        <w:rPr>
          <w:rFonts w:hint="eastAsia" w:ascii="宋体" w:hAnsi="宋体" w:eastAsia="宋体" w:cs="宋体"/>
          <w:b w:val="0"/>
          <w:bCs w:val="0"/>
          <w:color w:val="auto"/>
          <w:sz w:val="24"/>
          <w:szCs w:val="24"/>
          <w:highlight w:val="none"/>
          <w:lang w:val="en-US" w:eastAsia="zh-CN"/>
        </w:rPr>
        <w:t>(操作手册)PDF</w:t>
      </w:r>
      <w:r>
        <w:rPr>
          <w:rFonts w:hint="eastAsia" w:ascii="宋体" w:hAnsi="宋体" w:eastAsia="宋体" w:cs="宋体"/>
          <w:b w:val="0"/>
          <w:bCs w:val="0"/>
          <w:color w:val="auto"/>
          <w:sz w:val="24"/>
          <w:szCs w:val="24"/>
          <w:highlight w:val="none"/>
          <w:lang w:val="zh-TW"/>
        </w:rPr>
        <w:t>、检测报告及3C认证</w:t>
      </w:r>
      <w:r>
        <w:rPr>
          <w:rFonts w:hint="eastAsia" w:ascii="宋体" w:hAnsi="宋体" w:eastAsia="宋体" w:cs="宋体"/>
          <w:b w:val="0"/>
          <w:bCs w:val="0"/>
          <w:color w:val="auto"/>
          <w:sz w:val="24"/>
          <w:szCs w:val="24"/>
          <w:highlight w:val="none"/>
          <w:lang w:val="en-US" w:eastAsia="zh-CN"/>
        </w:rPr>
        <w:t>PDF</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如涉及</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PDF发送至采购人指定邮箱</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w:t>
      </w:r>
    </w:p>
    <w:p w14:paraId="41EBA4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4.4采购人在到货后的15个工作日内统一组织验收，如采购人确有原因无法如期组织验收的，应该在货物验收期满前通知中标供应商并告知原因，双方另行协商验收时间。</w:t>
      </w:r>
    </w:p>
    <w:p w14:paraId="6E6AD1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货物验收时，验收双方必须同时在场，严格按照政府采购相关法律法规的要求，通过中标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提供的货物、文件、检测报告等，逐项对比采购文件、投标文件、采购合同，确认是否完全满足各项要求。中标供应商所交付的货物不符合规定的，采购人有权拒收，并做出详尽的现场记录或在验收清单上注明具体验收情况，由双方签字确认，此现场记录或验收清单可用作补充缺失货物、更换损坏货物的有效证据。中标供应商应按采购文件、投标文件、采购合同规定和采购人要求免费对拒收货物采取更换或其他必要的补救措施，直至验收合格，方视为中标供应商按本合同规定完成交货，由此产生的时间延误与费用由中标供应商承担，验收期相应顺延。</w:t>
      </w:r>
    </w:p>
    <w:p w14:paraId="136B8F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4.5验收合格的，由双方共同签署《履约验收登记表》。 </w:t>
      </w:r>
    </w:p>
    <w:p w14:paraId="1E542F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4.6采购人可以视项目规模或复杂情况聘请专业人员参与验收，大型或复杂项目，以及特种货物应当邀请国家认可的第三方质量检测机构参与验收。</w:t>
      </w:r>
    </w:p>
    <w:p w14:paraId="0A3335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4.7货物验收包括：货物包装是否完好，产地生产厂家名称、品牌、型号、规格、数量、外观质量、配置、内在质量，以及调试运行是否达到本合同规定的效果。中标供应商应将所提供货物的装箱清单、产品合格证、用户使用手册、原厂保修卡、随机资料及备品备件、易损件、专用工具等交付给采购人；中标供应商不能完整交付货物、附（辅）件和资料的，视为未按合同约定交货，中标供应商负责补齐，因此导致逾期交付的，由中标供应商承担相应的违约责任。 </w:t>
      </w:r>
    </w:p>
    <w:p w14:paraId="35A9D6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4.8本项目所涉产品的知识产权及所有权等合法权益的，中标供应商在交货时应保证完整无瑕疵，采购人验收合格后产品的知识产权及所有权等合法权益全部归属</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，如果采购人收货后发生知识产权或所有权等相关争议，由中标供应商承担责任的，则按照</w:t>
      </w:r>
      <w:r>
        <w:rPr>
          <w:rFonts w:hint="eastAsia" w:ascii="宋体" w:hAnsi="宋体" w:eastAsia="宋体" w:cs="宋体"/>
          <w:b w:val="0"/>
          <w:bCs w:val="0"/>
          <w:color w:val="auto"/>
          <w:sz w:val="24"/>
          <w:szCs w:val="24"/>
          <w:highlight w:val="none"/>
          <w:lang w:val="en-US" w:eastAsia="zh-CN"/>
        </w:rPr>
        <w:t>本项目政府采购合同中</w:t>
      </w:r>
      <w:r>
        <w:rPr>
          <w:rFonts w:hint="eastAsia" w:ascii="宋体" w:hAnsi="宋体" w:eastAsia="宋体" w:cs="宋体"/>
          <w:b w:val="0"/>
          <w:bCs w:val="0"/>
          <w:color w:val="auto"/>
          <w:sz w:val="24"/>
          <w:szCs w:val="24"/>
          <w:highlight w:val="none"/>
          <w:lang w:val="zh-TW"/>
        </w:rPr>
        <w:t>违约责任的相关规定执行。</w:t>
      </w:r>
    </w:p>
    <w:p w14:paraId="16FE12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4.9验收方法：单位内部验收。</w:t>
      </w:r>
    </w:p>
    <w:p w14:paraId="43436C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4.10验收标准：根据财政部发布的《关于进一步加强政府采购需求和履约验收管理的指导意见》（财库[2016]205号）的要求，按照本项目招标文件、中标人的投标文件、本项目政府采购合同约定进行验收。</w:t>
      </w:r>
    </w:p>
    <w:p w14:paraId="2BF29F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4.1</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 xml:space="preserve"> 货物毁损、灭失的风险，自验收合格后由</w:t>
      </w:r>
      <w:r>
        <w:rPr>
          <w:rFonts w:hint="eastAsia" w:ascii="宋体" w:hAnsi="宋体" w:eastAsia="宋体" w:cs="宋体"/>
          <w:b w:val="0"/>
          <w:bCs w:val="0"/>
          <w:color w:val="auto"/>
          <w:sz w:val="24"/>
          <w:szCs w:val="24"/>
          <w:highlight w:val="none"/>
          <w:lang w:val="en-US" w:eastAsia="zh-CN"/>
        </w:rPr>
        <w:t>中标</w:t>
      </w:r>
      <w:r>
        <w:rPr>
          <w:rFonts w:hint="eastAsia" w:ascii="宋体" w:hAnsi="宋体" w:eastAsia="宋体" w:cs="宋体"/>
          <w:b w:val="0"/>
          <w:bCs w:val="0"/>
          <w:color w:val="auto"/>
          <w:sz w:val="24"/>
          <w:szCs w:val="24"/>
          <w:highlight w:val="none"/>
          <w:lang w:val="zh-TW"/>
        </w:rPr>
        <w:t>供应商转为采购人承担。</w:t>
      </w:r>
    </w:p>
    <w:p w14:paraId="704928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5、售后服务：</w:t>
      </w:r>
    </w:p>
    <w:p w14:paraId="75D99E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5.1质量保证期为自货物验收合格之日起【</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rPr>
        <w:t>】年，若国家有明确规定的质量保证期、供应商承诺的质量保证期高于此质量保证期的，执行国家规定或供应商承诺的质量保证期</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以最长的期限计算质量保证期</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w:t>
      </w:r>
    </w:p>
    <w:p w14:paraId="125369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5.2 中标供应商应对由于设计、工艺、质量（含环保节能要求）、材料等缺陷而发生的任何不足或故障负责，并解决存在的问题。</w:t>
      </w:r>
    </w:p>
    <w:p w14:paraId="3924C9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5.3 中标供应商应对不符合本项目规定要求的货物在【2】日内进行调换，调换本身并不影响</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就其损失向中标供应商索赔的权利。</w:t>
      </w:r>
    </w:p>
    <w:p w14:paraId="5CF644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5.4 货物验收合格后，中标供应商应继续向</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提供良好的技术支持，应当由专门队伍从事此项工作，并提供【7*24】小时的热线技术支持服务，应当在收到</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所反映的任何问题后【2】小时之内做出及时响应，同时【24】小时之内赶到现场实地解决问题，并在赶到现场后【5】小时内完成维修或更换，同时承担维修调换所引起的费用。</w:t>
      </w:r>
    </w:p>
    <w:p w14:paraId="298095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5.5 若问题、故障在检修5个小时后仍无法解决，中标供应商应在24小时内</w:t>
      </w:r>
      <w:r>
        <w:rPr>
          <w:rFonts w:hint="eastAsia" w:ascii="宋体" w:hAnsi="宋体" w:eastAsia="宋体" w:cs="宋体"/>
          <w:b w:val="0"/>
          <w:bCs w:val="0"/>
          <w:color w:val="auto"/>
          <w:sz w:val="24"/>
          <w:szCs w:val="24"/>
          <w:highlight w:val="none"/>
          <w:lang w:val="en-US" w:eastAsia="zh-CN"/>
        </w:rPr>
        <w:t>提供备件并</w:t>
      </w:r>
      <w:r>
        <w:rPr>
          <w:rFonts w:hint="eastAsia" w:ascii="宋体" w:hAnsi="宋体" w:eastAsia="宋体" w:cs="宋体"/>
          <w:b w:val="0"/>
          <w:bCs w:val="0"/>
          <w:color w:val="auto"/>
          <w:sz w:val="24"/>
          <w:szCs w:val="24"/>
          <w:highlight w:val="none"/>
          <w:lang w:val="zh-TW"/>
        </w:rPr>
        <w:t>完成更换。</w:t>
      </w:r>
    </w:p>
    <w:p w14:paraId="18C418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5.6</w:t>
      </w:r>
      <w:r>
        <w:rPr>
          <w:rFonts w:hint="eastAsia" w:ascii="宋体" w:hAnsi="宋体" w:eastAsia="宋体" w:cs="宋体"/>
          <w:b w:val="0"/>
          <w:bCs w:val="0"/>
          <w:color w:val="auto"/>
          <w:sz w:val="24"/>
          <w:szCs w:val="24"/>
          <w:highlight w:val="none"/>
          <w:lang w:val="en-US" w:eastAsia="zh-CN"/>
        </w:rPr>
        <w:t>因货物质量问题</w:t>
      </w:r>
      <w:r>
        <w:rPr>
          <w:rFonts w:hint="eastAsia" w:ascii="宋体" w:hAnsi="宋体" w:eastAsia="宋体" w:cs="宋体"/>
          <w:b w:val="0"/>
          <w:bCs w:val="0"/>
          <w:color w:val="auto"/>
          <w:sz w:val="24"/>
          <w:szCs w:val="24"/>
          <w:highlight w:val="none"/>
          <w:lang w:val="zh-TW"/>
        </w:rPr>
        <w:t>导致</w:t>
      </w:r>
      <w:r>
        <w:rPr>
          <w:rFonts w:hint="eastAsia" w:ascii="宋体" w:hAnsi="宋体" w:eastAsia="宋体" w:cs="宋体"/>
          <w:b w:val="0"/>
          <w:bCs w:val="0"/>
          <w:color w:val="auto"/>
          <w:sz w:val="24"/>
          <w:szCs w:val="24"/>
          <w:highlight w:val="none"/>
          <w:lang w:val="zh-TW" w:eastAsia="zh-CN"/>
        </w:rPr>
        <w:t>采购人或第三方</w:t>
      </w:r>
      <w:r>
        <w:rPr>
          <w:rFonts w:hint="eastAsia" w:ascii="宋体" w:hAnsi="宋体" w:eastAsia="宋体" w:cs="宋体"/>
          <w:b w:val="0"/>
          <w:bCs w:val="0"/>
          <w:color w:val="auto"/>
          <w:sz w:val="24"/>
          <w:szCs w:val="24"/>
          <w:highlight w:val="none"/>
          <w:lang w:val="zh-TW"/>
        </w:rPr>
        <w:t>人身或财产损害</w:t>
      </w:r>
      <w:r>
        <w:rPr>
          <w:rFonts w:hint="eastAsia" w:ascii="宋体" w:hAnsi="宋体" w:eastAsia="宋体" w:cs="宋体"/>
          <w:b w:val="0"/>
          <w:bCs w:val="0"/>
          <w:color w:val="auto"/>
          <w:sz w:val="24"/>
          <w:szCs w:val="24"/>
          <w:highlight w:val="none"/>
          <w:lang w:val="en-US" w:eastAsia="zh-CN"/>
        </w:rPr>
        <w:t>时</w:t>
      </w:r>
      <w:r>
        <w:rPr>
          <w:rFonts w:hint="eastAsia" w:ascii="宋体" w:hAnsi="宋体" w:eastAsia="宋体" w:cs="宋体"/>
          <w:b w:val="0"/>
          <w:bCs w:val="0"/>
          <w:color w:val="auto"/>
          <w:sz w:val="24"/>
          <w:szCs w:val="24"/>
          <w:highlight w:val="none"/>
          <w:lang w:val="zh-TW"/>
        </w:rPr>
        <w:t>，中标供应商应全额赔偿</w:t>
      </w:r>
      <w:r>
        <w:rPr>
          <w:rFonts w:hint="eastAsia" w:ascii="宋体" w:hAnsi="宋体" w:eastAsia="宋体" w:cs="宋体"/>
          <w:b w:val="0"/>
          <w:bCs w:val="0"/>
          <w:color w:val="auto"/>
          <w:sz w:val="24"/>
          <w:szCs w:val="24"/>
          <w:highlight w:val="none"/>
          <w:lang w:val="zh-TW" w:eastAsia="zh-CN"/>
        </w:rPr>
        <w:t>且承担由此产生的一切责任</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en-US" w:eastAsia="zh-CN"/>
        </w:rPr>
        <w:t>有权</w:t>
      </w:r>
      <w:r>
        <w:rPr>
          <w:rFonts w:hint="eastAsia" w:ascii="宋体" w:hAnsi="宋体" w:eastAsia="宋体" w:cs="宋体"/>
          <w:b w:val="0"/>
          <w:bCs w:val="0"/>
          <w:color w:val="auto"/>
          <w:sz w:val="24"/>
          <w:szCs w:val="24"/>
          <w:highlight w:val="none"/>
          <w:lang w:val="zh-TW"/>
        </w:rPr>
        <w:t>根据人身或财产损害的情形，就中标供应商未提供质量合格货物的违法/犯罪行为向有管辖权的行政机关/司法机关进行移送。</w:t>
      </w:r>
    </w:p>
    <w:p w14:paraId="1494C5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zh-TW"/>
        </w:rPr>
        <w:t>违约责任</w:t>
      </w:r>
    </w:p>
    <w:p w14:paraId="29134E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违约责任：</w:t>
      </w:r>
    </w:p>
    <w:p w14:paraId="4872D0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无正当理由拒收货物、拒付货款的，</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应向中标供应商偿付拒收或拒付</w:t>
      </w:r>
      <w:r>
        <w:rPr>
          <w:rFonts w:hint="eastAsia" w:ascii="宋体" w:hAnsi="宋体" w:eastAsia="宋体" w:cs="宋体"/>
          <w:b w:val="0"/>
          <w:bCs w:val="0"/>
          <w:color w:val="auto"/>
          <w:sz w:val="24"/>
          <w:szCs w:val="24"/>
          <w:highlight w:val="none"/>
          <w:lang w:val="en-US" w:eastAsia="zh-CN"/>
        </w:rPr>
        <w:t>其</w:t>
      </w:r>
      <w:r>
        <w:rPr>
          <w:rFonts w:hint="eastAsia" w:ascii="宋体" w:hAnsi="宋体" w:eastAsia="宋体" w:cs="宋体"/>
          <w:b w:val="0"/>
          <w:bCs w:val="0"/>
          <w:color w:val="auto"/>
          <w:sz w:val="24"/>
          <w:szCs w:val="24"/>
          <w:highlight w:val="none"/>
          <w:lang w:val="zh-TW"/>
        </w:rPr>
        <w:t>货款1％的违约金。</w:t>
      </w:r>
    </w:p>
    <w:p w14:paraId="42A285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（2）</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无正当理由未按合同规定的期限向中标供应商支付货款的，每逾期1日，</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向中标供应商偿付</w:t>
      </w:r>
      <w:r>
        <w:rPr>
          <w:rFonts w:hint="eastAsia" w:ascii="宋体" w:hAnsi="宋体" w:eastAsia="宋体" w:cs="宋体"/>
          <w:b w:val="0"/>
          <w:bCs w:val="0"/>
          <w:color w:val="auto"/>
          <w:sz w:val="24"/>
          <w:szCs w:val="24"/>
          <w:highlight w:val="none"/>
          <w:lang w:val="en-US" w:eastAsia="zh-CN"/>
        </w:rPr>
        <w:t>其</w:t>
      </w:r>
      <w:r>
        <w:rPr>
          <w:rFonts w:hint="eastAsia" w:ascii="宋体" w:hAnsi="宋体" w:eastAsia="宋体" w:cs="宋体"/>
          <w:b w:val="0"/>
          <w:bCs w:val="0"/>
          <w:color w:val="auto"/>
          <w:sz w:val="24"/>
          <w:szCs w:val="24"/>
          <w:highlight w:val="none"/>
          <w:lang w:val="zh-TW"/>
        </w:rPr>
        <w:t>应付而未付款总额0.1‰的违约金，但累计违约金总额不超过应付而未付款总额的1％。若因财政年终决算关账、财政资金收回或财政资金未下达等客观原因导致</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未按合同约定支付相应款项的，不视为违约，不承担任何违约责任。</w:t>
      </w:r>
    </w:p>
    <w:p w14:paraId="042BE1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偿付的违约金不足以弥补中标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损失的，还应按中标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损失尚未弥补的部分，支付赔偿金给中标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w:t>
      </w:r>
    </w:p>
    <w:p w14:paraId="1891CF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zh-TW"/>
        </w:rPr>
        <w:t>.2中标供应商违约责任：</w:t>
      </w:r>
    </w:p>
    <w:p w14:paraId="0248AC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中标供应商无正当理由逾期交付货物的，每逾期1日，中标供应商向采购人偿付逾期交货部分货款总金额3%的违约金。如中标供应商逾期交货达10日，采购人有权解除合同，采购人解除合同的通知自到达中标供应商时生效。在此情况下，中标供应商给采购人造成的实际损失高于违约金的，对高出违约金的部分中标供应商应予以赔偿。</w:t>
      </w:r>
    </w:p>
    <w:p w14:paraId="68D1F8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yellow"/>
          <w:lang w:val="zh-TW"/>
        </w:rPr>
      </w:pPr>
      <w:r>
        <w:rPr>
          <w:rFonts w:hint="eastAsia" w:ascii="宋体" w:hAnsi="宋体" w:eastAsia="宋体" w:cs="宋体"/>
          <w:b w:val="0"/>
          <w:bCs w:val="0"/>
          <w:color w:val="auto"/>
          <w:sz w:val="24"/>
          <w:szCs w:val="24"/>
          <w:highlight w:val="none"/>
          <w:lang w:val="zh-TW" w:eastAsia="zh-CN"/>
        </w:rPr>
        <w:t>（2）</w:t>
      </w:r>
      <w:r>
        <w:rPr>
          <w:rFonts w:hint="eastAsia" w:ascii="宋体" w:hAnsi="宋体" w:eastAsia="宋体" w:cs="宋体"/>
          <w:b w:val="0"/>
          <w:bCs w:val="0"/>
          <w:color w:val="auto"/>
          <w:sz w:val="24"/>
          <w:szCs w:val="24"/>
          <w:highlight w:val="none"/>
          <w:lang w:val="en-US" w:eastAsia="zh-CN"/>
        </w:rPr>
        <w:t>除另有约定外，</w:t>
      </w:r>
      <w:r>
        <w:rPr>
          <w:rFonts w:hint="eastAsia" w:ascii="宋体" w:hAnsi="宋体" w:eastAsia="宋体" w:cs="宋体"/>
          <w:b w:val="0"/>
          <w:bCs w:val="0"/>
          <w:color w:val="auto"/>
          <w:sz w:val="24"/>
          <w:szCs w:val="24"/>
          <w:highlight w:val="none"/>
          <w:lang w:val="zh-TW"/>
        </w:rPr>
        <w:t>中标供应商所交付的货物不符合本合同规定的</w:t>
      </w:r>
      <w:r>
        <w:rPr>
          <w:rFonts w:hint="eastAsia" w:ascii="宋体" w:hAnsi="宋体" w:eastAsia="宋体" w:cs="宋体"/>
          <w:b w:val="0"/>
          <w:bCs w:val="0"/>
          <w:color w:val="auto"/>
          <w:sz w:val="24"/>
          <w:szCs w:val="24"/>
          <w:highlight w:val="none"/>
          <w:lang w:val="zh-TW" w:eastAsia="zh-CN"/>
        </w:rPr>
        <w:t>，则采购人有权</w:t>
      </w:r>
      <w:r>
        <w:rPr>
          <w:rFonts w:hint="eastAsia" w:ascii="宋体" w:hAnsi="宋体" w:eastAsia="宋体" w:cs="宋体"/>
          <w:b w:val="0"/>
          <w:bCs w:val="0"/>
          <w:color w:val="auto"/>
          <w:sz w:val="24"/>
          <w:szCs w:val="24"/>
          <w:highlight w:val="none"/>
          <w:lang w:val="en-US" w:eastAsia="zh-CN"/>
        </w:rPr>
        <w:t>拒收并</w:t>
      </w:r>
      <w:r>
        <w:rPr>
          <w:rFonts w:hint="eastAsia" w:ascii="宋体" w:hAnsi="宋体" w:eastAsia="宋体" w:cs="宋体"/>
          <w:b w:val="0"/>
          <w:bCs w:val="0"/>
          <w:color w:val="auto"/>
          <w:sz w:val="24"/>
          <w:szCs w:val="24"/>
          <w:highlight w:val="none"/>
          <w:lang w:val="zh-TW" w:eastAsia="zh-CN"/>
        </w:rPr>
        <w:t>向中标供应商收取合同总金额10％的违约金，</w:t>
      </w:r>
      <w:r>
        <w:rPr>
          <w:rFonts w:hint="eastAsia" w:ascii="宋体" w:hAnsi="宋体" w:eastAsia="宋体" w:cs="宋体"/>
          <w:b w:val="0"/>
          <w:bCs w:val="0"/>
          <w:color w:val="auto"/>
          <w:sz w:val="24"/>
          <w:szCs w:val="24"/>
          <w:highlight w:val="none"/>
          <w:lang w:val="en-US" w:eastAsia="zh-CN"/>
        </w:rPr>
        <w:t>且</w:t>
      </w:r>
      <w:r>
        <w:rPr>
          <w:rFonts w:hint="eastAsia" w:ascii="宋体" w:hAnsi="宋体" w:eastAsia="宋体" w:cs="宋体"/>
          <w:b w:val="0"/>
          <w:bCs w:val="0"/>
          <w:color w:val="auto"/>
          <w:sz w:val="24"/>
          <w:szCs w:val="24"/>
          <w:highlight w:val="none"/>
          <w:lang w:val="zh-TW" w:eastAsia="zh-CN"/>
        </w:rPr>
        <w:t>中标供应商应向采购人退还相应款项及利息，同时采购人有权向市场监督管理等行政部门反映，由相关行政部门对其违法行为进行查处。</w:t>
      </w:r>
    </w:p>
    <w:p w14:paraId="0754E9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同时</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采购人有权选择</w:t>
      </w:r>
      <w:r>
        <w:rPr>
          <w:rFonts w:hint="eastAsia" w:ascii="宋体" w:hAnsi="宋体" w:eastAsia="宋体" w:cs="宋体"/>
          <w:b w:val="0"/>
          <w:bCs w:val="0"/>
          <w:color w:val="auto"/>
          <w:sz w:val="24"/>
          <w:szCs w:val="24"/>
          <w:highlight w:val="none"/>
          <w:lang w:val="zh-TW"/>
        </w:rPr>
        <w:t>以下任一方式</w:t>
      </w:r>
      <w:r>
        <w:rPr>
          <w:rFonts w:hint="eastAsia" w:ascii="宋体" w:hAnsi="宋体" w:eastAsia="宋体" w:cs="宋体"/>
          <w:b w:val="0"/>
          <w:bCs w:val="0"/>
          <w:color w:val="auto"/>
          <w:sz w:val="24"/>
          <w:szCs w:val="24"/>
          <w:highlight w:val="none"/>
          <w:lang w:val="en-US" w:eastAsia="zh-CN"/>
        </w:rPr>
        <w:t>继续</w:t>
      </w:r>
      <w:r>
        <w:rPr>
          <w:rFonts w:hint="eastAsia" w:ascii="宋体" w:hAnsi="宋体" w:eastAsia="宋体" w:cs="宋体"/>
          <w:b w:val="0"/>
          <w:bCs w:val="0"/>
          <w:color w:val="auto"/>
          <w:sz w:val="24"/>
          <w:szCs w:val="24"/>
          <w:highlight w:val="none"/>
          <w:lang w:val="zh-TW"/>
        </w:rPr>
        <w:t>处理：</w:t>
      </w:r>
    </w:p>
    <w:p w14:paraId="465F40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① 中标供应商应</w:t>
      </w:r>
      <w:r>
        <w:rPr>
          <w:rFonts w:hint="eastAsia" w:ascii="宋体" w:hAnsi="宋体" w:eastAsia="宋体" w:cs="宋体"/>
          <w:b w:val="0"/>
          <w:bCs w:val="0"/>
          <w:color w:val="auto"/>
          <w:sz w:val="24"/>
          <w:szCs w:val="24"/>
          <w:highlight w:val="none"/>
          <w:lang w:val="en-US" w:eastAsia="zh-CN"/>
        </w:rPr>
        <w:t>在采购人要求的期限内</w:t>
      </w:r>
      <w:r>
        <w:rPr>
          <w:rFonts w:hint="eastAsia" w:ascii="宋体" w:hAnsi="宋体" w:eastAsia="宋体" w:cs="宋体"/>
          <w:b w:val="0"/>
          <w:bCs w:val="0"/>
          <w:color w:val="auto"/>
          <w:sz w:val="24"/>
          <w:szCs w:val="24"/>
          <w:highlight w:val="none"/>
          <w:lang w:val="zh-TW"/>
        </w:rPr>
        <w:t>重新完成货物交付，若未在前述期限内完成交付，则采购人有权向供应商另行收取对应货物金额</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rPr>
        <w:t>%的违约金并解除合同。</w:t>
      </w:r>
    </w:p>
    <w:p w14:paraId="2AEA95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② 直接解除合同。</w:t>
      </w:r>
    </w:p>
    <w:p w14:paraId="0DF1F6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w:t>
      </w:r>
      <w:r>
        <w:rPr>
          <w:rFonts w:hint="eastAsia" w:ascii="宋体" w:hAnsi="宋体" w:eastAsia="宋体" w:cs="宋体"/>
          <w:b w:val="0"/>
          <w:bCs w:val="0"/>
          <w:color w:val="auto"/>
          <w:sz w:val="24"/>
          <w:szCs w:val="24"/>
          <w:highlight w:val="none"/>
          <w:lang w:val="en-US" w:eastAsia="zh-CN"/>
        </w:rPr>
        <w:t>除另有约定外，</w:t>
      </w:r>
      <w:r>
        <w:rPr>
          <w:rFonts w:hint="eastAsia" w:ascii="宋体" w:hAnsi="宋体" w:eastAsia="宋体" w:cs="宋体"/>
          <w:b w:val="0"/>
          <w:bCs w:val="0"/>
          <w:color w:val="auto"/>
          <w:sz w:val="24"/>
          <w:szCs w:val="24"/>
          <w:highlight w:val="none"/>
          <w:lang w:val="zh-TW"/>
        </w:rPr>
        <w:t>中标供应商未按照《投标文件》承诺和本合同约定提供服务的，每出现一次违约，中标供应商应按合同总金额的1%向采购人支付违约金，并按照采购人要求限期整改。未按采购人要求整改</w:t>
      </w:r>
      <w:r>
        <w:rPr>
          <w:rFonts w:hint="eastAsia" w:ascii="宋体" w:hAnsi="宋体" w:eastAsia="宋体" w:cs="宋体"/>
          <w:b w:val="0"/>
          <w:bCs w:val="0"/>
          <w:color w:val="auto"/>
          <w:sz w:val="24"/>
          <w:szCs w:val="24"/>
          <w:highlight w:val="none"/>
          <w:lang w:val="en-US" w:eastAsia="zh-CN"/>
        </w:rPr>
        <w:t>或</w:t>
      </w:r>
      <w:r>
        <w:rPr>
          <w:rFonts w:hint="eastAsia" w:ascii="宋体" w:hAnsi="宋体" w:eastAsia="宋体" w:cs="宋体"/>
          <w:b w:val="0"/>
          <w:bCs w:val="0"/>
          <w:color w:val="auto"/>
          <w:sz w:val="24"/>
          <w:szCs w:val="24"/>
          <w:highlight w:val="none"/>
          <w:lang w:val="zh-TW"/>
        </w:rPr>
        <w:t>出现2次及以上违约的，采购人有权直接解除合同，解除通知自到达中标供应商时生效，中标供应商还应另按合同总金额的10%向采购人支付违约金。</w:t>
      </w:r>
    </w:p>
    <w:p w14:paraId="34D640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4）中标供应商保证本合同货物的权利无瑕疵，包括货物所有权及知识产权等权利无瑕疵。如任何第三方经法院（或仲裁机构）裁决有权对上述产品主张权利，由中标供应商承担经济责任的，采购人有权无条件解除合同并有权要求中标供应商退还已收取的相应费用及利息，同时中标供应商还应另按合同总</w:t>
      </w:r>
      <w:r>
        <w:rPr>
          <w:rFonts w:hint="eastAsia" w:ascii="宋体" w:hAnsi="宋体" w:eastAsia="宋体" w:cs="宋体"/>
          <w:b w:val="0"/>
          <w:bCs w:val="0"/>
          <w:color w:val="auto"/>
          <w:sz w:val="24"/>
          <w:szCs w:val="24"/>
          <w:highlight w:val="none"/>
          <w:lang w:val="en-US" w:eastAsia="zh-CN"/>
        </w:rPr>
        <w:t>金额</w:t>
      </w:r>
      <w:r>
        <w:rPr>
          <w:rFonts w:hint="eastAsia" w:ascii="宋体" w:hAnsi="宋体" w:eastAsia="宋体" w:cs="宋体"/>
          <w:b w:val="0"/>
          <w:bCs w:val="0"/>
          <w:color w:val="auto"/>
          <w:sz w:val="24"/>
          <w:szCs w:val="24"/>
          <w:highlight w:val="none"/>
          <w:lang w:val="zh-TW"/>
        </w:rPr>
        <w:t>的20%向采购人支付违约金并赔偿因此给采购人造成的一切损失。</w:t>
      </w:r>
    </w:p>
    <w:p w14:paraId="4F6F85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（5）未经双方协商一致，中标供应商不得单方面变更、中止、解除或终止本合同，否则中标供应商应承担合同总金额10%的违约金，并赔偿由此给采购人造成的全部损失。 </w:t>
      </w:r>
    </w:p>
    <w:p w14:paraId="6936CB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（6）中标供应商未经采购人书面同意，不得擅自分包、转包，否则采购人有权立即终止合同，并要求中标供应商停止分包、转包行为，同时有权要求中标供应商承担合同总金额10%的违约金。</w:t>
      </w:r>
    </w:p>
    <w:p w14:paraId="473194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（7）合同签订后，</w:t>
      </w:r>
      <w:r>
        <w:rPr>
          <w:rFonts w:hint="eastAsia" w:ascii="宋体" w:hAnsi="宋体" w:eastAsia="宋体" w:cs="宋体"/>
          <w:b w:val="0"/>
          <w:bCs w:val="0"/>
          <w:color w:val="auto"/>
          <w:sz w:val="24"/>
          <w:szCs w:val="24"/>
          <w:highlight w:val="none"/>
          <w:lang w:val="zh-TW" w:eastAsia="zh-CN"/>
        </w:rPr>
        <w:t>若发现供应商在本项目中存在以虚假材料谋取中标等违反政府采购法律法规的行为</w:t>
      </w:r>
      <w:r>
        <w:rPr>
          <w:rFonts w:hint="eastAsia" w:ascii="宋体" w:hAnsi="宋体" w:eastAsia="宋体" w:cs="宋体"/>
          <w:b w:val="0"/>
          <w:bCs w:val="0"/>
          <w:color w:val="auto"/>
          <w:sz w:val="24"/>
          <w:szCs w:val="24"/>
          <w:highlight w:val="none"/>
          <w:lang w:val="zh-TW"/>
        </w:rPr>
        <w:t>，采购人有权无条件解除本合同并要求中标供应商退还相应费用及利息。</w:t>
      </w:r>
    </w:p>
    <w:p w14:paraId="3369C7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（8）中标供应商违反本合同约定的，应当按照本合同约定支付违约金，并赔偿由此给</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造成的全部损失，包括</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因诉讼产生的律师费、诉讼费用、保全保险费、差旅费等费用。</w:t>
      </w:r>
    </w:p>
    <w:p w14:paraId="47F5F9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（9）如因中标供应商工作人员在履行职务过程中的疏忽、失职、过错等故意或者过失原因给</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造成损失或侵害，包括但不限于</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本身的财产损失、由此而导致的</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对任何第三方的法律责任等，要</w:t>
      </w:r>
      <w:r>
        <w:rPr>
          <w:rFonts w:hint="eastAsia" w:ascii="宋体" w:hAnsi="宋体" w:eastAsia="宋体" w:cs="宋体"/>
          <w:b w:val="0"/>
          <w:bCs w:val="0"/>
          <w:color w:val="auto"/>
          <w:sz w:val="24"/>
          <w:szCs w:val="24"/>
          <w:highlight w:val="none"/>
          <w:lang w:val="en-US" w:eastAsia="zh-CN"/>
        </w:rPr>
        <w:t>求</w:t>
      </w:r>
      <w:r>
        <w:rPr>
          <w:rFonts w:hint="eastAsia" w:ascii="宋体" w:hAnsi="宋体" w:eastAsia="宋体" w:cs="宋体"/>
          <w:b w:val="0"/>
          <w:bCs w:val="0"/>
          <w:color w:val="auto"/>
          <w:sz w:val="24"/>
          <w:szCs w:val="24"/>
          <w:highlight w:val="none"/>
          <w:lang w:val="zh-TW"/>
        </w:rPr>
        <w:t>供应商对此均应承担全部的赔偿责任。</w:t>
      </w:r>
    </w:p>
    <w:p w14:paraId="1051AE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（10）</w:t>
      </w:r>
      <w:r>
        <w:rPr>
          <w:rFonts w:hint="eastAsia" w:ascii="宋体" w:hAnsi="宋体" w:eastAsia="宋体" w:cs="宋体"/>
          <w:b w:val="0"/>
          <w:bCs w:val="0"/>
          <w:color w:val="auto"/>
          <w:sz w:val="24"/>
          <w:szCs w:val="24"/>
          <w:highlight w:val="none"/>
          <w:lang w:val="en-US" w:eastAsia="zh-CN"/>
        </w:rPr>
        <w:t>本文件</w:t>
      </w:r>
      <w:r>
        <w:rPr>
          <w:rFonts w:hint="eastAsia" w:ascii="宋体" w:hAnsi="宋体" w:eastAsia="宋体" w:cs="宋体"/>
          <w:b w:val="0"/>
          <w:bCs w:val="0"/>
          <w:color w:val="auto"/>
          <w:sz w:val="24"/>
          <w:szCs w:val="24"/>
          <w:highlight w:val="none"/>
          <w:lang w:val="zh-TW"/>
        </w:rPr>
        <w:t>所称“利息”按照中国人民银行授权全国银行间同业拆借中心公布的同期贷款市场报价利率（LPR）为标准，从采购人支付之日起计算。</w:t>
      </w:r>
    </w:p>
    <w:p w14:paraId="041976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7</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zh-TW"/>
        </w:rPr>
        <w:t>争议管辖：在执行本合同中发生的或与本合同有关的争端，双方应通过友好协商解决。不能协商一致的，任何一方可向采购人所在地有管辖权的法院提起诉讼。在法院审理期间，除有争议部分外，本合同其他可以履行的部分仍应按合同条款继续履行。</w:t>
      </w:r>
    </w:p>
    <w:p w14:paraId="47F84D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8.报价要求：报价包括货物设计、材料、制造、包装、运输、安装、调试、检测、验收合格交付使用之前及保修期内保修服务与备用物件等所有其他有关各项的</w:t>
      </w:r>
      <w:r>
        <w:rPr>
          <w:rFonts w:hint="eastAsia" w:ascii="宋体" w:hAnsi="宋体" w:eastAsia="宋体" w:cs="宋体"/>
          <w:b w:val="0"/>
          <w:bCs w:val="0"/>
          <w:color w:val="auto"/>
          <w:sz w:val="24"/>
          <w:szCs w:val="24"/>
          <w:highlight w:val="none"/>
          <w:lang w:val="en-US" w:eastAsia="zh-CN"/>
        </w:rPr>
        <w:t>一切</w:t>
      </w:r>
      <w:r>
        <w:rPr>
          <w:rFonts w:hint="eastAsia" w:ascii="宋体" w:hAnsi="宋体" w:eastAsia="宋体" w:cs="宋体"/>
          <w:b w:val="0"/>
          <w:bCs w:val="0"/>
          <w:color w:val="auto"/>
          <w:sz w:val="24"/>
          <w:szCs w:val="24"/>
          <w:highlight w:val="none"/>
          <w:lang w:val="zh-TW"/>
        </w:rPr>
        <w:t xml:space="preserve">含税费用。 </w:t>
      </w:r>
    </w:p>
    <w:p w14:paraId="66703E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9.交货时需提供由国家消防救援局“消防装备物资信息采集系统”统一发行的装备物资二维码（或RFID，进行永久标识或相对固定标识）。</w:t>
      </w:r>
    </w:p>
    <w:p w14:paraId="4560B1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10.履约保证金：</w:t>
      </w:r>
    </w:p>
    <w:p w14:paraId="6A8B84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履约</w:t>
      </w:r>
      <w:r>
        <w:rPr>
          <w:rFonts w:hint="eastAsia" w:ascii="宋体" w:hAnsi="宋体" w:eastAsia="宋体" w:cs="宋体"/>
          <w:b w:val="0"/>
          <w:bCs w:val="0"/>
          <w:color w:val="auto"/>
          <w:sz w:val="24"/>
          <w:szCs w:val="24"/>
          <w:highlight w:val="none"/>
          <w:lang w:val="en-US" w:eastAsia="zh-CN"/>
        </w:rPr>
        <w:t>保证金由采购人收取。中标通知书发放后，</w:t>
      </w:r>
      <w:r>
        <w:rPr>
          <w:rFonts w:hint="eastAsia" w:ascii="宋体" w:hAnsi="宋体" w:eastAsia="宋体" w:cs="宋体"/>
          <w:b w:val="0"/>
          <w:bCs w:val="0"/>
          <w:color w:val="auto"/>
          <w:sz w:val="24"/>
          <w:szCs w:val="24"/>
          <w:highlight w:val="none"/>
          <w:lang w:val="zh-TW"/>
        </w:rPr>
        <w:t>合同签订</w:t>
      </w:r>
      <w:r>
        <w:rPr>
          <w:rFonts w:hint="eastAsia" w:ascii="宋体" w:hAnsi="宋体" w:eastAsia="宋体" w:cs="宋体"/>
          <w:b w:val="0"/>
          <w:bCs w:val="0"/>
          <w:color w:val="auto"/>
          <w:sz w:val="24"/>
          <w:szCs w:val="24"/>
          <w:highlight w:val="none"/>
          <w:lang w:val="en-US" w:eastAsia="zh-CN"/>
        </w:rPr>
        <w:t>前</w:t>
      </w:r>
      <w:r>
        <w:rPr>
          <w:rFonts w:hint="eastAsia" w:ascii="宋体" w:hAnsi="宋体" w:eastAsia="宋体" w:cs="宋体"/>
          <w:b w:val="0"/>
          <w:bCs w:val="0"/>
          <w:color w:val="auto"/>
          <w:sz w:val="24"/>
          <w:szCs w:val="24"/>
          <w:highlight w:val="none"/>
          <w:lang w:val="zh-TW"/>
        </w:rPr>
        <w:t>，中标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需要向采购人缴纳履约保证金，缴纳金额为合同金额的5%。履约保证金作为违约金的一部分用于补偿</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因中标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不能履行及瑕疵履行合同义务而蒙受的损失。</w:t>
      </w:r>
    </w:p>
    <w:p w14:paraId="1913C1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.2交款方式：</w:t>
      </w:r>
      <w:r>
        <w:rPr>
          <w:rFonts w:hint="eastAsia" w:ascii="宋体" w:hAnsi="宋体" w:eastAsia="宋体" w:cs="宋体"/>
          <w:b w:val="0"/>
          <w:bCs w:val="0"/>
          <w:color w:val="auto"/>
          <w:sz w:val="24"/>
          <w:szCs w:val="24"/>
          <w:highlight w:val="none"/>
          <w:lang w:val="en-US" w:eastAsia="zh-CN"/>
        </w:rPr>
        <w:t>中标供应商</w:t>
      </w:r>
      <w:r>
        <w:rPr>
          <w:rFonts w:hint="eastAsia" w:ascii="宋体" w:hAnsi="宋体" w:eastAsia="宋体" w:cs="宋体"/>
          <w:b w:val="0"/>
          <w:bCs w:val="0"/>
          <w:color w:val="auto"/>
          <w:sz w:val="24"/>
          <w:szCs w:val="24"/>
          <w:highlight w:val="none"/>
          <w:lang w:val="zh-TW"/>
        </w:rPr>
        <w:t>可以</w:t>
      </w:r>
      <w:r>
        <w:rPr>
          <w:rFonts w:hint="eastAsia" w:ascii="宋体" w:hAnsi="宋体" w:eastAsia="宋体" w:cs="宋体"/>
          <w:b w:val="0"/>
          <w:bCs w:val="0"/>
          <w:color w:val="auto"/>
          <w:sz w:val="24"/>
          <w:szCs w:val="24"/>
          <w:highlight w:val="none"/>
          <w:lang w:val="en-US" w:eastAsia="zh-CN"/>
        </w:rPr>
        <w:t>自主选择</w:t>
      </w:r>
      <w:r>
        <w:rPr>
          <w:rFonts w:hint="eastAsia" w:ascii="宋体" w:hAnsi="宋体" w:eastAsia="宋体" w:cs="宋体"/>
          <w:b w:val="0"/>
          <w:bCs w:val="0"/>
          <w:color w:val="auto"/>
          <w:sz w:val="24"/>
          <w:szCs w:val="24"/>
          <w:highlight w:val="none"/>
          <w:lang w:val="zh-TW"/>
        </w:rPr>
        <w:t>以支票、汇票、本票或者金融机</w:t>
      </w:r>
      <w:r>
        <w:rPr>
          <w:rFonts w:hint="eastAsia" w:ascii="宋体" w:hAnsi="宋体" w:eastAsia="宋体" w:cs="宋体"/>
          <w:b w:val="0"/>
          <w:bCs w:val="0"/>
          <w:color w:val="auto"/>
          <w:sz w:val="24"/>
          <w:szCs w:val="24"/>
          <w:highlight w:val="none"/>
          <w:lang w:val="en-US" w:eastAsia="zh-CN"/>
        </w:rPr>
        <w:t>构</w:t>
      </w:r>
      <w:r>
        <w:rPr>
          <w:rFonts w:hint="eastAsia" w:ascii="宋体" w:hAnsi="宋体" w:eastAsia="宋体" w:cs="宋体"/>
          <w:b w:val="0"/>
          <w:bCs w:val="0"/>
          <w:color w:val="auto"/>
          <w:sz w:val="24"/>
          <w:szCs w:val="24"/>
          <w:highlight w:val="none"/>
          <w:lang w:val="zh-TW" w:eastAsia="zh-CN"/>
        </w:rPr>
        <w:t>、担保机</w:t>
      </w:r>
      <w:r>
        <w:rPr>
          <w:rFonts w:hint="eastAsia" w:ascii="宋体" w:hAnsi="宋体" w:eastAsia="宋体" w:cs="宋体"/>
          <w:b w:val="0"/>
          <w:bCs w:val="0"/>
          <w:color w:val="auto"/>
          <w:sz w:val="24"/>
          <w:szCs w:val="24"/>
          <w:highlight w:val="none"/>
          <w:lang w:val="zh-TW"/>
        </w:rPr>
        <w:t>构出具的保函等非现金形式提交（包括网银转账，电汇等方式），所有提交方式均以到账时间为准。</w:t>
      </w:r>
    </w:p>
    <w:p w14:paraId="67DBD4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注：出具保函的主体应当是金融机构、担保机构等依法成立且具有相关资质和偿付能力的机构，否则</w:t>
      </w:r>
      <w:r>
        <w:rPr>
          <w:rFonts w:hint="eastAsia" w:ascii="宋体" w:hAnsi="宋体" w:eastAsia="宋体" w:cs="宋体"/>
          <w:b w:val="0"/>
          <w:bCs w:val="0"/>
          <w:color w:val="auto"/>
          <w:sz w:val="24"/>
          <w:szCs w:val="24"/>
          <w:highlight w:val="none"/>
          <w:lang w:val="en-US" w:eastAsia="zh-CN"/>
        </w:rPr>
        <w:t>视为中标供应商放弃中标资格</w:t>
      </w:r>
      <w:r>
        <w:rPr>
          <w:rFonts w:hint="eastAsia" w:ascii="宋体" w:hAnsi="宋体" w:eastAsia="宋体" w:cs="宋体"/>
          <w:b w:val="0"/>
          <w:bCs w:val="0"/>
          <w:color w:val="auto"/>
          <w:sz w:val="24"/>
          <w:szCs w:val="24"/>
          <w:highlight w:val="none"/>
          <w:lang w:val="zh-TW"/>
        </w:rPr>
        <w:t>。</w:t>
      </w:r>
    </w:p>
    <w:p w14:paraId="0AAB72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收款单位：遂宁市消防救援支队。</w:t>
      </w:r>
    </w:p>
    <w:p w14:paraId="22F652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开 户 行：中国农业银行股份有限公司遂宁河东新区支行。</w:t>
      </w:r>
    </w:p>
    <w:p w14:paraId="1EEE42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银行账号：22320201040002807。</w:t>
      </w:r>
    </w:p>
    <w:p w14:paraId="0EAC19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出具的保函方式提交履约保证金的，保函必须符合以下规定：</w:t>
      </w:r>
    </w:p>
    <w:p w14:paraId="0E1CF0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a.保函应为</w:t>
      </w:r>
      <w:r>
        <w:rPr>
          <w:rFonts w:hint="eastAsia" w:ascii="宋体" w:hAnsi="宋体" w:eastAsia="宋体" w:cs="宋体"/>
          <w:b w:val="0"/>
          <w:bCs w:val="0"/>
          <w:color w:val="auto"/>
          <w:sz w:val="24"/>
          <w:szCs w:val="24"/>
          <w:highlight w:val="none"/>
          <w:lang w:val="en-US" w:eastAsia="zh-CN"/>
        </w:rPr>
        <w:t>见索即付的独立</w:t>
      </w:r>
      <w:r>
        <w:rPr>
          <w:rFonts w:hint="eastAsia" w:ascii="宋体" w:hAnsi="宋体" w:eastAsia="宋体" w:cs="宋体"/>
          <w:b w:val="0"/>
          <w:bCs w:val="0"/>
          <w:color w:val="auto"/>
          <w:sz w:val="24"/>
          <w:szCs w:val="24"/>
          <w:highlight w:val="none"/>
          <w:lang w:val="zh-TW"/>
        </w:rPr>
        <w:t>保函，并</w:t>
      </w:r>
      <w:r>
        <w:rPr>
          <w:rFonts w:hint="eastAsia" w:ascii="宋体" w:hAnsi="宋体" w:eastAsia="宋体" w:cs="宋体"/>
          <w:b w:val="0"/>
          <w:bCs w:val="0"/>
          <w:color w:val="auto"/>
          <w:sz w:val="24"/>
          <w:szCs w:val="24"/>
          <w:highlight w:val="none"/>
          <w:lang w:val="en-US" w:eastAsia="zh-CN"/>
        </w:rPr>
        <w:t>载明</w:t>
      </w:r>
      <w:r>
        <w:rPr>
          <w:rFonts w:hint="eastAsia" w:ascii="宋体" w:hAnsi="宋体" w:eastAsia="宋体" w:cs="宋体"/>
          <w:b w:val="0"/>
          <w:bCs w:val="0"/>
          <w:color w:val="auto"/>
          <w:sz w:val="24"/>
          <w:szCs w:val="24"/>
          <w:highlight w:val="none"/>
          <w:lang w:val="zh-TW"/>
        </w:rPr>
        <w:t>验证方法；</w:t>
      </w:r>
    </w:p>
    <w:p w14:paraId="311577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b.保函的受益人为遂宁市消防救援支队；</w:t>
      </w:r>
    </w:p>
    <w:p w14:paraId="7F9D1F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c.保函的内容包括但不限于供应商名称、项目名称（如有分包，载明分包号）、项目编号、</w:t>
      </w:r>
      <w:r>
        <w:rPr>
          <w:rFonts w:hint="eastAsia" w:ascii="宋体" w:hAnsi="宋体" w:eastAsia="宋体" w:cs="宋体"/>
          <w:b w:val="0"/>
          <w:bCs w:val="0"/>
          <w:color w:val="auto"/>
          <w:sz w:val="24"/>
          <w:szCs w:val="24"/>
          <w:highlight w:val="none"/>
          <w:lang w:val="en-US" w:eastAsia="zh-CN"/>
        </w:rPr>
        <w:t>担保</w:t>
      </w:r>
      <w:r>
        <w:rPr>
          <w:rFonts w:hint="eastAsia" w:ascii="宋体" w:hAnsi="宋体" w:eastAsia="宋体" w:cs="宋体"/>
          <w:b w:val="0"/>
          <w:bCs w:val="0"/>
          <w:color w:val="auto"/>
          <w:sz w:val="24"/>
          <w:szCs w:val="24"/>
          <w:highlight w:val="none"/>
          <w:lang w:val="zh-TW"/>
        </w:rPr>
        <w:t>金额、保函的有效期（考虑到交货、验收等不确定因素，采用保函形式提交履约保证金的，保函有效期应不短于提交之日起至全部货物到货验收合格之日起</w:t>
      </w:r>
      <w:r>
        <w:rPr>
          <w:rFonts w:hint="default" w:ascii="宋体" w:hAnsi="宋体" w:eastAsia="宋体" w:cs="宋体"/>
          <w:b w:val="0"/>
          <w:bCs w:val="0"/>
          <w:color w:val="auto"/>
          <w:sz w:val="24"/>
          <w:szCs w:val="24"/>
          <w:highlight w:val="none"/>
          <w:lang w:val="en-US"/>
        </w:rPr>
        <w:t>的第366天</w:t>
      </w:r>
      <w:r>
        <w:rPr>
          <w:rFonts w:hint="eastAsia" w:ascii="宋体" w:hAnsi="宋体" w:eastAsia="宋体" w:cs="宋体"/>
          <w:b w:val="0"/>
          <w:bCs w:val="0"/>
          <w:color w:val="auto"/>
          <w:sz w:val="24"/>
          <w:szCs w:val="24"/>
          <w:highlight w:val="none"/>
          <w:lang w:val="zh-TW"/>
        </w:rPr>
        <w:t>为止）、担保的内容（即：如因供应商原因发生法律法规或合同规定的履约保证金不予退还或扣除的情况，由</w:t>
      </w:r>
      <w:r>
        <w:rPr>
          <w:rFonts w:hint="default" w:ascii="宋体" w:hAnsi="宋体" w:eastAsia="宋体" w:cs="宋体"/>
          <w:b w:val="0"/>
          <w:bCs w:val="0"/>
          <w:color w:val="auto"/>
          <w:sz w:val="24"/>
          <w:szCs w:val="24"/>
          <w:highlight w:val="none"/>
          <w:lang w:val="en-US" w:eastAsia="zh-CN"/>
        </w:rPr>
        <w:t>开立人</w:t>
      </w:r>
      <w:r>
        <w:rPr>
          <w:rFonts w:hint="eastAsia" w:ascii="宋体" w:hAnsi="宋体" w:eastAsia="宋体" w:cs="宋体"/>
          <w:b w:val="0"/>
          <w:bCs w:val="0"/>
          <w:color w:val="auto"/>
          <w:sz w:val="24"/>
          <w:szCs w:val="24"/>
          <w:highlight w:val="none"/>
          <w:lang w:val="zh-TW"/>
        </w:rPr>
        <w:t>向受益人足额支付履约保证金）；</w:t>
      </w:r>
    </w:p>
    <w:p w14:paraId="2CE62F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.3履约保证金的退还：</w:t>
      </w:r>
      <w:r>
        <w:rPr>
          <w:rFonts w:hint="eastAsia" w:ascii="宋体" w:hAnsi="宋体" w:eastAsia="宋体" w:cs="宋体"/>
          <w:b w:val="0"/>
          <w:bCs w:val="0"/>
          <w:color w:val="auto"/>
          <w:sz w:val="24"/>
          <w:szCs w:val="24"/>
          <w:highlight w:val="none"/>
          <w:lang w:val="en-US" w:eastAsia="zh-CN"/>
        </w:rPr>
        <w:t>货物验收合格满一年后，</w:t>
      </w:r>
      <w:r>
        <w:rPr>
          <w:rFonts w:hint="eastAsia" w:ascii="宋体" w:hAnsi="宋体" w:eastAsia="宋体" w:cs="宋体"/>
          <w:b w:val="0"/>
          <w:bCs w:val="0"/>
          <w:color w:val="auto"/>
          <w:sz w:val="24"/>
          <w:szCs w:val="24"/>
          <w:highlight w:val="none"/>
          <w:lang w:val="zh-TW"/>
        </w:rPr>
        <w:t>采购人在收到中标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履约保证金退还申请书后14日内无息退还。</w:t>
      </w:r>
    </w:p>
    <w:p w14:paraId="3B43DD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退还方式：①以网银转账、电汇等方式提交的，履约保证金以网银转账、电汇等方式退至转款账户；②以保函方式提交的，退还保函原件。</w:t>
      </w:r>
    </w:p>
    <w:p w14:paraId="38D98E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无论履约保证金、独立保函是否退还，</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lang w:val="zh-TW"/>
        </w:rPr>
        <w:t>随时都有权对由</w:t>
      </w:r>
      <w:r>
        <w:rPr>
          <w:rFonts w:hint="eastAsia" w:ascii="宋体" w:hAnsi="宋体" w:eastAsia="宋体" w:cs="宋体"/>
          <w:b w:val="0"/>
          <w:bCs w:val="0"/>
          <w:color w:val="auto"/>
          <w:sz w:val="24"/>
          <w:szCs w:val="24"/>
          <w:highlight w:val="none"/>
          <w:lang w:val="en-US" w:eastAsia="zh-CN"/>
        </w:rPr>
        <w:t>中标供应商提供的</w:t>
      </w:r>
      <w:r>
        <w:rPr>
          <w:rFonts w:hint="eastAsia" w:ascii="宋体" w:hAnsi="宋体" w:eastAsia="宋体" w:cs="宋体"/>
          <w:b w:val="0"/>
          <w:bCs w:val="0"/>
          <w:color w:val="auto"/>
          <w:sz w:val="24"/>
          <w:szCs w:val="24"/>
          <w:highlight w:val="none"/>
          <w:lang w:val="zh-TW"/>
        </w:rPr>
        <w:t>仍在质量保证期内的产品发生的质量问题向</w:t>
      </w:r>
      <w:r>
        <w:rPr>
          <w:rFonts w:hint="eastAsia" w:ascii="宋体" w:hAnsi="宋体" w:eastAsia="宋体" w:cs="宋体"/>
          <w:b w:val="0"/>
          <w:bCs w:val="0"/>
          <w:color w:val="auto"/>
          <w:sz w:val="24"/>
          <w:szCs w:val="24"/>
          <w:highlight w:val="none"/>
          <w:lang w:val="en-US" w:eastAsia="zh-CN"/>
        </w:rPr>
        <w:t>中标供应商</w:t>
      </w:r>
      <w:r>
        <w:rPr>
          <w:rFonts w:hint="eastAsia" w:ascii="宋体" w:hAnsi="宋体" w:eastAsia="宋体" w:cs="宋体"/>
          <w:b w:val="0"/>
          <w:bCs w:val="0"/>
          <w:color w:val="auto"/>
          <w:sz w:val="24"/>
          <w:szCs w:val="24"/>
          <w:highlight w:val="none"/>
          <w:lang w:val="zh-TW"/>
        </w:rPr>
        <w:t>主张索赔。</w:t>
      </w:r>
    </w:p>
    <w:p w14:paraId="773AFA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.4履约保证金不予退还的情形：①</w:t>
      </w:r>
      <w:r>
        <w:rPr>
          <w:rFonts w:hint="eastAsia" w:ascii="宋体" w:hAnsi="宋体" w:eastAsia="宋体" w:cs="宋体"/>
          <w:b w:val="0"/>
          <w:bCs w:val="0"/>
          <w:color w:val="auto"/>
          <w:sz w:val="24"/>
          <w:szCs w:val="24"/>
          <w:highlight w:val="none"/>
          <w:lang w:val="en-US" w:eastAsia="zh-CN"/>
        </w:rPr>
        <w:t>中标</w:t>
      </w:r>
      <w:r>
        <w:rPr>
          <w:rFonts w:hint="eastAsia" w:ascii="宋体" w:hAnsi="宋体" w:eastAsia="宋体" w:cs="宋体"/>
          <w:b w:val="0"/>
          <w:bCs w:val="0"/>
          <w:color w:val="auto"/>
          <w:sz w:val="24"/>
          <w:szCs w:val="24"/>
          <w:highlight w:val="none"/>
          <w:lang w:val="zh-TW" w:eastAsia="zh-CN"/>
        </w:rPr>
        <w:t>供应商未履行合同义务的</w:t>
      </w:r>
      <w:r>
        <w:rPr>
          <w:rFonts w:hint="eastAsia" w:ascii="宋体" w:hAnsi="宋体" w:eastAsia="宋体" w:cs="宋体"/>
          <w:b w:val="0"/>
          <w:bCs w:val="0"/>
          <w:color w:val="auto"/>
          <w:sz w:val="24"/>
          <w:szCs w:val="24"/>
          <w:highlight w:val="none"/>
          <w:lang w:val="zh-TW"/>
        </w:rPr>
        <w:t>，履约保证金不予退还，给采购人造成的损失超过履约保证金数额的，还应当对超过部分予以赔偿；②中标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eastAsia="zh-CN"/>
        </w:rPr>
        <w:t>瑕疵履行合同义务而</w:t>
      </w:r>
      <w:r>
        <w:rPr>
          <w:rFonts w:hint="eastAsia" w:ascii="宋体" w:hAnsi="宋体" w:eastAsia="宋体" w:cs="宋体"/>
          <w:b w:val="0"/>
          <w:bCs w:val="0"/>
          <w:color w:val="auto"/>
          <w:sz w:val="24"/>
          <w:szCs w:val="24"/>
          <w:highlight w:val="none"/>
          <w:lang w:val="zh-TW"/>
        </w:rPr>
        <w:t>需承担相应违约责任的，采购人有权直接从履约保证金中扣除相应违约金款项，对于违约金超过履约保证金数额的部分，中标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应</w:t>
      </w:r>
      <w:r>
        <w:rPr>
          <w:rFonts w:hint="eastAsia" w:ascii="宋体" w:hAnsi="宋体" w:eastAsia="宋体" w:cs="宋体"/>
          <w:b w:val="0"/>
          <w:bCs w:val="0"/>
          <w:color w:val="auto"/>
          <w:sz w:val="24"/>
          <w:szCs w:val="24"/>
          <w:highlight w:val="none"/>
          <w:lang w:val="en-US" w:eastAsia="zh-CN"/>
        </w:rPr>
        <w:t>于15日内</w:t>
      </w:r>
      <w:r>
        <w:rPr>
          <w:rFonts w:hint="eastAsia" w:ascii="宋体" w:hAnsi="宋体" w:eastAsia="宋体" w:cs="宋体"/>
          <w:b w:val="0"/>
          <w:bCs w:val="0"/>
          <w:color w:val="auto"/>
          <w:sz w:val="24"/>
          <w:szCs w:val="24"/>
          <w:highlight w:val="none"/>
          <w:lang w:val="zh-TW"/>
        </w:rPr>
        <w:t>予以补足。履约保证金不予退还的，将按照有关规定上缴国库。</w:t>
      </w:r>
    </w:p>
    <w:p w14:paraId="4929C0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1</w:t>
      </w:r>
      <w:r>
        <w:rPr>
          <w:rFonts w:hint="eastAsia" w:ascii="宋体" w:hAnsi="宋体" w:eastAsia="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lang w:val="zh-TW"/>
        </w:rPr>
        <w:t>.5逾期退还履约保证金的违约责任：采购人无正当理由向中标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逾期退还履约保证金的，每逾期1天，采购人向中标</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zh-TW"/>
        </w:rPr>
        <w:t>偿付履约保证金总额的0.1‰违约金，但累计违约金总额不超过履约保证金总额的1％。</w:t>
      </w:r>
    </w:p>
    <w:p w14:paraId="129D69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p>
    <w:p w14:paraId="1E376271">
      <w:pPr>
        <w:pStyle w:val="8"/>
        <w:keepNext/>
        <w:keepLines/>
        <w:pageBreakBefore w:val="0"/>
        <w:widowControl w:val="0"/>
        <w:shd w:val="clear" w:color="auto" w:fill="auto"/>
        <w:kinsoku/>
        <w:wordWrap/>
        <w:overflowPunct/>
        <w:topLinePunct w:val="0"/>
        <w:autoSpaceDE/>
        <w:autoSpaceDN/>
        <w:bidi w:val="0"/>
        <w:adjustRightInd/>
        <w:snapToGrid/>
        <w:spacing w:before="0" w:after="0" w:line="413" w:lineRule="auto"/>
        <w:jc w:val="left"/>
        <w:textAlignment w:val="auto"/>
        <w:rPr>
          <w:rFonts w:hint="eastAsia" w:ascii="宋体" w:hAnsi="宋体" w:eastAsia="宋体" w:cs="宋体"/>
          <w:b/>
          <w:color w:val="auto"/>
          <w:sz w:val="28"/>
          <w:szCs w:val="28"/>
          <w:highlight w:val="none"/>
          <w:lang w:val="zh-TW" w:eastAsia="zh-CN"/>
        </w:rPr>
      </w:pPr>
      <w:r>
        <w:rPr>
          <w:rFonts w:hint="eastAsia" w:ascii="宋体" w:hAnsi="宋体" w:cs="宋体"/>
          <w:b/>
          <w:color w:val="auto"/>
          <w:sz w:val="28"/>
          <w:szCs w:val="28"/>
          <w:highlight w:val="none"/>
          <w:lang w:val="zh-TW" w:eastAsia="zh-CN"/>
        </w:rPr>
        <w:t>四</w:t>
      </w:r>
      <w:r>
        <w:rPr>
          <w:rFonts w:hint="eastAsia" w:ascii="宋体" w:hAnsi="宋体" w:eastAsia="宋体" w:cs="宋体"/>
          <w:b/>
          <w:color w:val="auto"/>
          <w:sz w:val="28"/>
          <w:szCs w:val="28"/>
          <w:highlight w:val="none"/>
          <w:lang w:val="zh-TW" w:eastAsia="zh-CN"/>
        </w:rPr>
        <w:t>、与供应商履约相关的其他要求</w:t>
      </w:r>
    </w:p>
    <w:p w14:paraId="092C2C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eastAsia="zh-CN"/>
        </w:rPr>
        <w:t>1.供应商应结合自身技术能力充分了解项目背景和各项政策，针对本项目提供项目实施方案，内容须包括：（1）货源组织及货物运输保障，（2）安全保障措施，（3）交货进度计划保障措施，（4）供货质量保障措施，（5）针对项目实施过程中各种突发事件及对应的应急方案</w:t>
      </w:r>
      <w:r>
        <w:rPr>
          <w:rFonts w:hint="eastAsia" w:ascii="宋体" w:hAnsi="宋体" w:eastAsia="宋体" w:cs="宋体"/>
          <w:b w:val="0"/>
          <w:bCs w:val="0"/>
          <w:color w:val="auto"/>
          <w:sz w:val="24"/>
          <w:szCs w:val="24"/>
          <w:highlight w:val="none"/>
          <w:lang w:val="zh-TW"/>
        </w:rPr>
        <w:t>。</w:t>
      </w:r>
    </w:p>
    <w:p w14:paraId="14EFAD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2.供应商应结合自身技术能力及本项目实际情况，针对本项目提供售后服务方案</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内容须</w:t>
      </w:r>
      <w:r>
        <w:rPr>
          <w:rFonts w:hint="eastAsia" w:ascii="宋体" w:hAnsi="宋体" w:eastAsia="宋体" w:cs="宋体"/>
          <w:b w:val="0"/>
          <w:bCs w:val="0"/>
          <w:color w:val="auto"/>
          <w:sz w:val="24"/>
          <w:szCs w:val="24"/>
          <w:highlight w:val="none"/>
          <w:lang w:val="zh-TW"/>
        </w:rPr>
        <w:t>包括</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售后技术支持</w:t>
      </w:r>
      <w:r>
        <w:rPr>
          <w:rFonts w:hint="eastAsia" w:ascii="宋体" w:hAnsi="宋体" w:eastAsia="宋体" w:cs="宋体"/>
          <w:b w:val="0"/>
          <w:bCs w:val="0"/>
          <w:color w:val="auto"/>
          <w:sz w:val="24"/>
          <w:szCs w:val="24"/>
          <w:highlight w:val="none"/>
          <w:lang w:val="en-US" w:eastAsia="zh-CN"/>
        </w:rPr>
        <w:t>方案</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售后</w:t>
      </w:r>
      <w:r>
        <w:rPr>
          <w:rFonts w:hint="eastAsia" w:ascii="宋体" w:hAnsi="宋体" w:eastAsia="宋体" w:cs="宋体"/>
          <w:b w:val="0"/>
          <w:bCs w:val="0"/>
          <w:color w:val="auto"/>
          <w:sz w:val="24"/>
          <w:szCs w:val="24"/>
          <w:highlight w:val="none"/>
          <w:lang w:val="zh-TW"/>
        </w:rPr>
        <w:t>服务响应时间，</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rPr>
        <w:t>备件（易耗品）供应方案，</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售后服务人员</w:t>
      </w:r>
      <w:r>
        <w:rPr>
          <w:rFonts w:hint="eastAsia" w:ascii="宋体" w:hAnsi="宋体" w:eastAsia="宋体" w:cs="宋体"/>
          <w:b w:val="0"/>
          <w:bCs w:val="0"/>
          <w:color w:val="auto"/>
          <w:sz w:val="24"/>
          <w:szCs w:val="24"/>
          <w:highlight w:val="none"/>
          <w:lang w:val="en-US" w:eastAsia="zh-CN"/>
        </w:rPr>
        <w:t>方案（具体需包含售后服务人员姓名、联系方式基本信息）</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售后服务培训方案（具体须包含培训计划、目的、内容及方式）</w:t>
      </w:r>
      <w:r>
        <w:rPr>
          <w:rFonts w:hint="eastAsia" w:ascii="宋体" w:hAnsi="宋体" w:eastAsia="宋体" w:cs="宋体"/>
          <w:b w:val="0"/>
          <w:bCs w:val="0"/>
          <w:color w:val="auto"/>
          <w:sz w:val="24"/>
          <w:szCs w:val="24"/>
          <w:highlight w:val="none"/>
          <w:lang w:val="zh-TW"/>
        </w:rPr>
        <w:t>。</w:t>
      </w:r>
    </w:p>
    <w:p w14:paraId="61D8D3CB">
      <w:pPr>
        <w:keepNext w:val="0"/>
        <w:keepLines w:val="0"/>
        <w:pageBreakBefore w:val="0"/>
        <w:widowControl w:val="0"/>
        <w:kinsoku/>
        <w:wordWrap/>
        <w:overflowPunct/>
        <w:topLinePunct w:val="0"/>
        <w:autoSpaceDE/>
        <w:autoSpaceDN/>
        <w:bidi w:val="0"/>
        <w:adjustRightInd/>
        <w:snapToGrid/>
        <w:spacing w:line="360" w:lineRule="auto"/>
        <w:ind w:firstLine="744" w:firstLineChars="200"/>
        <w:textAlignment w:val="auto"/>
        <w:rPr>
          <w:rFonts w:ascii="宋体" w:hAnsi="宋体" w:eastAsia="宋体" w:cs="宋体"/>
          <w:spacing w:val="11"/>
          <w:sz w:val="35"/>
          <w:szCs w:val="35"/>
          <w14:textOutline w14:w="6537" w14:cap="sq" w14:cmpd="sng">
            <w14:solidFill>
              <w14:srgbClr w14:val="000000"/>
            </w14:solidFill>
            <w14:prstDash w14:val="solid"/>
            <w14:bevel/>
          </w14:textOutline>
        </w:rPr>
      </w:pPr>
      <w:r>
        <w:rPr>
          <w:rFonts w:ascii="宋体" w:hAnsi="宋体" w:eastAsia="宋体" w:cs="宋体"/>
          <w:spacing w:val="11"/>
          <w:sz w:val="35"/>
          <w:szCs w:val="35"/>
          <w14:textOutline w14:w="6537" w14:cap="sq" w14:cmpd="sng">
            <w14:solidFill>
              <w14:srgbClr w14:val="000000"/>
            </w14:solidFill>
            <w14:prstDash w14:val="solid"/>
            <w14:bevel/>
          </w14:textOutline>
        </w:rPr>
        <w:br w:type="page"/>
      </w:r>
    </w:p>
    <w:p w14:paraId="0CC03C6E">
      <w:pPr>
        <w:spacing w:before="114" w:line="225" w:lineRule="auto"/>
        <w:ind w:left="0"/>
        <w:jc w:val="center"/>
        <w:outlineLvl w:val="0"/>
        <w:rPr>
          <w:rFonts w:ascii="宋体" w:hAnsi="宋体" w:eastAsia="宋体" w:cs="宋体"/>
          <w:sz w:val="35"/>
          <w:szCs w:val="35"/>
        </w:rPr>
      </w:pPr>
      <w:r>
        <w:rPr>
          <w:rFonts w:ascii="宋体" w:hAnsi="宋体" w:eastAsia="宋体" w:cs="宋体"/>
          <w:spacing w:val="11"/>
          <w:sz w:val="35"/>
          <w:szCs w:val="35"/>
          <w14:textOutline w14:w="6537" w14:cap="sq" w14:cmpd="sng">
            <w14:solidFill>
              <w14:srgbClr w14:val="000000"/>
            </w14:solidFill>
            <w14:prstDash w14:val="solid"/>
            <w14:bevel/>
          </w14:textOutline>
        </w:rPr>
        <w:t>第</w:t>
      </w:r>
      <w:r>
        <w:rPr>
          <w:rFonts w:ascii="宋体" w:hAnsi="宋体" w:eastAsia="宋体" w:cs="宋体"/>
          <w:spacing w:val="8"/>
          <w:sz w:val="35"/>
          <w:szCs w:val="35"/>
          <w14:textOutline w14:w="6537" w14:cap="sq" w14:cmpd="sng">
            <w14:solidFill>
              <w14:srgbClr w14:val="000000"/>
            </w14:solidFill>
            <w14:prstDash w14:val="solid"/>
            <w14:bevel/>
          </w14:textOutline>
        </w:rPr>
        <w:t>七章</w:t>
      </w:r>
      <w:r>
        <w:rPr>
          <w:rFonts w:ascii="宋体" w:hAnsi="宋体" w:eastAsia="宋体" w:cs="宋体"/>
          <w:spacing w:val="8"/>
          <w:sz w:val="35"/>
          <w:szCs w:val="35"/>
        </w:rPr>
        <w:t xml:space="preserve">  </w:t>
      </w:r>
      <w:r>
        <w:rPr>
          <w:rFonts w:ascii="宋体" w:hAnsi="宋体" w:eastAsia="宋体" w:cs="宋体"/>
          <w:spacing w:val="8"/>
          <w:sz w:val="35"/>
          <w:szCs w:val="35"/>
          <w14:textOutline w14:w="6537" w14:cap="sq" w14:cmpd="sng">
            <w14:solidFill>
              <w14:srgbClr w14:val="000000"/>
            </w14:solidFill>
            <w14:prstDash w14:val="solid"/>
            <w14:bevel/>
          </w14:textOutline>
        </w:rPr>
        <w:t>评标办法</w:t>
      </w:r>
    </w:p>
    <w:p w14:paraId="687CA11A">
      <w:pPr>
        <w:spacing w:line="329" w:lineRule="auto"/>
        <w:rPr>
          <w:rFonts w:ascii="Arial"/>
          <w:sz w:val="21"/>
        </w:rPr>
      </w:pPr>
    </w:p>
    <w:p w14:paraId="5AD75A00">
      <w:pPr>
        <w:spacing w:before="78" w:line="384" w:lineRule="auto"/>
        <w:ind w:left="10" w:firstLine="480" w:firstLineChars="20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1. 总则</w:t>
      </w:r>
    </w:p>
    <w:p w14:paraId="0400EB06">
      <w:pPr>
        <w:spacing w:before="115" w:line="321" w:lineRule="auto"/>
        <w:ind w:left="29" w:right="23" w:firstLine="499"/>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.1 根据《中华人民共和国政府采购法》、《中华人民共和国政府采购法</w:t>
      </w:r>
      <w:r>
        <w:rPr>
          <w:rFonts w:ascii="宋体" w:hAnsi="宋体" w:eastAsia="宋体" w:cs="宋体"/>
          <w:spacing w:val="24"/>
          <w:sz w:val="23"/>
          <w:szCs w:val="23"/>
        </w:rPr>
        <w:t>实</w:t>
      </w:r>
      <w:r>
        <w:rPr>
          <w:rFonts w:ascii="宋体" w:hAnsi="宋体" w:eastAsia="宋体" w:cs="宋体"/>
          <w:spacing w:val="13"/>
          <w:sz w:val="23"/>
          <w:szCs w:val="23"/>
        </w:rPr>
        <w:t>施</w:t>
      </w:r>
      <w:r>
        <w:rPr>
          <w:rFonts w:ascii="宋体" w:hAnsi="宋体" w:eastAsia="宋体" w:cs="宋体"/>
          <w:spacing w:val="12"/>
          <w:sz w:val="23"/>
          <w:szCs w:val="23"/>
        </w:rPr>
        <w:t>条例》、《政府采购货物和服务招标投标管理办法》等法律制度，结合采</w:t>
      </w:r>
      <w:r>
        <w:rPr>
          <w:rFonts w:ascii="宋体" w:hAnsi="宋体" w:eastAsia="宋体" w:cs="宋体"/>
          <w:spacing w:val="16"/>
          <w:sz w:val="23"/>
          <w:szCs w:val="23"/>
        </w:rPr>
        <w:t>购</w:t>
      </w:r>
      <w:r>
        <w:rPr>
          <w:rFonts w:ascii="宋体" w:hAnsi="宋体" w:eastAsia="宋体" w:cs="宋体"/>
          <w:spacing w:val="8"/>
          <w:sz w:val="23"/>
          <w:szCs w:val="23"/>
        </w:rPr>
        <w:t>项目特点制定本评标办法。</w:t>
      </w:r>
    </w:p>
    <w:p w14:paraId="6C5388BB">
      <w:pPr>
        <w:spacing w:before="3" w:line="320" w:lineRule="auto"/>
        <w:ind w:left="32" w:right="23" w:firstLine="496"/>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.2 公开招标采购项目开标结束后，采购人或者采购代理机构应当依法对</w:t>
      </w:r>
      <w:r>
        <w:rPr>
          <w:rFonts w:ascii="宋体" w:hAnsi="宋体" w:eastAsia="宋体" w:cs="宋体"/>
          <w:spacing w:val="22"/>
          <w:sz w:val="23"/>
          <w:szCs w:val="23"/>
        </w:rPr>
        <w:t>投</w:t>
      </w:r>
      <w:r>
        <w:rPr>
          <w:rFonts w:ascii="宋体" w:hAnsi="宋体" w:eastAsia="宋体" w:cs="宋体"/>
          <w:spacing w:val="12"/>
          <w:sz w:val="23"/>
          <w:szCs w:val="23"/>
        </w:rPr>
        <w:t>标人的资格进行审查。依据法律法规和本招标文件的规定，对投标文件是否</w:t>
      </w:r>
      <w:r>
        <w:rPr>
          <w:rFonts w:ascii="宋体" w:hAnsi="宋体" w:eastAsia="宋体" w:cs="宋体"/>
          <w:spacing w:val="22"/>
          <w:sz w:val="23"/>
          <w:szCs w:val="23"/>
        </w:rPr>
        <w:t>按</w:t>
      </w:r>
      <w:r>
        <w:rPr>
          <w:rFonts w:ascii="宋体" w:hAnsi="宋体" w:eastAsia="宋体" w:cs="宋体"/>
          <w:spacing w:val="12"/>
          <w:sz w:val="23"/>
          <w:szCs w:val="23"/>
        </w:rPr>
        <w:t>照规定要求提供资格性证明材料、是否按照规定交纳投标保证金，以确定投</w:t>
      </w:r>
      <w:r>
        <w:rPr>
          <w:rFonts w:ascii="宋体" w:hAnsi="宋体" w:eastAsia="宋体" w:cs="宋体"/>
          <w:spacing w:val="13"/>
          <w:sz w:val="23"/>
          <w:szCs w:val="23"/>
        </w:rPr>
        <w:t>标</w:t>
      </w:r>
      <w:r>
        <w:rPr>
          <w:rFonts w:ascii="宋体" w:hAnsi="宋体" w:eastAsia="宋体" w:cs="宋体"/>
          <w:spacing w:val="8"/>
          <w:sz w:val="23"/>
          <w:szCs w:val="23"/>
        </w:rPr>
        <w:t>供应商是否具备投标资格。</w:t>
      </w:r>
    </w:p>
    <w:p w14:paraId="25D233B3">
      <w:pPr>
        <w:spacing w:line="228" w:lineRule="auto"/>
        <w:ind w:left="512"/>
        <w:rPr>
          <w:rFonts w:ascii="宋体" w:hAnsi="宋体" w:eastAsia="宋体" w:cs="宋体"/>
          <w:sz w:val="23"/>
          <w:szCs w:val="23"/>
        </w:rPr>
      </w:pPr>
      <w:r>
        <w:rPr>
          <w:rFonts w:ascii="宋体" w:hAnsi="宋体" w:eastAsia="宋体" w:cs="宋体"/>
          <w:spacing w:val="16"/>
          <w:sz w:val="23"/>
          <w:szCs w:val="23"/>
        </w:rPr>
        <w:t>合</w:t>
      </w:r>
      <w:r>
        <w:rPr>
          <w:rFonts w:ascii="宋体" w:hAnsi="宋体" w:eastAsia="宋体" w:cs="宋体"/>
          <w:spacing w:val="11"/>
          <w:sz w:val="23"/>
          <w:szCs w:val="23"/>
        </w:rPr>
        <w:t>格</w:t>
      </w:r>
      <w:r>
        <w:rPr>
          <w:rFonts w:ascii="宋体" w:hAnsi="宋体" w:eastAsia="宋体" w:cs="宋体"/>
          <w:spacing w:val="8"/>
          <w:sz w:val="23"/>
          <w:szCs w:val="23"/>
        </w:rPr>
        <w:t>投标人不足三家的，不得评标。</w:t>
      </w:r>
    </w:p>
    <w:p w14:paraId="373FC8E6">
      <w:pPr>
        <w:spacing w:before="117" w:line="321" w:lineRule="auto"/>
        <w:ind w:left="32" w:right="23" w:firstLine="478"/>
        <w:rPr>
          <w:rFonts w:ascii="宋体" w:hAnsi="宋体" w:eastAsia="宋体" w:cs="宋体"/>
          <w:sz w:val="23"/>
          <w:szCs w:val="23"/>
        </w:rPr>
      </w:pPr>
      <w:r>
        <w:rPr>
          <w:rFonts w:ascii="宋体" w:hAnsi="宋体" w:eastAsia="宋体" w:cs="宋体"/>
          <w:spacing w:val="24"/>
          <w:sz w:val="23"/>
          <w:szCs w:val="23"/>
        </w:rPr>
        <w:t>评</w:t>
      </w:r>
      <w:r>
        <w:rPr>
          <w:rFonts w:ascii="宋体" w:hAnsi="宋体" w:eastAsia="宋体" w:cs="宋体"/>
          <w:spacing w:val="16"/>
          <w:sz w:val="23"/>
          <w:szCs w:val="23"/>
        </w:rPr>
        <w:t>标</w:t>
      </w:r>
      <w:r>
        <w:rPr>
          <w:rFonts w:ascii="宋体" w:hAnsi="宋体" w:eastAsia="宋体" w:cs="宋体"/>
          <w:spacing w:val="12"/>
          <w:sz w:val="23"/>
          <w:szCs w:val="23"/>
        </w:rPr>
        <w:t>工作由采购代理机构负责组织，具体评标事务由采购代理机构依法组</w:t>
      </w:r>
      <w:r>
        <w:rPr>
          <w:rFonts w:ascii="宋体" w:hAnsi="宋体" w:eastAsia="宋体" w:cs="宋体"/>
          <w:spacing w:val="22"/>
          <w:sz w:val="23"/>
          <w:szCs w:val="23"/>
        </w:rPr>
        <w:t>建</w:t>
      </w:r>
      <w:r>
        <w:rPr>
          <w:rFonts w:ascii="宋体" w:hAnsi="宋体" w:eastAsia="宋体" w:cs="宋体"/>
          <w:spacing w:val="12"/>
          <w:sz w:val="23"/>
          <w:szCs w:val="23"/>
        </w:rPr>
        <w:t>的评标委员会负责。评标委员会由采购人代表和有关技术、经济、法律等方</w:t>
      </w:r>
      <w:r>
        <w:rPr>
          <w:rFonts w:ascii="宋体" w:hAnsi="宋体" w:eastAsia="宋体" w:cs="宋体"/>
          <w:spacing w:val="7"/>
          <w:sz w:val="23"/>
          <w:szCs w:val="23"/>
        </w:rPr>
        <w:t>面的专家组成。</w:t>
      </w:r>
    </w:p>
    <w:p w14:paraId="6407D047">
      <w:pPr>
        <w:spacing w:before="2" w:line="320" w:lineRule="auto"/>
        <w:ind w:left="30" w:right="23" w:firstLine="498"/>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.3 评标工作应遵循公平、公正、科学及择优的原则，并以相同的评标程</w:t>
      </w:r>
      <w:r>
        <w:rPr>
          <w:rFonts w:ascii="宋体" w:hAnsi="宋体" w:eastAsia="宋体" w:cs="宋体"/>
          <w:spacing w:val="15"/>
          <w:sz w:val="23"/>
          <w:szCs w:val="23"/>
        </w:rPr>
        <w:t>序</w:t>
      </w:r>
      <w:r>
        <w:rPr>
          <w:rFonts w:ascii="宋体" w:hAnsi="宋体" w:eastAsia="宋体" w:cs="宋体"/>
          <w:spacing w:val="8"/>
          <w:sz w:val="23"/>
          <w:szCs w:val="23"/>
        </w:rPr>
        <w:t>和标准对待所有的投标人。</w:t>
      </w:r>
    </w:p>
    <w:p w14:paraId="2B55E953">
      <w:pPr>
        <w:spacing w:before="2" w:line="321" w:lineRule="auto"/>
        <w:ind w:left="35" w:right="23" w:firstLine="493"/>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.4 评标委员会按照招标文件规定的评标方法和标准进行评标，并独立履</w:t>
      </w:r>
      <w:r>
        <w:rPr>
          <w:rFonts w:ascii="宋体" w:hAnsi="宋体" w:eastAsia="宋体" w:cs="宋体"/>
          <w:spacing w:val="6"/>
          <w:sz w:val="23"/>
          <w:szCs w:val="23"/>
        </w:rPr>
        <w:t>行下列职责：</w:t>
      </w:r>
    </w:p>
    <w:p w14:paraId="5F9C1F01">
      <w:pPr>
        <w:spacing w:line="228" w:lineRule="auto"/>
        <w:ind w:left="523"/>
        <w:rPr>
          <w:rFonts w:ascii="宋体" w:hAnsi="宋体" w:eastAsia="宋体" w:cs="宋体"/>
          <w:sz w:val="23"/>
          <w:szCs w:val="23"/>
        </w:rPr>
      </w:pPr>
      <w:r>
        <w:rPr>
          <w:rFonts w:hint="eastAsia" w:ascii="宋体" w:hAnsi="宋体" w:eastAsia="宋体" w:cs="宋体"/>
          <w:spacing w:val="12"/>
          <w:sz w:val="23"/>
          <w:szCs w:val="23"/>
          <w:lang w:eastAsia="zh-CN"/>
        </w:rPr>
        <w:t>（</w:t>
      </w:r>
      <w:r>
        <w:rPr>
          <w:rFonts w:ascii="宋体" w:hAnsi="宋体" w:eastAsia="宋体" w:cs="宋体"/>
          <w:spacing w:val="6"/>
          <w:sz w:val="23"/>
          <w:szCs w:val="23"/>
        </w:rPr>
        <w:t>一</w:t>
      </w:r>
      <w:r>
        <w:rPr>
          <w:rFonts w:hint="eastAsia" w:ascii="宋体" w:hAnsi="宋体" w:eastAsia="宋体" w:cs="宋体"/>
          <w:spacing w:val="6"/>
          <w:sz w:val="23"/>
          <w:szCs w:val="23"/>
          <w:lang w:eastAsia="zh-CN"/>
        </w:rPr>
        <w:t>）</w:t>
      </w:r>
      <w:r>
        <w:rPr>
          <w:rFonts w:ascii="宋体" w:hAnsi="宋体" w:eastAsia="宋体" w:cs="宋体"/>
          <w:spacing w:val="6"/>
          <w:sz w:val="23"/>
          <w:szCs w:val="23"/>
        </w:rPr>
        <w:t xml:space="preserve"> 熟悉和理解招标文件；</w:t>
      </w:r>
    </w:p>
    <w:p w14:paraId="1FC9F8C1">
      <w:pPr>
        <w:spacing w:before="113" w:line="322" w:lineRule="auto"/>
        <w:ind w:left="33" w:right="21" w:firstLine="489"/>
        <w:rPr>
          <w:rFonts w:ascii="宋体" w:hAnsi="宋体" w:eastAsia="宋体" w:cs="宋体"/>
          <w:sz w:val="23"/>
          <w:szCs w:val="23"/>
        </w:rPr>
      </w:pPr>
      <w:r>
        <w:rPr>
          <w:rFonts w:hint="eastAsia" w:ascii="宋体" w:hAnsi="宋体" w:eastAsia="宋体" w:cs="宋体"/>
          <w:spacing w:val="28"/>
          <w:sz w:val="23"/>
          <w:szCs w:val="23"/>
          <w:lang w:eastAsia="zh-CN"/>
        </w:rPr>
        <w:t>（</w:t>
      </w:r>
      <w:r>
        <w:rPr>
          <w:rFonts w:ascii="宋体" w:hAnsi="宋体" w:eastAsia="宋体" w:cs="宋体"/>
          <w:spacing w:val="15"/>
          <w:sz w:val="23"/>
          <w:szCs w:val="23"/>
        </w:rPr>
        <w:t>二</w:t>
      </w:r>
      <w:r>
        <w:rPr>
          <w:rFonts w:hint="eastAsia" w:ascii="宋体" w:hAnsi="宋体" w:eastAsia="宋体" w:cs="宋体"/>
          <w:spacing w:val="14"/>
          <w:sz w:val="23"/>
          <w:szCs w:val="23"/>
          <w:lang w:eastAsia="zh-CN"/>
        </w:rPr>
        <w:t>）</w:t>
      </w:r>
      <w:r>
        <w:rPr>
          <w:rFonts w:ascii="宋体" w:hAnsi="宋体" w:eastAsia="宋体" w:cs="宋体"/>
          <w:spacing w:val="14"/>
          <w:sz w:val="23"/>
          <w:szCs w:val="23"/>
        </w:rPr>
        <w:t xml:space="preserve"> 审查供应商</w:t>
      </w:r>
      <w:r>
        <w:rPr>
          <w:rFonts w:hint="eastAsia" w:ascii="宋体" w:hAnsi="宋体" w:eastAsia="宋体" w:cs="宋体"/>
          <w:spacing w:val="14"/>
          <w:sz w:val="23"/>
          <w:szCs w:val="23"/>
          <w:lang w:eastAsia="zh-CN"/>
        </w:rPr>
        <w:t>（</w:t>
      </w:r>
      <w:r>
        <w:rPr>
          <w:rFonts w:ascii="宋体" w:hAnsi="宋体" w:eastAsia="宋体" w:cs="宋体"/>
          <w:spacing w:val="14"/>
          <w:sz w:val="23"/>
          <w:szCs w:val="23"/>
        </w:rPr>
        <w:t>已通过资格审查</w:t>
      </w:r>
      <w:r>
        <w:rPr>
          <w:rFonts w:hint="eastAsia" w:ascii="宋体" w:hAnsi="宋体" w:eastAsia="宋体" w:cs="宋体"/>
          <w:spacing w:val="14"/>
          <w:sz w:val="23"/>
          <w:szCs w:val="23"/>
          <w:lang w:eastAsia="zh-CN"/>
        </w:rPr>
        <w:t>）</w:t>
      </w:r>
      <w:r>
        <w:rPr>
          <w:rFonts w:ascii="宋体" w:hAnsi="宋体" w:eastAsia="宋体" w:cs="宋体"/>
          <w:spacing w:val="14"/>
          <w:sz w:val="23"/>
          <w:szCs w:val="23"/>
        </w:rPr>
        <w:t>的投标文件等是否满足招标文件要</w:t>
      </w:r>
      <w:r>
        <w:rPr>
          <w:rFonts w:ascii="宋体" w:hAnsi="宋体" w:eastAsia="宋体" w:cs="宋体"/>
          <w:spacing w:val="9"/>
          <w:sz w:val="23"/>
          <w:szCs w:val="23"/>
        </w:rPr>
        <w:t>求</w:t>
      </w:r>
      <w:r>
        <w:rPr>
          <w:rFonts w:ascii="宋体" w:hAnsi="宋体" w:eastAsia="宋体" w:cs="宋体"/>
          <w:spacing w:val="7"/>
          <w:sz w:val="23"/>
          <w:szCs w:val="23"/>
        </w:rPr>
        <w:t>，并作出评价；</w:t>
      </w:r>
    </w:p>
    <w:p w14:paraId="7F6CCAE3">
      <w:pPr>
        <w:spacing w:before="2" w:line="320" w:lineRule="auto"/>
        <w:ind w:left="31" w:right="23" w:firstLine="491"/>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三</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根据需要要求招标采购单位对招标文件作出解释；根据需要要求供</w:t>
      </w:r>
      <w:r>
        <w:rPr>
          <w:rFonts w:ascii="宋体" w:hAnsi="宋体" w:eastAsia="宋体" w:cs="宋体"/>
          <w:spacing w:val="12"/>
          <w:sz w:val="23"/>
          <w:szCs w:val="23"/>
        </w:rPr>
        <w:t>应</w:t>
      </w:r>
      <w:r>
        <w:rPr>
          <w:rFonts w:ascii="宋体" w:hAnsi="宋体" w:eastAsia="宋体" w:cs="宋体"/>
          <w:spacing w:val="9"/>
          <w:sz w:val="23"/>
          <w:szCs w:val="23"/>
        </w:rPr>
        <w:t>商对投标文件有关事项作出澄清、说明或者更正；</w:t>
      </w:r>
    </w:p>
    <w:p w14:paraId="533518CA">
      <w:pPr>
        <w:spacing w:before="1" w:line="227"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4"/>
          <w:sz w:val="23"/>
          <w:szCs w:val="23"/>
        </w:rPr>
        <w:t>四</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推荐中标候选供应商，或者受采购人委托确定中标供应商；</w:t>
      </w:r>
    </w:p>
    <w:p w14:paraId="13901999">
      <w:pPr>
        <w:spacing w:before="117" w:line="227"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4"/>
          <w:sz w:val="23"/>
          <w:szCs w:val="23"/>
        </w:rPr>
        <w:t>五</w:t>
      </w:r>
      <w:r>
        <w:rPr>
          <w:rFonts w:hint="eastAsia" w:ascii="宋体" w:hAnsi="宋体" w:eastAsia="宋体" w:cs="宋体"/>
          <w:spacing w:val="14"/>
          <w:sz w:val="23"/>
          <w:szCs w:val="23"/>
          <w:lang w:eastAsia="zh-CN"/>
        </w:rPr>
        <w:t>）</w:t>
      </w:r>
      <w:r>
        <w:rPr>
          <w:rFonts w:ascii="宋体" w:hAnsi="宋体" w:eastAsia="宋体" w:cs="宋体"/>
          <w:spacing w:val="14"/>
          <w:sz w:val="23"/>
          <w:szCs w:val="23"/>
        </w:rPr>
        <w:t xml:space="preserve"> 起草评标报告并进行签署；</w:t>
      </w:r>
    </w:p>
    <w:p w14:paraId="0154A296">
      <w:pPr>
        <w:spacing w:before="115" w:line="322" w:lineRule="auto"/>
        <w:ind w:left="32" w:right="2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六</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向招标采购单位、财政部门或者其他监督部门报告非法干预评标工</w:t>
      </w:r>
      <w:r>
        <w:rPr>
          <w:rFonts w:ascii="宋体" w:hAnsi="宋体" w:eastAsia="宋体" w:cs="宋体"/>
          <w:spacing w:val="6"/>
          <w:sz w:val="23"/>
          <w:szCs w:val="23"/>
        </w:rPr>
        <w:t>作的行为</w:t>
      </w:r>
      <w:r>
        <w:rPr>
          <w:rFonts w:ascii="宋体" w:hAnsi="宋体" w:eastAsia="宋体" w:cs="宋体"/>
          <w:spacing w:val="5"/>
          <w:sz w:val="23"/>
          <w:szCs w:val="23"/>
        </w:rPr>
        <w:t>；</w:t>
      </w:r>
    </w:p>
    <w:p w14:paraId="2A96B983">
      <w:pPr>
        <w:spacing w:line="228" w:lineRule="auto"/>
        <w:ind w:left="523"/>
        <w:rPr>
          <w:rFonts w:ascii="宋体" w:hAnsi="宋体" w:eastAsia="宋体" w:cs="宋体"/>
          <w:sz w:val="23"/>
          <w:szCs w:val="23"/>
        </w:rPr>
      </w:pPr>
      <w:r>
        <w:rPr>
          <w:rFonts w:hint="eastAsia" w:ascii="宋体" w:hAnsi="宋体" w:eastAsia="宋体" w:cs="宋体"/>
          <w:spacing w:val="26"/>
          <w:sz w:val="23"/>
          <w:szCs w:val="23"/>
          <w:lang w:eastAsia="zh-CN"/>
        </w:rPr>
        <w:t>（</w:t>
      </w:r>
      <w:r>
        <w:rPr>
          <w:rFonts w:ascii="宋体" w:hAnsi="宋体" w:eastAsia="宋体" w:cs="宋体"/>
          <w:spacing w:val="14"/>
          <w:sz w:val="23"/>
          <w:szCs w:val="23"/>
        </w:rPr>
        <w:t>七</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法律、法规和规章规定的其他职责。</w:t>
      </w:r>
    </w:p>
    <w:p w14:paraId="2C1DEE21">
      <w:pPr>
        <w:spacing w:before="114" w:line="322" w:lineRule="auto"/>
        <w:ind w:left="34" w:right="23" w:firstLine="494"/>
        <w:rPr>
          <w:rFonts w:ascii="宋体" w:hAnsi="宋体" w:eastAsia="宋体" w:cs="宋体"/>
          <w:sz w:val="23"/>
          <w:szCs w:val="23"/>
        </w:rPr>
      </w:pPr>
      <w:r>
        <w:rPr>
          <w:rFonts w:ascii="宋体" w:hAnsi="宋体" w:eastAsia="宋体" w:cs="宋体"/>
          <w:spacing w:val="18"/>
          <w:sz w:val="23"/>
          <w:szCs w:val="23"/>
        </w:rPr>
        <w:t>1</w:t>
      </w:r>
      <w:r>
        <w:rPr>
          <w:rFonts w:ascii="宋体" w:hAnsi="宋体" w:eastAsia="宋体" w:cs="宋体"/>
          <w:spacing w:val="11"/>
          <w:sz w:val="23"/>
          <w:szCs w:val="23"/>
        </w:rPr>
        <w:t>.5 评标过程独立、保密。投标人非法干预评标评标过程的行为将导致其</w:t>
      </w:r>
      <w:r>
        <w:rPr>
          <w:rFonts w:ascii="宋体" w:hAnsi="宋体" w:eastAsia="宋体" w:cs="宋体"/>
          <w:spacing w:val="8"/>
          <w:sz w:val="23"/>
          <w:szCs w:val="23"/>
        </w:rPr>
        <w:t>投标文件作为无效处理</w:t>
      </w:r>
      <w:r>
        <w:rPr>
          <w:rFonts w:ascii="宋体" w:hAnsi="宋体" w:eastAsia="宋体" w:cs="宋体"/>
          <w:spacing w:val="7"/>
          <w:sz w:val="23"/>
          <w:szCs w:val="23"/>
        </w:rPr>
        <w:t>。</w:t>
      </w:r>
    </w:p>
    <w:p w14:paraId="606B82C4">
      <w:pPr>
        <w:spacing w:line="328" w:lineRule="auto"/>
        <w:ind w:left="33" w:right="23" w:firstLine="495"/>
        <w:rPr>
          <w:rFonts w:ascii="宋体" w:hAnsi="宋体" w:eastAsia="宋体" w:cs="宋体"/>
          <w:sz w:val="23"/>
          <w:szCs w:val="23"/>
        </w:rPr>
      </w:pPr>
      <w:r>
        <w:rPr>
          <w:rFonts w:ascii="宋体" w:hAnsi="宋体" w:eastAsia="宋体" w:cs="宋体"/>
          <w:spacing w:val="8"/>
          <w:sz w:val="23"/>
          <w:szCs w:val="23"/>
        </w:rPr>
        <w:t>1.</w:t>
      </w:r>
      <w:r>
        <w:rPr>
          <w:rFonts w:ascii="宋体" w:hAnsi="宋体" w:eastAsia="宋体" w:cs="宋体"/>
          <w:spacing w:val="7"/>
          <w:sz w:val="23"/>
          <w:szCs w:val="23"/>
        </w:rPr>
        <w:t>6</w:t>
      </w:r>
      <w:r>
        <w:rPr>
          <w:rFonts w:ascii="宋体" w:hAnsi="宋体" w:eastAsia="宋体" w:cs="宋体"/>
          <w:spacing w:val="4"/>
          <w:sz w:val="23"/>
          <w:szCs w:val="23"/>
        </w:rPr>
        <w:t xml:space="preserve"> 评标委员会评价投标文件的响应性，对于投标人而言，除评标委员会要</w:t>
      </w:r>
      <w:r>
        <w:rPr>
          <w:rFonts w:ascii="宋体" w:hAnsi="宋体" w:eastAsia="宋体" w:cs="宋体"/>
          <w:spacing w:val="21"/>
          <w:sz w:val="23"/>
          <w:szCs w:val="23"/>
        </w:rPr>
        <w:t>求</w:t>
      </w:r>
      <w:r>
        <w:rPr>
          <w:rFonts w:ascii="宋体" w:hAnsi="宋体" w:eastAsia="宋体" w:cs="宋体"/>
          <w:spacing w:val="12"/>
          <w:sz w:val="23"/>
          <w:szCs w:val="23"/>
        </w:rPr>
        <w:t>其澄清、说明或者更正而提供的资料外，仅依据投标文件本身的内容，不寻</w:t>
      </w:r>
      <w:r>
        <w:rPr>
          <w:rFonts w:ascii="宋体" w:hAnsi="宋体" w:eastAsia="宋体" w:cs="宋体"/>
          <w:sz w:val="23"/>
          <w:szCs w:val="23"/>
        </w:rPr>
        <w:t xml:space="preserve"> </w:t>
      </w:r>
      <w:r>
        <w:rPr>
          <w:rFonts w:ascii="宋体" w:hAnsi="宋体" w:eastAsia="宋体" w:cs="宋体"/>
          <w:spacing w:val="9"/>
          <w:sz w:val="23"/>
          <w:szCs w:val="23"/>
        </w:rPr>
        <w:t>求</w:t>
      </w:r>
      <w:r>
        <w:rPr>
          <w:rFonts w:ascii="宋体" w:hAnsi="宋体" w:eastAsia="宋体" w:cs="宋体"/>
          <w:spacing w:val="7"/>
          <w:sz w:val="23"/>
          <w:szCs w:val="23"/>
        </w:rPr>
        <w:t>其他外部证据。</w:t>
      </w:r>
    </w:p>
    <w:p w14:paraId="7AE0D427">
      <w:pPr>
        <w:spacing w:line="245" w:lineRule="auto"/>
        <w:rPr>
          <w:rFonts w:ascii="Arial"/>
          <w:sz w:val="21"/>
        </w:rPr>
      </w:pPr>
    </w:p>
    <w:p w14:paraId="54B53B53">
      <w:pPr>
        <w:spacing w:line="246" w:lineRule="auto"/>
        <w:rPr>
          <w:rFonts w:ascii="Arial"/>
          <w:sz w:val="21"/>
        </w:rPr>
      </w:pPr>
    </w:p>
    <w:p w14:paraId="1E2B851B">
      <w:pPr>
        <w:spacing w:before="78" w:line="384" w:lineRule="auto"/>
        <w:ind w:firstLine="480" w:firstLineChars="20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2、评标方法</w:t>
      </w:r>
    </w:p>
    <w:p w14:paraId="7E376B30">
      <w:pPr>
        <w:spacing w:line="411" w:lineRule="auto"/>
        <w:rPr>
          <w:rFonts w:ascii="Arial"/>
          <w:sz w:val="21"/>
        </w:rPr>
      </w:pPr>
    </w:p>
    <w:p w14:paraId="1F0D0E38">
      <w:pPr>
        <w:spacing w:before="74" w:line="227" w:lineRule="auto"/>
        <w:ind w:left="512"/>
        <w:rPr>
          <w:rFonts w:ascii="宋体" w:hAnsi="宋体" w:eastAsia="宋体" w:cs="宋体"/>
          <w:sz w:val="23"/>
          <w:szCs w:val="23"/>
        </w:rPr>
      </w:pPr>
      <w:r>
        <w:rPr>
          <w:rFonts w:ascii="宋体" w:hAnsi="宋体" w:eastAsia="宋体" w:cs="宋体"/>
          <w:spacing w:val="16"/>
          <w:sz w:val="23"/>
          <w:szCs w:val="23"/>
        </w:rPr>
        <w:t>本</w:t>
      </w:r>
      <w:r>
        <w:rPr>
          <w:rFonts w:ascii="宋体" w:hAnsi="宋体" w:eastAsia="宋体" w:cs="宋体"/>
          <w:spacing w:val="9"/>
          <w:sz w:val="23"/>
          <w:szCs w:val="23"/>
        </w:rPr>
        <w:t>项</w:t>
      </w:r>
      <w:r>
        <w:rPr>
          <w:rFonts w:ascii="宋体" w:hAnsi="宋体" w:eastAsia="宋体" w:cs="宋体"/>
          <w:spacing w:val="8"/>
          <w:sz w:val="23"/>
          <w:szCs w:val="23"/>
        </w:rPr>
        <w:t>目评标方法为：综合评分法。</w:t>
      </w:r>
    </w:p>
    <w:p w14:paraId="5F36F821">
      <w:pPr>
        <w:spacing w:line="440" w:lineRule="auto"/>
        <w:rPr>
          <w:rFonts w:ascii="Arial"/>
          <w:sz w:val="21"/>
        </w:rPr>
      </w:pPr>
    </w:p>
    <w:p w14:paraId="4FE9A460">
      <w:pPr>
        <w:spacing w:before="78" w:line="384" w:lineRule="auto"/>
        <w:ind w:firstLine="480" w:firstLineChars="200"/>
        <w:jc w:val="both"/>
        <w:rPr>
          <w:rFonts w:hint="eastAsia" w:ascii="Times New Roman" w:hAnsi="Times New Roman" w:eastAsia="Times New Roman" w:cs="Times New Roman"/>
          <w:b/>
          <w:bCs/>
          <w:sz w:val="24"/>
          <w:szCs w:val="24"/>
        </w:rPr>
      </w:pPr>
      <w:r>
        <w:rPr>
          <w:rFonts w:hint="eastAsia" w:ascii="Times New Roman" w:hAnsi="Times New Roman" w:eastAsia="Times New Roman" w:cs="Times New Roman"/>
          <w:b/>
          <w:bCs/>
          <w:sz w:val="24"/>
          <w:szCs w:val="24"/>
        </w:rPr>
        <w:t>3、  评标程序</w:t>
      </w:r>
    </w:p>
    <w:p w14:paraId="34B748AE">
      <w:pPr>
        <w:spacing w:before="75" w:line="228" w:lineRule="auto"/>
        <w:ind w:left="516"/>
        <w:rPr>
          <w:rFonts w:ascii="宋体" w:hAnsi="宋体" w:eastAsia="宋体" w:cs="宋体"/>
          <w:sz w:val="23"/>
          <w:szCs w:val="23"/>
        </w:rPr>
      </w:pPr>
      <w:r>
        <w:rPr>
          <w:rFonts w:ascii="宋体" w:hAnsi="宋体" w:eastAsia="宋体" w:cs="宋体"/>
          <w:spacing w:val="8"/>
          <w:sz w:val="23"/>
          <w:szCs w:val="23"/>
        </w:rPr>
        <w:t>3.</w:t>
      </w:r>
      <w:r>
        <w:rPr>
          <w:rFonts w:ascii="宋体" w:hAnsi="宋体" w:eastAsia="宋体" w:cs="宋体"/>
          <w:spacing w:val="5"/>
          <w:sz w:val="23"/>
          <w:szCs w:val="23"/>
        </w:rPr>
        <w:t>1</w:t>
      </w:r>
      <w:r>
        <w:rPr>
          <w:rFonts w:ascii="宋体" w:hAnsi="宋体" w:eastAsia="宋体" w:cs="宋体"/>
          <w:spacing w:val="4"/>
          <w:sz w:val="23"/>
          <w:szCs w:val="23"/>
        </w:rPr>
        <w:t xml:space="preserve"> 熟悉和理解招标文件和停止评标。</w:t>
      </w:r>
    </w:p>
    <w:p w14:paraId="24A4A0F6">
      <w:pPr>
        <w:spacing w:before="117" w:line="321" w:lineRule="auto"/>
        <w:ind w:left="31" w:right="23" w:firstLine="484"/>
        <w:rPr>
          <w:rFonts w:ascii="宋体" w:hAnsi="宋体" w:eastAsia="宋体" w:cs="宋体"/>
          <w:sz w:val="23"/>
          <w:szCs w:val="23"/>
        </w:rPr>
      </w:pPr>
      <w:r>
        <w:rPr>
          <w:rFonts w:ascii="宋体" w:hAnsi="宋体" w:eastAsia="宋体" w:cs="宋体"/>
          <w:spacing w:val="8"/>
          <w:sz w:val="23"/>
          <w:szCs w:val="23"/>
        </w:rPr>
        <w:t>3.1.1</w:t>
      </w:r>
      <w:r>
        <w:rPr>
          <w:rFonts w:ascii="宋体" w:hAnsi="宋体" w:eastAsia="宋体" w:cs="宋体"/>
          <w:spacing w:val="4"/>
          <w:sz w:val="23"/>
          <w:szCs w:val="23"/>
        </w:rPr>
        <w:t xml:space="preserve"> 评标委员会正式评标前，应当对招标文件进行熟悉和理解，内容主要</w:t>
      </w:r>
      <w:r>
        <w:rPr>
          <w:rFonts w:ascii="宋体" w:hAnsi="宋体" w:eastAsia="宋体" w:cs="宋体"/>
          <w:spacing w:val="23"/>
          <w:sz w:val="23"/>
          <w:szCs w:val="23"/>
        </w:rPr>
        <w:t>包</w:t>
      </w:r>
      <w:r>
        <w:rPr>
          <w:rFonts w:ascii="宋体" w:hAnsi="宋体" w:eastAsia="宋体" w:cs="宋体"/>
          <w:spacing w:val="12"/>
          <w:sz w:val="23"/>
          <w:szCs w:val="23"/>
        </w:rPr>
        <w:t>括招标文件中投标人资格条件要求、采购项目技术、服务和商务要求、评标</w:t>
      </w:r>
      <w:r>
        <w:rPr>
          <w:rFonts w:ascii="宋体" w:hAnsi="宋体" w:eastAsia="宋体" w:cs="宋体"/>
          <w:spacing w:val="13"/>
          <w:sz w:val="23"/>
          <w:szCs w:val="23"/>
        </w:rPr>
        <w:t>方</w:t>
      </w:r>
      <w:r>
        <w:rPr>
          <w:rFonts w:ascii="宋体" w:hAnsi="宋体" w:eastAsia="宋体" w:cs="宋体"/>
          <w:spacing w:val="9"/>
          <w:sz w:val="23"/>
          <w:szCs w:val="23"/>
        </w:rPr>
        <w:t>法和标准以及可能涉及签订政府采购合同的内容等。</w:t>
      </w:r>
    </w:p>
    <w:p w14:paraId="329E308E">
      <w:pPr>
        <w:spacing w:before="2" w:line="320" w:lineRule="auto"/>
        <w:ind w:left="39" w:right="23" w:firstLine="477"/>
        <w:rPr>
          <w:rFonts w:ascii="宋体" w:hAnsi="宋体" w:eastAsia="宋体" w:cs="宋体"/>
          <w:sz w:val="23"/>
          <w:szCs w:val="23"/>
        </w:rPr>
      </w:pPr>
      <w:r>
        <w:rPr>
          <w:rFonts w:ascii="宋体" w:hAnsi="宋体" w:eastAsia="宋体" w:cs="宋体"/>
          <w:spacing w:val="8"/>
          <w:sz w:val="23"/>
          <w:szCs w:val="23"/>
        </w:rPr>
        <w:t>3.1.2</w:t>
      </w:r>
      <w:r>
        <w:rPr>
          <w:rFonts w:ascii="宋体" w:hAnsi="宋体" w:eastAsia="宋体" w:cs="宋体"/>
          <w:spacing w:val="4"/>
          <w:sz w:val="23"/>
          <w:szCs w:val="23"/>
        </w:rPr>
        <w:t xml:space="preserve"> 评标委员会熟悉和理解招标文件以及评标过程中，发现本招标文件有</w:t>
      </w:r>
      <w:r>
        <w:rPr>
          <w:rFonts w:ascii="宋体" w:hAnsi="宋体" w:eastAsia="宋体" w:cs="宋体"/>
          <w:spacing w:val="16"/>
          <w:sz w:val="23"/>
          <w:szCs w:val="23"/>
        </w:rPr>
        <w:t>下</w:t>
      </w:r>
      <w:r>
        <w:rPr>
          <w:rFonts w:ascii="宋体" w:hAnsi="宋体" w:eastAsia="宋体" w:cs="宋体"/>
          <w:spacing w:val="13"/>
          <w:sz w:val="23"/>
          <w:szCs w:val="23"/>
        </w:rPr>
        <w:t>列</w:t>
      </w:r>
      <w:r>
        <w:rPr>
          <w:rFonts w:ascii="宋体" w:hAnsi="宋体" w:eastAsia="宋体" w:cs="宋体"/>
          <w:spacing w:val="8"/>
          <w:sz w:val="23"/>
          <w:szCs w:val="23"/>
        </w:rPr>
        <w:t>情形之一的，评标委员会应当停止评标：</w:t>
      </w:r>
    </w:p>
    <w:p w14:paraId="0037B9EC">
      <w:pPr>
        <w:spacing w:line="228" w:lineRule="auto"/>
        <w:ind w:left="523"/>
        <w:rPr>
          <w:rFonts w:ascii="宋体" w:hAnsi="宋体" w:eastAsia="宋体" w:cs="宋体"/>
          <w:sz w:val="23"/>
          <w:szCs w:val="23"/>
        </w:rPr>
      </w:pPr>
      <w:r>
        <w:rPr>
          <w:rFonts w:hint="eastAsia" w:ascii="宋体" w:hAnsi="宋体" w:eastAsia="宋体" w:cs="宋体"/>
          <w:spacing w:val="16"/>
          <w:sz w:val="23"/>
          <w:szCs w:val="23"/>
          <w:lang w:eastAsia="zh-CN"/>
        </w:rPr>
        <w:t>（</w:t>
      </w:r>
      <w:r>
        <w:rPr>
          <w:rFonts w:ascii="宋体" w:hAnsi="宋体" w:eastAsia="宋体" w:cs="宋体"/>
          <w:spacing w:val="13"/>
          <w:sz w:val="23"/>
          <w:szCs w:val="23"/>
        </w:rPr>
        <w:t>1</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招标文件的规定存在歧义、重大缺陷的；</w:t>
      </w:r>
    </w:p>
    <w:p w14:paraId="7B47E95E">
      <w:pPr>
        <w:spacing w:before="117" w:line="227" w:lineRule="auto"/>
        <w:ind w:left="523"/>
        <w:rPr>
          <w:rFonts w:ascii="宋体" w:hAnsi="宋体" w:eastAsia="宋体" w:cs="宋体"/>
          <w:sz w:val="23"/>
          <w:szCs w:val="23"/>
        </w:rPr>
      </w:pPr>
      <w:r>
        <w:rPr>
          <w:rFonts w:hint="eastAsia" w:ascii="宋体" w:hAnsi="宋体" w:eastAsia="宋体" w:cs="宋体"/>
          <w:spacing w:val="13"/>
          <w:sz w:val="23"/>
          <w:szCs w:val="23"/>
          <w:lang w:eastAsia="zh-CN"/>
        </w:rPr>
        <w:t>（</w:t>
      </w:r>
      <w:r>
        <w:rPr>
          <w:rFonts w:ascii="宋体" w:hAnsi="宋体" w:eastAsia="宋体" w:cs="宋体"/>
          <w:spacing w:val="12"/>
          <w:sz w:val="23"/>
          <w:szCs w:val="23"/>
        </w:rPr>
        <w:t>2</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招标文件明显以不合理条件对供应商实行差别待遇或者歧视待遇的；</w:t>
      </w:r>
    </w:p>
    <w:p w14:paraId="3226E111">
      <w:pPr>
        <w:spacing w:before="115" w:line="322" w:lineRule="auto"/>
        <w:ind w:left="31" w:right="23" w:firstLine="491"/>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3"/>
          <w:sz w:val="23"/>
          <w:szCs w:val="23"/>
        </w:rPr>
        <w:t>3</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采购项目属于国家规定的优先、强制采购范围，但是招标文件未依法</w:t>
      </w:r>
      <w:r>
        <w:rPr>
          <w:rFonts w:ascii="宋体" w:hAnsi="宋体" w:eastAsia="宋体" w:cs="宋体"/>
          <w:spacing w:val="16"/>
          <w:sz w:val="23"/>
          <w:szCs w:val="23"/>
        </w:rPr>
        <w:t>体</w:t>
      </w:r>
      <w:r>
        <w:rPr>
          <w:rFonts w:ascii="宋体" w:hAnsi="宋体" w:eastAsia="宋体" w:cs="宋体"/>
          <w:spacing w:val="10"/>
          <w:sz w:val="23"/>
          <w:szCs w:val="23"/>
        </w:rPr>
        <w:t>现</w:t>
      </w:r>
      <w:r>
        <w:rPr>
          <w:rFonts w:ascii="宋体" w:hAnsi="宋体" w:eastAsia="宋体" w:cs="宋体"/>
          <w:spacing w:val="8"/>
          <w:sz w:val="23"/>
          <w:szCs w:val="23"/>
        </w:rPr>
        <w:t>优先、强制采购相关规定的；</w:t>
      </w:r>
    </w:p>
    <w:p w14:paraId="547CD76F">
      <w:pPr>
        <w:spacing w:before="2" w:line="320" w:lineRule="auto"/>
        <w:ind w:left="32" w:right="2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3"/>
          <w:sz w:val="23"/>
          <w:szCs w:val="23"/>
        </w:rPr>
        <w:t>4</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采购项目属于政府采购促进中小企业发展的范围，但是招标文件未依</w:t>
      </w:r>
      <w:r>
        <w:rPr>
          <w:rFonts w:ascii="宋体" w:hAnsi="宋体" w:eastAsia="宋体" w:cs="宋体"/>
          <w:spacing w:val="9"/>
          <w:sz w:val="23"/>
          <w:szCs w:val="23"/>
        </w:rPr>
        <w:t>法体现促进中小企业发展相关规定的</w:t>
      </w:r>
      <w:r>
        <w:rPr>
          <w:rFonts w:ascii="宋体" w:hAnsi="宋体" w:eastAsia="宋体" w:cs="宋体"/>
          <w:spacing w:val="5"/>
          <w:sz w:val="23"/>
          <w:szCs w:val="23"/>
        </w:rPr>
        <w:t>；</w:t>
      </w:r>
    </w:p>
    <w:p w14:paraId="630AAF7E">
      <w:pPr>
        <w:spacing w:before="1" w:line="320" w:lineRule="auto"/>
        <w:ind w:left="32" w:right="2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3"/>
          <w:sz w:val="23"/>
          <w:szCs w:val="23"/>
        </w:rPr>
        <w:t>5</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招标文件规定的评标方法是综合评分法、最低评标价法之外的评标方</w:t>
      </w:r>
      <w:r>
        <w:rPr>
          <w:rFonts w:ascii="宋体" w:hAnsi="宋体" w:eastAsia="宋体" w:cs="宋体"/>
          <w:spacing w:val="18"/>
          <w:sz w:val="23"/>
          <w:szCs w:val="23"/>
        </w:rPr>
        <w:t>法</w:t>
      </w:r>
      <w:r>
        <w:rPr>
          <w:rFonts w:ascii="宋体" w:hAnsi="宋体" w:eastAsia="宋体" w:cs="宋体"/>
          <w:spacing w:val="13"/>
          <w:sz w:val="23"/>
          <w:szCs w:val="23"/>
        </w:rPr>
        <w:t>，</w:t>
      </w:r>
      <w:r>
        <w:rPr>
          <w:rFonts w:ascii="宋体" w:hAnsi="宋体" w:eastAsia="宋体" w:cs="宋体"/>
          <w:spacing w:val="9"/>
          <w:sz w:val="23"/>
          <w:szCs w:val="23"/>
        </w:rPr>
        <w:t>或者虽然名称为综合评分法、最低评标价法，但实际上不符合国家规定；</w:t>
      </w:r>
    </w:p>
    <w:p w14:paraId="15371B24">
      <w:pPr>
        <w:spacing w:before="1" w:line="228"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9"/>
          <w:sz w:val="23"/>
          <w:szCs w:val="23"/>
        </w:rPr>
        <w:t>6</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招标文件将投标人的资格条件列为评分因素的；</w:t>
      </w:r>
    </w:p>
    <w:p w14:paraId="26EFCFB6">
      <w:pPr>
        <w:spacing w:before="116" w:line="228"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7"/>
          <w:sz w:val="23"/>
          <w:szCs w:val="23"/>
        </w:rPr>
        <w:t>7</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招标文件有违反国家其他有关强制性规定的情形。</w:t>
      </w:r>
    </w:p>
    <w:p w14:paraId="4B81D83B">
      <w:pPr>
        <w:spacing w:before="117" w:line="321" w:lineRule="auto"/>
        <w:ind w:left="30" w:right="23" w:firstLine="485"/>
        <w:rPr>
          <w:rFonts w:ascii="宋体" w:hAnsi="宋体" w:eastAsia="宋体" w:cs="宋体"/>
          <w:sz w:val="23"/>
          <w:szCs w:val="23"/>
        </w:rPr>
      </w:pPr>
      <w:r>
        <w:rPr>
          <w:rFonts w:ascii="宋体" w:hAnsi="宋体" w:eastAsia="宋体" w:cs="宋体"/>
          <w:spacing w:val="2"/>
          <w:sz w:val="23"/>
          <w:szCs w:val="23"/>
        </w:rPr>
        <w:t>3.1.4 出现本</w:t>
      </w:r>
      <w:r>
        <w:rPr>
          <w:rFonts w:ascii="宋体" w:hAnsi="宋体" w:eastAsia="宋体" w:cs="宋体"/>
          <w:spacing w:val="1"/>
          <w:sz w:val="23"/>
          <w:szCs w:val="23"/>
        </w:rPr>
        <w:t>条 3.1.2 规定应当停止评标情形的，评标委员会成员应当向招</w:t>
      </w:r>
      <w:r>
        <w:rPr>
          <w:rFonts w:ascii="宋体" w:hAnsi="宋体" w:eastAsia="宋体" w:cs="宋体"/>
          <w:spacing w:val="24"/>
          <w:sz w:val="23"/>
          <w:szCs w:val="23"/>
        </w:rPr>
        <w:t>标</w:t>
      </w:r>
      <w:r>
        <w:rPr>
          <w:rFonts w:ascii="宋体" w:hAnsi="宋体" w:eastAsia="宋体" w:cs="宋体"/>
          <w:spacing w:val="12"/>
          <w:sz w:val="23"/>
          <w:szCs w:val="23"/>
        </w:rPr>
        <w:t>采购单位书面说明情况。除本条规定和评标委员会无法依法组建的情形外，评</w:t>
      </w:r>
      <w:r>
        <w:rPr>
          <w:rFonts w:ascii="宋体" w:hAnsi="宋体" w:eastAsia="宋体" w:cs="宋体"/>
          <w:spacing w:val="9"/>
          <w:sz w:val="23"/>
          <w:szCs w:val="23"/>
        </w:rPr>
        <w:t>标委员会成员不得以任何方式和理由停止评标。</w:t>
      </w:r>
    </w:p>
    <w:p w14:paraId="7869F8F3">
      <w:pPr>
        <w:spacing w:line="228" w:lineRule="auto"/>
        <w:ind w:left="516"/>
        <w:rPr>
          <w:rFonts w:ascii="宋体" w:hAnsi="宋体" w:eastAsia="宋体" w:cs="宋体"/>
          <w:sz w:val="23"/>
          <w:szCs w:val="23"/>
        </w:rPr>
      </w:pPr>
      <w:r>
        <w:rPr>
          <w:rFonts w:ascii="宋体" w:hAnsi="宋体" w:eastAsia="宋体" w:cs="宋体"/>
          <w:spacing w:val="-1"/>
          <w:sz w:val="23"/>
          <w:szCs w:val="23"/>
        </w:rPr>
        <w:t>3.2 符</w:t>
      </w:r>
      <w:r>
        <w:rPr>
          <w:rFonts w:ascii="宋体" w:hAnsi="宋体" w:eastAsia="宋体" w:cs="宋体"/>
          <w:sz w:val="23"/>
          <w:szCs w:val="23"/>
        </w:rPr>
        <w:t>合性检查。</w:t>
      </w:r>
    </w:p>
    <w:p w14:paraId="3014D289">
      <w:pPr>
        <w:spacing w:before="117" w:line="321" w:lineRule="auto"/>
        <w:ind w:left="29" w:right="23" w:firstLine="486"/>
        <w:rPr>
          <w:rFonts w:ascii="宋体" w:hAnsi="宋体" w:eastAsia="宋体" w:cs="宋体"/>
          <w:sz w:val="23"/>
          <w:szCs w:val="23"/>
        </w:rPr>
      </w:pPr>
      <w:r>
        <w:rPr>
          <w:rFonts w:ascii="宋体" w:hAnsi="宋体" w:eastAsia="宋体" w:cs="宋体"/>
          <w:spacing w:val="8"/>
          <w:sz w:val="23"/>
          <w:szCs w:val="23"/>
        </w:rPr>
        <w:t>3.2.1</w:t>
      </w:r>
      <w:r>
        <w:rPr>
          <w:rFonts w:ascii="宋体" w:hAnsi="宋体" w:eastAsia="宋体" w:cs="宋体"/>
          <w:spacing w:val="4"/>
          <w:sz w:val="23"/>
          <w:szCs w:val="23"/>
        </w:rPr>
        <w:t xml:space="preserve"> 评标委员会依据本招标文件的实质性要求，对符合资格的投标文件进</w:t>
      </w:r>
      <w:r>
        <w:rPr>
          <w:rFonts w:ascii="宋体" w:hAnsi="宋体" w:eastAsia="宋体" w:cs="宋体"/>
          <w:spacing w:val="16"/>
          <w:sz w:val="23"/>
          <w:szCs w:val="23"/>
        </w:rPr>
        <w:t>行审查</w:t>
      </w:r>
      <w:r>
        <w:rPr>
          <w:rFonts w:ascii="宋体" w:hAnsi="宋体" w:eastAsia="宋体" w:cs="宋体"/>
          <w:spacing w:val="10"/>
          <w:sz w:val="23"/>
          <w:szCs w:val="23"/>
        </w:rPr>
        <w:t>，</w:t>
      </w:r>
      <w:r>
        <w:rPr>
          <w:rFonts w:ascii="宋体" w:hAnsi="宋体" w:eastAsia="宋体" w:cs="宋体"/>
          <w:spacing w:val="8"/>
          <w:sz w:val="23"/>
          <w:szCs w:val="23"/>
        </w:rPr>
        <w:t>以确定其是否满足本招标文件的实质性要求。本项目符合性审查事项</w:t>
      </w:r>
      <w:r>
        <w:rPr>
          <w:rFonts w:ascii="宋体" w:hAnsi="宋体" w:eastAsia="宋体" w:cs="宋体"/>
          <w:spacing w:val="24"/>
          <w:sz w:val="23"/>
          <w:szCs w:val="23"/>
        </w:rPr>
        <w:t>仅</w:t>
      </w:r>
      <w:r>
        <w:rPr>
          <w:rFonts w:ascii="宋体" w:hAnsi="宋体" w:eastAsia="宋体" w:cs="宋体"/>
          <w:spacing w:val="13"/>
          <w:sz w:val="23"/>
          <w:szCs w:val="23"/>
        </w:rPr>
        <w:t>限</w:t>
      </w:r>
      <w:r>
        <w:rPr>
          <w:rFonts w:ascii="宋体" w:hAnsi="宋体" w:eastAsia="宋体" w:cs="宋体"/>
          <w:spacing w:val="12"/>
          <w:sz w:val="23"/>
          <w:szCs w:val="23"/>
        </w:rPr>
        <w:t>于本招标文件的明确规定。投标文件是否满足招标文件的实质性要求，必</w:t>
      </w:r>
      <w:r>
        <w:rPr>
          <w:rFonts w:ascii="宋体" w:hAnsi="宋体" w:eastAsia="宋体" w:cs="宋体"/>
          <w:spacing w:val="24"/>
          <w:sz w:val="23"/>
          <w:szCs w:val="23"/>
        </w:rPr>
        <w:t>须</w:t>
      </w:r>
      <w:r>
        <w:rPr>
          <w:rFonts w:ascii="宋体" w:hAnsi="宋体" w:eastAsia="宋体" w:cs="宋体"/>
          <w:spacing w:val="13"/>
          <w:sz w:val="23"/>
          <w:szCs w:val="23"/>
        </w:rPr>
        <w:t>以</w:t>
      </w:r>
      <w:r>
        <w:rPr>
          <w:rFonts w:ascii="宋体" w:hAnsi="宋体" w:eastAsia="宋体" w:cs="宋体"/>
          <w:spacing w:val="12"/>
          <w:sz w:val="23"/>
          <w:szCs w:val="23"/>
        </w:rPr>
        <w:t>本招标文件的明确规定作为依据，否则，不能对投标文件作为无效处理，</w:t>
      </w:r>
      <w:r>
        <w:rPr>
          <w:rFonts w:ascii="宋体" w:hAnsi="宋体" w:eastAsia="宋体" w:cs="宋体"/>
          <w:sz w:val="23"/>
          <w:szCs w:val="23"/>
        </w:rPr>
        <w:t xml:space="preserve"> </w:t>
      </w:r>
      <w:r>
        <w:rPr>
          <w:rFonts w:ascii="宋体" w:hAnsi="宋体" w:eastAsia="宋体" w:cs="宋体"/>
          <w:spacing w:val="9"/>
          <w:sz w:val="23"/>
          <w:szCs w:val="23"/>
        </w:rPr>
        <w:t>评标委员会不得臆测符合性审查事项</w:t>
      </w:r>
      <w:r>
        <w:rPr>
          <w:rFonts w:ascii="宋体" w:hAnsi="宋体" w:eastAsia="宋体" w:cs="宋体"/>
          <w:spacing w:val="8"/>
          <w:sz w:val="23"/>
          <w:szCs w:val="23"/>
        </w:rPr>
        <w:t>。</w:t>
      </w:r>
    </w:p>
    <w:p w14:paraId="4AAFED4F">
      <w:pPr>
        <w:spacing w:line="331" w:lineRule="auto"/>
        <w:ind w:left="34" w:right="23" w:firstLine="481"/>
        <w:rPr>
          <w:rFonts w:ascii="Arial"/>
          <w:sz w:val="21"/>
        </w:rPr>
      </w:pPr>
      <w:r>
        <w:rPr>
          <w:rFonts w:ascii="宋体" w:hAnsi="宋体" w:eastAsia="宋体" w:cs="宋体"/>
          <w:spacing w:val="8"/>
          <w:sz w:val="23"/>
          <w:szCs w:val="23"/>
        </w:rPr>
        <w:t>3.2</w:t>
      </w:r>
      <w:r>
        <w:rPr>
          <w:rFonts w:ascii="宋体" w:hAnsi="宋体" w:eastAsia="宋体" w:cs="宋体"/>
          <w:spacing w:val="4"/>
          <w:sz w:val="23"/>
          <w:szCs w:val="23"/>
        </w:rPr>
        <w:t xml:space="preserve">.2 投标文件 </w:t>
      </w:r>
      <w:r>
        <w:rPr>
          <w:rFonts w:hint="eastAsia" w:ascii="宋体" w:hAnsi="宋体" w:eastAsia="宋体" w:cs="宋体"/>
          <w:spacing w:val="4"/>
          <w:sz w:val="23"/>
          <w:szCs w:val="23"/>
          <w:lang w:eastAsia="zh-CN"/>
        </w:rPr>
        <w:t>（</w:t>
      </w:r>
      <w:r>
        <w:rPr>
          <w:rFonts w:ascii="宋体" w:hAnsi="宋体" w:eastAsia="宋体" w:cs="宋体"/>
          <w:spacing w:val="4"/>
          <w:sz w:val="23"/>
          <w:szCs w:val="23"/>
        </w:rPr>
        <w:t>包括单独递交的开标一览表</w:t>
      </w:r>
      <w:r>
        <w:rPr>
          <w:rFonts w:hint="eastAsia" w:ascii="宋体" w:hAnsi="宋体" w:eastAsia="宋体" w:cs="宋体"/>
          <w:spacing w:val="4"/>
          <w:sz w:val="23"/>
          <w:szCs w:val="23"/>
          <w:lang w:eastAsia="zh-CN"/>
        </w:rPr>
        <w:t>）</w:t>
      </w:r>
      <w:r>
        <w:rPr>
          <w:rFonts w:ascii="宋体" w:hAnsi="宋体" w:eastAsia="宋体" w:cs="宋体"/>
          <w:spacing w:val="4"/>
          <w:sz w:val="23"/>
          <w:szCs w:val="23"/>
        </w:rPr>
        <w:t xml:space="preserve"> 有下列情形的，本项目不作</w:t>
      </w:r>
      <w:r>
        <w:rPr>
          <w:rFonts w:ascii="宋体" w:hAnsi="宋体" w:eastAsia="宋体" w:cs="宋体"/>
          <w:spacing w:val="18"/>
          <w:sz w:val="23"/>
          <w:szCs w:val="23"/>
        </w:rPr>
        <w:t>为</w:t>
      </w:r>
      <w:r>
        <w:rPr>
          <w:rFonts w:ascii="宋体" w:hAnsi="宋体" w:eastAsia="宋体" w:cs="宋体"/>
          <w:spacing w:val="11"/>
          <w:sz w:val="23"/>
          <w:szCs w:val="23"/>
        </w:rPr>
        <w:t>实</w:t>
      </w:r>
      <w:r>
        <w:rPr>
          <w:rFonts w:ascii="宋体" w:hAnsi="宋体" w:eastAsia="宋体" w:cs="宋体"/>
          <w:spacing w:val="9"/>
          <w:sz w:val="23"/>
          <w:szCs w:val="23"/>
        </w:rPr>
        <w:t>质性要求进行规定，即不作为符合性审查事项，不得作为无效投标处理：</w:t>
      </w:r>
    </w:p>
    <w:p w14:paraId="4473BD2F">
      <w:pPr>
        <w:spacing w:before="75" w:line="322" w:lineRule="auto"/>
        <w:ind w:left="0" w:right="63" w:firstLine="548" w:firstLineChars="20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1"/>
          <w:sz w:val="23"/>
          <w:szCs w:val="23"/>
        </w:rPr>
        <w:t>一</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正副本数量齐全、密封完好，只是未按照招标文件要求进行分装或</w:t>
      </w:r>
      <w:r>
        <w:rPr>
          <w:rFonts w:ascii="宋体" w:hAnsi="宋体" w:eastAsia="宋体" w:cs="宋体"/>
          <w:spacing w:val="8"/>
          <w:sz w:val="23"/>
          <w:szCs w:val="23"/>
        </w:rPr>
        <w:t>者</w:t>
      </w:r>
      <w:r>
        <w:rPr>
          <w:rFonts w:ascii="宋体" w:hAnsi="宋体" w:eastAsia="宋体" w:cs="宋体"/>
          <w:spacing w:val="5"/>
          <w:sz w:val="23"/>
          <w:szCs w:val="23"/>
        </w:rPr>
        <w:t>统装的；</w:t>
      </w:r>
    </w:p>
    <w:p w14:paraId="3E547ED1">
      <w:pPr>
        <w:spacing w:before="1" w:line="320" w:lineRule="auto"/>
        <w:ind w:left="33" w:right="61" w:firstLine="489"/>
        <w:rPr>
          <w:rFonts w:ascii="宋体" w:hAnsi="宋体" w:eastAsia="宋体" w:cs="宋体"/>
          <w:sz w:val="23"/>
          <w:szCs w:val="23"/>
        </w:rPr>
      </w:pPr>
      <w:r>
        <w:rPr>
          <w:rFonts w:hint="eastAsia" w:ascii="宋体" w:hAnsi="宋体" w:eastAsia="宋体" w:cs="宋体"/>
          <w:spacing w:val="20"/>
          <w:sz w:val="23"/>
          <w:szCs w:val="23"/>
          <w:lang w:eastAsia="zh-CN"/>
        </w:rPr>
        <w:t>（</w:t>
      </w:r>
      <w:r>
        <w:rPr>
          <w:rFonts w:ascii="宋体" w:hAnsi="宋体" w:eastAsia="宋体" w:cs="宋体"/>
          <w:spacing w:val="20"/>
          <w:sz w:val="23"/>
          <w:szCs w:val="23"/>
        </w:rPr>
        <w:t>二</w:t>
      </w:r>
      <w:r>
        <w:rPr>
          <w:rFonts w:hint="eastAsia" w:ascii="宋体" w:hAnsi="宋体" w:eastAsia="宋体" w:cs="宋体"/>
          <w:spacing w:val="10"/>
          <w:sz w:val="23"/>
          <w:szCs w:val="23"/>
          <w:lang w:eastAsia="zh-CN"/>
        </w:rPr>
        <w:t>）</w:t>
      </w:r>
      <w:r>
        <w:rPr>
          <w:rFonts w:ascii="宋体" w:hAnsi="宋体" w:eastAsia="宋体" w:cs="宋体"/>
          <w:spacing w:val="10"/>
          <w:sz w:val="23"/>
          <w:szCs w:val="23"/>
        </w:rPr>
        <w:t xml:space="preserve"> 存在个别地方 </w:t>
      </w:r>
      <w:r>
        <w:rPr>
          <w:rFonts w:hint="eastAsia" w:ascii="宋体" w:hAnsi="宋体" w:eastAsia="宋体" w:cs="宋体"/>
          <w:spacing w:val="10"/>
          <w:sz w:val="23"/>
          <w:szCs w:val="23"/>
          <w:lang w:eastAsia="zh-CN"/>
        </w:rPr>
        <w:t>（</w:t>
      </w:r>
      <w:r>
        <w:rPr>
          <w:rFonts w:ascii="宋体" w:hAnsi="宋体" w:eastAsia="宋体" w:cs="宋体"/>
          <w:spacing w:val="10"/>
          <w:sz w:val="23"/>
          <w:szCs w:val="23"/>
        </w:rPr>
        <w:t>不超过2个</w:t>
      </w:r>
      <w:r>
        <w:rPr>
          <w:rFonts w:hint="eastAsia" w:ascii="宋体" w:hAnsi="宋体" w:eastAsia="宋体" w:cs="宋体"/>
          <w:spacing w:val="10"/>
          <w:sz w:val="23"/>
          <w:szCs w:val="23"/>
          <w:lang w:eastAsia="zh-CN"/>
        </w:rPr>
        <w:t>）</w:t>
      </w:r>
      <w:r>
        <w:rPr>
          <w:rFonts w:ascii="宋体" w:hAnsi="宋体" w:eastAsia="宋体" w:cs="宋体"/>
          <w:spacing w:val="10"/>
          <w:sz w:val="23"/>
          <w:szCs w:val="23"/>
        </w:rPr>
        <w:t>没有法定代表人签字，但有法定代表</w:t>
      </w:r>
      <w:r>
        <w:rPr>
          <w:rFonts w:ascii="宋体" w:hAnsi="宋体" w:eastAsia="宋体" w:cs="宋体"/>
          <w:spacing w:val="9"/>
          <w:sz w:val="23"/>
          <w:szCs w:val="23"/>
        </w:rPr>
        <w:t>人的私人印章或者有效授权代理人签字的</w:t>
      </w:r>
      <w:r>
        <w:rPr>
          <w:rFonts w:ascii="宋体" w:hAnsi="宋体" w:eastAsia="宋体" w:cs="宋体"/>
          <w:spacing w:val="6"/>
          <w:sz w:val="23"/>
          <w:szCs w:val="23"/>
        </w:rPr>
        <w:t>；</w:t>
      </w:r>
    </w:p>
    <w:p w14:paraId="53B4E38D">
      <w:pPr>
        <w:spacing w:before="1" w:line="320" w:lineRule="auto"/>
        <w:ind w:left="32" w:right="63" w:firstLine="490"/>
        <w:rPr>
          <w:rFonts w:ascii="宋体" w:hAnsi="宋体" w:eastAsia="宋体" w:cs="宋体"/>
          <w:sz w:val="23"/>
          <w:szCs w:val="23"/>
        </w:rPr>
      </w:pPr>
      <w:r>
        <w:rPr>
          <w:rFonts w:hint="eastAsia" w:ascii="宋体" w:hAnsi="宋体" w:eastAsia="宋体" w:cs="宋体"/>
          <w:spacing w:val="28"/>
          <w:sz w:val="23"/>
          <w:szCs w:val="23"/>
          <w:lang w:eastAsia="zh-CN"/>
        </w:rPr>
        <w:t>（</w:t>
      </w:r>
      <w:r>
        <w:rPr>
          <w:rFonts w:ascii="宋体" w:hAnsi="宋体" w:eastAsia="宋体" w:cs="宋体"/>
          <w:spacing w:val="26"/>
          <w:sz w:val="23"/>
          <w:szCs w:val="23"/>
        </w:rPr>
        <w:t>三</w:t>
      </w:r>
      <w:r>
        <w:rPr>
          <w:rFonts w:hint="eastAsia" w:ascii="宋体" w:hAnsi="宋体" w:eastAsia="宋体" w:cs="宋体"/>
          <w:spacing w:val="14"/>
          <w:sz w:val="23"/>
          <w:szCs w:val="23"/>
          <w:lang w:eastAsia="zh-CN"/>
        </w:rPr>
        <w:t>）</w:t>
      </w:r>
      <w:r>
        <w:rPr>
          <w:rFonts w:ascii="宋体" w:hAnsi="宋体" w:eastAsia="宋体" w:cs="宋体"/>
          <w:spacing w:val="14"/>
          <w:sz w:val="23"/>
          <w:szCs w:val="23"/>
        </w:rPr>
        <w:t xml:space="preserve"> 除招标文件明确要求加盖单位</w:t>
      </w:r>
      <w:r>
        <w:rPr>
          <w:rFonts w:hint="eastAsia" w:ascii="宋体" w:hAnsi="宋体" w:eastAsia="宋体" w:cs="宋体"/>
          <w:spacing w:val="14"/>
          <w:sz w:val="23"/>
          <w:szCs w:val="23"/>
          <w:lang w:eastAsia="zh-CN"/>
        </w:rPr>
        <w:t>（</w:t>
      </w:r>
      <w:r>
        <w:rPr>
          <w:rFonts w:ascii="宋体" w:hAnsi="宋体" w:eastAsia="宋体" w:cs="宋体"/>
          <w:spacing w:val="14"/>
          <w:sz w:val="23"/>
          <w:szCs w:val="23"/>
        </w:rPr>
        <w:t>法人</w:t>
      </w:r>
      <w:r>
        <w:rPr>
          <w:rFonts w:hint="eastAsia" w:ascii="宋体" w:hAnsi="宋体" w:eastAsia="宋体" w:cs="宋体"/>
          <w:spacing w:val="14"/>
          <w:sz w:val="23"/>
          <w:szCs w:val="23"/>
          <w:lang w:eastAsia="zh-CN"/>
        </w:rPr>
        <w:t>）</w:t>
      </w:r>
      <w:r>
        <w:rPr>
          <w:rFonts w:ascii="宋体" w:hAnsi="宋体" w:eastAsia="宋体" w:cs="宋体"/>
          <w:spacing w:val="14"/>
          <w:sz w:val="23"/>
          <w:szCs w:val="23"/>
        </w:rPr>
        <w:t>公章的以外，其他地方以相关</w:t>
      </w:r>
      <w:r>
        <w:rPr>
          <w:rFonts w:ascii="宋体" w:hAnsi="宋体" w:eastAsia="宋体" w:cs="宋体"/>
          <w:spacing w:val="7"/>
          <w:sz w:val="23"/>
          <w:szCs w:val="23"/>
        </w:rPr>
        <w:t>专用章加盖的；</w:t>
      </w:r>
    </w:p>
    <w:p w14:paraId="38CC347D">
      <w:pPr>
        <w:spacing w:before="2" w:line="321" w:lineRule="auto"/>
        <w:ind w:left="31" w:right="63" w:firstLine="491"/>
        <w:rPr>
          <w:rFonts w:ascii="宋体" w:hAnsi="宋体" w:eastAsia="宋体" w:cs="宋体"/>
          <w:sz w:val="23"/>
          <w:szCs w:val="23"/>
        </w:rPr>
      </w:pPr>
      <w:r>
        <w:rPr>
          <w:rFonts w:hint="eastAsia" w:ascii="宋体" w:hAnsi="宋体" w:eastAsia="宋体" w:cs="宋体"/>
          <w:spacing w:val="28"/>
          <w:sz w:val="23"/>
          <w:szCs w:val="23"/>
          <w:lang w:eastAsia="zh-CN"/>
        </w:rPr>
        <w:t>（</w:t>
      </w:r>
      <w:r>
        <w:rPr>
          <w:rFonts w:ascii="宋体" w:hAnsi="宋体" w:eastAsia="宋体" w:cs="宋体"/>
          <w:spacing w:val="26"/>
          <w:sz w:val="23"/>
          <w:szCs w:val="23"/>
        </w:rPr>
        <w:t>四</w:t>
      </w:r>
      <w:r>
        <w:rPr>
          <w:rFonts w:hint="eastAsia" w:ascii="宋体" w:hAnsi="宋体" w:eastAsia="宋体" w:cs="宋体"/>
          <w:spacing w:val="14"/>
          <w:sz w:val="23"/>
          <w:szCs w:val="23"/>
          <w:lang w:eastAsia="zh-CN"/>
        </w:rPr>
        <w:t>）</w:t>
      </w:r>
      <w:r>
        <w:rPr>
          <w:rFonts w:ascii="宋体" w:hAnsi="宋体" w:eastAsia="宋体" w:cs="宋体"/>
          <w:spacing w:val="14"/>
          <w:sz w:val="23"/>
          <w:szCs w:val="23"/>
        </w:rPr>
        <w:t xml:space="preserve"> 以骑缝章的形式代替投标文件内容逐页盖章的</w:t>
      </w:r>
      <w:r>
        <w:rPr>
          <w:rFonts w:hint="eastAsia" w:ascii="宋体" w:hAnsi="宋体" w:eastAsia="宋体" w:cs="宋体"/>
          <w:spacing w:val="14"/>
          <w:sz w:val="23"/>
          <w:szCs w:val="23"/>
          <w:lang w:eastAsia="zh-CN"/>
        </w:rPr>
        <w:t>（</w:t>
      </w:r>
      <w:r>
        <w:rPr>
          <w:rFonts w:ascii="宋体" w:hAnsi="宋体" w:eastAsia="宋体" w:cs="宋体"/>
          <w:spacing w:val="14"/>
          <w:sz w:val="23"/>
          <w:szCs w:val="23"/>
        </w:rPr>
        <w:t>但是骑缝章模糊不</w:t>
      </w:r>
      <w:r>
        <w:rPr>
          <w:rFonts w:ascii="宋体" w:hAnsi="宋体" w:eastAsia="宋体" w:cs="宋体"/>
          <w:spacing w:val="11"/>
          <w:sz w:val="23"/>
          <w:szCs w:val="23"/>
        </w:rPr>
        <w:t>清</w:t>
      </w:r>
      <w:r>
        <w:rPr>
          <w:rFonts w:ascii="宋体" w:hAnsi="宋体" w:eastAsia="宋体" w:cs="宋体"/>
          <w:spacing w:val="8"/>
          <w:sz w:val="23"/>
          <w:szCs w:val="23"/>
        </w:rPr>
        <w:t>，印章名称无法辨认的除外</w:t>
      </w:r>
      <w:r>
        <w:rPr>
          <w:rFonts w:hint="eastAsia" w:ascii="宋体" w:hAnsi="宋体" w:eastAsia="宋体" w:cs="宋体"/>
          <w:spacing w:val="8"/>
          <w:sz w:val="23"/>
          <w:szCs w:val="23"/>
          <w:lang w:eastAsia="zh-CN"/>
        </w:rPr>
        <w:t>）</w:t>
      </w:r>
      <w:r>
        <w:rPr>
          <w:rFonts w:ascii="宋体" w:hAnsi="宋体" w:eastAsia="宋体" w:cs="宋体"/>
          <w:spacing w:val="8"/>
          <w:sz w:val="23"/>
          <w:szCs w:val="23"/>
        </w:rPr>
        <w:t>；</w:t>
      </w:r>
    </w:p>
    <w:p w14:paraId="48EE8AE7">
      <w:pPr>
        <w:spacing w:line="227" w:lineRule="auto"/>
        <w:ind w:left="523"/>
        <w:rPr>
          <w:rFonts w:ascii="宋体" w:hAnsi="宋体" w:eastAsia="宋体" w:cs="宋体"/>
          <w:sz w:val="23"/>
          <w:szCs w:val="23"/>
        </w:rPr>
      </w:pPr>
      <w:r>
        <w:rPr>
          <w:rFonts w:hint="eastAsia" w:ascii="宋体" w:hAnsi="宋体" w:eastAsia="宋体" w:cs="宋体"/>
          <w:spacing w:val="21"/>
          <w:sz w:val="23"/>
          <w:szCs w:val="23"/>
          <w:lang w:eastAsia="zh-CN"/>
        </w:rPr>
        <w:t>（</w:t>
      </w:r>
      <w:r>
        <w:rPr>
          <w:rFonts w:ascii="宋体" w:hAnsi="宋体" w:eastAsia="宋体" w:cs="宋体"/>
          <w:spacing w:val="13"/>
          <w:sz w:val="23"/>
          <w:szCs w:val="23"/>
        </w:rPr>
        <w:t>五</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其他不影响采购项目实质性要求的情形。</w:t>
      </w:r>
    </w:p>
    <w:p w14:paraId="59439ED4">
      <w:pPr>
        <w:spacing w:before="115" w:line="322" w:lineRule="auto"/>
        <w:ind w:left="39" w:right="63" w:firstLine="477"/>
        <w:rPr>
          <w:rFonts w:ascii="宋体" w:hAnsi="宋体" w:eastAsia="宋体" w:cs="宋体"/>
          <w:sz w:val="23"/>
          <w:szCs w:val="23"/>
        </w:rPr>
      </w:pPr>
      <w:r>
        <w:rPr>
          <w:rFonts w:ascii="宋体" w:hAnsi="宋体" w:eastAsia="宋体" w:cs="宋体"/>
          <w:spacing w:val="8"/>
          <w:sz w:val="23"/>
          <w:szCs w:val="23"/>
        </w:rPr>
        <w:t>3.2.3</w:t>
      </w:r>
      <w:r>
        <w:rPr>
          <w:rFonts w:ascii="宋体" w:hAnsi="宋体" w:eastAsia="宋体" w:cs="宋体"/>
          <w:spacing w:val="4"/>
          <w:sz w:val="23"/>
          <w:szCs w:val="23"/>
        </w:rPr>
        <w:t xml:space="preserve"> 除政府采购法律制度规定的情形外，本项目投标人或者其投标文件有</w:t>
      </w:r>
      <w:r>
        <w:rPr>
          <w:rFonts w:ascii="宋体" w:hAnsi="宋体" w:eastAsia="宋体" w:cs="宋体"/>
          <w:spacing w:val="15"/>
          <w:sz w:val="23"/>
          <w:szCs w:val="23"/>
        </w:rPr>
        <w:t>下</w:t>
      </w:r>
      <w:r>
        <w:rPr>
          <w:rFonts w:ascii="宋体" w:hAnsi="宋体" w:eastAsia="宋体" w:cs="宋体"/>
          <w:spacing w:val="8"/>
          <w:sz w:val="23"/>
          <w:szCs w:val="23"/>
        </w:rPr>
        <w:t>列情形之一的，作为无效投标处理：</w:t>
      </w:r>
    </w:p>
    <w:p w14:paraId="5588EA4A">
      <w:pPr>
        <w:spacing w:line="227" w:lineRule="auto"/>
        <w:ind w:left="523"/>
        <w:rPr>
          <w:rFonts w:ascii="宋体" w:hAnsi="宋体" w:eastAsia="宋体" w:cs="宋体"/>
          <w:sz w:val="23"/>
          <w:szCs w:val="23"/>
        </w:rPr>
      </w:pPr>
      <w:r>
        <w:rPr>
          <w:rFonts w:hint="eastAsia" w:ascii="宋体" w:hAnsi="宋体" w:eastAsia="宋体" w:cs="宋体"/>
          <w:spacing w:val="10"/>
          <w:sz w:val="23"/>
          <w:szCs w:val="23"/>
          <w:lang w:eastAsia="zh-CN"/>
        </w:rPr>
        <w:t>（</w:t>
      </w:r>
      <w:r>
        <w:rPr>
          <w:rFonts w:ascii="宋体" w:hAnsi="宋体" w:eastAsia="宋体" w:cs="宋体"/>
          <w:spacing w:val="7"/>
          <w:sz w:val="23"/>
          <w:szCs w:val="23"/>
        </w:rPr>
        <w:t>一</w:t>
      </w:r>
      <w:r>
        <w:rPr>
          <w:rFonts w:hint="eastAsia" w:ascii="宋体" w:hAnsi="宋体" w:eastAsia="宋体" w:cs="宋体"/>
          <w:spacing w:val="7"/>
          <w:sz w:val="23"/>
          <w:szCs w:val="23"/>
          <w:lang w:eastAsia="zh-CN"/>
        </w:rPr>
        <w:t>）</w:t>
      </w:r>
      <w:r>
        <w:rPr>
          <w:rFonts w:ascii="宋体" w:hAnsi="宋体" w:eastAsia="宋体" w:cs="宋体"/>
          <w:spacing w:val="7"/>
          <w:sz w:val="23"/>
          <w:szCs w:val="23"/>
        </w:rPr>
        <w:t xml:space="preserve"> 投标文件正副本数量不足的；</w:t>
      </w:r>
    </w:p>
    <w:p w14:paraId="58F5907C">
      <w:pPr>
        <w:spacing w:before="114" w:line="322" w:lineRule="auto"/>
        <w:ind w:left="37" w:right="63" w:firstLine="485"/>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二</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投标文件的格式、语言、计量单位、报价货币、知识产权、投标有</w:t>
      </w:r>
      <w:r>
        <w:rPr>
          <w:rFonts w:ascii="宋体" w:hAnsi="宋体" w:eastAsia="宋体" w:cs="宋体"/>
          <w:spacing w:val="9"/>
          <w:sz w:val="23"/>
          <w:szCs w:val="23"/>
        </w:rPr>
        <w:t>效期等不符合招标文件的规定，影响评标委员会评判的</w:t>
      </w:r>
      <w:r>
        <w:rPr>
          <w:rFonts w:ascii="宋体" w:hAnsi="宋体" w:eastAsia="宋体" w:cs="宋体"/>
          <w:spacing w:val="8"/>
          <w:sz w:val="23"/>
          <w:szCs w:val="23"/>
        </w:rPr>
        <w:t>；</w:t>
      </w:r>
    </w:p>
    <w:p w14:paraId="50B18448">
      <w:pPr>
        <w:spacing w:before="1" w:line="226"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2"/>
          <w:sz w:val="23"/>
          <w:szCs w:val="23"/>
        </w:rPr>
        <w:t>三</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投标报价不符合招标文件规定的价格标底和其他报价规定的；</w:t>
      </w:r>
    </w:p>
    <w:p w14:paraId="6FEDE202">
      <w:pPr>
        <w:spacing w:before="116" w:line="322" w:lineRule="auto"/>
        <w:ind w:left="31" w:right="63" w:firstLine="491"/>
        <w:rPr>
          <w:rFonts w:ascii="宋体" w:hAnsi="宋体" w:eastAsia="宋体" w:cs="宋体"/>
          <w:sz w:val="23"/>
          <w:szCs w:val="23"/>
        </w:rPr>
      </w:pPr>
      <w:r>
        <w:rPr>
          <w:rFonts w:hint="eastAsia" w:ascii="宋体" w:hAnsi="宋体" w:eastAsia="宋体" w:cs="宋体"/>
          <w:spacing w:val="14"/>
          <w:sz w:val="23"/>
          <w:szCs w:val="23"/>
          <w:lang w:eastAsia="zh-CN"/>
        </w:rPr>
        <w:t>（</w:t>
      </w:r>
      <w:r>
        <w:rPr>
          <w:rFonts w:ascii="宋体" w:hAnsi="宋体" w:eastAsia="宋体" w:cs="宋体"/>
          <w:spacing w:val="14"/>
          <w:sz w:val="23"/>
          <w:szCs w:val="23"/>
        </w:rPr>
        <w:t>四</w:t>
      </w:r>
      <w:r>
        <w:rPr>
          <w:rFonts w:hint="eastAsia" w:ascii="宋体" w:hAnsi="宋体" w:eastAsia="宋体" w:cs="宋体"/>
          <w:spacing w:val="14"/>
          <w:sz w:val="23"/>
          <w:szCs w:val="23"/>
          <w:lang w:eastAsia="zh-CN"/>
        </w:rPr>
        <w:t>）</w:t>
      </w:r>
      <w:r>
        <w:rPr>
          <w:rFonts w:ascii="宋体" w:hAnsi="宋体" w:eastAsia="宋体" w:cs="宋体"/>
          <w:spacing w:val="13"/>
          <w:sz w:val="23"/>
          <w:szCs w:val="23"/>
        </w:rPr>
        <w:t xml:space="preserve"> </w:t>
      </w:r>
      <w:r>
        <w:rPr>
          <w:rFonts w:ascii="宋体" w:hAnsi="宋体" w:eastAsia="宋体" w:cs="宋体"/>
          <w:spacing w:val="7"/>
          <w:sz w:val="23"/>
          <w:szCs w:val="23"/>
        </w:rPr>
        <w:t>商务、技术、服务应答内容没有完全响应招标文件的实质性要求</w:t>
      </w:r>
      <w:r>
        <w:rPr>
          <w:rFonts w:hint="eastAsia" w:ascii="宋体" w:hAnsi="宋体" w:eastAsia="宋体" w:cs="宋体"/>
          <w:spacing w:val="7"/>
          <w:sz w:val="23"/>
          <w:szCs w:val="23"/>
          <w:lang w:eastAsia="zh-CN"/>
        </w:rPr>
        <w:t>（</w:t>
      </w:r>
      <w:r>
        <w:rPr>
          <w:rFonts w:ascii="宋体" w:hAnsi="宋体" w:eastAsia="宋体" w:cs="宋体"/>
          <w:spacing w:val="7"/>
          <w:sz w:val="23"/>
          <w:szCs w:val="23"/>
        </w:rPr>
        <w:t>明</w:t>
      </w:r>
      <w:r>
        <w:rPr>
          <w:rFonts w:ascii="宋体" w:hAnsi="宋体" w:eastAsia="宋体" w:cs="宋体"/>
          <w:spacing w:val="10"/>
          <w:sz w:val="23"/>
          <w:szCs w:val="23"/>
        </w:rPr>
        <w:t>确</w:t>
      </w:r>
      <w:r>
        <w:rPr>
          <w:rFonts w:ascii="宋体" w:hAnsi="宋体" w:eastAsia="宋体" w:cs="宋体"/>
          <w:spacing w:val="7"/>
          <w:sz w:val="23"/>
          <w:szCs w:val="23"/>
        </w:rPr>
        <w:t>不允许负偏离</w:t>
      </w:r>
      <w:r>
        <w:rPr>
          <w:rFonts w:hint="eastAsia" w:ascii="宋体" w:hAnsi="宋体" w:eastAsia="宋体" w:cs="宋体"/>
          <w:spacing w:val="7"/>
          <w:sz w:val="23"/>
          <w:szCs w:val="23"/>
          <w:lang w:eastAsia="zh-CN"/>
        </w:rPr>
        <w:t>）</w:t>
      </w:r>
      <w:r>
        <w:rPr>
          <w:rFonts w:ascii="宋体" w:hAnsi="宋体" w:eastAsia="宋体" w:cs="宋体"/>
          <w:spacing w:val="7"/>
          <w:sz w:val="23"/>
          <w:szCs w:val="23"/>
        </w:rPr>
        <w:t>的；</w:t>
      </w:r>
    </w:p>
    <w:p w14:paraId="74471FC8">
      <w:pPr>
        <w:spacing w:before="1" w:line="320" w:lineRule="auto"/>
        <w:ind w:left="32" w:right="6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五</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未载明或者载明的招标项目履约时间、方式、数量，配置清单与招</w:t>
      </w:r>
      <w:r>
        <w:rPr>
          <w:rFonts w:ascii="宋体" w:hAnsi="宋体" w:eastAsia="宋体" w:cs="宋体"/>
          <w:spacing w:val="10"/>
          <w:sz w:val="23"/>
          <w:szCs w:val="23"/>
        </w:rPr>
        <w:t>标</w:t>
      </w:r>
      <w:r>
        <w:rPr>
          <w:rFonts w:ascii="宋体" w:hAnsi="宋体" w:eastAsia="宋体" w:cs="宋体"/>
          <w:spacing w:val="9"/>
          <w:sz w:val="23"/>
          <w:szCs w:val="23"/>
        </w:rPr>
        <w:t>文件要求不一致，且招标采购单位无法接受的。</w:t>
      </w:r>
    </w:p>
    <w:p w14:paraId="7868F6D7">
      <w:pPr>
        <w:spacing w:before="2" w:line="320" w:lineRule="auto"/>
        <w:ind w:left="32" w:right="6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六</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没有完全响应招标文件的其他实质性要求或属于招标文件中无效投</w:t>
      </w:r>
      <w:r>
        <w:rPr>
          <w:rFonts w:ascii="宋体" w:hAnsi="宋体" w:eastAsia="宋体" w:cs="宋体"/>
          <w:spacing w:val="6"/>
          <w:sz w:val="23"/>
          <w:szCs w:val="23"/>
        </w:rPr>
        <w:t>标的情形</w:t>
      </w:r>
      <w:r>
        <w:rPr>
          <w:rFonts w:ascii="宋体" w:hAnsi="宋体" w:eastAsia="宋体" w:cs="宋体"/>
          <w:spacing w:val="5"/>
          <w:sz w:val="23"/>
          <w:szCs w:val="23"/>
        </w:rPr>
        <w:t>。</w:t>
      </w:r>
    </w:p>
    <w:p w14:paraId="5BDDDF19">
      <w:pPr>
        <w:spacing w:before="2" w:line="321" w:lineRule="auto"/>
        <w:ind w:left="34" w:right="63" w:firstLine="481"/>
        <w:rPr>
          <w:rFonts w:ascii="宋体" w:hAnsi="宋体" w:eastAsia="宋体" w:cs="宋体"/>
          <w:sz w:val="23"/>
          <w:szCs w:val="23"/>
        </w:rPr>
      </w:pPr>
      <w:r>
        <w:rPr>
          <w:rFonts w:ascii="宋体" w:hAnsi="宋体" w:eastAsia="宋体" w:cs="宋体"/>
          <w:spacing w:val="8"/>
          <w:sz w:val="23"/>
          <w:szCs w:val="23"/>
        </w:rPr>
        <w:t>3.3 比较</w:t>
      </w:r>
      <w:r>
        <w:rPr>
          <w:rFonts w:ascii="宋体" w:hAnsi="宋体" w:eastAsia="宋体" w:cs="宋体"/>
          <w:spacing w:val="4"/>
          <w:sz w:val="23"/>
          <w:szCs w:val="23"/>
        </w:rPr>
        <w:t>与评价。按招标文件中规定的评标方法和标准，对未作无效投标处</w:t>
      </w:r>
      <w:r>
        <w:rPr>
          <w:rFonts w:ascii="宋体" w:hAnsi="宋体" w:eastAsia="宋体" w:cs="宋体"/>
          <w:spacing w:val="16"/>
          <w:sz w:val="23"/>
          <w:szCs w:val="23"/>
        </w:rPr>
        <w:t>理</w:t>
      </w:r>
      <w:r>
        <w:rPr>
          <w:rFonts w:ascii="宋体" w:hAnsi="宋体" w:eastAsia="宋体" w:cs="宋体"/>
          <w:spacing w:val="9"/>
          <w:sz w:val="23"/>
          <w:szCs w:val="23"/>
        </w:rPr>
        <w:t>的投标文件进行技术、服务、商务等方面评估，综合比较与评价。</w:t>
      </w:r>
    </w:p>
    <w:p w14:paraId="065D26B4">
      <w:pPr>
        <w:spacing w:before="2" w:line="320" w:lineRule="auto"/>
        <w:ind w:left="54" w:right="63" w:firstLine="462"/>
        <w:rPr>
          <w:rFonts w:ascii="宋体" w:hAnsi="宋体" w:eastAsia="宋体" w:cs="宋体"/>
          <w:sz w:val="23"/>
          <w:szCs w:val="23"/>
        </w:rPr>
      </w:pPr>
      <w:r>
        <w:rPr>
          <w:rFonts w:ascii="宋体" w:hAnsi="宋体" w:eastAsia="宋体" w:cs="宋体"/>
          <w:spacing w:val="8"/>
          <w:sz w:val="23"/>
          <w:szCs w:val="23"/>
        </w:rPr>
        <w:t>3.4 复核</w:t>
      </w:r>
      <w:r>
        <w:rPr>
          <w:rFonts w:ascii="宋体" w:hAnsi="宋体" w:eastAsia="宋体" w:cs="宋体"/>
          <w:spacing w:val="4"/>
          <w:sz w:val="23"/>
          <w:szCs w:val="23"/>
        </w:rPr>
        <w:t>。评分汇总结束后，评标委员会应当进行复核，特别要对拟推荐为</w:t>
      </w:r>
      <w:r>
        <w:rPr>
          <w:rFonts w:ascii="宋体" w:hAnsi="宋体" w:eastAsia="宋体" w:cs="宋体"/>
          <w:spacing w:val="16"/>
          <w:sz w:val="23"/>
          <w:szCs w:val="23"/>
        </w:rPr>
        <w:t>中标候</w:t>
      </w:r>
      <w:r>
        <w:rPr>
          <w:rFonts w:ascii="宋体" w:hAnsi="宋体" w:eastAsia="宋体" w:cs="宋体"/>
          <w:spacing w:val="8"/>
          <w:sz w:val="23"/>
          <w:szCs w:val="23"/>
        </w:rPr>
        <w:t>选供应商的、报价最低的、投标文件被认定为无效的进行重点复核。</w:t>
      </w:r>
    </w:p>
    <w:p w14:paraId="24A79F09">
      <w:pPr>
        <w:spacing w:before="2" w:line="321" w:lineRule="auto"/>
        <w:ind w:left="34" w:right="63" w:firstLine="481" w:firstLineChars="0"/>
        <w:rPr>
          <w:rFonts w:hint="default" w:ascii="宋体" w:hAnsi="宋体" w:eastAsia="宋体" w:cs="宋体"/>
          <w:spacing w:val="4"/>
          <w:sz w:val="23"/>
          <w:szCs w:val="23"/>
        </w:rPr>
      </w:pPr>
      <w:r>
        <w:rPr>
          <w:rFonts w:ascii="宋体" w:hAnsi="宋体" w:eastAsia="宋体" w:cs="宋体"/>
          <w:spacing w:val="-1"/>
          <w:sz w:val="23"/>
          <w:szCs w:val="23"/>
        </w:rPr>
        <w:t>3.</w:t>
      </w:r>
      <w:r>
        <w:rPr>
          <w:rFonts w:ascii="宋体" w:hAnsi="宋体" w:eastAsia="宋体" w:cs="宋体"/>
          <w:sz w:val="23"/>
          <w:szCs w:val="23"/>
        </w:rPr>
        <w:t xml:space="preserve">5 </w:t>
      </w:r>
      <w:r>
        <w:rPr>
          <w:rFonts w:ascii="宋体" w:hAnsi="宋体" w:eastAsia="宋体" w:cs="宋体"/>
          <w:spacing w:val="4"/>
          <w:sz w:val="23"/>
          <w:szCs w:val="23"/>
        </w:rPr>
        <w:t>推荐中标候选供应商。中标候选供应商应当排序。采用最低评标价法的，评标结果按投标报价由低到高顺序排列；投标报价相同的并列，投标文件满足招标文件全部实质性要求且投标报价最低的投标人为排名第一的中标候选人；报价相同且满足招标文件全部实质性要求的并列， 由采购人自主采取随机抽取 的方式选择中标供应商。采用综合评分法的，评标结果按评审后得分由高到低 顺序排列；得分相同的，按投标报价由低到高顺序排列；得分且投标报价相同 的并列，投标文件满足招标文件全部实质性要求且按照评审因素的量化指标评 审得分最高的投标人为排名第一的中标候选人。排名并列的由采购人自主采取随机抽取的方式选择中标供应商。</w:t>
      </w:r>
      <w:r>
        <w:rPr>
          <w:rFonts w:hint="default" w:ascii="宋体" w:hAnsi="宋体" w:eastAsia="宋体" w:cs="宋体"/>
          <w:spacing w:val="4"/>
          <w:sz w:val="23"/>
          <w:szCs w:val="23"/>
        </w:rPr>
        <w:t>评标委员会可推荐的中标候选供应商数量不能满足招标文件规定的数量的，只有在获得采购人书面同意后，可以根据实际情况推荐中标候选供应商。未获得采购人的书面同意,评标委员会不得在招标文件规定之外推荐中标候选供应商，否则，采购人可以不予认可。</w:t>
      </w:r>
    </w:p>
    <w:p w14:paraId="217F6486">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3.6 出具评标报告。评标委员会推荐中标候选供应商后，应当向招标采购单位出具评标报告。评标报告应当包括下列内容：</w:t>
      </w:r>
    </w:p>
    <w:p w14:paraId="62144919">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一</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招标公告刊登的媒体名称、开标日期和地点；</w:t>
      </w:r>
    </w:p>
    <w:p w14:paraId="2E805CC9">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二</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获取招标文件的投标人名单和评标委员会成员名单；</w:t>
      </w:r>
    </w:p>
    <w:p w14:paraId="28C920C0">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三</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评标方法和标准；</w:t>
      </w:r>
    </w:p>
    <w:p w14:paraId="0C05101F">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四</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开标记录和评标情况及说明，包括无效投标人名单及原因；</w:t>
      </w:r>
    </w:p>
    <w:p w14:paraId="5313716E">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五</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评标结果和中标候选供应商排序表；</w:t>
      </w:r>
    </w:p>
    <w:p w14:paraId="4D4CC6E1">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六</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评标委员会授标建议；</w:t>
      </w:r>
    </w:p>
    <w:p w14:paraId="0E759FA8">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七</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报价最高的投标人为中标候选人的，评标委员会应当对其报价的合理性予以特别说明。</w:t>
      </w:r>
    </w:p>
    <w:p w14:paraId="6AC71631">
      <w:pPr>
        <w:spacing w:before="2" w:line="321" w:lineRule="auto"/>
        <w:ind w:left="34" w:right="63" w:firstLine="481"/>
        <w:rPr>
          <w:rFonts w:hint="default" w:ascii="宋体" w:hAnsi="宋体" w:eastAsia="宋体" w:cs="宋体"/>
          <w:spacing w:val="4"/>
          <w:sz w:val="23"/>
          <w:szCs w:val="23"/>
        </w:rPr>
      </w:pPr>
      <w:r>
        <w:rPr>
          <w:rFonts w:hint="default" w:ascii="宋体" w:hAnsi="宋体" w:eastAsia="宋体" w:cs="宋体"/>
          <w:spacing w:val="4"/>
          <w:sz w:val="23"/>
          <w:szCs w:val="23"/>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75428DE3">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3.7 评标争议处理规则。评标委员会在评审过程中，对于资格性审查、符合性审查、对供应商投标文件做无效投标处理及其他需要共同认定的事项存在争议的，应当以少数服从多数的原则做出结论，但不得违背法律法规和招标文件 规定。有不同意见的评标委员会成员认为认定过程和结果不符合法律法规或者 招标文件规定的，应当及时向招标采购单位书面反映。招标采购单位收到书面 反映后，应当书面报告采购项目同级财政部门依法处理。</w:t>
      </w:r>
    </w:p>
    <w:p w14:paraId="08D91DC9">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3.8 供应商应当书面澄清、说明或者更正。</w:t>
      </w:r>
    </w:p>
    <w:p w14:paraId="3C346392">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3.8.1 在评标过程中，供应商投标文件实质性符合招标文件要求的前提下，评标委员会对投标文件中含义不明确、同类问题表述不一致或者有明显文字和计算错误的内容，应当以书面形式</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须由评标委员会全体成员签字</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要求供应商作出必要的书面澄清、说明或者更正，并给予供应商必要的反馈时间。</w:t>
      </w:r>
    </w:p>
    <w:p w14:paraId="0F75DCDA">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3.8.2 供应商应当书面澄清、说明或者更正，并加盖公章或签字确认</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供应商为法人的，应当由其法定代表人或者代理人签字确认；供应商为其他组织的，应当由其主要负责人或者代理人签字确认；供应商为自然人的，应当由其本人或者代理人签字确认</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，否则无效。澄清、说明或者更正不影响投标文件的效力，有效的澄清、说明或者更正材料，是投标文件的组成部分。</w:t>
      </w:r>
    </w:p>
    <w:p w14:paraId="1BFB2970">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3.8.3 评标委员会要求供应商澄清、说明或者更正，不得超出招标文件的范围，不得以此让供应商实质改变投标文件的内容，不得影响供应商公平竞争。本项目下列内容不得澄清：</w:t>
      </w:r>
    </w:p>
    <w:p w14:paraId="23DC2206">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一</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按财政部规定应当在评标时不予承认的投标文件内容事项；</w:t>
      </w:r>
    </w:p>
    <w:p w14:paraId="7967F17C">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二</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投标文件中已经明确的内容事项；</w:t>
      </w:r>
    </w:p>
    <w:p w14:paraId="0C477B66">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3.8.4 本项目采购过程中，投标文件出现下列情况的，不需要供应商澄清、说明或者更正，按照以下原则处理：</w:t>
      </w:r>
    </w:p>
    <w:p w14:paraId="3180B7F6">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一</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投标文件中开标一览表</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报价表</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内容与投标文件中相应内容不一致的，以开标一览表 </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报价表</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为准；</w:t>
      </w:r>
    </w:p>
    <w:p w14:paraId="6605CF84">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二</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大写金额和小写金额不一致的，以大写金额为准；</w:t>
      </w:r>
    </w:p>
    <w:p w14:paraId="09104A8D">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三</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单价金额小数点或者百分比有明显错位的，以开标一览表的总价为准，并修改单价；</w:t>
      </w:r>
    </w:p>
    <w:p w14:paraId="68E699D5">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四</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总价金额与按单价汇总金额不一致的，以单价金额计算结果为准。同时出现两种以上不一致的，按照前款规定的顺序修正。修正后的报价按照本章 3.8.1-3.8.3 的规定经投标人确认后产生约束力，投标人不确认的，其投标无效。</w:t>
      </w:r>
    </w:p>
    <w:p w14:paraId="685D36B3">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注：评标委员会当积极履行澄清、说明或者更正的职责，不得滥用权力。供应商的投标文件可以要求澄清、说明或者更正的，不得未经澄清、说明或者更正而直接作无效投标处理。</w:t>
      </w:r>
    </w:p>
    <w:p w14:paraId="37E2799B">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sz w:val="23"/>
          <w:szCs w:val="23"/>
        </w:rPr>
        <w:t>3.9低于成本价投标处理。在评标过程中，投标人报价低于采购预算50%或者低于其他有效投标人报价算术平均价40%，有可能影响产品质量或者不能诚信履约的，评标委员会应当要求其在评标现场合理的时间内提供成本构成书面说明，并提交相关证明材料。供应商书面说明应当按照国家财务会计制度的规定要求，逐项就供应商提供的货物、工程和服务的主营业务成本</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应根据供应商企业类型予以区别</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税金及附加、销售费用、管理费用、财务费用等成本构成事项详细陈述。必要时提交相关证明材料；投标人不能证明其报价合理性的，评标委员会应当将其作为无效投标处理。供应商书面说明应当签字确认或者加盖公章，否则无效。书面说明的签字确认，供应商为法人的， 由其法定代表人或者代理人签字确认；供应商为其他组织的， 由其主要负责人或者代理人签字确认；供应商为自然人的，由其本人或者代理人签字确认。</w:t>
      </w:r>
    </w:p>
    <w:p w14:paraId="188DDAD9">
      <w:pPr>
        <w:spacing w:before="2" w:line="321" w:lineRule="auto"/>
        <w:ind w:left="34" w:right="63" w:firstLine="481"/>
        <w:rPr>
          <w:rFonts w:hint="default" w:ascii="宋体" w:hAnsi="宋体" w:eastAsia="宋体" w:cs="宋体"/>
          <w:spacing w:val="4"/>
          <w:sz w:val="23"/>
          <w:szCs w:val="23"/>
        </w:rPr>
      </w:pPr>
      <w:r>
        <w:rPr>
          <w:rFonts w:hint="default" w:ascii="宋体" w:hAnsi="宋体" w:eastAsia="宋体" w:cs="宋体"/>
          <w:spacing w:val="4"/>
          <w:sz w:val="23"/>
          <w:szCs w:val="23"/>
        </w:rPr>
        <w:t>供应商提供书面说明后，评标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其投标文件、投标文件作为无效处理。</w:t>
      </w:r>
    </w:p>
    <w:p w14:paraId="45E2F8DE">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position w:val="0"/>
          <w:sz w:val="23"/>
          <w:szCs w:val="23"/>
        </w:rPr>
        <w:t>3.10招标采购单位现场复核评标结果。</w:t>
      </w:r>
    </w:p>
    <w:p w14:paraId="2A0F7EA8">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position w:val="0"/>
          <w:sz w:val="23"/>
          <w:szCs w:val="23"/>
        </w:rPr>
        <w:t>3.10.1评标结果汇总完成后，评标委员会拟出具评标报告前，招标采购单</w:t>
      </w:r>
      <w:r>
        <w:rPr>
          <w:rFonts w:hint="default" w:ascii="宋体" w:hAnsi="宋体" w:eastAsia="宋体" w:cs="宋体"/>
          <w:spacing w:val="4"/>
          <w:sz w:val="23"/>
          <w:szCs w:val="23"/>
        </w:rPr>
        <w:t>位应当组织2名以上的本单位工作人员，在采购现场监督人员的监督之下，依据有关的法律制度和采购文件对评标结果进行复核，出具复核报告。存在下列情形之一的，招标采购单位应当根据情况书面建议评标委员会现场修改评标结果或者重新评标：</w:t>
      </w:r>
    </w:p>
    <w:p w14:paraId="459F298C">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一</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分值汇总计算错误的；</w:t>
      </w:r>
    </w:p>
    <w:p w14:paraId="22517E22">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二</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分项评分超出评分标准范围的；</w:t>
      </w:r>
    </w:p>
    <w:p w14:paraId="10A4ACD0">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三</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客观评分不一致的；</w:t>
      </w:r>
    </w:p>
    <w:p w14:paraId="2BA5620F">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四</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经评标委员会认定评分畸高畸低的。</w:t>
      </w:r>
    </w:p>
    <w:p w14:paraId="4E63EDCC">
      <w:pPr>
        <w:spacing w:before="2" w:line="321" w:lineRule="auto"/>
        <w:ind w:left="34" w:right="63" w:firstLine="481"/>
        <w:rPr>
          <w:rFonts w:hint="default" w:ascii="宋体" w:hAnsi="宋体" w:eastAsia="宋体" w:cs="宋体"/>
          <w:spacing w:val="4"/>
          <w:sz w:val="23"/>
          <w:szCs w:val="23"/>
        </w:rPr>
      </w:pPr>
      <w:r>
        <w:rPr>
          <w:rFonts w:hint="default" w:ascii="宋体" w:hAnsi="宋体" w:eastAsia="宋体" w:cs="宋体"/>
          <w:spacing w:val="4"/>
          <w:sz w:val="23"/>
          <w:szCs w:val="23"/>
        </w:rPr>
        <w:t>存在本条上述规定情形的， 由评标委员会自主决定是否采纳招标采购单位的书面建议，并承担独立评审责任。评标委员会采纳招标采购单位书面建议的，应当按照规定现场修改评标结果或者重新评标，并在评标报告中详细记载有关事宜；不采纳招标采购单位书面建议的，应当书面说明理由。招标采购单位书面建议未被评标委员会采纳的，应当按照规定程序要求继续组织实施采购活动，不得擅自中止采购活动。招标采购单位认为评标委员会评标结果不合法的，应当书面报告采购项目同级财政部门依法处理。</w:t>
      </w:r>
    </w:p>
    <w:p w14:paraId="565ADD9E">
      <w:pPr>
        <w:spacing w:before="2" w:line="321" w:lineRule="auto"/>
        <w:ind w:left="34" w:right="63" w:firstLine="481" w:firstLineChars="0"/>
        <w:rPr>
          <w:rFonts w:hint="default" w:ascii="宋体" w:hAnsi="宋体" w:eastAsia="宋体" w:cs="宋体"/>
          <w:spacing w:val="4"/>
          <w:sz w:val="23"/>
          <w:szCs w:val="23"/>
        </w:rPr>
      </w:pPr>
      <w:r>
        <w:rPr>
          <w:rFonts w:hint="default" w:ascii="宋体" w:hAnsi="宋体" w:eastAsia="宋体" w:cs="宋体"/>
          <w:spacing w:val="4"/>
          <w:position w:val="0"/>
          <w:sz w:val="23"/>
          <w:szCs w:val="23"/>
        </w:rPr>
        <w:t>3.10.2有下列情形之一的，不得修改评标结果或者重新评标：</w:t>
      </w:r>
    </w:p>
    <w:p w14:paraId="04FD2B2A">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一</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招标采购单位现场复核时，复核工作人员数量不足的；</w:t>
      </w:r>
    </w:p>
    <w:p w14:paraId="266CE24C">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二</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招标采购单位现场复核时，没有采购监督人员现场监督的；</w:t>
      </w:r>
    </w:p>
    <w:p w14:paraId="2994700F">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三</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招标采购单位现场复核内容超出规定范围的；</w:t>
      </w:r>
    </w:p>
    <w:p w14:paraId="0BF65E3C">
      <w:pPr>
        <w:spacing w:before="2" w:line="321" w:lineRule="auto"/>
        <w:ind w:left="34" w:right="63" w:firstLine="481" w:firstLineChars="0"/>
        <w:rPr>
          <w:rFonts w:hint="default" w:ascii="宋体" w:hAnsi="宋体" w:eastAsia="宋体" w:cs="宋体"/>
          <w:spacing w:val="4"/>
          <w:sz w:val="23"/>
          <w:szCs w:val="23"/>
        </w:rPr>
      </w:pP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四</w:t>
      </w:r>
      <w:r>
        <w:rPr>
          <w:rFonts w:hint="eastAsia" w:ascii="宋体" w:hAnsi="宋体" w:eastAsia="宋体" w:cs="宋体"/>
          <w:spacing w:val="4"/>
          <w:sz w:val="23"/>
          <w:szCs w:val="23"/>
          <w:lang w:eastAsia="zh-CN"/>
        </w:rPr>
        <w:t>）</w:t>
      </w:r>
      <w:r>
        <w:rPr>
          <w:rFonts w:hint="default" w:ascii="宋体" w:hAnsi="宋体" w:eastAsia="宋体" w:cs="宋体"/>
          <w:spacing w:val="4"/>
          <w:sz w:val="23"/>
          <w:szCs w:val="23"/>
        </w:rPr>
        <w:t xml:space="preserve"> 招标采购单位未提供书面建议的。</w:t>
      </w:r>
    </w:p>
    <w:p w14:paraId="64A30494">
      <w:pPr>
        <w:spacing w:before="107" w:line="229" w:lineRule="auto"/>
        <w:ind w:left="510"/>
        <w:rPr>
          <w:rFonts w:ascii="宋体" w:hAnsi="宋体" w:eastAsia="宋体" w:cs="宋体"/>
          <w:sz w:val="23"/>
          <w:szCs w:val="23"/>
        </w:rPr>
      </w:pPr>
      <w:r>
        <w:rPr>
          <w:rFonts w:hint="eastAsia" w:ascii="宋体" w:hAnsi="宋体" w:eastAsia="宋体" w:cs="宋体"/>
          <w:b/>
          <w:bCs/>
          <w:sz w:val="24"/>
          <w:szCs w:val="24"/>
        </w:rPr>
        <w:t>4. 评标细则及标准</w:t>
      </w:r>
    </w:p>
    <w:p w14:paraId="5336806C">
      <w:pPr>
        <w:spacing w:before="116" w:line="227" w:lineRule="auto"/>
        <w:ind w:left="510"/>
        <w:rPr>
          <w:rFonts w:ascii="宋体" w:hAnsi="宋体" w:eastAsia="宋体" w:cs="宋体"/>
          <w:sz w:val="23"/>
          <w:szCs w:val="23"/>
        </w:rPr>
      </w:pPr>
      <w:r>
        <w:rPr>
          <w:rFonts w:ascii="宋体" w:hAnsi="宋体" w:eastAsia="宋体" w:cs="宋体"/>
          <w:spacing w:val="12"/>
          <w:sz w:val="23"/>
          <w:szCs w:val="23"/>
        </w:rPr>
        <w:t>4.</w:t>
      </w:r>
      <w:r>
        <w:rPr>
          <w:rFonts w:ascii="宋体" w:hAnsi="宋体" w:eastAsia="宋体" w:cs="宋体"/>
          <w:spacing w:val="11"/>
          <w:sz w:val="23"/>
          <w:szCs w:val="23"/>
        </w:rPr>
        <w:t>1</w:t>
      </w:r>
      <w:r>
        <w:rPr>
          <w:rFonts w:ascii="宋体" w:hAnsi="宋体" w:eastAsia="宋体" w:cs="宋体"/>
          <w:spacing w:val="6"/>
          <w:sz w:val="23"/>
          <w:szCs w:val="23"/>
        </w:rPr>
        <w:t xml:space="preserve"> 本项目采用综合评分法，评分因素详见综合评分明细表。</w:t>
      </w:r>
    </w:p>
    <w:p w14:paraId="3DFACCFE">
      <w:pPr>
        <w:spacing w:before="40" w:line="255" w:lineRule="auto"/>
        <w:ind w:left="32" w:right="216" w:firstLine="478"/>
        <w:rPr>
          <w:rFonts w:ascii="宋体" w:hAnsi="宋体" w:eastAsia="宋体" w:cs="宋体"/>
          <w:sz w:val="23"/>
          <w:szCs w:val="23"/>
        </w:rPr>
      </w:pPr>
      <w:r>
        <w:rPr>
          <w:rFonts w:ascii="宋体" w:hAnsi="宋体" w:eastAsia="宋体" w:cs="宋体"/>
          <w:spacing w:val="22"/>
          <w:sz w:val="23"/>
          <w:szCs w:val="23"/>
        </w:rPr>
        <w:t>4.</w:t>
      </w:r>
      <w:r>
        <w:rPr>
          <w:rFonts w:ascii="宋体" w:hAnsi="宋体" w:eastAsia="宋体" w:cs="宋体"/>
          <w:spacing w:val="15"/>
          <w:sz w:val="23"/>
          <w:szCs w:val="23"/>
        </w:rPr>
        <w:t>2</w:t>
      </w:r>
      <w:r>
        <w:rPr>
          <w:rFonts w:ascii="宋体" w:hAnsi="宋体" w:eastAsia="宋体" w:cs="宋体"/>
          <w:spacing w:val="11"/>
          <w:sz w:val="23"/>
          <w:szCs w:val="23"/>
        </w:rPr>
        <w:t xml:space="preserve"> 评标委员会成员应当根据自身专业情况对每个有效投标供应商的投标</w:t>
      </w:r>
      <w:r>
        <w:rPr>
          <w:rFonts w:ascii="宋体" w:hAnsi="宋体" w:eastAsia="宋体" w:cs="宋体"/>
          <w:spacing w:val="22"/>
          <w:sz w:val="23"/>
          <w:szCs w:val="23"/>
        </w:rPr>
        <w:t>文</w:t>
      </w:r>
      <w:r>
        <w:rPr>
          <w:rFonts w:ascii="宋体" w:hAnsi="宋体" w:eastAsia="宋体" w:cs="宋体"/>
          <w:spacing w:val="12"/>
          <w:sz w:val="23"/>
          <w:szCs w:val="23"/>
        </w:rPr>
        <w:t>件进行独立评分，加权汇总每项评分因素的得分，得出每个有效投标供应商</w:t>
      </w:r>
      <w:r>
        <w:rPr>
          <w:rFonts w:ascii="宋体" w:hAnsi="宋体" w:eastAsia="宋体" w:cs="宋体"/>
          <w:spacing w:val="22"/>
          <w:sz w:val="23"/>
          <w:szCs w:val="23"/>
        </w:rPr>
        <w:t>的</w:t>
      </w:r>
      <w:r>
        <w:rPr>
          <w:rFonts w:ascii="宋体" w:hAnsi="宋体" w:eastAsia="宋体" w:cs="宋体"/>
          <w:spacing w:val="12"/>
          <w:sz w:val="23"/>
          <w:szCs w:val="23"/>
        </w:rPr>
        <w:t>总分。技术类评分因素由技术方面评标委员会成员独立评分。经济类评分因</w:t>
      </w:r>
      <w:r>
        <w:rPr>
          <w:rFonts w:ascii="宋体" w:hAnsi="宋体" w:eastAsia="宋体" w:cs="宋体"/>
          <w:spacing w:val="22"/>
          <w:sz w:val="23"/>
          <w:szCs w:val="23"/>
        </w:rPr>
        <w:t>素</w:t>
      </w:r>
      <w:r>
        <w:rPr>
          <w:rFonts w:ascii="宋体" w:hAnsi="宋体" w:eastAsia="宋体" w:cs="宋体"/>
          <w:spacing w:val="12"/>
          <w:sz w:val="23"/>
          <w:szCs w:val="23"/>
        </w:rPr>
        <w:t>由经济方面评标委员会成员独立评分。政策合同类的评分因素由法律方面评</w:t>
      </w:r>
      <w:r>
        <w:rPr>
          <w:rFonts w:ascii="宋体" w:hAnsi="宋体" w:eastAsia="宋体" w:cs="宋体"/>
          <w:sz w:val="23"/>
          <w:szCs w:val="23"/>
        </w:rPr>
        <w:t xml:space="preserve"> </w:t>
      </w:r>
      <w:r>
        <w:rPr>
          <w:rFonts w:ascii="宋体" w:hAnsi="宋体" w:eastAsia="宋体" w:cs="宋体"/>
          <w:spacing w:val="22"/>
          <w:sz w:val="23"/>
          <w:szCs w:val="23"/>
        </w:rPr>
        <w:t>标</w:t>
      </w:r>
      <w:r>
        <w:rPr>
          <w:rFonts w:ascii="宋体" w:hAnsi="宋体" w:eastAsia="宋体" w:cs="宋体"/>
          <w:spacing w:val="12"/>
          <w:sz w:val="23"/>
          <w:szCs w:val="23"/>
        </w:rPr>
        <w:t>委员会成员独立评分。采购人代表原则上对技术类评分因素独立评分。价格</w:t>
      </w:r>
      <w:r>
        <w:rPr>
          <w:rFonts w:ascii="宋体" w:hAnsi="宋体" w:eastAsia="宋体" w:cs="宋体"/>
          <w:sz w:val="23"/>
          <w:szCs w:val="23"/>
        </w:rPr>
        <w:t xml:space="preserve"> </w:t>
      </w:r>
      <w:r>
        <w:rPr>
          <w:rFonts w:ascii="宋体" w:hAnsi="宋体" w:eastAsia="宋体" w:cs="宋体"/>
          <w:spacing w:val="15"/>
          <w:sz w:val="23"/>
          <w:szCs w:val="23"/>
        </w:rPr>
        <w:t>和</w:t>
      </w:r>
      <w:r>
        <w:rPr>
          <w:rFonts w:ascii="宋体" w:hAnsi="宋体" w:eastAsia="宋体" w:cs="宋体"/>
          <w:spacing w:val="9"/>
          <w:sz w:val="23"/>
          <w:szCs w:val="23"/>
        </w:rPr>
        <w:t>其他不能明确区分的评分因素由评标委员会成员共同评分。</w:t>
      </w:r>
    </w:p>
    <w:p w14:paraId="3DEF1285">
      <w:pPr>
        <w:spacing w:before="42" w:line="228" w:lineRule="auto"/>
        <w:ind w:left="510"/>
        <w:rPr>
          <w:rFonts w:ascii="宋体" w:hAnsi="宋体" w:eastAsia="宋体" w:cs="宋体"/>
          <w:sz w:val="23"/>
          <w:szCs w:val="23"/>
        </w:rPr>
      </w:pPr>
      <w:r>
        <w:rPr>
          <w:rFonts w:ascii="宋体" w:hAnsi="宋体" w:eastAsia="宋体" w:cs="宋体"/>
          <w:spacing w:val="2"/>
          <w:sz w:val="23"/>
          <w:szCs w:val="23"/>
        </w:rPr>
        <w:t>4.3 综合评分明细</w:t>
      </w:r>
      <w:r>
        <w:rPr>
          <w:rFonts w:ascii="宋体" w:hAnsi="宋体" w:eastAsia="宋体" w:cs="宋体"/>
          <w:spacing w:val="1"/>
          <w:sz w:val="23"/>
          <w:szCs w:val="23"/>
        </w:rPr>
        <w:t>表</w:t>
      </w:r>
    </w:p>
    <w:p w14:paraId="5BED492C">
      <w:pPr>
        <w:spacing w:before="117" w:line="227" w:lineRule="auto"/>
        <w:ind w:left="510"/>
        <w:rPr>
          <w:rFonts w:ascii="宋体" w:hAnsi="宋体" w:eastAsia="宋体" w:cs="宋体"/>
          <w:sz w:val="23"/>
          <w:szCs w:val="23"/>
        </w:rPr>
      </w:pPr>
      <w:r>
        <w:rPr>
          <w:rFonts w:ascii="宋体" w:hAnsi="宋体" w:eastAsia="宋体" w:cs="宋体"/>
          <w:spacing w:val="7"/>
          <w:sz w:val="23"/>
          <w:szCs w:val="23"/>
        </w:rPr>
        <w:t>4.3.1 综合评分明细表的制定以科学合理、降低评委会自由裁量权为原则</w:t>
      </w:r>
      <w:r>
        <w:rPr>
          <w:rFonts w:ascii="宋体" w:hAnsi="宋体" w:eastAsia="宋体" w:cs="宋体"/>
          <w:spacing w:val="6"/>
          <w:sz w:val="23"/>
          <w:szCs w:val="23"/>
        </w:rPr>
        <w:t>。</w:t>
      </w:r>
    </w:p>
    <w:p w14:paraId="261B527E">
      <w:pPr>
        <w:spacing w:before="117" w:line="321" w:lineRule="auto"/>
        <w:ind w:left="34" w:right="216" w:firstLine="476"/>
        <w:rPr>
          <w:rFonts w:ascii="宋体" w:hAnsi="宋体" w:eastAsia="宋体" w:cs="宋体"/>
          <w:sz w:val="23"/>
          <w:szCs w:val="23"/>
        </w:rPr>
      </w:pPr>
      <w:r>
        <w:rPr>
          <w:rFonts w:ascii="宋体" w:hAnsi="宋体" w:eastAsia="宋体" w:cs="宋体"/>
          <w:spacing w:val="22"/>
          <w:sz w:val="23"/>
          <w:szCs w:val="23"/>
        </w:rPr>
        <w:t>4</w:t>
      </w:r>
      <w:r>
        <w:rPr>
          <w:rFonts w:ascii="宋体" w:hAnsi="宋体" w:eastAsia="宋体" w:cs="宋体"/>
          <w:spacing w:val="15"/>
          <w:sz w:val="23"/>
          <w:szCs w:val="23"/>
        </w:rPr>
        <w:t>.</w:t>
      </w:r>
      <w:r>
        <w:rPr>
          <w:rFonts w:ascii="宋体" w:hAnsi="宋体" w:eastAsia="宋体" w:cs="宋体"/>
          <w:spacing w:val="11"/>
          <w:sz w:val="23"/>
          <w:szCs w:val="23"/>
        </w:rPr>
        <w:t>3.2 综合评分明细表按须知表中的相关要求进行价格调整，再参与价格</w:t>
      </w:r>
      <w:r>
        <w:rPr>
          <w:rFonts w:ascii="宋体" w:hAnsi="宋体" w:eastAsia="宋体" w:cs="宋体"/>
          <w:spacing w:val="5"/>
          <w:sz w:val="23"/>
          <w:szCs w:val="23"/>
        </w:rPr>
        <w:t>分</w:t>
      </w:r>
      <w:r>
        <w:rPr>
          <w:rFonts w:ascii="宋体" w:hAnsi="宋体" w:eastAsia="宋体" w:cs="宋体"/>
          <w:spacing w:val="4"/>
          <w:sz w:val="23"/>
          <w:szCs w:val="23"/>
        </w:rPr>
        <w:t>评审。</w:t>
      </w:r>
    </w:p>
    <w:p w14:paraId="4F4AC1F9">
      <w:pPr>
        <w:spacing w:line="228" w:lineRule="auto"/>
        <w:ind w:left="510"/>
        <w:rPr>
          <w:rFonts w:ascii="宋体" w:hAnsi="宋体" w:eastAsia="宋体" w:cs="宋体"/>
          <w:spacing w:val="2"/>
          <w:sz w:val="23"/>
          <w:szCs w:val="23"/>
        </w:rPr>
      </w:pPr>
      <w:r>
        <w:rPr>
          <w:rFonts w:ascii="宋体" w:hAnsi="宋体" w:eastAsia="宋体" w:cs="宋体"/>
          <w:spacing w:val="4"/>
          <w:sz w:val="23"/>
          <w:szCs w:val="23"/>
        </w:rPr>
        <w:t>4.</w:t>
      </w:r>
      <w:r>
        <w:rPr>
          <w:rFonts w:ascii="宋体" w:hAnsi="宋体" w:eastAsia="宋体" w:cs="宋体"/>
          <w:spacing w:val="3"/>
          <w:sz w:val="23"/>
          <w:szCs w:val="23"/>
        </w:rPr>
        <w:t>3</w:t>
      </w:r>
      <w:r>
        <w:rPr>
          <w:rFonts w:ascii="宋体" w:hAnsi="宋体" w:eastAsia="宋体" w:cs="宋体"/>
          <w:spacing w:val="2"/>
          <w:sz w:val="23"/>
          <w:szCs w:val="23"/>
        </w:rPr>
        <w:t>.3 综合评分明细表</w:t>
      </w:r>
    </w:p>
    <w:p w14:paraId="6A55FACE">
      <w:pPr>
        <w:pStyle w:val="23"/>
        <w:ind w:firstLine="234" w:firstLineChars="100"/>
        <w:rPr>
          <w:rFonts w:hint="eastAsia" w:hAnsi="宋体" w:cs="宋体"/>
          <w:spacing w:val="2"/>
          <w:sz w:val="23"/>
          <w:szCs w:val="23"/>
          <w:lang w:eastAsia="zh-CN"/>
        </w:rPr>
      </w:pPr>
    </w:p>
    <w:p w14:paraId="63295B1A">
      <w:pPr>
        <w:pStyle w:val="23"/>
        <w:ind w:firstLine="470" w:firstLineChars="200"/>
        <w:rPr>
          <w:rFonts w:hint="default" w:eastAsia="宋体"/>
          <w:b/>
          <w:bCs/>
          <w:lang w:val="en-US" w:eastAsia="zh-CN"/>
        </w:rPr>
      </w:pPr>
      <w:r>
        <w:rPr>
          <w:rFonts w:hint="eastAsia" w:hAnsi="宋体" w:cs="宋体"/>
          <w:b/>
          <w:bCs/>
          <w:spacing w:val="2"/>
          <w:sz w:val="23"/>
          <w:szCs w:val="23"/>
          <w:lang w:eastAsia="zh-CN"/>
        </w:rPr>
        <w:t>采购包</w:t>
      </w:r>
      <w:r>
        <w:rPr>
          <w:rFonts w:hint="eastAsia" w:hAnsi="宋体" w:cs="宋体"/>
          <w:b/>
          <w:bCs/>
          <w:spacing w:val="2"/>
          <w:sz w:val="23"/>
          <w:szCs w:val="23"/>
          <w:lang w:val="en-US" w:eastAsia="zh-CN"/>
        </w:rPr>
        <w:t>1：</w:t>
      </w:r>
    </w:p>
    <w:p w14:paraId="1EEFC47F">
      <w:pPr>
        <w:rPr>
          <w:rFonts w:ascii="Arial"/>
          <w:sz w:val="21"/>
        </w:rPr>
      </w:pPr>
    </w:p>
    <w:tbl>
      <w:tblPr>
        <w:tblStyle w:val="18"/>
        <w:tblW w:w="10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185"/>
        <w:gridCol w:w="780"/>
        <w:gridCol w:w="6524"/>
        <w:gridCol w:w="994"/>
      </w:tblGrid>
      <w:tr w14:paraId="72121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7BB318AF">
            <w:pPr>
              <w:spacing w:line="240" w:lineRule="auto"/>
              <w:jc w:val="center"/>
              <w:rPr>
                <w:rFonts w:hAnsi="宋体"/>
                <w:sz w:val="24"/>
                <w:szCs w:val="24"/>
              </w:rPr>
            </w:pPr>
            <w:r>
              <w:rPr>
                <w:rFonts w:hint="eastAsia" w:hAnsi="宋体"/>
                <w:sz w:val="24"/>
                <w:szCs w:val="24"/>
              </w:rPr>
              <w:t>序号</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29AE767A">
            <w:pPr>
              <w:spacing w:line="240" w:lineRule="auto"/>
              <w:jc w:val="center"/>
              <w:rPr>
                <w:rFonts w:hAnsi="宋体"/>
                <w:sz w:val="24"/>
                <w:szCs w:val="24"/>
              </w:rPr>
            </w:pPr>
            <w:r>
              <w:rPr>
                <w:rFonts w:hint="eastAsia" w:hAnsi="宋体"/>
                <w:sz w:val="24"/>
                <w:szCs w:val="24"/>
              </w:rPr>
              <w:t>评分因素及权重</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8604BDC">
            <w:pPr>
              <w:spacing w:line="240" w:lineRule="auto"/>
              <w:jc w:val="center"/>
              <w:rPr>
                <w:rFonts w:hAnsi="宋体"/>
                <w:sz w:val="24"/>
                <w:szCs w:val="24"/>
              </w:rPr>
            </w:pPr>
            <w:r>
              <w:rPr>
                <w:rFonts w:hint="eastAsia" w:hAnsi="宋体"/>
                <w:sz w:val="24"/>
                <w:szCs w:val="24"/>
              </w:rPr>
              <w:t>分值</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4FD49DE5">
            <w:pPr>
              <w:spacing w:line="240" w:lineRule="auto"/>
              <w:jc w:val="center"/>
              <w:rPr>
                <w:rFonts w:hAnsi="宋体"/>
                <w:sz w:val="24"/>
                <w:szCs w:val="24"/>
              </w:rPr>
            </w:pPr>
            <w:r>
              <w:rPr>
                <w:rFonts w:hint="eastAsia" w:hAnsi="宋体"/>
                <w:sz w:val="24"/>
                <w:szCs w:val="24"/>
              </w:rPr>
              <w:t>评分标准</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3B8C9D0D">
            <w:pPr>
              <w:spacing w:line="240" w:lineRule="auto"/>
              <w:jc w:val="center"/>
              <w:rPr>
                <w:rFonts w:hAnsi="宋体"/>
                <w:sz w:val="24"/>
                <w:szCs w:val="24"/>
              </w:rPr>
            </w:pPr>
            <w:r>
              <w:rPr>
                <w:rFonts w:hint="eastAsia" w:hAnsi="宋体"/>
                <w:sz w:val="24"/>
                <w:szCs w:val="24"/>
              </w:rPr>
              <w:t>说明</w:t>
            </w:r>
          </w:p>
        </w:tc>
      </w:tr>
      <w:tr w14:paraId="22D8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2EED458C">
            <w:pPr>
              <w:spacing w:line="360" w:lineRule="exact"/>
              <w:jc w:val="center"/>
              <w:rPr>
                <w:rFonts w:hAnsi="宋体"/>
                <w:sz w:val="22"/>
                <w:szCs w:val="22"/>
              </w:rPr>
            </w:pPr>
            <w:r>
              <w:rPr>
                <w:rFonts w:hint="eastAsia" w:hAnsi="宋体"/>
                <w:sz w:val="22"/>
                <w:szCs w:val="22"/>
              </w:rPr>
              <w:t>1</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26521876">
            <w:pPr>
              <w:spacing w:line="360" w:lineRule="exact"/>
              <w:jc w:val="center"/>
              <w:rPr>
                <w:rFonts w:hint="eastAsia" w:hAnsi="宋体"/>
                <w:sz w:val="22"/>
                <w:szCs w:val="22"/>
              </w:rPr>
            </w:pPr>
            <w:r>
              <w:rPr>
                <w:rFonts w:hint="eastAsia" w:hAnsi="宋体"/>
                <w:sz w:val="22"/>
                <w:szCs w:val="22"/>
              </w:rPr>
              <w:t>报价</w:t>
            </w:r>
          </w:p>
          <w:p w14:paraId="734AB457">
            <w:pPr>
              <w:spacing w:line="360" w:lineRule="exact"/>
              <w:jc w:val="center"/>
              <w:rPr>
                <w:rFonts w:hAnsi="宋体"/>
                <w:sz w:val="22"/>
                <w:szCs w:val="22"/>
              </w:rPr>
            </w:pPr>
            <w:r>
              <w:rPr>
                <w:rFonts w:hint="eastAsia"/>
                <w:sz w:val="22"/>
                <w:szCs w:val="22"/>
                <w:lang w:val="en-US" w:eastAsia="zh-CN"/>
              </w:rPr>
              <w:t>30</w:t>
            </w:r>
            <w:r>
              <w:rPr>
                <w:rFonts w:hint="eastAsia" w:hAnsi="宋体"/>
                <w:sz w:val="22"/>
                <w:szCs w:val="22"/>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A9A4456">
            <w:pPr>
              <w:spacing w:line="360" w:lineRule="exact"/>
              <w:jc w:val="center"/>
              <w:rPr>
                <w:rFonts w:hAnsi="宋体"/>
                <w:sz w:val="22"/>
                <w:szCs w:val="22"/>
              </w:rPr>
            </w:pPr>
            <w:r>
              <w:rPr>
                <w:rFonts w:hint="eastAsia"/>
                <w:sz w:val="22"/>
                <w:szCs w:val="22"/>
                <w:lang w:val="en-US" w:eastAsia="zh-CN"/>
              </w:rPr>
              <w:t>30</w:t>
            </w:r>
            <w:r>
              <w:rPr>
                <w:rFonts w:hint="eastAsia" w:hAnsi="宋体"/>
                <w:sz w:val="22"/>
                <w:szCs w:val="22"/>
              </w:rPr>
              <w:t>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0C3C443D">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满足招标文件要求且投标报价最低的为评审基准价，其价格分为满分。其他投标人的价格分统一按照下列公式计算：报价得分=(评审基准价／投标报价)*30分</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1AF4346A">
            <w:pPr>
              <w:spacing w:line="360" w:lineRule="exact"/>
              <w:rPr>
                <w:rFonts w:hAnsi="宋体"/>
                <w:sz w:val="22"/>
                <w:szCs w:val="22"/>
              </w:rPr>
            </w:pPr>
          </w:p>
        </w:tc>
      </w:tr>
      <w:tr w14:paraId="44B5D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right w:val="single" w:color="auto" w:sz="4" w:space="0"/>
            </w:tcBorders>
            <w:noWrap w:val="0"/>
            <w:vAlign w:val="center"/>
          </w:tcPr>
          <w:p w14:paraId="7C2B1235">
            <w:pPr>
              <w:spacing w:line="360" w:lineRule="exact"/>
              <w:jc w:val="center"/>
              <w:rPr>
                <w:rFonts w:hAnsi="宋体"/>
                <w:sz w:val="22"/>
                <w:szCs w:val="22"/>
              </w:rPr>
            </w:pPr>
            <w:r>
              <w:rPr>
                <w:rFonts w:hint="eastAsia" w:hAnsi="宋体"/>
                <w:sz w:val="22"/>
                <w:szCs w:val="22"/>
              </w:rPr>
              <w:t>2</w:t>
            </w:r>
          </w:p>
        </w:tc>
        <w:tc>
          <w:tcPr>
            <w:tcW w:w="1185" w:type="dxa"/>
            <w:tcBorders>
              <w:top w:val="single" w:color="auto" w:sz="4" w:space="0"/>
              <w:left w:val="single" w:color="auto" w:sz="4" w:space="0"/>
              <w:right w:val="single" w:color="auto" w:sz="4" w:space="0"/>
            </w:tcBorders>
            <w:noWrap w:val="0"/>
            <w:vAlign w:val="center"/>
          </w:tcPr>
          <w:p w14:paraId="2EF0A144">
            <w:pPr>
              <w:spacing w:line="360" w:lineRule="exact"/>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技术指标和配置</w:t>
            </w:r>
          </w:p>
          <w:p w14:paraId="1438CD09">
            <w:pPr>
              <w:spacing w:line="360" w:lineRule="exact"/>
              <w:jc w:val="center"/>
              <w:rPr>
                <w:rFonts w:hint="eastAsia" w:ascii="宋体" w:hAnsi="宋体" w:eastAsia="宋体" w:cs="宋体"/>
                <w:sz w:val="22"/>
                <w:szCs w:val="22"/>
              </w:rPr>
            </w:pPr>
            <w:r>
              <w:rPr>
                <w:rFonts w:hint="eastAsia" w:ascii="宋体" w:hAnsi="宋体" w:eastAsia="宋体" w:cs="宋体"/>
                <w:sz w:val="22"/>
                <w:szCs w:val="22"/>
                <w:lang w:val="en-US" w:eastAsia="zh-CN"/>
              </w:rPr>
              <w:t>35</w:t>
            </w:r>
            <w:r>
              <w:rPr>
                <w:rFonts w:hint="eastAsia" w:ascii="宋体" w:hAnsi="宋体" w:eastAsia="宋体" w:cs="宋体"/>
                <w:sz w:val="22"/>
                <w:szCs w:val="22"/>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0DC3A815">
            <w:pPr>
              <w:spacing w:line="360" w:lineRule="exact"/>
              <w:jc w:val="center"/>
              <w:rPr>
                <w:rFonts w:hAnsi="宋体"/>
                <w:sz w:val="22"/>
                <w:szCs w:val="22"/>
              </w:rPr>
            </w:pPr>
            <w:r>
              <w:rPr>
                <w:rFonts w:hint="eastAsia"/>
                <w:sz w:val="22"/>
                <w:szCs w:val="22"/>
                <w:lang w:val="en-US" w:eastAsia="zh-CN"/>
              </w:rPr>
              <w:t>35</w:t>
            </w:r>
            <w:r>
              <w:rPr>
                <w:rFonts w:hint="eastAsia" w:hAnsi="宋体"/>
                <w:sz w:val="22"/>
                <w:szCs w:val="22"/>
              </w:rPr>
              <w:t>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11C187D8">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投标人所提供产品的技术参数完全满足招标文件第六章技术参数要求的，得35分；投标人所提供产品的技术参数不满足招标文件技术参数及要求的：</w:t>
            </w:r>
          </w:p>
          <w:p w14:paraId="503201A8">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（1）带▲参数得分=（投标人满足带▲技术参数条款的数量÷招标文件中带▲技术参数条款的总数量）*20分。</w:t>
            </w:r>
          </w:p>
          <w:p w14:paraId="4995935A">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（2）一般技术参数得分=（投标人满足一般技术参数条款的数量÷招标文件中一般技术参数条款的总数量）*15分。</w:t>
            </w:r>
          </w:p>
          <w:p w14:paraId="42ABD161">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注：1.采购文件有明确具体证明材料的，以具体证明材料为准，未明确具体证明材料的以投标人投标文件对招标文件第六章技术参数要求响应为准。</w:t>
            </w:r>
          </w:p>
          <w:p w14:paraId="3387E003">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2.一般技术参数条款是指除各标段中标注“▲”“★”参数条款外的，每一个最小序号为一条的参数条款。</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796B0942">
            <w:pPr>
              <w:spacing w:line="380" w:lineRule="exact"/>
              <w:rPr>
                <w:rFonts w:hAnsi="宋体"/>
                <w:sz w:val="22"/>
                <w:szCs w:val="22"/>
              </w:rPr>
            </w:pPr>
          </w:p>
        </w:tc>
      </w:tr>
      <w:tr w14:paraId="20F21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left w:val="single" w:color="auto" w:sz="4" w:space="0"/>
              <w:bottom w:val="single" w:color="auto" w:sz="4" w:space="0"/>
              <w:right w:val="single" w:color="auto" w:sz="4" w:space="0"/>
            </w:tcBorders>
            <w:noWrap w:val="0"/>
            <w:vAlign w:val="center"/>
          </w:tcPr>
          <w:p w14:paraId="16E1F389">
            <w:pPr>
              <w:spacing w:line="360" w:lineRule="exact"/>
              <w:jc w:val="center"/>
              <w:rPr>
                <w:rFonts w:hint="eastAsia" w:hAnsi="宋体" w:eastAsia="宋体"/>
                <w:sz w:val="22"/>
                <w:szCs w:val="22"/>
                <w:lang w:val="en-US" w:eastAsia="zh-CN"/>
              </w:rPr>
            </w:pPr>
            <w:r>
              <w:rPr>
                <w:rFonts w:hint="eastAsia" w:hAnsi="宋体"/>
                <w:sz w:val="22"/>
                <w:szCs w:val="22"/>
                <w:lang w:val="en-US" w:eastAsia="zh-CN"/>
              </w:rPr>
              <w:t>3</w:t>
            </w:r>
          </w:p>
        </w:tc>
        <w:tc>
          <w:tcPr>
            <w:tcW w:w="1185" w:type="dxa"/>
            <w:tcBorders>
              <w:left w:val="single" w:color="auto" w:sz="4" w:space="0"/>
              <w:bottom w:val="single" w:color="auto" w:sz="4" w:space="0"/>
              <w:right w:val="single" w:color="auto" w:sz="4" w:space="0"/>
            </w:tcBorders>
            <w:noWrap w:val="0"/>
            <w:vAlign w:val="center"/>
          </w:tcPr>
          <w:p w14:paraId="16879214">
            <w:pPr>
              <w:spacing w:line="360" w:lineRule="exact"/>
              <w:jc w:val="center"/>
              <w:rPr>
                <w:rFonts w:hint="eastAsia" w:ascii="宋体" w:hAnsi="宋体" w:eastAsia="宋体" w:cs="宋体"/>
                <w:sz w:val="22"/>
                <w:szCs w:val="22"/>
              </w:rPr>
            </w:pPr>
            <w:r>
              <w:rPr>
                <w:rFonts w:hint="eastAsia" w:ascii="宋体" w:hAnsi="宋体" w:eastAsia="宋体" w:cs="宋体"/>
                <w:sz w:val="22"/>
                <w:szCs w:val="22"/>
              </w:rPr>
              <w:t>项目实施方案</w:t>
            </w:r>
          </w:p>
          <w:p w14:paraId="5934582F">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15%</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033F28B6">
            <w:pPr>
              <w:spacing w:line="380" w:lineRule="exact"/>
              <w:jc w:val="center"/>
              <w:rPr>
                <w:rFonts w:hint="default" w:hAnsi="宋体" w:eastAsia="宋体"/>
                <w:sz w:val="22"/>
                <w:szCs w:val="22"/>
                <w:lang w:val="en-US" w:eastAsia="zh-CN"/>
              </w:rPr>
            </w:pPr>
            <w:r>
              <w:rPr>
                <w:rFonts w:hint="eastAsia" w:hAnsi="宋体"/>
                <w:sz w:val="22"/>
                <w:szCs w:val="22"/>
                <w:lang w:val="en-US" w:eastAsia="zh-CN"/>
              </w:rPr>
              <w:t>15分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04CEA5D7">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根据投标人提供的项目实施方案进行评分，方案包括：①货源组织及运输保障；②</w:t>
            </w:r>
            <w:r>
              <w:rPr>
                <w:rFonts w:hint="eastAsia" w:hAnsi="宋体" w:cs="宋体"/>
                <w:sz w:val="22"/>
                <w:szCs w:val="22"/>
                <w:highlight w:val="none"/>
                <w:lang w:val="en-US" w:eastAsia="zh-CN" w:bidi="ar-SA"/>
              </w:rPr>
              <w:t>安全保障措施</w:t>
            </w:r>
            <w:r>
              <w:rPr>
                <w:rFonts w:hint="eastAsia" w:ascii="宋体" w:hAnsi="宋体" w:eastAsia="宋体" w:cs="宋体"/>
                <w:sz w:val="22"/>
                <w:szCs w:val="22"/>
                <w:highlight w:val="none"/>
                <w:lang w:val="en-US" w:eastAsia="zh-CN" w:bidi="ar-SA"/>
              </w:rPr>
              <w:t>；③进度计划保障措施；④质量保障措施；⑤应急预案。</w:t>
            </w:r>
          </w:p>
          <w:p w14:paraId="7160B643">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以上五项（以序号①、②、……为项数）方案内容齐全且无缺陷的得15分；每有一项内容缺失或未提供的扣3分，每项内容中每有一处缺陷的扣1.5分，该项分值扣完为止。</w:t>
            </w:r>
          </w:p>
          <w:p w14:paraId="47943E7C">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（注：“缺陷”是指项目名称错误、地点区域错误、仅有框架或标题、内容与项目需求不符、引用的法律法规、标准（方法）或其他规范性文件错误、内容与本项目无关的任意一种情形）</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2969B015">
            <w:pPr>
              <w:spacing w:line="420" w:lineRule="exact"/>
              <w:rPr>
                <w:rFonts w:hAnsi="宋体"/>
                <w:sz w:val="22"/>
                <w:szCs w:val="22"/>
              </w:rPr>
            </w:pPr>
          </w:p>
        </w:tc>
      </w:tr>
      <w:tr w14:paraId="740D3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12FC6A70">
            <w:pPr>
              <w:spacing w:line="360" w:lineRule="exact"/>
              <w:jc w:val="center"/>
              <w:rPr>
                <w:rFonts w:hint="eastAsia" w:hAnsi="宋体" w:eastAsia="宋体"/>
                <w:sz w:val="22"/>
                <w:szCs w:val="22"/>
                <w:lang w:val="en-US" w:eastAsia="zh-CN"/>
              </w:rPr>
            </w:pPr>
            <w:r>
              <w:rPr>
                <w:rFonts w:hint="eastAsia" w:hAnsi="宋体"/>
                <w:sz w:val="22"/>
                <w:szCs w:val="22"/>
                <w:lang w:val="en-US" w:eastAsia="zh-CN"/>
              </w:rPr>
              <w:t>4</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1A83B0F1">
            <w:pPr>
              <w:spacing w:line="380" w:lineRule="exact"/>
              <w:jc w:val="center"/>
              <w:rPr>
                <w:rFonts w:hint="default" w:hAnsi="宋体" w:eastAsia="宋体"/>
                <w:sz w:val="22"/>
                <w:szCs w:val="22"/>
                <w:lang w:val="en-US" w:eastAsia="zh-CN"/>
              </w:rPr>
            </w:pPr>
            <w:r>
              <w:rPr>
                <w:rFonts w:hint="eastAsia" w:hAnsi="宋体"/>
                <w:sz w:val="22"/>
                <w:szCs w:val="22"/>
                <w:lang w:eastAsia="zh-CN"/>
              </w:rPr>
              <w:t>售后服务</w:t>
            </w:r>
            <w:r>
              <w:rPr>
                <w:rFonts w:hint="eastAsia" w:hAnsi="宋体"/>
                <w:sz w:val="22"/>
                <w:szCs w:val="22"/>
                <w:lang w:val="en-US" w:eastAsia="zh-CN"/>
              </w:rPr>
              <w:t>15%</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845702F">
            <w:pPr>
              <w:spacing w:line="380" w:lineRule="exact"/>
              <w:jc w:val="center"/>
              <w:rPr>
                <w:rFonts w:hint="default" w:hAnsi="宋体" w:eastAsia="宋体"/>
                <w:sz w:val="22"/>
                <w:szCs w:val="22"/>
                <w:lang w:val="en-US" w:eastAsia="zh-CN"/>
              </w:rPr>
            </w:pPr>
            <w:r>
              <w:rPr>
                <w:rFonts w:hint="eastAsia" w:hAnsi="宋体"/>
                <w:sz w:val="22"/>
                <w:szCs w:val="22"/>
                <w:lang w:val="en-US" w:eastAsia="zh-CN"/>
              </w:rPr>
              <w:t>15分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6A462020">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根据投标人提供的售后服务方案进行评分，方案包括：①售后技术支持；②服务响应时间；③备件（易耗品）</w:t>
            </w:r>
            <w:r>
              <w:rPr>
                <w:rFonts w:hint="eastAsia" w:hAnsi="宋体" w:cs="宋体"/>
                <w:sz w:val="22"/>
                <w:szCs w:val="22"/>
                <w:highlight w:val="none"/>
                <w:lang w:val="en-US" w:eastAsia="zh-CN" w:bidi="ar-SA"/>
              </w:rPr>
              <w:t>保障</w:t>
            </w:r>
            <w:r>
              <w:rPr>
                <w:rFonts w:hint="eastAsia" w:ascii="宋体" w:hAnsi="宋体" w:eastAsia="宋体" w:cs="宋体"/>
                <w:sz w:val="22"/>
                <w:szCs w:val="22"/>
                <w:highlight w:val="none"/>
                <w:lang w:val="en-US" w:eastAsia="zh-CN" w:bidi="ar-SA"/>
              </w:rPr>
              <w:t>方案；④售后服务人员及联系方式；⑤培训</w:t>
            </w:r>
            <w:r>
              <w:rPr>
                <w:rFonts w:hint="eastAsia" w:hAnsi="宋体" w:cs="宋体"/>
                <w:sz w:val="22"/>
                <w:szCs w:val="22"/>
                <w:highlight w:val="none"/>
                <w:lang w:val="en-US" w:eastAsia="zh-CN" w:bidi="ar-SA"/>
              </w:rPr>
              <w:t>方案</w:t>
            </w:r>
            <w:r>
              <w:rPr>
                <w:rFonts w:hint="eastAsia" w:ascii="宋体" w:hAnsi="宋体" w:eastAsia="宋体" w:cs="宋体"/>
                <w:sz w:val="22"/>
                <w:szCs w:val="22"/>
                <w:highlight w:val="none"/>
                <w:lang w:val="en-US" w:eastAsia="zh-CN" w:bidi="ar-SA"/>
              </w:rPr>
              <w:t>。</w:t>
            </w:r>
          </w:p>
          <w:p w14:paraId="56B35D16">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以上五项（以序号①、②、……为项数）方案内容齐全、无缺项且无缺陷的得</w:t>
            </w:r>
            <w:r>
              <w:rPr>
                <w:rFonts w:hint="eastAsia" w:hAnsi="宋体" w:cs="宋体"/>
                <w:sz w:val="22"/>
                <w:szCs w:val="22"/>
                <w:highlight w:val="none"/>
                <w:lang w:val="en-US" w:eastAsia="zh-CN" w:bidi="ar-SA"/>
              </w:rPr>
              <w:t>15</w:t>
            </w:r>
            <w:r>
              <w:rPr>
                <w:rFonts w:hint="eastAsia" w:ascii="宋体" w:hAnsi="宋体" w:eastAsia="宋体" w:cs="宋体"/>
                <w:sz w:val="22"/>
                <w:szCs w:val="22"/>
                <w:highlight w:val="none"/>
                <w:lang w:val="en-US" w:eastAsia="zh-CN" w:bidi="ar-SA"/>
              </w:rPr>
              <w:t>分；每有一项内容缺失或未提供扣3分，每项内容中每有一处缺陷的扣1.5分，该项分值扣完为止。</w:t>
            </w:r>
          </w:p>
          <w:p w14:paraId="308F396E">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（“缺陷”是指项目名称错误、地点区域错误、仅有框架或标题、内容与项目需求不符、引用的法律法规、标准（方法）或其他规范性文件错误、内容与本项目无关的任意一种情形）</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512FDBAF">
            <w:pPr>
              <w:spacing w:line="420" w:lineRule="exact"/>
              <w:rPr>
                <w:rFonts w:hAnsi="宋体"/>
                <w:sz w:val="22"/>
                <w:szCs w:val="22"/>
              </w:rPr>
            </w:pPr>
          </w:p>
        </w:tc>
      </w:tr>
      <w:tr w14:paraId="60BD5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466AF847">
            <w:pPr>
              <w:spacing w:line="360" w:lineRule="exact"/>
              <w:jc w:val="center"/>
              <w:rPr>
                <w:rFonts w:hint="default" w:ascii="宋体" w:hAnsi="宋体" w:eastAsia="宋体" w:cs="宋体"/>
                <w:sz w:val="22"/>
                <w:szCs w:val="22"/>
                <w:lang w:val="en-US" w:eastAsia="zh-CN" w:bidi="ar-SA"/>
              </w:rPr>
            </w:pPr>
            <w:r>
              <w:rPr>
                <w:rFonts w:hint="eastAsia" w:hAnsi="宋体" w:cs="宋体"/>
                <w:sz w:val="22"/>
                <w:szCs w:val="22"/>
                <w:lang w:val="en-US" w:eastAsia="zh-CN" w:bidi="ar-SA"/>
              </w:rPr>
              <w:t>5</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3B703B71">
            <w:pPr>
              <w:spacing w:line="380" w:lineRule="exact"/>
              <w:jc w:val="center"/>
              <w:rPr>
                <w:rFonts w:hint="eastAsia" w:hAnsi="宋体"/>
                <w:sz w:val="22"/>
                <w:szCs w:val="22"/>
                <w:lang w:eastAsia="zh-CN"/>
              </w:rPr>
            </w:pPr>
            <w:r>
              <w:rPr>
                <w:rFonts w:hint="eastAsia" w:hAnsi="宋体"/>
                <w:sz w:val="22"/>
                <w:szCs w:val="22"/>
                <w:lang w:eastAsia="zh-CN"/>
              </w:rPr>
              <w:t>履约能力</w:t>
            </w:r>
          </w:p>
          <w:p w14:paraId="7CAE2C50">
            <w:pPr>
              <w:spacing w:line="380" w:lineRule="exact"/>
              <w:jc w:val="center"/>
              <w:rPr>
                <w:rFonts w:hint="eastAsia" w:ascii="宋体" w:hAnsi="宋体" w:eastAsia="宋体" w:cs="宋体"/>
                <w:sz w:val="22"/>
                <w:szCs w:val="22"/>
                <w:lang w:val="en-US" w:eastAsia="zh-CN" w:bidi="ar-SA"/>
              </w:rPr>
            </w:pPr>
            <w:r>
              <w:rPr>
                <w:rFonts w:hint="eastAsia"/>
                <w:sz w:val="22"/>
                <w:szCs w:val="22"/>
                <w:lang w:val="en-US" w:eastAsia="zh-CN"/>
              </w:rPr>
              <w:t>5</w:t>
            </w:r>
            <w:r>
              <w:rPr>
                <w:rFonts w:hint="eastAsia" w:hAnsi="宋体"/>
                <w:sz w:val="22"/>
                <w:szCs w:val="22"/>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69319B85">
            <w:pPr>
              <w:spacing w:line="380" w:lineRule="exact"/>
              <w:jc w:val="center"/>
              <w:rPr>
                <w:rFonts w:hint="eastAsia" w:ascii="宋体" w:hAnsi="宋体" w:eastAsia="宋体" w:cs="宋体"/>
                <w:sz w:val="22"/>
                <w:szCs w:val="22"/>
                <w:highlight w:val="none"/>
                <w:lang w:val="en-US" w:eastAsia="zh-CN" w:bidi="ar-SA"/>
              </w:rPr>
            </w:pPr>
            <w:r>
              <w:rPr>
                <w:rFonts w:hint="eastAsia"/>
                <w:sz w:val="22"/>
                <w:szCs w:val="22"/>
                <w:highlight w:val="none"/>
                <w:lang w:val="en-US" w:eastAsia="zh-CN"/>
              </w:rPr>
              <w:t>5</w:t>
            </w:r>
            <w:r>
              <w:rPr>
                <w:rFonts w:hint="eastAsia" w:hAnsi="宋体"/>
                <w:sz w:val="22"/>
                <w:szCs w:val="22"/>
                <w:highlight w:val="none"/>
              </w:rPr>
              <w:t>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11732BE2">
            <w:pPr>
              <w:numPr>
                <w:ilvl w:val="0"/>
                <w:numId w:val="0"/>
              </w:numPr>
              <w:spacing w:line="420" w:lineRule="exact"/>
              <w:ind w:left="0" w:leftChars="0" w:firstLine="220" w:firstLineChars="100"/>
              <w:jc w:val="left"/>
              <w:rPr>
                <w:rFonts w:hint="default" w:ascii="宋体" w:hAnsi="宋体" w:eastAsia="宋体" w:cs="宋体"/>
                <w:sz w:val="22"/>
                <w:szCs w:val="22"/>
                <w:highlight w:val="none"/>
                <w:lang w:val="en-US" w:eastAsia="zh-CN" w:bidi="ar-SA"/>
              </w:rPr>
            </w:pPr>
            <w:r>
              <w:rPr>
                <w:rFonts w:hint="default" w:ascii="宋体" w:hAnsi="宋体" w:eastAsia="宋体" w:cs="宋体"/>
                <w:sz w:val="22"/>
                <w:szCs w:val="22"/>
                <w:highlight w:val="none"/>
                <w:lang w:val="en-US" w:eastAsia="zh-CN" w:bidi="ar-SA"/>
              </w:rPr>
              <w:t>投标人每提供一个类似业绩得</w:t>
            </w:r>
            <w:r>
              <w:rPr>
                <w:rFonts w:hint="eastAsia" w:hAnsi="宋体" w:cs="宋体"/>
                <w:sz w:val="22"/>
                <w:szCs w:val="22"/>
                <w:highlight w:val="none"/>
                <w:lang w:val="en-US" w:eastAsia="zh-CN" w:bidi="ar-SA"/>
              </w:rPr>
              <w:t>2.5</w:t>
            </w:r>
            <w:r>
              <w:rPr>
                <w:rFonts w:hint="default" w:ascii="宋体" w:hAnsi="宋体" w:eastAsia="宋体" w:cs="宋体"/>
                <w:sz w:val="22"/>
                <w:szCs w:val="22"/>
                <w:highlight w:val="none"/>
                <w:lang w:val="en-US" w:eastAsia="zh-CN" w:bidi="ar-SA"/>
              </w:rPr>
              <w:t>分，本项最高得</w:t>
            </w:r>
            <w:r>
              <w:rPr>
                <w:rFonts w:hint="eastAsia" w:hAnsi="宋体" w:cs="宋体"/>
                <w:sz w:val="22"/>
                <w:szCs w:val="22"/>
                <w:highlight w:val="none"/>
                <w:lang w:val="en-US" w:eastAsia="zh-CN" w:bidi="ar-SA"/>
              </w:rPr>
              <w:t>5</w:t>
            </w:r>
            <w:r>
              <w:rPr>
                <w:rFonts w:hint="default" w:ascii="宋体" w:hAnsi="宋体" w:eastAsia="宋体" w:cs="宋体"/>
                <w:sz w:val="22"/>
                <w:szCs w:val="22"/>
                <w:highlight w:val="none"/>
                <w:lang w:val="en-US" w:eastAsia="zh-CN" w:bidi="ar-SA"/>
              </w:rPr>
              <w:t>分。</w:t>
            </w:r>
          </w:p>
          <w:p w14:paraId="63FAC6CC">
            <w:pPr>
              <w:numPr>
                <w:ilvl w:val="0"/>
                <w:numId w:val="0"/>
              </w:numPr>
              <w:spacing w:line="420" w:lineRule="exact"/>
              <w:ind w:left="0" w:leftChars="0" w:firstLine="220" w:firstLineChars="100"/>
              <w:jc w:val="left"/>
              <w:rPr>
                <w:rFonts w:hint="default" w:ascii="宋体" w:hAnsi="宋体" w:eastAsia="宋体" w:cs="宋体"/>
                <w:sz w:val="22"/>
                <w:szCs w:val="22"/>
                <w:highlight w:val="none"/>
                <w:lang w:val="en-US" w:eastAsia="zh-CN" w:bidi="ar-SA"/>
              </w:rPr>
            </w:pPr>
            <w:r>
              <w:rPr>
                <w:rFonts w:hint="default" w:ascii="宋体" w:hAnsi="宋体" w:eastAsia="宋体" w:cs="宋体"/>
                <w:sz w:val="22"/>
                <w:szCs w:val="22"/>
                <w:highlight w:val="none"/>
                <w:lang w:val="en-US" w:eastAsia="zh-CN" w:bidi="ar-SA"/>
              </w:rPr>
              <w:t>注：提供中标（中选、成交）通知书或合同复印件，并加盖投标人鲜章</w:t>
            </w:r>
            <w:r>
              <w:rPr>
                <w:rFonts w:hint="eastAsia" w:ascii="宋体" w:hAnsi="宋体" w:eastAsia="宋体" w:cs="宋体"/>
                <w:sz w:val="22"/>
                <w:szCs w:val="22"/>
                <w:highlight w:val="none"/>
                <w:lang w:val="en-US" w:eastAsia="zh-CN" w:bidi="ar-SA"/>
              </w:rPr>
              <w:t>。</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7D1D133A">
            <w:pPr>
              <w:spacing w:line="420" w:lineRule="exact"/>
              <w:rPr>
                <w:rFonts w:hint="eastAsia" w:ascii="宋体" w:hAnsi="宋体" w:eastAsia="宋体" w:cs="宋体"/>
                <w:sz w:val="22"/>
                <w:szCs w:val="22"/>
                <w:lang w:val="en-US" w:eastAsia="zh-CN" w:bidi="ar-SA"/>
              </w:rPr>
            </w:pPr>
          </w:p>
        </w:tc>
      </w:tr>
    </w:tbl>
    <w:p w14:paraId="49E4BF21">
      <w:pPr>
        <w:spacing w:line="251" w:lineRule="auto"/>
        <w:rPr>
          <w:rFonts w:ascii="Arial"/>
          <w:sz w:val="21"/>
        </w:rPr>
      </w:pPr>
    </w:p>
    <w:p w14:paraId="039F99C8">
      <w:pPr>
        <w:pStyle w:val="23"/>
        <w:ind w:firstLine="470" w:firstLineChars="200"/>
        <w:rPr>
          <w:rFonts w:hint="default" w:eastAsia="宋体"/>
          <w:b/>
          <w:bCs/>
          <w:lang w:val="en-US" w:eastAsia="zh-CN"/>
        </w:rPr>
      </w:pPr>
      <w:r>
        <w:rPr>
          <w:rFonts w:hint="eastAsia" w:hAnsi="宋体" w:cs="宋体"/>
          <w:b/>
          <w:bCs/>
          <w:spacing w:val="2"/>
          <w:sz w:val="23"/>
          <w:szCs w:val="23"/>
          <w:lang w:eastAsia="zh-CN"/>
        </w:rPr>
        <w:t>采购包</w:t>
      </w:r>
      <w:r>
        <w:rPr>
          <w:rFonts w:hint="eastAsia" w:hAnsi="宋体" w:cs="宋体"/>
          <w:b/>
          <w:bCs/>
          <w:spacing w:val="2"/>
          <w:sz w:val="23"/>
          <w:szCs w:val="23"/>
          <w:lang w:val="en-US" w:eastAsia="zh-CN"/>
        </w:rPr>
        <w:t>2：</w:t>
      </w:r>
    </w:p>
    <w:p w14:paraId="0892251E"/>
    <w:tbl>
      <w:tblPr>
        <w:tblStyle w:val="18"/>
        <w:tblW w:w="10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185"/>
        <w:gridCol w:w="780"/>
        <w:gridCol w:w="6524"/>
        <w:gridCol w:w="994"/>
      </w:tblGrid>
      <w:tr w14:paraId="3C649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0BB855A9">
            <w:pPr>
              <w:spacing w:line="240" w:lineRule="auto"/>
              <w:jc w:val="center"/>
              <w:rPr>
                <w:rFonts w:hAnsi="宋体"/>
                <w:sz w:val="24"/>
                <w:szCs w:val="24"/>
              </w:rPr>
            </w:pPr>
            <w:r>
              <w:rPr>
                <w:rFonts w:hint="eastAsia" w:hAnsi="宋体"/>
                <w:sz w:val="24"/>
                <w:szCs w:val="24"/>
              </w:rPr>
              <w:t>序号</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16987FF6">
            <w:pPr>
              <w:spacing w:line="240" w:lineRule="auto"/>
              <w:jc w:val="center"/>
              <w:rPr>
                <w:rFonts w:hAnsi="宋体"/>
                <w:sz w:val="24"/>
                <w:szCs w:val="24"/>
              </w:rPr>
            </w:pPr>
            <w:r>
              <w:rPr>
                <w:rFonts w:hint="eastAsia" w:hAnsi="宋体"/>
                <w:sz w:val="24"/>
                <w:szCs w:val="24"/>
              </w:rPr>
              <w:t>评分因素及权重</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F95303D">
            <w:pPr>
              <w:spacing w:line="240" w:lineRule="auto"/>
              <w:jc w:val="center"/>
              <w:rPr>
                <w:rFonts w:hAnsi="宋体"/>
                <w:sz w:val="24"/>
                <w:szCs w:val="24"/>
              </w:rPr>
            </w:pPr>
            <w:r>
              <w:rPr>
                <w:rFonts w:hint="eastAsia" w:hAnsi="宋体"/>
                <w:sz w:val="24"/>
                <w:szCs w:val="24"/>
              </w:rPr>
              <w:t>分值</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0523FDE7">
            <w:pPr>
              <w:spacing w:line="240" w:lineRule="auto"/>
              <w:jc w:val="center"/>
              <w:rPr>
                <w:rFonts w:hAnsi="宋体"/>
                <w:sz w:val="24"/>
                <w:szCs w:val="24"/>
              </w:rPr>
            </w:pPr>
            <w:r>
              <w:rPr>
                <w:rFonts w:hint="eastAsia" w:hAnsi="宋体"/>
                <w:sz w:val="24"/>
                <w:szCs w:val="24"/>
              </w:rPr>
              <w:t>评分标准</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6CFF69C8">
            <w:pPr>
              <w:spacing w:line="240" w:lineRule="auto"/>
              <w:jc w:val="center"/>
              <w:rPr>
                <w:rFonts w:hAnsi="宋体"/>
                <w:sz w:val="24"/>
                <w:szCs w:val="24"/>
              </w:rPr>
            </w:pPr>
            <w:r>
              <w:rPr>
                <w:rFonts w:hint="eastAsia" w:hAnsi="宋体"/>
                <w:sz w:val="24"/>
                <w:szCs w:val="24"/>
              </w:rPr>
              <w:t>说明</w:t>
            </w:r>
          </w:p>
        </w:tc>
      </w:tr>
      <w:tr w14:paraId="1C459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27097740">
            <w:pPr>
              <w:spacing w:line="360" w:lineRule="exact"/>
              <w:jc w:val="center"/>
              <w:rPr>
                <w:rFonts w:hAnsi="宋体"/>
                <w:sz w:val="22"/>
                <w:szCs w:val="22"/>
              </w:rPr>
            </w:pPr>
            <w:r>
              <w:rPr>
                <w:rFonts w:hint="eastAsia" w:hAnsi="宋体"/>
                <w:sz w:val="22"/>
                <w:szCs w:val="22"/>
              </w:rPr>
              <w:t>1</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11EE009B">
            <w:pPr>
              <w:spacing w:line="360" w:lineRule="exact"/>
              <w:jc w:val="center"/>
              <w:rPr>
                <w:rFonts w:hint="eastAsia" w:hAnsi="宋体"/>
                <w:sz w:val="22"/>
                <w:szCs w:val="22"/>
              </w:rPr>
            </w:pPr>
            <w:r>
              <w:rPr>
                <w:rFonts w:hint="eastAsia" w:hAnsi="宋体"/>
                <w:sz w:val="22"/>
                <w:szCs w:val="22"/>
              </w:rPr>
              <w:t>报价</w:t>
            </w:r>
          </w:p>
          <w:p w14:paraId="4AA88C8D">
            <w:pPr>
              <w:spacing w:line="360" w:lineRule="exact"/>
              <w:jc w:val="center"/>
              <w:rPr>
                <w:rFonts w:hAnsi="宋体"/>
                <w:sz w:val="22"/>
                <w:szCs w:val="22"/>
              </w:rPr>
            </w:pPr>
            <w:r>
              <w:rPr>
                <w:rFonts w:hint="eastAsia"/>
                <w:sz w:val="22"/>
                <w:szCs w:val="22"/>
                <w:lang w:val="en-US" w:eastAsia="zh-CN"/>
              </w:rPr>
              <w:t>30</w:t>
            </w:r>
            <w:r>
              <w:rPr>
                <w:rFonts w:hint="eastAsia" w:hAnsi="宋体"/>
                <w:sz w:val="22"/>
                <w:szCs w:val="22"/>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23DA5712">
            <w:pPr>
              <w:spacing w:line="360" w:lineRule="exact"/>
              <w:jc w:val="center"/>
              <w:rPr>
                <w:rFonts w:hAnsi="宋体"/>
                <w:sz w:val="22"/>
                <w:szCs w:val="22"/>
              </w:rPr>
            </w:pPr>
            <w:r>
              <w:rPr>
                <w:rFonts w:hint="eastAsia"/>
                <w:sz w:val="22"/>
                <w:szCs w:val="22"/>
                <w:lang w:val="en-US" w:eastAsia="zh-CN"/>
              </w:rPr>
              <w:t>30</w:t>
            </w:r>
            <w:r>
              <w:rPr>
                <w:rFonts w:hint="eastAsia" w:hAnsi="宋体"/>
                <w:sz w:val="22"/>
                <w:szCs w:val="22"/>
              </w:rPr>
              <w:t>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30268F4F">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满足招标文件要求且投标报价最低的为评审基准价，其价格分为满分。其他投标人的价格分统一按照下列公式计算：报价得分=(评审基准价／投标报价)*30分</w:t>
            </w:r>
          </w:p>
          <w:p w14:paraId="088208C6">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注：对符合条件的小型和微型企业报价给予10%的价格扣除，用扣除后的价格参加评审。（ 监狱企业、残疾人福利性单位均视同小微企业）。</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667A92EE">
            <w:pPr>
              <w:spacing w:line="360" w:lineRule="exact"/>
              <w:rPr>
                <w:rFonts w:hAnsi="宋体"/>
                <w:sz w:val="22"/>
                <w:szCs w:val="22"/>
              </w:rPr>
            </w:pPr>
          </w:p>
        </w:tc>
      </w:tr>
      <w:tr w14:paraId="1FD13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right w:val="single" w:color="auto" w:sz="4" w:space="0"/>
            </w:tcBorders>
            <w:noWrap w:val="0"/>
            <w:vAlign w:val="center"/>
          </w:tcPr>
          <w:p w14:paraId="1B989D58">
            <w:pPr>
              <w:spacing w:line="360" w:lineRule="exact"/>
              <w:jc w:val="center"/>
              <w:rPr>
                <w:rFonts w:hAnsi="宋体"/>
                <w:sz w:val="22"/>
                <w:szCs w:val="22"/>
              </w:rPr>
            </w:pPr>
            <w:r>
              <w:rPr>
                <w:rFonts w:hint="eastAsia" w:hAnsi="宋体"/>
                <w:sz w:val="22"/>
                <w:szCs w:val="22"/>
              </w:rPr>
              <w:t>2</w:t>
            </w:r>
          </w:p>
        </w:tc>
        <w:tc>
          <w:tcPr>
            <w:tcW w:w="1185" w:type="dxa"/>
            <w:tcBorders>
              <w:top w:val="single" w:color="auto" w:sz="4" w:space="0"/>
              <w:left w:val="single" w:color="auto" w:sz="4" w:space="0"/>
              <w:right w:val="single" w:color="auto" w:sz="4" w:space="0"/>
            </w:tcBorders>
            <w:noWrap w:val="0"/>
            <w:vAlign w:val="center"/>
          </w:tcPr>
          <w:p w14:paraId="588205F1">
            <w:pPr>
              <w:spacing w:line="360" w:lineRule="exact"/>
              <w:jc w:val="center"/>
              <w:rPr>
                <w:rFonts w:hint="eastAsia" w:ascii="宋体" w:hAnsi="宋体" w:eastAsia="宋体" w:cs="宋体"/>
                <w:sz w:val="22"/>
                <w:szCs w:val="22"/>
                <w:lang w:eastAsia="zh-CN"/>
              </w:rPr>
            </w:pPr>
            <w:r>
              <w:rPr>
                <w:rFonts w:hint="eastAsia" w:ascii="宋体" w:hAnsi="宋体" w:eastAsia="宋体" w:cs="宋体"/>
                <w:sz w:val="22"/>
                <w:szCs w:val="22"/>
                <w:lang w:eastAsia="zh-CN"/>
              </w:rPr>
              <w:t>技术指标和配置</w:t>
            </w:r>
          </w:p>
          <w:p w14:paraId="0A76DE07">
            <w:pPr>
              <w:spacing w:line="360" w:lineRule="exact"/>
              <w:jc w:val="center"/>
              <w:rPr>
                <w:rFonts w:hint="eastAsia" w:ascii="宋体" w:hAnsi="宋体" w:eastAsia="宋体" w:cs="宋体"/>
                <w:sz w:val="22"/>
                <w:szCs w:val="22"/>
              </w:rPr>
            </w:pPr>
            <w:r>
              <w:rPr>
                <w:rFonts w:hint="eastAsia" w:ascii="宋体" w:hAnsi="宋体" w:eastAsia="宋体" w:cs="宋体"/>
                <w:sz w:val="22"/>
                <w:szCs w:val="22"/>
                <w:lang w:val="en-US" w:eastAsia="zh-CN"/>
              </w:rPr>
              <w:t>35</w:t>
            </w:r>
            <w:r>
              <w:rPr>
                <w:rFonts w:hint="eastAsia" w:ascii="宋体" w:hAnsi="宋体" w:eastAsia="宋体" w:cs="宋体"/>
                <w:sz w:val="22"/>
                <w:szCs w:val="22"/>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40BC1C2">
            <w:pPr>
              <w:spacing w:line="360" w:lineRule="exact"/>
              <w:jc w:val="center"/>
              <w:rPr>
                <w:rFonts w:hAnsi="宋体"/>
                <w:sz w:val="22"/>
                <w:szCs w:val="22"/>
              </w:rPr>
            </w:pPr>
            <w:r>
              <w:rPr>
                <w:rFonts w:hint="eastAsia"/>
                <w:sz w:val="22"/>
                <w:szCs w:val="22"/>
                <w:lang w:val="en-US" w:eastAsia="zh-CN"/>
              </w:rPr>
              <w:t>35</w:t>
            </w:r>
            <w:r>
              <w:rPr>
                <w:rFonts w:hint="eastAsia" w:hAnsi="宋体"/>
                <w:sz w:val="22"/>
                <w:szCs w:val="22"/>
              </w:rPr>
              <w:t>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179D926E">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投标人所提供产品的技术参数完全满足招标文件第六章技术参数要求的，得35分；投标人所提供产品的技术参数不满足招标文件技术参数及要求的：</w:t>
            </w:r>
          </w:p>
          <w:p w14:paraId="35039CF0">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（1）带▲参数得分=（投标人满足带▲技术参数条款的数量÷招标文件中带▲技术参数条款的总数量）*20分。</w:t>
            </w:r>
          </w:p>
          <w:p w14:paraId="0111F395">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（2）一般技术参数得分=（投标人满足一般技术参数条款的数量÷招标文件中一般技术参数条款的总数量）*15分。</w:t>
            </w:r>
          </w:p>
          <w:p w14:paraId="1BAAAFC2">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注：1.采购文件有明确具体证明材料的，以具体证明材料为准，未明确具体证明材料的以投标人投标文件对招标文件第六章技术参数要求响应为准。</w:t>
            </w:r>
          </w:p>
          <w:p w14:paraId="53D23C12">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2.一般技术参数条款是指除各标段中标注“▲”“★”参数条款外的，每一个最小序号为一条的参数条款。</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69F8B7C8">
            <w:pPr>
              <w:spacing w:line="380" w:lineRule="exact"/>
              <w:rPr>
                <w:rFonts w:hAnsi="宋体"/>
                <w:sz w:val="22"/>
                <w:szCs w:val="22"/>
              </w:rPr>
            </w:pPr>
          </w:p>
        </w:tc>
      </w:tr>
      <w:tr w14:paraId="5F5A7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left w:val="single" w:color="auto" w:sz="4" w:space="0"/>
              <w:bottom w:val="single" w:color="auto" w:sz="4" w:space="0"/>
              <w:right w:val="single" w:color="auto" w:sz="4" w:space="0"/>
            </w:tcBorders>
            <w:noWrap w:val="0"/>
            <w:vAlign w:val="center"/>
          </w:tcPr>
          <w:p w14:paraId="251D6699">
            <w:pPr>
              <w:spacing w:line="360" w:lineRule="exact"/>
              <w:jc w:val="center"/>
              <w:rPr>
                <w:rFonts w:hint="eastAsia" w:hAnsi="宋体" w:eastAsia="宋体"/>
                <w:sz w:val="22"/>
                <w:szCs w:val="22"/>
                <w:lang w:val="en-US" w:eastAsia="zh-CN"/>
              </w:rPr>
            </w:pPr>
            <w:r>
              <w:rPr>
                <w:rFonts w:hint="eastAsia" w:hAnsi="宋体"/>
                <w:sz w:val="22"/>
                <w:szCs w:val="22"/>
                <w:lang w:val="en-US" w:eastAsia="zh-CN"/>
              </w:rPr>
              <w:t>3</w:t>
            </w:r>
          </w:p>
        </w:tc>
        <w:tc>
          <w:tcPr>
            <w:tcW w:w="1185" w:type="dxa"/>
            <w:tcBorders>
              <w:left w:val="single" w:color="auto" w:sz="4" w:space="0"/>
              <w:bottom w:val="single" w:color="auto" w:sz="4" w:space="0"/>
              <w:right w:val="single" w:color="auto" w:sz="4" w:space="0"/>
            </w:tcBorders>
            <w:noWrap w:val="0"/>
            <w:vAlign w:val="center"/>
          </w:tcPr>
          <w:p w14:paraId="12B0DFDB">
            <w:pPr>
              <w:spacing w:line="360" w:lineRule="exact"/>
              <w:jc w:val="center"/>
              <w:rPr>
                <w:rFonts w:hint="eastAsia" w:ascii="宋体" w:hAnsi="宋体" w:eastAsia="宋体" w:cs="宋体"/>
                <w:sz w:val="22"/>
                <w:szCs w:val="22"/>
              </w:rPr>
            </w:pPr>
            <w:r>
              <w:rPr>
                <w:rFonts w:hint="eastAsia" w:ascii="宋体" w:hAnsi="宋体" w:eastAsia="宋体" w:cs="宋体"/>
                <w:sz w:val="22"/>
                <w:szCs w:val="22"/>
              </w:rPr>
              <w:t>项目实施方案</w:t>
            </w:r>
          </w:p>
          <w:p w14:paraId="0FF2EE42">
            <w:pPr>
              <w:spacing w:line="360" w:lineRule="exact"/>
              <w:jc w:val="center"/>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15%</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F83F333">
            <w:pPr>
              <w:spacing w:line="380" w:lineRule="exact"/>
              <w:jc w:val="center"/>
              <w:rPr>
                <w:rFonts w:hint="default" w:hAnsi="宋体" w:eastAsia="宋体"/>
                <w:sz w:val="22"/>
                <w:szCs w:val="22"/>
                <w:lang w:val="en-US" w:eastAsia="zh-CN"/>
              </w:rPr>
            </w:pPr>
            <w:r>
              <w:rPr>
                <w:rFonts w:hint="eastAsia" w:hAnsi="宋体"/>
                <w:sz w:val="22"/>
                <w:szCs w:val="22"/>
                <w:lang w:val="en-US" w:eastAsia="zh-CN"/>
              </w:rPr>
              <w:t>15分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6D3F6B59">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根据投标人提供的项目实施方案进行评分，方案包括：①货源组织及运输保障；②</w:t>
            </w:r>
            <w:r>
              <w:rPr>
                <w:rFonts w:hint="eastAsia" w:hAnsi="宋体" w:cs="宋体"/>
                <w:sz w:val="22"/>
                <w:szCs w:val="22"/>
                <w:highlight w:val="none"/>
                <w:lang w:val="en-US" w:eastAsia="zh-CN" w:bidi="ar-SA"/>
              </w:rPr>
              <w:t>安全保障措施</w:t>
            </w:r>
            <w:r>
              <w:rPr>
                <w:rFonts w:hint="eastAsia" w:ascii="宋体" w:hAnsi="宋体" w:eastAsia="宋体" w:cs="宋体"/>
                <w:sz w:val="22"/>
                <w:szCs w:val="22"/>
                <w:highlight w:val="none"/>
                <w:lang w:val="en-US" w:eastAsia="zh-CN" w:bidi="ar-SA"/>
              </w:rPr>
              <w:t>；③进度计划保障措施；④质量保障措施；⑤应急预案。</w:t>
            </w:r>
          </w:p>
          <w:p w14:paraId="0D96469C">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以上五项（以序号①、②、……为项数）方案内容齐全且无缺陷的得15分；每有一项内容缺失或未提供的扣3分，每项内容中每有一处缺陷的扣1.5分，该项分值扣完为止。</w:t>
            </w:r>
          </w:p>
          <w:p w14:paraId="11B52E46">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（注：“缺陷”是指项目名称错误、地点区域错误、仅有框架或标题、内容与项目需求不符、引用的法律法规、标准（方法）或其他规范性文件错误、内容与本项目无关的任意一种情形）</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195693A8">
            <w:pPr>
              <w:spacing w:line="420" w:lineRule="exact"/>
              <w:rPr>
                <w:rFonts w:hAnsi="宋体"/>
                <w:sz w:val="22"/>
                <w:szCs w:val="22"/>
              </w:rPr>
            </w:pPr>
          </w:p>
        </w:tc>
      </w:tr>
      <w:tr w14:paraId="2D57E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1F594EB0">
            <w:pPr>
              <w:spacing w:line="360" w:lineRule="exact"/>
              <w:jc w:val="center"/>
              <w:rPr>
                <w:rFonts w:hint="eastAsia" w:hAnsi="宋体" w:eastAsia="宋体"/>
                <w:sz w:val="22"/>
                <w:szCs w:val="22"/>
                <w:lang w:val="en-US" w:eastAsia="zh-CN"/>
              </w:rPr>
            </w:pPr>
            <w:r>
              <w:rPr>
                <w:rFonts w:hint="eastAsia" w:hAnsi="宋体"/>
                <w:sz w:val="22"/>
                <w:szCs w:val="22"/>
                <w:lang w:val="en-US" w:eastAsia="zh-CN"/>
              </w:rPr>
              <w:t>4</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5FFB7EF1">
            <w:pPr>
              <w:spacing w:line="380" w:lineRule="exact"/>
              <w:jc w:val="center"/>
              <w:rPr>
                <w:rFonts w:hint="default" w:hAnsi="宋体" w:eastAsia="宋体"/>
                <w:sz w:val="22"/>
                <w:szCs w:val="22"/>
                <w:lang w:val="en-US" w:eastAsia="zh-CN"/>
              </w:rPr>
            </w:pPr>
            <w:r>
              <w:rPr>
                <w:rFonts w:hint="eastAsia" w:hAnsi="宋体"/>
                <w:sz w:val="22"/>
                <w:szCs w:val="22"/>
                <w:lang w:eastAsia="zh-CN"/>
              </w:rPr>
              <w:t>售后服务</w:t>
            </w:r>
            <w:r>
              <w:rPr>
                <w:rFonts w:hint="eastAsia" w:hAnsi="宋体"/>
                <w:sz w:val="22"/>
                <w:szCs w:val="22"/>
                <w:lang w:val="en-US" w:eastAsia="zh-CN"/>
              </w:rPr>
              <w:t>15%</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A60220F">
            <w:pPr>
              <w:spacing w:line="380" w:lineRule="exact"/>
              <w:jc w:val="center"/>
              <w:rPr>
                <w:rFonts w:hint="default" w:hAnsi="宋体" w:eastAsia="宋体"/>
                <w:sz w:val="22"/>
                <w:szCs w:val="22"/>
                <w:lang w:val="en-US" w:eastAsia="zh-CN"/>
              </w:rPr>
            </w:pPr>
            <w:r>
              <w:rPr>
                <w:rFonts w:hint="eastAsia" w:hAnsi="宋体"/>
                <w:sz w:val="22"/>
                <w:szCs w:val="22"/>
                <w:lang w:val="en-US" w:eastAsia="zh-CN"/>
              </w:rPr>
              <w:t>15分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6A2A7108">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根据投标人提供的售后服务方案进行评分，方案包括：①售后技术支持；②服务响应时间；③备件（易耗品）</w:t>
            </w:r>
            <w:r>
              <w:rPr>
                <w:rFonts w:hint="eastAsia" w:hAnsi="宋体" w:cs="宋体"/>
                <w:sz w:val="22"/>
                <w:szCs w:val="22"/>
                <w:highlight w:val="none"/>
                <w:lang w:val="en-US" w:eastAsia="zh-CN" w:bidi="ar-SA"/>
              </w:rPr>
              <w:t>保障</w:t>
            </w:r>
            <w:r>
              <w:rPr>
                <w:rFonts w:hint="eastAsia" w:ascii="宋体" w:hAnsi="宋体" w:eastAsia="宋体" w:cs="宋体"/>
                <w:sz w:val="22"/>
                <w:szCs w:val="22"/>
                <w:highlight w:val="none"/>
                <w:lang w:val="en-US" w:eastAsia="zh-CN" w:bidi="ar-SA"/>
              </w:rPr>
              <w:t>方案；④售后服务人员及联系方式；⑤培训</w:t>
            </w:r>
            <w:r>
              <w:rPr>
                <w:rFonts w:hint="eastAsia" w:hAnsi="宋体" w:cs="宋体"/>
                <w:sz w:val="22"/>
                <w:szCs w:val="22"/>
                <w:highlight w:val="none"/>
                <w:lang w:val="en-US" w:eastAsia="zh-CN" w:bidi="ar-SA"/>
              </w:rPr>
              <w:t>方案</w:t>
            </w:r>
            <w:r>
              <w:rPr>
                <w:rFonts w:hint="eastAsia" w:ascii="宋体" w:hAnsi="宋体" w:eastAsia="宋体" w:cs="宋体"/>
                <w:sz w:val="22"/>
                <w:szCs w:val="22"/>
                <w:highlight w:val="none"/>
                <w:lang w:val="en-US" w:eastAsia="zh-CN" w:bidi="ar-SA"/>
              </w:rPr>
              <w:t>。</w:t>
            </w:r>
          </w:p>
          <w:p w14:paraId="118D3033">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以上五项（以序号①、②、……为项数）方案内容齐全、无缺项且无缺陷的得</w:t>
            </w:r>
            <w:r>
              <w:rPr>
                <w:rFonts w:hint="eastAsia" w:hAnsi="宋体" w:cs="宋体"/>
                <w:sz w:val="22"/>
                <w:szCs w:val="22"/>
                <w:highlight w:val="none"/>
                <w:lang w:val="en-US" w:eastAsia="zh-CN" w:bidi="ar-SA"/>
              </w:rPr>
              <w:t>15</w:t>
            </w:r>
            <w:r>
              <w:rPr>
                <w:rFonts w:hint="eastAsia" w:ascii="宋体" w:hAnsi="宋体" w:eastAsia="宋体" w:cs="宋体"/>
                <w:sz w:val="22"/>
                <w:szCs w:val="22"/>
                <w:highlight w:val="none"/>
                <w:lang w:val="en-US" w:eastAsia="zh-CN" w:bidi="ar-SA"/>
              </w:rPr>
              <w:t>分；每有一项内容缺失或未提供扣3分，每项内容中每有一处缺陷的扣1.5分，该项分值扣完为止。</w:t>
            </w:r>
          </w:p>
          <w:p w14:paraId="2D593046">
            <w:pPr>
              <w:numPr>
                <w:ilvl w:val="0"/>
                <w:numId w:val="0"/>
              </w:numPr>
              <w:spacing w:line="420" w:lineRule="exact"/>
              <w:ind w:firstLine="220" w:firstLineChars="100"/>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（“缺陷”是指项目名称错误、地点区域错误、仅有框架或标题、内容与项目需求不符、引用的法律法规、标准（方法）或其他规范性文件错误、内容与本项目无关的任意一种情形）</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5C586D22">
            <w:pPr>
              <w:spacing w:line="420" w:lineRule="exact"/>
              <w:rPr>
                <w:rFonts w:hAnsi="宋体"/>
                <w:sz w:val="22"/>
                <w:szCs w:val="22"/>
              </w:rPr>
            </w:pPr>
          </w:p>
        </w:tc>
      </w:tr>
      <w:tr w14:paraId="73629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613" w:type="dxa"/>
            <w:tcBorders>
              <w:top w:val="single" w:color="auto" w:sz="4" w:space="0"/>
              <w:left w:val="single" w:color="auto" w:sz="4" w:space="0"/>
              <w:bottom w:val="single" w:color="auto" w:sz="4" w:space="0"/>
              <w:right w:val="single" w:color="auto" w:sz="4" w:space="0"/>
            </w:tcBorders>
            <w:noWrap w:val="0"/>
            <w:vAlign w:val="center"/>
          </w:tcPr>
          <w:p w14:paraId="29EECDDE">
            <w:pPr>
              <w:spacing w:line="360" w:lineRule="exact"/>
              <w:jc w:val="center"/>
              <w:rPr>
                <w:rFonts w:hint="default" w:ascii="宋体" w:hAnsi="宋体" w:eastAsia="宋体" w:cs="宋体"/>
                <w:sz w:val="22"/>
                <w:szCs w:val="22"/>
                <w:lang w:val="en-US" w:eastAsia="zh-CN" w:bidi="ar-SA"/>
              </w:rPr>
            </w:pPr>
            <w:r>
              <w:rPr>
                <w:rFonts w:hint="eastAsia" w:hAnsi="宋体" w:cs="宋体"/>
                <w:sz w:val="22"/>
                <w:szCs w:val="22"/>
                <w:lang w:val="en-US" w:eastAsia="zh-CN" w:bidi="ar-SA"/>
              </w:rPr>
              <w:t>5</w:t>
            </w:r>
          </w:p>
        </w:tc>
        <w:tc>
          <w:tcPr>
            <w:tcW w:w="1185" w:type="dxa"/>
            <w:tcBorders>
              <w:top w:val="single" w:color="auto" w:sz="4" w:space="0"/>
              <w:left w:val="single" w:color="auto" w:sz="4" w:space="0"/>
              <w:bottom w:val="single" w:color="auto" w:sz="4" w:space="0"/>
              <w:right w:val="single" w:color="auto" w:sz="4" w:space="0"/>
            </w:tcBorders>
            <w:noWrap w:val="0"/>
            <w:vAlign w:val="center"/>
          </w:tcPr>
          <w:p w14:paraId="2FB43CF6">
            <w:pPr>
              <w:spacing w:line="380" w:lineRule="exact"/>
              <w:jc w:val="center"/>
              <w:rPr>
                <w:rFonts w:hint="eastAsia" w:hAnsi="宋体"/>
                <w:sz w:val="22"/>
                <w:szCs w:val="22"/>
                <w:lang w:eastAsia="zh-CN"/>
              </w:rPr>
            </w:pPr>
            <w:r>
              <w:rPr>
                <w:rFonts w:hint="eastAsia" w:hAnsi="宋体"/>
                <w:sz w:val="22"/>
                <w:szCs w:val="22"/>
                <w:lang w:eastAsia="zh-CN"/>
              </w:rPr>
              <w:t>履约能力</w:t>
            </w:r>
          </w:p>
          <w:p w14:paraId="11D44D69">
            <w:pPr>
              <w:spacing w:line="380" w:lineRule="exact"/>
              <w:jc w:val="center"/>
              <w:rPr>
                <w:rFonts w:hint="eastAsia" w:ascii="宋体" w:hAnsi="宋体" w:eastAsia="宋体" w:cs="宋体"/>
                <w:sz w:val="22"/>
                <w:szCs w:val="22"/>
                <w:lang w:val="en-US" w:eastAsia="zh-CN" w:bidi="ar-SA"/>
              </w:rPr>
            </w:pPr>
            <w:r>
              <w:rPr>
                <w:rFonts w:hint="eastAsia"/>
                <w:sz w:val="22"/>
                <w:szCs w:val="22"/>
                <w:lang w:val="en-US" w:eastAsia="zh-CN"/>
              </w:rPr>
              <w:t>5</w:t>
            </w:r>
            <w:r>
              <w:rPr>
                <w:rFonts w:hint="eastAsia" w:hAnsi="宋体"/>
                <w:sz w:val="22"/>
                <w:szCs w:val="22"/>
              </w:rPr>
              <w:t>%</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AA41AB0">
            <w:pPr>
              <w:spacing w:line="380" w:lineRule="exact"/>
              <w:jc w:val="center"/>
              <w:rPr>
                <w:rFonts w:hint="eastAsia" w:ascii="宋体" w:hAnsi="宋体" w:eastAsia="宋体" w:cs="宋体"/>
                <w:sz w:val="22"/>
                <w:szCs w:val="22"/>
                <w:highlight w:val="none"/>
                <w:lang w:val="en-US" w:eastAsia="zh-CN" w:bidi="ar-SA"/>
              </w:rPr>
            </w:pPr>
            <w:r>
              <w:rPr>
                <w:rFonts w:hint="eastAsia"/>
                <w:sz w:val="22"/>
                <w:szCs w:val="22"/>
                <w:highlight w:val="none"/>
                <w:lang w:val="en-US" w:eastAsia="zh-CN"/>
              </w:rPr>
              <w:t>5</w:t>
            </w:r>
            <w:r>
              <w:rPr>
                <w:rFonts w:hint="eastAsia" w:hAnsi="宋体"/>
                <w:sz w:val="22"/>
                <w:szCs w:val="22"/>
                <w:highlight w:val="none"/>
              </w:rPr>
              <w:t>分</w:t>
            </w:r>
          </w:p>
        </w:tc>
        <w:tc>
          <w:tcPr>
            <w:tcW w:w="6524" w:type="dxa"/>
            <w:tcBorders>
              <w:top w:val="single" w:color="auto" w:sz="4" w:space="0"/>
              <w:left w:val="single" w:color="auto" w:sz="4" w:space="0"/>
              <w:bottom w:val="single" w:color="auto" w:sz="4" w:space="0"/>
              <w:right w:val="single" w:color="auto" w:sz="4" w:space="0"/>
            </w:tcBorders>
            <w:noWrap w:val="0"/>
            <w:vAlign w:val="center"/>
          </w:tcPr>
          <w:p w14:paraId="733A51BD">
            <w:pPr>
              <w:numPr>
                <w:ilvl w:val="0"/>
                <w:numId w:val="0"/>
              </w:numPr>
              <w:spacing w:line="420" w:lineRule="exact"/>
              <w:ind w:left="0" w:leftChars="0" w:firstLine="220" w:firstLineChars="100"/>
              <w:jc w:val="left"/>
              <w:rPr>
                <w:rFonts w:hint="default" w:ascii="宋体" w:hAnsi="宋体" w:eastAsia="宋体" w:cs="宋体"/>
                <w:sz w:val="22"/>
                <w:szCs w:val="22"/>
                <w:highlight w:val="none"/>
                <w:lang w:val="en-US" w:eastAsia="zh-CN" w:bidi="ar-SA"/>
              </w:rPr>
            </w:pPr>
            <w:r>
              <w:rPr>
                <w:rFonts w:hint="default" w:ascii="宋体" w:hAnsi="宋体" w:eastAsia="宋体" w:cs="宋体"/>
                <w:sz w:val="22"/>
                <w:szCs w:val="22"/>
                <w:highlight w:val="none"/>
                <w:lang w:val="en-US" w:eastAsia="zh-CN" w:bidi="ar-SA"/>
              </w:rPr>
              <w:t>投标人每提供一个类似业绩得</w:t>
            </w:r>
            <w:r>
              <w:rPr>
                <w:rFonts w:hint="eastAsia" w:hAnsi="宋体" w:cs="宋体"/>
                <w:sz w:val="22"/>
                <w:szCs w:val="22"/>
                <w:highlight w:val="none"/>
                <w:lang w:val="en-US" w:eastAsia="zh-CN" w:bidi="ar-SA"/>
              </w:rPr>
              <w:t>2.5</w:t>
            </w:r>
            <w:r>
              <w:rPr>
                <w:rFonts w:hint="default" w:ascii="宋体" w:hAnsi="宋体" w:eastAsia="宋体" w:cs="宋体"/>
                <w:sz w:val="22"/>
                <w:szCs w:val="22"/>
                <w:highlight w:val="none"/>
                <w:lang w:val="en-US" w:eastAsia="zh-CN" w:bidi="ar-SA"/>
              </w:rPr>
              <w:t>分，本项最高得</w:t>
            </w:r>
            <w:r>
              <w:rPr>
                <w:rFonts w:hint="eastAsia" w:hAnsi="宋体" w:cs="宋体"/>
                <w:sz w:val="22"/>
                <w:szCs w:val="22"/>
                <w:highlight w:val="none"/>
                <w:lang w:val="en-US" w:eastAsia="zh-CN" w:bidi="ar-SA"/>
              </w:rPr>
              <w:t>5</w:t>
            </w:r>
            <w:r>
              <w:rPr>
                <w:rFonts w:hint="default" w:ascii="宋体" w:hAnsi="宋体" w:eastAsia="宋体" w:cs="宋体"/>
                <w:sz w:val="22"/>
                <w:szCs w:val="22"/>
                <w:highlight w:val="none"/>
                <w:lang w:val="en-US" w:eastAsia="zh-CN" w:bidi="ar-SA"/>
              </w:rPr>
              <w:t>分。</w:t>
            </w:r>
          </w:p>
          <w:p w14:paraId="2110032C">
            <w:pPr>
              <w:numPr>
                <w:ilvl w:val="0"/>
                <w:numId w:val="0"/>
              </w:numPr>
              <w:spacing w:line="420" w:lineRule="exact"/>
              <w:ind w:left="0" w:leftChars="0" w:firstLine="220" w:firstLineChars="100"/>
              <w:jc w:val="left"/>
              <w:rPr>
                <w:rFonts w:hint="default" w:ascii="宋体" w:hAnsi="宋体" w:eastAsia="宋体" w:cs="宋体"/>
                <w:sz w:val="22"/>
                <w:szCs w:val="22"/>
                <w:highlight w:val="none"/>
                <w:lang w:val="en-US" w:eastAsia="zh-CN" w:bidi="ar-SA"/>
              </w:rPr>
            </w:pPr>
            <w:r>
              <w:rPr>
                <w:rFonts w:hint="default" w:ascii="宋体" w:hAnsi="宋体" w:eastAsia="宋体" w:cs="宋体"/>
                <w:sz w:val="22"/>
                <w:szCs w:val="22"/>
                <w:highlight w:val="none"/>
                <w:lang w:val="en-US" w:eastAsia="zh-CN" w:bidi="ar-SA"/>
              </w:rPr>
              <w:t>注：提供中标（中选、成交）通知书或合同复印件，并加盖投标人鲜章。</w:t>
            </w:r>
          </w:p>
        </w:tc>
        <w:tc>
          <w:tcPr>
            <w:tcW w:w="994" w:type="dxa"/>
            <w:tcBorders>
              <w:top w:val="single" w:color="auto" w:sz="4" w:space="0"/>
              <w:left w:val="single" w:color="auto" w:sz="4" w:space="0"/>
              <w:bottom w:val="single" w:color="auto" w:sz="4" w:space="0"/>
              <w:right w:val="single" w:color="auto" w:sz="4" w:space="0"/>
            </w:tcBorders>
            <w:noWrap w:val="0"/>
            <w:vAlign w:val="center"/>
          </w:tcPr>
          <w:p w14:paraId="7D82666C">
            <w:pPr>
              <w:spacing w:line="420" w:lineRule="exact"/>
              <w:rPr>
                <w:rFonts w:hint="eastAsia" w:ascii="宋体" w:hAnsi="宋体" w:eastAsia="宋体" w:cs="宋体"/>
                <w:sz w:val="22"/>
                <w:szCs w:val="22"/>
                <w:lang w:val="en-US" w:eastAsia="zh-CN" w:bidi="ar-SA"/>
              </w:rPr>
            </w:pPr>
          </w:p>
        </w:tc>
      </w:tr>
    </w:tbl>
    <w:p w14:paraId="3B9DBBEE">
      <w:pPr>
        <w:pStyle w:val="2"/>
      </w:pPr>
    </w:p>
    <w:p w14:paraId="5A85BF3D">
      <w:pPr>
        <w:spacing w:before="75" w:line="228" w:lineRule="auto"/>
        <w:ind w:left="510"/>
        <w:rPr>
          <w:rFonts w:ascii="宋体" w:hAnsi="宋体" w:eastAsia="宋体" w:cs="宋体"/>
          <w:sz w:val="23"/>
          <w:szCs w:val="23"/>
        </w:rPr>
      </w:pPr>
      <w:r>
        <w:rPr>
          <w:rFonts w:ascii="宋体" w:hAnsi="宋体" w:eastAsia="宋体" w:cs="宋体"/>
          <w:spacing w:val="11"/>
          <w:sz w:val="23"/>
          <w:szCs w:val="23"/>
        </w:rPr>
        <w:t>评</w:t>
      </w:r>
      <w:r>
        <w:rPr>
          <w:rFonts w:ascii="宋体" w:hAnsi="宋体" w:eastAsia="宋体" w:cs="宋体"/>
          <w:spacing w:val="9"/>
          <w:sz w:val="23"/>
          <w:szCs w:val="23"/>
        </w:rPr>
        <w:t>分的取值按四舍五入法，保留小数点后两位。</w:t>
      </w:r>
    </w:p>
    <w:p w14:paraId="24215344">
      <w:pPr>
        <w:spacing w:line="280" w:lineRule="auto"/>
        <w:rPr>
          <w:rFonts w:ascii="Arial"/>
          <w:sz w:val="21"/>
        </w:rPr>
      </w:pPr>
    </w:p>
    <w:p w14:paraId="56D632EB">
      <w:pPr>
        <w:spacing w:before="75" w:line="229" w:lineRule="auto"/>
        <w:ind w:left="516"/>
        <w:rPr>
          <w:rFonts w:hint="eastAsia" w:ascii="宋体" w:hAnsi="宋体" w:eastAsia="宋体" w:cs="宋体"/>
          <w:sz w:val="23"/>
          <w:szCs w:val="23"/>
        </w:rPr>
      </w:pPr>
      <w:r>
        <w:rPr>
          <w:rFonts w:hint="eastAsia" w:ascii="宋体" w:hAnsi="宋体" w:eastAsia="宋体" w:cs="宋体"/>
          <w:b/>
          <w:bCs/>
          <w:sz w:val="24"/>
          <w:szCs w:val="24"/>
        </w:rPr>
        <w:t>5、废标</w:t>
      </w:r>
    </w:p>
    <w:p w14:paraId="046FC12F">
      <w:pPr>
        <w:spacing w:line="351" w:lineRule="auto"/>
        <w:rPr>
          <w:rFonts w:ascii="Arial"/>
          <w:sz w:val="21"/>
        </w:rPr>
      </w:pPr>
    </w:p>
    <w:p w14:paraId="5FF728BC">
      <w:pPr>
        <w:spacing w:before="75" w:line="227" w:lineRule="auto"/>
        <w:ind w:left="516"/>
        <w:rPr>
          <w:rFonts w:ascii="宋体" w:hAnsi="宋体" w:eastAsia="宋体" w:cs="宋体"/>
          <w:sz w:val="23"/>
          <w:szCs w:val="23"/>
        </w:rPr>
      </w:pPr>
      <w:r>
        <w:rPr>
          <w:rFonts w:ascii="宋体" w:hAnsi="宋体" w:eastAsia="宋体" w:cs="宋体"/>
          <w:spacing w:val="12"/>
          <w:sz w:val="23"/>
          <w:szCs w:val="23"/>
        </w:rPr>
        <w:t>5</w:t>
      </w:r>
      <w:r>
        <w:rPr>
          <w:rFonts w:ascii="宋体" w:hAnsi="宋体" w:eastAsia="宋体" w:cs="宋体"/>
          <w:spacing w:val="11"/>
          <w:sz w:val="23"/>
          <w:szCs w:val="23"/>
        </w:rPr>
        <w:t>.</w:t>
      </w:r>
      <w:r>
        <w:rPr>
          <w:rFonts w:ascii="宋体" w:hAnsi="宋体" w:eastAsia="宋体" w:cs="宋体"/>
          <w:spacing w:val="6"/>
          <w:sz w:val="23"/>
          <w:szCs w:val="23"/>
        </w:rPr>
        <w:t>1 本次政府采购活动中，出现下列情形之一的，予以废标：</w:t>
      </w:r>
    </w:p>
    <w:p w14:paraId="4819992F">
      <w:pPr>
        <w:spacing w:before="116" w:line="321" w:lineRule="auto"/>
        <w:ind w:left="51" w:right="80" w:firstLine="471"/>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3"/>
          <w:sz w:val="23"/>
          <w:szCs w:val="23"/>
        </w:rPr>
        <w:t>1</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符合专业条件的供应商或者对招标文件作实质响应的供应商不足三家</w:t>
      </w:r>
      <w:r>
        <w:rPr>
          <w:rFonts w:ascii="宋体" w:hAnsi="宋体" w:eastAsia="宋体" w:cs="宋体"/>
          <w:spacing w:val="-11"/>
          <w:sz w:val="23"/>
          <w:szCs w:val="23"/>
        </w:rPr>
        <w:t>的</w:t>
      </w:r>
      <w:r>
        <w:rPr>
          <w:rFonts w:ascii="宋体" w:hAnsi="宋体" w:eastAsia="宋体" w:cs="宋体"/>
          <w:spacing w:val="-9"/>
          <w:sz w:val="23"/>
          <w:szCs w:val="23"/>
        </w:rPr>
        <w:t>；</w:t>
      </w:r>
    </w:p>
    <w:p w14:paraId="4408B03C">
      <w:pPr>
        <w:spacing w:before="1" w:line="227" w:lineRule="auto"/>
        <w:ind w:left="523"/>
        <w:rPr>
          <w:rFonts w:ascii="宋体" w:hAnsi="宋体" w:eastAsia="宋体" w:cs="宋体"/>
          <w:sz w:val="23"/>
          <w:szCs w:val="23"/>
        </w:rPr>
      </w:pPr>
      <w:r>
        <w:rPr>
          <w:rFonts w:hint="eastAsia" w:ascii="宋体" w:hAnsi="宋体" w:eastAsia="宋体" w:cs="宋体"/>
          <w:spacing w:val="16"/>
          <w:sz w:val="23"/>
          <w:szCs w:val="23"/>
          <w:lang w:eastAsia="zh-CN"/>
        </w:rPr>
        <w:t>（</w:t>
      </w:r>
      <w:r>
        <w:rPr>
          <w:rFonts w:ascii="宋体" w:hAnsi="宋体" w:eastAsia="宋体" w:cs="宋体"/>
          <w:spacing w:val="13"/>
          <w:sz w:val="23"/>
          <w:szCs w:val="23"/>
        </w:rPr>
        <w:t>2</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出现影响采购公正的违法、违规行为的；</w:t>
      </w:r>
    </w:p>
    <w:p w14:paraId="2E5489A3">
      <w:pPr>
        <w:spacing w:before="117" w:line="227" w:lineRule="auto"/>
        <w:ind w:left="523"/>
        <w:rPr>
          <w:rFonts w:ascii="宋体" w:hAnsi="宋体" w:eastAsia="宋体" w:cs="宋体"/>
          <w:sz w:val="23"/>
          <w:szCs w:val="23"/>
        </w:rPr>
      </w:pPr>
      <w:r>
        <w:rPr>
          <w:rFonts w:hint="eastAsia" w:ascii="宋体" w:hAnsi="宋体" w:eastAsia="宋体" w:cs="宋体"/>
          <w:spacing w:val="24"/>
          <w:sz w:val="23"/>
          <w:szCs w:val="23"/>
          <w:lang w:eastAsia="zh-CN"/>
        </w:rPr>
        <w:t>（</w:t>
      </w:r>
      <w:r>
        <w:rPr>
          <w:rFonts w:ascii="宋体" w:hAnsi="宋体" w:eastAsia="宋体" w:cs="宋体"/>
          <w:spacing w:val="13"/>
          <w:sz w:val="23"/>
          <w:szCs w:val="23"/>
        </w:rPr>
        <w:t>3</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投标人的报价均超过了采购预算，采购人不能支付的；</w:t>
      </w:r>
    </w:p>
    <w:p w14:paraId="1459DBC5">
      <w:pPr>
        <w:spacing w:before="115" w:line="229" w:lineRule="auto"/>
        <w:ind w:left="523"/>
        <w:rPr>
          <w:rFonts w:ascii="宋体" w:hAnsi="宋体" w:eastAsia="宋体" w:cs="宋体"/>
          <w:sz w:val="23"/>
          <w:szCs w:val="23"/>
        </w:rPr>
      </w:pPr>
      <w:r>
        <w:rPr>
          <w:rFonts w:hint="eastAsia" w:ascii="宋体" w:hAnsi="宋体" w:eastAsia="宋体" w:cs="宋体"/>
          <w:spacing w:val="14"/>
          <w:sz w:val="23"/>
          <w:szCs w:val="23"/>
          <w:lang w:eastAsia="zh-CN"/>
        </w:rPr>
        <w:t>（</w:t>
      </w:r>
      <w:r>
        <w:rPr>
          <w:rFonts w:ascii="宋体" w:hAnsi="宋体" w:eastAsia="宋体" w:cs="宋体"/>
          <w:spacing w:val="14"/>
          <w:sz w:val="23"/>
          <w:szCs w:val="23"/>
        </w:rPr>
        <w:t>4</w:t>
      </w:r>
      <w:r>
        <w:rPr>
          <w:rFonts w:hint="eastAsia" w:ascii="宋体" w:hAnsi="宋体" w:eastAsia="宋体" w:cs="宋体"/>
          <w:spacing w:val="14"/>
          <w:sz w:val="23"/>
          <w:szCs w:val="23"/>
          <w:lang w:eastAsia="zh-CN"/>
        </w:rPr>
        <w:t>）</w:t>
      </w:r>
      <w:r>
        <w:rPr>
          <w:rFonts w:ascii="宋体" w:hAnsi="宋体" w:eastAsia="宋体" w:cs="宋体"/>
          <w:spacing w:val="14"/>
          <w:sz w:val="23"/>
          <w:szCs w:val="23"/>
        </w:rPr>
        <w:t xml:space="preserve"> 因重大变故，采购任务取消的</w:t>
      </w:r>
      <w:r>
        <w:rPr>
          <w:rFonts w:ascii="宋体" w:hAnsi="宋体" w:eastAsia="宋体" w:cs="宋体"/>
          <w:spacing w:val="11"/>
          <w:sz w:val="23"/>
          <w:szCs w:val="23"/>
        </w:rPr>
        <w:t>。</w:t>
      </w:r>
    </w:p>
    <w:p w14:paraId="44E2B863">
      <w:pPr>
        <w:spacing w:before="116" w:line="321" w:lineRule="auto"/>
        <w:ind w:left="32" w:right="80" w:firstLine="478"/>
        <w:rPr>
          <w:rFonts w:ascii="宋体" w:hAnsi="宋体" w:eastAsia="宋体" w:cs="宋体"/>
          <w:sz w:val="23"/>
          <w:szCs w:val="23"/>
        </w:rPr>
      </w:pPr>
      <w:r>
        <w:rPr>
          <w:rFonts w:ascii="宋体" w:hAnsi="宋体" w:eastAsia="宋体" w:cs="宋体"/>
          <w:spacing w:val="24"/>
          <w:sz w:val="23"/>
          <w:szCs w:val="23"/>
        </w:rPr>
        <w:t>废</w:t>
      </w:r>
      <w:r>
        <w:rPr>
          <w:rFonts w:ascii="宋体" w:hAnsi="宋体" w:eastAsia="宋体" w:cs="宋体"/>
          <w:spacing w:val="16"/>
          <w:sz w:val="23"/>
          <w:szCs w:val="23"/>
        </w:rPr>
        <w:t>标</w:t>
      </w:r>
      <w:r>
        <w:rPr>
          <w:rFonts w:ascii="宋体" w:hAnsi="宋体" w:eastAsia="宋体" w:cs="宋体"/>
          <w:spacing w:val="12"/>
          <w:sz w:val="23"/>
          <w:szCs w:val="23"/>
        </w:rPr>
        <w:t>后，采购代理机构应在中国政府采购网上公告，并公告废标的情形。</w:t>
      </w:r>
      <w:r>
        <w:rPr>
          <w:rFonts w:ascii="宋体" w:hAnsi="宋体" w:eastAsia="宋体" w:cs="宋体"/>
          <w:spacing w:val="22"/>
          <w:sz w:val="23"/>
          <w:szCs w:val="23"/>
        </w:rPr>
        <w:t>投</w:t>
      </w:r>
      <w:r>
        <w:rPr>
          <w:rFonts w:ascii="宋体" w:hAnsi="宋体" w:eastAsia="宋体" w:cs="宋体"/>
          <w:spacing w:val="12"/>
          <w:sz w:val="23"/>
          <w:szCs w:val="23"/>
        </w:rPr>
        <w:t>标人需要知晓导致废标情形的具体原因和理由的，可以通过书面形式询问招</w:t>
      </w:r>
      <w:r>
        <w:rPr>
          <w:rFonts w:ascii="宋体" w:hAnsi="宋体" w:eastAsia="宋体" w:cs="宋体"/>
          <w:spacing w:val="9"/>
          <w:sz w:val="23"/>
          <w:szCs w:val="23"/>
        </w:rPr>
        <w:t>标</w:t>
      </w:r>
      <w:r>
        <w:rPr>
          <w:rFonts w:ascii="宋体" w:hAnsi="宋体" w:eastAsia="宋体" w:cs="宋体"/>
          <w:spacing w:val="6"/>
          <w:sz w:val="23"/>
          <w:szCs w:val="23"/>
        </w:rPr>
        <w:t>采购单位。</w:t>
      </w:r>
    </w:p>
    <w:p w14:paraId="0464183D">
      <w:pPr>
        <w:spacing w:before="2" w:line="320" w:lineRule="auto"/>
        <w:ind w:left="31" w:right="80" w:firstLine="484"/>
        <w:rPr>
          <w:rFonts w:ascii="宋体" w:hAnsi="宋体" w:eastAsia="宋体" w:cs="宋体"/>
          <w:sz w:val="23"/>
          <w:szCs w:val="23"/>
        </w:rPr>
      </w:pPr>
      <w:r>
        <w:rPr>
          <w:rFonts w:ascii="宋体" w:hAnsi="宋体" w:eastAsia="宋体" w:cs="宋体"/>
          <w:spacing w:val="8"/>
          <w:sz w:val="23"/>
          <w:szCs w:val="23"/>
        </w:rPr>
        <w:t>5.2 对于</w:t>
      </w:r>
      <w:r>
        <w:rPr>
          <w:rFonts w:ascii="宋体" w:hAnsi="宋体" w:eastAsia="宋体" w:cs="宋体"/>
          <w:spacing w:val="4"/>
          <w:sz w:val="23"/>
          <w:szCs w:val="23"/>
        </w:rPr>
        <w:t>评标过程中废标的采购项目，评标委员会应当对招标文件是否存在</w:t>
      </w:r>
      <w:r>
        <w:rPr>
          <w:rFonts w:ascii="宋体" w:hAnsi="宋体" w:eastAsia="宋体" w:cs="宋体"/>
          <w:spacing w:val="18"/>
          <w:sz w:val="23"/>
          <w:szCs w:val="23"/>
        </w:rPr>
        <w:t>倾</w:t>
      </w:r>
      <w:r>
        <w:rPr>
          <w:rFonts w:ascii="宋体" w:hAnsi="宋体" w:eastAsia="宋体" w:cs="宋体"/>
          <w:spacing w:val="12"/>
          <w:sz w:val="23"/>
          <w:szCs w:val="23"/>
        </w:rPr>
        <w:t>向</w:t>
      </w:r>
      <w:r>
        <w:rPr>
          <w:rFonts w:ascii="宋体" w:hAnsi="宋体" w:eastAsia="宋体" w:cs="宋体"/>
          <w:spacing w:val="9"/>
          <w:sz w:val="23"/>
          <w:szCs w:val="23"/>
        </w:rPr>
        <w:t>性和歧视性、是否存在不合理条款进行论证，并出具书面论证意见。</w:t>
      </w:r>
    </w:p>
    <w:p w14:paraId="1B86FC55">
      <w:pPr>
        <w:spacing w:line="310" w:lineRule="exact"/>
        <w:ind w:left="513"/>
        <w:rPr>
          <w:rFonts w:ascii="宋体" w:hAnsi="宋体" w:eastAsia="宋体" w:cs="宋体"/>
          <w:sz w:val="23"/>
          <w:szCs w:val="23"/>
        </w:rPr>
      </w:pPr>
      <w:r>
        <w:rPr>
          <w:rFonts w:hint="eastAsia" w:ascii="宋体" w:hAnsi="宋体" w:eastAsia="宋体" w:cs="宋体"/>
          <w:b/>
          <w:bCs/>
          <w:sz w:val="24"/>
          <w:szCs w:val="24"/>
        </w:rPr>
        <w:t>6、定标</w:t>
      </w:r>
    </w:p>
    <w:p w14:paraId="407C5258">
      <w:pPr>
        <w:spacing w:before="90" w:line="321" w:lineRule="auto"/>
        <w:ind w:left="30" w:right="80" w:firstLine="482"/>
        <w:rPr>
          <w:rFonts w:ascii="宋体" w:hAnsi="宋体" w:eastAsia="宋体" w:cs="宋体"/>
          <w:sz w:val="23"/>
          <w:szCs w:val="23"/>
        </w:rPr>
      </w:pPr>
      <w:r>
        <w:rPr>
          <w:rFonts w:ascii="宋体" w:hAnsi="宋体" w:eastAsia="宋体" w:cs="宋体"/>
          <w:spacing w:val="10"/>
          <w:sz w:val="23"/>
          <w:szCs w:val="23"/>
        </w:rPr>
        <w:t>6</w:t>
      </w:r>
      <w:r>
        <w:rPr>
          <w:rFonts w:ascii="宋体" w:hAnsi="宋体" w:eastAsia="宋体" w:cs="宋体"/>
          <w:spacing w:val="8"/>
          <w:sz w:val="23"/>
          <w:szCs w:val="23"/>
        </w:rPr>
        <w:t>.1. 定标原则：本项目根据评标委员会推荐的中标候选供应商名单，按顺序确定中标供应商</w:t>
      </w:r>
      <w:r>
        <w:rPr>
          <w:rFonts w:ascii="宋体" w:hAnsi="宋体" w:eastAsia="宋体" w:cs="宋体"/>
          <w:spacing w:val="7"/>
          <w:sz w:val="23"/>
          <w:szCs w:val="23"/>
        </w:rPr>
        <w:t>。</w:t>
      </w:r>
    </w:p>
    <w:p w14:paraId="74E9B8F1">
      <w:pPr>
        <w:spacing w:before="1" w:line="228" w:lineRule="auto"/>
        <w:ind w:left="513"/>
        <w:rPr>
          <w:rFonts w:ascii="宋体" w:hAnsi="宋体" w:eastAsia="宋体" w:cs="宋体"/>
          <w:sz w:val="23"/>
          <w:szCs w:val="23"/>
        </w:rPr>
      </w:pPr>
      <w:r>
        <w:rPr>
          <w:rFonts w:ascii="宋体" w:hAnsi="宋体" w:eastAsia="宋体" w:cs="宋体"/>
          <w:spacing w:val="6"/>
          <w:sz w:val="23"/>
          <w:szCs w:val="23"/>
        </w:rPr>
        <w:t>6.2. 定标程</w:t>
      </w:r>
      <w:r>
        <w:rPr>
          <w:rFonts w:ascii="宋体" w:hAnsi="宋体" w:eastAsia="宋体" w:cs="宋体"/>
          <w:spacing w:val="5"/>
          <w:sz w:val="23"/>
          <w:szCs w:val="23"/>
        </w:rPr>
        <w:t>序</w:t>
      </w:r>
    </w:p>
    <w:p w14:paraId="64F19C26">
      <w:pPr>
        <w:spacing w:before="116" w:line="227" w:lineRule="auto"/>
        <w:ind w:left="0" w:firstLine="524" w:firstLineChars="200"/>
        <w:rPr>
          <w:rFonts w:ascii="宋体" w:hAnsi="宋体" w:eastAsia="宋体" w:cs="宋体"/>
          <w:sz w:val="23"/>
          <w:szCs w:val="23"/>
        </w:rPr>
      </w:pPr>
      <w:r>
        <w:rPr>
          <w:rFonts w:ascii="宋体" w:hAnsi="宋体" w:eastAsia="宋体" w:cs="宋体"/>
          <w:spacing w:val="16"/>
          <w:sz w:val="23"/>
          <w:szCs w:val="23"/>
        </w:rPr>
        <w:t>6</w:t>
      </w:r>
      <w:r>
        <w:rPr>
          <w:rFonts w:ascii="宋体" w:hAnsi="宋体" w:eastAsia="宋体" w:cs="宋体"/>
          <w:spacing w:val="14"/>
          <w:sz w:val="23"/>
          <w:szCs w:val="23"/>
        </w:rPr>
        <w:t>.</w:t>
      </w:r>
      <w:r>
        <w:rPr>
          <w:rFonts w:ascii="宋体" w:hAnsi="宋体" w:eastAsia="宋体" w:cs="宋体"/>
          <w:spacing w:val="8"/>
          <w:sz w:val="23"/>
          <w:szCs w:val="23"/>
        </w:rPr>
        <w:t>2.1 评标委员会将评标情况写出书面报告，推荐中标候选供应商。</w:t>
      </w:r>
    </w:p>
    <w:p w14:paraId="41054119">
      <w:pPr>
        <w:spacing w:before="118" w:line="227" w:lineRule="auto"/>
        <w:ind w:left="0" w:firstLine="480" w:firstLineChars="200"/>
        <w:rPr>
          <w:rFonts w:ascii="宋体" w:hAnsi="宋体" w:eastAsia="宋体" w:cs="宋体"/>
          <w:sz w:val="23"/>
          <w:szCs w:val="23"/>
        </w:rPr>
      </w:pPr>
      <w:r>
        <w:rPr>
          <w:rFonts w:ascii="宋体" w:hAnsi="宋体" w:eastAsia="宋体" w:cs="宋体"/>
          <w:spacing w:val="5"/>
          <w:sz w:val="23"/>
          <w:szCs w:val="23"/>
        </w:rPr>
        <w:t>6.2.2 采购代理机构在评标结束后 2 个工作日内将评标报告送采购</w:t>
      </w:r>
      <w:r>
        <w:rPr>
          <w:rFonts w:ascii="宋体" w:hAnsi="宋体" w:eastAsia="宋体" w:cs="宋体"/>
          <w:spacing w:val="3"/>
          <w:sz w:val="23"/>
          <w:szCs w:val="23"/>
        </w:rPr>
        <w:t>人</w:t>
      </w:r>
      <w:r>
        <w:rPr>
          <w:rFonts w:ascii="宋体" w:hAnsi="宋体" w:eastAsia="宋体" w:cs="宋体"/>
          <w:sz w:val="23"/>
          <w:szCs w:val="23"/>
        </w:rPr>
        <w:t>。</w:t>
      </w:r>
    </w:p>
    <w:p w14:paraId="1CBD17DC">
      <w:pPr>
        <w:spacing w:before="74" w:line="321" w:lineRule="auto"/>
        <w:ind w:left="31" w:right="80" w:firstLine="516" w:firstLineChars="200"/>
        <w:rPr>
          <w:rFonts w:ascii="宋体" w:hAnsi="宋体" w:eastAsia="宋体" w:cs="宋体"/>
          <w:sz w:val="23"/>
          <w:szCs w:val="23"/>
        </w:rPr>
      </w:pPr>
      <w:r>
        <w:rPr>
          <w:rFonts w:ascii="宋体" w:hAnsi="宋体" w:eastAsia="宋体" w:cs="宋体"/>
          <w:spacing w:val="14"/>
          <w:sz w:val="23"/>
          <w:szCs w:val="23"/>
        </w:rPr>
        <w:t>6.2</w:t>
      </w:r>
      <w:r>
        <w:rPr>
          <w:rFonts w:ascii="宋体" w:hAnsi="宋体" w:eastAsia="宋体" w:cs="宋体"/>
          <w:spacing w:val="11"/>
          <w:sz w:val="23"/>
          <w:szCs w:val="23"/>
        </w:rPr>
        <w:t>.</w:t>
      </w:r>
      <w:r>
        <w:rPr>
          <w:rFonts w:ascii="宋体" w:hAnsi="宋体" w:eastAsia="宋体" w:cs="宋体"/>
          <w:spacing w:val="7"/>
          <w:sz w:val="23"/>
          <w:szCs w:val="23"/>
        </w:rPr>
        <w:t>3</w:t>
      </w:r>
      <w:r>
        <w:rPr>
          <w:rFonts w:ascii="Arial" w:hAnsi="Arial" w:eastAsia="Arial" w:cs="Arial"/>
          <w:spacing w:val="0"/>
          <w:sz w:val="21"/>
          <w:szCs w:val="21"/>
        </w:rPr>
        <w:t xml:space="preserve"> </w:t>
      </w:r>
      <w:r>
        <w:rPr>
          <w:rFonts w:hint="eastAsia" w:ascii="宋体" w:hAnsi="宋体" w:eastAsia="宋体" w:cs="宋体"/>
          <w:spacing w:val="0"/>
          <w:sz w:val="24"/>
          <w:szCs w:val="24"/>
        </w:rPr>
        <w:t>采购人在收到评标报告后 5 个工作日内，按照评标报告中推荐的中标候选供应商顺序确定中标供应商。采用最低评标价法的，评标结果按投标报价由低到高顺序排列。投标报价相同的并列。投标文件满足招标文件全部实质性要求且投标报价最低的投标人为排名第一的中标候选人。报价相同且满足招标文件全部实质性要求的并列，由采购人自主采取随机抽取的方式选择中标供应商。采用综合评分法的，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排名并列的由采购人自主采取随机抽取的方式选择中标供应商。</w:t>
      </w:r>
    </w:p>
    <w:p w14:paraId="635963AC">
      <w:pPr>
        <w:spacing w:line="321" w:lineRule="auto"/>
        <w:ind w:left="33" w:right="80" w:firstLine="478"/>
        <w:rPr>
          <w:rFonts w:ascii="宋体" w:hAnsi="宋体" w:eastAsia="宋体" w:cs="宋体"/>
          <w:sz w:val="23"/>
          <w:szCs w:val="23"/>
        </w:rPr>
      </w:pPr>
      <w:r>
        <w:rPr>
          <w:rFonts w:hint="eastAsia" w:ascii="宋体" w:hAnsi="宋体" w:eastAsia="宋体" w:cs="宋体"/>
          <w:b/>
          <w:bCs/>
          <w:sz w:val="24"/>
          <w:szCs w:val="24"/>
        </w:rPr>
        <w:t>注意，采购人按照推荐的中标候选供应商顺序确定中标人，不能认为采购人只能确定第一中标候选供应商为中标人，采购人有正当理由的，可以确定后一顺序中标候选供应商为中标人，依次类推。</w:t>
      </w:r>
    </w:p>
    <w:p w14:paraId="3712AFED">
      <w:pPr>
        <w:spacing w:line="321" w:lineRule="auto"/>
        <w:ind w:left="32" w:right="80" w:firstLine="480"/>
        <w:rPr>
          <w:rFonts w:ascii="宋体" w:hAnsi="宋体" w:eastAsia="宋体" w:cs="宋体"/>
          <w:sz w:val="23"/>
          <w:szCs w:val="23"/>
        </w:rPr>
      </w:pPr>
      <w:r>
        <w:rPr>
          <w:rFonts w:ascii="宋体" w:hAnsi="宋体" w:eastAsia="宋体" w:cs="宋体"/>
          <w:spacing w:val="22"/>
          <w:sz w:val="23"/>
          <w:szCs w:val="23"/>
        </w:rPr>
        <w:t>6</w:t>
      </w:r>
      <w:r>
        <w:rPr>
          <w:rFonts w:ascii="宋体" w:hAnsi="宋体" w:eastAsia="宋体" w:cs="宋体"/>
          <w:spacing w:val="12"/>
          <w:sz w:val="23"/>
          <w:szCs w:val="23"/>
        </w:rPr>
        <w:t>.</w:t>
      </w:r>
      <w:r>
        <w:rPr>
          <w:rFonts w:ascii="宋体" w:hAnsi="宋体" w:eastAsia="宋体" w:cs="宋体"/>
          <w:spacing w:val="11"/>
          <w:sz w:val="23"/>
          <w:szCs w:val="23"/>
        </w:rPr>
        <w:t>2.4 根据采购人确定的中标供应商，采购代理机构在中国政府采购网上</w:t>
      </w:r>
      <w:r>
        <w:rPr>
          <w:rFonts w:ascii="宋体" w:hAnsi="宋体" w:eastAsia="宋体" w:cs="宋体"/>
          <w:spacing w:val="16"/>
          <w:sz w:val="23"/>
          <w:szCs w:val="23"/>
        </w:rPr>
        <w:t>发</w:t>
      </w:r>
      <w:r>
        <w:rPr>
          <w:rFonts w:ascii="宋体" w:hAnsi="宋体" w:eastAsia="宋体" w:cs="宋体"/>
          <w:spacing w:val="15"/>
          <w:sz w:val="23"/>
          <w:szCs w:val="23"/>
        </w:rPr>
        <w:t>布</w:t>
      </w:r>
      <w:r>
        <w:rPr>
          <w:rFonts w:ascii="宋体" w:hAnsi="宋体" w:eastAsia="宋体" w:cs="宋体"/>
          <w:spacing w:val="8"/>
          <w:sz w:val="23"/>
          <w:szCs w:val="23"/>
        </w:rPr>
        <w:t>中标公告，</w:t>
      </w:r>
      <w:r>
        <w:rPr>
          <w:rFonts w:hint="eastAsia" w:ascii="宋体" w:hAnsi="宋体" w:eastAsia="宋体" w:cs="宋体"/>
          <w:spacing w:val="8"/>
          <w:sz w:val="23"/>
          <w:szCs w:val="23"/>
          <w:lang w:eastAsia="zh-CN"/>
        </w:rPr>
        <w:t>同时向</w:t>
      </w:r>
      <w:r>
        <w:rPr>
          <w:rFonts w:ascii="宋体" w:hAnsi="宋体" w:eastAsia="宋体" w:cs="宋体"/>
          <w:spacing w:val="8"/>
          <w:sz w:val="23"/>
          <w:szCs w:val="23"/>
        </w:rPr>
        <w:t>中标供应商发出中</w:t>
      </w:r>
      <w:r>
        <w:rPr>
          <w:rFonts w:ascii="宋体" w:hAnsi="宋体" w:eastAsia="宋体" w:cs="宋体"/>
          <w:spacing w:val="6"/>
          <w:sz w:val="23"/>
          <w:szCs w:val="23"/>
        </w:rPr>
        <w:t>标通知书</w:t>
      </w:r>
      <w:r>
        <w:rPr>
          <w:rFonts w:ascii="宋体" w:hAnsi="宋体" w:eastAsia="宋体" w:cs="宋体"/>
          <w:spacing w:val="5"/>
          <w:sz w:val="23"/>
          <w:szCs w:val="23"/>
        </w:rPr>
        <w:t>。</w:t>
      </w:r>
    </w:p>
    <w:p w14:paraId="531559B7">
      <w:pPr>
        <w:spacing w:line="227" w:lineRule="auto"/>
        <w:ind w:left="513"/>
        <w:rPr>
          <w:rFonts w:ascii="宋体" w:hAnsi="宋体" w:eastAsia="宋体" w:cs="宋体"/>
          <w:sz w:val="23"/>
          <w:szCs w:val="23"/>
        </w:rPr>
      </w:pPr>
      <w:r>
        <w:rPr>
          <w:rFonts w:ascii="宋体" w:hAnsi="宋体" w:eastAsia="宋体" w:cs="宋体"/>
          <w:spacing w:val="16"/>
          <w:sz w:val="23"/>
          <w:szCs w:val="23"/>
        </w:rPr>
        <w:t>6</w:t>
      </w:r>
      <w:r>
        <w:rPr>
          <w:rFonts w:ascii="宋体" w:hAnsi="宋体" w:eastAsia="宋体" w:cs="宋体"/>
          <w:spacing w:val="8"/>
          <w:sz w:val="23"/>
          <w:szCs w:val="23"/>
        </w:rPr>
        <w:t>.2.5 招标采购单位不退回投标人投标文件和其他投标资料。</w:t>
      </w:r>
    </w:p>
    <w:p w14:paraId="7F4AC64D">
      <w:pPr>
        <w:spacing w:before="117" w:line="227" w:lineRule="auto"/>
        <w:ind w:left="517"/>
        <w:rPr>
          <w:rFonts w:ascii="宋体" w:hAnsi="宋体" w:eastAsia="宋体" w:cs="宋体"/>
          <w:sz w:val="23"/>
          <w:szCs w:val="23"/>
        </w:rPr>
      </w:pPr>
      <w:r>
        <w:rPr>
          <w:rFonts w:hint="eastAsia" w:ascii="宋体" w:hAnsi="宋体" w:eastAsia="宋体" w:cs="宋体"/>
          <w:b/>
          <w:bCs/>
          <w:sz w:val="24"/>
          <w:szCs w:val="24"/>
        </w:rPr>
        <w:t>7. 评标专家在政府采购活动中承担以下义务：</w:t>
      </w:r>
    </w:p>
    <w:p w14:paraId="59D78C06">
      <w:pPr>
        <w:spacing w:before="116" w:line="228" w:lineRule="auto"/>
        <w:ind w:left="523"/>
        <w:rPr>
          <w:rFonts w:ascii="宋体" w:hAnsi="宋体" w:eastAsia="宋体" w:cs="宋体"/>
          <w:sz w:val="23"/>
          <w:szCs w:val="23"/>
        </w:rPr>
      </w:pPr>
      <w:r>
        <w:rPr>
          <w:rFonts w:hint="eastAsia" w:ascii="宋体" w:hAnsi="宋体" w:eastAsia="宋体" w:cs="宋体"/>
          <w:spacing w:val="11"/>
          <w:sz w:val="23"/>
          <w:szCs w:val="23"/>
          <w:lang w:eastAsia="zh-CN"/>
        </w:rPr>
        <w:t>（</w:t>
      </w:r>
      <w:r>
        <w:rPr>
          <w:rFonts w:ascii="宋体" w:hAnsi="宋体" w:eastAsia="宋体" w:cs="宋体"/>
          <w:spacing w:val="6"/>
          <w:sz w:val="23"/>
          <w:szCs w:val="23"/>
        </w:rPr>
        <w:t>一</w:t>
      </w:r>
      <w:r>
        <w:rPr>
          <w:rFonts w:hint="eastAsia" w:ascii="宋体" w:hAnsi="宋体" w:eastAsia="宋体" w:cs="宋体"/>
          <w:spacing w:val="6"/>
          <w:sz w:val="23"/>
          <w:szCs w:val="23"/>
          <w:lang w:eastAsia="zh-CN"/>
        </w:rPr>
        <w:t>）</w:t>
      </w:r>
      <w:r>
        <w:rPr>
          <w:rFonts w:ascii="宋体" w:hAnsi="宋体" w:eastAsia="宋体" w:cs="宋体"/>
          <w:spacing w:val="6"/>
          <w:sz w:val="23"/>
          <w:szCs w:val="23"/>
        </w:rPr>
        <w:t xml:space="preserve"> 遵守评审工作纪律；</w:t>
      </w:r>
    </w:p>
    <w:p w14:paraId="04F64650">
      <w:pPr>
        <w:spacing w:before="116" w:line="321" w:lineRule="auto"/>
        <w:ind w:left="39" w:right="80" w:firstLine="484"/>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二</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按照客观、公正、审慎的原则，根据采购文件规定的评审程序、评</w:t>
      </w:r>
      <w:r>
        <w:rPr>
          <w:rFonts w:ascii="宋体" w:hAnsi="宋体" w:eastAsia="宋体" w:cs="宋体"/>
          <w:spacing w:val="11"/>
          <w:sz w:val="23"/>
          <w:szCs w:val="23"/>
        </w:rPr>
        <w:t>审</w:t>
      </w:r>
      <w:r>
        <w:rPr>
          <w:rFonts w:ascii="宋体" w:hAnsi="宋体" w:eastAsia="宋体" w:cs="宋体"/>
          <w:spacing w:val="8"/>
          <w:sz w:val="23"/>
          <w:szCs w:val="23"/>
        </w:rPr>
        <w:t>方法和评审标准进行独立评审；</w:t>
      </w:r>
    </w:p>
    <w:p w14:paraId="5A236D01">
      <w:pPr>
        <w:spacing w:line="228" w:lineRule="auto"/>
        <w:ind w:left="523"/>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2"/>
          <w:sz w:val="23"/>
          <w:szCs w:val="23"/>
        </w:rPr>
        <w:t>三</w:t>
      </w:r>
      <w:r>
        <w:rPr>
          <w:rFonts w:hint="eastAsia" w:ascii="宋体" w:hAnsi="宋体" w:eastAsia="宋体" w:cs="宋体"/>
          <w:spacing w:val="12"/>
          <w:sz w:val="23"/>
          <w:szCs w:val="23"/>
          <w:lang w:eastAsia="zh-CN"/>
        </w:rPr>
        <w:t>）</w:t>
      </w:r>
      <w:r>
        <w:rPr>
          <w:rFonts w:ascii="宋体" w:hAnsi="宋体" w:eastAsia="宋体" w:cs="宋体"/>
          <w:spacing w:val="12"/>
          <w:sz w:val="23"/>
          <w:szCs w:val="23"/>
        </w:rPr>
        <w:t xml:space="preserve"> 不得泄露评审文件、评审情况和在评审过程中获悉的商业秘密；</w:t>
      </w:r>
    </w:p>
    <w:p w14:paraId="2041F3AB">
      <w:pPr>
        <w:spacing w:before="0" w:line="240" w:lineRule="auto"/>
        <w:ind w:left="0" w:right="0" w:firstLine="540" w:firstLineChars="200"/>
        <w:rPr>
          <w:rFonts w:ascii="Arial" w:hAnsi="Arial" w:eastAsia="Arial" w:cs="Arial"/>
          <w:sz w:val="24"/>
          <w:szCs w:val="24"/>
        </w:rPr>
      </w:pPr>
      <w:r>
        <w:rPr>
          <w:rFonts w:hint="eastAsia" w:ascii="宋体" w:hAnsi="宋体" w:eastAsia="宋体" w:cs="宋体"/>
          <w:spacing w:val="20"/>
          <w:sz w:val="23"/>
          <w:szCs w:val="23"/>
          <w:lang w:eastAsia="zh-CN"/>
        </w:rPr>
        <w:t>（</w:t>
      </w:r>
      <w:r>
        <w:rPr>
          <w:rFonts w:ascii="宋体" w:hAnsi="宋体" w:eastAsia="宋体" w:cs="宋体"/>
          <w:spacing w:val="13"/>
          <w:sz w:val="23"/>
          <w:szCs w:val="23"/>
        </w:rPr>
        <w:t>四</w:t>
      </w:r>
      <w:r>
        <w:rPr>
          <w:rFonts w:hint="eastAsia" w:ascii="宋体" w:hAnsi="宋体" w:eastAsia="宋体" w:cs="宋体"/>
          <w:spacing w:val="10"/>
          <w:sz w:val="23"/>
          <w:szCs w:val="23"/>
          <w:lang w:eastAsia="zh-CN"/>
        </w:rPr>
        <w:t>）</w:t>
      </w:r>
      <w:r>
        <w:rPr>
          <w:rFonts w:ascii="Arial" w:hAnsi="Arial" w:eastAsia="Arial" w:cs="Arial"/>
          <w:spacing w:val="0"/>
          <w:sz w:val="24"/>
          <w:szCs w:val="24"/>
        </w:rPr>
        <w:t xml:space="preserve"> 及时向监督部门报告评审过程中采购组织单位向评审专家做倾向性、误导性的解释或者说明，供应商行贿、提供虚假材料或者串通、受到的非法干预情况等违法违规行为；</w:t>
      </w:r>
    </w:p>
    <w:p w14:paraId="13E8420D">
      <w:pPr>
        <w:spacing w:before="2" w:line="320" w:lineRule="auto"/>
        <w:ind w:left="46" w:right="80" w:firstLine="476"/>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五</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发现采购文件内容违反国家有关强制性规定或者存在歧义、重大</w:t>
      </w:r>
      <w:r>
        <w:rPr>
          <w:rFonts w:hint="eastAsia" w:ascii="宋体" w:hAnsi="宋体" w:eastAsia="宋体" w:cs="宋体"/>
          <w:sz w:val="23"/>
          <w:szCs w:val="23"/>
          <w:lang w:val="en-US" w:eastAsia="zh-CN"/>
        </w:rPr>
        <w:t>缺</w:t>
      </w:r>
      <w:r>
        <w:rPr>
          <w:rFonts w:ascii="宋体" w:hAnsi="宋体" w:eastAsia="宋体" w:cs="宋体"/>
          <w:spacing w:val="9"/>
          <w:sz w:val="23"/>
          <w:szCs w:val="23"/>
        </w:rPr>
        <w:t>陷导致评审工作无法进行时，停止评审并向采购组织单位书面说明情况</w:t>
      </w:r>
      <w:r>
        <w:rPr>
          <w:rFonts w:ascii="宋体" w:hAnsi="宋体" w:eastAsia="宋体" w:cs="宋体"/>
          <w:spacing w:val="6"/>
          <w:sz w:val="23"/>
          <w:szCs w:val="23"/>
        </w:rPr>
        <w:t>；</w:t>
      </w:r>
    </w:p>
    <w:p w14:paraId="36E290A6">
      <w:pPr>
        <w:spacing w:line="227" w:lineRule="auto"/>
        <w:ind w:left="523"/>
        <w:rPr>
          <w:rFonts w:ascii="宋体" w:hAnsi="宋体" w:eastAsia="宋体" w:cs="宋体"/>
          <w:sz w:val="23"/>
          <w:szCs w:val="23"/>
        </w:rPr>
      </w:pPr>
      <w:r>
        <w:rPr>
          <w:rFonts w:hint="eastAsia" w:ascii="宋体" w:hAnsi="宋体" w:eastAsia="宋体" w:cs="宋体"/>
          <w:spacing w:val="13"/>
          <w:sz w:val="23"/>
          <w:szCs w:val="23"/>
          <w:lang w:eastAsia="zh-CN"/>
        </w:rPr>
        <w:t>（</w:t>
      </w:r>
      <w:r>
        <w:rPr>
          <w:rFonts w:ascii="宋体" w:hAnsi="宋体" w:eastAsia="宋体" w:cs="宋体"/>
          <w:spacing w:val="13"/>
          <w:sz w:val="23"/>
          <w:szCs w:val="23"/>
        </w:rPr>
        <w:t>六</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配合答复处理供应商的询问、质疑和投诉等事项</w:t>
      </w:r>
      <w:r>
        <w:rPr>
          <w:rFonts w:ascii="宋体" w:hAnsi="宋体" w:eastAsia="宋体" w:cs="宋体"/>
          <w:spacing w:val="9"/>
          <w:sz w:val="23"/>
          <w:szCs w:val="23"/>
        </w:rPr>
        <w:t>；</w:t>
      </w:r>
    </w:p>
    <w:p w14:paraId="2E14CB77">
      <w:pPr>
        <w:spacing w:before="118" w:line="228" w:lineRule="auto"/>
        <w:ind w:left="523"/>
        <w:rPr>
          <w:rFonts w:ascii="宋体" w:hAnsi="宋体" w:eastAsia="宋体" w:cs="宋体"/>
          <w:sz w:val="23"/>
          <w:szCs w:val="23"/>
        </w:rPr>
      </w:pPr>
      <w:r>
        <w:rPr>
          <w:rFonts w:hint="eastAsia" w:ascii="宋体" w:hAnsi="宋体" w:eastAsia="宋体" w:cs="宋体"/>
          <w:spacing w:val="26"/>
          <w:sz w:val="23"/>
          <w:szCs w:val="23"/>
          <w:lang w:eastAsia="zh-CN"/>
        </w:rPr>
        <w:t>（</w:t>
      </w:r>
      <w:r>
        <w:rPr>
          <w:rFonts w:ascii="宋体" w:hAnsi="宋体" w:eastAsia="宋体" w:cs="宋体"/>
          <w:spacing w:val="14"/>
          <w:sz w:val="23"/>
          <w:szCs w:val="23"/>
        </w:rPr>
        <w:t>七</w:t>
      </w:r>
      <w:r>
        <w:rPr>
          <w:rFonts w:hint="eastAsia" w:ascii="宋体" w:hAnsi="宋体" w:eastAsia="宋体" w:cs="宋体"/>
          <w:spacing w:val="13"/>
          <w:sz w:val="23"/>
          <w:szCs w:val="23"/>
          <w:lang w:eastAsia="zh-CN"/>
        </w:rPr>
        <w:t>）</w:t>
      </w:r>
      <w:r>
        <w:rPr>
          <w:rFonts w:ascii="宋体" w:hAnsi="宋体" w:eastAsia="宋体" w:cs="宋体"/>
          <w:spacing w:val="13"/>
          <w:sz w:val="23"/>
          <w:szCs w:val="23"/>
        </w:rPr>
        <w:t xml:space="preserve"> 法律、法规和规章规定的其他义务。</w:t>
      </w:r>
    </w:p>
    <w:p w14:paraId="58FB437C">
      <w:pPr>
        <w:spacing w:before="116" w:line="310" w:lineRule="exact"/>
        <w:ind w:left="512"/>
        <w:rPr>
          <w:rFonts w:ascii="宋体" w:hAnsi="宋体" w:eastAsia="宋体" w:cs="宋体"/>
          <w:sz w:val="23"/>
          <w:szCs w:val="23"/>
        </w:rPr>
      </w:pPr>
      <w:r>
        <w:rPr>
          <w:rFonts w:hint="eastAsia" w:ascii="宋体" w:hAnsi="宋体" w:eastAsia="宋体" w:cs="宋体"/>
          <w:b/>
          <w:bCs/>
          <w:sz w:val="24"/>
          <w:szCs w:val="24"/>
        </w:rPr>
        <w:t>8.评标专家在政府采购活动中应当遵守以下工作纪律：</w:t>
      </w:r>
    </w:p>
    <w:p w14:paraId="41862223">
      <w:pPr>
        <w:spacing w:before="88" w:line="322" w:lineRule="auto"/>
        <w:ind w:left="32" w:right="80"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1"/>
          <w:sz w:val="23"/>
          <w:szCs w:val="23"/>
        </w:rPr>
        <w:t>一</w:t>
      </w:r>
      <w:r>
        <w:rPr>
          <w:rFonts w:hint="eastAsia" w:ascii="宋体" w:hAnsi="宋体" w:eastAsia="宋体" w:cs="宋体"/>
          <w:spacing w:val="11"/>
          <w:sz w:val="23"/>
          <w:szCs w:val="23"/>
          <w:lang w:eastAsia="zh-CN"/>
        </w:rPr>
        <w:t>）</w:t>
      </w:r>
      <w:r>
        <w:rPr>
          <w:rFonts w:ascii="宋体" w:hAnsi="宋体" w:eastAsia="宋体" w:cs="宋体"/>
          <w:spacing w:val="11"/>
          <w:sz w:val="23"/>
          <w:szCs w:val="23"/>
        </w:rPr>
        <w:t xml:space="preserve"> 遵行《政府采购法》第十二条和《政府采购法实施条例》第九条及</w:t>
      </w:r>
      <w:r>
        <w:rPr>
          <w:rFonts w:ascii="宋体" w:hAnsi="宋体" w:eastAsia="宋体" w:cs="宋体"/>
          <w:spacing w:val="9"/>
          <w:sz w:val="23"/>
          <w:szCs w:val="23"/>
        </w:rPr>
        <w:t>财</w:t>
      </w:r>
      <w:r>
        <w:rPr>
          <w:rFonts w:ascii="宋体" w:hAnsi="宋体" w:eastAsia="宋体" w:cs="宋体"/>
          <w:spacing w:val="8"/>
          <w:sz w:val="23"/>
          <w:szCs w:val="23"/>
        </w:rPr>
        <w:t>政部关于回避的规定。</w:t>
      </w:r>
    </w:p>
    <w:p w14:paraId="080523D8">
      <w:pPr>
        <w:spacing w:before="2" w:line="320" w:lineRule="auto"/>
        <w:ind w:left="32" w:right="80"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二</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评标前，应当将通讯工具或者相关电子设备交由招标采购单位统一</w:t>
      </w:r>
      <w:r>
        <w:rPr>
          <w:rFonts w:ascii="宋体" w:hAnsi="宋体" w:eastAsia="宋体" w:cs="宋体"/>
          <w:spacing w:val="3"/>
          <w:sz w:val="23"/>
          <w:szCs w:val="23"/>
        </w:rPr>
        <w:t>保管。</w:t>
      </w:r>
    </w:p>
    <w:p w14:paraId="7AEAED43">
      <w:pPr>
        <w:spacing w:before="2" w:line="320" w:lineRule="auto"/>
        <w:ind w:left="36" w:right="80" w:firstLine="486"/>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三</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评标过程中，不得与外界联系，因发生不可预见情况，确实需要与</w:t>
      </w:r>
      <w:r>
        <w:rPr>
          <w:rFonts w:ascii="宋体" w:hAnsi="宋体" w:eastAsia="宋体" w:cs="宋体"/>
          <w:spacing w:val="16"/>
          <w:sz w:val="23"/>
          <w:szCs w:val="23"/>
        </w:rPr>
        <w:t>外</w:t>
      </w:r>
      <w:r>
        <w:rPr>
          <w:rFonts w:ascii="宋体" w:hAnsi="宋体" w:eastAsia="宋体" w:cs="宋体"/>
          <w:spacing w:val="15"/>
          <w:sz w:val="23"/>
          <w:szCs w:val="23"/>
        </w:rPr>
        <w:t>界</w:t>
      </w:r>
      <w:r>
        <w:rPr>
          <w:rFonts w:ascii="宋体" w:hAnsi="宋体" w:eastAsia="宋体" w:cs="宋体"/>
          <w:spacing w:val="8"/>
          <w:sz w:val="23"/>
          <w:szCs w:val="23"/>
        </w:rPr>
        <w:t>联系的，应当在监督人员监督之下办理。</w:t>
      </w:r>
    </w:p>
    <w:p w14:paraId="53625D9B">
      <w:pPr>
        <w:spacing w:before="75" w:line="321" w:lineRule="auto"/>
        <w:ind w:left="32" w:right="63" w:firstLine="538" w:firstLineChars="207"/>
        <w:rPr>
          <w:rFonts w:ascii="宋体" w:hAnsi="宋体" w:eastAsia="宋体" w:cs="宋体"/>
          <w:sz w:val="23"/>
          <w:szCs w:val="23"/>
        </w:rPr>
      </w:pPr>
      <w:r>
        <w:rPr>
          <w:rFonts w:hint="eastAsia" w:ascii="宋体" w:hAnsi="宋体" w:eastAsia="宋体" w:cs="宋体"/>
          <w:spacing w:val="15"/>
          <w:sz w:val="23"/>
          <w:szCs w:val="23"/>
          <w:lang w:eastAsia="zh-CN"/>
        </w:rPr>
        <w:t>（</w:t>
      </w:r>
      <w:r>
        <w:rPr>
          <w:rFonts w:ascii="宋体" w:hAnsi="宋体" w:eastAsia="宋体" w:cs="宋体"/>
          <w:spacing w:val="15"/>
          <w:sz w:val="23"/>
          <w:szCs w:val="23"/>
        </w:rPr>
        <w:t>四</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评标过程中，不得干预或者影响正常评标工作，不得发表倾向性</w:t>
      </w:r>
      <w:r>
        <w:rPr>
          <w:rFonts w:ascii="宋体" w:hAnsi="宋体" w:eastAsia="宋体" w:cs="宋体"/>
          <w:spacing w:val="10"/>
          <w:sz w:val="23"/>
          <w:szCs w:val="23"/>
        </w:rPr>
        <w:t>、</w:t>
      </w:r>
      <w:r>
        <w:rPr>
          <w:rFonts w:ascii="宋体" w:hAnsi="宋体" w:eastAsia="宋体" w:cs="宋体"/>
          <w:spacing w:val="12"/>
          <w:sz w:val="23"/>
          <w:szCs w:val="23"/>
        </w:rPr>
        <w:t>引导性意见，不得修改或细化招标文件确定的评标程序、评标方法、评标因</w:t>
      </w:r>
      <w:r>
        <w:rPr>
          <w:rFonts w:ascii="宋体" w:hAnsi="宋体" w:eastAsia="宋体" w:cs="宋体"/>
          <w:spacing w:val="5"/>
          <w:sz w:val="23"/>
          <w:szCs w:val="23"/>
        </w:rPr>
        <w:t>素</w:t>
      </w:r>
      <w:r>
        <w:rPr>
          <w:rFonts w:ascii="宋体" w:hAnsi="宋体" w:eastAsia="宋体" w:cs="宋体"/>
          <w:spacing w:val="22"/>
          <w:sz w:val="23"/>
          <w:szCs w:val="23"/>
        </w:rPr>
        <w:t>和</w:t>
      </w:r>
      <w:r>
        <w:rPr>
          <w:rFonts w:ascii="宋体" w:hAnsi="宋体" w:eastAsia="宋体" w:cs="宋体"/>
          <w:spacing w:val="12"/>
          <w:sz w:val="23"/>
          <w:szCs w:val="23"/>
        </w:rPr>
        <w:t>评标标准，不得接受供应商主动提出的澄清和解释，不得征询采购人代表的</w:t>
      </w:r>
      <w:r>
        <w:rPr>
          <w:rFonts w:ascii="宋体" w:hAnsi="宋体" w:eastAsia="宋体" w:cs="宋体"/>
          <w:spacing w:val="22"/>
          <w:sz w:val="23"/>
          <w:szCs w:val="23"/>
        </w:rPr>
        <w:t>意</w:t>
      </w:r>
      <w:r>
        <w:rPr>
          <w:rFonts w:ascii="宋体" w:hAnsi="宋体" w:eastAsia="宋体" w:cs="宋体"/>
          <w:spacing w:val="12"/>
          <w:sz w:val="23"/>
          <w:szCs w:val="23"/>
        </w:rPr>
        <w:t>见，不得协商评分，不得违反规定的评标格式评分和撰写评标意见，不得拒</w:t>
      </w:r>
      <w:r>
        <w:rPr>
          <w:rFonts w:ascii="宋体" w:hAnsi="宋体" w:eastAsia="宋体" w:cs="宋体"/>
          <w:spacing w:val="15"/>
          <w:sz w:val="23"/>
          <w:szCs w:val="23"/>
        </w:rPr>
        <w:t>绝</w:t>
      </w:r>
      <w:r>
        <w:rPr>
          <w:rFonts w:ascii="宋体" w:hAnsi="宋体" w:eastAsia="宋体" w:cs="宋体"/>
          <w:spacing w:val="8"/>
          <w:sz w:val="23"/>
          <w:szCs w:val="23"/>
        </w:rPr>
        <w:t>对自己的评标意见签字确认。</w:t>
      </w:r>
    </w:p>
    <w:p w14:paraId="7867356A">
      <w:pPr>
        <w:spacing w:before="1" w:line="320" w:lineRule="auto"/>
        <w:ind w:left="46" w:firstLine="477"/>
        <w:rPr>
          <w:rFonts w:ascii="宋体" w:hAnsi="宋体" w:eastAsia="宋体" w:cs="宋体"/>
          <w:sz w:val="23"/>
          <w:szCs w:val="23"/>
        </w:rPr>
      </w:pPr>
      <w:r>
        <w:rPr>
          <w:rFonts w:hint="eastAsia" w:ascii="宋体" w:hAnsi="宋体" w:eastAsia="宋体" w:cs="宋体"/>
          <w:spacing w:val="10"/>
          <w:sz w:val="23"/>
          <w:szCs w:val="23"/>
          <w:lang w:eastAsia="zh-CN"/>
        </w:rPr>
        <w:t>（</w:t>
      </w:r>
      <w:r>
        <w:rPr>
          <w:rFonts w:ascii="宋体" w:hAnsi="宋体" w:eastAsia="宋体" w:cs="宋体"/>
          <w:spacing w:val="10"/>
          <w:sz w:val="23"/>
          <w:szCs w:val="23"/>
        </w:rPr>
        <w:t>五</w:t>
      </w:r>
      <w:r>
        <w:rPr>
          <w:rFonts w:hint="eastAsia" w:ascii="宋体" w:hAnsi="宋体" w:eastAsia="宋体" w:cs="宋体"/>
          <w:spacing w:val="10"/>
          <w:sz w:val="23"/>
          <w:szCs w:val="23"/>
          <w:lang w:eastAsia="zh-CN"/>
        </w:rPr>
        <w:t>）</w:t>
      </w:r>
      <w:r>
        <w:rPr>
          <w:rFonts w:ascii="宋体" w:hAnsi="宋体" w:eastAsia="宋体" w:cs="宋体"/>
          <w:spacing w:val="10"/>
          <w:sz w:val="23"/>
          <w:szCs w:val="23"/>
        </w:rPr>
        <w:t xml:space="preserve"> 在评标过程中和评标结束后，不得记录、复制或带走任何评标资料</w:t>
      </w:r>
      <w:r>
        <w:rPr>
          <w:rFonts w:ascii="宋体" w:hAnsi="宋体" w:eastAsia="宋体" w:cs="宋体"/>
          <w:spacing w:val="6"/>
          <w:sz w:val="23"/>
          <w:szCs w:val="23"/>
        </w:rPr>
        <w:t>，</w:t>
      </w:r>
      <w:r>
        <w:rPr>
          <w:rFonts w:ascii="宋体" w:hAnsi="宋体" w:eastAsia="宋体" w:cs="宋体"/>
          <w:spacing w:val="16"/>
          <w:sz w:val="23"/>
          <w:szCs w:val="23"/>
        </w:rPr>
        <w:t>除</w:t>
      </w:r>
      <w:r>
        <w:rPr>
          <w:rFonts w:ascii="宋体" w:hAnsi="宋体" w:eastAsia="宋体" w:cs="宋体"/>
          <w:spacing w:val="8"/>
          <w:sz w:val="23"/>
          <w:szCs w:val="23"/>
        </w:rPr>
        <w:t>因规定的义务外，不得向外界透露评标内容。</w:t>
      </w:r>
    </w:p>
    <w:p w14:paraId="300F1ED4">
      <w:pPr>
        <w:spacing w:before="1" w:line="321" w:lineRule="auto"/>
        <w:ind w:left="41" w:right="63" w:firstLine="482"/>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六</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服从评标现场招标采购单位的现场秩序管理，接受评标现场监督人</w:t>
      </w:r>
      <w:r>
        <w:rPr>
          <w:rFonts w:ascii="宋体" w:hAnsi="宋体" w:eastAsia="宋体" w:cs="宋体"/>
          <w:spacing w:val="6"/>
          <w:sz w:val="23"/>
          <w:szCs w:val="23"/>
        </w:rPr>
        <w:t>员的合法监督</w:t>
      </w:r>
      <w:r>
        <w:rPr>
          <w:rFonts w:ascii="宋体" w:hAnsi="宋体" w:eastAsia="宋体" w:cs="宋体"/>
          <w:spacing w:val="5"/>
          <w:sz w:val="23"/>
          <w:szCs w:val="23"/>
        </w:rPr>
        <w:t>。</w:t>
      </w:r>
    </w:p>
    <w:p w14:paraId="024245B9">
      <w:pPr>
        <w:spacing w:before="2" w:line="330" w:lineRule="auto"/>
        <w:ind w:left="32" w:right="63" w:firstLine="490"/>
        <w:rPr>
          <w:rFonts w:ascii="宋体" w:hAnsi="宋体" w:eastAsia="宋体" w:cs="宋体"/>
          <w:sz w:val="23"/>
          <w:szCs w:val="23"/>
        </w:rPr>
      </w:pPr>
      <w:r>
        <w:rPr>
          <w:rFonts w:hint="eastAsia" w:ascii="宋体" w:hAnsi="宋体" w:eastAsia="宋体" w:cs="宋体"/>
          <w:spacing w:val="22"/>
          <w:sz w:val="23"/>
          <w:szCs w:val="23"/>
          <w:lang w:eastAsia="zh-CN"/>
        </w:rPr>
        <w:t>（</w:t>
      </w:r>
      <w:r>
        <w:rPr>
          <w:rFonts w:ascii="宋体" w:hAnsi="宋体" w:eastAsia="宋体" w:cs="宋体"/>
          <w:spacing w:val="15"/>
          <w:sz w:val="23"/>
          <w:szCs w:val="23"/>
        </w:rPr>
        <w:t>七</w:t>
      </w:r>
      <w:r>
        <w:rPr>
          <w:rFonts w:hint="eastAsia" w:ascii="宋体" w:hAnsi="宋体" w:eastAsia="宋体" w:cs="宋体"/>
          <w:spacing w:val="15"/>
          <w:sz w:val="23"/>
          <w:szCs w:val="23"/>
          <w:lang w:eastAsia="zh-CN"/>
        </w:rPr>
        <w:t>）</w:t>
      </w:r>
      <w:r>
        <w:rPr>
          <w:rFonts w:ascii="宋体" w:hAnsi="宋体" w:eastAsia="宋体" w:cs="宋体"/>
          <w:spacing w:val="15"/>
          <w:sz w:val="23"/>
          <w:szCs w:val="23"/>
        </w:rPr>
        <w:t xml:space="preserve"> 遵守有关廉洁自律规定，不得私下接触供应商，不得收受供应商及</w:t>
      </w:r>
      <w:bookmarkStart w:id="33" w:name="_bookmark9"/>
      <w:bookmarkEnd w:id="33"/>
      <w:r>
        <w:rPr>
          <w:rFonts w:ascii="宋体" w:hAnsi="宋体" w:eastAsia="宋体" w:cs="宋体"/>
          <w:spacing w:val="18"/>
          <w:sz w:val="23"/>
          <w:szCs w:val="23"/>
        </w:rPr>
        <w:t>有</w:t>
      </w:r>
      <w:r>
        <w:rPr>
          <w:rFonts w:ascii="宋体" w:hAnsi="宋体" w:eastAsia="宋体" w:cs="宋体"/>
          <w:spacing w:val="9"/>
          <w:sz w:val="23"/>
          <w:szCs w:val="23"/>
        </w:rPr>
        <w:t>关业务单位和个人的财物或好处，不得接受采购组织单位的请托。</w:t>
      </w:r>
    </w:p>
    <w:p w14:paraId="7076D592">
      <w:pPr>
        <w:spacing w:before="0" w:line="240" w:lineRule="auto"/>
        <w:ind w:left="0"/>
        <w:rPr>
          <w:rFonts w:ascii="宋体" w:hAnsi="宋体" w:eastAsia="宋体" w:cs="宋体"/>
          <w:spacing w:val="9"/>
          <w:sz w:val="31"/>
          <w:szCs w:val="31"/>
          <w14:textOutline w14:w="5793" w14:cap="sq" w14:cmpd="sng">
            <w14:solidFill>
              <w14:srgbClr w14:val="000000"/>
            </w14:solidFill>
            <w14:prstDash w14:val="solid"/>
            <w14:bevel/>
          </w14:textOutline>
        </w:rPr>
      </w:pPr>
      <w:r>
        <w:rPr>
          <w:rFonts w:ascii="宋体" w:hAnsi="宋体" w:eastAsia="宋体" w:cs="宋体"/>
          <w:spacing w:val="9"/>
          <w:sz w:val="31"/>
          <w:szCs w:val="31"/>
          <w14:textOutline w14:w="5793" w14:cap="sq" w14:cmpd="sng">
            <w14:solidFill>
              <w14:srgbClr w14:val="000000"/>
            </w14:solidFill>
            <w14:prstDash w14:val="solid"/>
            <w14:bevel/>
          </w14:textOutline>
        </w:rPr>
        <w:br w:type="page"/>
      </w:r>
    </w:p>
    <w:p w14:paraId="4F2EDF71">
      <w:pPr>
        <w:spacing w:before="114" w:line="225" w:lineRule="auto"/>
        <w:jc w:val="center"/>
        <w:rPr>
          <w:rFonts w:ascii="宋体" w:hAnsi="宋体" w:eastAsia="宋体" w:cs="宋体"/>
          <w:color w:val="0000FF"/>
          <w:sz w:val="32"/>
          <w:szCs w:val="32"/>
        </w:rPr>
      </w:pPr>
      <w:r>
        <w:rPr>
          <w:rFonts w:ascii="宋体" w:hAnsi="宋体" w:eastAsia="宋体" w:cs="宋体"/>
          <w:color w:val="0000FF"/>
          <w:spacing w:val="9"/>
          <w:sz w:val="32"/>
          <w:szCs w:val="32"/>
          <w14:textOutline w14:w="5793" w14:cap="sq" w14:cmpd="sng">
            <w14:solidFill>
              <w14:srgbClr w14:val="000000"/>
            </w14:solidFill>
            <w14:prstDash w14:val="solid"/>
            <w14:bevel/>
          </w14:textOutline>
        </w:rPr>
        <w:t>第八章</w:t>
      </w:r>
      <w:r>
        <w:rPr>
          <w:rFonts w:ascii="宋体" w:hAnsi="宋体" w:eastAsia="宋体" w:cs="宋体"/>
          <w:color w:val="0000FF"/>
          <w:spacing w:val="9"/>
          <w:sz w:val="32"/>
          <w:szCs w:val="32"/>
        </w:rPr>
        <w:t xml:space="preserve"> </w:t>
      </w:r>
      <w:r>
        <w:rPr>
          <w:rFonts w:ascii="宋体" w:hAnsi="宋体" w:eastAsia="宋体" w:cs="宋体"/>
          <w:color w:val="0000FF"/>
          <w:spacing w:val="9"/>
          <w:sz w:val="32"/>
          <w:szCs w:val="32"/>
          <w14:textOutline w14:w="5793" w14:cap="sq" w14:cmpd="sng">
            <w14:solidFill>
              <w14:srgbClr w14:val="000000"/>
            </w14:solidFill>
            <w14:prstDash w14:val="solid"/>
            <w14:bevel/>
          </w14:textOutline>
        </w:rPr>
        <w:t>政府采购格式合同</w:t>
      </w:r>
      <w:r>
        <w:rPr>
          <w:rFonts w:ascii="宋体" w:hAnsi="宋体" w:eastAsia="宋体" w:cs="宋体"/>
          <w:color w:val="0000FF"/>
          <w:spacing w:val="9"/>
          <w:sz w:val="32"/>
          <w:szCs w:val="32"/>
          <w14:textOutline w14:w="6537" w14:cap="sq" w14:cmpd="sng">
            <w14:solidFill>
              <w14:srgbClr w14:val="000000"/>
            </w14:solidFill>
            <w14:prstDash w14:val="solid"/>
            <w14:bevel/>
          </w14:textOutline>
        </w:rPr>
        <w:t>样本</w:t>
      </w:r>
    </w:p>
    <w:p w14:paraId="5E59DBA4">
      <w:pPr>
        <w:spacing w:line="460" w:lineRule="exact"/>
        <w:rPr>
          <w:rFonts w:hAnsi="宋体"/>
          <w:color w:val="0000FF"/>
          <w:sz w:val="24"/>
          <w:highlight w:val="none"/>
        </w:rPr>
      </w:pPr>
    </w:p>
    <w:p w14:paraId="1B83905F">
      <w:pPr>
        <w:spacing w:before="156" w:beforeLines="50" w:after="156" w:afterLines="50" w:line="440" w:lineRule="exact"/>
        <w:rPr>
          <w:rFonts w:hint="eastAsia" w:ascii="宋体" w:hAnsi="宋体" w:eastAsia="宋体" w:cs="宋体"/>
          <w:bCs/>
          <w:color w:val="auto"/>
          <w:sz w:val="32"/>
          <w:szCs w:val="32"/>
          <w:highlight w:val="none"/>
          <w:lang w:val="en-US" w:eastAsia="zh-CN"/>
        </w:rPr>
      </w:pPr>
      <w:r>
        <w:rPr>
          <w:rFonts w:hint="eastAsia" w:ascii="宋体" w:hAnsi="宋体" w:eastAsia="宋体" w:cs="宋体"/>
          <w:color w:val="auto"/>
          <w:sz w:val="32"/>
          <w:szCs w:val="32"/>
          <w:highlight w:val="none"/>
        </w:rPr>
        <w:t>附件</w:t>
      </w:r>
    </w:p>
    <w:p w14:paraId="7786B672">
      <w:pPr>
        <w:pStyle w:val="7"/>
        <w:spacing w:before="0" w:after="0" w:line="360" w:lineRule="auto"/>
        <w:jc w:val="center"/>
        <w:rPr>
          <w:rFonts w:hint="eastAsia" w:ascii="宋体" w:hAnsi="宋体" w:eastAsia="宋体" w:cs="宋体"/>
          <w:bCs/>
          <w:color w:val="auto"/>
          <w:sz w:val="24"/>
          <w:szCs w:val="24"/>
          <w:highlight w:val="none"/>
        </w:rPr>
      </w:pPr>
      <w:bookmarkStart w:id="34" w:name="_Toc14405_WPSOffice_Level1"/>
      <w:bookmarkStart w:id="35" w:name="_Toc10837"/>
      <w:bookmarkStart w:id="36" w:name="_Toc28556_WPSOffice_Level1"/>
      <w:bookmarkStart w:id="37" w:name="_Toc28247"/>
      <w:r>
        <w:rPr>
          <w:rFonts w:hint="eastAsia" w:ascii="宋体" w:hAnsi="宋体" w:eastAsia="宋体" w:cs="宋体"/>
          <w:sz w:val="28"/>
          <w:szCs w:val="16"/>
        </w:rPr>
        <w:t>政府采购合同（草案）</w:t>
      </w:r>
      <w:bookmarkEnd w:id="34"/>
      <w:bookmarkEnd w:id="35"/>
      <w:bookmarkEnd w:id="36"/>
      <w:bookmarkEnd w:id="37"/>
      <w:bookmarkStart w:id="38" w:name="_Toc316475752"/>
      <w:bookmarkEnd w:id="38"/>
      <w:bookmarkStart w:id="39" w:name="_Toc316475672"/>
      <w:bookmarkEnd w:id="39"/>
      <w:bookmarkStart w:id="40" w:name="_Toc316475675"/>
      <w:bookmarkEnd w:id="40"/>
      <w:bookmarkStart w:id="41" w:name="_Toc316475671"/>
      <w:bookmarkEnd w:id="41"/>
      <w:bookmarkStart w:id="42" w:name="_Toc214858832"/>
      <w:bookmarkEnd w:id="42"/>
      <w:bookmarkStart w:id="43" w:name="_Toc316475762"/>
      <w:bookmarkEnd w:id="43"/>
      <w:bookmarkStart w:id="44" w:name="_Toc316475761"/>
      <w:bookmarkEnd w:id="44"/>
      <w:bookmarkStart w:id="45" w:name="_Toc277152523"/>
      <w:bookmarkEnd w:id="45"/>
      <w:bookmarkStart w:id="46" w:name="_Toc316475751"/>
      <w:bookmarkEnd w:id="46"/>
      <w:bookmarkStart w:id="47" w:name="_Toc316475764"/>
      <w:bookmarkEnd w:id="47"/>
      <w:bookmarkStart w:id="48" w:name="_Toc316475763"/>
      <w:bookmarkEnd w:id="48"/>
      <w:bookmarkStart w:id="49" w:name="_Toc316475669"/>
      <w:bookmarkEnd w:id="49"/>
      <w:bookmarkStart w:id="50" w:name="_Toc316475760"/>
      <w:bookmarkEnd w:id="50"/>
      <w:bookmarkStart w:id="51" w:name="_Toc316475753"/>
      <w:bookmarkEnd w:id="51"/>
      <w:bookmarkStart w:id="52" w:name="_Toc316475667"/>
      <w:bookmarkEnd w:id="52"/>
      <w:bookmarkStart w:id="53" w:name="_Toc316475664"/>
      <w:bookmarkEnd w:id="53"/>
      <w:bookmarkStart w:id="54" w:name="_Toc316475674"/>
      <w:bookmarkEnd w:id="54"/>
      <w:bookmarkStart w:id="55" w:name="_Toc316475756"/>
      <w:bookmarkEnd w:id="55"/>
      <w:bookmarkStart w:id="56" w:name="_Toc277152521"/>
      <w:bookmarkEnd w:id="56"/>
      <w:bookmarkStart w:id="57" w:name="_Hlt101846155"/>
      <w:bookmarkEnd w:id="57"/>
      <w:bookmarkStart w:id="58" w:name="_Toc299975364"/>
      <w:bookmarkEnd w:id="58"/>
      <w:bookmarkStart w:id="59" w:name="_Toc316475677"/>
      <w:bookmarkEnd w:id="59"/>
      <w:bookmarkStart w:id="60" w:name="_Toc316475758"/>
      <w:bookmarkEnd w:id="60"/>
      <w:bookmarkStart w:id="61" w:name="_Toc277152522"/>
      <w:bookmarkEnd w:id="61"/>
      <w:bookmarkStart w:id="62" w:name="_Toc316475755"/>
      <w:bookmarkEnd w:id="62"/>
      <w:bookmarkStart w:id="63" w:name="_Toc316475666"/>
      <w:bookmarkEnd w:id="63"/>
      <w:bookmarkStart w:id="64" w:name="_Toc316475668"/>
      <w:bookmarkEnd w:id="64"/>
      <w:bookmarkStart w:id="65" w:name="_Toc316475676"/>
      <w:bookmarkEnd w:id="65"/>
      <w:bookmarkStart w:id="66" w:name="_Toc316475673"/>
      <w:bookmarkEnd w:id="66"/>
      <w:bookmarkStart w:id="67" w:name="_Toc316475754"/>
      <w:bookmarkEnd w:id="67"/>
      <w:bookmarkStart w:id="68" w:name="_Toc316475759"/>
      <w:bookmarkEnd w:id="68"/>
      <w:bookmarkStart w:id="69" w:name="_Toc316475670"/>
      <w:bookmarkEnd w:id="69"/>
      <w:bookmarkStart w:id="70" w:name="_Toc316475665"/>
      <w:bookmarkEnd w:id="70"/>
      <w:bookmarkStart w:id="71" w:name="_Toc316475757"/>
      <w:bookmarkEnd w:id="71"/>
      <w:bookmarkStart w:id="72" w:name="_Toc277152520"/>
      <w:bookmarkEnd w:id="72"/>
      <w:bookmarkStart w:id="73" w:name="_Toc299975392"/>
      <w:bookmarkEnd w:id="73"/>
    </w:p>
    <w:p w14:paraId="5D6E6993">
      <w:pPr>
        <w:keepNext w:val="0"/>
        <w:keepLines w:val="0"/>
        <w:pageBreakBefore w:val="0"/>
        <w:widowControl/>
        <w:shd w:val="clear" w:color="auto" w:fill="auto"/>
        <w:kinsoku w:val="0"/>
        <w:wordWrap/>
        <w:overflowPunct/>
        <w:topLinePunct w:val="0"/>
        <w:autoSpaceDE w:val="0"/>
        <w:autoSpaceDN w:val="0"/>
        <w:bidi w:val="0"/>
        <w:adjustRightInd w:val="0"/>
        <w:snapToGrid w:val="0"/>
        <w:spacing w:before="55" w:line="360" w:lineRule="auto"/>
        <w:jc w:val="center"/>
        <w:textAlignment w:val="baseline"/>
        <w:rPr>
          <w:rFonts w:hint="eastAsia" w:ascii="宋体" w:hAnsi="宋体" w:eastAsia="宋体" w:cs="宋体"/>
          <w:b/>
          <w:color w:val="auto"/>
          <w:sz w:val="44"/>
          <w:szCs w:val="44"/>
          <w:highlight w:val="none"/>
          <w:lang w:val="en-US" w:eastAsia="zh-CN"/>
        </w:rPr>
      </w:pPr>
      <w:r>
        <w:rPr>
          <w:rFonts w:hint="eastAsia" w:ascii="宋体" w:hAnsi="宋体" w:eastAsia="宋体" w:cs="宋体"/>
          <w:b/>
          <w:color w:val="auto"/>
          <w:sz w:val="44"/>
          <w:szCs w:val="44"/>
          <w:highlight w:val="none"/>
          <w:lang w:eastAsia="zh-CN"/>
        </w:rPr>
        <w:t>四川省消防救援总队遂宁市支队“自然灾害应急能力提升工程”装备配备项目（第</w:t>
      </w:r>
      <w:r>
        <w:rPr>
          <w:rFonts w:hint="eastAsia" w:ascii="宋体" w:hAnsi="宋体" w:eastAsia="宋体" w:cs="宋体"/>
          <w:b/>
          <w:color w:val="auto"/>
          <w:sz w:val="44"/>
          <w:szCs w:val="44"/>
          <w:highlight w:val="none"/>
          <w:lang w:val="en-US" w:eastAsia="zh-CN"/>
        </w:rPr>
        <w:t>三</w:t>
      </w:r>
      <w:r>
        <w:rPr>
          <w:rFonts w:hint="eastAsia" w:ascii="宋体" w:hAnsi="宋体" w:eastAsia="宋体" w:cs="宋体"/>
          <w:b/>
          <w:color w:val="auto"/>
          <w:sz w:val="44"/>
          <w:szCs w:val="44"/>
          <w:highlight w:val="none"/>
          <w:lang w:eastAsia="zh-CN"/>
        </w:rPr>
        <w:t>批）</w:t>
      </w:r>
    </w:p>
    <w:p w14:paraId="793E56B2">
      <w:pPr>
        <w:widowControl/>
        <w:spacing w:line="360" w:lineRule="auto"/>
        <w:jc w:val="center"/>
        <w:rPr>
          <w:rFonts w:hint="eastAsia" w:ascii="宋体" w:hAnsi="宋体" w:eastAsia="宋体" w:cs="宋体"/>
          <w:b/>
          <w:bCs/>
          <w:color w:val="auto"/>
          <w:sz w:val="36"/>
          <w:szCs w:val="36"/>
          <w:highlight w:val="none"/>
        </w:rPr>
      </w:pPr>
    </w:p>
    <w:p w14:paraId="5668D4CB">
      <w:pPr>
        <w:widowControl/>
        <w:spacing w:line="360" w:lineRule="auto"/>
        <w:jc w:val="center"/>
        <w:rPr>
          <w:rFonts w:hint="eastAsia" w:ascii="宋体" w:hAnsi="宋体" w:eastAsia="宋体" w:cs="宋体"/>
          <w:b/>
          <w:bCs/>
          <w:color w:val="auto"/>
          <w:sz w:val="36"/>
          <w:szCs w:val="36"/>
          <w:highlight w:val="none"/>
        </w:rPr>
      </w:pPr>
    </w:p>
    <w:p w14:paraId="6FDF281D">
      <w:pPr>
        <w:widowControl/>
        <w:spacing w:line="360" w:lineRule="auto"/>
        <w:jc w:val="center"/>
        <w:rPr>
          <w:rFonts w:hint="eastAsia" w:ascii="宋体" w:hAnsi="宋体" w:eastAsia="宋体" w:cs="宋体"/>
          <w:b/>
          <w:bCs/>
          <w:color w:val="auto"/>
          <w:sz w:val="36"/>
          <w:szCs w:val="36"/>
          <w:highlight w:val="none"/>
        </w:rPr>
      </w:pPr>
    </w:p>
    <w:p w14:paraId="3F384E32">
      <w:pPr>
        <w:widowControl/>
        <w:spacing w:line="360" w:lineRule="auto"/>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第</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b/>
          <w:bCs/>
          <w:color w:val="auto"/>
          <w:sz w:val="36"/>
          <w:szCs w:val="36"/>
          <w:highlight w:val="none"/>
          <w:u w:val="single"/>
          <w:lang w:val="en-US" w:eastAsia="zh-CN"/>
        </w:rPr>
        <w:t xml:space="preserve">    </w:t>
      </w:r>
      <w:r>
        <w:rPr>
          <w:rFonts w:hint="eastAsia" w:ascii="宋体" w:hAnsi="宋体" w:eastAsia="宋体" w:cs="宋体"/>
          <w:b/>
          <w:bCs/>
          <w:color w:val="auto"/>
          <w:sz w:val="36"/>
          <w:szCs w:val="36"/>
          <w:highlight w:val="none"/>
        </w:rPr>
        <w:t>包</w:t>
      </w:r>
    </w:p>
    <w:p w14:paraId="3F76B26D">
      <w:pPr>
        <w:widowControl/>
        <w:spacing w:line="360" w:lineRule="auto"/>
        <w:jc w:val="center"/>
        <w:rPr>
          <w:rFonts w:hint="eastAsia" w:ascii="宋体" w:hAnsi="宋体" w:eastAsia="宋体" w:cs="宋体"/>
          <w:b/>
          <w:color w:val="auto"/>
          <w:sz w:val="36"/>
          <w:szCs w:val="36"/>
          <w:highlight w:val="none"/>
        </w:rPr>
      </w:pPr>
      <w:r>
        <w:rPr>
          <w:rFonts w:hint="eastAsia" w:ascii="宋体" w:hAnsi="宋体" w:eastAsia="宋体" w:cs="宋体"/>
          <w:b/>
          <w:bCs/>
          <w:color w:val="auto"/>
          <w:sz w:val="36"/>
          <w:szCs w:val="36"/>
          <w:highlight w:val="none"/>
          <w:lang w:eastAsia="zh-CN"/>
        </w:rPr>
        <w:t>采购合同</w:t>
      </w:r>
    </w:p>
    <w:p w14:paraId="407799E6">
      <w:pPr>
        <w:shd w:val="clear" w:color="auto" w:fill="auto"/>
        <w:spacing w:before="286"/>
        <w:ind w:left="824" w:right="766"/>
        <w:jc w:val="center"/>
        <w:rPr>
          <w:rFonts w:hint="eastAsia" w:ascii="宋体" w:hAnsi="宋体" w:eastAsia="宋体" w:cs="宋体"/>
          <w:iCs/>
          <w:color w:val="auto"/>
          <w:sz w:val="21"/>
          <w:highlight w:val="none"/>
        </w:rPr>
      </w:pPr>
    </w:p>
    <w:p w14:paraId="58EEF05D">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p>
    <w:p w14:paraId="5674E39E">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p>
    <w:p w14:paraId="194D4BC5">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p>
    <w:p w14:paraId="39E1E8C4">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p>
    <w:p w14:paraId="3CCA0C25">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合同编号：XXXX。</w:t>
      </w:r>
    </w:p>
    <w:p w14:paraId="6436E029">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签订地点：XXXX。</w:t>
      </w:r>
    </w:p>
    <w:p w14:paraId="01021FF2">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签订时间：XXXX年XX月XX日。</w:t>
      </w:r>
    </w:p>
    <w:p w14:paraId="255B0FB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1E84E354">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0" w:firstLineChars="0"/>
        <w:textAlignment w:val="auto"/>
        <w:rPr>
          <w:rFonts w:hint="eastAsia" w:ascii="宋体" w:hAnsi="宋体" w:eastAsia="宋体" w:cs="宋体"/>
          <w:color w:val="auto"/>
          <w:sz w:val="24"/>
          <w:szCs w:val="24"/>
          <w:highlight w:val="none"/>
        </w:rPr>
      </w:pPr>
    </w:p>
    <w:p w14:paraId="278B6083">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采购人（甲方）：                              </w:t>
      </w:r>
    </w:p>
    <w:p w14:paraId="4FA641FD">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供应商（乙方）： </w:t>
      </w:r>
    </w:p>
    <w:p w14:paraId="4010A34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根据《中华人民共和国政府采购法》、《中华人民共和国</w:t>
      </w:r>
      <w:r>
        <w:rPr>
          <w:rFonts w:hint="eastAsia" w:ascii="宋体" w:hAnsi="宋体" w:eastAsia="宋体" w:cs="宋体"/>
          <w:color w:val="auto"/>
          <w:sz w:val="24"/>
          <w:szCs w:val="24"/>
          <w:highlight w:val="none"/>
          <w:lang w:eastAsia="zh-CN"/>
        </w:rPr>
        <w:t>民法典</w:t>
      </w:r>
      <w:r>
        <w:rPr>
          <w:rFonts w:hint="eastAsia" w:ascii="宋体" w:hAnsi="宋体" w:eastAsia="宋体" w:cs="宋体"/>
          <w:color w:val="auto"/>
          <w:sz w:val="24"/>
          <w:szCs w:val="24"/>
          <w:highlight w:val="none"/>
        </w:rPr>
        <w:t>》及XXXX采购项目（项目编号：XX）的《招标文件》、乙方的《投标文件》及《中标通知书》，甲、乙双方同意签订本合同。详细技术说明及其他有关合同项目的特定信息由合同附件予以说明，合同附件及本项目的招标文件、投标文件、《中标通知书》等均为本合同不可分割的部分。双方同意共同遵守如下条款：</w:t>
      </w:r>
    </w:p>
    <w:p w14:paraId="73FF412B">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rPr>
        <w:t>一、合同货物</w:t>
      </w:r>
    </w:p>
    <w:tbl>
      <w:tblPr>
        <w:tblStyle w:val="18"/>
        <w:tblW w:w="916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46"/>
        <w:gridCol w:w="1294"/>
        <w:gridCol w:w="976"/>
        <w:gridCol w:w="892"/>
        <w:gridCol w:w="1097"/>
        <w:gridCol w:w="1202"/>
        <w:gridCol w:w="1279"/>
        <w:gridCol w:w="1281"/>
      </w:tblGrid>
      <w:tr w14:paraId="705A15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96" w:hRule="atLeast"/>
        </w:trPr>
        <w:tc>
          <w:tcPr>
            <w:tcW w:w="1146" w:type="dxa"/>
            <w:tcBorders>
              <w:top w:val="single" w:color="auto" w:sz="4" w:space="0"/>
              <w:left w:val="single" w:color="auto" w:sz="4" w:space="0"/>
              <w:bottom w:val="single" w:color="auto" w:sz="4" w:space="0"/>
              <w:right w:val="single" w:color="auto" w:sz="4" w:space="0"/>
            </w:tcBorders>
            <w:noWrap w:val="0"/>
            <w:vAlign w:val="center"/>
          </w:tcPr>
          <w:p w14:paraId="3E471BB4">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货物品名</w:t>
            </w:r>
          </w:p>
        </w:tc>
        <w:tc>
          <w:tcPr>
            <w:tcW w:w="1294" w:type="dxa"/>
            <w:tcBorders>
              <w:top w:val="single" w:color="auto" w:sz="4" w:space="0"/>
              <w:left w:val="single" w:color="auto" w:sz="4" w:space="0"/>
              <w:bottom w:val="single" w:color="auto" w:sz="4" w:space="0"/>
              <w:right w:val="single" w:color="auto" w:sz="4" w:space="0"/>
            </w:tcBorders>
            <w:noWrap w:val="0"/>
            <w:vAlign w:val="center"/>
          </w:tcPr>
          <w:p w14:paraId="7E8388FD">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规格型号</w:t>
            </w:r>
          </w:p>
        </w:tc>
        <w:tc>
          <w:tcPr>
            <w:tcW w:w="976" w:type="dxa"/>
            <w:tcBorders>
              <w:top w:val="single" w:color="auto" w:sz="4" w:space="0"/>
              <w:left w:val="single" w:color="auto" w:sz="4" w:space="0"/>
              <w:bottom w:val="single" w:color="auto" w:sz="4" w:space="0"/>
              <w:right w:val="single" w:color="auto" w:sz="4" w:space="0"/>
            </w:tcBorders>
            <w:noWrap w:val="0"/>
            <w:vAlign w:val="center"/>
          </w:tcPr>
          <w:p w14:paraId="25EEDF3A">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w:t>
            </w:r>
          </w:p>
        </w:tc>
        <w:tc>
          <w:tcPr>
            <w:tcW w:w="892" w:type="dxa"/>
            <w:tcBorders>
              <w:top w:val="single" w:color="auto" w:sz="4" w:space="0"/>
              <w:left w:val="single" w:color="auto" w:sz="4" w:space="0"/>
              <w:bottom w:val="single" w:color="auto" w:sz="4" w:space="0"/>
              <w:right w:val="single" w:color="auto" w:sz="4" w:space="0"/>
            </w:tcBorders>
            <w:noWrap w:val="0"/>
            <w:vAlign w:val="center"/>
          </w:tcPr>
          <w:p w14:paraId="6566E84B">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105" w:firstLineChars="5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097" w:type="dxa"/>
            <w:tcBorders>
              <w:top w:val="single" w:color="auto" w:sz="4" w:space="0"/>
              <w:left w:val="single" w:color="auto" w:sz="4" w:space="0"/>
              <w:bottom w:val="single" w:color="auto" w:sz="4" w:space="0"/>
              <w:right w:val="single" w:color="auto" w:sz="4" w:space="0"/>
            </w:tcBorders>
            <w:noWrap w:val="0"/>
            <w:vAlign w:val="center"/>
          </w:tcPr>
          <w:p w14:paraId="155E367E">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105" w:firstLineChars="5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单价</w:t>
            </w:r>
          </w:p>
          <w:p w14:paraId="2A4202F5">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202" w:type="dxa"/>
            <w:tcBorders>
              <w:top w:val="single" w:color="auto" w:sz="4" w:space="0"/>
              <w:left w:val="single" w:color="auto" w:sz="4" w:space="0"/>
              <w:bottom w:val="single" w:color="auto" w:sz="4" w:space="0"/>
              <w:right w:val="single" w:color="auto" w:sz="4" w:space="0"/>
            </w:tcBorders>
            <w:noWrap w:val="0"/>
            <w:vAlign w:val="center"/>
          </w:tcPr>
          <w:p w14:paraId="49A0D312">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210" w:firstLineChars="1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总价</w:t>
            </w:r>
          </w:p>
          <w:p w14:paraId="1FC52E1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（万元）</w:t>
            </w:r>
          </w:p>
        </w:tc>
        <w:tc>
          <w:tcPr>
            <w:tcW w:w="1279" w:type="dxa"/>
            <w:tcBorders>
              <w:top w:val="single" w:color="auto" w:sz="4" w:space="0"/>
              <w:left w:val="single" w:color="auto" w:sz="4" w:space="0"/>
              <w:bottom w:val="single" w:color="auto" w:sz="4" w:space="0"/>
              <w:right w:val="single" w:color="auto" w:sz="4" w:space="0"/>
            </w:tcBorders>
            <w:noWrap w:val="0"/>
            <w:vAlign w:val="center"/>
          </w:tcPr>
          <w:p w14:paraId="1757F515">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交货期</w:t>
            </w:r>
          </w:p>
        </w:tc>
        <w:tc>
          <w:tcPr>
            <w:tcW w:w="1281" w:type="dxa"/>
            <w:tcBorders>
              <w:top w:val="single" w:color="auto" w:sz="4" w:space="0"/>
              <w:left w:val="single" w:color="auto" w:sz="4" w:space="0"/>
              <w:bottom w:val="single" w:color="auto" w:sz="4" w:space="0"/>
              <w:right w:val="single" w:color="auto" w:sz="4" w:space="0"/>
            </w:tcBorders>
            <w:noWrap w:val="0"/>
            <w:vAlign w:val="center"/>
          </w:tcPr>
          <w:p w14:paraId="7C756F21">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105" w:firstLineChars="5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交货地点</w:t>
            </w:r>
          </w:p>
        </w:tc>
      </w:tr>
      <w:tr w14:paraId="32E4B0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1" w:hRule="atLeast"/>
        </w:trPr>
        <w:tc>
          <w:tcPr>
            <w:tcW w:w="1146" w:type="dxa"/>
            <w:tcBorders>
              <w:top w:val="single" w:color="auto" w:sz="4" w:space="0"/>
              <w:left w:val="single" w:color="auto" w:sz="4" w:space="0"/>
              <w:bottom w:val="single" w:color="auto" w:sz="4" w:space="0"/>
              <w:right w:val="single" w:color="auto" w:sz="4" w:space="0"/>
            </w:tcBorders>
            <w:noWrap w:val="0"/>
            <w:vAlign w:val="center"/>
          </w:tcPr>
          <w:p w14:paraId="34A4C99F">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94" w:type="dxa"/>
            <w:tcBorders>
              <w:top w:val="single" w:color="auto" w:sz="4" w:space="0"/>
              <w:left w:val="single" w:color="auto" w:sz="4" w:space="0"/>
              <w:bottom w:val="single" w:color="auto" w:sz="4" w:space="0"/>
              <w:right w:val="single" w:color="auto" w:sz="4" w:space="0"/>
            </w:tcBorders>
            <w:noWrap w:val="0"/>
            <w:vAlign w:val="center"/>
          </w:tcPr>
          <w:p w14:paraId="3356173F">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3839D70C">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5A06CFE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097" w:type="dxa"/>
            <w:tcBorders>
              <w:top w:val="single" w:color="auto" w:sz="4" w:space="0"/>
              <w:left w:val="single" w:color="auto" w:sz="4" w:space="0"/>
              <w:bottom w:val="single" w:color="auto" w:sz="4" w:space="0"/>
              <w:right w:val="single" w:color="auto" w:sz="4" w:space="0"/>
            </w:tcBorders>
            <w:noWrap w:val="0"/>
            <w:vAlign w:val="center"/>
          </w:tcPr>
          <w:p w14:paraId="3E27F25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25F609BA">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14:paraId="2C6A39A5">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3A6EFC26">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r>
      <w:tr w14:paraId="569D94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7" w:hRule="atLeast"/>
        </w:trPr>
        <w:tc>
          <w:tcPr>
            <w:tcW w:w="1146" w:type="dxa"/>
            <w:tcBorders>
              <w:top w:val="single" w:color="auto" w:sz="4" w:space="0"/>
              <w:left w:val="single" w:color="auto" w:sz="4" w:space="0"/>
              <w:bottom w:val="single" w:color="auto" w:sz="4" w:space="0"/>
              <w:right w:val="single" w:color="auto" w:sz="4" w:space="0"/>
            </w:tcBorders>
            <w:noWrap w:val="0"/>
            <w:vAlign w:val="center"/>
          </w:tcPr>
          <w:p w14:paraId="662EB3CB">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94" w:type="dxa"/>
            <w:tcBorders>
              <w:top w:val="single" w:color="auto" w:sz="4" w:space="0"/>
              <w:left w:val="single" w:color="auto" w:sz="4" w:space="0"/>
              <w:bottom w:val="single" w:color="auto" w:sz="4" w:space="0"/>
              <w:right w:val="single" w:color="auto" w:sz="4" w:space="0"/>
            </w:tcBorders>
            <w:noWrap w:val="0"/>
            <w:vAlign w:val="center"/>
          </w:tcPr>
          <w:p w14:paraId="76CA6BBE">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3E3767A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7F862A1C">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097" w:type="dxa"/>
            <w:tcBorders>
              <w:top w:val="single" w:color="auto" w:sz="4" w:space="0"/>
              <w:left w:val="single" w:color="auto" w:sz="4" w:space="0"/>
              <w:bottom w:val="single" w:color="auto" w:sz="4" w:space="0"/>
              <w:right w:val="single" w:color="auto" w:sz="4" w:space="0"/>
            </w:tcBorders>
            <w:noWrap w:val="0"/>
            <w:vAlign w:val="center"/>
          </w:tcPr>
          <w:p w14:paraId="569FE0DC">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40C9F0B1">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14:paraId="7E76434A">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0DDA0CE8">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r>
      <w:tr w14:paraId="09AF62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7" w:hRule="atLeast"/>
        </w:trPr>
        <w:tc>
          <w:tcPr>
            <w:tcW w:w="1146" w:type="dxa"/>
            <w:tcBorders>
              <w:top w:val="single" w:color="auto" w:sz="4" w:space="0"/>
              <w:left w:val="single" w:color="auto" w:sz="4" w:space="0"/>
              <w:bottom w:val="single" w:color="auto" w:sz="4" w:space="0"/>
              <w:right w:val="single" w:color="auto" w:sz="4" w:space="0"/>
            </w:tcBorders>
            <w:noWrap w:val="0"/>
            <w:vAlign w:val="center"/>
          </w:tcPr>
          <w:p w14:paraId="0AD82D8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94" w:type="dxa"/>
            <w:tcBorders>
              <w:top w:val="single" w:color="auto" w:sz="4" w:space="0"/>
              <w:left w:val="single" w:color="auto" w:sz="4" w:space="0"/>
              <w:bottom w:val="single" w:color="auto" w:sz="4" w:space="0"/>
              <w:right w:val="single" w:color="auto" w:sz="4" w:space="0"/>
            </w:tcBorders>
            <w:noWrap w:val="0"/>
            <w:vAlign w:val="center"/>
          </w:tcPr>
          <w:p w14:paraId="278B6D80">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514A0BA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7EFB7618">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097" w:type="dxa"/>
            <w:tcBorders>
              <w:top w:val="single" w:color="auto" w:sz="4" w:space="0"/>
              <w:left w:val="single" w:color="auto" w:sz="4" w:space="0"/>
              <w:bottom w:val="single" w:color="auto" w:sz="4" w:space="0"/>
              <w:right w:val="single" w:color="auto" w:sz="4" w:space="0"/>
            </w:tcBorders>
            <w:noWrap w:val="0"/>
            <w:vAlign w:val="center"/>
          </w:tcPr>
          <w:p w14:paraId="64BBF0CD">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6BB04A1E">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14:paraId="451F5D31">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02041EC6">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r>
      <w:tr w14:paraId="0C6085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7" w:hRule="atLeast"/>
        </w:trPr>
        <w:tc>
          <w:tcPr>
            <w:tcW w:w="1146" w:type="dxa"/>
            <w:tcBorders>
              <w:top w:val="single" w:color="auto" w:sz="4" w:space="0"/>
              <w:left w:val="single" w:color="auto" w:sz="4" w:space="0"/>
              <w:bottom w:val="single" w:color="auto" w:sz="4" w:space="0"/>
              <w:right w:val="single" w:color="auto" w:sz="4" w:space="0"/>
            </w:tcBorders>
            <w:noWrap w:val="0"/>
            <w:vAlign w:val="center"/>
          </w:tcPr>
          <w:p w14:paraId="6D19F45D">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94" w:type="dxa"/>
            <w:tcBorders>
              <w:top w:val="single" w:color="auto" w:sz="4" w:space="0"/>
              <w:left w:val="single" w:color="auto" w:sz="4" w:space="0"/>
              <w:bottom w:val="single" w:color="auto" w:sz="4" w:space="0"/>
              <w:right w:val="single" w:color="auto" w:sz="4" w:space="0"/>
            </w:tcBorders>
            <w:noWrap w:val="0"/>
            <w:vAlign w:val="center"/>
          </w:tcPr>
          <w:p w14:paraId="1EF44BD2">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976" w:type="dxa"/>
            <w:tcBorders>
              <w:top w:val="single" w:color="auto" w:sz="4" w:space="0"/>
              <w:left w:val="single" w:color="auto" w:sz="4" w:space="0"/>
              <w:bottom w:val="single" w:color="auto" w:sz="4" w:space="0"/>
              <w:right w:val="single" w:color="auto" w:sz="4" w:space="0"/>
            </w:tcBorders>
            <w:noWrap w:val="0"/>
            <w:vAlign w:val="center"/>
          </w:tcPr>
          <w:p w14:paraId="243F2ED1">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892" w:type="dxa"/>
            <w:tcBorders>
              <w:top w:val="single" w:color="auto" w:sz="4" w:space="0"/>
              <w:left w:val="single" w:color="auto" w:sz="4" w:space="0"/>
              <w:bottom w:val="single" w:color="auto" w:sz="4" w:space="0"/>
              <w:right w:val="single" w:color="auto" w:sz="4" w:space="0"/>
            </w:tcBorders>
            <w:noWrap w:val="0"/>
            <w:vAlign w:val="center"/>
          </w:tcPr>
          <w:p w14:paraId="71C6221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097" w:type="dxa"/>
            <w:tcBorders>
              <w:top w:val="single" w:color="auto" w:sz="4" w:space="0"/>
              <w:left w:val="single" w:color="auto" w:sz="4" w:space="0"/>
              <w:bottom w:val="single" w:color="auto" w:sz="4" w:space="0"/>
              <w:right w:val="single" w:color="auto" w:sz="4" w:space="0"/>
            </w:tcBorders>
            <w:noWrap w:val="0"/>
            <w:vAlign w:val="center"/>
          </w:tcPr>
          <w:p w14:paraId="774DE3D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32231314">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79" w:type="dxa"/>
            <w:tcBorders>
              <w:top w:val="single" w:color="auto" w:sz="4" w:space="0"/>
              <w:left w:val="single" w:color="auto" w:sz="4" w:space="0"/>
              <w:bottom w:val="single" w:color="auto" w:sz="4" w:space="0"/>
              <w:right w:val="single" w:color="auto" w:sz="4" w:space="0"/>
            </w:tcBorders>
            <w:noWrap w:val="0"/>
            <w:vAlign w:val="center"/>
          </w:tcPr>
          <w:p w14:paraId="403C5E6C">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c>
          <w:tcPr>
            <w:tcW w:w="1281" w:type="dxa"/>
            <w:tcBorders>
              <w:top w:val="single" w:color="auto" w:sz="4" w:space="0"/>
              <w:left w:val="single" w:color="auto" w:sz="4" w:space="0"/>
              <w:bottom w:val="single" w:color="auto" w:sz="4" w:space="0"/>
              <w:right w:val="single" w:color="auto" w:sz="4" w:space="0"/>
            </w:tcBorders>
            <w:noWrap w:val="0"/>
            <w:vAlign w:val="center"/>
          </w:tcPr>
          <w:p w14:paraId="45D24DE5">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jc w:val="center"/>
              <w:textAlignment w:val="auto"/>
              <w:rPr>
                <w:rFonts w:hint="eastAsia" w:ascii="宋体" w:hAnsi="宋体" w:eastAsia="宋体" w:cs="宋体"/>
                <w:color w:val="auto"/>
                <w:sz w:val="21"/>
                <w:szCs w:val="21"/>
                <w:highlight w:val="none"/>
              </w:rPr>
            </w:pPr>
          </w:p>
        </w:tc>
      </w:tr>
    </w:tbl>
    <w:p w14:paraId="222F5F33">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rPr>
        <w:t>二、合同总价</w:t>
      </w:r>
    </w:p>
    <w:p w14:paraId="7B6416F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pacing w:val="-20"/>
          <w:kern w:val="0"/>
          <w:sz w:val="24"/>
          <w:szCs w:val="24"/>
          <w:highlight w:val="none"/>
        </w:rPr>
      </w:pPr>
      <w:r>
        <w:rPr>
          <w:rFonts w:hint="eastAsia" w:ascii="宋体" w:hAnsi="宋体" w:eastAsia="宋体" w:cs="宋体"/>
          <w:color w:val="auto"/>
          <w:sz w:val="24"/>
          <w:szCs w:val="24"/>
          <w:highlight w:val="none"/>
        </w:rPr>
        <w:t>合同总价为人民币大写：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元，即RMB￥</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该合同总价已包括货物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7638F2D1">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rPr>
        <w:t>三、质量要求</w:t>
      </w:r>
    </w:p>
    <w:p w14:paraId="0B48336D">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1、乙方须提供全新的货物（含零部件、配件等），表面无划伤、无碰撞痕迹，且权属清楚，不得侵害他人的知识产权。</w:t>
      </w:r>
    </w:p>
    <w:p w14:paraId="5CCF0EE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2、货物必须符合或优于国家（行业）标准，以及本项目招标文件的质量要求和技术指标与出厂标准。</w:t>
      </w:r>
    </w:p>
    <w:p w14:paraId="7764AD8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、货物制造质量出现问题，乙方应负责三包（包修、包换、包退），费用由乙方负担，甲方有权到乙方生产场地检查货物质量和生产进度。</w:t>
      </w:r>
    </w:p>
    <w:p w14:paraId="69252D91">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、货到现场后由于甲方保管不当造成的质量问题，乙方亦应负责修理，但费用由甲方负担。</w:t>
      </w:r>
    </w:p>
    <w:p w14:paraId="42D8C3AC">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pacing w:val="-20"/>
          <w:kern w:val="0"/>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交货时需提供由国家消防救援局“消防装备物资信息采集系统”统一发行的装备物资二维码（或RFID，进行永久标识或相对固定标识）。</w:t>
      </w:r>
    </w:p>
    <w:p w14:paraId="42DB54B5">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rPr>
        <w:t>四、交货及验收</w:t>
      </w:r>
    </w:p>
    <w:p w14:paraId="1D4F027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1、乙方交货期限为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XXXXXXXX</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交货地址为：</w:t>
      </w:r>
      <w:r>
        <w:rPr>
          <w:rFonts w:hint="eastAsia" w:ascii="宋体" w:hAnsi="宋体" w:eastAsia="宋体" w:cs="宋体"/>
          <w:color w:val="auto"/>
          <w:sz w:val="24"/>
          <w:szCs w:val="24"/>
          <w:highlight w:val="none"/>
          <w:u w:val="single"/>
          <w:lang w:val="en-US" w:eastAsia="zh-CN"/>
        </w:rPr>
        <w:t>XXXXXXXX</w:t>
      </w:r>
      <w:r>
        <w:rPr>
          <w:rFonts w:hint="eastAsia" w:ascii="宋体" w:hAnsi="宋体" w:eastAsia="宋体" w:cs="宋体"/>
          <w:color w:val="auto"/>
          <w:sz w:val="24"/>
          <w:szCs w:val="24"/>
          <w:highlight w:val="none"/>
        </w:rPr>
        <w:t>。若</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因遇不可抗力或其他特殊情况导致无法交货或无法按时交货的（不可抗力包括战争、叛乱、严重火灾、水灾、地震等人力无法抗拒的原因，及双方在缔结合同时不能预见的，并且它的发生及其后果是无法避免和无法克服的事件），</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应当</w:t>
      </w:r>
      <w:r>
        <w:rPr>
          <w:rFonts w:hint="eastAsia" w:ascii="宋体" w:hAnsi="宋体" w:eastAsia="宋体" w:cs="宋体"/>
          <w:b w:val="0"/>
          <w:bCs w:val="0"/>
          <w:color w:val="auto"/>
          <w:sz w:val="24"/>
          <w:szCs w:val="24"/>
          <w:highlight w:val="none"/>
          <w:lang w:val="en-US" w:eastAsia="zh-CN"/>
        </w:rPr>
        <w:t>在不可抗力发生后3日内</w:t>
      </w:r>
      <w:r>
        <w:rPr>
          <w:rFonts w:hint="eastAsia" w:ascii="宋体" w:hAnsi="宋体" w:eastAsia="宋体" w:cs="宋体"/>
          <w:color w:val="auto"/>
          <w:sz w:val="24"/>
          <w:szCs w:val="24"/>
          <w:highlight w:val="none"/>
        </w:rPr>
        <w:t>立即通知</w:t>
      </w:r>
      <w:r>
        <w:rPr>
          <w:rFonts w:hint="eastAsia" w:ascii="宋体" w:hAnsi="宋体" w:eastAsia="宋体" w:cs="宋体"/>
          <w:color w:val="auto"/>
          <w:sz w:val="24"/>
          <w:szCs w:val="24"/>
          <w:highlight w:val="none"/>
          <w:lang w:val="en-US" w:eastAsia="zh-CN"/>
        </w:rPr>
        <w:t>甲方</w:t>
      </w:r>
      <w:r>
        <w:rPr>
          <w:rFonts w:hint="eastAsia" w:ascii="宋体" w:hAnsi="宋体" w:eastAsia="宋体" w:cs="宋体"/>
          <w:b w:val="0"/>
          <w:bCs w:val="0"/>
          <w:color w:val="auto"/>
          <w:sz w:val="24"/>
          <w:szCs w:val="24"/>
          <w:highlight w:val="none"/>
          <w:lang w:val="zh-TW" w:eastAsia="zh-CN"/>
        </w:rPr>
        <w:t>（若因通讯未恢复无法按时在前述时间内向对方通报的，则需在通讯恢复后次日向对方通报）</w:t>
      </w:r>
      <w:r>
        <w:rPr>
          <w:rFonts w:hint="eastAsia" w:ascii="宋体" w:hAnsi="宋体" w:eastAsia="宋体" w:cs="宋体"/>
          <w:color w:val="auto"/>
          <w:sz w:val="24"/>
          <w:szCs w:val="24"/>
          <w:highlight w:val="none"/>
        </w:rPr>
        <w:t>。同时，</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须取得有关权威机关出具的不可抗力证明</w:t>
      </w:r>
      <w:r>
        <w:rPr>
          <w:rFonts w:hint="eastAsia" w:ascii="宋体" w:hAnsi="宋体" w:eastAsia="宋体" w:cs="宋体"/>
          <w:b w:val="0"/>
          <w:bCs w:val="0"/>
          <w:color w:val="auto"/>
          <w:sz w:val="24"/>
          <w:szCs w:val="24"/>
          <w:highlight w:val="none"/>
          <w:lang w:val="zh-TW"/>
        </w:rPr>
        <w:t>并</w:t>
      </w:r>
      <w:r>
        <w:rPr>
          <w:rFonts w:hint="eastAsia" w:ascii="宋体" w:hAnsi="宋体" w:eastAsia="宋体" w:cs="宋体"/>
          <w:b w:val="0"/>
          <w:bCs w:val="0"/>
          <w:color w:val="auto"/>
          <w:sz w:val="24"/>
          <w:szCs w:val="24"/>
          <w:highlight w:val="none"/>
          <w:lang w:val="en-US" w:eastAsia="zh-CN"/>
        </w:rPr>
        <w:t>在取得证明后的3日内</w:t>
      </w: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有权对其真实性、合法性进行审查并决定是否采纳。</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TW"/>
        </w:rPr>
        <w:t>不得因自身履约能力不足或者因正常的商业风险导致的无法交货或者无法按时交货向</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val="zh-TW"/>
        </w:rPr>
        <w:t>主张不可抗力。</w:t>
      </w:r>
    </w:p>
    <w:p w14:paraId="6B86BDC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2、验收由甲方组织，乙方配合进行：</w:t>
      </w:r>
    </w:p>
    <w:p w14:paraId="051A656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.1乙方应在交货时间内以原厂包装形式交货到甲方指定地点。</w:t>
      </w:r>
      <w:r>
        <w:rPr>
          <w:rFonts w:hint="eastAsia" w:ascii="宋体" w:hAnsi="宋体" w:eastAsia="宋体" w:cs="宋体"/>
          <w:b w:val="0"/>
          <w:bCs w:val="0"/>
          <w:color w:val="auto"/>
          <w:sz w:val="24"/>
          <w:szCs w:val="24"/>
          <w:highlight w:val="none"/>
          <w:lang w:val="zh-TW"/>
        </w:rPr>
        <w:t>依据国家消防装备质量检验检测中心产品抽查检验目录</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zh-TW"/>
        </w:rPr>
        <w:t>凡是国家消防装备质量检验检测中心能检验的装备品目，验收时必须抽样送检</w:t>
      </w:r>
      <w:r>
        <w:rPr>
          <w:rFonts w:hint="eastAsia" w:ascii="宋体" w:hAnsi="宋体" w:eastAsia="宋体" w:cs="宋体"/>
          <w:b w:val="0"/>
          <w:bCs w:val="0"/>
          <w:color w:val="auto"/>
          <w:sz w:val="24"/>
          <w:szCs w:val="24"/>
          <w:highlight w:val="none"/>
          <w:lang w:val="en-US" w:eastAsia="zh-CN"/>
        </w:rPr>
        <w:t>；不属于</w:t>
      </w:r>
      <w:r>
        <w:rPr>
          <w:rFonts w:hint="eastAsia" w:ascii="宋体" w:hAnsi="宋体" w:eastAsia="宋体" w:cs="宋体"/>
          <w:b w:val="0"/>
          <w:bCs w:val="0"/>
          <w:color w:val="auto"/>
          <w:sz w:val="24"/>
          <w:szCs w:val="24"/>
          <w:highlight w:val="none"/>
          <w:lang w:val="zh-TW"/>
        </w:rPr>
        <w:t>国家消防装备质量检验检测中心检验的装备品目</w:t>
      </w:r>
      <w:r>
        <w:rPr>
          <w:rFonts w:hint="eastAsia" w:ascii="宋体" w:hAnsi="宋体" w:eastAsia="宋体" w:cs="宋体"/>
          <w:color w:val="auto"/>
          <w:sz w:val="24"/>
          <w:szCs w:val="24"/>
          <w:highlight w:val="none"/>
        </w:rPr>
        <w:t>若甲方要求乙方交货验收时提供产品质检部门从同类产品中抽样检查合格的检测报告，乙方必须无条件配合。检验范围包括但不限于：货物及所属配件的质量性能等。如第三方检验机构出具的检验报告结果为合格，甲方可以视为乙方交付货物通过了甲方组织的抽样送检。如第三方检验机构出具的检验报告结果为不合格，则视为乙方交付货物未通过甲方组织的抽样送检。</w:t>
      </w:r>
    </w:p>
    <w:p w14:paraId="2C2AA45A">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乙方交付货物未通过甲方组织的抽样送检时，甲方有权要求乙方无条件更换货物。甲方收到更换货物后，原则上须向乙方退还不合格产品</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但如货物已使用，</w:t>
      </w:r>
      <w:r>
        <w:rPr>
          <w:rFonts w:hint="eastAsia" w:ascii="宋体" w:hAnsi="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lang w:val="en-US" w:eastAsia="zh-CN"/>
        </w:rPr>
        <w:t>有权自行对不合格产品进行处理，且</w:t>
      </w:r>
      <w:r>
        <w:rPr>
          <w:rFonts w:hint="eastAsia" w:ascii="宋体" w:hAnsi="宋体" w:eastAsia="宋体" w:cs="宋体"/>
          <w:b w:val="0"/>
          <w:bCs w:val="0"/>
          <w:color w:val="auto"/>
          <w:sz w:val="24"/>
          <w:szCs w:val="24"/>
          <w:highlight w:val="none"/>
          <w:lang w:val="zh-TW"/>
        </w:rPr>
        <w:t>无需</w:t>
      </w:r>
      <w:r>
        <w:rPr>
          <w:rFonts w:hint="eastAsia" w:ascii="宋体" w:hAnsi="宋体" w:eastAsia="宋体" w:cs="宋体"/>
          <w:b w:val="0"/>
          <w:bCs w:val="0"/>
          <w:color w:val="auto"/>
          <w:sz w:val="24"/>
          <w:szCs w:val="24"/>
          <w:highlight w:val="none"/>
          <w:lang w:val="en-US" w:eastAsia="zh-CN"/>
        </w:rPr>
        <w:t>针对不合格产品</w:t>
      </w:r>
      <w:r>
        <w:rPr>
          <w:rFonts w:hint="eastAsia" w:ascii="宋体" w:hAnsi="宋体" w:eastAsia="宋体" w:cs="宋体"/>
          <w:b w:val="0"/>
          <w:bCs w:val="0"/>
          <w:color w:val="auto"/>
          <w:sz w:val="24"/>
          <w:szCs w:val="24"/>
          <w:highlight w:val="none"/>
          <w:lang w:val="zh-TW"/>
        </w:rPr>
        <w:t>向</w:t>
      </w:r>
      <w:r>
        <w:rPr>
          <w:rFonts w:hint="eastAsia" w:ascii="宋体" w:hAnsi="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lang w:val="zh-TW"/>
        </w:rPr>
        <w:t>支付任何费用</w:t>
      </w:r>
      <w:r>
        <w:rPr>
          <w:rFonts w:hint="eastAsia" w:ascii="宋体" w:hAnsi="宋体" w:eastAsia="宋体" w:cs="宋体"/>
          <w:color w:val="auto"/>
          <w:sz w:val="24"/>
          <w:szCs w:val="24"/>
          <w:highlight w:val="none"/>
        </w:rPr>
        <w:t xml:space="preserve">。如乙方拒不配合更换，则视为供应商交付的货物不符合合同规定，采购人有权按照双方签订的合同要求中标供应商承担违约责任。 </w:t>
      </w:r>
    </w:p>
    <w:p w14:paraId="0043B65D">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抽样检查合格，则相关检测费用由甲方支付。抽样检查不合格，则相关检测关费用由乙方支付。</w:t>
      </w:r>
    </w:p>
    <w:p w14:paraId="0D5AB7E5">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.2乙方应对提供的货物作全面自查和整理，并列出清单，作为甲方验收和使用的技术条件依据，清单应随提供的验收资料一并递交。</w:t>
      </w:r>
    </w:p>
    <w:p w14:paraId="1ACE8720">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.3乙方提供的货物应包括本合同规定的全部货物及其附（辅）件、资料。具体附（辅）件及资料包含产品彩色图片PDF、产品说明书(操作手册)PDF、检测报告及3C认证PDF（如涉及）（PDF发送至甲方指定邮箱）。</w:t>
      </w:r>
    </w:p>
    <w:p w14:paraId="2D00DBA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.4甲方在到货后的15个工作日内统一组织验收，如甲方确有原因无法如期组织验收的，应该在货物验收期满前通知乙方并告知原因，双方另行协商验收时间。</w:t>
      </w:r>
    </w:p>
    <w:p w14:paraId="21AFCC75">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验收时，验收双方必须同时在场，严格按照政府采购相关法律法规的要求，通过乙方提供的货物、文件、检测报告等，逐项对比采购文件、投标文件、采购合同，确认是否完全满足各项要求。乙方所交付的货物不符合规定的，甲方有权拒收，并做出详尽的现场记录或在验收清单上注明具体验收情况，由双方签字确认，此现场记录或验收清单可用作补充缺失货物、更换损坏货物的有效证据。乙方应按采购文件、投标文件、采购合同规定和甲方要求免费对拒收货物采取更换或其他必要的补救措施，直至验收合格，方视为乙方按本合同规定完成交货，由此产生的时间延误与费用由乙方承担，验收期相应顺延。</w:t>
      </w:r>
    </w:p>
    <w:p w14:paraId="2BEC0515">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.5验收合格的，由双方共同签署《履约验收登记表》。 </w:t>
      </w:r>
    </w:p>
    <w:p w14:paraId="4014BE21">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.6甲方可以视项目规模或复杂情况聘请专业人员参与验收，大型或复杂项目，以及特种货物应当邀请国家认可的第三方质量检测机构参与验收。</w:t>
      </w:r>
    </w:p>
    <w:p w14:paraId="01FE16B7">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7货物验收包括：货物包装是否完好，产地生产厂家名称、品牌、型号、规格、数量、外观质量、配置、内在质量，以及调试运行是否达到本合同规定的效果。乙方应将所提供货物的装箱清单、产品合格证、用户使用手册、原厂保修卡、随机资料及备品备件、易损件、专用工具等交付给甲方；乙方不能完整交付货物、附（辅）件和资料的，视为未按合同约定交货，乙方负责补齐，因此导致逾期交付的，由乙方承担相应的违约责任。 </w:t>
      </w:r>
    </w:p>
    <w:p w14:paraId="4E81E229">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本项目所涉产品的知识产权及所有权等合法权益的，乙方在交货时应保证完整无瑕疵，甲方验收合格后产品的知识产权及所有权等合法权益全部归属甲方，如果甲方收货后发生知识产权或所有权等相关争议，由乙方承担责任的，则按照本项目政府采购合同中违约责任的相关规定执行。</w:t>
      </w:r>
    </w:p>
    <w:p w14:paraId="3F8D3862">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.9验收方法：单位内部验收。</w:t>
      </w:r>
    </w:p>
    <w:p w14:paraId="1FB55BD5">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.10验收标准：根据财政部发布的《关于进一步加强政府采购需求和履约验收管理的指导意见》（财库[2016]205号）的要求，按照本项目招标文件、</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的投标文件、本项目政府采购合同约定进行验收。</w:t>
      </w:r>
    </w:p>
    <w:p w14:paraId="664863EE">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.11 货物毁损、灭失的风险，自验收合格后由供应商转为甲方承担。</w:t>
      </w:r>
    </w:p>
    <w:p w14:paraId="66717ACA">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rPr>
        <w:t>五、履约保证金</w:t>
      </w:r>
    </w:p>
    <w:p w14:paraId="69161DB1">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1.履约保证金：</w:t>
      </w:r>
      <w:r>
        <w:rPr>
          <w:rFonts w:hint="eastAsia" w:ascii="宋体" w:hAnsi="宋体" w:eastAsia="宋体" w:cs="宋体"/>
          <w:b w:val="0"/>
          <w:bCs w:val="0"/>
          <w:color w:val="auto"/>
          <w:sz w:val="24"/>
          <w:szCs w:val="24"/>
          <w:highlight w:val="none"/>
          <w:lang w:val="zh-TW"/>
        </w:rPr>
        <w:t>履约保证金由甲方收取</w:t>
      </w:r>
      <w:r>
        <w:rPr>
          <w:rFonts w:hint="eastAsia" w:ascii="宋体" w:hAnsi="宋体" w:eastAsia="宋体" w:cs="宋体"/>
          <w:b w:val="0"/>
          <w:bCs w:val="0"/>
          <w:color w:val="auto"/>
          <w:sz w:val="24"/>
          <w:szCs w:val="24"/>
          <w:highlight w:val="none"/>
          <w:lang w:val="en-US" w:eastAsia="zh-CN"/>
        </w:rPr>
        <w:t>。中标通知书发放后，</w:t>
      </w:r>
      <w:r>
        <w:rPr>
          <w:rFonts w:hint="eastAsia" w:ascii="宋体" w:hAnsi="宋体" w:eastAsia="宋体" w:cs="宋体"/>
          <w:b w:val="0"/>
          <w:bCs w:val="0"/>
          <w:color w:val="auto"/>
          <w:sz w:val="24"/>
          <w:szCs w:val="24"/>
          <w:highlight w:val="none"/>
          <w:lang w:val="zh-TW"/>
        </w:rPr>
        <w:t>合同签订</w:t>
      </w:r>
      <w:r>
        <w:rPr>
          <w:rFonts w:hint="eastAsia" w:ascii="宋体" w:hAnsi="宋体" w:eastAsia="宋体" w:cs="宋体"/>
          <w:b w:val="0"/>
          <w:bCs w:val="0"/>
          <w:color w:val="auto"/>
          <w:sz w:val="24"/>
          <w:szCs w:val="24"/>
          <w:highlight w:val="none"/>
          <w:lang w:val="en-US" w:eastAsia="zh-CN"/>
        </w:rPr>
        <w:t>前</w:t>
      </w:r>
      <w:r>
        <w:rPr>
          <w:rFonts w:hint="eastAsia" w:ascii="宋体" w:hAnsi="宋体" w:eastAsia="宋体" w:cs="宋体"/>
          <w:b w:val="0"/>
          <w:bCs w:val="0"/>
          <w:color w:val="auto"/>
          <w:sz w:val="24"/>
          <w:szCs w:val="24"/>
          <w:highlight w:val="none"/>
          <w:lang w:val="zh-TW"/>
        </w:rPr>
        <w:t>，</w:t>
      </w:r>
      <w:r>
        <w:rPr>
          <w:rFonts w:hint="eastAsia" w:ascii="宋体" w:hAnsi="宋体" w:eastAsia="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lang w:val="zh-TW"/>
        </w:rPr>
        <w:t>需要向</w:t>
      </w:r>
      <w:r>
        <w:rPr>
          <w:rFonts w:hint="eastAsia" w:ascii="宋体" w:hAnsi="宋体" w:eastAsia="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lang w:val="zh-TW"/>
        </w:rPr>
        <w:t>缴纳履约保证金</w:t>
      </w:r>
      <w:r>
        <w:rPr>
          <w:rFonts w:hint="eastAsia" w:ascii="宋体" w:hAnsi="宋体" w:eastAsia="宋体" w:cs="宋体"/>
          <w:color w:val="auto"/>
          <w:sz w:val="24"/>
          <w:szCs w:val="24"/>
          <w:highlight w:val="none"/>
        </w:rPr>
        <w:t>，缴纳金额为本项目合同金额的5%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即</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color w:val="auto"/>
          <w:sz w:val="24"/>
          <w:szCs w:val="24"/>
          <w:highlight w:val="none"/>
        </w:rPr>
        <w:t>。履约保证金作为违约金的一部分用于补偿</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因乙方不能履行及瑕疵履行合同义务而蒙受的损失。</w:t>
      </w:r>
    </w:p>
    <w:p w14:paraId="47C1DEC4">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2.交款方式：乙方可以自主选择以支票、汇票、本票或者金融机构、担保机构出具的保函等非现金形式提交（包括网银转账，电汇等方式），所有提交方式均以到账时间为准。</w:t>
      </w:r>
    </w:p>
    <w:p w14:paraId="5A40D991">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注：出具保函的主体应当是金融机构、保险机构、担保机构等依法成立且具有相关资质和偿付能力的机构，否则将取消乙方的中标资格，甲方将重新确定乙方，并依法追究法律责任。</w:t>
      </w:r>
    </w:p>
    <w:p w14:paraId="107E1563">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收款单位：遂宁市消防救援支队。</w:t>
      </w:r>
    </w:p>
    <w:p w14:paraId="5DCF8166">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 户 行：中国农业银行股份有限公司遂宁河东新区支行。</w:t>
      </w:r>
    </w:p>
    <w:p w14:paraId="6D575D68">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银行账号：22320201040002807。</w:t>
      </w:r>
    </w:p>
    <w:p w14:paraId="68873879">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采用金融机构出具的保函方式提交履约保证金的，保函必须符合以下规定：</w:t>
      </w:r>
    </w:p>
    <w:p w14:paraId="450C8E79">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a.保函应为银行出具的合法保函，且应为无条件保函，并载明验证方法；</w:t>
      </w:r>
    </w:p>
    <w:p w14:paraId="04F77B1B">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b.保函的受益人为遂宁市消防救援支队；</w:t>
      </w:r>
    </w:p>
    <w:p w14:paraId="0D4CD030">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保函的内容包括但不限于供应商名称、项目名称（如有分包，载明分包号）、项目编号、履约金额、保函的有效期（考虑到交货、验收等不确定因素，采用保函形式提交履约保证金的，保函有效期应不短于提交之日起至全部货物到货验收合格之日起的第366天为止）、银行担保的内容（即：如因供应商原因发生法律法规或合同规定的履约保证金不予退还或扣除的情况，由银行向受益人足额支付履约保证金）；</w:t>
      </w:r>
    </w:p>
    <w:p w14:paraId="474A24B1">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3.履约保证金的退还：货物验收合格满一年后，采购人在收到中标供应商履约保证金退还申请书后14日内无息退还。</w:t>
      </w:r>
    </w:p>
    <w:p w14:paraId="6B457234">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退还方式：①以网银转账、电汇等方式提交的，履约保证金以网银转账、电汇等方式退至转款账户；②以保函方式提交的，退还保函原件。</w:t>
      </w:r>
    </w:p>
    <w:p w14:paraId="327D71CE">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无论履约保证金、独立保函是否退还，甲方随时都有权对由乙方提供的仍在质量保证期内的产品发生的质量问题向乙方主张索赔。</w:t>
      </w:r>
    </w:p>
    <w:p w14:paraId="0A96FBF8">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履约保证金不予退还的情形：①乙方未履行合同义务的，履约保证金不予退还，给甲方造成的损失超过履约保证金数额的，还应当对超过部分予以赔偿；②乙方瑕疵履行合同义务而需承担相应违约责任的，甲方有权直接从履约保证金中扣除相应违约金款项，对于违约金超过履约保证金数额的部分，</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应于</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日内予以补足。履约保证金不予退还的，将按照有关规定上缴国库。</w:t>
      </w:r>
    </w:p>
    <w:p w14:paraId="2AD0B908">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5.逾期退还履约保证金的违约责任：甲方无正当理由向</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逾期退还履约保证金的，每逾期1天，甲方向</w:t>
      </w:r>
      <w:r>
        <w:rPr>
          <w:rFonts w:hint="eastAsia" w:ascii="宋体" w:hAnsi="宋体" w:cs="宋体"/>
          <w:color w:val="auto"/>
          <w:sz w:val="24"/>
          <w:szCs w:val="24"/>
          <w:highlight w:val="none"/>
          <w:lang w:eastAsia="zh-CN"/>
        </w:rPr>
        <w:t>乙方</w:t>
      </w:r>
      <w:r>
        <w:rPr>
          <w:rFonts w:hint="eastAsia" w:ascii="宋体" w:hAnsi="宋体" w:eastAsia="宋体" w:cs="宋体"/>
          <w:color w:val="auto"/>
          <w:sz w:val="24"/>
          <w:szCs w:val="24"/>
          <w:highlight w:val="none"/>
        </w:rPr>
        <w:t>偿付履约保证金总额的0.1‰违约金，但累计违约金总额不超过履约保证金总额的1％。</w:t>
      </w:r>
    </w:p>
    <w:p w14:paraId="5A091EF0">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lang w:eastAsia="zh-CN"/>
        </w:rPr>
        <w:t>六</w:t>
      </w:r>
      <w:r>
        <w:rPr>
          <w:rFonts w:hint="eastAsia" w:ascii="宋体" w:hAnsi="宋体" w:eastAsia="宋体" w:cs="宋体"/>
          <w:b/>
          <w:bCs/>
          <w:color w:val="auto"/>
          <w:spacing w:val="-20"/>
          <w:kern w:val="0"/>
          <w:sz w:val="28"/>
          <w:szCs w:val="28"/>
          <w:highlight w:val="none"/>
        </w:rPr>
        <w:t>、付款方式</w:t>
      </w:r>
    </w:p>
    <w:p w14:paraId="67A5710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合同签订生效后，</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自收到</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出具的合法有效完整的完税发票及凭证资料之日起7个工作日内以转账方式预付其相应货款的</w:t>
      </w:r>
      <w:r>
        <w:rPr>
          <w:rFonts w:hint="eastAsia" w:ascii="宋体" w:hAnsi="宋体" w:eastAsia="宋体" w:cs="宋体"/>
          <w:b w:val="0"/>
          <w:bCs w:val="0"/>
          <w:color w:val="auto"/>
          <w:sz w:val="24"/>
          <w:szCs w:val="24"/>
          <w:highlight w:val="none"/>
          <w:lang w:val="en-US" w:eastAsia="zh-CN"/>
        </w:rPr>
        <w:t>30%</w:t>
      </w:r>
      <w:r>
        <w:rPr>
          <w:rFonts w:hint="eastAsia" w:ascii="宋体" w:hAnsi="宋体" w:eastAsia="宋体" w:cs="宋体"/>
          <w:color w:val="auto"/>
          <w:sz w:val="24"/>
          <w:szCs w:val="24"/>
          <w:highlight w:val="none"/>
          <w:lang w:eastAsia="zh-CN"/>
        </w:rPr>
        <w:t>，即</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b w:val="0"/>
          <w:bCs w:val="0"/>
          <w:color w:val="auto"/>
          <w:sz w:val="24"/>
          <w:szCs w:val="24"/>
          <w:highlight w:val="none"/>
          <w:lang w:val="zh-TW"/>
        </w:rPr>
        <w:t>到</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指定账户。</w:t>
      </w:r>
    </w:p>
    <w:p w14:paraId="75A6FD2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rPr>
        <w:t>全部货物验收合格后</w:t>
      </w:r>
      <w:r>
        <w:rPr>
          <w:rFonts w:hint="eastAsia" w:ascii="宋体" w:hAnsi="宋体" w:eastAsia="宋体" w:cs="宋体"/>
          <w:b w:val="0"/>
          <w:bCs w:val="0"/>
          <w:color w:val="auto"/>
          <w:sz w:val="24"/>
          <w:szCs w:val="24"/>
          <w:highlight w:val="none"/>
          <w:lang w:val="zh-TW" w:eastAsia="zh-CN"/>
        </w:rPr>
        <w:t>并</w:t>
      </w:r>
      <w:r>
        <w:rPr>
          <w:rFonts w:hint="eastAsia" w:ascii="宋体" w:hAnsi="宋体" w:eastAsia="宋体" w:cs="宋体"/>
          <w:b w:val="0"/>
          <w:bCs w:val="0"/>
          <w:color w:val="auto"/>
          <w:sz w:val="24"/>
          <w:highlight w:val="none"/>
          <w:lang w:val="zh-TW" w:eastAsia="zh-CN"/>
        </w:rPr>
        <w:t>经</w:t>
      </w:r>
      <w:r>
        <w:rPr>
          <w:rFonts w:hint="eastAsia" w:ascii="宋体" w:hAnsi="宋体" w:eastAsia="宋体" w:cs="宋体"/>
          <w:b w:val="0"/>
          <w:bCs w:val="0"/>
          <w:color w:val="auto"/>
          <w:sz w:val="24"/>
          <w:highlight w:val="none"/>
          <w:lang w:val="en-US" w:eastAsia="zh-CN"/>
        </w:rPr>
        <w:t>甲方</w:t>
      </w:r>
      <w:r>
        <w:rPr>
          <w:rFonts w:hint="eastAsia" w:ascii="宋体" w:hAnsi="宋体" w:eastAsia="宋体" w:cs="宋体"/>
          <w:b w:val="0"/>
          <w:bCs w:val="0"/>
          <w:color w:val="auto"/>
          <w:sz w:val="24"/>
          <w:highlight w:val="none"/>
          <w:lang w:val="zh-TW" w:eastAsia="zh-CN"/>
        </w:rPr>
        <w:t>结算审计后，</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自收到</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出具的合法有效完整的完税发票及凭证资料之日起10个工作日内以转账方式支付其相应剩余货款</w:t>
      </w:r>
      <w:r>
        <w:rPr>
          <w:rFonts w:hint="eastAsia" w:ascii="宋体" w:hAnsi="宋体" w:eastAsia="宋体" w:cs="宋体"/>
          <w:color w:val="auto"/>
          <w:sz w:val="24"/>
          <w:szCs w:val="24"/>
          <w:highlight w:val="none"/>
          <w:lang w:eastAsia="zh-CN"/>
        </w:rPr>
        <w:t>，即</w:t>
      </w:r>
      <w:r>
        <w:rPr>
          <w:rFonts w:hint="eastAsia" w:ascii="宋体" w:hAnsi="宋体" w:eastAsia="宋体" w:cs="宋体"/>
          <w:color w:val="auto"/>
          <w:sz w:val="24"/>
          <w:szCs w:val="24"/>
          <w:highlight w:val="none"/>
          <w:u w:val="single"/>
          <w:lang w:val="en-US" w:eastAsia="zh-CN"/>
        </w:rPr>
        <w:t xml:space="preserve">     元</w:t>
      </w:r>
      <w:r>
        <w:rPr>
          <w:rFonts w:hint="eastAsia" w:ascii="宋体" w:hAnsi="宋体" w:eastAsia="宋体" w:cs="宋体"/>
          <w:b w:val="0"/>
          <w:bCs w:val="0"/>
          <w:color w:val="auto"/>
          <w:sz w:val="24"/>
          <w:szCs w:val="24"/>
          <w:highlight w:val="none"/>
          <w:lang w:val="zh-TW"/>
        </w:rPr>
        <w:t>到</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指定账户。</w:t>
      </w:r>
    </w:p>
    <w:p w14:paraId="4472D2C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未按照前述规定按时发出书面申请、提供付款所需票据凭证资料的，</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付款期限相应顺延且不承担任何违约责任。</w:t>
      </w:r>
    </w:p>
    <w:p w14:paraId="6A02A62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TW"/>
        </w:rPr>
        <w:t>若因财政年终决算关账、财政资金收回或财政资金未下达等客观原因导致</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未按合同约定支付相应款项的，不视为违约，不承担任何违约责任。同时，</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不得以</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未支付资金为由拒绝或延迟履行合同义务。</w:t>
      </w:r>
    </w:p>
    <w:p w14:paraId="6C5F724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变更收款账户的，应当在变更后1个工作日内书面通知</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，因</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未及时通知导致的不利后果，由</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自行承担。在变更通知到达</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前，</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按原合同约定的账户信息进行价款支付的，视为已完成支付义务。</w:t>
      </w:r>
    </w:p>
    <w:p w14:paraId="614F9C55">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lang w:eastAsia="zh-CN"/>
        </w:rPr>
        <w:t>七</w:t>
      </w:r>
      <w:r>
        <w:rPr>
          <w:rFonts w:hint="eastAsia" w:ascii="宋体" w:hAnsi="宋体" w:eastAsia="宋体" w:cs="宋体"/>
          <w:b/>
          <w:bCs/>
          <w:color w:val="auto"/>
          <w:spacing w:val="-20"/>
          <w:kern w:val="0"/>
          <w:sz w:val="28"/>
          <w:szCs w:val="28"/>
          <w:highlight w:val="none"/>
        </w:rPr>
        <w:t>、售后服务</w:t>
      </w:r>
    </w:p>
    <w:p w14:paraId="0419B82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zh-TW"/>
        </w:rPr>
        <w:t>质量保证期为自货物验收合格之日起【</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rPr>
        <w:t>】年，若国家有明确规定的质量保证期、供应商承诺的质量保证期高于此质量保证期的，执行国家规定或供应商承诺的质量保证期（以最长的期限计算质量保证期）。</w:t>
      </w:r>
    </w:p>
    <w:p w14:paraId="38E051F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rPr>
        <w:t>乙方应对由于设计、工艺、质量（含环保节能要求）、材料等缺陷而发生的任何不足或故障负责，并解决存在的问题。</w:t>
      </w:r>
    </w:p>
    <w:p w14:paraId="3A979BA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zh-TW"/>
        </w:rPr>
        <w:t>乙方应对不符合本项目规定要求的货物在【2】日内进行调换，调换本身并不影响</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就其损失向乙方索赔的权利。</w:t>
      </w:r>
    </w:p>
    <w:p w14:paraId="694457E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zh-TW"/>
        </w:rPr>
        <w:t>货物验收合格后，乙方应继续向</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提供良好的技术支持，应当由专门队伍从事此项工作，并提供【7*24】小时的热线技术支持服务，应当在收到</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所反映的任何问题后【2】小时之内做出及时响应，同时【24】小时之内赶到现场实地解决问题，并在赶到现场后【5】小时内完成维修或更换，同时承担维修调换所引起的费用。</w:t>
      </w:r>
    </w:p>
    <w:p w14:paraId="4B38B4F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zh-TW"/>
        </w:rPr>
        <w:t xml:space="preserve"> 若问题、故障在检修5个小时后仍无法解决，乙方应在24小时内完成更换。</w:t>
      </w:r>
    </w:p>
    <w:p w14:paraId="28EA93C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en-US" w:eastAsia="zh-CN"/>
        </w:rPr>
        <w:t>6.因货物质量问题导致</w:t>
      </w:r>
      <w:r>
        <w:rPr>
          <w:rFonts w:hint="eastAsia" w:ascii="宋体" w:hAnsi="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lang w:val="en-US" w:eastAsia="zh-CN"/>
        </w:rPr>
        <w:t>或第三方人身或财产损害时，</w:t>
      </w:r>
      <w:r>
        <w:rPr>
          <w:rFonts w:hint="eastAsia" w:ascii="宋体" w:hAnsi="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lang w:val="en-US" w:eastAsia="zh-CN"/>
        </w:rPr>
        <w:t>应全额赔偿且承担由此产生的一切责任，</w:t>
      </w:r>
      <w:r>
        <w:rPr>
          <w:rFonts w:hint="eastAsia" w:ascii="宋体" w:hAnsi="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lang w:val="en-US" w:eastAsia="zh-CN"/>
        </w:rPr>
        <w:t>有权根据人身或财产损害的情形，就</w:t>
      </w:r>
      <w:r>
        <w:rPr>
          <w:rFonts w:hint="eastAsia" w:ascii="宋体" w:hAnsi="宋体" w:cs="宋体"/>
          <w:b w:val="0"/>
          <w:bCs w:val="0"/>
          <w:color w:val="auto"/>
          <w:sz w:val="24"/>
          <w:szCs w:val="24"/>
          <w:highlight w:val="none"/>
          <w:lang w:val="en-US" w:eastAsia="zh-CN"/>
        </w:rPr>
        <w:t>乙方</w:t>
      </w:r>
      <w:r>
        <w:rPr>
          <w:rFonts w:hint="eastAsia" w:ascii="宋体" w:hAnsi="宋体" w:eastAsia="宋体" w:cs="宋体"/>
          <w:b w:val="0"/>
          <w:bCs w:val="0"/>
          <w:color w:val="auto"/>
          <w:sz w:val="24"/>
          <w:szCs w:val="24"/>
          <w:highlight w:val="none"/>
          <w:lang w:val="en-US" w:eastAsia="zh-CN"/>
        </w:rPr>
        <w:t>未提供质量合格货物的违法/犯罪行为向有管辖权的行政机关/司法机关进行移送</w:t>
      </w:r>
      <w:r>
        <w:rPr>
          <w:rFonts w:hint="eastAsia" w:ascii="宋体" w:hAnsi="宋体" w:eastAsia="宋体" w:cs="宋体"/>
          <w:b w:val="0"/>
          <w:bCs w:val="0"/>
          <w:color w:val="auto"/>
          <w:sz w:val="24"/>
          <w:szCs w:val="24"/>
          <w:highlight w:val="none"/>
          <w:lang w:val="zh-TW"/>
        </w:rPr>
        <w:t>。</w:t>
      </w:r>
    </w:p>
    <w:p w14:paraId="2519B053">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rPr>
      </w:pPr>
      <w:r>
        <w:rPr>
          <w:rFonts w:hint="eastAsia" w:ascii="宋体" w:hAnsi="宋体" w:eastAsia="宋体" w:cs="宋体"/>
          <w:b/>
          <w:bCs/>
          <w:color w:val="auto"/>
          <w:spacing w:val="-20"/>
          <w:kern w:val="0"/>
          <w:sz w:val="28"/>
          <w:szCs w:val="28"/>
          <w:highlight w:val="none"/>
          <w:lang w:eastAsia="zh-CN"/>
        </w:rPr>
        <w:t>八</w:t>
      </w:r>
      <w:r>
        <w:rPr>
          <w:rFonts w:hint="eastAsia" w:ascii="宋体" w:hAnsi="宋体" w:eastAsia="宋体" w:cs="宋体"/>
          <w:b/>
          <w:bCs/>
          <w:color w:val="auto"/>
          <w:spacing w:val="-20"/>
          <w:kern w:val="0"/>
          <w:sz w:val="28"/>
          <w:szCs w:val="28"/>
          <w:highlight w:val="none"/>
        </w:rPr>
        <w:t>、违约责任</w:t>
      </w:r>
    </w:p>
    <w:p w14:paraId="4E388A80">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02" w:firstLineChars="200"/>
        <w:jc w:val="left"/>
        <w:textAlignment w:val="auto"/>
        <w:rPr>
          <w:rFonts w:hint="eastAsia" w:ascii="宋体" w:hAnsi="宋体" w:eastAsia="宋体" w:cs="宋体"/>
          <w:b/>
          <w:bCs/>
          <w:color w:val="auto"/>
          <w:spacing w:val="-20"/>
          <w:kern w:val="0"/>
          <w:sz w:val="24"/>
          <w:szCs w:val="24"/>
          <w:highlight w:val="none"/>
        </w:rPr>
      </w:pPr>
      <w:r>
        <w:rPr>
          <w:rFonts w:hint="eastAsia" w:ascii="宋体" w:hAnsi="宋体" w:eastAsia="宋体" w:cs="宋体"/>
          <w:b/>
          <w:bCs/>
          <w:color w:val="auto"/>
          <w:spacing w:val="-20"/>
          <w:kern w:val="0"/>
          <w:sz w:val="24"/>
          <w:szCs w:val="24"/>
          <w:highlight w:val="none"/>
        </w:rPr>
        <w:t>1、</w:t>
      </w:r>
      <w:r>
        <w:rPr>
          <w:rFonts w:hint="eastAsia" w:ascii="宋体" w:hAnsi="宋体" w:eastAsia="宋体" w:cs="宋体"/>
          <w:b/>
          <w:bCs/>
          <w:color w:val="auto"/>
          <w:spacing w:val="-20"/>
          <w:kern w:val="0"/>
          <w:sz w:val="24"/>
          <w:szCs w:val="24"/>
          <w:highlight w:val="none"/>
          <w:lang w:eastAsia="zh-CN"/>
        </w:rPr>
        <w:t>甲方</w:t>
      </w:r>
      <w:r>
        <w:rPr>
          <w:rFonts w:hint="eastAsia" w:ascii="宋体" w:hAnsi="宋体" w:eastAsia="宋体" w:cs="宋体"/>
          <w:b/>
          <w:bCs/>
          <w:color w:val="auto"/>
          <w:spacing w:val="-20"/>
          <w:kern w:val="0"/>
          <w:sz w:val="24"/>
          <w:szCs w:val="24"/>
          <w:highlight w:val="none"/>
        </w:rPr>
        <w:t>违约责任</w:t>
      </w:r>
    </w:p>
    <w:p w14:paraId="34D79CE6">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（1）甲方无正当理由拒收货物、拒付货款的，甲方应向乙方偿付拒收或拒付其货款1％的违约金。</w:t>
      </w:r>
    </w:p>
    <w:p w14:paraId="0B1A7A82">
      <w:pPr>
        <w:keepNext w:val="0"/>
        <w:keepLines w:val="0"/>
        <w:pageBreakBefore w:val="0"/>
        <w:widowControl w:val="0"/>
        <w:shd w:val="clear"/>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（2）甲方无正当理由未按合同规定的期限向乙方支付货款的，每逾期1日，甲方向乙方偿付其应付而未付款总额0.1‰的违约金，但累计违约金总额不超过应付而未付款总额的1％。</w:t>
      </w:r>
      <w:r>
        <w:rPr>
          <w:rFonts w:hint="eastAsia" w:ascii="宋体" w:hAnsi="宋体" w:eastAsia="宋体" w:cs="宋体"/>
          <w:b w:val="0"/>
          <w:bCs w:val="0"/>
          <w:color w:val="auto"/>
          <w:sz w:val="24"/>
          <w:szCs w:val="24"/>
          <w:highlight w:val="none"/>
          <w:lang w:val="zh-TW"/>
        </w:rPr>
        <w:t>若因财政年终决算关账、财政资金收回或财政资金未下达等客观原因导致</w:t>
      </w:r>
      <w:r>
        <w:rPr>
          <w:rFonts w:hint="eastAsia" w:ascii="宋体" w:hAnsi="宋体" w:eastAsia="宋体" w:cs="宋体"/>
          <w:b w:val="0"/>
          <w:bCs w:val="0"/>
          <w:color w:val="auto"/>
          <w:sz w:val="24"/>
          <w:szCs w:val="24"/>
          <w:highlight w:val="none"/>
          <w:lang w:val="zh-TW" w:eastAsia="zh-CN"/>
        </w:rPr>
        <w:t>采购人</w:t>
      </w:r>
      <w:r>
        <w:rPr>
          <w:rFonts w:hint="eastAsia" w:ascii="宋体" w:hAnsi="宋体" w:eastAsia="宋体" w:cs="宋体"/>
          <w:b w:val="0"/>
          <w:bCs w:val="0"/>
          <w:color w:val="auto"/>
          <w:sz w:val="24"/>
          <w:szCs w:val="24"/>
          <w:highlight w:val="none"/>
          <w:lang w:val="zh-TW"/>
        </w:rPr>
        <w:t>未按合同约定支付相应款项的，不视为违约，不承担任何违约责任。</w:t>
      </w:r>
    </w:p>
    <w:p w14:paraId="4AD75646">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8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bidi="ar-SA"/>
        </w:rPr>
        <w:t>（3）甲方偿付的违约金不足以弥补</w:t>
      </w:r>
      <w:r>
        <w:rPr>
          <w:rFonts w:hint="eastAsia" w:ascii="宋体" w:hAnsi="宋体" w:cs="宋体"/>
          <w:color w:val="auto"/>
          <w:sz w:val="24"/>
          <w:szCs w:val="24"/>
          <w:highlight w:val="none"/>
          <w:lang w:val="en-US" w:eastAsia="zh-CN" w:bidi="ar-SA"/>
        </w:rPr>
        <w:t>乙方</w:t>
      </w:r>
      <w:r>
        <w:rPr>
          <w:rFonts w:hint="eastAsia" w:ascii="宋体" w:hAnsi="宋体" w:eastAsia="宋体" w:cs="宋体"/>
          <w:color w:val="auto"/>
          <w:sz w:val="24"/>
          <w:szCs w:val="24"/>
          <w:highlight w:val="none"/>
          <w:lang w:val="en-US" w:eastAsia="zh-CN" w:bidi="ar-SA"/>
        </w:rPr>
        <w:t>损失的，还应按</w:t>
      </w:r>
      <w:r>
        <w:rPr>
          <w:rFonts w:hint="eastAsia" w:ascii="宋体" w:hAnsi="宋体" w:cs="宋体"/>
          <w:color w:val="auto"/>
          <w:sz w:val="24"/>
          <w:szCs w:val="24"/>
          <w:highlight w:val="none"/>
          <w:lang w:val="en-US" w:eastAsia="zh-CN" w:bidi="ar-SA"/>
        </w:rPr>
        <w:t>乙方</w:t>
      </w:r>
      <w:r>
        <w:rPr>
          <w:rFonts w:hint="eastAsia" w:ascii="宋体" w:hAnsi="宋体" w:eastAsia="宋体" w:cs="宋体"/>
          <w:color w:val="auto"/>
          <w:sz w:val="24"/>
          <w:szCs w:val="24"/>
          <w:highlight w:val="none"/>
          <w:lang w:val="en-US" w:eastAsia="zh-CN" w:bidi="ar-SA"/>
        </w:rPr>
        <w:t>损失尚未弥补的部分，支付赔偿金给</w:t>
      </w:r>
      <w:r>
        <w:rPr>
          <w:rFonts w:hint="eastAsia" w:ascii="宋体" w:hAnsi="宋体" w:cs="宋体"/>
          <w:color w:val="auto"/>
          <w:sz w:val="24"/>
          <w:szCs w:val="24"/>
          <w:highlight w:val="none"/>
          <w:lang w:val="en-US" w:eastAsia="zh-CN" w:bidi="ar-SA"/>
        </w:rPr>
        <w:t>乙方</w:t>
      </w:r>
      <w:r>
        <w:rPr>
          <w:rFonts w:hint="eastAsia" w:ascii="宋体" w:hAnsi="宋体" w:eastAsia="宋体" w:cs="宋体"/>
          <w:color w:val="auto"/>
          <w:sz w:val="24"/>
          <w:szCs w:val="24"/>
          <w:highlight w:val="none"/>
          <w:lang w:val="en-US" w:eastAsia="zh-CN" w:bidi="ar-SA"/>
        </w:rPr>
        <w:t>。</w:t>
      </w:r>
    </w:p>
    <w:p w14:paraId="0A626368">
      <w:pPr>
        <w:keepNext w:val="0"/>
        <w:keepLines w:val="0"/>
        <w:pageBreakBefore w:val="0"/>
        <w:widowControl w:val="0"/>
        <w:shd w:val="clear" w:color="auto" w:fill="auto"/>
        <w:kinsoku/>
        <w:wordWrap/>
        <w:overflowPunct/>
        <w:topLinePunct w:val="0"/>
        <w:autoSpaceDE/>
        <w:autoSpaceDN/>
        <w:bidi w:val="0"/>
        <w:adjustRightInd/>
        <w:snapToGrid/>
        <w:spacing w:after="0" w:line="500" w:lineRule="exact"/>
        <w:ind w:firstLine="402" w:firstLineChars="200"/>
        <w:jc w:val="left"/>
        <w:textAlignment w:val="auto"/>
        <w:rPr>
          <w:rFonts w:hint="eastAsia" w:ascii="宋体" w:hAnsi="宋体" w:eastAsia="宋体" w:cs="宋体"/>
          <w:b/>
          <w:bCs/>
          <w:color w:val="auto"/>
          <w:spacing w:val="-20"/>
          <w:kern w:val="0"/>
          <w:sz w:val="24"/>
          <w:szCs w:val="24"/>
          <w:highlight w:val="none"/>
        </w:rPr>
      </w:pPr>
      <w:r>
        <w:rPr>
          <w:rFonts w:hint="eastAsia" w:ascii="宋体" w:hAnsi="宋体" w:eastAsia="宋体" w:cs="宋体"/>
          <w:b/>
          <w:bCs/>
          <w:color w:val="auto"/>
          <w:spacing w:val="-20"/>
          <w:kern w:val="0"/>
          <w:sz w:val="24"/>
          <w:szCs w:val="24"/>
          <w:highlight w:val="none"/>
        </w:rPr>
        <w:t>2、乙方违约责任</w:t>
      </w:r>
    </w:p>
    <w:p w14:paraId="491B8FB5">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乙方无正当理由逾期交付货物的，每逾期1日，乙方向甲方偿付逾期交货部分货款总金额的3%的违约金。如乙方逾期交货达10日，甲方有权解除合同，甲方解除合同的通知自到达乙方时生效。在此情况下，乙方给甲方造成的实际损失高于违约金的，对高出违约金的部分乙方应予以赔偿。</w:t>
      </w:r>
    </w:p>
    <w:p w14:paraId="6AC2FB0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yellow"/>
          <w:lang w:val="zh-TW"/>
        </w:rPr>
      </w:pPr>
      <w:r>
        <w:rPr>
          <w:rFonts w:hint="eastAsia" w:ascii="宋体" w:hAnsi="宋体" w:eastAsia="宋体" w:cs="宋体"/>
          <w:b w:val="0"/>
          <w:bCs w:val="0"/>
          <w:color w:val="auto"/>
          <w:sz w:val="24"/>
          <w:szCs w:val="24"/>
          <w:highlight w:val="none"/>
          <w:lang w:val="zh-TW" w:eastAsia="zh-CN"/>
        </w:rPr>
        <w:t>（2）</w:t>
      </w:r>
      <w:r>
        <w:rPr>
          <w:rFonts w:hint="eastAsia" w:ascii="宋体" w:hAnsi="宋体" w:eastAsia="宋体" w:cs="宋体"/>
          <w:b w:val="0"/>
          <w:bCs w:val="0"/>
          <w:color w:val="auto"/>
          <w:sz w:val="24"/>
          <w:szCs w:val="24"/>
          <w:highlight w:val="none"/>
          <w:lang w:val="en-US" w:eastAsia="zh-CN"/>
        </w:rPr>
        <w:t>除另有约定外，乙方</w:t>
      </w:r>
      <w:r>
        <w:rPr>
          <w:rFonts w:hint="eastAsia" w:ascii="宋体" w:hAnsi="宋体" w:eastAsia="宋体" w:cs="宋体"/>
          <w:b w:val="0"/>
          <w:bCs w:val="0"/>
          <w:color w:val="auto"/>
          <w:sz w:val="24"/>
          <w:szCs w:val="24"/>
          <w:highlight w:val="none"/>
          <w:lang w:val="zh-TW"/>
        </w:rPr>
        <w:t>所交付的货物不符合本合同规定的</w:t>
      </w:r>
      <w:r>
        <w:rPr>
          <w:rFonts w:hint="eastAsia" w:ascii="宋体" w:hAnsi="宋体" w:eastAsia="宋体" w:cs="宋体"/>
          <w:b w:val="0"/>
          <w:bCs w:val="0"/>
          <w:color w:val="auto"/>
          <w:sz w:val="24"/>
          <w:szCs w:val="24"/>
          <w:highlight w:val="none"/>
          <w:lang w:val="zh-TW" w:eastAsia="zh-CN"/>
        </w:rPr>
        <w:t>且拒不配合更换，则甲方有权拒收并向乙方收取合同总金额10％的违约金或与乙方解除合同，</w:t>
      </w:r>
      <w:r>
        <w:rPr>
          <w:rFonts w:hint="eastAsia" w:ascii="宋体" w:hAnsi="宋体" w:eastAsia="宋体" w:cs="宋体"/>
          <w:b w:val="0"/>
          <w:bCs w:val="0"/>
          <w:color w:val="auto"/>
          <w:sz w:val="24"/>
          <w:szCs w:val="24"/>
          <w:highlight w:val="none"/>
          <w:lang w:val="en-US" w:eastAsia="zh-CN"/>
        </w:rPr>
        <w:t>且</w:t>
      </w:r>
      <w:r>
        <w:rPr>
          <w:rFonts w:hint="eastAsia" w:ascii="宋体" w:hAnsi="宋体" w:eastAsia="宋体" w:cs="宋体"/>
          <w:b w:val="0"/>
          <w:bCs w:val="0"/>
          <w:color w:val="auto"/>
          <w:sz w:val="24"/>
          <w:szCs w:val="24"/>
          <w:highlight w:val="none"/>
          <w:lang w:val="zh-TW" w:eastAsia="zh-CN"/>
        </w:rPr>
        <w:t>乙方应向甲方退还相应款项及利息，同时甲方有权向市场监督管理等行政部门反映，由相关行政部门对其违法行为进行查处。</w:t>
      </w:r>
    </w:p>
    <w:p w14:paraId="27FC2E9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同时</w:t>
      </w:r>
      <w:r>
        <w:rPr>
          <w:rFonts w:hint="eastAsia" w:ascii="宋体" w:hAnsi="宋体" w:eastAsia="宋体" w:cs="宋体"/>
          <w:b w:val="0"/>
          <w:bCs w:val="0"/>
          <w:color w:val="auto"/>
          <w:sz w:val="24"/>
          <w:szCs w:val="24"/>
          <w:highlight w:val="none"/>
          <w:lang w:val="zh-TW" w:eastAsia="zh-CN"/>
        </w:rPr>
        <w:t>，</w:t>
      </w:r>
      <w:r>
        <w:rPr>
          <w:rFonts w:hint="eastAsia" w:ascii="宋体" w:hAnsi="宋体" w:eastAsia="宋体" w:cs="宋体"/>
          <w:b w:val="0"/>
          <w:bCs w:val="0"/>
          <w:color w:val="auto"/>
          <w:sz w:val="24"/>
          <w:szCs w:val="24"/>
          <w:highlight w:val="none"/>
          <w:lang w:val="en-US" w:eastAsia="zh-CN"/>
        </w:rPr>
        <w:t>甲方有权选择</w:t>
      </w:r>
      <w:r>
        <w:rPr>
          <w:rFonts w:hint="eastAsia" w:ascii="宋体" w:hAnsi="宋体" w:eastAsia="宋体" w:cs="宋体"/>
          <w:b w:val="0"/>
          <w:bCs w:val="0"/>
          <w:color w:val="auto"/>
          <w:sz w:val="24"/>
          <w:szCs w:val="24"/>
          <w:highlight w:val="none"/>
          <w:lang w:val="zh-TW"/>
        </w:rPr>
        <w:t>以下任一方式</w:t>
      </w:r>
      <w:r>
        <w:rPr>
          <w:rFonts w:hint="eastAsia" w:ascii="宋体" w:hAnsi="宋体" w:eastAsia="宋体" w:cs="宋体"/>
          <w:b w:val="0"/>
          <w:bCs w:val="0"/>
          <w:color w:val="auto"/>
          <w:sz w:val="24"/>
          <w:szCs w:val="24"/>
          <w:highlight w:val="none"/>
          <w:lang w:val="en-US" w:eastAsia="zh-CN"/>
        </w:rPr>
        <w:t>继续</w:t>
      </w:r>
      <w:r>
        <w:rPr>
          <w:rFonts w:hint="eastAsia" w:ascii="宋体" w:hAnsi="宋体" w:eastAsia="宋体" w:cs="宋体"/>
          <w:b w:val="0"/>
          <w:bCs w:val="0"/>
          <w:color w:val="auto"/>
          <w:sz w:val="24"/>
          <w:szCs w:val="24"/>
          <w:highlight w:val="none"/>
          <w:lang w:val="zh-TW"/>
        </w:rPr>
        <w:t>处理：</w:t>
      </w:r>
    </w:p>
    <w:p w14:paraId="056738B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 xml:space="preserve">① </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应</w:t>
      </w:r>
      <w:r>
        <w:rPr>
          <w:rFonts w:hint="eastAsia" w:ascii="宋体" w:hAnsi="宋体" w:eastAsia="宋体" w:cs="宋体"/>
          <w:b w:val="0"/>
          <w:bCs w:val="0"/>
          <w:color w:val="auto"/>
          <w:sz w:val="24"/>
          <w:szCs w:val="24"/>
          <w:highlight w:val="none"/>
          <w:lang w:val="en-US" w:eastAsia="zh-CN"/>
        </w:rPr>
        <w:t>在甲方要求的期限内</w:t>
      </w:r>
      <w:r>
        <w:rPr>
          <w:rFonts w:hint="eastAsia" w:ascii="宋体" w:hAnsi="宋体" w:eastAsia="宋体" w:cs="宋体"/>
          <w:b w:val="0"/>
          <w:bCs w:val="0"/>
          <w:color w:val="auto"/>
          <w:sz w:val="24"/>
          <w:szCs w:val="24"/>
          <w:highlight w:val="none"/>
          <w:lang w:val="zh-TW"/>
        </w:rPr>
        <w:t>重新完成货物交付，若未在前述期限内完成交付，则</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有权向供应商另行收取对应货物金额</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zh-TW"/>
        </w:rPr>
        <w:t>%的违约金并解除合同。</w:t>
      </w:r>
    </w:p>
    <w:p w14:paraId="7B7D5D7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② 直接解除合同。</w:t>
      </w:r>
    </w:p>
    <w:p w14:paraId="255AEE0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val="0"/>
          <w:color w:val="auto"/>
          <w:sz w:val="24"/>
          <w:szCs w:val="24"/>
          <w:highlight w:val="none"/>
          <w:lang w:val="zh-TW"/>
        </w:rPr>
      </w:pPr>
      <w:r>
        <w:rPr>
          <w:rFonts w:hint="eastAsia" w:ascii="宋体" w:hAnsi="宋体" w:eastAsia="宋体" w:cs="宋体"/>
          <w:b w:val="0"/>
          <w:bCs w:val="0"/>
          <w:color w:val="auto"/>
          <w:sz w:val="24"/>
          <w:szCs w:val="24"/>
          <w:highlight w:val="none"/>
          <w:lang w:val="zh-TW"/>
        </w:rPr>
        <w:t>（3）</w:t>
      </w:r>
      <w:r>
        <w:rPr>
          <w:rFonts w:hint="eastAsia" w:ascii="宋体" w:hAnsi="宋体" w:eastAsia="宋体" w:cs="宋体"/>
          <w:b w:val="0"/>
          <w:bCs w:val="0"/>
          <w:color w:val="auto"/>
          <w:sz w:val="24"/>
          <w:szCs w:val="24"/>
          <w:highlight w:val="none"/>
          <w:lang w:val="en-US" w:eastAsia="zh-CN"/>
        </w:rPr>
        <w:t>除另有约定外，</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未按照《投标文件》承诺和本合同约定提供服务的，每出现一次违约，</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应按合同总金额的1%向</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支付违约金，并按照</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要求限期整改。未按</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要求整改</w:t>
      </w:r>
      <w:r>
        <w:rPr>
          <w:rFonts w:hint="eastAsia" w:ascii="宋体" w:hAnsi="宋体" w:eastAsia="宋体" w:cs="宋体"/>
          <w:b w:val="0"/>
          <w:bCs w:val="0"/>
          <w:color w:val="auto"/>
          <w:sz w:val="24"/>
          <w:szCs w:val="24"/>
          <w:highlight w:val="none"/>
          <w:lang w:val="en-US" w:eastAsia="zh-CN"/>
        </w:rPr>
        <w:t>或</w:t>
      </w:r>
      <w:r>
        <w:rPr>
          <w:rFonts w:hint="eastAsia" w:ascii="宋体" w:hAnsi="宋体" w:eastAsia="宋体" w:cs="宋体"/>
          <w:b w:val="0"/>
          <w:bCs w:val="0"/>
          <w:color w:val="auto"/>
          <w:sz w:val="24"/>
          <w:szCs w:val="24"/>
          <w:highlight w:val="none"/>
          <w:lang w:val="zh-TW"/>
        </w:rPr>
        <w:t>出现2次及以上违约的，</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有权直接解除合同，解除通知自到达</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时生效，</w:t>
      </w:r>
      <w:r>
        <w:rPr>
          <w:rFonts w:hint="eastAsia" w:ascii="宋体" w:hAnsi="宋体" w:eastAsia="宋体" w:cs="宋体"/>
          <w:b w:val="0"/>
          <w:bCs w:val="0"/>
          <w:color w:val="auto"/>
          <w:sz w:val="24"/>
          <w:szCs w:val="24"/>
          <w:highlight w:val="none"/>
          <w:lang w:val="zh-TW" w:eastAsia="zh-CN"/>
        </w:rPr>
        <w:t>乙方</w:t>
      </w:r>
      <w:r>
        <w:rPr>
          <w:rFonts w:hint="eastAsia" w:ascii="宋体" w:hAnsi="宋体" w:eastAsia="宋体" w:cs="宋体"/>
          <w:b w:val="0"/>
          <w:bCs w:val="0"/>
          <w:color w:val="auto"/>
          <w:sz w:val="24"/>
          <w:szCs w:val="24"/>
          <w:highlight w:val="none"/>
          <w:lang w:val="zh-TW"/>
        </w:rPr>
        <w:t>还应另按合同总金额的10%向</w:t>
      </w:r>
      <w:r>
        <w:rPr>
          <w:rFonts w:hint="eastAsia" w:ascii="宋体" w:hAnsi="宋体" w:eastAsia="宋体" w:cs="宋体"/>
          <w:b w:val="0"/>
          <w:bCs w:val="0"/>
          <w:color w:val="auto"/>
          <w:sz w:val="24"/>
          <w:szCs w:val="24"/>
          <w:highlight w:val="none"/>
          <w:lang w:val="zh-TW" w:eastAsia="zh-CN"/>
        </w:rPr>
        <w:t>甲方</w:t>
      </w:r>
      <w:r>
        <w:rPr>
          <w:rFonts w:hint="eastAsia" w:ascii="宋体" w:hAnsi="宋体" w:eastAsia="宋体" w:cs="宋体"/>
          <w:b w:val="0"/>
          <w:bCs w:val="0"/>
          <w:color w:val="auto"/>
          <w:sz w:val="24"/>
          <w:szCs w:val="24"/>
          <w:highlight w:val="none"/>
          <w:lang w:val="zh-TW"/>
        </w:rPr>
        <w:t>支付违约金。</w:t>
      </w:r>
    </w:p>
    <w:p w14:paraId="65A8EDF7">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4）乙方保证本合同货物的权利无瑕疵，包括货物所有权及知识产权等权利无瑕疵。如任何第三方经法院（或仲裁机构）裁决有权对上述产品主张权利，由乙方承担经济责任的，甲方有权无条件解除合同并有权根据合同履行情况要求乙方退还已收取的相应费用及利息，同时乙方还应另按合同总</w:t>
      </w:r>
      <w:r>
        <w:rPr>
          <w:rFonts w:hint="eastAsia" w:ascii="宋体" w:hAnsi="宋体" w:eastAsia="宋体" w:cs="宋体"/>
          <w:color w:val="auto"/>
          <w:highlight w:val="none"/>
          <w:lang w:val="en-US" w:eastAsia="zh-CN"/>
        </w:rPr>
        <w:t>金额</w:t>
      </w:r>
      <w:r>
        <w:rPr>
          <w:rFonts w:hint="eastAsia" w:ascii="宋体" w:hAnsi="宋体" w:eastAsia="宋体" w:cs="宋体"/>
          <w:color w:val="auto"/>
          <w:highlight w:val="none"/>
          <w:lang w:eastAsia="zh-CN"/>
        </w:rPr>
        <w:t>的20%向甲方支付违约金并赔偿因此给甲方造成的一切损失。</w:t>
      </w:r>
    </w:p>
    <w:p w14:paraId="702588EB">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（5）未经双方协商一致，乙方不得单方面变更、中止、解除或终止本合同，否则，乙方应承担合同总金额10%的违约金，并赔偿由此给甲方造成的全部损失。 </w:t>
      </w:r>
    </w:p>
    <w:p w14:paraId="0D7BD360">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（6）乙方未经甲方书面同意，不得擅自分包、转包，否则甲方有权立即终止合同，并要求乙方停止分包、转包行为，同时有权要求乙方承担合同总金额10%的违约金。</w:t>
      </w:r>
    </w:p>
    <w:p w14:paraId="01D224EC">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（7）合同签订后，若乙方存在违法违规行为的，甲方有权无条件解除本合同并根据合同履行情况要求乙方退还相应费用及利息。</w:t>
      </w:r>
    </w:p>
    <w:p w14:paraId="720A8D21">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（8）乙方违反本合同约定的，应当按照本合同约定支付违约金，并赔偿由此给甲方造成的全部损失，包括甲方因诉讼产生的律师费、诉讼费用、保全保险费、差旅费等费用。</w:t>
      </w:r>
    </w:p>
    <w:p w14:paraId="78E506EC">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（9）如因乙方工作人员在履行职务过程中的疏忽、失职、过错等故意或者过失原因给</w:t>
      </w:r>
      <w:r>
        <w:rPr>
          <w:rFonts w:hint="eastAsia" w:hAnsi="宋体" w:cs="宋体"/>
          <w:color w:val="auto"/>
          <w:highlight w:val="none"/>
          <w:lang w:eastAsia="zh-CN"/>
        </w:rPr>
        <w:t>甲方</w:t>
      </w:r>
      <w:r>
        <w:rPr>
          <w:rFonts w:hint="eastAsia" w:ascii="宋体" w:hAnsi="宋体" w:eastAsia="宋体" w:cs="宋体"/>
          <w:color w:val="auto"/>
          <w:highlight w:val="none"/>
          <w:lang w:eastAsia="zh-CN"/>
        </w:rPr>
        <w:t>造成损失或侵害，包括但不限于</w:t>
      </w:r>
      <w:r>
        <w:rPr>
          <w:rFonts w:hint="eastAsia" w:hAnsi="宋体" w:cs="宋体"/>
          <w:color w:val="auto"/>
          <w:highlight w:val="none"/>
          <w:lang w:eastAsia="zh-CN"/>
        </w:rPr>
        <w:t>甲方</w:t>
      </w:r>
      <w:r>
        <w:rPr>
          <w:rFonts w:hint="eastAsia" w:ascii="宋体" w:hAnsi="宋体" w:eastAsia="宋体" w:cs="宋体"/>
          <w:color w:val="auto"/>
          <w:highlight w:val="none"/>
          <w:lang w:eastAsia="zh-CN"/>
        </w:rPr>
        <w:t>本身的财产损失、由此而导致的</w:t>
      </w:r>
      <w:r>
        <w:rPr>
          <w:rFonts w:hint="eastAsia" w:hAnsi="宋体" w:cs="宋体"/>
          <w:color w:val="auto"/>
          <w:highlight w:val="none"/>
          <w:lang w:eastAsia="zh-CN"/>
        </w:rPr>
        <w:t>甲方</w:t>
      </w:r>
      <w:r>
        <w:rPr>
          <w:rFonts w:hint="eastAsia" w:ascii="宋体" w:hAnsi="宋体" w:eastAsia="宋体" w:cs="宋体"/>
          <w:color w:val="auto"/>
          <w:highlight w:val="none"/>
          <w:lang w:eastAsia="zh-CN"/>
        </w:rPr>
        <w:t>对任何第三方的法律责任等，要</w:t>
      </w:r>
      <w:r>
        <w:rPr>
          <w:rFonts w:hint="eastAsia" w:hAnsi="宋体" w:cs="宋体"/>
          <w:color w:val="auto"/>
          <w:highlight w:val="none"/>
          <w:lang w:val="en-US" w:eastAsia="zh-CN"/>
        </w:rPr>
        <w:t>求乙方</w:t>
      </w:r>
      <w:r>
        <w:rPr>
          <w:rFonts w:hint="eastAsia" w:ascii="宋体" w:hAnsi="宋体" w:eastAsia="宋体" w:cs="宋体"/>
          <w:color w:val="auto"/>
          <w:highlight w:val="none"/>
          <w:lang w:eastAsia="zh-CN"/>
        </w:rPr>
        <w:t>对此均应承担全部的赔偿责任。</w:t>
      </w:r>
    </w:p>
    <w:p w14:paraId="574203FF">
      <w:pPr>
        <w:pStyle w:val="23"/>
        <w:keepNext w:val="0"/>
        <w:keepLines w:val="0"/>
        <w:pageBreakBefore w:val="0"/>
        <w:shd w:val="clear" w:color="auto" w:fill="auto"/>
        <w:kinsoku/>
        <w:wordWrap/>
        <w:overflowPunct/>
        <w:topLinePunct w:val="0"/>
        <w:bidi w:val="0"/>
        <w:spacing w:line="500" w:lineRule="exact"/>
        <w:ind w:firstLine="48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（10）以上所称“利息”按照中国人民银行授权全国银行间同业拆借中心公布的同期贷款市场报价利率（LPR）为标准，从甲方支付之日起计算。</w:t>
      </w:r>
    </w:p>
    <w:p w14:paraId="1B964577">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lang w:eastAsia="zh-CN"/>
        </w:rPr>
      </w:pPr>
      <w:r>
        <w:rPr>
          <w:rFonts w:hint="eastAsia" w:ascii="宋体" w:hAnsi="宋体" w:eastAsia="宋体" w:cs="宋体"/>
          <w:b/>
          <w:bCs/>
          <w:color w:val="auto"/>
          <w:spacing w:val="-20"/>
          <w:kern w:val="0"/>
          <w:sz w:val="28"/>
          <w:szCs w:val="28"/>
          <w:highlight w:val="none"/>
          <w:lang w:eastAsia="zh-CN"/>
        </w:rPr>
        <w:t>九、不可抗力事件处理</w:t>
      </w:r>
    </w:p>
    <w:p w14:paraId="4BC4B2BA">
      <w:pPr>
        <w:keepNext w:val="0"/>
        <w:keepLines w:val="0"/>
        <w:pageBreakBefore w:val="0"/>
        <w:shd w:val="clear" w:color="auto" w:fill="auto"/>
        <w:kinsoku/>
        <w:wordWrap/>
        <w:overflowPunct/>
        <w:topLinePunct w:val="0"/>
        <w:autoSpaceDE w:val="0"/>
        <w:autoSpaceDN w:val="0"/>
        <w:bidi w:val="0"/>
        <w:snapToGrid w:val="0"/>
        <w:spacing w:line="50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 在合同有效期内，任何一方因不可抗力事件导致不能履行合同，则合同履行期可延长，其延长期与不可抗力影响期相同。</w:t>
      </w:r>
    </w:p>
    <w:p w14:paraId="5AF9DC14">
      <w:pPr>
        <w:keepNext w:val="0"/>
        <w:keepLines w:val="0"/>
        <w:pageBreakBefore w:val="0"/>
        <w:shd w:val="clear" w:color="auto" w:fill="auto"/>
        <w:kinsoku/>
        <w:wordWrap/>
        <w:overflowPunct/>
        <w:topLinePunct w:val="0"/>
        <w:autoSpaceDE w:val="0"/>
        <w:autoSpaceDN w:val="0"/>
        <w:bidi w:val="0"/>
        <w:snapToGrid w:val="0"/>
        <w:spacing w:line="50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2、不可抗力事件发生后，应立即通知对方，并寄送有关权威机构出具的证明。</w:t>
      </w:r>
    </w:p>
    <w:p w14:paraId="0DCEE9AB">
      <w:pPr>
        <w:keepNext w:val="0"/>
        <w:keepLines w:val="0"/>
        <w:pageBreakBefore w:val="0"/>
        <w:shd w:val="clear" w:color="auto" w:fill="auto"/>
        <w:kinsoku/>
        <w:wordWrap/>
        <w:overflowPunct/>
        <w:topLinePunct w:val="0"/>
        <w:autoSpaceDE w:val="0"/>
        <w:autoSpaceDN w:val="0"/>
        <w:bidi w:val="0"/>
        <w:snapToGrid w:val="0"/>
        <w:spacing w:line="50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 不可抗力事件延续120天以上，双方应通过友好协商，确定是否继续履行合同。</w:t>
      </w:r>
    </w:p>
    <w:p w14:paraId="72964C9C">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lang w:val="en-US" w:eastAsia="zh-CN"/>
        </w:rPr>
      </w:pPr>
      <w:bookmarkStart w:id="74" w:name="_Toc241833908"/>
      <w:bookmarkStart w:id="75" w:name="_Toc247334846"/>
      <w:bookmarkStart w:id="76" w:name="_Toc185395254"/>
      <w:bookmarkStart w:id="77" w:name="_Toc211911353"/>
      <w:bookmarkStart w:id="78" w:name="_Toc225244857"/>
      <w:bookmarkStart w:id="79" w:name="_Toc212019599"/>
      <w:bookmarkStart w:id="80" w:name="_Toc211854454"/>
      <w:bookmarkStart w:id="81" w:name="_Toc286993792"/>
      <w:bookmarkStart w:id="82" w:name="_Toc239233919"/>
      <w:bookmarkStart w:id="83" w:name="_Toc237145411"/>
      <w:bookmarkStart w:id="84" w:name="_Toc239568423"/>
      <w:bookmarkStart w:id="85" w:name="_Toc225654649"/>
      <w:bookmarkStart w:id="86" w:name="_Toc225670756"/>
      <w:bookmarkStart w:id="87" w:name="_Toc238984980"/>
      <w:bookmarkStart w:id="88" w:name="_Toc251768867"/>
      <w:bookmarkStart w:id="89" w:name="_Toc232492933"/>
      <w:r>
        <w:rPr>
          <w:rFonts w:hint="eastAsia" w:ascii="宋体" w:hAnsi="宋体" w:eastAsia="宋体" w:cs="宋体"/>
          <w:b/>
          <w:bCs/>
          <w:color w:val="auto"/>
          <w:spacing w:val="-20"/>
          <w:kern w:val="0"/>
          <w:sz w:val="28"/>
          <w:szCs w:val="28"/>
          <w:highlight w:val="none"/>
          <w:lang w:val="en-US" w:eastAsia="zh-CN"/>
        </w:rPr>
        <w:t>十、解决合同纠纷的方式</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14:paraId="545E717D">
      <w:pPr>
        <w:keepNext w:val="0"/>
        <w:keepLines w:val="0"/>
        <w:pageBreakBefore w:val="0"/>
        <w:shd w:val="clear" w:color="auto" w:fill="auto"/>
        <w:kinsoku/>
        <w:wordWrap/>
        <w:overflowPunct/>
        <w:topLinePunct w:val="0"/>
        <w:autoSpaceDE w:val="0"/>
        <w:autoSpaceDN w:val="0"/>
        <w:bidi w:val="0"/>
        <w:snapToGrid w:val="0"/>
        <w:spacing w:line="500" w:lineRule="exact"/>
        <w:ind w:firstLine="480" w:firstLineChars="20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在执行本合同中发生的或与本合同有关的争端，双方应通过友好协商解决。不能协商一致的，任何一方可向甲方所在地有管辖权的法院提起诉讼。在法院审理期间，除有争议部分外，本合同其他可以履行的部分仍应按合同条款继续履行。</w:t>
      </w:r>
    </w:p>
    <w:p w14:paraId="3FCF38B1">
      <w:pPr>
        <w:keepNext w:val="0"/>
        <w:keepLines w:val="0"/>
        <w:pageBreakBefore w:val="0"/>
        <w:widowControl w:val="0"/>
        <w:shd w:val="clear" w:color="auto" w:fill="auto"/>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宋体"/>
          <w:b/>
          <w:bCs/>
          <w:color w:val="auto"/>
          <w:spacing w:val="-20"/>
          <w:kern w:val="0"/>
          <w:sz w:val="28"/>
          <w:szCs w:val="28"/>
          <w:highlight w:val="none"/>
          <w:lang w:val="en-US" w:eastAsia="zh-CN"/>
        </w:rPr>
      </w:pPr>
      <w:bookmarkStart w:id="90" w:name="_Toc211854455"/>
      <w:bookmarkStart w:id="91" w:name="_Toc251768868"/>
      <w:bookmarkStart w:id="92" w:name="_Toc225654650"/>
      <w:bookmarkStart w:id="93" w:name="_Toc212019600"/>
      <w:bookmarkStart w:id="94" w:name="_Toc232492934"/>
      <w:bookmarkStart w:id="95" w:name="_Toc238984981"/>
      <w:bookmarkStart w:id="96" w:name="_Toc237145412"/>
      <w:bookmarkStart w:id="97" w:name="_Toc247334847"/>
      <w:bookmarkStart w:id="98" w:name="_Toc239568424"/>
      <w:bookmarkStart w:id="99" w:name="_Toc211911354"/>
      <w:bookmarkStart w:id="100" w:name="_Toc225670757"/>
      <w:bookmarkStart w:id="101" w:name="_Toc225244858"/>
      <w:bookmarkStart w:id="102" w:name="_Toc286993793"/>
      <w:bookmarkStart w:id="103" w:name="_Toc282696231"/>
      <w:bookmarkStart w:id="104" w:name="_Toc185395255"/>
      <w:bookmarkStart w:id="105" w:name="_Toc239233920"/>
      <w:bookmarkStart w:id="106" w:name="_Toc283019219"/>
      <w:bookmarkStart w:id="107" w:name="_Toc241833909"/>
      <w:r>
        <w:rPr>
          <w:rFonts w:hint="eastAsia" w:ascii="宋体" w:hAnsi="宋体" w:eastAsia="宋体" w:cs="宋体"/>
          <w:b/>
          <w:bCs/>
          <w:color w:val="auto"/>
          <w:spacing w:val="-20"/>
          <w:kern w:val="0"/>
          <w:sz w:val="28"/>
          <w:szCs w:val="28"/>
          <w:highlight w:val="none"/>
          <w:lang w:val="en-US" w:eastAsia="zh-CN"/>
        </w:rPr>
        <w:t>十一、合同</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hint="eastAsia" w:ascii="宋体" w:hAnsi="宋体" w:eastAsia="宋体" w:cs="宋体"/>
          <w:b/>
          <w:bCs/>
          <w:color w:val="auto"/>
          <w:spacing w:val="-20"/>
          <w:kern w:val="0"/>
          <w:sz w:val="28"/>
          <w:szCs w:val="28"/>
          <w:highlight w:val="none"/>
          <w:lang w:val="en-US" w:eastAsia="zh-CN"/>
        </w:rPr>
        <w:t>生效及其他</w:t>
      </w:r>
    </w:p>
    <w:p w14:paraId="53FA3C44">
      <w:pPr>
        <w:pStyle w:val="29"/>
        <w:keepNext w:val="0"/>
        <w:keepLines w:val="0"/>
        <w:pageBreakBefore w:val="0"/>
        <w:shd w:val="clear" w:color="auto" w:fill="auto"/>
        <w:kinsoku/>
        <w:wordWrap/>
        <w:overflowPunct/>
        <w:topLinePunct w:val="0"/>
        <w:bidi w:val="0"/>
        <w:spacing w:line="500" w:lineRule="exact"/>
        <w:ind w:firstLine="48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1、合同经双方法定代表人或授权委托代理人签字并加盖单位公章后生效。</w:t>
      </w:r>
    </w:p>
    <w:p w14:paraId="167635D7">
      <w:pPr>
        <w:pStyle w:val="29"/>
        <w:keepNext w:val="0"/>
        <w:keepLines w:val="0"/>
        <w:pageBreakBefore w:val="0"/>
        <w:shd w:val="clear" w:color="auto" w:fill="auto"/>
        <w:kinsoku/>
        <w:wordWrap/>
        <w:overflowPunct/>
        <w:topLinePunct w:val="0"/>
        <w:bidi w:val="0"/>
        <w:spacing w:line="500" w:lineRule="exact"/>
        <w:textAlignment w:val="auto"/>
        <w:rPr>
          <w:rFonts w:hint="eastAsia" w:ascii="宋体" w:hAnsi="宋体" w:eastAsia="宋体" w:cs="宋体"/>
          <w:color w:val="auto"/>
          <w:sz w:val="24"/>
          <w:highlight w:val="none"/>
        </w:rPr>
      </w:pPr>
      <w:r>
        <w:rPr>
          <w:rFonts w:hint="eastAsia" w:ascii="宋体" w:hAnsi="宋体" w:eastAsia="宋体" w:cs="宋体"/>
          <w:color w:val="auto"/>
          <w:kern w:val="0"/>
          <w:sz w:val="24"/>
          <w:szCs w:val="24"/>
          <w:highlight w:val="none"/>
          <w:lang w:val="en-US" w:eastAsia="zh-CN" w:bidi="ar-SA"/>
        </w:rPr>
        <w:t>2、本合同一式XX份，自双方签章之日起起效。甲方XX份，乙方XX份，具有同等法律效力。</w:t>
      </w:r>
    </w:p>
    <w:p w14:paraId="691CA15F">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rPr>
      </w:pPr>
    </w:p>
    <w:p w14:paraId="4ECF1819">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（盖章）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   （盖章）</w:t>
      </w:r>
    </w:p>
    <w:p w14:paraId="341A8B0D">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法定代表人（授权代表）：                 法定代表人（授权代表）：</w:t>
      </w:r>
    </w:p>
    <w:p w14:paraId="17C19DAF">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                               地    址：</w:t>
      </w:r>
    </w:p>
    <w:p w14:paraId="0C1B32AA">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                               开户银行：</w:t>
      </w:r>
    </w:p>
    <w:p w14:paraId="101438F5">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                                   账号：</w:t>
      </w:r>
    </w:p>
    <w:p w14:paraId="1501C8D2">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                               电    话：</w:t>
      </w:r>
    </w:p>
    <w:p w14:paraId="2382F9C6">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                               传    真：</w:t>
      </w:r>
    </w:p>
    <w:p w14:paraId="4D30859E">
      <w:pPr>
        <w:keepNext w:val="0"/>
        <w:keepLines w:val="0"/>
        <w:pageBreakBefore w:val="0"/>
        <w:kinsoku/>
        <w:wordWrap/>
        <w:overflowPunct/>
        <w:topLinePunct w:val="0"/>
        <w:bidi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0AF8ACB7">
      <w:pPr>
        <w:keepNext w:val="0"/>
        <w:keepLines w:val="0"/>
        <w:pageBreakBefore w:val="0"/>
        <w:widowControl/>
        <w:kinsoku/>
        <w:wordWrap/>
        <w:overflowPunct/>
        <w:topLinePunct w:val="0"/>
        <w:autoSpaceDE w:val="0"/>
        <w:autoSpaceDN w:val="0"/>
        <w:bidi w:val="0"/>
        <w:adjustRightInd w:val="0"/>
        <w:snapToGrid w:val="0"/>
        <w:spacing w:line="360" w:lineRule="auto"/>
        <w:textAlignment w:val="auto"/>
        <w:rPr>
          <w:rFonts w:hint="eastAsia" w:ascii="微软雅黑" w:hAnsi="仿宋" w:eastAsia="微软雅黑"/>
          <w:sz w:val="40"/>
          <w:szCs w:val="40"/>
        </w:rPr>
      </w:pPr>
      <w:r>
        <w:rPr>
          <w:rFonts w:hint="eastAsia" w:ascii="Calibri" w:hAnsi="Calibri" w:eastAsia="宋体" w:cs="黑体"/>
          <w:b/>
          <w:color w:val="auto"/>
          <w:kern w:val="2"/>
          <w:sz w:val="32"/>
          <w:szCs w:val="32"/>
          <w:lang w:val="en-US" w:eastAsia="zh-Hans" w:bidi="ar-SA"/>
        </w:rPr>
        <w:t xml:space="preserve"> </w:t>
      </w:r>
      <w:r>
        <w:rPr>
          <w:rFonts w:hint="eastAsia" w:ascii="Calibri" w:hAnsi="Calibri" w:eastAsia="宋体" w:cs="黑体"/>
          <w:b/>
          <w:color w:val="auto"/>
          <w:kern w:val="2"/>
          <w:sz w:val="32"/>
          <w:szCs w:val="32"/>
          <w:lang w:val="en-US" w:eastAsia="zh-CN" w:bidi="ar-SA"/>
        </w:rPr>
        <w:t>合同附件1：遂宁市消防救援支队采购项目履约验收登记表</w:t>
      </w:r>
      <w:r>
        <w:rPr>
          <w:rFonts w:hint="eastAsia" w:ascii="微软雅黑" w:hAnsi="微软雅黑" w:eastAsia="微软雅黑" w:cs="微软雅黑"/>
          <w:sz w:val="36"/>
          <w:szCs w:val="36"/>
        </w:rPr>
        <w:t xml:space="preserve"> </w:t>
      </w:r>
    </w:p>
    <w:tbl>
      <w:tblPr>
        <w:tblStyle w:val="18"/>
        <w:tblW w:w="10364" w:type="dxa"/>
        <w:jc w:val="center"/>
        <w:tblLayout w:type="fixed"/>
        <w:tblCellMar>
          <w:top w:w="0" w:type="dxa"/>
          <w:left w:w="108" w:type="dxa"/>
          <w:bottom w:w="0" w:type="dxa"/>
          <w:right w:w="108" w:type="dxa"/>
        </w:tblCellMar>
      </w:tblPr>
      <w:tblGrid>
        <w:gridCol w:w="2165"/>
        <w:gridCol w:w="2911"/>
        <w:gridCol w:w="1593"/>
        <w:gridCol w:w="463"/>
        <w:gridCol w:w="620"/>
        <w:gridCol w:w="1040"/>
        <w:gridCol w:w="332"/>
        <w:gridCol w:w="1240"/>
      </w:tblGrid>
      <w:tr w14:paraId="341DA8C7">
        <w:trPr>
          <w:trHeight w:val="656" w:hRule="atLeast"/>
          <w:jc w:val="center"/>
        </w:trPr>
        <w:tc>
          <w:tcPr>
            <w:tcW w:w="10364" w:type="dxa"/>
            <w:gridSpan w:val="8"/>
            <w:tcBorders>
              <w:top w:val="nil"/>
              <w:left w:val="nil"/>
              <w:bottom w:val="nil"/>
              <w:right w:val="nil"/>
            </w:tcBorders>
            <w:noWrap w:val="0"/>
            <w:vAlign w:val="center"/>
          </w:tcPr>
          <w:p w14:paraId="36D79389">
            <w:pPr>
              <w:keepNext w:val="0"/>
              <w:keepLines w:val="0"/>
              <w:pageBreakBefore w:val="0"/>
              <w:widowControl/>
              <w:kinsoku/>
              <w:wordWrap/>
              <w:overflowPunct/>
              <w:topLinePunct w:val="0"/>
              <w:bidi w:val="0"/>
              <w:spacing w:line="240" w:lineRule="auto"/>
              <w:jc w:val="left"/>
              <w:textAlignment w:val="auto"/>
              <w:rPr>
                <w:rFonts w:hint="eastAsia" w:ascii="微软雅黑" w:hAnsi="宋体" w:eastAsia="微软雅黑" w:cs="宋体"/>
                <w:b/>
                <w:bCs/>
                <w:kern w:val="0"/>
                <w:sz w:val="32"/>
                <w:szCs w:val="32"/>
              </w:rPr>
            </w:pPr>
            <w:r>
              <w:rPr>
                <w:rFonts w:hint="eastAsia" w:ascii="宋体" w:hAnsi="宋体" w:cs="宋体"/>
                <w:sz w:val="24"/>
              </w:rPr>
              <w:t>验收组织单位：</w:t>
            </w:r>
          </w:p>
        </w:tc>
      </w:tr>
      <w:tr w14:paraId="3AA36FC4">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79498254">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项目名称</w:t>
            </w:r>
          </w:p>
        </w:tc>
        <w:tc>
          <w:tcPr>
            <w:tcW w:w="8199" w:type="dxa"/>
            <w:gridSpan w:val="7"/>
            <w:tcBorders>
              <w:top w:val="single" w:color="auto" w:sz="4" w:space="0"/>
              <w:left w:val="nil"/>
              <w:bottom w:val="single" w:color="auto" w:sz="4" w:space="0"/>
              <w:right w:val="single" w:color="000000" w:sz="4" w:space="0"/>
            </w:tcBorders>
            <w:noWrap w:val="0"/>
            <w:vAlign w:val="center"/>
          </w:tcPr>
          <w:p w14:paraId="66A20D17">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2ED85034">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565A919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验收类型</w:t>
            </w:r>
          </w:p>
        </w:tc>
        <w:tc>
          <w:tcPr>
            <w:tcW w:w="8199" w:type="dxa"/>
            <w:gridSpan w:val="7"/>
            <w:tcBorders>
              <w:top w:val="single" w:color="auto" w:sz="4" w:space="0"/>
              <w:left w:val="nil"/>
              <w:bottom w:val="single" w:color="auto" w:sz="4" w:space="0"/>
              <w:right w:val="single" w:color="000000" w:sz="4" w:space="0"/>
            </w:tcBorders>
            <w:noWrap w:val="0"/>
            <w:vAlign w:val="center"/>
          </w:tcPr>
          <w:p w14:paraId="65328CF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ascii="宋体" w:hAnsi="宋体" w:cs="宋体"/>
                <w:sz w:val="24"/>
                <w:lang w:eastAsia="zh-Hans"/>
              </w:rPr>
              <w:t xml:space="preserve">  </w:t>
            </w:r>
            <w:r>
              <w:rPr>
                <w:rFonts w:hint="eastAsia" w:ascii="宋体" w:hAnsi="宋体" w:eastAsia="宋体" w:cs="宋体"/>
                <w:sz w:val="24"/>
                <w:lang w:val="en-US" w:eastAsia="zh-CN"/>
              </w:rPr>
              <w:t xml:space="preserve">□ </w:t>
            </w:r>
            <w:r>
              <w:rPr>
                <w:rFonts w:hint="eastAsia" w:ascii="宋体" w:hAnsi="宋体" w:cs="宋体"/>
                <w:sz w:val="24"/>
                <w:lang w:eastAsia="zh-Hans"/>
              </w:rPr>
              <w:t>货物</w:t>
            </w:r>
            <w:r>
              <w:rPr>
                <w:rFonts w:ascii="宋体" w:hAnsi="宋体" w:cs="宋体"/>
                <w:sz w:val="24"/>
                <w:lang w:eastAsia="zh-Hans"/>
              </w:rPr>
              <w:t xml:space="preserve">   </w:t>
            </w:r>
            <w:r>
              <w:rPr>
                <w:rFonts w:hint="eastAsia" w:ascii="宋体" w:hAnsi="宋体" w:eastAsia="宋体" w:cs="宋体"/>
                <w:sz w:val="24"/>
                <w:lang w:val="en-US" w:eastAsia="zh-CN"/>
              </w:rPr>
              <w:t>□</w:t>
            </w:r>
            <w:r>
              <w:rPr>
                <w:rFonts w:hint="eastAsia" w:ascii="宋体" w:hAnsi="宋体" w:cs="宋体"/>
                <w:sz w:val="24"/>
              </w:rPr>
              <w:t xml:space="preserve"> </w:t>
            </w:r>
            <w:r>
              <w:rPr>
                <w:rFonts w:hint="eastAsia" w:ascii="宋体" w:hAnsi="宋体" w:cs="宋体"/>
                <w:sz w:val="24"/>
                <w:lang w:eastAsia="zh-Hans"/>
              </w:rPr>
              <w:t>服务</w:t>
            </w:r>
            <w:r>
              <w:rPr>
                <w:rFonts w:ascii="宋体" w:hAnsi="宋体" w:cs="宋体"/>
                <w:sz w:val="24"/>
                <w:lang w:eastAsia="zh-Hans"/>
              </w:rPr>
              <w:t xml:space="preserve">   </w:t>
            </w:r>
            <w:r>
              <w:rPr>
                <w:rFonts w:hint="eastAsia" w:ascii="宋体" w:hAnsi="宋体" w:eastAsia="宋体" w:cs="宋体"/>
                <w:sz w:val="24"/>
                <w:lang w:val="en-US" w:eastAsia="zh-CN"/>
              </w:rPr>
              <w:t>□</w:t>
            </w:r>
            <w:r>
              <w:rPr>
                <w:rFonts w:ascii="宋体" w:hAnsi="宋体" w:cs="宋体"/>
                <w:sz w:val="24"/>
              </w:rPr>
              <w:t xml:space="preserve"> </w:t>
            </w:r>
            <w:r>
              <w:rPr>
                <w:rFonts w:hint="eastAsia" w:ascii="宋体" w:hAnsi="宋体" w:cs="宋体"/>
                <w:sz w:val="24"/>
                <w:lang w:eastAsia="zh-Hans"/>
              </w:rPr>
              <w:t>工程</w:t>
            </w:r>
          </w:p>
        </w:tc>
      </w:tr>
      <w:tr w14:paraId="17C66756">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294418B9">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合同编号</w:t>
            </w:r>
          </w:p>
        </w:tc>
        <w:tc>
          <w:tcPr>
            <w:tcW w:w="8199" w:type="dxa"/>
            <w:gridSpan w:val="7"/>
            <w:tcBorders>
              <w:top w:val="single" w:color="auto" w:sz="4" w:space="0"/>
              <w:left w:val="nil"/>
              <w:bottom w:val="single" w:color="auto" w:sz="4" w:space="0"/>
              <w:right w:val="single" w:color="000000" w:sz="4" w:space="0"/>
            </w:tcBorders>
            <w:noWrap w:val="0"/>
            <w:vAlign w:val="center"/>
          </w:tcPr>
          <w:p w14:paraId="3615C0F7">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r>
      <w:tr w14:paraId="25229D76">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11647E1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到货时间</w:t>
            </w:r>
          </w:p>
        </w:tc>
        <w:tc>
          <w:tcPr>
            <w:tcW w:w="8199" w:type="dxa"/>
            <w:gridSpan w:val="7"/>
            <w:tcBorders>
              <w:top w:val="single" w:color="auto" w:sz="4" w:space="0"/>
              <w:left w:val="nil"/>
              <w:bottom w:val="single" w:color="auto" w:sz="4" w:space="0"/>
              <w:right w:val="single" w:color="000000" w:sz="4" w:space="0"/>
            </w:tcBorders>
            <w:noWrap w:val="0"/>
            <w:vAlign w:val="center"/>
          </w:tcPr>
          <w:p w14:paraId="560DB5C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年    月    日</w:t>
            </w:r>
          </w:p>
        </w:tc>
      </w:tr>
      <w:tr w14:paraId="0E036F8F">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2EA0878D">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验收时间</w:t>
            </w:r>
          </w:p>
        </w:tc>
        <w:tc>
          <w:tcPr>
            <w:tcW w:w="8199" w:type="dxa"/>
            <w:gridSpan w:val="7"/>
            <w:tcBorders>
              <w:top w:val="single" w:color="auto" w:sz="4" w:space="0"/>
              <w:left w:val="nil"/>
              <w:bottom w:val="single" w:color="auto" w:sz="4" w:space="0"/>
              <w:right w:val="single" w:color="000000" w:sz="4" w:space="0"/>
            </w:tcBorders>
            <w:noWrap w:val="0"/>
            <w:vAlign w:val="center"/>
          </w:tcPr>
          <w:p w14:paraId="66CF50F4">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年    月    日</w:t>
            </w:r>
          </w:p>
        </w:tc>
      </w:tr>
      <w:tr w14:paraId="550CFF12">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52CA0839">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验收次数</w:t>
            </w:r>
          </w:p>
        </w:tc>
        <w:tc>
          <w:tcPr>
            <w:tcW w:w="8199" w:type="dxa"/>
            <w:gridSpan w:val="7"/>
            <w:tcBorders>
              <w:top w:val="single" w:color="auto" w:sz="4" w:space="0"/>
              <w:left w:val="nil"/>
              <w:bottom w:val="single" w:color="auto" w:sz="4" w:space="0"/>
              <w:right w:val="single" w:color="000000" w:sz="4" w:space="0"/>
            </w:tcBorders>
            <w:noWrap w:val="0"/>
            <w:vAlign w:val="center"/>
          </w:tcPr>
          <w:p w14:paraId="7855DB8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本次系该合同第（  ）次验收</w:t>
            </w:r>
          </w:p>
        </w:tc>
      </w:tr>
      <w:tr w14:paraId="6F591466">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23ADDC0D">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验收地点</w:t>
            </w:r>
          </w:p>
        </w:tc>
        <w:tc>
          <w:tcPr>
            <w:tcW w:w="8199" w:type="dxa"/>
            <w:gridSpan w:val="7"/>
            <w:tcBorders>
              <w:top w:val="single" w:color="auto" w:sz="4" w:space="0"/>
              <w:left w:val="single" w:color="auto" w:sz="4" w:space="0"/>
              <w:bottom w:val="single" w:color="auto" w:sz="4" w:space="0"/>
              <w:right w:val="single" w:color="auto" w:sz="4" w:space="0"/>
            </w:tcBorders>
            <w:noWrap w:val="0"/>
            <w:vAlign w:val="center"/>
          </w:tcPr>
          <w:p w14:paraId="74E8455C">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r>
      <w:tr w14:paraId="2CAD7604">
        <w:tblPrEx>
          <w:tblCellMar>
            <w:top w:w="0" w:type="dxa"/>
            <w:left w:w="108" w:type="dxa"/>
            <w:bottom w:w="0" w:type="dxa"/>
            <w:right w:w="108" w:type="dxa"/>
          </w:tblCellMar>
        </w:tblPrEx>
        <w:trPr>
          <w:trHeight w:val="408" w:hRule="exact"/>
          <w:jc w:val="center"/>
        </w:trPr>
        <w:tc>
          <w:tcPr>
            <w:tcW w:w="10364" w:type="dxa"/>
            <w:gridSpan w:val="8"/>
            <w:tcBorders>
              <w:top w:val="single" w:color="auto" w:sz="4" w:space="0"/>
              <w:left w:val="single" w:color="auto" w:sz="4" w:space="0"/>
              <w:bottom w:val="single" w:color="auto" w:sz="4" w:space="0"/>
              <w:right w:val="single" w:color="auto" w:sz="4" w:space="0"/>
            </w:tcBorders>
            <w:noWrap w:val="0"/>
            <w:vAlign w:val="center"/>
          </w:tcPr>
          <w:p w14:paraId="1646C5D1">
            <w:pPr>
              <w:keepNext w:val="0"/>
              <w:keepLines w:val="0"/>
              <w:pageBreakBefore w:val="0"/>
              <w:widowControl/>
              <w:kinsoku/>
              <w:wordWrap/>
              <w:overflowPunct/>
              <w:topLinePunct w:val="0"/>
              <w:bidi w:val="0"/>
              <w:spacing w:line="240" w:lineRule="auto"/>
              <w:jc w:val="center"/>
              <w:textAlignment w:val="auto"/>
              <w:rPr>
                <w:rFonts w:hint="eastAsia" w:ascii="仿宋_GB2312" w:hAnsi="宋体" w:eastAsia="仿宋_GB2312" w:cs="宋体"/>
                <w:b/>
                <w:bCs/>
                <w:kern w:val="0"/>
                <w:sz w:val="24"/>
              </w:rPr>
            </w:pPr>
            <w:r>
              <w:rPr>
                <w:rFonts w:hint="eastAsia" w:ascii="宋体" w:hAnsi="宋体" w:cs="宋体"/>
                <w:sz w:val="24"/>
              </w:rPr>
              <w:t>合同</w:t>
            </w:r>
            <w:r>
              <w:rPr>
                <w:rFonts w:hint="eastAsia" w:ascii="宋体" w:hAnsi="宋体" w:cs="宋体"/>
                <w:sz w:val="24"/>
                <w:lang w:eastAsia="zh-Hans"/>
              </w:rPr>
              <w:t>主要内容</w:t>
            </w:r>
          </w:p>
        </w:tc>
      </w:tr>
      <w:tr w14:paraId="4F15666B">
        <w:tblPrEx>
          <w:tblCellMar>
            <w:top w:w="0" w:type="dxa"/>
            <w:left w:w="108" w:type="dxa"/>
            <w:bottom w:w="0" w:type="dxa"/>
            <w:right w:w="108" w:type="dxa"/>
          </w:tblCellMar>
        </w:tblPrEx>
        <w:trPr>
          <w:trHeight w:val="492"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0DA3AE85">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名称</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4CAA736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品牌</w:t>
            </w:r>
          </w:p>
        </w:tc>
        <w:tc>
          <w:tcPr>
            <w:tcW w:w="1593" w:type="dxa"/>
            <w:tcBorders>
              <w:top w:val="single" w:color="auto" w:sz="4" w:space="0"/>
              <w:left w:val="single" w:color="auto" w:sz="4" w:space="0"/>
              <w:bottom w:val="single" w:color="auto" w:sz="4" w:space="0"/>
              <w:right w:val="single" w:color="auto" w:sz="4" w:space="0"/>
            </w:tcBorders>
            <w:noWrap w:val="0"/>
            <w:vAlign w:val="center"/>
          </w:tcPr>
          <w:p w14:paraId="25B16BA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规格型号</w:t>
            </w:r>
          </w:p>
        </w:tc>
        <w:tc>
          <w:tcPr>
            <w:tcW w:w="1083" w:type="dxa"/>
            <w:gridSpan w:val="2"/>
            <w:tcBorders>
              <w:top w:val="single" w:color="auto" w:sz="4" w:space="0"/>
              <w:left w:val="single" w:color="auto" w:sz="4" w:space="0"/>
              <w:bottom w:val="single" w:color="auto" w:sz="4" w:space="0"/>
              <w:right w:val="single" w:color="auto" w:sz="4" w:space="0"/>
            </w:tcBorders>
            <w:noWrap w:val="0"/>
            <w:vAlign w:val="center"/>
          </w:tcPr>
          <w:p w14:paraId="1D846A4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单位</w:t>
            </w:r>
          </w:p>
        </w:tc>
        <w:tc>
          <w:tcPr>
            <w:tcW w:w="1040" w:type="dxa"/>
            <w:tcBorders>
              <w:top w:val="single" w:color="auto" w:sz="4" w:space="0"/>
              <w:left w:val="single" w:color="auto" w:sz="4" w:space="0"/>
              <w:bottom w:val="single" w:color="auto" w:sz="4" w:space="0"/>
              <w:right w:val="single" w:color="auto" w:sz="4" w:space="0"/>
            </w:tcBorders>
            <w:noWrap w:val="0"/>
            <w:vAlign w:val="center"/>
          </w:tcPr>
          <w:p w14:paraId="2B9664D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lang w:eastAsia="zh-Hans"/>
              </w:rPr>
              <w:t>数量</w:t>
            </w:r>
          </w:p>
        </w:tc>
        <w:tc>
          <w:tcPr>
            <w:tcW w:w="1572" w:type="dxa"/>
            <w:gridSpan w:val="2"/>
            <w:tcBorders>
              <w:top w:val="single" w:color="auto" w:sz="4" w:space="0"/>
              <w:left w:val="single" w:color="auto" w:sz="4" w:space="0"/>
              <w:bottom w:val="single" w:color="auto" w:sz="4" w:space="0"/>
              <w:right w:val="single" w:color="auto" w:sz="4" w:space="0"/>
            </w:tcBorders>
            <w:noWrap w:val="0"/>
            <w:vAlign w:val="center"/>
          </w:tcPr>
          <w:p w14:paraId="24D1441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备注</w:t>
            </w:r>
          </w:p>
        </w:tc>
      </w:tr>
      <w:tr w14:paraId="1219EA3F">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63ADBB6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ascii="Arial" w:hAnsi="Arial" w:cs="Arial"/>
                <w:sz w:val="24"/>
                <w:lang w:eastAsia="zh-Hans"/>
              </w:rPr>
              <w:t>…</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2530C9D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93" w:type="dxa"/>
            <w:tcBorders>
              <w:top w:val="single" w:color="auto" w:sz="4" w:space="0"/>
              <w:left w:val="single" w:color="auto" w:sz="4" w:space="0"/>
              <w:bottom w:val="single" w:color="auto" w:sz="4" w:space="0"/>
              <w:right w:val="single" w:color="auto" w:sz="4" w:space="0"/>
            </w:tcBorders>
            <w:noWrap w:val="0"/>
            <w:vAlign w:val="center"/>
          </w:tcPr>
          <w:p w14:paraId="7CAA6489">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83" w:type="dxa"/>
            <w:gridSpan w:val="2"/>
            <w:tcBorders>
              <w:top w:val="single" w:color="auto" w:sz="4" w:space="0"/>
              <w:left w:val="single" w:color="auto" w:sz="4" w:space="0"/>
              <w:bottom w:val="single" w:color="auto" w:sz="4" w:space="0"/>
              <w:right w:val="single" w:color="auto" w:sz="4" w:space="0"/>
            </w:tcBorders>
            <w:noWrap w:val="0"/>
            <w:vAlign w:val="center"/>
          </w:tcPr>
          <w:p w14:paraId="0697FCA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151DE8F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72" w:type="dxa"/>
            <w:gridSpan w:val="2"/>
            <w:tcBorders>
              <w:top w:val="single" w:color="auto" w:sz="4" w:space="0"/>
              <w:left w:val="single" w:color="auto" w:sz="4" w:space="0"/>
              <w:bottom w:val="single" w:color="auto" w:sz="4" w:space="0"/>
              <w:right w:val="single" w:color="auto" w:sz="4" w:space="0"/>
            </w:tcBorders>
            <w:noWrap w:val="0"/>
            <w:vAlign w:val="center"/>
          </w:tcPr>
          <w:p w14:paraId="6AD6D17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r>
      <w:tr w14:paraId="2B2B74FF">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3E2EE5D7">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ascii="Arial" w:hAnsi="Arial" w:cs="Arial"/>
                <w:sz w:val="24"/>
                <w:lang w:eastAsia="zh-Hans"/>
              </w:rPr>
              <w:t>…</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35D5693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93" w:type="dxa"/>
            <w:tcBorders>
              <w:top w:val="single" w:color="auto" w:sz="4" w:space="0"/>
              <w:left w:val="single" w:color="auto" w:sz="4" w:space="0"/>
              <w:bottom w:val="single" w:color="auto" w:sz="4" w:space="0"/>
              <w:right w:val="single" w:color="auto" w:sz="4" w:space="0"/>
            </w:tcBorders>
            <w:noWrap w:val="0"/>
            <w:vAlign w:val="center"/>
          </w:tcPr>
          <w:p w14:paraId="293936E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83" w:type="dxa"/>
            <w:gridSpan w:val="2"/>
            <w:tcBorders>
              <w:top w:val="single" w:color="auto" w:sz="4" w:space="0"/>
              <w:left w:val="single" w:color="auto" w:sz="4" w:space="0"/>
              <w:bottom w:val="single" w:color="auto" w:sz="4" w:space="0"/>
              <w:right w:val="single" w:color="auto" w:sz="4" w:space="0"/>
            </w:tcBorders>
            <w:noWrap w:val="0"/>
            <w:vAlign w:val="center"/>
          </w:tcPr>
          <w:p w14:paraId="1009C4D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521C1F1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72" w:type="dxa"/>
            <w:gridSpan w:val="2"/>
            <w:tcBorders>
              <w:top w:val="single" w:color="auto" w:sz="4" w:space="0"/>
              <w:left w:val="single" w:color="auto" w:sz="4" w:space="0"/>
              <w:bottom w:val="single" w:color="auto" w:sz="4" w:space="0"/>
              <w:right w:val="single" w:color="auto" w:sz="4" w:space="0"/>
            </w:tcBorders>
            <w:noWrap w:val="0"/>
            <w:vAlign w:val="center"/>
          </w:tcPr>
          <w:p w14:paraId="09C78AB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r>
      <w:tr w14:paraId="7C428A56">
        <w:tblPrEx>
          <w:tblCellMar>
            <w:top w:w="0" w:type="dxa"/>
            <w:left w:w="108" w:type="dxa"/>
            <w:bottom w:w="0" w:type="dxa"/>
            <w:right w:w="108" w:type="dxa"/>
          </w:tblCellMar>
        </w:tblPrEx>
        <w:trPr>
          <w:trHeight w:val="524"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183E853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ascii="Arial" w:hAnsi="Arial" w:cs="Arial"/>
                <w:sz w:val="24"/>
                <w:lang w:eastAsia="zh-Hans"/>
              </w:rPr>
              <w:t>…（</w:t>
            </w:r>
            <w:r>
              <w:rPr>
                <w:rFonts w:hint="eastAsia" w:ascii="Arial" w:hAnsi="Arial" w:cs="Arial"/>
                <w:sz w:val="24"/>
                <w:lang w:eastAsia="zh-Hans"/>
              </w:rPr>
              <w:t>可增加页</w:t>
            </w:r>
            <w:r>
              <w:rPr>
                <w:rFonts w:ascii="Arial" w:hAnsi="Arial" w:cs="Arial"/>
                <w:sz w:val="24"/>
                <w:lang w:eastAsia="zh-Hans"/>
              </w:rPr>
              <w:t>）</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4BD13A25">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93" w:type="dxa"/>
            <w:tcBorders>
              <w:top w:val="single" w:color="auto" w:sz="4" w:space="0"/>
              <w:left w:val="single" w:color="auto" w:sz="4" w:space="0"/>
              <w:bottom w:val="single" w:color="auto" w:sz="4" w:space="0"/>
              <w:right w:val="single" w:color="auto" w:sz="4" w:space="0"/>
            </w:tcBorders>
            <w:noWrap w:val="0"/>
            <w:vAlign w:val="center"/>
          </w:tcPr>
          <w:p w14:paraId="192A2C0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83" w:type="dxa"/>
            <w:gridSpan w:val="2"/>
            <w:tcBorders>
              <w:top w:val="single" w:color="auto" w:sz="4" w:space="0"/>
              <w:left w:val="single" w:color="auto" w:sz="4" w:space="0"/>
              <w:bottom w:val="single" w:color="auto" w:sz="4" w:space="0"/>
              <w:right w:val="single" w:color="auto" w:sz="4" w:space="0"/>
            </w:tcBorders>
            <w:noWrap w:val="0"/>
            <w:vAlign w:val="center"/>
          </w:tcPr>
          <w:p w14:paraId="4CFDC8C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040" w:type="dxa"/>
            <w:tcBorders>
              <w:top w:val="single" w:color="auto" w:sz="4" w:space="0"/>
              <w:left w:val="single" w:color="auto" w:sz="4" w:space="0"/>
              <w:bottom w:val="single" w:color="auto" w:sz="4" w:space="0"/>
              <w:right w:val="single" w:color="auto" w:sz="4" w:space="0"/>
            </w:tcBorders>
            <w:noWrap w:val="0"/>
            <w:vAlign w:val="center"/>
          </w:tcPr>
          <w:p w14:paraId="2DF5770D">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c>
          <w:tcPr>
            <w:tcW w:w="1572" w:type="dxa"/>
            <w:gridSpan w:val="2"/>
            <w:tcBorders>
              <w:top w:val="single" w:color="auto" w:sz="4" w:space="0"/>
              <w:left w:val="single" w:color="auto" w:sz="4" w:space="0"/>
              <w:bottom w:val="single" w:color="auto" w:sz="4" w:space="0"/>
              <w:right w:val="single" w:color="auto" w:sz="4" w:space="0"/>
            </w:tcBorders>
            <w:noWrap w:val="0"/>
            <w:vAlign w:val="center"/>
          </w:tcPr>
          <w:p w14:paraId="3FB9C4B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p>
        </w:tc>
      </w:tr>
      <w:tr w14:paraId="4C9C3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exact"/>
          <w:jc w:val="center"/>
        </w:trPr>
        <w:tc>
          <w:tcPr>
            <w:tcW w:w="2165" w:type="dxa"/>
            <w:tcBorders>
              <w:top w:val="single" w:color="auto" w:sz="4" w:space="0"/>
              <w:bottom w:val="single" w:color="auto" w:sz="4" w:space="0"/>
              <w:right w:val="single" w:color="auto" w:sz="4" w:space="0"/>
            </w:tcBorders>
            <w:noWrap w:val="0"/>
            <w:vAlign w:val="center"/>
          </w:tcPr>
          <w:p w14:paraId="7047E42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合同一致性</w:t>
            </w:r>
          </w:p>
          <w:p w14:paraId="0DA6674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验收情况</w:t>
            </w:r>
          </w:p>
        </w:tc>
        <w:tc>
          <w:tcPr>
            <w:tcW w:w="8199" w:type="dxa"/>
            <w:gridSpan w:val="7"/>
            <w:tcBorders>
              <w:top w:val="single" w:color="auto" w:sz="4" w:space="0"/>
              <w:left w:val="single" w:color="auto" w:sz="4" w:space="0"/>
              <w:bottom w:val="single" w:color="auto" w:sz="4" w:space="0"/>
              <w:right w:val="single" w:color="auto" w:sz="4" w:space="0"/>
            </w:tcBorders>
            <w:noWrap w:val="0"/>
            <w:vAlign w:val="center"/>
          </w:tcPr>
          <w:p w14:paraId="1592E48C">
            <w:pPr>
              <w:keepNext w:val="0"/>
              <w:keepLines w:val="0"/>
              <w:pageBreakBefore w:val="0"/>
              <w:kinsoku/>
              <w:wordWrap/>
              <w:overflowPunct/>
              <w:topLinePunct w:val="0"/>
              <w:bidi w:val="0"/>
              <w:spacing w:line="240" w:lineRule="auto"/>
              <w:textAlignment w:val="auto"/>
              <w:rPr>
                <w:rFonts w:hint="eastAsia" w:ascii="仿宋_GB2312" w:eastAsia="仿宋_GB2312"/>
                <w:b/>
                <w:sz w:val="24"/>
              </w:rPr>
            </w:pPr>
          </w:p>
        </w:tc>
      </w:tr>
      <w:tr w14:paraId="3F7F9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2165" w:type="dxa"/>
            <w:tcBorders>
              <w:top w:val="single" w:color="auto" w:sz="4" w:space="0"/>
              <w:bottom w:val="single" w:color="auto" w:sz="4" w:space="0"/>
              <w:right w:val="single" w:color="auto" w:sz="4" w:space="0"/>
            </w:tcBorders>
            <w:noWrap w:val="0"/>
            <w:vAlign w:val="center"/>
          </w:tcPr>
          <w:p w14:paraId="6424E30B">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性能测试运行测试</w:t>
            </w:r>
          </w:p>
          <w:p w14:paraId="27DC68E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验收情况</w:t>
            </w:r>
          </w:p>
        </w:tc>
        <w:tc>
          <w:tcPr>
            <w:tcW w:w="8199" w:type="dxa"/>
            <w:gridSpan w:val="7"/>
            <w:tcBorders>
              <w:top w:val="single" w:color="auto" w:sz="4" w:space="0"/>
              <w:left w:val="single" w:color="auto" w:sz="4" w:space="0"/>
              <w:bottom w:val="single" w:color="auto" w:sz="4" w:space="0"/>
              <w:right w:val="single" w:color="auto" w:sz="4" w:space="0"/>
            </w:tcBorders>
            <w:noWrap w:val="0"/>
            <w:vAlign w:val="center"/>
          </w:tcPr>
          <w:p w14:paraId="6D0D258C">
            <w:pPr>
              <w:keepNext w:val="0"/>
              <w:keepLines w:val="0"/>
              <w:pageBreakBefore w:val="0"/>
              <w:kinsoku/>
              <w:wordWrap/>
              <w:overflowPunct/>
              <w:topLinePunct w:val="0"/>
              <w:bidi w:val="0"/>
              <w:spacing w:line="240" w:lineRule="auto"/>
              <w:ind w:firstLine="463" w:firstLineChars="192"/>
              <w:jc w:val="center"/>
              <w:textAlignment w:val="auto"/>
              <w:rPr>
                <w:rFonts w:ascii="仿宋_GB2312" w:eastAsia="仿宋_GB2312"/>
                <w:b/>
                <w:sz w:val="24"/>
              </w:rPr>
            </w:pPr>
          </w:p>
        </w:tc>
      </w:tr>
      <w:tr w14:paraId="591F8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exact"/>
          <w:jc w:val="center"/>
        </w:trPr>
        <w:tc>
          <w:tcPr>
            <w:tcW w:w="2165" w:type="dxa"/>
            <w:tcBorders>
              <w:top w:val="single" w:color="auto" w:sz="4" w:space="0"/>
              <w:bottom w:val="single" w:color="auto" w:sz="4" w:space="0"/>
              <w:right w:val="single" w:color="auto" w:sz="4" w:space="0"/>
            </w:tcBorders>
            <w:noWrap w:val="0"/>
            <w:vAlign w:val="center"/>
          </w:tcPr>
          <w:p w14:paraId="046B06D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其他验收情况</w:t>
            </w:r>
          </w:p>
        </w:tc>
        <w:tc>
          <w:tcPr>
            <w:tcW w:w="8199" w:type="dxa"/>
            <w:gridSpan w:val="7"/>
            <w:tcBorders>
              <w:top w:val="single" w:color="auto" w:sz="4" w:space="0"/>
              <w:left w:val="single" w:color="auto" w:sz="4" w:space="0"/>
              <w:bottom w:val="single" w:color="auto" w:sz="4" w:space="0"/>
              <w:right w:val="single" w:color="auto" w:sz="4" w:space="0"/>
            </w:tcBorders>
            <w:noWrap w:val="0"/>
            <w:vAlign w:val="center"/>
          </w:tcPr>
          <w:p w14:paraId="2218D51F">
            <w:pPr>
              <w:keepNext w:val="0"/>
              <w:keepLines w:val="0"/>
              <w:pageBreakBefore w:val="0"/>
              <w:widowControl/>
              <w:kinsoku/>
              <w:wordWrap/>
              <w:overflowPunct/>
              <w:topLinePunct w:val="0"/>
              <w:bidi w:val="0"/>
              <w:spacing w:line="240" w:lineRule="auto"/>
              <w:textAlignment w:val="auto"/>
              <w:rPr>
                <w:rFonts w:hint="eastAsia" w:ascii="宋体" w:hAnsi="宋体" w:cs="宋体"/>
                <w:sz w:val="24"/>
              </w:rPr>
            </w:pPr>
          </w:p>
        </w:tc>
      </w:tr>
      <w:tr w14:paraId="16797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jc w:val="center"/>
        </w:trPr>
        <w:tc>
          <w:tcPr>
            <w:tcW w:w="2165" w:type="dxa"/>
            <w:tcBorders>
              <w:top w:val="single" w:color="auto" w:sz="4" w:space="0"/>
              <w:bottom w:val="single" w:color="auto" w:sz="4" w:space="0"/>
              <w:right w:val="single" w:color="auto" w:sz="4" w:space="0"/>
            </w:tcBorders>
            <w:noWrap w:val="0"/>
            <w:vAlign w:val="center"/>
          </w:tcPr>
          <w:p w14:paraId="25A53603">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验收结论</w:t>
            </w:r>
          </w:p>
        </w:tc>
        <w:tc>
          <w:tcPr>
            <w:tcW w:w="8199" w:type="dxa"/>
            <w:gridSpan w:val="7"/>
            <w:tcBorders>
              <w:top w:val="single" w:color="auto" w:sz="4" w:space="0"/>
              <w:left w:val="single" w:color="auto" w:sz="4" w:space="0"/>
              <w:bottom w:val="single" w:color="auto" w:sz="4" w:space="0"/>
              <w:right w:val="single" w:color="auto" w:sz="4" w:space="0"/>
            </w:tcBorders>
            <w:noWrap w:val="0"/>
            <w:vAlign w:val="center"/>
          </w:tcPr>
          <w:p w14:paraId="01A601E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p w14:paraId="14BED4F9">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ascii="宋体" w:hAnsi="宋体" w:cs="宋体"/>
                <w:sz w:val="24"/>
              </w:rPr>
              <w:t xml:space="preserve">                         </w:t>
            </w:r>
            <w:r>
              <w:rPr>
                <w:rFonts w:hint="eastAsia" w:ascii="宋体" w:hAnsi="宋体" w:cs="宋体"/>
                <w:sz w:val="24"/>
              </w:rPr>
              <w:t>验收小组组长（签字）：</w:t>
            </w:r>
          </w:p>
          <w:p w14:paraId="61A54021">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年   月 </w:t>
            </w:r>
            <w:r>
              <w:rPr>
                <w:rFonts w:ascii="宋体" w:hAnsi="宋体" w:cs="宋体"/>
                <w:sz w:val="24"/>
              </w:rPr>
              <w:t xml:space="preserve"> </w:t>
            </w:r>
            <w:r>
              <w:rPr>
                <w:rFonts w:hint="eastAsia" w:ascii="宋体" w:hAnsi="宋体" w:cs="宋体"/>
                <w:sz w:val="24"/>
              </w:rPr>
              <w:t xml:space="preserve"> 日 </w:t>
            </w:r>
          </w:p>
        </w:tc>
      </w:tr>
      <w:tr w14:paraId="548D987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8"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39DBD02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验收小组</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68A2854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部职别</w:t>
            </w: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6ADA66A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验收人签字</w:t>
            </w:r>
          </w:p>
        </w:tc>
        <w:tc>
          <w:tcPr>
            <w:tcW w:w="1992" w:type="dxa"/>
            <w:gridSpan w:val="3"/>
            <w:tcBorders>
              <w:top w:val="single" w:color="auto" w:sz="4" w:space="0"/>
              <w:left w:val="single" w:color="auto" w:sz="4" w:space="0"/>
              <w:bottom w:val="single" w:color="auto" w:sz="4" w:space="0"/>
              <w:right w:val="single" w:color="auto" w:sz="4" w:space="0"/>
            </w:tcBorders>
            <w:noWrap w:val="0"/>
            <w:vAlign w:val="center"/>
          </w:tcPr>
          <w:p w14:paraId="0B91D9F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联系方式</w:t>
            </w:r>
          </w:p>
        </w:tc>
        <w:tc>
          <w:tcPr>
            <w:tcW w:w="1240" w:type="dxa"/>
            <w:tcBorders>
              <w:top w:val="single" w:color="auto" w:sz="4" w:space="0"/>
              <w:left w:val="single" w:color="auto" w:sz="4" w:space="0"/>
              <w:bottom w:val="single" w:color="auto" w:sz="4" w:space="0"/>
              <w:right w:val="single" w:color="auto" w:sz="4" w:space="0"/>
            </w:tcBorders>
            <w:noWrap w:val="0"/>
            <w:vAlign w:val="center"/>
          </w:tcPr>
          <w:p w14:paraId="6E0968E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备注</w:t>
            </w:r>
          </w:p>
        </w:tc>
      </w:tr>
      <w:tr w14:paraId="583E6DB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7"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31186BD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组长</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556321D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698AF6F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992" w:type="dxa"/>
            <w:gridSpan w:val="3"/>
            <w:tcBorders>
              <w:top w:val="single" w:color="auto" w:sz="4" w:space="0"/>
              <w:left w:val="single" w:color="auto" w:sz="4" w:space="0"/>
              <w:bottom w:val="single" w:color="auto" w:sz="4" w:space="0"/>
              <w:right w:val="single" w:color="auto" w:sz="4" w:space="0"/>
            </w:tcBorders>
            <w:noWrap w:val="0"/>
            <w:vAlign w:val="center"/>
          </w:tcPr>
          <w:p w14:paraId="1EBD0B0A">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240" w:type="dxa"/>
            <w:tcBorders>
              <w:top w:val="single" w:color="auto" w:sz="4" w:space="0"/>
              <w:left w:val="single" w:color="auto" w:sz="4" w:space="0"/>
              <w:bottom w:val="single" w:color="auto" w:sz="4" w:space="0"/>
              <w:right w:val="single" w:color="auto" w:sz="4" w:space="0"/>
            </w:tcBorders>
            <w:noWrap w:val="0"/>
            <w:vAlign w:val="center"/>
          </w:tcPr>
          <w:p w14:paraId="36914A86">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6DC40E6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26"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427E5B8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lang w:eastAsia="zh-Hans"/>
              </w:rPr>
              <w:t>成员</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0E7D166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29F746B4">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992" w:type="dxa"/>
            <w:gridSpan w:val="3"/>
            <w:tcBorders>
              <w:top w:val="single" w:color="auto" w:sz="4" w:space="0"/>
              <w:left w:val="single" w:color="auto" w:sz="4" w:space="0"/>
              <w:bottom w:val="single" w:color="auto" w:sz="4" w:space="0"/>
              <w:right w:val="single" w:color="auto" w:sz="4" w:space="0"/>
            </w:tcBorders>
            <w:noWrap w:val="0"/>
            <w:vAlign w:val="center"/>
          </w:tcPr>
          <w:p w14:paraId="58D5F3AD">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240" w:type="dxa"/>
            <w:tcBorders>
              <w:top w:val="single" w:color="auto" w:sz="4" w:space="0"/>
              <w:left w:val="single" w:color="auto" w:sz="4" w:space="0"/>
              <w:bottom w:val="single" w:color="auto" w:sz="4" w:space="0"/>
              <w:right w:val="single" w:color="auto" w:sz="4" w:space="0"/>
            </w:tcBorders>
            <w:noWrap w:val="0"/>
            <w:vAlign w:val="center"/>
          </w:tcPr>
          <w:p w14:paraId="44A9FCC3">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67DF970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3"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4835E152">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ascii="Arial" w:hAnsi="Arial" w:cs="Arial"/>
                <w:sz w:val="24"/>
                <w:lang w:eastAsia="zh-Hans"/>
              </w:rPr>
              <w:t>…</w:t>
            </w:r>
            <w:r>
              <w:rPr>
                <w:rFonts w:ascii="宋体" w:hAnsi="宋体" w:cs="宋体"/>
                <w:sz w:val="24"/>
                <w:lang w:eastAsia="zh-Hans"/>
              </w:rPr>
              <w:t>（</w:t>
            </w:r>
            <w:r>
              <w:rPr>
                <w:rFonts w:hint="eastAsia" w:ascii="宋体" w:hAnsi="宋体" w:cs="宋体"/>
                <w:sz w:val="24"/>
                <w:lang w:eastAsia="zh-Hans"/>
              </w:rPr>
              <w:t>可增加</w:t>
            </w:r>
            <w:r>
              <w:rPr>
                <w:rFonts w:ascii="宋体" w:hAnsi="宋体" w:cs="宋体"/>
                <w:sz w:val="24"/>
                <w:lang w:eastAsia="zh-Hans"/>
              </w:rPr>
              <w:t>）</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036EC663">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565A48B3">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992" w:type="dxa"/>
            <w:gridSpan w:val="3"/>
            <w:tcBorders>
              <w:top w:val="single" w:color="auto" w:sz="4" w:space="0"/>
              <w:left w:val="single" w:color="auto" w:sz="4" w:space="0"/>
              <w:bottom w:val="single" w:color="auto" w:sz="4" w:space="0"/>
              <w:right w:val="single" w:color="auto" w:sz="4" w:space="0"/>
            </w:tcBorders>
            <w:noWrap w:val="0"/>
            <w:vAlign w:val="center"/>
          </w:tcPr>
          <w:p w14:paraId="6601AA3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1240" w:type="dxa"/>
            <w:tcBorders>
              <w:top w:val="single" w:color="auto" w:sz="4" w:space="0"/>
              <w:left w:val="single" w:color="auto" w:sz="4" w:space="0"/>
              <w:bottom w:val="single" w:color="auto" w:sz="4" w:space="0"/>
              <w:right w:val="single" w:color="auto" w:sz="4" w:space="0"/>
            </w:tcBorders>
            <w:noWrap w:val="0"/>
            <w:vAlign w:val="center"/>
          </w:tcPr>
          <w:p w14:paraId="17F96774">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7126ABF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23" w:hRule="exact"/>
          <w:jc w:val="center"/>
        </w:trPr>
        <w:tc>
          <w:tcPr>
            <w:tcW w:w="2165" w:type="dxa"/>
            <w:vMerge w:val="restart"/>
            <w:tcBorders>
              <w:top w:val="single" w:color="auto" w:sz="4" w:space="0"/>
              <w:left w:val="single" w:color="auto" w:sz="4" w:space="0"/>
              <w:bottom w:val="single" w:color="auto" w:sz="4" w:space="0"/>
              <w:right w:val="single" w:color="auto" w:sz="4" w:space="0"/>
            </w:tcBorders>
            <w:noWrap w:val="0"/>
            <w:vAlign w:val="center"/>
          </w:tcPr>
          <w:p w14:paraId="2D574913">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供应商</w:t>
            </w:r>
          </w:p>
          <w:p w14:paraId="02D7AFE7">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单位名称</w:t>
            </w:r>
          </w:p>
          <w:p w14:paraId="1F6DAC07">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w:t>
            </w:r>
            <w:r>
              <w:rPr>
                <w:rFonts w:hint="eastAsia"/>
                <w:bCs/>
                <w:sz w:val="24"/>
                <w:lang w:eastAsia="zh-Hans"/>
              </w:rPr>
              <w:t>签章</w:t>
            </w:r>
            <w:r>
              <w:rPr>
                <w:rFonts w:hint="eastAsia" w:ascii="宋体" w:hAnsi="宋体" w:cs="宋体"/>
                <w:sz w:val="24"/>
              </w:rPr>
              <w:t>）</w:t>
            </w:r>
          </w:p>
        </w:tc>
        <w:tc>
          <w:tcPr>
            <w:tcW w:w="2911" w:type="dxa"/>
            <w:vMerge w:val="restart"/>
            <w:tcBorders>
              <w:top w:val="single" w:color="auto" w:sz="4" w:space="0"/>
              <w:left w:val="single" w:color="auto" w:sz="4" w:space="0"/>
              <w:bottom w:val="single" w:color="auto" w:sz="4" w:space="0"/>
              <w:right w:val="single" w:color="auto" w:sz="4" w:space="0"/>
            </w:tcBorders>
            <w:noWrap w:val="0"/>
            <w:vAlign w:val="center"/>
          </w:tcPr>
          <w:p w14:paraId="76AE9C49">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Xxx</w:t>
            </w: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6DB555D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供应商代表签字</w:t>
            </w:r>
          </w:p>
        </w:tc>
        <w:tc>
          <w:tcPr>
            <w:tcW w:w="3232" w:type="dxa"/>
            <w:gridSpan w:val="4"/>
            <w:tcBorders>
              <w:top w:val="single" w:color="auto" w:sz="4" w:space="0"/>
              <w:left w:val="single" w:color="auto" w:sz="4" w:space="0"/>
              <w:bottom w:val="single" w:color="auto" w:sz="4" w:space="0"/>
              <w:right w:val="single" w:color="auto" w:sz="4" w:space="0"/>
            </w:tcBorders>
            <w:noWrap w:val="0"/>
            <w:vAlign w:val="center"/>
          </w:tcPr>
          <w:p w14:paraId="067CF9DE">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0C94EF3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83" w:hRule="exact"/>
          <w:jc w:val="center"/>
        </w:trPr>
        <w:tc>
          <w:tcPr>
            <w:tcW w:w="2165" w:type="dxa"/>
            <w:vMerge w:val="continue"/>
            <w:tcBorders>
              <w:top w:val="single" w:color="auto" w:sz="4" w:space="0"/>
              <w:left w:val="single" w:color="auto" w:sz="4" w:space="0"/>
              <w:bottom w:val="single" w:color="auto" w:sz="4" w:space="0"/>
              <w:right w:val="single" w:color="auto" w:sz="4" w:space="0"/>
            </w:tcBorders>
            <w:noWrap w:val="0"/>
            <w:vAlign w:val="center"/>
          </w:tcPr>
          <w:p w14:paraId="3A205933">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2911" w:type="dxa"/>
            <w:vMerge w:val="continue"/>
            <w:tcBorders>
              <w:top w:val="single" w:color="auto" w:sz="4" w:space="0"/>
              <w:left w:val="single" w:color="auto" w:sz="4" w:space="0"/>
              <w:bottom w:val="single" w:color="auto" w:sz="4" w:space="0"/>
              <w:right w:val="single" w:color="auto" w:sz="4" w:space="0"/>
            </w:tcBorders>
            <w:noWrap w:val="0"/>
            <w:vAlign w:val="center"/>
          </w:tcPr>
          <w:p w14:paraId="3C17DBF3">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1D3C685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lang w:eastAsia="zh-Hans"/>
              </w:rPr>
            </w:pPr>
            <w:r>
              <w:rPr>
                <w:rFonts w:hint="eastAsia" w:ascii="宋体" w:hAnsi="宋体" w:cs="宋体"/>
                <w:sz w:val="24"/>
              </w:rPr>
              <w:t>供应商</w:t>
            </w:r>
            <w:r>
              <w:rPr>
                <w:rFonts w:hint="eastAsia" w:ascii="宋体" w:hAnsi="宋体" w:cs="宋体"/>
                <w:sz w:val="24"/>
                <w:lang w:eastAsia="zh-Hans"/>
              </w:rPr>
              <w:t>联系方式</w:t>
            </w:r>
          </w:p>
        </w:tc>
        <w:tc>
          <w:tcPr>
            <w:tcW w:w="3232" w:type="dxa"/>
            <w:gridSpan w:val="4"/>
            <w:tcBorders>
              <w:top w:val="single" w:color="auto" w:sz="4" w:space="0"/>
              <w:left w:val="single" w:color="auto" w:sz="4" w:space="0"/>
              <w:bottom w:val="single" w:color="auto" w:sz="4" w:space="0"/>
              <w:right w:val="single" w:color="auto" w:sz="4" w:space="0"/>
            </w:tcBorders>
            <w:noWrap w:val="0"/>
            <w:vAlign w:val="center"/>
          </w:tcPr>
          <w:p w14:paraId="5A2AB0F5">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p>
        </w:tc>
      </w:tr>
      <w:tr w14:paraId="4D29C95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202" w:hRule="exact"/>
          <w:jc w:val="center"/>
        </w:trPr>
        <w:tc>
          <w:tcPr>
            <w:tcW w:w="2165" w:type="dxa"/>
            <w:tcBorders>
              <w:top w:val="single" w:color="auto" w:sz="4" w:space="0"/>
              <w:left w:val="single" w:color="auto" w:sz="4" w:space="0"/>
              <w:bottom w:val="single" w:color="auto" w:sz="4" w:space="0"/>
              <w:right w:val="single" w:color="auto" w:sz="4" w:space="0"/>
            </w:tcBorders>
            <w:noWrap w:val="0"/>
            <w:vAlign w:val="center"/>
          </w:tcPr>
          <w:p w14:paraId="4D18B6E0">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需求单位意见</w:t>
            </w:r>
          </w:p>
          <w:p w14:paraId="0E94193F">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w:t>
            </w:r>
            <w:r>
              <w:rPr>
                <w:rFonts w:hint="eastAsia"/>
                <w:bCs/>
                <w:sz w:val="24"/>
                <w:lang w:eastAsia="zh-Hans"/>
              </w:rPr>
              <w:t>签章</w:t>
            </w:r>
            <w:r>
              <w:rPr>
                <w:rFonts w:hint="eastAsia" w:ascii="宋体" w:hAnsi="宋体" w:cs="宋体"/>
                <w:sz w:val="24"/>
              </w:rPr>
              <w:t>）</w:t>
            </w:r>
          </w:p>
        </w:tc>
        <w:tc>
          <w:tcPr>
            <w:tcW w:w="2911" w:type="dxa"/>
            <w:tcBorders>
              <w:top w:val="single" w:color="auto" w:sz="4" w:space="0"/>
              <w:left w:val="single" w:color="auto" w:sz="4" w:space="0"/>
              <w:bottom w:val="single" w:color="auto" w:sz="4" w:space="0"/>
              <w:right w:val="single" w:color="auto" w:sz="4" w:space="0"/>
            </w:tcBorders>
            <w:noWrap w:val="0"/>
            <w:vAlign w:val="center"/>
          </w:tcPr>
          <w:p w14:paraId="1084E37E">
            <w:pPr>
              <w:keepNext w:val="0"/>
              <w:keepLines w:val="0"/>
              <w:pageBreakBefore w:val="0"/>
              <w:widowControl/>
              <w:kinsoku/>
              <w:wordWrap/>
              <w:overflowPunct/>
              <w:topLinePunct w:val="0"/>
              <w:bidi w:val="0"/>
              <w:spacing w:line="240" w:lineRule="auto"/>
              <w:jc w:val="left"/>
              <w:textAlignment w:val="auto"/>
              <w:rPr>
                <w:rFonts w:hint="eastAsia"/>
                <w:bCs/>
                <w:szCs w:val="21"/>
              </w:rPr>
            </w:pPr>
          </w:p>
        </w:tc>
        <w:tc>
          <w:tcPr>
            <w:tcW w:w="2056" w:type="dxa"/>
            <w:gridSpan w:val="2"/>
            <w:tcBorders>
              <w:top w:val="single" w:color="auto" w:sz="4" w:space="0"/>
              <w:left w:val="single" w:color="auto" w:sz="4" w:space="0"/>
              <w:bottom w:val="single" w:color="auto" w:sz="4" w:space="0"/>
              <w:right w:val="single" w:color="auto" w:sz="4" w:space="0"/>
            </w:tcBorders>
            <w:noWrap w:val="0"/>
            <w:vAlign w:val="center"/>
          </w:tcPr>
          <w:p w14:paraId="1FAA58E5">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采购办意见</w:t>
            </w:r>
          </w:p>
          <w:p w14:paraId="44152468">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cs="宋体"/>
                <w:sz w:val="24"/>
              </w:rPr>
              <w:t>（签章）</w:t>
            </w:r>
          </w:p>
        </w:tc>
        <w:tc>
          <w:tcPr>
            <w:tcW w:w="3232" w:type="dxa"/>
            <w:gridSpan w:val="4"/>
            <w:tcBorders>
              <w:top w:val="single" w:color="auto" w:sz="4" w:space="0"/>
              <w:left w:val="single" w:color="auto" w:sz="4" w:space="0"/>
              <w:bottom w:val="single" w:color="auto" w:sz="4" w:space="0"/>
              <w:right w:val="single" w:color="auto" w:sz="4" w:space="0"/>
            </w:tcBorders>
            <w:noWrap w:val="0"/>
            <w:vAlign w:val="center"/>
          </w:tcPr>
          <w:p w14:paraId="69297103">
            <w:pPr>
              <w:keepNext w:val="0"/>
              <w:keepLines w:val="0"/>
              <w:pageBreakBefore w:val="0"/>
              <w:widowControl/>
              <w:kinsoku/>
              <w:wordWrap/>
              <w:overflowPunct/>
              <w:topLinePunct w:val="0"/>
              <w:bidi w:val="0"/>
              <w:spacing w:line="240" w:lineRule="auto"/>
              <w:jc w:val="center"/>
              <w:textAlignment w:val="auto"/>
              <w:rPr>
                <w:rFonts w:hint="eastAsia" w:ascii="宋体" w:hAnsi="宋体" w:cs="宋体"/>
                <w:sz w:val="24"/>
              </w:rPr>
            </w:pPr>
            <w:r>
              <w:rPr>
                <w:rFonts w:hint="eastAsia" w:ascii="宋体" w:hAnsi="宋体" w:eastAsia="宋体" w:cs="宋体"/>
                <w:sz w:val="24"/>
                <w:lang w:val="en-US" w:eastAsia="zh-CN"/>
              </w:rPr>
              <w:t>□</w:t>
            </w:r>
            <w:r>
              <w:rPr>
                <w:rFonts w:hint="eastAsia" w:ascii="宋体" w:hAnsi="宋体" w:eastAsia="宋体" w:cs="宋体"/>
                <w:sz w:val="24"/>
              </w:rPr>
              <w:t>资料齐全  □资料不齐全</w:t>
            </w:r>
          </w:p>
        </w:tc>
      </w:tr>
      <w:tr w14:paraId="1E37434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14" w:hRule="exact"/>
          <w:jc w:val="center"/>
        </w:trPr>
        <w:tc>
          <w:tcPr>
            <w:tcW w:w="10364" w:type="dxa"/>
            <w:gridSpan w:val="8"/>
            <w:tcBorders>
              <w:top w:val="single" w:color="auto" w:sz="4" w:space="0"/>
              <w:left w:val="single" w:color="auto" w:sz="4" w:space="0"/>
              <w:bottom w:val="single" w:color="auto" w:sz="4" w:space="0"/>
              <w:right w:val="single" w:color="auto" w:sz="4" w:space="0"/>
            </w:tcBorders>
            <w:noWrap w:val="0"/>
            <w:vAlign w:val="center"/>
          </w:tcPr>
          <w:p w14:paraId="76D9938C">
            <w:pPr>
              <w:keepNext w:val="0"/>
              <w:keepLines w:val="0"/>
              <w:pageBreakBefore w:val="0"/>
              <w:kinsoku/>
              <w:wordWrap/>
              <w:overflowPunct/>
              <w:topLinePunct w:val="0"/>
              <w:bidi w:val="0"/>
              <w:spacing w:line="240" w:lineRule="auto"/>
              <w:textAlignment w:val="auto"/>
              <w:rPr>
                <w:rFonts w:hint="eastAsia" w:ascii="宋体" w:hAnsi="宋体" w:cs="宋体"/>
                <w:sz w:val="20"/>
                <w:szCs w:val="20"/>
              </w:rPr>
            </w:pPr>
            <w:r>
              <w:rPr>
                <w:rFonts w:hint="eastAsia"/>
                <w:bCs/>
                <w:sz w:val="20"/>
                <w:szCs w:val="20"/>
              </w:rPr>
              <w:t>备注</w:t>
            </w:r>
            <w:r>
              <w:rPr>
                <w:bCs/>
                <w:sz w:val="20"/>
                <w:szCs w:val="20"/>
              </w:rPr>
              <w:t>：1、</w:t>
            </w:r>
            <w:r>
              <w:rPr>
                <w:rFonts w:hint="eastAsia"/>
                <w:bCs/>
                <w:sz w:val="20"/>
                <w:szCs w:val="20"/>
              </w:rPr>
              <w:t>货物类一致性主要为产品规格、型号和数量验收。</w:t>
            </w:r>
            <w:r>
              <w:rPr>
                <w:bCs/>
                <w:sz w:val="20"/>
                <w:szCs w:val="20"/>
              </w:rPr>
              <w:t>2、</w:t>
            </w:r>
            <w:r>
              <w:rPr>
                <w:rFonts w:hint="eastAsia"/>
                <w:bCs/>
                <w:sz w:val="20"/>
                <w:szCs w:val="20"/>
              </w:rPr>
              <w:t>服务类一致性主要为产品服务质量验收。</w:t>
            </w:r>
            <w:r>
              <w:rPr>
                <w:bCs/>
                <w:sz w:val="20"/>
                <w:szCs w:val="20"/>
              </w:rPr>
              <w:t>3、</w:t>
            </w:r>
            <w:r>
              <w:rPr>
                <w:rFonts w:hint="eastAsia"/>
                <w:bCs/>
                <w:sz w:val="20"/>
                <w:szCs w:val="20"/>
              </w:rPr>
              <w:t>工程类一致性主要为工程清单</w:t>
            </w:r>
            <w:r>
              <w:rPr>
                <w:bCs/>
                <w:sz w:val="20"/>
                <w:szCs w:val="20"/>
              </w:rPr>
              <w:t>、</w:t>
            </w:r>
            <w:r>
              <w:rPr>
                <w:rFonts w:hint="eastAsia"/>
                <w:bCs/>
                <w:sz w:val="20"/>
                <w:szCs w:val="20"/>
              </w:rPr>
              <w:t>质量和相关配套验收</w:t>
            </w:r>
            <w:r>
              <w:rPr>
                <w:bCs/>
                <w:sz w:val="20"/>
                <w:szCs w:val="20"/>
              </w:rPr>
              <w:t>。</w:t>
            </w:r>
            <w:r>
              <w:rPr>
                <w:rFonts w:hint="eastAsia"/>
                <w:bCs/>
                <w:sz w:val="20"/>
                <w:szCs w:val="20"/>
              </w:rPr>
              <w:t>4、特殊项目验收登记表格可自行制定，但必须要素和内容齐全。</w:t>
            </w:r>
          </w:p>
        </w:tc>
      </w:tr>
    </w:tbl>
    <w:p w14:paraId="5E22C877">
      <w:pPr>
        <w:keepNext w:val="0"/>
        <w:keepLines w:val="0"/>
        <w:pageBreakBefore w:val="0"/>
        <w:kinsoku/>
        <w:wordWrap/>
        <w:overflowPunct/>
        <w:topLinePunct w:val="0"/>
        <w:bidi w:val="0"/>
        <w:spacing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4"/>
          <w:highlight w:val="none"/>
          <w:lang w:val="en-US" w:eastAsia="zh-CN"/>
        </w:rPr>
        <w:br w:type="page"/>
      </w:r>
    </w:p>
    <w:p w14:paraId="180CCDC2">
      <w:pPr>
        <w:pStyle w:val="4"/>
        <w:keepNext w:val="0"/>
        <w:keepLines w:val="0"/>
        <w:pageBreakBefore w:val="0"/>
        <w:numPr>
          <w:ilvl w:val="0"/>
          <w:numId w:val="0"/>
        </w:numPr>
        <w:kinsoku/>
        <w:wordWrap/>
        <w:overflowPunct/>
        <w:topLinePunct w:val="0"/>
        <w:bidi w:val="0"/>
        <w:spacing w:line="240" w:lineRule="auto"/>
        <w:ind w:left="0" w:firstLine="0"/>
        <w:textAlignment w:val="auto"/>
        <w:rPr>
          <w:rFonts w:hint="eastAsia"/>
          <w:color w:val="auto"/>
          <w:sz w:val="32"/>
          <w:szCs w:val="32"/>
        </w:rPr>
      </w:pPr>
      <w:r>
        <w:rPr>
          <w:rFonts w:hint="eastAsia"/>
          <w:color w:val="auto"/>
          <w:sz w:val="32"/>
          <w:szCs w:val="32"/>
          <w:lang w:val="en-US" w:eastAsia="zh-CN"/>
        </w:rPr>
        <w:t>合同</w:t>
      </w:r>
      <w:r>
        <w:rPr>
          <w:rFonts w:hint="eastAsia"/>
          <w:color w:val="auto"/>
          <w:sz w:val="32"/>
          <w:szCs w:val="32"/>
        </w:rPr>
        <w:t>附件2</w:t>
      </w:r>
    </w:p>
    <w:p w14:paraId="0957EEF8">
      <w:pPr>
        <w:pStyle w:val="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0"/>
        <w:jc w:val="center"/>
        <w:textAlignment w:val="auto"/>
        <w:rPr>
          <w:rFonts w:hint="eastAsia" w:eastAsia="宋体"/>
          <w:color w:val="auto"/>
          <w:sz w:val="28"/>
          <w:szCs w:val="28"/>
        </w:rPr>
      </w:pPr>
      <w:r>
        <w:rPr>
          <w:rFonts w:hint="eastAsia" w:eastAsia="宋体"/>
          <w:color w:val="auto"/>
          <w:sz w:val="28"/>
          <w:szCs w:val="28"/>
        </w:rPr>
        <w:t>廉洁协议书</w:t>
      </w:r>
    </w:p>
    <w:p w14:paraId="1C29B8C9">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为了增强甲乙双方依法廉洁履约，防止发生违法违纪行为，根据国家有关法律法规和廉洁自律规定，特订立本廉洁协议书：</w:t>
      </w:r>
    </w:p>
    <w:p w14:paraId="70427820">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  甲、乙双方的共同义务</w:t>
      </w:r>
    </w:p>
    <w:p w14:paraId="57930C3C">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（一）严格遵守国家有关工程建设、物资采购、招标投标等市场经济活动的法律法规、政策以及廉政建设规定。</w:t>
      </w:r>
    </w:p>
    <w:p w14:paraId="0628F07F">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（二）严格履行合同约定，自觉承担合同义务。</w:t>
      </w:r>
    </w:p>
    <w:p w14:paraId="6216D7E3">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（三）业务活动必须坚持公平、公正、公开和诚实守信的原则（法律法规另有规定除外），不得为获取不正当利益损害国家、集体和对方利益，不得违反工程建设管理、物资采购、招标投标等方面的规章制度。</w:t>
      </w:r>
    </w:p>
    <w:p w14:paraId="6A369F85">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（四）建立健全自我制约制度，开展廉洁教育，公布举报电话，监督并认真查处违法违纪行为。</w:t>
      </w:r>
    </w:p>
    <w:p w14:paraId="26DC4247">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（五）发现对方在业务活动中有违规、违纪、违法行为的，应及时提醒对方，情节严重的，应向有关纪检监察部门举报。</w:t>
      </w:r>
    </w:p>
    <w:p w14:paraId="7F7160B8">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  甲方的义务：</w:t>
      </w:r>
    </w:p>
    <w:p w14:paraId="796F3C64">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甲方相关工作人员，在业务活动的事前、事中、事后，应遵守以下规定：</w:t>
      </w:r>
    </w:p>
    <w:p w14:paraId="4657D14B">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（一）按照公平、公正、公开和诚实守信的原则开展各项业务活动，为乙方提供公平的竞争环境与平台； </w:t>
      </w:r>
    </w:p>
    <w:p w14:paraId="4F846CA4">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（二）不向乙方泄漏涉及有关业务活动的秘密； </w:t>
      </w:r>
    </w:p>
    <w:p w14:paraId="59BB3BBC">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（三）不参与影响相关工作正常和公正开展的其他活动；</w:t>
      </w:r>
    </w:p>
    <w:p w14:paraId="2A542AE9">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（四）不在乙方及/或相关单位报销任何应由甲方或个人支付的费用；</w:t>
      </w:r>
    </w:p>
    <w:p w14:paraId="07A2F877">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（五）不要求、暗示或接受乙方及/或相关单位为个人装修住房、婚丧嫁娶、配偶子女的工作安排以及境内外旅游等提供方便；</w:t>
      </w:r>
    </w:p>
    <w:p w14:paraId="19A9099D">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（六）不收受或索取红包、礼金、购物卡、有价证券、贵重物品、感谢费和好处费等非正当利益；</w:t>
      </w:r>
    </w:p>
    <w:p w14:paraId="1A5EBC31">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（七）不向乙方介绍配偶、子女、亲属参与与甲方有关的经济活动，不得以任何理由向乙方和相关单位推荐第三方单位；</w:t>
      </w:r>
    </w:p>
    <w:p w14:paraId="0F0B4616">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（八）不违反《中国共产党廉洁自律准则》等规定的内容。</w:t>
      </w:r>
    </w:p>
    <w:p w14:paraId="68A5C55B">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  乙方的义务：</w:t>
      </w:r>
    </w:p>
    <w:p w14:paraId="18DBF376">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在与甲方业务交往过程中，按照有关法律法规和程序开展工作，严格执行国家的有关方针、政策，并遵守以下规定：</w:t>
      </w:r>
    </w:p>
    <w:p w14:paraId="60B12BEF">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（一）不以任何理由为甲方及/或相关单位报销应由对方或个人支付的费用；</w:t>
      </w:r>
    </w:p>
    <w:p w14:paraId="4F8CFB61">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（二）不以任何理由向甲方负责人及/或其工作人员赠送红包、礼金、购物卡、有价证券、贵重物品、感谢费和好处费等非正当利益；</w:t>
      </w:r>
    </w:p>
    <w:p w14:paraId="7CA4A610">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（三）不准为甲方、与甲方相关的单位及/或个人装修住房、婚丧嫁取、配偶子女的工作安排以及境内外旅游等提供方便；</w:t>
      </w:r>
    </w:p>
    <w:p w14:paraId="48B04259">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（四）不得以谋取非正当利益为目的，擅自与甲方工作人员就业务问题进行私下商谈或者达成利益默契；</w:t>
      </w:r>
    </w:p>
    <w:p w14:paraId="3A2B5559">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（五）乙方不得向甲方员工及/或其利益代言人提供任何形式的借款；</w:t>
      </w:r>
    </w:p>
    <w:p w14:paraId="2DFC7FFA">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（六）乙方的股东、董事、监事、经理、高级管理人员、合作项目负责人及项目成员系甲方员工或其利益代言人的，应在合作前以书面方式如实、全面告知甲方。</w:t>
      </w:r>
    </w:p>
    <w:p w14:paraId="1D10189F">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合作过程中，乙方不得允许甲方员工及/或其配偶持有或由第三方代持有乙方股权（但通过公开的证券交易市场且低于发行在外5%的权益、通过直接或间接持有无实际控制权的基金、或通过受益人非本人或利益代言人的信托方式持有的股份除外），亦不得聘用甲方员工（包括但不限于建立正式劳动关系、劳务派遣、外包服务、兼职、咨询顾问等其他形式）。乙方如有聘用甲方员工配偶及其他利益代言人任职于乙方的，应在聘用之日起三日内以书面方式如实、全面告知甲方。</w:t>
      </w:r>
    </w:p>
    <w:p w14:paraId="7750E52F">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（八）发现甲方工作人员有违反本廉政协议书及党和国家相关法律、法规等文件规定的，应向甲方单位举报，甲方会对所有信息提供者及所提供的全部资料严格保密。</w:t>
      </w:r>
    </w:p>
    <w:p w14:paraId="573EE50C">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第四条  相关责任</w:t>
      </w:r>
    </w:p>
    <w:p w14:paraId="526F7B30">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（一）甲方员工违反本廉政协议书第一、二条规定的，一经查实，严格按照管理权限，依据有关党纪、法律法规、规章制度给予纪律处分或组织处理；涉嫌犯罪的，移送司法机关依法追究刑事责任。</w:t>
      </w:r>
    </w:p>
    <w:p w14:paraId="26A4832E">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违反本廉政协议书第一、三条规定的，一经查实，甲方有权单方部分或全部终止与乙方的合同，同时乙方应向甲方支付所涉订单（合同）金额的10%作为违约金。乙方应于甲方发现违约行为之日起5个工作日内支付违约金，如未及时支付，甲方有权从合同款项中直接扣除。同时，甲方有权向有管辖权的行政机关反映，由有管辖权的行政机关予以处决。乙方涉嫌犯罪的，甲方将依法移送司法机关依法追究其刑事责任。</w:t>
      </w:r>
    </w:p>
    <w:p w14:paraId="00EA1831">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若乙方违反本协议第三条第（六）款及/或第（七）款之规定，除应根据上述第（二）款之规定承担违约责任外，乙方还应将因此行为所得的全部收益支付给甲方。乙方应于甲方发现该等违约行为之日起5个工作日内向甲方支付其所得的全部收益，如未及时支付，甲方有权从合同款项中直接扣除，不足部分甲方有权向乙方进行追偿。</w:t>
      </w:r>
    </w:p>
    <w:p w14:paraId="220F57AA">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对于乙方，无论是主动还是被动发生第一条、第二条、第三条所示行为的，如果主动向甲方提供有效信息，甲方可以给予乙方相应的奖励，对于上述情形的处理甲方有完全的判断权和自主权，乙方认可并自愿接受处理结果。</w:t>
      </w:r>
    </w:p>
    <w:p w14:paraId="28C9D1E4">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  协议书生效及法律效力</w:t>
      </w:r>
    </w:p>
    <w:p w14:paraId="0082B8B1">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（一）本廉政协议书经双方签字盖章后生效。</w:t>
      </w:r>
    </w:p>
    <w:p w14:paraId="166F1B3A">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（二）除非甲乙双方另行签订新的廉政协议书，否则本廉政协议书在甲方与乙方存在业务关系期间均对双方产生约束力。</w:t>
      </w:r>
    </w:p>
    <w:p w14:paraId="7DC71A60">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  其他</w:t>
      </w:r>
    </w:p>
    <w:p w14:paraId="09432F7D">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（一）本廉政协议书作为主合同附件，与主合同具有同等法律效力。</w:t>
      </w:r>
    </w:p>
    <w:p w14:paraId="26DF38A7">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（二）甲乙双方确认在签订本廉政协议书前已仔细阅读条款内容，甲乙双方对本廉政协议书所产生的法律责任已清楚知悉并承诺遵守。</w:t>
      </w:r>
    </w:p>
    <w:p w14:paraId="3F74E644">
      <w:pPr>
        <w:keepNext w:val="0"/>
        <w:keepLines w:val="0"/>
        <w:pageBreakBefore w:val="0"/>
        <w:widowControl/>
        <w:kinsoku/>
        <w:wordWrap/>
        <w:overflowPunct/>
        <w:topLinePunct w:val="0"/>
        <w:autoSpaceDE w:val="0"/>
        <w:autoSpaceDN w:val="0"/>
        <w:bidi w:val="0"/>
        <w:adjustRightInd w:val="0"/>
        <w:snapToGrid w:val="0"/>
        <w:spacing w:line="500" w:lineRule="exact"/>
        <w:jc w:val="left"/>
        <w:textAlignment w:val="auto"/>
        <w:rPr>
          <w:rFonts w:hint="eastAsia" w:ascii="宋体" w:hAnsi="宋体" w:eastAsia="宋体" w:cs="宋体"/>
          <w:color w:val="auto"/>
          <w:sz w:val="24"/>
          <w:szCs w:val="24"/>
          <w:highlight w:val="none"/>
        </w:rPr>
      </w:pPr>
    </w:p>
    <w:p w14:paraId="46119ADB">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1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乙方（盖章）：</w:t>
      </w:r>
    </w:p>
    <w:p w14:paraId="6DE17F2B">
      <w:pPr>
        <w:pStyle w:val="30"/>
        <w:keepNext w:val="0"/>
        <w:keepLines w:val="0"/>
        <w:pageBreakBefore w:val="0"/>
        <w:widowControl/>
        <w:kinsoku/>
        <w:wordWrap/>
        <w:overflowPunct/>
        <w:topLinePunct w:val="0"/>
        <w:autoSpaceDE w:val="0"/>
        <w:autoSpaceDN w:val="0"/>
        <w:bidi w:val="0"/>
        <w:adjustRightInd w:val="0"/>
        <w:snapToGrid w:val="0"/>
        <w:spacing w:line="500" w:lineRule="exact"/>
        <w:ind w:firstLine="480"/>
        <w:textAlignment w:val="auto"/>
        <w:rPr>
          <w:rFonts w:hint="eastAsia" w:ascii="宋体" w:hAnsi="宋体" w:eastAsia="宋体" w:cs="宋体"/>
          <w:color w:val="auto"/>
          <w:sz w:val="24"/>
          <w:szCs w:val="24"/>
          <w:highlight w:val="none"/>
        </w:rPr>
      </w:pPr>
    </w:p>
    <w:p w14:paraId="1C54CE09">
      <w:pPr>
        <w:keepNext w:val="0"/>
        <w:keepLines w:val="0"/>
        <w:pageBreakBefore w:val="0"/>
        <w:widowControl/>
        <w:kinsoku/>
        <w:wordWrap/>
        <w:overflowPunct/>
        <w:topLinePunct w:val="0"/>
        <w:autoSpaceDE w:val="0"/>
        <w:autoSpaceDN w:val="0"/>
        <w:bidi w:val="0"/>
        <w:adjustRightInd w:val="0"/>
        <w:snapToGrid w:val="0"/>
        <w:spacing w:line="500" w:lineRule="exact"/>
        <w:textAlignment w:val="auto"/>
        <w:rPr>
          <w:rFonts w:hAnsi="宋体"/>
          <w:sz w:val="24"/>
          <w:highlight w:val="none"/>
        </w:rPr>
      </w:pPr>
      <w:r>
        <w:rPr>
          <w:rFonts w:hint="eastAsia" w:ascii="宋体" w:hAnsi="宋体" w:eastAsia="宋体" w:cs="宋体"/>
          <w:color w:val="auto"/>
          <w:sz w:val="24"/>
          <w:szCs w:val="24"/>
          <w:highlight w:val="none"/>
        </w:rPr>
        <w:t xml:space="preserve">          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w:t>
      </w:r>
    </w:p>
    <w:p w14:paraId="54021A57">
      <w:pPr>
        <w:keepNext w:val="0"/>
        <w:keepLines w:val="0"/>
        <w:pageBreakBefore w:val="0"/>
        <w:widowControl/>
        <w:kinsoku/>
        <w:wordWrap/>
        <w:overflowPunct/>
        <w:topLinePunct w:val="0"/>
        <w:autoSpaceDE w:val="0"/>
        <w:autoSpaceDN w:val="0"/>
        <w:bidi w:val="0"/>
        <w:adjustRightInd w:val="0"/>
        <w:snapToGrid w:val="0"/>
        <w:spacing w:line="500" w:lineRule="exact"/>
        <w:textAlignment w:val="auto"/>
        <w:rPr>
          <w:rFonts w:hint="eastAsia" w:ascii="宋体" w:hAnsi="宋体" w:eastAsia="宋体" w:cs="Arial"/>
          <w:color w:val="auto"/>
          <w:kern w:val="2"/>
          <w:sz w:val="24"/>
          <w:szCs w:val="24"/>
          <w:highlight w:val="none"/>
        </w:rPr>
      </w:pPr>
      <w:r>
        <w:rPr>
          <w:rFonts w:hint="eastAsia" w:ascii="宋体" w:hAnsi="宋体" w:eastAsia="宋体" w:cs="Arial"/>
          <w:b/>
          <w:color w:val="auto"/>
          <w:kern w:val="2"/>
          <w:sz w:val="24"/>
          <w:szCs w:val="24"/>
          <w:highlight w:val="none"/>
        </w:rPr>
        <w:t>注：</w:t>
      </w:r>
      <w:r>
        <w:rPr>
          <w:rFonts w:hint="eastAsia" w:ascii="宋体" w:hAnsi="宋体" w:eastAsia="宋体" w:cs="Arial"/>
          <w:color w:val="auto"/>
          <w:kern w:val="2"/>
          <w:sz w:val="24"/>
          <w:szCs w:val="24"/>
          <w:highlight w:val="none"/>
        </w:rPr>
        <w:t>本合同只作为参考文本，合同条款可根据采购人及成交人签订合同时的实际情况进行修改调整。</w:t>
      </w:r>
    </w:p>
    <w:p w14:paraId="0C586BB7">
      <w:pPr>
        <w:keepNext w:val="0"/>
        <w:keepLines w:val="0"/>
        <w:pageBreakBefore w:val="0"/>
        <w:widowControl/>
        <w:wordWrap/>
        <w:overflowPunct/>
        <w:topLinePunct w:val="0"/>
        <w:autoSpaceDE w:val="0"/>
        <w:autoSpaceDN w:val="0"/>
        <w:bidi w:val="0"/>
        <w:adjustRightInd w:val="0"/>
        <w:snapToGrid w:val="0"/>
        <w:spacing w:before="75" w:line="500" w:lineRule="exact"/>
        <w:ind w:right="81"/>
        <w:rPr>
          <w:rFonts w:ascii="宋体" w:hAnsi="宋体" w:eastAsia="宋体" w:cs="宋体"/>
          <w:color w:val="0000FF"/>
          <w:sz w:val="23"/>
          <w:szCs w:val="23"/>
        </w:rPr>
      </w:pPr>
    </w:p>
    <w:p w14:paraId="1B3CD4FC">
      <w:pPr>
        <w:keepNext w:val="0"/>
        <w:keepLines w:val="0"/>
        <w:pageBreakBefore w:val="0"/>
        <w:widowControl/>
        <w:wordWrap/>
        <w:overflowPunct/>
        <w:topLinePunct w:val="0"/>
        <w:autoSpaceDE w:val="0"/>
        <w:autoSpaceDN w:val="0"/>
        <w:bidi w:val="0"/>
        <w:adjustRightInd w:val="0"/>
        <w:snapToGrid w:val="0"/>
        <w:spacing w:before="75" w:line="500" w:lineRule="exact"/>
        <w:ind w:right="81"/>
        <w:rPr>
          <w:rFonts w:ascii="宋体" w:hAnsi="宋体" w:eastAsia="宋体" w:cs="宋体"/>
          <w:color w:val="0000FF"/>
          <w:sz w:val="23"/>
          <w:szCs w:val="23"/>
        </w:rPr>
      </w:pPr>
    </w:p>
    <w:p w14:paraId="75A42405">
      <w:pPr>
        <w:spacing w:before="75" w:line="222" w:lineRule="auto"/>
        <w:ind w:right="81"/>
        <w:rPr>
          <w:rFonts w:ascii="宋体" w:hAnsi="宋体" w:eastAsia="宋体" w:cs="宋体"/>
          <w:color w:val="0000FF"/>
          <w:sz w:val="23"/>
          <w:szCs w:val="23"/>
        </w:rPr>
      </w:pPr>
    </w:p>
    <w:sectPr>
      <w:headerReference r:id="rId43" w:type="default"/>
      <w:footerReference r:id="rId44" w:type="default"/>
      <w:type w:val="continuous"/>
      <w:pgSz w:w="11850" w:h="16783"/>
      <w:pgMar w:top="1270" w:right="1080" w:bottom="1270" w:left="1080" w:header="0" w:footer="990" w:gutter="0"/>
      <w:pgNumType w:fmt="decimal"/>
      <w:cols w:equalWidth="0" w:num="1">
        <w:col w:w="8353"/>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F"/>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855FA11A-C623-44D4-A596-DB136979EFA9}"/>
  </w:font>
  <w:font w:name="黑体">
    <w:panose1 w:val="02010609060101010101"/>
    <w:charset w:val="86"/>
    <w:family w:val="auto"/>
    <w:pitch w:val="default"/>
    <w:sig w:usb0="800002BF" w:usb1="38CF7CFA" w:usb2="00000016" w:usb3="00000000" w:csb0="00040001" w:csb1="00000000"/>
    <w:embedRegular r:id="rId2" w:fontKey="{DC118510-3CFA-44ED-B065-9F1659E15041}"/>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FC9222A0-0536-4E59-B781-740BABF0BBAB}"/>
  </w:font>
  <w:font w:name="Cambria">
    <w:panose1 w:val="02040503050406030204"/>
    <w:charset w:val="00"/>
    <w:family w:val="roman"/>
    <w:pitch w:val="default"/>
    <w:sig w:usb0="E00002FF" w:usb1="400004FF" w:usb2="00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embedRegular r:id="rId4" w:fontKey="{768386E6-0A88-4C70-BE04-1335403E57BA}"/>
  </w:font>
  <w:font w:name="微软雅黑">
    <w:panose1 w:val="020B0503020204020204"/>
    <w:charset w:val="86"/>
    <w:family w:val="auto"/>
    <w:pitch w:val="default"/>
    <w:sig w:usb0="80000287" w:usb1="280F3C52" w:usb2="00000016" w:usb3="00000000" w:csb0="0004001F" w:csb1="00000000"/>
    <w:embedRegular r:id="rId5" w:fontKey="{0B482211-71CE-4D61-B679-F00F84A07931}"/>
  </w:font>
  <w:font w:name="仿宋">
    <w:panose1 w:val="02010609060101010101"/>
    <w:charset w:val="86"/>
    <w:family w:val="modern"/>
    <w:pitch w:val="default"/>
    <w:sig w:usb0="800002BF" w:usb1="38CF7CFA" w:usb2="00000016" w:usb3="00000000" w:csb0="00040001" w:csb1="00000000"/>
    <w:embedRegular r:id="rId6" w:fontKey="{8D19B83B-06C0-48C1-B4B0-F1ED0669925F}"/>
  </w:font>
  <w:font w:name="仿宋_GB2312">
    <w:panose1 w:val="02010609030101010101"/>
    <w:charset w:val="86"/>
    <w:family w:val="modern"/>
    <w:pitch w:val="default"/>
    <w:sig w:usb0="00000001" w:usb1="080E0000" w:usb2="00000000" w:usb3="00000000" w:csb0="00040000" w:csb1="00000000"/>
    <w:embedRegular r:id="rId7" w:fontKey="{1CD93D21-0ADC-4D76-8EA0-42B2DE159E1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2AEF8">
    <w:pPr>
      <w:spacing w:line="188" w:lineRule="auto"/>
      <w:ind w:left="4363"/>
      <w:rPr>
        <w:rFonts w:ascii="Calibri" w:hAnsi="Calibri" w:eastAsia="Calibri" w:cs="Calibri"/>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66A4C1">
                          <w:pPr>
                            <w:pStyle w:val="1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066A4C1">
                    <w:pPr>
                      <w:pStyle w:val="15"/>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11B78">
    <w:pPr>
      <w:spacing w:line="188" w:lineRule="auto"/>
      <w:ind w:left="4066"/>
      <w:rPr>
        <w:rFonts w:ascii="Calibri" w:hAnsi="Calibri" w:eastAsia="Calibri" w:cs="Calibri"/>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989DEF">
                          <w:pPr>
                            <w:pStyle w:val="15"/>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9989DEF">
                    <w:pPr>
                      <w:pStyle w:val="15"/>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15B0A">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5379D2">
                          <w:pPr>
                            <w:pStyle w:val="15"/>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15379D2">
                    <w:pPr>
                      <w:pStyle w:val="15"/>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472A5">
    <w:pPr>
      <w:pStyle w:val="1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2EF744">
                          <w:pPr>
                            <w:pStyle w:val="15"/>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C2EF744">
                    <w:pPr>
                      <w:pStyle w:val="15"/>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6DF1A">
    <w:pPr>
      <w:pStyle w:val="1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5D824">
                          <w:pPr>
                            <w:pStyle w:val="15"/>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2E5D824">
                    <w:pPr>
                      <w:pStyle w:val="15"/>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AB643">
    <w:pPr>
      <w:pStyle w:val="15"/>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879FAA">
                          <w:pPr>
                            <w:pStyle w:val="15"/>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A879FAA">
                    <w:pPr>
                      <w:pStyle w:val="15"/>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95D59">
    <w:pPr>
      <w:pStyle w:val="15"/>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1CFB3E">
                          <w:pPr>
                            <w:pStyle w:val="15"/>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11CFB3E">
                    <w:pPr>
                      <w:pStyle w:val="15"/>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CB06A">
    <w:pPr>
      <w:pStyle w:val="15"/>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0131A2">
                          <w:pPr>
                            <w:pStyle w:val="1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20131A2">
                    <w:pPr>
                      <w:pStyle w:val="15"/>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4F12D">
    <w:pPr>
      <w:pStyle w:val="15"/>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3D016F">
                          <w:pPr>
                            <w:pStyle w:val="15"/>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33D016F">
                    <w:pPr>
                      <w:pStyle w:val="15"/>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5D674">
    <w:pPr>
      <w:pStyle w:val="15"/>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34F983">
                          <w:pPr>
                            <w:pStyle w:val="15"/>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034F983">
                    <w:pPr>
                      <w:pStyle w:val="15"/>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EC9A8">
    <w:pPr>
      <w:pStyle w:val="15"/>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D2A468">
                          <w:pPr>
                            <w:pStyle w:val="15"/>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4BD2A468">
                    <w:pPr>
                      <w:pStyle w:val="15"/>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94A7B">
    <w:pPr>
      <w:pStyle w:val="15"/>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43578F">
                          <w:pPr>
                            <w:pStyle w:val="15"/>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843578F">
                    <w:pPr>
                      <w:pStyle w:val="15"/>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B5FED">
    <w:pPr>
      <w:pStyle w:val="15"/>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798C2">
                          <w:pPr>
                            <w:pStyle w:val="15"/>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01798C2">
                    <w:pPr>
                      <w:pStyle w:val="15"/>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64358">
    <w:pPr>
      <w:pStyle w:val="15"/>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9BB754">
                          <w:pPr>
                            <w:pStyle w:val="15"/>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569BB754">
                    <w:pPr>
                      <w:pStyle w:val="15"/>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CB186">
    <w:pPr>
      <w:pStyle w:val="15"/>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8825C8">
                          <w:pPr>
                            <w:pStyle w:val="15"/>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6D8825C8">
                    <w:pPr>
                      <w:pStyle w:val="15"/>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AF0E3">
    <w:pPr>
      <w:pStyle w:val="15"/>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DEEDEE">
                          <w:pPr>
                            <w:pStyle w:val="15"/>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47DEEDEE">
                    <w:pPr>
                      <w:pStyle w:val="15"/>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0D266">
    <w:pPr>
      <w:pStyle w:val="15"/>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21E75D">
                          <w:pPr>
                            <w:pStyle w:val="15"/>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1821E75D">
                    <w:pPr>
                      <w:pStyle w:val="15"/>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9EF2F">
    <w:pPr>
      <w:pStyle w:val="15"/>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90D53D">
                          <w:pPr>
                            <w:pStyle w:val="15"/>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4D90D53D">
                    <w:pPr>
                      <w:pStyle w:val="15"/>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1CD49">
    <w:pPr>
      <w:pStyle w:val="15"/>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1A093B">
                          <w:pPr>
                            <w:pStyle w:val="15"/>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131A093B">
                    <w:pPr>
                      <w:pStyle w:val="15"/>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F77B5">
    <w:pPr>
      <w:pStyle w:val="15"/>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F95FA6">
                          <w:pPr>
                            <w:pStyle w:val="1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60F95FA6">
                    <w:pPr>
                      <w:pStyle w:val="1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FEB3D">
    <w:pPr>
      <w:pStyle w:val="15"/>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5D1895">
                          <w:pPr>
                            <w:pStyle w:val="15"/>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65D1895">
                    <w:pPr>
                      <w:pStyle w:val="15"/>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83D78">
    <w:pPr>
      <w:spacing w:line="186" w:lineRule="auto"/>
      <w:ind w:left="4065"/>
      <w:rPr>
        <w:rFonts w:ascii="Calibri" w:hAnsi="Calibri" w:eastAsia="Calibri" w:cs="Calibri"/>
        <w:sz w:val="17"/>
        <w:szCs w:val="17"/>
      </w:rPr>
    </w:pPr>
    <w:r>
      <w:rPr>
        <w:sz w:val="17"/>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1F497E">
                          <w:pPr>
                            <w:pStyle w:val="15"/>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7E1F497E">
                    <w:pPr>
                      <w:pStyle w:val="15"/>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75E62C">
    <w:pPr>
      <w:pStyle w:val="16"/>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D7681">
    <w:pPr>
      <w:pStyle w:val="16"/>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CB3ED">
    <w:pPr>
      <w:pStyle w:val="16"/>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CC024">
    <w:pPr>
      <w:pStyle w:val="16"/>
      <w:rPr>
        <w:rFonts w:hint="eastAsia"/>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777E6">
    <w:pPr>
      <w:pStyle w:val="16"/>
      <w:rPr>
        <w:rFonts w:hint="eastAsia"/>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D0DA3">
    <w:pPr>
      <w:pStyle w:val="16"/>
      <w:rPr>
        <w:rFonts w:hint="eastAsia"/>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C69AA">
    <w:pPr>
      <w:pStyle w:val="16"/>
      <w:rPr>
        <w:rFonts w:hint="eastAsia"/>
        <w:lang w:eastAsia="zh-C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0519F">
    <w:pPr>
      <w:pStyle w:val="16"/>
      <w:rPr>
        <w:rFonts w:hint="eastAsia"/>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0E371">
    <w:pPr>
      <w:pStyle w:val="16"/>
      <w:rPr>
        <w:rFonts w:hint="eastAsia"/>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D9CAF">
    <w:pPr>
      <w:pStyle w:val="16"/>
      <w:rPr>
        <w:rFonts w:hint="eastAsia"/>
        <w:lang w:eastAsia="zh-C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AD07F4">
    <w:pPr>
      <w:pStyle w:val="16"/>
      <w:rPr>
        <w:rFonts w:hint="eastAsia"/>
        <w:lang w:eastAsia="zh-C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49ABF">
    <w:pPr>
      <w:pStyle w:val="16"/>
      <w:rPr>
        <w:rFonts w:hint="eastAsia"/>
        <w:lang w:eastAsia="zh-CN"/>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78096">
    <w:pPr>
      <w:pStyle w:val="16"/>
      <w:rPr>
        <w:rFonts w:hint="eastAsia"/>
        <w:lang w:eastAsia="zh-CN"/>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409523">
    <w:pPr>
      <w:pStyle w:val="16"/>
      <w:rPr>
        <w:rFonts w:hint="eastAsia"/>
        <w:lang w:eastAsia="zh-CN"/>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AAC0C">
    <w:pPr>
      <w:pStyle w:val="16"/>
      <w:rPr>
        <w:rFonts w:hint="eastAsia"/>
        <w:lang w:eastAsia="zh-CN"/>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5B3E8">
    <w:pPr>
      <w:pStyle w:val="16"/>
      <w:rPr>
        <w:rFonts w:hint="eastAsia"/>
        <w:lang w:eastAsia="zh-CN"/>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EB682">
    <w:pPr>
      <w:pStyle w:val="16"/>
      <w:rPr>
        <w:rFonts w:hint="eastAsia"/>
        <w:lang w:eastAsia="zh-CN"/>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973B5">
    <w:pPr>
      <w:pStyle w:val="16"/>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
    <w:nsid w:val="30942FA6"/>
    <w:multiLevelType w:val="singleLevel"/>
    <w:tmpl w:val="30942FA6"/>
    <w:lvl w:ilvl="0" w:tentative="0">
      <w:start w:val="1"/>
      <w:numFmt w:val="decimal"/>
      <w:pStyle w:val="5"/>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jNhYmVhMTIzNDUyMDQ4NGY3MDFhOTY4NmVkZjdhY2MifQ=="/>
  </w:docVars>
  <w:rsids>
    <w:rsidRoot w:val="00000000"/>
    <w:rsid w:val="002E1803"/>
    <w:rsid w:val="00687182"/>
    <w:rsid w:val="02DA4630"/>
    <w:rsid w:val="03A5064B"/>
    <w:rsid w:val="045E3F55"/>
    <w:rsid w:val="04E22B90"/>
    <w:rsid w:val="050F3226"/>
    <w:rsid w:val="05763B3C"/>
    <w:rsid w:val="06E72E78"/>
    <w:rsid w:val="06F624CF"/>
    <w:rsid w:val="07835E37"/>
    <w:rsid w:val="08DD5538"/>
    <w:rsid w:val="095F5000"/>
    <w:rsid w:val="09B03C3C"/>
    <w:rsid w:val="09B272DD"/>
    <w:rsid w:val="0A092748"/>
    <w:rsid w:val="0A2A009D"/>
    <w:rsid w:val="0A6743CA"/>
    <w:rsid w:val="0B0D02DE"/>
    <w:rsid w:val="0B3F371D"/>
    <w:rsid w:val="0C542978"/>
    <w:rsid w:val="0CAE1304"/>
    <w:rsid w:val="0CBE642E"/>
    <w:rsid w:val="0CC6365F"/>
    <w:rsid w:val="0D29114E"/>
    <w:rsid w:val="0D3E2E16"/>
    <w:rsid w:val="0D3E3C8A"/>
    <w:rsid w:val="0D80305A"/>
    <w:rsid w:val="0F4B3FBB"/>
    <w:rsid w:val="10370749"/>
    <w:rsid w:val="107F2B6D"/>
    <w:rsid w:val="10D573C6"/>
    <w:rsid w:val="10DE6B3C"/>
    <w:rsid w:val="11872D96"/>
    <w:rsid w:val="125910CE"/>
    <w:rsid w:val="129245E0"/>
    <w:rsid w:val="12A72738"/>
    <w:rsid w:val="12E25CC8"/>
    <w:rsid w:val="1363425E"/>
    <w:rsid w:val="14EE70E5"/>
    <w:rsid w:val="150C447B"/>
    <w:rsid w:val="154B12C7"/>
    <w:rsid w:val="158815E7"/>
    <w:rsid w:val="15C101DF"/>
    <w:rsid w:val="15F1786F"/>
    <w:rsid w:val="15FF1EF9"/>
    <w:rsid w:val="180715CC"/>
    <w:rsid w:val="18927322"/>
    <w:rsid w:val="18A177F3"/>
    <w:rsid w:val="18F25DD8"/>
    <w:rsid w:val="1903390C"/>
    <w:rsid w:val="192E7A69"/>
    <w:rsid w:val="193B0A5B"/>
    <w:rsid w:val="19A4333B"/>
    <w:rsid w:val="1A576463"/>
    <w:rsid w:val="1A7B5802"/>
    <w:rsid w:val="1B7D301E"/>
    <w:rsid w:val="1BD90BDF"/>
    <w:rsid w:val="1BF9122C"/>
    <w:rsid w:val="1CA3182D"/>
    <w:rsid w:val="1CA762D7"/>
    <w:rsid w:val="1CE52417"/>
    <w:rsid w:val="1CF10155"/>
    <w:rsid w:val="1DEB1EF4"/>
    <w:rsid w:val="1FE91D49"/>
    <w:rsid w:val="202842B2"/>
    <w:rsid w:val="20BB2193"/>
    <w:rsid w:val="2129610F"/>
    <w:rsid w:val="214C62A1"/>
    <w:rsid w:val="24650E84"/>
    <w:rsid w:val="24696379"/>
    <w:rsid w:val="247C7F56"/>
    <w:rsid w:val="24C25DB7"/>
    <w:rsid w:val="26A316D2"/>
    <w:rsid w:val="26B13A83"/>
    <w:rsid w:val="27473887"/>
    <w:rsid w:val="27DA07EE"/>
    <w:rsid w:val="2877192A"/>
    <w:rsid w:val="28ED7103"/>
    <w:rsid w:val="29377C36"/>
    <w:rsid w:val="29C55868"/>
    <w:rsid w:val="29F54CCB"/>
    <w:rsid w:val="29F94714"/>
    <w:rsid w:val="29FC0A17"/>
    <w:rsid w:val="2B1F44AB"/>
    <w:rsid w:val="2B637EF5"/>
    <w:rsid w:val="2B81265D"/>
    <w:rsid w:val="2BB05490"/>
    <w:rsid w:val="2C7F0C57"/>
    <w:rsid w:val="2C8E6F44"/>
    <w:rsid w:val="2D74105A"/>
    <w:rsid w:val="2E7734EE"/>
    <w:rsid w:val="2EEF63EA"/>
    <w:rsid w:val="3017024F"/>
    <w:rsid w:val="30280DB5"/>
    <w:rsid w:val="30C9339C"/>
    <w:rsid w:val="30D84EB8"/>
    <w:rsid w:val="30EF1848"/>
    <w:rsid w:val="31061610"/>
    <w:rsid w:val="31CB005B"/>
    <w:rsid w:val="32351D53"/>
    <w:rsid w:val="323F0A4F"/>
    <w:rsid w:val="330E0D3F"/>
    <w:rsid w:val="33951821"/>
    <w:rsid w:val="34086058"/>
    <w:rsid w:val="34BB0586"/>
    <w:rsid w:val="35391CE5"/>
    <w:rsid w:val="3546508A"/>
    <w:rsid w:val="359E51B5"/>
    <w:rsid w:val="367D70AF"/>
    <w:rsid w:val="37410EFB"/>
    <w:rsid w:val="37C66C9B"/>
    <w:rsid w:val="38390BAB"/>
    <w:rsid w:val="38405E93"/>
    <w:rsid w:val="39F503A4"/>
    <w:rsid w:val="3A7F7D10"/>
    <w:rsid w:val="3C034C82"/>
    <w:rsid w:val="3C455B7B"/>
    <w:rsid w:val="3C9B4400"/>
    <w:rsid w:val="3D4F56D4"/>
    <w:rsid w:val="3DC11703"/>
    <w:rsid w:val="3E1427E4"/>
    <w:rsid w:val="3E254107"/>
    <w:rsid w:val="3F1B650E"/>
    <w:rsid w:val="3F4D34B9"/>
    <w:rsid w:val="3F877A39"/>
    <w:rsid w:val="3F896641"/>
    <w:rsid w:val="3FC410AD"/>
    <w:rsid w:val="404E228C"/>
    <w:rsid w:val="40ED086C"/>
    <w:rsid w:val="41BE41FA"/>
    <w:rsid w:val="42EB101F"/>
    <w:rsid w:val="43052171"/>
    <w:rsid w:val="44BF3FC9"/>
    <w:rsid w:val="451B69DA"/>
    <w:rsid w:val="46935C55"/>
    <w:rsid w:val="470942CE"/>
    <w:rsid w:val="478771B1"/>
    <w:rsid w:val="484A13D9"/>
    <w:rsid w:val="48941775"/>
    <w:rsid w:val="48980628"/>
    <w:rsid w:val="4A285AE1"/>
    <w:rsid w:val="4AEB2504"/>
    <w:rsid w:val="4C402826"/>
    <w:rsid w:val="4CB30DFF"/>
    <w:rsid w:val="4CB42DC9"/>
    <w:rsid w:val="4DB82445"/>
    <w:rsid w:val="4E1753BE"/>
    <w:rsid w:val="4E6F0C06"/>
    <w:rsid w:val="4F1C2C5E"/>
    <w:rsid w:val="4F8847C5"/>
    <w:rsid w:val="4F990E03"/>
    <w:rsid w:val="4FAE4EF9"/>
    <w:rsid w:val="4FBB4297"/>
    <w:rsid w:val="4FF27F73"/>
    <w:rsid w:val="509E2492"/>
    <w:rsid w:val="51BA678C"/>
    <w:rsid w:val="5212253E"/>
    <w:rsid w:val="521C3F5D"/>
    <w:rsid w:val="5288688A"/>
    <w:rsid w:val="52DE46FC"/>
    <w:rsid w:val="530A3AC8"/>
    <w:rsid w:val="53A30B5C"/>
    <w:rsid w:val="566347E3"/>
    <w:rsid w:val="5748483A"/>
    <w:rsid w:val="576A6F91"/>
    <w:rsid w:val="57815089"/>
    <w:rsid w:val="57950610"/>
    <w:rsid w:val="57B56D7C"/>
    <w:rsid w:val="5878114F"/>
    <w:rsid w:val="597151FC"/>
    <w:rsid w:val="5A0207A0"/>
    <w:rsid w:val="5A557999"/>
    <w:rsid w:val="5B013444"/>
    <w:rsid w:val="5B182775"/>
    <w:rsid w:val="5BCA1889"/>
    <w:rsid w:val="5BD75060"/>
    <w:rsid w:val="5C7A5495"/>
    <w:rsid w:val="5C903C03"/>
    <w:rsid w:val="5CA1351A"/>
    <w:rsid w:val="5CCE691C"/>
    <w:rsid w:val="5D1F603D"/>
    <w:rsid w:val="5DEC4EA9"/>
    <w:rsid w:val="5E361A1F"/>
    <w:rsid w:val="5F117C07"/>
    <w:rsid w:val="5F6539DF"/>
    <w:rsid w:val="60286EDC"/>
    <w:rsid w:val="60405108"/>
    <w:rsid w:val="60455DBA"/>
    <w:rsid w:val="623E1ACF"/>
    <w:rsid w:val="6274308B"/>
    <w:rsid w:val="63063AD5"/>
    <w:rsid w:val="636B7358"/>
    <w:rsid w:val="63A93E2D"/>
    <w:rsid w:val="65DD458E"/>
    <w:rsid w:val="66682C0E"/>
    <w:rsid w:val="66EF3B15"/>
    <w:rsid w:val="67006BFE"/>
    <w:rsid w:val="67204E8B"/>
    <w:rsid w:val="67300075"/>
    <w:rsid w:val="67A32261"/>
    <w:rsid w:val="67E748DD"/>
    <w:rsid w:val="68A37B22"/>
    <w:rsid w:val="69B71EBC"/>
    <w:rsid w:val="69DD3507"/>
    <w:rsid w:val="69F57321"/>
    <w:rsid w:val="6A6D488B"/>
    <w:rsid w:val="6C472CF7"/>
    <w:rsid w:val="6C6D269F"/>
    <w:rsid w:val="6CAD595D"/>
    <w:rsid w:val="6D03051F"/>
    <w:rsid w:val="6D3874BD"/>
    <w:rsid w:val="6D444A4D"/>
    <w:rsid w:val="6E0220C9"/>
    <w:rsid w:val="6E6D2A5A"/>
    <w:rsid w:val="6EA5499C"/>
    <w:rsid w:val="6EC83832"/>
    <w:rsid w:val="6ED835DE"/>
    <w:rsid w:val="6FD23B88"/>
    <w:rsid w:val="70A365B8"/>
    <w:rsid w:val="7143288C"/>
    <w:rsid w:val="715E5138"/>
    <w:rsid w:val="722A12B4"/>
    <w:rsid w:val="72513173"/>
    <w:rsid w:val="73457EEE"/>
    <w:rsid w:val="73BF07AD"/>
    <w:rsid w:val="740B78E0"/>
    <w:rsid w:val="743542E2"/>
    <w:rsid w:val="750C6B50"/>
    <w:rsid w:val="75390316"/>
    <w:rsid w:val="75A1188D"/>
    <w:rsid w:val="75CF095A"/>
    <w:rsid w:val="762865F3"/>
    <w:rsid w:val="77D73344"/>
    <w:rsid w:val="77E354BD"/>
    <w:rsid w:val="79217289"/>
    <w:rsid w:val="794656CB"/>
    <w:rsid w:val="79AE350C"/>
    <w:rsid w:val="7A0B73E2"/>
    <w:rsid w:val="7B2369E2"/>
    <w:rsid w:val="7B8C4888"/>
    <w:rsid w:val="7CC44275"/>
    <w:rsid w:val="7CE55E02"/>
    <w:rsid w:val="7D874259"/>
    <w:rsid w:val="7DEF0A9C"/>
    <w:rsid w:val="7E1B5599"/>
    <w:rsid w:val="7E4173F6"/>
    <w:rsid w:val="7F3D4D17"/>
    <w:rsid w:val="7F8A3392"/>
    <w:rsid w:val="7FE403BB"/>
    <w:rsid w:val="7FE64A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7">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8">
    <w:name w:val="heading 2"/>
    <w:basedOn w:val="1"/>
    <w:next w:val="1"/>
    <w:link w:val="33"/>
    <w:autoRedefine/>
    <w:qFormat/>
    <w:uiPriority w:val="99"/>
    <w:pPr>
      <w:keepNext/>
      <w:keepLines/>
      <w:spacing w:line="415" w:lineRule="auto"/>
      <w:outlineLvl w:val="1"/>
    </w:pPr>
    <w:rPr>
      <w:rFonts w:ascii="Cambria" w:hAnsi="Cambria" w:cs="Times New Roman"/>
      <w:b/>
      <w:bCs/>
      <w:sz w:val="32"/>
      <w:szCs w:val="32"/>
    </w:rPr>
  </w:style>
  <w:style w:type="paragraph" w:styleId="9">
    <w:name w:val="heading 4"/>
    <w:basedOn w:val="1"/>
    <w:next w:val="1"/>
    <w:autoRedefine/>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character" w:default="1" w:styleId="20">
    <w:name w:val="Default Paragraph Font"/>
    <w:autoRedefine/>
    <w:semiHidden/>
    <w:qFormat/>
    <w:uiPriority w:val="0"/>
  </w:style>
  <w:style w:type="table" w:default="1" w:styleId="18">
    <w:name w:val="Normal Table"/>
    <w:autoRedefine/>
    <w:semiHidden/>
    <w:qFormat/>
    <w:uiPriority w:val="0"/>
    <w:tblPr>
      <w:tblCellMar>
        <w:top w:w="0" w:type="dxa"/>
        <w:left w:w="108" w:type="dxa"/>
        <w:bottom w:w="0" w:type="dxa"/>
        <w:right w:w="108" w:type="dxa"/>
      </w:tblCellMar>
    </w:tblPr>
  </w:style>
  <w:style w:type="paragraph" w:customStyle="1" w:styleId="2">
    <w:name w:val="标题 5（有编号）（绿盟科技）"/>
    <w:basedOn w:val="3"/>
    <w:next w:val="6"/>
    <w:autoRedefine/>
    <w:qFormat/>
    <w:uiPriority w:val="0"/>
    <w:pPr>
      <w:keepNext/>
      <w:keepLines/>
      <w:numPr>
        <w:ilvl w:val="4"/>
        <w:numId w:val="1"/>
      </w:numPr>
      <w:spacing w:before="280" w:after="156" w:line="377" w:lineRule="auto"/>
      <w:jc w:val="left"/>
      <w:outlineLvl w:val="4"/>
    </w:pPr>
    <w:rPr>
      <w:rFonts w:ascii="Arial" w:hAnsi="Arial" w:eastAsia="黑体" w:cs="黑体"/>
      <w:b/>
      <w:kern w:val="0"/>
      <w:sz w:val="24"/>
      <w:szCs w:val="28"/>
    </w:rPr>
  </w:style>
  <w:style w:type="paragraph" w:customStyle="1" w:styleId="3">
    <w:name w:val="正文1"/>
    <w:next w:val="4"/>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4">
    <w:name w:val="正文文本1"/>
    <w:basedOn w:val="5"/>
    <w:next w:val="3"/>
    <w:autoRedefine/>
    <w:qFormat/>
    <w:uiPriority w:val="0"/>
    <w:pPr>
      <w:spacing w:beforeLines="0" w:afterLines="50"/>
    </w:pPr>
  </w:style>
  <w:style w:type="paragraph" w:customStyle="1" w:styleId="5">
    <w:name w:val="表格内1"/>
    <w:next w:val="4"/>
    <w:autoRedefine/>
    <w:qFormat/>
    <w:uiPriority w:val="0"/>
    <w:pPr>
      <w:widowControl w:val="0"/>
      <w:numPr>
        <w:ilvl w:val="0"/>
        <w:numId w:val="2"/>
      </w:numPr>
      <w:jc w:val="both"/>
    </w:pPr>
    <w:rPr>
      <w:rFonts w:ascii="Calibri" w:hAnsi="Calibri" w:eastAsia="宋体" w:cs="黑体"/>
      <w:b/>
      <w:kern w:val="2"/>
      <w:sz w:val="21"/>
      <w:szCs w:val="22"/>
      <w:lang w:val="en-US" w:eastAsia="zh-CN" w:bidi="ar-SA"/>
    </w:rPr>
  </w:style>
  <w:style w:type="paragraph" w:customStyle="1" w:styleId="6">
    <w:name w:val="正文（绿盟科技）"/>
    <w:basedOn w:val="1"/>
    <w:autoRedefine/>
    <w:qFormat/>
    <w:uiPriority w:val="0"/>
    <w:pPr>
      <w:overflowPunct/>
      <w:autoSpaceDE/>
      <w:autoSpaceDN/>
      <w:adjustRightInd/>
      <w:spacing w:line="300" w:lineRule="auto"/>
      <w:jc w:val="left"/>
      <w:textAlignment w:val="auto"/>
    </w:pPr>
    <w:rPr>
      <w:rFonts w:ascii="Arial" w:hAnsi="Arial" w:cs="黑体"/>
    </w:rPr>
  </w:style>
  <w:style w:type="paragraph" w:styleId="10">
    <w:name w:val="Normal Indent"/>
    <w:basedOn w:val="1"/>
    <w:autoRedefine/>
    <w:qFormat/>
    <w:uiPriority w:val="0"/>
    <w:pPr>
      <w:ind w:firstLine="420" w:firstLineChars="200"/>
    </w:pPr>
  </w:style>
  <w:style w:type="paragraph" w:styleId="11">
    <w:name w:val="annotation text"/>
    <w:basedOn w:val="1"/>
    <w:autoRedefine/>
    <w:qFormat/>
    <w:uiPriority w:val="0"/>
    <w:pPr>
      <w:jc w:val="left"/>
    </w:pPr>
  </w:style>
  <w:style w:type="paragraph" w:styleId="12">
    <w:name w:val="Salutation"/>
    <w:basedOn w:val="1"/>
    <w:next w:val="1"/>
    <w:autoRedefine/>
    <w:qFormat/>
    <w:uiPriority w:val="0"/>
    <w:pPr>
      <w:spacing w:line="360" w:lineRule="auto"/>
      <w:ind w:firstLine="200" w:firstLineChars="200"/>
    </w:pPr>
    <w:rPr>
      <w:kern w:val="0"/>
      <w:sz w:val="20"/>
    </w:rPr>
  </w:style>
  <w:style w:type="paragraph" w:styleId="13">
    <w:name w:val="Body Text"/>
    <w:basedOn w:val="1"/>
    <w:next w:val="1"/>
    <w:autoRedefine/>
    <w:qFormat/>
    <w:uiPriority w:val="1"/>
    <w:rPr>
      <w:rFonts w:ascii="宋体" w:hAnsi="宋体" w:eastAsia="宋体" w:cs="宋体"/>
      <w:sz w:val="24"/>
      <w:szCs w:val="24"/>
      <w:lang w:val="zh-CN" w:eastAsia="zh-CN" w:bidi="zh-CN"/>
    </w:rPr>
  </w:style>
  <w:style w:type="paragraph" w:styleId="14">
    <w:name w:val="Plain Text"/>
    <w:basedOn w:val="1"/>
    <w:next w:val="1"/>
    <w:autoRedefine/>
    <w:qFormat/>
    <w:uiPriority w:val="99"/>
    <w:pPr>
      <w:autoSpaceDE w:val="0"/>
      <w:autoSpaceDN w:val="0"/>
      <w:adjustRightInd w:val="0"/>
    </w:pPr>
    <w:rPr>
      <w:rFonts w:ascii="宋体" w:hAnsi="Tms Rmn"/>
      <w:kern w:val="0"/>
      <w:szCs w:val="20"/>
    </w:r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Body Text First Indent"/>
    <w:basedOn w:val="13"/>
    <w:autoRedefine/>
    <w:qFormat/>
    <w:uiPriority w:val="0"/>
    <w:pPr>
      <w:ind w:firstLine="420" w:firstLineChars="100"/>
    </w:pPr>
    <w:rPr>
      <w:sz w:val="18"/>
      <w:szCs w:val="18"/>
    </w:rPr>
  </w:style>
  <w:style w:type="table" w:styleId="19">
    <w:name w:val="Table Grid"/>
    <w:basedOn w:val="18"/>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1">
    <w:name w:val="Strong"/>
    <w:basedOn w:val="20"/>
    <w:autoRedefine/>
    <w:qFormat/>
    <w:uiPriority w:val="0"/>
    <w:rPr>
      <w:b/>
    </w:rPr>
  </w:style>
  <w:style w:type="paragraph" w:styleId="22">
    <w:name w:val="Quote"/>
    <w:basedOn w:val="1"/>
    <w:next w:val="1"/>
    <w:qFormat/>
    <w:uiPriority w:val="99"/>
    <w:rPr>
      <w:rFonts w:ascii="Calibri" w:hAnsi="Calibri" w:cs="Calibri"/>
      <w:i/>
      <w:iCs/>
      <w:color w:val="000000"/>
      <w:sz w:val="22"/>
      <w:szCs w:val="22"/>
    </w:rPr>
  </w:style>
  <w:style w:type="paragraph" w:customStyle="1" w:styleId="2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24">
    <w:name w:val="Table Normal"/>
    <w:autoRedefine/>
    <w:semiHidden/>
    <w:unhideWhenUsed/>
    <w:qFormat/>
    <w:uiPriority w:val="0"/>
    <w:tblPr>
      <w:tblCellMar>
        <w:top w:w="0" w:type="dxa"/>
        <w:left w:w="0" w:type="dxa"/>
        <w:bottom w:w="0" w:type="dxa"/>
        <w:right w:w="0" w:type="dxa"/>
      </w:tblCellMar>
    </w:tblPr>
  </w:style>
  <w:style w:type="paragraph" w:customStyle="1" w:styleId="25">
    <w:name w:val="样式 首行缩进:  2 字符"/>
    <w:basedOn w:val="1"/>
    <w:autoRedefine/>
    <w:qFormat/>
    <w:uiPriority w:val="0"/>
    <w:pPr>
      <w:autoSpaceDE/>
      <w:autoSpaceDN/>
      <w:spacing w:line="400" w:lineRule="exact"/>
      <w:ind w:firstLine="200" w:firstLineChars="200"/>
      <w:jc w:val="both"/>
    </w:pPr>
    <w:rPr>
      <w:rFonts w:hAnsi="Calibri"/>
      <w:sz w:val="24"/>
      <w:szCs w:val="34"/>
      <w:lang w:val="en-US" w:bidi="ar-SA"/>
    </w:rPr>
  </w:style>
  <w:style w:type="paragraph" w:customStyle="1" w:styleId="26">
    <w:name w:val="列出段落2"/>
    <w:basedOn w:val="1"/>
    <w:autoRedefine/>
    <w:qFormat/>
    <w:uiPriority w:val="0"/>
    <w:pPr>
      <w:ind w:firstLine="420" w:firstLineChars="200"/>
    </w:pPr>
  </w:style>
  <w:style w:type="paragraph" w:customStyle="1" w:styleId="27">
    <w:name w:val="Table Text"/>
    <w:basedOn w:val="1"/>
    <w:autoRedefine/>
    <w:semiHidden/>
    <w:qFormat/>
    <w:uiPriority w:val="0"/>
    <w:rPr>
      <w:rFonts w:ascii="宋体" w:hAnsi="宋体" w:eastAsia="宋体" w:cs="宋体"/>
      <w:sz w:val="24"/>
      <w:szCs w:val="24"/>
      <w:lang w:val="en-US" w:eastAsia="en-US" w:bidi="ar-SA"/>
    </w:rPr>
  </w:style>
  <w:style w:type="paragraph" w:customStyle="1" w:styleId="28">
    <w:name w:val="null3"/>
    <w:autoRedefine/>
    <w:hidden/>
    <w:qFormat/>
    <w:uiPriority w:val="0"/>
    <w:rPr>
      <w:rFonts w:hint="eastAsia" w:asciiTheme="minorHAnsi" w:hAnsiTheme="minorHAnsi" w:eastAsiaTheme="minorEastAsia" w:cstheme="minorBidi"/>
      <w:lang w:val="en-US" w:eastAsia="zh-Hans"/>
    </w:rPr>
  </w:style>
  <w:style w:type="paragraph" w:customStyle="1" w:styleId="29">
    <w:name w:val="彩色列表1"/>
    <w:basedOn w:val="1"/>
    <w:autoRedefine/>
    <w:qFormat/>
    <w:uiPriority w:val="0"/>
    <w:pPr>
      <w:ind w:firstLine="420" w:firstLineChars="200"/>
    </w:pPr>
  </w:style>
  <w:style w:type="paragraph" w:customStyle="1" w:styleId="30">
    <w:name w:val="正文缩进1"/>
    <w:basedOn w:val="1"/>
    <w:autoRedefine/>
    <w:qFormat/>
    <w:uiPriority w:val="0"/>
    <w:pPr>
      <w:ind w:firstLine="200"/>
    </w:pPr>
  </w:style>
  <w:style w:type="character" w:customStyle="1" w:styleId="31">
    <w:name w:val="font41"/>
    <w:basedOn w:val="20"/>
    <w:autoRedefine/>
    <w:qFormat/>
    <w:uiPriority w:val="0"/>
    <w:rPr>
      <w:rFonts w:hint="eastAsia" w:ascii="宋体" w:hAnsi="宋体" w:eastAsia="宋体" w:cs="宋体"/>
      <w:color w:val="000000"/>
      <w:sz w:val="21"/>
      <w:szCs w:val="21"/>
      <w:u w:val="none"/>
      <w:vertAlign w:val="superscript"/>
    </w:rPr>
  </w:style>
  <w:style w:type="character" w:customStyle="1" w:styleId="32">
    <w:name w:val="font31"/>
    <w:basedOn w:val="20"/>
    <w:autoRedefine/>
    <w:qFormat/>
    <w:uiPriority w:val="99"/>
    <w:rPr>
      <w:rFonts w:ascii="宋体" w:hAnsi="宋体" w:eastAsia="宋体" w:cs="宋体"/>
      <w:color w:val="000000"/>
      <w:sz w:val="21"/>
      <w:szCs w:val="21"/>
      <w:u w:val="none"/>
      <w:vertAlign w:val="superscript"/>
    </w:rPr>
  </w:style>
  <w:style w:type="character" w:customStyle="1" w:styleId="33">
    <w:name w:val=" Char Char12"/>
    <w:link w:val="8"/>
    <w:autoRedefine/>
    <w:qFormat/>
    <w:uiPriority w:val="0"/>
    <w:rPr>
      <w:rFonts w:ascii="Cambria" w:hAnsi="Cambria" w:cs="Times New Roman"/>
      <w:b/>
      <w:bCs/>
      <w:sz w:val="32"/>
      <w:szCs w:val="32"/>
    </w:rPr>
  </w:style>
  <w:style w:type="character" w:customStyle="1" w:styleId="34">
    <w:name w:val="font11"/>
    <w:basedOn w:val="20"/>
    <w:qFormat/>
    <w:uiPriority w:val="0"/>
    <w:rPr>
      <w:rFonts w:hint="eastAsia" w:ascii="宋体" w:hAnsi="宋体" w:eastAsia="宋体"/>
      <w:color w:val="000000"/>
      <w:sz w:val="28"/>
      <w:szCs w:val="28"/>
      <w:u w:val="none"/>
    </w:rPr>
  </w:style>
  <w:style w:type="paragraph" w:customStyle="1" w:styleId="35">
    <w:name w:val="_Style 4"/>
    <w:basedOn w:val="1"/>
    <w:autoRedefine/>
    <w:qFormat/>
    <w:uiPriority w:val="0"/>
    <w:rPr>
      <w:szCs w:val="32"/>
    </w:rPr>
  </w:style>
  <w:style w:type="character" w:customStyle="1" w:styleId="36">
    <w:name w:val="font21"/>
    <w:basedOn w:val="20"/>
    <w:qFormat/>
    <w:uiPriority w:val="0"/>
    <w:rPr>
      <w:rFonts w:ascii="楷体" w:hAnsi="楷体" w:eastAsia="楷体" w:cs="楷体"/>
      <w:color w:val="000000"/>
      <w:sz w:val="24"/>
      <w:szCs w:val="24"/>
      <w:u w:val="none"/>
    </w:rPr>
  </w:style>
  <w:style w:type="paragraph" w:customStyle="1" w:styleId="37">
    <w:name w:val="样式"/>
    <w:qFormat/>
    <w:uiPriority w:val="0"/>
    <w:pPr>
      <w:widowControl w:val="0"/>
      <w:autoSpaceDE w:val="0"/>
      <w:autoSpaceDN w:val="0"/>
      <w:adjustRightInd w:val="0"/>
      <w:spacing w:after="160" w:line="259" w:lineRule="auto"/>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8" Type="http://schemas.openxmlformats.org/officeDocument/2006/relationships/fontTable" Target="fontTable.xml"/><Relationship Id="rId47" Type="http://schemas.openxmlformats.org/officeDocument/2006/relationships/numbering" Target="numbering.xml"/><Relationship Id="rId46" Type="http://schemas.openxmlformats.org/officeDocument/2006/relationships/customXml" Target="../customXml/item1.xml"/><Relationship Id="rId45" Type="http://schemas.openxmlformats.org/officeDocument/2006/relationships/theme" Target="theme/theme1.xml"/><Relationship Id="rId44" Type="http://schemas.openxmlformats.org/officeDocument/2006/relationships/footer" Target="footer22.xml"/><Relationship Id="rId43" Type="http://schemas.openxmlformats.org/officeDocument/2006/relationships/header" Target="header18.xml"/><Relationship Id="rId42" Type="http://schemas.openxmlformats.org/officeDocument/2006/relationships/footer" Target="footer21.xml"/><Relationship Id="rId41" Type="http://schemas.openxmlformats.org/officeDocument/2006/relationships/header" Target="header17.xml"/><Relationship Id="rId40" Type="http://schemas.openxmlformats.org/officeDocument/2006/relationships/footer" Target="footer20.xml"/><Relationship Id="rId4" Type="http://schemas.openxmlformats.org/officeDocument/2006/relationships/endnotes" Target="endnotes.xml"/><Relationship Id="rId39" Type="http://schemas.openxmlformats.org/officeDocument/2006/relationships/header" Target="header16.xml"/><Relationship Id="rId38" Type="http://schemas.openxmlformats.org/officeDocument/2006/relationships/footer" Target="footer19.xml"/><Relationship Id="rId37" Type="http://schemas.openxmlformats.org/officeDocument/2006/relationships/header" Target="header15.xml"/><Relationship Id="rId36" Type="http://schemas.openxmlformats.org/officeDocument/2006/relationships/footer" Target="footer18.xml"/><Relationship Id="rId35" Type="http://schemas.openxmlformats.org/officeDocument/2006/relationships/header" Target="header14.xml"/><Relationship Id="rId34" Type="http://schemas.openxmlformats.org/officeDocument/2006/relationships/footer" Target="footer17.xml"/><Relationship Id="rId33" Type="http://schemas.openxmlformats.org/officeDocument/2006/relationships/footer" Target="footer16.xml"/><Relationship Id="rId32" Type="http://schemas.openxmlformats.org/officeDocument/2006/relationships/header" Target="header13.xml"/><Relationship Id="rId31" Type="http://schemas.openxmlformats.org/officeDocument/2006/relationships/footer" Target="footer15.xml"/><Relationship Id="rId30" Type="http://schemas.openxmlformats.org/officeDocument/2006/relationships/header" Target="header12.xml"/><Relationship Id="rId3" Type="http://schemas.openxmlformats.org/officeDocument/2006/relationships/footnotes" Target="footnotes.xml"/><Relationship Id="rId29" Type="http://schemas.openxmlformats.org/officeDocument/2006/relationships/footer" Target="footer14.xml"/><Relationship Id="rId28" Type="http://schemas.openxmlformats.org/officeDocument/2006/relationships/header" Target="header11.xml"/><Relationship Id="rId27" Type="http://schemas.openxmlformats.org/officeDocument/2006/relationships/footer" Target="footer13.xml"/><Relationship Id="rId26" Type="http://schemas.openxmlformats.org/officeDocument/2006/relationships/header" Target="header10.xml"/><Relationship Id="rId25" Type="http://schemas.openxmlformats.org/officeDocument/2006/relationships/footer" Target="footer12.xml"/><Relationship Id="rId24" Type="http://schemas.openxmlformats.org/officeDocument/2006/relationships/header" Target="header9.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8.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84</Pages>
  <Words>5988</Words>
  <Characters>6745</Characters>
  <TotalTime>4</TotalTime>
  <ScaleCrop>false</ScaleCrop>
  <LinksUpToDate>false</LinksUpToDate>
  <CharactersWithSpaces>7859</CharactersWithSpaces>
  <Application>WPS Office_12.1.0.21171_F1E327BC-269C-435d-A152-05C5408002CA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2023-11-14T12:04:00Z</dcterms:created>
  <dc:creator>Administrator</dc:creator>
  <cp:lastModifiedBy>银care</cp:lastModifiedBy>
  <cp:lastPrinted>2025-03-06T01:06:00Z</cp:lastPrinted>
  <dcterms:modified xsi:type="dcterms:W3CDTF">2025-05-30T08:33:22Z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2023-11-14T12:04:38Z</vt:filetime>
  </property>
  <property fmtid="{D5CDD505-2E9C-101B-9397-08002B2CF9AE}" pid="4" name="KSOProductBuildVer">
    <vt:lpwstr>2052-12.1.0.21171</vt:lpwstr>
  </property>
  <property fmtid="{D5CDD505-2E9C-101B-9397-08002B2CF9AE}" pid="5" name="ICV">
    <vt:lpwstr>B2B641D9861B49CEA5910FCAFE7960EF_13</vt:lpwstr>
  </property>
  <property fmtid="{D5CDD505-2E9C-101B-9397-08002B2CF9AE}" pid="6" name="KSOTemplateDocerSaveRecord">
    <vt:lpwstr>eyJoZGlkIjoiMGI3ZTFhZGM1ODBjMzkxZDg5OWE3MzE4NDViM2QzYjQiLCJ1c2VySWQiOiI0MDQ4NTI3MDYifQ==</vt:lpwstr>
  </property>
</Properties>
</file>