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1BAF0">
      <w:pPr>
        <w:pStyle w:val="4"/>
        <w:spacing w:line="360" w:lineRule="auto"/>
        <w:ind w:firstLine="480"/>
        <w:rPr>
          <w:rFonts w:ascii="仿宋" w:hAnsi="仿宋" w:eastAsia="仿宋" w:cs="Times New Roman"/>
          <w:color w:val="auto"/>
          <w:highlight w:val="none"/>
        </w:rPr>
      </w:pPr>
      <w:r>
        <w:rPr>
          <w:rFonts w:ascii="仿宋" w:hAnsi="仿宋" w:eastAsia="仿宋" w:cs="Times New Roman"/>
          <w:color w:val="auto"/>
          <w:highlight w:val="none"/>
        </w:rPr>
        <w:t>合同编号：</w:t>
      </w:r>
      <w:r>
        <w:rPr>
          <w:rFonts w:ascii="仿宋" w:hAnsi="仿宋" w:eastAsia="仿宋" w:cs="Times New Roman"/>
          <w:color w:val="auto"/>
          <w:highlight w:val="none"/>
          <w:u w:val="single"/>
        </w:rPr>
        <w:t xml:space="preserve">                 </w:t>
      </w:r>
    </w:p>
    <w:p w14:paraId="6ED76015">
      <w:pPr>
        <w:pStyle w:val="4"/>
        <w:spacing w:line="360" w:lineRule="auto"/>
        <w:ind w:firstLine="480"/>
        <w:rPr>
          <w:rFonts w:ascii="仿宋" w:hAnsi="仿宋" w:eastAsia="仿宋" w:cs="Times New Roman"/>
          <w:color w:val="auto"/>
          <w:highlight w:val="none"/>
        </w:rPr>
      </w:pPr>
      <w:r>
        <w:rPr>
          <w:rFonts w:ascii="仿宋" w:hAnsi="仿宋" w:eastAsia="仿宋" w:cs="Times New Roman"/>
          <w:color w:val="auto"/>
          <w:highlight w:val="none"/>
        </w:rPr>
        <w:t>签订地点：</w:t>
      </w:r>
      <w:r>
        <w:rPr>
          <w:rFonts w:ascii="仿宋" w:hAnsi="仿宋" w:eastAsia="仿宋" w:cs="Times New Roman"/>
          <w:color w:val="auto"/>
          <w:highlight w:val="none"/>
          <w:u w:val="single"/>
        </w:rPr>
        <w:t xml:space="preserve">                 </w:t>
      </w:r>
    </w:p>
    <w:p w14:paraId="4E45ED5A">
      <w:pPr>
        <w:pStyle w:val="4"/>
        <w:spacing w:line="360" w:lineRule="auto"/>
        <w:ind w:firstLine="480"/>
        <w:rPr>
          <w:rFonts w:ascii="仿宋" w:hAnsi="仿宋" w:eastAsia="仿宋" w:cs="Times New Roman"/>
          <w:color w:val="auto"/>
          <w:highlight w:val="none"/>
        </w:rPr>
      </w:pPr>
      <w:r>
        <w:rPr>
          <w:rFonts w:ascii="仿宋" w:hAnsi="仿宋" w:eastAsia="仿宋" w:cs="Times New Roman"/>
          <w:color w:val="auto"/>
          <w:highlight w:val="none"/>
        </w:rPr>
        <w:t>签订时间：</w:t>
      </w:r>
      <w:r>
        <w:rPr>
          <w:rFonts w:ascii="仿宋" w:hAnsi="仿宋" w:eastAsia="仿宋" w:cs="Times New Roman"/>
          <w:color w:val="auto"/>
          <w:highlight w:val="none"/>
          <w:u w:val="single"/>
        </w:rPr>
        <w:t xml:space="preserve">    </w:t>
      </w:r>
      <w:r>
        <w:rPr>
          <w:rFonts w:ascii="仿宋" w:hAnsi="仿宋" w:eastAsia="仿宋" w:cs="Times New Roman"/>
          <w:color w:val="auto"/>
          <w:highlight w:val="none"/>
        </w:rPr>
        <w:t>年</w:t>
      </w:r>
      <w:r>
        <w:rPr>
          <w:rFonts w:ascii="仿宋" w:hAnsi="仿宋" w:eastAsia="仿宋" w:cs="Times New Roman"/>
          <w:color w:val="auto"/>
          <w:highlight w:val="none"/>
          <w:u w:val="single"/>
        </w:rPr>
        <w:t xml:space="preserve">    </w:t>
      </w:r>
      <w:r>
        <w:rPr>
          <w:rFonts w:ascii="仿宋" w:hAnsi="仿宋" w:eastAsia="仿宋" w:cs="Times New Roman"/>
          <w:color w:val="auto"/>
          <w:highlight w:val="none"/>
        </w:rPr>
        <w:t>月</w:t>
      </w:r>
      <w:r>
        <w:rPr>
          <w:rFonts w:ascii="仿宋" w:hAnsi="仿宋" w:eastAsia="仿宋" w:cs="Times New Roman"/>
          <w:color w:val="auto"/>
          <w:highlight w:val="none"/>
          <w:u w:val="single"/>
        </w:rPr>
        <w:t xml:space="preserve">    </w:t>
      </w:r>
      <w:r>
        <w:rPr>
          <w:rFonts w:ascii="仿宋" w:hAnsi="仿宋" w:eastAsia="仿宋" w:cs="Times New Roman"/>
          <w:color w:val="auto"/>
          <w:highlight w:val="none"/>
        </w:rPr>
        <w:t>日</w:t>
      </w:r>
    </w:p>
    <w:p w14:paraId="0B4AAF76">
      <w:pPr>
        <w:pStyle w:val="4"/>
        <w:spacing w:line="360" w:lineRule="auto"/>
        <w:ind w:firstLine="480"/>
        <w:rPr>
          <w:rFonts w:ascii="仿宋" w:hAnsi="仿宋" w:eastAsia="仿宋" w:cs="Times New Roman"/>
          <w:color w:val="auto"/>
          <w:highlight w:val="none"/>
        </w:rPr>
      </w:pPr>
      <w:r>
        <w:rPr>
          <w:rFonts w:ascii="仿宋" w:hAnsi="仿宋" w:eastAsia="仿宋" w:cs="Times New Roman"/>
          <w:color w:val="auto"/>
          <w:highlight w:val="none"/>
        </w:rPr>
        <w:t>采购人（甲方）：</w:t>
      </w:r>
      <w:r>
        <w:rPr>
          <w:rFonts w:hint="eastAsia" w:ascii="仿宋" w:hAnsi="仿宋" w:eastAsia="仿宋"/>
          <w:color w:val="auto"/>
          <w:sz w:val="24"/>
          <w:highlight w:val="none"/>
          <w:lang w:eastAsia="zh-CN"/>
        </w:rPr>
        <w:t>四川省经济和信息化厅</w:t>
      </w:r>
    </w:p>
    <w:p w14:paraId="30DF9353">
      <w:pPr>
        <w:pStyle w:val="4"/>
        <w:spacing w:line="360" w:lineRule="auto"/>
        <w:ind w:firstLine="480"/>
        <w:rPr>
          <w:rFonts w:ascii="仿宋" w:hAnsi="仿宋" w:eastAsia="仿宋" w:cs="Times New Roman"/>
          <w:color w:val="auto"/>
          <w:highlight w:val="none"/>
        </w:rPr>
      </w:pPr>
      <w:r>
        <w:rPr>
          <w:rFonts w:ascii="仿宋" w:hAnsi="仿宋" w:eastAsia="仿宋" w:cs="Times New Roman"/>
          <w:color w:val="auto"/>
          <w:highlight w:val="none"/>
        </w:rPr>
        <w:t>供应商（乙方）：</w:t>
      </w:r>
      <w:r>
        <w:rPr>
          <w:rFonts w:ascii="仿宋" w:hAnsi="仿宋" w:eastAsia="仿宋" w:cs="Times New Roman"/>
          <w:color w:val="auto"/>
          <w:highlight w:val="none"/>
          <w:u w:val="single"/>
        </w:rPr>
        <w:t xml:space="preserve">                             </w:t>
      </w:r>
    </w:p>
    <w:p w14:paraId="5F7BCF08">
      <w:pPr>
        <w:rPr>
          <w:rFonts w:ascii="仿宋" w:hAnsi="仿宋" w:eastAsia="仿宋"/>
          <w:color w:val="auto"/>
          <w:highlight w:val="none"/>
        </w:rPr>
      </w:pPr>
    </w:p>
    <w:p w14:paraId="7DEB71F5">
      <w:pPr>
        <w:rPr>
          <w:rFonts w:ascii="仿宋" w:hAnsi="仿宋" w:eastAsia="仿宋"/>
          <w:color w:val="auto"/>
          <w:highlight w:val="none"/>
        </w:rPr>
      </w:pPr>
    </w:p>
    <w:p w14:paraId="74781CB1">
      <w:pPr>
        <w:widowControl/>
        <w:spacing w:line="360" w:lineRule="auto"/>
        <w:ind w:firstLine="480"/>
        <w:jc w:val="left"/>
        <w:rPr>
          <w:rFonts w:ascii="仿宋" w:hAnsi="仿宋" w:eastAsia="仿宋"/>
          <w:color w:val="auto"/>
          <w:kern w:val="0"/>
          <w:sz w:val="24"/>
          <w:highlight w:val="none"/>
        </w:rPr>
      </w:pPr>
      <w:r>
        <w:rPr>
          <w:rFonts w:ascii="仿宋" w:hAnsi="仿宋" w:eastAsia="仿宋"/>
          <w:color w:val="auto"/>
          <w:kern w:val="0"/>
          <w:sz w:val="24"/>
          <w:highlight w:val="none"/>
        </w:rPr>
        <w:t>根据《中华人民共和国政府采购法》、《</w:t>
      </w:r>
      <w:r>
        <w:rPr>
          <w:rFonts w:hint="eastAsia" w:ascii="仿宋" w:hAnsi="仿宋" w:eastAsia="仿宋"/>
          <w:color w:val="auto"/>
          <w:kern w:val="0"/>
          <w:sz w:val="24"/>
          <w:highlight w:val="none"/>
        </w:rPr>
        <w:t>中华人民共和国民法典</w:t>
      </w:r>
      <w:r>
        <w:rPr>
          <w:rFonts w:ascii="仿宋" w:hAnsi="仿宋" w:eastAsia="仿宋"/>
          <w:color w:val="auto"/>
          <w:kern w:val="0"/>
          <w:sz w:val="24"/>
          <w:highlight w:val="none"/>
        </w:rPr>
        <w:t>》及</w:t>
      </w:r>
      <w:r>
        <w:rPr>
          <w:rFonts w:ascii="仿宋" w:hAnsi="仿宋" w:eastAsia="仿宋"/>
          <w:color w:val="auto"/>
          <w:kern w:val="0"/>
          <w:sz w:val="24"/>
          <w:highlight w:val="none"/>
          <w:u w:val="single"/>
        </w:rPr>
        <w:t>XXX采购项目</w:t>
      </w:r>
      <w:r>
        <w:rPr>
          <w:rFonts w:ascii="仿宋" w:hAnsi="仿宋" w:eastAsia="仿宋"/>
          <w:color w:val="auto"/>
          <w:kern w:val="0"/>
          <w:sz w:val="24"/>
          <w:highlight w:val="none"/>
        </w:rPr>
        <w:t>（采购项目编号：510***）的《磋商文件》、乙方的《响应文件》及《成交通知书》，甲、乙双方同意签订本合同。详细技术说明及其他有关合同项目的特定信息由合同附件予以说明，合同附件及本项目的磋商文件、响应文件、《成交通知书》等均为本合同不可分割的部分。双方同意共同遵守如下条款：</w:t>
      </w:r>
    </w:p>
    <w:p w14:paraId="64A8E487">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第一条</w:t>
      </w:r>
      <w:r>
        <w:rPr>
          <w:rFonts w:hint="eastAsia" w:ascii="仿宋" w:hAnsi="仿宋" w:eastAsia="仿宋"/>
          <w:b/>
          <w:color w:val="auto"/>
          <w:kern w:val="0"/>
          <w:sz w:val="24"/>
          <w:szCs w:val="20"/>
          <w:highlight w:val="none"/>
        </w:rPr>
        <w:t xml:space="preserve">  </w:t>
      </w:r>
      <w:r>
        <w:rPr>
          <w:rFonts w:ascii="仿宋" w:hAnsi="仿宋" w:eastAsia="仿宋"/>
          <w:b/>
          <w:color w:val="auto"/>
          <w:kern w:val="0"/>
          <w:sz w:val="24"/>
          <w:szCs w:val="20"/>
          <w:highlight w:val="none"/>
        </w:rPr>
        <w:t xml:space="preserve">合同文件 </w:t>
      </w:r>
    </w:p>
    <w:p w14:paraId="4CC162E2">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下列与本次采购活动有关的文件及附件是本合同不可分割的组成部分，与本合同具有同等法律效力，这些文件包括但不限于： </w:t>
      </w:r>
    </w:p>
    <w:p w14:paraId="69164FF4">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1．磋商文件 </w:t>
      </w:r>
    </w:p>
    <w:p w14:paraId="30C4EC38">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2．响应文件 </w:t>
      </w:r>
    </w:p>
    <w:p w14:paraId="7E3CDCA9">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3．乙方在响应时的书面承诺 </w:t>
      </w:r>
    </w:p>
    <w:p w14:paraId="47E59068">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4．成交通知书 </w:t>
      </w:r>
    </w:p>
    <w:p w14:paraId="5C3EBA86">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5．合同补充条款或说明 </w:t>
      </w:r>
    </w:p>
    <w:p w14:paraId="32F46E8C">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 xml:space="preserve">6．保密协议或条款 </w:t>
      </w:r>
    </w:p>
    <w:p w14:paraId="67F38924">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7．相关附件</w:t>
      </w:r>
    </w:p>
    <w:p w14:paraId="1CFC0F80">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第二条  合同期限</w:t>
      </w:r>
    </w:p>
    <w:p w14:paraId="56AA9619">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委托服务期间自______年______月至______年______月止。</w:t>
      </w:r>
    </w:p>
    <w:p w14:paraId="0FA8B179">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第三条  服务内容与服务标准</w:t>
      </w:r>
    </w:p>
    <w:p w14:paraId="213B8EC4">
      <w:pPr>
        <w:widowControl/>
        <w:spacing w:line="360" w:lineRule="auto"/>
        <w:ind w:firstLine="480"/>
        <w:jc w:val="left"/>
        <w:rPr>
          <w:rFonts w:ascii="仿宋" w:hAnsi="仿宋" w:eastAsia="仿宋"/>
          <w:color w:val="auto"/>
          <w:kern w:val="0"/>
          <w:sz w:val="24"/>
          <w:highlight w:val="none"/>
        </w:rPr>
      </w:pPr>
      <w:r>
        <w:rPr>
          <w:rFonts w:ascii="仿宋" w:hAnsi="仿宋" w:eastAsia="仿宋"/>
          <w:color w:val="auto"/>
          <w:kern w:val="0"/>
          <w:sz w:val="24"/>
          <w:highlight w:val="none"/>
        </w:rPr>
        <w:t>磋商文件要求、响应文件响应的服务内容（合同签订时明确）</w:t>
      </w:r>
    </w:p>
    <w:p w14:paraId="47ED2703">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第四条  合同金额及支付方式</w:t>
      </w:r>
    </w:p>
    <w:p w14:paraId="2595368B">
      <w:pPr>
        <w:autoSpaceDE w:val="0"/>
        <w:autoSpaceDN w:val="0"/>
        <w:adjustRightInd w:val="0"/>
        <w:spacing w:line="360" w:lineRule="auto"/>
        <w:ind w:firstLine="48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4.1 合同金额为：人民币 （大写）_________________元（￥_______________元）。本合同执行期间合同金额不变，甲方无须另向乙方支付本合同规定之外的其他任何费用。</w:t>
      </w:r>
    </w:p>
    <w:p w14:paraId="41D29924">
      <w:pPr>
        <w:autoSpaceDE w:val="0"/>
        <w:autoSpaceDN w:val="0"/>
        <w:adjustRightInd w:val="0"/>
        <w:spacing w:line="360" w:lineRule="auto"/>
        <w:ind w:firstLine="48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4.2 支付方式：</w:t>
      </w:r>
    </w:p>
    <w:p w14:paraId="0694B05F">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第五条  知识产权及承诺</w:t>
      </w:r>
    </w:p>
    <w:p w14:paraId="7A9C8C54">
      <w:pPr>
        <w:autoSpaceDE w:val="0"/>
        <w:autoSpaceDN w:val="0"/>
        <w:adjustRightInd w:val="0"/>
        <w:spacing w:line="360" w:lineRule="auto"/>
        <w:ind w:firstLine="48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5.1 乙方保证所提供的服务或其任何一部分均不会侵犯任何第三方的专利权、商标权、著作权或其他合法权益，否则视为乙方违约，由此产生的一切损失由乙方承担。</w:t>
      </w:r>
    </w:p>
    <w:p w14:paraId="7E89AF06">
      <w:pPr>
        <w:autoSpaceDE w:val="0"/>
        <w:autoSpaceDN w:val="0"/>
        <w:adjustRightInd w:val="0"/>
        <w:spacing w:line="360" w:lineRule="auto"/>
        <w:ind w:firstLine="48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5.2 经甲乙双方协商一致，本项目产生的知识产权归</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拥有。</w:t>
      </w:r>
    </w:p>
    <w:p w14:paraId="1B083932">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第六条  甲方的权利与义务</w:t>
      </w:r>
    </w:p>
    <w:p w14:paraId="0EC82C3F">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6.1 甲方有权对合同规定范围内乙方的服务进行督促，并要求乙方进行符合服务质量标准的修改。</w:t>
      </w:r>
    </w:p>
    <w:p w14:paraId="3CF898B3">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6.2 负责监督乙方服务的实施及执行情况。</w:t>
      </w:r>
    </w:p>
    <w:p w14:paraId="0FC8A3E1">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6.3 根据本合同规定，按时向乙方支付应付服务费用。</w:t>
      </w:r>
    </w:p>
    <w:p w14:paraId="014A6F02">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6.4 国家法律、法规所规定由甲方承担的其它责任。</w:t>
      </w:r>
    </w:p>
    <w:p w14:paraId="2C629C2F">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第七条  乙方的权利与义务</w:t>
      </w:r>
    </w:p>
    <w:p w14:paraId="289DC65B">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7.1 对委托服务范围内的项目有管理权及服务义务。按照服务内容和质量标准按时保质完成服务。</w:t>
      </w:r>
    </w:p>
    <w:p w14:paraId="130E136F">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7.2 根据本合同规定向甲方收取服务费用，并有权在项目管理范围内管理及合理使用。</w:t>
      </w:r>
    </w:p>
    <w:p w14:paraId="3DD8E375">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7.3 及时向甲方通告项目服务范围内有关服务的重大事项。</w:t>
      </w:r>
    </w:p>
    <w:p w14:paraId="158916C2">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7.4 国家法律、法规所规定由乙方承担的其它责任。</w:t>
      </w:r>
    </w:p>
    <w:p w14:paraId="055442E7">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第八条  违约责任</w:t>
      </w:r>
    </w:p>
    <w:p w14:paraId="42442EFF">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8.1 甲乙双方必须遵守本合同并执行合同中的各项规定，保证本合同的合法正常履行。</w:t>
      </w:r>
    </w:p>
    <w:p w14:paraId="350E322E">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8.2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150307D">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8.3 乙方提供的服务不符合磋商文件、报价文件或本合同规定的，每项违约乙方须向甲方支付本合同总价</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%的违约金。</w:t>
      </w:r>
    </w:p>
    <w:p w14:paraId="22D6544A">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8.4 乙方未能按本合同规定时间提供服务，从逾期之日起每日按本合同总价</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‰的数额向甲方支付违约金；逾期半个月以上的，甲方有权解除合同，由此造成的甲方经济损失由乙方承担。</w:t>
      </w:r>
    </w:p>
    <w:p w14:paraId="26A328C0">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8.5 甲方无正当理由拒收接受服务，到期拒付服务款项的，甲方向乙方偿付本合同总的</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%的违约金。甲方人逾期付款，则每日按本合同总价的  ‰向乙方偿付违约金。</w:t>
      </w:r>
    </w:p>
    <w:p w14:paraId="56B65FA4">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第九条  不可抗力</w:t>
      </w:r>
    </w:p>
    <w:p w14:paraId="19541174">
      <w:pPr>
        <w:autoSpaceDE w:val="0"/>
        <w:autoSpaceDN w:val="0"/>
        <w:adjustRightInd w:val="0"/>
        <w:spacing w:line="360" w:lineRule="auto"/>
        <w:ind w:firstLine="48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D5AF120">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第十条  争议的解决</w:t>
      </w:r>
    </w:p>
    <w:p w14:paraId="687172D8">
      <w:pPr>
        <w:autoSpaceDE w:val="0"/>
        <w:autoSpaceDN w:val="0"/>
        <w:adjustRightInd w:val="0"/>
        <w:spacing w:line="360" w:lineRule="auto"/>
        <w:ind w:firstLine="48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在执行本合同中发生的或与本合同有关的争端，双方应通过友好协商解决，经协商在不能达成协议时，应选择以下第</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种解决方式：</w:t>
      </w:r>
    </w:p>
    <w:p w14:paraId="30AB7D05">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10.1 向成都仲裁委员会提起仲裁；</w:t>
      </w:r>
    </w:p>
    <w:p w14:paraId="7CF5317F">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10.2 向甲方所在地有管辖权的法院提起诉讼。</w:t>
      </w:r>
    </w:p>
    <w:p w14:paraId="439E6154">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在法院审理和仲裁期间，除有争议部分外，本合同其他部分可以履行的仍应按合同条款继续履行。</w:t>
      </w:r>
    </w:p>
    <w:p w14:paraId="5AF88709">
      <w:pPr>
        <w:autoSpaceDE w:val="0"/>
        <w:autoSpaceDN w:val="0"/>
        <w:spacing w:before="156" w:beforeLines="50" w:line="360" w:lineRule="auto"/>
        <w:ind w:firstLine="482" w:firstLineChars="200"/>
        <w:jc w:val="left"/>
        <w:rPr>
          <w:rFonts w:ascii="仿宋" w:hAnsi="仿宋" w:eastAsia="仿宋"/>
          <w:b/>
          <w:color w:val="auto"/>
          <w:kern w:val="0"/>
          <w:sz w:val="24"/>
          <w:szCs w:val="20"/>
          <w:highlight w:val="none"/>
        </w:rPr>
      </w:pPr>
      <w:r>
        <w:rPr>
          <w:rFonts w:ascii="仿宋" w:hAnsi="仿宋" w:eastAsia="仿宋"/>
          <w:b/>
          <w:color w:val="auto"/>
          <w:kern w:val="0"/>
          <w:sz w:val="24"/>
          <w:szCs w:val="20"/>
          <w:highlight w:val="none"/>
        </w:rPr>
        <w:t>第十一条  其他</w:t>
      </w:r>
    </w:p>
    <w:p w14:paraId="54287433">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11.1  合同经双方法定代表人</w:t>
      </w:r>
      <w:r>
        <w:rPr>
          <w:rFonts w:hint="eastAsia" w:ascii="仿宋" w:hAnsi="仿宋" w:eastAsia="仿宋"/>
          <w:color w:val="auto"/>
          <w:sz w:val="24"/>
          <w:highlight w:val="none"/>
        </w:rPr>
        <w:t>（主要负责人/经营者）</w:t>
      </w:r>
      <w:r>
        <w:rPr>
          <w:rFonts w:ascii="仿宋" w:hAnsi="仿宋" w:eastAsia="仿宋"/>
          <w:color w:val="auto"/>
          <w:kern w:val="0"/>
          <w:sz w:val="24"/>
          <w:szCs w:val="20"/>
          <w:highlight w:val="none"/>
        </w:rPr>
        <w:t>或授权委托代理人签字并加盖单位公章后生效。合同一经生效，双方应诚信履行合同，除双方协商一致解除合同外，一方不得无理由解除合同。</w:t>
      </w:r>
    </w:p>
    <w:p w14:paraId="6ECB5567">
      <w:pPr>
        <w:autoSpaceDE w:val="0"/>
        <w:autoSpaceDN w:val="0"/>
        <w:adjustRightInd w:val="0"/>
        <w:spacing w:line="360" w:lineRule="auto"/>
        <w:ind w:firstLine="480" w:firstLineChars="200"/>
        <w:jc w:val="left"/>
        <w:rPr>
          <w:rFonts w:ascii="仿宋" w:hAnsi="仿宋" w:eastAsia="仿宋"/>
          <w:color w:val="auto"/>
          <w:kern w:val="0"/>
          <w:sz w:val="24"/>
          <w:szCs w:val="20"/>
          <w:highlight w:val="none"/>
        </w:rPr>
      </w:pPr>
      <w:r>
        <w:rPr>
          <w:rFonts w:ascii="仿宋" w:hAnsi="仿宋" w:eastAsia="仿宋"/>
          <w:color w:val="auto"/>
          <w:kern w:val="0"/>
          <w:sz w:val="24"/>
          <w:szCs w:val="20"/>
          <w:highlight w:val="none"/>
        </w:rPr>
        <w:t>11.2  合同执行中涉及采购资金和采购内容修改或补充的，在符合《政府采购法》第49条的前提下，须经政府采购监管部门审批，签订书面补充协议后须报政府采购监督管理部门备案，方可作为主合同不可分割的一部分。</w:t>
      </w:r>
    </w:p>
    <w:p w14:paraId="2C8D6249">
      <w:pPr>
        <w:autoSpaceDE w:val="0"/>
        <w:autoSpaceDN w:val="0"/>
        <w:adjustRightInd w:val="0"/>
        <w:spacing w:line="360" w:lineRule="auto"/>
        <w:ind w:firstLine="480" w:firstLineChars="200"/>
        <w:jc w:val="left"/>
        <w:rPr>
          <w:rFonts w:hint="eastAsia" w:ascii="方正仿宋_GBK" w:hAnsi="方正仿宋_GBK" w:eastAsia="方正仿宋_GBK" w:cs="仿宋"/>
          <w:color w:val="auto"/>
          <w:kern w:val="0"/>
          <w:sz w:val="28"/>
          <w:szCs w:val="28"/>
          <w:highlight w:val="none"/>
          <w:lang w:bidi="ar"/>
        </w:rPr>
      </w:pPr>
      <w:r>
        <w:rPr>
          <w:rFonts w:ascii="仿宋" w:hAnsi="仿宋" w:eastAsia="仿宋"/>
          <w:color w:val="auto"/>
          <w:kern w:val="0"/>
          <w:sz w:val="24"/>
          <w:szCs w:val="20"/>
          <w:highlight w:val="none"/>
        </w:rPr>
        <w:t>11.3  本合同一式</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份，自双方签章之日起起效。甲方</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份，乙方</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份，政府采购代理机构</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份，同级财政部门备案</w:t>
      </w:r>
      <w:r>
        <w:rPr>
          <w:rFonts w:ascii="仿宋" w:hAnsi="仿宋" w:eastAsia="仿宋"/>
          <w:color w:val="auto"/>
          <w:kern w:val="0"/>
          <w:sz w:val="24"/>
          <w:szCs w:val="20"/>
          <w:highlight w:val="none"/>
          <w:u w:val="single"/>
        </w:rPr>
        <w:t xml:space="preserve">   </w:t>
      </w:r>
      <w:r>
        <w:rPr>
          <w:rFonts w:ascii="仿宋" w:hAnsi="仿宋" w:eastAsia="仿宋"/>
          <w:color w:val="auto"/>
          <w:kern w:val="0"/>
          <w:sz w:val="24"/>
          <w:szCs w:val="20"/>
          <w:highlight w:val="none"/>
        </w:rPr>
        <w:t>份，具有同等法律效力。</w:t>
      </w:r>
    </w:p>
    <w:p w14:paraId="11BD26C3">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甲  方：                            乙  方：</w:t>
      </w:r>
    </w:p>
    <w:p w14:paraId="38512417">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法定代表人（授权代表）：             法定代表人（授权代表）：</w:t>
      </w:r>
    </w:p>
    <w:p w14:paraId="2B6F6908">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地    址：                           地    址：</w:t>
      </w:r>
    </w:p>
    <w:p w14:paraId="3F97DFFC">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开户银行：                           开户银行：</w:t>
      </w:r>
    </w:p>
    <w:p w14:paraId="2CF02EDD">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账    号：                           账    号：</w:t>
      </w:r>
    </w:p>
    <w:p w14:paraId="44FEC0AB">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电    话：                           电    话：</w:t>
      </w:r>
    </w:p>
    <w:p w14:paraId="1E2D1236">
      <w:pPr>
        <w:widowControl/>
        <w:spacing w:line="600" w:lineRule="exact"/>
        <w:ind w:firstLine="560" w:firstLineChars="200"/>
        <w:jc w:val="left"/>
        <w:rPr>
          <w:rFonts w:hint="eastAsia" w:ascii="方正仿宋_GBK" w:hAnsi="方正仿宋_GBK" w:eastAsia="方正仿宋_GBK" w:cs="仿宋"/>
          <w:color w:val="auto"/>
          <w:kern w:val="0"/>
          <w:sz w:val="28"/>
          <w:szCs w:val="28"/>
          <w:highlight w:val="none"/>
          <w:lang w:bidi="ar"/>
        </w:rPr>
      </w:pPr>
      <w:r>
        <w:rPr>
          <w:rFonts w:hint="eastAsia" w:ascii="方正仿宋_GBK" w:hAnsi="方正仿宋_GBK" w:eastAsia="方正仿宋_GBK" w:cs="仿宋"/>
          <w:color w:val="auto"/>
          <w:kern w:val="0"/>
          <w:sz w:val="28"/>
          <w:szCs w:val="28"/>
          <w:highlight w:val="none"/>
          <w:lang w:bidi="ar"/>
        </w:rPr>
        <w:t>传    真：                           传    真：</w:t>
      </w:r>
    </w:p>
    <w:p w14:paraId="3795C973">
      <w:pPr>
        <w:widowControl/>
        <w:spacing w:line="600" w:lineRule="exact"/>
        <w:ind w:firstLine="560" w:firstLineChars="200"/>
        <w:jc w:val="left"/>
      </w:pPr>
      <w:r>
        <w:rPr>
          <w:rFonts w:hint="eastAsia" w:ascii="方正仿宋_GBK" w:hAnsi="方正仿宋_GBK" w:eastAsia="方正仿宋_GBK" w:cs="仿宋"/>
          <w:color w:val="auto"/>
          <w:kern w:val="0"/>
          <w:sz w:val="28"/>
          <w:szCs w:val="28"/>
          <w:highlight w:val="none"/>
          <w:lang w:bidi="ar"/>
        </w:rPr>
        <w:t>签约日期：  年  月   日 签约日期：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E78DA7E-0D80-4395-BC7F-61155DC920C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45BC4421-3C1A-42F5-8B9C-D74F1ABE22C0}"/>
  </w:font>
  <w:font w:name="方正仿宋_GBK">
    <w:panose1 w:val="02000000000000000000"/>
    <w:charset w:val="86"/>
    <w:family w:val="auto"/>
    <w:pitch w:val="default"/>
    <w:sig w:usb0="A00002BF" w:usb1="38CF7CFA" w:usb2="00082016" w:usb3="00000000" w:csb0="00040001" w:csb1="00000000"/>
    <w:embedRegular r:id="rId3" w:fontKey="{565DAB27-37C6-426C-B582-C3988B58BB16}"/>
  </w:font>
  <w:font w:name="Wingdings 2">
    <w:panose1 w:val="05020102010507070707"/>
    <w:charset w:val="02"/>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37621"/>
    <w:rsid w:val="60537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首行缩进:  2 字符"/>
    <w:basedOn w:val="1"/>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2025-08-04T05:15:00Z</dcterms:created>
  <dc:creator>YYYYY</dc:creator>
  <cp:lastModifiedBy>YYYYY</cp:lastModifiedBy>
  <dcterms:modified xsi:type="dcterms:W3CDTF">2025-08-04T05:15:47Z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CBA2A55B20BA42A3A0D7FFF8547E034F_11</vt:lpwstr>
  </property>
  <property fmtid="{D5CDD505-2E9C-101B-9397-08002B2CF9AE}" pid="4" name="KSOTemplateDocerSaveRecord">
    <vt:lpwstr>eyJoZGlkIjoiY2RmZTk5MDRiMTczODU0ZWVlOTBkYjUyYjk0OGM4MTkiLCJ1c2VySWQiOiIzNjU5MTcwNDkifQ==</vt:lpwstr>
  </property>
</Properties>
</file>