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版本号：N510001202500218220250820001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“新型工业化”专题宣传及互联网信息监测采购项目(二次)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N5100012025002182</w:t>
      </w:r>
    </w:p>
    <w:p>
      <w:pPr>
        <w:pStyle w:val="null3"/>
        <w:jc w:val="center"/>
        <w:outlineLvl w:val="2"/>
      </w:pPr>
      <w:r>
        <w:rPr>
          <w:rFonts w:ascii="仿宋_GB2312" w:hAnsi="仿宋_GB2312" w:cs="仿宋_GB2312" w:eastAsia="仿宋_GB2312"/>
          <w:sz w:val="28"/>
          <w:b/>
        </w:rPr>
        <w:t>四川省经济和信息化厅</w:t>
      </w:r>
    </w:p>
    <w:p>
      <w:pPr>
        <w:pStyle w:val="null3"/>
        <w:jc w:val="center"/>
        <w:outlineLvl w:val="2"/>
      </w:pPr>
      <w:r>
        <w:rPr>
          <w:rFonts w:ascii="仿宋_GB2312" w:hAnsi="仿宋_GB2312" w:cs="仿宋_GB2312" w:eastAsia="仿宋_GB2312"/>
          <w:sz w:val="28"/>
          <w:b/>
        </w:rPr>
        <w:t>四川中志招标代理有限公司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四川中志招标代理有限公司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四川省经济和信息化厅</w:t>
      </w:r>
      <w:r>
        <w:rPr>
          <w:rFonts w:ascii="仿宋_GB2312" w:hAnsi="仿宋_GB2312" w:cs="仿宋_GB2312" w:eastAsia="仿宋_GB2312"/>
        </w:rPr>
        <w:t xml:space="preserve"> 委托，拟对 </w:t>
      </w:r>
      <w:r>
        <w:rPr>
          <w:rFonts w:ascii="仿宋_GB2312" w:hAnsi="仿宋_GB2312" w:cs="仿宋_GB2312" w:eastAsia="仿宋_GB2312"/>
        </w:rPr>
        <w:t>“新型工业化”专题宣传及互联网信息监测采购项目(二次)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N5100012025002182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“新型工业化”专题宣传及互联网信息监测采购项目(二次)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为全面展现四川新型工业化建设成就，讲好四川工业发展故事，营造浓厚的宣传氛围，同时做好网络信息服务，现计划开展地铁主题宣传及互联网信息监测相关工作。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四川省经济和信息化厅</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四川省成都市青羊区人民东路66号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028-86262842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四川中志招标代理有限公司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四川省成都市武侯区成都市高新区吉泰五路88号3栋16层3号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易浩、李昱璋、佟巍</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028-86035971-2038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由成交供应商向代理机构支付，招标代理服务费以成交金额为基数，按差额定率累进法计算：【0-100万*1.5%；100万-500万*0.8%；】再下浮20%。代理机构：四川中志招标代理有限公司 开户银行：中国建设银行成都市高新支行 账 号： 5100 1406 1370 5152 6738。</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四川省经济和信息化厅</w:t>
      </w:r>
      <w:r>
        <w:rPr>
          <w:rFonts w:ascii="仿宋_GB2312" w:hAnsi="仿宋_GB2312" w:cs="仿宋_GB2312" w:eastAsia="仿宋_GB2312"/>
        </w:rPr>
        <w:t xml:space="preserve"> 和 </w:t>
      </w:r>
      <w:r>
        <w:rPr>
          <w:rFonts w:ascii="仿宋_GB2312" w:hAnsi="仿宋_GB2312" w:cs="仿宋_GB2312" w:eastAsia="仿宋_GB2312"/>
        </w:rPr>
        <w:t>四川中志招标代理有限公司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四川省经济和信息化厅</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四川中志招标代理有限公司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采购人在供应商提出验收申请之日起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根据本项目采购文件中“服务内容及要求”及成交供应商的响应文件进行验收。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根据本项目采购文件中“商务要求”及成交供应商的响应文件进行验收。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按照《财政部关于进一步加强政府采购需求和履约验收管理的指导意见》（财库〔2016〕205号）、《政府采购需求管理办法》（财库〔2021〕22号）标准自行进行验收。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四川省经济和信息化厅</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联系人：易先生</w:t>
      </w:r>
    </w:p>
    <w:p>
      <w:pPr>
        <w:pStyle w:val="null3"/>
        <w:jc w:val="left"/>
      </w:pPr>
      <w:r>
        <w:rPr>
          <w:rFonts w:ascii="仿宋_GB2312" w:hAnsi="仿宋_GB2312" w:cs="仿宋_GB2312" w:eastAsia="仿宋_GB2312"/>
        </w:rPr>
        <w:t>联系电话：028-86035971-2038</w:t>
      </w:r>
    </w:p>
    <w:p>
      <w:pPr>
        <w:pStyle w:val="null3"/>
        <w:jc w:val="left"/>
      </w:pPr>
      <w:r>
        <w:rPr>
          <w:rFonts w:ascii="仿宋_GB2312" w:hAnsi="仿宋_GB2312" w:cs="仿宋_GB2312" w:eastAsia="仿宋_GB2312"/>
        </w:rPr>
        <w:t>地址：成都市高新区吉泰五路88号3栋7层3号(花样年香年广场)</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C06010000 新闻服务</w:t>
            </w:r>
          </w:p>
        </w:tc>
        <w:tc>
          <w:tcPr>
            <w:tcW w:type="dxa" w:w="821"/>
          </w:tcPr>
          <w:p>
            <w:pPr>
              <w:pStyle w:val="null3"/>
              <w:jc w:val="left"/>
            </w:pPr>
            <w:r>
              <w:rPr>
                <w:rFonts w:ascii="仿宋_GB2312" w:hAnsi="仿宋_GB2312" w:cs="仿宋_GB2312" w:eastAsia="仿宋_GB2312"/>
              </w:rPr>
              <w:t>“新型工业化”专题宣传及互联网信息监测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“新型工业化”专题宣传及互联网信息监测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标的名称：“新型工业化”专题宣传及互联网信息监测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w:t>
            </w:r>
          </w:p>
        </w:tc>
        <w:tc>
          <w:tcPr>
            <w:tcW w:type="dxa" w:w="5814"/>
          </w:tcPr>
          <w:p>
            <w:pPr>
              <w:pStyle w:val="null3"/>
              <w:spacing w:after="135"/>
              <w:ind w:firstLine="420"/>
              <w:jc w:val="both"/>
            </w:pPr>
            <w:r>
              <w:rPr>
                <w:rFonts w:ascii="仿宋_GB2312" w:hAnsi="仿宋_GB2312" w:cs="仿宋_GB2312" w:eastAsia="仿宋_GB2312"/>
                <w:sz w:val="32"/>
              </w:rPr>
              <w:t>1.地铁投放服务：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供应商须持有有效期内的</w:t>
            </w:r>
            <w:r>
              <w:rPr>
                <w:rFonts w:ascii="仿宋_GB2312" w:hAnsi="仿宋_GB2312" w:cs="仿宋_GB2312" w:eastAsia="仿宋_GB2312"/>
                <w:sz w:val="32"/>
              </w:rPr>
              <w:t>成都轨道交通广告资源运营合同</w:t>
            </w:r>
            <w:r>
              <w:rPr>
                <w:rFonts w:ascii="仿宋_GB2312" w:hAnsi="仿宋_GB2312" w:cs="仿宋_GB2312" w:eastAsia="仿宋_GB2312"/>
                <w:sz w:val="32"/>
                <w:b/>
              </w:rPr>
              <w:t>（</w:t>
            </w:r>
            <w:r>
              <w:rPr>
                <w:rFonts w:ascii="仿宋_GB2312" w:hAnsi="仿宋_GB2312" w:cs="仿宋_GB2312" w:eastAsia="仿宋_GB2312"/>
                <w:sz w:val="32"/>
                <w:b/>
              </w:rPr>
              <w:t>供应商</w:t>
            </w:r>
            <w:r>
              <w:rPr>
                <w:rFonts w:ascii="仿宋_GB2312" w:hAnsi="仿宋_GB2312" w:cs="仿宋_GB2312" w:eastAsia="仿宋_GB2312"/>
                <w:sz w:val="32"/>
                <w:b/>
              </w:rPr>
              <w:t>需提供</w:t>
            </w:r>
            <w:r>
              <w:rPr>
                <w:rFonts w:ascii="仿宋_GB2312" w:hAnsi="仿宋_GB2312" w:cs="仿宋_GB2312" w:eastAsia="仿宋_GB2312"/>
                <w:sz w:val="32"/>
                <w:b/>
              </w:rPr>
              <w:t>合同</w:t>
            </w:r>
            <w:r>
              <w:rPr>
                <w:rFonts w:ascii="仿宋_GB2312" w:hAnsi="仿宋_GB2312" w:cs="仿宋_GB2312" w:eastAsia="仿宋_GB2312"/>
                <w:sz w:val="32"/>
                <w:b/>
              </w:rPr>
              <w:t>复印件或授权证明</w:t>
            </w:r>
            <w:r>
              <w:rPr>
                <w:rFonts w:ascii="仿宋_GB2312" w:hAnsi="仿宋_GB2312" w:cs="仿宋_GB2312" w:eastAsia="仿宋_GB2312"/>
                <w:sz w:val="32"/>
                <w:b/>
              </w:rPr>
              <w:t>并</w:t>
            </w:r>
            <w:r>
              <w:rPr>
                <w:rFonts w:ascii="仿宋_GB2312" w:hAnsi="仿宋_GB2312" w:cs="仿宋_GB2312" w:eastAsia="仿宋_GB2312"/>
                <w:sz w:val="32"/>
                <w:b/>
              </w:rPr>
              <w:t>加盖</w:t>
            </w:r>
            <w:r>
              <w:rPr>
                <w:rFonts w:ascii="仿宋_GB2312" w:hAnsi="仿宋_GB2312" w:cs="仿宋_GB2312" w:eastAsia="仿宋_GB2312"/>
                <w:sz w:val="32"/>
                <w:b/>
              </w:rPr>
              <w:t>单位</w:t>
            </w:r>
            <w:r>
              <w:rPr>
                <w:rFonts w:ascii="仿宋_GB2312" w:hAnsi="仿宋_GB2312" w:cs="仿宋_GB2312" w:eastAsia="仿宋_GB2312"/>
                <w:sz w:val="32"/>
                <w:b/>
              </w:rPr>
              <w:t>公章</w:t>
            </w:r>
            <w:r>
              <w:rPr>
                <w:rFonts w:ascii="仿宋_GB2312" w:hAnsi="仿宋_GB2312" w:cs="仿宋_GB2312" w:eastAsia="仿宋_GB2312"/>
                <w:sz w:val="32"/>
                <w:b/>
              </w:rPr>
              <w:t>）</w:t>
            </w:r>
            <w:r>
              <w:rPr>
                <w:rFonts w:ascii="仿宋_GB2312" w:hAnsi="仿宋_GB2312" w:cs="仿宋_GB2312" w:eastAsia="仿宋_GB2312"/>
                <w:sz w:val="32"/>
              </w:rPr>
              <w:t>，或提交书面承诺在成交后</w:t>
            </w:r>
            <w:r>
              <w:rPr>
                <w:rFonts w:ascii="仿宋_GB2312" w:hAnsi="仿宋_GB2312" w:cs="仿宋_GB2312" w:eastAsia="仿宋_GB2312"/>
                <w:sz w:val="32"/>
              </w:rPr>
              <w:t>7个工作日内补签正式合作</w:t>
            </w:r>
            <w:r>
              <w:rPr>
                <w:rFonts w:ascii="仿宋_GB2312" w:hAnsi="仿宋_GB2312" w:cs="仿宋_GB2312" w:eastAsia="仿宋_GB2312"/>
                <w:sz w:val="32"/>
              </w:rPr>
              <w:t>合同</w:t>
            </w:r>
            <w:r>
              <w:rPr>
                <w:rFonts w:ascii="仿宋_GB2312" w:hAnsi="仿宋_GB2312" w:cs="仿宋_GB2312" w:eastAsia="仿宋_GB2312"/>
                <w:sz w:val="32"/>
                <w:b/>
              </w:rPr>
              <w:t>（</w:t>
            </w:r>
            <w:r>
              <w:rPr>
                <w:rFonts w:ascii="仿宋_GB2312" w:hAnsi="仿宋_GB2312" w:cs="仿宋_GB2312" w:eastAsia="仿宋_GB2312"/>
                <w:sz w:val="32"/>
                <w:b/>
              </w:rPr>
              <w:t>供应商</w:t>
            </w:r>
            <w:r>
              <w:rPr>
                <w:rFonts w:ascii="仿宋_GB2312" w:hAnsi="仿宋_GB2312" w:cs="仿宋_GB2312" w:eastAsia="仿宋_GB2312"/>
                <w:sz w:val="32"/>
                <w:b/>
              </w:rPr>
              <w:t>需</w:t>
            </w:r>
            <w:r>
              <w:rPr>
                <w:rFonts w:ascii="仿宋_GB2312" w:hAnsi="仿宋_GB2312" w:cs="仿宋_GB2312" w:eastAsia="仿宋_GB2312"/>
                <w:sz w:val="32"/>
                <w:b/>
              </w:rPr>
              <w:t>提供</w:t>
            </w:r>
            <w:r>
              <w:rPr>
                <w:rFonts w:ascii="仿宋_GB2312" w:hAnsi="仿宋_GB2312" w:cs="仿宋_GB2312" w:eastAsia="仿宋_GB2312"/>
                <w:sz w:val="32"/>
                <w:b/>
              </w:rPr>
              <w:t>承诺函</w:t>
            </w:r>
            <w:r>
              <w:rPr>
                <w:rFonts w:ascii="仿宋_GB2312" w:hAnsi="仿宋_GB2312" w:cs="仿宋_GB2312" w:eastAsia="仿宋_GB2312"/>
                <w:sz w:val="32"/>
                <w:b/>
              </w:rPr>
              <w:t>并</w:t>
            </w:r>
            <w:r>
              <w:rPr>
                <w:rFonts w:ascii="仿宋_GB2312" w:hAnsi="仿宋_GB2312" w:cs="仿宋_GB2312" w:eastAsia="仿宋_GB2312"/>
                <w:sz w:val="32"/>
                <w:b/>
              </w:rPr>
              <w:t>加盖</w:t>
            </w:r>
            <w:r>
              <w:rPr>
                <w:rFonts w:ascii="仿宋_GB2312" w:hAnsi="仿宋_GB2312" w:cs="仿宋_GB2312" w:eastAsia="仿宋_GB2312"/>
                <w:sz w:val="32"/>
                <w:b/>
              </w:rPr>
              <w:t>单位</w:t>
            </w:r>
            <w:r>
              <w:rPr>
                <w:rFonts w:ascii="仿宋_GB2312" w:hAnsi="仿宋_GB2312" w:cs="仿宋_GB2312" w:eastAsia="仿宋_GB2312"/>
                <w:sz w:val="32"/>
                <w:b/>
              </w:rPr>
              <w:t>公章</w:t>
            </w:r>
            <w:r>
              <w:rPr>
                <w:rFonts w:ascii="仿宋_GB2312" w:hAnsi="仿宋_GB2312" w:cs="仿宋_GB2312" w:eastAsia="仿宋_GB2312"/>
                <w:sz w:val="32"/>
                <w:b/>
              </w:rPr>
              <w:t>，格式自拟</w:t>
            </w:r>
            <w:r>
              <w:rPr>
                <w:rFonts w:ascii="仿宋_GB2312" w:hAnsi="仿宋_GB2312" w:cs="仿宋_GB2312" w:eastAsia="仿宋_GB2312"/>
                <w:sz w:val="32"/>
                <w:b/>
              </w:rPr>
              <w:t>）</w:t>
            </w:r>
            <w:r>
              <w:rPr>
                <w:rFonts w:ascii="仿宋_GB2312" w:hAnsi="仿宋_GB2312" w:cs="仿宋_GB2312" w:eastAsia="仿宋_GB2312"/>
                <w:sz w:val="32"/>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一、服务内容</w:t>
            </w:r>
          </w:p>
        </w:tc>
        <w:tc>
          <w:tcPr>
            <w:tcW w:type="dxa" w:w="5814"/>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在成都</w:t>
            </w:r>
            <w:r>
              <w:rPr>
                <w:rFonts w:ascii="仿宋_GB2312" w:hAnsi="仿宋_GB2312" w:cs="仿宋_GB2312" w:eastAsia="仿宋_GB2312"/>
                <w:sz w:val="32"/>
              </w:rPr>
              <w:t>1号、2号地铁线路等</w:t>
            </w:r>
            <w:r>
              <w:rPr>
                <w:rFonts w:ascii="仿宋_GB2312" w:hAnsi="仿宋_GB2312" w:cs="仿宋_GB2312" w:eastAsia="仿宋_GB2312"/>
                <w:sz w:val="32"/>
              </w:rPr>
              <w:t>站点制作投放灯箱广告。</w:t>
            </w:r>
            <w:r>
              <w:rPr>
                <w:rFonts w:ascii="仿宋_GB2312" w:hAnsi="仿宋_GB2312" w:cs="仿宋_GB2312" w:eastAsia="仿宋_GB2312"/>
                <w:sz w:val="32"/>
              </w:rPr>
              <w:t>投放时间</w:t>
            </w:r>
            <w:r>
              <w:rPr>
                <w:rFonts w:ascii="仿宋_GB2312" w:hAnsi="仿宋_GB2312" w:cs="仿宋_GB2312" w:eastAsia="仿宋_GB2312"/>
                <w:sz w:val="32"/>
              </w:rPr>
              <w:t>:10月1日－31日，</w:t>
            </w:r>
            <w:r>
              <w:rPr>
                <w:rFonts w:ascii="仿宋_GB2312" w:hAnsi="仿宋_GB2312" w:cs="仿宋_GB2312" w:eastAsia="仿宋_GB2312"/>
                <w:sz w:val="32"/>
              </w:rPr>
              <w:t>数量</w:t>
            </w:r>
            <w:r>
              <w:rPr>
                <w:rFonts w:ascii="仿宋_GB2312" w:hAnsi="仿宋_GB2312" w:cs="仿宋_GB2312" w:eastAsia="仿宋_GB2312"/>
                <w:sz w:val="32"/>
              </w:rPr>
              <w:t>50个，材质：背喷灯片，裱哑膜 b1级阻燃，尺寸：3060㎜X1520㎜。具体点位以采购人需求为准。</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互联网信息监测服务：</w:t>
            </w:r>
          </w:p>
          <w:p>
            <w:pPr>
              <w:pStyle w:val="null3"/>
              <w:ind w:firstLine="320"/>
              <w:jc w:val="both"/>
            </w:pPr>
            <w:r>
              <w:rPr>
                <w:rFonts w:ascii="仿宋_GB2312" w:hAnsi="仿宋_GB2312" w:cs="仿宋_GB2312" w:eastAsia="仿宋_GB2312"/>
                <w:sz w:val="32"/>
              </w:rPr>
              <w:t>（</w:t>
            </w:r>
            <w:r>
              <w:rPr>
                <w:rFonts w:ascii="仿宋_GB2312" w:hAnsi="仿宋_GB2312" w:cs="仿宋_GB2312" w:eastAsia="仿宋_GB2312"/>
                <w:sz w:val="32"/>
              </w:rPr>
              <w:t>1）供应商需组建专业服务团队，建立全方位的沟通渠道和用户信息回馈机制，信息数据所有权归采购人所有。</w:t>
            </w:r>
          </w:p>
          <w:p>
            <w:pPr>
              <w:pStyle w:val="null3"/>
              <w:ind w:firstLine="320"/>
              <w:jc w:val="both"/>
            </w:pPr>
            <w:r>
              <w:rPr>
                <w:rFonts w:ascii="仿宋_GB2312" w:hAnsi="仿宋_GB2312" w:cs="仿宋_GB2312" w:eastAsia="仿宋_GB2312"/>
                <w:sz w:val="32"/>
              </w:rPr>
              <w:t>（</w:t>
            </w:r>
            <w:r>
              <w:rPr>
                <w:rFonts w:ascii="仿宋_GB2312" w:hAnsi="仿宋_GB2312" w:cs="仿宋_GB2312" w:eastAsia="仿宋_GB2312"/>
                <w:sz w:val="32"/>
              </w:rPr>
              <w:t>2）供应商需采用7*24小时工作制实时抓取相关信息并第一时间进行预警报送，监测范围覆盖互联网90％以上的公开平台。建立信息报送及服务响应工作群，24小时进行信息报送，对采购人提出的服务要求进行实时响应。</w:t>
            </w:r>
          </w:p>
          <w:p>
            <w:pPr>
              <w:pStyle w:val="null3"/>
              <w:ind w:firstLine="640"/>
              <w:jc w:val="both"/>
            </w:pPr>
            <w:r>
              <w:rPr>
                <w:rFonts w:ascii="仿宋_GB2312" w:hAnsi="仿宋_GB2312" w:cs="仿宋_GB2312" w:eastAsia="仿宋_GB2312"/>
                <w:sz w:val="32"/>
              </w:rPr>
              <w:t>3.所有服务内容，包括视频、音频、图片、图表、数据、素材、文字等所有内容需获得权利人依法授权，均不得侵犯任何第三方相关知识产权、肖像权、姓名权等合法权利。</w:t>
            </w:r>
          </w:p>
          <w:p>
            <w:pPr>
              <w:pStyle w:val="null3"/>
              <w:ind w:firstLine="640"/>
              <w:jc w:val="both"/>
            </w:pPr>
            <w:r>
              <w:rPr>
                <w:rFonts w:ascii="仿宋_GB2312" w:hAnsi="仿宋_GB2312" w:cs="仿宋_GB2312" w:eastAsia="仿宋_GB2312"/>
                <w:sz w:val="32"/>
              </w:rPr>
              <w:t>4.若因外部不可抗力因素导致项目无法进行，双方协商延长周期。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二、其他要求</w:t>
            </w:r>
          </w:p>
        </w:tc>
        <w:tc>
          <w:tcPr>
            <w:tcW w:type="dxa" w:w="5814"/>
          </w:tcPr>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供应商</w:t>
            </w:r>
            <w:r>
              <w:rPr>
                <w:rFonts w:ascii="仿宋_GB2312" w:hAnsi="仿宋_GB2312" w:cs="仿宋_GB2312" w:eastAsia="仿宋_GB2312"/>
                <w:sz w:val="32"/>
              </w:rPr>
              <w:t>提供</w:t>
            </w:r>
            <w:r>
              <w:rPr>
                <w:rFonts w:ascii="仿宋_GB2312" w:hAnsi="仿宋_GB2312" w:cs="仿宋_GB2312" w:eastAsia="仿宋_GB2312"/>
                <w:sz w:val="32"/>
              </w:rPr>
              <w:t>地铁投放</w:t>
            </w:r>
            <w:r>
              <w:rPr>
                <w:rFonts w:ascii="仿宋_GB2312" w:hAnsi="仿宋_GB2312" w:cs="仿宋_GB2312" w:eastAsia="仿宋_GB2312"/>
                <w:sz w:val="32"/>
              </w:rPr>
              <w:t>方案，方案内容包含</w:t>
            </w:r>
            <w:r>
              <w:rPr>
                <w:rFonts w:ascii="仿宋_GB2312" w:hAnsi="仿宋_GB2312" w:cs="仿宋_GB2312" w:eastAsia="仿宋_GB2312"/>
                <w:sz w:val="32"/>
              </w:rPr>
              <w:t>①投放策略；②设计制作；③执行服务；④效果评估；⑤售后服务等。</w:t>
            </w:r>
          </w:p>
          <w:p>
            <w:pPr>
              <w:pStyle w:val="null3"/>
              <w:ind w:firstLine="640"/>
              <w:jc w:val="left"/>
            </w:pPr>
            <w:r>
              <w:rPr>
                <w:rFonts w:ascii="仿宋_GB2312" w:hAnsi="仿宋_GB2312" w:cs="仿宋_GB2312" w:eastAsia="仿宋_GB2312"/>
                <w:sz w:val="32"/>
              </w:rPr>
              <w:t>2.供应商</w:t>
            </w:r>
            <w:r>
              <w:rPr>
                <w:rFonts w:ascii="仿宋_GB2312" w:hAnsi="仿宋_GB2312" w:cs="仿宋_GB2312" w:eastAsia="仿宋_GB2312"/>
                <w:sz w:val="32"/>
              </w:rPr>
              <w:t>提供</w:t>
            </w:r>
            <w:r>
              <w:rPr>
                <w:rFonts w:ascii="仿宋_GB2312" w:hAnsi="仿宋_GB2312" w:cs="仿宋_GB2312" w:eastAsia="仿宋_GB2312"/>
                <w:sz w:val="32"/>
              </w:rPr>
              <w:t>互联网信息监测服务</w:t>
            </w:r>
            <w:r>
              <w:rPr>
                <w:rFonts w:ascii="仿宋_GB2312" w:hAnsi="仿宋_GB2312" w:cs="仿宋_GB2312" w:eastAsia="仿宋_GB2312"/>
                <w:sz w:val="32"/>
              </w:rPr>
              <w:t>方案，方案内容包含</w:t>
            </w:r>
            <w:r>
              <w:rPr>
                <w:rFonts w:ascii="仿宋_GB2312" w:hAnsi="仿宋_GB2312" w:cs="仿宋_GB2312" w:eastAsia="仿宋_GB2312"/>
                <w:sz w:val="32"/>
              </w:rPr>
              <w:t>①互联网信息监测；②互联网信息分析；③互联网信息应对；④互联网信息报告；⑤服务团队等。</w:t>
            </w:r>
          </w:p>
          <w:p>
            <w:pPr>
              <w:pStyle w:val="null3"/>
              <w:ind w:firstLine="640"/>
              <w:jc w:val="left"/>
            </w:pPr>
            <w:r>
              <w:rPr>
                <w:rFonts w:ascii="仿宋_GB2312" w:hAnsi="仿宋_GB2312" w:cs="仿宋_GB2312" w:eastAsia="仿宋_GB2312"/>
                <w:sz w:val="33"/>
              </w:rPr>
              <w:t>3.供应商需针对本项目配备团队服务人员；团队人员中需具有网络信息相关专业职称。</w:t>
            </w:r>
          </w:p>
          <w:p>
            <w:pPr>
              <w:pStyle w:val="null3"/>
              <w:ind w:firstLine="640"/>
              <w:jc w:val="left"/>
            </w:pPr>
            <w:r>
              <w:rPr>
                <w:rFonts w:ascii="仿宋_GB2312" w:hAnsi="仿宋_GB2312" w:cs="仿宋_GB2312" w:eastAsia="仿宋_GB2312"/>
                <w:sz w:val="33"/>
              </w:rPr>
              <w:t>4.供应商具有地铁投放类或互联网信息监测服务类似业绩。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自合同签订之日起到2025年11月30日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标准自行进行验收。项目结束后供应商向采购人出具项目完结报告书。采购人应在收到成果后20日内组织验收，逾期视为合格；验收不合格的，供应商需在10个工作日内整改完毕。</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1、合同签订后，采购人在收到供应商开具的相应额度增值税普通发票后，达到付款条件起14日内，支付合同总金额的50.00%</w:t>
            </w:r>
          </w:p>
          <w:p>
            <w:pPr>
              <w:pStyle w:val="null3"/>
              <w:jc w:val="left"/>
            </w:pPr>
            <w:r>
              <w:rPr>
                <w:rFonts w:ascii="仿宋_GB2312" w:hAnsi="仿宋_GB2312" w:cs="仿宋_GB2312" w:eastAsia="仿宋_GB2312"/>
              </w:rPr>
              <w:t>2、验收合格后，采购人在收到供应商开具的相应额度增值税普通发票后，达到付款条件起14日内，支付合同总金额的50.00%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(1)采购人和供应商双方必须遵守合同并执行合同中的各项规定，保证合同的正常履行。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(3)合同履行期间，若双方发生争议，可协商或由有关部门调解解决，协商或调解不成的，按照下列方式解决：向采购人所在地人民法院起诉。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其他实质性要求。</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业绩证明</w:t>
            </w:r>
          </w:p>
        </w:tc>
        <w:tc>
          <w:tcPr>
            <w:tcW w:type="dxa" w:w="2575"/>
          </w:tcPr>
          <w:p>
            <w:pPr>
              <w:pStyle w:val="null3"/>
              <w:jc w:val="left"/>
            </w:pPr>
            <w:r>
              <w:rPr>
                <w:rFonts w:ascii="仿宋_GB2312" w:hAnsi="仿宋_GB2312" w:cs="仿宋_GB2312" w:eastAsia="仿宋_GB2312"/>
              </w:rPr>
              <w:t>供应商自 2022 年 1 月 1 日（含）以来，具有地铁投放类或互联网信息监测服务类似业绩的，每提供一个得5分，最多得20分。 注：提供合同复印件并加盖供应商公章，同一项目不重复计分。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地铁平面投放方案</w:t>
            </w:r>
          </w:p>
        </w:tc>
        <w:tc>
          <w:tcPr>
            <w:tcW w:type="dxa" w:w="2575"/>
          </w:tcPr>
          <w:p>
            <w:pPr>
              <w:pStyle w:val="null3"/>
              <w:jc w:val="left"/>
            </w:pPr>
            <w:r>
              <w:rPr>
                <w:rFonts w:ascii="仿宋_GB2312" w:hAnsi="仿宋_GB2312" w:cs="仿宋_GB2312" w:eastAsia="仿宋_GB2312"/>
              </w:rPr>
              <w:t>供应商提供地铁投放方案，方案内容包含①投放策略；②设计制作；③执行服务；④效果评估；⑤售后服务。内容包含以上5项的得25分，每有一项内容缺失得扣5分。每有一项存在缺陷或不足的扣2.5分，本项扣完为止。 注：“存在缺陷或不足”是指存在项目名称错误、地点区域错误、内容与本项目需求无关、仅有框架或标题、适用的标准（方法）错误、明显复制其他项目内容中的任意一种情形。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互联网信息监测服务方案</w:t>
            </w:r>
          </w:p>
        </w:tc>
        <w:tc>
          <w:tcPr>
            <w:tcW w:type="dxa" w:w="2575"/>
          </w:tcPr>
          <w:p>
            <w:pPr>
              <w:pStyle w:val="null3"/>
              <w:jc w:val="left"/>
            </w:pPr>
            <w:r>
              <w:rPr>
                <w:rFonts w:ascii="仿宋_GB2312" w:hAnsi="仿宋_GB2312" w:cs="仿宋_GB2312" w:eastAsia="仿宋_GB2312"/>
              </w:rPr>
              <w:t>供应商提供互联网信息监测服务方案，方案内容包含①互联网信息监测；②互联网信息分析；③互联网信息应对；④互联网信息报告；⑤服务团队。内容包含以上5项的得25分，每有一项内容缺失得扣5分。每有一项存在缺陷或不足的扣2.5分，本项扣完为止。 注：“存在缺陷或不足”是指存在项目名称错误、地点区域错误、内容与本项目需求无关、仅有框架或标题、适用的标准（方法）错误、明显复制其他项目内容中的任意一种情形。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供应商针对本项目配备10人以上团队服务人员的得7分，不提供不得分；团队人员中具有网络信息相关专业初级及以上职称证书的每提供1人加2分，最多得8分，不提供不得分；本项最多得15分。 注：供应商需提供人员名单、职称证书复印件及在职证明材料并加盖单位公章。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