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rPr>
          <w:rFonts w:ascii="宋体"/>
          <w:b/>
          <w:bCs/>
          <w:sz w:val="64"/>
        </w:rPr>
      </w:pPr>
      <w:r>
        <w:rPr>
          <w:rFonts w:ascii="宋体"/>
          <w:b/>
          <w:bCs/>
          <w:sz w:val="64"/>
        </w:rPr>
        <mc:AlternateContent>
          <mc:Choice Requires="wps">
            <w:drawing>
              <wp:anchor distT="0" distB="0" distL="114300" distR="114300" simplePos="0" relativeHeight="251660288"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4" name="矩形 4"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txbxContent>
                      </wps:txbx>
                      <wps:bodyPr wrap="square"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0288;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">
                <v:fill on="t" focussize="0,0"/>
                <v:stroke color="#000000" joinstyle="miter"/>
                <v:imagedata o:title=""/>
                <o:lock v:ext="edit" aspectratio="f"/>
                <v:textbox>
                  <w:txbxContent>
                    <w:p/>
                  </w:txbxContent>
                </v:textbox>
              </v:rect>
            </w:pict>
          </mc:Fallback>
        </mc:AlternateContent>
      </w:r>
      <w:r>
        <w:rPr>
          <w:rFonts w:hint="eastAsia" w:ascii="宋体"/>
          <w:b/>
          <w:bCs/>
          <w:sz w:val="64"/>
        </w:rPr>
        <w:t xml:space="preserve"> </w:t>
      </w:r>
    </w:p>
    <w:p>
      <w:pPr>
        <w:pStyle w:val="19"/>
        <w:spacing w:line="360" w:lineRule="auto"/>
        <w:jc w:val="center"/>
        <w:rPr>
          <w:b/>
          <w:bCs/>
          <w:sz w:val="52"/>
          <w:szCs w:val="52"/>
        </w:rPr>
      </w:pPr>
      <w:r>
        <w:rPr>
          <w:rFonts w:hint="eastAsia"/>
          <w:b/>
          <w:bCs/>
          <w:sz w:val="52"/>
          <w:szCs w:val="52"/>
        </w:rPr>
        <w:t>云南省省级政府集中采购</w:t>
      </w:r>
    </w:p>
    <w:p>
      <w:pPr>
        <w:pStyle w:val="19"/>
        <w:spacing w:line="360" w:lineRule="auto"/>
        <w:jc w:val="both"/>
        <w:rPr>
          <w:b/>
          <w:bCs/>
          <w:sz w:val="52"/>
          <w:szCs w:val="52"/>
        </w:rPr>
      </w:pPr>
    </w:p>
    <w:p>
      <w:pPr>
        <w:pStyle w:val="19"/>
        <w:spacing w:line="360" w:lineRule="auto"/>
        <w:jc w:val="center"/>
        <w:rPr>
          <w:rFonts w:hint="eastAsia"/>
          <w:b/>
          <w:bCs/>
          <w:sz w:val="44"/>
          <w:szCs w:val="44"/>
        </w:rPr>
      </w:pPr>
      <w:r>
        <w:rPr>
          <w:rFonts w:hint="eastAsia"/>
          <w:b/>
          <w:bCs/>
          <w:sz w:val="44"/>
          <w:szCs w:val="44"/>
        </w:rPr>
        <w:t>昆明理工大学信息化建设管理中心智慧校园一体化数智化教学条件建设采购项目(z26)-智慧教室设备（课桌椅）</w:t>
      </w:r>
    </w:p>
    <w:p>
      <w:pPr>
        <w:rPr>
          <w:rFonts w:hint="eastAsia"/>
          <w:b/>
          <w:bCs/>
          <w:sz w:val="56"/>
          <w:szCs w:val="56"/>
        </w:rPr>
      </w:pPr>
    </w:p>
    <w:p>
      <w:pPr>
        <w:pStyle w:val="2"/>
        <w:numPr>
          <w:ilvl w:val="1"/>
          <w:numId w:val="0"/>
        </w:numPr>
        <w:tabs>
          <w:tab w:val="clear" w:pos="1021"/>
        </w:tabs>
      </w:pPr>
    </w:p>
    <w:p>
      <w:pPr>
        <w:pStyle w:val="19"/>
        <w:spacing w:line="360" w:lineRule="auto"/>
        <w:jc w:val="center"/>
        <w:rPr>
          <w:b/>
          <w:bCs/>
          <w:sz w:val="84"/>
          <w:szCs w:val="84"/>
        </w:rPr>
      </w:pPr>
      <w:r>
        <w:rPr>
          <w:rFonts w:hint="eastAsia"/>
          <w:b/>
          <w:bCs/>
          <w:sz w:val="84"/>
          <w:szCs w:val="84"/>
        </w:rPr>
        <w:t>招 标 文 件</w:t>
      </w:r>
    </w:p>
    <w:p>
      <w:pPr>
        <w:pStyle w:val="19"/>
        <w:spacing w:line="360" w:lineRule="auto"/>
      </w:pPr>
    </w:p>
    <w:p>
      <w:pPr>
        <w:pStyle w:val="19"/>
        <w:spacing w:line="360" w:lineRule="auto"/>
      </w:pPr>
    </w:p>
    <w:p>
      <w:pPr>
        <w:pStyle w:val="19"/>
        <w:spacing w:line="360" w:lineRule="auto"/>
      </w:pPr>
    </w:p>
    <w:p>
      <w:pPr>
        <w:pStyle w:val="19"/>
        <w:spacing w:line="360" w:lineRule="auto"/>
        <w:jc w:val="center"/>
      </w:pPr>
      <w:r>
        <w:rPr>
          <w:rFonts w:hint="eastAsia"/>
          <w:b/>
          <w:bCs/>
          <w:sz w:val="32"/>
          <w:szCs w:val="32"/>
        </w:rPr>
        <w:t>招标编号：YNZC2026-G1-04753-YNSZ-0271</w:t>
      </w:r>
    </w:p>
    <w:p>
      <w:pPr>
        <w:pStyle w:val="19"/>
        <w:spacing w:line="360" w:lineRule="auto"/>
      </w:pPr>
    </w:p>
    <w:p>
      <w:pPr>
        <w:pStyle w:val="19"/>
        <w:spacing w:line="360" w:lineRule="auto"/>
        <w:rPr>
          <w:b/>
          <w:bCs/>
          <w:sz w:val="32"/>
        </w:rPr>
      </w:pPr>
    </w:p>
    <w:p>
      <w:pPr>
        <w:pStyle w:val="19"/>
        <w:spacing w:line="360" w:lineRule="auto"/>
        <w:jc w:val="center"/>
        <w:rPr>
          <w:b/>
          <w:bCs/>
          <w:sz w:val="32"/>
          <w:szCs w:val="32"/>
        </w:rPr>
      </w:pPr>
      <w:r>
        <w:rPr>
          <w:b/>
          <w:bCs/>
          <w:sz w:val="32"/>
          <w:szCs w:val="32"/>
        </w:rPr>
        <mc:AlternateContent>
          <mc:Choice Requires="wps">
            <w:drawing>
              <wp:anchor distT="0" distB="0" distL="114300" distR="114300" simplePos="0" relativeHeight="251659264"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2" name="矩形 2"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a:effectLst/>
                      </wps:spPr>
                      <wps:txbx>
                        <w:txbxContent>
                          <w:p/>
                        </w:txbxContent>
                      </wps:txbx>
                      <wps:bodyPr wrap="square" upright="1"/>
                    </wps:wsp>
                  </a:graphicData>
                </a:graphic>
              </wp:anchor>
            </w:drawing>
          </mc:Choice>
          <mc:Fallback>
            <w:pict>
              <v:rect id="_x0000_s1026" o:spid="_x0000_s1026" o:spt="1" style="position:absolute;left:0pt;margin-left:-297.65pt;margin-top:-420.95pt;height:1584pt;width:1190.6pt;visibility:hidden;z-index:-251657216;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vV/FfaAAAADwEAAA8AAAAAAAAAAQAgAAAAIgAAAGRy&#10;cy9kb3ducmV2LnhtbFBLAQIUABQAAAAIAIdO4kBT0lV0AwIAAD8EAAAOAAAAAAAAAAEAIAAAACkB&#10;AABkcnMvZTJvRG9jLnhtbFBLBQYAAAAABgAGAFkBAACeBQAAAAA=&#10;">
                <v:fill on="t" opacity="0f" focussize="0,0"/>
                <v:stroke color="#FFFFFF" opacity="0f" joinstyle="miter"/>
                <v:imagedata o:title=""/>
                <o:lock v:ext="edit" aspectratio="f"/>
                <v:textbox>
                  <w:txbxContent>
                    <w:p/>
                  </w:txbxContent>
                </v:textbox>
              </v:rect>
            </w:pict>
          </mc:Fallback>
        </mc:AlternateContent>
      </w:r>
      <w:r>
        <w:rPr>
          <w:rFonts w:hint="eastAsia"/>
          <w:b/>
          <w:bCs/>
          <w:sz w:val="32"/>
          <w:szCs w:val="32"/>
        </w:rPr>
        <w:t>采购人：昆明理工大学</w:t>
      </w:r>
    </w:p>
    <w:p>
      <w:pPr>
        <w:pStyle w:val="19"/>
        <w:spacing w:line="360" w:lineRule="auto"/>
        <w:jc w:val="center"/>
        <w:rPr>
          <w:b/>
          <w:bCs/>
          <w:sz w:val="32"/>
          <w:szCs w:val="32"/>
        </w:rPr>
      </w:pPr>
      <w:r>
        <w:rPr>
          <w:rFonts w:hint="eastAsia"/>
          <w:b/>
          <w:bCs/>
          <w:sz w:val="32"/>
          <w:szCs w:val="32"/>
        </w:rPr>
        <w:t>采购代理机构：云南省政府采购和出让中心</w:t>
      </w:r>
    </w:p>
    <w:p>
      <w:pPr>
        <w:pStyle w:val="19"/>
        <w:spacing w:line="360" w:lineRule="auto"/>
        <w:jc w:val="center"/>
        <w:rPr>
          <w:b/>
          <w:sz w:val="44"/>
        </w:rPr>
        <w:sectPr>
          <w:headerReference r:id="rId3" w:type="default"/>
          <w:footerReference r:id="rId5" w:type="default"/>
          <w:headerReference r:id="rId4" w:type="even"/>
          <w:footerReference r:id="rId6" w:type="even"/>
          <w:pgSz w:w="11906" w:h="16838"/>
          <w:pgMar w:top="1418" w:right="1134" w:bottom="1134" w:left="1418" w:header="779" w:footer="720" w:gutter="0"/>
          <w:pgNumType w:start="0"/>
          <w:cols w:space="720" w:num="1"/>
          <w:titlePg/>
          <w:docGrid w:type="linesAndChars" w:linePitch="331" w:charSpace="0"/>
        </w:sectPr>
      </w:pPr>
      <w:r>
        <w:rPr>
          <w:rFonts w:hint="eastAsia"/>
          <w:b/>
          <w:bCs/>
          <w:sz w:val="32"/>
          <w:szCs w:val="32"/>
        </w:rPr>
        <w:t>二○二六年八月</w:t>
      </w:r>
    </w:p>
    <w:p>
      <w:pPr>
        <w:pStyle w:val="19"/>
        <w:jc w:val="center"/>
        <w:rPr>
          <w:b/>
          <w:sz w:val="36"/>
          <w:szCs w:val="36"/>
        </w:rPr>
      </w:pPr>
      <w:r>
        <w:rPr>
          <w:rFonts w:hint="eastAsia"/>
          <w:b/>
          <w:sz w:val="36"/>
          <w:szCs w:val="36"/>
        </w:rPr>
        <w:t>目  录</w:t>
      </w:r>
    </w:p>
    <w:p>
      <w:pPr>
        <w:pStyle w:val="25"/>
        <w:tabs>
          <w:tab w:val="right" w:leader="dot" w:pos="9354"/>
        </w:tabs>
      </w:pPr>
      <w:r>
        <w:fldChar w:fldCharType="begin"/>
      </w:r>
      <w:r>
        <w:instrText xml:space="preserve"> TOC \o "1-1" \h \z \t "标题 2,2,标题 3,3" </w:instrText>
      </w:r>
      <w:r>
        <w:fldChar w:fldCharType="separate"/>
      </w:r>
      <w:r>
        <w:fldChar w:fldCharType="begin"/>
      </w:r>
      <w:r>
        <w:instrText xml:space="preserve"> HYPERLINK \l _Toc24423 </w:instrText>
      </w:r>
      <w:r>
        <w:fldChar w:fldCharType="separate"/>
      </w:r>
      <w:r>
        <w:rPr>
          <w:rFonts w:hint="eastAsia" w:ascii="黑体"/>
          <w:szCs w:val="32"/>
        </w:rPr>
        <w:t>第一章  投标邀请</w:t>
      </w:r>
      <w:r>
        <w:tab/>
      </w:r>
      <w:r>
        <w:fldChar w:fldCharType="begin"/>
      </w:r>
      <w:r>
        <w:instrText xml:space="preserve"> PAGEREF _Toc24423 </w:instrText>
      </w:r>
      <w:r>
        <w:fldChar w:fldCharType="separate"/>
      </w:r>
      <w:r>
        <w:t>4</w:t>
      </w:r>
      <w:r>
        <w:fldChar w:fldCharType="end"/>
      </w:r>
      <w:r>
        <w:fldChar w:fldCharType="end"/>
      </w:r>
    </w:p>
    <w:p>
      <w:pPr>
        <w:pStyle w:val="28"/>
        <w:tabs>
          <w:tab w:val="right" w:leader="dot" w:pos="9354"/>
          <w:tab w:val="clear" w:pos="9344"/>
        </w:tabs>
      </w:pPr>
      <w:r>
        <w:fldChar w:fldCharType="begin"/>
      </w:r>
      <w:r>
        <w:instrText xml:space="preserve"> HYPERLINK \l _Toc9987 </w:instrText>
      </w:r>
      <w:r>
        <w:fldChar w:fldCharType="separate"/>
      </w:r>
      <w:r>
        <w:rPr>
          <w:rFonts w:hint="eastAsia" w:ascii="宋体" w:hAnsi="宋体" w:eastAsia="宋体" w:cs="宋体"/>
          <w:szCs w:val="21"/>
        </w:rPr>
        <w:t>一、项目基本情况</w:t>
      </w:r>
      <w:r>
        <w:tab/>
      </w:r>
      <w:r>
        <w:fldChar w:fldCharType="begin"/>
      </w:r>
      <w:r>
        <w:instrText xml:space="preserve"> PAGEREF _Toc9987 </w:instrText>
      </w:r>
      <w:r>
        <w:fldChar w:fldCharType="separate"/>
      </w:r>
      <w:r>
        <w:t>4</w:t>
      </w:r>
      <w:r>
        <w:fldChar w:fldCharType="end"/>
      </w:r>
      <w:r>
        <w:fldChar w:fldCharType="end"/>
      </w:r>
    </w:p>
    <w:p>
      <w:pPr>
        <w:pStyle w:val="28"/>
        <w:tabs>
          <w:tab w:val="right" w:leader="dot" w:pos="9354"/>
          <w:tab w:val="clear" w:pos="9344"/>
        </w:tabs>
      </w:pPr>
      <w:r>
        <w:fldChar w:fldCharType="begin"/>
      </w:r>
      <w:r>
        <w:instrText xml:space="preserve"> HYPERLINK \l _Toc26187 </w:instrText>
      </w:r>
      <w:r>
        <w:fldChar w:fldCharType="separate"/>
      </w:r>
      <w:r>
        <w:rPr>
          <w:rFonts w:hint="eastAsia" w:ascii="宋体" w:hAnsi="宋体" w:eastAsia="宋体" w:cs="宋体"/>
          <w:szCs w:val="21"/>
        </w:rPr>
        <w:t>二、申请人的资格要求</w:t>
      </w:r>
      <w:r>
        <w:tab/>
      </w:r>
      <w:r>
        <w:fldChar w:fldCharType="begin"/>
      </w:r>
      <w:r>
        <w:instrText xml:space="preserve"> PAGEREF _Toc26187 </w:instrText>
      </w:r>
      <w:r>
        <w:fldChar w:fldCharType="separate"/>
      </w:r>
      <w:r>
        <w:t>4</w:t>
      </w:r>
      <w:r>
        <w:fldChar w:fldCharType="end"/>
      </w:r>
      <w:r>
        <w:fldChar w:fldCharType="end"/>
      </w:r>
    </w:p>
    <w:p>
      <w:pPr>
        <w:pStyle w:val="28"/>
        <w:tabs>
          <w:tab w:val="right" w:leader="dot" w:pos="9354"/>
          <w:tab w:val="clear" w:pos="9344"/>
        </w:tabs>
      </w:pPr>
      <w:r>
        <w:fldChar w:fldCharType="begin"/>
      </w:r>
      <w:r>
        <w:instrText xml:space="preserve"> HYPERLINK \l _Toc24718 </w:instrText>
      </w:r>
      <w:r>
        <w:fldChar w:fldCharType="separate"/>
      </w:r>
      <w:r>
        <w:rPr>
          <w:rFonts w:hint="eastAsia" w:ascii="宋体" w:hAnsi="宋体" w:eastAsia="宋体" w:cs="宋体"/>
          <w:szCs w:val="21"/>
        </w:rPr>
        <w:t>三、获取招标文件</w:t>
      </w:r>
      <w:r>
        <w:tab/>
      </w:r>
      <w:r>
        <w:fldChar w:fldCharType="begin"/>
      </w:r>
      <w:r>
        <w:instrText xml:space="preserve"> PAGEREF _Toc24718 </w:instrText>
      </w:r>
      <w:r>
        <w:fldChar w:fldCharType="separate"/>
      </w:r>
      <w:r>
        <w:t>5</w:t>
      </w:r>
      <w:r>
        <w:fldChar w:fldCharType="end"/>
      </w:r>
      <w:r>
        <w:fldChar w:fldCharType="end"/>
      </w:r>
    </w:p>
    <w:p>
      <w:pPr>
        <w:pStyle w:val="28"/>
        <w:tabs>
          <w:tab w:val="right" w:leader="dot" w:pos="9354"/>
          <w:tab w:val="clear" w:pos="9344"/>
        </w:tabs>
      </w:pPr>
      <w:r>
        <w:fldChar w:fldCharType="begin"/>
      </w:r>
      <w:r>
        <w:instrText xml:space="preserve"> HYPERLINK \l _Toc6689 </w:instrText>
      </w:r>
      <w:r>
        <w:fldChar w:fldCharType="separate"/>
      </w:r>
      <w:r>
        <w:rPr>
          <w:rFonts w:hint="eastAsia" w:ascii="宋体" w:hAnsi="宋体" w:eastAsia="宋体" w:cs="宋体"/>
          <w:szCs w:val="21"/>
        </w:rPr>
        <w:t>四、电子投标文件提交截止时间</w:t>
      </w:r>
      <w:r>
        <w:tab/>
      </w:r>
      <w:r>
        <w:fldChar w:fldCharType="begin"/>
      </w:r>
      <w:r>
        <w:instrText xml:space="preserve"> PAGEREF _Toc6689 </w:instrText>
      </w:r>
      <w:r>
        <w:fldChar w:fldCharType="separate"/>
      </w:r>
      <w:r>
        <w:t>5</w:t>
      </w:r>
      <w:r>
        <w:fldChar w:fldCharType="end"/>
      </w:r>
      <w:r>
        <w:fldChar w:fldCharType="end"/>
      </w:r>
    </w:p>
    <w:p>
      <w:pPr>
        <w:pStyle w:val="28"/>
        <w:tabs>
          <w:tab w:val="right" w:leader="dot" w:pos="9354"/>
          <w:tab w:val="clear" w:pos="9344"/>
        </w:tabs>
      </w:pPr>
      <w:r>
        <w:fldChar w:fldCharType="begin"/>
      </w:r>
      <w:r>
        <w:instrText xml:space="preserve"> HYPERLINK \l _Toc16967 </w:instrText>
      </w:r>
      <w:r>
        <w:fldChar w:fldCharType="separate"/>
      </w:r>
      <w:r>
        <w:rPr>
          <w:rFonts w:hint="eastAsia" w:ascii="宋体" w:hAnsi="宋体" w:eastAsia="宋体" w:cs="宋体"/>
          <w:szCs w:val="21"/>
        </w:rPr>
        <w:t>五、样品递交</w:t>
      </w:r>
      <w:r>
        <w:tab/>
      </w:r>
      <w:r>
        <w:fldChar w:fldCharType="begin"/>
      </w:r>
      <w:r>
        <w:instrText xml:space="preserve"> PAGEREF _Toc16967 </w:instrText>
      </w:r>
      <w:r>
        <w:fldChar w:fldCharType="separate"/>
      </w:r>
      <w:r>
        <w:t>6</w:t>
      </w:r>
      <w:r>
        <w:fldChar w:fldCharType="end"/>
      </w:r>
      <w:r>
        <w:fldChar w:fldCharType="end"/>
      </w:r>
    </w:p>
    <w:p>
      <w:pPr>
        <w:pStyle w:val="28"/>
        <w:tabs>
          <w:tab w:val="right" w:leader="dot" w:pos="9354"/>
          <w:tab w:val="clear" w:pos="9344"/>
        </w:tabs>
      </w:pPr>
      <w:r>
        <w:fldChar w:fldCharType="begin"/>
      </w:r>
      <w:r>
        <w:instrText xml:space="preserve"> HYPERLINK \l _Toc8549 </w:instrText>
      </w:r>
      <w:r>
        <w:fldChar w:fldCharType="separate"/>
      </w:r>
      <w:r>
        <w:rPr>
          <w:rFonts w:hint="eastAsia" w:ascii="宋体" w:hAnsi="宋体" w:eastAsia="宋体" w:cs="宋体"/>
          <w:szCs w:val="21"/>
        </w:rPr>
        <w:t>六、公告期限</w:t>
      </w:r>
      <w:r>
        <w:tab/>
      </w:r>
      <w:r>
        <w:fldChar w:fldCharType="begin"/>
      </w:r>
      <w:r>
        <w:instrText xml:space="preserve"> PAGEREF _Toc8549 </w:instrText>
      </w:r>
      <w:r>
        <w:fldChar w:fldCharType="separate"/>
      </w:r>
      <w:r>
        <w:t>6</w:t>
      </w:r>
      <w:r>
        <w:fldChar w:fldCharType="end"/>
      </w:r>
      <w:r>
        <w:fldChar w:fldCharType="end"/>
      </w:r>
    </w:p>
    <w:p>
      <w:pPr>
        <w:pStyle w:val="28"/>
        <w:tabs>
          <w:tab w:val="right" w:leader="dot" w:pos="9354"/>
          <w:tab w:val="clear" w:pos="9344"/>
        </w:tabs>
      </w:pPr>
      <w:r>
        <w:fldChar w:fldCharType="begin"/>
      </w:r>
      <w:r>
        <w:instrText xml:space="preserve"> HYPERLINK \l _Toc21013 </w:instrText>
      </w:r>
      <w:r>
        <w:fldChar w:fldCharType="separate"/>
      </w:r>
      <w:r>
        <w:rPr>
          <w:rFonts w:hint="eastAsia" w:ascii="宋体" w:hAnsi="宋体" w:eastAsia="宋体" w:cs="宋体"/>
          <w:szCs w:val="21"/>
        </w:rPr>
        <w:t>七、其他补充事宜</w:t>
      </w:r>
      <w:r>
        <w:tab/>
      </w:r>
      <w:r>
        <w:fldChar w:fldCharType="begin"/>
      </w:r>
      <w:r>
        <w:instrText xml:space="preserve"> PAGEREF _Toc21013 </w:instrText>
      </w:r>
      <w:r>
        <w:fldChar w:fldCharType="separate"/>
      </w:r>
      <w:r>
        <w:t>6</w:t>
      </w:r>
      <w:r>
        <w:fldChar w:fldCharType="end"/>
      </w:r>
      <w:r>
        <w:fldChar w:fldCharType="end"/>
      </w:r>
    </w:p>
    <w:p>
      <w:pPr>
        <w:pStyle w:val="28"/>
        <w:tabs>
          <w:tab w:val="right" w:leader="dot" w:pos="9354"/>
          <w:tab w:val="clear" w:pos="9344"/>
        </w:tabs>
      </w:pPr>
      <w:r>
        <w:fldChar w:fldCharType="begin"/>
      </w:r>
      <w:r>
        <w:instrText xml:space="preserve"> HYPERLINK \l _Toc2751 </w:instrText>
      </w:r>
      <w:r>
        <w:fldChar w:fldCharType="separate"/>
      </w:r>
      <w:r>
        <w:rPr>
          <w:rFonts w:hint="eastAsia" w:ascii="宋体" w:hAnsi="宋体" w:eastAsia="宋体" w:cs="宋体"/>
          <w:szCs w:val="21"/>
        </w:rPr>
        <w:t>八、凡对本次采购提出询问，请按以下方式联系</w:t>
      </w:r>
      <w:r>
        <w:tab/>
      </w:r>
      <w:r>
        <w:fldChar w:fldCharType="begin"/>
      </w:r>
      <w:r>
        <w:instrText xml:space="preserve"> PAGEREF _Toc2751 </w:instrText>
      </w:r>
      <w:r>
        <w:fldChar w:fldCharType="separate"/>
      </w:r>
      <w:r>
        <w:t>7</w:t>
      </w:r>
      <w:r>
        <w:fldChar w:fldCharType="end"/>
      </w:r>
      <w:r>
        <w:fldChar w:fldCharType="end"/>
      </w:r>
    </w:p>
    <w:p>
      <w:pPr>
        <w:pStyle w:val="25"/>
        <w:tabs>
          <w:tab w:val="right" w:leader="dot" w:pos="9354"/>
        </w:tabs>
      </w:pPr>
      <w:r>
        <w:fldChar w:fldCharType="begin"/>
      </w:r>
      <w:r>
        <w:instrText xml:space="preserve"> HYPERLINK \l _Toc10817 </w:instrText>
      </w:r>
      <w:r>
        <w:fldChar w:fldCharType="separate"/>
      </w:r>
      <w:r>
        <w:rPr>
          <w:rFonts w:hint="eastAsia" w:ascii="黑体"/>
          <w:szCs w:val="32"/>
        </w:rPr>
        <w:t>第二章  投标人须知</w:t>
      </w:r>
      <w:r>
        <w:tab/>
      </w:r>
      <w:r>
        <w:fldChar w:fldCharType="begin"/>
      </w:r>
      <w:r>
        <w:instrText xml:space="preserve"> PAGEREF _Toc10817 </w:instrText>
      </w:r>
      <w:r>
        <w:fldChar w:fldCharType="separate"/>
      </w:r>
      <w:r>
        <w:t>9</w:t>
      </w:r>
      <w:r>
        <w:fldChar w:fldCharType="end"/>
      </w:r>
      <w:r>
        <w:fldChar w:fldCharType="end"/>
      </w:r>
    </w:p>
    <w:p>
      <w:pPr>
        <w:pStyle w:val="28"/>
        <w:tabs>
          <w:tab w:val="right" w:leader="dot" w:pos="9354"/>
          <w:tab w:val="clear" w:pos="9344"/>
        </w:tabs>
      </w:pPr>
      <w:r>
        <w:fldChar w:fldCharType="begin"/>
      </w:r>
      <w:r>
        <w:instrText xml:space="preserve"> HYPERLINK \l _Toc24486 </w:instrText>
      </w:r>
      <w:r>
        <w:fldChar w:fldCharType="separate"/>
      </w:r>
      <w:r>
        <w:rPr>
          <w:rFonts w:hint="eastAsia" w:ascii="黑体"/>
          <w:szCs w:val="28"/>
        </w:rPr>
        <w:t>投标人须知前附表</w:t>
      </w:r>
      <w:r>
        <w:tab/>
      </w:r>
      <w:r>
        <w:fldChar w:fldCharType="begin"/>
      </w:r>
      <w:r>
        <w:instrText xml:space="preserve"> PAGEREF _Toc24486 </w:instrText>
      </w:r>
      <w:r>
        <w:fldChar w:fldCharType="separate"/>
      </w:r>
      <w:r>
        <w:t>9</w:t>
      </w:r>
      <w:r>
        <w:fldChar w:fldCharType="end"/>
      </w:r>
      <w:r>
        <w:fldChar w:fldCharType="end"/>
      </w:r>
    </w:p>
    <w:p>
      <w:pPr>
        <w:pStyle w:val="18"/>
        <w:tabs>
          <w:tab w:val="right" w:leader="dot" w:pos="9354"/>
        </w:tabs>
      </w:pPr>
      <w:r>
        <w:fldChar w:fldCharType="begin"/>
      </w:r>
      <w:r>
        <w:instrText xml:space="preserve"> HYPERLINK \l _Toc5463 </w:instrText>
      </w:r>
      <w:r>
        <w:fldChar w:fldCharType="separate"/>
      </w:r>
      <w:r>
        <w:rPr>
          <w:rFonts w:hint="eastAsia" w:ascii="宋体" w:eastAsia="宋体"/>
          <w:szCs w:val="24"/>
        </w:rPr>
        <w:t>1. 项目概况</w:t>
      </w:r>
      <w:r>
        <w:tab/>
      </w:r>
      <w:r>
        <w:fldChar w:fldCharType="begin"/>
      </w:r>
      <w:r>
        <w:instrText xml:space="preserve"> PAGEREF _Toc5463 </w:instrText>
      </w:r>
      <w:r>
        <w:fldChar w:fldCharType="separate"/>
      </w:r>
      <w:r>
        <w:t>12</w:t>
      </w:r>
      <w:r>
        <w:fldChar w:fldCharType="end"/>
      </w:r>
      <w:r>
        <w:fldChar w:fldCharType="end"/>
      </w:r>
    </w:p>
    <w:p>
      <w:pPr>
        <w:pStyle w:val="18"/>
        <w:tabs>
          <w:tab w:val="right" w:leader="dot" w:pos="9354"/>
        </w:tabs>
      </w:pPr>
      <w:r>
        <w:fldChar w:fldCharType="begin"/>
      </w:r>
      <w:r>
        <w:instrText xml:space="preserve"> HYPERLINK \l _Toc32555 </w:instrText>
      </w:r>
      <w:r>
        <w:fldChar w:fldCharType="separate"/>
      </w:r>
      <w:r>
        <w:rPr>
          <w:rFonts w:hint="eastAsia" w:ascii="宋体" w:eastAsia="宋体"/>
          <w:szCs w:val="24"/>
        </w:rPr>
        <w:t>2. 资金来源</w:t>
      </w:r>
      <w:r>
        <w:tab/>
      </w:r>
      <w:r>
        <w:fldChar w:fldCharType="begin"/>
      </w:r>
      <w:r>
        <w:instrText xml:space="preserve"> PAGEREF _Toc32555 </w:instrText>
      </w:r>
      <w:r>
        <w:fldChar w:fldCharType="separate"/>
      </w:r>
      <w:r>
        <w:t>12</w:t>
      </w:r>
      <w:r>
        <w:fldChar w:fldCharType="end"/>
      </w:r>
      <w:r>
        <w:fldChar w:fldCharType="end"/>
      </w:r>
    </w:p>
    <w:p>
      <w:pPr>
        <w:pStyle w:val="18"/>
        <w:tabs>
          <w:tab w:val="right" w:leader="dot" w:pos="9354"/>
        </w:tabs>
      </w:pPr>
      <w:r>
        <w:fldChar w:fldCharType="begin"/>
      </w:r>
      <w:r>
        <w:instrText xml:space="preserve"> HYPERLINK \l _Toc23828 </w:instrText>
      </w:r>
      <w:r>
        <w:fldChar w:fldCharType="separate"/>
      </w:r>
      <w:r>
        <w:rPr>
          <w:rFonts w:hint="eastAsia" w:ascii="宋体" w:eastAsia="宋体"/>
          <w:szCs w:val="24"/>
        </w:rPr>
        <w:t>3. 招标范围及交货期</w:t>
      </w:r>
      <w:r>
        <w:tab/>
      </w:r>
      <w:r>
        <w:fldChar w:fldCharType="begin"/>
      </w:r>
      <w:r>
        <w:instrText xml:space="preserve"> PAGEREF _Toc23828 </w:instrText>
      </w:r>
      <w:r>
        <w:fldChar w:fldCharType="separate"/>
      </w:r>
      <w:r>
        <w:t>12</w:t>
      </w:r>
      <w:r>
        <w:fldChar w:fldCharType="end"/>
      </w:r>
      <w:r>
        <w:fldChar w:fldCharType="end"/>
      </w:r>
    </w:p>
    <w:p>
      <w:pPr>
        <w:pStyle w:val="18"/>
        <w:tabs>
          <w:tab w:val="right" w:leader="dot" w:pos="9354"/>
        </w:tabs>
      </w:pPr>
      <w:r>
        <w:fldChar w:fldCharType="begin"/>
      </w:r>
      <w:r>
        <w:instrText xml:space="preserve"> HYPERLINK \l _Toc30425 </w:instrText>
      </w:r>
      <w:r>
        <w:fldChar w:fldCharType="separate"/>
      </w:r>
      <w:r>
        <w:rPr>
          <w:rFonts w:hint="eastAsia" w:ascii="宋体" w:eastAsia="宋体"/>
          <w:szCs w:val="24"/>
        </w:rPr>
        <w:t>4. 合格的投标人</w:t>
      </w:r>
      <w:r>
        <w:tab/>
      </w:r>
      <w:r>
        <w:fldChar w:fldCharType="begin"/>
      </w:r>
      <w:r>
        <w:instrText xml:space="preserve"> PAGEREF _Toc30425 </w:instrText>
      </w:r>
      <w:r>
        <w:fldChar w:fldCharType="separate"/>
      </w:r>
      <w:r>
        <w:t>12</w:t>
      </w:r>
      <w:r>
        <w:fldChar w:fldCharType="end"/>
      </w:r>
      <w:r>
        <w:fldChar w:fldCharType="end"/>
      </w:r>
    </w:p>
    <w:p>
      <w:pPr>
        <w:pStyle w:val="18"/>
        <w:tabs>
          <w:tab w:val="right" w:leader="dot" w:pos="9354"/>
        </w:tabs>
      </w:pPr>
      <w:r>
        <w:fldChar w:fldCharType="begin"/>
      </w:r>
      <w:r>
        <w:instrText xml:space="preserve"> HYPERLINK \l _Toc15868 </w:instrText>
      </w:r>
      <w:r>
        <w:fldChar w:fldCharType="separate"/>
      </w:r>
      <w:r>
        <w:rPr>
          <w:rFonts w:hint="eastAsia" w:ascii="宋体" w:eastAsia="宋体"/>
          <w:szCs w:val="24"/>
        </w:rPr>
        <w:t>5. 投标费用</w:t>
      </w:r>
      <w:r>
        <w:tab/>
      </w:r>
      <w:r>
        <w:fldChar w:fldCharType="begin"/>
      </w:r>
      <w:r>
        <w:instrText xml:space="preserve"> PAGEREF _Toc15868 </w:instrText>
      </w:r>
      <w:r>
        <w:fldChar w:fldCharType="separate"/>
      </w:r>
      <w:r>
        <w:t>13</w:t>
      </w:r>
      <w:r>
        <w:fldChar w:fldCharType="end"/>
      </w:r>
      <w:r>
        <w:fldChar w:fldCharType="end"/>
      </w:r>
    </w:p>
    <w:p>
      <w:pPr>
        <w:pStyle w:val="18"/>
        <w:tabs>
          <w:tab w:val="right" w:leader="dot" w:pos="9354"/>
        </w:tabs>
      </w:pPr>
      <w:r>
        <w:fldChar w:fldCharType="begin"/>
      </w:r>
      <w:r>
        <w:instrText xml:space="preserve"> HYPERLINK \l _Toc24171 </w:instrText>
      </w:r>
      <w:r>
        <w:fldChar w:fldCharType="separate"/>
      </w:r>
      <w:r>
        <w:rPr>
          <w:rFonts w:hint="eastAsia" w:ascii="宋体" w:eastAsia="宋体"/>
          <w:szCs w:val="24"/>
        </w:rPr>
        <w:t>6. 质疑</w:t>
      </w:r>
      <w:r>
        <w:tab/>
      </w:r>
      <w:r>
        <w:fldChar w:fldCharType="begin"/>
      </w:r>
      <w:r>
        <w:instrText xml:space="preserve"> PAGEREF _Toc24171 </w:instrText>
      </w:r>
      <w:r>
        <w:fldChar w:fldCharType="separate"/>
      </w:r>
      <w:r>
        <w:t>13</w:t>
      </w:r>
      <w:r>
        <w:fldChar w:fldCharType="end"/>
      </w:r>
      <w:r>
        <w:fldChar w:fldCharType="end"/>
      </w:r>
    </w:p>
    <w:p>
      <w:pPr>
        <w:pStyle w:val="18"/>
        <w:tabs>
          <w:tab w:val="right" w:leader="dot" w:pos="9354"/>
        </w:tabs>
      </w:pPr>
      <w:r>
        <w:fldChar w:fldCharType="begin"/>
      </w:r>
      <w:r>
        <w:instrText xml:space="preserve"> HYPERLINK \l _Toc16904 </w:instrText>
      </w:r>
      <w:r>
        <w:fldChar w:fldCharType="separate"/>
      </w:r>
      <w:r>
        <w:rPr>
          <w:rFonts w:hint="eastAsia" w:ascii="宋体" w:eastAsia="宋体"/>
          <w:szCs w:val="24"/>
        </w:rPr>
        <w:t>7. 投诉</w:t>
      </w:r>
      <w:r>
        <w:tab/>
      </w:r>
      <w:r>
        <w:fldChar w:fldCharType="begin"/>
      </w:r>
      <w:r>
        <w:instrText xml:space="preserve"> PAGEREF _Toc16904 </w:instrText>
      </w:r>
      <w:r>
        <w:fldChar w:fldCharType="separate"/>
      </w:r>
      <w:r>
        <w:t>14</w:t>
      </w:r>
      <w:r>
        <w:fldChar w:fldCharType="end"/>
      </w:r>
      <w:r>
        <w:fldChar w:fldCharType="end"/>
      </w:r>
    </w:p>
    <w:p>
      <w:pPr>
        <w:pStyle w:val="28"/>
        <w:tabs>
          <w:tab w:val="right" w:leader="dot" w:pos="9354"/>
          <w:tab w:val="clear" w:pos="9344"/>
        </w:tabs>
      </w:pPr>
      <w:r>
        <w:fldChar w:fldCharType="begin"/>
      </w:r>
      <w:r>
        <w:instrText xml:space="preserve"> HYPERLINK \l _Toc5408 </w:instrText>
      </w:r>
      <w:r>
        <w:fldChar w:fldCharType="separate"/>
      </w:r>
      <w:r>
        <w:rPr>
          <w:rFonts w:hint="eastAsia" w:ascii="黑体"/>
          <w:szCs w:val="28"/>
        </w:rPr>
        <w:t>二、招标文件</w:t>
      </w:r>
      <w:r>
        <w:tab/>
      </w:r>
      <w:r>
        <w:fldChar w:fldCharType="begin"/>
      </w:r>
      <w:r>
        <w:instrText xml:space="preserve"> PAGEREF _Toc5408 </w:instrText>
      </w:r>
      <w:r>
        <w:fldChar w:fldCharType="separate"/>
      </w:r>
      <w:r>
        <w:t>14</w:t>
      </w:r>
      <w:r>
        <w:fldChar w:fldCharType="end"/>
      </w:r>
      <w:r>
        <w:fldChar w:fldCharType="end"/>
      </w:r>
    </w:p>
    <w:p>
      <w:pPr>
        <w:pStyle w:val="18"/>
        <w:tabs>
          <w:tab w:val="right" w:leader="dot" w:pos="9354"/>
        </w:tabs>
      </w:pPr>
      <w:r>
        <w:fldChar w:fldCharType="begin"/>
      </w:r>
      <w:r>
        <w:instrText xml:space="preserve"> HYPERLINK \l _Toc31744 </w:instrText>
      </w:r>
      <w:r>
        <w:fldChar w:fldCharType="separate"/>
      </w:r>
      <w:r>
        <w:rPr>
          <w:rFonts w:hint="eastAsia" w:ascii="宋体" w:eastAsia="宋体"/>
          <w:szCs w:val="24"/>
        </w:rPr>
        <w:t>8. 招标文件构成</w:t>
      </w:r>
      <w:r>
        <w:tab/>
      </w:r>
      <w:r>
        <w:fldChar w:fldCharType="begin"/>
      </w:r>
      <w:r>
        <w:instrText xml:space="preserve"> PAGEREF _Toc31744 </w:instrText>
      </w:r>
      <w:r>
        <w:fldChar w:fldCharType="separate"/>
      </w:r>
      <w:r>
        <w:t>14</w:t>
      </w:r>
      <w:r>
        <w:fldChar w:fldCharType="end"/>
      </w:r>
      <w:r>
        <w:fldChar w:fldCharType="end"/>
      </w:r>
    </w:p>
    <w:p>
      <w:pPr>
        <w:pStyle w:val="18"/>
        <w:tabs>
          <w:tab w:val="right" w:leader="dot" w:pos="9354"/>
        </w:tabs>
      </w:pPr>
      <w:r>
        <w:fldChar w:fldCharType="begin"/>
      </w:r>
      <w:r>
        <w:instrText xml:space="preserve"> HYPERLINK \l _Toc22810 </w:instrText>
      </w:r>
      <w:r>
        <w:fldChar w:fldCharType="separate"/>
      </w:r>
      <w:r>
        <w:rPr>
          <w:rFonts w:hint="eastAsia" w:ascii="宋体" w:eastAsia="宋体"/>
          <w:szCs w:val="24"/>
        </w:rPr>
        <w:t>9. 招标文件的澄清</w:t>
      </w:r>
      <w:r>
        <w:tab/>
      </w:r>
      <w:r>
        <w:fldChar w:fldCharType="begin"/>
      </w:r>
      <w:r>
        <w:instrText xml:space="preserve"> PAGEREF _Toc22810 </w:instrText>
      </w:r>
      <w:r>
        <w:fldChar w:fldCharType="separate"/>
      </w:r>
      <w:r>
        <w:t>14</w:t>
      </w:r>
      <w:r>
        <w:fldChar w:fldCharType="end"/>
      </w:r>
      <w:r>
        <w:fldChar w:fldCharType="end"/>
      </w:r>
    </w:p>
    <w:p>
      <w:pPr>
        <w:pStyle w:val="18"/>
        <w:tabs>
          <w:tab w:val="right" w:leader="dot" w:pos="9354"/>
        </w:tabs>
      </w:pPr>
      <w:r>
        <w:fldChar w:fldCharType="begin"/>
      </w:r>
      <w:r>
        <w:instrText xml:space="preserve"> HYPERLINK \l _Toc13834 </w:instrText>
      </w:r>
      <w:r>
        <w:fldChar w:fldCharType="separate"/>
      </w:r>
      <w:r>
        <w:rPr>
          <w:rFonts w:hint="eastAsia" w:ascii="宋体" w:eastAsia="宋体"/>
          <w:szCs w:val="24"/>
        </w:rPr>
        <w:t>10. 招标文件的修改</w:t>
      </w:r>
      <w:r>
        <w:tab/>
      </w:r>
      <w:r>
        <w:fldChar w:fldCharType="begin"/>
      </w:r>
      <w:r>
        <w:instrText xml:space="preserve"> PAGEREF _Toc13834 </w:instrText>
      </w:r>
      <w:r>
        <w:fldChar w:fldCharType="separate"/>
      </w:r>
      <w:r>
        <w:t>15</w:t>
      </w:r>
      <w:r>
        <w:fldChar w:fldCharType="end"/>
      </w:r>
      <w:r>
        <w:fldChar w:fldCharType="end"/>
      </w:r>
    </w:p>
    <w:p>
      <w:pPr>
        <w:pStyle w:val="28"/>
        <w:tabs>
          <w:tab w:val="right" w:leader="dot" w:pos="9354"/>
          <w:tab w:val="clear" w:pos="9344"/>
        </w:tabs>
      </w:pPr>
      <w:r>
        <w:fldChar w:fldCharType="begin"/>
      </w:r>
      <w:r>
        <w:instrText xml:space="preserve"> HYPERLINK \l _Toc1586 </w:instrText>
      </w:r>
      <w:r>
        <w:fldChar w:fldCharType="separate"/>
      </w:r>
      <w:r>
        <w:rPr>
          <w:rFonts w:hint="eastAsia" w:ascii="黑体"/>
          <w:szCs w:val="28"/>
        </w:rPr>
        <w:t>三、投标文件的编制</w:t>
      </w:r>
      <w:r>
        <w:tab/>
      </w:r>
      <w:r>
        <w:fldChar w:fldCharType="begin"/>
      </w:r>
      <w:r>
        <w:instrText xml:space="preserve"> PAGEREF _Toc1586 </w:instrText>
      </w:r>
      <w:r>
        <w:fldChar w:fldCharType="separate"/>
      </w:r>
      <w:r>
        <w:t>15</w:t>
      </w:r>
      <w:r>
        <w:fldChar w:fldCharType="end"/>
      </w:r>
      <w:r>
        <w:fldChar w:fldCharType="end"/>
      </w:r>
    </w:p>
    <w:p>
      <w:pPr>
        <w:pStyle w:val="18"/>
        <w:tabs>
          <w:tab w:val="right" w:leader="dot" w:pos="9354"/>
        </w:tabs>
      </w:pPr>
      <w:r>
        <w:fldChar w:fldCharType="begin"/>
      </w:r>
      <w:r>
        <w:instrText xml:space="preserve"> HYPERLINK \l _Toc21952 </w:instrText>
      </w:r>
      <w:r>
        <w:fldChar w:fldCharType="separate"/>
      </w:r>
      <w:r>
        <w:rPr>
          <w:rFonts w:hint="eastAsia" w:ascii="宋体" w:eastAsia="宋体"/>
          <w:szCs w:val="24"/>
        </w:rPr>
        <w:t>11. 投标文件编写注意事项</w:t>
      </w:r>
      <w:r>
        <w:tab/>
      </w:r>
      <w:r>
        <w:fldChar w:fldCharType="begin"/>
      </w:r>
      <w:r>
        <w:instrText xml:space="preserve"> PAGEREF _Toc21952 </w:instrText>
      </w:r>
      <w:r>
        <w:fldChar w:fldCharType="separate"/>
      </w:r>
      <w:r>
        <w:t>15</w:t>
      </w:r>
      <w:r>
        <w:fldChar w:fldCharType="end"/>
      </w:r>
      <w:r>
        <w:fldChar w:fldCharType="end"/>
      </w:r>
    </w:p>
    <w:p>
      <w:pPr>
        <w:pStyle w:val="18"/>
        <w:tabs>
          <w:tab w:val="right" w:leader="dot" w:pos="9354"/>
        </w:tabs>
      </w:pPr>
      <w:r>
        <w:fldChar w:fldCharType="begin"/>
      </w:r>
      <w:r>
        <w:instrText xml:space="preserve"> HYPERLINK \l _Toc2100 </w:instrText>
      </w:r>
      <w:r>
        <w:fldChar w:fldCharType="separate"/>
      </w:r>
      <w:r>
        <w:rPr>
          <w:rFonts w:hint="eastAsia" w:ascii="宋体" w:eastAsia="宋体"/>
          <w:szCs w:val="24"/>
        </w:rPr>
        <w:t>12. 投标的语言及计量单位</w:t>
      </w:r>
      <w:r>
        <w:tab/>
      </w:r>
      <w:r>
        <w:fldChar w:fldCharType="begin"/>
      </w:r>
      <w:r>
        <w:instrText xml:space="preserve"> PAGEREF _Toc2100 </w:instrText>
      </w:r>
      <w:r>
        <w:fldChar w:fldCharType="separate"/>
      </w:r>
      <w:r>
        <w:t>15</w:t>
      </w:r>
      <w:r>
        <w:fldChar w:fldCharType="end"/>
      </w:r>
      <w:r>
        <w:fldChar w:fldCharType="end"/>
      </w:r>
    </w:p>
    <w:p>
      <w:pPr>
        <w:pStyle w:val="18"/>
        <w:tabs>
          <w:tab w:val="right" w:leader="dot" w:pos="9354"/>
        </w:tabs>
      </w:pPr>
      <w:r>
        <w:fldChar w:fldCharType="begin"/>
      </w:r>
      <w:r>
        <w:instrText xml:space="preserve"> HYPERLINK \l _Toc10739 </w:instrText>
      </w:r>
      <w:r>
        <w:fldChar w:fldCharType="separate"/>
      </w:r>
      <w:r>
        <w:rPr>
          <w:rFonts w:hint="eastAsia" w:ascii="宋体" w:eastAsia="宋体"/>
          <w:szCs w:val="24"/>
        </w:rPr>
        <w:t>13. 投标文件构成</w:t>
      </w:r>
      <w:r>
        <w:tab/>
      </w:r>
      <w:r>
        <w:fldChar w:fldCharType="begin"/>
      </w:r>
      <w:r>
        <w:instrText xml:space="preserve"> PAGEREF _Toc10739 </w:instrText>
      </w:r>
      <w:r>
        <w:fldChar w:fldCharType="separate"/>
      </w:r>
      <w:r>
        <w:t>16</w:t>
      </w:r>
      <w:r>
        <w:fldChar w:fldCharType="end"/>
      </w:r>
      <w:r>
        <w:fldChar w:fldCharType="end"/>
      </w:r>
    </w:p>
    <w:p>
      <w:pPr>
        <w:pStyle w:val="18"/>
        <w:tabs>
          <w:tab w:val="right" w:leader="dot" w:pos="9354"/>
        </w:tabs>
      </w:pPr>
      <w:r>
        <w:fldChar w:fldCharType="begin"/>
      </w:r>
      <w:r>
        <w:instrText xml:space="preserve"> HYPERLINK \l _Toc1044 </w:instrText>
      </w:r>
      <w:r>
        <w:fldChar w:fldCharType="separate"/>
      </w:r>
      <w:r>
        <w:rPr>
          <w:rFonts w:hint="eastAsia" w:ascii="宋体" w:eastAsia="宋体"/>
          <w:szCs w:val="24"/>
        </w:rPr>
        <w:t>14. 投标文件的格式要求</w:t>
      </w:r>
      <w:r>
        <w:tab/>
      </w:r>
      <w:r>
        <w:fldChar w:fldCharType="begin"/>
      </w:r>
      <w:r>
        <w:instrText xml:space="preserve"> PAGEREF _Toc1044 </w:instrText>
      </w:r>
      <w:r>
        <w:fldChar w:fldCharType="separate"/>
      </w:r>
      <w:r>
        <w:t>16</w:t>
      </w:r>
      <w:r>
        <w:fldChar w:fldCharType="end"/>
      </w:r>
      <w:r>
        <w:fldChar w:fldCharType="end"/>
      </w:r>
    </w:p>
    <w:p>
      <w:pPr>
        <w:pStyle w:val="18"/>
        <w:tabs>
          <w:tab w:val="right" w:leader="dot" w:pos="9354"/>
        </w:tabs>
      </w:pPr>
      <w:r>
        <w:fldChar w:fldCharType="begin"/>
      </w:r>
      <w:r>
        <w:instrText xml:space="preserve"> HYPERLINK \l _Toc14212 </w:instrText>
      </w:r>
      <w:r>
        <w:fldChar w:fldCharType="separate"/>
      </w:r>
      <w:r>
        <w:rPr>
          <w:rFonts w:hint="eastAsia" w:ascii="宋体" w:eastAsia="宋体"/>
          <w:szCs w:val="24"/>
        </w:rPr>
        <w:t>15. 投标报价</w:t>
      </w:r>
      <w:r>
        <w:tab/>
      </w:r>
      <w:r>
        <w:fldChar w:fldCharType="begin"/>
      </w:r>
      <w:r>
        <w:instrText xml:space="preserve"> PAGEREF _Toc14212 </w:instrText>
      </w:r>
      <w:r>
        <w:fldChar w:fldCharType="separate"/>
      </w:r>
      <w:r>
        <w:t>16</w:t>
      </w:r>
      <w:r>
        <w:fldChar w:fldCharType="end"/>
      </w:r>
      <w:r>
        <w:fldChar w:fldCharType="end"/>
      </w:r>
    </w:p>
    <w:p>
      <w:pPr>
        <w:pStyle w:val="18"/>
        <w:tabs>
          <w:tab w:val="right" w:leader="dot" w:pos="9354"/>
        </w:tabs>
      </w:pPr>
      <w:r>
        <w:fldChar w:fldCharType="begin"/>
      </w:r>
      <w:r>
        <w:instrText xml:space="preserve"> HYPERLINK \l _Toc6126 </w:instrText>
      </w:r>
      <w:r>
        <w:fldChar w:fldCharType="separate"/>
      </w:r>
      <w:r>
        <w:rPr>
          <w:rFonts w:hint="eastAsia" w:ascii="宋体" w:eastAsia="宋体"/>
          <w:szCs w:val="24"/>
        </w:rPr>
        <w:t>16. 投标货币</w:t>
      </w:r>
      <w:r>
        <w:tab/>
      </w:r>
      <w:r>
        <w:fldChar w:fldCharType="begin"/>
      </w:r>
      <w:r>
        <w:instrText xml:space="preserve"> PAGEREF _Toc6126 </w:instrText>
      </w:r>
      <w:r>
        <w:fldChar w:fldCharType="separate"/>
      </w:r>
      <w:r>
        <w:t>16</w:t>
      </w:r>
      <w:r>
        <w:fldChar w:fldCharType="end"/>
      </w:r>
      <w:r>
        <w:fldChar w:fldCharType="end"/>
      </w:r>
    </w:p>
    <w:p>
      <w:pPr>
        <w:pStyle w:val="18"/>
        <w:tabs>
          <w:tab w:val="right" w:leader="dot" w:pos="9354"/>
        </w:tabs>
      </w:pPr>
      <w:r>
        <w:fldChar w:fldCharType="begin"/>
      </w:r>
      <w:r>
        <w:instrText xml:space="preserve"> HYPERLINK \l _Toc1525 </w:instrText>
      </w:r>
      <w:r>
        <w:fldChar w:fldCharType="separate"/>
      </w:r>
      <w:r>
        <w:rPr>
          <w:rFonts w:hint="eastAsia" w:ascii="宋体" w:eastAsia="宋体"/>
          <w:szCs w:val="24"/>
        </w:rPr>
        <w:t>17. 投标有效期</w:t>
      </w:r>
      <w:r>
        <w:tab/>
      </w:r>
      <w:r>
        <w:fldChar w:fldCharType="begin"/>
      </w:r>
      <w:r>
        <w:instrText xml:space="preserve"> PAGEREF _Toc1525 </w:instrText>
      </w:r>
      <w:r>
        <w:fldChar w:fldCharType="separate"/>
      </w:r>
      <w:r>
        <w:t>16</w:t>
      </w:r>
      <w:r>
        <w:fldChar w:fldCharType="end"/>
      </w:r>
      <w:r>
        <w:fldChar w:fldCharType="end"/>
      </w:r>
    </w:p>
    <w:p>
      <w:pPr>
        <w:pStyle w:val="18"/>
        <w:tabs>
          <w:tab w:val="right" w:leader="dot" w:pos="9354"/>
        </w:tabs>
      </w:pPr>
      <w:r>
        <w:fldChar w:fldCharType="begin"/>
      </w:r>
      <w:r>
        <w:instrText xml:space="preserve"> HYPERLINK \l _Toc20417 </w:instrText>
      </w:r>
      <w:r>
        <w:fldChar w:fldCharType="separate"/>
      </w:r>
      <w:r>
        <w:rPr>
          <w:rFonts w:hint="eastAsia" w:ascii="宋体" w:eastAsia="宋体"/>
          <w:szCs w:val="24"/>
        </w:rPr>
        <w:t>18. 投标文件的签署要求</w:t>
      </w:r>
      <w:r>
        <w:tab/>
      </w:r>
      <w:r>
        <w:fldChar w:fldCharType="begin"/>
      </w:r>
      <w:r>
        <w:instrText xml:space="preserve"> PAGEREF _Toc20417 </w:instrText>
      </w:r>
      <w:r>
        <w:fldChar w:fldCharType="separate"/>
      </w:r>
      <w:r>
        <w:t>17</w:t>
      </w:r>
      <w:r>
        <w:fldChar w:fldCharType="end"/>
      </w:r>
      <w:r>
        <w:fldChar w:fldCharType="end"/>
      </w:r>
    </w:p>
    <w:p>
      <w:pPr>
        <w:pStyle w:val="18"/>
        <w:tabs>
          <w:tab w:val="right" w:leader="dot" w:pos="9354"/>
        </w:tabs>
      </w:pPr>
      <w:r>
        <w:fldChar w:fldCharType="begin"/>
      </w:r>
      <w:r>
        <w:instrText xml:space="preserve"> HYPERLINK \l _Toc12710 </w:instrText>
      </w:r>
      <w:r>
        <w:fldChar w:fldCharType="separate"/>
      </w:r>
      <w:r>
        <w:rPr>
          <w:rFonts w:hint="eastAsia" w:ascii="宋体" w:eastAsia="宋体"/>
          <w:szCs w:val="24"/>
        </w:rPr>
        <w:t>19. 投标保证金：无</w:t>
      </w:r>
      <w:r>
        <w:tab/>
      </w:r>
      <w:r>
        <w:fldChar w:fldCharType="begin"/>
      </w:r>
      <w:r>
        <w:instrText xml:space="preserve"> PAGEREF _Toc12710 </w:instrText>
      </w:r>
      <w:r>
        <w:fldChar w:fldCharType="separate"/>
      </w:r>
      <w:r>
        <w:t>17</w:t>
      </w:r>
      <w:r>
        <w:fldChar w:fldCharType="end"/>
      </w:r>
      <w:r>
        <w:fldChar w:fldCharType="end"/>
      </w:r>
    </w:p>
    <w:p>
      <w:pPr>
        <w:pStyle w:val="28"/>
        <w:tabs>
          <w:tab w:val="right" w:leader="dot" w:pos="9354"/>
          <w:tab w:val="clear" w:pos="9344"/>
        </w:tabs>
      </w:pPr>
      <w:r>
        <w:fldChar w:fldCharType="begin"/>
      </w:r>
      <w:r>
        <w:instrText xml:space="preserve"> HYPERLINK \l _Toc7497 </w:instrText>
      </w:r>
      <w:r>
        <w:fldChar w:fldCharType="separate"/>
      </w:r>
      <w:r>
        <w:rPr>
          <w:rFonts w:hint="eastAsia" w:ascii="黑体"/>
          <w:szCs w:val="28"/>
        </w:rPr>
        <w:t>四、投标文件的提交</w:t>
      </w:r>
      <w:r>
        <w:tab/>
      </w:r>
      <w:r>
        <w:fldChar w:fldCharType="begin"/>
      </w:r>
      <w:r>
        <w:instrText xml:space="preserve"> PAGEREF _Toc7497 </w:instrText>
      </w:r>
      <w:r>
        <w:fldChar w:fldCharType="separate"/>
      </w:r>
      <w:r>
        <w:t>17</w:t>
      </w:r>
      <w:r>
        <w:fldChar w:fldCharType="end"/>
      </w:r>
      <w:r>
        <w:fldChar w:fldCharType="end"/>
      </w:r>
    </w:p>
    <w:p>
      <w:pPr>
        <w:pStyle w:val="18"/>
        <w:tabs>
          <w:tab w:val="right" w:leader="dot" w:pos="9354"/>
        </w:tabs>
      </w:pPr>
      <w:r>
        <w:fldChar w:fldCharType="begin"/>
      </w:r>
      <w:r>
        <w:instrText xml:space="preserve"> HYPERLINK \l _Toc30939 </w:instrText>
      </w:r>
      <w:r>
        <w:fldChar w:fldCharType="separate"/>
      </w:r>
      <w:r>
        <w:rPr>
          <w:rFonts w:hint="eastAsia" w:ascii="宋体" w:eastAsia="宋体"/>
          <w:szCs w:val="24"/>
        </w:rPr>
        <w:t>20. 投标文件的密封、标记与提交</w:t>
      </w:r>
      <w:r>
        <w:tab/>
      </w:r>
      <w:r>
        <w:fldChar w:fldCharType="begin"/>
      </w:r>
      <w:r>
        <w:instrText xml:space="preserve"> PAGEREF _Toc30939 </w:instrText>
      </w:r>
      <w:r>
        <w:fldChar w:fldCharType="separate"/>
      </w:r>
      <w:r>
        <w:t>17</w:t>
      </w:r>
      <w:r>
        <w:fldChar w:fldCharType="end"/>
      </w:r>
      <w:r>
        <w:fldChar w:fldCharType="end"/>
      </w:r>
    </w:p>
    <w:p>
      <w:pPr>
        <w:pStyle w:val="28"/>
        <w:tabs>
          <w:tab w:val="right" w:leader="dot" w:pos="9354"/>
          <w:tab w:val="clear" w:pos="9344"/>
        </w:tabs>
      </w:pPr>
      <w:r>
        <w:fldChar w:fldCharType="begin"/>
      </w:r>
      <w:r>
        <w:instrText xml:space="preserve"> HYPERLINK \l _Toc21349 </w:instrText>
      </w:r>
      <w:r>
        <w:fldChar w:fldCharType="separate"/>
      </w:r>
      <w:r>
        <w:rPr>
          <w:rFonts w:hint="eastAsia" w:ascii="黑体"/>
          <w:szCs w:val="28"/>
        </w:rPr>
        <w:t>五、开标与评标</w:t>
      </w:r>
      <w:r>
        <w:tab/>
      </w:r>
      <w:r>
        <w:fldChar w:fldCharType="begin"/>
      </w:r>
      <w:r>
        <w:instrText xml:space="preserve"> PAGEREF _Toc21349 </w:instrText>
      </w:r>
      <w:r>
        <w:fldChar w:fldCharType="separate"/>
      </w:r>
      <w:r>
        <w:t>17</w:t>
      </w:r>
      <w:r>
        <w:fldChar w:fldCharType="end"/>
      </w:r>
      <w:r>
        <w:fldChar w:fldCharType="end"/>
      </w:r>
    </w:p>
    <w:p>
      <w:pPr>
        <w:pStyle w:val="18"/>
        <w:tabs>
          <w:tab w:val="right" w:leader="dot" w:pos="9354"/>
        </w:tabs>
      </w:pPr>
      <w:r>
        <w:fldChar w:fldCharType="begin"/>
      </w:r>
      <w:r>
        <w:instrText xml:space="preserve"> HYPERLINK \l _Toc25079 </w:instrText>
      </w:r>
      <w:r>
        <w:fldChar w:fldCharType="separate"/>
      </w:r>
      <w:r>
        <w:rPr>
          <w:rFonts w:hint="eastAsia" w:ascii="宋体" w:eastAsia="宋体"/>
          <w:szCs w:val="24"/>
        </w:rPr>
        <w:t>21. 开标</w:t>
      </w:r>
      <w:r>
        <w:tab/>
      </w:r>
      <w:r>
        <w:fldChar w:fldCharType="begin"/>
      </w:r>
      <w:r>
        <w:instrText xml:space="preserve"> PAGEREF _Toc25079 </w:instrText>
      </w:r>
      <w:r>
        <w:fldChar w:fldCharType="separate"/>
      </w:r>
      <w:r>
        <w:t>17</w:t>
      </w:r>
      <w:r>
        <w:fldChar w:fldCharType="end"/>
      </w:r>
      <w:r>
        <w:fldChar w:fldCharType="end"/>
      </w:r>
    </w:p>
    <w:p>
      <w:pPr>
        <w:pStyle w:val="18"/>
        <w:tabs>
          <w:tab w:val="right" w:leader="dot" w:pos="9354"/>
        </w:tabs>
      </w:pPr>
      <w:r>
        <w:fldChar w:fldCharType="begin"/>
      </w:r>
      <w:r>
        <w:instrText xml:space="preserve"> HYPERLINK \l _Toc27111 </w:instrText>
      </w:r>
      <w:r>
        <w:fldChar w:fldCharType="separate"/>
      </w:r>
      <w:r>
        <w:rPr>
          <w:rFonts w:hint="eastAsia" w:ascii="宋体" w:eastAsia="宋体"/>
          <w:szCs w:val="24"/>
        </w:rPr>
        <w:t>22. 资格审查</w:t>
      </w:r>
      <w:r>
        <w:tab/>
      </w:r>
      <w:r>
        <w:fldChar w:fldCharType="begin"/>
      </w:r>
      <w:r>
        <w:instrText xml:space="preserve"> PAGEREF _Toc27111 </w:instrText>
      </w:r>
      <w:r>
        <w:fldChar w:fldCharType="separate"/>
      </w:r>
      <w:r>
        <w:t>18</w:t>
      </w:r>
      <w:r>
        <w:fldChar w:fldCharType="end"/>
      </w:r>
      <w:r>
        <w:fldChar w:fldCharType="end"/>
      </w:r>
    </w:p>
    <w:p>
      <w:pPr>
        <w:pStyle w:val="18"/>
        <w:tabs>
          <w:tab w:val="right" w:leader="dot" w:pos="9354"/>
        </w:tabs>
      </w:pPr>
      <w:r>
        <w:fldChar w:fldCharType="begin"/>
      </w:r>
      <w:r>
        <w:instrText xml:space="preserve"> HYPERLINK \l _Toc13515 </w:instrText>
      </w:r>
      <w:r>
        <w:fldChar w:fldCharType="separate"/>
      </w:r>
      <w:r>
        <w:rPr>
          <w:rFonts w:hint="eastAsia" w:ascii="宋体" w:eastAsia="宋体"/>
          <w:szCs w:val="24"/>
        </w:rPr>
        <w:t>23. 评标</w:t>
      </w:r>
      <w:r>
        <w:tab/>
      </w:r>
      <w:r>
        <w:fldChar w:fldCharType="begin"/>
      </w:r>
      <w:r>
        <w:instrText xml:space="preserve"> PAGEREF _Toc13515 </w:instrText>
      </w:r>
      <w:r>
        <w:fldChar w:fldCharType="separate"/>
      </w:r>
      <w:r>
        <w:t>18</w:t>
      </w:r>
      <w:r>
        <w:fldChar w:fldCharType="end"/>
      </w:r>
      <w:r>
        <w:fldChar w:fldCharType="end"/>
      </w:r>
    </w:p>
    <w:p>
      <w:pPr>
        <w:pStyle w:val="18"/>
        <w:tabs>
          <w:tab w:val="right" w:leader="dot" w:pos="9354"/>
        </w:tabs>
      </w:pPr>
      <w:r>
        <w:fldChar w:fldCharType="begin"/>
      </w:r>
      <w:r>
        <w:instrText xml:space="preserve"> HYPERLINK \l _Toc3166 </w:instrText>
      </w:r>
      <w:r>
        <w:fldChar w:fldCharType="separate"/>
      </w:r>
      <w:r>
        <w:rPr>
          <w:rFonts w:hint="eastAsia" w:ascii="宋体" w:eastAsia="宋体"/>
          <w:szCs w:val="24"/>
        </w:rPr>
        <w:t>24. 评标过程的保密</w:t>
      </w:r>
      <w:r>
        <w:tab/>
      </w:r>
      <w:r>
        <w:fldChar w:fldCharType="begin"/>
      </w:r>
      <w:r>
        <w:instrText xml:space="preserve"> PAGEREF _Toc3166 </w:instrText>
      </w:r>
      <w:r>
        <w:fldChar w:fldCharType="separate"/>
      </w:r>
      <w:r>
        <w:t>18</w:t>
      </w:r>
      <w:r>
        <w:fldChar w:fldCharType="end"/>
      </w:r>
      <w:r>
        <w:fldChar w:fldCharType="end"/>
      </w:r>
    </w:p>
    <w:p>
      <w:pPr>
        <w:pStyle w:val="18"/>
        <w:tabs>
          <w:tab w:val="right" w:leader="dot" w:pos="9354"/>
        </w:tabs>
      </w:pPr>
      <w:r>
        <w:fldChar w:fldCharType="begin"/>
      </w:r>
      <w:r>
        <w:instrText xml:space="preserve"> HYPERLINK \l _Toc21021 </w:instrText>
      </w:r>
      <w:r>
        <w:fldChar w:fldCharType="separate"/>
      </w:r>
      <w:r>
        <w:rPr>
          <w:rFonts w:hint="eastAsia" w:ascii="宋体" w:eastAsia="宋体"/>
          <w:szCs w:val="24"/>
        </w:rPr>
        <w:t>25. 投标人存在下列情况之一的，投标无效：</w:t>
      </w:r>
      <w:r>
        <w:tab/>
      </w:r>
      <w:r>
        <w:fldChar w:fldCharType="begin"/>
      </w:r>
      <w:r>
        <w:instrText xml:space="preserve"> PAGEREF _Toc21021 </w:instrText>
      </w:r>
      <w:r>
        <w:fldChar w:fldCharType="separate"/>
      </w:r>
      <w:r>
        <w:t>18</w:t>
      </w:r>
      <w:r>
        <w:fldChar w:fldCharType="end"/>
      </w:r>
      <w:r>
        <w:fldChar w:fldCharType="end"/>
      </w:r>
    </w:p>
    <w:p>
      <w:pPr>
        <w:pStyle w:val="18"/>
        <w:tabs>
          <w:tab w:val="right" w:leader="dot" w:pos="9354"/>
        </w:tabs>
      </w:pPr>
      <w:r>
        <w:fldChar w:fldCharType="begin"/>
      </w:r>
      <w:r>
        <w:instrText xml:space="preserve"> HYPERLINK \l _Toc27673 </w:instrText>
      </w:r>
      <w:r>
        <w:fldChar w:fldCharType="separate"/>
      </w:r>
      <w:r>
        <w:rPr>
          <w:rFonts w:hint="eastAsia" w:ascii="宋体" w:eastAsia="宋体"/>
          <w:szCs w:val="24"/>
        </w:rPr>
        <w:t xml:space="preserve">26. </w:t>
      </w:r>
      <w:r>
        <w:rPr>
          <w:rFonts w:ascii="宋体" w:eastAsia="宋体"/>
          <w:szCs w:val="24"/>
        </w:rPr>
        <w:t>有下列情形之一的，视为投标人串通投标，其投标无效：</w:t>
      </w:r>
      <w:r>
        <w:tab/>
      </w:r>
      <w:r>
        <w:fldChar w:fldCharType="begin"/>
      </w:r>
      <w:r>
        <w:instrText xml:space="preserve"> PAGEREF _Toc27673 </w:instrText>
      </w:r>
      <w:r>
        <w:fldChar w:fldCharType="separate"/>
      </w:r>
      <w:r>
        <w:t>19</w:t>
      </w:r>
      <w:r>
        <w:fldChar w:fldCharType="end"/>
      </w:r>
      <w:r>
        <w:fldChar w:fldCharType="end"/>
      </w:r>
    </w:p>
    <w:p>
      <w:pPr>
        <w:pStyle w:val="18"/>
        <w:tabs>
          <w:tab w:val="right" w:leader="dot" w:pos="9354"/>
        </w:tabs>
      </w:pPr>
      <w:r>
        <w:fldChar w:fldCharType="begin"/>
      </w:r>
      <w:r>
        <w:instrText xml:space="preserve"> HYPERLINK \l _Toc9922 </w:instrText>
      </w:r>
      <w:r>
        <w:fldChar w:fldCharType="separate"/>
      </w:r>
      <w:r>
        <w:rPr>
          <w:rFonts w:hint="eastAsia" w:ascii="宋体" w:eastAsia="宋体"/>
          <w:szCs w:val="24"/>
        </w:rPr>
        <w:t>27. 在招标采购中，出现下列情形之一的，应予废标：</w:t>
      </w:r>
      <w:r>
        <w:tab/>
      </w:r>
      <w:r>
        <w:fldChar w:fldCharType="begin"/>
      </w:r>
      <w:r>
        <w:instrText xml:space="preserve"> PAGEREF _Toc9922 </w:instrText>
      </w:r>
      <w:r>
        <w:fldChar w:fldCharType="separate"/>
      </w:r>
      <w:r>
        <w:t>19</w:t>
      </w:r>
      <w:r>
        <w:fldChar w:fldCharType="end"/>
      </w:r>
      <w:r>
        <w:fldChar w:fldCharType="end"/>
      </w:r>
    </w:p>
    <w:p>
      <w:pPr>
        <w:pStyle w:val="28"/>
        <w:tabs>
          <w:tab w:val="right" w:leader="dot" w:pos="9354"/>
          <w:tab w:val="clear" w:pos="9344"/>
        </w:tabs>
      </w:pPr>
      <w:r>
        <w:fldChar w:fldCharType="begin"/>
      </w:r>
      <w:r>
        <w:instrText xml:space="preserve"> HYPERLINK \l _Toc6475 </w:instrText>
      </w:r>
      <w:r>
        <w:fldChar w:fldCharType="separate"/>
      </w:r>
      <w:r>
        <w:rPr>
          <w:rFonts w:hint="eastAsia" w:ascii="黑体"/>
          <w:szCs w:val="28"/>
        </w:rPr>
        <w:t>六、中标结果</w:t>
      </w:r>
      <w:r>
        <w:tab/>
      </w:r>
      <w:r>
        <w:fldChar w:fldCharType="begin"/>
      </w:r>
      <w:r>
        <w:instrText xml:space="preserve"> PAGEREF _Toc6475 </w:instrText>
      </w:r>
      <w:r>
        <w:fldChar w:fldCharType="separate"/>
      </w:r>
      <w:r>
        <w:t>19</w:t>
      </w:r>
      <w:r>
        <w:fldChar w:fldCharType="end"/>
      </w:r>
      <w:r>
        <w:fldChar w:fldCharType="end"/>
      </w:r>
    </w:p>
    <w:p>
      <w:pPr>
        <w:pStyle w:val="18"/>
        <w:tabs>
          <w:tab w:val="right" w:leader="dot" w:pos="9354"/>
        </w:tabs>
      </w:pPr>
      <w:r>
        <w:fldChar w:fldCharType="begin"/>
      </w:r>
      <w:r>
        <w:instrText xml:space="preserve"> HYPERLINK \l _Toc17813 </w:instrText>
      </w:r>
      <w:r>
        <w:fldChar w:fldCharType="separate"/>
      </w:r>
      <w:r>
        <w:rPr>
          <w:rFonts w:hint="eastAsia" w:ascii="宋体" w:eastAsia="宋体"/>
          <w:szCs w:val="24"/>
        </w:rPr>
        <w:t>28. 中标人的确定</w:t>
      </w:r>
      <w:r>
        <w:tab/>
      </w:r>
      <w:r>
        <w:fldChar w:fldCharType="begin"/>
      </w:r>
      <w:r>
        <w:instrText xml:space="preserve"> PAGEREF _Toc17813 </w:instrText>
      </w:r>
      <w:r>
        <w:fldChar w:fldCharType="separate"/>
      </w:r>
      <w:r>
        <w:t>19</w:t>
      </w:r>
      <w:r>
        <w:fldChar w:fldCharType="end"/>
      </w:r>
      <w:r>
        <w:fldChar w:fldCharType="end"/>
      </w:r>
    </w:p>
    <w:p>
      <w:pPr>
        <w:pStyle w:val="18"/>
        <w:tabs>
          <w:tab w:val="right" w:leader="dot" w:pos="9354"/>
        </w:tabs>
      </w:pPr>
      <w:r>
        <w:fldChar w:fldCharType="begin"/>
      </w:r>
      <w:r>
        <w:instrText xml:space="preserve"> HYPERLINK \l _Toc12987 </w:instrText>
      </w:r>
      <w:r>
        <w:fldChar w:fldCharType="separate"/>
      </w:r>
      <w:r>
        <w:rPr>
          <w:rFonts w:hint="eastAsia" w:ascii="宋体" w:eastAsia="宋体"/>
          <w:szCs w:val="24"/>
        </w:rPr>
        <w:t>29. 中标通知书</w:t>
      </w:r>
      <w:r>
        <w:tab/>
      </w:r>
      <w:r>
        <w:fldChar w:fldCharType="begin"/>
      </w:r>
      <w:r>
        <w:instrText xml:space="preserve"> PAGEREF _Toc12987 </w:instrText>
      </w:r>
      <w:r>
        <w:fldChar w:fldCharType="separate"/>
      </w:r>
      <w:r>
        <w:t>19</w:t>
      </w:r>
      <w:r>
        <w:fldChar w:fldCharType="end"/>
      </w:r>
      <w:r>
        <w:fldChar w:fldCharType="end"/>
      </w:r>
    </w:p>
    <w:p>
      <w:pPr>
        <w:pStyle w:val="18"/>
        <w:tabs>
          <w:tab w:val="right" w:leader="dot" w:pos="9354"/>
        </w:tabs>
      </w:pPr>
      <w:r>
        <w:fldChar w:fldCharType="begin"/>
      </w:r>
      <w:r>
        <w:instrText xml:space="preserve"> HYPERLINK \l _Toc23594 </w:instrText>
      </w:r>
      <w:r>
        <w:fldChar w:fldCharType="separate"/>
      </w:r>
      <w:r>
        <w:rPr>
          <w:rFonts w:hint="eastAsia" w:ascii="宋体" w:eastAsia="宋体"/>
          <w:szCs w:val="24"/>
        </w:rPr>
        <w:t>30. 签订合同</w:t>
      </w:r>
      <w:r>
        <w:tab/>
      </w:r>
      <w:r>
        <w:fldChar w:fldCharType="begin"/>
      </w:r>
      <w:r>
        <w:instrText xml:space="preserve"> PAGEREF _Toc23594 </w:instrText>
      </w:r>
      <w:r>
        <w:fldChar w:fldCharType="separate"/>
      </w:r>
      <w:r>
        <w:t>19</w:t>
      </w:r>
      <w:r>
        <w:fldChar w:fldCharType="end"/>
      </w:r>
      <w:r>
        <w:fldChar w:fldCharType="end"/>
      </w:r>
    </w:p>
    <w:p>
      <w:pPr>
        <w:pStyle w:val="18"/>
        <w:tabs>
          <w:tab w:val="right" w:leader="dot" w:pos="9354"/>
        </w:tabs>
      </w:pPr>
      <w:r>
        <w:fldChar w:fldCharType="begin"/>
      </w:r>
      <w:r>
        <w:instrText xml:space="preserve"> HYPERLINK \l _Toc30824 </w:instrText>
      </w:r>
      <w:r>
        <w:fldChar w:fldCharType="separate"/>
      </w:r>
      <w:r>
        <w:rPr>
          <w:rFonts w:hint="eastAsia" w:ascii="宋体" w:eastAsia="宋体"/>
          <w:szCs w:val="24"/>
        </w:rPr>
        <w:t>31. 履约保证金</w:t>
      </w:r>
      <w:r>
        <w:tab/>
      </w:r>
      <w:r>
        <w:fldChar w:fldCharType="begin"/>
      </w:r>
      <w:r>
        <w:instrText xml:space="preserve"> PAGEREF _Toc30824 </w:instrText>
      </w:r>
      <w:r>
        <w:fldChar w:fldCharType="separate"/>
      </w:r>
      <w:r>
        <w:t>20</w:t>
      </w:r>
      <w:r>
        <w:fldChar w:fldCharType="end"/>
      </w:r>
      <w:r>
        <w:fldChar w:fldCharType="end"/>
      </w:r>
    </w:p>
    <w:p>
      <w:pPr>
        <w:pStyle w:val="28"/>
        <w:tabs>
          <w:tab w:val="right" w:leader="dot" w:pos="9354"/>
          <w:tab w:val="clear" w:pos="9344"/>
        </w:tabs>
      </w:pPr>
      <w:r>
        <w:fldChar w:fldCharType="begin"/>
      </w:r>
      <w:r>
        <w:instrText xml:space="preserve"> HYPERLINK \l _Toc22648 </w:instrText>
      </w:r>
      <w:r>
        <w:fldChar w:fldCharType="separate"/>
      </w:r>
      <w:r>
        <w:rPr>
          <w:rFonts w:hint="eastAsia" w:ascii="黑体"/>
          <w:szCs w:val="28"/>
        </w:rPr>
        <w:t>七、其他事项</w:t>
      </w:r>
      <w:r>
        <w:tab/>
      </w:r>
      <w:r>
        <w:fldChar w:fldCharType="begin"/>
      </w:r>
      <w:r>
        <w:instrText xml:space="preserve"> PAGEREF _Toc22648 </w:instrText>
      </w:r>
      <w:r>
        <w:fldChar w:fldCharType="separate"/>
      </w:r>
      <w:r>
        <w:t>20</w:t>
      </w:r>
      <w:r>
        <w:fldChar w:fldCharType="end"/>
      </w:r>
      <w:r>
        <w:fldChar w:fldCharType="end"/>
      </w:r>
    </w:p>
    <w:p>
      <w:pPr>
        <w:pStyle w:val="18"/>
        <w:tabs>
          <w:tab w:val="right" w:leader="dot" w:pos="9354"/>
        </w:tabs>
      </w:pPr>
      <w:r>
        <w:fldChar w:fldCharType="begin"/>
      </w:r>
      <w:r>
        <w:instrText xml:space="preserve"> HYPERLINK \l _Toc24221 </w:instrText>
      </w:r>
      <w:r>
        <w:fldChar w:fldCharType="separate"/>
      </w:r>
      <w:r>
        <w:rPr>
          <w:rFonts w:hint="eastAsia" w:ascii="宋体" w:eastAsia="宋体"/>
          <w:szCs w:val="24"/>
        </w:rPr>
        <w:t>32. 采购代理服务费：无。</w:t>
      </w:r>
      <w:r>
        <w:tab/>
      </w:r>
      <w:r>
        <w:fldChar w:fldCharType="begin"/>
      </w:r>
      <w:r>
        <w:instrText xml:space="preserve"> PAGEREF _Toc24221 </w:instrText>
      </w:r>
      <w:r>
        <w:fldChar w:fldCharType="separate"/>
      </w:r>
      <w:r>
        <w:t>20</w:t>
      </w:r>
      <w:r>
        <w:fldChar w:fldCharType="end"/>
      </w:r>
      <w:r>
        <w:fldChar w:fldCharType="end"/>
      </w:r>
    </w:p>
    <w:p>
      <w:pPr>
        <w:pStyle w:val="18"/>
        <w:tabs>
          <w:tab w:val="right" w:leader="dot" w:pos="9354"/>
        </w:tabs>
      </w:pPr>
      <w:r>
        <w:fldChar w:fldCharType="begin"/>
      </w:r>
      <w:r>
        <w:instrText xml:space="preserve"> HYPERLINK \l _Toc19235 </w:instrText>
      </w:r>
      <w:r>
        <w:fldChar w:fldCharType="separate"/>
      </w:r>
      <w:r>
        <w:rPr>
          <w:rFonts w:hint="eastAsia" w:ascii="宋体" w:eastAsia="宋体"/>
          <w:szCs w:val="24"/>
        </w:rPr>
        <w:t>33. 解释权</w:t>
      </w:r>
      <w:r>
        <w:tab/>
      </w:r>
      <w:r>
        <w:fldChar w:fldCharType="begin"/>
      </w:r>
      <w:r>
        <w:instrText xml:space="preserve"> PAGEREF _Toc19235 </w:instrText>
      </w:r>
      <w:r>
        <w:fldChar w:fldCharType="separate"/>
      </w:r>
      <w:r>
        <w:t>20</w:t>
      </w:r>
      <w:r>
        <w:fldChar w:fldCharType="end"/>
      </w:r>
      <w:r>
        <w:fldChar w:fldCharType="end"/>
      </w:r>
    </w:p>
    <w:p>
      <w:pPr>
        <w:pStyle w:val="18"/>
        <w:tabs>
          <w:tab w:val="right" w:leader="dot" w:pos="9354"/>
        </w:tabs>
      </w:pPr>
      <w:r>
        <w:fldChar w:fldCharType="begin"/>
      </w:r>
      <w:r>
        <w:instrText xml:space="preserve"> HYPERLINK \l _Toc29409 </w:instrText>
      </w:r>
      <w:r>
        <w:fldChar w:fldCharType="separate"/>
      </w:r>
      <w:r>
        <w:rPr>
          <w:rFonts w:hint="eastAsia" w:ascii="宋体" w:eastAsia="宋体"/>
          <w:szCs w:val="24"/>
        </w:rPr>
        <w:t>34. 需要补充的其他内容</w:t>
      </w:r>
      <w:r>
        <w:tab/>
      </w:r>
      <w:r>
        <w:fldChar w:fldCharType="begin"/>
      </w:r>
      <w:r>
        <w:instrText xml:space="preserve"> PAGEREF _Toc29409 </w:instrText>
      </w:r>
      <w:r>
        <w:fldChar w:fldCharType="separate"/>
      </w:r>
      <w:r>
        <w:t>20</w:t>
      </w:r>
      <w:r>
        <w:fldChar w:fldCharType="end"/>
      </w:r>
      <w:r>
        <w:fldChar w:fldCharType="end"/>
      </w:r>
    </w:p>
    <w:p>
      <w:pPr>
        <w:pStyle w:val="25"/>
        <w:tabs>
          <w:tab w:val="right" w:leader="dot" w:pos="9354"/>
        </w:tabs>
      </w:pPr>
      <w:r>
        <w:fldChar w:fldCharType="begin"/>
      </w:r>
      <w:r>
        <w:instrText xml:space="preserve"> HYPERLINK \l _Toc13603 </w:instrText>
      </w:r>
      <w:r>
        <w:fldChar w:fldCharType="separate"/>
      </w:r>
      <w:r>
        <w:rPr>
          <w:rFonts w:hint="eastAsia" w:ascii="宋体" w:hAnsi="宋体" w:eastAsia="宋体" w:cs="宋体"/>
          <w:szCs w:val="36"/>
        </w:rPr>
        <w:t>第三章  合同书样式及主要条款</w:t>
      </w:r>
      <w:r>
        <w:tab/>
      </w:r>
      <w:r>
        <w:fldChar w:fldCharType="begin"/>
      </w:r>
      <w:r>
        <w:instrText xml:space="preserve"> PAGEREF _Toc13603 </w:instrText>
      </w:r>
      <w:r>
        <w:fldChar w:fldCharType="separate"/>
      </w:r>
      <w:r>
        <w:t>22</w:t>
      </w:r>
      <w:r>
        <w:fldChar w:fldCharType="end"/>
      </w:r>
      <w:r>
        <w:fldChar w:fldCharType="end"/>
      </w:r>
    </w:p>
    <w:p>
      <w:pPr>
        <w:pStyle w:val="28"/>
        <w:tabs>
          <w:tab w:val="right" w:leader="dot" w:pos="9354"/>
          <w:tab w:val="clear" w:pos="9344"/>
        </w:tabs>
      </w:pPr>
      <w:r>
        <w:fldChar w:fldCharType="begin"/>
      </w:r>
      <w:r>
        <w:instrText xml:space="preserve"> HYPERLINK \l _Toc32157 </w:instrText>
      </w:r>
      <w:r>
        <w:fldChar w:fldCharType="separate"/>
      </w:r>
      <w:r>
        <w:rPr>
          <w:rFonts w:hint="eastAsia" w:ascii="黑体"/>
          <w:szCs w:val="28"/>
        </w:rPr>
        <w:t>合同条款前附表</w:t>
      </w:r>
      <w:r>
        <w:tab/>
      </w:r>
      <w:r>
        <w:fldChar w:fldCharType="begin"/>
      </w:r>
      <w:r>
        <w:instrText xml:space="preserve"> PAGEREF _Toc32157 </w:instrText>
      </w:r>
      <w:r>
        <w:fldChar w:fldCharType="separate"/>
      </w:r>
      <w:r>
        <w:t>22</w:t>
      </w:r>
      <w:r>
        <w:fldChar w:fldCharType="end"/>
      </w:r>
      <w:r>
        <w:fldChar w:fldCharType="end"/>
      </w:r>
    </w:p>
    <w:p>
      <w:pPr>
        <w:pStyle w:val="28"/>
        <w:tabs>
          <w:tab w:val="right" w:leader="dot" w:pos="9354"/>
          <w:tab w:val="clear" w:pos="9344"/>
        </w:tabs>
      </w:pPr>
      <w:r>
        <w:fldChar w:fldCharType="begin"/>
      </w:r>
      <w:r>
        <w:instrText xml:space="preserve"> HYPERLINK \l _Toc867 </w:instrText>
      </w:r>
      <w:r>
        <w:fldChar w:fldCharType="separate"/>
      </w:r>
      <w:r>
        <w:rPr>
          <w:rFonts w:hint="eastAsia" w:ascii="宋体" w:eastAsia="宋体"/>
          <w:szCs w:val="28"/>
        </w:rPr>
        <w:t>云南省省级政府集中采购（货物类）合同书（格式）</w:t>
      </w:r>
      <w:r>
        <w:tab/>
      </w:r>
      <w:r>
        <w:fldChar w:fldCharType="begin"/>
      </w:r>
      <w:r>
        <w:instrText xml:space="preserve"> PAGEREF _Toc867 </w:instrText>
      </w:r>
      <w:r>
        <w:fldChar w:fldCharType="separate"/>
      </w:r>
      <w:r>
        <w:t>22</w:t>
      </w:r>
      <w:r>
        <w:fldChar w:fldCharType="end"/>
      </w:r>
      <w:r>
        <w:fldChar w:fldCharType="end"/>
      </w:r>
    </w:p>
    <w:p>
      <w:pPr>
        <w:pStyle w:val="25"/>
        <w:tabs>
          <w:tab w:val="right" w:leader="dot" w:pos="9354"/>
        </w:tabs>
      </w:pPr>
      <w:r>
        <w:fldChar w:fldCharType="begin"/>
      </w:r>
      <w:r>
        <w:instrText xml:space="preserve"> HYPERLINK \l _Toc28068 </w:instrText>
      </w:r>
      <w:r>
        <w:fldChar w:fldCharType="separate"/>
      </w:r>
      <w:r>
        <w:rPr>
          <w:rFonts w:hint="eastAsia" w:ascii="宋体" w:eastAsia="宋体"/>
        </w:rPr>
        <w:t>第四章  投标文件格式</w:t>
      </w:r>
      <w:r>
        <w:tab/>
      </w:r>
      <w:r>
        <w:fldChar w:fldCharType="begin"/>
      </w:r>
      <w:r>
        <w:instrText xml:space="preserve"> PAGEREF _Toc28068 </w:instrText>
      </w:r>
      <w:r>
        <w:fldChar w:fldCharType="separate"/>
      </w:r>
      <w:r>
        <w:t>30</w:t>
      </w:r>
      <w:r>
        <w:fldChar w:fldCharType="end"/>
      </w:r>
      <w:r>
        <w:fldChar w:fldCharType="end"/>
      </w:r>
    </w:p>
    <w:p>
      <w:pPr>
        <w:pStyle w:val="28"/>
        <w:tabs>
          <w:tab w:val="right" w:leader="dot" w:pos="9354"/>
          <w:tab w:val="clear" w:pos="9344"/>
        </w:tabs>
      </w:pPr>
      <w:r>
        <w:fldChar w:fldCharType="begin"/>
      </w:r>
      <w:r>
        <w:instrText xml:space="preserve"> HYPERLINK \l _Toc12441 </w:instrText>
      </w:r>
      <w:r>
        <w:fldChar w:fldCharType="separate"/>
      </w:r>
      <w:r>
        <w:rPr>
          <w:rFonts w:hint="eastAsia" w:ascii="宋体" w:hAnsi="宋体" w:eastAsia="宋体"/>
          <w:szCs w:val="28"/>
        </w:rPr>
        <w:t>一、资格响应文件</w:t>
      </w:r>
      <w:r>
        <w:tab/>
      </w:r>
      <w:r>
        <w:fldChar w:fldCharType="begin"/>
      </w:r>
      <w:r>
        <w:instrText xml:space="preserve"> PAGEREF _Toc12441 </w:instrText>
      </w:r>
      <w:r>
        <w:fldChar w:fldCharType="separate"/>
      </w:r>
      <w:r>
        <w:t>30</w:t>
      </w:r>
      <w:r>
        <w:fldChar w:fldCharType="end"/>
      </w:r>
      <w:r>
        <w:fldChar w:fldCharType="end"/>
      </w:r>
    </w:p>
    <w:p>
      <w:pPr>
        <w:pStyle w:val="18"/>
        <w:tabs>
          <w:tab w:val="right" w:leader="dot" w:pos="9354"/>
        </w:tabs>
      </w:pPr>
      <w:r>
        <w:fldChar w:fldCharType="begin"/>
      </w:r>
      <w:r>
        <w:instrText xml:space="preserve"> HYPERLINK \l _Toc17728 </w:instrText>
      </w:r>
      <w:r>
        <w:fldChar w:fldCharType="separate"/>
      </w:r>
      <w:r>
        <w:rPr>
          <w:rFonts w:hint="eastAsia" w:ascii="宋体" w:hAnsi="宋体" w:eastAsia="宋体" w:cs="宋体"/>
          <w:szCs w:val="28"/>
        </w:rPr>
        <w:t>格式1：投标人主体资格证明材料</w:t>
      </w:r>
      <w:r>
        <w:tab/>
      </w:r>
      <w:r>
        <w:fldChar w:fldCharType="begin"/>
      </w:r>
      <w:r>
        <w:instrText xml:space="preserve"> PAGEREF _Toc17728 </w:instrText>
      </w:r>
      <w:r>
        <w:fldChar w:fldCharType="separate"/>
      </w:r>
      <w:r>
        <w:t>30</w:t>
      </w:r>
      <w:r>
        <w:fldChar w:fldCharType="end"/>
      </w:r>
      <w:r>
        <w:fldChar w:fldCharType="end"/>
      </w:r>
    </w:p>
    <w:p>
      <w:pPr>
        <w:pStyle w:val="18"/>
        <w:tabs>
          <w:tab w:val="right" w:leader="dot" w:pos="9354"/>
        </w:tabs>
      </w:pPr>
      <w:r>
        <w:fldChar w:fldCharType="begin"/>
      </w:r>
      <w:r>
        <w:instrText xml:space="preserve"> HYPERLINK \l _Toc1707 </w:instrText>
      </w:r>
      <w:r>
        <w:fldChar w:fldCharType="separate"/>
      </w:r>
      <w:r>
        <w:rPr>
          <w:rFonts w:hint="eastAsia" w:ascii="宋体" w:hAnsi="宋体" w:eastAsia="宋体" w:cs="宋体"/>
          <w:szCs w:val="28"/>
        </w:rPr>
        <w:t>格式2：投标人缴纳税收证明材料</w:t>
      </w:r>
      <w:r>
        <w:tab/>
      </w:r>
      <w:r>
        <w:fldChar w:fldCharType="begin"/>
      </w:r>
      <w:r>
        <w:instrText xml:space="preserve"> PAGEREF _Toc1707 </w:instrText>
      </w:r>
      <w:r>
        <w:fldChar w:fldCharType="separate"/>
      </w:r>
      <w:r>
        <w:t>30</w:t>
      </w:r>
      <w:r>
        <w:fldChar w:fldCharType="end"/>
      </w:r>
      <w:r>
        <w:fldChar w:fldCharType="end"/>
      </w:r>
    </w:p>
    <w:p>
      <w:pPr>
        <w:pStyle w:val="18"/>
        <w:tabs>
          <w:tab w:val="right" w:leader="dot" w:pos="9354"/>
        </w:tabs>
      </w:pPr>
      <w:r>
        <w:fldChar w:fldCharType="begin"/>
      </w:r>
      <w:r>
        <w:instrText xml:space="preserve"> HYPERLINK \l _Toc1109 </w:instrText>
      </w:r>
      <w:r>
        <w:fldChar w:fldCharType="separate"/>
      </w:r>
      <w:r>
        <w:rPr>
          <w:rFonts w:hint="eastAsia" w:ascii="宋体" w:hAnsi="宋体" w:eastAsia="宋体" w:cs="宋体"/>
          <w:szCs w:val="28"/>
        </w:rPr>
        <w:t>格式3：投标人缴纳社保证明材料</w:t>
      </w:r>
      <w:r>
        <w:tab/>
      </w:r>
      <w:r>
        <w:fldChar w:fldCharType="begin"/>
      </w:r>
      <w:r>
        <w:instrText xml:space="preserve"> PAGEREF _Toc1109 </w:instrText>
      </w:r>
      <w:r>
        <w:fldChar w:fldCharType="separate"/>
      </w:r>
      <w:r>
        <w:t>30</w:t>
      </w:r>
      <w:r>
        <w:fldChar w:fldCharType="end"/>
      </w:r>
      <w:r>
        <w:fldChar w:fldCharType="end"/>
      </w:r>
    </w:p>
    <w:p>
      <w:pPr>
        <w:pStyle w:val="18"/>
        <w:tabs>
          <w:tab w:val="right" w:leader="dot" w:pos="9354"/>
        </w:tabs>
      </w:pPr>
      <w:r>
        <w:fldChar w:fldCharType="begin"/>
      </w:r>
      <w:r>
        <w:instrText xml:space="preserve"> HYPERLINK \l _Toc10915 </w:instrText>
      </w:r>
      <w:r>
        <w:fldChar w:fldCharType="separate"/>
      </w:r>
      <w:r>
        <w:rPr>
          <w:rFonts w:hint="eastAsia" w:ascii="宋体" w:hAnsi="宋体" w:eastAsia="宋体" w:cs="宋体"/>
          <w:szCs w:val="28"/>
        </w:rPr>
        <w:t>格式4：投标人提供近期的财务状况报告</w:t>
      </w:r>
      <w:r>
        <w:tab/>
      </w:r>
      <w:r>
        <w:fldChar w:fldCharType="begin"/>
      </w:r>
      <w:r>
        <w:instrText xml:space="preserve"> PAGEREF _Toc10915 </w:instrText>
      </w:r>
      <w:r>
        <w:fldChar w:fldCharType="separate"/>
      </w:r>
      <w:r>
        <w:t>30</w:t>
      </w:r>
      <w:r>
        <w:fldChar w:fldCharType="end"/>
      </w:r>
      <w:r>
        <w:fldChar w:fldCharType="end"/>
      </w:r>
    </w:p>
    <w:p>
      <w:pPr>
        <w:pStyle w:val="18"/>
        <w:tabs>
          <w:tab w:val="right" w:leader="dot" w:pos="9354"/>
        </w:tabs>
      </w:pPr>
      <w:r>
        <w:fldChar w:fldCharType="begin"/>
      </w:r>
      <w:r>
        <w:instrText xml:space="preserve"> HYPERLINK \l _Toc20722 </w:instrText>
      </w:r>
      <w:r>
        <w:fldChar w:fldCharType="separate"/>
      </w:r>
      <w:r>
        <w:rPr>
          <w:rFonts w:hint="eastAsia" w:ascii="宋体" w:hAnsi="宋体" w:eastAsia="宋体" w:cs="宋体"/>
          <w:szCs w:val="28"/>
        </w:rPr>
        <w:t>格式5：书面声明</w:t>
      </w:r>
      <w:r>
        <w:tab/>
      </w:r>
      <w:r>
        <w:fldChar w:fldCharType="begin"/>
      </w:r>
      <w:r>
        <w:instrText xml:space="preserve"> PAGEREF _Toc20722 </w:instrText>
      </w:r>
      <w:r>
        <w:fldChar w:fldCharType="separate"/>
      </w:r>
      <w:r>
        <w:t>30</w:t>
      </w:r>
      <w:r>
        <w:fldChar w:fldCharType="end"/>
      </w:r>
      <w:r>
        <w:fldChar w:fldCharType="end"/>
      </w:r>
    </w:p>
    <w:p>
      <w:pPr>
        <w:pStyle w:val="28"/>
        <w:tabs>
          <w:tab w:val="right" w:leader="dot" w:pos="9354"/>
          <w:tab w:val="clear" w:pos="9344"/>
        </w:tabs>
      </w:pPr>
      <w:r>
        <w:fldChar w:fldCharType="begin"/>
      </w:r>
      <w:r>
        <w:instrText xml:space="preserve"> HYPERLINK \l _Toc6543 </w:instrText>
      </w:r>
      <w:r>
        <w:fldChar w:fldCharType="separate"/>
      </w:r>
      <w:r>
        <w:t xml:space="preserve"> </w:t>
      </w:r>
      <w:r>
        <w:tab/>
      </w:r>
      <w:r>
        <w:fldChar w:fldCharType="begin"/>
      </w:r>
      <w:r>
        <w:instrText xml:space="preserve"> PAGEREF _Toc6543 </w:instrText>
      </w:r>
      <w:r>
        <w:fldChar w:fldCharType="separate"/>
      </w:r>
      <w:r>
        <w:t>31</w:t>
      </w:r>
      <w:r>
        <w:fldChar w:fldCharType="end"/>
      </w:r>
      <w:r>
        <w:fldChar w:fldCharType="end"/>
      </w:r>
    </w:p>
    <w:p>
      <w:pPr>
        <w:pStyle w:val="18"/>
        <w:tabs>
          <w:tab w:val="right" w:leader="dot" w:pos="9354"/>
        </w:tabs>
      </w:pPr>
      <w:r>
        <w:fldChar w:fldCharType="begin"/>
      </w:r>
      <w:r>
        <w:instrText xml:space="preserve"> HYPERLINK \l _Toc14223 </w:instrText>
      </w:r>
      <w:r>
        <w:fldChar w:fldCharType="separate"/>
      </w:r>
      <w:r>
        <w:rPr>
          <w:rFonts w:hint="eastAsia" w:ascii="宋体" w:hAnsi="宋体" w:eastAsia="宋体" w:cs="宋体"/>
          <w:szCs w:val="28"/>
        </w:rPr>
        <w:t>格式6：本项目所要求的资格、资质证书（如果有）</w:t>
      </w:r>
      <w:r>
        <w:tab/>
      </w:r>
      <w:r>
        <w:fldChar w:fldCharType="begin"/>
      </w:r>
      <w:r>
        <w:instrText xml:space="preserve"> PAGEREF _Toc14223 </w:instrText>
      </w:r>
      <w:r>
        <w:fldChar w:fldCharType="separate"/>
      </w:r>
      <w:r>
        <w:t>31</w:t>
      </w:r>
      <w:r>
        <w:fldChar w:fldCharType="end"/>
      </w:r>
      <w:r>
        <w:fldChar w:fldCharType="end"/>
      </w:r>
    </w:p>
    <w:p>
      <w:pPr>
        <w:pStyle w:val="28"/>
        <w:tabs>
          <w:tab w:val="right" w:leader="dot" w:pos="9354"/>
          <w:tab w:val="clear" w:pos="9344"/>
        </w:tabs>
      </w:pPr>
      <w:r>
        <w:fldChar w:fldCharType="begin"/>
      </w:r>
      <w:r>
        <w:instrText xml:space="preserve"> HYPERLINK \l _Toc14005 </w:instrText>
      </w:r>
      <w:r>
        <w:fldChar w:fldCharType="separate"/>
      </w:r>
      <w:r>
        <w:rPr>
          <w:rFonts w:hint="eastAsia" w:ascii="宋体" w:hAnsi="宋体" w:eastAsia="宋体"/>
          <w:szCs w:val="28"/>
        </w:rPr>
        <w:t>二、商务响应文件</w:t>
      </w:r>
      <w:r>
        <w:tab/>
      </w:r>
      <w:r>
        <w:fldChar w:fldCharType="begin"/>
      </w:r>
      <w:r>
        <w:instrText xml:space="preserve"> PAGEREF _Toc14005 </w:instrText>
      </w:r>
      <w:r>
        <w:fldChar w:fldCharType="separate"/>
      </w:r>
      <w:r>
        <w:t>32</w:t>
      </w:r>
      <w:r>
        <w:fldChar w:fldCharType="end"/>
      </w:r>
      <w:r>
        <w:fldChar w:fldCharType="end"/>
      </w:r>
    </w:p>
    <w:p>
      <w:pPr>
        <w:pStyle w:val="18"/>
        <w:tabs>
          <w:tab w:val="right" w:leader="dot" w:pos="9354"/>
        </w:tabs>
      </w:pPr>
      <w:r>
        <w:fldChar w:fldCharType="begin"/>
      </w:r>
      <w:r>
        <w:instrText xml:space="preserve"> HYPERLINK \l _Toc11199 </w:instrText>
      </w:r>
      <w:r>
        <w:fldChar w:fldCharType="separate"/>
      </w:r>
      <w:r>
        <w:rPr>
          <w:rFonts w:hint="eastAsia" w:ascii="宋体" w:hAnsi="宋体" w:eastAsia="宋体" w:cs="宋体"/>
          <w:szCs w:val="28"/>
        </w:rPr>
        <w:t>★格式7：投标函</w:t>
      </w:r>
      <w:r>
        <w:tab/>
      </w:r>
      <w:r>
        <w:fldChar w:fldCharType="begin"/>
      </w:r>
      <w:r>
        <w:instrText xml:space="preserve"> PAGEREF _Toc11199 </w:instrText>
      </w:r>
      <w:r>
        <w:fldChar w:fldCharType="separate"/>
      </w:r>
      <w:r>
        <w:t>32</w:t>
      </w:r>
      <w:r>
        <w:fldChar w:fldCharType="end"/>
      </w:r>
      <w:r>
        <w:fldChar w:fldCharType="end"/>
      </w:r>
    </w:p>
    <w:p>
      <w:pPr>
        <w:pStyle w:val="18"/>
        <w:tabs>
          <w:tab w:val="right" w:leader="dot" w:pos="9354"/>
        </w:tabs>
      </w:pPr>
      <w:r>
        <w:fldChar w:fldCharType="begin"/>
      </w:r>
      <w:r>
        <w:instrText xml:space="preserve"> HYPERLINK \l _Toc15198 </w:instrText>
      </w:r>
      <w:r>
        <w:fldChar w:fldCharType="separate"/>
      </w:r>
      <w:r>
        <w:rPr>
          <w:rFonts w:hint="eastAsia" w:ascii="宋体" w:hAnsi="宋体" w:eastAsia="宋体" w:cs="宋体"/>
          <w:szCs w:val="28"/>
        </w:rPr>
        <w:t>格式8：商务条款偏离表</w:t>
      </w:r>
      <w:r>
        <w:tab/>
      </w:r>
      <w:r>
        <w:fldChar w:fldCharType="begin"/>
      </w:r>
      <w:r>
        <w:instrText xml:space="preserve"> PAGEREF _Toc15198 </w:instrText>
      </w:r>
      <w:r>
        <w:fldChar w:fldCharType="separate"/>
      </w:r>
      <w:r>
        <w:t>34</w:t>
      </w:r>
      <w:r>
        <w:fldChar w:fldCharType="end"/>
      </w:r>
      <w:r>
        <w:fldChar w:fldCharType="end"/>
      </w:r>
    </w:p>
    <w:p>
      <w:pPr>
        <w:pStyle w:val="18"/>
        <w:tabs>
          <w:tab w:val="right" w:leader="dot" w:pos="9354"/>
        </w:tabs>
      </w:pPr>
      <w:r>
        <w:fldChar w:fldCharType="begin"/>
      </w:r>
      <w:r>
        <w:instrText xml:space="preserve"> HYPERLINK \l _Toc11708 </w:instrText>
      </w:r>
      <w:r>
        <w:fldChar w:fldCharType="separate"/>
      </w:r>
      <w:r>
        <w:rPr>
          <w:rFonts w:hint="eastAsia" w:ascii="宋体" w:hAnsi="宋体" w:eastAsia="宋体" w:cs="宋体"/>
          <w:szCs w:val="28"/>
        </w:rPr>
        <w:t>格式9：技术规格偏离表</w:t>
      </w:r>
      <w:r>
        <w:tab/>
      </w:r>
      <w:r>
        <w:fldChar w:fldCharType="begin"/>
      </w:r>
      <w:r>
        <w:instrText xml:space="preserve"> PAGEREF _Toc11708 </w:instrText>
      </w:r>
      <w:r>
        <w:fldChar w:fldCharType="separate"/>
      </w:r>
      <w:r>
        <w:t>36</w:t>
      </w:r>
      <w:r>
        <w:fldChar w:fldCharType="end"/>
      </w:r>
      <w:r>
        <w:fldChar w:fldCharType="end"/>
      </w:r>
    </w:p>
    <w:p>
      <w:pPr>
        <w:pStyle w:val="18"/>
        <w:tabs>
          <w:tab w:val="right" w:leader="dot" w:pos="9354"/>
        </w:tabs>
      </w:pPr>
      <w:r>
        <w:fldChar w:fldCharType="begin"/>
      </w:r>
      <w:r>
        <w:instrText xml:space="preserve"> HYPERLINK \l _Toc27300 </w:instrText>
      </w:r>
      <w:r>
        <w:fldChar w:fldCharType="separate"/>
      </w:r>
      <w:r>
        <w:rPr>
          <w:rFonts w:hint="eastAsia" w:ascii="宋体" w:hAnsi="宋体" w:eastAsia="宋体" w:cs="宋体"/>
          <w:szCs w:val="28"/>
        </w:rPr>
        <w:t>★格式10：法定代表人资格证明书</w:t>
      </w:r>
      <w:r>
        <w:tab/>
      </w:r>
      <w:r>
        <w:fldChar w:fldCharType="begin"/>
      </w:r>
      <w:r>
        <w:instrText xml:space="preserve"> PAGEREF _Toc27300 </w:instrText>
      </w:r>
      <w:r>
        <w:fldChar w:fldCharType="separate"/>
      </w:r>
      <w:r>
        <w:t>38</w:t>
      </w:r>
      <w:r>
        <w:fldChar w:fldCharType="end"/>
      </w:r>
      <w:r>
        <w:fldChar w:fldCharType="end"/>
      </w:r>
    </w:p>
    <w:p>
      <w:pPr>
        <w:pStyle w:val="18"/>
        <w:tabs>
          <w:tab w:val="right" w:leader="dot" w:pos="9354"/>
        </w:tabs>
      </w:pPr>
      <w:r>
        <w:fldChar w:fldCharType="begin"/>
      </w:r>
      <w:r>
        <w:instrText xml:space="preserve"> HYPERLINK \l _Toc20695 </w:instrText>
      </w:r>
      <w:r>
        <w:fldChar w:fldCharType="separate"/>
      </w:r>
      <w:r>
        <w:rPr>
          <w:rFonts w:hint="eastAsia" w:ascii="宋体" w:hAnsi="宋体" w:eastAsia="宋体" w:cs="宋体"/>
          <w:szCs w:val="28"/>
        </w:rPr>
        <w:t>★格式11：法定代表人授权委托书</w:t>
      </w:r>
      <w:r>
        <w:tab/>
      </w:r>
      <w:r>
        <w:fldChar w:fldCharType="begin"/>
      </w:r>
      <w:r>
        <w:instrText xml:space="preserve"> PAGEREF _Toc20695 </w:instrText>
      </w:r>
      <w:r>
        <w:fldChar w:fldCharType="separate"/>
      </w:r>
      <w:r>
        <w:t>39</w:t>
      </w:r>
      <w:r>
        <w:fldChar w:fldCharType="end"/>
      </w:r>
      <w:r>
        <w:fldChar w:fldCharType="end"/>
      </w:r>
    </w:p>
    <w:p>
      <w:pPr>
        <w:pStyle w:val="18"/>
        <w:tabs>
          <w:tab w:val="right" w:leader="dot" w:pos="9354"/>
        </w:tabs>
      </w:pPr>
      <w:r>
        <w:fldChar w:fldCharType="begin"/>
      </w:r>
      <w:r>
        <w:instrText xml:space="preserve"> HYPERLINK \l _Toc31916 </w:instrText>
      </w:r>
      <w:r>
        <w:fldChar w:fldCharType="separate"/>
      </w:r>
      <w:r>
        <w:rPr>
          <w:rFonts w:hint="eastAsia" w:ascii="宋体" w:hAnsi="宋体" w:eastAsia="宋体" w:cs="宋体"/>
          <w:szCs w:val="28"/>
        </w:rPr>
        <w:t>格式12：质量保证和质量承诺及保证措施</w:t>
      </w:r>
      <w:r>
        <w:tab/>
      </w:r>
      <w:r>
        <w:fldChar w:fldCharType="begin"/>
      </w:r>
      <w:r>
        <w:instrText xml:space="preserve"> PAGEREF _Toc31916 </w:instrText>
      </w:r>
      <w:r>
        <w:fldChar w:fldCharType="separate"/>
      </w:r>
      <w:r>
        <w:t>40</w:t>
      </w:r>
      <w:r>
        <w:fldChar w:fldCharType="end"/>
      </w:r>
      <w:r>
        <w:fldChar w:fldCharType="end"/>
      </w:r>
    </w:p>
    <w:p>
      <w:pPr>
        <w:pStyle w:val="18"/>
        <w:tabs>
          <w:tab w:val="right" w:leader="dot" w:pos="9354"/>
        </w:tabs>
      </w:pPr>
      <w:r>
        <w:fldChar w:fldCharType="begin"/>
      </w:r>
      <w:r>
        <w:instrText xml:space="preserve"> HYPERLINK \l _Toc32340 </w:instrText>
      </w:r>
      <w:r>
        <w:fldChar w:fldCharType="separate"/>
      </w:r>
      <w:r>
        <w:rPr>
          <w:rFonts w:hint="eastAsia" w:ascii="宋体" w:hAnsi="宋体" w:eastAsia="宋体" w:cs="宋体"/>
          <w:szCs w:val="28"/>
        </w:rPr>
        <w:t>格式13：构成投标文件的其它资料</w:t>
      </w:r>
      <w:r>
        <w:tab/>
      </w:r>
      <w:r>
        <w:fldChar w:fldCharType="begin"/>
      </w:r>
      <w:r>
        <w:instrText xml:space="preserve"> PAGEREF _Toc32340 </w:instrText>
      </w:r>
      <w:r>
        <w:fldChar w:fldCharType="separate"/>
      </w:r>
      <w:r>
        <w:t>41</w:t>
      </w:r>
      <w:r>
        <w:fldChar w:fldCharType="end"/>
      </w:r>
      <w:r>
        <w:fldChar w:fldCharType="end"/>
      </w:r>
    </w:p>
    <w:p>
      <w:pPr>
        <w:pStyle w:val="28"/>
        <w:tabs>
          <w:tab w:val="right" w:leader="dot" w:pos="9354"/>
          <w:tab w:val="clear" w:pos="9344"/>
        </w:tabs>
      </w:pPr>
      <w:r>
        <w:fldChar w:fldCharType="begin"/>
      </w:r>
      <w:r>
        <w:instrText xml:space="preserve"> HYPERLINK \l _Toc18581 </w:instrText>
      </w:r>
      <w:r>
        <w:fldChar w:fldCharType="separate"/>
      </w:r>
      <w:r>
        <w:rPr>
          <w:rFonts w:hint="eastAsia" w:ascii="宋体" w:hAnsi="宋体" w:eastAsia="宋体"/>
          <w:szCs w:val="28"/>
        </w:rPr>
        <w:t>★三、报价响应文件</w:t>
      </w:r>
      <w:r>
        <w:tab/>
      </w:r>
      <w:r>
        <w:fldChar w:fldCharType="begin"/>
      </w:r>
      <w:r>
        <w:instrText xml:space="preserve"> PAGEREF _Toc18581 </w:instrText>
      </w:r>
      <w:r>
        <w:fldChar w:fldCharType="separate"/>
      </w:r>
      <w:r>
        <w:t>46</w:t>
      </w:r>
      <w:r>
        <w:fldChar w:fldCharType="end"/>
      </w:r>
      <w:r>
        <w:fldChar w:fldCharType="end"/>
      </w:r>
    </w:p>
    <w:p>
      <w:pPr>
        <w:pStyle w:val="18"/>
        <w:tabs>
          <w:tab w:val="right" w:leader="dot" w:pos="9354"/>
        </w:tabs>
      </w:pPr>
      <w:r>
        <w:fldChar w:fldCharType="begin"/>
      </w:r>
      <w:r>
        <w:instrText xml:space="preserve"> HYPERLINK \l _Toc8216 </w:instrText>
      </w:r>
      <w:r>
        <w:fldChar w:fldCharType="separate"/>
      </w:r>
      <w:r>
        <w:rPr>
          <w:rFonts w:hint="eastAsia" w:ascii="宋体" w:hAnsi="宋体" w:eastAsia="宋体" w:cs="宋体"/>
          <w:szCs w:val="28"/>
        </w:rPr>
        <w:t>格式14：开标一览表</w:t>
      </w:r>
      <w:r>
        <w:tab/>
      </w:r>
      <w:r>
        <w:fldChar w:fldCharType="begin"/>
      </w:r>
      <w:r>
        <w:instrText xml:space="preserve"> PAGEREF _Toc8216 </w:instrText>
      </w:r>
      <w:r>
        <w:fldChar w:fldCharType="separate"/>
      </w:r>
      <w:r>
        <w:t>46</w:t>
      </w:r>
      <w:r>
        <w:fldChar w:fldCharType="end"/>
      </w:r>
      <w:r>
        <w:fldChar w:fldCharType="end"/>
      </w:r>
    </w:p>
    <w:p>
      <w:pPr>
        <w:pStyle w:val="18"/>
        <w:tabs>
          <w:tab w:val="right" w:leader="dot" w:pos="9354"/>
        </w:tabs>
      </w:pPr>
      <w:r>
        <w:fldChar w:fldCharType="begin"/>
      </w:r>
      <w:r>
        <w:instrText xml:space="preserve"> HYPERLINK \l _Toc19177 </w:instrText>
      </w:r>
      <w:r>
        <w:fldChar w:fldCharType="separate"/>
      </w:r>
      <w:r>
        <w:rPr>
          <w:rFonts w:hint="eastAsia" w:ascii="宋体" w:hAnsi="宋体" w:eastAsia="宋体"/>
          <w:szCs w:val="28"/>
        </w:rPr>
        <w:t>格式15：分项报价表</w:t>
      </w:r>
      <w:r>
        <w:tab/>
      </w:r>
      <w:r>
        <w:fldChar w:fldCharType="begin"/>
      </w:r>
      <w:r>
        <w:instrText xml:space="preserve"> PAGEREF _Toc19177 </w:instrText>
      </w:r>
      <w:r>
        <w:fldChar w:fldCharType="separate"/>
      </w:r>
      <w:r>
        <w:t>47</w:t>
      </w:r>
      <w:r>
        <w:fldChar w:fldCharType="end"/>
      </w:r>
      <w:r>
        <w:fldChar w:fldCharType="end"/>
      </w:r>
    </w:p>
    <w:p>
      <w:pPr>
        <w:pStyle w:val="28"/>
        <w:tabs>
          <w:tab w:val="right" w:leader="dot" w:pos="9354"/>
          <w:tab w:val="clear" w:pos="9344"/>
        </w:tabs>
      </w:pPr>
      <w:r>
        <w:fldChar w:fldCharType="begin"/>
      </w:r>
      <w:r>
        <w:instrText xml:space="preserve"> HYPERLINK \l _Toc31191 </w:instrText>
      </w:r>
      <w:r>
        <w:fldChar w:fldCharType="separate"/>
      </w:r>
      <w:r>
        <w:rPr>
          <w:rFonts w:hint="eastAsia" w:ascii="宋体" w:hAnsi="宋体" w:eastAsia="宋体"/>
          <w:szCs w:val="28"/>
        </w:rPr>
        <w:t>四、技术响应文件</w:t>
      </w:r>
      <w:r>
        <w:tab/>
      </w:r>
      <w:r>
        <w:fldChar w:fldCharType="begin"/>
      </w:r>
      <w:r>
        <w:instrText xml:space="preserve"> PAGEREF _Toc31191 </w:instrText>
      </w:r>
      <w:r>
        <w:fldChar w:fldCharType="separate"/>
      </w:r>
      <w:r>
        <w:t>48</w:t>
      </w:r>
      <w:r>
        <w:fldChar w:fldCharType="end"/>
      </w:r>
      <w:r>
        <w:fldChar w:fldCharType="end"/>
      </w:r>
    </w:p>
    <w:p>
      <w:pPr>
        <w:pStyle w:val="18"/>
        <w:tabs>
          <w:tab w:val="right" w:leader="dot" w:pos="9354"/>
        </w:tabs>
      </w:pPr>
      <w:r>
        <w:fldChar w:fldCharType="begin"/>
      </w:r>
      <w:r>
        <w:instrText xml:space="preserve"> HYPERLINK \l _Toc21656 </w:instrText>
      </w:r>
      <w:r>
        <w:fldChar w:fldCharType="separate"/>
      </w:r>
      <w:r>
        <w:rPr>
          <w:rFonts w:hint="eastAsia" w:ascii="宋体" w:hAnsi="宋体" w:eastAsia="宋体" w:cs="宋体"/>
          <w:szCs w:val="28"/>
        </w:rPr>
        <w:t>格式16：评分对应表</w:t>
      </w:r>
      <w:r>
        <w:tab/>
      </w:r>
      <w:r>
        <w:fldChar w:fldCharType="begin"/>
      </w:r>
      <w:r>
        <w:instrText xml:space="preserve"> PAGEREF _Toc21656 </w:instrText>
      </w:r>
      <w:r>
        <w:fldChar w:fldCharType="separate"/>
      </w:r>
      <w:r>
        <w:t>48</w:t>
      </w:r>
      <w:r>
        <w:fldChar w:fldCharType="end"/>
      </w:r>
      <w:r>
        <w:fldChar w:fldCharType="end"/>
      </w:r>
    </w:p>
    <w:p>
      <w:pPr>
        <w:pStyle w:val="18"/>
        <w:tabs>
          <w:tab w:val="right" w:leader="dot" w:pos="9354"/>
        </w:tabs>
      </w:pPr>
      <w:r>
        <w:fldChar w:fldCharType="begin"/>
      </w:r>
      <w:r>
        <w:instrText xml:space="preserve"> HYPERLINK \l _Toc27813 </w:instrText>
      </w:r>
      <w:r>
        <w:fldChar w:fldCharType="separate"/>
      </w:r>
      <w:r>
        <w:rPr>
          <w:rFonts w:hint="eastAsia" w:ascii="宋体" w:hAnsi="宋体" w:eastAsia="宋体" w:cs="宋体"/>
          <w:szCs w:val="28"/>
        </w:rPr>
        <w:t>格式17：</w:t>
      </w:r>
      <w:r>
        <w:rPr>
          <w:rFonts w:ascii="宋体" w:hAnsi="宋体" w:eastAsia="宋体" w:cs="宋体"/>
          <w:szCs w:val="28"/>
        </w:rPr>
        <w:t>需求参数评审</w:t>
      </w:r>
      <w:r>
        <w:tab/>
      </w:r>
      <w:r>
        <w:fldChar w:fldCharType="begin"/>
      </w:r>
      <w:r>
        <w:instrText xml:space="preserve"> PAGEREF _Toc27813 </w:instrText>
      </w:r>
      <w:r>
        <w:fldChar w:fldCharType="separate"/>
      </w:r>
      <w:r>
        <w:t>49</w:t>
      </w:r>
      <w:r>
        <w:fldChar w:fldCharType="end"/>
      </w:r>
      <w:r>
        <w:fldChar w:fldCharType="end"/>
      </w:r>
    </w:p>
    <w:p>
      <w:pPr>
        <w:pStyle w:val="18"/>
        <w:tabs>
          <w:tab w:val="right" w:leader="dot" w:pos="9354"/>
        </w:tabs>
      </w:pPr>
      <w:r>
        <w:fldChar w:fldCharType="begin"/>
      </w:r>
      <w:r>
        <w:instrText xml:space="preserve"> HYPERLINK \l _Toc20162 </w:instrText>
      </w:r>
      <w:r>
        <w:fldChar w:fldCharType="separate"/>
      </w:r>
      <w:r>
        <w:rPr>
          <w:rFonts w:hint="eastAsia" w:ascii="宋体" w:hAnsi="宋体" w:eastAsia="宋体" w:cs="宋体"/>
          <w:szCs w:val="28"/>
        </w:rPr>
        <w:t>格式18：产品整体技术设计方案</w:t>
      </w:r>
      <w:r>
        <w:tab/>
      </w:r>
      <w:r>
        <w:fldChar w:fldCharType="begin"/>
      </w:r>
      <w:r>
        <w:instrText xml:space="preserve"> PAGEREF _Toc20162 </w:instrText>
      </w:r>
      <w:r>
        <w:fldChar w:fldCharType="separate"/>
      </w:r>
      <w:r>
        <w:t>49</w:t>
      </w:r>
      <w:r>
        <w:fldChar w:fldCharType="end"/>
      </w:r>
      <w:r>
        <w:fldChar w:fldCharType="end"/>
      </w:r>
    </w:p>
    <w:p>
      <w:pPr>
        <w:pStyle w:val="18"/>
        <w:tabs>
          <w:tab w:val="right" w:leader="dot" w:pos="9354"/>
        </w:tabs>
      </w:pPr>
      <w:r>
        <w:fldChar w:fldCharType="begin"/>
      </w:r>
      <w:r>
        <w:instrText xml:space="preserve"> HYPERLINK \l _Toc18 </w:instrText>
      </w:r>
      <w:r>
        <w:fldChar w:fldCharType="separate"/>
      </w:r>
      <w:r>
        <w:rPr>
          <w:rFonts w:hint="eastAsia" w:ascii="宋体" w:hAnsi="宋体" w:eastAsia="宋体" w:cs="宋体"/>
          <w:szCs w:val="28"/>
        </w:rPr>
        <w:t>格式19：项目实施方案</w:t>
      </w:r>
      <w:r>
        <w:tab/>
      </w:r>
      <w:r>
        <w:fldChar w:fldCharType="begin"/>
      </w:r>
      <w:r>
        <w:instrText xml:space="preserve"> PAGEREF _Toc18 </w:instrText>
      </w:r>
      <w:r>
        <w:fldChar w:fldCharType="separate"/>
      </w:r>
      <w:r>
        <w:t>49</w:t>
      </w:r>
      <w:r>
        <w:fldChar w:fldCharType="end"/>
      </w:r>
      <w:r>
        <w:fldChar w:fldCharType="end"/>
      </w:r>
    </w:p>
    <w:p>
      <w:pPr>
        <w:pStyle w:val="18"/>
        <w:tabs>
          <w:tab w:val="right" w:leader="dot" w:pos="9354"/>
        </w:tabs>
      </w:pPr>
      <w:r>
        <w:fldChar w:fldCharType="begin"/>
      </w:r>
      <w:r>
        <w:instrText xml:space="preserve"> HYPERLINK \l _Toc8667 </w:instrText>
      </w:r>
      <w:r>
        <w:fldChar w:fldCharType="separate"/>
      </w:r>
      <w:r>
        <w:rPr>
          <w:rFonts w:hint="eastAsia" w:ascii="宋体" w:hAnsi="宋体" w:eastAsia="宋体" w:cs="宋体"/>
          <w:szCs w:val="28"/>
        </w:rPr>
        <w:t>格式20：售后服务方案、承诺及保证</w:t>
      </w:r>
      <w:r>
        <w:tab/>
      </w:r>
      <w:r>
        <w:fldChar w:fldCharType="begin"/>
      </w:r>
      <w:r>
        <w:instrText xml:space="preserve"> PAGEREF _Toc8667 </w:instrText>
      </w:r>
      <w:r>
        <w:fldChar w:fldCharType="separate"/>
      </w:r>
      <w:r>
        <w:t>49</w:t>
      </w:r>
      <w:r>
        <w:fldChar w:fldCharType="end"/>
      </w:r>
      <w:r>
        <w:fldChar w:fldCharType="end"/>
      </w:r>
    </w:p>
    <w:p>
      <w:pPr>
        <w:pStyle w:val="18"/>
        <w:tabs>
          <w:tab w:val="right" w:leader="dot" w:pos="9354"/>
        </w:tabs>
      </w:pPr>
      <w:r>
        <w:fldChar w:fldCharType="begin"/>
      </w:r>
      <w:r>
        <w:instrText xml:space="preserve"> HYPERLINK \l _Toc9539 </w:instrText>
      </w:r>
      <w:r>
        <w:fldChar w:fldCharType="separate"/>
      </w:r>
      <w:r>
        <w:rPr>
          <w:rFonts w:hint="eastAsia" w:ascii="宋体" w:hAnsi="宋体" w:eastAsia="宋体" w:cs="宋体"/>
          <w:szCs w:val="28"/>
        </w:rPr>
        <w:t>格式21：</w:t>
      </w:r>
      <w:r>
        <w:rPr>
          <w:rFonts w:hint="eastAsia" w:ascii="宋体" w:hAnsi="宋体" w:eastAsia="宋体" w:cs="宋体"/>
          <w:szCs w:val="28"/>
          <w:lang w:val="en-US" w:eastAsia="zh-CN"/>
        </w:rPr>
        <w:t>同类</w:t>
      </w:r>
      <w:r>
        <w:rPr>
          <w:rFonts w:hint="eastAsia" w:ascii="宋体" w:hAnsi="宋体" w:eastAsia="宋体" w:cs="宋体"/>
          <w:szCs w:val="28"/>
        </w:rPr>
        <w:t>业绩</w:t>
      </w:r>
      <w:r>
        <w:tab/>
      </w:r>
      <w:r>
        <w:fldChar w:fldCharType="begin"/>
      </w:r>
      <w:r>
        <w:instrText xml:space="preserve"> PAGEREF _Toc9539 </w:instrText>
      </w:r>
      <w:r>
        <w:fldChar w:fldCharType="separate"/>
      </w:r>
      <w:r>
        <w:t>49</w:t>
      </w:r>
      <w:r>
        <w:fldChar w:fldCharType="end"/>
      </w:r>
      <w:r>
        <w:fldChar w:fldCharType="end"/>
      </w:r>
    </w:p>
    <w:p>
      <w:pPr>
        <w:pStyle w:val="18"/>
        <w:tabs>
          <w:tab w:val="right" w:leader="dot" w:pos="9354"/>
        </w:tabs>
      </w:pPr>
      <w:r>
        <w:fldChar w:fldCharType="begin"/>
      </w:r>
      <w:r>
        <w:instrText xml:space="preserve"> HYPERLINK \l _Toc754 </w:instrText>
      </w:r>
      <w:r>
        <w:fldChar w:fldCharType="separate"/>
      </w:r>
      <w:r>
        <w:rPr>
          <w:rFonts w:hint="eastAsia" w:ascii="宋体" w:hAnsi="宋体" w:eastAsia="宋体" w:cs="宋体"/>
          <w:szCs w:val="28"/>
        </w:rPr>
        <w:t>格式22：其他（如有）</w:t>
      </w:r>
      <w:r>
        <w:tab/>
      </w:r>
      <w:r>
        <w:fldChar w:fldCharType="begin"/>
      </w:r>
      <w:r>
        <w:instrText xml:space="preserve"> PAGEREF _Toc754 </w:instrText>
      </w:r>
      <w:r>
        <w:fldChar w:fldCharType="separate"/>
      </w:r>
      <w:r>
        <w:t>49</w:t>
      </w:r>
      <w:r>
        <w:fldChar w:fldCharType="end"/>
      </w:r>
      <w:r>
        <w:fldChar w:fldCharType="end"/>
      </w:r>
    </w:p>
    <w:p>
      <w:pPr>
        <w:pStyle w:val="25"/>
        <w:tabs>
          <w:tab w:val="right" w:leader="dot" w:pos="9354"/>
        </w:tabs>
      </w:pPr>
      <w:r>
        <w:fldChar w:fldCharType="begin"/>
      </w:r>
      <w:r>
        <w:instrText xml:space="preserve"> HYPERLINK \l _Toc2975 </w:instrText>
      </w:r>
      <w:r>
        <w:fldChar w:fldCharType="separate"/>
      </w:r>
      <w:r>
        <w:rPr>
          <w:rFonts w:hint="eastAsia" w:ascii="宋体" w:hAnsi="宋体" w:eastAsia="宋体"/>
          <w:szCs w:val="36"/>
        </w:rPr>
        <w:t>第五章  货物需求一览表</w:t>
      </w:r>
      <w:r>
        <w:tab/>
      </w:r>
      <w:r>
        <w:fldChar w:fldCharType="begin"/>
      </w:r>
      <w:r>
        <w:instrText xml:space="preserve"> PAGEREF _Toc2975 </w:instrText>
      </w:r>
      <w:r>
        <w:fldChar w:fldCharType="separate"/>
      </w:r>
      <w:r>
        <w:t>50</w:t>
      </w:r>
      <w:r>
        <w:fldChar w:fldCharType="end"/>
      </w:r>
      <w:r>
        <w:fldChar w:fldCharType="end"/>
      </w:r>
    </w:p>
    <w:p>
      <w:pPr>
        <w:pStyle w:val="28"/>
        <w:tabs>
          <w:tab w:val="right" w:leader="dot" w:pos="9354"/>
          <w:tab w:val="clear" w:pos="9344"/>
        </w:tabs>
      </w:pPr>
      <w:r>
        <w:fldChar w:fldCharType="begin"/>
      </w:r>
      <w:r>
        <w:instrText xml:space="preserve"> HYPERLINK \l _Toc23555 </w:instrText>
      </w:r>
      <w:r>
        <w:fldChar w:fldCharType="separate"/>
      </w:r>
      <w:r>
        <w:rPr>
          <w:rFonts w:hint="eastAsia" w:ascii="宋体" w:eastAsia="宋体"/>
          <w:szCs w:val="28"/>
          <w:lang w:val="en-US" w:eastAsia="zh-CN"/>
        </w:rPr>
        <w:t>八</w:t>
      </w:r>
      <w:r>
        <w:rPr>
          <w:rFonts w:hint="eastAsia" w:ascii="宋体" w:eastAsia="宋体"/>
          <w:szCs w:val="28"/>
        </w:rPr>
        <w:t>、需求及参数表</w:t>
      </w:r>
      <w:r>
        <w:tab/>
      </w:r>
      <w:r>
        <w:fldChar w:fldCharType="begin"/>
      </w:r>
      <w:r>
        <w:instrText xml:space="preserve"> PAGEREF _Toc23555 </w:instrText>
      </w:r>
      <w:r>
        <w:fldChar w:fldCharType="separate"/>
      </w:r>
      <w:r>
        <w:t>55</w:t>
      </w:r>
      <w:r>
        <w:fldChar w:fldCharType="end"/>
      </w:r>
      <w:r>
        <w:fldChar w:fldCharType="end"/>
      </w:r>
    </w:p>
    <w:p>
      <w:pPr>
        <w:pStyle w:val="25"/>
        <w:tabs>
          <w:tab w:val="right" w:leader="dot" w:pos="9354"/>
        </w:tabs>
      </w:pPr>
      <w:r>
        <w:fldChar w:fldCharType="begin"/>
      </w:r>
      <w:r>
        <w:instrText xml:space="preserve"> HYPERLINK \l _Toc11611 </w:instrText>
      </w:r>
      <w:r>
        <w:fldChar w:fldCharType="separate"/>
      </w:r>
      <w:r>
        <w:rPr>
          <w:rFonts w:hint="eastAsia" w:ascii="宋体" w:hAnsi="宋体" w:eastAsia="宋体"/>
          <w:szCs w:val="36"/>
        </w:rPr>
        <w:t>第六章  资格审查</w:t>
      </w:r>
      <w:r>
        <w:tab/>
      </w:r>
      <w:r>
        <w:fldChar w:fldCharType="begin"/>
      </w:r>
      <w:r>
        <w:instrText xml:space="preserve"> PAGEREF _Toc11611 </w:instrText>
      </w:r>
      <w:r>
        <w:fldChar w:fldCharType="separate"/>
      </w:r>
      <w:r>
        <w:t>70</w:t>
      </w:r>
      <w:r>
        <w:fldChar w:fldCharType="end"/>
      </w:r>
      <w:r>
        <w:fldChar w:fldCharType="end"/>
      </w:r>
    </w:p>
    <w:p>
      <w:pPr>
        <w:pStyle w:val="28"/>
        <w:tabs>
          <w:tab w:val="right" w:leader="dot" w:pos="9354"/>
          <w:tab w:val="clear" w:pos="9344"/>
        </w:tabs>
      </w:pPr>
      <w:r>
        <w:fldChar w:fldCharType="begin"/>
      </w:r>
      <w:r>
        <w:instrText xml:space="preserve"> HYPERLINK \l _Toc5803 </w:instrText>
      </w:r>
      <w:r>
        <w:fldChar w:fldCharType="separate"/>
      </w:r>
      <w:r>
        <w:rPr>
          <w:rFonts w:hint="eastAsia" w:ascii="宋体" w:eastAsia="宋体"/>
          <w:szCs w:val="28"/>
        </w:rPr>
        <w:t>资格审查前附表</w:t>
      </w:r>
      <w:r>
        <w:tab/>
      </w:r>
      <w:r>
        <w:fldChar w:fldCharType="begin"/>
      </w:r>
      <w:r>
        <w:instrText xml:space="preserve"> PAGEREF _Toc5803 </w:instrText>
      </w:r>
      <w:r>
        <w:fldChar w:fldCharType="separate"/>
      </w:r>
      <w:r>
        <w:t>70</w:t>
      </w:r>
      <w:r>
        <w:fldChar w:fldCharType="end"/>
      </w:r>
      <w:r>
        <w:fldChar w:fldCharType="end"/>
      </w:r>
    </w:p>
    <w:p>
      <w:pPr>
        <w:pStyle w:val="28"/>
        <w:tabs>
          <w:tab w:val="right" w:leader="dot" w:pos="9354"/>
          <w:tab w:val="clear" w:pos="9344"/>
        </w:tabs>
      </w:pPr>
      <w:r>
        <w:fldChar w:fldCharType="begin"/>
      </w:r>
      <w:r>
        <w:instrText xml:space="preserve"> HYPERLINK \l _Toc7526 </w:instrText>
      </w:r>
      <w:r>
        <w:fldChar w:fldCharType="separate"/>
      </w:r>
      <w:r>
        <w:rPr>
          <w:rFonts w:hint="eastAsia" w:ascii="宋体" w:hAnsi="宋体" w:eastAsia="宋体"/>
          <w:szCs w:val="28"/>
        </w:rPr>
        <w:t>1. 资格审查</w:t>
      </w:r>
      <w:r>
        <w:tab/>
      </w:r>
      <w:r>
        <w:fldChar w:fldCharType="begin"/>
      </w:r>
      <w:r>
        <w:instrText xml:space="preserve"> PAGEREF _Toc7526 </w:instrText>
      </w:r>
      <w:r>
        <w:fldChar w:fldCharType="separate"/>
      </w:r>
      <w:r>
        <w:t>71</w:t>
      </w:r>
      <w:r>
        <w:fldChar w:fldCharType="end"/>
      </w:r>
      <w:r>
        <w:fldChar w:fldCharType="end"/>
      </w:r>
    </w:p>
    <w:p>
      <w:pPr>
        <w:pStyle w:val="28"/>
        <w:tabs>
          <w:tab w:val="right" w:leader="dot" w:pos="9354"/>
          <w:tab w:val="clear" w:pos="9344"/>
        </w:tabs>
      </w:pPr>
      <w:r>
        <w:fldChar w:fldCharType="begin"/>
      </w:r>
      <w:r>
        <w:instrText xml:space="preserve"> HYPERLINK \l _Toc28962 </w:instrText>
      </w:r>
      <w:r>
        <w:fldChar w:fldCharType="separate"/>
      </w:r>
      <w:r>
        <w:rPr>
          <w:rFonts w:hint="eastAsia" w:ascii="宋体" w:hAnsi="宋体" w:eastAsia="宋体"/>
          <w:szCs w:val="28"/>
        </w:rPr>
        <w:t>2. 资格审查标准</w:t>
      </w:r>
      <w:r>
        <w:tab/>
      </w:r>
      <w:r>
        <w:fldChar w:fldCharType="begin"/>
      </w:r>
      <w:r>
        <w:instrText xml:space="preserve"> PAGEREF _Toc28962 </w:instrText>
      </w:r>
      <w:r>
        <w:fldChar w:fldCharType="separate"/>
      </w:r>
      <w:r>
        <w:t>71</w:t>
      </w:r>
      <w:r>
        <w:fldChar w:fldCharType="end"/>
      </w:r>
      <w:r>
        <w:fldChar w:fldCharType="end"/>
      </w:r>
    </w:p>
    <w:p>
      <w:pPr>
        <w:pStyle w:val="28"/>
        <w:tabs>
          <w:tab w:val="right" w:leader="dot" w:pos="9354"/>
          <w:tab w:val="clear" w:pos="9344"/>
        </w:tabs>
      </w:pPr>
      <w:r>
        <w:fldChar w:fldCharType="begin"/>
      </w:r>
      <w:r>
        <w:instrText xml:space="preserve"> HYPERLINK \l _Toc28245 </w:instrText>
      </w:r>
      <w:r>
        <w:fldChar w:fldCharType="separate"/>
      </w:r>
      <w:r>
        <w:rPr>
          <w:rFonts w:hint="eastAsia" w:ascii="宋体" w:hAnsi="宋体" w:eastAsia="宋体"/>
          <w:szCs w:val="28"/>
        </w:rPr>
        <w:t>3. 资格审查程序</w:t>
      </w:r>
      <w:r>
        <w:tab/>
      </w:r>
      <w:r>
        <w:fldChar w:fldCharType="begin"/>
      </w:r>
      <w:r>
        <w:instrText xml:space="preserve"> PAGEREF _Toc28245 </w:instrText>
      </w:r>
      <w:r>
        <w:fldChar w:fldCharType="separate"/>
      </w:r>
      <w:r>
        <w:t>71</w:t>
      </w:r>
      <w:r>
        <w:fldChar w:fldCharType="end"/>
      </w:r>
      <w:r>
        <w:fldChar w:fldCharType="end"/>
      </w:r>
    </w:p>
    <w:p>
      <w:pPr>
        <w:pStyle w:val="25"/>
        <w:tabs>
          <w:tab w:val="right" w:leader="dot" w:pos="9354"/>
        </w:tabs>
      </w:pPr>
      <w:r>
        <w:fldChar w:fldCharType="begin"/>
      </w:r>
      <w:r>
        <w:instrText xml:space="preserve"> HYPERLINK \l _Toc15611 </w:instrText>
      </w:r>
      <w:r>
        <w:fldChar w:fldCharType="separate"/>
      </w:r>
      <w:r>
        <w:rPr>
          <w:rFonts w:hint="eastAsia" w:ascii="宋体" w:eastAsia="宋体"/>
        </w:rPr>
        <w:t>第七章  评标办法（综合评分法）</w:t>
      </w:r>
      <w:r>
        <w:tab/>
      </w:r>
      <w:r>
        <w:fldChar w:fldCharType="begin"/>
      </w:r>
      <w:r>
        <w:instrText xml:space="preserve"> PAGEREF _Toc15611 </w:instrText>
      </w:r>
      <w:r>
        <w:fldChar w:fldCharType="separate"/>
      </w:r>
      <w:r>
        <w:t>72</w:t>
      </w:r>
      <w:r>
        <w:fldChar w:fldCharType="end"/>
      </w:r>
      <w:r>
        <w:fldChar w:fldCharType="end"/>
      </w:r>
    </w:p>
    <w:p>
      <w:pPr>
        <w:pStyle w:val="28"/>
        <w:tabs>
          <w:tab w:val="right" w:leader="dot" w:pos="9354"/>
          <w:tab w:val="clear" w:pos="9344"/>
        </w:tabs>
      </w:pPr>
      <w:r>
        <w:fldChar w:fldCharType="begin"/>
      </w:r>
      <w:r>
        <w:instrText xml:space="preserve"> HYPERLINK \l _Toc12278 </w:instrText>
      </w:r>
      <w:r>
        <w:fldChar w:fldCharType="separate"/>
      </w:r>
      <w:r>
        <w:rPr>
          <w:rFonts w:hint="eastAsia" w:ascii="宋体" w:eastAsia="宋体"/>
          <w:szCs w:val="28"/>
        </w:rPr>
        <w:t>评标办法前附表</w:t>
      </w:r>
      <w:r>
        <w:tab/>
      </w:r>
      <w:r>
        <w:fldChar w:fldCharType="begin"/>
      </w:r>
      <w:r>
        <w:instrText xml:space="preserve"> PAGEREF _Toc12278 </w:instrText>
      </w:r>
      <w:r>
        <w:fldChar w:fldCharType="separate"/>
      </w:r>
      <w:r>
        <w:t>72</w:t>
      </w:r>
      <w:r>
        <w:fldChar w:fldCharType="end"/>
      </w:r>
      <w:r>
        <w:fldChar w:fldCharType="end"/>
      </w:r>
    </w:p>
    <w:p>
      <w:pPr>
        <w:pStyle w:val="28"/>
        <w:tabs>
          <w:tab w:val="right" w:leader="dot" w:pos="9354"/>
          <w:tab w:val="clear" w:pos="9344"/>
        </w:tabs>
      </w:pPr>
      <w:r>
        <w:fldChar w:fldCharType="begin"/>
      </w:r>
      <w:r>
        <w:instrText xml:space="preserve"> HYPERLINK \l _Toc25901 </w:instrText>
      </w:r>
      <w:r>
        <w:fldChar w:fldCharType="separate"/>
      </w:r>
      <w:r>
        <w:rPr>
          <w:rFonts w:hint="eastAsia" w:ascii="宋体" w:hAnsi="宋体" w:eastAsia="宋体"/>
          <w:szCs w:val="28"/>
        </w:rPr>
        <w:t>1. 评标方法：</w:t>
      </w:r>
      <w:r>
        <w:tab/>
      </w:r>
      <w:r>
        <w:fldChar w:fldCharType="begin"/>
      </w:r>
      <w:r>
        <w:instrText xml:space="preserve"> PAGEREF _Toc25901 </w:instrText>
      </w:r>
      <w:r>
        <w:fldChar w:fldCharType="separate"/>
      </w:r>
      <w:r>
        <w:t>77</w:t>
      </w:r>
      <w:r>
        <w:fldChar w:fldCharType="end"/>
      </w:r>
      <w:r>
        <w:fldChar w:fldCharType="end"/>
      </w:r>
    </w:p>
    <w:p>
      <w:pPr>
        <w:pStyle w:val="28"/>
        <w:tabs>
          <w:tab w:val="right" w:leader="dot" w:pos="9354"/>
          <w:tab w:val="clear" w:pos="9344"/>
        </w:tabs>
      </w:pPr>
      <w:r>
        <w:fldChar w:fldCharType="begin"/>
      </w:r>
      <w:r>
        <w:instrText xml:space="preserve"> HYPERLINK \l _Toc23110 </w:instrText>
      </w:r>
      <w:r>
        <w:fldChar w:fldCharType="separate"/>
      </w:r>
      <w:r>
        <w:rPr>
          <w:rFonts w:hint="eastAsia" w:ascii="宋体" w:hAnsi="宋体" w:eastAsia="宋体"/>
          <w:szCs w:val="28"/>
        </w:rPr>
        <w:t>2. 评审标准</w:t>
      </w:r>
      <w:r>
        <w:tab/>
      </w:r>
      <w:r>
        <w:fldChar w:fldCharType="begin"/>
      </w:r>
      <w:r>
        <w:instrText xml:space="preserve"> PAGEREF _Toc23110 </w:instrText>
      </w:r>
      <w:r>
        <w:fldChar w:fldCharType="separate"/>
      </w:r>
      <w:r>
        <w:t>77</w:t>
      </w:r>
      <w:r>
        <w:fldChar w:fldCharType="end"/>
      </w:r>
      <w:r>
        <w:fldChar w:fldCharType="end"/>
      </w:r>
    </w:p>
    <w:p>
      <w:pPr>
        <w:pStyle w:val="28"/>
        <w:tabs>
          <w:tab w:val="right" w:leader="dot" w:pos="9354"/>
          <w:tab w:val="clear" w:pos="9344"/>
        </w:tabs>
      </w:pPr>
      <w:r>
        <w:fldChar w:fldCharType="begin"/>
      </w:r>
      <w:r>
        <w:instrText xml:space="preserve"> HYPERLINK \l _Toc16177 </w:instrText>
      </w:r>
      <w:r>
        <w:fldChar w:fldCharType="separate"/>
      </w:r>
      <w:r>
        <w:rPr>
          <w:rFonts w:hint="eastAsia" w:ascii="宋体" w:hAnsi="宋体" w:eastAsia="宋体"/>
          <w:szCs w:val="28"/>
        </w:rPr>
        <w:t>3. 评标程序</w:t>
      </w:r>
      <w:r>
        <w:tab/>
      </w:r>
      <w:r>
        <w:fldChar w:fldCharType="begin"/>
      </w:r>
      <w:r>
        <w:instrText xml:space="preserve"> PAGEREF _Toc16177 </w:instrText>
      </w:r>
      <w:r>
        <w:fldChar w:fldCharType="separate"/>
      </w:r>
      <w:r>
        <w:t>77</w:t>
      </w:r>
      <w:r>
        <w:fldChar w:fldCharType="end"/>
      </w:r>
      <w:r>
        <w:fldChar w:fldCharType="end"/>
      </w:r>
    </w:p>
    <w:p>
      <w:pPr>
        <w:pStyle w:val="18"/>
        <w:tabs>
          <w:tab w:val="right" w:leader="dot" w:pos="9353"/>
        </w:tabs>
        <w:snapToGrid w:val="0"/>
        <w:spacing w:line="300" w:lineRule="exact"/>
        <w:ind w:left="0" w:leftChars="0"/>
        <w:sectPr>
          <w:pgSz w:w="11906" w:h="16838"/>
          <w:pgMar w:top="1418" w:right="1134" w:bottom="1134" w:left="1418" w:header="779" w:footer="720" w:gutter="0"/>
          <w:pgNumType w:start="1"/>
          <w:cols w:space="720" w:num="1"/>
          <w:docGrid w:type="linesAndChars" w:linePitch="331" w:charSpace="0"/>
        </w:sectPr>
      </w:pPr>
      <w:r>
        <w:fldChar w:fldCharType="end"/>
      </w:r>
    </w:p>
    <w:p>
      <w:pPr>
        <w:pStyle w:val="3"/>
        <w:numPr>
          <w:ilvl w:val="0"/>
          <w:numId w:val="0"/>
        </w:numPr>
        <w:spacing w:before="0"/>
        <w:jc w:val="center"/>
        <w:rPr>
          <w:rFonts w:ascii="黑体"/>
          <w:sz w:val="32"/>
          <w:szCs w:val="32"/>
        </w:rPr>
      </w:pPr>
      <w:bookmarkStart w:id="0" w:name="_Toc8858"/>
      <w:bookmarkStart w:id="1" w:name="_Toc30634"/>
      <w:bookmarkStart w:id="2" w:name="_Toc14211"/>
      <w:bookmarkStart w:id="3" w:name="_Toc24423"/>
      <w:r>
        <w:rPr>
          <w:rFonts w:hint="eastAsia" w:ascii="黑体"/>
          <w:sz w:val="32"/>
          <w:szCs w:val="32"/>
        </w:rPr>
        <w:t>第一章  投标邀请</w:t>
      </w:r>
      <w:bookmarkEnd w:id="0"/>
      <w:bookmarkEnd w:id="1"/>
      <w:bookmarkEnd w:id="2"/>
      <w:bookmarkEnd w:id="3"/>
    </w:p>
    <w:p>
      <w:pPr>
        <w:pBdr>
          <w:top w:val="single" w:color="auto" w:sz="4" w:space="1"/>
          <w:left w:val="single" w:color="auto" w:sz="4" w:space="4"/>
          <w:bottom w:val="single" w:color="auto" w:sz="4" w:space="1"/>
          <w:right w:val="single" w:color="auto" w:sz="4" w:space="4"/>
        </w:pBdr>
        <w:rPr>
          <w:rFonts w:hint="eastAsia" w:ascii="宋体" w:hAnsi="宋体"/>
          <w:szCs w:val="21"/>
        </w:rPr>
      </w:pPr>
      <w:r>
        <w:rPr>
          <w:rFonts w:hint="eastAsia" w:ascii="宋体" w:hAnsi="宋体"/>
          <w:szCs w:val="21"/>
        </w:rPr>
        <w:t>项目概况</w:t>
      </w:r>
    </w:p>
    <w:p>
      <w:pPr>
        <w:pBdr>
          <w:top w:val="single" w:color="auto" w:sz="4" w:space="1"/>
          <w:left w:val="single" w:color="auto" w:sz="4" w:space="4"/>
          <w:bottom w:val="single" w:color="auto" w:sz="4" w:space="1"/>
          <w:right w:val="single" w:color="auto" w:sz="4" w:space="4"/>
        </w:pBdr>
        <w:ind w:firstLine="420" w:firstLineChars="200"/>
        <w:rPr>
          <w:rFonts w:hint="eastAsia" w:ascii="宋体" w:hAnsi="宋体"/>
          <w:szCs w:val="21"/>
        </w:rPr>
      </w:pPr>
      <w:r>
        <w:rPr>
          <w:rFonts w:hint="eastAsia" w:ascii="宋体" w:hAnsi="宋体"/>
          <w:szCs w:val="21"/>
          <w:u w:val="single"/>
        </w:rPr>
        <w:t>昆明理工大学信息化建设管理中心智慧校园一体化数智化教学条件建设采购项目(z26)-智慧教室设备（课桌椅）</w:t>
      </w:r>
      <w:r>
        <w:rPr>
          <w:rFonts w:hint="eastAsia" w:ascii="宋体" w:hAnsi="宋体"/>
          <w:szCs w:val="21"/>
        </w:rPr>
        <w:t>的潜在投标人应在“政采云”平台（http：//www.zcygov.cn）获取招标文件，并于</w:t>
      </w:r>
      <w:r>
        <w:rPr>
          <w:rFonts w:hint="eastAsia" w:ascii="宋体" w:hAnsi="宋体"/>
          <w:szCs w:val="21"/>
          <w:u w:val="single"/>
        </w:rPr>
        <w:t>2026年</w:t>
      </w:r>
      <w:r>
        <w:rPr>
          <w:rFonts w:hint="eastAsia" w:ascii="宋体" w:hAnsi="宋体"/>
          <w:szCs w:val="21"/>
          <w:u w:val="single"/>
          <w:lang w:val="en-US" w:eastAsia="zh-CN"/>
        </w:rPr>
        <w:t>9</w:t>
      </w:r>
      <w:r>
        <w:rPr>
          <w:rFonts w:hint="eastAsia" w:ascii="宋体" w:hAnsi="宋体"/>
          <w:szCs w:val="21"/>
          <w:u w:val="single"/>
        </w:rPr>
        <w:t>月</w:t>
      </w:r>
      <w:r>
        <w:rPr>
          <w:rFonts w:hint="eastAsia" w:ascii="宋体" w:hAnsi="宋体"/>
          <w:szCs w:val="21"/>
          <w:u w:val="single"/>
          <w:lang w:val="en-US" w:eastAsia="zh-CN"/>
        </w:rPr>
        <w:t>4</w:t>
      </w:r>
      <w:r>
        <w:rPr>
          <w:rFonts w:hint="eastAsia" w:ascii="宋体" w:hAnsi="宋体"/>
          <w:szCs w:val="21"/>
          <w:u w:val="single"/>
        </w:rPr>
        <w:t>日09时</w:t>
      </w:r>
      <w:r>
        <w:rPr>
          <w:rFonts w:hint="eastAsia" w:ascii="宋体" w:hAnsi="宋体"/>
          <w:szCs w:val="21"/>
          <w:u w:val="single"/>
          <w:lang w:val="en-US" w:eastAsia="zh-CN"/>
        </w:rPr>
        <w:t>0</w:t>
      </w:r>
      <w:r>
        <w:rPr>
          <w:rFonts w:hint="eastAsia" w:ascii="宋体" w:hAnsi="宋体"/>
          <w:szCs w:val="21"/>
          <w:u w:val="single"/>
        </w:rPr>
        <w:t>0分</w:t>
      </w:r>
      <w:r>
        <w:rPr>
          <w:rFonts w:hint="eastAsia" w:ascii="宋体" w:hAnsi="宋体"/>
          <w:szCs w:val="21"/>
        </w:rPr>
        <w:t>（北京时间）前提交投标文件。</w:t>
      </w:r>
    </w:p>
    <w:p>
      <w:pPr>
        <w:pStyle w:val="2"/>
        <w:numPr>
          <w:ilvl w:val="0"/>
          <w:numId w:val="0"/>
        </w:numPr>
        <w:ind w:left="425"/>
        <w:rPr>
          <w:rFonts w:hint="eastAsia" w:ascii="宋体" w:hAnsi="宋体" w:eastAsia="宋体" w:cs="宋体"/>
          <w:sz w:val="21"/>
          <w:szCs w:val="21"/>
        </w:rPr>
      </w:pPr>
      <w:bookmarkStart w:id="4" w:name="_Toc24817"/>
      <w:bookmarkStart w:id="5" w:name="_Toc35393798"/>
      <w:bookmarkStart w:id="6" w:name="_Toc15289"/>
      <w:bookmarkStart w:id="7" w:name="_Toc18317"/>
      <w:bookmarkStart w:id="8" w:name="_Toc28359012"/>
      <w:bookmarkStart w:id="9" w:name="_Toc29529"/>
      <w:bookmarkStart w:id="10" w:name="_Toc43368449"/>
      <w:bookmarkStart w:id="11" w:name="_Toc28359089"/>
      <w:bookmarkStart w:id="12" w:name="_Toc26308"/>
      <w:bookmarkStart w:id="13" w:name="_Toc35393629"/>
      <w:bookmarkStart w:id="14" w:name="_Toc9987"/>
      <w:r>
        <w:rPr>
          <w:rFonts w:hint="eastAsia" w:ascii="宋体" w:hAnsi="宋体" w:eastAsia="宋体" w:cs="宋体"/>
          <w:sz w:val="21"/>
          <w:szCs w:val="21"/>
        </w:rPr>
        <w:t>一、项目基本情况</w:t>
      </w:r>
      <w:bookmarkEnd w:id="4"/>
      <w:bookmarkEnd w:id="5"/>
      <w:bookmarkEnd w:id="6"/>
      <w:bookmarkEnd w:id="7"/>
      <w:bookmarkEnd w:id="8"/>
      <w:bookmarkEnd w:id="9"/>
      <w:bookmarkEnd w:id="10"/>
      <w:bookmarkEnd w:id="11"/>
      <w:bookmarkEnd w:id="12"/>
      <w:bookmarkEnd w:id="13"/>
      <w:bookmarkEnd w:id="14"/>
    </w:p>
    <w:p>
      <w:pPr>
        <w:spacing w:line="440" w:lineRule="exact"/>
        <w:ind w:firstLine="420"/>
        <w:rPr>
          <w:rFonts w:hint="eastAsia" w:ascii="宋体" w:hAnsi="宋体"/>
          <w:szCs w:val="21"/>
        </w:rPr>
      </w:pPr>
      <w:r>
        <w:rPr>
          <w:rFonts w:hint="eastAsia" w:ascii="宋体" w:hAnsi="宋体"/>
          <w:szCs w:val="21"/>
        </w:rPr>
        <w:t>1.招标编号：YNZC2026-G1-04753-YNSZ-0271</w:t>
      </w:r>
    </w:p>
    <w:p>
      <w:pPr>
        <w:spacing w:line="440" w:lineRule="exact"/>
        <w:ind w:firstLine="420"/>
        <w:rPr>
          <w:rFonts w:hint="eastAsia" w:ascii="宋体" w:hAnsi="宋体"/>
          <w:szCs w:val="21"/>
        </w:rPr>
      </w:pPr>
      <w:r>
        <w:rPr>
          <w:rFonts w:hint="eastAsia" w:ascii="宋体" w:hAnsi="宋体"/>
          <w:szCs w:val="21"/>
        </w:rPr>
        <w:t>2.项目名称：昆明理工大学信息化建设管理中心智慧校园一体化数智化教学条件建设采购项目(z26)-智慧教室设备（课桌椅）</w:t>
      </w:r>
    </w:p>
    <w:p>
      <w:pPr>
        <w:spacing w:line="440" w:lineRule="exact"/>
        <w:ind w:firstLine="420"/>
        <w:rPr>
          <w:rFonts w:hint="eastAsia" w:ascii="宋体" w:hAnsi="宋体"/>
          <w:szCs w:val="21"/>
        </w:rPr>
      </w:pPr>
      <w:r>
        <w:rPr>
          <w:rFonts w:hint="eastAsia" w:ascii="宋体" w:hAnsi="宋体"/>
          <w:szCs w:val="21"/>
        </w:rPr>
        <w:t>3.采购方式：公开招标</w:t>
      </w:r>
    </w:p>
    <w:p>
      <w:pPr>
        <w:spacing w:line="440" w:lineRule="exact"/>
        <w:ind w:firstLine="420"/>
        <w:rPr>
          <w:rFonts w:hint="eastAsia" w:ascii="宋体" w:hAnsi="宋体"/>
          <w:szCs w:val="21"/>
        </w:rPr>
      </w:pPr>
      <w:r>
        <w:rPr>
          <w:rFonts w:hint="eastAsia" w:ascii="宋体" w:hAnsi="宋体"/>
          <w:szCs w:val="21"/>
        </w:rPr>
        <w:t>4.预算金额：2538960.00元；</w:t>
      </w:r>
    </w:p>
    <w:p>
      <w:pPr>
        <w:spacing w:line="440" w:lineRule="exact"/>
        <w:ind w:firstLine="420"/>
        <w:rPr>
          <w:rFonts w:hint="eastAsia" w:ascii="宋体" w:hAnsi="宋体"/>
          <w:szCs w:val="21"/>
        </w:rPr>
      </w:pPr>
      <w:r>
        <w:rPr>
          <w:rFonts w:hint="eastAsia" w:ascii="宋体" w:hAnsi="宋体"/>
          <w:szCs w:val="21"/>
        </w:rPr>
        <w:t>5.最高限价：2538960.00元；本项目设单价限价。</w:t>
      </w:r>
    </w:p>
    <w:p>
      <w:pPr>
        <w:spacing w:line="440" w:lineRule="exact"/>
        <w:ind w:firstLine="420"/>
        <w:rPr>
          <w:rFonts w:hint="eastAsia" w:ascii="宋体" w:hAnsi="宋体"/>
          <w:szCs w:val="21"/>
          <w:lang w:eastAsia="zh-CN"/>
        </w:rPr>
      </w:pPr>
      <w:r>
        <w:rPr>
          <w:rFonts w:hint="eastAsia" w:ascii="宋体" w:hAnsi="宋体"/>
          <w:szCs w:val="21"/>
        </w:rPr>
        <w:t>6.采购需求：本项目不分包，昆明理工大学信息化建设管理中心智慧校园一体化数智化教学条件建设采购项目拟采购家具一批，</w:t>
      </w:r>
      <w:r>
        <w:rPr>
          <w:rFonts w:hint="eastAsia" w:ascii="宋体" w:hAnsi="宋体"/>
          <w:szCs w:val="21"/>
          <w:lang w:val="en-US" w:eastAsia="zh-CN"/>
        </w:rPr>
        <w:t>包含智慧教室定制桌椅、学习空间定制桌椅等，具体参数要求详见招标文件第五章货物需求一览表</w:t>
      </w:r>
      <w:r>
        <w:rPr>
          <w:rFonts w:hint="eastAsia" w:ascii="宋体" w:hAnsi="宋体"/>
          <w:szCs w:val="21"/>
          <w:lang w:eastAsia="zh-CN"/>
        </w:rPr>
        <w:t>。</w:t>
      </w:r>
    </w:p>
    <w:tbl>
      <w:tblPr>
        <w:tblStyle w:val="39"/>
        <w:tblW w:w="8389" w:type="dxa"/>
        <w:tblInd w:w="5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3887"/>
        <w:gridCol w:w="1667"/>
        <w:gridCol w:w="2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序号</w:t>
            </w:r>
          </w:p>
        </w:tc>
        <w:tc>
          <w:tcPr>
            <w:tcW w:w="3887" w:type="dxa"/>
          </w:tcPr>
          <w:p>
            <w:pPr>
              <w:bidi w:val="0"/>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产品名称（标的名称）</w:t>
            </w:r>
          </w:p>
        </w:tc>
        <w:tc>
          <w:tcPr>
            <w:tcW w:w="1667" w:type="dxa"/>
            <w:vAlign w:val="center"/>
          </w:tcPr>
          <w:p>
            <w:pPr>
              <w:bidi w:val="0"/>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数量</w:t>
            </w:r>
          </w:p>
        </w:tc>
        <w:tc>
          <w:tcPr>
            <w:tcW w:w="2065" w:type="dxa"/>
            <w:vAlign w:val="center"/>
          </w:tcPr>
          <w:p>
            <w:pPr>
              <w:bidi w:val="0"/>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8</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192</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188</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16</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184</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10</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2"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智慧教室定制桌椅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481</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color w:val="000000"/>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2" w:hRule="atLeast"/>
        </w:trPr>
        <w:tc>
          <w:tcPr>
            <w:tcW w:w="770" w:type="dxa"/>
          </w:tcPr>
          <w:p>
            <w:pPr>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388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sz w:val="21"/>
                <w:szCs w:val="21"/>
              </w:rPr>
              <w:t>学习空间定制桌椅</w:t>
            </w:r>
          </w:p>
        </w:tc>
        <w:tc>
          <w:tcPr>
            <w:tcW w:w="1667"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sz w:val="21"/>
                <w:szCs w:val="21"/>
              </w:rPr>
              <w:t>1</w:t>
            </w:r>
          </w:p>
        </w:tc>
        <w:tc>
          <w:tcPr>
            <w:tcW w:w="2065" w:type="dxa"/>
            <w:vAlign w:val="center"/>
          </w:tcPr>
          <w:p>
            <w:pPr>
              <w:widowControl/>
              <w:jc w:val="center"/>
              <w:textAlignment w:val="center"/>
              <w:rPr>
                <w:rFonts w:hint="eastAsia" w:asciiTheme="minorEastAsia" w:hAnsiTheme="minorEastAsia" w:eastAsiaTheme="minorEastAsia" w:cstheme="minorEastAsia"/>
                <w:sz w:val="21"/>
                <w:szCs w:val="21"/>
                <w:lang w:eastAsia="zh-CN"/>
              </w:rPr>
            </w:pPr>
            <w:r>
              <w:rPr>
                <w:rFonts w:hint="eastAsia" w:ascii="宋体" w:hAnsi="宋体" w:cs="宋体"/>
                <w:sz w:val="21"/>
                <w:szCs w:val="21"/>
              </w:rPr>
              <w:t>套</w:t>
            </w:r>
          </w:p>
        </w:tc>
      </w:tr>
    </w:tbl>
    <w:p>
      <w:pPr>
        <w:bidi w:val="0"/>
        <w:rPr>
          <w:rFonts w:hint="eastAsia" w:asciiTheme="minorEastAsia" w:hAnsiTheme="minorEastAsia" w:eastAsiaTheme="minorEastAsia" w:cstheme="minorEastAsia"/>
          <w:sz w:val="21"/>
          <w:szCs w:val="21"/>
          <w:lang w:eastAsia="zh-CN"/>
        </w:rPr>
      </w:pPr>
    </w:p>
    <w:p>
      <w:pPr>
        <w:spacing w:line="440" w:lineRule="exact"/>
        <w:ind w:firstLine="420"/>
        <w:rPr>
          <w:rFonts w:hint="eastAsia" w:ascii="宋体" w:hAnsi="宋体"/>
          <w:szCs w:val="21"/>
        </w:rPr>
      </w:pPr>
      <w:r>
        <w:rPr>
          <w:rFonts w:hint="eastAsia" w:ascii="宋体" w:hAnsi="宋体"/>
          <w:szCs w:val="21"/>
        </w:rPr>
        <w:t>7.交货期及交货地点：</w:t>
      </w:r>
    </w:p>
    <w:p>
      <w:pPr>
        <w:spacing w:line="440" w:lineRule="exact"/>
        <w:ind w:firstLine="420"/>
        <w:rPr>
          <w:rFonts w:hint="eastAsia" w:ascii="宋体" w:hAnsi="宋体"/>
          <w:szCs w:val="21"/>
        </w:rPr>
      </w:pPr>
      <w:r>
        <w:rPr>
          <w:rFonts w:hint="eastAsia" w:ascii="宋体" w:hAnsi="宋体"/>
          <w:szCs w:val="21"/>
        </w:rPr>
        <w:t>7.1交货期：合同⽣效后35日历天内运输、安装在采购人的规定位置，并且完成调试。</w:t>
      </w:r>
    </w:p>
    <w:p>
      <w:pPr>
        <w:spacing w:line="440" w:lineRule="exact"/>
        <w:ind w:firstLine="420"/>
        <w:rPr>
          <w:rFonts w:hint="eastAsia" w:ascii="宋体" w:hAnsi="宋体"/>
          <w:szCs w:val="21"/>
        </w:rPr>
      </w:pPr>
      <w:r>
        <w:rPr>
          <w:rFonts w:hint="eastAsia" w:ascii="宋体" w:hAnsi="宋体"/>
          <w:szCs w:val="21"/>
        </w:rPr>
        <w:t>7.2交货地点</w:t>
      </w:r>
      <w:r>
        <w:rPr>
          <w:rFonts w:hint="eastAsia" w:ascii="宋体" w:hAnsi="宋体"/>
          <w:szCs w:val="21"/>
          <w:lang w:eastAsia="zh-CN"/>
        </w:rPr>
        <w:t>：</w:t>
      </w:r>
      <w:r>
        <w:rPr>
          <w:rFonts w:hint="eastAsia" w:ascii="宋体" w:hAnsi="宋体"/>
          <w:szCs w:val="21"/>
        </w:rPr>
        <w:t>昆明理工大学的规定地点。</w:t>
      </w:r>
    </w:p>
    <w:p>
      <w:pPr>
        <w:spacing w:line="440" w:lineRule="exact"/>
        <w:ind w:firstLine="420"/>
        <w:rPr>
          <w:rFonts w:hint="eastAsia" w:ascii="宋体" w:hAnsi="宋体"/>
          <w:szCs w:val="21"/>
        </w:rPr>
      </w:pPr>
      <w:r>
        <w:rPr>
          <w:rFonts w:hint="eastAsia" w:ascii="宋体" w:hAnsi="宋体"/>
          <w:szCs w:val="21"/>
        </w:rPr>
        <w:t>8.本项目不接受联合体。</w:t>
      </w:r>
    </w:p>
    <w:p>
      <w:pPr>
        <w:pStyle w:val="2"/>
        <w:numPr>
          <w:ilvl w:val="0"/>
          <w:numId w:val="0"/>
        </w:numPr>
        <w:spacing w:line="480" w:lineRule="exact"/>
        <w:ind w:left="425"/>
        <w:rPr>
          <w:rFonts w:hint="eastAsia" w:ascii="宋体" w:hAnsi="宋体" w:eastAsia="宋体" w:cs="宋体"/>
          <w:sz w:val="21"/>
          <w:szCs w:val="21"/>
        </w:rPr>
      </w:pPr>
      <w:bookmarkStart w:id="15" w:name="_Toc35393630"/>
      <w:bookmarkStart w:id="16" w:name="_Toc28359090"/>
      <w:bookmarkStart w:id="17" w:name="_Toc24484"/>
      <w:bookmarkStart w:id="18" w:name="_Toc22273"/>
      <w:bookmarkStart w:id="19" w:name="_Toc31142"/>
      <w:bookmarkStart w:id="20" w:name="_Toc24592"/>
      <w:bookmarkStart w:id="21" w:name="_Toc35393799"/>
      <w:bookmarkStart w:id="22" w:name="_Toc43368450"/>
      <w:bookmarkStart w:id="23" w:name="_Toc28359013"/>
      <w:bookmarkStart w:id="24" w:name="_Toc13637"/>
      <w:bookmarkStart w:id="25" w:name="_Toc26187"/>
      <w:r>
        <w:rPr>
          <w:rFonts w:hint="eastAsia" w:ascii="宋体" w:hAnsi="宋体" w:eastAsia="宋体" w:cs="宋体"/>
          <w:sz w:val="21"/>
          <w:szCs w:val="21"/>
        </w:rPr>
        <w:t>二、申请人的资格要求</w:t>
      </w:r>
      <w:bookmarkEnd w:id="15"/>
      <w:bookmarkEnd w:id="16"/>
      <w:bookmarkEnd w:id="17"/>
      <w:bookmarkEnd w:id="18"/>
      <w:bookmarkEnd w:id="19"/>
      <w:bookmarkEnd w:id="20"/>
      <w:bookmarkEnd w:id="21"/>
      <w:bookmarkEnd w:id="22"/>
      <w:bookmarkEnd w:id="23"/>
      <w:bookmarkEnd w:id="24"/>
      <w:bookmarkEnd w:id="25"/>
    </w:p>
    <w:p>
      <w:pPr>
        <w:spacing w:line="440" w:lineRule="exact"/>
        <w:ind w:firstLine="420"/>
        <w:rPr>
          <w:rFonts w:hint="eastAsia" w:ascii="宋体" w:hAnsi="宋体"/>
          <w:szCs w:val="21"/>
        </w:rPr>
      </w:pPr>
      <w:r>
        <w:rPr>
          <w:rFonts w:hint="eastAsia" w:ascii="宋体" w:hAnsi="宋体"/>
          <w:szCs w:val="21"/>
        </w:rPr>
        <w:t>1.满足《中华人民共和国政府采购法》第二十二条规定的条件，并提供资格证明文件，详见“投标人须知前附表”。</w:t>
      </w:r>
    </w:p>
    <w:p>
      <w:pPr>
        <w:spacing w:line="440" w:lineRule="exact"/>
        <w:ind w:firstLine="420"/>
        <w:rPr>
          <w:rFonts w:hint="eastAsia" w:ascii="宋体" w:hAnsi="宋体"/>
          <w:szCs w:val="21"/>
        </w:rPr>
      </w:pPr>
      <w:bookmarkStart w:id="26" w:name="_Toc28359014"/>
      <w:bookmarkStart w:id="27" w:name="_Toc28359091"/>
      <w:r>
        <w:rPr>
          <w:rFonts w:hint="eastAsia" w:ascii="宋体" w:hAnsi="宋体"/>
          <w:szCs w:val="21"/>
        </w:rPr>
        <w:t>2.落实政府采购政策需满足的资格要求：无。</w:t>
      </w:r>
    </w:p>
    <w:p>
      <w:pPr>
        <w:spacing w:line="440" w:lineRule="exact"/>
        <w:ind w:firstLine="420"/>
        <w:rPr>
          <w:rFonts w:hint="eastAsia" w:ascii="宋体" w:hAnsi="宋体"/>
          <w:szCs w:val="21"/>
        </w:rPr>
      </w:pPr>
      <w:r>
        <w:rPr>
          <w:rFonts w:hint="eastAsia" w:ascii="宋体" w:hAnsi="宋体"/>
          <w:szCs w:val="21"/>
        </w:rPr>
        <w:t>3.本项目的特定条件：无。</w:t>
      </w:r>
    </w:p>
    <w:p>
      <w:pPr>
        <w:spacing w:line="440" w:lineRule="exact"/>
        <w:ind w:firstLine="420"/>
        <w:rPr>
          <w:rFonts w:hint="eastAsia" w:ascii="宋体" w:hAnsi="宋体"/>
          <w:szCs w:val="21"/>
        </w:rPr>
      </w:pPr>
      <w:r>
        <w:rPr>
          <w:rFonts w:hint="eastAsia" w:ascii="宋体" w:hAnsi="宋体"/>
          <w:szCs w:val="21"/>
        </w:rPr>
        <w:t>4.</w:t>
      </w:r>
      <w:r>
        <w:rPr>
          <w:rFonts w:hint="eastAsia" w:ascii="宋体" w:hAnsi="宋体" w:cs="宋体"/>
          <w:szCs w:val="21"/>
        </w:rPr>
        <w:t>参加投标的投标人在投标文件提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中国政府采购网”网站（www.ccgp.gov.cn）查询投标人信用记录。</w:t>
      </w:r>
    </w:p>
    <w:p>
      <w:pPr>
        <w:spacing w:line="440" w:lineRule="exact"/>
        <w:ind w:firstLine="420"/>
        <w:rPr>
          <w:rFonts w:hint="eastAsia" w:ascii="宋体" w:hAnsi="宋体"/>
          <w:szCs w:val="21"/>
        </w:rPr>
      </w:pPr>
      <w:r>
        <w:rPr>
          <w:rFonts w:hint="eastAsia" w:ascii="宋体" w:hAnsi="宋体"/>
          <w:szCs w:val="21"/>
        </w:rPr>
        <w:t>5.为本项目提供整体设计、规范编制或者项目管理、监理、检测等服务的投标人不得参与本项目投标：无。</w:t>
      </w:r>
    </w:p>
    <w:p>
      <w:pPr>
        <w:spacing w:line="440" w:lineRule="exact"/>
        <w:ind w:firstLine="420"/>
        <w:rPr>
          <w:rFonts w:hint="eastAsia" w:ascii="宋体" w:hAnsi="宋体"/>
          <w:szCs w:val="21"/>
        </w:rPr>
      </w:pPr>
      <w:r>
        <w:rPr>
          <w:rFonts w:hint="eastAsia" w:ascii="宋体" w:hAnsi="宋体"/>
          <w:szCs w:val="21"/>
        </w:rPr>
        <w:t>6.单位负责人为同一人或者存在直接控股、管理关系的不同投标人，不得参加同一合同项下的政府采购活动。</w:t>
      </w:r>
    </w:p>
    <w:p>
      <w:pPr>
        <w:pStyle w:val="2"/>
        <w:numPr>
          <w:ilvl w:val="0"/>
          <w:numId w:val="0"/>
        </w:numPr>
        <w:spacing w:line="480" w:lineRule="exact"/>
        <w:ind w:left="425"/>
        <w:rPr>
          <w:rFonts w:hint="eastAsia" w:ascii="宋体" w:hAnsi="宋体" w:eastAsia="宋体" w:cs="宋体"/>
          <w:sz w:val="21"/>
          <w:szCs w:val="21"/>
        </w:rPr>
      </w:pPr>
      <w:bookmarkStart w:id="28" w:name="_Toc35393631"/>
      <w:bookmarkStart w:id="29" w:name="_Toc11440"/>
      <w:bookmarkStart w:id="30" w:name="_Toc17483"/>
      <w:bookmarkStart w:id="31" w:name="_Toc13258"/>
      <w:bookmarkStart w:id="32" w:name="_Toc43368451"/>
      <w:bookmarkStart w:id="33" w:name="_Toc19602"/>
      <w:bookmarkStart w:id="34" w:name="_Toc32470"/>
      <w:bookmarkStart w:id="35" w:name="_Toc35393800"/>
      <w:bookmarkStart w:id="36" w:name="_Toc24718"/>
      <w:r>
        <w:rPr>
          <w:rFonts w:hint="eastAsia" w:ascii="宋体" w:hAnsi="宋体" w:eastAsia="宋体" w:cs="宋体"/>
          <w:sz w:val="21"/>
          <w:szCs w:val="21"/>
        </w:rPr>
        <w:t>三、获取招标文件</w:t>
      </w:r>
      <w:bookmarkEnd w:id="26"/>
      <w:bookmarkEnd w:id="27"/>
      <w:bookmarkEnd w:id="28"/>
      <w:bookmarkEnd w:id="29"/>
      <w:bookmarkEnd w:id="30"/>
      <w:bookmarkEnd w:id="31"/>
      <w:bookmarkEnd w:id="32"/>
      <w:bookmarkEnd w:id="33"/>
      <w:bookmarkEnd w:id="34"/>
      <w:bookmarkEnd w:id="35"/>
      <w:bookmarkEnd w:id="36"/>
    </w:p>
    <w:p>
      <w:pPr>
        <w:spacing w:line="360" w:lineRule="auto"/>
        <w:ind w:firstLine="420" w:firstLineChars="200"/>
        <w:rPr>
          <w:rFonts w:hint="eastAsia" w:ascii="宋体" w:hAnsi="宋体"/>
          <w:szCs w:val="21"/>
        </w:rPr>
      </w:pPr>
      <w:bookmarkStart w:id="37" w:name="_Toc28731"/>
      <w:bookmarkStart w:id="38" w:name="_Toc5539"/>
      <w:bookmarkStart w:id="39" w:name="_Toc5950"/>
      <w:r>
        <w:rPr>
          <w:rFonts w:hint="eastAsia" w:ascii="宋体" w:hAnsi="宋体"/>
          <w:szCs w:val="21"/>
        </w:rPr>
        <w:t>1.时间：</w:t>
      </w:r>
      <w:r>
        <w:rPr>
          <w:rFonts w:hint="eastAsia" w:ascii="宋体" w:hAnsi="宋体"/>
          <w:szCs w:val="21"/>
          <w:u w:val="single"/>
        </w:rPr>
        <w:t>2026年</w:t>
      </w:r>
      <w:r>
        <w:rPr>
          <w:rFonts w:hint="eastAsia" w:ascii="宋体" w:hAnsi="宋体"/>
          <w:szCs w:val="21"/>
          <w:u w:val="single"/>
          <w:lang w:val="en-US" w:eastAsia="zh-CN"/>
        </w:rPr>
        <w:t>8</w:t>
      </w:r>
      <w:r>
        <w:rPr>
          <w:rFonts w:hint="eastAsia" w:ascii="宋体" w:hAnsi="宋体"/>
          <w:szCs w:val="21"/>
          <w:u w:val="single"/>
        </w:rPr>
        <w:t>月</w:t>
      </w:r>
      <w:r>
        <w:rPr>
          <w:rFonts w:hint="eastAsia" w:ascii="宋体" w:hAnsi="宋体"/>
          <w:szCs w:val="21"/>
          <w:u w:val="single"/>
          <w:lang w:val="en-US" w:eastAsia="zh-CN"/>
        </w:rPr>
        <w:t>12</w:t>
      </w:r>
      <w:r>
        <w:rPr>
          <w:rFonts w:hint="eastAsia" w:ascii="宋体" w:hAnsi="宋体"/>
          <w:szCs w:val="21"/>
          <w:u w:val="single"/>
        </w:rPr>
        <w:t>日至2026年</w:t>
      </w:r>
      <w:r>
        <w:rPr>
          <w:rFonts w:hint="eastAsia" w:ascii="宋体" w:hAnsi="宋体"/>
          <w:szCs w:val="21"/>
          <w:u w:val="single"/>
          <w:lang w:val="en-US" w:eastAsia="zh-CN"/>
        </w:rPr>
        <w:t>8</w:t>
      </w:r>
      <w:r>
        <w:rPr>
          <w:rFonts w:hint="eastAsia" w:ascii="宋体" w:hAnsi="宋体"/>
          <w:szCs w:val="21"/>
          <w:u w:val="single"/>
        </w:rPr>
        <w:t>月</w:t>
      </w:r>
      <w:r>
        <w:rPr>
          <w:rFonts w:hint="eastAsia" w:ascii="宋体" w:hAnsi="宋体"/>
          <w:szCs w:val="21"/>
          <w:u w:val="single"/>
          <w:lang w:val="en-US" w:eastAsia="zh-CN"/>
        </w:rPr>
        <w:t>19</w:t>
      </w:r>
      <w:r>
        <w:rPr>
          <w:rFonts w:hint="eastAsia" w:ascii="宋体" w:hAnsi="宋体"/>
          <w:szCs w:val="21"/>
          <w:u w:val="single"/>
        </w:rPr>
        <w:t>日23:59（北京时间）。</w:t>
      </w:r>
    </w:p>
    <w:p>
      <w:pPr>
        <w:spacing w:line="360" w:lineRule="auto"/>
        <w:ind w:firstLine="420" w:firstLineChars="200"/>
        <w:rPr>
          <w:rFonts w:hint="eastAsia" w:ascii="宋体" w:hAnsi="宋体"/>
          <w:szCs w:val="21"/>
        </w:rPr>
      </w:pPr>
      <w:r>
        <w:rPr>
          <w:rFonts w:hint="eastAsia" w:ascii="宋体" w:hAnsi="宋体"/>
          <w:szCs w:val="21"/>
        </w:rPr>
        <w:t>2.地点：云南省政府采购电子交易平台（政采云https://www.zcygov.cn/）线上获取。</w:t>
      </w:r>
    </w:p>
    <w:p>
      <w:pPr>
        <w:spacing w:line="360" w:lineRule="auto"/>
        <w:ind w:firstLine="420" w:firstLineChars="200"/>
        <w:rPr>
          <w:rFonts w:hint="eastAsia" w:ascii="宋体" w:hAnsi="宋体"/>
          <w:szCs w:val="21"/>
        </w:rPr>
      </w:pPr>
      <w:r>
        <w:rPr>
          <w:rFonts w:hint="eastAsia" w:ascii="宋体" w:hAnsi="宋体"/>
          <w:szCs w:val="21"/>
        </w:rPr>
        <w:t>3.方式：1.凡有意参加投标者，须在政采云平台办理数字证书（CA），CA申领链接：https://middle.zcygov.cn/ca/apply/list?_app_=zcy.sys，并在政采云绑定数字证书（CA）后在网上获取采购文件及其它采购资料，数字证书（CA）详见其办理流程。</w:t>
      </w:r>
    </w:p>
    <w:p>
      <w:pPr>
        <w:spacing w:line="360" w:lineRule="auto"/>
        <w:ind w:firstLine="420" w:firstLineChars="200"/>
        <w:rPr>
          <w:rFonts w:hint="eastAsia" w:ascii="宋体" w:hAnsi="宋体"/>
          <w:szCs w:val="21"/>
        </w:rPr>
      </w:pPr>
      <w:r>
        <w:rPr>
          <w:rFonts w:hint="eastAsia" w:ascii="宋体" w:hAnsi="宋体"/>
          <w:szCs w:val="21"/>
        </w:rPr>
        <w:t>4.★未按上述要求获取采购文件的投标人不得参与本项目的投标。</w:t>
      </w:r>
    </w:p>
    <w:p>
      <w:pPr>
        <w:spacing w:line="360" w:lineRule="auto"/>
        <w:ind w:firstLine="420" w:firstLineChars="200"/>
        <w:rPr>
          <w:rFonts w:hint="eastAsia" w:ascii="宋体" w:hAnsi="宋体"/>
          <w:szCs w:val="21"/>
        </w:rPr>
      </w:pPr>
      <w:r>
        <w:rPr>
          <w:rFonts w:hint="eastAsia" w:ascii="宋体" w:hAnsi="宋体"/>
          <w:szCs w:val="21"/>
        </w:rPr>
        <w:t>5.售价：免费。</w:t>
      </w:r>
      <w:bookmarkStart w:id="40" w:name="_Toc35393632"/>
      <w:bookmarkStart w:id="41" w:name="_Toc28359092"/>
      <w:bookmarkStart w:id="42" w:name="_Toc28359015"/>
      <w:bookmarkStart w:id="43" w:name="_Toc43368452"/>
      <w:bookmarkStart w:id="44" w:name="_Toc35393801"/>
    </w:p>
    <w:p>
      <w:pPr>
        <w:pStyle w:val="2"/>
        <w:numPr>
          <w:ilvl w:val="0"/>
          <w:numId w:val="0"/>
        </w:numPr>
        <w:ind w:left="425"/>
        <w:rPr>
          <w:rFonts w:hint="eastAsia" w:ascii="宋体" w:hAnsi="宋体" w:eastAsia="宋体" w:cs="宋体"/>
          <w:sz w:val="21"/>
          <w:szCs w:val="21"/>
        </w:rPr>
      </w:pPr>
      <w:bookmarkStart w:id="45" w:name="_Toc16076"/>
      <w:bookmarkStart w:id="46" w:name="_Toc6689"/>
      <w:r>
        <w:rPr>
          <w:rFonts w:hint="eastAsia" w:ascii="宋体" w:hAnsi="宋体" w:eastAsia="宋体" w:cs="宋体"/>
          <w:sz w:val="21"/>
          <w:szCs w:val="21"/>
        </w:rPr>
        <w:t>四、</w:t>
      </w:r>
      <w:bookmarkEnd w:id="40"/>
      <w:bookmarkEnd w:id="41"/>
      <w:bookmarkEnd w:id="42"/>
      <w:bookmarkEnd w:id="43"/>
      <w:bookmarkEnd w:id="44"/>
      <w:r>
        <w:rPr>
          <w:rFonts w:hint="eastAsia" w:ascii="宋体" w:hAnsi="宋体" w:eastAsia="宋体" w:cs="宋体"/>
          <w:sz w:val="21"/>
          <w:szCs w:val="21"/>
        </w:rPr>
        <w:t>电子投标文件提交截止时间</w:t>
      </w:r>
      <w:bookmarkEnd w:id="45"/>
      <w:bookmarkEnd w:id="46"/>
    </w:p>
    <w:p>
      <w:pPr>
        <w:spacing w:line="440" w:lineRule="exact"/>
        <w:ind w:firstLine="420"/>
        <w:rPr>
          <w:rFonts w:hint="eastAsia" w:ascii="宋体" w:hAnsi="宋体"/>
          <w:szCs w:val="21"/>
        </w:rPr>
      </w:pPr>
      <w:r>
        <w:rPr>
          <w:rFonts w:hint="eastAsia" w:ascii="宋体" w:hAnsi="宋体"/>
          <w:szCs w:val="21"/>
        </w:rPr>
        <w:t>1.投标截止时间及开标时间：</w:t>
      </w:r>
      <w:r>
        <w:rPr>
          <w:rFonts w:hint="eastAsia" w:ascii="宋体" w:hAnsi="宋体"/>
          <w:szCs w:val="21"/>
          <w:u w:val="single"/>
        </w:rPr>
        <w:t>2026</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9</w:t>
      </w:r>
      <w:r>
        <w:rPr>
          <w:rFonts w:hint="eastAsia" w:ascii="宋体" w:hAnsi="宋体"/>
          <w:szCs w:val="21"/>
        </w:rPr>
        <w:t>月</w:t>
      </w:r>
      <w:r>
        <w:rPr>
          <w:rFonts w:hint="eastAsia" w:ascii="宋体" w:hAnsi="宋体"/>
          <w:szCs w:val="21"/>
          <w:u w:val="single"/>
          <w:lang w:val="en-US" w:eastAsia="zh-CN"/>
        </w:rPr>
        <w:t>4</w:t>
      </w:r>
      <w:r>
        <w:rPr>
          <w:rFonts w:hint="eastAsia" w:ascii="宋体" w:hAnsi="宋体"/>
          <w:szCs w:val="21"/>
        </w:rPr>
        <w:t>日</w:t>
      </w:r>
      <w:r>
        <w:rPr>
          <w:rFonts w:hint="eastAsia" w:ascii="宋体" w:hAnsi="宋体"/>
          <w:szCs w:val="21"/>
          <w:u w:val="single"/>
        </w:rPr>
        <w:t>09</w:t>
      </w:r>
      <w:r>
        <w:rPr>
          <w:rFonts w:hint="eastAsia" w:ascii="宋体" w:hAnsi="宋体"/>
          <w:szCs w:val="21"/>
        </w:rPr>
        <w:t>时</w:t>
      </w:r>
      <w:r>
        <w:rPr>
          <w:rFonts w:hint="eastAsia" w:ascii="宋体" w:hAnsi="宋体"/>
          <w:szCs w:val="21"/>
          <w:u w:val="single"/>
        </w:rPr>
        <w:t>0</w:t>
      </w:r>
      <w:r>
        <w:rPr>
          <w:rFonts w:hint="eastAsia" w:ascii="宋体" w:hAnsi="宋体"/>
          <w:szCs w:val="21"/>
          <w:u w:val="single"/>
          <w:lang w:val="en-US" w:eastAsia="zh-CN"/>
        </w:rPr>
        <w:t>0</w:t>
      </w:r>
      <w:r>
        <w:rPr>
          <w:rFonts w:hint="eastAsia" w:ascii="宋体" w:hAnsi="宋体"/>
          <w:szCs w:val="21"/>
        </w:rPr>
        <w:t>分（北京时间）。</w:t>
      </w:r>
    </w:p>
    <w:p>
      <w:pPr>
        <w:spacing w:line="440" w:lineRule="exact"/>
        <w:ind w:firstLine="420" w:firstLineChars="200"/>
        <w:rPr>
          <w:rFonts w:hint="eastAsia" w:ascii="宋体" w:hAnsi="宋体"/>
          <w:szCs w:val="21"/>
        </w:rPr>
      </w:pPr>
      <w:r>
        <w:rPr>
          <w:rFonts w:hint="eastAsia" w:ascii="宋体" w:hAnsi="宋体"/>
          <w:szCs w:val="21"/>
        </w:rPr>
        <w:t>2.地点：昆明高新区科发路269号（科发路与科高路交叉口）交易大厦4楼</w:t>
      </w:r>
      <w:r>
        <w:rPr>
          <w:rFonts w:hint="eastAsia"/>
        </w:rPr>
        <w:t>政采开标厅</w:t>
      </w:r>
      <w:r>
        <w:rPr>
          <w:rFonts w:hint="eastAsia" w:ascii="宋体" w:hAnsi="宋体"/>
          <w:szCs w:val="21"/>
        </w:rPr>
        <w:t>（</w:t>
      </w:r>
      <w:r>
        <w:rPr>
          <w:rFonts w:hint="eastAsia" w:ascii="宋体" w:hAnsi="宋体" w:cs="宋体"/>
          <w:bCs/>
          <w:szCs w:val="21"/>
        </w:rPr>
        <w:t>电子开标</w:t>
      </w:r>
      <w:r>
        <w:rPr>
          <w:rFonts w:hint="eastAsia" w:ascii="宋体" w:hAnsi="宋体"/>
          <w:szCs w:val="21"/>
        </w:rPr>
        <w:t>，投标人不需到现场）。</w:t>
      </w:r>
    </w:p>
    <w:p>
      <w:pPr>
        <w:spacing w:line="360" w:lineRule="auto"/>
        <w:ind w:firstLine="420" w:firstLineChars="200"/>
        <w:rPr>
          <w:rFonts w:hint="eastAsia" w:ascii="宋体" w:hAnsi="宋体"/>
          <w:szCs w:val="21"/>
        </w:rPr>
      </w:pPr>
      <w:bookmarkStart w:id="47" w:name="_Toc2153"/>
      <w:bookmarkStart w:id="48" w:name="_Toc43368455"/>
      <w:bookmarkStart w:id="49" w:name="_Toc35393804"/>
      <w:bookmarkStart w:id="50" w:name="_Toc35393635"/>
      <w:r>
        <w:rPr>
          <w:rFonts w:hint="eastAsia" w:ascii="宋体" w:hAnsi="宋体"/>
          <w:szCs w:val="21"/>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pPr>
        <w:spacing w:line="360" w:lineRule="auto"/>
        <w:ind w:firstLine="420" w:firstLineChars="200"/>
        <w:rPr>
          <w:rFonts w:hint="eastAsia" w:ascii="宋体" w:hAnsi="宋体"/>
          <w:szCs w:val="21"/>
        </w:rPr>
      </w:pPr>
      <w:r>
        <w:rPr>
          <w:rFonts w:hint="eastAsia" w:ascii="宋体" w:hAnsi="宋体"/>
          <w:szCs w:val="21"/>
        </w:rPr>
        <w:t>3.1未进行网上注册并办理数字证书（CA 认证）的投标人将无法参与本项目政府采购活动，潜在投标人应尽早完成电子交易平台上的 CA 数字证书办理，并在投标文件提交截止时间前提交投标文件。</w:t>
      </w:r>
    </w:p>
    <w:p>
      <w:pPr>
        <w:spacing w:line="360" w:lineRule="auto"/>
        <w:ind w:firstLine="420" w:firstLineChars="200"/>
        <w:rPr>
          <w:rFonts w:hint="eastAsia" w:ascii="宋体" w:hAnsi="宋体"/>
          <w:szCs w:val="21"/>
        </w:rPr>
      </w:pPr>
      <w:r>
        <w:rPr>
          <w:rFonts w:hint="eastAsia" w:ascii="宋体" w:hAnsi="宋体"/>
          <w:szCs w:val="21"/>
        </w:rPr>
        <w:t>3.2为确保网上操作合法、有效和安全，请投标人确保在电子投标过程中能够对相关文件进行加密和使用电子签章，妥善保管 CA 数字证书并使用有效的 CA 数字证书参与整个采购活动。</w:t>
      </w:r>
    </w:p>
    <w:p>
      <w:pPr>
        <w:spacing w:line="360" w:lineRule="auto"/>
        <w:ind w:firstLine="420" w:firstLineChars="200"/>
        <w:rPr>
          <w:rFonts w:hint="eastAsia" w:ascii="宋体" w:hAnsi="宋体"/>
          <w:szCs w:val="21"/>
        </w:rPr>
      </w:pPr>
      <w:r>
        <w:rPr>
          <w:rFonts w:hint="eastAsia" w:ascii="宋体" w:hAnsi="宋体"/>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szCs w:val="21"/>
        </w:rPr>
        <w:t>。</w:t>
      </w:r>
    </w:p>
    <w:p>
      <w:pPr>
        <w:pStyle w:val="2"/>
        <w:numPr>
          <w:ilvl w:val="0"/>
          <w:numId w:val="0"/>
        </w:numPr>
        <w:tabs>
          <w:tab w:val="clear" w:pos="360"/>
        </w:tabs>
        <w:ind w:left="425"/>
        <w:rPr>
          <w:rFonts w:hint="eastAsia" w:ascii="宋体" w:hAnsi="宋体" w:eastAsia="宋体" w:cs="宋体"/>
          <w:sz w:val="21"/>
          <w:szCs w:val="21"/>
        </w:rPr>
      </w:pPr>
      <w:bookmarkStart w:id="51" w:name="_Toc225264141"/>
      <w:bookmarkStart w:id="52" w:name="_Toc16967"/>
      <w:r>
        <w:rPr>
          <w:rFonts w:hint="eastAsia" w:ascii="宋体" w:hAnsi="宋体" w:eastAsia="宋体" w:cs="宋体"/>
          <w:sz w:val="21"/>
          <w:szCs w:val="21"/>
        </w:rPr>
        <w:t>五、样品递交</w:t>
      </w:r>
      <w:bookmarkEnd w:id="51"/>
      <w:bookmarkEnd w:id="52"/>
    </w:p>
    <w:p>
      <w:pPr>
        <w:spacing w:line="360" w:lineRule="auto"/>
        <w:ind w:firstLine="420" w:firstLineChars="200"/>
        <w:rPr>
          <w:rFonts w:hint="eastAsia" w:ascii="宋体" w:hAnsi="宋体" w:cs="宋体"/>
          <w:szCs w:val="21"/>
        </w:rPr>
      </w:pPr>
      <w:bookmarkStart w:id="53" w:name="_Toc11275"/>
      <w:r>
        <w:rPr>
          <w:rFonts w:hint="eastAsia" w:ascii="宋体" w:hAnsi="宋体" w:cs="宋体"/>
          <w:szCs w:val="21"/>
        </w:rPr>
        <w:t>1.样品递交时间：</w:t>
      </w:r>
      <w:r>
        <w:rPr>
          <w:rFonts w:hint="eastAsia" w:ascii="宋体" w:hAnsi="宋体" w:cs="宋体"/>
          <w:szCs w:val="21"/>
          <w:u w:val="single"/>
        </w:rPr>
        <w:t>2026年</w:t>
      </w:r>
      <w:r>
        <w:rPr>
          <w:rFonts w:hint="eastAsia" w:ascii="宋体" w:hAnsi="宋体" w:cs="宋体"/>
          <w:szCs w:val="21"/>
          <w:u w:val="single"/>
          <w:lang w:val="en-US" w:eastAsia="zh-CN"/>
        </w:rPr>
        <w:t>9</w:t>
      </w:r>
      <w:r>
        <w:rPr>
          <w:rFonts w:hint="eastAsia" w:ascii="宋体" w:hAnsi="宋体" w:cs="宋体"/>
          <w:szCs w:val="21"/>
          <w:u w:val="single"/>
        </w:rPr>
        <w:t>月</w:t>
      </w:r>
      <w:r>
        <w:rPr>
          <w:rFonts w:hint="eastAsia" w:ascii="宋体" w:hAnsi="宋体" w:cs="宋体"/>
          <w:szCs w:val="21"/>
          <w:u w:val="single"/>
          <w:lang w:val="en-US" w:eastAsia="zh-CN"/>
        </w:rPr>
        <w:t>4</w:t>
      </w:r>
      <w:r>
        <w:rPr>
          <w:rFonts w:hint="eastAsia" w:ascii="宋体" w:hAnsi="宋体" w:cs="宋体"/>
          <w:szCs w:val="21"/>
          <w:u w:val="single"/>
        </w:rPr>
        <w:t>日08时30分至09时00分</w:t>
      </w:r>
      <w:r>
        <w:rPr>
          <w:rFonts w:hint="eastAsia" w:ascii="宋体" w:hAnsi="宋体" w:cs="宋体"/>
          <w:szCs w:val="21"/>
        </w:rPr>
        <w:t>，未在规定时间内递交的样品将不予以接收；</w:t>
      </w:r>
    </w:p>
    <w:p>
      <w:pPr>
        <w:spacing w:line="360" w:lineRule="auto"/>
        <w:ind w:firstLine="420" w:firstLineChars="200"/>
        <w:rPr>
          <w:rFonts w:hint="eastAsia" w:ascii="宋体" w:hAnsi="宋体" w:cs="宋体"/>
          <w:szCs w:val="21"/>
        </w:rPr>
      </w:pPr>
      <w:r>
        <w:rPr>
          <w:rFonts w:hint="eastAsia" w:ascii="宋体" w:hAnsi="宋体" w:cs="宋体"/>
          <w:szCs w:val="21"/>
        </w:rPr>
        <w:t>2.样品递交地点：昆明高新区科发路269号（科发路与科高路交叉口）交易大厦4楼403政采开标厅。</w:t>
      </w:r>
    </w:p>
    <w:p>
      <w:pPr>
        <w:spacing w:line="360" w:lineRule="auto"/>
        <w:ind w:firstLine="420" w:firstLineChars="200"/>
        <w:rPr>
          <w:rFonts w:hint="eastAsia" w:ascii="宋体" w:hAnsi="宋体" w:cs="宋体"/>
          <w:szCs w:val="21"/>
        </w:rPr>
      </w:pPr>
      <w:r>
        <w:rPr>
          <w:rFonts w:hint="eastAsia" w:ascii="宋体" w:hAnsi="宋体" w:cs="宋体"/>
          <w:szCs w:val="21"/>
        </w:rPr>
        <w:t>3.样品递交方式：现场递交</w:t>
      </w:r>
    </w:p>
    <w:p>
      <w:pPr>
        <w:spacing w:line="360" w:lineRule="auto"/>
        <w:ind w:firstLine="420" w:firstLineChars="200"/>
        <w:rPr>
          <w:rFonts w:hint="eastAsia" w:ascii="宋体" w:hAnsi="宋体" w:cs="宋体"/>
          <w:szCs w:val="21"/>
        </w:rPr>
      </w:pPr>
      <w:r>
        <w:rPr>
          <w:rFonts w:hint="eastAsia" w:ascii="宋体" w:hAnsi="宋体" w:cs="宋体"/>
          <w:szCs w:val="21"/>
        </w:rPr>
        <w:t>4.样品制作的标准和要求：投标人应按照采购需求及评审标准要求提交样品，样品须按需求参数制作，制作费用由投标人自行承担。投标人递交的样品将供评审小组评审使用，在评审过程中可能对样品产生损坏，采购人及采购代理机构不负赔偿责任，由此产生的风险由投标人承担。</w:t>
      </w:r>
    </w:p>
    <w:p>
      <w:pPr>
        <w:spacing w:line="360" w:lineRule="auto"/>
        <w:ind w:firstLine="420" w:firstLineChars="200"/>
        <w:rPr>
          <w:rFonts w:hint="eastAsia" w:ascii="宋体" w:hAnsi="宋体" w:cs="宋体"/>
          <w:szCs w:val="21"/>
        </w:rPr>
      </w:pPr>
      <w:r>
        <w:rPr>
          <w:rFonts w:hint="eastAsia" w:ascii="宋体" w:hAnsi="宋体" w:cs="宋体"/>
          <w:szCs w:val="21"/>
        </w:rPr>
        <w:t>5.样品的密封和标记：样品要装入箱（或袋）中密封递交，外包装应当注明采购项目名称、采购项目编号和“在（招标文件中规定的电子投标文件提交截止时间）之前不得启封”的字样，封口处应加盖投标人公章。每个样品不得标记任何投标人相关信息（包含但不限于公司名称、品牌、logo等）。</w:t>
      </w:r>
    </w:p>
    <w:p>
      <w:pPr>
        <w:spacing w:line="360" w:lineRule="auto"/>
        <w:ind w:firstLine="420" w:firstLineChars="200"/>
        <w:rPr>
          <w:rFonts w:hint="eastAsia" w:ascii="宋体" w:hAnsi="宋体" w:cs="宋体"/>
          <w:szCs w:val="21"/>
        </w:rPr>
      </w:pPr>
      <w:r>
        <w:rPr>
          <w:rFonts w:hint="eastAsia" w:ascii="宋体" w:hAnsi="宋体" w:cs="宋体"/>
          <w:szCs w:val="21"/>
        </w:rPr>
        <w:t>6.样品退还：采购活动结束后，</w:t>
      </w:r>
      <w:r>
        <w:rPr>
          <w:rFonts w:hint="eastAsia" w:ascii="宋体" w:hAnsi="宋体" w:cs="宋体"/>
          <w:szCs w:val="21"/>
          <w:lang w:val="en-US" w:eastAsia="zh-CN"/>
        </w:rPr>
        <w:t>所有样品由采购人带回。</w:t>
      </w:r>
      <w:r>
        <w:rPr>
          <w:rFonts w:hint="eastAsia" w:ascii="宋体" w:hAnsi="宋体" w:cs="宋体"/>
          <w:szCs w:val="21"/>
        </w:rPr>
        <w:t>对于未中标人提供的样品，在项目中标公告发布后8个工作日内由采购人通知投标人取回，采购人在通知未中标的投标人领取投标样品后5个工作日而未领取的，采购人有权自行处置未中标的投标人样品；对于中标人提供的样品，采购人将进行保管、封存，并作为履约验收的参考。</w:t>
      </w:r>
    </w:p>
    <w:p>
      <w:pPr>
        <w:pStyle w:val="2"/>
        <w:numPr>
          <w:ilvl w:val="0"/>
          <w:numId w:val="0"/>
        </w:numPr>
        <w:ind w:left="425"/>
        <w:rPr>
          <w:rFonts w:hint="eastAsia" w:ascii="宋体" w:hAnsi="宋体" w:eastAsia="宋体" w:cs="宋体"/>
          <w:sz w:val="21"/>
          <w:szCs w:val="21"/>
        </w:rPr>
      </w:pPr>
      <w:bookmarkStart w:id="54" w:name="_Toc8549"/>
      <w:r>
        <w:rPr>
          <w:rFonts w:hint="eastAsia" w:ascii="宋体" w:hAnsi="宋体" w:eastAsia="宋体" w:cs="宋体"/>
          <w:sz w:val="21"/>
          <w:szCs w:val="21"/>
        </w:rPr>
        <w:t>六、</w:t>
      </w:r>
      <w:bookmarkStart w:id="55" w:name="_Toc35393803"/>
      <w:bookmarkStart w:id="56" w:name="_Toc28359017"/>
      <w:bookmarkStart w:id="57" w:name="_Toc43368454"/>
      <w:bookmarkStart w:id="58" w:name="_Toc35393634"/>
      <w:bookmarkStart w:id="59" w:name="_Toc28359094"/>
      <w:r>
        <w:rPr>
          <w:rFonts w:hint="eastAsia" w:ascii="宋体" w:hAnsi="宋体" w:eastAsia="宋体" w:cs="宋体"/>
          <w:sz w:val="21"/>
          <w:szCs w:val="21"/>
        </w:rPr>
        <w:t>公告期限</w:t>
      </w:r>
      <w:bookmarkEnd w:id="47"/>
      <w:bookmarkEnd w:id="53"/>
      <w:bookmarkEnd w:id="54"/>
      <w:bookmarkEnd w:id="55"/>
      <w:bookmarkEnd w:id="56"/>
      <w:bookmarkEnd w:id="57"/>
      <w:bookmarkEnd w:id="58"/>
      <w:bookmarkEnd w:id="59"/>
    </w:p>
    <w:p>
      <w:pPr>
        <w:pStyle w:val="15"/>
        <w:ind w:left="0" w:leftChars="0" w:firstLine="404"/>
      </w:pPr>
      <w:r>
        <w:rPr>
          <w:rFonts w:hint="eastAsia" w:hAnsi="宋体"/>
          <w:szCs w:val="21"/>
        </w:rPr>
        <w:t>自本公告发布之日起5个工作日。</w:t>
      </w:r>
    </w:p>
    <w:p>
      <w:pPr>
        <w:pStyle w:val="2"/>
        <w:numPr>
          <w:ilvl w:val="0"/>
          <w:numId w:val="0"/>
        </w:numPr>
        <w:ind w:left="425"/>
        <w:rPr>
          <w:rFonts w:hint="eastAsia" w:ascii="宋体" w:hAnsi="宋体" w:eastAsia="宋体" w:cs="宋体"/>
          <w:sz w:val="21"/>
          <w:szCs w:val="21"/>
        </w:rPr>
      </w:pPr>
      <w:bookmarkStart w:id="60" w:name="_Toc17836"/>
      <w:bookmarkStart w:id="61" w:name="_Toc21013"/>
      <w:r>
        <w:rPr>
          <w:rFonts w:hint="eastAsia" w:ascii="宋体" w:hAnsi="宋体" w:eastAsia="宋体" w:cs="宋体"/>
          <w:sz w:val="21"/>
          <w:szCs w:val="21"/>
        </w:rPr>
        <w:t>七、其他补充事宜</w:t>
      </w:r>
      <w:bookmarkEnd w:id="48"/>
      <w:bookmarkEnd w:id="49"/>
      <w:bookmarkEnd w:id="50"/>
      <w:bookmarkEnd w:id="60"/>
      <w:bookmarkEnd w:id="61"/>
    </w:p>
    <w:p>
      <w:pPr>
        <w:spacing w:line="360" w:lineRule="auto"/>
        <w:ind w:firstLine="420" w:firstLineChars="200"/>
        <w:rPr>
          <w:rFonts w:hint="eastAsia" w:ascii="宋体" w:hAnsi="宋体" w:cs="宋体"/>
          <w:bCs/>
          <w:szCs w:val="21"/>
        </w:rPr>
      </w:pPr>
      <w:bookmarkStart w:id="62" w:name="OLE_LINK11"/>
      <w:bookmarkStart w:id="63" w:name="_Toc43368456"/>
      <w:bookmarkStart w:id="64" w:name="_Toc28359018"/>
      <w:bookmarkStart w:id="65" w:name="_Toc35393805"/>
      <w:bookmarkStart w:id="66" w:name="_Toc35393636"/>
      <w:bookmarkStart w:id="67" w:name="_Toc28359095"/>
      <w:r>
        <w:rPr>
          <w:rFonts w:hint="eastAsia" w:ascii="宋体" w:hAnsi="宋体" w:cs="宋体"/>
          <w:bCs/>
          <w:szCs w:val="21"/>
        </w:rPr>
        <w:t>1.采购信息发布媒体：采购信息、中标公告均在云南省政府采购网（www.yngp.com）发布。</w:t>
      </w:r>
    </w:p>
    <w:p>
      <w:pPr>
        <w:spacing w:line="360" w:lineRule="auto"/>
        <w:ind w:firstLine="420" w:firstLineChars="200"/>
      </w:pPr>
      <w:r>
        <w:rPr>
          <w:rFonts w:hint="eastAsia"/>
        </w:rPr>
        <w:t>2.本项目需要落实的政府采购政策：无。</w:t>
      </w:r>
    </w:p>
    <w:p>
      <w:pPr>
        <w:spacing w:line="360" w:lineRule="auto"/>
        <w:ind w:firstLine="420" w:firstLineChars="200"/>
      </w:pPr>
      <w:r>
        <w:rPr>
          <w:rFonts w:hint="eastAsia"/>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pPr>
        <w:spacing w:line="360" w:lineRule="auto"/>
        <w:ind w:firstLine="420" w:firstLineChars="200"/>
      </w:pPr>
      <w:r>
        <w:rPr>
          <w:rFonts w:hint="eastAsia"/>
        </w:rPr>
        <w:t xml:space="preserve">CA数字证书服务热线 </w:t>
      </w:r>
    </w:p>
    <w:p>
      <w:pPr>
        <w:spacing w:line="360" w:lineRule="auto"/>
        <w:ind w:firstLine="420" w:firstLineChars="200"/>
      </w:pPr>
      <w:r>
        <w:rPr>
          <w:rFonts w:hint="eastAsia"/>
        </w:rPr>
        <w:t>汇信CA：0571-88350735</w:t>
      </w:r>
    </w:p>
    <w:p>
      <w:pPr>
        <w:spacing w:line="360" w:lineRule="auto"/>
        <w:ind w:firstLine="420" w:firstLineChars="200"/>
      </w:pPr>
      <w:r>
        <w:rPr>
          <w:rFonts w:hint="eastAsia"/>
        </w:rPr>
        <w:t>云南CA：4006727666</w:t>
      </w:r>
    </w:p>
    <w:p>
      <w:pPr>
        <w:spacing w:line="360" w:lineRule="auto"/>
        <w:ind w:firstLine="420" w:firstLineChars="200"/>
      </w:pPr>
      <w:r>
        <w:rPr>
          <w:rFonts w:hint="eastAsia"/>
        </w:rPr>
        <w:t>云南壹证通：4000040628</w:t>
      </w:r>
    </w:p>
    <w:p>
      <w:pPr>
        <w:spacing w:line="360" w:lineRule="auto"/>
        <w:ind w:firstLine="420" w:firstLineChars="200"/>
      </w:pPr>
      <w:r>
        <w:rPr>
          <w:rFonts w:hint="eastAsia"/>
        </w:rPr>
        <w:t>福建CA：0591-87760022</w:t>
      </w:r>
    </w:p>
    <w:p>
      <w:pPr>
        <w:spacing w:line="360" w:lineRule="auto"/>
        <w:ind w:firstLine="420" w:firstLineChars="200"/>
      </w:pPr>
      <w:r>
        <w:rPr>
          <w:rFonts w:hint="eastAsia"/>
        </w:rPr>
        <w:t xml:space="preserve">3.1 办理 CA 数字证书：投标人登录云南省省级政府采购电子交易平台查阅操作指南—入驻与配置—CA管理。使用操作指南，按照程序要求办理。 </w:t>
      </w:r>
    </w:p>
    <w:p>
      <w:pPr>
        <w:spacing w:line="360" w:lineRule="auto"/>
        <w:ind w:firstLine="420" w:firstLineChars="200"/>
      </w:pPr>
      <w:r>
        <w:rPr>
          <w:rFonts w:hint="eastAsia"/>
        </w:rPr>
        <w:t xml:space="preserve">3.2 注册：投标人登录云南省省级政府采购电子交易平台操作指南—入驻与配置—云南省供应商注册入驻与配置。注册入库操作流程指引进行自助注册绑定。 </w:t>
      </w:r>
    </w:p>
    <w:p>
      <w:pPr>
        <w:wordWrap w:val="0"/>
        <w:spacing w:line="360" w:lineRule="auto"/>
        <w:ind w:firstLine="420" w:firstLineChars="200"/>
        <w:jc w:val="left"/>
      </w:pPr>
      <w:r>
        <w:rPr>
          <w:rFonts w:hint="eastAsia"/>
        </w:rPr>
        <w:t>3.3 驱动、客户端下载：投标人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pPr>
        <w:spacing w:line="360" w:lineRule="auto"/>
        <w:ind w:firstLine="420" w:firstLineChars="200"/>
      </w:pPr>
      <w:r>
        <w:rPr>
          <w:rFonts w:hint="eastAsia"/>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pPr>
        <w:spacing w:line="360" w:lineRule="auto"/>
        <w:ind w:firstLine="420" w:firstLineChars="200"/>
      </w:pPr>
      <w:r>
        <w:rPr>
          <w:rFonts w:hint="eastAsia"/>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pPr>
        <w:spacing w:line="360" w:lineRule="auto"/>
        <w:ind w:firstLine="420" w:firstLineChars="200"/>
      </w:pPr>
      <w:r>
        <w:rPr>
          <w:rFonts w:hint="eastAsia"/>
        </w:rPr>
        <w:t xml:space="preserve">3.6 提交电子投标文件：投标人应于投标截止时间前在政府采购电子交易平台提交电子投标文件，上传电子投标文件过程中请保持与互联网的连接畅通。 </w:t>
      </w:r>
    </w:p>
    <w:p>
      <w:pPr>
        <w:spacing w:line="360" w:lineRule="auto"/>
        <w:ind w:firstLine="420" w:firstLineChars="200"/>
      </w:pPr>
      <w:r>
        <w:rPr>
          <w:rFonts w:hint="eastAsia"/>
        </w:rPr>
        <w:t>3.7 电子开标：投标人使用账号密码或 CA 数字证书登录云南省省级政府采购电子交易平台进行电子开标，投标人须按规定时间</w:t>
      </w:r>
      <w:r>
        <w:rPr>
          <w:rFonts w:hint="eastAsia"/>
          <w:b/>
          <w:bCs/>
        </w:rPr>
        <w:t>（30分钟内）</w:t>
      </w:r>
      <w:r>
        <w:rPr>
          <w:rFonts w:hint="eastAsia"/>
        </w:rPr>
        <w:t>对加密的投标文件进行解密，否则后果自负。</w:t>
      </w:r>
    </w:p>
    <w:bookmarkEnd w:id="62"/>
    <w:p>
      <w:pPr>
        <w:pStyle w:val="2"/>
        <w:numPr>
          <w:ilvl w:val="0"/>
          <w:numId w:val="0"/>
        </w:numPr>
        <w:ind w:left="425"/>
        <w:rPr>
          <w:rFonts w:hint="eastAsia" w:ascii="宋体" w:hAnsi="宋体" w:eastAsia="宋体" w:cs="宋体"/>
          <w:sz w:val="21"/>
          <w:szCs w:val="21"/>
        </w:rPr>
      </w:pPr>
      <w:bookmarkStart w:id="68" w:name="_Toc28319"/>
      <w:bookmarkStart w:id="69" w:name="_Toc2751"/>
      <w:r>
        <w:rPr>
          <w:rFonts w:hint="eastAsia" w:ascii="宋体" w:hAnsi="宋体" w:eastAsia="宋体" w:cs="宋体"/>
          <w:sz w:val="21"/>
          <w:szCs w:val="21"/>
        </w:rPr>
        <w:t>八、凡对本次采购提出询问，请按以下方式联系</w:t>
      </w:r>
      <w:bookmarkEnd w:id="63"/>
      <w:bookmarkEnd w:id="64"/>
      <w:bookmarkEnd w:id="65"/>
      <w:bookmarkEnd w:id="66"/>
      <w:bookmarkEnd w:id="67"/>
      <w:bookmarkEnd w:id="68"/>
      <w:bookmarkEnd w:id="69"/>
    </w:p>
    <w:p>
      <w:pPr>
        <w:ind w:firstLine="420" w:firstLineChars="200"/>
        <w:rPr>
          <w:rFonts w:hint="eastAsia" w:ascii="宋体" w:hAnsi="宋体" w:cs="宋体"/>
          <w:b/>
          <w:szCs w:val="21"/>
        </w:rPr>
      </w:pPr>
      <w:bookmarkStart w:id="70" w:name="_Toc28359019"/>
      <w:bookmarkStart w:id="71" w:name="_Toc35393637"/>
      <w:bookmarkStart w:id="72" w:name="_Toc28359096"/>
      <w:bookmarkStart w:id="73" w:name="_Toc35393806"/>
      <w:r>
        <w:rPr>
          <w:rFonts w:hint="eastAsia" w:ascii="宋体" w:hAnsi="宋体" w:cs="宋体"/>
          <w:b/>
          <w:szCs w:val="21"/>
        </w:rPr>
        <w:t>1.采购人信息</w:t>
      </w:r>
      <w:bookmarkEnd w:id="70"/>
      <w:bookmarkEnd w:id="71"/>
      <w:bookmarkEnd w:id="72"/>
      <w:bookmarkEnd w:id="73"/>
    </w:p>
    <w:p>
      <w:pPr>
        <w:spacing w:line="360" w:lineRule="auto"/>
        <w:ind w:firstLine="420"/>
        <w:rPr>
          <w:rFonts w:hint="eastAsia" w:ascii="宋体" w:hAnsi="宋体"/>
          <w:szCs w:val="21"/>
        </w:rPr>
      </w:pPr>
      <w:r>
        <w:rPr>
          <w:rFonts w:hint="eastAsia" w:ascii="宋体" w:hAnsi="宋体"/>
          <w:szCs w:val="21"/>
        </w:rPr>
        <w:t>名    称：</w:t>
      </w:r>
      <w:bookmarkStart w:id="74" w:name="_Toc28359020"/>
      <w:bookmarkStart w:id="75" w:name="_Toc35393638"/>
      <w:bookmarkStart w:id="76" w:name="_Toc35393807"/>
      <w:bookmarkStart w:id="77" w:name="_Toc28359097"/>
      <w:r>
        <w:rPr>
          <w:rFonts w:hint="eastAsia" w:ascii="宋体" w:hAnsi="宋体"/>
          <w:szCs w:val="21"/>
        </w:rPr>
        <w:t>昆明理工大学</w:t>
      </w:r>
    </w:p>
    <w:p>
      <w:pPr>
        <w:spacing w:line="360" w:lineRule="auto"/>
        <w:ind w:firstLine="420"/>
        <w:rPr>
          <w:rFonts w:hint="eastAsia" w:ascii="宋体" w:hAnsi="宋体"/>
          <w:szCs w:val="21"/>
        </w:rPr>
      </w:pPr>
      <w:r>
        <w:rPr>
          <w:rFonts w:hint="eastAsia" w:ascii="宋体" w:hAnsi="宋体"/>
          <w:szCs w:val="21"/>
        </w:rPr>
        <w:t>地    址：昆明市一二一大街文昌路68号</w:t>
      </w:r>
    </w:p>
    <w:p>
      <w:pPr>
        <w:spacing w:line="360" w:lineRule="auto"/>
        <w:ind w:firstLine="420"/>
        <w:rPr>
          <w:rFonts w:hint="eastAsia" w:ascii="宋体" w:hAnsi="宋体"/>
          <w:szCs w:val="21"/>
        </w:rPr>
      </w:pPr>
      <w:r>
        <w:rPr>
          <w:rFonts w:hint="eastAsia" w:ascii="宋体" w:hAnsi="宋体"/>
          <w:szCs w:val="21"/>
        </w:rPr>
        <w:t>联 系 人：李静</w:t>
      </w:r>
    </w:p>
    <w:p>
      <w:pPr>
        <w:spacing w:line="360" w:lineRule="auto"/>
        <w:ind w:firstLine="420"/>
        <w:rPr>
          <w:rFonts w:hint="eastAsia" w:ascii="宋体" w:hAnsi="宋体"/>
          <w:szCs w:val="21"/>
        </w:rPr>
      </w:pPr>
      <w:r>
        <w:rPr>
          <w:rFonts w:hint="eastAsia" w:ascii="宋体" w:hAnsi="宋体"/>
          <w:szCs w:val="21"/>
        </w:rPr>
        <w:t>联系方式：0871-65944936</w:t>
      </w:r>
    </w:p>
    <w:p>
      <w:pPr>
        <w:ind w:firstLine="420" w:firstLineChars="200"/>
        <w:rPr>
          <w:rFonts w:hint="eastAsia" w:ascii="宋体" w:hAnsi="宋体" w:cs="宋体"/>
          <w:b/>
          <w:szCs w:val="21"/>
        </w:rPr>
      </w:pPr>
      <w:r>
        <w:rPr>
          <w:rFonts w:hint="eastAsia" w:ascii="宋体" w:hAnsi="宋体" w:cs="宋体"/>
          <w:b/>
          <w:szCs w:val="21"/>
        </w:rPr>
        <w:t>2.采购代理机构信息</w:t>
      </w:r>
      <w:bookmarkEnd w:id="74"/>
      <w:bookmarkEnd w:id="75"/>
      <w:bookmarkEnd w:id="76"/>
      <w:bookmarkEnd w:id="77"/>
    </w:p>
    <w:p>
      <w:pPr>
        <w:spacing w:line="360" w:lineRule="auto"/>
        <w:ind w:firstLine="420"/>
        <w:rPr>
          <w:rFonts w:hint="eastAsia" w:ascii="宋体" w:hAnsi="宋体"/>
          <w:szCs w:val="21"/>
        </w:rPr>
      </w:pPr>
      <w:r>
        <w:rPr>
          <w:rFonts w:hint="eastAsia" w:ascii="宋体" w:hAnsi="宋体"/>
          <w:szCs w:val="21"/>
        </w:rPr>
        <w:t>名    称：云南省政府采购和出让中心</w:t>
      </w:r>
    </w:p>
    <w:p>
      <w:pPr>
        <w:spacing w:line="360" w:lineRule="auto"/>
        <w:ind w:firstLine="420"/>
        <w:rPr>
          <w:rFonts w:hint="eastAsia" w:ascii="宋体" w:hAnsi="宋体"/>
          <w:szCs w:val="21"/>
        </w:rPr>
      </w:pPr>
      <w:r>
        <w:rPr>
          <w:rFonts w:hint="eastAsia" w:ascii="宋体" w:hAnsi="宋体"/>
          <w:szCs w:val="21"/>
        </w:rPr>
        <w:t>地    址：昆明高新区科发路269号交易大厦六楼</w:t>
      </w:r>
    </w:p>
    <w:p>
      <w:pPr>
        <w:spacing w:line="360" w:lineRule="auto"/>
        <w:ind w:firstLine="420"/>
        <w:rPr>
          <w:rFonts w:hint="default" w:ascii="宋体" w:hAnsi="宋体" w:eastAsia="宋体"/>
          <w:szCs w:val="21"/>
          <w:lang w:val="en-US" w:eastAsia="zh-CN"/>
        </w:rPr>
      </w:pPr>
      <w:r>
        <w:rPr>
          <w:rFonts w:hint="eastAsia" w:ascii="宋体" w:hAnsi="宋体"/>
          <w:szCs w:val="21"/>
        </w:rPr>
        <w:t>联系方式：</w:t>
      </w:r>
      <w:r>
        <w:rPr>
          <w:rFonts w:hint="eastAsia" w:ascii="宋体" w:hAnsi="宋体"/>
          <w:bCs/>
          <w:szCs w:val="21"/>
        </w:rPr>
        <w:t>0871-</w:t>
      </w:r>
      <w:r>
        <w:rPr>
          <w:rFonts w:hint="eastAsia" w:ascii="宋体" w:hAnsi="宋体"/>
          <w:bCs/>
          <w:szCs w:val="21"/>
          <w:lang w:val="en-US" w:eastAsia="zh-CN"/>
        </w:rPr>
        <w:t>63619794</w:t>
      </w:r>
    </w:p>
    <w:p>
      <w:pPr>
        <w:spacing w:line="360" w:lineRule="auto"/>
        <w:ind w:firstLine="420"/>
      </w:pPr>
      <w:r>
        <w:rPr>
          <w:rFonts w:hint="eastAsia" w:ascii="宋体" w:hAnsi="宋体"/>
          <w:szCs w:val="21"/>
        </w:rPr>
        <w:t>邮政编码：650106</w:t>
      </w:r>
      <w:bookmarkStart w:id="78" w:name="_Toc35393639"/>
      <w:bookmarkStart w:id="79" w:name="_Toc28359021"/>
      <w:bookmarkStart w:id="80" w:name="_Toc28359098"/>
      <w:bookmarkStart w:id="81" w:name="_Toc35393808"/>
    </w:p>
    <w:p>
      <w:pPr>
        <w:ind w:firstLine="420" w:firstLineChars="200"/>
        <w:rPr>
          <w:rFonts w:hint="eastAsia" w:ascii="宋体" w:hAnsi="宋体" w:cs="宋体"/>
          <w:b/>
          <w:szCs w:val="21"/>
        </w:rPr>
      </w:pPr>
      <w:r>
        <w:rPr>
          <w:rFonts w:hint="eastAsia" w:ascii="宋体" w:hAnsi="宋体" w:cs="宋体"/>
          <w:b/>
          <w:szCs w:val="21"/>
        </w:rPr>
        <w:t>3.项目联系方式</w:t>
      </w:r>
      <w:bookmarkEnd w:id="78"/>
      <w:bookmarkEnd w:id="79"/>
      <w:bookmarkEnd w:id="80"/>
      <w:bookmarkEnd w:id="81"/>
    </w:p>
    <w:p>
      <w:pPr>
        <w:spacing w:line="360" w:lineRule="auto"/>
        <w:ind w:firstLine="420"/>
        <w:rPr>
          <w:rFonts w:hint="eastAsia" w:ascii="宋体" w:hAnsi="宋体" w:eastAsia="宋体"/>
          <w:szCs w:val="21"/>
          <w:lang w:val="en-US" w:eastAsia="zh-CN"/>
        </w:rPr>
      </w:pPr>
      <w:r>
        <w:rPr>
          <w:rFonts w:hint="eastAsia" w:ascii="宋体" w:hAnsi="宋体"/>
          <w:szCs w:val="21"/>
        </w:rPr>
        <w:t>项目联系人：</w:t>
      </w:r>
      <w:r>
        <w:rPr>
          <w:rFonts w:hint="eastAsia" w:ascii="宋体" w:hAnsi="宋体"/>
          <w:szCs w:val="21"/>
          <w:lang w:val="en-US" w:eastAsia="zh-CN"/>
        </w:rPr>
        <w:t>杨杰</w:t>
      </w:r>
    </w:p>
    <w:p>
      <w:pPr>
        <w:spacing w:line="360" w:lineRule="auto"/>
        <w:ind w:firstLine="420"/>
        <w:rPr>
          <w:rFonts w:hint="default" w:ascii="宋体" w:hAnsi="宋体" w:eastAsia="宋体"/>
          <w:szCs w:val="21"/>
          <w:lang w:val="en-US" w:eastAsia="zh-CN"/>
        </w:rPr>
      </w:pPr>
      <w:r>
        <w:rPr>
          <w:rFonts w:hint="eastAsia" w:ascii="宋体" w:hAnsi="宋体"/>
          <w:szCs w:val="21"/>
        </w:rPr>
        <w:t>电      话：</w:t>
      </w:r>
      <w:r>
        <w:rPr>
          <w:rFonts w:hint="eastAsia" w:ascii="宋体" w:hAnsi="宋体"/>
          <w:bCs/>
          <w:szCs w:val="21"/>
        </w:rPr>
        <w:t>0871-</w:t>
      </w:r>
      <w:r>
        <w:rPr>
          <w:rFonts w:hint="eastAsia" w:ascii="宋体" w:hAnsi="宋体"/>
          <w:bCs/>
          <w:szCs w:val="21"/>
          <w:lang w:val="en-US" w:eastAsia="zh-CN"/>
        </w:rPr>
        <w:t>63619794</w:t>
      </w:r>
    </w:p>
    <w:p>
      <w:pPr>
        <w:widowControl/>
        <w:jc w:val="right"/>
        <w:rPr>
          <w:rFonts w:hint="eastAsia" w:ascii="宋体" w:hAnsi="宋体"/>
          <w:szCs w:val="21"/>
        </w:rPr>
      </w:pPr>
      <w:r>
        <w:rPr>
          <w:rFonts w:hint="eastAsia" w:ascii="宋体" w:hAnsi="宋体"/>
          <w:szCs w:val="21"/>
          <w:u w:val="single"/>
        </w:rPr>
        <w:t>2026</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 xml:space="preserve">8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 xml:space="preserve">12 </w:t>
      </w:r>
      <w:r>
        <w:rPr>
          <w:rFonts w:hint="eastAsia" w:ascii="宋体" w:hAnsi="宋体"/>
          <w:szCs w:val="21"/>
        </w:rPr>
        <w:t>日</w:t>
      </w:r>
    </w:p>
    <w:p>
      <w:pPr>
        <w:widowControl/>
        <w:jc w:val="right"/>
        <w:rPr>
          <w:rFonts w:hint="eastAsia" w:ascii="宋体" w:hAnsi="宋体"/>
          <w:szCs w:val="21"/>
        </w:rPr>
      </w:pPr>
      <w:r>
        <w:rPr>
          <w:rFonts w:hint="eastAsia" w:ascii="宋体" w:hAnsi="宋体"/>
          <w:szCs w:val="21"/>
        </w:rPr>
        <w:br w:type="page"/>
      </w:r>
    </w:p>
    <w:p>
      <w:pPr>
        <w:pStyle w:val="3"/>
        <w:numPr>
          <w:ilvl w:val="0"/>
          <w:numId w:val="0"/>
        </w:numPr>
        <w:spacing w:before="0"/>
        <w:jc w:val="center"/>
        <w:rPr>
          <w:rFonts w:ascii="黑体"/>
          <w:sz w:val="32"/>
          <w:szCs w:val="32"/>
        </w:rPr>
      </w:pPr>
      <w:bookmarkStart w:id="82" w:name="_Toc10817"/>
      <w:r>
        <w:rPr>
          <w:rFonts w:hint="eastAsia" w:ascii="黑体"/>
          <w:sz w:val="32"/>
          <w:szCs w:val="32"/>
        </w:rPr>
        <w:t>第二章  投标人须知</w:t>
      </w:r>
      <w:bookmarkEnd w:id="37"/>
      <w:bookmarkEnd w:id="38"/>
      <w:bookmarkEnd w:id="39"/>
      <w:bookmarkEnd w:id="82"/>
    </w:p>
    <w:p>
      <w:pPr>
        <w:pStyle w:val="2"/>
        <w:numPr>
          <w:ilvl w:val="0"/>
          <w:numId w:val="0"/>
        </w:numPr>
        <w:spacing w:before="0"/>
        <w:jc w:val="center"/>
        <w:rPr>
          <w:rFonts w:ascii="黑体"/>
          <w:szCs w:val="28"/>
        </w:rPr>
      </w:pPr>
      <w:bookmarkStart w:id="83" w:name="_Toc17140"/>
      <w:bookmarkStart w:id="84" w:name="_Toc3516"/>
      <w:bookmarkStart w:id="85" w:name="_Toc12263"/>
      <w:bookmarkStart w:id="86" w:name="_Toc24486"/>
      <w:r>
        <w:rPr>
          <w:rFonts w:hint="eastAsia" w:ascii="黑体"/>
          <w:szCs w:val="28"/>
        </w:rPr>
        <w:t>投标人须知前附表</w:t>
      </w:r>
      <w:bookmarkEnd w:id="83"/>
      <w:bookmarkEnd w:id="84"/>
      <w:bookmarkEnd w:id="85"/>
      <w:bookmarkEnd w:id="86"/>
    </w:p>
    <w:tbl>
      <w:tblPr>
        <w:tblStyle w:val="38"/>
        <w:tblW w:w="96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851"/>
        <w:gridCol w:w="2551"/>
        <w:gridCol w:w="5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jc w:val="center"/>
        </w:trPr>
        <w:tc>
          <w:tcPr>
            <w:tcW w:w="1582" w:type="dxa"/>
            <w:gridSpan w:val="2"/>
            <w:vAlign w:val="center"/>
          </w:tcPr>
          <w:p>
            <w:pPr>
              <w:pStyle w:val="19"/>
              <w:spacing w:line="276" w:lineRule="auto"/>
              <w:jc w:val="center"/>
              <w:rPr>
                <w:b/>
                <w:sz w:val="24"/>
                <w:szCs w:val="24"/>
              </w:rPr>
            </w:pPr>
            <w:r>
              <w:rPr>
                <w:rFonts w:hint="eastAsia"/>
                <w:b/>
                <w:sz w:val="24"/>
                <w:szCs w:val="24"/>
              </w:rPr>
              <w:t>条款号</w:t>
            </w:r>
          </w:p>
        </w:tc>
        <w:tc>
          <w:tcPr>
            <w:tcW w:w="2551" w:type="dxa"/>
            <w:vAlign w:val="center"/>
          </w:tcPr>
          <w:p>
            <w:pPr>
              <w:pStyle w:val="19"/>
              <w:spacing w:line="276" w:lineRule="auto"/>
              <w:jc w:val="center"/>
              <w:rPr>
                <w:b/>
                <w:sz w:val="24"/>
                <w:szCs w:val="24"/>
              </w:rPr>
            </w:pPr>
            <w:r>
              <w:rPr>
                <w:rFonts w:hint="eastAsia"/>
                <w:b/>
                <w:sz w:val="24"/>
                <w:szCs w:val="24"/>
              </w:rPr>
              <w:t>条 款 名 称</w:t>
            </w:r>
          </w:p>
        </w:tc>
        <w:tc>
          <w:tcPr>
            <w:tcW w:w="5548" w:type="dxa"/>
            <w:vAlign w:val="center"/>
          </w:tcPr>
          <w:p>
            <w:pPr>
              <w:pStyle w:val="19"/>
              <w:spacing w:line="276" w:lineRule="auto"/>
              <w:jc w:val="center"/>
              <w:rPr>
                <w:b/>
                <w:sz w:val="24"/>
                <w:szCs w:val="24"/>
              </w:rPr>
            </w:pPr>
            <w:r>
              <w:rPr>
                <w:rFonts w:hint="eastAsia"/>
                <w:b/>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1582" w:type="dxa"/>
            <w:gridSpan w:val="2"/>
            <w:vMerge w:val="restart"/>
            <w:vAlign w:val="center"/>
          </w:tcPr>
          <w:p>
            <w:pPr>
              <w:pStyle w:val="19"/>
              <w:spacing w:line="276" w:lineRule="auto"/>
              <w:jc w:val="center"/>
              <w:rPr>
                <w:szCs w:val="21"/>
              </w:rPr>
            </w:pPr>
            <w:r>
              <w:rPr>
                <w:rFonts w:hint="eastAsia"/>
                <w:szCs w:val="21"/>
              </w:rPr>
              <w:t>1.2</w:t>
            </w:r>
          </w:p>
        </w:tc>
        <w:tc>
          <w:tcPr>
            <w:tcW w:w="2551" w:type="dxa"/>
            <w:vAlign w:val="center"/>
          </w:tcPr>
          <w:p>
            <w:pPr>
              <w:pStyle w:val="19"/>
              <w:spacing w:line="276" w:lineRule="auto"/>
              <w:rPr>
                <w:szCs w:val="21"/>
                <w:u w:val="single"/>
              </w:rPr>
            </w:pPr>
            <w:r>
              <w:rPr>
                <w:rFonts w:hint="eastAsia"/>
                <w:bCs/>
                <w:szCs w:val="21"/>
              </w:rPr>
              <w:t>采购人</w:t>
            </w:r>
          </w:p>
        </w:tc>
        <w:tc>
          <w:tcPr>
            <w:tcW w:w="5548" w:type="dxa"/>
            <w:vAlign w:val="center"/>
          </w:tcPr>
          <w:p>
            <w:pPr>
              <w:pStyle w:val="19"/>
              <w:spacing w:line="276" w:lineRule="auto"/>
              <w:rPr>
                <w:bCs/>
                <w:szCs w:val="21"/>
              </w:rPr>
            </w:pPr>
            <w:r>
              <w:rPr>
                <w:rFonts w:hint="eastAsia"/>
                <w:bCs/>
                <w:szCs w:val="21"/>
              </w:rPr>
              <w:t>昆明理工大学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pPr>
              <w:spacing w:line="276" w:lineRule="auto"/>
              <w:rPr>
                <w:szCs w:val="21"/>
              </w:rPr>
            </w:pPr>
          </w:p>
        </w:tc>
        <w:tc>
          <w:tcPr>
            <w:tcW w:w="2551" w:type="dxa"/>
            <w:vAlign w:val="center"/>
          </w:tcPr>
          <w:p>
            <w:pPr>
              <w:pStyle w:val="19"/>
              <w:spacing w:line="276" w:lineRule="auto"/>
              <w:rPr>
                <w:bCs/>
                <w:szCs w:val="21"/>
              </w:rPr>
            </w:pPr>
            <w:r>
              <w:rPr>
                <w:rFonts w:hint="eastAsia"/>
                <w:bCs/>
                <w:szCs w:val="21"/>
              </w:rPr>
              <w:t>采购代理机构</w:t>
            </w:r>
          </w:p>
        </w:tc>
        <w:tc>
          <w:tcPr>
            <w:tcW w:w="5548" w:type="dxa"/>
            <w:vAlign w:val="center"/>
          </w:tcPr>
          <w:p>
            <w:pPr>
              <w:pStyle w:val="19"/>
              <w:spacing w:line="276" w:lineRule="auto"/>
              <w:rPr>
                <w:bCs/>
                <w:szCs w:val="21"/>
              </w:rPr>
            </w:pPr>
            <w:r>
              <w:rPr>
                <w:rFonts w:hint="eastAsia"/>
                <w:bCs/>
                <w:szCs w:val="21"/>
              </w:rPr>
              <w:t>云南省政府采购和出让中心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pPr>
              <w:spacing w:line="276" w:lineRule="auto"/>
              <w:rPr>
                <w:szCs w:val="21"/>
              </w:rPr>
            </w:pPr>
          </w:p>
        </w:tc>
        <w:tc>
          <w:tcPr>
            <w:tcW w:w="2551" w:type="dxa"/>
            <w:vAlign w:val="center"/>
          </w:tcPr>
          <w:p>
            <w:pPr>
              <w:pStyle w:val="19"/>
              <w:spacing w:line="276" w:lineRule="auto"/>
              <w:rPr>
                <w:szCs w:val="21"/>
              </w:rPr>
            </w:pPr>
            <w:r>
              <w:rPr>
                <w:rFonts w:hint="eastAsia"/>
                <w:szCs w:val="21"/>
              </w:rPr>
              <w:t>项目名称</w:t>
            </w:r>
          </w:p>
        </w:tc>
        <w:tc>
          <w:tcPr>
            <w:tcW w:w="5548" w:type="dxa"/>
            <w:vAlign w:val="center"/>
          </w:tcPr>
          <w:p>
            <w:pPr>
              <w:pStyle w:val="19"/>
              <w:spacing w:line="276" w:lineRule="auto"/>
              <w:rPr>
                <w:bCs/>
                <w:szCs w:val="21"/>
              </w:rPr>
            </w:pPr>
            <w:r>
              <w:rPr>
                <w:bCs/>
                <w:szCs w:val="21"/>
              </w:rPr>
              <w:t>昆明理工大学信息化建设管理中心智慧校园一体化数智化教学条件建设采购项目(z26)-智慧教室设备（课桌椅）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pPr>
              <w:spacing w:line="276" w:lineRule="auto"/>
              <w:rPr>
                <w:szCs w:val="21"/>
              </w:rPr>
            </w:pPr>
          </w:p>
        </w:tc>
        <w:tc>
          <w:tcPr>
            <w:tcW w:w="2551" w:type="dxa"/>
            <w:vAlign w:val="center"/>
          </w:tcPr>
          <w:p>
            <w:pPr>
              <w:pStyle w:val="19"/>
              <w:spacing w:line="276" w:lineRule="auto"/>
              <w:rPr>
                <w:szCs w:val="21"/>
              </w:rPr>
            </w:pPr>
            <w:r>
              <w:rPr>
                <w:rFonts w:hint="eastAsia"/>
                <w:szCs w:val="21"/>
              </w:rPr>
              <w:t>招标编号</w:t>
            </w:r>
          </w:p>
        </w:tc>
        <w:tc>
          <w:tcPr>
            <w:tcW w:w="5548" w:type="dxa"/>
            <w:vAlign w:val="center"/>
          </w:tcPr>
          <w:p>
            <w:pPr>
              <w:pStyle w:val="19"/>
              <w:spacing w:line="276" w:lineRule="auto"/>
              <w:rPr>
                <w:bCs/>
                <w:szCs w:val="21"/>
              </w:rPr>
            </w:pPr>
            <w:r>
              <w:rPr>
                <w:bCs/>
                <w:szCs w:val="21"/>
              </w:rPr>
              <w:t>YNZC2026-G1-04753-YNSZ-0271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pPr>
              <w:spacing w:line="276" w:lineRule="auto"/>
              <w:rPr>
                <w:szCs w:val="21"/>
              </w:rPr>
            </w:pPr>
          </w:p>
        </w:tc>
        <w:tc>
          <w:tcPr>
            <w:tcW w:w="2551" w:type="dxa"/>
            <w:vAlign w:val="center"/>
          </w:tcPr>
          <w:p>
            <w:pPr>
              <w:pStyle w:val="19"/>
              <w:spacing w:line="276" w:lineRule="auto"/>
              <w:rPr>
                <w:rFonts w:ascii="Times New Roman"/>
                <w:szCs w:val="21"/>
              </w:rPr>
            </w:pPr>
            <w:r>
              <w:rPr>
                <w:rFonts w:hint="eastAsia" w:ascii="Times New Roman"/>
                <w:szCs w:val="21"/>
              </w:rPr>
              <w:t>项目预算及最高限价</w:t>
            </w:r>
          </w:p>
        </w:tc>
        <w:tc>
          <w:tcPr>
            <w:tcW w:w="5548" w:type="dxa"/>
            <w:vAlign w:val="center"/>
          </w:tcPr>
          <w:p>
            <w:pPr>
              <w:pStyle w:val="19"/>
              <w:spacing w:line="276" w:lineRule="auto"/>
              <w:rPr>
                <w:rFonts w:hint="eastAsia" w:hAnsi="宋体"/>
                <w:szCs w:val="21"/>
              </w:rPr>
            </w:pPr>
            <w:r>
              <w:rPr>
                <w:rFonts w:hint="eastAsia" w:hAnsi="宋体"/>
                <w:szCs w:val="21"/>
              </w:rPr>
              <w:t>2538960.00元，本项目设单价限价,</w:t>
            </w:r>
            <w:r>
              <w:rPr>
                <w:rFonts w:hint="eastAsia" w:ascii="Times New Roman"/>
                <w:bCs/>
                <w:szCs w:val="21"/>
              </w:rPr>
              <w:t>详见第五章“货物需求一览表”。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2" w:hRule="atLeast"/>
          <w:jc w:val="center"/>
        </w:trPr>
        <w:tc>
          <w:tcPr>
            <w:tcW w:w="1582" w:type="dxa"/>
            <w:gridSpan w:val="2"/>
            <w:vAlign w:val="center"/>
          </w:tcPr>
          <w:p>
            <w:pPr>
              <w:pStyle w:val="19"/>
              <w:spacing w:line="276" w:lineRule="auto"/>
              <w:jc w:val="center"/>
              <w:rPr>
                <w:szCs w:val="21"/>
              </w:rPr>
            </w:pPr>
            <w:r>
              <w:rPr>
                <w:rFonts w:hint="eastAsia"/>
                <w:szCs w:val="21"/>
              </w:rPr>
              <w:t>3.1</w:t>
            </w:r>
          </w:p>
        </w:tc>
        <w:tc>
          <w:tcPr>
            <w:tcW w:w="2551" w:type="dxa"/>
            <w:vAlign w:val="center"/>
          </w:tcPr>
          <w:p>
            <w:pPr>
              <w:pStyle w:val="19"/>
              <w:spacing w:line="276" w:lineRule="auto"/>
              <w:rPr>
                <w:szCs w:val="21"/>
              </w:rPr>
            </w:pPr>
            <w:r>
              <w:rPr>
                <w:rFonts w:hint="eastAsia"/>
                <w:szCs w:val="21"/>
              </w:rPr>
              <w:t>招标范围</w:t>
            </w:r>
          </w:p>
        </w:tc>
        <w:tc>
          <w:tcPr>
            <w:tcW w:w="5548" w:type="dxa"/>
            <w:vAlign w:val="center"/>
          </w:tcPr>
          <w:p>
            <w:pPr>
              <w:pStyle w:val="19"/>
              <w:spacing w:line="276" w:lineRule="auto"/>
              <w:jc w:val="left"/>
              <w:rPr>
                <w:rFonts w:ascii="Times New Roman"/>
                <w:bCs/>
                <w:szCs w:val="21"/>
              </w:rPr>
            </w:pPr>
            <w:r>
              <w:rPr>
                <w:rFonts w:hint="eastAsia" w:ascii="Times New Roman"/>
                <w:bCs/>
                <w:szCs w:val="21"/>
              </w:rPr>
              <w:t>详见第五章“货物需求一览表”。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3.2</w:t>
            </w:r>
          </w:p>
        </w:tc>
        <w:tc>
          <w:tcPr>
            <w:tcW w:w="2551" w:type="dxa"/>
            <w:vAlign w:val="center"/>
          </w:tcPr>
          <w:p>
            <w:pPr>
              <w:pStyle w:val="19"/>
              <w:spacing w:line="276" w:lineRule="auto"/>
              <w:rPr>
                <w:szCs w:val="21"/>
              </w:rPr>
            </w:pPr>
            <w:r>
              <w:rPr>
                <w:rFonts w:hint="eastAsia"/>
                <w:szCs w:val="21"/>
              </w:rPr>
              <w:t>交货期</w:t>
            </w:r>
          </w:p>
        </w:tc>
        <w:tc>
          <w:tcPr>
            <w:tcW w:w="5548" w:type="dxa"/>
            <w:vAlign w:val="center"/>
          </w:tcPr>
          <w:p>
            <w:pPr>
              <w:spacing w:line="360" w:lineRule="auto"/>
              <w:rPr>
                <w:rFonts w:hint="eastAsia" w:ascii="宋体" w:hAnsi="宋体"/>
                <w:bCs/>
                <w:szCs w:val="21"/>
              </w:rPr>
            </w:pPr>
            <w:r>
              <w:rPr>
                <w:rFonts w:hint="eastAsia" w:ascii="宋体" w:hAnsi="宋体"/>
                <w:bCs/>
                <w:szCs w:val="21"/>
              </w:rPr>
              <w:t>合同⽣效后35日历天内运输、安装在采购人的规定位置，并且完成调试。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4.2</w:t>
            </w:r>
          </w:p>
        </w:tc>
        <w:tc>
          <w:tcPr>
            <w:tcW w:w="2551" w:type="dxa"/>
            <w:vAlign w:val="center"/>
          </w:tcPr>
          <w:p>
            <w:pPr>
              <w:pStyle w:val="19"/>
              <w:spacing w:line="276" w:lineRule="auto"/>
              <w:rPr>
                <w:szCs w:val="21"/>
              </w:rPr>
            </w:pPr>
            <w:r>
              <w:rPr>
                <w:rFonts w:ascii="Times New Roman"/>
                <w:szCs w:val="21"/>
              </w:rPr>
              <w:t>特定条件</w:t>
            </w:r>
          </w:p>
        </w:tc>
        <w:tc>
          <w:tcPr>
            <w:tcW w:w="5548" w:type="dxa"/>
            <w:vAlign w:val="center"/>
          </w:tcPr>
          <w:p>
            <w:pPr>
              <w:spacing w:line="360" w:lineRule="auto"/>
              <w:rPr>
                <w:rFonts w:hint="eastAsia" w:ascii="宋体" w:hAnsi="宋体"/>
                <w:bCs/>
                <w:szCs w:val="21"/>
              </w:rPr>
            </w:pPr>
            <w:r>
              <w:rPr>
                <w:szCs w:val="21"/>
              </w:rPr>
              <w:t>见第一章</w:t>
            </w:r>
            <w:r>
              <w:rPr>
                <w:rFonts w:hint="eastAsia"/>
                <w:szCs w:val="21"/>
              </w:rPr>
              <w:t>“投标邀请”。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582" w:type="dxa"/>
            <w:gridSpan w:val="2"/>
            <w:vAlign w:val="center"/>
          </w:tcPr>
          <w:p>
            <w:pPr>
              <w:pStyle w:val="19"/>
              <w:spacing w:line="276" w:lineRule="auto"/>
              <w:jc w:val="center"/>
              <w:rPr>
                <w:szCs w:val="21"/>
              </w:rPr>
            </w:pPr>
            <w:r>
              <w:rPr>
                <w:rFonts w:hint="eastAsia"/>
                <w:szCs w:val="21"/>
              </w:rPr>
              <w:t>4.4</w:t>
            </w:r>
          </w:p>
        </w:tc>
        <w:tc>
          <w:tcPr>
            <w:tcW w:w="2551" w:type="dxa"/>
            <w:vAlign w:val="center"/>
          </w:tcPr>
          <w:p>
            <w:pPr>
              <w:pStyle w:val="19"/>
              <w:spacing w:line="276" w:lineRule="auto"/>
              <w:rPr>
                <w:szCs w:val="21"/>
              </w:rPr>
            </w:pPr>
            <w:r>
              <w:rPr>
                <w:rFonts w:hint="eastAsia"/>
                <w:szCs w:val="21"/>
              </w:rPr>
              <w:t>是否接受联合体投标</w:t>
            </w:r>
          </w:p>
        </w:tc>
        <w:tc>
          <w:tcPr>
            <w:tcW w:w="5548" w:type="dxa"/>
            <w:vAlign w:val="center"/>
          </w:tcPr>
          <w:p>
            <w:pPr>
              <w:pStyle w:val="19"/>
              <w:spacing w:line="276" w:lineRule="auto"/>
              <w:jc w:val="left"/>
              <w:rPr>
                <w:rFonts w:cs="宋体"/>
                <w:szCs w:val="21"/>
              </w:rPr>
            </w:pPr>
            <w:r>
              <w:rPr>
                <w:rFonts w:hAnsi="宋体"/>
                <w:b/>
                <w:sz w:val="24"/>
                <w:szCs w:val="24"/>
              </w:rPr>
              <w:fldChar w:fldCharType="begin"/>
            </w:r>
            <w:r>
              <w:rPr>
                <w:rFonts w:hint="eastAsia" w:hAnsi="宋体"/>
                <w:b/>
                <w:sz w:val="24"/>
                <w:szCs w:val="24"/>
              </w:rPr>
              <w:instrText xml:space="preserve"> EQ \o(□,√)</w:instrText>
            </w:r>
            <w:r>
              <w:rPr>
                <w:rFonts w:hAnsi="宋体"/>
                <w:b/>
                <w:sz w:val="24"/>
                <w:szCs w:val="24"/>
              </w:rPr>
              <w:fldChar w:fldCharType="end"/>
            </w:r>
            <w:r>
              <w:rPr>
                <w:rFonts w:hint="eastAsia"/>
                <w:szCs w:val="21"/>
              </w:rPr>
              <w:t>不接受      □</w:t>
            </w:r>
            <w:r>
              <w:rPr>
                <w:rFonts w:hint="eastAsia" w:cs="宋体"/>
                <w:szCs w:val="21"/>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2" w:hRule="atLeast"/>
          <w:jc w:val="center"/>
        </w:trPr>
        <w:tc>
          <w:tcPr>
            <w:tcW w:w="1582" w:type="dxa"/>
            <w:gridSpan w:val="2"/>
            <w:vAlign w:val="center"/>
          </w:tcPr>
          <w:p>
            <w:pPr>
              <w:pStyle w:val="19"/>
              <w:spacing w:line="276" w:lineRule="auto"/>
              <w:jc w:val="center"/>
              <w:rPr>
                <w:szCs w:val="21"/>
              </w:rPr>
            </w:pPr>
            <w:r>
              <w:rPr>
                <w:rFonts w:hint="eastAsia"/>
                <w:szCs w:val="21"/>
              </w:rPr>
              <w:t>4.5</w:t>
            </w:r>
          </w:p>
        </w:tc>
        <w:tc>
          <w:tcPr>
            <w:tcW w:w="2551" w:type="dxa"/>
            <w:vAlign w:val="center"/>
          </w:tcPr>
          <w:p>
            <w:pPr>
              <w:pStyle w:val="19"/>
              <w:spacing w:line="276" w:lineRule="auto"/>
              <w:rPr>
                <w:szCs w:val="21"/>
              </w:rPr>
            </w:pPr>
            <w:r>
              <w:rPr>
                <w:rFonts w:hint="eastAsia" w:hAnsi="宋体"/>
                <w:szCs w:val="21"/>
              </w:rPr>
              <w:t>为本项目提供整体设计、规范编制或者项目管理、监理、检测等服务的供应商</w:t>
            </w:r>
          </w:p>
        </w:tc>
        <w:tc>
          <w:tcPr>
            <w:tcW w:w="5548" w:type="dxa"/>
            <w:vAlign w:val="center"/>
          </w:tcPr>
          <w:p>
            <w:pPr>
              <w:spacing w:line="360" w:lineRule="auto"/>
              <w:rPr>
                <w:rFonts w:hint="eastAsia" w:ascii="宋体" w:hAnsi="宋体"/>
                <w:bCs/>
                <w:szCs w:val="21"/>
              </w:rPr>
            </w:pPr>
            <w:r>
              <w:rPr>
                <w:rFonts w:hint="eastAsia" w:ascii="宋体" w:hAnsi="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9.1</w:t>
            </w:r>
          </w:p>
        </w:tc>
        <w:tc>
          <w:tcPr>
            <w:tcW w:w="2551" w:type="dxa"/>
            <w:vAlign w:val="center"/>
          </w:tcPr>
          <w:p>
            <w:pPr>
              <w:autoSpaceDE w:val="0"/>
              <w:autoSpaceDN w:val="0"/>
              <w:snapToGrid w:val="0"/>
              <w:spacing w:line="276" w:lineRule="auto"/>
              <w:textAlignment w:val="bottom"/>
              <w:rPr>
                <w:rFonts w:ascii="宋体"/>
                <w:szCs w:val="21"/>
              </w:rPr>
            </w:pPr>
            <w:r>
              <w:rPr>
                <w:rFonts w:hint="eastAsia" w:ascii="宋体"/>
                <w:szCs w:val="21"/>
              </w:rPr>
              <w:t>招标文件澄清截止时间</w:t>
            </w:r>
          </w:p>
        </w:tc>
        <w:tc>
          <w:tcPr>
            <w:tcW w:w="5548" w:type="dxa"/>
            <w:vAlign w:val="center"/>
          </w:tcPr>
          <w:p>
            <w:pPr>
              <w:autoSpaceDE w:val="0"/>
              <w:autoSpaceDN w:val="0"/>
              <w:snapToGrid w:val="0"/>
              <w:spacing w:line="276" w:lineRule="auto"/>
              <w:textAlignment w:val="bottom"/>
              <w:rPr>
                <w:rFonts w:ascii="宋体"/>
                <w:b/>
                <w:bCs/>
                <w:szCs w:val="21"/>
              </w:rPr>
            </w:pPr>
            <w:r>
              <w:rPr>
                <w:rFonts w:hint="eastAsia" w:ascii="宋体"/>
                <w:szCs w:val="21"/>
              </w:rPr>
              <w:t>提交投标文件的截止日期15日前。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9.3</w:t>
            </w:r>
          </w:p>
        </w:tc>
        <w:tc>
          <w:tcPr>
            <w:tcW w:w="2551" w:type="dxa"/>
            <w:vAlign w:val="center"/>
          </w:tcPr>
          <w:p>
            <w:pPr>
              <w:autoSpaceDE w:val="0"/>
              <w:autoSpaceDN w:val="0"/>
              <w:snapToGrid w:val="0"/>
              <w:spacing w:line="276" w:lineRule="auto"/>
              <w:textAlignment w:val="bottom"/>
              <w:rPr>
                <w:rFonts w:ascii="宋体"/>
                <w:szCs w:val="21"/>
              </w:rPr>
            </w:pPr>
            <w:r>
              <w:rPr>
                <w:rFonts w:hint="eastAsia" w:ascii="宋体"/>
                <w:szCs w:val="21"/>
              </w:rPr>
              <w:t>招标文件澄清联系方式</w:t>
            </w:r>
          </w:p>
        </w:tc>
        <w:tc>
          <w:tcPr>
            <w:tcW w:w="5548" w:type="dxa"/>
            <w:vAlign w:val="center"/>
          </w:tcPr>
          <w:p>
            <w:pPr>
              <w:autoSpaceDE w:val="0"/>
              <w:autoSpaceDN w:val="0"/>
              <w:snapToGrid w:val="0"/>
              <w:spacing w:line="400" w:lineRule="exact"/>
              <w:textAlignment w:val="bottom"/>
              <w:rPr>
                <w:rFonts w:hint="eastAsia" w:ascii="宋体" w:eastAsia="宋体"/>
                <w:bCs/>
                <w:szCs w:val="21"/>
                <w:lang w:eastAsia="zh-CN"/>
              </w:rPr>
            </w:pPr>
            <w:r>
              <w:rPr>
                <w:rFonts w:hint="eastAsia" w:ascii="宋体"/>
                <w:bCs/>
                <w:szCs w:val="21"/>
              </w:rPr>
              <w:t>澄清联系人：</w:t>
            </w:r>
            <w:r>
              <w:rPr>
                <w:rFonts w:hint="eastAsia" w:ascii="宋体"/>
                <w:bCs/>
                <w:szCs w:val="21"/>
                <w:lang w:val="en-US" w:eastAsia="zh-CN"/>
              </w:rPr>
              <w:t>杨杰</w:t>
            </w:r>
          </w:p>
          <w:p>
            <w:pPr>
              <w:autoSpaceDE w:val="0"/>
              <w:autoSpaceDN w:val="0"/>
              <w:snapToGrid w:val="0"/>
              <w:spacing w:line="400" w:lineRule="exact"/>
              <w:textAlignment w:val="bottom"/>
              <w:rPr>
                <w:rFonts w:ascii="宋体"/>
                <w:bCs/>
                <w:szCs w:val="21"/>
              </w:rPr>
            </w:pPr>
            <w:r>
              <w:rPr>
                <w:rFonts w:hint="eastAsia" w:ascii="宋体"/>
                <w:bCs/>
                <w:szCs w:val="21"/>
              </w:rPr>
              <w:t>电话：0871-</w:t>
            </w:r>
            <w:r>
              <w:rPr>
                <w:rFonts w:hint="eastAsia" w:ascii="宋体"/>
                <w:bCs/>
                <w:szCs w:val="21"/>
                <w:lang w:val="en-US" w:eastAsia="zh-CN"/>
              </w:rPr>
              <w:t>63619794</w:t>
            </w:r>
            <w:r>
              <w:rPr>
                <w:rFonts w:hint="eastAsia" w:ascii="宋体"/>
                <w:bCs/>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6" w:hRule="atLeast"/>
          <w:jc w:val="center"/>
        </w:trPr>
        <w:tc>
          <w:tcPr>
            <w:tcW w:w="1582" w:type="dxa"/>
            <w:gridSpan w:val="2"/>
            <w:vAlign w:val="center"/>
          </w:tcPr>
          <w:p>
            <w:pPr>
              <w:pStyle w:val="19"/>
              <w:spacing w:line="276" w:lineRule="auto"/>
              <w:jc w:val="center"/>
              <w:rPr>
                <w:szCs w:val="21"/>
              </w:rPr>
            </w:pPr>
            <w:r>
              <w:rPr>
                <w:rFonts w:hint="eastAsia"/>
                <w:szCs w:val="21"/>
              </w:rPr>
              <w:t>11.4</w:t>
            </w:r>
          </w:p>
        </w:tc>
        <w:tc>
          <w:tcPr>
            <w:tcW w:w="2551" w:type="dxa"/>
            <w:vAlign w:val="center"/>
          </w:tcPr>
          <w:p>
            <w:pPr>
              <w:autoSpaceDE w:val="0"/>
              <w:autoSpaceDN w:val="0"/>
              <w:snapToGrid w:val="0"/>
              <w:spacing w:line="276" w:lineRule="auto"/>
              <w:textAlignment w:val="bottom"/>
              <w:rPr>
                <w:rFonts w:ascii="宋体"/>
                <w:szCs w:val="21"/>
              </w:rPr>
            </w:pPr>
            <w:r>
              <w:rPr>
                <w:rFonts w:hint="eastAsia" w:ascii="宋体"/>
                <w:szCs w:val="21"/>
              </w:rPr>
              <w:t>实质性要求和条件</w:t>
            </w:r>
          </w:p>
        </w:tc>
        <w:tc>
          <w:tcPr>
            <w:tcW w:w="5548" w:type="dxa"/>
            <w:vAlign w:val="center"/>
          </w:tcPr>
          <w:p>
            <w:pPr>
              <w:autoSpaceDE w:val="0"/>
              <w:autoSpaceDN w:val="0"/>
              <w:snapToGrid w:val="0"/>
              <w:spacing w:line="400" w:lineRule="exact"/>
              <w:textAlignment w:val="bottom"/>
              <w:rPr>
                <w:rFonts w:ascii="宋体"/>
                <w:bCs/>
                <w:szCs w:val="21"/>
              </w:rPr>
            </w:pPr>
            <w:r>
              <w:rPr>
                <w:rFonts w:hint="eastAsia" w:ascii="宋体"/>
                <w:bCs/>
                <w:szCs w:val="21"/>
              </w:rPr>
              <w:t>本招标文件中标注★号的条款为实质性要求和条件，</w:t>
            </w:r>
            <w:r>
              <w:rPr>
                <w:rFonts w:hint="eastAsia" w:ascii="宋体"/>
                <w:b/>
                <w:bCs/>
                <w:szCs w:val="21"/>
              </w:rPr>
              <w:t>不满足任何一条将导致投标无效。</w:t>
            </w:r>
            <w:r>
              <w:rPr>
                <w:rFonts w:hint="eastAsia" w:ascii="宋体"/>
                <w:bCs/>
                <w:szCs w:val="21"/>
              </w:rPr>
              <w:t>请各投标人仔细阅读。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4" w:hRule="atLeast"/>
          <w:jc w:val="center"/>
        </w:trPr>
        <w:tc>
          <w:tcPr>
            <w:tcW w:w="731" w:type="dxa"/>
            <w:vMerge w:val="restart"/>
            <w:vAlign w:val="center"/>
          </w:tcPr>
          <w:p>
            <w:pPr>
              <w:pStyle w:val="19"/>
              <w:spacing w:line="276" w:lineRule="auto"/>
              <w:jc w:val="center"/>
              <w:rPr>
                <w:szCs w:val="21"/>
              </w:rPr>
            </w:pPr>
            <w:r>
              <w:rPr>
                <w:rFonts w:hint="eastAsia"/>
                <w:szCs w:val="21"/>
              </w:rPr>
              <w:t>13.1</w:t>
            </w:r>
          </w:p>
        </w:tc>
        <w:tc>
          <w:tcPr>
            <w:tcW w:w="851" w:type="dxa"/>
            <w:vMerge w:val="restart"/>
            <w:vAlign w:val="center"/>
          </w:tcPr>
          <w:p>
            <w:pPr>
              <w:pStyle w:val="19"/>
              <w:spacing w:line="276" w:lineRule="auto"/>
              <w:jc w:val="center"/>
              <w:rPr>
                <w:szCs w:val="21"/>
              </w:rPr>
            </w:pPr>
            <w:r>
              <w:rPr>
                <w:rFonts w:hint="eastAsia"/>
                <w:szCs w:val="21"/>
              </w:rPr>
              <w:t>（9）</w:t>
            </w:r>
          </w:p>
        </w:tc>
        <w:tc>
          <w:tcPr>
            <w:tcW w:w="2551" w:type="dxa"/>
            <w:vMerge w:val="restart"/>
            <w:vAlign w:val="center"/>
          </w:tcPr>
          <w:p>
            <w:pPr>
              <w:pStyle w:val="19"/>
              <w:spacing w:line="276" w:lineRule="auto"/>
              <w:rPr>
                <w:szCs w:val="21"/>
              </w:rPr>
            </w:pPr>
            <w:r>
              <w:rPr>
                <w:rFonts w:hint="eastAsia"/>
                <w:szCs w:val="21"/>
              </w:rPr>
              <w:t>资格响应文件</w:t>
            </w:r>
          </w:p>
        </w:tc>
        <w:tc>
          <w:tcPr>
            <w:tcW w:w="5548" w:type="dxa"/>
            <w:vAlign w:val="center"/>
          </w:tcPr>
          <w:p>
            <w:pPr>
              <w:autoSpaceDE w:val="0"/>
              <w:autoSpaceDN w:val="0"/>
              <w:snapToGrid w:val="0"/>
              <w:spacing w:line="400" w:lineRule="exact"/>
              <w:textAlignment w:val="bottom"/>
              <w:rPr>
                <w:rFonts w:hint="eastAsia" w:ascii="宋体" w:hAnsi="宋体"/>
                <w:b/>
                <w:szCs w:val="21"/>
                <w:u w:val="single"/>
              </w:rPr>
            </w:pPr>
            <w:r>
              <w:rPr>
                <w:rFonts w:hint="eastAsia" w:ascii="宋体" w:hAnsi="宋体"/>
                <w:b/>
                <w:szCs w:val="21"/>
                <w:u w:val="single"/>
                <w:lang w:val="en-US" w:eastAsia="zh-CN"/>
              </w:rPr>
              <w:t>1.</w:t>
            </w:r>
            <w:r>
              <w:rPr>
                <w:rFonts w:hint="eastAsia" w:ascii="宋体" w:hAnsi="宋体"/>
                <w:b/>
                <w:szCs w:val="21"/>
                <w:u w:val="single"/>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731" w:type="dxa"/>
            <w:vMerge w:val="continue"/>
            <w:vAlign w:val="center"/>
          </w:tcPr>
          <w:p>
            <w:pPr>
              <w:pStyle w:val="19"/>
              <w:spacing w:line="276" w:lineRule="auto"/>
              <w:jc w:val="center"/>
              <w:rPr>
                <w:szCs w:val="21"/>
              </w:rPr>
            </w:pPr>
          </w:p>
        </w:tc>
        <w:tc>
          <w:tcPr>
            <w:tcW w:w="851" w:type="dxa"/>
            <w:vMerge w:val="continue"/>
            <w:vAlign w:val="center"/>
          </w:tcPr>
          <w:p>
            <w:pPr>
              <w:pStyle w:val="19"/>
              <w:spacing w:line="276" w:lineRule="auto"/>
              <w:jc w:val="center"/>
              <w:rPr>
                <w:szCs w:val="21"/>
              </w:rPr>
            </w:pPr>
          </w:p>
        </w:tc>
        <w:tc>
          <w:tcPr>
            <w:tcW w:w="2551" w:type="dxa"/>
            <w:vMerge w:val="continue"/>
            <w:vAlign w:val="center"/>
          </w:tcPr>
          <w:p>
            <w:pPr>
              <w:pStyle w:val="19"/>
              <w:spacing w:line="276" w:lineRule="auto"/>
              <w:rPr>
                <w:szCs w:val="21"/>
              </w:rPr>
            </w:pPr>
          </w:p>
        </w:tc>
        <w:tc>
          <w:tcPr>
            <w:tcW w:w="5548" w:type="dxa"/>
            <w:vAlign w:val="center"/>
          </w:tcPr>
          <w:p>
            <w:pPr>
              <w:autoSpaceDE w:val="0"/>
              <w:autoSpaceDN w:val="0"/>
              <w:snapToGrid w:val="0"/>
              <w:spacing w:line="400" w:lineRule="exact"/>
              <w:textAlignment w:val="bottom"/>
              <w:rPr>
                <w:rFonts w:ascii="宋体"/>
                <w:b/>
                <w:bCs/>
                <w:szCs w:val="21"/>
                <w:u w:val="single"/>
              </w:rPr>
            </w:pPr>
            <w:r>
              <w:rPr>
                <w:rFonts w:hint="eastAsia" w:ascii="宋体"/>
                <w:b/>
                <w:bCs/>
                <w:szCs w:val="21"/>
                <w:u w:val="single"/>
                <w:lang w:val="en-US" w:eastAsia="zh-CN"/>
              </w:rPr>
              <w:t>2.</w:t>
            </w:r>
            <w:r>
              <w:rPr>
                <w:rFonts w:hint="eastAsia" w:ascii="宋体"/>
                <w:b/>
                <w:bCs/>
                <w:szCs w:val="21"/>
                <w:u w:val="single"/>
              </w:rPr>
              <w:t>投标人应提供202</w:t>
            </w:r>
            <w:r>
              <w:rPr>
                <w:rFonts w:hint="eastAsia" w:ascii="宋体"/>
                <w:b/>
                <w:bCs/>
                <w:szCs w:val="21"/>
                <w:u w:val="single"/>
                <w:lang w:val="en-US" w:eastAsia="zh-CN"/>
              </w:rPr>
              <w:t>4</w:t>
            </w:r>
            <w:r>
              <w:rPr>
                <w:rFonts w:hint="eastAsia" w:ascii="宋体"/>
                <w:b/>
                <w:bCs/>
                <w:szCs w:val="21"/>
                <w:u w:val="single"/>
              </w:rPr>
              <w:t>年1月至今期间（税款所属时期）任意1个月的税务局税收通用缴款书扫描件或银行电子缴税凭证扫描件或税务局出具的纳税情况相关证明扫描件；依法免税的投标人，应提供相应文件证明其依法免税；新成立企业尚未缴纳税款的，应出具情况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4" w:hRule="atLeast"/>
          <w:jc w:val="center"/>
        </w:trPr>
        <w:tc>
          <w:tcPr>
            <w:tcW w:w="731" w:type="dxa"/>
            <w:vMerge w:val="continue"/>
            <w:vAlign w:val="center"/>
          </w:tcPr>
          <w:p>
            <w:pPr>
              <w:pStyle w:val="19"/>
              <w:spacing w:line="276" w:lineRule="auto"/>
              <w:jc w:val="center"/>
              <w:rPr>
                <w:szCs w:val="21"/>
              </w:rPr>
            </w:pPr>
          </w:p>
        </w:tc>
        <w:tc>
          <w:tcPr>
            <w:tcW w:w="851" w:type="dxa"/>
            <w:vMerge w:val="continue"/>
            <w:vAlign w:val="center"/>
          </w:tcPr>
          <w:p>
            <w:pPr>
              <w:pStyle w:val="19"/>
              <w:spacing w:line="276" w:lineRule="auto"/>
              <w:jc w:val="center"/>
              <w:rPr>
                <w:szCs w:val="21"/>
              </w:rPr>
            </w:pPr>
          </w:p>
        </w:tc>
        <w:tc>
          <w:tcPr>
            <w:tcW w:w="2551" w:type="dxa"/>
            <w:vMerge w:val="continue"/>
            <w:vAlign w:val="center"/>
          </w:tcPr>
          <w:p>
            <w:pPr>
              <w:pStyle w:val="19"/>
              <w:spacing w:line="276" w:lineRule="auto"/>
              <w:rPr>
                <w:szCs w:val="21"/>
              </w:rPr>
            </w:pPr>
          </w:p>
        </w:tc>
        <w:tc>
          <w:tcPr>
            <w:tcW w:w="5548" w:type="dxa"/>
            <w:vAlign w:val="center"/>
          </w:tcPr>
          <w:p>
            <w:pPr>
              <w:autoSpaceDE w:val="0"/>
              <w:autoSpaceDN w:val="0"/>
              <w:snapToGrid w:val="0"/>
              <w:spacing w:line="400" w:lineRule="exact"/>
              <w:textAlignment w:val="bottom"/>
              <w:rPr>
                <w:b/>
                <w:szCs w:val="21"/>
                <w:u w:val="single"/>
              </w:rPr>
            </w:pPr>
            <w:r>
              <w:rPr>
                <w:rFonts w:hint="eastAsia" w:ascii="宋体"/>
                <w:b/>
                <w:bCs/>
                <w:szCs w:val="21"/>
                <w:u w:val="single"/>
                <w:lang w:val="en-US" w:eastAsia="zh-CN"/>
              </w:rPr>
              <w:t>3.</w:t>
            </w:r>
            <w:r>
              <w:rPr>
                <w:rFonts w:hint="eastAsia" w:ascii="宋体"/>
                <w:b/>
                <w:bCs/>
                <w:szCs w:val="21"/>
                <w:u w:val="single"/>
              </w:rPr>
              <w:t>投标人应提供202</w:t>
            </w:r>
            <w:r>
              <w:rPr>
                <w:rFonts w:hint="eastAsia" w:ascii="宋体"/>
                <w:b/>
                <w:bCs/>
                <w:szCs w:val="21"/>
                <w:u w:val="single"/>
                <w:lang w:val="en-US" w:eastAsia="zh-CN"/>
              </w:rPr>
              <w:t>4</w:t>
            </w:r>
            <w:r>
              <w:rPr>
                <w:rFonts w:hint="eastAsia" w:ascii="宋体"/>
                <w:b/>
                <w:bCs/>
                <w:szCs w:val="21"/>
                <w:u w:val="single"/>
              </w:rPr>
              <w:t>年1月至今期间（费款所属时期）任意1个月的社会保险费缴款书扫描件或银行电子缴费凭证扫描件或社保管理部门出具的有效缴款证明扫描件；依法不需要缴纳社会保障资金的投标人，应提供相应文件证明其不需要缴纳社会保障资金；新成立企业尚未缴纳社保的，应出具情况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31" w:type="dxa"/>
            <w:vMerge w:val="continue"/>
            <w:vAlign w:val="center"/>
          </w:tcPr>
          <w:p>
            <w:pPr>
              <w:pStyle w:val="19"/>
              <w:spacing w:line="276" w:lineRule="auto"/>
              <w:jc w:val="center"/>
              <w:rPr>
                <w:szCs w:val="21"/>
              </w:rPr>
            </w:pPr>
          </w:p>
        </w:tc>
        <w:tc>
          <w:tcPr>
            <w:tcW w:w="851" w:type="dxa"/>
            <w:vMerge w:val="continue"/>
            <w:vAlign w:val="center"/>
          </w:tcPr>
          <w:p>
            <w:pPr>
              <w:pStyle w:val="19"/>
              <w:spacing w:line="276" w:lineRule="auto"/>
              <w:jc w:val="center"/>
              <w:rPr>
                <w:szCs w:val="21"/>
              </w:rPr>
            </w:pPr>
          </w:p>
        </w:tc>
        <w:tc>
          <w:tcPr>
            <w:tcW w:w="2551" w:type="dxa"/>
            <w:vMerge w:val="continue"/>
            <w:vAlign w:val="center"/>
          </w:tcPr>
          <w:p>
            <w:pPr>
              <w:pStyle w:val="19"/>
              <w:spacing w:line="276" w:lineRule="auto"/>
              <w:rPr>
                <w:bCs/>
                <w:szCs w:val="21"/>
              </w:rPr>
            </w:pPr>
          </w:p>
        </w:tc>
        <w:tc>
          <w:tcPr>
            <w:tcW w:w="5548" w:type="dxa"/>
            <w:vAlign w:val="center"/>
          </w:tcPr>
          <w:p>
            <w:pPr>
              <w:rPr>
                <w:b/>
                <w:bCs/>
                <w:u w:val="single"/>
              </w:rPr>
            </w:pPr>
            <w:r>
              <w:rPr>
                <w:rFonts w:hint="eastAsia"/>
                <w:b/>
                <w:bCs/>
                <w:u w:val="single"/>
                <w:lang w:val="en-US" w:eastAsia="zh-CN"/>
              </w:rPr>
              <w:t>4.</w:t>
            </w:r>
            <w:r>
              <w:rPr>
                <w:rFonts w:hint="eastAsia"/>
                <w:b/>
                <w:bCs/>
                <w:u w:val="single"/>
              </w:rPr>
              <w:t>投标人应提供财务状况报告，可提供以下(1）、(2）二者之一:</w:t>
            </w:r>
          </w:p>
          <w:p>
            <w:pPr>
              <w:rPr>
                <w:b/>
                <w:bCs/>
                <w:u w:val="single"/>
              </w:rPr>
            </w:pPr>
            <w:r>
              <w:rPr>
                <w:rFonts w:hint="eastAsia"/>
                <w:b/>
                <w:bCs/>
                <w:u w:val="single"/>
              </w:rPr>
              <w:t>(1)提供202</w:t>
            </w:r>
            <w:r>
              <w:rPr>
                <w:rFonts w:hint="eastAsia"/>
                <w:b/>
                <w:bCs/>
                <w:u w:val="single"/>
                <w:lang w:val="en-US" w:eastAsia="zh-CN"/>
              </w:rPr>
              <w:t>4</w:t>
            </w:r>
            <w:r>
              <w:rPr>
                <w:rFonts w:hint="eastAsia"/>
                <w:b/>
                <w:bCs/>
                <w:u w:val="single"/>
              </w:rPr>
              <w:t>年至今任意一年度经审计的财务审计报告扫描件（包括财务审计报告及“四表一注”，“四表一注”即资产负债表、利润表、现金流量表、所有者权益变动表及其附注；执行小企业会计准则的投标人可不提供所有者权益变动表。）【注：根据《关于加强审计报告查验工作的通知》（财会〔2023〕15号）规定，在2022年10月以后出具的审计报告须在注册会计师行业统一监管平台（网址：http://acc.mof.gov.cn）取得赋码，未取得赋码的财务报告视为无效】</w:t>
            </w:r>
          </w:p>
          <w:p>
            <w:pPr>
              <w:rPr>
                <w:b/>
                <w:bCs/>
                <w:szCs w:val="21"/>
              </w:rPr>
            </w:pPr>
            <w:r>
              <w:rPr>
                <w:rFonts w:hint="eastAsia"/>
                <w:b/>
                <w:bCs/>
                <w:u w:val="single"/>
              </w:rPr>
              <w:t>(2)提供投标文件提交截止时间前三个月内基本开户银行出具的资信证明。【注：资信证明中未明确为基本开户银行的，需同时提供《基本存款账号信息》或《开户许可证》】。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31" w:type="dxa"/>
            <w:vMerge w:val="continue"/>
            <w:vAlign w:val="center"/>
          </w:tcPr>
          <w:p>
            <w:pPr>
              <w:pStyle w:val="19"/>
              <w:spacing w:line="276" w:lineRule="auto"/>
              <w:jc w:val="center"/>
              <w:rPr>
                <w:szCs w:val="21"/>
              </w:rPr>
            </w:pPr>
          </w:p>
        </w:tc>
        <w:tc>
          <w:tcPr>
            <w:tcW w:w="851" w:type="dxa"/>
            <w:vMerge w:val="continue"/>
            <w:vAlign w:val="center"/>
          </w:tcPr>
          <w:p>
            <w:pPr>
              <w:pStyle w:val="19"/>
              <w:spacing w:line="276" w:lineRule="auto"/>
              <w:jc w:val="center"/>
              <w:rPr>
                <w:szCs w:val="21"/>
              </w:rPr>
            </w:pPr>
          </w:p>
        </w:tc>
        <w:tc>
          <w:tcPr>
            <w:tcW w:w="2551" w:type="dxa"/>
            <w:vMerge w:val="continue"/>
            <w:vAlign w:val="center"/>
          </w:tcPr>
          <w:p>
            <w:pPr>
              <w:pStyle w:val="19"/>
              <w:spacing w:line="276" w:lineRule="auto"/>
              <w:rPr>
                <w:bCs/>
                <w:szCs w:val="21"/>
              </w:rPr>
            </w:pPr>
          </w:p>
        </w:tc>
        <w:tc>
          <w:tcPr>
            <w:tcW w:w="5548" w:type="dxa"/>
            <w:vAlign w:val="center"/>
          </w:tcPr>
          <w:p>
            <w:pPr>
              <w:autoSpaceDE w:val="0"/>
              <w:autoSpaceDN w:val="0"/>
              <w:snapToGrid w:val="0"/>
              <w:spacing w:line="400" w:lineRule="exact"/>
              <w:textAlignment w:val="bottom"/>
              <w:rPr>
                <w:rFonts w:ascii="宋体"/>
                <w:b/>
                <w:bCs/>
                <w:szCs w:val="21"/>
                <w:u w:val="single"/>
              </w:rPr>
            </w:pPr>
            <w:r>
              <w:rPr>
                <w:rFonts w:hint="eastAsia" w:ascii="宋体" w:hAnsi="宋体"/>
                <w:b/>
                <w:bCs/>
                <w:szCs w:val="21"/>
                <w:u w:val="single"/>
                <w:lang w:val="en-US" w:eastAsia="zh-CN"/>
              </w:rPr>
              <w:t>5.</w:t>
            </w:r>
            <w:r>
              <w:rPr>
                <w:rFonts w:hint="eastAsia" w:ascii="宋体" w:hAnsi="宋体"/>
                <w:b/>
                <w:bCs/>
                <w:szCs w:val="21"/>
                <w:u w:val="single"/>
              </w:rPr>
              <w:t>投标人书面声明原件</w:t>
            </w:r>
            <w:r>
              <w:rPr>
                <w:rFonts w:hint="eastAsia" w:ascii="宋体" w:hAnsi="宋体"/>
                <w:b/>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31" w:type="dxa"/>
            <w:vAlign w:val="center"/>
          </w:tcPr>
          <w:p>
            <w:pPr>
              <w:pStyle w:val="19"/>
              <w:spacing w:line="276" w:lineRule="auto"/>
              <w:jc w:val="center"/>
              <w:rPr>
                <w:szCs w:val="21"/>
              </w:rPr>
            </w:pPr>
            <w:r>
              <w:rPr>
                <w:rFonts w:hint="eastAsia"/>
                <w:szCs w:val="21"/>
              </w:rPr>
              <w:t>13.1</w:t>
            </w:r>
          </w:p>
        </w:tc>
        <w:tc>
          <w:tcPr>
            <w:tcW w:w="851" w:type="dxa"/>
            <w:vAlign w:val="center"/>
          </w:tcPr>
          <w:p>
            <w:pPr>
              <w:pStyle w:val="19"/>
              <w:spacing w:line="276" w:lineRule="auto"/>
              <w:jc w:val="center"/>
              <w:rPr>
                <w:szCs w:val="21"/>
              </w:rPr>
            </w:pPr>
            <w:r>
              <w:rPr>
                <w:rFonts w:hint="eastAsia"/>
                <w:szCs w:val="21"/>
              </w:rPr>
              <w:t>（10）</w:t>
            </w:r>
          </w:p>
        </w:tc>
        <w:tc>
          <w:tcPr>
            <w:tcW w:w="2551" w:type="dxa"/>
            <w:vAlign w:val="center"/>
          </w:tcPr>
          <w:p>
            <w:pPr>
              <w:pStyle w:val="19"/>
              <w:spacing w:line="276" w:lineRule="auto"/>
              <w:rPr>
                <w:bCs/>
                <w:szCs w:val="21"/>
              </w:rPr>
            </w:pPr>
            <w:r>
              <w:rPr>
                <w:rFonts w:hint="eastAsia"/>
                <w:bCs/>
                <w:szCs w:val="21"/>
              </w:rPr>
              <w:t>构成投标文件的其他资料</w:t>
            </w:r>
          </w:p>
        </w:tc>
        <w:tc>
          <w:tcPr>
            <w:tcW w:w="5548" w:type="dxa"/>
            <w:vAlign w:val="center"/>
          </w:tcPr>
          <w:p>
            <w:pPr>
              <w:autoSpaceDE w:val="0"/>
              <w:autoSpaceDN w:val="0"/>
              <w:snapToGrid w:val="0"/>
              <w:spacing w:line="400" w:lineRule="exact"/>
              <w:textAlignment w:val="bottom"/>
              <w:rPr>
                <w:rFonts w:hint="eastAsia" w:ascii="宋体" w:hAnsi="宋体"/>
                <w:bCs/>
                <w:szCs w:val="21"/>
              </w:rPr>
            </w:pPr>
            <w:r>
              <w:rPr>
                <w:rFonts w:hint="eastAsia" w:ascii="宋体" w:hAnsi="宋体"/>
                <w:bCs/>
                <w:szCs w:val="21"/>
              </w:rPr>
              <w:t>1、</w:t>
            </w:r>
            <w:r>
              <w:rPr>
                <w:rFonts w:hint="eastAsia" w:ascii="宋体" w:hAnsi="宋体"/>
                <w:spacing w:val="6"/>
                <w:szCs w:val="21"/>
              </w:rPr>
              <w:t>中小企业声明函、残疾人福利性单位声明函、监狱企业证明文件（如是）；</w:t>
            </w:r>
          </w:p>
          <w:p>
            <w:pPr>
              <w:autoSpaceDE w:val="0"/>
              <w:autoSpaceDN w:val="0"/>
              <w:snapToGrid w:val="0"/>
              <w:spacing w:line="400" w:lineRule="exact"/>
              <w:textAlignment w:val="bottom"/>
              <w:rPr>
                <w:rFonts w:hint="eastAsia" w:ascii="宋体" w:hAnsi="宋体"/>
                <w:szCs w:val="21"/>
              </w:rPr>
            </w:pPr>
            <w:r>
              <w:rPr>
                <w:rFonts w:hint="eastAsia" w:ascii="宋体" w:hAnsi="宋体"/>
                <w:szCs w:val="21"/>
              </w:rPr>
              <w:t>2、</w:t>
            </w:r>
            <w:r>
              <w:rPr>
                <w:rFonts w:ascii="宋体" w:hAnsi="宋体"/>
                <w:szCs w:val="21"/>
              </w:rPr>
              <w:t>提供生产厂家的相关资格</w:t>
            </w:r>
            <w:r>
              <w:rPr>
                <w:rFonts w:hint="eastAsia" w:ascii="宋体" w:hAnsi="宋体"/>
                <w:szCs w:val="21"/>
              </w:rPr>
              <w:t>、资质证书</w:t>
            </w:r>
            <w:r>
              <w:rPr>
                <w:rFonts w:ascii="宋体" w:hAnsi="宋体"/>
                <w:szCs w:val="21"/>
              </w:rPr>
              <w:t>；</w:t>
            </w:r>
          </w:p>
          <w:p>
            <w:pPr>
              <w:autoSpaceDE w:val="0"/>
              <w:autoSpaceDN w:val="0"/>
              <w:snapToGrid w:val="0"/>
              <w:spacing w:line="400" w:lineRule="exact"/>
              <w:textAlignment w:val="bottom"/>
              <w:rPr>
                <w:rFonts w:hint="eastAsia" w:ascii="宋体" w:hAnsi="宋体"/>
                <w:bCs/>
                <w:szCs w:val="21"/>
              </w:rPr>
            </w:pPr>
            <w:r>
              <w:rPr>
                <w:rFonts w:ascii="宋体" w:hAnsi="宋体"/>
                <w:bCs/>
                <w:szCs w:val="21"/>
              </w:rPr>
              <w:t>3</w:t>
            </w:r>
            <w:r>
              <w:rPr>
                <w:rFonts w:hint="eastAsia" w:ascii="宋体" w:hAnsi="宋体"/>
                <w:bCs/>
                <w:szCs w:val="21"/>
              </w:rPr>
              <w:t>、第五章“货物需求一览表”中要求提供的其他资料；</w:t>
            </w:r>
          </w:p>
          <w:p>
            <w:pPr>
              <w:autoSpaceDE w:val="0"/>
              <w:autoSpaceDN w:val="0"/>
              <w:snapToGrid w:val="0"/>
              <w:spacing w:line="400" w:lineRule="exact"/>
              <w:textAlignment w:val="bottom"/>
              <w:rPr>
                <w:rFonts w:ascii="宋体"/>
                <w:b/>
                <w:bCs/>
                <w:szCs w:val="21"/>
                <w:u w:val="single"/>
              </w:rPr>
            </w:pPr>
            <w:r>
              <w:rPr>
                <w:rFonts w:ascii="宋体" w:hAnsi="宋体"/>
                <w:bCs/>
                <w:szCs w:val="21"/>
              </w:rPr>
              <w:t>4</w:t>
            </w:r>
            <w:r>
              <w:rPr>
                <w:rFonts w:hint="eastAsia" w:ascii="宋体" w:hAnsi="宋体"/>
                <w:bCs/>
                <w:szCs w:val="21"/>
              </w:rPr>
              <w:t>、</w:t>
            </w:r>
            <w:r>
              <w:rPr>
                <w:rFonts w:ascii="宋体" w:hAnsi="宋体"/>
                <w:bCs/>
                <w:szCs w:val="21"/>
              </w:rPr>
              <w:t>招标文件中所涉及到的相关资料及证明文件或投标人认为必须提供的其他相关资料。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17.1</w:t>
            </w:r>
          </w:p>
        </w:tc>
        <w:tc>
          <w:tcPr>
            <w:tcW w:w="2551" w:type="dxa"/>
            <w:vAlign w:val="center"/>
          </w:tcPr>
          <w:p>
            <w:pPr>
              <w:pStyle w:val="19"/>
              <w:spacing w:line="276" w:lineRule="auto"/>
              <w:rPr>
                <w:szCs w:val="21"/>
              </w:rPr>
            </w:pPr>
            <w:r>
              <w:rPr>
                <w:rFonts w:hint="eastAsia"/>
                <w:szCs w:val="21"/>
              </w:rPr>
              <w:t>投标有效期</w:t>
            </w:r>
          </w:p>
        </w:tc>
        <w:tc>
          <w:tcPr>
            <w:tcW w:w="5548" w:type="dxa"/>
            <w:vAlign w:val="center"/>
          </w:tcPr>
          <w:p>
            <w:pPr>
              <w:pStyle w:val="19"/>
              <w:spacing w:line="276" w:lineRule="auto"/>
              <w:rPr>
                <w:szCs w:val="21"/>
              </w:rPr>
            </w:pPr>
            <w:r>
              <w:rPr>
                <w:rFonts w:hint="eastAsia"/>
                <w:szCs w:val="21"/>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19.1</w:t>
            </w:r>
          </w:p>
        </w:tc>
        <w:tc>
          <w:tcPr>
            <w:tcW w:w="2551" w:type="dxa"/>
            <w:vAlign w:val="center"/>
          </w:tcPr>
          <w:p>
            <w:pPr>
              <w:pStyle w:val="19"/>
              <w:spacing w:line="276" w:lineRule="auto"/>
              <w:rPr>
                <w:szCs w:val="21"/>
              </w:rPr>
            </w:pPr>
            <w:r>
              <w:rPr>
                <w:rFonts w:hint="eastAsia"/>
                <w:szCs w:val="21"/>
              </w:rPr>
              <w:t>投标保证金</w:t>
            </w:r>
          </w:p>
        </w:tc>
        <w:tc>
          <w:tcPr>
            <w:tcW w:w="5548" w:type="dxa"/>
            <w:vAlign w:val="center"/>
          </w:tcPr>
          <w:p>
            <w:pPr>
              <w:spacing w:before="82" w:beforeLines="25" w:line="276" w:lineRule="auto"/>
              <w:rPr>
                <w:rFonts w:hint="eastAsia" w:ascii="宋体" w:hAnsi="宋体" w:cs="Arial"/>
                <w:kern w:val="0"/>
                <w:szCs w:val="21"/>
              </w:rPr>
            </w:pPr>
            <w:r>
              <w:rPr>
                <w:rFonts w:hint="eastAsia" w:ascii="宋体" w:hAnsi="宋体" w:cs="Arial"/>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20.1</w:t>
            </w:r>
          </w:p>
        </w:tc>
        <w:tc>
          <w:tcPr>
            <w:tcW w:w="2551" w:type="dxa"/>
            <w:vAlign w:val="center"/>
          </w:tcPr>
          <w:p>
            <w:pPr>
              <w:pStyle w:val="19"/>
              <w:spacing w:line="276" w:lineRule="auto"/>
              <w:rPr>
                <w:szCs w:val="21"/>
              </w:rPr>
            </w:pPr>
            <w:r>
              <w:rPr>
                <w:rFonts w:hint="eastAsia"/>
                <w:szCs w:val="21"/>
              </w:rPr>
              <w:t>投标截止时间</w:t>
            </w:r>
          </w:p>
        </w:tc>
        <w:tc>
          <w:tcPr>
            <w:tcW w:w="5548" w:type="dxa"/>
            <w:vAlign w:val="center"/>
          </w:tcPr>
          <w:p>
            <w:pPr>
              <w:spacing w:before="82" w:beforeLines="25" w:line="276" w:lineRule="auto"/>
              <w:rPr>
                <w:rFonts w:hint="eastAsia" w:ascii="宋体" w:hAnsi="宋体" w:cs="Arial"/>
                <w:kern w:val="0"/>
                <w:szCs w:val="21"/>
              </w:rPr>
            </w:pPr>
            <w:r>
              <w:rPr>
                <w:rFonts w:hint="eastAsia" w:ascii="宋体" w:hAnsi="宋体"/>
                <w:szCs w:val="21"/>
                <w:u w:val="none"/>
              </w:rPr>
              <w:t>2026年</w:t>
            </w:r>
            <w:r>
              <w:rPr>
                <w:rFonts w:hint="eastAsia" w:ascii="宋体" w:hAnsi="宋体"/>
                <w:szCs w:val="21"/>
                <w:u w:val="none"/>
                <w:lang w:val="en-US" w:eastAsia="zh-CN"/>
              </w:rPr>
              <w:t>9</w:t>
            </w:r>
            <w:r>
              <w:rPr>
                <w:rFonts w:hint="eastAsia" w:ascii="宋体" w:hAnsi="宋体"/>
                <w:szCs w:val="21"/>
                <w:u w:val="none"/>
              </w:rPr>
              <w:t>月</w:t>
            </w:r>
            <w:r>
              <w:rPr>
                <w:rFonts w:hint="eastAsia" w:ascii="宋体" w:hAnsi="宋体"/>
                <w:szCs w:val="21"/>
                <w:u w:val="none"/>
                <w:lang w:val="en-US" w:eastAsia="zh-CN"/>
              </w:rPr>
              <w:t>4</w:t>
            </w:r>
            <w:r>
              <w:rPr>
                <w:rFonts w:hint="eastAsia" w:ascii="宋体" w:hAnsi="宋体"/>
                <w:szCs w:val="21"/>
                <w:u w:val="none"/>
              </w:rPr>
              <w:t>日09时</w:t>
            </w:r>
            <w:r>
              <w:rPr>
                <w:rFonts w:hint="eastAsia" w:ascii="宋体" w:hAnsi="宋体"/>
                <w:szCs w:val="21"/>
                <w:u w:val="none"/>
                <w:lang w:val="en-US" w:eastAsia="zh-CN"/>
              </w:rPr>
              <w:t>0</w:t>
            </w:r>
            <w:r>
              <w:rPr>
                <w:rFonts w:hint="eastAsia" w:ascii="宋体" w:hAnsi="宋体"/>
                <w:szCs w:val="21"/>
                <w:u w:val="none"/>
              </w:rPr>
              <w:t>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21.1</w:t>
            </w:r>
          </w:p>
        </w:tc>
        <w:tc>
          <w:tcPr>
            <w:tcW w:w="2551" w:type="dxa"/>
            <w:vAlign w:val="center"/>
          </w:tcPr>
          <w:p>
            <w:pPr>
              <w:pStyle w:val="19"/>
              <w:spacing w:line="276" w:lineRule="auto"/>
              <w:rPr>
                <w:szCs w:val="21"/>
              </w:rPr>
            </w:pPr>
            <w:r>
              <w:rPr>
                <w:rFonts w:hint="eastAsia"/>
                <w:szCs w:val="21"/>
              </w:rPr>
              <w:t>开标时间和地点</w:t>
            </w:r>
          </w:p>
        </w:tc>
        <w:tc>
          <w:tcPr>
            <w:tcW w:w="5548" w:type="dxa"/>
            <w:vAlign w:val="center"/>
          </w:tcPr>
          <w:p>
            <w:pPr>
              <w:pStyle w:val="19"/>
              <w:spacing w:line="276" w:lineRule="auto"/>
              <w:rPr>
                <w:szCs w:val="21"/>
              </w:rPr>
            </w:pPr>
            <w:r>
              <w:rPr>
                <w:rFonts w:hint="eastAsia"/>
                <w:szCs w:val="21"/>
              </w:rPr>
              <w:t>开标时间：同投标截止时间。</w:t>
            </w:r>
          </w:p>
          <w:p>
            <w:pPr>
              <w:pStyle w:val="19"/>
              <w:spacing w:line="276" w:lineRule="auto"/>
              <w:rPr>
                <w:szCs w:val="21"/>
              </w:rPr>
            </w:pPr>
            <w:r>
              <w:rPr>
                <w:rFonts w:hint="eastAsia"/>
                <w:szCs w:val="21"/>
              </w:rPr>
              <w:t>开标地点：昆明高新区科发路269号（科发路与科高路交叉口）交易大厦</w:t>
            </w:r>
            <w:r>
              <w:rPr>
                <w:rFonts w:hint="eastAsia" w:hAnsi="宋体" w:cs="宋体"/>
                <w:szCs w:val="21"/>
                <w:u w:val="single"/>
              </w:rPr>
              <w:t>4楼政采开标厅</w:t>
            </w:r>
            <w:r>
              <w:rPr>
                <w:rFonts w:hint="eastAsia" w:hAnsi="宋体" w:cs="宋体"/>
                <w:szCs w:val="21"/>
              </w:rPr>
              <w:t>（投标人不需要到现场）。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23.4</w:t>
            </w:r>
          </w:p>
        </w:tc>
        <w:tc>
          <w:tcPr>
            <w:tcW w:w="2551" w:type="dxa"/>
            <w:vAlign w:val="center"/>
          </w:tcPr>
          <w:p>
            <w:pPr>
              <w:pStyle w:val="19"/>
              <w:spacing w:line="276" w:lineRule="auto"/>
              <w:rPr>
                <w:szCs w:val="21"/>
              </w:rPr>
            </w:pPr>
            <w:r>
              <w:rPr>
                <w:rFonts w:hint="eastAsia"/>
                <w:szCs w:val="21"/>
              </w:rPr>
              <w:t>评标办法</w:t>
            </w:r>
          </w:p>
        </w:tc>
        <w:tc>
          <w:tcPr>
            <w:tcW w:w="5548" w:type="dxa"/>
            <w:vAlign w:val="center"/>
          </w:tcPr>
          <w:p>
            <w:pPr>
              <w:pStyle w:val="19"/>
              <w:spacing w:line="276" w:lineRule="auto"/>
              <w:rPr>
                <w:szCs w:val="21"/>
              </w:rPr>
            </w:pPr>
            <w:r>
              <w:rPr>
                <w:rFonts w:hint="eastAsia"/>
                <w:szCs w:val="21"/>
              </w:rPr>
              <w:t>□最低评标价法</w:t>
            </w:r>
          </w:p>
          <w:p>
            <w:pPr>
              <w:pStyle w:val="19"/>
              <w:spacing w:line="276" w:lineRule="auto"/>
              <w:rPr>
                <w:szCs w:val="21"/>
              </w:rPr>
            </w:pPr>
            <w:r>
              <w:rPr>
                <w:rFonts w:hAnsi="宋体"/>
                <w:b/>
                <w:sz w:val="24"/>
              </w:rPr>
              <w:fldChar w:fldCharType="begin"/>
            </w:r>
            <w:r>
              <w:rPr>
                <w:rFonts w:hAnsi="宋体"/>
                <w:b/>
                <w:sz w:val="24"/>
              </w:rPr>
              <w:instrText xml:space="preserve"> EQ \o(</w:instrText>
            </w:r>
            <w:r>
              <w:rPr>
                <w:rFonts w:hint="eastAsia" w:hAnsi="宋体"/>
                <w:b/>
                <w:sz w:val="24"/>
              </w:rPr>
              <w:instrText xml:space="preserve">□</w:instrText>
            </w:r>
            <w:r>
              <w:rPr>
                <w:rFonts w:hAnsi="宋体"/>
                <w:b/>
                <w:sz w:val="24"/>
              </w:rPr>
              <w:instrText xml:space="preserve">,</w:instrText>
            </w:r>
            <w:r>
              <w:rPr>
                <w:rFonts w:hint="eastAsia" w:hAnsi="宋体"/>
                <w:b/>
                <w:sz w:val="24"/>
              </w:rPr>
              <w:instrText xml:space="preserve">√</w:instrText>
            </w:r>
            <w:r>
              <w:rPr>
                <w:rFonts w:hAnsi="宋体"/>
                <w:b/>
                <w:sz w:val="24"/>
              </w:rPr>
              <w:instrText xml:space="preserve">)</w:instrText>
            </w:r>
            <w:r>
              <w:rPr>
                <w:rFonts w:hAnsi="宋体"/>
                <w:b/>
                <w:sz w:val="24"/>
              </w:rPr>
              <w:fldChar w:fldCharType="end"/>
            </w:r>
            <w:r>
              <w:rPr>
                <w:rFonts w:hint="eastAsia"/>
                <w:szCs w:val="21"/>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31.1</w:t>
            </w:r>
          </w:p>
        </w:tc>
        <w:tc>
          <w:tcPr>
            <w:tcW w:w="2551" w:type="dxa"/>
            <w:vAlign w:val="center"/>
          </w:tcPr>
          <w:p>
            <w:pPr>
              <w:pStyle w:val="19"/>
              <w:spacing w:line="276" w:lineRule="auto"/>
              <w:rPr>
                <w:szCs w:val="21"/>
              </w:rPr>
            </w:pPr>
            <w:r>
              <w:rPr>
                <w:rFonts w:hint="eastAsia"/>
                <w:bCs/>
                <w:szCs w:val="21"/>
              </w:rPr>
              <w:t>履约保证金</w:t>
            </w:r>
            <w:r>
              <w:rPr>
                <w:rFonts w:hint="eastAsia"/>
                <w:szCs w:val="21"/>
              </w:rPr>
              <w:t>金额</w:t>
            </w:r>
          </w:p>
        </w:tc>
        <w:tc>
          <w:tcPr>
            <w:tcW w:w="5548" w:type="dxa"/>
            <w:vAlign w:val="center"/>
          </w:tcPr>
          <w:p>
            <w:pPr>
              <w:rPr>
                <w:rFonts w:hint="eastAsia" w:eastAsia="宋体"/>
                <w:lang w:val="en-US" w:eastAsia="zh-CN"/>
              </w:rPr>
            </w:pPr>
            <w:r>
              <w:rPr>
                <w:rFonts w:hint="eastAsia"/>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31.3</w:t>
            </w:r>
          </w:p>
        </w:tc>
        <w:tc>
          <w:tcPr>
            <w:tcW w:w="2551" w:type="dxa"/>
            <w:vAlign w:val="center"/>
          </w:tcPr>
          <w:p>
            <w:pPr>
              <w:pStyle w:val="19"/>
              <w:spacing w:line="276" w:lineRule="auto"/>
              <w:rPr>
                <w:szCs w:val="21"/>
              </w:rPr>
            </w:pPr>
            <w:r>
              <w:rPr>
                <w:rFonts w:hint="eastAsia"/>
                <w:szCs w:val="21"/>
              </w:rPr>
              <w:t>履约保证金退还时间</w:t>
            </w:r>
          </w:p>
        </w:tc>
        <w:tc>
          <w:tcPr>
            <w:tcW w:w="5548" w:type="dxa"/>
            <w:vAlign w:val="center"/>
          </w:tcPr>
          <w:p>
            <w:pPr>
              <w:rPr>
                <w:rFonts w:hint="eastAsia" w:ascii="宋体" w:hAnsi="宋体" w:eastAsia="宋体"/>
                <w:szCs w:val="21"/>
                <w:lang w:val="en-US" w:eastAsia="zh-CN"/>
              </w:rPr>
            </w:pPr>
            <w:r>
              <w:rPr>
                <w:rFonts w:hint="eastAsia" w:ascii="宋体" w:hAnsi="宋体"/>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82" w:type="dxa"/>
            <w:gridSpan w:val="2"/>
            <w:vAlign w:val="center"/>
          </w:tcPr>
          <w:p>
            <w:pPr>
              <w:pStyle w:val="19"/>
              <w:spacing w:line="276" w:lineRule="auto"/>
              <w:jc w:val="center"/>
              <w:rPr>
                <w:szCs w:val="21"/>
              </w:rPr>
            </w:pPr>
            <w:r>
              <w:rPr>
                <w:rFonts w:hint="eastAsia"/>
                <w:szCs w:val="21"/>
              </w:rPr>
              <w:t>32</w:t>
            </w:r>
          </w:p>
        </w:tc>
        <w:tc>
          <w:tcPr>
            <w:tcW w:w="2551" w:type="dxa"/>
            <w:vAlign w:val="center"/>
          </w:tcPr>
          <w:p>
            <w:pPr>
              <w:pStyle w:val="19"/>
              <w:spacing w:line="276" w:lineRule="auto"/>
              <w:rPr>
                <w:szCs w:val="21"/>
              </w:rPr>
            </w:pPr>
            <w:r>
              <w:rPr>
                <w:rFonts w:hint="eastAsia"/>
                <w:szCs w:val="21"/>
              </w:rPr>
              <w:t>采购代理服务费</w:t>
            </w:r>
          </w:p>
        </w:tc>
        <w:tc>
          <w:tcPr>
            <w:tcW w:w="5548" w:type="dxa"/>
            <w:vAlign w:val="center"/>
          </w:tcPr>
          <w:p>
            <w:pPr>
              <w:pStyle w:val="19"/>
              <w:rPr>
                <w:rFonts w:hint="eastAsia" w:hAnsi="宋体"/>
                <w:szCs w:val="21"/>
              </w:rPr>
            </w:pPr>
            <w:r>
              <w:rPr>
                <w:rFonts w:hint="eastAsia" w:hAnsi="宋体"/>
                <w:szCs w:val="21"/>
              </w:rPr>
              <w:t>无</w:t>
            </w:r>
          </w:p>
        </w:tc>
      </w:tr>
    </w:tbl>
    <w:p>
      <w:pPr>
        <w:rPr>
          <w:rFonts w:ascii="宋体"/>
        </w:rPr>
      </w:pPr>
    </w:p>
    <w:p>
      <w:pPr>
        <w:jc w:val="center"/>
        <w:outlineLvl w:val="1"/>
        <w:rPr>
          <w:rFonts w:ascii="黑体"/>
          <w:szCs w:val="28"/>
        </w:rPr>
      </w:pPr>
      <w:r>
        <w:rPr>
          <w:rFonts w:hint="eastAsia" w:ascii="宋体"/>
        </w:rPr>
        <w:br w:type="page"/>
      </w:r>
      <w:bookmarkStart w:id="87" w:name="_Toc17228"/>
      <w:bookmarkStart w:id="88" w:name="_Toc11919"/>
      <w:bookmarkStart w:id="89" w:name="_Toc16932"/>
      <w:r>
        <w:rPr>
          <w:rFonts w:hint="eastAsia" w:ascii="黑体" w:eastAsia="黑体"/>
          <w:b/>
          <w:kern w:val="0"/>
          <w:sz w:val="28"/>
          <w:szCs w:val="28"/>
        </w:rPr>
        <w:t>一、总  则</w:t>
      </w:r>
      <w:bookmarkEnd w:id="87"/>
      <w:bookmarkEnd w:id="88"/>
      <w:bookmarkEnd w:id="89"/>
    </w:p>
    <w:p>
      <w:pPr>
        <w:pStyle w:val="4"/>
        <w:numPr>
          <w:ilvl w:val="0"/>
          <w:numId w:val="3"/>
        </w:numPr>
        <w:spacing w:before="0"/>
        <w:rPr>
          <w:rFonts w:ascii="宋体" w:eastAsia="宋体"/>
          <w:sz w:val="24"/>
          <w:szCs w:val="24"/>
        </w:rPr>
      </w:pPr>
      <w:bookmarkStart w:id="90" w:name="_Toc23778"/>
      <w:bookmarkStart w:id="91" w:name="_Toc31516"/>
      <w:bookmarkStart w:id="92" w:name="_Toc9484"/>
      <w:bookmarkStart w:id="93" w:name="_Toc5463"/>
      <w:r>
        <w:rPr>
          <w:rFonts w:hint="eastAsia" w:ascii="宋体" w:eastAsia="宋体"/>
          <w:sz w:val="24"/>
          <w:szCs w:val="24"/>
        </w:rPr>
        <w:t>项目概况</w:t>
      </w:r>
      <w:bookmarkEnd w:id="90"/>
      <w:bookmarkEnd w:id="91"/>
      <w:bookmarkEnd w:id="92"/>
      <w:bookmarkEnd w:id="93"/>
    </w:p>
    <w:p>
      <w:pPr>
        <w:spacing w:line="360" w:lineRule="auto"/>
        <w:ind w:firstLine="420" w:firstLineChars="200"/>
        <w:jc w:val="left"/>
        <w:rPr>
          <w:rFonts w:ascii="宋体"/>
          <w:szCs w:val="21"/>
        </w:rPr>
      </w:pPr>
      <w:r>
        <w:rPr>
          <w:rFonts w:hint="eastAsia" w:ascii="宋体"/>
          <w:szCs w:val="21"/>
        </w:rPr>
        <w:t>1.1 根据《中华人民共和国政府采购法》、</w:t>
      </w:r>
      <w:r>
        <w:rPr>
          <w:rFonts w:hint="eastAsia" w:ascii="宋体" w:hAnsi="宋体"/>
          <w:szCs w:val="21"/>
        </w:rPr>
        <w:t>《政府采购货物和服务招标投标管理办法》（财政部令第87号）</w:t>
      </w:r>
      <w:r>
        <w:rPr>
          <w:rFonts w:hint="eastAsia" w:ascii="宋体"/>
          <w:szCs w:val="21"/>
        </w:rPr>
        <w:t>等有关法律、法规和规章的规定，本招标项目已具备招标条件，现对本次货物采购进行招标。</w:t>
      </w:r>
    </w:p>
    <w:p>
      <w:pPr>
        <w:spacing w:line="360" w:lineRule="auto"/>
        <w:ind w:firstLine="420" w:firstLineChars="200"/>
        <w:jc w:val="left"/>
        <w:rPr>
          <w:rFonts w:ascii="宋体"/>
          <w:szCs w:val="21"/>
        </w:rPr>
      </w:pPr>
      <w:r>
        <w:rPr>
          <w:rFonts w:hint="eastAsia" w:ascii="宋体"/>
          <w:szCs w:val="21"/>
        </w:rPr>
        <w:t>1.2 本项目采购人、采购代理机构、项目名称、招标编号、项目预算及最高限价：见“</w:t>
      </w:r>
      <w:r>
        <w:rPr>
          <w:rFonts w:hint="eastAsia" w:ascii="宋体" w:hAnsi="宋体" w:cs="Arial"/>
          <w:kern w:val="0"/>
          <w:szCs w:val="21"/>
        </w:rPr>
        <w:t>投标人</w:t>
      </w:r>
      <w:r>
        <w:rPr>
          <w:rFonts w:hint="eastAsia" w:ascii="宋体"/>
          <w:bCs/>
          <w:szCs w:val="21"/>
        </w:rPr>
        <w:t>须知前附表</w:t>
      </w:r>
      <w:r>
        <w:rPr>
          <w:rFonts w:hint="eastAsia" w:ascii="宋体"/>
          <w:szCs w:val="21"/>
        </w:rPr>
        <w:t>”。</w:t>
      </w:r>
    </w:p>
    <w:p>
      <w:pPr>
        <w:pStyle w:val="4"/>
        <w:numPr>
          <w:ilvl w:val="0"/>
          <w:numId w:val="3"/>
        </w:numPr>
        <w:spacing w:before="0"/>
        <w:rPr>
          <w:rFonts w:ascii="宋体" w:eastAsia="宋体"/>
          <w:sz w:val="24"/>
          <w:szCs w:val="24"/>
        </w:rPr>
      </w:pPr>
      <w:bookmarkStart w:id="94" w:name="_Toc1651"/>
      <w:bookmarkStart w:id="95" w:name="_Toc12913"/>
      <w:bookmarkStart w:id="96" w:name="_Toc2249"/>
      <w:bookmarkStart w:id="97" w:name="_Toc32555"/>
      <w:bookmarkStart w:id="98" w:name="_Toc468805854"/>
      <w:r>
        <w:rPr>
          <w:rFonts w:hint="eastAsia" w:ascii="宋体" w:eastAsia="宋体"/>
          <w:sz w:val="24"/>
          <w:szCs w:val="24"/>
        </w:rPr>
        <w:t>资金来源</w:t>
      </w:r>
      <w:bookmarkEnd w:id="94"/>
      <w:bookmarkEnd w:id="95"/>
      <w:bookmarkEnd w:id="96"/>
      <w:bookmarkEnd w:id="97"/>
    </w:p>
    <w:p>
      <w:pPr>
        <w:spacing w:line="360" w:lineRule="auto"/>
        <w:ind w:firstLine="420" w:firstLineChars="200"/>
        <w:jc w:val="left"/>
        <w:rPr>
          <w:rFonts w:ascii="宋体"/>
          <w:szCs w:val="21"/>
        </w:rPr>
      </w:pPr>
      <w:r>
        <w:rPr>
          <w:rFonts w:hint="eastAsia" w:ascii="宋体"/>
          <w:szCs w:val="21"/>
        </w:rPr>
        <w:t>2.1 “</w:t>
      </w:r>
      <w:r>
        <w:rPr>
          <w:rFonts w:hint="eastAsia" w:ascii="宋体" w:hAnsi="宋体" w:cs="Arial"/>
          <w:kern w:val="0"/>
          <w:szCs w:val="21"/>
        </w:rPr>
        <w:t>投标人</w:t>
      </w:r>
      <w:r>
        <w:rPr>
          <w:rFonts w:hint="eastAsia" w:ascii="宋体"/>
          <w:bCs/>
          <w:szCs w:val="21"/>
        </w:rPr>
        <w:t>须知前附表</w:t>
      </w:r>
      <w:r>
        <w:rPr>
          <w:rFonts w:hint="eastAsia" w:ascii="宋体"/>
          <w:szCs w:val="21"/>
        </w:rPr>
        <w:t>”中所述的采购人已获得一笔政府采购资金，用于采购“</w:t>
      </w:r>
      <w:r>
        <w:rPr>
          <w:rFonts w:hint="eastAsia" w:ascii="宋体"/>
          <w:bCs/>
          <w:szCs w:val="21"/>
        </w:rPr>
        <w:t>货物需求一览表</w:t>
      </w:r>
      <w:r>
        <w:rPr>
          <w:rFonts w:hint="eastAsia" w:ascii="宋体"/>
          <w:szCs w:val="21"/>
        </w:rPr>
        <w:t>”所列货物。</w:t>
      </w:r>
    </w:p>
    <w:p>
      <w:pPr>
        <w:pStyle w:val="4"/>
        <w:numPr>
          <w:ilvl w:val="0"/>
          <w:numId w:val="3"/>
        </w:numPr>
        <w:spacing w:before="0"/>
        <w:rPr>
          <w:rFonts w:ascii="宋体" w:eastAsia="宋体"/>
          <w:sz w:val="24"/>
          <w:szCs w:val="24"/>
        </w:rPr>
      </w:pPr>
      <w:bookmarkStart w:id="99" w:name="_Toc30548"/>
      <w:bookmarkStart w:id="100" w:name="_Toc7944"/>
      <w:bookmarkStart w:id="101" w:name="_Toc24948"/>
      <w:bookmarkStart w:id="102" w:name="_Toc23828"/>
      <w:r>
        <w:rPr>
          <w:rFonts w:hint="eastAsia" w:ascii="宋体" w:eastAsia="宋体"/>
          <w:sz w:val="24"/>
          <w:szCs w:val="24"/>
        </w:rPr>
        <w:t>招标范围及交货期</w:t>
      </w:r>
      <w:bookmarkEnd w:id="99"/>
      <w:bookmarkEnd w:id="100"/>
      <w:bookmarkEnd w:id="101"/>
      <w:bookmarkEnd w:id="102"/>
    </w:p>
    <w:p>
      <w:pPr>
        <w:spacing w:line="360" w:lineRule="auto"/>
        <w:ind w:firstLine="420" w:firstLineChars="200"/>
        <w:jc w:val="left"/>
        <w:rPr>
          <w:rFonts w:ascii="宋体"/>
          <w:szCs w:val="21"/>
        </w:rPr>
      </w:pPr>
      <w:r>
        <w:rPr>
          <w:rFonts w:hint="eastAsia" w:ascii="宋体"/>
          <w:szCs w:val="21"/>
        </w:rPr>
        <w:t>3.1 本项目招标范围：见“</w:t>
      </w:r>
      <w:r>
        <w:rPr>
          <w:rFonts w:hint="eastAsia" w:ascii="宋体" w:hAnsi="宋体" w:cs="Arial"/>
          <w:kern w:val="0"/>
          <w:szCs w:val="21"/>
        </w:rPr>
        <w:t>投标人</w:t>
      </w:r>
      <w:r>
        <w:rPr>
          <w:rFonts w:hint="eastAsia" w:ascii="宋体"/>
          <w:bCs/>
          <w:szCs w:val="21"/>
        </w:rPr>
        <w:t>须知前附表</w:t>
      </w:r>
      <w:r>
        <w:rPr>
          <w:rFonts w:hint="eastAsia" w:ascii="宋体"/>
          <w:szCs w:val="21"/>
        </w:rPr>
        <w:t>”。</w:t>
      </w:r>
    </w:p>
    <w:p>
      <w:pPr>
        <w:spacing w:line="360" w:lineRule="auto"/>
        <w:ind w:firstLine="420" w:firstLineChars="200"/>
        <w:jc w:val="left"/>
        <w:rPr>
          <w:rFonts w:ascii="宋体"/>
          <w:szCs w:val="21"/>
        </w:rPr>
      </w:pPr>
      <w:r>
        <w:rPr>
          <w:rFonts w:hint="eastAsia" w:ascii="宋体"/>
          <w:szCs w:val="21"/>
        </w:rPr>
        <w:t>3.2 本项目交货期：见“</w:t>
      </w:r>
      <w:r>
        <w:rPr>
          <w:rFonts w:hint="eastAsia" w:ascii="宋体" w:hAnsi="宋体" w:cs="Arial"/>
          <w:kern w:val="0"/>
          <w:szCs w:val="21"/>
        </w:rPr>
        <w:t>投标人</w:t>
      </w:r>
      <w:r>
        <w:rPr>
          <w:rFonts w:hint="eastAsia" w:ascii="宋体"/>
          <w:bCs/>
          <w:szCs w:val="21"/>
        </w:rPr>
        <w:t>须知前附表</w:t>
      </w:r>
      <w:r>
        <w:rPr>
          <w:rFonts w:hint="eastAsia" w:ascii="宋体"/>
          <w:szCs w:val="21"/>
        </w:rPr>
        <w:t>”。</w:t>
      </w:r>
    </w:p>
    <w:p>
      <w:pPr>
        <w:pStyle w:val="4"/>
        <w:numPr>
          <w:ilvl w:val="0"/>
          <w:numId w:val="3"/>
        </w:numPr>
        <w:spacing w:before="0"/>
        <w:rPr>
          <w:rFonts w:ascii="宋体" w:eastAsia="宋体"/>
          <w:sz w:val="24"/>
          <w:szCs w:val="24"/>
        </w:rPr>
      </w:pPr>
      <w:bookmarkStart w:id="103" w:name="_Toc4105"/>
      <w:bookmarkStart w:id="104" w:name="_Toc31330"/>
      <w:bookmarkStart w:id="105" w:name="_Toc21728"/>
      <w:bookmarkStart w:id="106" w:name="_Toc30425"/>
      <w:r>
        <w:rPr>
          <w:rFonts w:hint="eastAsia" w:ascii="宋体" w:eastAsia="宋体"/>
          <w:sz w:val="24"/>
          <w:szCs w:val="24"/>
        </w:rPr>
        <w:t>合格的投标人</w:t>
      </w:r>
      <w:bookmarkEnd w:id="103"/>
      <w:bookmarkEnd w:id="104"/>
      <w:bookmarkEnd w:id="105"/>
      <w:bookmarkEnd w:id="106"/>
    </w:p>
    <w:p>
      <w:pPr>
        <w:spacing w:line="360" w:lineRule="auto"/>
        <w:ind w:firstLine="420" w:firstLineChars="200"/>
        <w:jc w:val="left"/>
        <w:rPr>
          <w:rFonts w:ascii="宋体"/>
          <w:szCs w:val="21"/>
        </w:rPr>
      </w:pPr>
      <w:r>
        <w:rPr>
          <w:rFonts w:hint="eastAsia" w:ascii="宋体"/>
          <w:szCs w:val="21"/>
        </w:rPr>
        <w:t xml:space="preserve">4.1 </w:t>
      </w:r>
      <w:r>
        <w:rPr>
          <w:rFonts w:hint="eastAsia" w:ascii="宋体" w:hAnsi="宋体" w:cs="Arial"/>
          <w:kern w:val="0"/>
          <w:szCs w:val="21"/>
        </w:rPr>
        <w:t>投标人</w:t>
      </w:r>
      <w:r>
        <w:rPr>
          <w:rFonts w:hint="eastAsia" w:ascii="宋体"/>
          <w:szCs w:val="21"/>
        </w:rPr>
        <w:t>应具备《中华人民共和国政府采购法》第二十二条规定的条件。</w:t>
      </w:r>
    </w:p>
    <w:p>
      <w:pPr>
        <w:spacing w:line="360" w:lineRule="auto"/>
        <w:ind w:firstLine="420" w:firstLineChars="200"/>
        <w:jc w:val="left"/>
        <w:rPr>
          <w:rFonts w:ascii="宋体"/>
          <w:szCs w:val="21"/>
        </w:rPr>
      </w:pPr>
      <w:r>
        <w:rPr>
          <w:rFonts w:hint="eastAsia" w:ascii="宋体"/>
          <w:szCs w:val="21"/>
        </w:rPr>
        <w:t>4.2 投标人应符合采购人根据采购项目的特殊要求规定的特定条件。特定条件见 “投标邀请”。</w:t>
      </w:r>
    </w:p>
    <w:p>
      <w:pPr>
        <w:spacing w:line="360" w:lineRule="auto"/>
        <w:ind w:firstLine="420" w:firstLineChars="200"/>
        <w:jc w:val="left"/>
        <w:rPr>
          <w:rFonts w:ascii="宋体"/>
          <w:szCs w:val="21"/>
        </w:rPr>
      </w:pPr>
      <w:r>
        <w:rPr>
          <w:rFonts w:hint="eastAsia" w:ascii="宋体"/>
          <w:szCs w:val="21"/>
        </w:rPr>
        <w:t>4.3 投标人在投标截止时间前未被列入“失信被执行人”、“重大税收违法案件当事人名单”、“政府采购严重违法失信名单”。</w:t>
      </w:r>
    </w:p>
    <w:p>
      <w:pPr>
        <w:spacing w:line="360" w:lineRule="auto"/>
        <w:ind w:firstLine="420" w:firstLineChars="200"/>
        <w:jc w:val="left"/>
        <w:rPr>
          <w:rFonts w:ascii="宋体"/>
          <w:szCs w:val="21"/>
        </w:rPr>
      </w:pPr>
      <w:r>
        <w:rPr>
          <w:rFonts w:hint="eastAsia" w:ascii="宋体"/>
          <w:szCs w:val="21"/>
        </w:rPr>
        <w:t>4.4 “投标人须知前附表”规定接受联合体投标的，联合体各方还应遵守以下规定：</w:t>
      </w:r>
    </w:p>
    <w:p>
      <w:pPr>
        <w:spacing w:line="360" w:lineRule="auto"/>
        <w:ind w:firstLine="420" w:firstLineChars="200"/>
        <w:jc w:val="left"/>
        <w:rPr>
          <w:rFonts w:ascii="宋体"/>
          <w:szCs w:val="21"/>
        </w:rPr>
      </w:pPr>
      <w:r>
        <w:rPr>
          <w:rFonts w:hint="eastAsia" w:ascii="宋体"/>
          <w:szCs w:val="21"/>
        </w:rPr>
        <w:t>4.4.1 联合体各方均应具备《中华人民共和国政府采购法》第二十二条规定的条件；</w:t>
      </w:r>
    </w:p>
    <w:p>
      <w:pPr>
        <w:spacing w:line="360" w:lineRule="auto"/>
        <w:ind w:firstLine="420" w:firstLineChars="200"/>
        <w:jc w:val="left"/>
        <w:rPr>
          <w:rFonts w:ascii="宋体"/>
          <w:szCs w:val="21"/>
        </w:rPr>
      </w:pPr>
      <w:r>
        <w:rPr>
          <w:rFonts w:hint="eastAsia" w:ascii="宋体"/>
          <w:szCs w:val="21"/>
        </w:rPr>
        <w:t>4.4.2 采购人根据采购项目的特殊要求规定投标人特定条件的，联合体各方均应符合本项目的特定条件；</w:t>
      </w:r>
    </w:p>
    <w:p>
      <w:pPr>
        <w:spacing w:line="360" w:lineRule="auto"/>
        <w:ind w:firstLine="420" w:firstLineChars="200"/>
        <w:jc w:val="left"/>
        <w:rPr>
          <w:rFonts w:ascii="宋体"/>
          <w:szCs w:val="21"/>
        </w:rPr>
      </w:pPr>
      <w:r>
        <w:rPr>
          <w:rFonts w:hint="eastAsia" w:ascii="宋体"/>
          <w:szCs w:val="21"/>
        </w:rPr>
        <w:t>4.4.3 联合体各方在投标截止时间前均未被列入“失信被执行人”、“重大税收违法案件当事人名单”、“政府采购严重违法失信名单”。</w:t>
      </w:r>
    </w:p>
    <w:p>
      <w:pPr>
        <w:spacing w:line="360" w:lineRule="auto"/>
        <w:ind w:firstLine="420" w:firstLineChars="200"/>
        <w:jc w:val="left"/>
        <w:rPr>
          <w:rFonts w:ascii="宋体"/>
          <w:szCs w:val="21"/>
        </w:rPr>
      </w:pPr>
      <w:r>
        <w:rPr>
          <w:rFonts w:hint="eastAsia" w:ascii="宋体"/>
          <w:szCs w:val="21"/>
        </w:rPr>
        <w:t>4.4.4 联合体各方之间应当签订共同投标协议，明确约定联合体各方承担的工作和相应的责任，并将共同投标协议连同投标文件一并提交；</w:t>
      </w:r>
    </w:p>
    <w:p>
      <w:pPr>
        <w:spacing w:line="360" w:lineRule="auto"/>
        <w:ind w:firstLine="420" w:firstLineChars="200"/>
        <w:jc w:val="left"/>
        <w:rPr>
          <w:rFonts w:ascii="宋体"/>
          <w:szCs w:val="21"/>
        </w:rPr>
      </w:pPr>
      <w:r>
        <w:rPr>
          <w:rFonts w:hint="eastAsia" w:ascii="宋体"/>
          <w:szCs w:val="21"/>
        </w:rPr>
        <w:t>4.4.5 联合体各方不得再以自己名义单独或参加其他联合体在同一项目中投标。</w:t>
      </w:r>
    </w:p>
    <w:p>
      <w:pPr>
        <w:spacing w:line="440" w:lineRule="exact"/>
        <w:ind w:firstLine="420"/>
      </w:pPr>
      <w:r>
        <w:rPr>
          <w:rFonts w:hint="eastAsia" w:ascii="宋体" w:hAnsi="宋体"/>
          <w:szCs w:val="21"/>
        </w:rPr>
        <w:t>4.4.6 单位负责人为同一人或者存在直接控股、管理关系的不同投标人，不得参加同一合同项下的政府采购活动。</w:t>
      </w:r>
    </w:p>
    <w:p>
      <w:pPr>
        <w:spacing w:line="360" w:lineRule="auto"/>
        <w:ind w:firstLine="420" w:firstLineChars="200"/>
        <w:jc w:val="left"/>
        <w:rPr>
          <w:rFonts w:ascii="宋体"/>
          <w:szCs w:val="21"/>
        </w:rPr>
      </w:pPr>
      <w:r>
        <w:rPr>
          <w:rFonts w:hint="eastAsia" w:ascii="宋体"/>
          <w:szCs w:val="21"/>
        </w:rPr>
        <w:t>4.5 投标人不得是直接或间接地与为本次采购的货物提供整体设计、规范编制或者项目管理、监理、检测等服务的供应商。供应商名单详见“投标人须知前附表”。</w:t>
      </w:r>
    </w:p>
    <w:p>
      <w:pPr>
        <w:spacing w:line="360" w:lineRule="auto"/>
        <w:ind w:firstLine="420" w:firstLineChars="200"/>
        <w:jc w:val="left"/>
        <w:rPr>
          <w:rFonts w:ascii="宋体"/>
          <w:szCs w:val="21"/>
        </w:rPr>
      </w:pPr>
      <w:r>
        <w:rPr>
          <w:rFonts w:hint="eastAsia" w:ascii="宋体"/>
          <w:szCs w:val="21"/>
        </w:rPr>
        <w:t>若发现相关供应商参加投标的，可按本章第6项要求向云南省政府采购和出让中心或采购人提出</w:t>
      </w:r>
      <w:r>
        <w:rPr>
          <w:rFonts w:hint="eastAsia" w:ascii="宋体"/>
          <w:b/>
          <w:szCs w:val="21"/>
          <w:u w:val="single"/>
        </w:rPr>
        <w:t>书面</w:t>
      </w:r>
      <w:r>
        <w:rPr>
          <w:rFonts w:hint="eastAsia" w:ascii="宋体"/>
          <w:szCs w:val="21"/>
        </w:rPr>
        <w:t>质疑。</w:t>
      </w:r>
    </w:p>
    <w:p>
      <w:pPr>
        <w:spacing w:line="360" w:lineRule="auto"/>
        <w:ind w:firstLine="420" w:firstLineChars="200"/>
        <w:jc w:val="left"/>
        <w:rPr>
          <w:rFonts w:ascii="宋体"/>
          <w:szCs w:val="21"/>
        </w:rPr>
      </w:pPr>
      <w:r>
        <w:rPr>
          <w:rFonts w:hint="eastAsia" w:ascii="宋体"/>
          <w:szCs w:val="21"/>
        </w:rPr>
        <w:t>4.6 符合上述条件的投标人应承担投标及履约中应承担的全部责任与义务。</w:t>
      </w:r>
    </w:p>
    <w:p>
      <w:pPr>
        <w:pStyle w:val="4"/>
        <w:numPr>
          <w:ilvl w:val="0"/>
          <w:numId w:val="3"/>
        </w:numPr>
        <w:tabs>
          <w:tab w:val="clear" w:pos="1588"/>
        </w:tabs>
        <w:spacing w:before="0"/>
        <w:rPr>
          <w:rFonts w:ascii="宋体" w:eastAsia="宋体"/>
          <w:sz w:val="24"/>
          <w:szCs w:val="24"/>
        </w:rPr>
      </w:pPr>
      <w:bookmarkStart w:id="107" w:name="_Toc15868"/>
      <w:r>
        <w:rPr>
          <w:rFonts w:hint="eastAsia" w:ascii="宋体" w:eastAsia="宋体"/>
          <w:sz w:val="24"/>
          <w:szCs w:val="24"/>
        </w:rPr>
        <w:t>投标费用</w:t>
      </w:r>
      <w:bookmarkEnd w:id="107"/>
    </w:p>
    <w:p>
      <w:pPr>
        <w:spacing w:line="360" w:lineRule="auto"/>
        <w:ind w:firstLine="420" w:firstLineChars="200"/>
        <w:jc w:val="left"/>
        <w:rPr>
          <w:rFonts w:ascii="宋体"/>
          <w:szCs w:val="21"/>
        </w:rPr>
      </w:pPr>
      <w:r>
        <w:rPr>
          <w:rFonts w:hint="eastAsia" w:ascii="宋体"/>
          <w:szCs w:val="21"/>
        </w:rPr>
        <w:t>5.1 不论投标结果如何，投标人均应自行承担所有与准备和参加投标活动有关的全部费用。</w:t>
      </w:r>
    </w:p>
    <w:p>
      <w:pPr>
        <w:pStyle w:val="4"/>
        <w:numPr>
          <w:ilvl w:val="0"/>
          <w:numId w:val="3"/>
        </w:numPr>
        <w:spacing w:before="0"/>
        <w:rPr>
          <w:rFonts w:ascii="宋体" w:eastAsia="宋体"/>
          <w:sz w:val="24"/>
          <w:szCs w:val="24"/>
        </w:rPr>
      </w:pPr>
      <w:bookmarkStart w:id="108" w:name="_Toc24956"/>
      <w:bookmarkStart w:id="109" w:name="_Toc21715"/>
      <w:bookmarkStart w:id="110" w:name="_Toc21166"/>
      <w:bookmarkStart w:id="111" w:name="_Toc24171"/>
      <w:r>
        <w:rPr>
          <w:rFonts w:hint="eastAsia" w:ascii="宋体" w:eastAsia="宋体"/>
          <w:sz w:val="24"/>
          <w:szCs w:val="24"/>
        </w:rPr>
        <w:t>质疑</w:t>
      </w:r>
      <w:bookmarkEnd w:id="108"/>
      <w:bookmarkEnd w:id="109"/>
      <w:bookmarkEnd w:id="110"/>
      <w:bookmarkEnd w:id="111"/>
    </w:p>
    <w:p>
      <w:pPr>
        <w:spacing w:line="360" w:lineRule="auto"/>
        <w:ind w:firstLine="435"/>
      </w:pPr>
      <w:r>
        <w:rPr>
          <w:rFonts w:hint="eastAsia"/>
        </w:rPr>
        <w:t>6.1 投标人认为招标文件、招标过程和中标结果使自己的合法权益受到损害的，可以在知道或者应知其权益受到损害之日起七个工作日内，以书面形式向下列部门或采购人提出质疑。提出质疑的投标人应当是参与所质疑项目采购活动的投标人，投标人针对同一采购程序环节的质疑应当在法定质疑期内一次性提出，提出质疑时应当有明确的请求和必要的证明材料。</w:t>
      </w:r>
    </w:p>
    <w:p>
      <w:pPr>
        <w:spacing w:line="360" w:lineRule="auto"/>
        <w:ind w:firstLine="435"/>
      </w:pPr>
      <w:r>
        <w:rPr>
          <w:rFonts w:hint="eastAsia"/>
        </w:rPr>
        <w:t>受理质疑部门：云南省政府采购和出让中心；联系人：</w:t>
      </w:r>
      <w:r>
        <w:t>王靖</w:t>
      </w:r>
      <w:r>
        <w:rPr>
          <w:rFonts w:hint="eastAsia"/>
        </w:rPr>
        <w:t>、唐爱云；电话：0871-65300229；地址：昆明高新区科发路269号交易大厦4楼综合监管科（政采402室）。</w:t>
      </w:r>
    </w:p>
    <w:p>
      <w:pPr>
        <w:spacing w:line="360" w:lineRule="auto"/>
        <w:ind w:firstLine="435"/>
      </w:pPr>
      <w:r>
        <w:rPr>
          <w:rFonts w:hint="eastAsia"/>
        </w:rPr>
        <w:t>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pPr>
        <w:spacing w:line="360" w:lineRule="auto"/>
        <w:ind w:firstLine="435"/>
      </w:pPr>
      <w:r>
        <w:rPr>
          <w:rFonts w:hint="eastAsia"/>
        </w:rPr>
        <w:t>递交质疑函时，若投标人为自然人的，须同时递交身份证扫描件；若投标人为法人或者其他组织的，须同时递交法定代表人或主要负责人的资格证明书。</w:t>
      </w:r>
    </w:p>
    <w:p>
      <w:pPr>
        <w:spacing w:line="360" w:lineRule="auto"/>
        <w:ind w:firstLine="435"/>
      </w:pPr>
      <w:r>
        <w:rPr>
          <w:rFonts w:hint="eastAsia"/>
        </w:rPr>
        <w:t>6.3 投标人提出质疑应当提交质疑函和必要的证明材料（如材料中有外文资料应同时附上中文译本）。质疑函应当包括下列内容：</w:t>
      </w:r>
    </w:p>
    <w:p>
      <w:pPr>
        <w:spacing w:line="360" w:lineRule="auto"/>
        <w:ind w:firstLine="435"/>
      </w:pPr>
      <w:r>
        <w:rPr>
          <w:rFonts w:hint="eastAsia"/>
        </w:rPr>
        <w:t>（1）投标人的姓名或者名称、地址、邮编、联系人及联系电话；</w:t>
      </w:r>
    </w:p>
    <w:p>
      <w:pPr>
        <w:spacing w:line="360" w:lineRule="auto"/>
        <w:ind w:firstLine="435"/>
      </w:pPr>
      <w:r>
        <w:rPr>
          <w:rFonts w:hint="eastAsia"/>
        </w:rPr>
        <w:t>（2）质疑项目的名称、编号；</w:t>
      </w:r>
    </w:p>
    <w:p>
      <w:pPr>
        <w:spacing w:line="360" w:lineRule="auto"/>
        <w:ind w:firstLine="435"/>
      </w:pPr>
      <w:r>
        <w:rPr>
          <w:rFonts w:hint="eastAsia"/>
        </w:rPr>
        <w:t>（3）具体、明确的质疑事项和与质疑事项相关的请求；</w:t>
      </w:r>
    </w:p>
    <w:p>
      <w:pPr>
        <w:spacing w:line="360" w:lineRule="auto"/>
        <w:ind w:firstLine="435"/>
      </w:pPr>
      <w:r>
        <w:rPr>
          <w:rFonts w:hint="eastAsia"/>
        </w:rPr>
        <w:t>（4）事实依据；</w:t>
      </w:r>
    </w:p>
    <w:p>
      <w:pPr>
        <w:spacing w:line="360" w:lineRule="auto"/>
        <w:ind w:firstLine="435"/>
      </w:pPr>
      <w:r>
        <w:rPr>
          <w:rFonts w:hint="eastAsia"/>
        </w:rPr>
        <w:t>（5）必要的法律依据；</w:t>
      </w:r>
    </w:p>
    <w:p>
      <w:pPr>
        <w:spacing w:line="360" w:lineRule="auto"/>
        <w:ind w:firstLine="435"/>
      </w:pPr>
      <w:r>
        <w:rPr>
          <w:rFonts w:hint="eastAsia"/>
        </w:rPr>
        <w:t>（6）提出质疑的日期。</w:t>
      </w:r>
    </w:p>
    <w:p>
      <w:pPr>
        <w:spacing w:line="360" w:lineRule="auto"/>
        <w:ind w:firstLine="435"/>
      </w:pPr>
      <w:r>
        <w:rPr>
          <w:rFonts w:hint="eastAsia"/>
        </w:rPr>
        <w:t>投标人为自然人的，应当由本人签字；投标人为法人或者其他组织的，应当由法定代表人、主要负责人，或者其授权代表签字或者盖章，并加盖公章。注：《政府采购供应商质疑函范本》详见中国政府采购网（http://www.ccgp.gov.cn/）。质疑函不符合以上要求的，政府集中采购机构应当一次性告知供应商需更正或补充的内容。投标人未在质疑期限内提交更正、补充材料或重新提交的材料仍不符合要求的，政府集中采购机构不予受理，并告知理由。</w:t>
      </w:r>
    </w:p>
    <w:p>
      <w:pPr>
        <w:spacing w:line="360" w:lineRule="auto"/>
        <w:ind w:firstLine="435"/>
      </w:pPr>
      <w:r>
        <w:rPr>
          <w:rFonts w:hint="eastAsia"/>
        </w:rPr>
        <w:t>6.4 采购人、采购代理机构将在收到投标人的书面质疑后七个工作日内做出答复，并以书面形式通知质疑投标人和其他有关投标人，但答复的内容不涉及商业秘密</w:t>
      </w:r>
      <w:r>
        <w:rPr>
          <w:rFonts w:hint="eastAsia" w:ascii="宋体" w:hAnsi="宋体" w:cs="宋体"/>
        </w:rPr>
        <w:t>。</w:t>
      </w:r>
    </w:p>
    <w:p>
      <w:pPr>
        <w:pStyle w:val="4"/>
        <w:numPr>
          <w:ilvl w:val="0"/>
          <w:numId w:val="3"/>
        </w:numPr>
        <w:spacing w:before="0"/>
        <w:rPr>
          <w:rFonts w:ascii="宋体" w:eastAsia="宋体"/>
          <w:sz w:val="24"/>
          <w:szCs w:val="24"/>
        </w:rPr>
      </w:pPr>
      <w:bookmarkStart w:id="112" w:name="_Toc191"/>
      <w:bookmarkStart w:id="113" w:name="_Toc11422"/>
      <w:bookmarkStart w:id="114" w:name="_Toc1208"/>
      <w:bookmarkStart w:id="115" w:name="_Toc16904"/>
      <w:r>
        <w:rPr>
          <w:rFonts w:hint="eastAsia" w:ascii="宋体" w:eastAsia="宋体"/>
          <w:sz w:val="24"/>
          <w:szCs w:val="24"/>
        </w:rPr>
        <w:t>投诉</w:t>
      </w:r>
      <w:bookmarkEnd w:id="112"/>
      <w:bookmarkEnd w:id="113"/>
      <w:bookmarkEnd w:id="114"/>
      <w:bookmarkEnd w:id="115"/>
    </w:p>
    <w:p>
      <w:pPr>
        <w:widowControl/>
        <w:spacing w:line="360" w:lineRule="auto"/>
        <w:ind w:firstLine="420" w:firstLineChars="200"/>
        <w:jc w:val="left"/>
        <w:rPr>
          <w:rFonts w:ascii="宋体"/>
          <w:szCs w:val="21"/>
        </w:rPr>
      </w:pPr>
      <w:r>
        <w:rPr>
          <w:rFonts w:ascii="宋体"/>
          <w:szCs w:val="21"/>
        </w:rPr>
        <w:t>投诉必须首先经过质疑程序。质疑投标人对采购人、采购代理机构的答复不满意，或者采购人、采购代理机构未在规定的时间内做出答复的，可以在答复期满后十五个工作日内书面向云南省财政厅政府采购管理处提起投诉。</w:t>
      </w:r>
    </w:p>
    <w:p>
      <w:pPr>
        <w:pStyle w:val="2"/>
        <w:numPr>
          <w:ilvl w:val="0"/>
          <w:numId w:val="0"/>
        </w:numPr>
        <w:spacing w:before="0"/>
        <w:ind w:firstLine="3612" w:firstLineChars="1290"/>
        <w:rPr>
          <w:rFonts w:ascii="黑体"/>
          <w:szCs w:val="28"/>
        </w:rPr>
      </w:pPr>
      <w:bookmarkStart w:id="116" w:name="_Toc4073"/>
      <w:bookmarkStart w:id="117" w:name="_Toc31255"/>
      <w:bookmarkStart w:id="118" w:name="_Toc9871"/>
      <w:bookmarkStart w:id="119" w:name="_Toc5408"/>
      <w:r>
        <w:rPr>
          <w:rFonts w:hint="eastAsia" w:ascii="黑体"/>
          <w:szCs w:val="28"/>
        </w:rPr>
        <w:t>二、招标文件</w:t>
      </w:r>
      <w:bookmarkEnd w:id="116"/>
      <w:bookmarkEnd w:id="117"/>
      <w:bookmarkEnd w:id="118"/>
      <w:bookmarkEnd w:id="119"/>
    </w:p>
    <w:p>
      <w:pPr>
        <w:pStyle w:val="4"/>
        <w:numPr>
          <w:ilvl w:val="0"/>
          <w:numId w:val="3"/>
        </w:numPr>
        <w:spacing w:before="0"/>
        <w:rPr>
          <w:rFonts w:ascii="宋体" w:eastAsia="宋体"/>
          <w:sz w:val="24"/>
          <w:szCs w:val="24"/>
        </w:rPr>
      </w:pPr>
      <w:bookmarkStart w:id="120" w:name="_Toc24407"/>
      <w:bookmarkStart w:id="121" w:name="_Toc13455"/>
      <w:bookmarkStart w:id="122" w:name="_Toc12037"/>
      <w:bookmarkStart w:id="123" w:name="_Toc31744"/>
      <w:r>
        <w:rPr>
          <w:rFonts w:hint="eastAsia" w:ascii="宋体" w:eastAsia="宋体"/>
          <w:sz w:val="24"/>
          <w:szCs w:val="24"/>
        </w:rPr>
        <w:t>招标文件构成</w:t>
      </w:r>
      <w:bookmarkEnd w:id="120"/>
      <w:bookmarkEnd w:id="121"/>
      <w:bookmarkEnd w:id="122"/>
      <w:bookmarkEnd w:id="123"/>
    </w:p>
    <w:p>
      <w:pPr>
        <w:spacing w:line="360" w:lineRule="auto"/>
        <w:ind w:firstLine="359" w:firstLineChars="171"/>
        <w:jc w:val="left"/>
        <w:rPr>
          <w:rFonts w:ascii="宋体"/>
          <w:szCs w:val="21"/>
        </w:rPr>
      </w:pPr>
      <w:r>
        <w:rPr>
          <w:rFonts w:hint="eastAsia" w:ascii="宋体"/>
          <w:szCs w:val="21"/>
        </w:rPr>
        <w:t>8.1 要求提供的货物、采购过程及合同条款在招标文件中均有说明，招标文件共七章，各章的内容如下：</w:t>
      </w:r>
    </w:p>
    <w:p>
      <w:pPr>
        <w:spacing w:line="360" w:lineRule="auto"/>
        <w:ind w:firstLine="359" w:firstLineChars="171"/>
        <w:jc w:val="left"/>
        <w:rPr>
          <w:rFonts w:ascii="宋体"/>
          <w:szCs w:val="21"/>
        </w:rPr>
      </w:pPr>
      <w:r>
        <w:rPr>
          <w:rFonts w:hint="eastAsia" w:ascii="宋体"/>
          <w:szCs w:val="21"/>
        </w:rPr>
        <w:t>第一章  投标邀请</w:t>
      </w:r>
    </w:p>
    <w:p>
      <w:pPr>
        <w:spacing w:line="360" w:lineRule="auto"/>
        <w:ind w:firstLine="359" w:firstLineChars="171"/>
        <w:jc w:val="left"/>
        <w:rPr>
          <w:rFonts w:ascii="宋体"/>
          <w:szCs w:val="21"/>
        </w:rPr>
      </w:pPr>
      <w:r>
        <w:rPr>
          <w:rFonts w:hint="eastAsia" w:ascii="宋体"/>
          <w:szCs w:val="21"/>
        </w:rPr>
        <w:t>第二章  投标人须知</w:t>
      </w:r>
    </w:p>
    <w:p>
      <w:pPr>
        <w:spacing w:line="360" w:lineRule="auto"/>
        <w:ind w:firstLine="359" w:firstLineChars="171"/>
        <w:jc w:val="left"/>
        <w:rPr>
          <w:rFonts w:ascii="宋体"/>
          <w:szCs w:val="21"/>
        </w:rPr>
      </w:pPr>
      <w:r>
        <w:rPr>
          <w:rFonts w:hint="eastAsia" w:ascii="宋体"/>
          <w:szCs w:val="21"/>
        </w:rPr>
        <w:t>第三章  合同书样式及主要条款</w:t>
      </w:r>
    </w:p>
    <w:p>
      <w:pPr>
        <w:spacing w:line="360" w:lineRule="auto"/>
        <w:ind w:firstLine="359" w:firstLineChars="171"/>
        <w:jc w:val="left"/>
        <w:rPr>
          <w:rFonts w:ascii="宋体"/>
          <w:szCs w:val="21"/>
        </w:rPr>
      </w:pPr>
      <w:r>
        <w:rPr>
          <w:rFonts w:hint="eastAsia" w:ascii="宋体"/>
          <w:szCs w:val="21"/>
        </w:rPr>
        <w:t>第四章  投标文件格式</w:t>
      </w:r>
    </w:p>
    <w:p>
      <w:pPr>
        <w:spacing w:line="360" w:lineRule="auto"/>
        <w:ind w:firstLine="359" w:firstLineChars="171"/>
        <w:jc w:val="left"/>
        <w:rPr>
          <w:rFonts w:ascii="宋体"/>
          <w:szCs w:val="21"/>
        </w:rPr>
      </w:pPr>
      <w:r>
        <w:rPr>
          <w:rFonts w:hint="eastAsia" w:ascii="宋体"/>
          <w:szCs w:val="21"/>
        </w:rPr>
        <w:t>第五章  货物需求一览表</w:t>
      </w:r>
    </w:p>
    <w:p>
      <w:pPr>
        <w:spacing w:line="360" w:lineRule="auto"/>
        <w:ind w:firstLine="359" w:firstLineChars="171"/>
        <w:jc w:val="left"/>
        <w:rPr>
          <w:rFonts w:ascii="宋体"/>
          <w:szCs w:val="21"/>
        </w:rPr>
      </w:pPr>
      <w:r>
        <w:rPr>
          <w:rFonts w:hint="eastAsia" w:ascii="宋体"/>
          <w:szCs w:val="21"/>
        </w:rPr>
        <w:t>第六章  资格审查</w:t>
      </w:r>
    </w:p>
    <w:p>
      <w:pPr>
        <w:spacing w:line="360" w:lineRule="auto"/>
        <w:ind w:firstLine="359" w:firstLineChars="171"/>
        <w:jc w:val="left"/>
        <w:rPr>
          <w:rFonts w:ascii="宋体"/>
          <w:szCs w:val="21"/>
        </w:rPr>
      </w:pPr>
      <w:r>
        <w:rPr>
          <w:rFonts w:hint="eastAsia" w:ascii="宋体"/>
          <w:szCs w:val="21"/>
        </w:rPr>
        <w:t>第七章  评标办法</w:t>
      </w:r>
    </w:p>
    <w:p>
      <w:pPr>
        <w:pStyle w:val="4"/>
        <w:numPr>
          <w:ilvl w:val="0"/>
          <w:numId w:val="3"/>
        </w:numPr>
        <w:spacing w:before="0"/>
        <w:rPr>
          <w:rFonts w:ascii="宋体" w:eastAsia="宋体"/>
          <w:sz w:val="24"/>
          <w:szCs w:val="24"/>
        </w:rPr>
      </w:pPr>
      <w:bookmarkStart w:id="124" w:name="_Toc24385"/>
      <w:bookmarkStart w:id="125" w:name="_Toc23016"/>
      <w:bookmarkStart w:id="126" w:name="_Toc30766"/>
      <w:bookmarkStart w:id="127" w:name="_Toc22810"/>
      <w:r>
        <w:rPr>
          <w:rFonts w:hint="eastAsia" w:ascii="宋体" w:eastAsia="宋体"/>
          <w:sz w:val="24"/>
          <w:szCs w:val="24"/>
        </w:rPr>
        <w:t>招标文件的澄清</w:t>
      </w:r>
      <w:bookmarkEnd w:id="124"/>
      <w:bookmarkEnd w:id="125"/>
      <w:bookmarkEnd w:id="126"/>
      <w:bookmarkEnd w:id="127"/>
    </w:p>
    <w:p>
      <w:pPr>
        <w:spacing w:line="360" w:lineRule="auto"/>
        <w:ind w:firstLine="420" w:firstLineChars="200"/>
        <w:jc w:val="left"/>
        <w:rPr>
          <w:rFonts w:ascii="宋体"/>
          <w:szCs w:val="21"/>
        </w:rPr>
      </w:pPr>
      <w:r>
        <w:rPr>
          <w:rFonts w:hint="eastAsia" w:ascii="宋体"/>
          <w:szCs w:val="21"/>
        </w:rPr>
        <w:t>9.1 投标人应认真审核第五章“</w:t>
      </w:r>
      <w:r>
        <w:rPr>
          <w:rFonts w:hint="eastAsia" w:ascii="宋体"/>
          <w:bCs/>
          <w:szCs w:val="21"/>
        </w:rPr>
        <w:t>货物需求一览表</w:t>
      </w:r>
      <w:r>
        <w:rPr>
          <w:rFonts w:hint="eastAsia" w:ascii="宋体"/>
          <w:szCs w:val="21"/>
        </w:rPr>
        <w:t>”中的技术参数、配置及要求，如发现表中技术参数、配置有误或要求不合理的，投标人必须在“投标人须知前附表”规定截止时间前以书面形式（加盖公章）要求采购代理机构澄清，截止时间后送达的澄清要求概不接受，由此产生的后果由投标人负责。</w:t>
      </w:r>
    </w:p>
    <w:p>
      <w:pPr>
        <w:spacing w:line="360" w:lineRule="auto"/>
        <w:ind w:firstLine="420" w:firstLineChars="200"/>
        <w:rPr>
          <w:rFonts w:hint="eastAsia" w:ascii="宋体" w:hAnsi="宋体"/>
          <w:b/>
          <w:bCs/>
          <w:szCs w:val="21"/>
        </w:rPr>
      </w:pPr>
      <w:r>
        <w:rPr>
          <w:rFonts w:hint="eastAsia" w:ascii="宋体"/>
          <w:szCs w:val="21"/>
        </w:rPr>
        <w:t>9.2 采购代理机构将以书面或网上发布公告形式（发布媒体详见招标公告</w:t>
      </w:r>
      <w:r>
        <w:rPr>
          <w:rFonts w:ascii="宋体" w:hAnsi="宋体"/>
          <w:bCs/>
          <w:szCs w:val="21"/>
        </w:rPr>
        <w:t>）</w:t>
      </w:r>
      <w:r>
        <w:rPr>
          <w:rFonts w:hint="eastAsia" w:ascii="宋体"/>
          <w:szCs w:val="21"/>
        </w:rPr>
        <w:t>答复所有参与本项目的投标人（答复中不包含问题的来源）要求澄清的问题，其他澄清方式无效;</w:t>
      </w:r>
    </w:p>
    <w:p>
      <w:pPr>
        <w:spacing w:line="360" w:lineRule="auto"/>
        <w:ind w:firstLine="420" w:firstLineChars="200"/>
        <w:jc w:val="left"/>
        <w:rPr>
          <w:rFonts w:ascii="宋体"/>
          <w:b/>
          <w:szCs w:val="21"/>
        </w:rPr>
      </w:pPr>
      <w:r>
        <w:rPr>
          <w:rFonts w:hint="eastAsia" w:ascii="宋体"/>
          <w:szCs w:val="21"/>
        </w:rPr>
        <w:t>9.3 招标文件澄清联系方式见“投标人须知前附表”。</w:t>
      </w:r>
    </w:p>
    <w:p>
      <w:pPr>
        <w:pStyle w:val="4"/>
        <w:numPr>
          <w:ilvl w:val="0"/>
          <w:numId w:val="3"/>
        </w:numPr>
        <w:spacing w:before="0"/>
        <w:rPr>
          <w:rFonts w:ascii="宋体" w:eastAsia="宋体"/>
          <w:sz w:val="24"/>
          <w:szCs w:val="24"/>
        </w:rPr>
      </w:pPr>
      <w:bookmarkStart w:id="128" w:name="_Toc4436"/>
      <w:bookmarkStart w:id="129" w:name="_Toc301"/>
      <w:bookmarkStart w:id="130" w:name="_Toc13983"/>
      <w:bookmarkStart w:id="131" w:name="_Toc13834"/>
      <w:r>
        <w:rPr>
          <w:rFonts w:hint="eastAsia" w:ascii="宋体" w:eastAsia="宋体"/>
          <w:sz w:val="24"/>
          <w:szCs w:val="24"/>
        </w:rPr>
        <w:t>招标文件的修改</w:t>
      </w:r>
      <w:bookmarkEnd w:id="128"/>
      <w:bookmarkEnd w:id="129"/>
      <w:bookmarkEnd w:id="130"/>
      <w:bookmarkEnd w:id="131"/>
    </w:p>
    <w:p>
      <w:pPr>
        <w:spacing w:line="360" w:lineRule="auto"/>
        <w:ind w:firstLine="420" w:firstLineChars="200"/>
        <w:jc w:val="left"/>
        <w:rPr>
          <w:rFonts w:ascii="宋体"/>
          <w:szCs w:val="21"/>
        </w:rPr>
      </w:pPr>
      <w:r>
        <w:rPr>
          <w:rFonts w:hint="eastAsia" w:ascii="宋体"/>
          <w:szCs w:val="21"/>
        </w:rPr>
        <w:t>10.1</w:t>
      </w:r>
      <w:r>
        <w:rPr>
          <w:rFonts w:hint="eastAsia" w:ascii="宋体" w:hAnsi="宋体"/>
          <w:szCs w:val="28"/>
        </w:rPr>
        <w:t>采购代理机构</w:t>
      </w:r>
      <w:r>
        <w:rPr>
          <w:rFonts w:hint="eastAsia" w:ascii="宋体"/>
          <w:szCs w:val="21"/>
        </w:rPr>
        <w:t>对已发出的招标文件进行必要澄清或者修改的，于招标文件要求提交投标文件截止时间十五日前，在指定采购信息发布媒体（发布媒体详见招标公告</w:t>
      </w:r>
      <w:r>
        <w:rPr>
          <w:rFonts w:ascii="宋体" w:hAnsi="宋体"/>
          <w:bCs/>
          <w:szCs w:val="21"/>
        </w:rPr>
        <w:t>）</w:t>
      </w:r>
      <w:r>
        <w:rPr>
          <w:rFonts w:hint="eastAsia" w:ascii="宋体"/>
          <w:szCs w:val="21"/>
        </w:rPr>
        <w:t>上发布</w:t>
      </w:r>
      <w:r>
        <w:rPr>
          <w:rFonts w:hint="eastAsia" w:ascii="宋体" w:hAnsi="宋体"/>
          <w:szCs w:val="28"/>
        </w:rPr>
        <w:t>澄清公告</w:t>
      </w:r>
      <w:r>
        <w:rPr>
          <w:rFonts w:hint="eastAsia" w:ascii="宋体"/>
          <w:szCs w:val="21"/>
        </w:rPr>
        <w:t>。该澄清或者修改的内容为招标文件的组成部分。</w:t>
      </w:r>
    </w:p>
    <w:p>
      <w:pPr>
        <w:spacing w:line="360" w:lineRule="auto"/>
        <w:ind w:firstLine="420" w:firstLineChars="200"/>
        <w:rPr>
          <w:rFonts w:hint="eastAsia" w:ascii="宋体" w:hAnsi="宋体"/>
          <w:szCs w:val="28"/>
        </w:rPr>
      </w:pPr>
      <w:r>
        <w:rPr>
          <w:rFonts w:hint="eastAsia" w:ascii="宋体"/>
          <w:szCs w:val="21"/>
        </w:rPr>
        <w:t xml:space="preserve">10.2 </w:t>
      </w:r>
      <w:r>
        <w:rPr>
          <w:rFonts w:hint="eastAsia" w:ascii="宋体" w:hAnsi="宋体"/>
          <w:szCs w:val="28"/>
        </w:rPr>
        <w:t>澄清或者修改的内容可能影响投标文件编制的，采购代理机构于投标截止时间十五日前，以书面形式通知所有获取招标文件的潜在投标人；不足十五日的，顺延提交投标文件的截止时间。</w:t>
      </w:r>
    </w:p>
    <w:p>
      <w:pPr>
        <w:spacing w:line="360" w:lineRule="auto"/>
        <w:ind w:firstLine="420" w:firstLineChars="200"/>
        <w:rPr>
          <w:rFonts w:hint="eastAsia" w:ascii="宋体" w:hAnsi="宋体"/>
          <w:szCs w:val="28"/>
        </w:rPr>
      </w:pPr>
      <w:r>
        <w:rPr>
          <w:rFonts w:hint="eastAsia" w:ascii="宋体" w:hAnsi="宋体"/>
          <w:szCs w:val="28"/>
        </w:rPr>
        <w:t>10.3采购代理机构对招标文件中的采购需求、评标办法、评审项目等重要评审内容做出变更，将同时发布补遗文件进行说明以保证各投标人都能重新下载并用于编制电子投标文件。</w:t>
      </w:r>
    </w:p>
    <w:p>
      <w:pPr>
        <w:spacing w:line="360" w:lineRule="auto"/>
        <w:ind w:firstLine="420" w:firstLineChars="200"/>
        <w:jc w:val="left"/>
        <w:rPr>
          <w:rFonts w:hint="eastAsia" w:ascii="宋体" w:hAnsi="宋体"/>
          <w:szCs w:val="28"/>
        </w:rPr>
      </w:pPr>
      <w:r>
        <w:rPr>
          <w:rFonts w:hint="eastAsia" w:ascii="宋体" w:hAnsi="宋体"/>
          <w:szCs w:val="28"/>
        </w:rPr>
        <w:t>10.4投标人在收到采购代理机构书面答疑和澄清后，请自行登录云南省政府采购交易平台收取修改内容。投标人应在截标时间前随时查看</w:t>
      </w:r>
      <w:r>
        <w:rPr>
          <w:rFonts w:hint="eastAsia" w:ascii="宋体"/>
          <w:szCs w:val="21"/>
        </w:rPr>
        <w:t>指定采购信息发布媒体（发布媒体详见招标公告</w:t>
      </w:r>
      <w:r>
        <w:rPr>
          <w:rFonts w:ascii="宋体" w:hAnsi="宋体"/>
          <w:bCs/>
          <w:szCs w:val="21"/>
        </w:rPr>
        <w:t>）</w:t>
      </w:r>
      <w:r>
        <w:rPr>
          <w:rFonts w:hint="eastAsia" w:ascii="宋体" w:hAnsi="宋体"/>
          <w:szCs w:val="28"/>
        </w:rPr>
        <w:t>中有关该项目招标文件的答疑、补遗内容。</w:t>
      </w:r>
    </w:p>
    <w:p>
      <w:pPr>
        <w:widowControl/>
        <w:spacing w:line="360" w:lineRule="auto"/>
        <w:ind w:firstLine="435"/>
        <w:jc w:val="left"/>
        <w:rPr>
          <w:rFonts w:hint="eastAsia" w:ascii="宋体" w:hAnsi="宋体" w:cs="宋体"/>
          <w:b/>
          <w:bCs/>
          <w:kern w:val="0"/>
          <w:szCs w:val="21"/>
        </w:rPr>
      </w:pPr>
      <w:r>
        <w:rPr>
          <w:rFonts w:hint="eastAsia" w:ascii="宋体" w:hAnsi="宋体"/>
          <w:szCs w:val="28"/>
        </w:rPr>
        <w:t>10.5招标文件澄清、招标文件修改文件内容均以网上发布的文件为准，当招标文件、招标文件澄清、招标文件修改文件内容前后相互矛盾时，以最后发出的为准。</w:t>
      </w:r>
    </w:p>
    <w:p>
      <w:pPr>
        <w:pStyle w:val="2"/>
        <w:numPr>
          <w:ilvl w:val="0"/>
          <w:numId w:val="0"/>
        </w:numPr>
        <w:spacing w:before="0"/>
        <w:ind w:firstLine="3612" w:firstLineChars="1290"/>
        <w:rPr>
          <w:rFonts w:ascii="黑体"/>
          <w:szCs w:val="28"/>
        </w:rPr>
      </w:pPr>
      <w:bookmarkStart w:id="132" w:name="_Toc9163"/>
      <w:bookmarkStart w:id="133" w:name="_Toc18884"/>
      <w:bookmarkStart w:id="134" w:name="_Toc12370"/>
      <w:bookmarkStart w:id="135" w:name="_Toc1586"/>
      <w:r>
        <w:rPr>
          <w:rFonts w:hint="eastAsia" w:ascii="黑体"/>
          <w:szCs w:val="28"/>
        </w:rPr>
        <w:t>三、投标文件的编制</w:t>
      </w:r>
      <w:bookmarkEnd w:id="132"/>
      <w:bookmarkEnd w:id="133"/>
      <w:bookmarkEnd w:id="134"/>
      <w:bookmarkEnd w:id="135"/>
    </w:p>
    <w:p>
      <w:pPr>
        <w:pStyle w:val="4"/>
        <w:numPr>
          <w:ilvl w:val="0"/>
          <w:numId w:val="3"/>
        </w:numPr>
        <w:spacing w:before="0"/>
        <w:rPr>
          <w:rFonts w:ascii="宋体" w:eastAsia="宋体"/>
          <w:sz w:val="24"/>
          <w:szCs w:val="24"/>
        </w:rPr>
      </w:pPr>
      <w:bookmarkStart w:id="136" w:name="_Toc5026"/>
      <w:bookmarkStart w:id="137" w:name="_Toc4133"/>
      <w:bookmarkStart w:id="138" w:name="_Toc6032"/>
      <w:bookmarkStart w:id="139" w:name="_Toc21952"/>
      <w:r>
        <w:rPr>
          <w:rFonts w:hint="eastAsia" w:ascii="宋体" w:eastAsia="宋体"/>
          <w:sz w:val="24"/>
          <w:szCs w:val="24"/>
        </w:rPr>
        <w:t>投标文件编写注意事项</w:t>
      </w:r>
      <w:bookmarkEnd w:id="136"/>
      <w:bookmarkEnd w:id="137"/>
      <w:bookmarkEnd w:id="138"/>
      <w:bookmarkEnd w:id="139"/>
    </w:p>
    <w:p>
      <w:pPr>
        <w:spacing w:line="360" w:lineRule="auto"/>
        <w:ind w:firstLine="420" w:firstLineChars="200"/>
        <w:jc w:val="left"/>
        <w:rPr>
          <w:rFonts w:ascii="宋体"/>
          <w:szCs w:val="21"/>
        </w:rPr>
      </w:pPr>
      <w:r>
        <w:rPr>
          <w:rFonts w:hint="eastAsia" w:ascii="宋体"/>
          <w:szCs w:val="21"/>
        </w:rPr>
        <w:t>11.1本项目所述的投标文件包含电子投标文件。</w:t>
      </w:r>
    </w:p>
    <w:p>
      <w:pPr>
        <w:spacing w:line="360" w:lineRule="auto"/>
        <w:ind w:firstLine="420" w:firstLineChars="200"/>
        <w:jc w:val="left"/>
        <w:rPr>
          <w:rFonts w:ascii="宋体"/>
          <w:szCs w:val="21"/>
        </w:rPr>
      </w:pPr>
      <w:r>
        <w:rPr>
          <w:rFonts w:hint="eastAsia" w:ascii="宋体"/>
          <w:szCs w:val="21"/>
        </w:rPr>
        <w:t>11.2 投标人应仔细阅读招标文件，在完全了解采购的内容、技术性能要求（见第五章“</w:t>
      </w:r>
      <w:r>
        <w:rPr>
          <w:rFonts w:hint="eastAsia" w:ascii="宋体"/>
          <w:bCs/>
          <w:szCs w:val="21"/>
        </w:rPr>
        <w:t>货物需求一览表</w:t>
      </w:r>
      <w:r>
        <w:rPr>
          <w:rFonts w:hint="eastAsia" w:ascii="宋体"/>
          <w:szCs w:val="21"/>
        </w:rPr>
        <w:t>”）和商务条件后，编写投标文件。如果没有按照招标文件要求提交全部投标文件或者资料，没有对招标文件的实质性要求和条件作出响应是投标人的风险，并可能导致该投标无效。</w:t>
      </w:r>
    </w:p>
    <w:p>
      <w:pPr>
        <w:spacing w:line="360" w:lineRule="auto"/>
        <w:ind w:firstLine="420" w:firstLineChars="200"/>
        <w:jc w:val="left"/>
        <w:rPr>
          <w:rFonts w:ascii="宋体"/>
          <w:szCs w:val="21"/>
        </w:rPr>
      </w:pPr>
      <w:r>
        <w:rPr>
          <w:rFonts w:hint="eastAsia" w:ascii="宋体"/>
          <w:szCs w:val="21"/>
        </w:rPr>
        <w:t>11.3 对招标文件提出的实质性要求和条件作出响应是指投标人必须对招标文件中标明的实质性要求和条件的技术参数及性能配置、数量、售后服务、合同主要条款及其它要求等内容作出满足或者优于原要求和条件的承诺。</w:t>
      </w:r>
    </w:p>
    <w:p>
      <w:pPr>
        <w:spacing w:line="360" w:lineRule="auto"/>
        <w:ind w:firstLine="411" w:firstLineChars="196"/>
        <w:jc w:val="left"/>
        <w:rPr>
          <w:rFonts w:ascii="宋体"/>
          <w:b/>
          <w:bCs/>
          <w:szCs w:val="21"/>
        </w:rPr>
      </w:pPr>
      <w:r>
        <w:rPr>
          <w:rFonts w:hint="eastAsia" w:ascii="宋体"/>
          <w:b/>
          <w:bCs/>
          <w:szCs w:val="21"/>
        </w:rPr>
        <w:t xml:space="preserve">11.4 招标文件中的实质性要求和条件详见“投标人须知前附表”。 </w:t>
      </w:r>
    </w:p>
    <w:p>
      <w:pPr>
        <w:pStyle w:val="4"/>
        <w:numPr>
          <w:ilvl w:val="0"/>
          <w:numId w:val="3"/>
        </w:numPr>
        <w:spacing w:before="0"/>
        <w:rPr>
          <w:rFonts w:ascii="宋体" w:eastAsia="宋体"/>
          <w:sz w:val="24"/>
          <w:szCs w:val="24"/>
        </w:rPr>
      </w:pPr>
      <w:bookmarkStart w:id="140" w:name="_Toc11279"/>
      <w:bookmarkStart w:id="141" w:name="_Toc18691"/>
      <w:bookmarkStart w:id="142" w:name="_Toc2693"/>
      <w:bookmarkStart w:id="143" w:name="_Toc2100"/>
      <w:r>
        <w:rPr>
          <w:rFonts w:hint="eastAsia" w:ascii="宋体" w:eastAsia="宋体"/>
          <w:sz w:val="24"/>
          <w:szCs w:val="24"/>
        </w:rPr>
        <w:t>投标的语言及计量单位</w:t>
      </w:r>
      <w:bookmarkEnd w:id="140"/>
      <w:bookmarkEnd w:id="141"/>
      <w:bookmarkEnd w:id="142"/>
      <w:bookmarkEnd w:id="143"/>
    </w:p>
    <w:p>
      <w:pPr>
        <w:spacing w:line="360" w:lineRule="auto"/>
        <w:ind w:firstLine="420" w:firstLineChars="200"/>
        <w:jc w:val="left"/>
        <w:rPr>
          <w:rFonts w:ascii="宋体"/>
          <w:szCs w:val="21"/>
        </w:rPr>
      </w:pPr>
      <w:r>
        <w:rPr>
          <w:rFonts w:hint="eastAsia" w:ascii="宋体"/>
          <w:szCs w:val="21"/>
        </w:rPr>
        <w:t>12.1 投标人的投标文件以及投标人与采购代理机构就有关投标的所有来往函电统一使用中文（特别规定除外）。</w:t>
      </w:r>
    </w:p>
    <w:p>
      <w:pPr>
        <w:spacing w:line="360" w:lineRule="auto"/>
        <w:ind w:firstLine="420" w:firstLineChars="200"/>
        <w:jc w:val="left"/>
        <w:rPr>
          <w:rFonts w:ascii="宋体"/>
          <w:szCs w:val="21"/>
        </w:rPr>
      </w:pPr>
      <w:r>
        <w:rPr>
          <w:rFonts w:hint="eastAsia" w:ascii="宋体"/>
          <w:szCs w:val="21"/>
        </w:rPr>
        <w:t>12.2 投标文件中使用的计量单位除招标文件中有特殊规定外，一律使用中国法定计量单位。</w:t>
      </w:r>
    </w:p>
    <w:p>
      <w:pPr>
        <w:pStyle w:val="4"/>
        <w:numPr>
          <w:ilvl w:val="0"/>
          <w:numId w:val="3"/>
        </w:numPr>
        <w:spacing w:before="0"/>
        <w:rPr>
          <w:rFonts w:ascii="宋体" w:eastAsia="宋体"/>
          <w:sz w:val="24"/>
          <w:szCs w:val="24"/>
        </w:rPr>
      </w:pPr>
      <w:bookmarkStart w:id="144" w:name="_Toc27229"/>
      <w:bookmarkStart w:id="145" w:name="_Toc3080"/>
      <w:bookmarkStart w:id="146" w:name="_Toc22298"/>
      <w:bookmarkStart w:id="147" w:name="_Toc10739"/>
      <w:r>
        <w:rPr>
          <w:rFonts w:hint="eastAsia" w:ascii="宋体" w:eastAsia="宋体"/>
          <w:sz w:val="24"/>
          <w:szCs w:val="24"/>
        </w:rPr>
        <w:t>投标文件构成</w:t>
      </w:r>
      <w:bookmarkEnd w:id="144"/>
      <w:bookmarkEnd w:id="145"/>
      <w:bookmarkEnd w:id="146"/>
      <w:bookmarkEnd w:id="147"/>
    </w:p>
    <w:p>
      <w:pPr>
        <w:spacing w:line="360" w:lineRule="auto"/>
        <w:ind w:firstLine="420" w:firstLineChars="200"/>
        <w:jc w:val="left"/>
        <w:rPr>
          <w:rFonts w:ascii="宋体"/>
          <w:b/>
          <w:szCs w:val="21"/>
        </w:rPr>
      </w:pPr>
      <w:r>
        <w:rPr>
          <w:rFonts w:hint="eastAsia" w:ascii="宋体"/>
          <w:szCs w:val="21"/>
        </w:rPr>
        <w:t>13.1投标人编写的投标文件应由下列部分构成：</w:t>
      </w:r>
    </w:p>
    <w:p>
      <w:pPr>
        <w:spacing w:line="360" w:lineRule="auto"/>
        <w:ind w:firstLine="420" w:firstLineChars="200"/>
        <w:jc w:val="left"/>
        <w:rPr>
          <w:rFonts w:ascii="宋体"/>
          <w:b/>
          <w:szCs w:val="21"/>
        </w:rPr>
      </w:pPr>
      <w:r>
        <w:rPr>
          <w:rFonts w:hint="eastAsia" w:ascii="宋体"/>
          <w:b/>
          <w:szCs w:val="21"/>
        </w:rPr>
        <w:t>（1）资格响应文件：按第四章“投标文件格式”提供的“一、资格响应文件”的格式及要求填写；</w:t>
      </w:r>
    </w:p>
    <w:p>
      <w:pPr>
        <w:spacing w:line="360" w:lineRule="auto"/>
        <w:ind w:firstLine="420" w:firstLineChars="200"/>
        <w:jc w:val="left"/>
        <w:rPr>
          <w:rFonts w:ascii="宋体"/>
          <w:b/>
          <w:szCs w:val="21"/>
        </w:rPr>
      </w:pPr>
      <w:r>
        <w:rPr>
          <w:rFonts w:hint="eastAsia" w:ascii="宋体"/>
          <w:b/>
          <w:szCs w:val="21"/>
        </w:rPr>
        <w:t>（2）商务响应文件：按第四章“投标文件格式”提供的“二、商务响应文件”格式及要求填写；</w:t>
      </w:r>
    </w:p>
    <w:p>
      <w:pPr>
        <w:spacing w:line="360" w:lineRule="auto"/>
        <w:ind w:firstLine="420" w:firstLineChars="200"/>
        <w:jc w:val="left"/>
        <w:rPr>
          <w:rFonts w:ascii="宋体"/>
          <w:b/>
          <w:szCs w:val="21"/>
        </w:rPr>
      </w:pPr>
      <w:r>
        <w:rPr>
          <w:rFonts w:hint="eastAsia" w:ascii="宋体"/>
          <w:b/>
          <w:szCs w:val="21"/>
        </w:rPr>
        <w:t>（3）报价响应文件：按第四章“投标文件格式”提供的“三、报价响应文件” 的格式及要求填写。</w:t>
      </w:r>
    </w:p>
    <w:p>
      <w:pPr>
        <w:spacing w:line="360" w:lineRule="auto"/>
        <w:ind w:firstLine="420" w:firstLineChars="200"/>
        <w:jc w:val="left"/>
        <w:rPr>
          <w:rFonts w:ascii="宋体"/>
          <w:b/>
          <w:szCs w:val="21"/>
        </w:rPr>
      </w:pPr>
      <w:r>
        <w:rPr>
          <w:rFonts w:hint="eastAsia" w:ascii="宋体"/>
          <w:b/>
          <w:szCs w:val="21"/>
        </w:rPr>
        <w:t>（4）技术响应文件：按第四章“投标文件格式”提供的“四、技术响应文件”格式及要求填写；</w:t>
      </w:r>
    </w:p>
    <w:p>
      <w:pPr>
        <w:spacing w:line="360" w:lineRule="auto"/>
        <w:ind w:firstLine="210" w:firstLineChars="100"/>
        <w:jc w:val="left"/>
        <w:rPr>
          <w:rFonts w:ascii="宋体"/>
          <w:szCs w:val="21"/>
        </w:rPr>
      </w:pPr>
      <w:r>
        <w:rPr>
          <w:rFonts w:hint="eastAsia" w:ascii="宋体"/>
          <w:szCs w:val="21"/>
        </w:rPr>
        <w:t xml:space="preserve">…… </w:t>
      </w:r>
    </w:p>
    <w:p>
      <w:pPr>
        <w:pStyle w:val="4"/>
        <w:numPr>
          <w:ilvl w:val="0"/>
          <w:numId w:val="3"/>
        </w:numPr>
        <w:spacing w:before="0"/>
        <w:rPr>
          <w:rFonts w:ascii="宋体" w:eastAsia="宋体"/>
          <w:sz w:val="24"/>
          <w:szCs w:val="24"/>
        </w:rPr>
      </w:pPr>
      <w:bookmarkStart w:id="148" w:name="_Toc27143"/>
      <w:bookmarkStart w:id="149" w:name="_Toc25482"/>
      <w:bookmarkStart w:id="150" w:name="_Toc13456"/>
      <w:bookmarkStart w:id="151" w:name="_Toc1044"/>
      <w:r>
        <w:rPr>
          <w:rFonts w:hint="eastAsia" w:ascii="宋体" w:eastAsia="宋体"/>
          <w:sz w:val="24"/>
          <w:szCs w:val="24"/>
        </w:rPr>
        <w:t>投标文件的格式要求</w:t>
      </w:r>
      <w:bookmarkEnd w:id="148"/>
      <w:bookmarkEnd w:id="149"/>
      <w:bookmarkEnd w:id="150"/>
      <w:bookmarkEnd w:id="151"/>
    </w:p>
    <w:p>
      <w:pPr>
        <w:spacing w:line="360" w:lineRule="auto"/>
        <w:ind w:firstLine="420" w:firstLineChars="200"/>
        <w:jc w:val="left"/>
        <w:rPr>
          <w:rFonts w:ascii="宋体"/>
          <w:bCs/>
          <w:szCs w:val="21"/>
        </w:rPr>
      </w:pPr>
      <w:r>
        <w:rPr>
          <w:rFonts w:hint="eastAsia" w:ascii="宋体"/>
          <w:szCs w:val="21"/>
        </w:rPr>
        <w:t>投标人应按第四章“投标文件格式”提供的格式完整地填写。</w:t>
      </w:r>
    </w:p>
    <w:p>
      <w:pPr>
        <w:pStyle w:val="4"/>
        <w:numPr>
          <w:ilvl w:val="0"/>
          <w:numId w:val="3"/>
        </w:numPr>
        <w:spacing w:before="0"/>
        <w:rPr>
          <w:rFonts w:ascii="宋体" w:eastAsia="宋体"/>
          <w:sz w:val="24"/>
          <w:szCs w:val="24"/>
        </w:rPr>
      </w:pPr>
      <w:bookmarkStart w:id="152" w:name="_Toc30682"/>
      <w:bookmarkStart w:id="153" w:name="_Toc15173"/>
      <w:bookmarkStart w:id="154" w:name="_Toc19232"/>
      <w:bookmarkStart w:id="155" w:name="_Toc14212"/>
      <w:r>
        <w:rPr>
          <w:rFonts w:hint="eastAsia" w:ascii="宋体" w:eastAsia="宋体"/>
          <w:sz w:val="24"/>
          <w:szCs w:val="24"/>
        </w:rPr>
        <w:t>投标报价</w:t>
      </w:r>
      <w:bookmarkEnd w:id="152"/>
      <w:bookmarkEnd w:id="153"/>
      <w:bookmarkEnd w:id="154"/>
      <w:bookmarkEnd w:id="155"/>
    </w:p>
    <w:p>
      <w:pPr>
        <w:spacing w:line="360" w:lineRule="auto"/>
        <w:ind w:firstLine="420" w:firstLineChars="200"/>
        <w:jc w:val="left"/>
        <w:rPr>
          <w:rFonts w:ascii="宋体"/>
          <w:szCs w:val="21"/>
          <w:u w:val="single"/>
        </w:rPr>
      </w:pPr>
      <w:r>
        <w:rPr>
          <w:rFonts w:hint="eastAsia" w:ascii="宋体"/>
          <w:szCs w:val="21"/>
        </w:rPr>
        <w:t>15.1</w:t>
      </w:r>
      <w:r>
        <w:rPr>
          <w:rFonts w:hint="eastAsia" w:hAnsi="宋体"/>
          <w:szCs w:val="21"/>
        </w:rPr>
        <w:t>投标报价指按采购人所提供的资料要求完成的所投各包货物的制造、采购、运输、装卸、保管、验收及交付使用所需的各种费用及必要的保险费用和各项税金等所有费用的总和（</w:t>
      </w:r>
      <w:r>
        <w:rPr>
          <w:rFonts w:hint="eastAsia" w:hAnsi="宋体"/>
          <w:b/>
          <w:szCs w:val="21"/>
        </w:rPr>
        <w:t>开具增值税发票</w:t>
      </w:r>
      <w:r>
        <w:rPr>
          <w:rFonts w:hint="eastAsia" w:hAnsi="宋体"/>
          <w:szCs w:val="21"/>
        </w:rPr>
        <w:t>）</w:t>
      </w:r>
      <w:r>
        <w:rPr>
          <w:rFonts w:hint="eastAsia" w:ascii="宋体"/>
          <w:szCs w:val="21"/>
        </w:rPr>
        <w:t>。</w:t>
      </w:r>
    </w:p>
    <w:p>
      <w:pPr>
        <w:spacing w:line="360" w:lineRule="auto"/>
        <w:ind w:firstLine="420" w:firstLineChars="200"/>
        <w:jc w:val="left"/>
        <w:rPr>
          <w:rFonts w:ascii="宋体"/>
          <w:b/>
          <w:szCs w:val="21"/>
        </w:rPr>
      </w:pPr>
      <w:r>
        <w:rPr>
          <w:rFonts w:hint="eastAsia" w:ascii="宋体"/>
          <w:b/>
          <w:szCs w:val="21"/>
        </w:rPr>
        <w:t>15.2 ★投标人须就“货物需求一览表”中的各包</w:t>
      </w:r>
      <w:r>
        <w:rPr>
          <w:rFonts w:hint="eastAsia" w:ascii="宋体"/>
          <w:b/>
          <w:bCs/>
          <w:szCs w:val="21"/>
        </w:rPr>
        <w:t>货物内容作完整唯一报价，不得缺项、漏项</w:t>
      </w:r>
      <w:r>
        <w:rPr>
          <w:rFonts w:hint="eastAsia" w:ascii="宋体"/>
          <w:b/>
          <w:szCs w:val="21"/>
        </w:rPr>
        <w:t>。</w:t>
      </w:r>
    </w:p>
    <w:p>
      <w:pPr>
        <w:spacing w:line="360" w:lineRule="auto"/>
        <w:ind w:firstLine="420" w:firstLineChars="200"/>
        <w:jc w:val="left"/>
        <w:rPr>
          <w:rFonts w:ascii="宋体"/>
          <w:szCs w:val="21"/>
        </w:rPr>
      </w:pPr>
      <w:r>
        <w:rPr>
          <w:rFonts w:hint="eastAsia" w:ascii="宋体"/>
          <w:szCs w:val="21"/>
        </w:rPr>
        <w:t>15.3</w:t>
      </w:r>
      <w:r>
        <w:rPr>
          <w:rFonts w:hAnsi="宋体"/>
          <w:szCs w:val="21"/>
        </w:rPr>
        <w:t>投标人的投标报价应依据招标文件的要求，执行国家规定的现行</w:t>
      </w:r>
      <w:r>
        <w:rPr>
          <w:rFonts w:hint="eastAsia" w:hAnsi="宋体"/>
          <w:szCs w:val="21"/>
        </w:rPr>
        <w:t>相关</w:t>
      </w:r>
      <w:r>
        <w:rPr>
          <w:rFonts w:hAnsi="宋体"/>
          <w:szCs w:val="21"/>
        </w:rPr>
        <w:t>技术、经济标准及规范，由投标人自行测算出现行市场的</w:t>
      </w:r>
      <w:r>
        <w:rPr>
          <w:rFonts w:hint="eastAsia" w:hAnsi="宋体"/>
          <w:szCs w:val="21"/>
        </w:rPr>
        <w:t>各包中的</w:t>
      </w:r>
      <w:r>
        <w:rPr>
          <w:rFonts w:hAnsi="宋体"/>
          <w:szCs w:val="21"/>
        </w:rPr>
        <w:t>各类</w:t>
      </w:r>
      <w:r>
        <w:rPr>
          <w:rFonts w:hint="eastAsia" w:hAnsi="宋体"/>
          <w:szCs w:val="21"/>
        </w:rPr>
        <w:t>货物的单价及总价</w:t>
      </w:r>
      <w:r>
        <w:rPr>
          <w:rFonts w:hAnsi="宋体"/>
          <w:szCs w:val="21"/>
        </w:rPr>
        <w:t>。报价包括但不仅限于货物的制造、采购、运输交货、市场价格的变化、利润及税金等费用，该报价应符合国内行情并能保证投标人完成履行合同所需的一切工作。合同一旦签订，此合同</w:t>
      </w:r>
      <w:r>
        <w:rPr>
          <w:rFonts w:hint="eastAsia" w:hAnsi="宋体"/>
          <w:szCs w:val="21"/>
        </w:rPr>
        <w:t>单价</w:t>
      </w:r>
      <w:r>
        <w:rPr>
          <w:rFonts w:hAnsi="宋体"/>
          <w:szCs w:val="21"/>
        </w:rPr>
        <w:t>在合同实施期间将不因市场价格的变化而调整。</w:t>
      </w:r>
    </w:p>
    <w:p>
      <w:pPr>
        <w:pStyle w:val="4"/>
        <w:numPr>
          <w:ilvl w:val="0"/>
          <w:numId w:val="3"/>
        </w:numPr>
        <w:spacing w:before="0"/>
        <w:rPr>
          <w:rFonts w:ascii="宋体" w:eastAsia="宋体"/>
          <w:sz w:val="24"/>
          <w:szCs w:val="24"/>
        </w:rPr>
      </w:pPr>
      <w:bookmarkStart w:id="156" w:name="_Toc29869"/>
      <w:bookmarkStart w:id="157" w:name="_Toc6525"/>
      <w:bookmarkStart w:id="158" w:name="_Toc3719"/>
      <w:bookmarkStart w:id="159" w:name="_Toc6126"/>
      <w:r>
        <w:rPr>
          <w:rFonts w:hint="eastAsia" w:ascii="宋体" w:eastAsia="宋体"/>
          <w:sz w:val="24"/>
          <w:szCs w:val="24"/>
        </w:rPr>
        <w:t>投标货币</w:t>
      </w:r>
      <w:bookmarkEnd w:id="156"/>
      <w:bookmarkEnd w:id="157"/>
      <w:bookmarkEnd w:id="158"/>
      <w:bookmarkEnd w:id="159"/>
    </w:p>
    <w:p>
      <w:pPr>
        <w:spacing w:line="360" w:lineRule="auto"/>
        <w:ind w:firstLine="420" w:firstLineChars="200"/>
        <w:jc w:val="left"/>
        <w:rPr>
          <w:rFonts w:ascii="宋体"/>
          <w:bCs/>
          <w:szCs w:val="21"/>
        </w:rPr>
      </w:pPr>
      <w:r>
        <w:rPr>
          <w:rFonts w:hint="eastAsia" w:ascii="宋体"/>
          <w:szCs w:val="21"/>
        </w:rPr>
        <w:t>投标应以人民币报价。</w:t>
      </w:r>
    </w:p>
    <w:p>
      <w:pPr>
        <w:pStyle w:val="4"/>
        <w:numPr>
          <w:ilvl w:val="0"/>
          <w:numId w:val="3"/>
        </w:numPr>
        <w:spacing w:before="0"/>
        <w:rPr>
          <w:rFonts w:ascii="宋体" w:eastAsia="宋体"/>
          <w:sz w:val="24"/>
          <w:szCs w:val="24"/>
        </w:rPr>
      </w:pPr>
      <w:bookmarkStart w:id="160" w:name="_Toc263"/>
      <w:bookmarkStart w:id="161" w:name="_Toc18545"/>
      <w:bookmarkStart w:id="162" w:name="_Toc23827"/>
      <w:bookmarkStart w:id="163" w:name="_Toc1525"/>
      <w:r>
        <w:rPr>
          <w:rFonts w:hint="eastAsia" w:ascii="宋体" w:eastAsia="宋体"/>
          <w:sz w:val="24"/>
          <w:szCs w:val="24"/>
        </w:rPr>
        <w:t>投标有效期</w:t>
      </w:r>
      <w:bookmarkEnd w:id="160"/>
      <w:bookmarkEnd w:id="161"/>
      <w:bookmarkEnd w:id="162"/>
      <w:bookmarkEnd w:id="163"/>
    </w:p>
    <w:p>
      <w:pPr>
        <w:spacing w:line="360" w:lineRule="auto"/>
        <w:ind w:firstLine="420" w:firstLineChars="200"/>
        <w:jc w:val="left"/>
        <w:rPr>
          <w:rFonts w:ascii="宋体"/>
          <w:szCs w:val="21"/>
        </w:rPr>
      </w:pPr>
      <w:r>
        <w:rPr>
          <w:rFonts w:hint="eastAsia" w:ascii="宋体"/>
          <w:szCs w:val="21"/>
        </w:rPr>
        <w:t>17.1 在“</w:t>
      </w:r>
      <w:r>
        <w:rPr>
          <w:rFonts w:hint="eastAsia" w:ascii="宋体"/>
          <w:bCs/>
          <w:szCs w:val="21"/>
        </w:rPr>
        <w:t>投标人须知前附表</w:t>
      </w:r>
      <w:r>
        <w:rPr>
          <w:rFonts w:hint="eastAsia" w:ascii="宋体"/>
          <w:szCs w:val="21"/>
        </w:rPr>
        <w:t>”规定的投标有效期内，投标人不得要求撤销或修改其投标文件。</w:t>
      </w:r>
    </w:p>
    <w:p>
      <w:pPr>
        <w:spacing w:line="360" w:lineRule="auto"/>
        <w:ind w:firstLine="420" w:firstLineChars="200"/>
        <w:jc w:val="left"/>
        <w:rPr>
          <w:rFonts w:ascii="宋体"/>
          <w:szCs w:val="21"/>
        </w:rPr>
      </w:pPr>
      <w:r>
        <w:rPr>
          <w:rFonts w:hint="eastAsia" w:ascii="宋体"/>
          <w:szCs w:val="21"/>
        </w:rPr>
        <w:t>17.2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pStyle w:val="4"/>
        <w:numPr>
          <w:ilvl w:val="0"/>
          <w:numId w:val="3"/>
        </w:numPr>
        <w:spacing w:before="0"/>
        <w:rPr>
          <w:rFonts w:ascii="宋体" w:eastAsia="宋体"/>
          <w:sz w:val="24"/>
          <w:szCs w:val="24"/>
        </w:rPr>
      </w:pPr>
      <w:bookmarkStart w:id="164" w:name="_Toc27779"/>
      <w:bookmarkStart w:id="165" w:name="_Toc9669"/>
      <w:bookmarkStart w:id="166" w:name="_Toc11888"/>
      <w:bookmarkStart w:id="167" w:name="_Toc20417"/>
      <w:r>
        <w:rPr>
          <w:rFonts w:hint="eastAsia" w:ascii="宋体" w:eastAsia="宋体"/>
          <w:sz w:val="24"/>
          <w:szCs w:val="24"/>
        </w:rPr>
        <w:t>投标文件的签署要求</w:t>
      </w:r>
      <w:bookmarkEnd w:id="164"/>
      <w:bookmarkEnd w:id="165"/>
      <w:bookmarkEnd w:id="166"/>
      <w:bookmarkEnd w:id="167"/>
    </w:p>
    <w:p>
      <w:pPr>
        <w:widowControl/>
        <w:spacing w:line="360" w:lineRule="auto"/>
        <w:ind w:firstLine="420"/>
        <w:jc w:val="left"/>
        <w:rPr>
          <w:rFonts w:hint="eastAsia" w:ascii="宋体" w:hAnsi="宋体"/>
          <w:szCs w:val="28"/>
        </w:rPr>
      </w:pPr>
      <w:r>
        <w:rPr>
          <w:rFonts w:hint="eastAsia" w:ascii="宋体" w:hAnsi="宋体" w:cs="宋体"/>
          <w:bCs/>
          <w:kern w:val="0"/>
          <w:szCs w:val="21"/>
        </w:rPr>
        <w:t>18.1 电子投标文件的签章和签名要求：</w:t>
      </w:r>
      <w:r>
        <w:rPr>
          <w:rFonts w:hint="eastAsia" w:ascii="宋体" w:hAnsi="宋体"/>
          <w:szCs w:val="28"/>
        </w:rPr>
        <w:t>按照投标文件格式，采用单位和个人数字证书电子签章及电子签名：投标文件需要企业、法定代表人电子签章及电子签名。</w:t>
      </w:r>
    </w:p>
    <w:p>
      <w:pPr>
        <w:spacing w:line="360" w:lineRule="auto"/>
        <w:ind w:firstLine="420" w:firstLineChars="200"/>
        <w:jc w:val="left"/>
        <w:rPr>
          <w:rFonts w:ascii="宋体"/>
          <w:szCs w:val="21"/>
        </w:rPr>
      </w:pPr>
      <w:r>
        <w:rPr>
          <w:rFonts w:hint="eastAsia" w:ascii="宋体"/>
          <w:szCs w:val="21"/>
        </w:rPr>
        <w:t>18.2因复印、扫描、拍摄模糊，字迹潦草，表达不清，未按要求填写而导致非唯一理解，造成未实质性响应招标文件的投标文件将会被认定为无效的投标。</w:t>
      </w:r>
    </w:p>
    <w:p>
      <w:pPr>
        <w:pStyle w:val="4"/>
        <w:numPr>
          <w:ilvl w:val="0"/>
          <w:numId w:val="3"/>
        </w:numPr>
        <w:spacing w:before="0"/>
        <w:rPr>
          <w:rFonts w:ascii="宋体" w:eastAsia="宋体"/>
          <w:sz w:val="24"/>
          <w:szCs w:val="24"/>
        </w:rPr>
      </w:pPr>
      <w:bookmarkStart w:id="168" w:name="_Toc26178"/>
      <w:bookmarkStart w:id="169" w:name="_Toc2487"/>
      <w:bookmarkStart w:id="170" w:name="_Toc25882"/>
      <w:bookmarkStart w:id="171" w:name="_Toc12710"/>
      <w:r>
        <w:rPr>
          <w:rFonts w:hint="eastAsia" w:ascii="宋体" w:eastAsia="宋体"/>
          <w:sz w:val="24"/>
          <w:szCs w:val="24"/>
        </w:rPr>
        <w:t>投标保证金：无</w:t>
      </w:r>
      <w:bookmarkEnd w:id="168"/>
      <w:bookmarkEnd w:id="169"/>
      <w:bookmarkEnd w:id="170"/>
      <w:bookmarkEnd w:id="171"/>
    </w:p>
    <w:p>
      <w:pPr>
        <w:pStyle w:val="2"/>
        <w:numPr>
          <w:ilvl w:val="0"/>
          <w:numId w:val="0"/>
        </w:numPr>
        <w:spacing w:before="0"/>
        <w:ind w:firstLine="3612" w:firstLineChars="1290"/>
        <w:rPr>
          <w:rFonts w:ascii="黑体"/>
          <w:szCs w:val="28"/>
        </w:rPr>
      </w:pPr>
      <w:bookmarkStart w:id="172" w:name="_Toc8588"/>
      <w:bookmarkStart w:id="173" w:name="_Toc28241"/>
      <w:bookmarkStart w:id="174" w:name="_Toc345"/>
      <w:bookmarkStart w:id="175" w:name="_Toc7497"/>
      <w:r>
        <w:rPr>
          <w:rFonts w:hint="eastAsia" w:ascii="黑体"/>
          <w:szCs w:val="28"/>
        </w:rPr>
        <w:t>四、投标文件的提交</w:t>
      </w:r>
      <w:bookmarkEnd w:id="172"/>
      <w:bookmarkEnd w:id="173"/>
      <w:bookmarkEnd w:id="174"/>
      <w:bookmarkEnd w:id="175"/>
    </w:p>
    <w:p>
      <w:pPr>
        <w:pStyle w:val="4"/>
        <w:numPr>
          <w:ilvl w:val="0"/>
          <w:numId w:val="3"/>
        </w:numPr>
        <w:spacing w:before="0"/>
        <w:rPr>
          <w:rFonts w:ascii="宋体" w:eastAsia="宋体"/>
          <w:sz w:val="24"/>
          <w:szCs w:val="24"/>
        </w:rPr>
      </w:pPr>
      <w:bookmarkStart w:id="176" w:name="_Toc8743"/>
      <w:bookmarkStart w:id="177" w:name="_Toc26841"/>
      <w:bookmarkStart w:id="178" w:name="_Toc16573"/>
      <w:bookmarkStart w:id="179" w:name="_Toc30939"/>
      <w:r>
        <w:rPr>
          <w:rFonts w:hint="eastAsia" w:ascii="宋体" w:eastAsia="宋体"/>
          <w:sz w:val="24"/>
          <w:szCs w:val="24"/>
        </w:rPr>
        <w:t>投标文件的密封、标记与提交</w:t>
      </w:r>
      <w:bookmarkEnd w:id="176"/>
      <w:bookmarkEnd w:id="177"/>
      <w:bookmarkEnd w:id="178"/>
      <w:bookmarkEnd w:id="179"/>
    </w:p>
    <w:p>
      <w:pPr>
        <w:spacing w:line="360" w:lineRule="auto"/>
        <w:ind w:firstLine="420" w:firstLineChars="200"/>
        <w:jc w:val="left"/>
        <w:rPr>
          <w:rFonts w:hint="eastAsia" w:ascii="宋体" w:hAnsi="宋体"/>
          <w:szCs w:val="28"/>
        </w:rPr>
      </w:pPr>
      <w:r>
        <w:rPr>
          <w:rFonts w:hint="eastAsia" w:ascii="宋体" w:hAnsi="宋体"/>
          <w:szCs w:val="28"/>
        </w:rPr>
        <w:t>（1）本项目为全流程电子化项目，通过“政采云”平台（http：//www.zcygov.cn）实行在线电子投标，投标人应先安装“政采云电子交易客户端”（请自行前往“政采云”平台进行下载），并按照本项目采购文件和“政采云”平台的要求编制、加密后在投标提交截止时间前通过网络上传至“政采云”平台，投标人在“政采云”平台提交电子投标文件时，请填写参加远程采购活动经办人联系方式。</w:t>
      </w:r>
    </w:p>
    <w:p>
      <w:pPr>
        <w:spacing w:line="360" w:lineRule="auto"/>
        <w:ind w:firstLine="420" w:firstLineChars="200"/>
        <w:jc w:val="left"/>
        <w:rPr>
          <w:rFonts w:hint="eastAsia" w:ascii="宋体" w:hAnsi="宋体"/>
          <w:szCs w:val="28"/>
        </w:rPr>
      </w:pPr>
      <w:r>
        <w:rPr>
          <w:rFonts w:hint="eastAsia" w:ascii="宋体" w:hAnsi="宋体"/>
          <w:szCs w:val="28"/>
        </w:rPr>
        <w:t>（2）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p>
    <w:p>
      <w:pPr>
        <w:spacing w:line="360" w:lineRule="auto"/>
        <w:ind w:firstLine="420" w:firstLineChars="200"/>
        <w:jc w:val="left"/>
        <w:rPr>
          <w:b/>
        </w:rPr>
      </w:pPr>
      <w:r>
        <w:rPr>
          <w:rFonts w:hint="eastAsia" w:ascii="宋体" w:hAnsi="宋体"/>
          <w:szCs w:val="28"/>
        </w:rPr>
        <w:t>（3）网上递交投标文件应根据招标文件要求，在提交电子投标文件截止时间前通过“政采云”平台（http：//www.zcygov.cn）上传相应招标项目的电子投标文件。</w:t>
      </w:r>
    </w:p>
    <w:p>
      <w:pPr>
        <w:pStyle w:val="2"/>
        <w:numPr>
          <w:ilvl w:val="0"/>
          <w:numId w:val="0"/>
        </w:numPr>
        <w:spacing w:before="0"/>
        <w:ind w:firstLine="3612" w:firstLineChars="1290"/>
        <w:rPr>
          <w:rFonts w:ascii="黑体"/>
          <w:szCs w:val="28"/>
        </w:rPr>
      </w:pPr>
      <w:bookmarkStart w:id="180" w:name="_Toc2129"/>
      <w:bookmarkStart w:id="181" w:name="_Toc29730"/>
      <w:bookmarkStart w:id="182" w:name="_Toc823"/>
      <w:bookmarkStart w:id="183" w:name="_Toc21349"/>
      <w:r>
        <w:rPr>
          <w:rFonts w:hint="eastAsia" w:ascii="黑体"/>
          <w:szCs w:val="28"/>
        </w:rPr>
        <w:t>五、开标与评标</w:t>
      </w:r>
      <w:bookmarkEnd w:id="180"/>
      <w:bookmarkEnd w:id="181"/>
      <w:bookmarkEnd w:id="182"/>
      <w:bookmarkEnd w:id="183"/>
    </w:p>
    <w:p>
      <w:pPr>
        <w:pStyle w:val="4"/>
        <w:numPr>
          <w:ilvl w:val="0"/>
          <w:numId w:val="3"/>
        </w:numPr>
        <w:spacing w:before="0"/>
        <w:rPr>
          <w:rFonts w:ascii="宋体" w:eastAsia="宋体"/>
          <w:sz w:val="24"/>
          <w:szCs w:val="24"/>
        </w:rPr>
      </w:pPr>
      <w:bookmarkStart w:id="184" w:name="_Toc28862"/>
      <w:bookmarkStart w:id="185" w:name="_Toc23210"/>
      <w:bookmarkStart w:id="186" w:name="_Toc7431"/>
      <w:bookmarkStart w:id="187" w:name="_Toc25079"/>
      <w:r>
        <w:rPr>
          <w:rFonts w:hint="eastAsia" w:ascii="宋体" w:eastAsia="宋体"/>
          <w:sz w:val="24"/>
          <w:szCs w:val="24"/>
        </w:rPr>
        <w:t>开标</w:t>
      </w:r>
      <w:bookmarkEnd w:id="184"/>
      <w:bookmarkEnd w:id="185"/>
      <w:bookmarkEnd w:id="186"/>
      <w:bookmarkEnd w:id="187"/>
    </w:p>
    <w:p>
      <w:pPr>
        <w:spacing w:line="360" w:lineRule="auto"/>
        <w:ind w:firstLine="420" w:firstLineChars="200"/>
        <w:jc w:val="left"/>
        <w:rPr>
          <w:rFonts w:ascii="宋体"/>
          <w:szCs w:val="21"/>
        </w:rPr>
      </w:pPr>
      <w:r>
        <w:rPr>
          <w:rFonts w:hint="eastAsia" w:ascii="宋体"/>
          <w:szCs w:val="21"/>
        </w:rPr>
        <w:t>21.1 采购代理机构将在“投标人须知前附表”规定的时间和地点进行开标，投标人不须到达开标地点，须在"政采云"平台在规定的时间内进行远程解密，否则视为撤销其投标文件，不再进入评标阶段。</w:t>
      </w:r>
    </w:p>
    <w:p>
      <w:pPr>
        <w:spacing w:line="360" w:lineRule="auto"/>
        <w:ind w:firstLine="420" w:firstLineChars="200"/>
        <w:jc w:val="left"/>
        <w:rPr>
          <w:rFonts w:ascii="宋体"/>
          <w:szCs w:val="21"/>
        </w:rPr>
      </w:pPr>
      <w:r>
        <w:rPr>
          <w:rFonts w:hint="eastAsia" w:ascii="宋体"/>
          <w:szCs w:val="21"/>
        </w:rPr>
        <w:t>21.2开标程序</w:t>
      </w:r>
    </w:p>
    <w:p>
      <w:pPr>
        <w:spacing w:line="360" w:lineRule="auto"/>
        <w:ind w:firstLine="420" w:firstLineChars="200"/>
        <w:jc w:val="left"/>
        <w:rPr>
          <w:rFonts w:ascii="宋体"/>
          <w:szCs w:val="21"/>
        </w:rPr>
      </w:pPr>
      <w:r>
        <w:rPr>
          <w:rFonts w:hint="eastAsia" w:ascii="宋体"/>
          <w:szCs w:val="21"/>
        </w:rPr>
        <w:t>开标程序在政采云平台进行， 所有上传投标文件的投标人应登录政采云平台参加。开标程序主要流程为签到、解密、唱标和签名，每一步骤均应按照采购云平台的规定进行操作。</w:t>
      </w:r>
    </w:p>
    <w:p>
      <w:pPr>
        <w:spacing w:line="360" w:lineRule="auto"/>
        <w:ind w:firstLine="420" w:firstLineChars="200"/>
        <w:jc w:val="left"/>
        <w:rPr>
          <w:rFonts w:ascii="宋体"/>
          <w:szCs w:val="21"/>
        </w:rPr>
      </w:pPr>
      <w:r>
        <w:rPr>
          <w:rFonts w:hint="eastAsia" w:ascii="宋体"/>
          <w:szCs w:val="21"/>
        </w:rPr>
        <w:t>提交投标文件截止，政采云平台显示开启后，投标人应在规定时间内使用数字证书对其投标文件解密。逾期未完成签到或解密的投标人，其投标文件将作无效投标处理。因平台系统原因导致投标人无法在上述要求时间内完成签到或解密的除外。</w:t>
      </w:r>
    </w:p>
    <w:p>
      <w:pPr>
        <w:pStyle w:val="19"/>
        <w:tabs>
          <w:tab w:val="left" w:pos="2472"/>
        </w:tabs>
        <w:spacing w:line="360" w:lineRule="auto"/>
        <w:ind w:firstLine="420" w:firstLineChars="200"/>
        <w:rPr>
          <w:szCs w:val="21"/>
        </w:rPr>
      </w:pPr>
      <w:r>
        <w:rPr>
          <w:rFonts w:hint="eastAsia"/>
          <w:szCs w:val="21"/>
        </w:rPr>
        <w:t>21.3 投标文件如果出现计算或表达上的错误，按照下列规定修正：</w:t>
      </w:r>
    </w:p>
    <w:p>
      <w:pPr>
        <w:pStyle w:val="19"/>
        <w:tabs>
          <w:tab w:val="left" w:pos="2472"/>
        </w:tabs>
        <w:spacing w:line="360" w:lineRule="auto"/>
        <w:ind w:firstLine="420" w:firstLineChars="200"/>
        <w:rPr>
          <w:szCs w:val="21"/>
        </w:rPr>
      </w:pPr>
      <w:r>
        <w:rPr>
          <w:rFonts w:hint="eastAsia"/>
          <w:szCs w:val="21"/>
        </w:rPr>
        <w:t>（1）投标文件中开标一览表（政采云开标系统中填写部分）内容与投标文件中相应内容不一致的，以开标一览表（开标系统中填写部分）为准。</w:t>
      </w:r>
    </w:p>
    <w:p>
      <w:pPr>
        <w:pStyle w:val="19"/>
        <w:tabs>
          <w:tab w:val="left" w:pos="2472"/>
        </w:tabs>
        <w:spacing w:line="360" w:lineRule="auto"/>
        <w:ind w:firstLine="420" w:firstLineChars="200"/>
        <w:rPr>
          <w:szCs w:val="21"/>
        </w:rPr>
      </w:pPr>
      <w:r>
        <w:rPr>
          <w:rFonts w:hint="eastAsia"/>
          <w:szCs w:val="21"/>
        </w:rPr>
        <w:t>（2）大写金额和小写金额不一致的，以大写金额为准；</w:t>
      </w:r>
    </w:p>
    <w:p>
      <w:pPr>
        <w:pStyle w:val="19"/>
        <w:tabs>
          <w:tab w:val="left" w:pos="2472"/>
        </w:tabs>
        <w:spacing w:line="360" w:lineRule="auto"/>
        <w:ind w:firstLine="420" w:firstLineChars="200"/>
        <w:rPr>
          <w:szCs w:val="21"/>
        </w:rPr>
      </w:pPr>
      <w:r>
        <w:rPr>
          <w:rFonts w:hint="eastAsia"/>
          <w:szCs w:val="21"/>
        </w:rPr>
        <w:t>（3）单价金额小数点或者百分比有明显错位的，以开标一览表的总价为准，并修改单价；</w:t>
      </w:r>
    </w:p>
    <w:p>
      <w:pPr>
        <w:pStyle w:val="19"/>
        <w:tabs>
          <w:tab w:val="left" w:pos="2472"/>
        </w:tabs>
        <w:spacing w:line="360" w:lineRule="auto"/>
        <w:ind w:firstLine="420" w:firstLineChars="200"/>
        <w:rPr>
          <w:szCs w:val="21"/>
        </w:rPr>
      </w:pPr>
      <w:r>
        <w:rPr>
          <w:rFonts w:hint="eastAsia"/>
          <w:szCs w:val="21"/>
        </w:rPr>
        <w:t>（4）总价金额与按单价汇总金额不一致的，以单价金额计算结果为准；</w:t>
      </w:r>
    </w:p>
    <w:p>
      <w:pPr>
        <w:pStyle w:val="19"/>
        <w:tabs>
          <w:tab w:val="left" w:pos="2472"/>
        </w:tabs>
        <w:spacing w:line="360" w:lineRule="auto"/>
        <w:ind w:firstLine="420" w:firstLineChars="200"/>
        <w:rPr>
          <w:szCs w:val="21"/>
        </w:rPr>
      </w:pPr>
      <w:r>
        <w:rPr>
          <w:rFonts w:hint="eastAsia"/>
          <w:szCs w:val="21"/>
        </w:rPr>
        <w:t>（5）对不同文字文本投标文件的解释发生异议的，以中文文本为准。</w:t>
      </w:r>
    </w:p>
    <w:p>
      <w:pPr>
        <w:pStyle w:val="19"/>
        <w:tabs>
          <w:tab w:val="left" w:pos="2472"/>
        </w:tabs>
        <w:spacing w:line="360" w:lineRule="auto"/>
        <w:ind w:firstLine="420" w:firstLineChars="200"/>
        <w:rPr>
          <w:szCs w:val="21"/>
        </w:rPr>
      </w:pPr>
      <w:r>
        <w:rPr>
          <w:rFonts w:hint="eastAsia"/>
          <w:szCs w:val="21"/>
        </w:rPr>
        <w:t>（6）同时出现两种以上不一致的，按照前款规定的顺序修正。按上述规定修正后的报价经投标人确认后对投标人起约束作用。如果投标人不确认修正后的报价，则其投标无效。</w:t>
      </w:r>
    </w:p>
    <w:p>
      <w:pPr>
        <w:pStyle w:val="4"/>
        <w:numPr>
          <w:ilvl w:val="0"/>
          <w:numId w:val="3"/>
        </w:numPr>
        <w:spacing w:before="0"/>
        <w:rPr>
          <w:rFonts w:ascii="宋体" w:eastAsia="宋体"/>
          <w:sz w:val="24"/>
          <w:szCs w:val="24"/>
        </w:rPr>
      </w:pPr>
      <w:bookmarkStart w:id="188" w:name="_Toc26227"/>
      <w:bookmarkStart w:id="189" w:name="_Toc2548"/>
      <w:bookmarkStart w:id="190" w:name="_Toc25309"/>
      <w:bookmarkStart w:id="191" w:name="_Toc27111"/>
      <w:r>
        <w:rPr>
          <w:rFonts w:hint="eastAsia" w:ascii="宋体" w:eastAsia="宋体"/>
          <w:sz w:val="24"/>
          <w:szCs w:val="24"/>
        </w:rPr>
        <w:t>资格审查</w:t>
      </w:r>
      <w:bookmarkEnd w:id="188"/>
      <w:bookmarkEnd w:id="189"/>
      <w:bookmarkEnd w:id="190"/>
      <w:bookmarkEnd w:id="191"/>
    </w:p>
    <w:p>
      <w:pPr>
        <w:ind w:firstLine="420" w:firstLineChars="200"/>
      </w:pPr>
      <w:r>
        <w:rPr>
          <w:rFonts w:ascii="宋体" w:hAnsi="宋体"/>
          <w:szCs w:val="21"/>
        </w:rPr>
        <w:t>公开招标采购项目开标结束后，采购人或者采购代理机构依法对投标人的资格进行审查。</w:t>
      </w:r>
    </w:p>
    <w:p>
      <w:pPr>
        <w:pStyle w:val="4"/>
        <w:numPr>
          <w:ilvl w:val="0"/>
          <w:numId w:val="3"/>
        </w:numPr>
        <w:spacing w:before="0"/>
        <w:rPr>
          <w:rFonts w:ascii="宋体" w:eastAsia="宋体"/>
          <w:sz w:val="24"/>
          <w:szCs w:val="24"/>
        </w:rPr>
      </w:pPr>
      <w:bookmarkStart w:id="192" w:name="_Toc7439"/>
      <w:bookmarkStart w:id="193" w:name="_Toc7154"/>
      <w:bookmarkStart w:id="194" w:name="_Toc4582"/>
      <w:bookmarkStart w:id="195" w:name="_Toc13515"/>
      <w:r>
        <w:rPr>
          <w:rFonts w:hint="eastAsia" w:ascii="宋体" w:eastAsia="宋体"/>
          <w:sz w:val="24"/>
          <w:szCs w:val="24"/>
        </w:rPr>
        <w:t>评标</w:t>
      </w:r>
      <w:bookmarkEnd w:id="192"/>
      <w:bookmarkEnd w:id="193"/>
      <w:bookmarkEnd w:id="194"/>
      <w:bookmarkEnd w:id="195"/>
    </w:p>
    <w:p>
      <w:pPr>
        <w:spacing w:line="360" w:lineRule="auto"/>
        <w:ind w:firstLine="420" w:firstLineChars="200"/>
        <w:jc w:val="left"/>
        <w:rPr>
          <w:rFonts w:ascii="宋体"/>
          <w:szCs w:val="21"/>
        </w:rPr>
      </w:pPr>
      <w:r>
        <w:rPr>
          <w:rFonts w:hint="eastAsia" w:ascii="宋体"/>
          <w:szCs w:val="21"/>
        </w:rPr>
        <w:t>23.1 评标由采购人依法组建的评标委员会负责。评标委员会由采购人熟悉相关业务的代表，以及有关技术、经济等方面的专家组成。其中，技术、经济等方面的专家不得少于成员总数的三分之二。</w:t>
      </w:r>
    </w:p>
    <w:p>
      <w:pPr>
        <w:spacing w:line="360" w:lineRule="auto"/>
        <w:ind w:firstLine="420" w:firstLineChars="200"/>
        <w:jc w:val="left"/>
        <w:rPr>
          <w:rFonts w:ascii="宋体"/>
          <w:szCs w:val="21"/>
        </w:rPr>
      </w:pPr>
      <w:bookmarkStart w:id="196" w:name="_Toc191374422"/>
      <w:r>
        <w:rPr>
          <w:rFonts w:hint="eastAsia" w:ascii="宋体"/>
          <w:szCs w:val="21"/>
        </w:rPr>
        <w:t>23.2 评标原则</w:t>
      </w:r>
      <w:bookmarkEnd w:id="196"/>
    </w:p>
    <w:p>
      <w:pPr>
        <w:spacing w:line="360" w:lineRule="auto"/>
        <w:ind w:firstLine="420" w:firstLineChars="200"/>
        <w:jc w:val="left"/>
        <w:rPr>
          <w:rFonts w:ascii="宋体"/>
          <w:szCs w:val="21"/>
        </w:rPr>
      </w:pPr>
      <w:r>
        <w:rPr>
          <w:rFonts w:hint="eastAsia" w:ascii="宋体"/>
          <w:szCs w:val="21"/>
        </w:rPr>
        <w:t>评标活动遵循公平、公正、科学和择优的原则。</w:t>
      </w:r>
    </w:p>
    <w:p>
      <w:pPr>
        <w:spacing w:line="360" w:lineRule="auto"/>
        <w:ind w:firstLine="420" w:firstLineChars="200"/>
        <w:jc w:val="left"/>
        <w:rPr>
          <w:rFonts w:ascii="宋体"/>
          <w:szCs w:val="21"/>
        </w:rPr>
      </w:pPr>
      <w:r>
        <w:rPr>
          <w:rFonts w:hint="eastAsia" w:ascii="宋体"/>
          <w:szCs w:val="21"/>
        </w:rPr>
        <w:t>23.3 评标</w:t>
      </w:r>
    </w:p>
    <w:p>
      <w:pPr>
        <w:spacing w:line="360" w:lineRule="auto"/>
        <w:ind w:firstLine="420" w:firstLineChars="200"/>
        <w:jc w:val="left"/>
        <w:rPr>
          <w:rFonts w:ascii="宋体"/>
          <w:szCs w:val="21"/>
        </w:rPr>
      </w:pPr>
      <w:r>
        <w:rPr>
          <w:rFonts w:hint="eastAsia" w:ascii="宋体"/>
          <w:szCs w:val="21"/>
        </w:rPr>
        <w:t>本项目采用电子评标，评标委员会按照第七章“评标办法”规定的方法、评审因素、标准和程序对投标文件进行评审。第七章“评标办法”没有规定的方法、评审因素和标准，不作为评标依据。</w:t>
      </w:r>
    </w:p>
    <w:p>
      <w:pPr>
        <w:pStyle w:val="4"/>
        <w:numPr>
          <w:ilvl w:val="0"/>
          <w:numId w:val="3"/>
        </w:numPr>
        <w:spacing w:before="0"/>
        <w:rPr>
          <w:rFonts w:ascii="宋体" w:eastAsia="宋体"/>
          <w:sz w:val="24"/>
          <w:szCs w:val="24"/>
        </w:rPr>
      </w:pPr>
      <w:bookmarkStart w:id="197" w:name="_Toc21637"/>
      <w:bookmarkStart w:id="198" w:name="_Toc9093"/>
      <w:bookmarkStart w:id="199" w:name="_Toc3296"/>
      <w:bookmarkStart w:id="200" w:name="_Toc3166"/>
      <w:r>
        <w:rPr>
          <w:rFonts w:hint="eastAsia" w:ascii="宋体" w:eastAsia="宋体"/>
          <w:sz w:val="24"/>
          <w:szCs w:val="24"/>
        </w:rPr>
        <w:t>评标过程的保密</w:t>
      </w:r>
      <w:bookmarkEnd w:id="197"/>
      <w:bookmarkEnd w:id="198"/>
      <w:bookmarkEnd w:id="199"/>
      <w:bookmarkEnd w:id="200"/>
    </w:p>
    <w:p>
      <w:pPr>
        <w:spacing w:line="360" w:lineRule="auto"/>
        <w:ind w:firstLine="420" w:firstLineChars="200"/>
        <w:jc w:val="left"/>
        <w:rPr>
          <w:rFonts w:ascii="宋体"/>
          <w:szCs w:val="21"/>
        </w:rPr>
      </w:pPr>
      <w:r>
        <w:rPr>
          <w:rFonts w:hint="eastAsia" w:ascii="宋体"/>
          <w:szCs w:val="21"/>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pPr>
        <w:pStyle w:val="4"/>
        <w:numPr>
          <w:ilvl w:val="0"/>
          <w:numId w:val="3"/>
        </w:numPr>
        <w:spacing w:before="0"/>
        <w:rPr>
          <w:rFonts w:ascii="宋体" w:eastAsia="宋体"/>
          <w:sz w:val="24"/>
          <w:szCs w:val="24"/>
        </w:rPr>
      </w:pPr>
      <w:bookmarkStart w:id="201" w:name="_Toc10421"/>
      <w:bookmarkStart w:id="202" w:name="_Toc29125"/>
      <w:bookmarkStart w:id="203" w:name="_Toc15799"/>
      <w:bookmarkStart w:id="204" w:name="_Toc21021"/>
      <w:r>
        <w:rPr>
          <w:rFonts w:hint="eastAsia" w:ascii="宋体" w:eastAsia="宋体"/>
          <w:sz w:val="24"/>
          <w:szCs w:val="24"/>
        </w:rPr>
        <w:t>投标人存在下列情况之一的，投标无效：</w:t>
      </w:r>
      <w:bookmarkEnd w:id="201"/>
      <w:bookmarkEnd w:id="202"/>
      <w:bookmarkEnd w:id="203"/>
      <w:bookmarkEnd w:id="204"/>
    </w:p>
    <w:p>
      <w:pPr>
        <w:spacing w:line="360" w:lineRule="auto"/>
        <w:ind w:firstLine="420" w:firstLineChars="200"/>
        <w:jc w:val="left"/>
        <w:rPr>
          <w:rFonts w:ascii="宋体"/>
          <w:szCs w:val="21"/>
        </w:rPr>
      </w:pPr>
      <w:r>
        <w:rPr>
          <w:rFonts w:hint="eastAsia" w:ascii="宋体"/>
          <w:szCs w:val="21"/>
        </w:rPr>
        <w:t>（1）投标文件未按招标文件要求签署、盖章的；</w:t>
      </w:r>
    </w:p>
    <w:p>
      <w:pPr>
        <w:spacing w:line="360" w:lineRule="auto"/>
        <w:ind w:firstLine="420" w:firstLineChars="200"/>
        <w:jc w:val="left"/>
        <w:rPr>
          <w:rFonts w:ascii="宋体"/>
          <w:szCs w:val="21"/>
        </w:rPr>
      </w:pPr>
      <w:r>
        <w:rPr>
          <w:rFonts w:hint="eastAsia" w:ascii="宋体"/>
          <w:szCs w:val="21"/>
        </w:rPr>
        <w:t>（2）不具备招标文件中规定的资格要求的；</w:t>
      </w:r>
    </w:p>
    <w:p>
      <w:pPr>
        <w:spacing w:line="360" w:lineRule="auto"/>
        <w:ind w:firstLine="420" w:firstLineChars="200"/>
        <w:jc w:val="left"/>
        <w:rPr>
          <w:rFonts w:ascii="宋体"/>
          <w:szCs w:val="21"/>
        </w:rPr>
      </w:pPr>
      <w:r>
        <w:rPr>
          <w:rFonts w:hint="eastAsia" w:ascii="宋体"/>
          <w:szCs w:val="21"/>
        </w:rPr>
        <w:t>（3）报价超过招标文件中规定的预算金额或者最高限价的；</w:t>
      </w:r>
    </w:p>
    <w:p>
      <w:pPr>
        <w:spacing w:line="360" w:lineRule="auto"/>
        <w:ind w:firstLine="420" w:firstLineChars="200"/>
        <w:jc w:val="left"/>
        <w:rPr>
          <w:rFonts w:ascii="宋体"/>
          <w:szCs w:val="21"/>
        </w:rPr>
      </w:pPr>
      <w:r>
        <w:rPr>
          <w:rFonts w:hint="eastAsia" w:ascii="宋体"/>
          <w:szCs w:val="21"/>
        </w:rPr>
        <w:t>（4）投标文件含有采购人不能接受的附加条件的；</w:t>
      </w:r>
    </w:p>
    <w:p>
      <w:pPr>
        <w:spacing w:line="360" w:lineRule="auto"/>
        <w:ind w:firstLine="420" w:firstLineChars="200"/>
        <w:jc w:val="left"/>
        <w:rPr>
          <w:rFonts w:ascii="宋体"/>
          <w:szCs w:val="21"/>
        </w:rPr>
      </w:pPr>
      <w:r>
        <w:rPr>
          <w:rFonts w:hint="eastAsia" w:ascii="宋体"/>
          <w:szCs w:val="21"/>
        </w:rPr>
        <w:t>（5）法律、法规和招标文件规定的其他无效情形。</w:t>
      </w:r>
    </w:p>
    <w:p>
      <w:pPr>
        <w:pStyle w:val="4"/>
        <w:numPr>
          <w:ilvl w:val="0"/>
          <w:numId w:val="3"/>
        </w:numPr>
        <w:spacing w:before="0"/>
        <w:rPr>
          <w:rFonts w:ascii="宋体" w:eastAsia="宋体"/>
          <w:sz w:val="24"/>
          <w:szCs w:val="24"/>
        </w:rPr>
      </w:pPr>
      <w:bookmarkStart w:id="205" w:name="_Toc28065"/>
      <w:bookmarkStart w:id="206" w:name="_Toc26719"/>
      <w:bookmarkStart w:id="207" w:name="_Toc6195"/>
      <w:bookmarkStart w:id="208" w:name="_Toc27673"/>
      <w:r>
        <w:rPr>
          <w:rFonts w:ascii="宋体" w:eastAsia="宋体"/>
          <w:sz w:val="24"/>
          <w:szCs w:val="24"/>
        </w:rPr>
        <w:t>有下列情形之一的，视为投标人串通投标，其投标无效：</w:t>
      </w:r>
      <w:bookmarkEnd w:id="205"/>
      <w:bookmarkEnd w:id="206"/>
      <w:bookmarkEnd w:id="207"/>
      <w:bookmarkEnd w:id="208"/>
    </w:p>
    <w:p>
      <w:pPr>
        <w:spacing w:line="360" w:lineRule="auto"/>
        <w:ind w:firstLine="420" w:firstLineChars="200"/>
        <w:jc w:val="left"/>
        <w:rPr>
          <w:rFonts w:ascii="宋体"/>
          <w:szCs w:val="21"/>
        </w:rPr>
      </w:pPr>
      <w:r>
        <w:rPr>
          <w:rFonts w:ascii="宋体"/>
          <w:szCs w:val="21"/>
        </w:rPr>
        <w:t>（</w:t>
      </w:r>
      <w:r>
        <w:rPr>
          <w:rFonts w:hint="eastAsia" w:ascii="宋体"/>
          <w:szCs w:val="21"/>
        </w:rPr>
        <w:t>1</w:t>
      </w:r>
      <w:r>
        <w:rPr>
          <w:rFonts w:ascii="宋体"/>
          <w:szCs w:val="21"/>
        </w:rPr>
        <w:t>）不同投标人的投标文件由同一单位或者个人编制；</w:t>
      </w:r>
    </w:p>
    <w:p>
      <w:pPr>
        <w:spacing w:line="360" w:lineRule="auto"/>
        <w:ind w:firstLine="420" w:firstLineChars="200"/>
        <w:jc w:val="left"/>
        <w:rPr>
          <w:rFonts w:ascii="宋体"/>
          <w:szCs w:val="21"/>
        </w:rPr>
      </w:pPr>
      <w:r>
        <w:rPr>
          <w:rFonts w:ascii="宋体"/>
          <w:szCs w:val="21"/>
        </w:rPr>
        <w:t>（</w:t>
      </w:r>
      <w:r>
        <w:rPr>
          <w:rFonts w:hint="eastAsia" w:ascii="宋体"/>
          <w:szCs w:val="21"/>
        </w:rPr>
        <w:t>2</w:t>
      </w:r>
      <w:r>
        <w:rPr>
          <w:rFonts w:ascii="宋体"/>
          <w:szCs w:val="21"/>
        </w:rPr>
        <w:t>）不同投标人委托同一单位或者个人办理投标事宜；</w:t>
      </w:r>
    </w:p>
    <w:p>
      <w:pPr>
        <w:spacing w:line="360" w:lineRule="auto"/>
        <w:ind w:firstLine="420" w:firstLineChars="200"/>
        <w:jc w:val="left"/>
        <w:rPr>
          <w:rFonts w:ascii="宋体"/>
          <w:szCs w:val="21"/>
        </w:rPr>
      </w:pPr>
      <w:r>
        <w:rPr>
          <w:rFonts w:ascii="宋体"/>
          <w:szCs w:val="21"/>
        </w:rPr>
        <w:t>（</w:t>
      </w:r>
      <w:r>
        <w:rPr>
          <w:rFonts w:hint="eastAsia" w:ascii="宋体"/>
          <w:szCs w:val="21"/>
        </w:rPr>
        <w:t>3</w:t>
      </w:r>
      <w:r>
        <w:rPr>
          <w:rFonts w:ascii="宋体"/>
          <w:szCs w:val="21"/>
        </w:rPr>
        <w:t>）不同投标人的投标文件载明的项目管理成员或者联系人员为同一人；</w:t>
      </w:r>
    </w:p>
    <w:p>
      <w:pPr>
        <w:spacing w:line="360" w:lineRule="auto"/>
        <w:ind w:firstLine="420" w:firstLineChars="200"/>
        <w:jc w:val="left"/>
        <w:rPr>
          <w:rFonts w:ascii="宋体"/>
          <w:szCs w:val="21"/>
        </w:rPr>
      </w:pPr>
      <w:r>
        <w:rPr>
          <w:rFonts w:ascii="宋体"/>
          <w:szCs w:val="21"/>
        </w:rPr>
        <w:t>（</w:t>
      </w:r>
      <w:r>
        <w:rPr>
          <w:rFonts w:hint="eastAsia" w:ascii="宋体"/>
          <w:szCs w:val="21"/>
        </w:rPr>
        <w:t>4</w:t>
      </w:r>
      <w:r>
        <w:rPr>
          <w:rFonts w:ascii="宋体"/>
          <w:szCs w:val="21"/>
        </w:rPr>
        <w:t>）不同投标人的投标文件异常一致或者投标报价呈规律性差异；</w:t>
      </w:r>
    </w:p>
    <w:p>
      <w:pPr>
        <w:spacing w:line="360" w:lineRule="auto"/>
        <w:ind w:firstLine="420" w:firstLineChars="200"/>
        <w:jc w:val="left"/>
        <w:rPr>
          <w:rFonts w:ascii="宋体"/>
          <w:szCs w:val="21"/>
        </w:rPr>
      </w:pPr>
      <w:r>
        <w:rPr>
          <w:rFonts w:ascii="宋体"/>
          <w:szCs w:val="21"/>
        </w:rPr>
        <w:t>（</w:t>
      </w:r>
      <w:r>
        <w:rPr>
          <w:rFonts w:hint="eastAsia" w:ascii="宋体"/>
          <w:szCs w:val="21"/>
        </w:rPr>
        <w:t>5</w:t>
      </w:r>
      <w:r>
        <w:rPr>
          <w:rFonts w:ascii="宋体"/>
          <w:szCs w:val="21"/>
        </w:rPr>
        <w:t>）不同投标人的投标文件相互混装</w:t>
      </w:r>
      <w:r>
        <w:rPr>
          <w:rFonts w:hint="eastAsia" w:ascii="宋体"/>
          <w:szCs w:val="21"/>
        </w:rPr>
        <w:t>。</w:t>
      </w:r>
    </w:p>
    <w:p>
      <w:pPr>
        <w:pStyle w:val="4"/>
        <w:numPr>
          <w:ilvl w:val="0"/>
          <w:numId w:val="3"/>
        </w:numPr>
        <w:spacing w:before="0"/>
        <w:rPr>
          <w:rFonts w:ascii="宋体" w:eastAsia="宋体"/>
          <w:sz w:val="24"/>
          <w:szCs w:val="24"/>
        </w:rPr>
      </w:pPr>
      <w:bookmarkStart w:id="209" w:name="_Toc24402"/>
      <w:bookmarkStart w:id="210" w:name="_Toc12511"/>
      <w:bookmarkStart w:id="211" w:name="_Toc28935"/>
      <w:bookmarkStart w:id="212" w:name="_Toc9922"/>
      <w:r>
        <w:rPr>
          <w:rFonts w:hint="eastAsia" w:ascii="宋体" w:eastAsia="宋体"/>
          <w:sz w:val="24"/>
          <w:szCs w:val="24"/>
        </w:rPr>
        <w:t>在招标采购中，出现下列情形之一的，应予废标：</w:t>
      </w:r>
      <w:bookmarkEnd w:id="209"/>
      <w:bookmarkEnd w:id="210"/>
      <w:bookmarkEnd w:id="211"/>
      <w:bookmarkEnd w:id="212"/>
    </w:p>
    <w:p>
      <w:pPr>
        <w:spacing w:line="360" w:lineRule="auto"/>
        <w:ind w:firstLine="420" w:firstLineChars="200"/>
        <w:jc w:val="left"/>
        <w:rPr>
          <w:rFonts w:ascii="宋体"/>
          <w:szCs w:val="21"/>
        </w:rPr>
      </w:pPr>
      <w:r>
        <w:rPr>
          <w:rFonts w:hint="eastAsia" w:ascii="宋体"/>
          <w:szCs w:val="21"/>
        </w:rPr>
        <w:t>（1）符合专业条件的投标人或者对招标文件作实质响应的投标人不足3家的；</w:t>
      </w:r>
    </w:p>
    <w:p>
      <w:pPr>
        <w:spacing w:line="360" w:lineRule="auto"/>
        <w:ind w:firstLine="420" w:firstLineChars="200"/>
        <w:jc w:val="left"/>
        <w:rPr>
          <w:rFonts w:ascii="宋体"/>
          <w:szCs w:val="21"/>
        </w:rPr>
      </w:pPr>
      <w:r>
        <w:rPr>
          <w:rFonts w:hint="eastAsia" w:ascii="宋体"/>
          <w:szCs w:val="21"/>
        </w:rPr>
        <w:t>（2）出现影响采购公正的违法、违规行为的；</w:t>
      </w:r>
    </w:p>
    <w:p>
      <w:pPr>
        <w:spacing w:line="360" w:lineRule="auto"/>
        <w:ind w:firstLine="420" w:firstLineChars="200"/>
        <w:jc w:val="left"/>
        <w:rPr>
          <w:rFonts w:ascii="宋体"/>
          <w:szCs w:val="21"/>
        </w:rPr>
      </w:pPr>
      <w:r>
        <w:rPr>
          <w:rFonts w:hint="eastAsia" w:ascii="宋体"/>
          <w:szCs w:val="21"/>
        </w:rPr>
        <w:t>（3）投标人的报价均超过了采购预算，采购人不能支付的；</w:t>
      </w:r>
    </w:p>
    <w:p>
      <w:pPr>
        <w:spacing w:line="360" w:lineRule="auto"/>
        <w:ind w:firstLine="420" w:firstLineChars="200"/>
        <w:jc w:val="left"/>
        <w:rPr>
          <w:rFonts w:ascii="宋体"/>
          <w:szCs w:val="21"/>
        </w:rPr>
      </w:pPr>
      <w:r>
        <w:rPr>
          <w:rFonts w:hint="eastAsia" w:ascii="宋体"/>
          <w:szCs w:val="21"/>
        </w:rPr>
        <w:t>（4）因重大变故，采购任务取消的。</w:t>
      </w:r>
    </w:p>
    <w:p>
      <w:pPr>
        <w:spacing w:line="360" w:lineRule="auto"/>
        <w:ind w:firstLine="420" w:firstLineChars="200"/>
        <w:jc w:val="left"/>
        <w:rPr>
          <w:rFonts w:ascii="宋体"/>
          <w:szCs w:val="21"/>
        </w:rPr>
      </w:pPr>
      <w:r>
        <w:rPr>
          <w:rFonts w:hint="eastAsia" w:ascii="宋体"/>
          <w:szCs w:val="21"/>
        </w:rPr>
        <w:t>废标后，采购人应当将废标理由通知所有投标人。</w:t>
      </w:r>
    </w:p>
    <w:p>
      <w:pPr>
        <w:pStyle w:val="2"/>
        <w:numPr>
          <w:ilvl w:val="0"/>
          <w:numId w:val="0"/>
        </w:numPr>
        <w:spacing w:before="0"/>
        <w:ind w:firstLine="3612" w:firstLineChars="1290"/>
        <w:rPr>
          <w:rFonts w:ascii="黑体"/>
          <w:szCs w:val="28"/>
        </w:rPr>
      </w:pPr>
      <w:bookmarkStart w:id="213" w:name="_Toc31265"/>
      <w:bookmarkStart w:id="214" w:name="_Toc8534"/>
      <w:bookmarkStart w:id="215" w:name="_Toc24551"/>
      <w:bookmarkStart w:id="216" w:name="_Toc6475"/>
      <w:r>
        <w:rPr>
          <w:rFonts w:hint="eastAsia" w:ascii="黑体"/>
          <w:szCs w:val="28"/>
        </w:rPr>
        <w:t>六、中标结果</w:t>
      </w:r>
      <w:bookmarkEnd w:id="213"/>
      <w:bookmarkEnd w:id="214"/>
      <w:bookmarkEnd w:id="215"/>
      <w:bookmarkEnd w:id="216"/>
    </w:p>
    <w:p>
      <w:pPr>
        <w:pStyle w:val="4"/>
        <w:numPr>
          <w:ilvl w:val="0"/>
          <w:numId w:val="3"/>
        </w:numPr>
        <w:spacing w:before="0"/>
        <w:rPr>
          <w:rFonts w:ascii="宋体" w:eastAsia="宋体"/>
          <w:sz w:val="24"/>
          <w:szCs w:val="24"/>
        </w:rPr>
      </w:pPr>
      <w:bookmarkStart w:id="217" w:name="_Toc4282"/>
      <w:bookmarkStart w:id="218" w:name="_Toc20000"/>
      <w:bookmarkStart w:id="219" w:name="_Toc15741"/>
      <w:bookmarkStart w:id="220" w:name="_Toc17813"/>
      <w:r>
        <w:rPr>
          <w:rFonts w:hint="eastAsia" w:ascii="宋体" w:eastAsia="宋体"/>
          <w:sz w:val="24"/>
          <w:szCs w:val="24"/>
        </w:rPr>
        <w:t>中标人的确定</w:t>
      </w:r>
      <w:bookmarkEnd w:id="217"/>
      <w:bookmarkEnd w:id="218"/>
      <w:bookmarkEnd w:id="219"/>
      <w:bookmarkEnd w:id="220"/>
    </w:p>
    <w:p>
      <w:pPr>
        <w:spacing w:line="360" w:lineRule="auto"/>
        <w:ind w:firstLine="420" w:firstLineChars="200"/>
        <w:jc w:val="left"/>
        <w:rPr>
          <w:rFonts w:ascii="宋体"/>
          <w:szCs w:val="21"/>
        </w:rPr>
      </w:pPr>
      <w:r>
        <w:rPr>
          <w:rFonts w:hint="eastAsia" w:ascii="宋体"/>
          <w:szCs w:val="21"/>
        </w:rPr>
        <w:t>28.1 采购代理机构应当在评标结束后两个工作日内将评标报告送采购人。</w:t>
      </w:r>
    </w:p>
    <w:p>
      <w:pPr>
        <w:spacing w:line="360" w:lineRule="auto"/>
        <w:ind w:firstLine="420" w:firstLineChars="200"/>
        <w:jc w:val="left"/>
        <w:rPr>
          <w:rFonts w:ascii="宋体"/>
          <w:szCs w:val="21"/>
        </w:rPr>
      </w:pPr>
      <w:r>
        <w:rPr>
          <w:rFonts w:hint="eastAsia" w:ascii="宋体"/>
          <w:szCs w:val="21"/>
        </w:rPr>
        <w:t>28.2采购人应当自收到评标报告之日起五个工作日内，在评标报告确定的中标候选人名单中按顺序确定中标人。中标候选人并列的，由采购人按照以下原则确定中标人：优先采购节能产品、环境标志产品（详见本章“34.需要补充的其他内容”）。</w:t>
      </w:r>
    </w:p>
    <w:p>
      <w:pPr>
        <w:pStyle w:val="4"/>
        <w:numPr>
          <w:ilvl w:val="0"/>
          <w:numId w:val="3"/>
        </w:numPr>
        <w:spacing w:before="0"/>
        <w:rPr>
          <w:rFonts w:ascii="宋体" w:eastAsia="宋体"/>
          <w:sz w:val="24"/>
          <w:szCs w:val="24"/>
        </w:rPr>
      </w:pPr>
      <w:bookmarkStart w:id="221" w:name="_Toc25637"/>
      <w:bookmarkStart w:id="222" w:name="_Toc7705"/>
      <w:bookmarkStart w:id="223" w:name="_Toc19900"/>
      <w:bookmarkStart w:id="224" w:name="_Toc12987"/>
      <w:r>
        <w:rPr>
          <w:rFonts w:hint="eastAsia" w:ascii="宋体" w:eastAsia="宋体"/>
          <w:sz w:val="24"/>
          <w:szCs w:val="24"/>
        </w:rPr>
        <w:t>中标通知书</w:t>
      </w:r>
      <w:bookmarkEnd w:id="221"/>
      <w:bookmarkEnd w:id="222"/>
      <w:bookmarkEnd w:id="223"/>
      <w:bookmarkEnd w:id="224"/>
    </w:p>
    <w:p>
      <w:pPr>
        <w:spacing w:line="360" w:lineRule="auto"/>
        <w:ind w:firstLine="420" w:firstLineChars="200"/>
        <w:rPr>
          <w:rFonts w:hint="eastAsia" w:ascii="宋体" w:hAnsi="宋体"/>
          <w:bCs/>
          <w:szCs w:val="21"/>
        </w:rPr>
      </w:pPr>
      <w:r>
        <w:rPr>
          <w:rFonts w:hint="eastAsia" w:ascii="宋体"/>
          <w:szCs w:val="21"/>
        </w:rPr>
        <w:t>29.1 中标人确定后，中标结果由采购代理机构在指定媒体上进行公告（发布媒体详见招标公告</w:t>
      </w:r>
      <w:r>
        <w:rPr>
          <w:rFonts w:hint="eastAsia" w:ascii="宋体" w:hAnsi="宋体"/>
          <w:bCs/>
          <w:szCs w:val="21"/>
        </w:rPr>
        <w:t>）</w:t>
      </w:r>
      <w:r>
        <w:rPr>
          <w:rFonts w:hint="eastAsia" w:ascii="宋体"/>
          <w:szCs w:val="21"/>
        </w:rPr>
        <w:t>公告,两个工作日内向中标人发出中标通知书。</w:t>
      </w:r>
    </w:p>
    <w:p>
      <w:pPr>
        <w:spacing w:line="360" w:lineRule="auto"/>
        <w:ind w:firstLine="420" w:firstLineChars="200"/>
        <w:jc w:val="left"/>
        <w:rPr>
          <w:rFonts w:ascii="宋体"/>
          <w:szCs w:val="21"/>
        </w:rPr>
      </w:pPr>
      <w:r>
        <w:rPr>
          <w:rFonts w:hint="eastAsia" w:ascii="宋体"/>
          <w:szCs w:val="21"/>
        </w:rPr>
        <w:t>29.2 中标通知书是合同的一个组成部分。</w:t>
      </w:r>
    </w:p>
    <w:p>
      <w:pPr>
        <w:pStyle w:val="4"/>
        <w:numPr>
          <w:ilvl w:val="0"/>
          <w:numId w:val="3"/>
        </w:numPr>
        <w:spacing w:before="0"/>
        <w:rPr>
          <w:rFonts w:ascii="宋体" w:eastAsia="宋体"/>
          <w:sz w:val="24"/>
          <w:szCs w:val="24"/>
        </w:rPr>
      </w:pPr>
      <w:bookmarkStart w:id="225" w:name="_Toc15536"/>
      <w:bookmarkStart w:id="226" w:name="_Toc3319"/>
      <w:bookmarkStart w:id="227" w:name="_Toc6478"/>
      <w:bookmarkStart w:id="228" w:name="_Toc23594"/>
      <w:r>
        <w:rPr>
          <w:rFonts w:hint="eastAsia" w:ascii="宋体" w:eastAsia="宋体"/>
          <w:sz w:val="24"/>
          <w:szCs w:val="24"/>
        </w:rPr>
        <w:t>签订合同</w:t>
      </w:r>
      <w:bookmarkEnd w:id="225"/>
      <w:bookmarkEnd w:id="226"/>
      <w:bookmarkEnd w:id="227"/>
      <w:bookmarkEnd w:id="228"/>
    </w:p>
    <w:p>
      <w:pPr>
        <w:spacing w:line="360" w:lineRule="auto"/>
        <w:ind w:firstLine="420" w:firstLineChars="200"/>
        <w:jc w:val="left"/>
        <w:rPr>
          <w:rFonts w:ascii="宋体"/>
          <w:szCs w:val="21"/>
        </w:rPr>
      </w:pPr>
      <w:r>
        <w:rPr>
          <w:rFonts w:hint="eastAsia" w:ascii="宋体"/>
          <w:szCs w:val="21"/>
        </w:rPr>
        <w:t>30.1 中标人收到中标通知书后，按招标文件、投标文件及有关澄清承诺书的要求与采购人签订合同。</w:t>
      </w:r>
    </w:p>
    <w:p>
      <w:pPr>
        <w:spacing w:line="360" w:lineRule="auto"/>
        <w:ind w:firstLine="420" w:firstLineChars="200"/>
        <w:jc w:val="left"/>
        <w:rPr>
          <w:rFonts w:ascii="宋体"/>
          <w:szCs w:val="21"/>
        </w:rPr>
      </w:pPr>
      <w:r>
        <w:rPr>
          <w:rFonts w:hint="eastAsia" w:ascii="宋体"/>
          <w:szCs w:val="21"/>
        </w:rPr>
        <w:t>30.2 中标人拒绝与采购人签订合同的，采购人可以按照评标报告推荐的中标候选人名单排序，确定下一候选人为中标人，也可以重新招标。</w:t>
      </w:r>
    </w:p>
    <w:p>
      <w:pPr>
        <w:pStyle w:val="4"/>
        <w:numPr>
          <w:ilvl w:val="0"/>
          <w:numId w:val="3"/>
        </w:numPr>
        <w:spacing w:before="0"/>
        <w:rPr>
          <w:rFonts w:ascii="宋体" w:eastAsia="宋体"/>
          <w:sz w:val="24"/>
          <w:szCs w:val="24"/>
        </w:rPr>
      </w:pPr>
      <w:bookmarkStart w:id="229" w:name="_Toc23064"/>
      <w:bookmarkStart w:id="230" w:name="_Toc28422"/>
      <w:bookmarkStart w:id="231" w:name="_Toc17040"/>
      <w:bookmarkStart w:id="232" w:name="_Toc30824"/>
      <w:r>
        <w:rPr>
          <w:rFonts w:hint="eastAsia" w:ascii="宋体" w:eastAsia="宋体"/>
          <w:sz w:val="24"/>
          <w:szCs w:val="24"/>
        </w:rPr>
        <w:t>履约保证金</w:t>
      </w:r>
      <w:bookmarkEnd w:id="229"/>
      <w:bookmarkEnd w:id="230"/>
      <w:bookmarkEnd w:id="231"/>
      <w:bookmarkEnd w:id="232"/>
    </w:p>
    <w:p>
      <w:pPr>
        <w:spacing w:line="360" w:lineRule="auto"/>
        <w:ind w:firstLine="420" w:firstLineChars="200"/>
        <w:jc w:val="left"/>
        <w:rPr>
          <w:rFonts w:ascii="宋体"/>
          <w:szCs w:val="21"/>
        </w:rPr>
      </w:pPr>
      <w:r>
        <w:rPr>
          <w:rFonts w:hint="eastAsia" w:ascii="宋体"/>
          <w:szCs w:val="21"/>
        </w:rPr>
        <w:t>31.1中标人应按“投标人须知前附表”中确定的履约保证金的金额，向采购人交纳履约保证金，否则，视中标人违约。</w:t>
      </w:r>
    </w:p>
    <w:p>
      <w:pPr>
        <w:spacing w:line="360" w:lineRule="auto"/>
        <w:ind w:firstLine="420" w:firstLineChars="200"/>
        <w:jc w:val="left"/>
        <w:rPr>
          <w:rFonts w:ascii="宋体"/>
          <w:szCs w:val="21"/>
        </w:rPr>
      </w:pPr>
      <w:r>
        <w:rPr>
          <w:rFonts w:hint="eastAsia" w:ascii="宋体"/>
          <w:szCs w:val="21"/>
        </w:rPr>
        <w:t>31.2 签订合同后，如中标人不按双方签订合同约定履约，则没收其全部履约保证金，履约保证金不足以赔偿损失的，按实际损失赔偿。</w:t>
      </w:r>
    </w:p>
    <w:p>
      <w:pPr>
        <w:spacing w:line="360" w:lineRule="auto"/>
        <w:ind w:firstLine="420" w:firstLineChars="200"/>
        <w:jc w:val="left"/>
        <w:rPr>
          <w:rFonts w:ascii="宋体"/>
          <w:szCs w:val="21"/>
        </w:rPr>
      </w:pPr>
      <w:r>
        <w:rPr>
          <w:rFonts w:hint="eastAsia" w:ascii="宋体"/>
          <w:szCs w:val="21"/>
        </w:rPr>
        <w:t>31.3 履约保证金按“投标人须知前附表”规定的履约保证金退还时间由采购人退还</w:t>
      </w:r>
      <w:r>
        <w:rPr>
          <w:rFonts w:ascii="宋体"/>
          <w:szCs w:val="21"/>
        </w:rPr>
        <w:t xml:space="preserve">。 </w:t>
      </w:r>
    </w:p>
    <w:p>
      <w:pPr>
        <w:pStyle w:val="2"/>
        <w:numPr>
          <w:ilvl w:val="0"/>
          <w:numId w:val="0"/>
        </w:numPr>
        <w:spacing w:before="0"/>
        <w:ind w:firstLine="3612" w:firstLineChars="1290"/>
        <w:rPr>
          <w:rFonts w:ascii="黑体"/>
          <w:szCs w:val="28"/>
        </w:rPr>
      </w:pPr>
      <w:bookmarkStart w:id="233" w:name="_Toc26700"/>
      <w:bookmarkStart w:id="234" w:name="_Toc17400"/>
      <w:bookmarkStart w:id="235" w:name="_Toc15956"/>
      <w:bookmarkStart w:id="236" w:name="_Toc22648"/>
      <w:r>
        <w:rPr>
          <w:rFonts w:hint="eastAsia" w:ascii="黑体"/>
          <w:szCs w:val="28"/>
        </w:rPr>
        <w:t>七、其他事项</w:t>
      </w:r>
      <w:bookmarkEnd w:id="233"/>
      <w:bookmarkEnd w:id="234"/>
      <w:bookmarkEnd w:id="235"/>
      <w:bookmarkEnd w:id="236"/>
    </w:p>
    <w:p>
      <w:pPr>
        <w:pStyle w:val="4"/>
        <w:numPr>
          <w:ilvl w:val="0"/>
          <w:numId w:val="3"/>
        </w:numPr>
        <w:spacing w:before="0"/>
        <w:rPr>
          <w:rFonts w:ascii="宋体" w:eastAsia="宋体"/>
          <w:sz w:val="24"/>
          <w:szCs w:val="24"/>
        </w:rPr>
      </w:pPr>
      <w:bookmarkStart w:id="237" w:name="_Toc21002"/>
      <w:bookmarkStart w:id="238" w:name="_Toc21657"/>
      <w:bookmarkStart w:id="239" w:name="_Toc25026"/>
      <w:bookmarkStart w:id="240" w:name="_Toc24221"/>
      <w:r>
        <w:rPr>
          <w:rFonts w:hint="eastAsia" w:ascii="宋体" w:eastAsia="宋体"/>
          <w:sz w:val="24"/>
          <w:szCs w:val="24"/>
        </w:rPr>
        <w:t>采购代理服务费：无。</w:t>
      </w:r>
      <w:bookmarkEnd w:id="237"/>
      <w:bookmarkEnd w:id="238"/>
      <w:bookmarkEnd w:id="239"/>
      <w:bookmarkEnd w:id="240"/>
    </w:p>
    <w:p>
      <w:pPr>
        <w:pStyle w:val="4"/>
        <w:numPr>
          <w:ilvl w:val="0"/>
          <w:numId w:val="3"/>
        </w:numPr>
        <w:spacing w:before="0"/>
        <w:rPr>
          <w:rFonts w:ascii="宋体" w:eastAsia="宋体"/>
          <w:sz w:val="24"/>
          <w:szCs w:val="24"/>
        </w:rPr>
      </w:pPr>
      <w:bookmarkStart w:id="241" w:name="_Toc5558"/>
      <w:bookmarkStart w:id="242" w:name="_Toc11220"/>
      <w:bookmarkStart w:id="243" w:name="_Toc11364"/>
      <w:bookmarkStart w:id="244" w:name="_Toc19235"/>
      <w:r>
        <w:rPr>
          <w:rFonts w:hint="eastAsia" w:ascii="宋体" w:eastAsia="宋体"/>
          <w:sz w:val="24"/>
          <w:szCs w:val="24"/>
        </w:rPr>
        <w:t>解释权</w:t>
      </w:r>
      <w:bookmarkEnd w:id="241"/>
      <w:bookmarkEnd w:id="242"/>
      <w:bookmarkEnd w:id="243"/>
      <w:bookmarkEnd w:id="244"/>
    </w:p>
    <w:p>
      <w:pPr>
        <w:spacing w:line="360" w:lineRule="auto"/>
        <w:ind w:firstLine="420" w:firstLineChars="200"/>
        <w:jc w:val="left"/>
        <w:rPr>
          <w:rFonts w:ascii="宋体"/>
          <w:szCs w:val="21"/>
        </w:rPr>
      </w:pPr>
      <w:r>
        <w:rPr>
          <w:rFonts w:hint="eastAsia" w:ascii="宋体"/>
          <w:szCs w:val="21"/>
        </w:rPr>
        <w:t>本招标文件是根据《中华人民共和国政府采购法》及相关法律法规编制，解释权属采购代理机构。</w:t>
      </w:r>
    </w:p>
    <w:p>
      <w:pPr>
        <w:pStyle w:val="4"/>
        <w:numPr>
          <w:ilvl w:val="0"/>
          <w:numId w:val="3"/>
        </w:numPr>
        <w:spacing w:before="0"/>
        <w:rPr>
          <w:rFonts w:ascii="宋体" w:eastAsia="宋体"/>
          <w:sz w:val="24"/>
          <w:szCs w:val="24"/>
        </w:rPr>
      </w:pPr>
      <w:bookmarkStart w:id="245" w:name="_Toc8679"/>
      <w:bookmarkStart w:id="246" w:name="_Toc26704"/>
      <w:bookmarkStart w:id="247" w:name="_Toc27290"/>
      <w:bookmarkStart w:id="248" w:name="_Toc29409"/>
      <w:r>
        <w:rPr>
          <w:rFonts w:hint="eastAsia" w:ascii="宋体" w:eastAsia="宋体"/>
          <w:sz w:val="24"/>
          <w:szCs w:val="24"/>
        </w:rPr>
        <w:t>需要补充的其他内容</w:t>
      </w:r>
      <w:bookmarkEnd w:id="245"/>
      <w:bookmarkEnd w:id="246"/>
      <w:bookmarkEnd w:id="247"/>
      <w:bookmarkEnd w:id="248"/>
    </w:p>
    <w:bookmarkEnd w:id="98"/>
    <w:p>
      <w:pPr>
        <w:spacing w:line="360" w:lineRule="auto"/>
        <w:ind w:firstLine="420" w:firstLineChars="200"/>
        <w:jc w:val="left"/>
        <w:rPr>
          <w:rFonts w:ascii="宋体"/>
          <w:szCs w:val="21"/>
        </w:rPr>
      </w:pPr>
      <w:r>
        <w:rPr>
          <w:rFonts w:hint="eastAsia" w:ascii="宋体"/>
          <w:szCs w:val="21"/>
        </w:rPr>
        <w:t>34.1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pPr>
        <w:wordWrap w:val="0"/>
        <w:spacing w:line="360" w:lineRule="auto"/>
        <w:ind w:firstLine="420" w:firstLineChars="200"/>
        <w:jc w:val="left"/>
        <w:rPr>
          <w:rFonts w:ascii="宋体"/>
          <w:szCs w:val="21"/>
        </w:rPr>
      </w:pPr>
      <w:r>
        <w:rPr>
          <w:rFonts w:hint="eastAsia" w:ascii="宋体"/>
          <w:szCs w:val="21"/>
        </w:rPr>
        <w:t>节能产品政府采购品目清单、环境标志产品政府采购品目清单可通过中国政府采购网（http://www.ccgp.gov.cn/）查阅。</w:t>
      </w:r>
    </w:p>
    <w:p>
      <w:pPr>
        <w:wordWrap w:val="0"/>
        <w:spacing w:line="360" w:lineRule="auto"/>
        <w:ind w:firstLine="420" w:firstLineChars="200"/>
        <w:jc w:val="left"/>
        <w:rPr>
          <w:rFonts w:ascii="宋体"/>
          <w:szCs w:val="21"/>
        </w:rPr>
      </w:pPr>
      <w:r>
        <w:rPr>
          <w:rFonts w:hint="eastAsia" w:ascii="宋体"/>
          <w:szCs w:val="21"/>
        </w:rPr>
        <w:t>34.2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wordWrap w:val="0"/>
        <w:spacing w:line="360" w:lineRule="auto"/>
        <w:ind w:firstLine="420" w:firstLineChars="200"/>
        <w:jc w:val="left"/>
        <w:rPr>
          <w:rFonts w:ascii="宋体"/>
          <w:szCs w:val="21"/>
        </w:rPr>
      </w:pPr>
      <w:r>
        <w:rPr>
          <w:rFonts w:hint="eastAsia" w:ascii="宋体"/>
          <w:szCs w:val="21"/>
        </w:rPr>
        <w:t>其中，节能产品政府采购品目清单中以“★”标注的为政府强制采购产品，其余为优先采购产品。</w:t>
      </w:r>
    </w:p>
    <w:p>
      <w:pPr>
        <w:wordWrap w:val="0"/>
        <w:spacing w:line="360" w:lineRule="auto"/>
        <w:ind w:firstLine="420" w:firstLineChars="200"/>
        <w:jc w:val="left"/>
        <w:rPr>
          <w:rFonts w:ascii="宋体"/>
          <w:szCs w:val="21"/>
        </w:rPr>
      </w:pPr>
      <w:r>
        <w:rPr>
          <w:rFonts w:hint="eastAsia" w:ascii="宋体"/>
          <w:szCs w:val="21"/>
        </w:rPr>
        <w:t>34.3市场监管总局组织建立节能产品、环境标志产品认证结果信息发布平台，公布相关认证机构和获证产品信息。</w:t>
      </w:r>
    </w:p>
    <w:p>
      <w:pPr>
        <w:wordWrap w:val="0"/>
        <w:spacing w:line="360" w:lineRule="auto"/>
        <w:ind w:firstLine="420" w:firstLineChars="200"/>
        <w:jc w:val="left"/>
        <w:rPr>
          <w:rFonts w:ascii="宋体"/>
          <w:szCs w:val="21"/>
        </w:rPr>
      </w:pPr>
      <w:r>
        <w:rPr>
          <w:rFonts w:hint="eastAsia" w:ascii="宋体"/>
          <w:szCs w:val="21"/>
        </w:rPr>
        <w:t>政府采购节能产品、环境标志产品认证机构名录可通过中国政府采购网（http://www.ccgp.gov.cn/）查阅。</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34.4对符合本国产品标准的产品给予价格扣除。</w:t>
      </w:r>
    </w:p>
    <w:p>
      <w:pPr>
        <w:spacing w:line="360" w:lineRule="auto"/>
        <w:ind w:firstLine="420" w:firstLineChars="200"/>
        <w:rPr>
          <w:rFonts w:hint="eastAsia" w:ascii="宋体" w:hAnsi="宋体" w:cstheme="minorEastAsia"/>
          <w:szCs w:val="21"/>
        </w:rPr>
      </w:pPr>
      <w:r>
        <w:rPr>
          <w:rFonts w:hint="eastAsia" w:ascii="宋体" w:hAnsi="宋体" w:cstheme="minorEastAsia"/>
          <w:szCs w:val="21"/>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pPr>
        <w:spacing w:line="360" w:lineRule="auto"/>
        <w:ind w:firstLine="200"/>
        <w:rPr>
          <w:rFonts w:hint="eastAsia" w:ascii="宋体" w:hAnsi="宋体" w:cstheme="minorEastAsia"/>
          <w:szCs w:val="21"/>
        </w:rPr>
      </w:pPr>
      <w:r>
        <w:rPr>
          <w:rFonts w:hint="eastAsia" w:ascii="宋体" w:hAnsi="宋体" w:cstheme="minorEastAsia"/>
          <w:szCs w:val="21"/>
        </w:rPr>
        <w:t>（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360" w:lineRule="auto"/>
        <w:ind w:firstLine="200"/>
        <w:rPr>
          <w:rFonts w:hint="eastAsia" w:ascii="宋体" w:hAnsi="宋体" w:cstheme="minorEastAsia"/>
          <w:szCs w:val="21"/>
        </w:rPr>
      </w:pPr>
      <w:r>
        <w:rPr>
          <w:rFonts w:hint="eastAsia" w:ascii="宋体" w:hAnsi="宋体" w:cstheme="minorEastAsia"/>
          <w:szCs w:val="21"/>
        </w:rPr>
        <w:t>（2）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spacing w:line="360" w:lineRule="auto"/>
        <w:ind w:firstLine="200"/>
        <w:rPr>
          <w:rFonts w:hint="eastAsia" w:ascii="宋体" w:hAnsi="宋体" w:cstheme="minorEastAsia"/>
          <w:szCs w:val="21"/>
        </w:rPr>
      </w:pPr>
      <w:r>
        <w:rPr>
          <w:rFonts w:hint="eastAsia" w:ascii="宋体" w:hAnsi="宋体" w:cstheme="minorEastAsia"/>
          <w:szCs w:val="21"/>
        </w:rPr>
        <w:t>（3）对本国产品的支持政策。政府采购活动中既有本国产品又有非本国产品参与竞争的，依法对本国产品给予价格评审优惠，对本国产品的报价给予20%的价格扣除，用扣除后的价格参与评审。</w:t>
      </w:r>
    </w:p>
    <w:p>
      <w:pPr>
        <w:spacing w:line="360" w:lineRule="auto"/>
        <w:ind w:firstLine="200"/>
        <w:rPr>
          <w:rFonts w:hint="eastAsia" w:ascii="宋体" w:hAnsi="宋体" w:cstheme="minorEastAsia"/>
          <w:szCs w:val="21"/>
        </w:rPr>
      </w:pPr>
      <w:r>
        <w:rPr>
          <w:rFonts w:hint="eastAsia" w:ascii="宋体" w:hAnsi="宋体" w:cstheme="minorEastAsia"/>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spacing w:line="360" w:lineRule="auto"/>
        <w:ind w:firstLine="200"/>
        <w:rPr>
          <w:rFonts w:hint="eastAsia" w:ascii="宋体" w:hAnsi="宋体" w:cstheme="minorEastAsia"/>
          <w:szCs w:val="21"/>
        </w:rPr>
      </w:pPr>
      <w:r>
        <w:rPr>
          <w:rFonts w:hint="eastAsia" w:ascii="宋体" w:hAnsi="宋体" w:cstheme="minorEastAsia"/>
          <w:szCs w:val="21"/>
        </w:rPr>
        <w:t>（4）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pPr>
        <w:pStyle w:val="10"/>
        <w:spacing w:line="360" w:lineRule="auto"/>
        <w:ind w:firstLine="388" w:firstLineChars="200"/>
        <w:rPr>
          <w:rFonts w:hint="eastAsia" w:ascii="宋体" w:hAnsi="宋体" w:eastAsia="宋体"/>
          <w:b w:val="0"/>
          <w:sz w:val="21"/>
          <w:szCs w:val="21"/>
        </w:rPr>
      </w:pPr>
      <w:r>
        <w:rPr>
          <w:rFonts w:hint="eastAsia" w:ascii="宋体" w:hAnsi="宋体" w:eastAsia="宋体"/>
          <w:b w:val="0"/>
          <w:sz w:val="21"/>
          <w:szCs w:val="21"/>
        </w:rPr>
        <w:t>若采购项目或者采购包中为单一产品，供应商需按要求提供《</w:t>
      </w:r>
      <w:r>
        <w:rPr>
          <w:rFonts w:hint="eastAsia" w:ascii="宋体" w:hAnsi="宋体" w:eastAsia="宋体"/>
          <w:b w:val="0"/>
          <w:sz w:val="21"/>
          <w:szCs w:val="21"/>
          <w:lang w:eastAsia="zh-Hans"/>
        </w:rPr>
        <w:t>关于符合本国产品标准的声明函</w:t>
      </w:r>
      <w:r>
        <w:rPr>
          <w:rFonts w:hint="eastAsia" w:ascii="宋体" w:hAnsi="宋体" w:eastAsia="宋体"/>
          <w:b w:val="0"/>
          <w:sz w:val="21"/>
          <w:szCs w:val="21"/>
        </w:rPr>
        <w:t>》；若采购项目或者采购包中含有多种产品，供应商应依据《中国境内生产的组件成本核算基本规则》核算产品成本占比，并对核算结果负责，按要求提交《关于符合本国产品标准的成本占比承诺函》（如适用）（详见响应文件格式）。相关成本核算的原始凭证应妥善留存，以备核查。采购人可在履约验收环节对相关材料进行抽查。</w:t>
      </w:r>
    </w:p>
    <w:p>
      <w:pPr>
        <w:spacing w:line="360" w:lineRule="auto"/>
        <w:ind w:firstLine="420" w:firstLineChars="200"/>
        <w:jc w:val="left"/>
        <w:rPr>
          <w:rFonts w:hint="eastAsia" w:ascii="宋体" w:hAnsi="宋体"/>
        </w:rPr>
      </w:pPr>
    </w:p>
    <w:p>
      <w:pPr>
        <w:spacing w:line="360" w:lineRule="auto"/>
        <w:jc w:val="center"/>
        <w:outlineLvl w:val="0"/>
        <w:rPr>
          <w:rFonts w:ascii="黑体"/>
          <w:sz w:val="32"/>
          <w:szCs w:val="32"/>
        </w:rPr>
      </w:pPr>
      <w:r>
        <w:rPr>
          <w:rFonts w:hint="eastAsia" w:ascii="宋体"/>
        </w:rPr>
        <w:br w:type="page"/>
      </w:r>
      <w:bookmarkStart w:id="249" w:name="_Toc11115"/>
      <w:bookmarkStart w:id="250" w:name="_Toc3684"/>
      <w:bookmarkStart w:id="251" w:name="_Toc19498"/>
      <w:bookmarkStart w:id="252" w:name="_Toc13603"/>
      <w:r>
        <w:rPr>
          <w:rStyle w:val="40"/>
          <w:rFonts w:hint="eastAsia" w:ascii="宋体" w:hAnsi="宋体" w:eastAsia="宋体" w:cs="宋体"/>
          <w:sz w:val="36"/>
          <w:szCs w:val="36"/>
        </w:rPr>
        <w:t>第三章  合同书样式及主要条款</w:t>
      </w:r>
      <w:bookmarkEnd w:id="249"/>
      <w:bookmarkEnd w:id="250"/>
      <w:bookmarkEnd w:id="251"/>
      <w:bookmarkEnd w:id="252"/>
    </w:p>
    <w:p>
      <w:pPr>
        <w:pStyle w:val="2"/>
        <w:numPr>
          <w:ilvl w:val="0"/>
          <w:numId w:val="0"/>
        </w:numPr>
        <w:spacing w:before="0"/>
        <w:ind w:left="596" w:hanging="593" w:hangingChars="212"/>
        <w:jc w:val="center"/>
        <w:rPr>
          <w:rFonts w:ascii="黑体"/>
          <w:szCs w:val="28"/>
        </w:rPr>
      </w:pPr>
      <w:bookmarkStart w:id="253" w:name="_Toc8623"/>
      <w:bookmarkStart w:id="254" w:name="_Toc20102"/>
      <w:bookmarkStart w:id="255" w:name="_Toc12945"/>
      <w:bookmarkStart w:id="256" w:name="_Toc32157"/>
      <w:r>
        <w:rPr>
          <w:rFonts w:hint="eastAsia" w:ascii="黑体"/>
          <w:szCs w:val="28"/>
        </w:rPr>
        <w:t>合同条款前附表</w:t>
      </w:r>
      <w:bookmarkEnd w:id="253"/>
      <w:bookmarkEnd w:id="254"/>
      <w:bookmarkEnd w:id="255"/>
      <w:bookmarkEnd w:id="256"/>
    </w:p>
    <w:tbl>
      <w:tblPr>
        <w:tblStyle w:val="38"/>
        <w:tblW w:w="894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10" w:hRule="atLeast"/>
          <w:jc w:val="center"/>
        </w:trPr>
        <w:tc>
          <w:tcPr>
            <w:tcW w:w="1122" w:type="dxa"/>
            <w:vAlign w:val="center"/>
          </w:tcPr>
          <w:p>
            <w:pPr>
              <w:pStyle w:val="19"/>
              <w:jc w:val="center"/>
              <w:rPr>
                <w:bCs/>
                <w:szCs w:val="21"/>
              </w:rPr>
            </w:pPr>
            <w:r>
              <w:rPr>
                <w:rFonts w:hint="eastAsia"/>
                <w:bCs/>
                <w:szCs w:val="21"/>
              </w:rPr>
              <w:t>序号</w:t>
            </w:r>
          </w:p>
        </w:tc>
        <w:tc>
          <w:tcPr>
            <w:tcW w:w="7819" w:type="dxa"/>
            <w:vAlign w:val="center"/>
          </w:tcPr>
          <w:p>
            <w:pPr>
              <w:pStyle w:val="19"/>
              <w:ind w:firstLine="2" w:firstLineChars="1"/>
              <w:jc w:val="center"/>
              <w:rPr>
                <w:bCs/>
                <w:szCs w:val="21"/>
              </w:rPr>
            </w:pPr>
            <w:r>
              <w:rPr>
                <w:rFonts w:hint="eastAsia"/>
                <w:bCs/>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6" w:hRule="atLeast"/>
          <w:jc w:val="center"/>
        </w:trPr>
        <w:tc>
          <w:tcPr>
            <w:tcW w:w="1122" w:type="dxa"/>
            <w:vAlign w:val="center"/>
          </w:tcPr>
          <w:p>
            <w:pPr>
              <w:pStyle w:val="19"/>
              <w:jc w:val="center"/>
              <w:rPr>
                <w:bCs/>
                <w:szCs w:val="21"/>
              </w:rPr>
            </w:pPr>
            <w:r>
              <w:rPr>
                <w:rFonts w:hint="eastAsia"/>
                <w:bCs/>
                <w:szCs w:val="21"/>
              </w:rPr>
              <w:t>1</w:t>
            </w:r>
          </w:p>
        </w:tc>
        <w:tc>
          <w:tcPr>
            <w:tcW w:w="7819" w:type="dxa"/>
            <w:vAlign w:val="center"/>
          </w:tcPr>
          <w:p>
            <w:pPr>
              <w:spacing w:before="165" w:beforeLines="50" w:line="360" w:lineRule="auto"/>
              <w:rPr>
                <w:rFonts w:ascii="宋体"/>
                <w:b/>
                <w:bCs/>
                <w:szCs w:val="21"/>
              </w:rPr>
            </w:pPr>
            <w:r>
              <w:rPr>
                <w:rFonts w:hint="eastAsia" w:ascii="宋体"/>
                <w:b/>
                <w:bCs/>
                <w:szCs w:val="21"/>
              </w:rPr>
              <w:t>交货期及交货地点</w:t>
            </w:r>
          </w:p>
          <w:p>
            <w:pPr>
              <w:spacing w:line="360" w:lineRule="auto"/>
              <w:ind w:firstLine="420" w:firstLineChars="200"/>
              <w:rPr>
                <w:rFonts w:hint="eastAsia" w:ascii="宋体" w:hAnsi="宋体"/>
                <w:szCs w:val="21"/>
              </w:rPr>
            </w:pPr>
            <w:r>
              <w:rPr>
                <w:rFonts w:hint="eastAsia" w:ascii="宋体" w:hAnsi="宋体"/>
                <w:szCs w:val="21"/>
              </w:rPr>
              <w:t>交货期：合同⽣效后35日历天内运输、安装在采购人的规定位置，并且完成调试。</w:t>
            </w:r>
          </w:p>
          <w:p>
            <w:pPr>
              <w:spacing w:line="360" w:lineRule="auto"/>
              <w:ind w:firstLine="420" w:firstLineChars="200"/>
              <w:rPr>
                <w:rFonts w:hint="eastAsia" w:ascii="宋体" w:hAnsi="宋体"/>
                <w:bCs/>
                <w:szCs w:val="21"/>
              </w:rPr>
            </w:pPr>
            <w:r>
              <w:rPr>
                <w:rFonts w:hint="eastAsia" w:ascii="宋体" w:hAnsi="宋体"/>
                <w:szCs w:val="21"/>
              </w:rPr>
              <w:t>交货地点：昆明理工大学的规定地点。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0" w:hRule="atLeast"/>
          <w:jc w:val="center"/>
        </w:trPr>
        <w:tc>
          <w:tcPr>
            <w:tcW w:w="1122" w:type="dxa"/>
            <w:vAlign w:val="center"/>
          </w:tcPr>
          <w:p>
            <w:pPr>
              <w:pStyle w:val="19"/>
              <w:jc w:val="center"/>
              <w:rPr>
                <w:bCs/>
                <w:szCs w:val="21"/>
              </w:rPr>
            </w:pPr>
            <w:r>
              <w:rPr>
                <w:rFonts w:hint="eastAsia"/>
                <w:bCs/>
                <w:szCs w:val="21"/>
              </w:rPr>
              <w:t>2</w:t>
            </w:r>
          </w:p>
        </w:tc>
        <w:tc>
          <w:tcPr>
            <w:tcW w:w="7819" w:type="dxa"/>
            <w:vAlign w:val="center"/>
          </w:tcPr>
          <w:p>
            <w:pPr>
              <w:pStyle w:val="15"/>
              <w:spacing w:line="360" w:lineRule="auto"/>
              <w:ind w:left="0" w:leftChars="0" w:firstLine="0" w:firstLineChars="0"/>
              <w:rPr>
                <w:b/>
                <w:bCs/>
              </w:rPr>
            </w:pPr>
            <w:r>
              <w:rPr>
                <w:rFonts w:hint="eastAsia"/>
                <w:b/>
                <w:bCs/>
              </w:rPr>
              <w:t>付款方式：</w:t>
            </w:r>
          </w:p>
          <w:p>
            <w:pPr>
              <w:spacing w:line="360" w:lineRule="auto"/>
              <w:ind w:firstLine="420" w:firstLineChars="200"/>
            </w:pPr>
            <w:r>
              <w:rPr>
                <w:rFonts w:hint="eastAsia"/>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及相关归档资料后，甲方向乙方支付合同总价剩余货款，支付至合同总价的100%货款。</w:t>
            </w:r>
          </w:p>
        </w:tc>
      </w:tr>
    </w:tbl>
    <w:p>
      <w:pPr>
        <w:spacing w:line="360" w:lineRule="auto"/>
        <w:ind w:firstLine="480" w:firstLineChars="200"/>
        <w:rPr>
          <w:rFonts w:ascii="宋体"/>
          <w:b/>
          <w:sz w:val="24"/>
        </w:rPr>
      </w:pPr>
    </w:p>
    <w:p>
      <w:bookmarkStart w:id="257" w:name="_Toc17117"/>
      <w:bookmarkStart w:id="258" w:name="_Toc16063"/>
      <w:bookmarkStart w:id="259" w:name="_Toc3768"/>
    </w:p>
    <w:p/>
    <w:p/>
    <w:p>
      <w:pPr>
        <w:pStyle w:val="2"/>
        <w:numPr>
          <w:ilvl w:val="0"/>
          <w:numId w:val="0"/>
        </w:numPr>
        <w:spacing w:before="0"/>
        <w:jc w:val="center"/>
        <w:rPr>
          <w:rFonts w:ascii="宋体" w:eastAsia="宋体"/>
          <w:szCs w:val="28"/>
        </w:rPr>
      </w:pPr>
      <w:bookmarkStart w:id="260" w:name="_Toc867"/>
      <w:r>
        <w:rPr>
          <w:rFonts w:hint="eastAsia" w:ascii="宋体" w:eastAsia="宋体"/>
          <w:szCs w:val="28"/>
        </w:rPr>
        <w:t>云南省省级政府集中采购（货物类）合同书（格式）</w:t>
      </w:r>
      <w:bookmarkEnd w:id="257"/>
      <w:bookmarkEnd w:id="258"/>
      <w:bookmarkEnd w:id="259"/>
      <w:bookmarkEnd w:id="260"/>
    </w:p>
    <w:p>
      <w:pPr>
        <w:rPr>
          <w:rFonts w:ascii="仿宋_GB2312" w:eastAsia="仿宋_GB2312"/>
          <w:kern w:val="0"/>
          <w:sz w:val="32"/>
          <w:szCs w:val="32"/>
        </w:rPr>
      </w:pPr>
      <w:r>
        <w:rPr>
          <w:rFonts w:hint="eastAsia" w:ascii="仿宋_GB2312" w:eastAsia="仿宋_GB2312"/>
          <w:kern w:val="0"/>
          <w:sz w:val="32"/>
          <w:szCs w:val="32"/>
        </w:rPr>
        <w:br w:type="page"/>
      </w:r>
    </w:p>
    <w:p>
      <w:pPr>
        <w:autoSpaceDE w:val="0"/>
        <w:autoSpaceDN w:val="0"/>
        <w:adjustRightInd w:val="0"/>
        <w:spacing w:line="300" w:lineRule="auto"/>
        <w:ind w:right="-72"/>
        <w:rPr>
          <w:rFonts w:ascii="仿宋_GB2312" w:eastAsia="仿宋_GB2312"/>
          <w:kern w:val="0"/>
          <w:sz w:val="32"/>
          <w:szCs w:val="32"/>
        </w:rPr>
      </w:pPr>
      <w:r>
        <w:rPr>
          <w:rFonts w:hint="eastAsia" w:ascii="仿宋_GB2312" w:eastAsia="仿宋_GB2312"/>
          <w:kern w:val="0"/>
          <w:sz w:val="32"/>
          <w:szCs w:val="32"/>
        </w:rPr>
        <w:t>合同编号：</w:t>
      </w:r>
    </w:p>
    <w:p>
      <w:pPr>
        <w:autoSpaceDE w:val="0"/>
        <w:autoSpaceDN w:val="0"/>
        <w:adjustRightInd w:val="0"/>
        <w:spacing w:line="300" w:lineRule="auto"/>
        <w:ind w:right="-72"/>
        <w:rPr>
          <w:rFonts w:ascii="仿宋_GB2312" w:eastAsia="仿宋_GB2312"/>
          <w:kern w:val="0"/>
          <w:sz w:val="32"/>
          <w:szCs w:val="32"/>
        </w:rPr>
      </w:pPr>
      <w:r>
        <w:rPr>
          <w:rFonts w:hint="eastAsia" w:ascii="仿宋_GB2312" w:eastAsia="仿宋_GB2312"/>
          <w:kern w:val="0"/>
          <w:sz w:val="32"/>
          <w:szCs w:val="32"/>
        </w:rPr>
        <w:t>合同自编号：                        招标编号：</w:t>
      </w:r>
    </w:p>
    <w:p>
      <w:pPr>
        <w:autoSpaceDE w:val="0"/>
        <w:autoSpaceDN w:val="0"/>
        <w:adjustRightInd w:val="0"/>
        <w:spacing w:line="300" w:lineRule="auto"/>
        <w:ind w:right="568"/>
        <w:rPr>
          <w:rFonts w:ascii="仿宋_GB2312" w:eastAsia="仿宋_GB2312"/>
          <w:kern w:val="0"/>
          <w:sz w:val="32"/>
          <w:szCs w:val="32"/>
        </w:rPr>
      </w:pPr>
      <w:r>
        <w:rPr>
          <w:rFonts w:hint="eastAsia" w:ascii="仿宋_GB2312" w:eastAsia="仿宋_GB2312"/>
          <w:kern w:val="0"/>
          <w:sz w:val="32"/>
          <w:szCs w:val="32"/>
        </w:rPr>
        <w:t>●本合同须加盖甲乙双方骑缝章有效</w:t>
      </w:r>
    </w:p>
    <w:p>
      <w:pPr>
        <w:autoSpaceDE w:val="0"/>
        <w:autoSpaceDN w:val="0"/>
        <w:adjustRightInd w:val="0"/>
        <w:spacing w:line="300" w:lineRule="auto"/>
        <w:jc w:val="center"/>
        <w:rPr>
          <w:rFonts w:ascii="黑体" w:eastAsia="黑体"/>
          <w:kern w:val="0"/>
          <w:sz w:val="32"/>
          <w:szCs w:val="32"/>
        </w:rPr>
      </w:pPr>
    </w:p>
    <w:p>
      <w:pPr>
        <w:autoSpaceDE w:val="0"/>
        <w:autoSpaceDN w:val="0"/>
        <w:adjustRightInd w:val="0"/>
        <w:spacing w:line="300" w:lineRule="auto"/>
        <w:jc w:val="center"/>
        <w:rPr>
          <w:rFonts w:hint="eastAsia" w:ascii="黑体" w:hAnsi="华文中宋" w:eastAsia="黑体"/>
          <w:kern w:val="0"/>
          <w:sz w:val="52"/>
          <w:szCs w:val="52"/>
        </w:rPr>
      </w:pPr>
      <w:r>
        <w:rPr>
          <w:rFonts w:hint="eastAsia" w:ascii="黑体" w:hAnsi="华文中宋" w:eastAsia="黑体"/>
          <w:kern w:val="0"/>
          <w:sz w:val="52"/>
          <w:szCs w:val="52"/>
        </w:rPr>
        <w:t>云南省省级政府集中采购</w:t>
      </w:r>
    </w:p>
    <w:p>
      <w:pPr>
        <w:autoSpaceDE w:val="0"/>
        <w:autoSpaceDN w:val="0"/>
        <w:adjustRightInd w:val="0"/>
        <w:spacing w:line="300" w:lineRule="auto"/>
        <w:jc w:val="center"/>
        <w:rPr>
          <w:rFonts w:ascii="楷体_GB2312" w:eastAsia="楷体_GB2312"/>
          <w:kern w:val="0"/>
          <w:sz w:val="24"/>
        </w:rPr>
      </w:pPr>
      <w:r>
        <w:rPr>
          <w:rFonts w:hint="eastAsia" w:ascii="楷体_GB2312" w:eastAsia="楷体_GB2312"/>
          <w:kern w:val="0"/>
          <w:sz w:val="24"/>
        </w:rPr>
        <w:t>（委托采购）（仅供参考）</w:t>
      </w:r>
    </w:p>
    <w:p>
      <w:pPr>
        <w:autoSpaceDE w:val="0"/>
        <w:autoSpaceDN w:val="0"/>
        <w:adjustRightInd w:val="0"/>
        <w:spacing w:line="300" w:lineRule="auto"/>
        <w:jc w:val="center"/>
        <w:rPr>
          <w:rFonts w:ascii="楷体_GB2312" w:eastAsia="楷体_GB2312"/>
          <w:b/>
          <w:kern w:val="0"/>
          <w:sz w:val="44"/>
          <w:szCs w:val="44"/>
        </w:rPr>
      </w:pPr>
      <w:r>
        <w:rPr>
          <w:rFonts w:hint="eastAsia" w:ascii="楷体_GB2312" w:eastAsia="楷体_GB2312"/>
          <w:b/>
          <w:kern w:val="0"/>
          <w:sz w:val="44"/>
          <w:szCs w:val="44"/>
        </w:rPr>
        <w:t>货　物　类</w:t>
      </w:r>
    </w:p>
    <w:p>
      <w:pPr>
        <w:autoSpaceDE w:val="0"/>
        <w:autoSpaceDN w:val="0"/>
        <w:adjustRightInd w:val="0"/>
        <w:spacing w:line="300" w:lineRule="auto"/>
        <w:jc w:val="center"/>
        <w:rPr>
          <w:rFonts w:ascii="黑体" w:eastAsia="黑体"/>
          <w:kern w:val="0"/>
          <w:sz w:val="18"/>
          <w:szCs w:val="18"/>
        </w:rPr>
      </w:pPr>
    </w:p>
    <w:p>
      <w:pPr>
        <w:autoSpaceDE w:val="0"/>
        <w:autoSpaceDN w:val="0"/>
        <w:adjustRightInd w:val="0"/>
        <w:spacing w:line="300" w:lineRule="auto"/>
        <w:jc w:val="center"/>
        <w:rPr>
          <w:rFonts w:ascii="黑体" w:eastAsia="黑体"/>
          <w:kern w:val="0"/>
          <w:sz w:val="18"/>
          <w:szCs w:val="18"/>
        </w:rPr>
      </w:pPr>
    </w:p>
    <w:p>
      <w:pPr>
        <w:autoSpaceDE w:val="0"/>
        <w:autoSpaceDN w:val="0"/>
        <w:adjustRightInd w:val="0"/>
        <w:spacing w:line="300" w:lineRule="auto"/>
        <w:jc w:val="center"/>
        <w:rPr>
          <w:rFonts w:ascii="黑体" w:eastAsia="黑体"/>
          <w:kern w:val="0"/>
          <w:sz w:val="84"/>
          <w:szCs w:val="84"/>
        </w:rPr>
      </w:pPr>
      <w:r>
        <w:rPr>
          <w:rFonts w:hint="eastAsia" w:ascii="黑体" w:eastAsia="黑体"/>
          <w:kern w:val="0"/>
          <w:sz w:val="84"/>
          <w:szCs w:val="84"/>
        </w:rPr>
        <w:t xml:space="preserve">合 </w:t>
      </w:r>
    </w:p>
    <w:p>
      <w:pPr>
        <w:autoSpaceDE w:val="0"/>
        <w:autoSpaceDN w:val="0"/>
        <w:adjustRightInd w:val="0"/>
        <w:spacing w:line="300" w:lineRule="auto"/>
        <w:jc w:val="center"/>
        <w:rPr>
          <w:rFonts w:ascii="黑体" w:eastAsia="黑体"/>
          <w:kern w:val="0"/>
          <w:sz w:val="72"/>
          <w:szCs w:val="72"/>
        </w:rPr>
      </w:pPr>
      <w:r>
        <w:rPr>
          <w:rFonts w:hint="eastAsia" w:ascii="黑体" w:eastAsia="黑体"/>
          <w:kern w:val="0"/>
          <w:sz w:val="84"/>
          <w:szCs w:val="84"/>
        </w:rPr>
        <w:t xml:space="preserve">同 </w:t>
      </w:r>
    </w:p>
    <w:p>
      <w:pPr>
        <w:autoSpaceDE w:val="0"/>
        <w:autoSpaceDN w:val="0"/>
        <w:adjustRightInd w:val="0"/>
        <w:spacing w:line="300" w:lineRule="auto"/>
        <w:jc w:val="center"/>
        <w:rPr>
          <w:rFonts w:ascii="黑体" w:eastAsia="黑体"/>
          <w:kern w:val="0"/>
          <w:sz w:val="84"/>
          <w:szCs w:val="84"/>
        </w:rPr>
      </w:pPr>
      <w:r>
        <w:rPr>
          <w:rFonts w:hint="eastAsia" w:ascii="黑体" w:eastAsia="黑体"/>
          <w:kern w:val="0"/>
          <w:sz w:val="84"/>
          <w:szCs w:val="84"/>
        </w:rPr>
        <w:t xml:space="preserve">书 </w:t>
      </w:r>
    </w:p>
    <w:p>
      <w:pPr>
        <w:autoSpaceDE w:val="0"/>
        <w:autoSpaceDN w:val="0"/>
        <w:adjustRightInd w:val="0"/>
        <w:spacing w:line="300" w:lineRule="auto"/>
        <w:jc w:val="center"/>
        <w:rPr>
          <w:rFonts w:ascii="黑体" w:eastAsia="黑体"/>
          <w:kern w:val="0"/>
          <w:sz w:val="72"/>
          <w:szCs w:val="72"/>
        </w:rPr>
      </w:pPr>
    </w:p>
    <w:p/>
    <w:p/>
    <w:p/>
    <w:p>
      <w:pPr>
        <w:autoSpaceDE w:val="0"/>
        <w:autoSpaceDN w:val="0"/>
        <w:adjustRightInd w:val="0"/>
        <w:spacing w:line="300" w:lineRule="auto"/>
        <w:jc w:val="center"/>
        <w:rPr>
          <w:rFonts w:ascii="楷体_GB2312" w:eastAsia="楷体_GB2312"/>
          <w:b/>
          <w:kern w:val="0"/>
          <w:sz w:val="36"/>
          <w:szCs w:val="36"/>
          <w:lang w:val="zh-CN"/>
        </w:rPr>
      </w:pPr>
      <w:r>
        <w:rPr>
          <w:rFonts w:hint="eastAsia" w:ascii="楷体_GB2312" w:eastAsia="楷体_GB2312"/>
          <w:b/>
          <w:kern w:val="0"/>
          <w:sz w:val="36"/>
          <w:szCs w:val="36"/>
          <w:lang w:val="zh-CN"/>
        </w:rPr>
        <w:t>签订地点：</w:t>
      </w:r>
      <w:r>
        <w:rPr>
          <w:rFonts w:hint="eastAsia" w:ascii="楷体_GB2312" w:eastAsia="楷体_GB2312"/>
          <w:b/>
          <w:spacing w:val="40"/>
          <w:kern w:val="0"/>
          <w:sz w:val="36"/>
          <w:szCs w:val="36"/>
          <w:lang w:val="zh-CN"/>
        </w:rPr>
        <w:t>云南省昆明市</w:t>
      </w:r>
    </w:p>
    <w:p>
      <w:pPr>
        <w:autoSpaceDE w:val="0"/>
        <w:autoSpaceDN w:val="0"/>
        <w:adjustRightInd w:val="0"/>
        <w:spacing w:line="300" w:lineRule="auto"/>
        <w:jc w:val="center"/>
        <w:rPr>
          <w:rFonts w:ascii="楷体_GB2312" w:eastAsia="楷体_GB2312"/>
          <w:b/>
          <w:kern w:val="0"/>
          <w:sz w:val="36"/>
          <w:szCs w:val="36"/>
          <w:lang w:val="zh-CN"/>
        </w:rPr>
      </w:pPr>
      <w:r>
        <w:rPr>
          <w:rFonts w:hint="eastAsia" w:ascii="楷体_GB2312" w:eastAsia="楷体_GB2312"/>
          <w:b/>
          <w:kern w:val="0"/>
          <w:sz w:val="36"/>
          <w:szCs w:val="36"/>
          <w:lang w:val="zh-CN"/>
        </w:rPr>
        <w:t>云南省财政厅　制</w:t>
      </w:r>
    </w:p>
    <w:p>
      <w:pPr>
        <w:rPr>
          <w:rFonts w:ascii="仿宋_GB2312" w:eastAsia="仿宋_GB2312"/>
          <w:bCs/>
          <w:sz w:val="32"/>
          <w:szCs w:val="32"/>
        </w:rPr>
      </w:pPr>
      <w:r>
        <w:rPr>
          <w:rFonts w:hint="eastAsia" w:ascii="仿宋_GB2312" w:eastAsia="仿宋_GB2312"/>
          <w:bCs/>
          <w:sz w:val="32"/>
          <w:szCs w:val="32"/>
        </w:rPr>
        <w:br w:type="page"/>
      </w:r>
    </w:p>
    <w:p>
      <w:pPr>
        <w:widowControl/>
        <w:spacing w:line="520" w:lineRule="exact"/>
        <w:jc w:val="left"/>
        <w:rPr>
          <w:rFonts w:ascii="仿宋_GB2312" w:eastAsia="仿宋_GB2312"/>
          <w:bCs/>
          <w:sz w:val="32"/>
          <w:szCs w:val="32"/>
        </w:rPr>
      </w:pPr>
      <w:r>
        <w:rPr>
          <w:rFonts w:ascii="仿宋_GB2312" w:eastAsia="仿宋_GB2312"/>
          <w:bCs/>
          <w:sz w:val="32"/>
          <w:szCs w:val="32"/>
        </w:rPr>
        <w:t>甲乙双方根据云南省政府采购和出让中心按照《中华人民共和国政府采购法》、《中华人民共和国政府采购法实施条例》和有关制度规定纳入省级政府集中采购、编号为</w:t>
      </w:r>
      <w:r>
        <w:rPr>
          <w:rFonts w:ascii="仿宋_GB2312" w:eastAsia="仿宋_GB2312"/>
          <w:bCs/>
          <w:sz w:val="32"/>
          <w:szCs w:val="32"/>
          <w:u w:val="single"/>
        </w:rPr>
        <w:t xml:space="preserve">    </w:t>
      </w:r>
      <w:r>
        <w:rPr>
          <w:rFonts w:ascii="仿宋_GB2312" w:eastAsia="仿宋_GB2312"/>
          <w:bCs/>
          <w:sz w:val="32"/>
          <w:szCs w:val="32"/>
        </w:rPr>
        <w:t>“</w:t>
      </w:r>
      <w:r>
        <w:rPr>
          <w:rFonts w:ascii="仿宋_GB2312" w:eastAsia="仿宋_GB2312"/>
          <w:bCs/>
          <w:sz w:val="32"/>
          <w:szCs w:val="32"/>
          <w:u w:val="single"/>
        </w:rPr>
        <w:t xml:space="preserve">         </w:t>
      </w:r>
      <w:r>
        <w:rPr>
          <w:rFonts w:ascii="仿宋_GB2312" w:eastAsia="仿宋_GB2312"/>
          <w:bCs/>
          <w:sz w:val="32"/>
          <w:szCs w:val="32"/>
        </w:rPr>
        <w:t xml:space="preserve"> ”公开招标采购结果，经双方协定达成一致，签订以下内容：</w:t>
      </w:r>
    </w:p>
    <w:p>
      <w:pPr>
        <w:widowControl/>
        <w:spacing w:line="520" w:lineRule="exact"/>
        <w:jc w:val="left"/>
        <w:rPr>
          <w:rFonts w:ascii="仿宋_GB2312" w:eastAsia="仿宋_GB2312"/>
          <w:bCs/>
          <w:sz w:val="32"/>
          <w:szCs w:val="32"/>
        </w:rPr>
      </w:pPr>
      <w:r>
        <w:rPr>
          <w:rFonts w:ascii="仿宋_GB2312" w:eastAsia="仿宋_GB2312"/>
          <w:bCs/>
          <w:sz w:val="32"/>
          <w:szCs w:val="32"/>
        </w:rPr>
        <w:t>一、货物名称、品牌及型号规格、产地、制造商名、数量、单价</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r>
        <w:rPr>
          <w:rFonts w:ascii="仿宋_GB2312" w:eastAsia="仿宋_GB2312"/>
          <w:bCs/>
          <w:sz w:val="32"/>
          <w:szCs w:val="32"/>
        </w:rPr>
        <w:t>货物的质量（或项目建设）符合标准及规定，并满足甲方技术要求。</w:t>
      </w:r>
    </w:p>
    <w:p>
      <w:pPr>
        <w:widowControl/>
        <w:spacing w:line="520" w:lineRule="exact"/>
        <w:jc w:val="left"/>
        <w:rPr>
          <w:rFonts w:ascii="仿宋_GB2312" w:eastAsia="仿宋_GB2312"/>
          <w:b/>
          <w:bCs/>
          <w:sz w:val="32"/>
          <w:szCs w:val="32"/>
        </w:rPr>
      </w:pPr>
      <w:r>
        <w:rPr>
          <w:rFonts w:ascii="仿宋_GB2312" w:eastAsia="仿宋_GB2312"/>
          <w:b/>
          <w:bCs/>
          <w:sz w:val="32"/>
          <w:szCs w:val="32"/>
        </w:rPr>
        <w:t>货物的安装服务要求或项目集成服务范围及内容：</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Cs/>
          <w:sz w:val="32"/>
          <w:szCs w:val="32"/>
        </w:rPr>
      </w:pPr>
      <w:r>
        <w:rPr>
          <w:rFonts w:ascii="仿宋_GB2312" w:eastAsia="仿宋_GB2312"/>
          <w:bCs/>
          <w:sz w:val="32"/>
          <w:szCs w:val="32"/>
        </w:rPr>
        <w:t>二、合同总价</w:t>
      </w:r>
    </w:p>
    <w:p>
      <w:pPr>
        <w:widowControl/>
        <w:spacing w:line="520" w:lineRule="exact"/>
        <w:jc w:val="left"/>
        <w:rPr>
          <w:rFonts w:ascii="仿宋_GB2312" w:eastAsia="仿宋_GB2312"/>
          <w:bCs/>
          <w:sz w:val="32"/>
          <w:szCs w:val="32"/>
        </w:rPr>
      </w:pPr>
      <w:r>
        <w:rPr>
          <w:rFonts w:ascii="仿宋_GB2312" w:eastAsia="仿宋_GB2312"/>
          <w:bCs/>
          <w:sz w:val="32"/>
          <w:szCs w:val="32"/>
        </w:rPr>
        <w:t>人民币小写：</w:t>
      </w:r>
    </w:p>
    <w:p>
      <w:pPr>
        <w:widowControl/>
        <w:spacing w:line="520" w:lineRule="exact"/>
        <w:jc w:val="left"/>
        <w:rPr>
          <w:rFonts w:ascii="仿宋_GB2312" w:eastAsia="仿宋_GB2312"/>
          <w:b/>
          <w:bCs/>
          <w:sz w:val="32"/>
          <w:szCs w:val="32"/>
        </w:rPr>
      </w:pPr>
      <w:r>
        <w:rPr>
          <w:rFonts w:ascii="仿宋_GB2312" w:eastAsia="仿宋_GB2312"/>
          <w:bCs/>
          <w:sz w:val="32"/>
          <w:szCs w:val="32"/>
        </w:rPr>
        <w:t>大写：</w:t>
      </w:r>
    </w:p>
    <w:p>
      <w:pPr>
        <w:widowControl/>
        <w:spacing w:line="520" w:lineRule="exact"/>
        <w:jc w:val="left"/>
        <w:rPr>
          <w:rFonts w:ascii="仿宋_GB2312" w:eastAsia="仿宋_GB2312"/>
          <w:bCs/>
          <w:sz w:val="32"/>
          <w:szCs w:val="32"/>
        </w:rPr>
      </w:pPr>
      <w:r>
        <w:rPr>
          <w:rFonts w:ascii="仿宋_GB2312" w:eastAsia="仿宋_GB2312"/>
          <w:bCs/>
          <w:sz w:val="32"/>
          <w:szCs w:val="32"/>
        </w:rPr>
        <w:t>以上价格为甲方指定地点统一交货价，包括但不限于货物款、税费、运输费、安装、调试、质保期内产品更换或维修维护服务费用等所有费用，并不得再有其他费用。由财政资金支付，本合同执行期间合同总价款不变。</w:t>
      </w:r>
    </w:p>
    <w:p>
      <w:pPr>
        <w:widowControl/>
        <w:spacing w:line="520" w:lineRule="exact"/>
        <w:jc w:val="left"/>
        <w:rPr>
          <w:rFonts w:ascii="仿宋_GB2312" w:eastAsia="仿宋_GB2312"/>
          <w:bCs/>
          <w:sz w:val="32"/>
          <w:szCs w:val="32"/>
        </w:rPr>
      </w:pPr>
      <w:r>
        <w:rPr>
          <w:rFonts w:ascii="仿宋_GB2312" w:eastAsia="仿宋_GB2312"/>
          <w:bCs/>
          <w:sz w:val="32"/>
          <w:szCs w:val="32"/>
        </w:rPr>
        <w:t>三、甲乙双方的权利和义务</w:t>
      </w:r>
    </w:p>
    <w:p>
      <w:pPr>
        <w:widowControl/>
        <w:spacing w:line="520" w:lineRule="exact"/>
        <w:jc w:val="left"/>
        <w:rPr>
          <w:rFonts w:ascii="仿宋_GB2312" w:eastAsia="仿宋_GB2312"/>
          <w:b/>
          <w:bCs/>
          <w:sz w:val="32"/>
          <w:szCs w:val="32"/>
        </w:rPr>
      </w:pPr>
      <w:r>
        <w:rPr>
          <w:rFonts w:ascii="仿宋_GB2312" w:eastAsia="仿宋_GB2312"/>
          <w:b/>
          <w:bCs/>
          <w:sz w:val="32"/>
          <w:szCs w:val="32"/>
        </w:rPr>
        <w:t>（一）甲方的权利和义务</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r>
        <w:rPr>
          <w:rFonts w:ascii="仿宋_GB2312" w:eastAsia="仿宋_GB2312"/>
          <w:b/>
          <w:bCs/>
          <w:sz w:val="32"/>
          <w:szCs w:val="32"/>
        </w:rPr>
        <w:t>（二）乙方的权利和义务</w:t>
      </w: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r>
        <w:rPr>
          <w:rFonts w:ascii="仿宋_GB2312" w:eastAsia="仿宋_GB2312"/>
          <w:b/>
          <w:bCs/>
          <w:sz w:val="32"/>
          <w:szCs w:val="32"/>
        </w:rPr>
        <w:t>四、售后服务标准及要求</w:t>
      </w:r>
    </w:p>
    <w:p>
      <w:pPr>
        <w:widowControl/>
        <w:spacing w:line="520" w:lineRule="exact"/>
        <w:jc w:val="left"/>
        <w:rPr>
          <w:rFonts w:ascii="仿宋_GB2312" w:eastAsia="仿宋_GB2312"/>
          <w:bCs/>
          <w:sz w:val="32"/>
          <w:szCs w:val="32"/>
        </w:rPr>
      </w:pPr>
      <w:r>
        <w:rPr>
          <w:rFonts w:ascii="仿宋_GB2312" w:eastAsia="仿宋_GB2312"/>
          <w:bCs/>
          <w:sz w:val="32"/>
          <w:szCs w:val="32"/>
        </w:rPr>
        <w:t>1.本合同范围内的货物质保期为</w:t>
      </w:r>
      <w:r>
        <w:rPr>
          <w:rFonts w:ascii="仿宋_GB2312" w:eastAsia="仿宋_GB2312"/>
          <w:bCs/>
          <w:sz w:val="32"/>
          <w:szCs w:val="32"/>
          <w:u w:val="single"/>
        </w:rPr>
        <w:t xml:space="preserve">  </w:t>
      </w:r>
      <w:r>
        <w:rPr>
          <w:rFonts w:ascii="仿宋_GB2312" w:eastAsia="仿宋_GB2312"/>
          <w:bCs/>
          <w:sz w:val="32"/>
          <w:szCs w:val="32"/>
        </w:rPr>
        <w:t>年，自甲方验收合格，双方签署验收报告之日起计算。质保期内，乙方对货物提供全免费上门保修、维护或免费更换。</w:t>
      </w:r>
    </w:p>
    <w:p>
      <w:pPr>
        <w:widowControl/>
        <w:spacing w:line="520" w:lineRule="exact"/>
        <w:jc w:val="left"/>
        <w:rPr>
          <w:rFonts w:ascii="仿宋_GB2312" w:eastAsia="仿宋_GB2312"/>
          <w:bCs/>
          <w:sz w:val="32"/>
          <w:szCs w:val="32"/>
        </w:rPr>
      </w:pPr>
      <w:r>
        <w:rPr>
          <w:rFonts w:ascii="仿宋_GB2312" w:eastAsia="仿宋_GB2312"/>
          <w:bCs/>
          <w:sz w:val="32"/>
          <w:szCs w:val="32"/>
        </w:rPr>
        <w:t>2.甲方在货物使用过程中发生技术质量问题，乙方应提供及时有效的技术支持及服务。</w:t>
      </w:r>
    </w:p>
    <w:p>
      <w:pPr>
        <w:widowControl/>
        <w:spacing w:line="520" w:lineRule="exact"/>
        <w:jc w:val="left"/>
        <w:rPr>
          <w:rFonts w:ascii="仿宋_GB2312" w:eastAsia="仿宋_GB2312"/>
          <w:bCs/>
          <w:sz w:val="32"/>
          <w:szCs w:val="32"/>
        </w:rPr>
      </w:pPr>
      <w:r>
        <w:rPr>
          <w:rFonts w:ascii="仿宋_GB2312" w:eastAsia="仿宋_GB2312"/>
          <w:bCs/>
          <w:sz w:val="32"/>
          <w:szCs w:val="32"/>
        </w:rPr>
        <w:t>乙方技术支持电话：</w:t>
      </w:r>
    </w:p>
    <w:p>
      <w:pPr>
        <w:widowControl/>
        <w:spacing w:line="520" w:lineRule="exact"/>
        <w:jc w:val="left"/>
        <w:rPr>
          <w:rFonts w:ascii="仿宋_GB2312" w:eastAsia="仿宋_GB2312"/>
          <w:bCs/>
          <w:sz w:val="32"/>
          <w:szCs w:val="32"/>
        </w:rPr>
      </w:pPr>
      <w:r>
        <w:rPr>
          <w:rFonts w:ascii="仿宋_GB2312" w:eastAsia="仿宋_GB2312"/>
          <w:bCs/>
          <w:sz w:val="32"/>
          <w:szCs w:val="32"/>
        </w:rPr>
        <w:t>联系人：</w:t>
      </w:r>
    </w:p>
    <w:p>
      <w:pPr>
        <w:widowControl/>
        <w:spacing w:line="520" w:lineRule="exact"/>
        <w:jc w:val="left"/>
        <w:rPr>
          <w:rFonts w:ascii="仿宋_GB2312" w:eastAsia="仿宋_GB2312"/>
          <w:bCs/>
          <w:sz w:val="32"/>
          <w:szCs w:val="32"/>
        </w:rPr>
      </w:pPr>
      <w:r>
        <w:rPr>
          <w:rFonts w:ascii="仿宋_GB2312" w:eastAsia="仿宋_GB2312"/>
          <w:bCs/>
          <w:sz w:val="32"/>
          <w:szCs w:val="32"/>
        </w:rPr>
        <w:t>3.乙方应向甲方提供在省内的维修服务中心、特约维修服务站等售后服务网点的名单、联系地址、联系电话（内容不够填写时可另作附件）。</w:t>
      </w:r>
    </w:p>
    <w:p>
      <w:pPr>
        <w:widowControl/>
        <w:spacing w:line="520" w:lineRule="exact"/>
        <w:jc w:val="left"/>
        <w:rPr>
          <w:rFonts w:ascii="仿宋_GB2312" w:eastAsia="仿宋_GB2312"/>
          <w:bCs/>
          <w:sz w:val="32"/>
          <w:szCs w:val="32"/>
        </w:rPr>
      </w:pPr>
      <w:r>
        <w:rPr>
          <w:rFonts w:ascii="仿宋_GB2312" w:eastAsia="仿宋_GB2312"/>
          <w:bCs/>
          <w:sz w:val="32"/>
          <w:szCs w:val="32"/>
        </w:rPr>
        <w:t>售后服务网点地址：</w:t>
      </w:r>
    </w:p>
    <w:p>
      <w:pPr>
        <w:widowControl/>
        <w:spacing w:line="520" w:lineRule="exact"/>
        <w:jc w:val="left"/>
        <w:rPr>
          <w:rFonts w:ascii="仿宋_GB2312" w:eastAsia="仿宋_GB2312"/>
          <w:bCs/>
          <w:sz w:val="32"/>
          <w:szCs w:val="32"/>
        </w:rPr>
      </w:pPr>
      <w:r>
        <w:rPr>
          <w:rFonts w:ascii="仿宋_GB2312" w:eastAsia="仿宋_GB2312"/>
          <w:bCs/>
          <w:sz w:val="32"/>
          <w:szCs w:val="32"/>
        </w:rPr>
        <w:t xml:space="preserve">负责人姓名：         </w:t>
      </w:r>
    </w:p>
    <w:p>
      <w:pPr>
        <w:widowControl/>
        <w:spacing w:line="520" w:lineRule="exact"/>
        <w:jc w:val="left"/>
        <w:rPr>
          <w:rFonts w:ascii="仿宋_GB2312" w:eastAsia="仿宋_GB2312"/>
          <w:bCs/>
          <w:sz w:val="32"/>
          <w:szCs w:val="32"/>
        </w:rPr>
      </w:pPr>
      <w:r>
        <w:rPr>
          <w:rFonts w:ascii="仿宋_GB2312" w:eastAsia="仿宋_GB2312"/>
          <w:bCs/>
          <w:sz w:val="32"/>
          <w:szCs w:val="32"/>
        </w:rPr>
        <w:t>联系电话：</w:t>
      </w:r>
    </w:p>
    <w:p>
      <w:pPr>
        <w:widowControl/>
        <w:spacing w:line="520" w:lineRule="exact"/>
        <w:jc w:val="left"/>
        <w:rPr>
          <w:rFonts w:ascii="仿宋_GB2312" w:eastAsia="仿宋_GB2312"/>
          <w:b/>
          <w:bCs/>
          <w:sz w:val="32"/>
          <w:szCs w:val="32"/>
        </w:rPr>
      </w:pPr>
      <w:r>
        <w:rPr>
          <w:rFonts w:ascii="仿宋_GB2312" w:eastAsia="仿宋_GB2312"/>
          <w:b/>
          <w:bCs/>
          <w:sz w:val="32"/>
          <w:szCs w:val="32"/>
        </w:rPr>
        <w:t>4.甲、乙双方约定的其他售后服务内容：</w:t>
      </w: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
          <w:bCs/>
          <w:sz w:val="32"/>
          <w:szCs w:val="32"/>
        </w:rPr>
      </w:pPr>
      <w:r>
        <w:rPr>
          <w:rFonts w:ascii="仿宋_GB2312" w:eastAsia="仿宋_GB2312"/>
          <w:b/>
          <w:bCs/>
          <w:sz w:val="32"/>
          <w:szCs w:val="32"/>
        </w:rPr>
        <w:t>5.本项目培训方案：</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Cs/>
          <w:sz w:val="32"/>
          <w:szCs w:val="32"/>
        </w:rPr>
      </w:pPr>
      <w:r>
        <w:rPr>
          <w:rFonts w:ascii="仿宋_GB2312" w:eastAsia="仿宋_GB2312"/>
          <w:bCs/>
          <w:sz w:val="32"/>
          <w:szCs w:val="32"/>
        </w:rPr>
        <w:t>五、以上内容与政府采购监督管理部门审核以及甲方确认采购和乙方中标承诺情况一致并不得改变或放弃。</w:t>
      </w:r>
    </w:p>
    <w:p>
      <w:pPr>
        <w:widowControl/>
        <w:spacing w:line="520" w:lineRule="exact"/>
        <w:jc w:val="left"/>
        <w:rPr>
          <w:rFonts w:ascii="仿宋_GB2312" w:eastAsia="仿宋_GB2312"/>
          <w:bCs/>
          <w:sz w:val="32"/>
          <w:szCs w:val="32"/>
        </w:rPr>
      </w:pPr>
      <w:r>
        <w:rPr>
          <w:rFonts w:ascii="仿宋_GB2312" w:eastAsia="仿宋_GB2312"/>
          <w:bCs/>
          <w:sz w:val="32"/>
          <w:szCs w:val="32"/>
        </w:rPr>
        <w:t>六、交货期限的约定</w:t>
      </w:r>
    </w:p>
    <w:p>
      <w:pPr>
        <w:widowControl/>
        <w:spacing w:line="520" w:lineRule="exact"/>
        <w:jc w:val="left"/>
        <w:rPr>
          <w:rFonts w:ascii="仿宋_GB2312" w:eastAsia="仿宋_GB2312"/>
          <w:bCs/>
          <w:sz w:val="32"/>
          <w:szCs w:val="32"/>
        </w:rPr>
      </w:pPr>
      <w:r>
        <w:rPr>
          <w:rFonts w:ascii="仿宋_GB2312" w:eastAsia="仿宋_GB2312"/>
          <w:bCs/>
          <w:sz w:val="32"/>
          <w:szCs w:val="32"/>
        </w:rPr>
        <w:t>整体项目完成时间或货物送达甲方指定地点并按规范安装调试完毕时间为合同签订生效后</w:t>
      </w:r>
      <w:r>
        <w:rPr>
          <w:rFonts w:ascii="仿宋_GB2312" w:eastAsia="仿宋_GB2312"/>
          <w:bCs/>
          <w:sz w:val="32"/>
          <w:szCs w:val="32"/>
          <w:u w:val="single"/>
        </w:rPr>
        <w:t xml:space="preserve">     </w:t>
      </w:r>
      <w:r>
        <w:rPr>
          <w:rFonts w:ascii="仿宋_GB2312" w:eastAsia="仿宋_GB2312"/>
          <w:bCs/>
          <w:sz w:val="32"/>
          <w:szCs w:val="32"/>
        </w:rPr>
        <w:t>日内。</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
          <w:bCs/>
          <w:sz w:val="32"/>
          <w:szCs w:val="32"/>
        </w:rPr>
      </w:pPr>
    </w:p>
    <w:p>
      <w:pPr>
        <w:widowControl/>
        <w:spacing w:line="520" w:lineRule="exact"/>
        <w:jc w:val="left"/>
        <w:rPr>
          <w:rFonts w:ascii="仿宋_GB2312" w:eastAsia="仿宋_GB2312"/>
          <w:bCs/>
          <w:sz w:val="32"/>
          <w:szCs w:val="32"/>
        </w:rPr>
      </w:pPr>
      <w:r>
        <w:rPr>
          <w:rFonts w:ascii="仿宋_GB2312" w:eastAsia="仿宋_GB2312"/>
          <w:bCs/>
          <w:sz w:val="32"/>
          <w:szCs w:val="32"/>
        </w:rPr>
        <w:t>七、验收及验收标准</w:t>
      </w:r>
    </w:p>
    <w:p>
      <w:pPr>
        <w:widowControl/>
        <w:spacing w:line="520" w:lineRule="exact"/>
        <w:jc w:val="left"/>
        <w:rPr>
          <w:rFonts w:ascii="仿宋_GB2312" w:eastAsia="仿宋_GB2312"/>
          <w:bCs/>
          <w:sz w:val="32"/>
          <w:szCs w:val="32"/>
        </w:rPr>
      </w:pPr>
      <w:r>
        <w:rPr>
          <w:rFonts w:ascii="仿宋_GB2312" w:eastAsia="仿宋_GB2312"/>
          <w:bCs/>
          <w:sz w:val="32"/>
          <w:szCs w:val="32"/>
        </w:rPr>
        <w:t>1.货物和安装调试验收的标准：按行业通行标准、厂方出厂标准、招标文件要求和乙方文件的承诺（详见投标文件载明的标准，并不低于国家相关标准）。</w:t>
      </w:r>
    </w:p>
    <w:p>
      <w:pPr>
        <w:widowControl/>
        <w:spacing w:line="520" w:lineRule="exact"/>
        <w:jc w:val="left"/>
        <w:rPr>
          <w:rFonts w:ascii="仿宋_GB2312" w:eastAsia="仿宋_GB2312"/>
          <w:bCs/>
          <w:sz w:val="32"/>
          <w:szCs w:val="32"/>
        </w:rPr>
      </w:pPr>
      <w:r>
        <w:rPr>
          <w:rFonts w:ascii="仿宋_GB2312" w:eastAsia="仿宋_GB2312"/>
          <w:bCs/>
          <w:sz w:val="32"/>
          <w:szCs w:val="32"/>
        </w:rPr>
        <w:t>2.项目验收：货物到达甲方指定地点安装调试完毕后，由乙方提出申请，甲、乙双方应共同进行验收是否符合合同的要求及标准，并应填写验收单。一般性项目由甲方代表两人以上（应有相关技术人员）组成验收组负责项目验收；大型或复杂的政府采购项目，应当邀请国家认可的有关部门参加验收工作。甲方成员应当在验收书上签字。</w:t>
      </w:r>
    </w:p>
    <w:p>
      <w:pPr>
        <w:widowControl/>
        <w:spacing w:line="520" w:lineRule="exact"/>
        <w:jc w:val="left"/>
        <w:rPr>
          <w:rFonts w:ascii="仿宋_GB2312" w:eastAsia="仿宋_GB2312"/>
          <w:bCs/>
          <w:sz w:val="32"/>
          <w:szCs w:val="32"/>
        </w:rPr>
      </w:pPr>
      <w:r>
        <w:rPr>
          <w:rFonts w:ascii="仿宋_GB2312" w:eastAsia="仿宋_GB2312"/>
          <w:bCs/>
          <w:sz w:val="32"/>
          <w:szCs w:val="32"/>
        </w:rPr>
        <w:t>3.具体的验收程序、标准和要求如下：</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r>
        <w:rPr>
          <w:rFonts w:ascii="仿宋_GB2312" w:eastAsia="仿宋_GB2312"/>
          <w:bCs/>
          <w:sz w:val="32"/>
          <w:szCs w:val="32"/>
        </w:rPr>
        <w:t>八、合同价款结算</w:t>
      </w:r>
    </w:p>
    <w:p>
      <w:pPr>
        <w:widowControl/>
        <w:spacing w:line="520" w:lineRule="exact"/>
        <w:jc w:val="left"/>
        <w:rPr>
          <w:rFonts w:ascii="仿宋_GB2312" w:eastAsia="仿宋_GB2312"/>
          <w:b/>
          <w:bCs/>
          <w:sz w:val="32"/>
          <w:szCs w:val="32"/>
        </w:rPr>
      </w:pPr>
      <w:r>
        <w:rPr>
          <w:rFonts w:ascii="仿宋_GB2312" w:eastAsia="仿宋_GB2312"/>
          <w:b/>
          <w:bCs/>
          <w:sz w:val="32"/>
          <w:szCs w:val="32"/>
        </w:rPr>
        <w:t>（一）履约保证、费用支付和采购资金保证</w:t>
      </w:r>
    </w:p>
    <w:p>
      <w:pPr>
        <w:widowControl/>
        <w:spacing w:line="520" w:lineRule="exact"/>
        <w:jc w:val="left"/>
        <w:rPr>
          <w:rFonts w:ascii="仿宋_GB2312" w:eastAsia="仿宋_GB2312"/>
          <w:bCs/>
          <w:sz w:val="32"/>
          <w:szCs w:val="32"/>
        </w:rPr>
      </w:pPr>
      <w:r>
        <w:rPr>
          <w:rFonts w:ascii="仿宋_GB2312" w:eastAsia="仿宋_GB2312"/>
          <w:bCs/>
          <w:sz w:val="32"/>
          <w:szCs w:val="32"/>
        </w:rPr>
        <w:t>甲乙双方签字盖章后合同才正式生效。根据招标文件要求签订前应缴纳履约保证金（缴纳金额按招标文件要求）。</w:t>
      </w:r>
    </w:p>
    <w:p>
      <w:pPr>
        <w:widowControl/>
        <w:spacing w:line="520" w:lineRule="exact"/>
        <w:jc w:val="left"/>
        <w:rPr>
          <w:rFonts w:ascii="仿宋_GB2312" w:eastAsia="仿宋_GB2312"/>
          <w:bCs/>
          <w:sz w:val="32"/>
          <w:szCs w:val="32"/>
        </w:rPr>
      </w:pPr>
      <w:r>
        <w:rPr>
          <w:rFonts w:ascii="仿宋_GB2312" w:eastAsia="仿宋_GB2312"/>
          <w:bCs/>
          <w:sz w:val="32"/>
          <w:szCs w:val="32"/>
        </w:rPr>
        <w:t>合同签订时，甲方应保证采购资金已落实并按照合同约定的时间及时向乙方支付合同款项。否则，由此产生的一切后果和导致的法律责任、行政责任均由甲方自行承担。</w:t>
      </w:r>
    </w:p>
    <w:p>
      <w:pPr>
        <w:widowControl/>
        <w:spacing w:line="520" w:lineRule="exact"/>
        <w:jc w:val="left"/>
        <w:rPr>
          <w:rFonts w:ascii="仿宋_GB2312" w:eastAsia="仿宋_GB2312"/>
          <w:b/>
          <w:bCs/>
          <w:sz w:val="32"/>
          <w:szCs w:val="32"/>
        </w:rPr>
      </w:pPr>
      <w:r>
        <w:rPr>
          <w:rFonts w:ascii="仿宋_GB2312" w:eastAsia="仿宋_GB2312"/>
          <w:b/>
          <w:bCs/>
          <w:sz w:val="32"/>
          <w:szCs w:val="32"/>
        </w:rPr>
        <w:t>（二）非国库支付</w:t>
      </w:r>
    </w:p>
    <w:p>
      <w:pPr>
        <w:widowControl/>
        <w:spacing w:line="520" w:lineRule="exact"/>
        <w:jc w:val="left"/>
        <w:rPr>
          <w:rFonts w:ascii="仿宋_GB2312" w:eastAsia="仿宋_GB2312"/>
          <w:bCs/>
          <w:sz w:val="32"/>
          <w:szCs w:val="32"/>
        </w:rPr>
      </w:pPr>
      <w:r>
        <w:rPr>
          <w:rFonts w:ascii="仿宋_GB2312" w:eastAsia="仿宋_GB2312"/>
          <w:bCs/>
          <w:sz w:val="32"/>
          <w:szCs w:val="32"/>
        </w:rPr>
        <w:t>按双方签订的合同规定日期项目执行完毕，甲方按合同规定的验收标准确认数量无误和质量合格后，按政府采购统一格式填写验收书；甲方财务部门见验收书、发票扫描件并审查无误（即手续齐全）后按合同约定的付款方式支付合同款。</w:t>
      </w:r>
    </w:p>
    <w:p>
      <w:pPr>
        <w:widowControl/>
        <w:spacing w:line="520" w:lineRule="exact"/>
        <w:jc w:val="left"/>
        <w:rPr>
          <w:rFonts w:ascii="仿宋_GB2312" w:eastAsia="仿宋_GB2312"/>
          <w:b/>
          <w:bCs/>
          <w:sz w:val="32"/>
          <w:szCs w:val="32"/>
        </w:rPr>
      </w:pPr>
      <w:r>
        <w:rPr>
          <w:rFonts w:ascii="仿宋_GB2312" w:eastAsia="仿宋_GB2312"/>
          <w:b/>
          <w:bCs/>
          <w:sz w:val="32"/>
          <w:szCs w:val="32"/>
        </w:rPr>
        <w:t>（三）国库集中支付</w:t>
      </w:r>
    </w:p>
    <w:p>
      <w:pPr>
        <w:widowControl/>
        <w:spacing w:line="520" w:lineRule="exact"/>
        <w:jc w:val="left"/>
        <w:rPr>
          <w:rFonts w:ascii="仿宋_GB2312" w:eastAsia="仿宋_GB2312"/>
          <w:bCs/>
          <w:sz w:val="32"/>
          <w:szCs w:val="32"/>
        </w:rPr>
      </w:pPr>
      <w:r>
        <w:rPr>
          <w:rFonts w:ascii="仿宋_GB2312" w:eastAsia="仿宋_GB2312"/>
          <w:bCs/>
          <w:sz w:val="32"/>
          <w:szCs w:val="32"/>
        </w:rPr>
        <w:t>甲方按合同规定审查无误后按国库支付规定的方式和比例向云南省财政厅国库处申请付款。</w:t>
      </w:r>
    </w:p>
    <w:p>
      <w:pPr>
        <w:widowControl/>
        <w:spacing w:line="520" w:lineRule="exact"/>
        <w:jc w:val="left"/>
        <w:rPr>
          <w:rFonts w:ascii="仿宋_GB2312" w:eastAsia="仿宋_GB2312"/>
          <w:bCs/>
          <w:sz w:val="32"/>
          <w:szCs w:val="32"/>
        </w:rPr>
      </w:pPr>
      <w:r>
        <w:rPr>
          <w:rFonts w:ascii="仿宋_GB2312" w:eastAsia="仿宋_GB2312"/>
          <w:bCs/>
          <w:sz w:val="32"/>
          <w:szCs w:val="32"/>
        </w:rPr>
        <w:t>国库集中支付的有关规定和手续问题由财政国库部门负责解释。</w:t>
      </w:r>
    </w:p>
    <w:p>
      <w:pPr>
        <w:widowControl/>
        <w:spacing w:line="520" w:lineRule="exact"/>
        <w:jc w:val="left"/>
        <w:rPr>
          <w:rFonts w:ascii="仿宋_GB2312" w:eastAsia="仿宋_GB2312"/>
          <w:bCs/>
          <w:sz w:val="32"/>
          <w:szCs w:val="32"/>
        </w:rPr>
      </w:pPr>
      <w:r>
        <w:rPr>
          <w:rFonts w:ascii="仿宋_GB2312" w:eastAsia="仿宋_GB2312"/>
          <w:b/>
          <w:bCs/>
          <w:sz w:val="32"/>
          <w:szCs w:val="32"/>
        </w:rPr>
        <w:t>（四）本合同价款的支付办法</w:t>
      </w: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p>
    <w:p>
      <w:pPr>
        <w:widowControl/>
        <w:spacing w:line="520" w:lineRule="exact"/>
        <w:jc w:val="left"/>
        <w:rPr>
          <w:rFonts w:ascii="仿宋_GB2312" w:eastAsia="仿宋_GB2312"/>
          <w:bCs/>
          <w:sz w:val="32"/>
          <w:szCs w:val="32"/>
        </w:rPr>
      </w:pPr>
      <w:r>
        <w:rPr>
          <w:rFonts w:ascii="仿宋_GB2312" w:eastAsia="仿宋_GB2312"/>
          <w:bCs/>
          <w:sz w:val="32"/>
          <w:szCs w:val="32"/>
        </w:rPr>
        <w:t>九、违约责任</w:t>
      </w:r>
    </w:p>
    <w:p>
      <w:pPr>
        <w:widowControl/>
        <w:spacing w:line="520" w:lineRule="exact"/>
        <w:jc w:val="left"/>
        <w:rPr>
          <w:rFonts w:ascii="仿宋_GB2312" w:eastAsia="仿宋_GB2312"/>
          <w:bCs/>
          <w:sz w:val="32"/>
          <w:szCs w:val="32"/>
        </w:rPr>
      </w:pPr>
      <w:r>
        <w:rPr>
          <w:rFonts w:ascii="仿宋_GB2312" w:eastAsia="仿宋_GB2312"/>
          <w:bCs/>
          <w:sz w:val="32"/>
          <w:szCs w:val="32"/>
        </w:rPr>
        <w:t>1.乙方所交货物和安装服务等与合同标准不相符合的，甲方有权拒收货物或拒绝验收，乙方无权请求返还履约保证金；逾期交货将向甲方每日偿付合同总额仟分之一的违约金。逾期超过30日，甲方有权书面通知后单方解除合同，不承担任何违约责任，并要求乙方按上述标准支付逾期违约金。</w:t>
      </w:r>
    </w:p>
    <w:p>
      <w:pPr>
        <w:widowControl/>
        <w:spacing w:line="520" w:lineRule="exact"/>
        <w:jc w:val="left"/>
        <w:rPr>
          <w:rFonts w:ascii="仿宋_GB2312" w:eastAsia="仿宋_GB2312"/>
          <w:bCs/>
          <w:sz w:val="32"/>
          <w:szCs w:val="32"/>
        </w:rPr>
      </w:pPr>
      <w:r>
        <w:rPr>
          <w:rFonts w:ascii="仿宋_GB2312" w:eastAsia="仿宋_GB2312"/>
          <w:bCs/>
          <w:sz w:val="32"/>
          <w:szCs w:val="32"/>
        </w:rPr>
        <w:t>2.甲方无正当理由拒收货物或拒绝验收的，甲方向乙方偿付合同款总价百分之五的违约金；由于甲方原因逾期支付合同款将向乙方每日偿付欠款总额千分之一的违约金。</w:t>
      </w:r>
    </w:p>
    <w:p>
      <w:pPr>
        <w:widowControl/>
        <w:spacing w:line="520" w:lineRule="exact"/>
        <w:jc w:val="left"/>
        <w:rPr>
          <w:rFonts w:ascii="仿宋_GB2312" w:eastAsia="仿宋_GB2312"/>
          <w:bCs/>
          <w:sz w:val="32"/>
          <w:szCs w:val="32"/>
        </w:rPr>
      </w:pPr>
      <w:r>
        <w:rPr>
          <w:rFonts w:ascii="仿宋_GB2312" w:eastAsia="仿宋_GB2312"/>
          <w:bCs/>
          <w:sz w:val="32"/>
          <w:szCs w:val="32"/>
        </w:rPr>
        <w:t>十、甲方有权拒付合同价以外的任何费用；乙方有权拒绝合同整体范围以外的条件。</w:t>
      </w:r>
    </w:p>
    <w:p>
      <w:pPr>
        <w:widowControl/>
        <w:spacing w:line="520" w:lineRule="exact"/>
        <w:jc w:val="left"/>
        <w:rPr>
          <w:rFonts w:ascii="仿宋_GB2312" w:eastAsia="仿宋_GB2312"/>
          <w:bCs/>
          <w:sz w:val="32"/>
          <w:szCs w:val="32"/>
        </w:rPr>
      </w:pPr>
      <w:r>
        <w:rPr>
          <w:rFonts w:ascii="仿宋_GB2312" w:eastAsia="仿宋_GB2312"/>
          <w:bCs/>
          <w:sz w:val="32"/>
          <w:szCs w:val="32"/>
        </w:rPr>
        <w:t>十一、甲乙双方在履行合同过程中发生纠纷，应及时向有关监督管理部门投诉，以便相关部门进行协调或处理；或按以下方式处理：（请在</w:t>
      </w:r>
      <w:r>
        <w:rPr>
          <w:rFonts w:hint="eastAsia" w:ascii="仿宋_GB2312" w:eastAsia="仿宋_GB2312"/>
          <w:bCs/>
          <w:sz w:val="32"/>
          <w:szCs w:val="32"/>
          <w:lang w:val="en-US" w:eastAsia="zh-CN"/>
        </w:rPr>
        <w:t>□</w:t>
      </w:r>
      <w:r>
        <w:rPr>
          <w:rFonts w:ascii="仿宋_GB2312" w:eastAsia="仿宋_GB2312"/>
          <w:bCs/>
          <w:sz w:val="32"/>
          <w:szCs w:val="32"/>
        </w:rPr>
        <w:t>内打√，其余打×）</w:t>
      </w:r>
    </w:p>
    <w:p>
      <w:pPr>
        <w:widowControl/>
        <w:spacing w:line="520" w:lineRule="exact"/>
        <w:jc w:val="left"/>
        <w:rPr>
          <w:rFonts w:ascii="仿宋_GB2312" w:eastAsia="仿宋_GB2312"/>
          <w:bCs/>
          <w:sz w:val="32"/>
          <w:szCs w:val="32"/>
        </w:rPr>
      </w:pPr>
      <w:r>
        <w:rPr>
          <w:rFonts w:hint="eastAsia" w:ascii="仿宋_GB2312" w:eastAsia="仿宋_GB2312"/>
          <w:bCs/>
          <w:sz w:val="32"/>
          <w:szCs w:val="32"/>
          <w:lang w:val="en-US" w:eastAsia="zh-CN"/>
        </w:rPr>
        <w:t>□</w:t>
      </w:r>
      <w:r>
        <w:rPr>
          <w:rFonts w:ascii="仿宋_GB2312" w:eastAsia="仿宋_GB2312"/>
          <w:bCs/>
          <w:sz w:val="32"/>
          <w:szCs w:val="32"/>
        </w:rPr>
        <w:t>向合同签订地仲裁部门申请仲裁；</w:t>
      </w:r>
    </w:p>
    <w:p>
      <w:pPr>
        <w:widowControl/>
        <w:spacing w:line="520" w:lineRule="exact"/>
        <w:jc w:val="left"/>
        <w:rPr>
          <w:rFonts w:ascii="仿宋_GB2312" w:eastAsia="仿宋_GB2312"/>
          <w:bCs/>
          <w:sz w:val="32"/>
          <w:szCs w:val="32"/>
        </w:rPr>
      </w:pPr>
      <w:r>
        <w:rPr>
          <w:rFonts w:hint="eastAsia" w:ascii="仿宋_GB2312" w:eastAsia="仿宋_GB2312"/>
          <w:bCs/>
          <w:sz w:val="32"/>
          <w:szCs w:val="32"/>
          <w:lang w:val="en-US" w:eastAsia="zh-CN"/>
        </w:rPr>
        <w:t>□</w:t>
      </w:r>
      <w:r>
        <w:rPr>
          <w:rFonts w:ascii="仿宋_GB2312" w:eastAsia="仿宋_GB2312"/>
          <w:bCs/>
          <w:sz w:val="32"/>
          <w:szCs w:val="32"/>
        </w:rPr>
        <w:t>向合同签订地人民法院提起诉讼。</w:t>
      </w:r>
    </w:p>
    <w:p>
      <w:pPr>
        <w:widowControl/>
        <w:spacing w:line="520" w:lineRule="exact"/>
        <w:jc w:val="left"/>
        <w:rPr>
          <w:rFonts w:ascii="仿宋_GB2312" w:eastAsia="仿宋_GB2312"/>
          <w:bCs/>
          <w:sz w:val="32"/>
          <w:szCs w:val="32"/>
        </w:rPr>
      </w:pPr>
      <w:r>
        <w:rPr>
          <w:rFonts w:ascii="仿宋_GB2312" w:eastAsia="仿宋_GB2312"/>
          <w:bCs/>
          <w:sz w:val="32"/>
          <w:szCs w:val="32"/>
        </w:rPr>
        <w:t>十二、本合同其他未尽事宜，按《中华人民共和国民法典》有关规定处理。</w:t>
      </w:r>
    </w:p>
    <w:p>
      <w:pPr>
        <w:widowControl/>
        <w:spacing w:line="520" w:lineRule="exact"/>
        <w:jc w:val="left"/>
        <w:rPr>
          <w:rFonts w:ascii="仿宋_GB2312" w:eastAsia="仿宋_GB2312"/>
          <w:bCs/>
          <w:sz w:val="32"/>
          <w:szCs w:val="32"/>
        </w:rPr>
      </w:pPr>
      <w:r>
        <w:rPr>
          <w:rFonts w:ascii="仿宋_GB2312" w:eastAsia="仿宋_GB2312"/>
          <w:bCs/>
          <w:sz w:val="32"/>
          <w:szCs w:val="32"/>
        </w:rPr>
        <w:t>十三、本合同一式四份，甲方二份（含监督管理部门备案的一份），乙方二份（含用于结算支付的一份）。</w:t>
      </w:r>
    </w:p>
    <w:p>
      <w:pPr>
        <w:widowControl/>
        <w:spacing w:line="520" w:lineRule="exact"/>
        <w:jc w:val="left"/>
        <w:rPr>
          <w:rFonts w:ascii="仿宋_GB2312" w:eastAsia="仿宋_GB2312"/>
          <w:bCs/>
          <w:sz w:val="32"/>
          <w:szCs w:val="32"/>
        </w:rPr>
      </w:pPr>
      <w:r>
        <w:rPr>
          <w:rFonts w:ascii="仿宋_GB2312" w:eastAsia="仿宋_GB2312"/>
          <w:bCs/>
          <w:sz w:val="32"/>
          <w:szCs w:val="32"/>
        </w:rPr>
        <w:t>十四、本合同自甲乙双方法定代表人或委托代理人签字并加盖公章共同签订之日起生效。</w:t>
      </w:r>
    </w:p>
    <w:p>
      <w:pPr>
        <w:widowControl/>
        <w:spacing w:line="520" w:lineRule="exact"/>
        <w:jc w:val="left"/>
        <w:rPr>
          <w:rFonts w:ascii="仿宋_GB2312" w:eastAsia="仿宋_GB2312"/>
          <w:bCs/>
          <w:sz w:val="32"/>
          <w:szCs w:val="32"/>
        </w:rPr>
      </w:pPr>
      <w:r>
        <w:rPr>
          <w:rFonts w:ascii="仿宋_GB2312" w:eastAsia="仿宋_GB2312"/>
          <w:bCs/>
          <w:sz w:val="32"/>
          <w:szCs w:val="32"/>
        </w:rPr>
        <w:t>十五、本合同不可分割之部分及解释顺序</w:t>
      </w:r>
    </w:p>
    <w:p>
      <w:pPr>
        <w:widowControl/>
        <w:spacing w:line="520" w:lineRule="exact"/>
        <w:jc w:val="left"/>
        <w:rPr>
          <w:rFonts w:ascii="仿宋_GB2312" w:eastAsia="仿宋_GB2312"/>
          <w:bCs/>
          <w:sz w:val="32"/>
          <w:szCs w:val="32"/>
        </w:rPr>
      </w:pPr>
      <w:r>
        <w:rPr>
          <w:rFonts w:ascii="仿宋_GB2312" w:eastAsia="仿宋_GB2312"/>
          <w:bCs/>
          <w:sz w:val="32"/>
          <w:szCs w:val="32"/>
        </w:rPr>
        <w:t>1.合同书及附件；</w:t>
      </w:r>
    </w:p>
    <w:p>
      <w:pPr>
        <w:widowControl/>
        <w:spacing w:line="520" w:lineRule="exact"/>
        <w:jc w:val="left"/>
        <w:rPr>
          <w:rFonts w:ascii="仿宋_GB2312" w:eastAsia="仿宋_GB2312"/>
          <w:bCs/>
          <w:sz w:val="32"/>
          <w:szCs w:val="32"/>
        </w:rPr>
      </w:pPr>
      <w:r>
        <w:rPr>
          <w:rFonts w:ascii="仿宋_GB2312" w:eastAsia="仿宋_GB2312"/>
          <w:bCs/>
          <w:sz w:val="32"/>
          <w:szCs w:val="32"/>
        </w:rPr>
        <w:t>2.中标通知书；</w:t>
      </w:r>
    </w:p>
    <w:p>
      <w:pPr>
        <w:widowControl/>
        <w:spacing w:line="520" w:lineRule="exact"/>
        <w:jc w:val="left"/>
        <w:rPr>
          <w:rFonts w:ascii="仿宋_GB2312" w:eastAsia="仿宋_GB2312"/>
          <w:bCs/>
          <w:sz w:val="32"/>
          <w:szCs w:val="32"/>
        </w:rPr>
      </w:pPr>
      <w:r>
        <w:rPr>
          <w:rFonts w:ascii="仿宋_GB2312" w:eastAsia="仿宋_GB2312"/>
          <w:bCs/>
          <w:sz w:val="32"/>
          <w:szCs w:val="32"/>
        </w:rPr>
        <w:t>3.中标人投标文件及澄清文件；</w:t>
      </w:r>
    </w:p>
    <w:p>
      <w:pPr>
        <w:widowControl/>
        <w:spacing w:line="520" w:lineRule="exact"/>
        <w:jc w:val="left"/>
        <w:rPr>
          <w:rFonts w:ascii="仿宋_GB2312" w:eastAsia="仿宋_GB2312"/>
          <w:bCs/>
          <w:sz w:val="32"/>
          <w:szCs w:val="32"/>
        </w:rPr>
      </w:pPr>
      <w:r>
        <w:rPr>
          <w:rFonts w:ascii="仿宋_GB2312" w:eastAsia="仿宋_GB2312"/>
          <w:bCs/>
          <w:sz w:val="32"/>
          <w:szCs w:val="32"/>
        </w:rPr>
        <w:t>4.招标文件。</w:t>
      </w:r>
    </w:p>
    <w:p>
      <w:pPr>
        <w:widowControl/>
        <w:spacing w:line="520" w:lineRule="exact"/>
        <w:jc w:val="left"/>
        <w:rPr>
          <w:rFonts w:ascii="仿宋_GB2312" w:eastAsia="仿宋_GB2312"/>
          <w:bCs/>
          <w:sz w:val="32"/>
          <w:szCs w:val="32"/>
        </w:rPr>
      </w:pPr>
      <w:r>
        <w:rPr>
          <w:rFonts w:ascii="仿宋_GB2312" w:eastAsia="仿宋_GB2312"/>
          <w:bCs/>
          <w:sz w:val="32"/>
          <w:szCs w:val="32"/>
        </w:rPr>
        <w:t>十六、附件名称（如有请在□内打√，其余打×）</w:t>
      </w:r>
    </w:p>
    <w:p>
      <w:pPr>
        <w:widowControl/>
        <w:spacing w:line="520" w:lineRule="exact"/>
        <w:jc w:val="left"/>
        <w:rPr>
          <w:rFonts w:ascii="仿宋_GB2312" w:eastAsia="仿宋_GB2312"/>
          <w:bCs/>
          <w:sz w:val="32"/>
          <w:szCs w:val="32"/>
        </w:rPr>
      </w:pPr>
      <w:r>
        <w:rPr>
          <w:rFonts w:ascii="仿宋_GB2312" w:eastAsia="仿宋_GB2312"/>
          <w:bCs/>
          <w:sz w:val="32"/>
          <w:szCs w:val="32"/>
        </w:rPr>
        <w:t xml:space="preserve">1.合同货物技术参数和详细配置明细表         </w:t>
      </w:r>
      <w:r>
        <w:rPr>
          <w:rFonts w:hint="eastAsia" w:ascii="仿宋_GB2312" w:eastAsia="仿宋_GB2312"/>
          <w:bCs/>
          <w:sz w:val="32"/>
          <w:szCs w:val="32"/>
          <w:lang w:val="en-US" w:eastAsia="zh-CN"/>
        </w:rPr>
        <w:t>□</w:t>
      </w:r>
    </w:p>
    <w:p>
      <w:pPr>
        <w:widowControl/>
        <w:spacing w:line="520" w:lineRule="exact"/>
        <w:jc w:val="left"/>
        <w:rPr>
          <w:rFonts w:ascii="仿宋_GB2312" w:eastAsia="仿宋_GB2312"/>
          <w:bCs/>
          <w:sz w:val="32"/>
          <w:szCs w:val="32"/>
        </w:rPr>
      </w:pPr>
      <w:r>
        <w:rPr>
          <w:rFonts w:ascii="仿宋_GB2312" w:eastAsia="仿宋_GB2312"/>
          <w:bCs/>
          <w:sz w:val="32"/>
          <w:szCs w:val="32"/>
        </w:rPr>
        <w:t xml:space="preserve">2.合同货物售后服务细则                     </w:t>
      </w:r>
      <w:r>
        <w:rPr>
          <w:rFonts w:hint="eastAsia" w:ascii="仿宋_GB2312" w:eastAsia="仿宋_GB2312"/>
          <w:bCs/>
          <w:sz w:val="32"/>
          <w:szCs w:val="32"/>
          <w:lang w:val="en-US" w:eastAsia="zh-CN"/>
        </w:rPr>
        <w:t>□</w:t>
      </w:r>
    </w:p>
    <w:p>
      <w:pPr>
        <w:widowControl/>
        <w:spacing w:line="520" w:lineRule="exact"/>
        <w:jc w:val="left"/>
        <w:rPr>
          <w:rFonts w:ascii="仿宋_GB2312" w:eastAsia="仿宋_GB2312"/>
          <w:bCs/>
          <w:sz w:val="32"/>
          <w:szCs w:val="32"/>
        </w:rPr>
      </w:pPr>
      <w:r>
        <w:rPr>
          <w:rFonts w:ascii="仿宋_GB2312" w:eastAsia="仿宋_GB2312"/>
          <w:bCs/>
          <w:sz w:val="32"/>
          <w:szCs w:val="32"/>
        </w:rPr>
        <w:t xml:space="preserve">3.合同货物使用详细培训方案或计划           </w:t>
      </w:r>
      <w:r>
        <w:rPr>
          <w:rFonts w:hint="eastAsia" w:ascii="仿宋_GB2312" w:eastAsia="仿宋_GB2312"/>
          <w:bCs/>
          <w:sz w:val="32"/>
          <w:szCs w:val="32"/>
          <w:lang w:val="en-US" w:eastAsia="zh-CN"/>
        </w:rPr>
        <w:t>□</w:t>
      </w:r>
    </w:p>
    <w:p>
      <w:pPr>
        <w:widowControl/>
        <w:spacing w:line="520" w:lineRule="exact"/>
        <w:jc w:val="left"/>
        <w:rPr>
          <w:rFonts w:ascii="仿宋_GB2312" w:eastAsia="仿宋_GB2312"/>
          <w:bCs/>
          <w:sz w:val="32"/>
          <w:szCs w:val="32"/>
        </w:rPr>
      </w:pPr>
      <w:r>
        <w:rPr>
          <w:rFonts w:ascii="仿宋_GB2312" w:eastAsia="仿宋_GB2312"/>
          <w:bCs/>
          <w:sz w:val="32"/>
          <w:szCs w:val="32"/>
        </w:rPr>
        <w:t xml:space="preserve">4.合同货物技术资料清单                     </w:t>
      </w:r>
      <w:r>
        <w:rPr>
          <w:rFonts w:hint="eastAsia" w:ascii="仿宋_GB2312" w:eastAsia="仿宋_GB2312"/>
          <w:bCs/>
          <w:sz w:val="32"/>
          <w:szCs w:val="32"/>
          <w:lang w:val="en-US" w:eastAsia="zh-CN"/>
        </w:rPr>
        <w:t>□</w:t>
      </w:r>
    </w:p>
    <w:p>
      <w:pPr>
        <w:widowControl/>
        <w:spacing w:line="520" w:lineRule="exact"/>
        <w:jc w:val="left"/>
        <w:rPr>
          <w:rFonts w:ascii="仿宋_GB2312" w:eastAsia="仿宋_GB2312"/>
          <w:bCs/>
          <w:sz w:val="32"/>
          <w:szCs w:val="32"/>
        </w:rPr>
      </w:pPr>
      <w:r>
        <w:rPr>
          <w:rFonts w:ascii="仿宋_GB2312" w:eastAsia="仿宋_GB2312"/>
          <w:bCs/>
          <w:sz w:val="32"/>
          <w:szCs w:val="32"/>
        </w:rPr>
        <w:t xml:space="preserve">5.其他                                     </w:t>
      </w:r>
      <w:r>
        <w:rPr>
          <w:rFonts w:hint="eastAsia" w:ascii="仿宋_GB2312" w:eastAsia="仿宋_GB2312"/>
          <w:bCs/>
          <w:sz w:val="32"/>
          <w:szCs w:val="32"/>
          <w:lang w:val="en-US" w:eastAsia="zh-CN"/>
        </w:rPr>
        <w:t>□</w:t>
      </w:r>
    </w:p>
    <w:p>
      <w:pPr>
        <w:widowControl/>
        <w:spacing w:line="520" w:lineRule="exact"/>
        <w:jc w:val="left"/>
        <w:rPr>
          <w:rFonts w:hint="eastAsia" w:ascii="仿宋_GB2312" w:hAnsi="金山简黑体" w:eastAsia="仿宋_GB2312"/>
          <w:b/>
          <w:spacing w:val="-8"/>
          <w:sz w:val="32"/>
          <w:szCs w:val="32"/>
        </w:rPr>
      </w:pPr>
      <w:r>
        <w:rPr>
          <w:rFonts w:ascii="仿宋_GB2312" w:eastAsia="仿宋_GB2312"/>
          <w:sz w:val="32"/>
          <w:szCs w:val="32"/>
        </w:rPr>
        <w:br w:type="page"/>
      </w:r>
    </w:p>
    <w:p>
      <w:pPr>
        <w:pStyle w:val="9"/>
        <w:ind w:firstLine="0" w:firstLineChars="0"/>
        <w:rPr>
          <w:rFonts w:ascii="仿宋_GB2312" w:hAnsi="Times New Roman" w:eastAsia="仿宋_GB2312"/>
          <w:b w:val="0"/>
          <w:bCs/>
          <w:kern w:val="0"/>
          <w:sz w:val="28"/>
          <w:szCs w:val="28"/>
          <w:lang w:val="zh-CN"/>
        </w:rPr>
      </w:pPr>
      <w:r>
        <w:rPr>
          <w:rFonts w:hint="eastAsia" w:ascii="仿宋_GB2312" w:hAnsi="Times New Roman" w:eastAsia="仿宋_GB2312"/>
          <w:b w:val="0"/>
          <w:bCs/>
          <w:kern w:val="0"/>
          <w:sz w:val="28"/>
          <w:szCs w:val="28"/>
          <w:lang w:val="zh-CN"/>
        </w:rPr>
        <w:t>此页无正文</w:t>
      </w:r>
    </w:p>
    <w:p>
      <w:pPr>
        <w:autoSpaceDE w:val="0"/>
        <w:autoSpaceDN w:val="0"/>
        <w:adjustRightInd w:val="0"/>
        <w:snapToGrid w:val="0"/>
        <w:spacing w:line="420" w:lineRule="exact"/>
        <w:rPr>
          <w:rFonts w:ascii="仿宋_GB2312" w:eastAsia="仿宋_GB2312"/>
          <w:kern w:val="0"/>
          <w:sz w:val="28"/>
          <w:szCs w:val="28"/>
          <w:lang w:val="zh-CN"/>
        </w:rPr>
      </w:pPr>
    </w:p>
    <w:p>
      <w:pPr>
        <w:autoSpaceDE w:val="0"/>
        <w:autoSpaceDN w:val="0"/>
        <w:adjustRightInd w:val="0"/>
        <w:snapToGrid w:val="0"/>
        <w:spacing w:line="420" w:lineRule="exact"/>
        <w:rPr>
          <w:rFonts w:ascii="仿宋_GB2312" w:eastAsia="仿宋_GB2312"/>
          <w:kern w:val="0"/>
          <w:sz w:val="28"/>
          <w:szCs w:val="28"/>
          <w:lang w:val="zh-CN"/>
        </w:rPr>
      </w:pPr>
    </w:p>
    <w:p>
      <w:pPr>
        <w:autoSpaceDE w:val="0"/>
        <w:autoSpaceDN w:val="0"/>
        <w:adjustRightInd w:val="0"/>
        <w:snapToGrid w:val="0"/>
        <w:spacing w:line="420" w:lineRule="exact"/>
        <w:rPr>
          <w:rFonts w:ascii="仿宋_GB2312" w:eastAsia="仿宋_GB2312"/>
          <w:kern w:val="0"/>
          <w:sz w:val="28"/>
          <w:szCs w:val="28"/>
          <w:lang w:val="zh-CN"/>
        </w:rPr>
      </w:pPr>
    </w:p>
    <w:p>
      <w:pPr>
        <w:autoSpaceDE w:val="0"/>
        <w:autoSpaceDN w:val="0"/>
        <w:adjustRightInd w:val="0"/>
        <w:snapToGrid w:val="0"/>
        <w:spacing w:line="420" w:lineRule="exact"/>
        <w:rPr>
          <w:rFonts w:ascii="仿宋_GB2312" w:eastAsia="仿宋_GB2312"/>
          <w:kern w:val="0"/>
          <w:sz w:val="28"/>
          <w:szCs w:val="28"/>
          <w:lang w:val="zh-CN"/>
        </w:rPr>
      </w:pPr>
    </w:p>
    <w:p>
      <w:pPr>
        <w:autoSpaceDE w:val="0"/>
        <w:autoSpaceDN w:val="0"/>
        <w:adjustRightInd w:val="0"/>
        <w:snapToGrid w:val="0"/>
        <w:spacing w:line="420" w:lineRule="exact"/>
        <w:rPr>
          <w:rFonts w:ascii="仿宋_GB2312" w:eastAsia="仿宋_GB2312"/>
          <w:kern w:val="0"/>
          <w:sz w:val="28"/>
          <w:szCs w:val="28"/>
          <w:lang w:val="zh-CN"/>
        </w:rPr>
      </w:pPr>
      <w:r>
        <w:rPr>
          <w:rFonts w:hint="eastAsia" w:ascii="仿宋_GB2312" w:eastAsia="仿宋_GB2312"/>
          <w:kern w:val="0"/>
          <w:sz w:val="28"/>
          <w:szCs w:val="28"/>
          <w:lang w:val="zh-CN"/>
        </w:rPr>
        <w:t>甲方（采购人）名      称：</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地      址：</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邮      编：</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法定代表人:</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委托代理人：</w:t>
      </w:r>
    </w:p>
    <w:p>
      <w:pPr>
        <w:autoSpaceDE w:val="0"/>
        <w:autoSpaceDN w:val="0"/>
        <w:adjustRightInd w:val="0"/>
        <w:snapToGrid w:val="0"/>
        <w:spacing w:line="420" w:lineRule="exact"/>
        <w:ind w:firstLine="840" w:firstLineChars="300"/>
        <w:rPr>
          <w:rFonts w:ascii="仿宋_GB2312" w:eastAsia="仿宋_GB2312"/>
          <w:kern w:val="0"/>
          <w:sz w:val="28"/>
          <w:szCs w:val="28"/>
          <w:lang w:val="zh-CN"/>
        </w:rPr>
      </w:pPr>
      <w:r>
        <w:rPr>
          <w:rFonts w:hint="eastAsia" w:ascii="仿宋_GB2312" w:eastAsia="仿宋_GB2312"/>
          <w:kern w:val="0"/>
          <w:sz w:val="28"/>
          <w:szCs w:val="28"/>
          <w:lang w:val="zh-CN"/>
        </w:rPr>
        <w:t>项目（技术）负责人：</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电　　　话：</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开户  银行：</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账      号：</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签订 </w:t>
      </w:r>
      <w:r>
        <w:rPr>
          <w:rFonts w:ascii="仿宋_GB2312" w:eastAsia="仿宋_GB2312"/>
          <w:kern w:val="0"/>
          <w:sz w:val="28"/>
          <w:szCs w:val="28"/>
          <w:lang w:val="zh-CN"/>
        </w:rPr>
        <w:t xml:space="preserve"> </w:t>
      </w:r>
      <w:r>
        <w:rPr>
          <w:rFonts w:hint="eastAsia" w:ascii="仿宋_GB2312" w:eastAsia="仿宋_GB2312"/>
          <w:kern w:val="0"/>
          <w:sz w:val="28"/>
          <w:szCs w:val="28"/>
          <w:lang w:val="zh-CN"/>
        </w:rPr>
        <w:t>日期：</w:t>
      </w:r>
    </w:p>
    <w:p>
      <w:pPr>
        <w:autoSpaceDE w:val="0"/>
        <w:autoSpaceDN w:val="0"/>
        <w:adjustRightInd w:val="0"/>
        <w:snapToGrid w:val="0"/>
        <w:spacing w:line="420" w:lineRule="exact"/>
        <w:rPr>
          <w:rFonts w:ascii="仿宋_GB2312" w:eastAsia="仿宋_GB2312"/>
          <w:kern w:val="0"/>
          <w:sz w:val="28"/>
          <w:szCs w:val="28"/>
        </w:rPr>
      </w:pPr>
    </w:p>
    <w:p>
      <w:pPr>
        <w:pStyle w:val="9"/>
        <w:ind w:firstLine="265"/>
        <w:rPr>
          <w:rFonts w:hint="eastAsia" w:ascii="仿宋_GB2312" w:eastAsia="仿宋_GB2312"/>
          <w:kern w:val="0"/>
          <w:sz w:val="28"/>
          <w:szCs w:val="28"/>
        </w:rPr>
      </w:pPr>
    </w:p>
    <w:p>
      <w:pPr>
        <w:pStyle w:val="9"/>
        <w:ind w:firstLine="265"/>
        <w:rPr>
          <w:rFonts w:hint="eastAsia" w:ascii="仿宋_GB2312" w:eastAsia="仿宋_GB2312"/>
          <w:kern w:val="0"/>
          <w:sz w:val="28"/>
          <w:szCs w:val="28"/>
        </w:rPr>
      </w:pPr>
    </w:p>
    <w:p>
      <w:pPr>
        <w:autoSpaceDE w:val="0"/>
        <w:autoSpaceDN w:val="0"/>
        <w:adjustRightInd w:val="0"/>
        <w:snapToGrid w:val="0"/>
        <w:spacing w:line="420" w:lineRule="exact"/>
        <w:rPr>
          <w:rFonts w:ascii="仿宋_GB2312" w:eastAsia="仿宋_GB2312"/>
          <w:kern w:val="0"/>
          <w:sz w:val="28"/>
          <w:szCs w:val="28"/>
          <w:lang w:val="zh-CN"/>
        </w:rPr>
      </w:pPr>
      <w:r>
        <w:rPr>
          <w:rFonts w:hint="eastAsia" w:ascii="仿宋_GB2312" w:eastAsia="仿宋_GB2312"/>
          <w:kern w:val="0"/>
          <w:sz w:val="28"/>
          <w:szCs w:val="28"/>
          <w:lang w:val="zh-CN"/>
        </w:rPr>
        <w:t>乙方（投标人）名      称：</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地      址：</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邮      编：</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法定代表人： </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委托代理人：</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电      话：</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开户  银行：</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账      号：</w:t>
      </w:r>
    </w:p>
    <w:p>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签订 </w:t>
      </w:r>
      <w:r>
        <w:rPr>
          <w:rFonts w:ascii="仿宋_GB2312" w:eastAsia="仿宋_GB2312"/>
          <w:kern w:val="0"/>
          <w:sz w:val="28"/>
          <w:szCs w:val="28"/>
          <w:lang w:val="zh-CN"/>
        </w:rPr>
        <w:t xml:space="preserve"> </w:t>
      </w:r>
      <w:r>
        <w:rPr>
          <w:rFonts w:hint="eastAsia" w:ascii="仿宋_GB2312" w:eastAsia="仿宋_GB2312"/>
          <w:kern w:val="0"/>
          <w:sz w:val="28"/>
          <w:szCs w:val="28"/>
          <w:lang w:val="zh-CN"/>
        </w:rPr>
        <w:t>日期：</w:t>
      </w:r>
    </w:p>
    <w:p>
      <w:pPr>
        <w:rPr>
          <w:lang w:val="zh-CN"/>
        </w:rPr>
      </w:pPr>
      <w:r>
        <w:rPr>
          <w:lang w:val="zh-CN"/>
        </w:rPr>
        <w:br w:type="page"/>
      </w:r>
    </w:p>
    <w:p>
      <w:pPr>
        <w:pStyle w:val="3"/>
        <w:numPr>
          <w:ilvl w:val="0"/>
          <w:numId w:val="0"/>
        </w:numPr>
        <w:spacing w:before="0"/>
        <w:jc w:val="center"/>
        <w:rPr>
          <w:rFonts w:ascii="宋体" w:eastAsia="宋体"/>
          <w:sz w:val="36"/>
        </w:rPr>
      </w:pPr>
      <w:bookmarkStart w:id="261" w:name="_Toc21800"/>
      <w:bookmarkStart w:id="262" w:name="_Toc17435"/>
      <w:bookmarkStart w:id="263" w:name="_Toc14994"/>
      <w:bookmarkStart w:id="264" w:name="_Toc28068"/>
      <w:r>
        <w:rPr>
          <w:rFonts w:hint="eastAsia" w:ascii="宋体" w:eastAsia="宋体"/>
          <w:sz w:val="36"/>
        </w:rPr>
        <w:t>第四章  投标文件格式</w:t>
      </w:r>
      <w:bookmarkEnd w:id="261"/>
      <w:bookmarkEnd w:id="262"/>
      <w:bookmarkEnd w:id="263"/>
      <w:bookmarkEnd w:id="264"/>
    </w:p>
    <w:p>
      <w:pPr>
        <w:pStyle w:val="2"/>
        <w:numPr>
          <w:ilvl w:val="0"/>
          <w:numId w:val="0"/>
        </w:numPr>
        <w:spacing w:before="0"/>
        <w:ind w:firstLine="3612" w:firstLineChars="1290"/>
      </w:pPr>
      <w:bookmarkStart w:id="265" w:name="_Toc6715"/>
      <w:bookmarkStart w:id="266" w:name="_Toc12441"/>
      <w:bookmarkStart w:id="267" w:name="_Toc16801"/>
      <w:bookmarkStart w:id="268" w:name="_Toc15463"/>
      <w:bookmarkStart w:id="269" w:name="_Toc7834"/>
      <w:r>
        <w:rPr>
          <w:rFonts w:hint="eastAsia" w:ascii="宋体" w:hAnsi="宋体" w:eastAsia="宋体"/>
          <w:szCs w:val="28"/>
        </w:rPr>
        <w:t>一、资格响应文件</w:t>
      </w:r>
      <w:bookmarkEnd w:id="265"/>
      <w:bookmarkEnd w:id="266"/>
    </w:p>
    <w:p>
      <w:pPr>
        <w:pStyle w:val="4"/>
        <w:keepNext/>
        <w:numPr>
          <w:ilvl w:val="0"/>
          <w:numId w:val="0"/>
        </w:numPr>
        <w:tabs>
          <w:tab w:val="left" w:pos="1021"/>
          <w:tab w:val="clear" w:pos="900"/>
        </w:tabs>
        <w:spacing w:before="0"/>
        <w:rPr>
          <w:rFonts w:hint="eastAsia" w:ascii="宋体" w:hAnsi="宋体" w:eastAsia="宋体" w:cs="宋体"/>
          <w:szCs w:val="28"/>
        </w:rPr>
      </w:pPr>
      <w:bookmarkStart w:id="270" w:name="_Toc4529"/>
      <w:bookmarkStart w:id="271" w:name="_Toc17728"/>
      <w:r>
        <w:rPr>
          <w:rFonts w:hint="eastAsia" w:ascii="宋体" w:hAnsi="宋体" w:eastAsia="宋体" w:cs="宋体"/>
          <w:szCs w:val="28"/>
        </w:rPr>
        <w:t>格式1：</w:t>
      </w:r>
      <w:bookmarkEnd w:id="270"/>
      <w:r>
        <w:rPr>
          <w:rFonts w:hint="eastAsia" w:ascii="宋体" w:hAnsi="宋体" w:eastAsia="宋体" w:cs="宋体"/>
          <w:szCs w:val="28"/>
        </w:rPr>
        <w:t>投标人主体资格证明材料</w:t>
      </w:r>
      <w:bookmarkEnd w:id="271"/>
    </w:p>
    <w:p>
      <w:pPr>
        <w:keepNext/>
        <w:tabs>
          <w:tab w:val="left" w:pos="1021"/>
        </w:tabs>
        <w:adjustRightInd w:val="0"/>
        <w:textAlignment w:val="baseline"/>
        <w:rPr>
          <w:rFonts w:hint="eastAsia" w:ascii="宋体" w:hAnsi="宋体" w:cs="宋体"/>
          <w:szCs w:val="21"/>
        </w:rPr>
      </w:pPr>
      <w:r>
        <w:rPr>
          <w:rFonts w:hint="eastAsia" w:ascii="宋体" w:hAnsi="宋体" w:cs="宋体"/>
          <w:szCs w:val="28"/>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p/>
    <w:p>
      <w:pPr>
        <w:pStyle w:val="4"/>
        <w:keepNext/>
        <w:numPr>
          <w:ilvl w:val="0"/>
          <w:numId w:val="0"/>
        </w:numPr>
        <w:tabs>
          <w:tab w:val="left" w:pos="1021"/>
          <w:tab w:val="clear" w:pos="900"/>
        </w:tabs>
        <w:spacing w:before="0"/>
        <w:rPr>
          <w:rFonts w:hint="eastAsia" w:ascii="宋体" w:hAnsi="宋体" w:eastAsia="宋体" w:cs="宋体"/>
          <w:szCs w:val="28"/>
        </w:rPr>
      </w:pPr>
      <w:bookmarkStart w:id="272" w:name="_Toc22472"/>
      <w:bookmarkStart w:id="273" w:name="_Toc489626003"/>
      <w:bookmarkStart w:id="274" w:name="_Toc15916"/>
      <w:bookmarkStart w:id="275" w:name="_Toc1707"/>
      <w:r>
        <w:rPr>
          <w:rFonts w:hint="eastAsia" w:ascii="宋体" w:hAnsi="宋体" w:eastAsia="宋体" w:cs="宋体"/>
          <w:szCs w:val="28"/>
        </w:rPr>
        <w:t>格式2：投标人缴纳税收证明材料</w:t>
      </w:r>
      <w:bookmarkEnd w:id="272"/>
      <w:bookmarkEnd w:id="273"/>
      <w:bookmarkEnd w:id="274"/>
      <w:bookmarkEnd w:id="275"/>
    </w:p>
    <w:p/>
    <w:p>
      <w:pPr>
        <w:pStyle w:val="2"/>
        <w:numPr>
          <w:ilvl w:val="1"/>
          <w:numId w:val="0"/>
        </w:numPr>
        <w:tabs>
          <w:tab w:val="clear" w:pos="1021"/>
        </w:tabs>
      </w:pPr>
    </w:p>
    <w:p>
      <w:pPr>
        <w:pStyle w:val="4"/>
        <w:keepNext/>
        <w:numPr>
          <w:ilvl w:val="0"/>
          <w:numId w:val="0"/>
        </w:numPr>
        <w:tabs>
          <w:tab w:val="left" w:pos="1021"/>
          <w:tab w:val="clear" w:pos="900"/>
        </w:tabs>
        <w:spacing w:before="0"/>
        <w:rPr>
          <w:rFonts w:hint="eastAsia" w:ascii="宋体" w:hAnsi="宋体" w:eastAsia="宋体" w:cs="宋体"/>
          <w:szCs w:val="28"/>
        </w:rPr>
      </w:pPr>
      <w:bookmarkStart w:id="276" w:name="_Toc16159"/>
      <w:bookmarkStart w:id="277" w:name="_Toc489626004"/>
      <w:bookmarkStart w:id="278" w:name="_Toc417657283"/>
      <w:bookmarkStart w:id="279" w:name="_Toc5333"/>
      <w:bookmarkStart w:id="280" w:name="_Toc1109"/>
      <w:r>
        <w:rPr>
          <w:rFonts w:hint="eastAsia" w:ascii="宋体" w:hAnsi="宋体" w:eastAsia="宋体" w:cs="宋体"/>
          <w:szCs w:val="28"/>
        </w:rPr>
        <w:t>格式3：投标人缴纳社保证明材料</w:t>
      </w:r>
      <w:bookmarkEnd w:id="276"/>
      <w:bookmarkEnd w:id="277"/>
      <w:bookmarkEnd w:id="278"/>
      <w:bookmarkEnd w:id="279"/>
      <w:bookmarkEnd w:id="280"/>
    </w:p>
    <w:p>
      <w:pPr>
        <w:rPr>
          <w:rFonts w:hint="eastAsia" w:ascii="宋体" w:hAnsi="宋体" w:cs="宋体"/>
        </w:rPr>
      </w:pPr>
      <w:bookmarkStart w:id="281" w:name="_Toc417475052"/>
      <w:bookmarkStart w:id="282" w:name="_Toc417657285"/>
    </w:p>
    <w:p>
      <w:pPr>
        <w:rPr>
          <w:rFonts w:hint="eastAsia" w:ascii="宋体" w:hAnsi="宋体" w:cs="宋体"/>
        </w:rPr>
      </w:pPr>
    </w:p>
    <w:p>
      <w:pPr>
        <w:rPr>
          <w:rFonts w:hint="eastAsia" w:ascii="宋体" w:hAnsi="宋体" w:cs="宋体"/>
          <w:szCs w:val="28"/>
        </w:rPr>
      </w:pPr>
    </w:p>
    <w:p>
      <w:pPr>
        <w:pStyle w:val="4"/>
        <w:keepNext/>
        <w:numPr>
          <w:ilvl w:val="0"/>
          <w:numId w:val="0"/>
        </w:numPr>
        <w:tabs>
          <w:tab w:val="left" w:pos="1021"/>
          <w:tab w:val="clear" w:pos="900"/>
        </w:tabs>
        <w:spacing w:before="0"/>
        <w:rPr>
          <w:rFonts w:hint="eastAsia" w:ascii="宋体" w:hAnsi="宋体" w:cs="宋体"/>
        </w:rPr>
      </w:pPr>
      <w:bookmarkStart w:id="283" w:name="_Toc24799"/>
      <w:bookmarkStart w:id="284" w:name="_Toc32387"/>
      <w:bookmarkStart w:id="285" w:name="_Toc10915"/>
      <w:r>
        <w:rPr>
          <w:rFonts w:hint="eastAsia" w:ascii="宋体" w:hAnsi="宋体" w:eastAsia="宋体" w:cs="宋体"/>
          <w:szCs w:val="28"/>
        </w:rPr>
        <w:t>格式4：投标人提供近期的财务状况报告</w:t>
      </w:r>
      <w:bookmarkEnd w:id="281"/>
      <w:bookmarkEnd w:id="282"/>
      <w:bookmarkEnd w:id="283"/>
      <w:bookmarkEnd w:id="284"/>
      <w:bookmarkEnd w:id="285"/>
      <w:bookmarkStart w:id="286" w:name="_Toc417475053"/>
      <w:bookmarkStart w:id="287" w:name="_Toc417657286"/>
    </w:p>
    <w:p>
      <w:pPr>
        <w:pStyle w:val="15"/>
        <w:spacing w:after="0" w:line="360" w:lineRule="auto"/>
        <w:ind w:left="0" w:leftChars="0" w:firstLine="0" w:firstLineChars="0"/>
        <w:rPr>
          <w:rFonts w:hint="eastAsia" w:hAnsi="宋体" w:cs="宋体"/>
        </w:rPr>
      </w:pPr>
    </w:p>
    <w:p>
      <w:pPr>
        <w:pStyle w:val="15"/>
        <w:spacing w:line="360" w:lineRule="auto"/>
        <w:ind w:firstLine="0" w:firstLineChars="0"/>
        <w:rPr>
          <w:b/>
        </w:rPr>
      </w:pPr>
      <w:r>
        <w:rPr>
          <w:b/>
        </w:rPr>
        <w:t>注：选择出具经审计的财务审计报告的投标人，应根据实际情况，勾选以下A、B选项，并后附经审计的财务审计报告。若选择提供资信证明的投标人则按招标文件要求提供材料即可，无需进行勾选。</w:t>
      </w:r>
    </w:p>
    <w:p>
      <w:pPr>
        <w:pStyle w:val="15"/>
        <w:spacing w:line="360" w:lineRule="auto"/>
        <w:ind w:firstLine="404"/>
      </w:pPr>
      <w:r>
        <w:t>A.口我公司适用于企业会计准则</w:t>
      </w:r>
    </w:p>
    <w:p>
      <w:pPr>
        <w:pStyle w:val="15"/>
        <w:spacing w:line="360" w:lineRule="auto"/>
        <w:ind w:firstLine="404"/>
      </w:pPr>
      <w:r>
        <w:t>B.口我公司适用于小企业会计准则</w:t>
      </w:r>
    </w:p>
    <w:p>
      <w:pPr>
        <w:pStyle w:val="16"/>
        <w:ind w:left="1470" w:right="1470"/>
      </w:pPr>
    </w:p>
    <w:p>
      <w:pPr>
        <w:rPr>
          <w:rFonts w:hint="eastAsia" w:ascii="宋体" w:hAnsi="宋体" w:cs="宋体"/>
        </w:rPr>
      </w:pPr>
    </w:p>
    <w:p/>
    <w:p>
      <w:pPr>
        <w:pStyle w:val="4"/>
        <w:keepNext/>
        <w:numPr>
          <w:ilvl w:val="0"/>
          <w:numId w:val="0"/>
        </w:numPr>
        <w:tabs>
          <w:tab w:val="left" w:pos="1021"/>
          <w:tab w:val="clear" w:pos="900"/>
        </w:tabs>
        <w:spacing w:before="0"/>
        <w:rPr>
          <w:rFonts w:hint="eastAsia" w:ascii="宋体" w:hAnsi="宋体" w:eastAsia="宋体" w:cs="宋体"/>
          <w:szCs w:val="28"/>
        </w:rPr>
      </w:pPr>
      <w:bookmarkStart w:id="288" w:name="_Toc5124"/>
      <w:bookmarkStart w:id="289" w:name="_Toc12974"/>
      <w:bookmarkStart w:id="290" w:name="_Toc20722"/>
      <w:r>
        <w:rPr>
          <w:rFonts w:hint="eastAsia" w:ascii="宋体" w:hAnsi="宋体" w:eastAsia="宋体" w:cs="宋体"/>
          <w:szCs w:val="28"/>
        </w:rPr>
        <w:t>格式5：书面声明</w:t>
      </w:r>
      <w:bookmarkEnd w:id="286"/>
      <w:bookmarkEnd w:id="287"/>
      <w:bookmarkEnd w:id="288"/>
      <w:bookmarkEnd w:id="289"/>
      <w:bookmarkEnd w:id="290"/>
    </w:p>
    <w:p>
      <w:pPr>
        <w:spacing w:line="360" w:lineRule="auto"/>
        <w:ind w:firstLine="480" w:firstLineChars="200"/>
        <w:rPr>
          <w:rFonts w:hint="eastAsia" w:ascii="宋体" w:hAnsi="宋体" w:cs="宋体"/>
          <w:sz w:val="24"/>
        </w:rPr>
      </w:pPr>
      <w:r>
        <w:rPr>
          <w:rFonts w:hint="eastAsia" w:ascii="宋体" w:hAnsi="宋体" w:cs="宋体"/>
          <w:sz w:val="24"/>
          <w:u w:val="single"/>
        </w:rPr>
        <w:t>（投标人名称）</w:t>
      </w:r>
      <w:r>
        <w:rPr>
          <w:rFonts w:hint="eastAsia" w:ascii="宋体" w:hAnsi="宋体" w:cs="宋体"/>
          <w:sz w:val="24"/>
        </w:rPr>
        <w:t>在此声明，在参与本次项目投标中，我单位承诺：</w:t>
      </w:r>
    </w:p>
    <w:p>
      <w:pPr>
        <w:spacing w:line="360" w:lineRule="auto"/>
        <w:ind w:firstLine="480" w:firstLineChars="200"/>
        <w:rPr>
          <w:rFonts w:hint="eastAsia" w:ascii="宋体" w:hAnsi="宋体" w:cs="宋体"/>
          <w:sz w:val="24"/>
        </w:rPr>
      </w:pPr>
      <w:r>
        <w:rPr>
          <w:rFonts w:hint="eastAsia" w:ascii="宋体" w:hAnsi="宋体" w:cs="宋体"/>
          <w:sz w:val="24"/>
        </w:rPr>
        <w:t>（一）我单位具有履行合同所必需的设备和专业技术能力；</w:t>
      </w:r>
    </w:p>
    <w:p>
      <w:pPr>
        <w:spacing w:line="360" w:lineRule="auto"/>
        <w:ind w:firstLine="480" w:firstLineChars="200"/>
        <w:rPr>
          <w:rFonts w:hint="eastAsia" w:ascii="宋体" w:hAnsi="宋体" w:cs="宋体"/>
          <w:sz w:val="24"/>
        </w:rPr>
      </w:pPr>
      <w:r>
        <w:rPr>
          <w:rFonts w:hint="eastAsia" w:ascii="宋体" w:hAnsi="宋体" w:cs="宋体"/>
          <w:sz w:val="24"/>
        </w:rPr>
        <w:t>（二）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hint="eastAsia" w:ascii="宋体" w:hAnsi="宋体" w:cs="宋体"/>
          <w:sz w:val="24"/>
        </w:rPr>
      </w:pPr>
      <w:r>
        <w:rPr>
          <w:rFonts w:hint="eastAsia" w:ascii="宋体" w:hAnsi="宋体" w:cs="宋体"/>
          <w:sz w:val="24"/>
        </w:rPr>
        <w:t>（三）我单位不存在为采购项目提供整体设计、规范编制或者项目管理、监理、检测等服务后，再参加该采购项目的其他采购活动的情形；</w:t>
      </w:r>
    </w:p>
    <w:p>
      <w:pPr>
        <w:spacing w:line="360" w:lineRule="auto"/>
        <w:ind w:firstLine="480" w:firstLineChars="200"/>
        <w:rPr>
          <w:rFonts w:hint="eastAsia" w:ascii="宋体" w:hAnsi="宋体" w:cs="宋体"/>
          <w:sz w:val="24"/>
        </w:rPr>
      </w:pPr>
      <w:r>
        <w:rPr>
          <w:rFonts w:hint="eastAsia" w:ascii="宋体" w:hAnsi="宋体" w:cs="宋体"/>
          <w:sz w:val="24"/>
        </w:rPr>
        <w:t>（四）与我单位存在“单位负责人为同一人或者存在直接控股、管理关系”的其他法人单位，未参加同一合同项下的政府采购活动。</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（盖单位公章）</w:t>
      </w:r>
    </w:p>
    <w:p>
      <w:pPr>
        <w:spacing w:line="360" w:lineRule="auto"/>
        <w:ind w:firstLine="2" w:firstLineChars="1"/>
        <w:rPr>
          <w:rFonts w:hint="eastAsia"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（签名或签章）</w:t>
      </w:r>
    </w:p>
    <w:p>
      <w:pPr>
        <w:spacing w:line="360" w:lineRule="auto"/>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
      <w:pPr>
        <w:pStyle w:val="2"/>
        <w:numPr>
          <w:ilvl w:val="1"/>
          <w:numId w:val="0"/>
        </w:numPr>
        <w:tabs>
          <w:tab w:val="clear" w:pos="1021"/>
        </w:tabs>
      </w:pPr>
      <w:bookmarkStart w:id="291" w:name="_Toc6543"/>
      <w:r>
        <w:br w:type="textWrapping"/>
      </w:r>
      <w:bookmarkEnd w:id="291"/>
    </w:p>
    <w:p>
      <w:pPr>
        <w:pStyle w:val="4"/>
        <w:keepNext/>
        <w:numPr>
          <w:ilvl w:val="0"/>
          <w:numId w:val="0"/>
        </w:numPr>
        <w:tabs>
          <w:tab w:val="left" w:pos="1021"/>
          <w:tab w:val="clear" w:pos="900"/>
        </w:tabs>
        <w:spacing w:before="0"/>
        <w:rPr>
          <w:rFonts w:hint="eastAsia" w:ascii="宋体" w:hAnsi="宋体" w:eastAsia="宋体" w:cs="宋体"/>
          <w:szCs w:val="28"/>
        </w:rPr>
      </w:pPr>
      <w:bookmarkStart w:id="292" w:name="_Toc21500"/>
      <w:bookmarkStart w:id="293" w:name="_Toc14223"/>
      <w:r>
        <w:rPr>
          <w:rFonts w:hint="eastAsia" w:ascii="宋体" w:hAnsi="宋体" w:eastAsia="宋体" w:cs="宋体"/>
          <w:szCs w:val="28"/>
        </w:rPr>
        <w:t>格式6：本项目所要求的资格、资质证书（如果有）</w:t>
      </w:r>
      <w:bookmarkEnd w:id="292"/>
      <w:bookmarkEnd w:id="293"/>
    </w:p>
    <w:p/>
    <w:p>
      <w:pPr>
        <w:rPr>
          <w:rFonts w:hint="eastAsia" w:ascii="宋体" w:hAnsi="宋体"/>
          <w:szCs w:val="28"/>
        </w:rPr>
      </w:pPr>
      <w:bookmarkStart w:id="294" w:name="_Toc27960"/>
      <w:bookmarkStart w:id="295" w:name="_Toc16980"/>
      <w:r>
        <w:rPr>
          <w:rFonts w:hint="eastAsia" w:ascii="宋体" w:hAnsi="宋体"/>
          <w:szCs w:val="28"/>
        </w:rPr>
        <w:br w:type="page"/>
      </w:r>
    </w:p>
    <w:p>
      <w:pPr>
        <w:pStyle w:val="2"/>
        <w:numPr>
          <w:ilvl w:val="0"/>
          <w:numId w:val="0"/>
        </w:numPr>
        <w:spacing w:before="0"/>
        <w:ind w:firstLine="3612" w:firstLineChars="1290"/>
      </w:pPr>
      <w:bookmarkStart w:id="296" w:name="_Toc14005"/>
      <w:r>
        <w:rPr>
          <w:rFonts w:hint="eastAsia" w:ascii="宋体" w:hAnsi="宋体" w:eastAsia="宋体"/>
          <w:szCs w:val="28"/>
        </w:rPr>
        <w:t>二、商务响应文件</w:t>
      </w:r>
      <w:bookmarkEnd w:id="294"/>
      <w:bookmarkEnd w:id="295"/>
      <w:bookmarkEnd w:id="296"/>
    </w:p>
    <w:p>
      <w:pPr>
        <w:pStyle w:val="4"/>
        <w:keepNext/>
        <w:numPr>
          <w:ilvl w:val="0"/>
          <w:numId w:val="0"/>
        </w:numPr>
        <w:tabs>
          <w:tab w:val="left" w:pos="1021"/>
          <w:tab w:val="clear" w:pos="900"/>
        </w:tabs>
        <w:spacing w:before="0" w:line="400" w:lineRule="exact"/>
        <w:rPr>
          <w:rFonts w:hint="eastAsia" w:ascii="宋体" w:hAnsi="宋体" w:eastAsia="宋体" w:cs="宋体"/>
          <w:szCs w:val="28"/>
        </w:rPr>
      </w:pPr>
      <w:bookmarkStart w:id="297" w:name="_Toc17264"/>
      <w:bookmarkStart w:id="298" w:name="_Toc7542"/>
      <w:bookmarkStart w:id="299" w:name="_Toc7423"/>
      <w:bookmarkStart w:id="300" w:name="_Toc11199"/>
      <w:r>
        <w:rPr>
          <w:rFonts w:hint="eastAsia" w:ascii="宋体" w:hAnsi="宋体" w:eastAsia="宋体" w:cs="宋体"/>
          <w:szCs w:val="28"/>
        </w:rPr>
        <w:t>★格式7：投标函</w:t>
      </w:r>
      <w:bookmarkEnd w:id="297"/>
      <w:bookmarkEnd w:id="298"/>
      <w:bookmarkEnd w:id="299"/>
      <w:bookmarkEnd w:id="300"/>
    </w:p>
    <w:p>
      <w:pPr>
        <w:spacing w:line="360" w:lineRule="auto"/>
        <w:jc w:val="center"/>
        <w:rPr>
          <w:rFonts w:ascii="宋体"/>
          <w:b/>
          <w:bCs/>
          <w:sz w:val="32"/>
          <w:szCs w:val="32"/>
        </w:rPr>
      </w:pPr>
      <w:r>
        <w:rPr>
          <w:rFonts w:hint="eastAsia" w:ascii="宋体"/>
          <w:b/>
          <w:bCs/>
          <w:sz w:val="32"/>
          <w:szCs w:val="32"/>
        </w:rPr>
        <w:t>投 标 函</w:t>
      </w:r>
    </w:p>
    <w:p>
      <w:pPr>
        <w:spacing w:line="360" w:lineRule="auto"/>
        <w:jc w:val="left"/>
        <w:rPr>
          <w:rFonts w:ascii="宋体"/>
          <w:szCs w:val="21"/>
        </w:rPr>
      </w:pPr>
      <w:r>
        <w:rPr>
          <w:rFonts w:hint="eastAsia" w:ascii="宋体"/>
          <w:szCs w:val="21"/>
        </w:rPr>
        <w:t>致：</w:t>
      </w:r>
      <w:r>
        <w:rPr>
          <w:rFonts w:hint="eastAsia" w:ascii="宋体"/>
          <w:szCs w:val="21"/>
          <w:u w:val="single"/>
        </w:rPr>
        <w:t>云南省政府采购和出让中心</w:t>
      </w:r>
    </w:p>
    <w:p>
      <w:pPr>
        <w:spacing w:line="360" w:lineRule="auto"/>
        <w:ind w:firstLine="420" w:firstLineChars="200"/>
        <w:jc w:val="left"/>
        <w:rPr>
          <w:rFonts w:ascii="宋体"/>
          <w:strike/>
          <w:szCs w:val="21"/>
        </w:rPr>
      </w:pPr>
      <w:r>
        <w:rPr>
          <w:rFonts w:hint="eastAsia" w:ascii="宋体"/>
          <w:szCs w:val="21"/>
        </w:rPr>
        <w:t>根据贵方为</w:t>
      </w:r>
      <w:r>
        <w:rPr>
          <w:rFonts w:hint="eastAsia" w:ascii="宋体"/>
          <w:szCs w:val="21"/>
          <w:u w:val="single"/>
        </w:rPr>
        <w:t xml:space="preserve">      （采购项目名称）     （招标编号： ）</w:t>
      </w:r>
      <w:r>
        <w:rPr>
          <w:rFonts w:hint="eastAsia" w:ascii="宋体"/>
          <w:szCs w:val="21"/>
        </w:rPr>
        <w:t>项目招标采购货物及服务的投标邀请，正式授权</w:t>
      </w:r>
      <w:r>
        <w:rPr>
          <w:rFonts w:hint="eastAsia" w:ascii="宋体"/>
          <w:szCs w:val="21"/>
          <w:u w:val="single"/>
        </w:rPr>
        <w:t xml:space="preserve"> （姓名）     </w:t>
      </w:r>
      <w:r>
        <w:rPr>
          <w:rFonts w:hint="eastAsia" w:ascii="宋体"/>
          <w:szCs w:val="21"/>
        </w:rPr>
        <w:t>全权代表投标人</w:t>
      </w:r>
      <w:r>
        <w:rPr>
          <w:rFonts w:hint="eastAsia" w:ascii="宋体"/>
          <w:szCs w:val="21"/>
          <w:u w:val="single"/>
        </w:rPr>
        <w:t xml:space="preserve">  （投标人全称）   </w:t>
      </w:r>
      <w:r>
        <w:rPr>
          <w:rFonts w:hint="eastAsia" w:ascii="宋体"/>
          <w:szCs w:val="21"/>
        </w:rPr>
        <w:t>参加投标，并提交电子投标文件。</w:t>
      </w:r>
    </w:p>
    <w:p>
      <w:pPr>
        <w:spacing w:line="360" w:lineRule="auto"/>
        <w:ind w:firstLine="420" w:firstLineChars="200"/>
        <w:jc w:val="left"/>
        <w:rPr>
          <w:rFonts w:ascii="宋体"/>
          <w:szCs w:val="21"/>
        </w:rPr>
      </w:pPr>
      <w:r>
        <w:rPr>
          <w:rFonts w:hint="eastAsia" w:ascii="宋体"/>
          <w:szCs w:val="21"/>
        </w:rPr>
        <w:t>据此函，兹宣布同意如下：</w:t>
      </w:r>
    </w:p>
    <w:p>
      <w:pPr>
        <w:spacing w:line="360" w:lineRule="auto"/>
        <w:ind w:firstLine="420" w:firstLineChars="200"/>
        <w:jc w:val="left"/>
        <w:rPr>
          <w:rFonts w:ascii="宋体"/>
          <w:szCs w:val="21"/>
        </w:rPr>
      </w:pPr>
      <w:r>
        <w:rPr>
          <w:rFonts w:hint="eastAsia" w:ascii="宋体"/>
          <w:szCs w:val="21"/>
        </w:rPr>
        <w:t>1. 按招标文件货物需求一览表和投标报价表，投标总报价为人民币（大写</w:t>
      </w:r>
      <w:r>
        <w:rPr>
          <w:rFonts w:hint="eastAsia" w:ascii="宋体"/>
          <w:szCs w:val="21"/>
          <w:u w:val="single"/>
        </w:rPr>
        <w:t>　　　　　　</w:t>
      </w:r>
      <w:r>
        <w:rPr>
          <w:rFonts w:hint="eastAsia" w:ascii="宋体"/>
          <w:szCs w:val="21"/>
        </w:rPr>
        <w:t>）（￥</w:t>
      </w:r>
      <w:r>
        <w:rPr>
          <w:rFonts w:hint="eastAsia" w:ascii="宋体"/>
          <w:szCs w:val="21"/>
          <w:u w:val="single"/>
        </w:rPr>
        <w:t>　　　　　　</w:t>
      </w:r>
      <w:r>
        <w:rPr>
          <w:rFonts w:hint="eastAsia" w:ascii="宋体"/>
          <w:szCs w:val="21"/>
        </w:rPr>
        <w:t>）。</w:t>
      </w:r>
    </w:p>
    <w:p>
      <w:pPr>
        <w:spacing w:line="360" w:lineRule="auto"/>
        <w:ind w:firstLine="420" w:firstLineChars="200"/>
        <w:jc w:val="left"/>
        <w:rPr>
          <w:rFonts w:ascii="宋体"/>
          <w:szCs w:val="21"/>
        </w:rPr>
      </w:pPr>
      <w:r>
        <w:rPr>
          <w:rFonts w:hint="eastAsia" w:ascii="宋体"/>
          <w:szCs w:val="21"/>
        </w:rPr>
        <w:t>2. 我方同意在投标人须知规定的开标日期起遵循本投标文件，并在投标人须知第17条规定的投标有效期满之前均具有约束力。如果我方投标被接受，则至合同履行完毕、质保期满为止，本投标函保持有效。</w:t>
      </w:r>
    </w:p>
    <w:p>
      <w:pPr>
        <w:spacing w:line="360" w:lineRule="auto"/>
        <w:ind w:firstLine="420" w:firstLineChars="200"/>
        <w:jc w:val="left"/>
        <w:rPr>
          <w:rFonts w:ascii="宋体"/>
          <w:szCs w:val="21"/>
        </w:rPr>
      </w:pPr>
      <w:r>
        <w:rPr>
          <w:rFonts w:hint="eastAsia" w:ascii="宋体"/>
          <w:szCs w:val="21"/>
        </w:rPr>
        <w:t>3. 我方承诺已经具备《中华人民共和国政府采购法》中规定的参加政府采购活动的投标人应当具备的条件</w:t>
      </w:r>
      <w:r>
        <w:rPr>
          <w:rFonts w:hint="eastAsia" w:ascii="宋体" w:hAnsi="宋体" w:cs="宋体"/>
          <w:szCs w:val="21"/>
        </w:rPr>
        <w:t>，具有履行合同所必需的设备和专业技术能力</w:t>
      </w:r>
      <w:r>
        <w:rPr>
          <w:rFonts w:hint="eastAsia" w:ascii="宋体"/>
          <w:szCs w:val="21"/>
        </w:rPr>
        <w:t>。</w:t>
      </w:r>
    </w:p>
    <w:p>
      <w:pPr>
        <w:spacing w:line="360" w:lineRule="auto"/>
        <w:ind w:firstLine="420" w:firstLineChars="200"/>
        <w:jc w:val="left"/>
        <w:rPr>
          <w:rFonts w:ascii="宋体"/>
          <w:szCs w:val="21"/>
        </w:rPr>
      </w:pPr>
      <w:r>
        <w:rPr>
          <w:rFonts w:hint="eastAsia" w:ascii="宋体"/>
          <w:szCs w:val="21"/>
        </w:rPr>
        <w:t>4. 我方承诺严格遵守招标文件中的各项要求及合同条款，在合同生效后</w:t>
      </w:r>
      <w:r>
        <w:rPr>
          <w:rFonts w:hint="eastAsia" w:ascii="宋体"/>
          <w:b/>
          <w:bCs/>
          <w:szCs w:val="21"/>
          <w:u w:val="single"/>
        </w:rPr>
        <w:t>（交货期）</w:t>
      </w:r>
      <w:r>
        <w:rPr>
          <w:rFonts w:hint="eastAsia" w:ascii="宋体"/>
          <w:szCs w:val="21"/>
        </w:rPr>
        <w:t>内完成交货（或完工），并承担合同规定的责任义务。</w:t>
      </w:r>
    </w:p>
    <w:p>
      <w:pPr>
        <w:spacing w:line="360" w:lineRule="auto"/>
        <w:ind w:firstLine="420" w:firstLineChars="200"/>
        <w:jc w:val="left"/>
        <w:rPr>
          <w:rFonts w:ascii="宋体"/>
          <w:szCs w:val="21"/>
        </w:rPr>
      </w:pPr>
      <w:r>
        <w:rPr>
          <w:rFonts w:hint="eastAsia" w:ascii="宋体"/>
          <w:szCs w:val="21"/>
        </w:rPr>
        <w:t>5. 我方已详细审核招标文件，我方对招标文件各项条款和评标办法无异议，知道必须放弃提出含糊不清或误解问题的权利。</w:t>
      </w:r>
    </w:p>
    <w:p>
      <w:pPr>
        <w:spacing w:line="360" w:lineRule="auto"/>
        <w:ind w:firstLine="420" w:firstLineChars="200"/>
        <w:jc w:val="left"/>
        <w:rPr>
          <w:rFonts w:ascii="宋体"/>
          <w:szCs w:val="21"/>
        </w:rPr>
      </w:pPr>
      <w:r>
        <w:rPr>
          <w:rFonts w:hint="eastAsia" w:ascii="宋体"/>
          <w:szCs w:val="21"/>
        </w:rPr>
        <w:t>6. 如果在投标文件有效期内撤回投标或者有其他违约行为，我方的投标保证金可被贵方全部或部分没收。</w:t>
      </w:r>
    </w:p>
    <w:p>
      <w:pPr>
        <w:spacing w:line="360" w:lineRule="auto"/>
        <w:ind w:firstLine="420" w:firstLineChars="200"/>
        <w:jc w:val="left"/>
        <w:rPr>
          <w:rFonts w:ascii="宋体"/>
          <w:szCs w:val="21"/>
        </w:rPr>
      </w:pPr>
      <w:r>
        <w:rPr>
          <w:rFonts w:hint="eastAsia" w:ascii="宋体"/>
          <w:szCs w:val="21"/>
        </w:rPr>
        <w:t>7. 同意应贵方要求提供与本投标有关的任何数据和资料，并保证数据和资料的完整性和真实性，若有违反，我方愿意承担一切后果。</w:t>
      </w:r>
    </w:p>
    <w:p>
      <w:pPr>
        <w:spacing w:line="360" w:lineRule="auto"/>
        <w:ind w:firstLine="420" w:firstLineChars="200"/>
        <w:jc w:val="left"/>
        <w:rPr>
          <w:rFonts w:ascii="宋体"/>
          <w:szCs w:val="21"/>
        </w:rPr>
      </w:pPr>
      <w:r>
        <w:rPr>
          <w:rFonts w:hint="eastAsia" w:ascii="宋体"/>
          <w:szCs w:val="21"/>
        </w:rPr>
        <w:t>8. 我方完全理解贵方不一定要接受最低报价的投标人为中标人的行为。</w:t>
      </w:r>
    </w:p>
    <w:p>
      <w:pPr>
        <w:spacing w:line="360" w:lineRule="auto"/>
        <w:ind w:firstLine="420" w:firstLineChars="200"/>
        <w:jc w:val="left"/>
        <w:rPr>
          <w:rFonts w:ascii="宋体"/>
          <w:szCs w:val="21"/>
        </w:rPr>
      </w:pPr>
      <w:r>
        <w:rPr>
          <w:rFonts w:hint="eastAsia" w:ascii="宋体"/>
          <w:szCs w:val="21"/>
        </w:rPr>
        <w:t>9. 若贵方需要，我方愿意提供我方作出的一切承诺的证明材料。</w:t>
      </w:r>
    </w:p>
    <w:p>
      <w:pPr>
        <w:spacing w:line="360" w:lineRule="auto"/>
        <w:ind w:firstLine="420" w:firstLineChars="200"/>
        <w:jc w:val="left"/>
        <w:rPr>
          <w:rFonts w:ascii="宋体"/>
          <w:szCs w:val="21"/>
        </w:rPr>
      </w:pPr>
    </w:p>
    <w:p>
      <w:pPr>
        <w:spacing w:line="360" w:lineRule="auto"/>
        <w:ind w:firstLine="420" w:firstLineChars="200"/>
        <w:jc w:val="left"/>
        <w:rPr>
          <w:rFonts w:ascii="宋体"/>
          <w:szCs w:val="21"/>
        </w:rPr>
      </w:pPr>
      <w:r>
        <w:rPr>
          <w:rFonts w:hint="eastAsia" w:ascii="宋体"/>
          <w:szCs w:val="21"/>
        </w:rPr>
        <w:t>与本投标有关的正式通讯地址为：</w:t>
      </w:r>
    </w:p>
    <w:p>
      <w:pPr>
        <w:spacing w:line="360" w:lineRule="auto"/>
        <w:ind w:firstLine="420" w:firstLineChars="200"/>
        <w:jc w:val="left"/>
        <w:rPr>
          <w:rFonts w:ascii="宋体"/>
          <w:szCs w:val="21"/>
          <w:u w:val="single"/>
        </w:rPr>
      </w:pPr>
      <w:r>
        <w:rPr>
          <w:rFonts w:hint="eastAsia" w:ascii="宋体"/>
          <w:szCs w:val="21"/>
        </w:rPr>
        <w:t>地    址： 邮政编码：</w:t>
      </w:r>
    </w:p>
    <w:p>
      <w:pPr>
        <w:spacing w:line="360" w:lineRule="auto"/>
        <w:ind w:firstLine="420" w:firstLineChars="200"/>
        <w:jc w:val="left"/>
        <w:rPr>
          <w:rFonts w:ascii="宋体"/>
          <w:szCs w:val="21"/>
          <w:u w:val="single"/>
        </w:rPr>
      </w:pPr>
      <w:r>
        <w:rPr>
          <w:rFonts w:hint="eastAsia" w:ascii="宋体"/>
          <w:szCs w:val="21"/>
        </w:rPr>
        <w:t>电    话：</w:t>
      </w:r>
      <w:r>
        <w:rPr>
          <w:rFonts w:hint="eastAsia" w:ascii="宋体"/>
          <w:szCs w:val="21"/>
          <w:u w:val="single"/>
        </w:rPr>
        <w:t xml:space="preserve">                                      　　　　　　　</w:t>
      </w:r>
    </w:p>
    <w:p>
      <w:pPr>
        <w:spacing w:line="360" w:lineRule="auto"/>
        <w:ind w:firstLine="420" w:firstLineChars="200"/>
        <w:jc w:val="left"/>
        <w:rPr>
          <w:rFonts w:ascii="宋体"/>
          <w:szCs w:val="21"/>
        </w:rPr>
      </w:pPr>
      <w:r>
        <w:rPr>
          <w:rFonts w:hint="eastAsia" w:ascii="宋体"/>
          <w:szCs w:val="21"/>
        </w:rPr>
        <w:t>传    真：</w:t>
      </w:r>
      <w:r>
        <w:rPr>
          <w:rFonts w:hint="eastAsia" w:ascii="宋体"/>
          <w:szCs w:val="21"/>
          <w:u w:val="single"/>
        </w:rPr>
        <w:t>　　　　　　　　　　　　　　　　　　　　　　　　　　</w:t>
      </w:r>
    </w:p>
    <w:p>
      <w:pPr>
        <w:spacing w:line="360" w:lineRule="auto"/>
        <w:ind w:firstLine="420" w:firstLineChars="200"/>
        <w:jc w:val="left"/>
        <w:rPr>
          <w:rFonts w:ascii="宋体"/>
          <w:szCs w:val="21"/>
          <w:u w:val="single"/>
        </w:rPr>
      </w:pPr>
      <w:r>
        <w:rPr>
          <w:rFonts w:hint="eastAsia" w:ascii="宋体"/>
          <w:szCs w:val="21"/>
        </w:rPr>
        <w:t>开户名称：</w:t>
      </w:r>
    </w:p>
    <w:p>
      <w:pPr>
        <w:spacing w:line="360" w:lineRule="auto"/>
        <w:ind w:firstLine="420" w:firstLineChars="200"/>
        <w:jc w:val="left"/>
        <w:rPr>
          <w:rFonts w:ascii="宋体"/>
          <w:szCs w:val="21"/>
          <w:u w:val="single"/>
        </w:rPr>
      </w:pPr>
      <w:r>
        <w:rPr>
          <w:rFonts w:hint="eastAsia" w:ascii="宋体"/>
          <w:szCs w:val="21"/>
        </w:rPr>
        <w:t>开户银行：</w:t>
      </w:r>
    </w:p>
    <w:p>
      <w:pPr>
        <w:spacing w:line="360" w:lineRule="auto"/>
        <w:ind w:firstLine="420" w:firstLineChars="200"/>
        <w:jc w:val="left"/>
        <w:rPr>
          <w:rFonts w:ascii="宋体"/>
          <w:szCs w:val="21"/>
          <w:u w:val="single"/>
        </w:rPr>
      </w:pPr>
      <w:r>
        <w:rPr>
          <w:rFonts w:hint="eastAsia" w:ascii="宋体"/>
          <w:szCs w:val="21"/>
        </w:rPr>
        <w:t>账    号：</w:t>
      </w:r>
    </w:p>
    <w:p>
      <w:pPr>
        <w:spacing w:line="360" w:lineRule="auto"/>
        <w:ind w:firstLine="420" w:firstLineChars="200"/>
        <w:jc w:val="left"/>
        <w:rPr>
          <w:rFonts w:ascii="宋体"/>
          <w:szCs w:val="21"/>
        </w:rPr>
      </w:pPr>
    </w:p>
    <w:p>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szCs w:val="21"/>
        </w:rPr>
        <w:t>法定代表人</w:t>
      </w:r>
      <w:r>
        <w:rPr>
          <w:rFonts w:hint="eastAsia"/>
          <w:szCs w:val="21"/>
        </w:rPr>
        <w:t>或其委托代理人</w:t>
      </w:r>
      <w:r>
        <w:rPr>
          <w:szCs w:val="21"/>
        </w:rPr>
        <w:t>：（</w:t>
      </w:r>
      <w:r>
        <w:rPr>
          <w:rFonts w:hint="eastAsia" w:ascii="宋体"/>
        </w:rPr>
        <w:t>签名或盖章</w:t>
      </w:r>
      <w:r>
        <w:rPr>
          <w:szCs w:val="21"/>
        </w:rPr>
        <w:t>）</w:t>
      </w:r>
    </w:p>
    <w:p>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
      <w:pPr>
        <w:pStyle w:val="9"/>
        <w:ind w:firstLine="426"/>
        <w:rPr>
          <w:rFonts w:hint="eastAsia"/>
        </w:rPr>
        <w:sectPr>
          <w:footerReference r:id="rId7" w:type="default"/>
          <w:pgSz w:w="11906" w:h="16838"/>
          <w:pgMar w:top="1418" w:right="1134" w:bottom="1134" w:left="1418" w:header="935" w:footer="720" w:gutter="0"/>
          <w:cols w:space="720" w:num="1"/>
          <w:docGrid w:type="linesAndChars" w:linePitch="331" w:charSpace="0"/>
        </w:sectPr>
      </w:pPr>
    </w:p>
    <w:p>
      <w:pPr>
        <w:pStyle w:val="4"/>
        <w:keepNext/>
        <w:numPr>
          <w:ilvl w:val="0"/>
          <w:numId w:val="0"/>
        </w:numPr>
        <w:tabs>
          <w:tab w:val="left" w:pos="1021"/>
          <w:tab w:val="clear" w:pos="900"/>
        </w:tabs>
        <w:spacing w:before="0"/>
        <w:rPr>
          <w:rFonts w:hint="eastAsia" w:ascii="宋体" w:hAnsi="宋体" w:eastAsia="宋体" w:cs="宋体"/>
          <w:szCs w:val="28"/>
        </w:rPr>
      </w:pPr>
      <w:bookmarkStart w:id="301" w:name="_Toc14695"/>
      <w:bookmarkStart w:id="302" w:name="_Toc489625986"/>
      <w:bookmarkStart w:id="303" w:name="_Toc710"/>
      <w:bookmarkStart w:id="304" w:name="_Toc4865"/>
      <w:bookmarkStart w:id="305" w:name="_Toc463703057"/>
      <w:bookmarkStart w:id="306" w:name="_Toc15198"/>
      <w:r>
        <w:rPr>
          <w:rFonts w:hint="eastAsia" w:ascii="宋体" w:hAnsi="宋体" w:eastAsia="宋体" w:cs="宋体"/>
          <w:szCs w:val="28"/>
        </w:rPr>
        <w:t>格式8：商务条款偏离表</w:t>
      </w:r>
      <w:bookmarkEnd w:id="301"/>
      <w:bookmarkEnd w:id="302"/>
      <w:bookmarkEnd w:id="303"/>
      <w:bookmarkEnd w:id="304"/>
      <w:bookmarkEnd w:id="305"/>
      <w:bookmarkEnd w:id="306"/>
    </w:p>
    <w:p>
      <w:pPr>
        <w:spacing w:line="360" w:lineRule="auto"/>
        <w:jc w:val="center"/>
        <w:rPr>
          <w:rFonts w:ascii="宋体"/>
          <w:b/>
          <w:bCs/>
          <w:sz w:val="32"/>
          <w:szCs w:val="32"/>
        </w:rPr>
      </w:pPr>
      <w:r>
        <w:rPr>
          <w:rFonts w:hint="eastAsia" w:ascii="宋体"/>
          <w:b/>
          <w:bCs/>
          <w:sz w:val="32"/>
          <w:szCs w:val="32"/>
        </w:rPr>
        <w:t>商务条款偏离表</w:t>
      </w:r>
    </w:p>
    <w:p>
      <w:pPr>
        <w:spacing w:line="360" w:lineRule="auto"/>
        <w:ind w:firstLine="420" w:firstLineChars="200"/>
        <w:rPr>
          <w:rFonts w:ascii="宋体"/>
        </w:rPr>
      </w:pPr>
      <w:r>
        <w:rPr>
          <w:rFonts w:hint="eastAsia" w:ascii="宋体"/>
        </w:rPr>
        <w:t>投标人应逐条对应招标文件第五章“货物需求一览表”和第三章“</w:t>
      </w:r>
      <w:r>
        <w:rPr>
          <w:rFonts w:hint="eastAsia" w:ascii="宋体"/>
          <w:bCs/>
        </w:rPr>
        <w:t>合同书样式及主要条款</w:t>
      </w:r>
      <w:r>
        <w:rPr>
          <w:rFonts w:hint="eastAsia" w:ascii="宋体"/>
        </w:rPr>
        <w:t>”中要求的商务条件，包括交货期、付款方式、交货地、履约保证金等内容，并根据实际投标情况如实填写本表格。</w:t>
      </w:r>
    </w:p>
    <w:p>
      <w:pPr>
        <w:spacing w:line="360" w:lineRule="auto"/>
        <w:ind w:firstLine="420" w:firstLineChars="200"/>
        <w:rPr>
          <w:rFonts w:ascii="宋体"/>
          <w:b/>
        </w:rPr>
      </w:pPr>
      <w:r>
        <w:rPr>
          <w:rFonts w:hint="eastAsia" w:ascii="宋体"/>
        </w:rPr>
        <w:t>★</w:t>
      </w:r>
      <w:r>
        <w:rPr>
          <w:rFonts w:hint="eastAsia" w:ascii="宋体"/>
          <w:b/>
        </w:rPr>
        <w:t>未填写本表格的投标人将不能通过符合性审查。</w:t>
      </w:r>
    </w:p>
    <w:tbl>
      <w:tblPr>
        <w:tblStyle w:val="38"/>
        <w:tblW w:w="137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3715" w:type="dxa"/>
            <w:gridSpan w:val="3"/>
            <w:vAlign w:val="center"/>
          </w:tcPr>
          <w:p>
            <w:pPr>
              <w:spacing w:line="360" w:lineRule="auto"/>
              <w:rPr>
                <w:rFonts w:ascii="宋体"/>
              </w:rPr>
            </w:pPr>
            <w:r>
              <w:rPr>
                <w:rFonts w:hint="eastAsia" w:ascii="宋体"/>
              </w:rPr>
              <w:t xml:space="preserve">项目名称：昆明理工大学信息化建设管理中心智慧校园一体化数智化教学条件建设采购项目(z26)-智慧教室设备（课桌椅） </w:t>
            </w:r>
          </w:p>
          <w:p>
            <w:pPr>
              <w:spacing w:line="360" w:lineRule="auto"/>
              <w:rPr>
                <w:rFonts w:ascii="宋体"/>
                <w:u w:val="single"/>
              </w:rPr>
            </w:pPr>
            <w:r>
              <w:rPr>
                <w:rFonts w:hint="eastAsia" w:ascii="宋体"/>
              </w:rPr>
              <w:t>招标编号：YNZC2026-G1-04753-YNSZ-0271</w:t>
            </w:r>
          </w:p>
          <w:p>
            <w:pPr>
              <w:spacing w:line="360" w:lineRule="auto"/>
              <w:rPr>
                <w:rFonts w:hint="eastAsia" w:ascii="宋体" w:hAnsi="宋体"/>
              </w:rPr>
            </w:pPr>
            <w:r>
              <w:rPr>
                <w:rFonts w:hint="eastAsia" w:ascii="宋体" w:hAnsi="宋体"/>
              </w:rPr>
              <w:t>A、□我公司已详细阅读招标文件中各项商务要求，所有商务要求均无偏离，中标后我公司将</w:t>
            </w:r>
            <w:r>
              <w:rPr>
                <w:rFonts w:hint="eastAsia" w:ascii="宋体"/>
              </w:rPr>
              <w:t>严格遵照执行。</w:t>
            </w:r>
          </w:p>
          <w:p>
            <w:pPr>
              <w:rPr>
                <w:rFonts w:ascii="宋体"/>
              </w:rPr>
            </w:pPr>
            <w:r>
              <w:rPr>
                <w:rFonts w:hint="eastAsia" w:ascii="宋体" w:hAnsi="宋体"/>
              </w:rPr>
              <w:t>B、□我公司已详细阅读招标文件中各项商务要求，</w:t>
            </w:r>
            <w:r>
              <w:rPr>
                <w:rFonts w:hint="eastAsia" w:ascii="宋体"/>
              </w:rPr>
              <w:t>除下述条款有偏离外，其余条款我公司均予以认可，中标后将严格遵照执行。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rPr>
            </w:pPr>
            <w:r>
              <w:rPr>
                <w:rFonts w:hint="eastAsia" w:ascii="宋体"/>
              </w:rPr>
              <w:t>序号</w:t>
            </w:r>
          </w:p>
        </w:tc>
        <w:tc>
          <w:tcPr>
            <w:tcW w:w="6580" w:type="dxa"/>
            <w:vAlign w:val="center"/>
          </w:tcPr>
          <w:p>
            <w:pPr>
              <w:jc w:val="center"/>
              <w:rPr>
                <w:rFonts w:ascii="宋体"/>
              </w:rPr>
            </w:pPr>
            <w:r>
              <w:rPr>
                <w:rFonts w:hint="eastAsia" w:ascii="宋体"/>
              </w:rPr>
              <w:t>招标文件的商务条款要求</w:t>
            </w:r>
          </w:p>
        </w:tc>
        <w:tc>
          <w:tcPr>
            <w:tcW w:w="6282" w:type="dxa"/>
            <w:vAlign w:val="center"/>
          </w:tcPr>
          <w:p>
            <w:pPr>
              <w:jc w:val="center"/>
              <w:rPr>
                <w:rFonts w:ascii="宋体"/>
              </w:rPr>
            </w:pPr>
            <w:r>
              <w:rPr>
                <w:rFonts w:hint="eastAsia" w:ascii="宋体"/>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rPr>
            </w:pPr>
          </w:p>
        </w:tc>
        <w:tc>
          <w:tcPr>
            <w:tcW w:w="6580" w:type="dxa"/>
            <w:vAlign w:val="center"/>
          </w:tcPr>
          <w:p>
            <w:pPr>
              <w:jc w:val="center"/>
              <w:rPr>
                <w:rFonts w:ascii="宋体"/>
              </w:rPr>
            </w:pPr>
          </w:p>
        </w:tc>
        <w:tc>
          <w:tcPr>
            <w:tcW w:w="6282"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rPr>
            </w:pPr>
          </w:p>
        </w:tc>
        <w:tc>
          <w:tcPr>
            <w:tcW w:w="6580" w:type="dxa"/>
            <w:vAlign w:val="center"/>
          </w:tcPr>
          <w:p>
            <w:pPr>
              <w:jc w:val="center"/>
              <w:rPr>
                <w:rFonts w:ascii="宋体"/>
              </w:rPr>
            </w:pPr>
          </w:p>
        </w:tc>
        <w:tc>
          <w:tcPr>
            <w:tcW w:w="6282"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rPr>
            </w:pPr>
          </w:p>
        </w:tc>
        <w:tc>
          <w:tcPr>
            <w:tcW w:w="6580" w:type="dxa"/>
            <w:vAlign w:val="center"/>
          </w:tcPr>
          <w:p>
            <w:pPr>
              <w:jc w:val="center"/>
              <w:rPr>
                <w:rFonts w:ascii="宋体"/>
              </w:rPr>
            </w:pPr>
          </w:p>
        </w:tc>
        <w:tc>
          <w:tcPr>
            <w:tcW w:w="6282"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rPr>
            </w:pPr>
          </w:p>
        </w:tc>
        <w:tc>
          <w:tcPr>
            <w:tcW w:w="6580" w:type="dxa"/>
            <w:vAlign w:val="center"/>
          </w:tcPr>
          <w:p>
            <w:pPr>
              <w:jc w:val="center"/>
              <w:rPr>
                <w:rFonts w:ascii="宋体"/>
              </w:rPr>
            </w:pPr>
          </w:p>
        </w:tc>
        <w:tc>
          <w:tcPr>
            <w:tcW w:w="6282" w:type="dxa"/>
            <w:vAlign w:val="center"/>
          </w:tcPr>
          <w:p>
            <w:pPr>
              <w:jc w:val="center"/>
              <w:rPr>
                <w:rFonts w:ascii="宋体"/>
              </w:rPr>
            </w:pPr>
          </w:p>
        </w:tc>
      </w:tr>
    </w:tbl>
    <w:p>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Pr>
        <w:pStyle w:val="19"/>
        <w:spacing w:line="360" w:lineRule="auto"/>
        <w:rPr>
          <w:b/>
          <w:szCs w:val="24"/>
        </w:rPr>
      </w:pPr>
      <w:r>
        <w:rPr>
          <w:rFonts w:hint="eastAsia"/>
          <w:b/>
          <w:szCs w:val="24"/>
        </w:rPr>
        <w:t>表格填写说明：</w:t>
      </w:r>
    </w:p>
    <w:p>
      <w:pPr>
        <w:pStyle w:val="19"/>
        <w:spacing w:line="360" w:lineRule="auto"/>
        <w:rPr>
          <w:szCs w:val="24"/>
        </w:rPr>
      </w:pPr>
      <w:r>
        <w:rPr>
          <w:rFonts w:hint="eastAsia"/>
          <w:szCs w:val="24"/>
        </w:rPr>
        <w:t>1、投标人根据应根据实际投标情况，填写本表格，若无偏离，则勾选A项，签字盖章即可。若有偏离，则勾选B项，按表格要求及实际情况填写后，签字盖章。</w:t>
      </w:r>
    </w:p>
    <w:p>
      <w:pPr>
        <w:pStyle w:val="19"/>
        <w:spacing w:line="360" w:lineRule="auto"/>
        <w:rPr>
          <w:szCs w:val="24"/>
        </w:rPr>
      </w:pPr>
      <w:r>
        <w:rPr>
          <w:rFonts w:hint="eastAsia"/>
          <w:szCs w:val="24"/>
        </w:rPr>
        <w:t>2、表格中“招标文件的商务条款要求”在填写时应注明该条款在招标文件的页码及条款号。</w:t>
      </w:r>
    </w:p>
    <w:p>
      <w:pPr>
        <w:pStyle w:val="19"/>
        <w:spacing w:line="360" w:lineRule="auto"/>
        <w:rPr>
          <w:szCs w:val="24"/>
        </w:rPr>
      </w:pPr>
      <w:r>
        <w:rPr>
          <w:rFonts w:hint="eastAsia"/>
          <w:szCs w:val="24"/>
        </w:rPr>
        <w:t>3、表格中“投标文件的商务条款”请投标人根据实际投标情况如实、完整、准确的填写。</w:t>
      </w:r>
    </w:p>
    <w:p>
      <w:pPr>
        <w:pStyle w:val="19"/>
        <w:spacing w:line="360" w:lineRule="auto"/>
        <w:rPr>
          <w:b/>
          <w:szCs w:val="24"/>
        </w:rPr>
      </w:pPr>
      <w:r>
        <w:rPr>
          <w:rFonts w:hint="eastAsia"/>
          <w:szCs w:val="24"/>
        </w:rPr>
        <w:t>4、</w:t>
      </w:r>
      <w:r>
        <w:rPr>
          <w:rFonts w:hint="eastAsia"/>
          <w:b/>
          <w:szCs w:val="24"/>
        </w:rPr>
        <w:t>本表格中内容与投标文件其余部分不一致的，以本表格为准。</w:t>
      </w:r>
    </w:p>
    <w:p>
      <w:pPr>
        <w:pStyle w:val="19"/>
        <w:spacing w:line="360" w:lineRule="auto"/>
        <w:rPr>
          <w:szCs w:val="24"/>
        </w:rPr>
      </w:pPr>
      <w:r>
        <w:rPr>
          <w:rFonts w:hint="eastAsia"/>
          <w:szCs w:val="24"/>
        </w:rPr>
        <w:t>5、填表示例：（有偏离情况的）</w:t>
      </w:r>
    </w:p>
    <w:p>
      <w:pPr>
        <w:spacing w:line="360" w:lineRule="auto"/>
        <w:rPr>
          <w:rFonts w:hint="eastAsia" w:ascii="宋体" w:hAnsi="宋体"/>
        </w:rPr>
      </w:pPr>
      <w:r>
        <w:rPr>
          <w:rFonts w:hint="eastAsia" w:ascii="宋体" w:hAnsi="宋体"/>
        </w:rPr>
        <w:t>A、</w:t>
      </w:r>
      <w:r>
        <w:rPr>
          <w:rFonts w:ascii="宋体" w:hAnsi="宋体"/>
        </w:rPr>
        <w:fldChar w:fldCharType="begin"/>
      </w:r>
      <w:r>
        <w:rPr>
          <w:rFonts w:hint="eastAsia" w:ascii="宋体" w:hAnsi="宋体"/>
        </w:rPr>
        <w:instrText xml:space="preserve">eq \o\ac(□,</w:instrText>
      </w:r>
      <w:r>
        <w:rPr>
          <w:rFonts w:hint="eastAsia" w:ascii="宋体" w:hAnsi="宋体"/>
          <w:position w:val="2"/>
          <w:sz w:val="13"/>
        </w:rPr>
        <w:instrText xml:space="preserve">×</w:instrText>
      </w:r>
      <w:r>
        <w:rPr>
          <w:rFonts w:hint="eastAsia" w:ascii="宋体" w:hAnsi="宋体"/>
        </w:rPr>
        <w:instrText xml:space="preserve">)</w:instrText>
      </w:r>
      <w:r>
        <w:rPr>
          <w:rFonts w:ascii="宋体" w:hAnsi="宋体"/>
        </w:rPr>
        <w:fldChar w:fldCharType="end"/>
      </w:r>
      <w:r>
        <w:rPr>
          <w:rFonts w:hint="eastAsia" w:ascii="宋体" w:hAnsi="宋体"/>
        </w:rPr>
        <w:t>我公司已详细阅读招标文件中各项商务要求，所有商务要求均无偏离，中标后我公司将</w:t>
      </w:r>
      <w:r>
        <w:rPr>
          <w:rFonts w:hint="eastAsia" w:ascii="宋体"/>
        </w:rPr>
        <w:t>严格遵照执行。</w:t>
      </w:r>
    </w:p>
    <w:p>
      <w:pPr>
        <w:spacing w:line="360" w:lineRule="auto"/>
        <w:rPr>
          <w:rFonts w:ascii="宋体"/>
        </w:rPr>
      </w:pPr>
      <w:r>
        <w:rPr>
          <w:rFonts w:hint="eastAsia" w:ascii="宋体" w:hAnsi="宋体"/>
        </w:rPr>
        <w:t>B、</w:t>
      </w:r>
      <w:r>
        <w:rPr>
          <w:rFonts w:ascii="宋体" w:hAnsi="宋体"/>
        </w:rPr>
        <w:fldChar w:fldCharType="begin"/>
      </w:r>
      <w:r>
        <w:rPr>
          <w:rFonts w:hint="eastAsia" w:ascii="宋体" w:hAnsi="宋体"/>
        </w:rPr>
        <w:instrText xml:space="preserve">eq \o\ac(□,</w:instrText>
      </w:r>
      <w:r>
        <w:rPr>
          <w:rFonts w:hint="eastAsia" w:ascii="宋体" w:hAnsi="宋体"/>
          <w:position w:val="2"/>
          <w:sz w:val="13"/>
        </w:rPr>
        <w:instrText xml:space="preserve">√</w:instrText>
      </w:r>
      <w:r>
        <w:rPr>
          <w:rFonts w:hint="eastAsia" w:ascii="宋体" w:hAnsi="宋体"/>
        </w:rPr>
        <w:instrText xml:space="preserve">)</w:instrText>
      </w:r>
      <w:r>
        <w:rPr>
          <w:rFonts w:ascii="宋体" w:hAnsi="宋体"/>
        </w:rPr>
        <w:fldChar w:fldCharType="end"/>
      </w:r>
      <w:r>
        <w:rPr>
          <w:rFonts w:hint="eastAsia" w:ascii="宋体" w:hAnsi="宋体"/>
        </w:rPr>
        <w:t>我公司已详细阅读招标文件中各项商务要求，</w:t>
      </w:r>
      <w:r>
        <w:rPr>
          <w:rFonts w:hint="eastAsia" w:ascii="宋体"/>
        </w:rPr>
        <w:t>除下述条款有偏离外，其余条款我公司均予以认可，中标后将严格遵照执行。</w:t>
      </w:r>
    </w:p>
    <w:p>
      <w:pPr>
        <w:pStyle w:val="19"/>
        <w:spacing w:line="360" w:lineRule="auto"/>
        <w:rPr>
          <w:sz w:val="24"/>
          <w:szCs w:val="24"/>
        </w:rPr>
      </w:pPr>
    </w:p>
    <w:tbl>
      <w:tblPr>
        <w:tblStyle w:val="38"/>
        <w:tblW w:w="139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rPr>
            </w:pPr>
            <w:r>
              <w:rPr>
                <w:rFonts w:hint="eastAsia" w:ascii="宋体"/>
              </w:rPr>
              <w:t>序号</w:t>
            </w:r>
          </w:p>
        </w:tc>
        <w:tc>
          <w:tcPr>
            <w:tcW w:w="7122" w:type="dxa"/>
            <w:vAlign w:val="center"/>
          </w:tcPr>
          <w:p>
            <w:pPr>
              <w:jc w:val="center"/>
              <w:rPr>
                <w:rFonts w:ascii="宋体"/>
              </w:rPr>
            </w:pPr>
            <w:r>
              <w:rPr>
                <w:rFonts w:hint="eastAsia" w:ascii="宋体"/>
              </w:rPr>
              <w:t>招标文件的商务条款要求</w:t>
            </w:r>
          </w:p>
        </w:tc>
        <w:tc>
          <w:tcPr>
            <w:tcW w:w="5931" w:type="dxa"/>
            <w:vAlign w:val="center"/>
          </w:tcPr>
          <w:p>
            <w:pPr>
              <w:jc w:val="center"/>
              <w:rPr>
                <w:rFonts w:ascii="宋体"/>
              </w:rPr>
            </w:pPr>
            <w:r>
              <w:rPr>
                <w:rFonts w:hint="eastAsia" w:ascii="宋体"/>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sz w:val="22"/>
              </w:rPr>
            </w:pPr>
            <w:r>
              <w:rPr>
                <w:rFonts w:hint="eastAsia" w:ascii="宋体"/>
                <w:sz w:val="22"/>
              </w:rPr>
              <w:t>1</w:t>
            </w:r>
          </w:p>
        </w:tc>
        <w:tc>
          <w:tcPr>
            <w:tcW w:w="7122" w:type="dxa"/>
            <w:vAlign w:val="center"/>
          </w:tcPr>
          <w:p>
            <w:pPr>
              <w:rPr>
                <w:rFonts w:ascii="宋体"/>
                <w:sz w:val="22"/>
                <w:szCs w:val="21"/>
              </w:rPr>
            </w:pPr>
            <w:r>
              <w:rPr>
                <w:rFonts w:hint="eastAsia" w:ascii="宋体"/>
                <w:sz w:val="22"/>
                <w:szCs w:val="21"/>
              </w:rPr>
              <w:t>P25、合同条款前附表。第2条。付款方式：设备到货后，安装、调试、验收合格后一次性支付合同总价的95%，设备使用三个月后无质量问题，运行正常，支付5%余款。</w:t>
            </w:r>
          </w:p>
        </w:tc>
        <w:tc>
          <w:tcPr>
            <w:tcW w:w="5931" w:type="dxa"/>
            <w:vAlign w:val="center"/>
          </w:tcPr>
          <w:p>
            <w:pPr>
              <w:rPr>
                <w:rFonts w:ascii="宋体"/>
                <w:sz w:val="22"/>
              </w:rPr>
            </w:pPr>
            <w:r>
              <w:rPr>
                <w:rFonts w:hint="eastAsia" w:ascii="宋体"/>
                <w:sz w:val="22"/>
                <w:szCs w:val="21"/>
              </w:rPr>
              <w:t>付款方式：设备到货后，安装、调试、验收合格后一次性支付合同总价的97%，设备使用三个月后无质量问题，运行正常，支付3%余款。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sz w:val="22"/>
              </w:rPr>
            </w:pPr>
            <w:r>
              <w:rPr>
                <w:rFonts w:hint="eastAsia" w:ascii="宋体"/>
                <w:sz w:val="22"/>
              </w:rPr>
              <w:t>2</w:t>
            </w:r>
          </w:p>
        </w:tc>
        <w:tc>
          <w:tcPr>
            <w:tcW w:w="7122" w:type="dxa"/>
            <w:vAlign w:val="center"/>
          </w:tcPr>
          <w:p>
            <w:pPr>
              <w:rPr>
                <w:rFonts w:ascii="宋体"/>
                <w:sz w:val="22"/>
              </w:rPr>
            </w:pPr>
            <w:r>
              <w:rPr>
                <w:rFonts w:hint="eastAsia" w:ascii="宋体"/>
                <w:sz w:val="22"/>
                <w:szCs w:val="21"/>
              </w:rPr>
              <w:t>P25、合同条款前附表。第1条。交货期：签订合同后于合同签订后40日历天内完成交货、安装及调试等到货并完成验收；</w:t>
            </w:r>
          </w:p>
        </w:tc>
        <w:tc>
          <w:tcPr>
            <w:tcW w:w="5931" w:type="dxa"/>
            <w:vAlign w:val="center"/>
          </w:tcPr>
          <w:p>
            <w:pPr>
              <w:rPr>
                <w:rFonts w:ascii="宋体"/>
                <w:sz w:val="22"/>
                <w:szCs w:val="21"/>
              </w:rPr>
            </w:pPr>
            <w:r>
              <w:rPr>
                <w:rFonts w:hint="eastAsia" w:ascii="宋体"/>
                <w:sz w:val="22"/>
                <w:szCs w:val="21"/>
              </w:rPr>
              <w:t>交货期：签订合同后于合同签订后40日历天内完成交货、安装及调试等到货并完成验收；</w:t>
            </w:r>
          </w:p>
        </w:tc>
      </w:tr>
    </w:tbl>
    <w:p>
      <w:pPr>
        <w:spacing w:line="360" w:lineRule="auto"/>
        <w:ind w:firstLine="295"/>
        <w:rPr>
          <w:rFonts w:hint="eastAsia" w:hAnsi="宋体" w:cs="宋体"/>
          <w:b/>
        </w:rPr>
      </w:pPr>
    </w:p>
    <w:p>
      <w:pPr>
        <w:rPr>
          <w:rFonts w:hint="eastAsia" w:hAnsi="宋体" w:cs="宋体"/>
          <w:b/>
        </w:rPr>
      </w:pPr>
      <w:r>
        <w:rPr>
          <w:rFonts w:hint="eastAsia" w:hAnsi="宋体" w:cs="宋体"/>
          <w:b/>
        </w:rPr>
        <w:br w:type="page"/>
      </w:r>
    </w:p>
    <w:p>
      <w:pPr>
        <w:pStyle w:val="4"/>
        <w:keepNext/>
        <w:numPr>
          <w:ilvl w:val="0"/>
          <w:numId w:val="0"/>
        </w:numPr>
        <w:tabs>
          <w:tab w:val="left" w:pos="1021"/>
          <w:tab w:val="clear" w:pos="900"/>
        </w:tabs>
        <w:spacing w:before="0"/>
        <w:rPr>
          <w:rFonts w:hint="eastAsia" w:ascii="宋体" w:hAnsi="宋体" w:eastAsia="宋体" w:cs="宋体"/>
          <w:szCs w:val="28"/>
        </w:rPr>
      </w:pPr>
      <w:bookmarkStart w:id="307" w:name="_Toc29475"/>
      <w:bookmarkStart w:id="308" w:name="_Toc489625985"/>
      <w:bookmarkStart w:id="309" w:name="_Toc22928"/>
      <w:bookmarkStart w:id="310" w:name="_Toc463703056"/>
      <w:bookmarkStart w:id="311" w:name="_Toc9555"/>
      <w:bookmarkStart w:id="312" w:name="_Toc11708"/>
      <w:r>
        <w:rPr>
          <w:rFonts w:hint="eastAsia" w:ascii="宋体" w:hAnsi="宋体" w:eastAsia="宋体" w:cs="宋体"/>
          <w:szCs w:val="28"/>
        </w:rPr>
        <w:t>格式9：技术规格偏离表</w:t>
      </w:r>
      <w:bookmarkEnd w:id="307"/>
      <w:bookmarkEnd w:id="308"/>
      <w:bookmarkEnd w:id="309"/>
      <w:bookmarkEnd w:id="310"/>
      <w:bookmarkEnd w:id="311"/>
      <w:bookmarkEnd w:id="312"/>
    </w:p>
    <w:p>
      <w:pPr>
        <w:spacing w:line="360" w:lineRule="auto"/>
        <w:jc w:val="center"/>
        <w:rPr>
          <w:rFonts w:ascii="宋体"/>
          <w:b/>
          <w:bCs/>
          <w:sz w:val="32"/>
          <w:szCs w:val="32"/>
        </w:rPr>
      </w:pPr>
      <w:r>
        <w:rPr>
          <w:rFonts w:hint="eastAsia" w:ascii="宋体"/>
          <w:b/>
          <w:bCs/>
          <w:sz w:val="32"/>
          <w:szCs w:val="32"/>
        </w:rPr>
        <w:t>技术规格偏离表</w:t>
      </w:r>
    </w:p>
    <w:p>
      <w:pPr>
        <w:spacing w:line="360" w:lineRule="auto"/>
        <w:ind w:firstLine="420" w:firstLineChars="200"/>
        <w:rPr>
          <w:rFonts w:ascii="宋体"/>
        </w:rPr>
      </w:pPr>
      <w:r>
        <w:rPr>
          <w:rFonts w:hint="eastAsia" w:ascii="宋体"/>
        </w:rPr>
        <w:t>投标人应按所投产品的实际技术参数，逐条对应招标文件的第五章“货物需求一览表”中要求的技术规范如实、完整、准确的填写该表。</w:t>
      </w:r>
    </w:p>
    <w:p>
      <w:pPr>
        <w:spacing w:line="360" w:lineRule="auto"/>
        <w:ind w:firstLine="420" w:firstLineChars="200"/>
        <w:rPr>
          <w:rFonts w:ascii="宋体"/>
        </w:rPr>
      </w:pPr>
      <w:r>
        <w:rPr>
          <w:rFonts w:hint="eastAsia" w:ascii="宋体" w:hAnsi="宋体"/>
        </w:rPr>
        <w:t>★</w:t>
      </w:r>
      <w:r>
        <w:rPr>
          <w:rFonts w:hint="eastAsia" w:ascii="宋体"/>
          <w:b/>
        </w:rPr>
        <w:t>本表格将作为评标委员会对投标人技术部分的评审依据，未填写本表格的投标人将不能通过符合性审查。</w:t>
      </w:r>
    </w:p>
    <w:tbl>
      <w:tblPr>
        <w:tblStyle w:val="38"/>
        <w:tblW w:w="149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8" w:hRule="atLeast"/>
          <w:jc w:val="center"/>
        </w:trPr>
        <w:tc>
          <w:tcPr>
            <w:tcW w:w="14925" w:type="dxa"/>
            <w:gridSpan w:val="6"/>
            <w:vAlign w:val="center"/>
          </w:tcPr>
          <w:p>
            <w:pPr>
              <w:spacing w:line="360" w:lineRule="auto"/>
              <w:rPr>
                <w:rFonts w:ascii="宋体"/>
              </w:rPr>
            </w:pPr>
            <w:r>
              <w:rPr>
                <w:rFonts w:hint="eastAsia" w:ascii="宋体"/>
              </w:rPr>
              <w:t xml:space="preserve">项目名称：昆明理工大学信息化建设管理中心智慧校园一体化数智化教学条件建设采购项目(z26)-智慧教室设备（课桌椅） </w:t>
            </w:r>
          </w:p>
          <w:p>
            <w:pPr>
              <w:spacing w:line="360" w:lineRule="auto"/>
              <w:rPr>
                <w:rFonts w:ascii="宋体"/>
              </w:rPr>
            </w:pPr>
            <w:r>
              <w:rPr>
                <w:rFonts w:hint="eastAsia" w:ascii="宋体"/>
              </w:rPr>
              <w:t>招标编号：YNZC2026-G1-04753-YNSZ-0271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rPr>
            </w:pPr>
            <w:r>
              <w:rPr>
                <w:rFonts w:hint="eastAsia" w:ascii="宋体"/>
              </w:rPr>
              <w:t>序号</w:t>
            </w:r>
          </w:p>
        </w:tc>
        <w:tc>
          <w:tcPr>
            <w:tcW w:w="1526" w:type="dxa"/>
            <w:vAlign w:val="center"/>
          </w:tcPr>
          <w:p>
            <w:pPr>
              <w:jc w:val="center"/>
              <w:rPr>
                <w:rFonts w:ascii="宋体"/>
              </w:rPr>
            </w:pPr>
            <w:r>
              <w:rPr>
                <w:rFonts w:hint="eastAsia" w:ascii="宋体"/>
              </w:rPr>
              <w:t>货物名称</w:t>
            </w:r>
          </w:p>
        </w:tc>
        <w:tc>
          <w:tcPr>
            <w:tcW w:w="4634" w:type="dxa"/>
            <w:vAlign w:val="center"/>
          </w:tcPr>
          <w:p>
            <w:pPr>
              <w:jc w:val="center"/>
              <w:rPr>
                <w:rFonts w:ascii="宋体"/>
              </w:rPr>
            </w:pPr>
            <w:r>
              <w:rPr>
                <w:rFonts w:hint="eastAsia" w:ascii="宋体"/>
              </w:rPr>
              <w:t>招标文件技术规范、要求</w:t>
            </w:r>
          </w:p>
        </w:tc>
        <w:tc>
          <w:tcPr>
            <w:tcW w:w="3762" w:type="dxa"/>
            <w:vAlign w:val="center"/>
          </w:tcPr>
          <w:p>
            <w:pPr>
              <w:jc w:val="center"/>
              <w:rPr>
                <w:rFonts w:ascii="宋体"/>
              </w:rPr>
            </w:pPr>
            <w:r>
              <w:rPr>
                <w:rFonts w:hint="eastAsia"/>
              </w:rPr>
              <w:t>投标品牌、型号、技术参数及配置</w:t>
            </w:r>
          </w:p>
        </w:tc>
        <w:tc>
          <w:tcPr>
            <w:tcW w:w="1144" w:type="dxa"/>
            <w:vAlign w:val="center"/>
          </w:tcPr>
          <w:p>
            <w:pPr>
              <w:jc w:val="center"/>
              <w:rPr>
                <w:rFonts w:ascii="宋体"/>
              </w:rPr>
            </w:pPr>
            <w:r>
              <w:rPr>
                <w:rFonts w:hint="eastAsia" w:ascii="宋体"/>
              </w:rPr>
              <w:t>偏离</w:t>
            </w:r>
          </w:p>
        </w:tc>
        <w:tc>
          <w:tcPr>
            <w:tcW w:w="3084" w:type="dxa"/>
            <w:vAlign w:val="center"/>
          </w:tcPr>
          <w:p>
            <w:pPr>
              <w:jc w:val="center"/>
              <w:rPr>
                <w:rFonts w:ascii="宋体"/>
              </w:rPr>
            </w:pPr>
            <w:r>
              <w:rPr>
                <w:rFonts w:hint="eastAsia" w:ascii="宋体"/>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rPr>
            </w:pPr>
          </w:p>
        </w:tc>
        <w:tc>
          <w:tcPr>
            <w:tcW w:w="1526" w:type="dxa"/>
            <w:vAlign w:val="center"/>
          </w:tcPr>
          <w:p>
            <w:pPr>
              <w:jc w:val="center"/>
              <w:rPr>
                <w:rFonts w:ascii="宋体"/>
              </w:rPr>
            </w:pPr>
          </w:p>
        </w:tc>
        <w:tc>
          <w:tcPr>
            <w:tcW w:w="4634" w:type="dxa"/>
            <w:vAlign w:val="center"/>
          </w:tcPr>
          <w:p>
            <w:pPr>
              <w:jc w:val="center"/>
              <w:rPr>
                <w:rFonts w:ascii="宋体"/>
              </w:rPr>
            </w:pPr>
          </w:p>
        </w:tc>
        <w:tc>
          <w:tcPr>
            <w:tcW w:w="3762" w:type="dxa"/>
            <w:vAlign w:val="center"/>
          </w:tcPr>
          <w:p>
            <w:pPr>
              <w:jc w:val="center"/>
              <w:rPr>
                <w:rFonts w:ascii="宋体"/>
              </w:rPr>
            </w:pPr>
          </w:p>
        </w:tc>
        <w:tc>
          <w:tcPr>
            <w:tcW w:w="1144" w:type="dxa"/>
            <w:vAlign w:val="center"/>
          </w:tcPr>
          <w:p>
            <w:pPr>
              <w:jc w:val="center"/>
              <w:rPr>
                <w:rFonts w:ascii="宋体"/>
              </w:rPr>
            </w:pPr>
          </w:p>
        </w:tc>
        <w:tc>
          <w:tcPr>
            <w:tcW w:w="3084"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rPr>
            </w:pPr>
          </w:p>
        </w:tc>
        <w:tc>
          <w:tcPr>
            <w:tcW w:w="1526" w:type="dxa"/>
            <w:vAlign w:val="center"/>
          </w:tcPr>
          <w:p>
            <w:pPr>
              <w:jc w:val="center"/>
              <w:rPr>
                <w:rFonts w:ascii="宋体"/>
              </w:rPr>
            </w:pPr>
          </w:p>
        </w:tc>
        <w:tc>
          <w:tcPr>
            <w:tcW w:w="4634" w:type="dxa"/>
            <w:vAlign w:val="center"/>
          </w:tcPr>
          <w:p>
            <w:pPr>
              <w:jc w:val="center"/>
              <w:rPr>
                <w:rFonts w:ascii="宋体"/>
              </w:rPr>
            </w:pPr>
          </w:p>
        </w:tc>
        <w:tc>
          <w:tcPr>
            <w:tcW w:w="3762" w:type="dxa"/>
            <w:vAlign w:val="center"/>
          </w:tcPr>
          <w:p>
            <w:pPr>
              <w:jc w:val="center"/>
              <w:rPr>
                <w:rFonts w:ascii="宋体"/>
              </w:rPr>
            </w:pPr>
          </w:p>
        </w:tc>
        <w:tc>
          <w:tcPr>
            <w:tcW w:w="1144" w:type="dxa"/>
            <w:vAlign w:val="center"/>
          </w:tcPr>
          <w:p>
            <w:pPr>
              <w:jc w:val="center"/>
              <w:rPr>
                <w:rFonts w:ascii="宋体"/>
              </w:rPr>
            </w:pPr>
          </w:p>
        </w:tc>
        <w:tc>
          <w:tcPr>
            <w:tcW w:w="3084"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rPr>
            </w:pPr>
          </w:p>
        </w:tc>
        <w:tc>
          <w:tcPr>
            <w:tcW w:w="1526" w:type="dxa"/>
            <w:vAlign w:val="center"/>
          </w:tcPr>
          <w:p>
            <w:pPr>
              <w:jc w:val="center"/>
              <w:rPr>
                <w:rFonts w:ascii="宋体"/>
              </w:rPr>
            </w:pPr>
          </w:p>
        </w:tc>
        <w:tc>
          <w:tcPr>
            <w:tcW w:w="4634" w:type="dxa"/>
            <w:vAlign w:val="center"/>
          </w:tcPr>
          <w:p>
            <w:pPr>
              <w:jc w:val="center"/>
              <w:rPr>
                <w:rFonts w:ascii="宋体"/>
              </w:rPr>
            </w:pPr>
          </w:p>
        </w:tc>
        <w:tc>
          <w:tcPr>
            <w:tcW w:w="3762" w:type="dxa"/>
            <w:vAlign w:val="center"/>
          </w:tcPr>
          <w:p>
            <w:pPr>
              <w:jc w:val="center"/>
              <w:rPr>
                <w:rFonts w:ascii="宋体"/>
              </w:rPr>
            </w:pPr>
          </w:p>
        </w:tc>
        <w:tc>
          <w:tcPr>
            <w:tcW w:w="1144" w:type="dxa"/>
            <w:vAlign w:val="center"/>
          </w:tcPr>
          <w:p>
            <w:pPr>
              <w:jc w:val="center"/>
              <w:rPr>
                <w:rFonts w:ascii="宋体"/>
              </w:rPr>
            </w:pPr>
          </w:p>
        </w:tc>
        <w:tc>
          <w:tcPr>
            <w:tcW w:w="3084"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rPr>
            </w:pPr>
          </w:p>
        </w:tc>
        <w:tc>
          <w:tcPr>
            <w:tcW w:w="1526" w:type="dxa"/>
            <w:vAlign w:val="center"/>
          </w:tcPr>
          <w:p>
            <w:pPr>
              <w:jc w:val="center"/>
              <w:rPr>
                <w:rFonts w:ascii="宋体"/>
              </w:rPr>
            </w:pPr>
          </w:p>
        </w:tc>
        <w:tc>
          <w:tcPr>
            <w:tcW w:w="4634" w:type="dxa"/>
            <w:vAlign w:val="center"/>
          </w:tcPr>
          <w:p>
            <w:pPr>
              <w:jc w:val="center"/>
              <w:rPr>
                <w:rFonts w:ascii="宋体"/>
              </w:rPr>
            </w:pPr>
          </w:p>
        </w:tc>
        <w:tc>
          <w:tcPr>
            <w:tcW w:w="3762" w:type="dxa"/>
            <w:vAlign w:val="center"/>
          </w:tcPr>
          <w:p>
            <w:pPr>
              <w:jc w:val="center"/>
              <w:rPr>
                <w:rFonts w:ascii="宋体"/>
              </w:rPr>
            </w:pPr>
          </w:p>
        </w:tc>
        <w:tc>
          <w:tcPr>
            <w:tcW w:w="1144" w:type="dxa"/>
            <w:vAlign w:val="center"/>
          </w:tcPr>
          <w:p>
            <w:pPr>
              <w:jc w:val="center"/>
              <w:rPr>
                <w:rFonts w:ascii="宋体"/>
              </w:rPr>
            </w:pPr>
          </w:p>
        </w:tc>
        <w:tc>
          <w:tcPr>
            <w:tcW w:w="3084"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rPr>
            </w:pPr>
          </w:p>
        </w:tc>
        <w:tc>
          <w:tcPr>
            <w:tcW w:w="1526" w:type="dxa"/>
            <w:vAlign w:val="center"/>
          </w:tcPr>
          <w:p>
            <w:pPr>
              <w:jc w:val="center"/>
              <w:rPr>
                <w:rFonts w:ascii="宋体"/>
              </w:rPr>
            </w:pPr>
          </w:p>
        </w:tc>
        <w:tc>
          <w:tcPr>
            <w:tcW w:w="4634" w:type="dxa"/>
            <w:vAlign w:val="center"/>
          </w:tcPr>
          <w:p>
            <w:pPr>
              <w:jc w:val="center"/>
              <w:rPr>
                <w:rFonts w:ascii="宋体"/>
              </w:rPr>
            </w:pPr>
          </w:p>
        </w:tc>
        <w:tc>
          <w:tcPr>
            <w:tcW w:w="3762" w:type="dxa"/>
            <w:vAlign w:val="center"/>
          </w:tcPr>
          <w:p>
            <w:pPr>
              <w:jc w:val="center"/>
              <w:rPr>
                <w:rFonts w:ascii="宋体"/>
              </w:rPr>
            </w:pPr>
          </w:p>
        </w:tc>
        <w:tc>
          <w:tcPr>
            <w:tcW w:w="1144" w:type="dxa"/>
            <w:vAlign w:val="center"/>
          </w:tcPr>
          <w:p>
            <w:pPr>
              <w:jc w:val="center"/>
              <w:rPr>
                <w:rFonts w:ascii="宋体"/>
              </w:rPr>
            </w:pPr>
          </w:p>
        </w:tc>
        <w:tc>
          <w:tcPr>
            <w:tcW w:w="3084" w:type="dxa"/>
            <w:vAlign w:val="center"/>
          </w:tcPr>
          <w:p>
            <w:pPr>
              <w:jc w:val="center"/>
              <w:rPr>
                <w:rFonts w:ascii="宋体"/>
              </w:rPr>
            </w:pPr>
          </w:p>
        </w:tc>
      </w:tr>
    </w:tbl>
    <w:p>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Pr>
        <w:pStyle w:val="19"/>
        <w:spacing w:line="360" w:lineRule="auto"/>
        <w:rPr>
          <w:b/>
          <w:szCs w:val="24"/>
        </w:rPr>
      </w:pPr>
      <w:r>
        <w:rPr>
          <w:rFonts w:hint="eastAsia"/>
          <w:b/>
          <w:szCs w:val="24"/>
        </w:rPr>
        <w:t>表格填写说明：</w:t>
      </w:r>
    </w:p>
    <w:p>
      <w:pPr>
        <w:pStyle w:val="19"/>
        <w:spacing w:line="360" w:lineRule="auto"/>
        <w:rPr>
          <w:szCs w:val="24"/>
        </w:rPr>
      </w:pPr>
      <w:r>
        <w:rPr>
          <w:rFonts w:hint="eastAsia"/>
          <w:szCs w:val="24"/>
        </w:rPr>
        <w:t>1、表格中“货物名称”及“招标文件技术规范、要求”可按“货物需求一览表”内容复制。</w:t>
      </w:r>
    </w:p>
    <w:p>
      <w:pPr>
        <w:pStyle w:val="19"/>
        <w:spacing w:line="360" w:lineRule="auto"/>
        <w:rPr>
          <w:b/>
          <w:szCs w:val="21"/>
        </w:rPr>
      </w:pPr>
      <w:r>
        <w:rPr>
          <w:rFonts w:hint="eastAsia"/>
          <w:szCs w:val="21"/>
        </w:rPr>
        <w:t>2、表格中“投标品牌、型号、技术参数及配置”请投标人根据实际投标情况如实、完整、准确地填写，请勿复制、粘贴招标要求。</w:t>
      </w:r>
      <w:r>
        <w:rPr>
          <w:rFonts w:hint="eastAsia"/>
          <w:b/>
          <w:szCs w:val="21"/>
        </w:rPr>
        <w:t>若由于投标人的疏忽大意或未能完整、如实填写，导致的一切后果由投标人自行承担。</w:t>
      </w:r>
    </w:p>
    <w:p>
      <w:pPr>
        <w:pStyle w:val="19"/>
        <w:spacing w:line="360" w:lineRule="auto"/>
        <w:rPr>
          <w:szCs w:val="21"/>
        </w:rPr>
      </w:pPr>
      <w:r>
        <w:rPr>
          <w:rFonts w:hint="eastAsia"/>
          <w:szCs w:val="21"/>
        </w:rPr>
        <w:t>3、表格中“偏离”部分，投标人只能如实填写“有偏离”或“无偏离”。凡投标内容与招标文件要求有区别的均按“有偏离”填写，并在说明栏中写明技术指标。</w:t>
      </w:r>
    </w:p>
    <w:p>
      <w:pPr>
        <w:pStyle w:val="19"/>
        <w:spacing w:line="360" w:lineRule="auto"/>
        <w:rPr>
          <w:szCs w:val="21"/>
        </w:rPr>
      </w:pPr>
      <w:r>
        <w:rPr>
          <w:rFonts w:hint="eastAsia"/>
          <w:szCs w:val="21"/>
        </w:rPr>
        <w:t>4、表格中“说明”部分，若有偏离，则填写偏离指标。若无偏离，则不填写内容。</w:t>
      </w:r>
    </w:p>
    <w:p>
      <w:pPr>
        <w:pStyle w:val="19"/>
        <w:spacing w:line="360" w:lineRule="auto"/>
        <w:rPr>
          <w:szCs w:val="21"/>
        </w:rPr>
      </w:pPr>
      <w:r>
        <w:rPr>
          <w:szCs w:val="21"/>
        </w:rPr>
        <w:t>5</w:t>
      </w:r>
      <w:r>
        <w:rPr>
          <w:rFonts w:hint="eastAsia"/>
          <w:szCs w:val="21"/>
        </w:rPr>
        <w:t>、</w:t>
      </w:r>
      <w:r>
        <w:rPr>
          <w:rFonts w:hint="eastAsia"/>
          <w:b/>
          <w:szCs w:val="21"/>
        </w:rPr>
        <w:t>本表格中内容与投标文件其余部分不一致的，以本表格为准。</w:t>
      </w:r>
    </w:p>
    <w:p>
      <w:pPr>
        <w:pStyle w:val="19"/>
        <w:spacing w:line="360" w:lineRule="auto"/>
        <w:rPr>
          <w:szCs w:val="21"/>
        </w:rPr>
      </w:pPr>
      <w:r>
        <w:rPr>
          <w:rFonts w:hint="eastAsia"/>
          <w:szCs w:val="21"/>
        </w:rPr>
        <w:t>6、填表示例：</w:t>
      </w:r>
    </w:p>
    <w:tbl>
      <w:tblPr>
        <w:tblStyle w:val="38"/>
        <w:tblW w:w="149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5" w:type="dxa"/>
            <w:vAlign w:val="center"/>
          </w:tcPr>
          <w:p>
            <w:pPr>
              <w:jc w:val="center"/>
              <w:rPr>
                <w:rFonts w:ascii="宋体"/>
                <w:szCs w:val="21"/>
              </w:rPr>
            </w:pPr>
            <w:r>
              <w:rPr>
                <w:rFonts w:hint="eastAsia" w:ascii="宋体"/>
                <w:szCs w:val="21"/>
              </w:rPr>
              <w:t>序号</w:t>
            </w:r>
          </w:p>
        </w:tc>
        <w:tc>
          <w:tcPr>
            <w:tcW w:w="1319" w:type="dxa"/>
            <w:vAlign w:val="center"/>
          </w:tcPr>
          <w:p>
            <w:pPr>
              <w:jc w:val="center"/>
              <w:rPr>
                <w:rFonts w:ascii="宋体"/>
                <w:szCs w:val="21"/>
              </w:rPr>
            </w:pPr>
            <w:r>
              <w:rPr>
                <w:rFonts w:hint="eastAsia" w:ascii="宋体"/>
                <w:szCs w:val="21"/>
              </w:rPr>
              <w:t>货物名称</w:t>
            </w:r>
          </w:p>
        </w:tc>
        <w:tc>
          <w:tcPr>
            <w:tcW w:w="4587" w:type="dxa"/>
            <w:vAlign w:val="center"/>
          </w:tcPr>
          <w:p>
            <w:pPr>
              <w:jc w:val="center"/>
              <w:rPr>
                <w:rFonts w:ascii="宋体"/>
                <w:szCs w:val="21"/>
              </w:rPr>
            </w:pPr>
            <w:r>
              <w:rPr>
                <w:rFonts w:hint="eastAsia" w:ascii="宋体"/>
                <w:szCs w:val="21"/>
              </w:rPr>
              <w:t>招标文件技术规范、要求</w:t>
            </w:r>
          </w:p>
        </w:tc>
        <w:tc>
          <w:tcPr>
            <w:tcW w:w="4078" w:type="dxa"/>
            <w:vAlign w:val="center"/>
          </w:tcPr>
          <w:p>
            <w:pPr>
              <w:jc w:val="center"/>
              <w:rPr>
                <w:rFonts w:ascii="宋体"/>
                <w:szCs w:val="21"/>
              </w:rPr>
            </w:pPr>
            <w:r>
              <w:rPr>
                <w:rFonts w:hint="eastAsia" w:ascii="宋体"/>
                <w:szCs w:val="21"/>
              </w:rPr>
              <w:t>投标品牌、型号、技术参数及配置</w:t>
            </w:r>
          </w:p>
        </w:tc>
        <w:tc>
          <w:tcPr>
            <w:tcW w:w="1235" w:type="dxa"/>
            <w:vAlign w:val="center"/>
          </w:tcPr>
          <w:p>
            <w:pPr>
              <w:jc w:val="center"/>
              <w:rPr>
                <w:rFonts w:ascii="宋体"/>
                <w:szCs w:val="21"/>
              </w:rPr>
            </w:pPr>
            <w:r>
              <w:rPr>
                <w:rFonts w:hint="eastAsia" w:ascii="宋体"/>
                <w:szCs w:val="21"/>
              </w:rPr>
              <w:t>偏离</w:t>
            </w:r>
          </w:p>
        </w:tc>
        <w:tc>
          <w:tcPr>
            <w:tcW w:w="2823" w:type="dxa"/>
            <w:vAlign w:val="center"/>
          </w:tcPr>
          <w:p>
            <w:pPr>
              <w:jc w:val="center"/>
              <w:rPr>
                <w:rFonts w:ascii="宋体"/>
                <w:szCs w:val="21"/>
              </w:rPr>
            </w:pPr>
            <w:r>
              <w:rPr>
                <w:rFonts w:hint="eastAsia" w:ascii="宋体"/>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5" w:type="dxa"/>
            <w:vAlign w:val="center"/>
          </w:tcPr>
          <w:p>
            <w:pPr>
              <w:jc w:val="center"/>
              <w:rPr>
                <w:rFonts w:ascii="宋体"/>
                <w:szCs w:val="21"/>
              </w:rPr>
            </w:pPr>
            <w:r>
              <w:rPr>
                <w:rFonts w:hint="eastAsia" w:ascii="宋体"/>
                <w:szCs w:val="21"/>
              </w:rPr>
              <w:t>1</w:t>
            </w:r>
          </w:p>
        </w:tc>
        <w:tc>
          <w:tcPr>
            <w:tcW w:w="1319" w:type="dxa"/>
            <w:vAlign w:val="center"/>
          </w:tcPr>
          <w:p>
            <w:pPr>
              <w:jc w:val="center"/>
              <w:rPr>
                <w:rFonts w:ascii="宋体"/>
                <w:szCs w:val="21"/>
              </w:rPr>
            </w:pPr>
            <w:r>
              <w:rPr>
                <w:rFonts w:hint="eastAsia" w:ascii="宋体"/>
                <w:szCs w:val="21"/>
              </w:rPr>
              <w:t>台式电脑</w:t>
            </w:r>
          </w:p>
        </w:tc>
        <w:tc>
          <w:tcPr>
            <w:tcW w:w="4587" w:type="dxa"/>
            <w:vAlign w:val="center"/>
          </w:tcPr>
          <w:p>
            <w:pPr>
              <w:widowControl/>
              <w:rPr>
                <w:rFonts w:ascii="宋体"/>
                <w:szCs w:val="21"/>
              </w:rPr>
            </w:pPr>
            <w:r>
              <w:rPr>
                <w:kern w:val="0"/>
                <w:szCs w:val="21"/>
              </w:rPr>
              <w:t xml:space="preserve"> Intel</w:t>
            </w:r>
            <w:r>
              <w:rPr>
                <w:rFonts w:hint="eastAsia" w:ascii="宋体" w:hAnsi="宋体"/>
                <w:kern w:val="0"/>
                <w:szCs w:val="21"/>
              </w:rPr>
              <w:t>酷睿双核</w:t>
            </w:r>
            <w:r>
              <w:rPr>
                <w:kern w:val="0"/>
                <w:szCs w:val="21"/>
              </w:rPr>
              <w:t xml:space="preserve"> E7400/Intel </w:t>
            </w:r>
            <w:r>
              <w:rPr>
                <w:rFonts w:hint="eastAsia" w:ascii="宋体" w:hAnsi="宋体"/>
                <w:kern w:val="0"/>
                <w:szCs w:val="21"/>
              </w:rPr>
              <w:t>芯片组</w:t>
            </w:r>
            <w:r>
              <w:rPr>
                <w:kern w:val="0"/>
                <w:szCs w:val="21"/>
              </w:rPr>
              <w:t xml:space="preserve">/2*1G DDR2/320G SATA/256M </w:t>
            </w:r>
            <w:r>
              <w:rPr>
                <w:rFonts w:hint="eastAsia" w:ascii="宋体" w:hAnsi="宋体"/>
                <w:kern w:val="0"/>
                <w:szCs w:val="21"/>
              </w:rPr>
              <w:t>双头独立显卡</w:t>
            </w:r>
            <w:r>
              <w:rPr>
                <w:kern w:val="0"/>
                <w:szCs w:val="21"/>
              </w:rPr>
              <w:t>/DVD</w:t>
            </w:r>
            <w:r>
              <w:rPr>
                <w:rFonts w:hint="eastAsia" w:ascii="宋体" w:hAnsi="宋体"/>
                <w:kern w:val="0"/>
                <w:szCs w:val="21"/>
              </w:rPr>
              <w:t>刻录</w:t>
            </w:r>
            <w:r>
              <w:rPr>
                <w:kern w:val="0"/>
                <w:szCs w:val="21"/>
              </w:rPr>
              <w:t>/</w:t>
            </w:r>
            <w:r>
              <w:rPr>
                <w:rFonts w:hint="eastAsia" w:ascii="宋体" w:hAnsi="宋体"/>
                <w:kern w:val="0"/>
                <w:szCs w:val="21"/>
              </w:rPr>
              <w:t>主板集成声卡网卡</w:t>
            </w:r>
            <w:r>
              <w:rPr>
                <w:kern w:val="0"/>
                <w:szCs w:val="21"/>
              </w:rPr>
              <w:t>/</w:t>
            </w:r>
            <w:r>
              <w:rPr>
                <w:rFonts w:hint="eastAsia" w:ascii="宋体" w:hAnsi="宋体"/>
                <w:kern w:val="0"/>
                <w:szCs w:val="21"/>
              </w:rPr>
              <w:t>机箱电源</w:t>
            </w:r>
            <w:r>
              <w:rPr>
                <w:kern w:val="0"/>
                <w:szCs w:val="21"/>
              </w:rPr>
              <w:t>/</w:t>
            </w:r>
            <w:r>
              <w:rPr>
                <w:rFonts w:hint="eastAsia" w:ascii="宋体" w:hAnsi="宋体"/>
                <w:kern w:val="0"/>
                <w:szCs w:val="21"/>
              </w:rPr>
              <w:t>鼠标</w:t>
            </w:r>
            <w:r>
              <w:rPr>
                <w:kern w:val="0"/>
                <w:szCs w:val="21"/>
              </w:rPr>
              <w:t>/</w:t>
            </w:r>
            <w:r>
              <w:rPr>
                <w:rFonts w:hint="eastAsia" w:ascii="宋体" w:hAnsi="宋体"/>
                <w:kern w:val="0"/>
                <w:szCs w:val="21"/>
              </w:rPr>
              <w:t>键盘</w:t>
            </w:r>
            <w:r>
              <w:rPr>
                <w:kern w:val="0"/>
                <w:szCs w:val="21"/>
              </w:rPr>
              <w:t>/</w:t>
            </w:r>
            <w:r>
              <w:rPr>
                <w:rFonts w:hint="eastAsia" w:ascii="宋体" w:hAnsi="宋体"/>
                <w:kern w:val="0"/>
                <w:szCs w:val="21"/>
              </w:rPr>
              <w:t>硬盘保护卡</w:t>
            </w:r>
            <w:r>
              <w:rPr>
                <w:kern w:val="0"/>
                <w:szCs w:val="21"/>
              </w:rPr>
              <w:t>/ 22</w:t>
            </w:r>
            <w:r>
              <w:rPr>
                <w:rFonts w:hint="eastAsia" w:ascii="宋体" w:hAnsi="宋体"/>
                <w:kern w:val="0"/>
                <w:szCs w:val="21"/>
              </w:rPr>
              <w:t>″</w:t>
            </w:r>
            <w:r>
              <w:rPr>
                <w:kern w:val="0"/>
                <w:szCs w:val="21"/>
              </w:rPr>
              <w:t xml:space="preserve">LCD </w:t>
            </w:r>
            <w:r>
              <w:rPr>
                <w:rFonts w:hint="eastAsia"/>
                <w:kern w:val="0"/>
                <w:szCs w:val="21"/>
              </w:rPr>
              <w:t>1</w:t>
            </w:r>
            <w:r>
              <w:rPr>
                <w:rFonts w:hint="eastAsia" w:ascii="宋体" w:hAnsi="宋体"/>
                <w:kern w:val="0"/>
                <w:szCs w:val="21"/>
              </w:rPr>
              <w:t>台</w:t>
            </w:r>
          </w:p>
        </w:tc>
        <w:tc>
          <w:tcPr>
            <w:tcW w:w="4078" w:type="dxa"/>
            <w:vAlign w:val="center"/>
          </w:tcPr>
          <w:p>
            <w:pPr>
              <w:widowControl/>
              <w:jc w:val="left"/>
              <w:rPr>
                <w:rFonts w:hint="eastAsia" w:ascii="宋体" w:hAnsi="宋体"/>
                <w:kern w:val="0"/>
                <w:szCs w:val="21"/>
              </w:rPr>
            </w:pPr>
            <w:r>
              <w:rPr>
                <w:rFonts w:hint="eastAsia"/>
                <w:kern w:val="0"/>
                <w:szCs w:val="21"/>
              </w:rPr>
              <w:t>某品牌 M5300N；AMD Athlon64 X2 7750 2.7G ；RS690V芯片组；DDR2 2GB；SATA硬盘 7200转、320GB；</w:t>
            </w:r>
            <w:r>
              <w:rPr>
                <w:rFonts w:hint="eastAsia" w:ascii="宋体" w:hAnsi="宋体"/>
                <w:kern w:val="0"/>
                <w:szCs w:val="21"/>
              </w:rPr>
              <w:t>硬盘保护卡；</w:t>
            </w:r>
            <w:r>
              <w:rPr>
                <w:rFonts w:hint="eastAsia"/>
                <w:kern w:val="0"/>
                <w:szCs w:val="21"/>
              </w:rPr>
              <w:t>光驱 DVD刻录；22寸液晶 1台；显卡 ATI Radeon HD 4350 显存512M 支持DirectX 10；板载声卡；网卡板载10-100M网卡；键盘/光电鼠标；操作系统 Windows XP Home。</w:t>
            </w:r>
          </w:p>
        </w:tc>
        <w:tc>
          <w:tcPr>
            <w:tcW w:w="1235" w:type="dxa"/>
            <w:vAlign w:val="center"/>
          </w:tcPr>
          <w:p>
            <w:pPr>
              <w:jc w:val="center"/>
              <w:rPr>
                <w:rFonts w:ascii="宋体"/>
                <w:szCs w:val="21"/>
              </w:rPr>
            </w:pPr>
            <w:r>
              <w:rPr>
                <w:rFonts w:hint="eastAsia" w:ascii="宋体"/>
                <w:szCs w:val="21"/>
              </w:rPr>
              <w:t>有偏离</w:t>
            </w:r>
          </w:p>
        </w:tc>
        <w:tc>
          <w:tcPr>
            <w:tcW w:w="2823" w:type="dxa"/>
            <w:vAlign w:val="center"/>
          </w:tcPr>
          <w:p>
            <w:pPr>
              <w:rPr>
                <w:kern w:val="0"/>
                <w:szCs w:val="21"/>
              </w:rPr>
            </w:pPr>
            <w:r>
              <w:rPr>
                <w:rFonts w:hint="eastAsia"/>
                <w:kern w:val="0"/>
                <w:szCs w:val="21"/>
              </w:rPr>
              <w:t>1、AMD Athlon64 X2 7750 2.7G；</w:t>
            </w:r>
          </w:p>
          <w:p>
            <w:pPr>
              <w:rPr>
                <w:rFonts w:ascii="宋体"/>
                <w:szCs w:val="21"/>
              </w:rPr>
            </w:pPr>
            <w:r>
              <w:rPr>
                <w:rFonts w:hint="eastAsia" w:ascii="宋体"/>
                <w:szCs w:val="21"/>
              </w:rPr>
              <w:t>2、</w:t>
            </w:r>
            <w:r>
              <w:rPr>
                <w:rFonts w:hint="eastAsia"/>
                <w:kern w:val="0"/>
                <w:szCs w:val="21"/>
              </w:rPr>
              <w:t>RS690V芯片组</w:t>
            </w:r>
          </w:p>
          <w:p>
            <w:pPr>
              <w:rPr>
                <w:rFonts w:ascii="宋体"/>
                <w:szCs w:val="21"/>
              </w:rPr>
            </w:pPr>
            <w:r>
              <w:rPr>
                <w:rFonts w:hint="eastAsia" w:ascii="宋体"/>
                <w:szCs w:val="21"/>
              </w:rPr>
              <w:t>3、显卡 ATI Radeon HD 4350 显存512M 支持DirectX 10</w:t>
            </w:r>
          </w:p>
          <w:p>
            <w:pPr>
              <w:rPr>
                <w:rFonts w:ascii="宋体"/>
                <w:szCs w:val="21"/>
              </w:rPr>
            </w:pPr>
            <w:r>
              <w:rPr>
                <w:rFonts w:hint="eastAsia" w:ascii="宋体"/>
                <w:szCs w:val="21"/>
              </w:rPr>
              <w:t>4、</w:t>
            </w:r>
            <w:r>
              <w:rPr>
                <w:rFonts w:hint="eastAsia"/>
                <w:kern w:val="0"/>
                <w:szCs w:val="21"/>
              </w:rPr>
              <w:t>操作系统 Windows XP Home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5" w:type="dxa"/>
            <w:vAlign w:val="center"/>
          </w:tcPr>
          <w:p>
            <w:pPr>
              <w:jc w:val="center"/>
              <w:rPr>
                <w:rFonts w:ascii="宋体"/>
                <w:szCs w:val="21"/>
              </w:rPr>
            </w:pPr>
            <w:r>
              <w:rPr>
                <w:rFonts w:hint="eastAsia" w:ascii="宋体"/>
                <w:szCs w:val="21"/>
              </w:rPr>
              <w:t>2</w:t>
            </w:r>
          </w:p>
        </w:tc>
        <w:tc>
          <w:tcPr>
            <w:tcW w:w="1319" w:type="dxa"/>
            <w:vAlign w:val="center"/>
          </w:tcPr>
          <w:p>
            <w:pPr>
              <w:jc w:val="center"/>
              <w:rPr>
                <w:rFonts w:ascii="宋体"/>
                <w:szCs w:val="21"/>
              </w:rPr>
            </w:pPr>
            <w:r>
              <w:rPr>
                <w:rFonts w:hint="eastAsia" w:ascii="宋体"/>
                <w:szCs w:val="21"/>
              </w:rPr>
              <w:t>打印机</w:t>
            </w:r>
          </w:p>
        </w:tc>
        <w:tc>
          <w:tcPr>
            <w:tcW w:w="4587" w:type="dxa"/>
            <w:vAlign w:val="center"/>
          </w:tcPr>
          <w:p>
            <w:pPr>
              <w:rPr>
                <w:rFonts w:ascii="宋体"/>
                <w:szCs w:val="21"/>
              </w:rPr>
            </w:pPr>
            <w:r>
              <w:rPr>
                <w:rFonts w:hint="eastAsia" w:ascii="宋体"/>
                <w:szCs w:val="21"/>
              </w:rPr>
              <w:t>黑白23/1200*1200（有效输出）/2MB/USB2.0接口/嵌入式网络打印服务器/纸张、信封、投影胶片、标签、卡片、明信片、硫酸纸//A4幅面，采用零秒预热技术；</w:t>
            </w:r>
          </w:p>
        </w:tc>
        <w:tc>
          <w:tcPr>
            <w:tcW w:w="4078" w:type="dxa"/>
            <w:vAlign w:val="center"/>
          </w:tcPr>
          <w:p>
            <w:pPr>
              <w:rPr>
                <w:rFonts w:ascii="宋体"/>
                <w:szCs w:val="21"/>
              </w:rPr>
            </w:pPr>
            <w:r>
              <w:rPr>
                <w:rFonts w:hint="eastAsia"/>
                <w:kern w:val="0"/>
                <w:szCs w:val="21"/>
              </w:rPr>
              <w:t>某品牌</w:t>
            </w:r>
            <w:r>
              <w:rPr>
                <w:rFonts w:hint="eastAsia" w:ascii="宋体"/>
                <w:szCs w:val="21"/>
              </w:rPr>
              <w:t>Aculaser M8000N激光打印机；黑白23/1200*1200（有效输出）/2MB/USB2.0接口/嵌入式网络打印服务器/纸张、信封、投影胶片、标签、卡片、明信片、硫酸纸/A4幅面，零秒预热。</w:t>
            </w:r>
          </w:p>
        </w:tc>
        <w:tc>
          <w:tcPr>
            <w:tcW w:w="1235" w:type="dxa"/>
            <w:vAlign w:val="center"/>
          </w:tcPr>
          <w:p>
            <w:pPr>
              <w:jc w:val="center"/>
              <w:rPr>
                <w:rFonts w:ascii="宋体"/>
                <w:szCs w:val="21"/>
              </w:rPr>
            </w:pPr>
            <w:r>
              <w:rPr>
                <w:rFonts w:hint="eastAsia" w:ascii="宋体"/>
                <w:szCs w:val="21"/>
              </w:rPr>
              <w:t>无偏离</w:t>
            </w:r>
          </w:p>
        </w:tc>
        <w:tc>
          <w:tcPr>
            <w:tcW w:w="2823" w:type="dxa"/>
            <w:vAlign w:val="center"/>
          </w:tcPr>
          <w:p>
            <w:pPr>
              <w:jc w:val="center"/>
              <w:rPr>
                <w:rFonts w:ascii="宋体"/>
                <w:szCs w:val="21"/>
              </w:rPr>
            </w:pPr>
          </w:p>
        </w:tc>
      </w:tr>
    </w:tbl>
    <w:p>
      <w:pPr>
        <w:sectPr>
          <w:pgSz w:w="16838" w:h="11906" w:orient="landscape"/>
          <w:pgMar w:top="1418" w:right="1418" w:bottom="1134" w:left="1134" w:header="935" w:footer="720" w:gutter="0"/>
          <w:cols w:space="720" w:num="1"/>
          <w:docGrid w:type="linesAndChars" w:linePitch="331" w:charSpace="0"/>
        </w:sectPr>
      </w:pPr>
    </w:p>
    <w:p>
      <w:pPr>
        <w:pStyle w:val="4"/>
        <w:keepNext/>
        <w:numPr>
          <w:ilvl w:val="0"/>
          <w:numId w:val="0"/>
        </w:numPr>
        <w:tabs>
          <w:tab w:val="left" w:pos="1021"/>
          <w:tab w:val="clear" w:pos="900"/>
        </w:tabs>
        <w:spacing w:before="0"/>
        <w:rPr>
          <w:rFonts w:hint="eastAsia" w:ascii="宋体" w:hAnsi="宋体" w:eastAsia="宋体" w:cs="宋体"/>
          <w:szCs w:val="28"/>
        </w:rPr>
      </w:pPr>
      <w:bookmarkStart w:id="313" w:name="_Toc9299"/>
      <w:bookmarkStart w:id="314" w:name="_Toc26024"/>
      <w:bookmarkStart w:id="315" w:name="_Toc27300"/>
      <w:r>
        <w:rPr>
          <w:rFonts w:hint="eastAsia" w:ascii="宋体" w:hAnsi="宋体" w:eastAsia="宋体" w:cs="宋体"/>
          <w:szCs w:val="28"/>
        </w:rPr>
        <w:t>★格式10：法定代表人资格证明书</w:t>
      </w:r>
      <w:bookmarkEnd w:id="313"/>
      <w:bookmarkEnd w:id="314"/>
      <w:bookmarkEnd w:id="315"/>
    </w:p>
    <w:p>
      <w:pPr>
        <w:spacing w:line="360" w:lineRule="auto"/>
        <w:jc w:val="center"/>
        <w:rPr>
          <w:rFonts w:hint="eastAsia" w:ascii="宋体" w:hAnsi="宋体" w:cs="宋体"/>
          <w:b/>
          <w:bCs/>
          <w:sz w:val="32"/>
          <w:szCs w:val="32"/>
        </w:rPr>
      </w:pPr>
      <w:r>
        <w:rPr>
          <w:rFonts w:hint="eastAsia" w:ascii="宋体" w:hAnsi="宋体" w:cs="宋体"/>
          <w:b/>
          <w:bCs/>
          <w:sz w:val="32"/>
          <w:szCs w:val="32"/>
        </w:rPr>
        <w:t>法定代表人资格证明书</w:t>
      </w:r>
    </w:p>
    <w:p>
      <w:pPr>
        <w:spacing w:line="360" w:lineRule="auto"/>
        <w:jc w:val="center"/>
        <w:rPr>
          <w:rFonts w:hint="eastAsia" w:ascii="宋体" w:hAnsi="宋体" w:cs="宋体"/>
          <w:b/>
          <w:sz w:val="30"/>
          <w:szCs w:val="30"/>
        </w:rPr>
      </w:pPr>
    </w:p>
    <w:p>
      <w:pPr>
        <w:spacing w:line="360" w:lineRule="auto"/>
        <w:rPr>
          <w:rFonts w:hint="eastAsia" w:ascii="宋体" w:hAnsi="宋体" w:cs="宋体"/>
          <w:szCs w:val="21"/>
        </w:rPr>
      </w:pPr>
      <w:r>
        <w:rPr>
          <w:rFonts w:hint="eastAsia" w:ascii="宋体" w:hAnsi="宋体" w:cs="宋体"/>
          <w:szCs w:val="21"/>
        </w:rPr>
        <w:t>投标人名称：</w:t>
      </w:r>
      <w:r>
        <w:rPr>
          <w:rFonts w:hint="eastAsia" w:ascii="宋体" w:hAnsi="宋体" w:cs="宋体"/>
          <w:szCs w:val="21"/>
          <w:u w:val="single"/>
        </w:rPr>
        <w:t xml:space="preserve">                        </w:t>
      </w:r>
    </w:p>
    <w:p>
      <w:pPr>
        <w:spacing w:line="360" w:lineRule="auto"/>
        <w:rPr>
          <w:rFonts w:hint="eastAsia"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pPr>
        <w:spacing w:line="360" w:lineRule="auto"/>
        <w:rPr>
          <w:rFonts w:hint="eastAsia"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rPr>
          <w:rFonts w:hint="eastAsia"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pPr>
        <w:spacing w:line="360" w:lineRule="auto"/>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pPr>
        <w:spacing w:line="360" w:lineRule="auto"/>
        <w:rPr>
          <w:rFonts w:hint="eastAsia"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（投标人名称）的法定代表人。</w:t>
      </w:r>
    </w:p>
    <w:p>
      <w:pPr>
        <w:spacing w:line="360" w:lineRule="auto"/>
        <w:ind w:firstLine="420" w:firstLineChars="200"/>
        <w:rPr>
          <w:rFonts w:hint="eastAsia" w:ascii="宋体" w:hAnsi="宋体" w:cs="宋体"/>
          <w:szCs w:val="21"/>
        </w:rPr>
      </w:pPr>
    </w:p>
    <w:p>
      <w:pPr>
        <w:spacing w:line="360" w:lineRule="auto"/>
        <w:ind w:firstLine="420" w:firstLineChars="200"/>
        <w:rPr>
          <w:rFonts w:hint="eastAsia" w:ascii="宋体" w:hAnsi="宋体" w:cs="宋体"/>
          <w:szCs w:val="21"/>
        </w:rPr>
      </w:pPr>
      <w:r>
        <w:rPr>
          <w:rFonts w:hint="eastAsia" w:ascii="宋体" w:hAnsi="宋体" w:cs="宋体"/>
          <w:szCs w:val="21"/>
        </w:rPr>
        <w:t>特此证明。</w:t>
      </w:r>
    </w:p>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ind w:left="3780" w:leftChars="18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xml:space="preserve">                    </w:t>
      </w:r>
      <w:r>
        <w:rPr>
          <w:rFonts w:hint="eastAsia" w:ascii="宋体" w:hAnsi="宋体" w:cs="宋体"/>
          <w:szCs w:val="21"/>
        </w:rPr>
        <w:t>（盖单位公章）</w:t>
      </w:r>
    </w:p>
    <w:p>
      <w:pPr>
        <w:spacing w:line="360" w:lineRule="auto"/>
        <w:ind w:left="3780" w:leftChars="1800"/>
        <w:rPr>
          <w:rFonts w:hint="eastAsia" w:ascii="宋体" w:hAnsi="宋体" w:cs="宋体"/>
          <w:szCs w:val="21"/>
        </w:rPr>
      </w:pPr>
    </w:p>
    <w:p>
      <w:pPr>
        <w:spacing w:line="360" w:lineRule="auto"/>
        <w:ind w:left="3780" w:leftChars="1800"/>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附法定代表人身份证扫描件：</w:t>
      </w:r>
    </w:p>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rPr>
          <w:rFonts w:hint="eastAsia" w:ascii="宋体" w:hAnsi="宋体" w:cs="宋体"/>
          <w:szCs w:val="21"/>
        </w:rPr>
      </w:pPr>
    </w:p>
    <w:p>
      <w:pPr>
        <w:pStyle w:val="19"/>
        <w:spacing w:line="360" w:lineRule="auto"/>
        <w:rPr>
          <w:rFonts w:hint="eastAsia" w:hAnsi="宋体" w:cs="宋体"/>
          <w:b/>
          <w:szCs w:val="21"/>
        </w:rPr>
      </w:pPr>
      <w:r>
        <w:rPr>
          <w:rFonts w:hint="eastAsia" w:hAnsi="宋体" w:cs="宋体"/>
          <w:b/>
          <w:szCs w:val="21"/>
        </w:rPr>
        <w:br w:type="page"/>
      </w:r>
    </w:p>
    <w:p>
      <w:pPr>
        <w:pStyle w:val="4"/>
        <w:keepNext/>
        <w:numPr>
          <w:ilvl w:val="0"/>
          <w:numId w:val="0"/>
        </w:numPr>
        <w:tabs>
          <w:tab w:val="left" w:pos="1021"/>
          <w:tab w:val="clear" w:pos="900"/>
        </w:tabs>
        <w:spacing w:before="0"/>
        <w:rPr>
          <w:rFonts w:hint="eastAsia" w:ascii="宋体" w:hAnsi="宋体" w:eastAsia="宋体" w:cs="宋体"/>
          <w:szCs w:val="28"/>
        </w:rPr>
      </w:pPr>
      <w:bookmarkStart w:id="316" w:name="_Toc9417"/>
      <w:bookmarkStart w:id="317" w:name="_Toc15479"/>
      <w:bookmarkStart w:id="318" w:name="_Toc20695"/>
      <w:r>
        <w:rPr>
          <w:rFonts w:hint="eastAsia" w:ascii="宋体" w:hAnsi="宋体" w:eastAsia="宋体" w:cs="宋体"/>
          <w:szCs w:val="28"/>
        </w:rPr>
        <w:t>★格式11：法定代表人授权委托书</w:t>
      </w:r>
      <w:bookmarkEnd w:id="316"/>
      <w:bookmarkEnd w:id="317"/>
      <w:bookmarkEnd w:id="318"/>
    </w:p>
    <w:p>
      <w:pPr>
        <w:spacing w:line="360" w:lineRule="auto"/>
        <w:jc w:val="center"/>
        <w:rPr>
          <w:rFonts w:hint="eastAsia" w:ascii="宋体" w:hAnsi="宋体" w:cs="宋体"/>
          <w:b/>
          <w:bCs/>
          <w:sz w:val="32"/>
          <w:szCs w:val="32"/>
        </w:rPr>
      </w:pPr>
      <w:r>
        <w:rPr>
          <w:rFonts w:hint="eastAsia" w:ascii="宋体" w:hAnsi="宋体" w:cs="宋体"/>
          <w:b/>
          <w:bCs/>
          <w:sz w:val="32"/>
          <w:szCs w:val="32"/>
        </w:rPr>
        <w:t>法定代表人授权委托书</w:t>
      </w:r>
    </w:p>
    <w:p>
      <w:pPr>
        <w:spacing w:line="360" w:lineRule="auto"/>
        <w:rPr>
          <w:rFonts w:hint="eastAsia" w:ascii="宋体" w:hAnsi="宋体" w:cs="宋体"/>
          <w:b/>
          <w:bCs/>
          <w:szCs w:val="21"/>
        </w:rPr>
      </w:pPr>
      <w:r>
        <w:rPr>
          <w:rFonts w:hint="eastAsia" w:ascii="宋体" w:hAnsi="宋体" w:cs="宋体"/>
          <w:szCs w:val="21"/>
        </w:rPr>
        <w:t>致：</w:t>
      </w:r>
      <w:r>
        <w:rPr>
          <w:rFonts w:hint="eastAsia" w:ascii="宋体" w:hAnsi="宋体" w:cs="宋体"/>
          <w:szCs w:val="21"/>
          <w:u w:val="single"/>
        </w:rPr>
        <w:t>云南省政府采购和出让中心</w:t>
      </w:r>
    </w:p>
    <w:p>
      <w:pPr>
        <w:spacing w:line="360" w:lineRule="auto"/>
        <w:ind w:firstLine="420" w:firstLineChars="200"/>
        <w:rPr>
          <w:rFonts w:hint="eastAsia"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       （投标人全称）     </w:t>
      </w:r>
      <w:r>
        <w:rPr>
          <w:rFonts w:hint="eastAsia" w:ascii="宋体" w:hAnsi="宋体" w:cs="宋体"/>
          <w:szCs w:val="21"/>
        </w:rPr>
        <w:t>的法定代表人代表本公司授权</w:t>
      </w:r>
      <w:r>
        <w:rPr>
          <w:rFonts w:hint="eastAsia" w:ascii="宋体" w:hAnsi="宋体" w:cs="宋体"/>
          <w:szCs w:val="21"/>
          <w:u w:val="single"/>
        </w:rPr>
        <w:t xml:space="preserve">   （委托代理人姓名）   </w:t>
      </w:r>
      <w:r>
        <w:rPr>
          <w:rFonts w:hint="eastAsia" w:ascii="宋体" w:hAnsi="宋体" w:cs="宋体"/>
          <w:szCs w:val="21"/>
        </w:rPr>
        <w:t>为本公司合法代理人，就贵方组织的有关</w:t>
      </w:r>
      <w:r>
        <w:rPr>
          <w:rFonts w:hint="eastAsia" w:ascii="宋体" w:hAnsi="宋体" w:cs="宋体"/>
          <w:szCs w:val="21"/>
          <w:u w:val="single"/>
        </w:rPr>
        <w:t xml:space="preserve">    （采购项目名称）    </w:t>
      </w:r>
      <w:r>
        <w:rPr>
          <w:rFonts w:hint="eastAsia" w:ascii="宋体" w:hAnsi="宋体" w:cs="宋体"/>
          <w:szCs w:val="21"/>
        </w:rPr>
        <w:t>项目（招标编号：</w:t>
      </w:r>
      <w:r>
        <w:rPr>
          <w:rFonts w:hint="eastAsia" w:ascii="宋体" w:hAnsi="宋体" w:cs="宋体"/>
          <w:szCs w:val="21"/>
          <w:u w:val="single"/>
        </w:rPr>
        <w:t xml:space="preserve">          </w:t>
      </w:r>
      <w:r>
        <w:rPr>
          <w:rFonts w:hint="eastAsia" w:ascii="宋体" w:hAnsi="宋体" w:cs="宋体"/>
          <w:szCs w:val="21"/>
        </w:rPr>
        <w:t>）的招标，以本单位名义投标。代理人在本项目投标过程中所签署的一切文件和处理与之有关的一切事务，我方均予承认。</w:t>
      </w:r>
    </w:p>
    <w:p>
      <w:pPr>
        <w:spacing w:line="360" w:lineRule="auto"/>
        <w:ind w:firstLine="420" w:firstLineChars="200"/>
        <w:rPr>
          <w:rFonts w:hint="eastAsia" w:ascii="宋体" w:hAnsi="宋体" w:cs="宋体"/>
          <w:szCs w:val="21"/>
        </w:rPr>
      </w:pPr>
      <w:r>
        <w:rPr>
          <w:rFonts w:hint="eastAsia" w:ascii="宋体" w:hAnsi="宋体" w:cs="宋体"/>
          <w:szCs w:val="21"/>
        </w:rPr>
        <w:t>代理人无转委托权。</w:t>
      </w:r>
    </w:p>
    <w:p>
      <w:pPr>
        <w:spacing w:line="360" w:lineRule="auto"/>
        <w:ind w:firstLine="420" w:firstLineChars="200"/>
        <w:rPr>
          <w:rFonts w:hint="eastAsia" w:ascii="宋体" w:hAnsi="宋体" w:cs="宋体"/>
          <w:szCs w:val="21"/>
        </w:rPr>
      </w:pPr>
    </w:p>
    <w:p>
      <w:pPr>
        <w:spacing w:line="360" w:lineRule="auto"/>
        <w:ind w:firstLine="420" w:firstLineChars="200"/>
        <w:rPr>
          <w:rFonts w:hint="eastAsia" w:ascii="宋体" w:hAnsi="宋体" w:cs="宋体"/>
          <w:szCs w:val="21"/>
        </w:rPr>
      </w:pPr>
      <w:r>
        <w:rPr>
          <w:rFonts w:hint="eastAsia" w:ascii="宋体" w:hAnsi="宋体" w:cs="宋体"/>
          <w:szCs w:val="21"/>
        </w:rPr>
        <w:t>供  应  商：</w:t>
      </w:r>
      <w:r>
        <w:rPr>
          <w:rFonts w:hint="eastAsia" w:ascii="宋体" w:hAnsi="宋体" w:cs="宋体"/>
          <w:szCs w:val="21"/>
          <w:u w:val="single"/>
        </w:rPr>
        <w:t xml:space="preserve">                     </w:t>
      </w:r>
      <w:r>
        <w:rPr>
          <w:rFonts w:hint="eastAsia" w:ascii="宋体" w:hAnsi="宋体" w:cs="宋体"/>
          <w:szCs w:val="21"/>
        </w:rPr>
        <w:t>（盖单位公章）</w:t>
      </w:r>
    </w:p>
    <w:p>
      <w:pPr>
        <w:spacing w:line="360" w:lineRule="auto"/>
        <w:ind w:firstLine="420" w:firstLineChars="200"/>
        <w:rPr>
          <w:rFonts w:hint="eastAsia"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（签名或盖章）</w:t>
      </w:r>
    </w:p>
    <w:p>
      <w:pPr>
        <w:spacing w:line="360" w:lineRule="auto"/>
        <w:ind w:firstLine="420" w:firstLineChars="200"/>
        <w:rPr>
          <w:rFonts w:hint="eastAsia"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p>
    <w:p>
      <w:pPr>
        <w:spacing w:line="360" w:lineRule="auto"/>
        <w:ind w:firstLine="420" w:firstLineChars="200"/>
        <w:rPr>
          <w:rFonts w:hint="eastAsia" w:ascii="宋体" w:hAnsi="宋体" w:cs="宋体"/>
          <w:szCs w:val="21"/>
        </w:rPr>
      </w:pPr>
      <w:r>
        <w:rPr>
          <w:rFonts w:hint="eastAsia" w:ascii="宋体" w:hAnsi="宋体" w:cs="宋体"/>
          <w:szCs w:val="21"/>
        </w:rPr>
        <w:t>委托代理人姓名：</w:t>
      </w:r>
      <w:r>
        <w:rPr>
          <w:rFonts w:hint="eastAsia" w:ascii="宋体" w:hAnsi="宋体" w:cs="宋体"/>
          <w:szCs w:val="21"/>
          <w:u w:val="single"/>
        </w:rPr>
        <w:t xml:space="preserve">                     </w:t>
      </w:r>
    </w:p>
    <w:p>
      <w:pPr>
        <w:spacing w:line="360" w:lineRule="auto"/>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p>
    <w:p>
      <w:pPr>
        <w:spacing w:line="360" w:lineRule="auto"/>
        <w:ind w:firstLine="420" w:firstLineChars="200"/>
        <w:rPr>
          <w:rFonts w:hint="eastAsia"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p>
    <w:p>
      <w:pPr>
        <w:spacing w:line="360" w:lineRule="auto"/>
        <w:ind w:firstLine="420" w:firstLineChars="200"/>
        <w:rPr>
          <w:rFonts w:hint="eastAsia" w:ascii="宋体" w:hAnsi="宋体" w:cs="宋体"/>
          <w:szCs w:val="21"/>
          <w:u w:val="single"/>
        </w:rPr>
      </w:pPr>
    </w:p>
    <w:p>
      <w:pPr>
        <w:spacing w:line="360" w:lineRule="auto"/>
        <w:ind w:firstLine="420" w:firstLineChars="200"/>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ind w:firstLine="420" w:firstLineChars="200"/>
        <w:rPr>
          <w:rFonts w:hint="eastAsia" w:ascii="宋体" w:hAnsi="宋体" w:cs="宋体"/>
          <w:szCs w:val="21"/>
        </w:rPr>
      </w:pPr>
    </w:p>
    <w:p>
      <w:pPr>
        <w:spacing w:line="360" w:lineRule="auto"/>
        <w:ind w:firstLine="420" w:firstLineChars="200"/>
        <w:rPr>
          <w:rFonts w:hint="eastAsia" w:ascii="宋体" w:hAnsi="宋体" w:cs="宋体"/>
          <w:szCs w:val="21"/>
          <w:u w:val="single"/>
        </w:rPr>
      </w:pPr>
      <w:r>
        <w:rPr>
          <w:rFonts w:hint="eastAsia" w:ascii="宋体" w:hAnsi="宋体" w:cs="宋体"/>
          <w:szCs w:val="21"/>
        </w:rPr>
        <w:t>附：委托代理人详细地址：</w:t>
      </w:r>
      <w:r>
        <w:rPr>
          <w:rFonts w:hint="eastAsia" w:ascii="宋体" w:hAnsi="宋体" w:cs="宋体"/>
          <w:szCs w:val="21"/>
          <w:u w:val="single"/>
        </w:rPr>
        <w:t xml:space="preserve">                             </w:t>
      </w:r>
    </w:p>
    <w:p>
      <w:pPr>
        <w:spacing w:line="360" w:lineRule="auto"/>
        <w:ind w:firstLine="420" w:firstLineChars="200"/>
        <w:rPr>
          <w:rFonts w:hint="eastAsia" w:ascii="宋体" w:hAnsi="宋体" w:cs="宋体"/>
          <w:szCs w:val="21"/>
        </w:rPr>
      </w:pPr>
      <w:r>
        <w:rPr>
          <w:rFonts w:hint="eastAsia" w:ascii="宋体" w:hAnsi="宋体" w:cs="宋体"/>
          <w:szCs w:val="21"/>
        </w:rPr>
        <w:t xml:space="preserve">    电话：</w:t>
      </w:r>
      <w:r>
        <w:rPr>
          <w:rFonts w:hint="eastAsia" w:ascii="宋体" w:hAnsi="宋体" w:cs="宋体"/>
          <w:szCs w:val="21"/>
          <w:u w:val="single"/>
        </w:rPr>
        <w:t xml:space="preserve">                             </w:t>
      </w:r>
    </w:p>
    <w:p>
      <w:pPr>
        <w:spacing w:line="360" w:lineRule="auto"/>
        <w:ind w:firstLine="420" w:firstLineChars="200"/>
        <w:rPr>
          <w:rFonts w:hint="eastAsia" w:ascii="宋体" w:hAnsi="宋体" w:cs="宋体"/>
          <w:szCs w:val="21"/>
        </w:rPr>
      </w:pPr>
    </w:p>
    <w:p>
      <w:pPr>
        <w:spacing w:line="360" w:lineRule="auto"/>
        <w:ind w:firstLine="480" w:firstLineChars="200"/>
        <w:rPr>
          <w:rFonts w:hint="eastAsia" w:ascii="宋体" w:hAnsi="宋体" w:cs="宋体"/>
          <w:sz w:val="24"/>
        </w:rPr>
      </w:pPr>
    </w:p>
    <w:p>
      <w:pPr>
        <w:spacing w:line="360" w:lineRule="auto"/>
        <w:rPr>
          <w:rFonts w:hint="eastAsia" w:ascii="宋体" w:hAnsi="宋体" w:cs="宋体"/>
          <w:szCs w:val="21"/>
        </w:rPr>
      </w:pPr>
      <w:r>
        <w:rPr>
          <w:rFonts w:hint="eastAsia" w:ascii="宋体" w:hAnsi="宋体" w:cs="宋体"/>
          <w:szCs w:val="21"/>
        </w:rPr>
        <w:t>附委托代理人身份证扫描件：</w:t>
      </w:r>
    </w:p>
    <w:p>
      <w:pPr>
        <w:spacing w:line="360" w:lineRule="auto"/>
        <w:rPr>
          <w:rFonts w:hint="eastAsia" w:ascii="宋体" w:hAnsi="宋体" w:cs="宋体"/>
          <w:szCs w:val="21"/>
        </w:rPr>
      </w:pPr>
    </w:p>
    <w:p>
      <w:pPr>
        <w:rPr>
          <w:rFonts w:hint="eastAsia" w:ascii="宋体" w:hAnsi="宋体" w:cs="宋体"/>
          <w:szCs w:val="28"/>
        </w:rPr>
      </w:pPr>
      <w:bookmarkStart w:id="319" w:name="_Toc22627"/>
      <w:r>
        <w:rPr>
          <w:rFonts w:hint="eastAsia" w:ascii="宋体" w:hAnsi="宋体" w:cs="宋体"/>
          <w:szCs w:val="28"/>
        </w:rPr>
        <w:br w:type="page"/>
      </w:r>
    </w:p>
    <w:p>
      <w:pPr>
        <w:pStyle w:val="4"/>
        <w:keepNext/>
        <w:numPr>
          <w:ilvl w:val="0"/>
          <w:numId w:val="0"/>
        </w:numPr>
        <w:tabs>
          <w:tab w:val="left" w:pos="1021"/>
          <w:tab w:val="clear" w:pos="900"/>
        </w:tabs>
        <w:spacing w:before="0"/>
        <w:rPr>
          <w:rFonts w:hint="eastAsia" w:ascii="宋体" w:hAnsi="宋体" w:eastAsia="宋体" w:cs="宋体"/>
          <w:szCs w:val="28"/>
        </w:rPr>
      </w:pPr>
      <w:bookmarkStart w:id="320" w:name="_Toc31916"/>
      <w:r>
        <w:rPr>
          <w:rFonts w:hint="eastAsia" w:ascii="宋体" w:hAnsi="宋体" w:eastAsia="宋体" w:cs="宋体"/>
          <w:szCs w:val="28"/>
        </w:rPr>
        <w:t>格式12：质量保证和</w:t>
      </w:r>
      <w:bookmarkEnd w:id="319"/>
      <w:r>
        <w:rPr>
          <w:rFonts w:hint="eastAsia" w:ascii="宋体" w:hAnsi="宋体" w:eastAsia="宋体" w:cs="宋体"/>
          <w:szCs w:val="28"/>
        </w:rPr>
        <w:t>质量承诺及保证措施</w:t>
      </w:r>
      <w:bookmarkEnd w:id="320"/>
    </w:p>
    <w:p>
      <w:pPr>
        <w:spacing w:line="360" w:lineRule="auto"/>
        <w:jc w:val="center"/>
        <w:rPr>
          <w:rFonts w:ascii="宋体"/>
          <w:b/>
          <w:bCs/>
          <w:szCs w:val="21"/>
        </w:rPr>
      </w:pPr>
      <w:r>
        <w:rPr>
          <w:rFonts w:hint="eastAsia" w:ascii="宋体"/>
          <w:b/>
          <w:bCs/>
          <w:szCs w:val="21"/>
        </w:rPr>
        <w:t>（一）质量保证书</w:t>
      </w:r>
    </w:p>
    <w:p>
      <w:pPr>
        <w:spacing w:line="360" w:lineRule="auto"/>
        <w:rPr>
          <w:rFonts w:ascii="宋体"/>
          <w:szCs w:val="21"/>
        </w:rPr>
      </w:pPr>
      <w:r>
        <w:rPr>
          <w:rFonts w:hint="eastAsia" w:ascii="宋体"/>
          <w:szCs w:val="21"/>
        </w:rPr>
        <w:t>致：</w:t>
      </w:r>
      <w:r>
        <w:rPr>
          <w:rFonts w:hint="eastAsia" w:ascii="宋体"/>
          <w:szCs w:val="21"/>
          <w:u w:val="single"/>
        </w:rPr>
        <w:t>（采购人）</w:t>
      </w:r>
    </w:p>
    <w:p>
      <w:pPr>
        <w:spacing w:line="360" w:lineRule="auto"/>
        <w:ind w:firstLine="420" w:firstLineChars="200"/>
        <w:rPr>
          <w:rFonts w:ascii="宋体"/>
          <w:szCs w:val="21"/>
        </w:rPr>
      </w:pPr>
      <w:r>
        <w:rPr>
          <w:rFonts w:hint="eastAsia" w:ascii="宋体"/>
          <w:szCs w:val="21"/>
        </w:rPr>
        <w:t>本保证书作为</w:t>
      </w:r>
      <w:r>
        <w:rPr>
          <w:rFonts w:hint="eastAsia" w:ascii="宋体"/>
          <w:szCs w:val="21"/>
          <w:u w:val="single"/>
        </w:rPr>
        <w:t xml:space="preserve">   （投标人名称）   </w:t>
      </w:r>
      <w:r>
        <w:rPr>
          <w:rFonts w:hint="eastAsia" w:ascii="宋体"/>
          <w:szCs w:val="21"/>
        </w:rPr>
        <w:t>对_______________项目（招标编号：__________）公开招标提供的质量和服务的保证。</w:t>
      </w:r>
    </w:p>
    <w:p>
      <w:pPr>
        <w:spacing w:line="360" w:lineRule="auto"/>
        <w:ind w:firstLine="420" w:firstLineChars="200"/>
        <w:rPr>
          <w:rFonts w:ascii="宋体"/>
          <w:szCs w:val="21"/>
        </w:rPr>
      </w:pPr>
      <w:r>
        <w:rPr>
          <w:rFonts w:hint="eastAsia" w:ascii="宋体"/>
          <w:szCs w:val="21"/>
        </w:rPr>
        <w:t>我方承诺提供以下质量保证并承担相应的法律责任：</w:t>
      </w:r>
    </w:p>
    <w:p>
      <w:pPr>
        <w:spacing w:line="360" w:lineRule="auto"/>
        <w:ind w:firstLine="420" w:firstLineChars="200"/>
        <w:rPr>
          <w:rFonts w:ascii="宋体"/>
          <w:szCs w:val="21"/>
        </w:rPr>
      </w:pPr>
      <w:r>
        <w:rPr>
          <w:rFonts w:hint="eastAsia" w:ascii="宋体"/>
          <w:szCs w:val="21"/>
        </w:rPr>
        <w:t>1. 提供的货物是全新的、符合国家质量标准、国家有关部门手续完备、具有生产厂家质量保证书（或合格证明）的设备；</w:t>
      </w:r>
    </w:p>
    <w:p>
      <w:pPr>
        <w:spacing w:line="360" w:lineRule="auto"/>
        <w:ind w:firstLine="420" w:firstLineChars="200"/>
        <w:rPr>
          <w:rFonts w:ascii="宋体"/>
          <w:szCs w:val="21"/>
        </w:rPr>
      </w:pPr>
      <w:r>
        <w:rPr>
          <w:rFonts w:hint="eastAsia" w:ascii="宋体"/>
          <w:szCs w:val="21"/>
        </w:rPr>
        <w:t>2. 提供的货物符合投标文件承诺和所签合同规定的技术要求；</w:t>
      </w:r>
    </w:p>
    <w:p>
      <w:pPr>
        <w:spacing w:line="360" w:lineRule="auto"/>
        <w:ind w:firstLine="420" w:firstLineChars="200"/>
        <w:rPr>
          <w:rFonts w:ascii="宋体"/>
          <w:szCs w:val="21"/>
        </w:rPr>
      </w:pPr>
      <w:r>
        <w:rPr>
          <w:rFonts w:hint="eastAsia" w:ascii="宋体"/>
          <w:szCs w:val="21"/>
        </w:rPr>
        <w:t>3. 保证“售后服务承诺”全部内容的满足；</w:t>
      </w:r>
    </w:p>
    <w:p>
      <w:pPr>
        <w:spacing w:line="360" w:lineRule="auto"/>
        <w:ind w:firstLine="420" w:firstLineChars="200"/>
        <w:rPr>
          <w:rFonts w:ascii="宋体"/>
          <w:szCs w:val="21"/>
        </w:rPr>
      </w:pPr>
      <w:r>
        <w:rPr>
          <w:rFonts w:hint="eastAsia" w:ascii="宋体"/>
          <w:szCs w:val="21"/>
        </w:rPr>
        <w:t>4. 对投标的货物，我单位承诺的性能保证如下：（请详细列明）</w:t>
      </w:r>
    </w:p>
    <w:p>
      <w:pPr>
        <w:spacing w:line="360" w:lineRule="auto"/>
        <w:ind w:firstLine="420" w:firstLineChars="200"/>
        <w:rPr>
          <w:rFonts w:ascii="宋体"/>
          <w:szCs w:val="21"/>
        </w:rPr>
      </w:pPr>
      <w:r>
        <w:rPr>
          <w:rFonts w:hint="eastAsia" w:ascii="宋体"/>
          <w:szCs w:val="21"/>
        </w:rPr>
        <w:t>_______________________________________________________________________</w:t>
      </w:r>
    </w:p>
    <w:p>
      <w:pPr>
        <w:spacing w:line="360" w:lineRule="auto"/>
        <w:ind w:firstLine="420" w:firstLineChars="200"/>
        <w:rPr>
          <w:rFonts w:ascii="宋体"/>
          <w:szCs w:val="21"/>
        </w:rPr>
      </w:pPr>
      <w:r>
        <w:rPr>
          <w:rFonts w:hint="eastAsia" w:ascii="宋体"/>
          <w:szCs w:val="21"/>
        </w:rPr>
        <w:t>_______________________________________________________________________</w:t>
      </w:r>
    </w:p>
    <w:p>
      <w:pPr>
        <w:spacing w:line="360" w:lineRule="auto"/>
        <w:ind w:firstLine="420" w:firstLineChars="200"/>
        <w:rPr>
          <w:rFonts w:ascii="宋体"/>
          <w:szCs w:val="21"/>
        </w:rPr>
      </w:pPr>
      <w:r>
        <w:rPr>
          <w:rFonts w:hint="eastAsia" w:ascii="宋体"/>
          <w:szCs w:val="21"/>
        </w:rPr>
        <w:t>本保证书自开标之日起有效，如我方中标则至货物保质期满为止有效。</w:t>
      </w:r>
    </w:p>
    <w:p>
      <w:pPr>
        <w:ind w:right="-693" w:rightChars="-330"/>
        <w:rPr>
          <w:rFonts w:hint="eastAsia" w:ascii="宋体" w:hAnsi="宋体"/>
          <w:szCs w:val="21"/>
        </w:rPr>
      </w:pPr>
    </w:p>
    <w:p>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Pr>
        <w:spacing w:line="360" w:lineRule="auto"/>
        <w:ind w:left="198"/>
        <w:rPr>
          <w:rFonts w:hint="eastAsia" w:ascii="宋体" w:hAnsi="宋体"/>
          <w:sz w:val="24"/>
        </w:rPr>
      </w:pPr>
    </w:p>
    <w:p>
      <w:pPr>
        <w:spacing w:line="360" w:lineRule="auto"/>
        <w:jc w:val="center"/>
        <w:rPr>
          <w:rFonts w:ascii="宋体"/>
          <w:b/>
          <w:bCs/>
          <w:szCs w:val="21"/>
        </w:rPr>
      </w:pPr>
      <w:r>
        <w:rPr>
          <w:rFonts w:hint="eastAsia" w:ascii="宋体"/>
          <w:b/>
          <w:bCs/>
          <w:szCs w:val="21"/>
        </w:rPr>
        <w:t>（二）质量承诺及保证措施</w:t>
      </w:r>
    </w:p>
    <w:p>
      <w:pPr>
        <w:spacing w:line="360" w:lineRule="auto"/>
        <w:rPr>
          <w:rFonts w:ascii="宋体"/>
        </w:rPr>
      </w:pPr>
    </w:p>
    <w:p>
      <w:pPr>
        <w:spacing w:line="360" w:lineRule="auto"/>
        <w:jc w:val="center"/>
        <w:rPr>
          <w:rFonts w:ascii="宋体"/>
          <w:sz w:val="24"/>
        </w:rPr>
      </w:pPr>
      <w:r>
        <w:rPr>
          <w:rFonts w:hint="eastAsia" w:ascii="宋体"/>
          <w:sz w:val="24"/>
        </w:rPr>
        <w:t>（由投标人按第五章“货物需求一览表”中售后服务及要求自行编写）</w:t>
      </w:r>
    </w:p>
    <w:p>
      <w:pPr>
        <w:spacing w:line="360" w:lineRule="auto"/>
        <w:ind w:firstLine="2" w:firstLineChars="1"/>
        <w:rPr>
          <w:szCs w:val="21"/>
        </w:rPr>
      </w:pPr>
    </w:p>
    <w:p>
      <w:pPr>
        <w:spacing w:line="360" w:lineRule="auto"/>
        <w:ind w:firstLine="2" w:firstLineChars="1"/>
        <w:rPr>
          <w:szCs w:val="21"/>
        </w:rPr>
      </w:pPr>
    </w:p>
    <w:p>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
      <w:r>
        <w:br w:type="page"/>
      </w:r>
    </w:p>
    <w:p>
      <w:pPr>
        <w:pStyle w:val="4"/>
        <w:keepNext/>
        <w:numPr>
          <w:ilvl w:val="0"/>
          <w:numId w:val="0"/>
        </w:numPr>
        <w:tabs>
          <w:tab w:val="left" w:pos="1021"/>
          <w:tab w:val="clear" w:pos="900"/>
        </w:tabs>
        <w:spacing w:before="0"/>
        <w:rPr>
          <w:rFonts w:hint="eastAsia" w:ascii="宋体" w:hAnsi="宋体" w:eastAsia="宋体" w:cs="宋体"/>
          <w:szCs w:val="28"/>
        </w:rPr>
      </w:pPr>
      <w:bookmarkStart w:id="321" w:name="_Toc4698"/>
      <w:bookmarkStart w:id="322" w:name="_Toc4426"/>
      <w:bookmarkStart w:id="323" w:name="_Toc31493"/>
      <w:bookmarkStart w:id="324" w:name="_Toc32340"/>
      <w:r>
        <w:rPr>
          <w:rFonts w:hint="eastAsia" w:ascii="宋体" w:hAnsi="宋体" w:eastAsia="宋体" w:cs="宋体"/>
          <w:szCs w:val="28"/>
        </w:rPr>
        <w:t>格式13：构成投标文件的其它资料</w:t>
      </w:r>
      <w:bookmarkEnd w:id="321"/>
      <w:bookmarkEnd w:id="322"/>
      <w:bookmarkEnd w:id="323"/>
      <w:bookmarkEnd w:id="324"/>
    </w:p>
    <w:p>
      <w:pPr>
        <w:ind w:firstLine="420" w:firstLineChars="200"/>
        <w:rPr>
          <w:rFonts w:hint="eastAsia" w:ascii="宋体" w:hAnsi="宋体" w:cs="宋体"/>
          <w:szCs w:val="21"/>
        </w:rPr>
      </w:pPr>
      <w:r>
        <w:rPr>
          <w:rFonts w:hint="eastAsia" w:ascii="宋体" w:hAnsi="宋体" w:cs="宋体"/>
          <w:szCs w:val="21"/>
        </w:rPr>
        <w:t>详见第二章“投标人须知前附表”，有格式的请按给定格式填写，无格式要求的请自拟格式。</w:t>
      </w:r>
    </w:p>
    <w:p/>
    <w:p>
      <w:pPr>
        <w:widowControl/>
        <w:jc w:val="center"/>
        <w:rPr>
          <w:rFonts w:hint="eastAsia" w:ascii="宋体" w:hAnsi="宋体" w:cs="宋体"/>
          <w:b/>
          <w:spacing w:val="6"/>
          <w:sz w:val="30"/>
          <w:szCs w:val="30"/>
        </w:rPr>
      </w:pPr>
      <w:r>
        <w:rPr>
          <w:rFonts w:hint="eastAsia" w:ascii="宋体" w:hAnsi="宋体" w:cs="宋体"/>
          <w:b/>
          <w:sz w:val="28"/>
          <w:szCs w:val="28"/>
        </w:rPr>
        <w:t>格式13-1：中小企业声明函</w:t>
      </w:r>
    </w:p>
    <w:p>
      <w:pPr>
        <w:spacing w:line="480" w:lineRule="auto"/>
        <w:ind w:firstLine="420"/>
        <w:rPr>
          <w:rFonts w:hint="eastAsia" w:ascii="宋体" w:hAnsi="宋体" w:cs="宋体"/>
          <w:sz w:val="24"/>
        </w:rPr>
      </w:pPr>
      <w:r>
        <w:rPr>
          <w:rFonts w:hint="eastAsia" w:ascii="宋体" w:hAnsi="宋体" w:cs="宋体"/>
          <w:sz w:val="24"/>
        </w:rPr>
        <w:t>本公司（联合体）郑重声明，根据《政府采购促进中小企业发展管理办法》（财库（2020）46号）的规定，本公司（联合体）参加</w:t>
      </w:r>
      <w:r>
        <w:rPr>
          <w:rFonts w:hint="eastAsia" w:ascii="宋体" w:hAnsi="宋体" w:cs="宋体"/>
          <w:sz w:val="24"/>
          <w:u w:val="single"/>
        </w:rPr>
        <w:t>昆明理工大学</w:t>
      </w:r>
      <w:r>
        <w:rPr>
          <w:rFonts w:hint="eastAsia" w:ascii="宋体" w:hAnsi="宋体" w:cs="宋体"/>
          <w:sz w:val="24"/>
        </w:rPr>
        <w:t>的</w:t>
      </w:r>
      <w:r>
        <w:rPr>
          <w:rFonts w:hint="eastAsia" w:ascii="宋体" w:hAnsi="宋体" w:cs="宋体"/>
          <w:sz w:val="24"/>
          <w:u w:val="single"/>
        </w:rPr>
        <w:t xml:space="preserve">昆明理工大学信息化建设管理中心智慧校园一体化数智化教学条件建设采购项目(z26)-智慧教室设备（课桌椅） </w:t>
      </w:r>
      <w:r>
        <w:rPr>
          <w:rFonts w:hint="eastAsia" w:ascii="宋体" w:hAnsi="宋体" w:cs="宋体"/>
          <w:sz w:val="24"/>
        </w:rPr>
        <w:t>采购活动，提供的货物全部由符合政策要求的中小企业制造。相关企业（含联合体中的中小企业、签订分包意向协议的中小企业）的具体情况如下：</w:t>
      </w:r>
    </w:p>
    <w:p>
      <w:pPr>
        <w:spacing w:line="480" w:lineRule="auto"/>
        <w:ind w:firstLine="420"/>
        <w:rPr>
          <w:rFonts w:hint="eastAsia" w:ascii="宋体" w:hAnsi="宋体" w:cs="宋体"/>
          <w:sz w:val="24"/>
        </w:rPr>
      </w:pPr>
      <w:r>
        <w:rPr>
          <w:rFonts w:hint="eastAsia" w:ascii="宋体" w:hAnsi="宋体" w:cs="宋体"/>
          <w:sz w:val="24"/>
        </w:rPr>
        <w:t>1.</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b/>
          <w:bCs/>
          <w:sz w:val="24"/>
          <w:u w:val="single"/>
        </w:rPr>
        <w:t>工业</w:t>
      </w:r>
      <w:r>
        <w:rPr>
          <w:rFonts w:hint="eastAsia" w:ascii="宋体" w:hAnsi="宋体" w:cs="宋体"/>
          <w:sz w:val="24"/>
        </w:rPr>
        <w:t>行业：制造商为</w:t>
      </w:r>
      <w:r>
        <w:rPr>
          <w:rFonts w:hint="eastAsia" w:ascii="宋体" w:hAnsi="宋体" w:cs="宋体"/>
          <w:sz w:val="24"/>
          <w:u w:val="single"/>
        </w:rPr>
        <w:t>（企业名称）</w:t>
      </w:r>
      <w:r>
        <w:rPr>
          <w:rFonts w:hint="eastAsia" w:ascii="宋体" w:hAnsi="宋体" w:cs="宋体"/>
          <w:sz w:val="24"/>
        </w:rPr>
        <w:t>，从业人员_____人，营业收入为_____万元，资产总额为_____万元，属于</w:t>
      </w:r>
      <w:r>
        <w:rPr>
          <w:rFonts w:hint="eastAsia" w:ascii="宋体" w:hAnsi="宋体" w:cs="宋体"/>
          <w:sz w:val="24"/>
          <w:u w:val="single"/>
        </w:rPr>
        <w:t>（中型企业、小型企业、微型企业）</w:t>
      </w:r>
      <w:r>
        <w:rPr>
          <w:rFonts w:hint="eastAsia" w:ascii="宋体" w:hAnsi="宋体" w:cs="宋体"/>
          <w:sz w:val="24"/>
        </w:rPr>
        <w:t>;</w:t>
      </w:r>
    </w:p>
    <w:p>
      <w:pPr>
        <w:spacing w:line="480" w:lineRule="auto"/>
        <w:ind w:firstLine="420"/>
        <w:rPr>
          <w:rFonts w:hint="eastAsia" w:ascii="宋体" w:hAnsi="宋体" w:cs="宋体"/>
          <w:sz w:val="24"/>
        </w:rPr>
      </w:pPr>
      <w:r>
        <w:rPr>
          <w:rFonts w:hint="eastAsia" w:ascii="宋体" w:hAnsi="宋体" w:cs="宋体"/>
          <w:sz w:val="24"/>
        </w:rPr>
        <w:t>2.</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b/>
          <w:bCs/>
          <w:sz w:val="24"/>
          <w:u w:val="single"/>
        </w:rPr>
        <w:t>工业</w:t>
      </w:r>
      <w:r>
        <w:rPr>
          <w:rFonts w:hint="eastAsia" w:ascii="宋体" w:hAnsi="宋体" w:cs="宋体"/>
          <w:sz w:val="24"/>
        </w:rPr>
        <w:t>行业；制造商为</w:t>
      </w:r>
      <w:r>
        <w:rPr>
          <w:rFonts w:hint="eastAsia" w:ascii="宋体" w:hAnsi="宋体" w:cs="宋体"/>
          <w:sz w:val="24"/>
          <w:u w:val="single"/>
        </w:rPr>
        <w:t>（企业名称）</w:t>
      </w:r>
      <w:r>
        <w:rPr>
          <w:rFonts w:hint="eastAsia" w:ascii="宋体" w:hAnsi="宋体" w:cs="宋体"/>
          <w:sz w:val="24"/>
        </w:rPr>
        <w:t>，从业人员_____人，营业收入为_____万元，资产总额为_____万元，属于</w:t>
      </w:r>
      <w:r>
        <w:rPr>
          <w:rFonts w:hint="eastAsia" w:ascii="宋体" w:hAnsi="宋体" w:cs="宋体"/>
          <w:sz w:val="24"/>
          <w:u w:val="single"/>
        </w:rPr>
        <w:t>（中型企业、小型企业、微型企业）</w:t>
      </w:r>
      <w:r>
        <w:rPr>
          <w:rFonts w:hint="eastAsia" w:ascii="宋体" w:hAnsi="宋体" w:cs="宋体"/>
          <w:sz w:val="24"/>
        </w:rPr>
        <w:t>；</w:t>
      </w:r>
    </w:p>
    <w:p>
      <w:pPr>
        <w:spacing w:line="480" w:lineRule="auto"/>
        <w:ind w:firstLine="420"/>
        <w:rPr>
          <w:rFonts w:hint="eastAsia" w:ascii="宋体" w:hAnsi="宋体" w:cs="宋体"/>
          <w:sz w:val="24"/>
        </w:rPr>
      </w:pPr>
      <w:r>
        <w:rPr>
          <w:rFonts w:hint="eastAsia" w:ascii="宋体" w:hAnsi="宋体" w:cs="宋体"/>
          <w:sz w:val="24"/>
        </w:rPr>
        <w:t>… …</w:t>
      </w:r>
    </w:p>
    <w:p>
      <w:pPr>
        <w:spacing w:line="480" w:lineRule="auto"/>
        <w:ind w:firstLine="420"/>
        <w:rPr>
          <w:rFonts w:hint="eastAsia"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480" w:lineRule="auto"/>
        <w:ind w:firstLine="420"/>
        <w:rPr>
          <w:rFonts w:hint="eastAsia" w:ascii="宋体" w:hAnsi="宋体" w:cs="宋体"/>
          <w:sz w:val="24"/>
        </w:rPr>
      </w:pPr>
      <w:r>
        <w:rPr>
          <w:rFonts w:hint="eastAsia" w:ascii="宋体" w:hAnsi="宋体" w:cs="宋体"/>
          <w:sz w:val="24"/>
        </w:rPr>
        <w:t>本企业对上述声明内容的真实性负责。如有虚假，将依法承担相应责任。</w:t>
      </w:r>
    </w:p>
    <w:p>
      <w:pPr>
        <w:spacing w:line="480" w:lineRule="auto"/>
        <w:ind w:firstLine="5280" w:firstLineChars="2200"/>
        <w:rPr>
          <w:rFonts w:hint="eastAsia" w:ascii="宋体" w:hAnsi="宋体" w:cs="宋体"/>
          <w:sz w:val="24"/>
        </w:rPr>
      </w:pPr>
      <w:r>
        <w:rPr>
          <w:rFonts w:hint="eastAsia" w:ascii="宋体" w:hAnsi="宋体" w:cs="宋体"/>
          <w:sz w:val="24"/>
        </w:rPr>
        <w:t>供应商名称（盖章）：</w:t>
      </w:r>
    </w:p>
    <w:p>
      <w:pPr>
        <w:spacing w:line="480" w:lineRule="auto"/>
        <w:ind w:firstLine="5280" w:firstLineChars="2200"/>
        <w:rPr>
          <w:rFonts w:hint="eastAsia" w:ascii="宋体" w:hAnsi="宋体" w:cs="宋体"/>
          <w:sz w:val="24"/>
        </w:rPr>
      </w:pPr>
      <w:r>
        <w:rPr>
          <w:rFonts w:hint="eastAsia" w:ascii="宋体" w:hAnsi="宋体" w:cs="宋体"/>
          <w:sz w:val="24"/>
        </w:rPr>
        <w:t>日期：</w:t>
      </w:r>
    </w:p>
    <w:p>
      <w:pPr>
        <w:rPr>
          <w:rFonts w:hint="eastAsia" w:ascii="宋体" w:hAnsi="宋体" w:cs="宋体"/>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sz w:val="18"/>
          <w:szCs w:val="18"/>
        </w:rPr>
      </w:pPr>
      <w:r>
        <w:rPr>
          <w:rFonts w:hint="eastAsia" w:ascii="宋体" w:hAnsi="宋体" w:cs="宋体"/>
          <w:sz w:val="18"/>
          <w:szCs w:val="18"/>
        </w:rPr>
        <w:t>注：1.从业人员、营业收入、资产总额填报上一年度数据，无上一年度数据的新成立企业可不填报。</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sz w:val="18"/>
          <w:szCs w:val="18"/>
        </w:rPr>
      </w:pPr>
      <w:r>
        <w:rPr>
          <w:rFonts w:hint="eastAsia" w:ascii="宋体" w:hAnsi="宋体" w:cs="宋体"/>
          <w:sz w:val="18"/>
          <w:szCs w:val="18"/>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s://baosong.miit.gov.cn/ScaleTest）</w:t>
      </w:r>
    </w:p>
    <w:p>
      <w:pPr>
        <w:keepNext w:val="0"/>
        <w:keepLines w:val="0"/>
        <w:pageBreakBefore w:val="0"/>
        <w:widowControl w:val="0"/>
        <w:kinsoku/>
        <w:wordWrap/>
        <w:overflowPunct/>
        <w:topLinePunct w:val="0"/>
        <w:autoSpaceDE/>
        <w:autoSpaceDN/>
        <w:bidi w:val="0"/>
        <w:spacing w:line="360" w:lineRule="auto"/>
        <w:jc w:val="left"/>
        <w:textAlignment w:val="auto"/>
        <w:rPr>
          <w:rFonts w:hint="eastAsia" w:hAnsi="宋体" w:cs="宋体"/>
          <w:b/>
          <w:sz w:val="28"/>
          <w:szCs w:val="28"/>
        </w:rPr>
      </w:pPr>
      <w:r>
        <w:rPr>
          <w:rFonts w:hint="eastAsia" w:ascii="宋体" w:hAnsi="宋体" w:cs="宋体"/>
          <w:sz w:val="18"/>
          <w:szCs w:val="18"/>
        </w:rPr>
        <w:t>3.供应商填写本表时，对企业类型填写应准确、唯一，不允许跨越式填写（如中小企业、小微企业等），</w:t>
      </w:r>
      <w:r>
        <w:rPr>
          <w:rFonts w:hint="eastAsia" w:ascii="宋体" w:hAnsi="宋体" w:cs="宋体"/>
          <w:b/>
          <w:bCs/>
          <w:sz w:val="18"/>
          <w:szCs w:val="18"/>
        </w:rPr>
        <w:t>所属行业不得更改</w:t>
      </w:r>
      <w:r>
        <w:rPr>
          <w:rFonts w:hint="eastAsia" w:ascii="宋体" w:hAnsi="宋体" w:cs="宋体"/>
          <w:sz w:val="18"/>
          <w:szCs w:val="18"/>
        </w:rPr>
        <w:t>，因供应商原因导致无法准确判断企业规模类型的，不予享受价格评审优惠政策</w:t>
      </w:r>
      <w:r>
        <w:rPr>
          <w:rFonts w:hint="eastAsia" w:hAnsi="宋体"/>
          <w:sz w:val="18"/>
          <w:szCs w:val="18"/>
        </w:rPr>
        <w:t>。</w:t>
      </w:r>
    </w:p>
    <w:p>
      <w:pPr>
        <w:spacing w:line="588" w:lineRule="exact"/>
        <w:jc w:val="center"/>
        <w:rPr>
          <w:rFonts w:hint="eastAsia" w:ascii="宋体" w:hAnsi="宋体" w:cs="宋体"/>
          <w:b/>
          <w:sz w:val="28"/>
          <w:szCs w:val="28"/>
        </w:rPr>
      </w:pPr>
    </w:p>
    <w:p>
      <w:pPr>
        <w:spacing w:line="588" w:lineRule="exact"/>
        <w:jc w:val="center"/>
        <w:rPr>
          <w:rFonts w:hint="eastAsia" w:ascii="宋体" w:hAnsi="宋体" w:cs="宋体"/>
          <w:b/>
          <w:sz w:val="28"/>
          <w:szCs w:val="28"/>
        </w:rPr>
      </w:pPr>
    </w:p>
    <w:p>
      <w:pPr>
        <w:spacing w:line="588" w:lineRule="exact"/>
        <w:jc w:val="center"/>
        <w:rPr>
          <w:rFonts w:hint="eastAsia" w:ascii="宋体" w:hAnsi="宋体" w:cs="宋体"/>
          <w:b/>
          <w:sz w:val="28"/>
          <w:szCs w:val="28"/>
        </w:rPr>
      </w:pPr>
    </w:p>
    <w:p>
      <w:pPr>
        <w:spacing w:line="588" w:lineRule="exact"/>
        <w:jc w:val="center"/>
        <w:rPr>
          <w:rFonts w:hint="eastAsia" w:ascii="宋体" w:hAnsi="宋体" w:cs="宋体"/>
          <w:b/>
          <w:spacing w:val="6"/>
          <w:sz w:val="32"/>
          <w:szCs w:val="32"/>
        </w:rPr>
      </w:pPr>
      <w:r>
        <w:rPr>
          <w:rFonts w:hint="eastAsia" w:ascii="宋体" w:hAnsi="宋体" w:cs="宋体"/>
          <w:b/>
          <w:sz w:val="28"/>
          <w:szCs w:val="28"/>
        </w:rPr>
        <w:t>格式13-2：残疾人福利性单位声明函</w:t>
      </w:r>
    </w:p>
    <w:p>
      <w:pPr>
        <w:spacing w:line="588" w:lineRule="exact"/>
        <w:rPr>
          <w:rFonts w:hint="eastAsia" w:ascii="宋体" w:hAnsi="宋体" w:cs="宋体"/>
          <w:b/>
          <w:spacing w:val="6"/>
          <w:sz w:val="30"/>
          <w:szCs w:val="30"/>
        </w:rPr>
      </w:pPr>
    </w:p>
    <w:p>
      <w:pPr>
        <w:spacing w:line="480" w:lineRule="auto"/>
        <w:ind w:firstLine="42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ind w:firstLine="420"/>
        <w:rPr>
          <w:rFonts w:hint="eastAsia" w:ascii="宋体" w:hAnsi="宋体" w:cs="宋体"/>
          <w:sz w:val="24"/>
        </w:rPr>
      </w:pPr>
      <w:r>
        <w:rPr>
          <w:rFonts w:hint="eastAsia" w:ascii="宋体" w:hAnsi="宋体" w:cs="宋体"/>
          <w:sz w:val="24"/>
        </w:rPr>
        <w:t>本单位对上述声明的真实性负责。如有虚假，将依法承担相应责任。</w:t>
      </w:r>
    </w:p>
    <w:p>
      <w:pPr>
        <w:spacing w:line="360" w:lineRule="auto"/>
        <w:ind w:firstLine="504" w:firstLineChars="200"/>
        <w:rPr>
          <w:rFonts w:hint="eastAsia" w:ascii="宋体" w:hAnsi="宋体" w:cs="宋体"/>
          <w:spacing w:val="6"/>
          <w:sz w:val="24"/>
        </w:rPr>
      </w:pPr>
    </w:p>
    <w:p>
      <w:pPr>
        <w:tabs>
          <w:tab w:val="left" w:pos="4860"/>
        </w:tabs>
        <w:spacing w:line="360" w:lineRule="auto"/>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单位名称（盖章）：</w:t>
      </w:r>
    </w:p>
    <w:p>
      <w:pPr>
        <w:spacing w:line="360" w:lineRule="auto"/>
        <w:ind w:left="283" w:leftChars="135" w:firstLine="378" w:firstLineChars="150"/>
        <w:jc w:val="center"/>
        <w:rPr>
          <w:rFonts w:hint="eastAsia" w:ascii="宋体" w:hAnsi="宋体" w:cs="宋体"/>
          <w:spacing w:val="6"/>
          <w:sz w:val="24"/>
        </w:rPr>
      </w:pPr>
      <w:r>
        <w:rPr>
          <w:rFonts w:hint="eastAsia" w:ascii="宋体" w:hAnsi="宋体" w:cs="宋体"/>
          <w:spacing w:val="6"/>
          <w:sz w:val="24"/>
        </w:rPr>
        <w:t>日  期：</w:t>
      </w:r>
    </w:p>
    <w:p>
      <w:pPr>
        <w:spacing w:line="360" w:lineRule="auto"/>
        <w:ind w:left="283" w:leftChars="135" w:firstLine="378" w:firstLineChars="150"/>
        <w:jc w:val="left"/>
        <w:rPr>
          <w:rFonts w:hint="eastAsia" w:ascii="宋体" w:hAnsi="宋体" w:cs="宋体"/>
          <w:spacing w:val="6"/>
          <w:sz w:val="24"/>
        </w:rPr>
      </w:pPr>
    </w:p>
    <w:p>
      <w:pPr>
        <w:widowControl/>
        <w:jc w:val="center"/>
        <w:rPr>
          <w:rFonts w:hint="eastAsia" w:ascii="宋体" w:hAnsi="宋体" w:cs="宋体"/>
          <w:spacing w:val="6"/>
          <w:sz w:val="24"/>
        </w:rPr>
      </w:pPr>
      <w:r>
        <w:rPr>
          <w:rFonts w:hint="eastAsia" w:ascii="宋体" w:hAnsi="宋体" w:cs="宋体"/>
          <w:b/>
          <w:sz w:val="28"/>
          <w:szCs w:val="28"/>
        </w:rPr>
        <w:t>格式13-3：监狱企业证明文件</w:t>
      </w:r>
    </w:p>
    <w:p>
      <w:pPr>
        <w:spacing w:line="360" w:lineRule="auto"/>
        <w:ind w:firstLine="480" w:firstLineChars="200"/>
        <w:jc w:val="left"/>
        <w:rPr>
          <w:rFonts w:hint="eastAsia" w:ascii="宋体" w:hAnsi="宋体" w:cs="宋体"/>
          <w:sz w:val="24"/>
        </w:rPr>
      </w:pPr>
      <w:r>
        <w:rPr>
          <w:rFonts w:hint="eastAsia" w:ascii="宋体" w:hAnsi="宋体" w:cs="宋体"/>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360" w:firstLineChars="150"/>
        <w:jc w:val="left"/>
        <w:rPr>
          <w:rFonts w:hint="eastAsia" w:ascii="宋体" w:hAnsi="宋体" w:cs="宋体"/>
          <w:sz w:val="24"/>
        </w:rPr>
      </w:pPr>
      <w:r>
        <w:rPr>
          <w:rFonts w:hint="eastAsia" w:ascii="宋体" w:hAnsi="宋体" w:cs="宋体"/>
          <w:sz w:val="24"/>
        </w:rPr>
        <w:t>监狱企业参加政府采购活动时，应当提供由省级以上监狱管理局、戒毒管理局（含新疆生产建设兵团）出具的属于监狱企业的证明文件。</w:t>
      </w:r>
    </w:p>
    <w:p>
      <w:pPr>
        <w:spacing w:line="360" w:lineRule="auto"/>
        <w:ind w:firstLine="315" w:firstLineChars="150"/>
        <w:jc w:val="left"/>
        <w:rPr>
          <w:rFonts w:hint="eastAsia" w:ascii="宋体" w:hAnsi="宋体" w:cs="宋体"/>
          <w:szCs w:val="21"/>
        </w:rPr>
      </w:pPr>
    </w:p>
    <w:p>
      <w:pPr>
        <w:spacing w:line="360" w:lineRule="auto"/>
        <w:ind w:firstLine="422" w:firstLineChars="150"/>
        <w:jc w:val="center"/>
        <w:rPr>
          <w:rFonts w:hint="eastAsia" w:ascii="宋体" w:hAnsi="宋体" w:cs="宋体"/>
          <w:b/>
          <w:sz w:val="28"/>
          <w:szCs w:val="28"/>
        </w:rPr>
      </w:pPr>
      <w:r>
        <w:rPr>
          <w:rFonts w:hint="eastAsia" w:ascii="宋体" w:hAnsi="宋体" w:cs="宋体"/>
          <w:b/>
          <w:sz w:val="28"/>
          <w:szCs w:val="28"/>
        </w:rPr>
        <w:t>格式13-4：聘用建档立卡贫困人员企业证明文件</w:t>
      </w:r>
    </w:p>
    <w:p>
      <w:pPr>
        <w:spacing w:line="360" w:lineRule="auto"/>
        <w:ind w:firstLine="360" w:firstLineChars="150"/>
        <w:jc w:val="center"/>
        <w:rPr>
          <w:rFonts w:hint="eastAsia" w:ascii="宋体" w:hAnsi="宋体" w:cs="宋体"/>
          <w:bCs/>
          <w:sz w:val="24"/>
        </w:rPr>
      </w:pPr>
      <w:r>
        <w:rPr>
          <w:rFonts w:hint="eastAsia" w:ascii="宋体" w:hAnsi="宋体" w:cs="宋体"/>
          <w:bCs/>
          <w:sz w:val="24"/>
        </w:rPr>
        <w:t>请提供相关证明文件。</w:t>
      </w:r>
    </w:p>
    <w:p>
      <w:pPr>
        <w:widowControl/>
        <w:jc w:val="left"/>
        <w:rPr>
          <w:rFonts w:hint="eastAsia" w:hAnsi="宋体"/>
          <w:sz w:val="24"/>
        </w:rPr>
      </w:pPr>
      <w:r>
        <w:rPr>
          <w:rFonts w:hint="eastAsia" w:hAnsi="宋体"/>
          <w:sz w:val="24"/>
        </w:rPr>
        <w:br w:type="page"/>
      </w:r>
    </w:p>
    <w:p>
      <w:pPr>
        <w:spacing w:line="360" w:lineRule="auto"/>
        <w:ind w:firstLine="360" w:firstLineChars="150"/>
        <w:jc w:val="center"/>
        <w:rPr>
          <w:rFonts w:hint="eastAsia" w:hAnsi="宋体"/>
          <w:sz w:val="24"/>
        </w:rPr>
      </w:pPr>
    </w:p>
    <w:p>
      <w:pPr>
        <w:pStyle w:val="105"/>
        <w:ind w:left="0" w:leftChars="0" w:firstLine="0" w:firstLineChars="0"/>
        <w:rPr>
          <w:rFonts w:hint="eastAsia" w:hAnsi="宋体" w:cs="宋体"/>
          <w:b/>
          <w:sz w:val="28"/>
          <w:szCs w:val="28"/>
          <w:lang w:eastAsia="zh-Hans" w:bidi="ar"/>
        </w:rPr>
      </w:pPr>
      <w:r>
        <w:rPr>
          <w:rFonts w:hint="eastAsia" w:hAnsi="宋体" w:cs="宋体"/>
          <w:b/>
          <w:sz w:val="28"/>
          <w:szCs w:val="28"/>
        </w:rPr>
        <w:t>格式13-5：</w:t>
      </w:r>
      <w:r>
        <w:rPr>
          <w:rFonts w:hint="eastAsia" w:hAnsi="宋体" w:cs="宋体"/>
          <w:b/>
          <w:sz w:val="28"/>
          <w:szCs w:val="28"/>
          <w:lang w:eastAsia="zh-Hans" w:bidi="ar"/>
        </w:rPr>
        <w:t>关于符合本国产品标准的声明函等有关证明文件（如适用）</w:t>
      </w:r>
    </w:p>
    <w:p>
      <w:pPr>
        <w:widowControl/>
        <w:jc w:val="center"/>
        <w:rPr>
          <w:rFonts w:hint="eastAsia" w:ascii="宋体" w:hAnsi="宋体" w:cs="宋体"/>
          <w:b/>
          <w:sz w:val="28"/>
          <w:szCs w:val="28"/>
        </w:rPr>
      </w:pPr>
    </w:p>
    <w:p>
      <w:pPr>
        <w:spacing w:line="360" w:lineRule="auto"/>
        <w:ind w:firstLine="480"/>
        <w:rPr>
          <w:lang w:eastAsia="zh-Hans"/>
        </w:rPr>
      </w:pPr>
      <w:r>
        <w:rPr>
          <w:rFonts w:hint="eastAsia" w:ascii="Calibri" w:hAnsi="Calibri"/>
          <w:b/>
          <w:lang w:eastAsia="zh-Hans"/>
        </w:rPr>
        <w:t>注：</w:t>
      </w:r>
      <w:r>
        <w:rPr>
          <w:rFonts w:hint="eastAsia" w:ascii="Calibri" w:hAnsi="Calibri"/>
          <w:lang w:eastAsia="zh-Hans"/>
        </w:rPr>
        <w:t>1. 供应商提供本国产品应符合《国务院办公厅关于在政府采购中实施本国产品标准及相关政策的通知》（国办发〔2025〕34号），在投标文件中出具《关于符合本国产品标准的声明函》或财政部会同有关部门规定的有关证明文件；</w:t>
      </w:r>
    </w:p>
    <w:p>
      <w:pPr>
        <w:numPr>
          <w:ilvl w:val="0"/>
          <w:numId w:val="4"/>
        </w:numPr>
        <w:spacing w:line="360" w:lineRule="auto"/>
        <w:ind w:firstLine="960"/>
        <w:rPr>
          <w:lang w:eastAsia="zh-Hans"/>
        </w:rPr>
      </w:pPr>
      <w:r>
        <w:rPr>
          <w:rFonts w:hint="eastAsia" w:ascii="Calibri" w:hAnsi="Calibri"/>
          <w:lang w:eastAsia="zh-Hans"/>
        </w:rPr>
        <w:t>供应商提供虚假《声明函》、虚假证明文件谋取中标、成交的，依照政府采购法律法规规定追究相应责任。</w:t>
      </w:r>
    </w:p>
    <w:p>
      <w:pPr>
        <w:spacing w:line="360" w:lineRule="auto"/>
        <w:rPr>
          <w:lang w:eastAsia="zh-Hans"/>
        </w:rPr>
      </w:pPr>
    </w:p>
    <w:p>
      <w:r>
        <w:rPr>
          <w:rFonts w:hint="eastAsia" w:ascii="Calibri" w:hAnsi="Calibri"/>
          <w:b/>
          <w:sz w:val="28"/>
          <w:lang w:eastAsia="zh-Hans"/>
        </w:rPr>
        <w:t>附件</w:t>
      </w:r>
      <w:r>
        <w:rPr>
          <w:rFonts w:hint="eastAsia"/>
          <w:b/>
          <w:sz w:val="28"/>
        </w:rPr>
        <w:t>1</w:t>
      </w:r>
    </w:p>
    <w:p>
      <w:pPr>
        <w:spacing w:before="120" w:after="240"/>
        <w:jc w:val="center"/>
        <w:outlineLvl w:val="3"/>
        <w:rPr>
          <w:lang w:eastAsia="zh-Hans"/>
        </w:rPr>
      </w:pPr>
      <w:r>
        <w:rPr>
          <w:rFonts w:hint="eastAsia" w:ascii="Calibri" w:hAnsi="Calibri"/>
          <w:b/>
          <w:sz w:val="24"/>
          <w:lang w:eastAsia="zh-Hans"/>
        </w:rPr>
        <w:t>关于符合本国产品标准的声明函</w:t>
      </w:r>
    </w:p>
    <w:p>
      <w:pPr>
        <w:spacing w:line="360" w:lineRule="auto"/>
        <w:ind w:firstLine="480"/>
        <w:rPr>
          <w:lang w:eastAsia="zh-Hans"/>
        </w:rPr>
      </w:pPr>
      <w:r>
        <w:rPr>
          <w:rFonts w:hint="eastAsia" w:ascii="Calibri" w:hAnsi="Calibri"/>
          <w:lang w:eastAsia="zh-Hans"/>
        </w:rPr>
        <w:t>本公司（单位）郑重声明，根据《国务院办公厅关于在政府采购中实施本国产品标准及相关政策的通知》（国办发〔2025〕34号）的规定，本公司（单位）提供的以下产品属于本国产品。具体情况如下：</w:t>
      </w:r>
    </w:p>
    <w:p>
      <w:pPr>
        <w:spacing w:line="360" w:lineRule="auto"/>
        <w:ind w:firstLine="960"/>
        <w:rPr>
          <w:lang w:eastAsia="zh-Hans"/>
        </w:rPr>
      </w:pPr>
      <w:r>
        <w:rPr>
          <w:rFonts w:hint="eastAsia" w:ascii="Calibri" w:hAnsi="Calibri"/>
          <w:lang w:eastAsia="zh-Hans"/>
        </w:rPr>
        <w:t xml:space="preserve"> 1. </w:t>
      </w:r>
      <w:r>
        <w:rPr>
          <w:rFonts w:hint="eastAsia" w:ascii="Calibri" w:hAnsi="Calibri"/>
          <w:u w:val="single"/>
          <w:lang w:eastAsia="zh-Hans"/>
        </w:rPr>
        <w:t>（产品名称1）</w:t>
      </w:r>
      <w:r>
        <w:rPr>
          <w:rFonts w:hint="eastAsia" w:ascii="Calibri" w:hAnsi="Calibri"/>
          <w:lang w:eastAsia="zh-Hans"/>
        </w:rPr>
        <w:t>，生产厂为</w:t>
      </w:r>
      <w:r>
        <w:rPr>
          <w:rFonts w:hint="eastAsia" w:ascii="Calibri" w:hAnsi="Calibri"/>
          <w:u w:val="single"/>
          <w:lang w:eastAsia="zh-Hans"/>
        </w:rPr>
        <w:t>（厂名）</w:t>
      </w:r>
      <w:r>
        <w:rPr>
          <w:rFonts w:hint="eastAsia" w:ascii="Calibri" w:hAnsi="Calibri"/>
          <w:lang w:eastAsia="zh-Hans"/>
        </w:rPr>
        <w:t>，厂址为</w:t>
      </w:r>
      <w:r>
        <w:rPr>
          <w:rFonts w:hint="eastAsia" w:ascii="Calibri" w:hAnsi="Calibri"/>
          <w:u w:val="single"/>
          <w:lang w:eastAsia="zh-Hans"/>
        </w:rPr>
        <w:t>（生产厂址）</w:t>
      </w:r>
      <w:r>
        <w:rPr>
          <w:rFonts w:hint="eastAsia" w:ascii="Calibri" w:hAnsi="Calibri"/>
          <w:lang w:eastAsia="zh-Hans"/>
        </w:rPr>
        <w:t xml:space="preserve">。 </w:t>
      </w:r>
      <w:r>
        <w:rPr>
          <w:rFonts w:hint="eastAsia" w:ascii="Calibri" w:hAnsi="Calibri"/>
          <w:u w:val="single"/>
          <w:lang w:eastAsia="zh-Hans"/>
        </w:rPr>
        <w:t>（产品名称1）</w:t>
      </w:r>
      <w:r>
        <w:rPr>
          <w:rFonts w:hint="eastAsia" w:ascii="Calibri" w:hAnsi="Calibri"/>
          <w:lang w:eastAsia="zh-Hans"/>
        </w:rPr>
        <w:t>的中国境内生产的组件成本占比≥</w:t>
      </w:r>
      <w:r>
        <w:rPr>
          <w:rFonts w:hint="eastAsia" w:ascii="Calibri" w:hAnsi="Calibri"/>
          <w:u w:val="single"/>
          <w:lang w:eastAsia="zh-Hans"/>
        </w:rPr>
        <w:t>（规定比例）</w:t>
      </w:r>
      <w:r>
        <w:rPr>
          <w:rFonts w:hint="eastAsia" w:ascii="Calibri" w:hAnsi="Calibri"/>
          <w:lang w:eastAsia="zh-Hans"/>
        </w:rPr>
        <w:t xml:space="preserve">。 </w:t>
      </w:r>
      <w:r>
        <w:rPr>
          <w:rFonts w:hint="eastAsia" w:ascii="Calibri" w:hAnsi="Calibri"/>
          <w:u w:val="single"/>
          <w:lang w:eastAsia="zh-Hans"/>
        </w:rPr>
        <w:t>（产品名称1）</w:t>
      </w:r>
      <w:r>
        <w:rPr>
          <w:rFonts w:hint="eastAsia" w:ascii="Calibri" w:hAnsi="Calibri"/>
          <w:lang w:eastAsia="zh-Hans"/>
        </w:rPr>
        <w:t>的</w:t>
      </w:r>
      <w:r>
        <w:rPr>
          <w:rFonts w:hint="eastAsia" w:ascii="Calibri" w:hAnsi="Calibri"/>
          <w:u w:val="single"/>
          <w:lang w:eastAsia="zh-Hans"/>
        </w:rPr>
        <w:t>（关键组件）</w:t>
      </w:r>
      <w:r>
        <w:rPr>
          <w:rFonts w:hint="eastAsia" w:ascii="Calibri" w:hAnsi="Calibri"/>
          <w:lang w:eastAsia="zh-Hans"/>
        </w:rPr>
        <w:t xml:space="preserve">在中国境内生产。 </w:t>
      </w:r>
      <w:r>
        <w:rPr>
          <w:rFonts w:hint="eastAsia" w:ascii="Calibri" w:hAnsi="Calibri"/>
          <w:u w:val="single"/>
          <w:lang w:eastAsia="zh-Hans"/>
        </w:rPr>
        <w:t>（产品名称1）</w:t>
      </w:r>
      <w:r>
        <w:rPr>
          <w:rFonts w:hint="eastAsia" w:ascii="Calibri" w:hAnsi="Calibri"/>
          <w:lang w:eastAsia="zh-Hans"/>
        </w:rPr>
        <w:t>的</w:t>
      </w:r>
      <w:r>
        <w:rPr>
          <w:rFonts w:hint="eastAsia" w:ascii="Calibri" w:hAnsi="Calibri"/>
          <w:u w:val="single"/>
          <w:lang w:eastAsia="zh-Hans"/>
        </w:rPr>
        <w:t>（关键工序）</w:t>
      </w:r>
      <w:r>
        <w:rPr>
          <w:rFonts w:hint="eastAsia" w:ascii="Calibri" w:hAnsi="Calibri"/>
          <w:lang w:eastAsia="zh-Hans"/>
        </w:rPr>
        <w:t>在中国境内完成。</w:t>
      </w:r>
    </w:p>
    <w:p>
      <w:pPr>
        <w:spacing w:line="360" w:lineRule="auto"/>
        <w:ind w:firstLine="960"/>
        <w:rPr>
          <w:lang w:eastAsia="zh-Hans"/>
        </w:rPr>
      </w:pPr>
      <w:r>
        <w:rPr>
          <w:rFonts w:hint="eastAsia" w:ascii="Calibri" w:hAnsi="Calibri"/>
          <w:lang w:eastAsia="zh-Hans"/>
        </w:rPr>
        <w:t xml:space="preserve"> 2. </w:t>
      </w:r>
      <w:r>
        <w:rPr>
          <w:rFonts w:hint="eastAsia" w:ascii="Calibri" w:hAnsi="Calibri"/>
          <w:u w:val="single"/>
          <w:lang w:eastAsia="zh-Hans"/>
        </w:rPr>
        <w:t>（产品名称2）</w:t>
      </w:r>
      <w:r>
        <w:rPr>
          <w:rFonts w:hint="eastAsia" w:ascii="Calibri" w:hAnsi="Calibri"/>
          <w:lang w:eastAsia="zh-Hans"/>
        </w:rPr>
        <w:t>，生产厂为</w:t>
      </w:r>
      <w:r>
        <w:rPr>
          <w:rFonts w:hint="eastAsia" w:ascii="Calibri" w:hAnsi="Calibri"/>
          <w:u w:val="single"/>
          <w:lang w:eastAsia="zh-Hans"/>
        </w:rPr>
        <w:t>（厂名）</w:t>
      </w:r>
      <w:r>
        <w:rPr>
          <w:rFonts w:hint="eastAsia" w:ascii="Calibri" w:hAnsi="Calibri"/>
          <w:lang w:eastAsia="zh-Hans"/>
        </w:rPr>
        <w:t>，厂址为</w:t>
      </w:r>
      <w:r>
        <w:rPr>
          <w:rFonts w:hint="eastAsia" w:ascii="Calibri" w:hAnsi="Calibri"/>
          <w:u w:val="single"/>
          <w:lang w:eastAsia="zh-Hans"/>
        </w:rPr>
        <w:t>（生产厂址）</w:t>
      </w:r>
      <w:r>
        <w:rPr>
          <w:rFonts w:hint="eastAsia" w:ascii="Calibri" w:hAnsi="Calibri"/>
          <w:lang w:eastAsia="zh-Hans"/>
        </w:rPr>
        <w:t xml:space="preserve">。 </w:t>
      </w:r>
      <w:r>
        <w:rPr>
          <w:rFonts w:hint="eastAsia" w:ascii="Calibri" w:hAnsi="Calibri"/>
          <w:u w:val="single"/>
          <w:lang w:eastAsia="zh-Hans"/>
        </w:rPr>
        <w:t>（产品名称2）</w:t>
      </w:r>
      <w:r>
        <w:rPr>
          <w:rFonts w:hint="eastAsia" w:ascii="Calibri" w:hAnsi="Calibri"/>
          <w:lang w:eastAsia="zh-Hans"/>
        </w:rPr>
        <w:t>的中国境内生产的组件成本占比≥</w:t>
      </w:r>
      <w:r>
        <w:rPr>
          <w:rFonts w:hint="eastAsia" w:ascii="Calibri" w:hAnsi="Calibri"/>
          <w:u w:val="single"/>
          <w:lang w:eastAsia="zh-Hans"/>
        </w:rPr>
        <w:t>（规定比例）</w:t>
      </w:r>
      <w:r>
        <w:rPr>
          <w:rFonts w:hint="eastAsia" w:ascii="Calibri" w:hAnsi="Calibri"/>
          <w:lang w:eastAsia="zh-Hans"/>
        </w:rPr>
        <w:t xml:space="preserve">。 </w:t>
      </w:r>
      <w:r>
        <w:rPr>
          <w:rFonts w:hint="eastAsia" w:ascii="Calibri" w:hAnsi="Calibri"/>
          <w:u w:val="single"/>
          <w:lang w:eastAsia="zh-Hans"/>
        </w:rPr>
        <w:t>（产品名称2）</w:t>
      </w:r>
      <w:r>
        <w:rPr>
          <w:rFonts w:hint="eastAsia" w:ascii="Calibri" w:hAnsi="Calibri"/>
          <w:lang w:eastAsia="zh-Hans"/>
        </w:rPr>
        <w:t>的</w:t>
      </w:r>
      <w:r>
        <w:rPr>
          <w:rFonts w:hint="eastAsia" w:ascii="Calibri" w:hAnsi="Calibri"/>
          <w:u w:val="single"/>
          <w:lang w:eastAsia="zh-Hans"/>
        </w:rPr>
        <w:t>（关键组件）</w:t>
      </w:r>
      <w:r>
        <w:rPr>
          <w:rFonts w:hint="eastAsia" w:ascii="Calibri" w:hAnsi="Calibri"/>
          <w:lang w:eastAsia="zh-Hans"/>
        </w:rPr>
        <w:t xml:space="preserve">在中国境内生产。 </w:t>
      </w:r>
      <w:r>
        <w:rPr>
          <w:rFonts w:hint="eastAsia" w:ascii="Calibri" w:hAnsi="Calibri"/>
          <w:u w:val="single"/>
          <w:lang w:eastAsia="zh-Hans"/>
        </w:rPr>
        <w:t>（产品名称2）</w:t>
      </w:r>
      <w:r>
        <w:rPr>
          <w:rFonts w:hint="eastAsia" w:ascii="Calibri" w:hAnsi="Calibri"/>
          <w:lang w:eastAsia="zh-Hans"/>
        </w:rPr>
        <w:t>的</w:t>
      </w:r>
      <w:r>
        <w:rPr>
          <w:rFonts w:hint="eastAsia" w:ascii="Calibri" w:hAnsi="Calibri"/>
          <w:u w:val="single"/>
          <w:lang w:eastAsia="zh-Hans"/>
        </w:rPr>
        <w:t>（关键工序）</w:t>
      </w:r>
      <w:r>
        <w:rPr>
          <w:rFonts w:hint="eastAsia" w:ascii="Calibri" w:hAnsi="Calibri"/>
          <w:lang w:eastAsia="zh-Hans"/>
        </w:rPr>
        <w:t>在中国境内完成。</w:t>
      </w:r>
    </w:p>
    <w:p>
      <w:pPr>
        <w:spacing w:line="360" w:lineRule="auto"/>
        <w:ind w:firstLine="960"/>
        <w:rPr>
          <w:lang w:eastAsia="zh-Hans"/>
        </w:rPr>
      </w:pPr>
      <w:r>
        <w:rPr>
          <w:rFonts w:hint="eastAsia" w:ascii="Calibri" w:hAnsi="Calibri"/>
          <w:lang w:eastAsia="zh-Hans"/>
        </w:rPr>
        <w:t>3. ……</w:t>
      </w:r>
    </w:p>
    <w:p>
      <w:pPr>
        <w:spacing w:line="360" w:lineRule="auto"/>
        <w:ind w:firstLine="480"/>
        <w:rPr>
          <w:lang w:eastAsia="zh-Hans"/>
        </w:rPr>
      </w:pPr>
      <w:r>
        <w:rPr>
          <w:rFonts w:hint="eastAsia" w:ascii="Calibri" w:hAnsi="Calibri"/>
          <w:lang w:eastAsia="zh-Hans"/>
        </w:rPr>
        <w:t>本公司（单位）对上述声明内容的真实性负责。如有虚假，愿承担相应法律责任。</w:t>
      </w:r>
    </w:p>
    <w:p>
      <w:pPr>
        <w:spacing w:line="360" w:lineRule="auto"/>
        <w:jc w:val="right"/>
        <w:rPr>
          <w:lang w:eastAsia="zh-Hans"/>
        </w:rPr>
      </w:pPr>
      <w:r>
        <w:rPr>
          <w:rFonts w:hint="eastAsia" w:ascii="Calibri" w:hAnsi="Calibri"/>
          <w:b/>
          <w:lang w:eastAsia="zh-Hans"/>
        </w:rPr>
        <w:t>公司（单位）名称（盖章）：</w:t>
      </w:r>
      <w:r>
        <w:rPr>
          <w:rFonts w:hint="eastAsia" w:ascii="Calibri" w:hAnsi="Calibri"/>
          <w:lang w:eastAsia="zh-Hans"/>
        </w:rPr>
        <w:t xml:space="preserve"> __________________</w:t>
      </w:r>
    </w:p>
    <w:p>
      <w:pPr>
        <w:spacing w:line="360" w:lineRule="auto"/>
        <w:jc w:val="right"/>
        <w:rPr>
          <w:lang w:eastAsia="zh-Hans"/>
        </w:rPr>
      </w:pPr>
      <w:r>
        <w:rPr>
          <w:rFonts w:hint="eastAsia" w:ascii="Calibri" w:hAnsi="Calibri"/>
          <w:b/>
          <w:lang w:eastAsia="zh-Hans"/>
        </w:rPr>
        <w:t>日期：</w:t>
      </w:r>
      <w:r>
        <w:rPr>
          <w:rFonts w:hint="eastAsia" w:ascii="Calibri" w:hAnsi="Calibri"/>
          <w:lang w:eastAsia="zh-Hans"/>
        </w:rPr>
        <w:t xml:space="preserve"> ______ 年 ______ 月 ______ 日</w:t>
      </w:r>
    </w:p>
    <w:p>
      <w:pPr>
        <w:spacing w:line="360" w:lineRule="auto"/>
        <w:ind w:firstLine="480"/>
        <w:rPr>
          <w:b/>
          <w:lang w:eastAsia="zh-Hans"/>
        </w:rPr>
      </w:pPr>
    </w:p>
    <w:p>
      <w:pPr>
        <w:spacing w:line="360" w:lineRule="auto"/>
        <w:ind w:firstLine="480"/>
        <w:rPr>
          <w:b/>
          <w:lang w:eastAsia="zh-Hans"/>
        </w:rPr>
      </w:pPr>
    </w:p>
    <w:p>
      <w:pPr>
        <w:spacing w:line="360" w:lineRule="auto"/>
        <w:ind w:firstLine="480"/>
        <w:rPr>
          <w:lang w:eastAsia="zh-Hans"/>
        </w:rPr>
      </w:pPr>
      <w:r>
        <w:rPr>
          <w:rFonts w:hint="eastAsia" w:ascii="Calibri" w:hAnsi="Calibri"/>
          <w:b/>
          <w:lang w:eastAsia="zh-Hans"/>
        </w:rPr>
        <w:t>注：</w:t>
      </w:r>
    </w:p>
    <w:p>
      <w:pPr>
        <w:spacing w:line="360" w:lineRule="auto"/>
        <w:ind w:firstLine="960"/>
        <w:rPr>
          <w:lang w:eastAsia="zh-Hans"/>
        </w:rPr>
      </w:pPr>
      <w:r>
        <w:rPr>
          <w:rFonts w:hint="eastAsia" w:ascii="Calibri" w:hAnsi="Calibri"/>
          <w:lang w:eastAsia="zh-Hans"/>
        </w:rPr>
        <w:t>1. 产品如有型号，请在“产品名称”栏一并填写。</w:t>
      </w:r>
    </w:p>
    <w:p>
      <w:pPr>
        <w:spacing w:line="360" w:lineRule="auto"/>
        <w:ind w:firstLine="960"/>
        <w:rPr>
          <w:lang w:eastAsia="zh-Hans"/>
        </w:rPr>
      </w:pPr>
      <w:r>
        <w:rPr>
          <w:rFonts w:hint="eastAsia" w:ascii="Calibri" w:hAnsi="Calibri"/>
          <w:lang w:eastAsia="zh-Hans"/>
        </w:rPr>
        <w:t>2. 生产厂名与厂址应与生产厂营业执照载明的相关信息保持一致。</w:t>
      </w:r>
    </w:p>
    <w:p>
      <w:pPr>
        <w:spacing w:line="360" w:lineRule="auto"/>
        <w:ind w:firstLine="960"/>
        <w:rPr>
          <w:lang w:eastAsia="zh-Hans"/>
        </w:rPr>
      </w:pPr>
      <w:r>
        <w:rPr>
          <w:rFonts w:hint="eastAsia" w:ascii="Calibri" w:hAnsi="Calibri"/>
          <w:lang w:eastAsia="zh-Hans"/>
        </w:rPr>
        <w:t>3. 该产品的中国境内生产的组件成本占比相关要求实施前，"规定比例"栏可不填，下同。</w:t>
      </w:r>
    </w:p>
    <w:p>
      <w:pPr>
        <w:spacing w:line="360" w:lineRule="auto"/>
        <w:ind w:firstLine="960"/>
        <w:rPr>
          <w:lang w:eastAsia="zh-Hans"/>
        </w:rPr>
      </w:pPr>
      <w:r>
        <w:rPr>
          <w:rFonts w:hint="eastAsia" w:ascii="Calibri" w:hAnsi="Calibri"/>
          <w:lang w:eastAsia="zh-Hans"/>
        </w:rPr>
        <w:t>4. 该产品的关键组件要求实施前，"关键组件"栏可不填，下同。</w:t>
      </w:r>
    </w:p>
    <w:p>
      <w:pPr>
        <w:spacing w:line="360" w:lineRule="auto"/>
        <w:ind w:firstLine="960"/>
        <w:rPr>
          <w:lang w:eastAsia="zh-Hans"/>
        </w:rPr>
      </w:pPr>
      <w:r>
        <w:rPr>
          <w:rFonts w:hint="eastAsia" w:ascii="Calibri" w:hAnsi="Calibri"/>
          <w:lang w:eastAsia="zh-Hans"/>
        </w:rPr>
        <w:t>5. 该产品的关键工序要求实施前，"关键工序"栏可不填，下同。</w:t>
      </w:r>
    </w:p>
    <w:p>
      <w:pPr>
        <w:spacing w:line="360" w:lineRule="auto"/>
        <w:rPr>
          <w:lang w:eastAsia="zh-Hans"/>
        </w:rPr>
      </w:pPr>
    </w:p>
    <w:p>
      <w:pPr>
        <w:rPr>
          <w:b/>
          <w:sz w:val="28"/>
          <w:lang w:eastAsia="zh-Hans"/>
        </w:rPr>
      </w:pPr>
    </w:p>
    <w:p>
      <w:pPr>
        <w:rPr>
          <w:b/>
          <w:sz w:val="28"/>
          <w:lang w:eastAsia="zh-Hans"/>
        </w:rPr>
      </w:pPr>
    </w:p>
    <w:p>
      <w:pPr>
        <w:rPr>
          <w:szCs w:val="21"/>
        </w:rPr>
      </w:pPr>
      <w:r>
        <w:rPr>
          <w:rFonts w:hint="eastAsia" w:ascii="Calibri" w:hAnsi="Calibri"/>
          <w:b/>
          <w:sz w:val="28"/>
          <w:lang w:eastAsia="zh-Hans"/>
        </w:rPr>
        <w:t>附件</w:t>
      </w:r>
      <w:r>
        <w:rPr>
          <w:rFonts w:hint="eastAsia"/>
          <w:b/>
          <w:sz w:val="28"/>
        </w:rPr>
        <w:t xml:space="preserve">2 </w:t>
      </w:r>
      <w:r>
        <w:rPr>
          <w:rFonts w:hint="eastAsia"/>
          <w:szCs w:val="21"/>
        </w:rPr>
        <w:t>关于符合本国产品标准的成本占比承诺函（单一产品采购不填写此函，多产品采购项目或采购包如供应商所有产品均为本国产品且填写《关于符合本国产品标准的声明函》可不填写此函。</w:t>
      </w:r>
    </w:p>
    <w:p>
      <w:pPr>
        <w:rPr>
          <w:b/>
          <w:sz w:val="28"/>
          <w:lang w:eastAsia="zh-Hans"/>
        </w:rPr>
      </w:pPr>
    </w:p>
    <w:p>
      <w:pPr>
        <w:rPr>
          <w:b/>
          <w:sz w:val="28"/>
          <w:lang w:eastAsia="zh-Hans"/>
        </w:rPr>
      </w:pPr>
    </w:p>
    <w:p>
      <w:pPr>
        <w:spacing w:before="120" w:after="240"/>
        <w:jc w:val="center"/>
        <w:outlineLvl w:val="3"/>
        <w:rPr>
          <w:b/>
          <w:sz w:val="24"/>
          <w:lang w:eastAsia="zh-Hans"/>
        </w:rPr>
      </w:pPr>
      <w:r>
        <w:rPr>
          <w:rFonts w:hint="eastAsia" w:ascii="Calibri" w:hAnsi="Calibri"/>
          <w:b/>
          <w:sz w:val="24"/>
          <w:lang w:eastAsia="zh-Hans"/>
        </w:rPr>
        <w:t>关于符合本国产品标准的成本占比承诺函</w:t>
      </w:r>
    </w:p>
    <w:p>
      <w:pPr>
        <w:pStyle w:val="10"/>
        <w:rPr>
          <w:rFonts w:hint="eastAsia"/>
          <w:sz w:val="21"/>
          <w:szCs w:val="21"/>
        </w:rPr>
      </w:pPr>
    </w:p>
    <w:p>
      <w:pPr>
        <w:pStyle w:val="10"/>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本单位就参与[</w:t>
      </w:r>
      <w:r>
        <w:rPr>
          <w:rFonts w:hint="eastAsia" w:asciiTheme="minorEastAsia" w:hAnsiTheme="minorEastAsia" w:eastAsiaTheme="minorEastAsia" w:cstheme="minorEastAsia"/>
          <w:b w:val="0"/>
          <w:bCs/>
          <w:sz w:val="21"/>
          <w:szCs w:val="21"/>
          <w:u w:val="single"/>
        </w:rPr>
        <w:t>项目名称、项目编号</w:t>
      </w:r>
      <w:r>
        <w:rPr>
          <w:rFonts w:hint="eastAsia" w:asciiTheme="minorEastAsia" w:hAnsiTheme="minorEastAsia" w:eastAsiaTheme="minorEastAsia" w:cstheme="minorEastAsia"/>
          <w:b w:val="0"/>
          <w:bCs/>
          <w:sz w:val="21"/>
          <w:szCs w:val="21"/>
        </w:rPr>
        <w:t>]项目，郑重承诺如下：</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21"/>
          <w:szCs w:val="21"/>
        </w:rPr>
      </w:pPr>
    </w:p>
    <w:p>
      <w:pPr>
        <w:pStyle w:val="10"/>
        <w:keepNext w:val="0"/>
        <w:keepLines w:val="0"/>
        <w:pageBreakBefore w:val="0"/>
        <w:widowControl w:val="0"/>
        <w:kinsoku/>
        <w:wordWrap/>
        <w:overflowPunct/>
        <w:topLinePunct w:val="0"/>
        <w:autoSpaceDE/>
        <w:autoSpaceDN/>
        <w:bidi w:val="0"/>
        <w:adjustRightInd/>
        <w:snapToGrid/>
        <w:spacing w:line="360" w:lineRule="auto"/>
        <w:ind w:firstLine="388" w:firstLineChars="200"/>
        <w:textAlignment w:val="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本单位为该项目（或采购包）提供的符合本国产品标准的产品成本之和，占所提供全部产品成本之和的比例达到80%以上。本公司（单位）对上述承诺内容的真实性负责。如有虚假，愿承担相应法律责任。</w:t>
      </w:r>
    </w:p>
    <w:p>
      <w:pPr>
        <w:pStyle w:val="10"/>
        <w:rPr>
          <w:rFonts w:hint="eastAsia" w:asciiTheme="minorEastAsia" w:hAnsiTheme="minorEastAsia" w:eastAsiaTheme="minorEastAsia" w:cstheme="minorEastAsia"/>
          <w:sz w:val="21"/>
          <w:szCs w:val="21"/>
        </w:rPr>
      </w:pPr>
    </w:p>
    <w:p>
      <w:pPr>
        <w:pStyle w:val="10"/>
        <w:rPr>
          <w:rFonts w:hint="eastAsia"/>
          <w:sz w:val="21"/>
          <w:szCs w:val="21"/>
        </w:rPr>
      </w:pPr>
      <w:r>
        <w:rPr>
          <w:sz w:val="21"/>
          <w:szCs w:val="21"/>
        </w:rPr>
        <w:t xml:space="preserve"> </w:t>
      </w:r>
    </w:p>
    <w:p>
      <w:pPr>
        <w:pStyle w:val="10"/>
        <w:rPr>
          <w:rFonts w:hint="eastAsia"/>
          <w:sz w:val="21"/>
          <w:szCs w:val="21"/>
        </w:rPr>
      </w:pPr>
    </w:p>
    <w:p>
      <w:pPr>
        <w:pStyle w:val="10"/>
        <w:rPr>
          <w:rFonts w:hint="eastAsia"/>
          <w:sz w:val="21"/>
          <w:szCs w:val="21"/>
        </w:rPr>
      </w:pPr>
      <w:r>
        <w:rPr>
          <w:sz w:val="21"/>
          <w:szCs w:val="21"/>
        </w:rPr>
        <w:t xml:space="preserve"> </w:t>
      </w:r>
    </w:p>
    <w:p>
      <w:pPr>
        <w:spacing w:line="360" w:lineRule="auto"/>
        <w:jc w:val="right"/>
        <w:rPr>
          <w:lang w:eastAsia="zh-Hans"/>
        </w:rPr>
      </w:pPr>
      <w:r>
        <w:rPr>
          <w:rFonts w:hint="eastAsia" w:ascii="Calibri" w:hAnsi="Calibri"/>
          <w:b/>
        </w:rPr>
        <w:t>供应商</w:t>
      </w:r>
      <w:r>
        <w:rPr>
          <w:rFonts w:hint="eastAsia" w:ascii="Calibri" w:hAnsi="Calibri"/>
          <w:b/>
          <w:lang w:eastAsia="zh-Hans"/>
        </w:rPr>
        <w:t>名称（盖章）：</w:t>
      </w:r>
      <w:r>
        <w:rPr>
          <w:rFonts w:hint="eastAsia" w:ascii="Calibri" w:hAnsi="Calibri"/>
          <w:lang w:eastAsia="zh-Hans"/>
        </w:rPr>
        <w:t xml:space="preserve"> __________________</w:t>
      </w:r>
    </w:p>
    <w:p>
      <w:pPr>
        <w:spacing w:line="360" w:lineRule="auto"/>
        <w:jc w:val="right"/>
        <w:rPr>
          <w:lang w:eastAsia="zh-Hans"/>
        </w:rPr>
      </w:pPr>
      <w:r>
        <w:rPr>
          <w:rFonts w:hint="eastAsia" w:ascii="Calibri" w:hAnsi="Calibri"/>
          <w:b/>
          <w:lang w:eastAsia="zh-Hans"/>
        </w:rPr>
        <w:t>日期：</w:t>
      </w:r>
      <w:r>
        <w:rPr>
          <w:rFonts w:hint="eastAsia" w:ascii="Calibri" w:hAnsi="Calibri"/>
          <w:lang w:eastAsia="zh-Hans"/>
        </w:rPr>
        <w:t xml:space="preserve"> ______ 年 ______ 月 ______ 日</w:t>
      </w:r>
    </w:p>
    <w:p>
      <w:pPr>
        <w:rPr>
          <w:b/>
          <w:sz w:val="28"/>
          <w:lang w:eastAsia="zh-Hans"/>
        </w:rPr>
      </w:pPr>
    </w:p>
    <w:p>
      <w:r>
        <w:rPr>
          <w:rFonts w:hint="eastAsia" w:ascii="Calibri" w:hAnsi="Calibri"/>
          <w:b/>
          <w:sz w:val="28"/>
          <w:lang w:eastAsia="zh-Hans"/>
        </w:rPr>
        <w:t>附件</w:t>
      </w:r>
      <w:r>
        <w:rPr>
          <w:rFonts w:hint="eastAsia"/>
          <w:b/>
          <w:sz w:val="28"/>
        </w:rPr>
        <w:t>3</w:t>
      </w:r>
    </w:p>
    <w:p>
      <w:pPr>
        <w:spacing w:before="120" w:after="240"/>
        <w:jc w:val="center"/>
        <w:outlineLvl w:val="3"/>
        <w:rPr>
          <w:lang w:eastAsia="zh-Hans"/>
        </w:rPr>
      </w:pPr>
      <w:r>
        <w:rPr>
          <w:rFonts w:hint="eastAsia" w:ascii="Calibri" w:hAnsi="Calibri"/>
          <w:b/>
          <w:sz w:val="24"/>
          <w:lang w:eastAsia="zh-Hans"/>
        </w:rPr>
        <w:t>中国境内生产的组件成本核算基本规则</w:t>
      </w:r>
    </w:p>
    <w:p>
      <w:pPr>
        <w:spacing w:line="360" w:lineRule="auto"/>
        <w:ind w:firstLine="482"/>
        <w:rPr>
          <w:lang w:eastAsia="zh-Hans"/>
        </w:rPr>
      </w:pPr>
      <w:r>
        <w:rPr>
          <w:rFonts w:hint="eastAsia" w:ascii="Calibri" w:hAnsi="Calibri"/>
          <w:lang w:eastAsia="zh-Hans"/>
        </w:rPr>
        <w:t>产品在中国境内生产的组件成本，一般按照其二级组件的相关成本进行核算。按照产品的一级组件进行成本核算能够满足中国境内生产的组件成本判定需求的，可以按照一级组件的相关成本进行核算。</w:t>
      </w:r>
    </w:p>
    <w:p>
      <w:pPr>
        <w:spacing w:line="360" w:lineRule="auto"/>
        <w:ind w:firstLine="482"/>
        <w:rPr>
          <w:lang w:eastAsia="zh-Hans"/>
        </w:rPr>
      </w:pPr>
      <w:r>
        <w:rPr>
          <w:rFonts w:hint="eastAsia" w:ascii="Calibri" w:hAnsi="Calibri"/>
          <w:lang w:eastAsia="zh-Hans"/>
        </w:rPr>
        <w:t>1. 产品的一级组件是指直接组成产品的组件。产品的二级组件是指直接组成产品一级组件的组件。一级组件不可分解的，视同二级组件。</w:t>
      </w:r>
    </w:p>
    <w:p>
      <w:pPr>
        <w:spacing w:line="360" w:lineRule="auto"/>
        <w:ind w:firstLine="482"/>
        <w:rPr>
          <w:lang w:eastAsia="zh-Hans"/>
        </w:rPr>
      </w:pPr>
      <w:r>
        <w:rPr>
          <w:rFonts w:hint="eastAsia" w:ascii="Calibri" w:hAnsi="Calibri"/>
          <w:lang w:eastAsia="zh-Hans"/>
        </w:rPr>
        <w:t>2. 二级组件在中国境内生产的，其全部成本计入中国境内生产的组件成本；二级组件不在中国境内生产的，其成本不计入中国境内生产的组件成本。</w:t>
      </w:r>
    </w:p>
    <w:p>
      <w:pPr>
        <w:spacing w:line="360" w:lineRule="auto"/>
        <w:ind w:firstLine="482"/>
        <w:rPr>
          <w:lang w:eastAsia="zh-Hans"/>
        </w:rPr>
      </w:pPr>
      <w:r>
        <w:rPr>
          <w:rFonts w:hint="eastAsia" w:ascii="Calibri" w:hAnsi="Calibri"/>
          <w:lang w:eastAsia="zh-Hans"/>
        </w:rPr>
        <w:t>3. 产品总成本和组件成本以相关会计核算数据、采购合同、进货记录等为基础进行计算。</w:t>
      </w:r>
    </w:p>
    <w:p>
      <w:pPr>
        <w:spacing w:line="360" w:lineRule="auto"/>
        <w:ind w:firstLine="482"/>
        <w:rPr>
          <w:lang w:eastAsia="zh-Hans"/>
        </w:rPr>
      </w:pPr>
      <w:r>
        <w:rPr>
          <w:rFonts w:hint="eastAsia" w:ascii="Calibri" w:hAnsi="Calibri"/>
          <w:lang w:eastAsia="zh-Hans"/>
        </w:rPr>
        <w:t>4. 需要对成本核算规则予以进一步明确的其他有关事项，由财政部会同有关部门另行规定。</w:t>
      </w:r>
    </w:p>
    <w:p>
      <w:pPr>
        <w:rPr>
          <w:b/>
          <w:sz w:val="28"/>
          <w:lang w:eastAsia="zh-Hans"/>
        </w:rPr>
      </w:pPr>
    </w:p>
    <w:p>
      <w:pPr>
        <w:rPr>
          <w:b/>
          <w:sz w:val="28"/>
          <w:lang w:eastAsia="zh-Hans"/>
        </w:rPr>
      </w:pPr>
    </w:p>
    <w:p>
      <w:r>
        <w:rPr>
          <w:rFonts w:hint="eastAsia" w:ascii="Calibri" w:hAnsi="Calibri"/>
          <w:b/>
          <w:sz w:val="28"/>
          <w:lang w:eastAsia="zh-Hans"/>
        </w:rPr>
        <w:t>附件</w:t>
      </w:r>
      <w:r>
        <w:rPr>
          <w:rFonts w:hint="eastAsia"/>
          <w:b/>
          <w:sz w:val="28"/>
        </w:rPr>
        <w:t>4</w:t>
      </w:r>
    </w:p>
    <w:p>
      <w:pPr>
        <w:spacing w:before="120" w:after="240"/>
        <w:jc w:val="center"/>
        <w:outlineLvl w:val="3"/>
        <w:rPr>
          <w:lang w:eastAsia="zh-Hans"/>
        </w:rPr>
      </w:pPr>
      <w:r>
        <w:rPr>
          <w:rFonts w:hint="eastAsia" w:ascii="Calibri" w:hAnsi="Calibri"/>
          <w:b/>
          <w:sz w:val="24"/>
          <w:lang w:eastAsia="zh-Hans"/>
        </w:rPr>
        <w:t>本国产品标准有关证明材料（如适用）</w:t>
      </w:r>
    </w:p>
    <w:p>
      <w:pPr>
        <w:spacing w:before="120" w:after="120"/>
        <w:ind w:firstLine="960"/>
      </w:pPr>
      <w:r>
        <w:rPr>
          <w:rFonts w:hint="eastAsia" w:ascii="Calibri" w:hAnsi="Calibri"/>
          <w:lang w:eastAsia="zh-Hans"/>
        </w:rPr>
        <w:t>1. 关于符合本国产品标准的成本占比的承诺函</w:t>
      </w:r>
      <w:r>
        <w:rPr>
          <w:rFonts w:hint="eastAsia" w:ascii="Calibri" w:hAnsi="Calibri"/>
        </w:rPr>
        <w:t>（如有，格式自定）。</w:t>
      </w:r>
    </w:p>
    <w:p>
      <w:pPr>
        <w:spacing w:before="120" w:after="120"/>
        <w:ind w:firstLine="960"/>
        <w:rPr>
          <w:lang w:eastAsia="zh-Hans"/>
        </w:rPr>
      </w:pPr>
      <w:r>
        <w:rPr>
          <w:rFonts w:hint="eastAsia" w:ascii="Calibri" w:hAnsi="Calibri"/>
        </w:rPr>
        <w:t xml:space="preserve">2. </w:t>
      </w:r>
      <w:r>
        <w:rPr>
          <w:rFonts w:hint="eastAsia" w:ascii="Calibri" w:hAnsi="Calibri"/>
          <w:lang w:eastAsia="zh-Hans"/>
        </w:rPr>
        <w:t>供应商认为需提供的其他资料。</w:t>
      </w:r>
    </w:p>
    <w:p>
      <w:pPr>
        <w:spacing w:before="120" w:after="120"/>
        <w:ind w:firstLine="960"/>
        <w:rPr>
          <w:lang w:eastAsia="zh-Hans"/>
        </w:rPr>
      </w:pPr>
      <w:r>
        <w:rPr>
          <w:rFonts w:hint="eastAsia" w:ascii="Calibri" w:hAnsi="Calibri"/>
        </w:rPr>
        <w:t>3</w:t>
      </w:r>
      <w:r>
        <w:rPr>
          <w:rFonts w:hint="eastAsia" w:ascii="Calibri" w:hAnsi="Calibri"/>
          <w:lang w:eastAsia="zh-Hans"/>
        </w:rPr>
        <w:t>. 财政部会同有关部门规定的有关证明文件。</w:t>
      </w:r>
    </w:p>
    <w:p>
      <w:pPr>
        <w:spacing w:before="120" w:after="120"/>
        <w:ind w:firstLine="960"/>
        <w:rPr>
          <w:lang w:eastAsia="zh-Hans"/>
        </w:rPr>
      </w:pPr>
    </w:p>
    <w:p/>
    <w:p>
      <w:r>
        <w:rPr>
          <w:rFonts w:hint="eastAsia" w:ascii="宋体" w:hAnsi="宋体"/>
          <w:sz w:val="24"/>
        </w:rPr>
        <w:br w:type="page"/>
      </w:r>
    </w:p>
    <w:p>
      <w:pPr>
        <w:spacing w:line="360" w:lineRule="auto"/>
        <w:rPr>
          <w:b/>
          <w:sz w:val="28"/>
          <w:szCs w:val="28"/>
        </w:rPr>
      </w:pPr>
      <w:r>
        <w:rPr>
          <w:rFonts w:hint="eastAsia" w:ascii="宋体" w:hAnsi="宋体" w:cs="宋体"/>
          <w:b/>
          <w:sz w:val="28"/>
          <w:szCs w:val="28"/>
        </w:rPr>
        <w:t>格式13-6：</w:t>
      </w:r>
      <w:r>
        <w:rPr>
          <w:rFonts w:hint="eastAsia" w:hAnsi="宋体" w:cs="宋体"/>
          <w:b/>
          <w:sz w:val="28"/>
          <w:szCs w:val="28"/>
        </w:rPr>
        <w:t>销售商、代理商与制造商的经销协议或授权</w:t>
      </w:r>
    </w:p>
    <w:p>
      <w:pPr>
        <w:spacing w:line="360" w:lineRule="auto"/>
        <w:jc w:val="center"/>
        <w:rPr>
          <w:rFonts w:ascii="宋体"/>
          <w:sz w:val="24"/>
        </w:rPr>
      </w:pPr>
      <w:r>
        <w:rPr>
          <w:rFonts w:hint="eastAsia" w:ascii="宋体"/>
          <w:sz w:val="24"/>
        </w:rPr>
        <w:t>（如有，格式自定）</w:t>
      </w:r>
    </w:p>
    <w:p>
      <w:pPr>
        <w:spacing w:line="360" w:lineRule="auto"/>
        <w:jc w:val="center"/>
        <w:rPr>
          <w:rFonts w:ascii="宋体"/>
          <w:sz w:val="24"/>
        </w:rPr>
      </w:pPr>
    </w:p>
    <w:p>
      <w:pPr>
        <w:spacing w:line="360" w:lineRule="auto"/>
        <w:jc w:val="center"/>
        <w:rPr>
          <w:rFonts w:ascii="宋体"/>
          <w:sz w:val="24"/>
        </w:rPr>
      </w:pPr>
    </w:p>
    <w:p>
      <w:pPr>
        <w:pStyle w:val="2"/>
        <w:numPr>
          <w:ilvl w:val="0"/>
          <w:numId w:val="0"/>
        </w:numPr>
        <w:spacing w:before="0"/>
        <w:ind w:firstLine="3626" w:firstLineChars="1290"/>
      </w:pPr>
      <w:r>
        <w:rPr>
          <w:rFonts w:hint="eastAsia"/>
        </w:rPr>
        <w:br w:type="page"/>
      </w:r>
      <w:bookmarkStart w:id="325" w:name="_Toc18581"/>
      <w:r>
        <w:rPr>
          <w:rFonts w:hint="eastAsia" w:ascii="宋体" w:hAnsi="宋体" w:eastAsia="宋体"/>
          <w:szCs w:val="28"/>
        </w:rPr>
        <w:t>★三、报价响应文件</w:t>
      </w:r>
      <w:bookmarkEnd w:id="325"/>
    </w:p>
    <w:p>
      <w:pPr>
        <w:pStyle w:val="4"/>
        <w:keepNext/>
        <w:numPr>
          <w:ilvl w:val="0"/>
          <w:numId w:val="0"/>
        </w:numPr>
        <w:tabs>
          <w:tab w:val="left" w:pos="1021"/>
          <w:tab w:val="clear" w:pos="900"/>
        </w:tabs>
        <w:spacing w:before="0"/>
        <w:rPr>
          <w:rFonts w:hint="eastAsia" w:ascii="宋体" w:hAnsi="宋体" w:eastAsia="宋体" w:cs="宋体"/>
          <w:szCs w:val="28"/>
        </w:rPr>
      </w:pPr>
      <w:bookmarkStart w:id="326" w:name="_Toc15835"/>
      <w:bookmarkStart w:id="327" w:name="_Toc15048"/>
      <w:bookmarkStart w:id="328" w:name="_Toc8216"/>
      <w:r>
        <w:rPr>
          <w:rFonts w:hint="eastAsia" w:ascii="宋体" w:hAnsi="宋体" w:eastAsia="宋体" w:cs="宋体"/>
          <w:szCs w:val="28"/>
        </w:rPr>
        <w:t>格式14：开标一览表</w:t>
      </w:r>
      <w:bookmarkEnd w:id="326"/>
      <w:bookmarkEnd w:id="327"/>
      <w:bookmarkEnd w:id="328"/>
    </w:p>
    <w:p>
      <w:pPr>
        <w:spacing w:line="360" w:lineRule="auto"/>
        <w:jc w:val="center"/>
        <w:rPr>
          <w:rFonts w:ascii="宋体"/>
          <w:b/>
          <w:bCs/>
          <w:sz w:val="32"/>
          <w:szCs w:val="32"/>
        </w:rPr>
      </w:pPr>
      <w:r>
        <w:rPr>
          <w:rFonts w:hint="eastAsia" w:ascii="宋体"/>
          <w:b/>
          <w:bCs/>
          <w:sz w:val="32"/>
          <w:szCs w:val="32"/>
        </w:rPr>
        <w:t>开 标 一览 表</w:t>
      </w:r>
    </w:p>
    <w:p>
      <w:pPr>
        <w:spacing w:line="360" w:lineRule="auto"/>
        <w:rPr>
          <w:rFonts w:ascii="宋体"/>
          <w:sz w:val="24"/>
        </w:rPr>
      </w:pPr>
    </w:p>
    <w:p>
      <w:pPr>
        <w:spacing w:line="360" w:lineRule="auto"/>
        <w:rPr>
          <w:rFonts w:ascii="宋体"/>
          <w:szCs w:val="21"/>
          <w:u w:val="single"/>
        </w:rPr>
      </w:pPr>
      <w:r>
        <w:rPr>
          <w:rFonts w:hint="eastAsia" w:ascii="宋体"/>
          <w:szCs w:val="21"/>
        </w:rPr>
        <w:t xml:space="preserve">项目名称：  </w:t>
      </w:r>
      <w:r>
        <w:rPr>
          <w:rFonts w:ascii="宋体"/>
          <w:szCs w:val="21"/>
        </w:rPr>
        <w:t xml:space="preserve">                                     </w:t>
      </w:r>
      <w:r>
        <w:rPr>
          <w:rFonts w:hint="eastAsia" w:ascii="宋体"/>
          <w:szCs w:val="21"/>
        </w:rPr>
        <w:t xml:space="preserve"> 招标编号：</w:t>
      </w:r>
    </w:p>
    <w:tbl>
      <w:tblPr>
        <w:tblStyle w:val="38"/>
        <w:tblW w:w="91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3"/>
        <w:gridCol w:w="2276"/>
        <w:gridCol w:w="2175"/>
        <w:gridCol w:w="2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10" w:hRule="atLeast"/>
          <w:jc w:val="center"/>
        </w:trPr>
        <w:tc>
          <w:tcPr>
            <w:tcW w:w="2543" w:type="dxa"/>
            <w:vAlign w:val="center"/>
          </w:tcPr>
          <w:p>
            <w:pPr>
              <w:spacing w:line="360" w:lineRule="auto"/>
              <w:jc w:val="center"/>
              <w:rPr>
                <w:rFonts w:ascii="宋体"/>
                <w:szCs w:val="21"/>
              </w:rPr>
            </w:pPr>
            <w:r>
              <w:rPr>
                <w:rFonts w:hint="eastAsia" w:ascii="宋体"/>
                <w:szCs w:val="21"/>
              </w:rPr>
              <w:t>投标总价（元）</w:t>
            </w:r>
          </w:p>
        </w:tc>
        <w:tc>
          <w:tcPr>
            <w:tcW w:w="2276" w:type="dxa"/>
            <w:vAlign w:val="center"/>
          </w:tcPr>
          <w:p>
            <w:pPr>
              <w:spacing w:line="360" w:lineRule="auto"/>
              <w:ind w:firstLine="2" w:firstLineChars="1"/>
              <w:jc w:val="center"/>
              <w:rPr>
                <w:rFonts w:ascii="宋体"/>
                <w:szCs w:val="21"/>
              </w:rPr>
            </w:pPr>
            <w:r>
              <w:rPr>
                <w:rFonts w:hint="eastAsia" w:ascii="宋体"/>
                <w:szCs w:val="21"/>
              </w:rPr>
              <w:t>交货期</w:t>
            </w:r>
          </w:p>
        </w:tc>
        <w:tc>
          <w:tcPr>
            <w:tcW w:w="2175" w:type="dxa"/>
            <w:vAlign w:val="center"/>
          </w:tcPr>
          <w:p>
            <w:pPr>
              <w:spacing w:line="360" w:lineRule="auto"/>
              <w:ind w:firstLine="2" w:firstLineChars="1"/>
              <w:jc w:val="center"/>
              <w:rPr>
                <w:rFonts w:ascii="宋体"/>
                <w:szCs w:val="21"/>
              </w:rPr>
            </w:pPr>
            <w:r>
              <w:rPr>
                <w:rFonts w:hint="eastAsia" w:ascii="宋体"/>
                <w:szCs w:val="21"/>
              </w:rPr>
              <w:t>交货地点</w:t>
            </w:r>
          </w:p>
        </w:tc>
        <w:tc>
          <w:tcPr>
            <w:tcW w:w="2161" w:type="dxa"/>
            <w:vAlign w:val="center"/>
          </w:tcPr>
          <w:p>
            <w:pPr>
              <w:spacing w:line="360" w:lineRule="auto"/>
              <w:ind w:firstLine="2" w:firstLineChars="1"/>
              <w:jc w:val="center"/>
              <w:rPr>
                <w:rFonts w:ascii="宋体"/>
                <w:szCs w:val="21"/>
              </w:rPr>
            </w:pPr>
            <w:r>
              <w:rPr>
                <w:rFonts w:hint="eastAsia" w:asci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22" w:hRule="atLeast"/>
          <w:jc w:val="center"/>
        </w:trPr>
        <w:tc>
          <w:tcPr>
            <w:tcW w:w="2543" w:type="dxa"/>
            <w:vAlign w:val="center"/>
          </w:tcPr>
          <w:p>
            <w:pPr>
              <w:rPr>
                <w:szCs w:val="21"/>
                <w:u w:val="single"/>
              </w:rPr>
            </w:pPr>
            <w:r>
              <w:rPr>
                <w:rFonts w:hint="eastAsia"/>
                <w:szCs w:val="21"/>
              </w:rPr>
              <w:t>小写：</w:t>
            </w:r>
          </w:p>
          <w:p>
            <w:pPr>
              <w:rPr>
                <w:szCs w:val="21"/>
                <w:u w:val="single"/>
              </w:rPr>
            </w:pPr>
            <w:r>
              <w:rPr>
                <w:rFonts w:hint="eastAsia"/>
                <w:szCs w:val="21"/>
              </w:rPr>
              <w:t>大写：</w:t>
            </w:r>
          </w:p>
        </w:tc>
        <w:tc>
          <w:tcPr>
            <w:tcW w:w="2276" w:type="dxa"/>
            <w:vAlign w:val="center"/>
          </w:tcPr>
          <w:p>
            <w:pPr>
              <w:rPr>
                <w:szCs w:val="21"/>
              </w:rPr>
            </w:pPr>
          </w:p>
        </w:tc>
        <w:tc>
          <w:tcPr>
            <w:tcW w:w="2175" w:type="dxa"/>
            <w:vAlign w:val="center"/>
          </w:tcPr>
          <w:p>
            <w:pPr>
              <w:pStyle w:val="19"/>
              <w:spacing w:line="360" w:lineRule="auto"/>
              <w:jc w:val="center"/>
              <w:rPr>
                <w:rFonts w:ascii="Times New Roman"/>
                <w:szCs w:val="21"/>
              </w:rPr>
            </w:pPr>
          </w:p>
        </w:tc>
        <w:tc>
          <w:tcPr>
            <w:tcW w:w="2161" w:type="dxa"/>
            <w:vAlign w:val="center"/>
          </w:tcPr>
          <w:p>
            <w:pPr>
              <w:pStyle w:val="19"/>
              <w:spacing w:line="360" w:lineRule="auto"/>
              <w:jc w:val="center"/>
              <w:rPr>
                <w:rFonts w:asci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22" w:hRule="atLeast"/>
          <w:jc w:val="center"/>
        </w:trPr>
        <w:tc>
          <w:tcPr>
            <w:tcW w:w="9155" w:type="dxa"/>
            <w:gridSpan w:val="4"/>
            <w:vAlign w:val="center"/>
          </w:tcPr>
          <w:p>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szCs w:val="21"/>
              </w:rPr>
              <w:t>法定代表人</w:t>
            </w:r>
            <w:r>
              <w:rPr>
                <w:rFonts w:hint="eastAsia"/>
                <w:szCs w:val="21"/>
              </w:rPr>
              <w:t>或其委托代理人</w:t>
            </w:r>
            <w:r>
              <w:rPr>
                <w:szCs w:val="21"/>
              </w:rPr>
              <w:t>：（</w:t>
            </w:r>
            <w:r>
              <w:rPr>
                <w:rFonts w:hint="eastAsia" w:ascii="宋体"/>
              </w:rPr>
              <w:t>签名或盖章</w:t>
            </w:r>
            <w:r>
              <w:rPr>
                <w:szCs w:val="21"/>
              </w:rPr>
              <w:t>）</w:t>
            </w:r>
          </w:p>
          <w:p>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Pr>
              <w:spacing w:line="360" w:lineRule="auto"/>
              <w:ind w:firstLine="2" w:firstLineChars="1"/>
              <w:rPr>
                <w:rFonts w:ascii="宋体"/>
                <w:szCs w:val="21"/>
                <w:u w:val="single"/>
              </w:rPr>
            </w:pPr>
          </w:p>
        </w:tc>
      </w:tr>
    </w:tbl>
    <w:p>
      <w:pPr>
        <w:pStyle w:val="19"/>
        <w:spacing w:line="360" w:lineRule="auto"/>
        <w:rPr>
          <w:szCs w:val="21"/>
        </w:rPr>
      </w:pPr>
    </w:p>
    <w:p>
      <w:pPr>
        <w:pStyle w:val="19"/>
        <w:spacing w:line="360" w:lineRule="auto"/>
        <w:rPr>
          <w:szCs w:val="21"/>
        </w:rPr>
      </w:pPr>
    </w:p>
    <w:p>
      <w:pPr>
        <w:spacing w:line="360" w:lineRule="auto"/>
        <w:rPr>
          <w:rFonts w:ascii="宋体"/>
          <w:szCs w:val="21"/>
        </w:rPr>
      </w:pPr>
      <w:r>
        <w:rPr>
          <w:rFonts w:hint="eastAsia" w:ascii="宋体"/>
          <w:szCs w:val="21"/>
        </w:rPr>
        <w:t>注：1. 表中“投标总价”应与“投标函”中“投标总报价”和“分项报价表”中“</w:t>
      </w:r>
      <w:r>
        <w:rPr>
          <w:rFonts w:hint="eastAsia" w:hAnsi="宋体"/>
          <w:szCs w:val="21"/>
        </w:rPr>
        <w:t>合计（投标总价）</w:t>
      </w:r>
      <w:r>
        <w:rPr>
          <w:rFonts w:hint="eastAsia" w:ascii="宋体"/>
          <w:szCs w:val="21"/>
        </w:rPr>
        <w:t>”一致。此表填写内容须与政采云开标系统中开标一览表填写一致，若不一致，以开标系统中开标一览表为准。</w:t>
      </w:r>
    </w:p>
    <w:p>
      <w:pPr>
        <w:spacing w:line="360" w:lineRule="auto"/>
        <w:ind w:firstLine="422" w:firstLineChars="200"/>
        <w:rPr>
          <w:rFonts w:ascii="宋体"/>
          <w:b/>
          <w:szCs w:val="21"/>
        </w:rPr>
      </w:pPr>
      <w:r>
        <w:rPr>
          <w:rFonts w:hint="eastAsia" w:ascii="宋体"/>
          <w:b/>
          <w:szCs w:val="21"/>
        </w:rPr>
        <w:t xml:space="preserve">2. ★本表应盖单位电子公章，法定代表人或其委托代理人应签名或盖章。 </w:t>
      </w:r>
    </w:p>
    <w:p>
      <w:r>
        <w:br w:type="page"/>
      </w:r>
    </w:p>
    <w:p>
      <w:pPr>
        <w:pStyle w:val="4"/>
        <w:keepNext/>
        <w:numPr>
          <w:ilvl w:val="0"/>
          <w:numId w:val="0"/>
        </w:numPr>
        <w:tabs>
          <w:tab w:val="left" w:pos="1021"/>
          <w:tab w:val="clear" w:pos="900"/>
        </w:tabs>
        <w:spacing w:before="0"/>
        <w:rPr>
          <w:rFonts w:ascii="宋体"/>
          <w:bCs/>
          <w:szCs w:val="28"/>
        </w:rPr>
      </w:pPr>
      <w:bookmarkStart w:id="329" w:name="_Toc29147"/>
      <w:bookmarkStart w:id="330" w:name="_Toc20081"/>
      <w:bookmarkStart w:id="331" w:name="_Toc11812"/>
      <w:bookmarkStart w:id="332" w:name="_Toc19177"/>
      <w:r>
        <w:rPr>
          <w:rFonts w:hint="eastAsia" w:ascii="宋体" w:hAnsi="宋体" w:eastAsia="宋体"/>
          <w:szCs w:val="28"/>
        </w:rPr>
        <w:t>格式15：分项报价表</w:t>
      </w:r>
      <w:bookmarkEnd w:id="329"/>
      <w:bookmarkEnd w:id="330"/>
      <w:bookmarkEnd w:id="331"/>
      <w:bookmarkEnd w:id="332"/>
      <w:r>
        <w:rPr>
          <w:rFonts w:hint="eastAsia" w:ascii="宋体"/>
          <w:bCs/>
          <w:szCs w:val="28"/>
        </w:rPr>
        <w:t xml:space="preserve">                    </w:t>
      </w:r>
    </w:p>
    <w:p>
      <w:pPr>
        <w:spacing w:line="360" w:lineRule="auto"/>
        <w:jc w:val="center"/>
        <w:rPr>
          <w:rFonts w:ascii="宋体"/>
          <w:b/>
          <w:bCs/>
          <w:sz w:val="32"/>
          <w:szCs w:val="32"/>
        </w:rPr>
      </w:pPr>
      <w:r>
        <w:rPr>
          <w:rFonts w:hint="eastAsia" w:ascii="宋体"/>
          <w:b/>
          <w:bCs/>
          <w:sz w:val="32"/>
          <w:szCs w:val="32"/>
        </w:rPr>
        <w:t>投 标 分 项 报 价 表</w:t>
      </w:r>
    </w:p>
    <w:p>
      <w:pPr>
        <w:spacing w:line="360" w:lineRule="auto"/>
        <w:ind w:firstLine="2" w:firstLineChars="1"/>
        <w:rPr>
          <w:rFonts w:hint="eastAsia" w:ascii="宋体" w:hAnsi="宋体"/>
          <w:szCs w:val="21"/>
          <w:u w:val="single"/>
        </w:rPr>
      </w:pPr>
      <w:r>
        <w:rPr>
          <w:rFonts w:hint="eastAsia" w:ascii="宋体" w:hAnsi="宋体"/>
          <w:szCs w:val="21"/>
        </w:rPr>
        <w:t xml:space="preserve">项目名称：  </w:t>
      </w:r>
      <w:r>
        <w:rPr>
          <w:rFonts w:ascii="宋体" w:hAnsi="宋体"/>
          <w:szCs w:val="21"/>
        </w:rPr>
        <w:t xml:space="preserve">                                        </w:t>
      </w:r>
      <w:r>
        <w:rPr>
          <w:rFonts w:hint="eastAsia" w:ascii="宋体" w:hAnsi="宋体"/>
          <w:szCs w:val="21"/>
        </w:rPr>
        <w:t xml:space="preserve">  招标编号：</w:t>
      </w:r>
    </w:p>
    <w:tbl>
      <w:tblPr>
        <w:tblStyle w:val="38"/>
        <w:tblW w:w="97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1618"/>
        <w:gridCol w:w="1954"/>
        <w:gridCol w:w="746"/>
        <w:gridCol w:w="1940"/>
        <w:gridCol w:w="1127"/>
        <w:gridCol w:w="1122"/>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458" w:type="dxa"/>
            <w:vAlign w:val="center"/>
          </w:tcPr>
          <w:p>
            <w:pPr>
              <w:pStyle w:val="19"/>
              <w:jc w:val="center"/>
              <w:rPr>
                <w:rFonts w:hint="eastAsia" w:hAnsi="宋体"/>
                <w:szCs w:val="21"/>
              </w:rPr>
            </w:pPr>
            <w:r>
              <w:rPr>
                <w:rFonts w:hint="eastAsia" w:hAnsi="宋体"/>
                <w:szCs w:val="21"/>
              </w:rPr>
              <w:t>序号</w:t>
            </w:r>
          </w:p>
        </w:tc>
        <w:tc>
          <w:tcPr>
            <w:tcW w:w="1618" w:type="dxa"/>
            <w:vAlign w:val="center"/>
          </w:tcPr>
          <w:p>
            <w:pPr>
              <w:pStyle w:val="19"/>
              <w:jc w:val="center"/>
              <w:rPr>
                <w:rFonts w:hint="eastAsia" w:hAnsi="宋体"/>
                <w:szCs w:val="21"/>
              </w:rPr>
            </w:pPr>
            <w:r>
              <w:rPr>
                <w:rFonts w:hint="eastAsia" w:hAnsi="宋体"/>
                <w:szCs w:val="21"/>
              </w:rPr>
              <w:t>货物名称</w:t>
            </w:r>
          </w:p>
        </w:tc>
        <w:tc>
          <w:tcPr>
            <w:tcW w:w="1954" w:type="dxa"/>
            <w:vAlign w:val="center"/>
          </w:tcPr>
          <w:p>
            <w:pPr>
              <w:pStyle w:val="19"/>
              <w:jc w:val="center"/>
              <w:rPr>
                <w:rFonts w:hint="eastAsia" w:eastAsia="宋体"/>
                <w:lang w:eastAsia="zh-CN"/>
              </w:rPr>
            </w:pPr>
            <w:r>
              <w:rPr>
                <w:rFonts w:hint="eastAsia" w:hAnsi="宋体"/>
                <w:szCs w:val="21"/>
              </w:rPr>
              <w:t>型号和规格</w:t>
            </w:r>
            <w:r>
              <w:rPr>
                <w:rFonts w:hint="eastAsia" w:hAnsi="宋体"/>
                <w:szCs w:val="21"/>
                <w:lang w:eastAsia="zh-CN"/>
              </w:rPr>
              <w:t>（</w:t>
            </w:r>
            <w:r>
              <w:rPr>
                <w:rFonts w:hint="eastAsia"/>
                <w:b/>
                <w:bCs/>
              </w:rPr>
              <w:t>（</w:t>
            </w:r>
            <w:r>
              <w:rPr>
                <w:rFonts w:hint="eastAsia"/>
                <w:b/>
                <w:bCs/>
                <w:sz w:val="18"/>
                <w:szCs w:val="18"/>
              </w:rPr>
              <w:t>须与涉及的产品认证证书中列明型号完全一致</w:t>
            </w:r>
            <w:r>
              <w:rPr>
                <w:rFonts w:hint="eastAsia"/>
                <w:b/>
                <w:bCs/>
              </w:rPr>
              <w:t>）</w:t>
            </w:r>
            <w:r>
              <w:rPr>
                <w:rFonts w:hint="eastAsia" w:hAnsi="宋体"/>
                <w:szCs w:val="21"/>
                <w:lang w:eastAsia="zh-CN"/>
              </w:rPr>
              <w:t>）</w:t>
            </w:r>
          </w:p>
        </w:tc>
        <w:tc>
          <w:tcPr>
            <w:tcW w:w="746" w:type="dxa"/>
            <w:vAlign w:val="center"/>
          </w:tcPr>
          <w:p>
            <w:pPr>
              <w:pStyle w:val="19"/>
              <w:jc w:val="center"/>
              <w:rPr>
                <w:rFonts w:hint="eastAsia" w:hAnsi="宋体"/>
                <w:szCs w:val="21"/>
              </w:rPr>
            </w:pPr>
            <w:r>
              <w:rPr>
                <w:rFonts w:hint="eastAsia" w:hAnsi="宋体"/>
                <w:szCs w:val="21"/>
              </w:rPr>
              <w:t>数量</w:t>
            </w:r>
          </w:p>
        </w:tc>
        <w:tc>
          <w:tcPr>
            <w:tcW w:w="1940" w:type="dxa"/>
            <w:vAlign w:val="center"/>
          </w:tcPr>
          <w:p>
            <w:pPr>
              <w:pStyle w:val="19"/>
              <w:jc w:val="center"/>
              <w:rPr>
                <w:rFonts w:hint="eastAsia" w:hAnsi="宋体"/>
                <w:szCs w:val="21"/>
              </w:rPr>
            </w:pPr>
            <w:r>
              <w:rPr>
                <w:rFonts w:hint="eastAsia" w:hAnsi="宋体"/>
                <w:szCs w:val="21"/>
              </w:rPr>
              <w:t>制造商/生产厂商名称</w:t>
            </w:r>
          </w:p>
        </w:tc>
        <w:tc>
          <w:tcPr>
            <w:tcW w:w="1127" w:type="dxa"/>
            <w:vAlign w:val="center"/>
          </w:tcPr>
          <w:p>
            <w:pPr>
              <w:pStyle w:val="19"/>
              <w:jc w:val="center"/>
              <w:rPr>
                <w:rFonts w:hint="eastAsia" w:hAnsi="宋体"/>
                <w:szCs w:val="21"/>
              </w:rPr>
            </w:pPr>
            <w:r>
              <w:rPr>
                <w:rFonts w:hint="eastAsia" w:hAnsi="宋体"/>
                <w:szCs w:val="21"/>
              </w:rPr>
              <w:t>单价</w:t>
            </w:r>
          </w:p>
          <w:p>
            <w:pPr>
              <w:pStyle w:val="19"/>
              <w:jc w:val="center"/>
              <w:rPr>
                <w:rFonts w:hint="eastAsia" w:hAnsi="宋体"/>
                <w:szCs w:val="21"/>
              </w:rPr>
            </w:pPr>
            <w:r>
              <w:rPr>
                <w:rFonts w:hint="eastAsia" w:hAnsi="宋体"/>
                <w:szCs w:val="21"/>
              </w:rPr>
              <w:t>（元）</w:t>
            </w:r>
          </w:p>
        </w:tc>
        <w:tc>
          <w:tcPr>
            <w:tcW w:w="1122" w:type="dxa"/>
            <w:vAlign w:val="center"/>
          </w:tcPr>
          <w:p>
            <w:pPr>
              <w:pStyle w:val="19"/>
              <w:jc w:val="center"/>
              <w:rPr>
                <w:rFonts w:hint="eastAsia" w:hAnsi="宋体"/>
                <w:szCs w:val="21"/>
              </w:rPr>
            </w:pPr>
            <w:r>
              <w:rPr>
                <w:rFonts w:hint="eastAsia" w:hAnsi="宋体"/>
                <w:szCs w:val="21"/>
              </w:rPr>
              <w:t>总价</w:t>
            </w:r>
          </w:p>
          <w:p>
            <w:pPr>
              <w:pStyle w:val="19"/>
              <w:jc w:val="center"/>
              <w:rPr>
                <w:rFonts w:hint="eastAsia" w:hAnsi="宋体"/>
                <w:szCs w:val="21"/>
              </w:rPr>
            </w:pPr>
            <w:r>
              <w:rPr>
                <w:rFonts w:hint="eastAsia" w:hAnsi="宋体"/>
                <w:szCs w:val="21"/>
              </w:rPr>
              <w:t>（元）</w:t>
            </w:r>
          </w:p>
        </w:tc>
        <w:tc>
          <w:tcPr>
            <w:tcW w:w="741" w:type="dxa"/>
            <w:vAlign w:val="center"/>
          </w:tcPr>
          <w:p>
            <w:pPr>
              <w:pStyle w:val="19"/>
              <w:ind w:left="72"/>
              <w:jc w:val="center"/>
              <w:rPr>
                <w:rFonts w:hint="eastAsia" w:hAnsi="宋体"/>
                <w:szCs w:val="21"/>
              </w:rPr>
            </w:pPr>
            <w:r>
              <w:rPr>
                <w:rFonts w:hint="eastAsia"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458" w:type="dxa"/>
            <w:vAlign w:val="center"/>
          </w:tcPr>
          <w:p>
            <w:pPr>
              <w:pStyle w:val="19"/>
              <w:jc w:val="center"/>
              <w:rPr>
                <w:rFonts w:hint="eastAsia" w:hAnsi="宋体"/>
                <w:szCs w:val="21"/>
              </w:rPr>
            </w:pPr>
          </w:p>
        </w:tc>
        <w:tc>
          <w:tcPr>
            <w:tcW w:w="1618" w:type="dxa"/>
            <w:vAlign w:val="center"/>
          </w:tcPr>
          <w:p>
            <w:pPr>
              <w:pStyle w:val="19"/>
              <w:rPr>
                <w:rFonts w:hint="eastAsia" w:hAnsi="宋体"/>
                <w:szCs w:val="21"/>
              </w:rPr>
            </w:pPr>
          </w:p>
        </w:tc>
        <w:tc>
          <w:tcPr>
            <w:tcW w:w="1954" w:type="dxa"/>
            <w:vAlign w:val="center"/>
          </w:tcPr>
          <w:p>
            <w:pPr>
              <w:pStyle w:val="19"/>
              <w:rPr>
                <w:rFonts w:hint="eastAsia" w:hAnsi="宋体"/>
                <w:szCs w:val="21"/>
              </w:rPr>
            </w:pPr>
          </w:p>
        </w:tc>
        <w:tc>
          <w:tcPr>
            <w:tcW w:w="746" w:type="dxa"/>
            <w:vAlign w:val="center"/>
          </w:tcPr>
          <w:p>
            <w:pPr>
              <w:pStyle w:val="19"/>
              <w:rPr>
                <w:rFonts w:hint="eastAsia" w:hAnsi="宋体"/>
                <w:szCs w:val="21"/>
              </w:rPr>
            </w:pPr>
          </w:p>
        </w:tc>
        <w:tc>
          <w:tcPr>
            <w:tcW w:w="1940" w:type="dxa"/>
            <w:vAlign w:val="center"/>
          </w:tcPr>
          <w:p>
            <w:pPr>
              <w:pStyle w:val="19"/>
              <w:rPr>
                <w:rFonts w:hint="eastAsia" w:hAnsi="宋体"/>
                <w:szCs w:val="21"/>
              </w:rPr>
            </w:pPr>
          </w:p>
        </w:tc>
        <w:tc>
          <w:tcPr>
            <w:tcW w:w="1127" w:type="dxa"/>
            <w:vAlign w:val="center"/>
          </w:tcPr>
          <w:p>
            <w:pPr>
              <w:pStyle w:val="19"/>
              <w:rPr>
                <w:rFonts w:hint="eastAsia" w:hAnsi="宋体"/>
                <w:szCs w:val="21"/>
              </w:rPr>
            </w:pPr>
          </w:p>
        </w:tc>
        <w:tc>
          <w:tcPr>
            <w:tcW w:w="1122" w:type="dxa"/>
            <w:vAlign w:val="center"/>
          </w:tcPr>
          <w:p>
            <w:pPr>
              <w:pStyle w:val="19"/>
              <w:rPr>
                <w:rFonts w:hint="eastAsia" w:hAnsi="宋体"/>
                <w:szCs w:val="21"/>
              </w:rPr>
            </w:pPr>
          </w:p>
        </w:tc>
        <w:tc>
          <w:tcPr>
            <w:tcW w:w="741" w:type="dxa"/>
            <w:vAlign w:val="center"/>
          </w:tcPr>
          <w:p>
            <w:pPr>
              <w:pStyle w:val="19"/>
              <w:rPr>
                <w:rFonts w:hint="eastAsia"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458" w:type="dxa"/>
            <w:vAlign w:val="center"/>
          </w:tcPr>
          <w:p>
            <w:pPr>
              <w:pStyle w:val="19"/>
              <w:jc w:val="center"/>
              <w:rPr>
                <w:rFonts w:hint="eastAsia" w:hAnsi="宋体"/>
                <w:szCs w:val="21"/>
              </w:rPr>
            </w:pPr>
          </w:p>
        </w:tc>
        <w:tc>
          <w:tcPr>
            <w:tcW w:w="1618" w:type="dxa"/>
            <w:vAlign w:val="center"/>
          </w:tcPr>
          <w:p>
            <w:pPr>
              <w:pStyle w:val="19"/>
              <w:rPr>
                <w:rFonts w:hint="eastAsia" w:hAnsi="宋体"/>
                <w:szCs w:val="21"/>
              </w:rPr>
            </w:pPr>
          </w:p>
        </w:tc>
        <w:tc>
          <w:tcPr>
            <w:tcW w:w="1954" w:type="dxa"/>
            <w:vAlign w:val="center"/>
          </w:tcPr>
          <w:p>
            <w:pPr>
              <w:pStyle w:val="19"/>
              <w:rPr>
                <w:rFonts w:hint="eastAsia" w:hAnsi="宋体"/>
                <w:szCs w:val="21"/>
              </w:rPr>
            </w:pPr>
          </w:p>
        </w:tc>
        <w:tc>
          <w:tcPr>
            <w:tcW w:w="746" w:type="dxa"/>
            <w:vAlign w:val="center"/>
          </w:tcPr>
          <w:p>
            <w:pPr>
              <w:pStyle w:val="19"/>
              <w:rPr>
                <w:rFonts w:hint="eastAsia" w:hAnsi="宋体"/>
                <w:szCs w:val="21"/>
              </w:rPr>
            </w:pPr>
          </w:p>
        </w:tc>
        <w:tc>
          <w:tcPr>
            <w:tcW w:w="1940" w:type="dxa"/>
            <w:vAlign w:val="center"/>
          </w:tcPr>
          <w:p>
            <w:pPr>
              <w:pStyle w:val="19"/>
              <w:rPr>
                <w:rFonts w:hint="eastAsia" w:hAnsi="宋体"/>
                <w:szCs w:val="21"/>
              </w:rPr>
            </w:pPr>
          </w:p>
        </w:tc>
        <w:tc>
          <w:tcPr>
            <w:tcW w:w="1127" w:type="dxa"/>
            <w:vAlign w:val="center"/>
          </w:tcPr>
          <w:p>
            <w:pPr>
              <w:pStyle w:val="19"/>
              <w:rPr>
                <w:rFonts w:hint="eastAsia" w:hAnsi="宋体"/>
                <w:szCs w:val="21"/>
              </w:rPr>
            </w:pPr>
          </w:p>
        </w:tc>
        <w:tc>
          <w:tcPr>
            <w:tcW w:w="1122" w:type="dxa"/>
            <w:vAlign w:val="center"/>
          </w:tcPr>
          <w:p>
            <w:pPr>
              <w:pStyle w:val="19"/>
              <w:rPr>
                <w:rFonts w:hint="eastAsia" w:hAnsi="宋体"/>
                <w:szCs w:val="21"/>
              </w:rPr>
            </w:pPr>
          </w:p>
        </w:tc>
        <w:tc>
          <w:tcPr>
            <w:tcW w:w="741" w:type="dxa"/>
            <w:vAlign w:val="center"/>
          </w:tcPr>
          <w:p>
            <w:pPr>
              <w:pStyle w:val="19"/>
              <w:rPr>
                <w:rFonts w:hint="eastAsia"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458" w:type="dxa"/>
            <w:vAlign w:val="center"/>
          </w:tcPr>
          <w:p>
            <w:pPr>
              <w:pStyle w:val="19"/>
              <w:jc w:val="center"/>
              <w:rPr>
                <w:rFonts w:hint="eastAsia" w:hAnsi="宋体"/>
                <w:szCs w:val="21"/>
              </w:rPr>
            </w:pPr>
          </w:p>
        </w:tc>
        <w:tc>
          <w:tcPr>
            <w:tcW w:w="1618" w:type="dxa"/>
            <w:vAlign w:val="center"/>
          </w:tcPr>
          <w:p>
            <w:pPr>
              <w:pStyle w:val="19"/>
              <w:rPr>
                <w:rFonts w:hint="eastAsia" w:hAnsi="宋体"/>
                <w:szCs w:val="21"/>
              </w:rPr>
            </w:pPr>
          </w:p>
        </w:tc>
        <w:tc>
          <w:tcPr>
            <w:tcW w:w="1954" w:type="dxa"/>
            <w:vAlign w:val="center"/>
          </w:tcPr>
          <w:p>
            <w:pPr>
              <w:pStyle w:val="19"/>
              <w:rPr>
                <w:rFonts w:hint="eastAsia" w:hAnsi="宋体"/>
                <w:szCs w:val="21"/>
              </w:rPr>
            </w:pPr>
          </w:p>
        </w:tc>
        <w:tc>
          <w:tcPr>
            <w:tcW w:w="746" w:type="dxa"/>
            <w:vAlign w:val="center"/>
          </w:tcPr>
          <w:p>
            <w:pPr>
              <w:pStyle w:val="19"/>
              <w:rPr>
                <w:rFonts w:hint="eastAsia" w:hAnsi="宋体"/>
                <w:szCs w:val="21"/>
              </w:rPr>
            </w:pPr>
          </w:p>
        </w:tc>
        <w:tc>
          <w:tcPr>
            <w:tcW w:w="1940" w:type="dxa"/>
            <w:vAlign w:val="center"/>
          </w:tcPr>
          <w:p>
            <w:pPr>
              <w:pStyle w:val="19"/>
              <w:rPr>
                <w:rFonts w:hint="eastAsia" w:hAnsi="宋体"/>
                <w:szCs w:val="21"/>
              </w:rPr>
            </w:pPr>
          </w:p>
        </w:tc>
        <w:tc>
          <w:tcPr>
            <w:tcW w:w="1127" w:type="dxa"/>
            <w:vAlign w:val="center"/>
          </w:tcPr>
          <w:p>
            <w:pPr>
              <w:pStyle w:val="19"/>
              <w:rPr>
                <w:rFonts w:hint="eastAsia" w:hAnsi="宋体"/>
                <w:szCs w:val="21"/>
              </w:rPr>
            </w:pPr>
          </w:p>
        </w:tc>
        <w:tc>
          <w:tcPr>
            <w:tcW w:w="1122" w:type="dxa"/>
            <w:vAlign w:val="center"/>
          </w:tcPr>
          <w:p>
            <w:pPr>
              <w:pStyle w:val="19"/>
              <w:rPr>
                <w:rFonts w:hint="eastAsia" w:hAnsi="宋体"/>
                <w:szCs w:val="21"/>
              </w:rPr>
            </w:pPr>
          </w:p>
        </w:tc>
        <w:tc>
          <w:tcPr>
            <w:tcW w:w="741" w:type="dxa"/>
            <w:vAlign w:val="center"/>
          </w:tcPr>
          <w:p>
            <w:pPr>
              <w:pStyle w:val="19"/>
              <w:rPr>
                <w:rFonts w:hint="eastAsia"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458" w:type="dxa"/>
            <w:vAlign w:val="center"/>
          </w:tcPr>
          <w:p>
            <w:pPr>
              <w:pStyle w:val="19"/>
              <w:jc w:val="center"/>
              <w:rPr>
                <w:rFonts w:hint="eastAsia" w:hAnsi="宋体"/>
                <w:szCs w:val="21"/>
              </w:rPr>
            </w:pPr>
          </w:p>
        </w:tc>
        <w:tc>
          <w:tcPr>
            <w:tcW w:w="1618" w:type="dxa"/>
            <w:vAlign w:val="center"/>
          </w:tcPr>
          <w:p>
            <w:pPr>
              <w:pStyle w:val="19"/>
              <w:rPr>
                <w:rFonts w:hint="eastAsia" w:hAnsi="宋体"/>
                <w:szCs w:val="21"/>
              </w:rPr>
            </w:pPr>
          </w:p>
        </w:tc>
        <w:tc>
          <w:tcPr>
            <w:tcW w:w="1954" w:type="dxa"/>
            <w:vAlign w:val="center"/>
          </w:tcPr>
          <w:p>
            <w:pPr>
              <w:pStyle w:val="19"/>
              <w:rPr>
                <w:rFonts w:hint="eastAsia" w:hAnsi="宋体"/>
                <w:szCs w:val="21"/>
              </w:rPr>
            </w:pPr>
          </w:p>
        </w:tc>
        <w:tc>
          <w:tcPr>
            <w:tcW w:w="746" w:type="dxa"/>
            <w:vAlign w:val="center"/>
          </w:tcPr>
          <w:p>
            <w:pPr>
              <w:pStyle w:val="19"/>
              <w:rPr>
                <w:rFonts w:hint="eastAsia" w:hAnsi="宋体"/>
                <w:szCs w:val="21"/>
              </w:rPr>
            </w:pPr>
          </w:p>
        </w:tc>
        <w:tc>
          <w:tcPr>
            <w:tcW w:w="1940" w:type="dxa"/>
            <w:vAlign w:val="center"/>
          </w:tcPr>
          <w:p>
            <w:pPr>
              <w:pStyle w:val="19"/>
              <w:rPr>
                <w:rFonts w:hint="eastAsia" w:hAnsi="宋体"/>
                <w:szCs w:val="21"/>
              </w:rPr>
            </w:pPr>
          </w:p>
        </w:tc>
        <w:tc>
          <w:tcPr>
            <w:tcW w:w="1127" w:type="dxa"/>
            <w:vAlign w:val="center"/>
          </w:tcPr>
          <w:p>
            <w:pPr>
              <w:pStyle w:val="19"/>
              <w:rPr>
                <w:rFonts w:hint="eastAsia" w:hAnsi="宋体"/>
                <w:szCs w:val="21"/>
              </w:rPr>
            </w:pPr>
          </w:p>
        </w:tc>
        <w:tc>
          <w:tcPr>
            <w:tcW w:w="1122" w:type="dxa"/>
            <w:vAlign w:val="center"/>
          </w:tcPr>
          <w:p>
            <w:pPr>
              <w:pStyle w:val="19"/>
              <w:rPr>
                <w:rFonts w:hint="eastAsia" w:hAnsi="宋体"/>
                <w:szCs w:val="21"/>
              </w:rPr>
            </w:pPr>
          </w:p>
        </w:tc>
        <w:tc>
          <w:tcPr>
            <w:tcW w:w="741" w:type="dxa"/>
            <w:vAlign w:val="center"/>
          </w:tcPr>
          <w:p>
            <w:pPr>
              <w:pStyle w:val="19"/>
              <w:rPr>
                <w:rFonts w:hint="eastAsia"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7843" w:type="dxa"/>
            <w:gridSpan w:val="6"/>
            <w:vAlign w:val="center"/>
          </w:tcPr>
          <w:p>
            <w:pPr>
              <w:pStyle w:val="19"/>
              <w:jc w:val="center"/>
              <w:rPr>
                <w:rFonts w:hint="eastAsia" w:hAnsi="宋体"/>
                <w:szCs w:val="21"/>
              </w:rPr>
            </w:pPr>
            <w:r>
              <w:rPr>
                <w:rFonts w:hint="eastAsia" w:hAnsi="宋体"/>
                <w:szCs w:val="21"/>
              </w:rPr>
              <w:t>合   计（投标总价）</w:t>
            </w:r>
          </w:p>
        </w:tc>
        <w:tc>
          <w:tcPr>
            <w:tcW w:w="1863" w:type="dxa"/>
            <w:gridSpan w:val="2"/>
            <w:vAlign w:val="center"/>
          </w:tcPr>
          <w:p>
            <w:pPr>
              <w:pStyle w:val="19"/>
              <w:jc w:val="center"/>
              <w:rPr>
                <w:rFonts w:hint="eastAsia" w:hAnsi="宋体"/>
                <w:szCs w:val="21"/>
              </w:rPr>
            </w:pPr>
          </w:p>
        </w:tc>
      </w:tr>
    </w:tbl>
    <w:p>
      <w:pPr>
        <w:spacing w:line="360" w:lineRule="auto"/>
        <w:rPr>
          <w:szCs w:val="21"/>
        </w:rPr>
      </w:pPr>
      <w:r>
        <w:rPr>
          <w:rFonts w:hint="eastAsia"/>
          <w:szCs w:val="21"/>
        </w:rPr>
        <w:t>投标人</w:t>
      </w:r>
      <w:r>
        <w:rPr>
          <w:szCs w:val="21"/>
        </w:rPr>
        <w:t>：（盖单位</w:t>
      </w:r>
      <w:r>
        <w:rPr>
          <w:rFonts w:hint="eastAsia"/>
          <w:szCs w:val="21"/>
        </w:rPr>
        <w:t>公章</w:t>
      </w:r>
      <w:r>
        <w:rPr>
          <w:szCs w:val="21"/>
        </w:rPr>
        <w:t>）</w:t>
      </w:r>
    </w:p>
    <w:p>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pPr>
        <w:spacing w:line="360" w:lineRule="auto"/>
        <w:ind w:firstLine="630" w:firstLineChars="3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pPr>
        <w:spacing w:line="360" w:lineRule="auto"/>
        <w:ind w:firstLine="2" w:firstLineChars="1"/>
        <w:rPr>
          <w:rFonts w:hint="eastAsia" w:ascii="宋体" w:hAnsi="宋体"/>
          <w:szCs w:val="21"/>
        </w:rPr>
      </w:pPr>
      <w:r>
        <w:rPr>
          <w:rFonts w:hint="eastAsia" w:ascii="宋体" w:hAnsi="宋体"/>
          <w:szCs w:val="21"/>
        </w:rPr>
        <w:t>注：</w:t>
      </w:r>
      <w:r>
        <w:rPr>
          <w:rFonts w:hint="eastAsia"/>
          <w:b/>
          <w:szCs w:val="21"/>
        </w:rPr>
        <w:t>★1.</w:t>
      </w:r>
      <w:r>
        <w:rPr>
          <w:b/>
          <w:szCs w:val="21"/>
        </w:rPr>
        <w:t>未填写本表格的</w:t>
      </w:r>
      <w:r>
        <w:rPr>
          <w:rFonts w:hint="eastAsia"/>
          <w:b/>
          <w:szCs w:val="21"/>
        </w:rPr>
        <w:t>投标人</w:t>
      </w:r>
      <w:r>
        <w:rPr>
          <w:b/>
          <w:szCs w:val="21"/>
        </w:rPr>
        <w:t>将不能通过</w:t>
      </w:r>
      <w:r>
        <w:rPr>
          <w:rFonts w:hint="eastAsia"/>
          <w:b/>
          <w:szCs w:val="21"/>
        </w:rPr>
        <w:t>符合性审查</w:t>
      </w:r>
      <w:r>
        <w:rPr>
          <w:b/>
          <w:szCs w:val="21"/>
        </w:rPr>
        <w:t>。</w:t>
      </w:r>
    </w:p>
    <w:p>
      <w:pPr>
        <w:spacing w:line="360" w:lineRule="auto"/>
        <w:ind w:firstLine="2" w:firstLineChars="1"/>
        <w:rPr>
          <w:rFonts w:hint="eastAsia" w:ascii="宋体" w:hAnsi="宋体"/>
          <w:b/>
          <w:szCs w:val="21"/>
        </w:rPr>
      </w:pPr>
      <w:r>
        <w:rPr>
          <w:rFonts w:hint="eastAsia" w:ascii="宋体" w:hAnsi="宋体"/>
          <w:b/>
          <w:szCs w:val="21"/>
        </w:rPr>
        <w:t>2. 若产品为节能产品或环境标志产品（认定标准详见第二章34.1），请在“备注”栏中标明，并在投标文件中提供节能产品认证证书或环境标志产品认证证书扫描件。</w:t>
      </w:r>
    </w:p>
    <w:p>
      <w:pPr>
        <w:spacing w:line="360" w:lineRule="auto"/>
        <w:ind w:firstLine="2" w:firstLineChars="1"/>
        <w:rPr>
          <w:rFonts w:hint="eastAsia" w:ascii="宋体" w:hAnsi="宋体"/>
          <w:b/>
          <w:szCs w:val="21"/>
        </w:rPr>
      </w:pPr>
      <w:r>
        <w:rPr>
          <w:rFonts w:hint="eastAsia" w:ascii="宋体" w:hAnsi="宋体"/>
          <w:b/>
          <w:szCs w:val="21"/>
        </w:rPr>
        <w:t>3. 若货物为小微型企业（残疾人福利性单位、监狱企业）产品、服务，须按文件格式要求提供中小企业声明函（残疾人福利性单位声明函、监狱企业证明文件），否则，不予价格评审优惠。若所投货物符合《国务院办公厅关于在政府采购中实施本国产品标准及相关政策的通知》（国办发〔2025〕34号）的规定，须按文件格式要求提供《关于符合本国产品标准的声明函》、《关于符合本国产品标准的成本占比承诺函》（如适用）。</w:t>
      </w:r>
    </w:p>
    <w:p>
      <w:pPr>
        <w:spacing w:line="360" w:lineRule="auto"/>
        <w:ind w:firstLine="2" w:firstLineChars="1"/>
        <w:rPr>
          <w:rFonts w:hint="eastAsia" w:hAnsi="宋体"/>
          <w:szCs w:val="21"/>
        </w:rPr>
      </w:pPr>
      <w:r>
        <w:rPr>
          <w:rFonts w:hint="eastAsia" w:ascii="宋体" w:hAnsi="宋体"/>
          <w:szCs w:val="21"/>
        </w:rPr>
        <w:t>4.</w:t>
      </w:r>
      <w:r>
        <w:rPr>
          <w:rFonts w:hint="eastAsia" w:ascii="宋体" w:hAnsi="宋体"/>
          <w:b/>
          <w:szCs w:val="21"/>
        </w:rPr>
        <w:t xml:space="preserve"> </w:t>
      </w:r>
      <w:r>
        <w:rPr>
          <w:rFonts w:hint="eastAsia"/>
          <w:szCs w:val="21"/>
        </w:rPr>
        <w:t>报价指完成本项目所发生的一切费用和税费，采购人将不再支付报价以外的任何费用。包括但不限于：投标货物及标准附件、备品备件、专用工具等的出厂价和运至最终目的地的运输费和保险费，</w:t>
      </w:r>
      <w:r>
        <w:rPr>
          <w:rFonts w:hint="eastAsia" w:hAnsi="宋体"/>
          <w:szCs w:val="21"/>
        </w:rPr>
        <w:t>安装调试、检验、技术服务、培训、质量保证、售后服务、税费及其他相关费用。</w:t>
      </w:r>
    </w:p>
    <w:p>
      <w:pPr>
        <w:spacing w:line="360" w:lineRule="auto"/>
        <w:ind w:firstLine="2" w:firstLineChars="1"/>
        <w:rPr>
          <w:rFonts w:hint="eastAsia" w:hAnsi="宋体"/>
          <w:szCs w:val="21"/>
        </w:rPr>
      </w:pPr>
      <w:r>
        <w:rPr>
          <w:rFonts w:hint="eastAsia" w:hAnsi="宋体"/>
          <w:szCs w:val="21"/>
        </w:rPr>
        <w:t>5</w:t>
      </w:r>
      <w:r>
        <w:rPr>
          <w:rFonts w:hAnsi="宋体"/>
          <w:szCs w:val="21"/>
        </w:rPr>
        <w:t>. 表格长度可根据需要自行调整，表中所列内容为必须填写项目，</w:t>
      </w:r>
      <w:r>
        <w:rPr>
          <w:rFonts w:hint="eastAsia" w:hAnsi="宋体"/>
          <w:szCs w:val="21"/>
        </w:rPr>
        <w:t>投标人</w:t>
      </w:r>
      <w:r>
        <w:rPr>
          <w:rFonts w:hAnsi="宋体"/>
          <w:szCs w:val="21"/>
        </w:rPr>
        <w:t>可根据自身情况增加内容。</w:t>
      </w:r>
    </w:p>
    <w:p>
      <w:pPr>
        <w:spacing w:line="360" w:lineRule="auto"/>
        <w:ind w:firstLine="2" w:firstLineChars="1"/>
        <w:rPr>
          <w:rFonts w:hint="eastAsia" w:hAnsi="宋体"/>
          <w:szCs w:val="21"/>
        </w:rPr>
      </w:pPr>
      <w:r>
        <w:rPr>
          <w:rFonts w:hint="eastAsia" w:hAnsi="宋体"/>
          <w:szCs w:val="21"/>
        </w:rPr>
        <w:t>6.本表可用附表形式把需求一览表中所有产品生产厂商、规格型号、单价等内容进行详细说明。</w:t>
      </w:r>
    </w:p>
    <w:p>
      <w:r>
        <w:rPr>
          <w:rFonts w:hint="eastAsia" w:hAnsi="宋体"/>
          <w:szCs w:val="21"/>
        </w:rPr>
        <w:t>7.《分项报价表》、《技术规格偏离表》中填写的产品型号须与第五章涉及的所有产品认证证书中列明型号完全一致；否则，不予认可。</w:t>
      </w:r>
    </w:p>
    <w:p>
      <w:pPr>
        <w:widowControl/>
        <w:jc w:val="left"/>
        <w:rPr>
          <w:rFonts w:hint="eastAsia" w:ascii="宋体" w:hAnsi="宋体"/>
          <w:b/>
          <w:kern w:val="0"/>
          <w:sz w:val="28"/>
          <w:szCs w:val="28"/>
        </w:rPr>
      </w:pPr>
      <w:bookmarkStart w:id="333" w:name="_Toc26423"/>
      <w:bookmarkStart w:id="334" w:name="_Toc6080"/>
      <w:r>
        <w:rPr>
          <w:rFonts w:hint="eastAsia" w:ascii="宋体" w:hAnsi="宋体"/>
          <w:szCs w:val="28"/>
        </w:rPr>
        <w:br w:type="page"/>
      </w:r>
    </w:p>
    <w:p>
      <w:pPr>
        <w:pStyle w:val="2"/>
        <w:numPr>
          <w:ilvl w:val="0"/>
          <w:numId w:val="0"/>
        </w:numPr>
        <w:spacing w:before="0"/>
        <w:ind w:firstLine="3626" w:firstLineChars="1290"/>
        <w:rPr>
          <w:rFonts w:hint="eastAsia" w:ascii="宋体" w:hAnsi="宋体" w:eastAsia="宋体"/>
          <w:szCs w:val="28"/>
        </w:rPr>
      </w:pPr>
      <w:bookmarkStart w:id="335" w:name="_Toc31191"/>
      <w:r>
        <w:rPr>
          <w:rFonts w:hint="eastAsia" w:ascii="宋体" w:hAnsi="宋体" w:eastAsia="宋体"/>
          <w:szCs w:val="28"/>
        </w:rPr>
        <w:t>四、技术响应文件</w:t>
      </w:r>
      <w:bookmarkEnd w:id="333"/>
      <w:bookmarkEnd w:id="334"/>
      <w:bookmarkEnd w:id="335"/>
    </w:p>
    <w:p>
      <w:pPr>
        <w:pStyle w:val="15"/>
        <w:ind w:firstLine="404"/>
      </w:pPr>
    </w:p>
    <w:p>
      <w:pPr>
        <w:pStyle w:val="4"/>
        <w:keepNext/>
        <w:numPr>
          <w:ilvl w:val="0"/>
          <w:numId w:val="0"/>
        </w:numPr>
        <w:tabs>
          <w:tab w:val="left" w:pos="1021"/>
          <w:tab w:val="clear" w:pos="900"/>
        </w:tabs>
        <w:spacing w:before="0"/>
        <w:rPr>
          <w:rFonts w:hint="eastAsia" w:ascii="宋体" w:hAnsi="宋体" w:eastAsia="宋体" w:cs="宋体"/>
          <w:szCs w:val="28"/>
        </w:rPr>
      </w:pPr>
      <w:bookmarkStart w:id="336" w:name="_Toc25577"/>
      <w:bookmarkStart w:id="337" w:name="_Toc29852"/>
      <w:bookmarkStart w:id="338" w:name="_Toc11082"/>
      <w:bookmarkStart w:id="339" w:name="_Toc18106"/>
      <w:bookmarkStart w:id="340" w:name="_Toc21656"/>
      <w:r>
        <w:rPr>
          <w:rFonts w:hint="eastAsia" w:ascii="宋体" w:hAnsi="宋体" w:eastAsia="宋体" w:cs="宋体"/>
          <w:szCs w:val="28"/>
        </w:rPr>
        <w:t>格式16：评分对应表</w:t>
      </w:r>
      <w:bookmarkEnd w:id="336"/>
      <w:bookmarkEnd w:id="337"/>
      <w:bookmarkEnd w:id="338"/>
      <w:bookmarkEnd w:id="339"/>
      <w:bookmarkEnd w:id="340"/>
    </w:p>
    <w:p>
      <w:pPr>
        <w:snapToGrid w:val="0"/>
        <w:spacing w:before="50"/>
        <w:jc w:val="center"/>
        <w:rPr>
          <w:rFonts w:hint="eastAsia" w:ascii="宋体" w:hAnsi="宋体" w:cs="宋体"/>
          <w:b/>
          <w:bCs/>
          <w:sz w:val="24"/>
        </w:rPr>
      </w:pPr>
      <w:r>
        <w:rPr>
          <w:rFonts w:hint="eastAsia" w:ascii="宋体" w:hAnsi="宋体" w:cs="宋体"/>
          <w:b/>
          <w:bCs/>
          <w:sz w:val="24"/>
        </w:rPr>
        <w:t>（需投标人按招标文件“评分因素及评标标准”中每个评分项逐项列明页码）</w:t>
      </w:r>
    </w:p>
    <w:p>
      <w:pPr>
        <w:pStyle w:val="15"/>
        <w:ind w:firstLine="404"/>
        <w:rPr>
          <w:rFonts w:hint="eastAsia" w:hAnsi="宋体"/>
        </w:rPr>
      </w:pPr>
    </w:p>
    <w:tbl>
      <w:tblPr>
        <w:tblStyle w:val="38"/>
        <w:tblW w:w="94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825"/>
        <w:gridCol w:w="17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pPr>
              <w:pStyle w:val="12"/>
              <w:snapToGrid w:val="0"/>
              <w:jc w:val="center"/>
              <w:rPr>
                <w:rFonts w:hint="eastAsia" w:ascii="宋体" w:hAnsi="宋体" w:eastAsia="宋体" w:cs="宋体"/>
                <w:sz w:val="21"/>
                <w:szCs w:val="21"/>
              </w:rPr>
            </w:pPr>
            <w:r>
              <w:rPr>
                <w:rFonts w:hint="eastAsia" w:ascii="宋体" w:hAnsi="宋体" w:eastAsia="宋体" w:cs="宋体"/>
                <w:sz w:val="21"/>
                <w:szCs w:val="21"/>
              </w:rPr>
              <w:t>评分项目</w:t>
            </w:r>
          </w:p>
        </w:tc>
        <w:tc>
          <w:tcPr>
            <w:tcW w:w="3825"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hint="eastAsia" w:ascii="宋体" w:hAnsi="宋体" w:cs="宋体"/>
                <w:szCs w:val="21"/>
              </w:rPr>
            </w:pPr>
            <w:r>
              <w:rPr>
                <w:rFonts w:hint="eastAsia" w:ascii="宋体" w:hAnsi="宋体" w:cs="宋体"/>
                <w:szCs w:val="21"/>
              </w:rPr>
              <w:t>投标文件对应资料</w:t>
            </w:r>
          </w:p>
        </w:tc>
        <w:tc>
          <w:tcPr>
            <w:tcW w:w="175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hint="eastAsia" w:ascii="宋体" w:hAnsi="宋体" w:cs="宋体"/>
                <w:kern w:val="0"/>
                <w:szCs w:val="21"/>
              </w:rPr>
            </w:pPr>
            <w:r>
              <w:rPr>
                <w:rFonts w:hint="eastAsia" w:ascii="宋体" w:hAnsi="宋体" w:cs="宋体"/>
                <w:szCs w:val="21"/>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cs="宋体"/>
                <w:szCs w:val="21"/>
              </w:rPr>
            </w:pPr>
            <w:r>
              <w:rPr>
                <w:rFonts w:hint="eastAsia" w:ascii="宋体" w:hAnsi="宋体" w:cs="宋体"/>
                <w:szCs w:val="21"/>
              </w:rPr>
              <w:t>对应第七章评分办法及评分标准（报价除外）</w:t>
            </w: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cs="宋体"/>
                <w:szCs w:val="21"/>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cs="宋体"/>
                <w:szCs w:val="21"/>
              </w:rPr>
            </w:pPr>
            <w:r>
              <w:rPr>
                <w:rFonts w:hint="eastAsia" w:ascii="宋体" w:hAnsi="宋体" w:cs="宋体"/>
                <w:szCs w:val="21"/>
              </w:rPr>
              <w:t>……</w:t>
            </w: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cs="宋体"/>
                <w:szCs w:val="21"/>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hint="eastAsia" w:ascii="宋体" w:hAnsi="宋体"/>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hint="eastAsia" w:ascii="宋体" w:hAnsi="宋体"/>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hint="eastAsia"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hint="eastAsia" w:ascii="宋体" w:hAnsi="宋体"/>
                <w:sz w:val="30"/>
                <w:szCs w:val="30"/>
              </w:rPr>
            </w:pPr>
          </w:p>
        </w:tc>
      </w:tr>
    </w:tbl>
    <w:p>
      <w:r>
        <w:rPr>
          <w:rFonts w:hint="eastAsia"/>
        </w:rPr>
        <w:br w:type="page"/>
      </w:r>
    </w:p>
    <w:p>
      <w:pPr>
        <w:pStyle w:val="4"/>
        <w:keepNext/>
        <w:numPr>
          <w:ilvl w:val="0"/>
          <w:numId w:val="0"/>
        </w:numPr>
        <w:tabs>
          <w:tab w:val="left" w:pos="1021"/>
          <w:tab w:val="clear" w:pos="900"/>
        </w:tabs>
        <w:spacing w:before="0"/>
        <w:rPr>
          <w:rFonts w:hint="eastAsia" w:ascii="宋体" w:hAnsi="宋体" w:eastAsia="宋体" w:cs="宋体"/>
          <w:szCs w:val="28"/>
        </w:rPr>
      </w:pPr>
      <w:bookmarkStart w:id="341" w:name="_Toc3223"/>
      <w:bookmarkStart w:id="342" w:name="_Toc463703059"/>
      <w:bookmarkStart w:id="343" w:name="_Toc31907"/>
      <w:bookmarkStart w:id="344" w:name="_Toc29284"/>
      <w:bookmarkStart w:id="345" w:name="_Toc14954"/>
      <w:bookmarkStart w:id="346" w:name="_Toc489625988"/>
      <w:bookmarkStart w:id="347" w:name="_Toc27813"/>
      <w:bookmarkStart w:id="348" w:name="_Toc489625993"/>
      <w:bookmarkStart w:id="349" w:name="_Toc463703064"/>
      <w:r>
        <w:rPr>
          <w:rFonts w:hint="eastAsia" w:ascii="宋体" w:hAnsi="宋体" w:eastAsia="宋体" w:cs="宋体"/>
          <w:szCs w:val="28"/>
        </w:rPr>
        <w:t>格式17：</w:t>
      </w:r>
      <w:bookmarkEnd w:id="341"/>
      <w:bookmarkEnd w:id="342"/>
      <w:bookmarkEnd w:id="343"/>
      <w:bookmarkEnd w:id="344"/>
      <w:bookmarkEnd w:id="345"/>
      <w:bookmarkEnd w:id="346"/>
      <w:r>
        <w:rPr>
          <w:rFonts w:ascii="宋体" w:hAnsi="宋体" w:eastAsia="宋体" w:cs="宋体"/>
          <w:szCs w:val="28"/>
        </w:rPr>
        <w:t>需求参数评审</w:t>
      </w:r>
      <w:bookmarkEnd w:id="347"/>
    </w:p>
    <w:p>
      <w:pPr>
        <w:jc w:val="center"/>
        <w:rPr>
          <w:rFonts w:hint="eastAsia" w:ascii="宋体" w:hAnsi="宋体" w:cs="宋体"/>
          <w:kern w:val="0"/>
          <w:szCs w:val="21"/>
        </w:rPr>
      </w:pPr>
      <w:bookmarkStart w:id="350" w:name="_Toc28093"/>
      <w:bookmarkStart w:id="351" w:name="_Toc489625992"/>
      <w:bookmarkStart w:id="352" w:name="_Toc463703063"/>
      <w:r>
        <w:rPr>
          <w:rFonts w:hint="eastAsia" w:ascii="宋体" w:hAnsi="宋体" w:cs="宋体"/>
          <w:kern w:val="0"/>
          <w:szCs w:val="21"/>
        </w:rPr>
        <w:t>（请投标人按要求根据自己的实际情况针对本项目自行编制）</w:t>
      </w:r>
    </w:p>
    <w:p/>
    <w:p>
      <w:pPr>
        <w:pStyle w:val="4"/>
        <w:keepNext/>
        <w:numPr>
          <w:ilvl w:val="0"/>
          <w:numId w:val="0"/>
        </w:numPr>
        <w:tabs>
          <w:tab w:val="left" w:pos="1021"/>
          <w:tab w:val="clear" w:pos="900"/>
        </w:tabs>
        <w:spacing w:before="0"/>
        <w:rPr>
          <w:rFonts w:hint="eastAsia" w:ascii="宋体" w:hAnsi="宋体" w:eastAsia="宋体" w:cs="宋体"/>
          <w:szCs w:val="21"/>
        </w:rPr>
      </w:pPr>
      <w:bookmarkStart w:id="353" w:name="_Toc20162"/>
      <w:r>
        <w:rPr>
          <w:rFonts w:hint="eastAsia" w:ascii="宋体" w:hAnsi="宋体" w:eastAsia="宋体" w:cs="宋体"/>
          <w:szCs w:val="28"/>
        </w:rPr>
        <w:t>格式18：产品整体技术设计方案</w:t>
      </w:r>
      <w:bookmarkEnd w:id="353"/>
    </w:p>
    <w:p>
      <w:pPr>
        <w:jc w:val="center"/>
        <w:rPr>
          <w:rFonts w:hint="eastAsia" w:ascii="宋体" w:hAnsi="宋体" w:cs="宋体"/>
          <w:kern w:val="0"/>
          <w:szCs w:val="21"/>
        </w:rPr>
      </w:pPr>
      <w:r>
        <w:rPr>
          <w:rFonts w:hint="eastAsia" w:ascii="宋体" w:hAnsi="宋体" w:cs="宋体"/>
          <w:kern w:val="0"/>
          <w:szCs w:val="21"/>
        </w:rPr>
        <w:t>（请投标人按要求根据自己的实际情况针对本项目自行编制）</w:t>
      </w:r>
    </w:p>
    <w:bookmarkEnd w:id="348"/>
    <w:bookmarkEnd w:id="349"/>
    <w:bookmarkEnd w:id="350"/>
    <w:bookmarkEnd w:id="351"/>
    <w:bookmarkEnd w:id="352"/>
    <w:p>
      <w:bookmarkStart w:id="354" w:name="_Toc29563"/>
      <w:bookmarkStart w:id="355" w:name="_Toc28119"/>
      <w:bookmarkStart w:id="356" w:name="_Toc25449"/>
    </w:p>
    <w:p>
      <w:pPr>
        <w:pStyle w:val="4"/>
        <w:keepNext/>
        <w:numPr>
          <w:ilvl w:val="0"/>
          <w:numId w:val="0"/>
        </w:numPr>
        <w:tabs>
          <w:tab w:val="left" w:pos="1021"/>
          <w:tab w:val="clear" w:pos="900"/>
        </w:tabs>
        <w:spacing w:before="0"/>
        <w:rPr>
          <w:rFonts w:hint="eastAsia" w:ascii="宋体" w:hAnsi="宋体" w:eastAsia="宋体" w:cs="宋体"/>
          <w:szCs w:val="21"/>
        </w:rPr>
      </w:pPr>
      <w:bookmarkStart w:id="357" w:name="_Toc18"/>
      <w:r>
        <w:rPr>
          <w:rFonts w:hint="eastAsia" w:ascii="宋体" w:hAnsi="宋体" w:eastAsia="宋体" w:cs="宋体"/>
          <w:szCs w:val="28"/>
        </w:rPr>
        <w:t>格式19：项目实施方案</w:t>
      </w:r>
      <w:bookmarkEnd w:id="357"/>
    </w:p>
    <w:p>
      <w:pPr>
        <w:jc w:val="center"/>
        <w:rPr>
          <w:rFonts w:hint="eastAsia" w:ascii="宋体" w:hAnsi="宋体" w:cs="宋体"/>
          <w:kern w:val="0"/>
          <w:szCs w:val="21"/>
        </w:rPr>
      </w:pPr>
      <w:r>
        <w:rPr>
          <w:rFonts w:hint="eastAsia" w:ascii="宋体" w:hAnsi="宋体" w:cs="宋体"/>
          <w:kern w:val="0"/>
          <w:szCs w:val="21"/>
        </w:rPr>
        <w:t>（请投标人按要求根据自己的实际情况针对本项目自行编制）</w:t>
      </w:r>
    </w:p>
    <w:p/>
    <w:p>
      <w:pPr>
        <w:pStyle w:val="4"/>
        <w:keepNext/>
        <w:numPr>
          <w:ilvl w:val="0"/>
          <w:numId w:val="0"/>
        </w:numPr>
        <w:tabs>
          <w:tab w:val="left" w:pos="1021"/>
          <w:tab w:val="clear" w:pos="900"/>
        </w:tabs>
        <w:spacing w:before="0"/>
        <w:rPr>
          <w:rFonts w:hint="eastAsia" w:ascii="宋体" w:hAnsi="宋体" w:eastAsia="宋体" w:cs="宋体"/>
          <w:szCs w:val="21"/>
        </w:rPr>
      </w:pPr>
      <w:bookmarkStart w:id="358" w:name="_Toc8667"/>
      <w:r>
        <w:rPr>
          <w:rFonts w:hint="eastAsia" w:ascii="宋体" w:hAnsi="宋体" w:eastAsia="宋体" w:cs="宋体"/>
          <w:szCs w:val="28"/>
        </w:rPr>
        <w:t>格式20：售后服务方案、承诺及保证</w:t>
      </w:r>
      <w:bookmarkEnd w:id="358"/>
    </w:p>
    <w:p>
      <w:pPr>
        <w:jc w:val="center"/>
        <w:rPr>
          <w:rFonts w:hint="eastAsia" w:ascii="宋体" w:hAnsi="宋体" w:cs="宋体"/>
          <w:kern w:val="0"/>
          <w:szCs w:val="21"/>
        </w:rPr>
      </w:pPr>
      <w:r>
        <w:rPr>
          <w:rFonts w:hint="eastAsia" w:ascii="宋体" w:hAnsi="宋体" w:cs="宋体"/>
          <w:kern w:val="0"/>
          <w:szCs w:val="21"/>
        </w:rPr>
        <w:t>（请投标人按要求根据自己的实际情况针对本项目自行编制）</w:t>
      </w:r>
    </w:p>
    <w:p/>
    <w:p/>
    <w:p>
      <w:pPr>
        <w:pStyle w:val="4"/>
        <w:keepNext/>
        <w:numPr>
          <w:ilvl w:val="0"/>
          <w:numId w:val="0"/>
        </w:numPr>
        <w:tabs>
          <w:tab w:val="left" w:pos="1021"/>
          <w:tab w:val="clear" w:pos="900"/>
        </w:tabs>
        <w:spacing w:before="0"/>
        <w:rPr>
          <w:rFonts w:hint="eastAsia" w:ascii="宋体" w:hAnsi="宋体" w:eastAsia="宋体" w:cs="宋体"/>
          <w:szCs w:val="21"/>
        </w:rPr>
      </w:pPr>
      <w:bookmarkStart w:id="359" w:name="_Toc9539"/>
      <w:r>
        <w:rPr>
          <w:rFonts w:hint="eastAsia" w:ascii="宋体" w:hAnsi="宋体" w:eastAsia="宋体" w:cs="宋体"/>
          <w:szCs w:val="28"/>
        </w:rPr>
        <w:t>格式21：</w:t>
      </w:r>
      <w:r>
        <w:rPr>
          <w:rFonts w:hint="eastAsia" w:ascii="宋体" w:hAnsi="宋体" w:eastAsia="宋体" w:cs="宋体"/>
          <w:szCs w:val="28"/>
          <w:lang w:val="en-US" w:eastAsia="zh-CN"/>
        </w:rPr>
        <w:t>同类</w:t>
      </w:r>
      <w:r>
        <w:rPr>
          <w:rFonts w:hint="eastAsia" w:ascii="宋体" w:hAnsi="宋体" w:eastAsia="宋体" w:cs="宋体"/>
          <w:szCs w:val="28"/>
        </w:rPr>
        <w:t>业绩</w:t>
      </w:r>
      <w:bookmarkEnd w:id="359"/>
    </w:p>
    <w:p>
      <w:pPr>
        <w:jc w:val="center"/>
        <w:rPr>
          <w:rFonts w:hint="eastAsia" w:ascii="宋体" w:hAnsi="宋体" w:cs="宋体"/>
          <w:kern w:val="0"/>
          <w:szCs w:val="21"/>
        </w:rPr>
      </w:pPr>
      <w:r>
        <w:rPr>
          <w:rFonts w:hint="eastAsia" w:ascii="宋体" w:hAnsi="宋体" w:cs="宋体"/>
          <w:kern w:val="0"/>
          <w:szCs w:val="21"/>
        </w:rPr>
        <w:t>（请投标人按要求根据自己的实际情况针对本项目自行编制）</w:t>
      </w:r>
    </w:p>
    <w:p>
      <w:pPr>
        <w:rPr>
          <w:rFonts w:hint="eastAsia" w:ascii="宋体" w:hAnsi="宋体" w:cs="宋体"/>
          <w:szCs w:val="21"/>
        </w:rPr>
      </w:pPr>
    </w:p>
    <w:tbl>
      <w:tblPr>
        <w:tblStyle w:val="38"/>
        <w:tblW w:w="9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590"/>
        <w:gridCol w:w="1770"/>
        <w:gridCol w:w="1830"/>
        <w:gridCol w:w="1605"/>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7" w:hRule="atLeast"/>
        </w:trPr>
        <w:tc>
          <w:tcPr>
            <w:tcW w:w="11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szCs w:val="21"/>
              </w:rPr>
            </w:pPr>
            <w:r>
              <w:rPr>
                <w:rFonts w:hint="eastAsia" w:ascii="宋体"/>
                <w:szCs w:val="21"/>
              </w:rPr>
              <w:t>序号</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szCs w:val="21"/>
              </w:rPr>
            </w:pPr>
            <w:r>
              <w:rPr>
                <w:rFonts w:hint="eastAsia" w:ascii="宋体"/>
                <w:szCs w:val="21"/>
              </w:rPr>
              <w:t>业主名称</w:t>
            </w:r>
          </w:p>
        </w:tc>
        <w:tc>
          <w:tcPr>
            <w:tcW w:w="177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szCs w:val="21"/>
              </w:rPr>
            </w:pPr>
            <w:r>
              <w:rPr>
                <w:rFonts w:hint="eastAsia" w:ascii="宋体"/>
                <w:szCs w:val="21"/>
              </w:rPr>
              <w:t>项目名称</w:t>
            </w:r>
          </w:p>
        </w:tc>
        <w:tc>
          <w:tcPr>
            <w:tcW w:w="18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szCs w:val="21"/>
              </w:rPr>
            </w:pPr>
            <w:r>
              <w:rPr>
                <w:rFonts w:hint="eastAsia" w:ascii="宋体"/>
                <w:szCs w:val="21"/>
              </w:rPr>
              <w:t>标的内容</w:t>
            </w:r>
          </w:p>
        </w:tc>
        <w:tc>
          <w:tcPr>
            <w:tcW w:w="16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szCs w:val="21"/>
              </w:rPr>
            </w:pPr>
            <w:r>
              <w:rPr>
                <w:rFonts w:hint="eastAsia" w:ascii="宋体"/>
                <w:szCs w:val="21"/>
              </w:rPr>
              <w:t>合同金额</w:t>
            </w:r>
          </w:p>
        </w:tc>
        <w:tc>
          <w:tcPr>
            <w:tcW w:w="15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szCs w:val="21"/>
              </w:rPr>
            </w:pPr>
            <w:r>
              <w:rPr>
                <w:rFonts w:hint="eastAsia" w:ascii="宋体"/>
                <w:szCs w:val="21"/>
              </w:rPr>
              <w:t>签订时间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9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77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83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605"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6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9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77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83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605"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6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9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77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83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605"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6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9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77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83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605"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6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9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77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83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605"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c>
          <w:tcPr>
            <w:tcW w:w="1560" w:type="dxa"/>
            <w:tcBorders>
              <w:top w:val="single" w:color="auto" w:sz="4" w:space="0"/>
              <w:left w:val="single" w:color="auto" w:sz="4" w:space="0"/>
              <w:bottom w:val="single" w:color="auto" w:sz="4" w:space="0"/>
              <w:right w:val="single" w:color="auto" w:sz="4" w:space="0"/>
            </w:tcBorders>
          </w:tcPr>
          <w:p>
            <w:pPr>
              <w:pStyle w:val="19"/>
              <w:spacing w:line="360" w:lineRule="auto"/>
              <w:ind w:left="1470" w:right="1470"/>
              <w:jc w:val="center"/>
              <w:rPr>
                <w:rFonts w:hint="eastAsia" w:hAnsi="宋体" w:cs="宋体"/>
                <w:szCs w:val="21"/>
              </w:rPr>
            </w:pPr>
          </w:p>
        </w:tc>
      </w:tr>
    </w:tbl>
    <w:p>
      <w:pPr>
        <w:pStyle w:val="19"/>
        <w:spacing w:line="500" w:lineRule="exact"/>
        <w:ind w:right="1470"/>
        <w:jc w:val="left"/>
        <w:rPr>
          <w:rFonts w:hint="eastAsia" w:hAnsi="宋体" w:cs="宋体"/>
          <w:b/>
          <w:sz w:val="24"/>
          <w:szCs w:val="24"/>
        </w:rPr>
      </w:pPr>
      <w:r>
        <w:rPr>
          <w:rFonts w:hint="eastAsia" w:hAnsi="宋体" w:cs="宋体"/>
          <w:bCs/>
          <w:szCs w:val="21"/>
        </w:rPr>
        <w:t>注：1、本表可扩展；2、须附业绩证明材料。</w:t>
      </w:r>
    </w:p>
    <w:p/>
    <w:p/>
    <w:p/>
    <w:p>
      <w:pPr>
        <w:jc w:val="center"/>
        <w:rPr>
          <w:rFonts w:hint="eastAsia" w:ascii="宋体" w:hAnsi="宋体" w:cs="宋体"/>
          <w:kern w:val="0"/>
          <w:szCs w:val="21"/>
        </w:rPr>
      </w:pPr>
    </w:p>
    <w:p/>
    <w:p>
      <w:pPr>
        <w:pStyle w:val="4"/>
        <w:keepNext/>
        <w:numPr>
          <w:ilvl w:val="0"/>
          <w:numId w:val="0"/>
        </w:numPr>
        <w:tabs>
          <w:tab w:val="left" w:pos="1021"/>
          <w:tab w:val="clear" w:pos="900"/>
        </w:tabs>
        <w:spacing w:before="0"/>
        <w:rPr>
          <w:rFonts w:hint="eastAsia" w:ascii="宋体" w:hAnsi="宋体" w:eastAsia="宋体" w:cs="宋体"/>
          <w:szCs w:val="28"/>
        </w:rPr>
      </w:pPr>
      <w:bookmarkStart w:id="360" w:name="_Toc754"/>
      <w:r>
        <w:rPr>
          <w:rFonts w:hint="eastAsia" w:ascii="宋体" w:hAnsi="宋体" w:eastAsia="宋体" w:cs="宋体"/>
          <w:szCs w:val="28"/>
        </w:rPr>
        <w:t>格式22：其他（如有）</w:t>
      </w:r>
      <w:bookmarkEnd w:id="354"/>
      <w:bookmarkEnd w:id="355"/>
      <w:bookmarkEnd w:id="356"/>
      <w:bookmarkEnd w:id="360"/>
    </w:p>
    <w:p>
      <w:pPr>
        <w:rPr>
          <w:rFonts w:hint="eastAsia" w:hAnsi="宋体"/>
          <w:szCs w:val="21"/>
        </w:rPr>
      </w:pPr>
      <w:bookmarkStart w:id="361" w:name="_Toc10935"/>
      <w:bookmarkStart w:id="362" w:name="_Toc274"/>
      <w:r>
        <w:rPr>
          <w:rFonts w:hint="eastAsia" w:ascii="宋体" w:hAnsi="宋体"/>
          <w:szCs w:val="28"/>
        </w:rPr>
        <w:br w:type="page"/>
      </w:r>
      <w:bookmarkEnd w:id="267"/>
      <w:bookmarkEnd w:id="268"/>
      <w:bookmarkEnd w:id="269"/>
      <w:bookmarkEnd w:id="361"/>
      <w:bookmarkEnd w:id="362"/>
    </w:p>
    <w:p>
      <w:pPr>
        <w:pStyle w:val="3"/>
        <w:numPr>
          <w:ilvl w:val="0"/>
          <w:numId w:val="0"/>
        </w:numPr>
        <w:ind w:left="284"/>
        <w:jc w:val="center"/>
        <w:rPr>
          <w:rFonts w:ascii="宋体"/>
          <w:b w:val="0"/>
          <w:bCs/>
          <w:sz w:val="36"/>
        </w:rPr>
      </w:pPr>
      <w:bookmarkStart w:id="363" w:name="_Toc14658"/>
      <w:bookmarkStart w:id="364" w:name="_Toc17088"/>
      <w:bookmarkStart w:id="365" w:name="_Toc3289"/>
      <w:bookmarkStart w:id="366" w:name="_Toc2975"/>
      <w:r>
        <w:rPr>
          <w:rFonts w:hint="eastAsia" w:ascii="宋体" w:hAnsi="宋体" w:eastAsia="宋体"/>
          <w:sz w:val="36"/>
          <w:szCs w:val="36"/>
        </w:rPr>
        <w:t>第五章  货物需求一览表</w:t>
      </w:r>
      <w:bookmarkEnd w:id="363"/>
      <w:bookmarkEnd w:id="364"/>
      <w:bookmarkEnd w:id="365"/>
      <w:bookmarkEnd w:id="366"/>
    </w:p>
    <w:p>
      <w:pPr>
        <w:adjustRightInd w:val="0"/>
        <w:spacing w:line="400" w:lineRule="exact"/>
        <w:rPr>
          <w:rFonts w:ascii="宋体"/>
          <w:b/>
          <w:bCs/>
          <w:sz w:val="28"/>
          <w:szCs w:val="28"/>
        </w:rPr>
      </w:pPr>
      <w:r>
        <w:rPr>
          <w:rFonts w:hint="eastAsia" w:ascii="宋体"/>
          <w:b/>
          <w:bCs/>
          <w:sz w:val="28"/>
          <w:szCs w:val="28"/>
        </w:rPr>
        <w:t>说明：</w:t>
      </w:r>
    </w:p>
    <w:p>
      <w:pPr>
        <w:adjustRightInd w:val="0"/>
        <w:spacing w:line="400" w:lineRule="exact"/>
        <w:ind w:firstLine="560" w:firstLineChars="200"/>
        <w:rPr>
          <w:rFonts w:ascii="宋体"/>
          <w:sz w:val="28"/>
          <w:szCs w:val="28"/>
        </w:rPr>
      </w:pPr>
      <w:r>
        <w:rPr>
          <w:rFonts w:hint="eastAsia" w:ascii="宋体"/>
          <w:sz w:val="28"/>
          <w:szCs w:val="28"/>
        </w:rPr>
        <w:t>1.本一览表中的各项技术参数和规格要求如出现引用某一特定的专利技术、商标、名称、设计、原产地或供应者等情况，则仅起参考作用。投标人可选用实质上“相当于”或“优于”该参考技术规格要求的产品投标，同时填写技术规格偏离表。</w:t>
      </w:r>
    </w:p>
    <w:p>
      <w:pPr>
        <w:adjustRightInd w:val="0"/>
        <w:snapToGrid w:val="0"/>
        <w:spacing w:line="400" w:lineRule="exact"/>
        <w:ind w:firstLine="560" w:firstLineChars="200"/>
        <w:rPr>
          <w:rFonts w:ascii="宋体"/>
          <w:sz w:val="28"/>
          <w:szCs w:val="28"/>
        </w:rPr>
      </w:pPr>
      <w:r>
        <w:rPr>
          <w:rFonts w:hint="eastAsia" w:ascii="宋体"/>
          <w:sz w:val="28"/>
          <w:szCs w:val="28"/>
        </w:rPr>
        <w:t>2.凡在“</w:t>
      </w:r>
      <w:r>
        <w:rPr>
          <w:rFonts w:hint="eastAsia" w:ascii="宋体"/>
          <w:b/>
          <w:bCs/>
          <w:sz w:val="28"/>
          <w:szCs w:val="28"/>
        </w:rPr>
        <w:t>技术参数和规格要求</w:t>
      </w:r>
      <w:r>
        <w:rPr>
          <w:rFonts w:hint="eastAsia" w:ascii="宋体"/>
          <w:sz w:val="28"/>
          <w:szCs w:val="28"/>
        </w:rPr>
        <w:t>”中表述为“标配”或“标准配置”的设备，投标人应在投标报价表中将其标配参数详细列明。</w:t>
      </w:r>
    </w:p>
    <w:p>
      <w:pPr>
        <w:widowControl/>
        <w:spacing w:line="400" w:lineRule="exact"/>
        <w:ind w:firstLine="562" w:firstLineChars="200"/>
        <w:rPr>
          <w:rFonts w:hint="eastAsia" w:ascii="宋体"/>
          <w:b/>
          <w:bCs/>
          <w:sz w:val="28"/>
          <w:szCs w:val="28"/>
        </w:rPr>
      </w:pPr>
      <w:r>
        <w:rPr>
          <w:rFonts w:hint="eastAsia" w:ascii="宋体"/>
          <w:b/>
          <w:bCs/>
          <w:sz w:val="28"/>
          <w:szCs w:val="28"/>
        </w:rPr>
        <w:t>3.本货物需求一览表中标注</w:t>
      </w:r>
      <w:bookmarkStart w:id="367" w:name="OLE_LINK4"/>
      <w:r>
        <w:rPr>
          <w:rFonts w:hint="eastAsia" w:ascii="宋体"/>
          <w:b/>
          <w:bCs/>
          <w:sz w:val="28"/>
          <w:szCs w:val="28"/>
        </w:rPr>
        <w:t>★</w:t>
      </w:r>
      <w:bookmarkEnd w:id="367"/>
      <w:r>
        <w:rPr>
          <w:rFonts w:hint="eastAsia" w:ascii="宋体"/>
          <w:b/>
          <w:bCs/>
          <w:sz w:val="28"/>
          <w:szCs w:val="28"/>
        </w:rPr>
        <w:t>号的部分为实质性要求和条件，投标人必须作出满足或者优于原要求和条件的承诺，否则投标无效；标注▲号的部分为重要参数要求，用于第七章评审。</w:t>
      </w:r>
    </w:p>
    <w:p>
      <w:pPr>
        <w:pStyle w:val="2"/>
        <w:numPr>
          <w:ilvl w:val="1"/>
          <w:numId w:val="0"/>
        </w:numPr>
        <w:tabs>
          <w:tab w:val="clear" w:pos="1021"/>
        </w:tabs>
        <w:ind w:left="425" w:leftChars="0"/>
      </w:pPr>
    </w:p>
    <w:p>
      <w:pPr>
        <w:keepLines w:val="0"/>
        <w:pageBreakBefore w:val="0"/>
        <w:kinsoku/>
        <w:wordWrap/>
        <w:overflowPunct/>
        <w:topLinePunct w:val="0"/>
        <w:autoSpaceDE/>
        <w:autoSpaceDN/>
        <w:bidi w:val="0"/>
        <w:spacing w:line="320" w:lineRule="exact"/>
        <w:rPr>
          <w:sz w:val="28"/>
          <w:szCs w:val="28"/>
        </w:rPr>
      </w:pPr>
      <w:bookmarkStart w:id="368" w:name="_Toc31933"/>
      <w:bookmarkStart w:id="369" w:name="_Toc3658"/>
      <w:r>
        <w:rPr>
          <w:rFonts w:hint="eastAsia"/>
          <w:b/>
          <w:bCs/>
          <w:sz w:val="28"/>
          <w:szCs w:val="28"/>
          <w:lang w:val="en-US" w:eastAsia="zh-CN"/>
        </w:rPr>
        <w:t>一、</w:t>
      </w:r>
      <w:r>
        <w:rPr>
          <w:rFonts w:hint="eastAsia"/>
          <w:b/>
          <w:bCs/>
          <w:sz w:val="28"/>
          <w:szCs w:val="28"/>
        </w:rPr>
        <w:t>项目简要概况：</w:t>
      </w:r>
    </w:p>
    <w:p>
      <w:pPr>
        <w:keepLines w:val="0"/>
        <w:pageBreakBefore w:val="0"/>
        <w:widowControl/>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2025年教育部发布的《教育强国建设规划纲要（2024－2035年）》中，明确提出“推进智慧校园建设，探索数字赋能大规模因材施教、创新性教学的有效途径，主动适应学习方式变革”。</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教学条件是学科专业人才培养的重要基础，承载着知识传授、能力培养、创新激发与教育公平的多重使命，是学校现代化办学水平与育人理念的集中体现。教室、设备、平台等构成了教学条件的基座，也是支撑教育教学数字化、智能化、智慧化转型的重要保障。</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rFonts w:hint="eastAsia"/>
          <w:kern w:val="2"/>
          <w:sz w:val="28"/>
          <w:szCs w:val="28"/>
        </w:rPr>
      </w:pPr>
      <w:r>
        <w:rPr>
          <w:rFonts w:hint="eastAsia"/>
          <w:kern w:val="2"/>
          <w:sz w:val="28"/>
          <w:szCs w:val="28"/>
        </w:rPr>
        <w:t>为推动学校教育教学条件提升、智慧化升级，学校启动了智慧教室改造的项目，本项目主要并对原有近20年的教室桌椅进行更换，推进建设各类智慧教室30间为智慧教学提供多种场景，满足多元化的教学和学习需求，更好适应新形态教育教学的需要。为师生开展数智化教学与学习提供先进的物理环境支撑。全面提升教学互动性、场景适应性与技术融合度，为师生提供多元化智慧教学体验。面对新时代，学校将以全面推进教育教学数智化转型为抓手，推动教育教学改革，培养适应数字化时代的复合型人才、拔尖创新人才，服务区域产业高质量发展。</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rFonts w:hint="eastAsia"/>
          <w:kern w:val="2"/>
          <w:sz w:val="28"/>
          <w:szCs w:val="28"/>
        </w:rPr>
      </w:pPr>
    </w:p>
    <w:p>
      <w:pPr>
        <w:keepLines w:val="0"/>
        <w:pageBreakBefore w:val="0"/>
        <w:kinsoku/>
        <w:wordWrap/>
        <w:overflowPunct/>
        <w:topLinePunct w:val="0"/>
        <w:autoSpaceDE/>
        <w:autoSpaceDN/>
        <w:bidi w:val="0"/>
        <w:spacing w:line="320" w:lineRule="exact"/>
        <w:rPr>
          <w:rFonts w:hint="eastAsia" w:ascii="仿宋" w:hAnsi="仿宋" w:eastAsia="仿宋" w:cs="仿宋"/>
          <w:kern w:val="0"/>
          <w:sz w:val="32"/>
          <w:szCs w:val="32"/>
          <w:shd w:val="clear" w:color="auto" w:fill="FFFFFF"/>
          <w:lang w:bidi="ar"/>
        </w:rPr>
      </w:pPr>
      <w:r>
        <w:rPr>
          <w:rFonts w:hint="eastAsia"/>
          <w:b/>
          <w:bCs/>
          <w:sz w:val="28"/>
          <w:szCs w:val="28"/>
          <w:lang w:val="en-US" w:eastAsia="zh-CN"/>
        </w:rPr>
        <w:t>二、</w:t>
      </w:r>
      <w:r>
        <w:rPr>
          <w:rFonts w:hint="eastAsia"/>
          <w:b/>
          <w:bCs/>
          <w:sz w:val="28"/>
          <w:szCs w:val="28"/>
        </w:rPr>
        <w:t>需执行的国家相关标准、行业标准及规范：</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kern w:val="2"/>
          <w:sz w:val="28"/>
          <w:szCs w:val="28"/>
        </w:rPr>
      </w:pPr>
      <w:r>
        <w:rPr>
          <w:rFonts w:hint="eastAsia"/>
          <w:kern w:val="2"/>
          <w:sz w:val="28"/>
          <w:szCs w:val="28"/>
        </w:rPr>
        <w:t>本次采购的前倾斜固定式桌椅，为高校阶梯教室专用连排固定桌椅，与普通独立课桌椅存在显著差异，具体如下：</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kern w:val="2"/>
          <w:sz w:val="28"/>
          <w:szCs w:val="28"/>
        </w:rPr>
      </w:pPr>
      <w:r>
        <w:rPr>
          <w:rFonts w:hint="eastAsia"/>
          <w:kern w:val="2"/>
          <w:sz w:val="28"/>
          <w:szCs w:val="28"/>
        </w:rPr>
        <w:t>结构形式不同：采用整体框架结构，多座位连为一体，非独立单体设计；</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kern w:val="2"/>
          <w:sz w:val="28"/>
          <w:szCs w:val="28"/>
        </w:rPr>
      </w:pPr>
      <w:r>
        <w:rPr>
          <w:rFonts w:hint="eastAsia"/>
          <w:kern w:val="2"/>
          <w:sz w:val="28"/>
          <w:szCs w:val="28"/>
        </w:rPr>
        <w:t>安装方式不同：采用地面固定安装，而非可移动摆放；</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kern w:val="2"/>
          <w:sz w:val="28"/>
          <w:szCs w:val="28"/>
        </w:rPr>
      </w:pPr>
      <w:r>
        <w:rPr>
          <w:rFonts w:hint="eastAsia"/>
          <w:kern w:val="2"/>
          <w:sz w:val="28"/>
          <w:szCs w:val="28"/>
        </w:rPr>
        <w:t>使用场景不同：专为阶梯教室大坡度地面设计，可配合阶梯层高调整坐姿角度；</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kern w:val="2"/>
          <w:sz w:val="28"/>
          <w:szCs w:val="28"/>
        </w:rPr>
      </w:pPr>
      <w:r>
        <w:rPr>
          <w:rFonts w:hint="eastAsia"/>
          <w:kern w:val="2"/>
          <w:sz w:val="28"/>
          <w:szCs w:val="28"/>
        </w:rPr>
        <w:t>功能设计不同：配备座椅前倾复位功能，便于过道通行，为普通课桌椅所不具备。</w:t>
      </w:r>
    </w:p>
    <w:p>
      <w:pPr>
        <w:pStyle w:val="32"/>
        <w:keepLines w:val="0"/>
        <w:pageBreakBefore w:val="0"/>
        <w:kinsoku/>
        <w:wordWrap/>
        <w:overflowPunct/>
        <w:topLinePunct w:val="0"/>
        <w:autoSpaceDE/>
        <w:autoSpaceDN/>
        <w:bidi w:val="0"/>
        <w:adjustRightInd w:val="0"/>
        <w:snapToGrid w:val="0"/>
        <w:spacing w:before="0" w:beforeAutospacing="0" w:after="0" w:afterAutospacing="0" w:line="320" w:lineRule="exact"/>
        <w:ind w:firstLine="560" w:firstLineChars="200"/>
        <w:rPr>
          <w:kern w:val="2"/>
          <w:sz w:val="28"/>
          <w:szCs w:val="28"/>
        </w:rPr>
      </w:pPr>
      <w:r>
        <w:rPr>
          <w:rFonts w:hint="eastAsia"/>
          <w:kern w:val="2"/>
          <w:sz w:val="28"/>
          <w:szCs w:val="28"/>
        </w:rPr>
        <w:t>该前倾斜固定桌椅在设计中充分结合高校阶梯教室使用特点，满足人体工程学要求外，还严格执行以下现行标准：</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一、家具通用、金属家具、课桌椅专用标准</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1.QB/T 4071-2021《课桌椅》</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2.GB/T 3325-2024《金属家具通用技术条件》</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3.GB/T 32487-2016《塑料家具通用技术条件》</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4.GB/T 35607-2024《绿色产品评价 家具》</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二、人造板、板材环保、饰面理化标准</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1.GB 18580-2025《室内装饰装修材料 人造板及其制品中甲醛释放限量》</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2.GB/T 39600-2021《人造板及其制品甲醛释放量分级》</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3.GB/T 4897-2015《刨花板》</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4.GB/T 17657-2022《人造板及饰面人造板理化性能试验方法》</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5.GB/T 9846-2015《普通胶合板》</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三、金属涂层、喷涂、防腐检测标准</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1.GB/T 1732-2020《漆膜耐冲击测定法》</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2.GB/T 9286-2021《色漆和清漆 划格试验》</w:t>
      </w:r>
    </w:p>
    <w:p>
      <w:pPr>
        <w:keepLines w:val="0"/>
        <w:pageBreakBefore w:val="0"/>
        <w:kinsoku/>
        <w:wordWrap/>
        <w:overflowPunct/>
        <w:topLinePunct w:val="0"/>
        <w:autoSpaceDE/>
        <w:autoSpaceDN/>
        <w:bidi w:val="0"/>
        <w:adjustRightInd w:val="0"/>
        <w:snapToGrid w:val="0"/>
        <w:spacing w:line="320" w:lineRule="exact"/>
        <w:ind w:firstLine="560" w:firstLineChars="200"/>
        <w:rPr>
          <w:sz w:val="28"/>
          <w:szCs w:val="28"/>
        </w:rPr>
      </w:pPr>
      <w:r>
        <w:rPr>
          <w:rFonts w:hint="eastAsia"/>
          <w:sz w:val="28"/>
          <w:szCs w:val="28"/>
        </w:rPr>
        <w:t>3.GB/T 10125-2021《人造气氛腐蚀试验 盐雾试验》</w:t>
      </w:r>
    </w:p>
    <w:p>
      <w:pPr>
        <w:keepLines w:val="0"/>
        <w:pageBreakBefore w:val="0"/>
        <w:kinsoku/>
        <w:wordWrap/>
        <w:overflowPunct/>
        <w:topLinePunct w:val="0"/>
        <w:autoSpaceDE/>
        <w:autoSpaceDN/>
        <w:bidi w:val="0"/>
        <w:spacing w:line="320" w:lineRule="exact"/>
        <w:rPr>
          <w:rFonts w:hint="eastAsia" w:ascii="仿宋" w:hAnsi="仿宋" w:eastAsia="仿宋" w:cs="仿宋"/>
          <w:kern w:val="0"/>
          <w:sz w:val="32"/>
          <w:szCs w:val="32"/>
          <w:shd w:val="clear" w:color="auto" w:fill="FFFFFF"/>
          <w:lang w:bidi="ar"/>
        </w:rPr>
      </w:pPr>
    </w:p>
    <w:p>
      <w:pPr>
        <w:keepLines w:val="0"/>
        <w:pageBreakBefore w:val="0"/>
        <w:kinsoku/>
        <w:wordWrap/>
        <w:overflowPunct/>
        <w:topLinePunct w:val="0"/>
        <w:autoSpaceDE/>
        <w:autoSpaceDN/>
        <w:bidi w:val="0"/>
        <w:spacing w:line="320" w:lineRule="exact"/>
        <w:rPr>
          <w:b/>
          <w:bCs/>
          <w:sz w:val="28"/>
          <w:szCs w:val="28"/>
        </w:rPr>
      </w:pPr>
      <w:r>
        <w:rPr>
          <w:rFonts w:hint="eastAsia"/>
          <w:b/>
          <w:bCs/>
          <w:sz w:val="28"/>
          <w:szCs w:val="28"/>
          <w:lang w:val="en-US" w:eastAsia="zh-CN"/>
        </w:rPr>
        <w:t>三、</w:t>
      </w:r>
      <w:r>
        <w:rPr>
          <w:rFonts w:hint="eastAsia"/>
          <w:b/>
          <w:bCs/>
          <w:sz w:val="28"/>
          <w:szCs w:val="28"/>
        </w:rPr>
        <w:t>商品包装和快递包装要求：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涉及的商品包装和快递包装，均应符合《商品包装政府采购需求标准（试行）》《快递包装政府采购需求标准（试行）》的要求，包装应适应于远距离运输、防潮、防震、防锈和防野蛮装卸，以确保货物安全无损运抵指定地点。</w:t>
      </w:r>
    </w:p>
    <w:p>
      <w:pPr>
        <w:keepLines w:val="0"/>
        <w:pageBreakBefore w:val="0"/>
        <w:kinsoku/>
        <w:wordWrap/>
        <w:overflowPunct/>
        <w:topLinePunct w:val="0"/>
        <w:autoSpaceDE/>
        <w:autoSpaceDN/>
        <w:bidi w:val="0"/>
        <w:spacing w:line="320" w:lineRule="exact"/>
        <w:ind w:firstLine="560" w:firstLineChars="200"/>
        <w:rPr>
          <w:rFonts w:hint="eastAsia"/>
          <w:sz w:val="28"/>
          <w:szCs w:val="28"/>
        </w:rPr>
      </w:pPr>
      <w:r>
        <w:rPr>
          <w:rFonts w:hint="eastAsia"/>
          <w:sz w:val="28"/>
          <w:szCs w:val="28"/>
        </w:rPr>
        <w:t>2.按照《关于印发&lt;商品包装政府采购需求标准（试行）&gt;、&lt;快递包装政府采购需求标准（试行）&gt;的通知》(财办库〔2020〕123 号）要求，中标人提供的产品包装和快递包装需符合《商品包装政府采购需求标准（试行）》、《快递包装政府采购需求标准（试行）》相关要求。</w:t>
      </w:r>
    </w:p>
    <w:p>
      <w:pPr>
        <w:pStyle w:val="2"/>
        <w:keepLines w:val="0"/>
        <w:pageBreakBefore w:val="0"/>
        <w:numPr>
          <w:ilvl w:val="1"/>
          <w:numId w:val="0"/>
        </w:numPr>
        <w:tabs>
          <w:tab w:val="clear" w:pos="1021"/>
        </w:tabs>
        <w:kinsoku/>
        <w:wordWrap/>
        <w:overflowPunct/>
        <w:topLinePunct w:val="0"/>
        <w:autoSpaceDE/>
        <w:autoSpaceDN/>
        <w:bidi w:val="0"/>
        <w:spacing w:line="320" w:lineRule="exact"/>
        <w:ind w:left="425" w:leftChars="0"/>
      </w:pPr>
    </w:p>
    <w:p>
      <w:pPr>
        <w:keepLines w:val="0"/>
        <w:pageBreakBefore w:val="0"/>
        <w:kinsoku/>
        <w:wordWrap/>
        <w:overflowPunct/>
        <w:topLinePunct w:val="0"/>
        <w:autoSpaceDE/>
        <w:autoSpaceDN/>
        <w:bidi w:val="0"/>
        <w:spacing w:line="320" w:lineRule="exact"/>
        <w:rPr>
          <w:b/>
          <w:bCs/>
          <w:sz w:val="28"/>
          <w:szCs w:val="28"/>
        </w:rPr>
      </w:pPr>
      <w:r>
        <w:rPr>
          <w:rFonts w:hint="eastAsia"/>
          <w:b/>
          <w:bCs/>
          <w:sz w:val="28"/>
          <w:szCs w:val="28"/>
          <w:lang w:val="en-US" w:eastAsia="zh-CN"/>
        </w:rPr>
        <w:t>四、</w:t>
      </w:r>
      <w:r>
        <w:rPr>
          <w:rFonts w:hint="eastAsia"/>
          <w:b/>
          <w:bCs/>
          <w:sz w:val="28"/>
          <w:szCs w:val="28"/>
        </w:rPr>
        <w:t>质量及售后服务要求：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1.质量要求：所提供产品需严格按照配置要求及参数要求进行，投标人提供的货物或服务均需满⾜招标⽂件中的配置要求及参数要求。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2.投标人需提供前倾斜固定桌椅、组合学习课桌椅、教学辅助设施公共休闲空间配套定制家具等产品详细具体的项目实施方案，满足项目的实际使用需要。</w:t>
      </w:r>
    </w:p>
    <w:p>
      <w:pPr>
        <w:keepLines w:val="0"/>
        <w:pageBreakBefore w:val="0"/>
        <w:kinsoku/>
        <w:wordWrap/>
        <w:overflowPunct/>
        <w:topLinePunct w:val="0"/>
        <w:autoSpaceDE/>
        <w:autoSpaceDN/>
        <w:bidi w:val="0"/>
        <w:spacing w:line="320" w:lineRule="exact"/>
        <w:ind w:firstLine="560" w:firstLineChars="200"/>
        <w:rPr>
          <w:sz w:val="28"/>
          <w:szCs w:val="28"/>
          <w:u w:val="single"/>
        </w:rPr>
      </w:pPr>
      <w:r>
        <w:rPr>
          <w:rFonts w:hint="eastAsia"/>
          <w:sz w:val="28"/>
          <w:szCs w:val="28"/>
          <w:u w:val="single"/>
        </w:rPr>
        <w:t>3.</w:t>
      </w:r>
      <w:r>
        <w:rPr>
          <w:rFonts w:hint="eastAsia"/>
          <w:b/>
          <w:bCs/>
          <w:sz w:val="28"/>
          <w:szCs w:val="28"/>
          <w:u w:val="single"/>
        </w:rPr>
        <w:t>★中标人在签订合同阶段，须提交适配各教室实际使用需求的桌椅最终平面布置图作为技术附件，由招标人审核确认无误后，方可组织生产加工。招标人有权根据现场教学及使用需求，自主调整桌椅组合形式数量与整体摆放布局，中标人须配合执行。投标人须就此条款单独出具承诺书。（格式自拟）</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4.售后服务要求：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4.1桌椅到货安装验收合格后十五年内，提供非学校原因造成的损坏的免费维护维修；插座类硬件设备安装验收合格后五年内，提供非学校原因造成的损坏的免费维护维修；</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4.2服务期满后，中标人须提供终身设备有偿维修维护服务，中标人应储备相关产品零部件，以备维修使用，并承诺于进货价格提供易损件；</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4.3维护人员接到用户请求后，一般在1小时内联系报障人了解故障详情，并在当不能电话或者远程无法解决用户问题时，应在3个工作日内到用户现场进行处理；</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4.4中标人须对所销售的家具在使用过程中进行不少于2次的维护保养；</w:t>
      </w:r>
    </w:p>
    <w:p>
      <w:pPr>
        <w:keepLines w:val="0"/>
        <w:pageBreakBefore w:val="0"/>
        <w:kinsoku/>
        <w:wordWrap/>
        <w:overflowPunct/>
        <w:topLinePunct w:val="0"/>
        <w:autoSpaceDE/>
        <w:autoSpaceDN/>
        <w:bidi w:val="0"/>
        <w:spacing w:line="320" w:lineRule="exact"/>
        <w:ind w:firstLine="562" w:firstLineChars="200"/>
        <w:rPr>
          <w:rFonts w:hint="eastAsia"/>
          <w:b/>
          <w:bCs/>
          <w:sz w:val="28"/>
          <w:szCs w:val="28"/>
          <w:u w:val="single"/>
        </w:rPr>
      </w:pPr>
      <w:r>
        <w:rPr>
          <w:rFonts w:hint="eastAsia"/>
          <w:b/>
          <w:bCs/>
          <w:sz w:val="28"/>
          <w:szCs w:val="28"/>
          <w:u w:val="single"/>
        </w:rPr>
        <w:t>4.5★本次原有教室课桌椅拆除（放置在本校区内）、采购所有产品的安装工作均由中标人组织完成，安装过程须进行保护性安装，保护教室房间已有装修（墙面、地面），如发生损坏，中标人负责无条件更换或赔偿。采购人不承担任何因安装工作导致的费用增加或工期延长的责任，产品安装完毕后，中标人的安装人员须将废弃包装纸皮、木材、捆扎带等打包带走并将教室房间卫生打扫干净。（提供书面承诺）。</w:t>
      </w:r>
    </w:p>
    <w:p>
      <w:pPr>
        <w:pStyle w:val="2"/>
        <w:keepLines w:val="0"/>
        <w:pageBreakBefore w:val="0"/>
        <w:numPr>
          <w:ilvl w:val="1"/>
          <w:numId w:val="0"/>
        </w:numPr>
        <w:tabs>
          <w:tab w:val="clear" w:pos="1021"/>
        </w:tabs>
        <w:kinsoku/>
        <w:wordWrap/>
        <w:overflowPunct/>
        <w:topLinePunct w:val="0"/>
        <w:autoSpaceDE/>
        <w:autoSpaceDN/>
        <w:bidi w:val="0"/>
        <w:spacing w:line="320" w:lineRule="exact"/>
        <w:ind w:left="425" w:leftChars="0"/>
      </w:pPr>
    </w:p>
    <w:p>
      <w:pPr>
        <w:keepLines w:val="0"/>
        <w:pageBreakBefore w:val="0"/>
        <w:kinsoku/>
        <w:wordWrap/>
        <w:overflowPunct/>
        <w:topLinePunct w:val="0"/>
        <w:autoSpaceDE/>
        <w:autoSpaceDN/>
        <w:bidi w:val="0"/>
        <w:spacing w:line="320" w:lineRule="exact"/>
        <w:rPr>
          <w:b/>
          <w:bCs/>
          <w:sz w:val="28"/>
          <w:szCs w:val="28"/>
        </w:rPr>
      </w:pPr>
      <w:bookmarkStart w:id="370" w:name="_Toc26023"/>
      <w:bookmarkStart w:id="371" w:name="_Toc17092"/>
      <w:r>
        <w:rPr>
          <w:rFonts w:hint="eastAsia"/>
          <w:b/>
          <w:bCs/>
          <w:sz w:val="28"/>
          <w:szCs w:val="28"/>
          <w:lang w:val="en-US" w:eastAsia="zh-CN"/>
        </w:rPr>
        <w:t>五、</w:t>
      </w:r>
      <w:r>
        <w:rPr>
          <w:rFonts w:hint="eastAsia"/>
          <w:b/>
          <w:bCs/>
          <w:sz w:val="28"/>
          <w:szCs w:val="28"/>
        </w:rPr>
        <w:t>验收要求</w:t>
      </w:r>
      <w:bookmarkEnd w:id="370"/>
      <w:bookmarkEnd w:id="371"/>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1.验收要求：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1.1家具质量满足合同要求，功能达到使用要求；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1.2产品到达用户方指定地点安装调试完毕后，由中标人提出申请，采购部门牵头组织，相关部门配合，对照合同、招标文件技术标准和要求以及中标人的承诺进行验收。验收合格后，验收组在十日内出具验收报告。如中标人不提出验收申请或者中标人不参与验收的，视为中标人未按时向用户方交付货物，用户方有权单独进行验收，中标人无条件接受用户方的验收结果。</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1.3中标人应将产品的装箱清单、配件、随机工具、用户使用手册、原厂保修卡（手册）等资料随产品全部交付给用户方，使用操作及安全须知等重要资料应使用中文；中标人不能完整交付产品或本款规定的单证或工具的，必须负责补齐，否则视为未按合同交货；</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1.4中标人应提供产品合格证或有关机构出具的产品检测检验报告；用户方在验收过程中如果发现有与合同规定不符的，应在五个工作日内以书面形式通知中标人，用户方未按规定期限通知中标人并且未按时出具验收报告或验收单的，视为用户方同意验收；</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1.5中标人在收到用户方书面通知后，应在五天内予以纠正或补救，未及时采取纠正或补救措施的，视为中标人违约，中标人应承担违约责任；</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1.6用户方组成验收小组按国家或行业有关规定规范进行验收，必要时邀请相关的专业人员或机构参与验收；</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1.7货物验收前，中标人所提供的产品的所有潜在风险由中标人承担；</w:t>
      </w:r>
    </w:p>
    <w:p>
      <w:pPr>
        <w:keepLines w:val="0"/>
        <w:pageBreakBefore w:val="0"/>
        <w:kinsoku/>
        <w:wordWrap/>
        <w:overflowPunct/>
        <w:topLinePunct w:val="0"/>
        <w:autoSpaceDE/>
        <w:autoSpaceDN/>
        <w:bidi w:val="0"/>
        <w:spacing w:line="320" w:lineRule="exact"/>
        <w:rPr>
          <w:b/>
          <w:bCs/>
          <w:sz w:val="28"/>
          <w:szCs w:val="28"/>
        </w:rPr>
      </w:pPr>
      <w:r>
        <w:rPr>
          <w:rFonts w:hint="eastAsia"/>
          <w:b/>
          <w:bCs/>
          <w:sz w:val="28"/>
          <w:szCs w:val="28"/>
          <w:lang w:val="en-US" w:eastAsia="zh-CN"/>
        </w:rPr>
        <w:t>六、</w:t>
      </w:r>
      <w:r>
        <w:rPr>
          <w:rFonts w:hint="eastAsia"/>
          <w:b/>
          <w:bCs/>
          <w:sz w:val="28"/>
          <w:szCs w:val="28"/>
        </w:rPr>
        <w:t>其他技术、服务要求：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1.与用户方进行充分沟通，清晰了解用户方的各类要求；</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2.问题解决应及时可靠，不能因设计或办事人员不到位等原因，影响学校开展教学工作；</w:t>
      </w:r>
    </w:p>
    <w:p>
      <w:pPr>
        <w:keepLines w:val="0"/>
        <w:pageBreakBefore w:val="0"/>
        <w:kinsoku/>
        <w:wordWrap/>
        <w:overflowPunct/>
        <w:topLinePunct w:val="0"/>
        <w:autoSpaceDE/>
        <w:autoSpaceDN/>
        <w:bidi w:val="0"/>
        <w:spacing w:line="320" w:lineRule="exact"/>
        <w:ind w:firstLine="560" w:firstLineChars="200"/>
        <w:rPr>
          <w:sz w:val="28"/>
          <w:szCs w:val="28"/>
        </w:rPr>
      </w:pPr>
      <w:r>
        <w:rPr>
          <w:rFonts w:hint="eastAsia"/>
          <w:sz w:val="28"/>
          <w:szCs w:val="28"/>
        </w:rPr>
        <w:t>3.设立专用的固定电话接受用户咨询，提供此项目所有负责人员的本地手机服务支持；</w:t>
      </w:r>
    </w:p>
    <w:p>
      <w:pPr>
        <w:keepLines w:val="0"/>
        <w:pageBreakBefore w:val="0"/>
        <w:widowControl/>
        <w:kinsoku/>
        <w:wordWrap/>
        <w:overflowPunct/>
        <w:topLinePunct w:val="0"/>
        <w:autoSpaceDE/>
        <w:autoSpaceDN/>
        <w:bidi w:val="0"/>
        <w:spacing w:line="320" w:lineRule="exact"/>
        <w:ind w:firstLine="560" w:firstLineChars="200"/>
        <w:textAlignment w:val="center"/>
        <w:rPr>
          <w:rFonts w:hint="eastAsia"/>
          <w:sz w:val="28"/>
          <w:szCs w:val="28"/>
          <w:lang w:val="en-US" w:eastAsia="zh-CN"/>
        </w:rPr>
      </w:pPr>
      <w:r>
        <w:rPr>
          <w:rFonts w:hint="eastAsia"/>
          <w:sz w:val="28"/>
          <w:szCs w:val="28"/>
        </w:rPr>
        <w:t>4.中标人必须确保货物及所有配套件的完整性。对于招标文件没有列出，而对货物的正常使用和维护必不可少的且属于货物需求配带的部件、配件等，中标人有责任给予补充并包含在项目报价当中，</w:t>
      </w:r>
      <w:r>
        <w:rPr>
          <w:rFonts w:hint="eastAsia"/>
          <w:sz w:val="28"/>
          <w:szCs w:val="28"/>
          <w:lang w:val="en-US" w:eastAsia="zh-CN"/>
        </w:rPr>
        <w:t>采购人</w:t>
      </w:r>
      <w:r>
        <w:rPr>
          <w:rFonts w:hint="eastAsia"/>
          <w:sz w:val="28"/>
          <w:szCs w:val="28"/>
        </w:rPr>
        <w:t>不再支付额外费</w:t>
      </w:r>
      <w:r>
        <w:rPr>
          <w:rFonts w:hint="eastAsia"/>
          <w:sz w:val="28"/>
          <w:szCs w:val="28"/>
          <w:lang w:val="en-US" w:eastAsia="zh-CN"/>
        </w:rPr>
        <w:t>用。</w:t>
      </w:r>
    </w:p>
    <w:p>
      <w:pPr>
        <w:keepLines w:val="0"/>
        <w:pageBreakBefore w:val="0"/>
        <w:widowControl/>
        <w:kinsoku/>
        <w:wordWrap/>
        <w:overflowPunct/>
        <w:topLinePunct w:val="0"/>
        <w:autoSpaceDE/>
        <w:autoSpaceDN/>
        <w:bidi w:val="0"/>
        <w:spacing w:line="320" w:lineRule="exact"/>
        <w:ind w:firstLine="560" w:firstLineChars="200"/>
        <w:textAlignment w:val="center"/>
        <w:rPr>
          <w:rFonts w:hint="default"/>
          <w:sz w:val="28"/>
          <w:szCs w:val="28"/>
          <w:lang w:val="en-US" w:eastAsia="zh-CN"/>
        </w:rPr>
      </w:pPr>
      <w:r>
        <w:rPr>
          <w:rFonts w:hint="eastAsia"/>
          <w:sz w:val="28"/>
          <w:szCs w:val="28"/>
          <w:lang w:val="en-US" w:eastAsia="zh-CN"/>
        </w:rPr>
        <w:t>5.本项目教室及公共空间户型参考图详见招标文件附件。</w:t>
      </w:r>
    </w:p>
    <w:p>
      <w:pPr>
        <w:rPr>
          <w:rFonts w:hint="eastAsia"/>
          <w:lang w:val="en-US" w:eastAsia="zh-CN"/>
        </w:rPr>
        <w:sectPr>
          <w:pgSz w:w="11906" w:h="16838"/>
          <w:pgMar w:top="1418" w:right="1134" w:bottom="1134" w:left="1418" w:header="936" w:footer="720" w:gutter="0"/>
          <w:cols w:space="720" w:num="1"/>
          <w:docGrid w:linePitch="331" w:charSpace="0"/>
        </w:sectPr>
      </w:pPr>
      <w:r>
        <w:rPr>
          <w:rFonts w:hint="eastAsia"/>
          <w:lang w:val="en-US" w:eastAsia="zh-CN"/>
        </w:rPr>
        <w:br w:type="textWrapping"/>
      </w:r>
    </w:p>
    <w:p>
      <w:pPr>
        <w:rPr>
          <w:rFonts w:hint="eastAsia"/>
          <w:lang w:val="en-US" w:eastAsia="zh-CN"/>
        </w:rPr>
      </w:pPr>
      <w:r>
        <w:rPr>
          <w:rFonts w:hint="eastAsia"/>
          <w:b/>
          <w:bCs/>
          <w:sz w:val="28"/>
          <w:szCs w:val="28"/>
          <w:lang w:val="en-US" w:eastAsia="zh-CN"/>
        </w:rPr>
        <w:t>七、样品清单及制作标准和要求</w:t>
      </w:r>
    </w:p>
    <w:tbl>
      <w:tblPr>
        <w:tblStyle w:val="38"/>
        <w:tblW w:w="14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419"/>
        <w:gridCol w:w="713"/>
        <w:gridCol w:w="750"/>
        <w:gridCol w:w="3000"/>
        <w:gridCol w:w="5512"/>
        <w:gridCol w:w="1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trPr>
        <w:tc>
          <w:tcPr>
            <w:tcW w:w="754" w:type="dxa"/>
            <w:vAlign w:val="center"/>
          </w:tcPr>
          <w:p>
            <w:pPr>
              <w:pStyle w:val="32"/>
              <w:spacing w:before="0" w:beforeAutospacing="0" w:after="0" w:afterAutospacing="0"/>
              <w:jc w:val="center"/>
              <w:rPr>
                <w:rFonts w:hint="eastAsia" w:ascii="宋体" w:hAnsi="宋体" w:cs="仿宋_GB2312"/>
                <w:kern w:val="2"/>
                <w:szCs w:val="22"/>
              </w:rPr>
            </w:pPr>
            <w:r>
              <w:rPr>
                <w:rFonts w:hint="eastAsia" w:ascii="宋体" w:hAnsi="宋体" w:cs="仿宋_GB2312"/>
                <w:kern w:val="2"/>
                <w:szCs w:val="22"/>
              </w:rPr>
              <w:t>序号</w:t>
            </w:r>
          </w:p>
        </w:tc>
        <w:tc>
          <w:tcPr>
            <w:tcW w:w="1419" w:type="dxa"/>
            <w:vAlign w:val="center"/>
          </w:tcPr>
          <w:p>
            <w:pPr>
              <w:jc w:val="center"/>
              <w:rPr>
                <w:rFonts w:hint="eastAsia" w:ascii="宋体" w:hAnsi="宋体" w:cs="仿宋_GB2312"/>
                <w:sz w:val="24"/>
                <w:szCs w:val="22"/>
              </w:rPr>
            </w:pPr>
            <w:r>
              <w:rPr>
                <w:rFonts w:hint="eastAsia" w:ascii="宋体" w:hAnsi="宋体" w:cs="仿宋_GB2312"/>
                <w:sz w:val="24"/>
                <w:szCs w:val="22"/>
              </w:rPr>
              <w:t>样品名称</w:t>
            </w:r>
          </w:p>
        </w:tc>
        <w:tc>
          <w:tcPr>
            <w:tcW w:w="713" w:type="dxa"/>
            <w:vAlign w:val="center"/>
          </w:tcPr>
          <w:p>
            <w:pPr>
              <w:pStyle w:val="32"/>
              <w:spacing w:before="0" w:beforeAutospacing="0" w:after="0" w:afterAutospacing="0"/>
              <w:jc w:val="center"/>
              <w:rPr>
                <w:rFonts w:hint="eastAsia" w:ascii="宋体" w:hAnsi="宋体" w:cs="仿宋_GB2312"/>
                <w:kern w:val="2"/>
                <w:szCs w:val="22"/>
              </w:rPr>
            </w:pPr>
            <w:r>
              <w:rPr>
                <w:rFonts w:hint="eastAsia" w:ascii="宋体" w:hAnsi="宋体" w:cs="仿宋_GB2312"/>
                <w:kern w:val="2"/>
                <w:szCs w:val="22"/>
              </w:rPr>
              <w:t>数量</w:t>
            </w:r>
          </w:p>
        </w:tc>
        <w:tc>
          <w:tcPr>
            <w:tcW w:w="750" w:type="dxa"/>
            <w:vAlign w:val="center"/>
          </w:tcPr>
          <w:p>
            <w:pPr>
              <w:pStyle w:val="32"/>
              <w:spacing w:before="0" w:beforeAutospacing="0" w:after="0" w:afterAutospacing="0"/>
              <w:jc w:val="center"/>
              <w:rPr>
                <w:rFonts w:hint="eastAsia" w:ascii="宋体" w:hAnsi="宋体" w:cs="仿宋_GB2312"/>
                <w:kern w:val="2"/>
                <w:szCs w:val="22"/>
              </w:rPr>
            </w:pPr>
            <w:r>
              <w:rPr>
                <w:rFonts w:hint="eastAsia" w:ascii="宋体" w:hAnsi="宋体" w:cs="仿宋_GB2312"/>
                <w:kern w:val="2"/>
                <w:szCs w:val="22"/>
              </w:rPr>
              <w:t>单位</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规格</w:t>
            </w:r>
          </w:p>
        </w:tc>
        <w:tc>
          <w:tcPr>
            <w:tcW w:w="5512" w:type="dxa"/>
            <w:vAlign w:val="center"/>
          </w:tcPr>
          <w:p>
            <w:pPr>
              <w:pStyle w:val="32"/>
              <w:spacing w:before="0" w:beforeAutospacing="0" w:after="0" w:afterAutospacing="0"/>
              <w:ind w:right="-63" w:rightChars="-30"/>
              <w:jc w:val="center"/>
              <w:rPr>
                <w:rFonts w:hint="eastAsia" w:ascii="宋体" w:hAnsi="宋体" w:cs="仿宋_GB2312"/>
                <w:kern w:val="2"/>
                <w:szCs w:val="22"/>
              </w:rPr>
            </w:pPr>
            <w:r>
              <w:rPr>
                <w:rFonts w:hint="eastAsia" w:ascii="宋体" w:hAnsi="宋体" w:cs="仿宋_GB2312"/>
                <w:kern w:val="2"/>
                <w:szCs w:val="22"/>
              </w:rPr>
              <w:t>制作标准和要求</w:t>
            </w:r>
          </w:p>
        </w:tc>
        <w:tc>
          <w:tcPr>
            <w:tcW w:w="1913" w:type="dxa"/>
            <w:vAlign w:val="center"/>
          </w:tcPr>
          <w:p>
            <w:pPr>
              <w:pStyle w:val="32"/>
              <w:spacing w:before="0" w:beforeAutospacing="0" w:after="0" w:afterAutospacing="0"/>
              <w:jc w:val="center"/>
              <w:rPr>
                <w:rFonts w:hint="eastAsia" w:ascii="宋体" w:hAnsi="宋体" w:cs="仿宋_GB2312"/>
                <w:kern w:val="2"/>
                <w:szCs w:val="22"/>
              </w:rPr>
            </w:pPr>
            <w:r>
              <w:rPr>
                <w:rFonts w:hint="eastAsia" w:ascii="宋体" w:hAnsi="宋体" w:cs="仿宋_GB2312"/>
                <w:kern w:val="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4"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1</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前倾斜固定桌椅桌腿立管</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2</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根</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桌腿规格：长600mm（±5mm）。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桌腿立管采用闭合钢管制作，截面正面尺寸100mm（±5mm）,侧面外观尺寸50mm（±5mm），管材背后加强面宽度70mm（±5mm），厚度不小于1.5mm截面。</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原材料裸材1根。表面喷涂处理1根。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2</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前倾斜固定桌椅桌腿底脚</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2</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块</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底脚规格：长度280mm（±5mm）, 宽度98mm（±5mm）， 高度30mm（±5mm）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底脚长度280mm（±5mm）, 宽度98mm（±5mm）， 高度30mm（±5mm） 厚度为不小于2mm，PP材质地爆装饰盖尺寸为166*52*35mm（±5mm）。</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原材料裸材1块。表面喷涂处理1块。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3</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前倾斜固定桌椅椅子站脚底座</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2</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块</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底座规格：248mmx218mm（±5mm）,底座高度75mm（±5mm）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椅子站脚底座：须采用铝合金材料经模具压铸成型，底座尺寸为248mmx218mm（±5mm）,底座高度75mm（±5mm）,铝合金底座净重量不小于800g，四枚不锈钢顶爆螺丝与地面紧固，增强受力面积及确保牢固度，表面经高温静电喷粉处理，并配有塑料材质的地爆螺丝装饰盖。</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原材料裸材1块。表面喷涂处理1块。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4</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前倾斜固定桌椅椅子椅座支撑组件</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块</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椅座支撑规格：长度263mm（±5mm）, 宽度248mm（±5mm）, 高度53mm（±5mm）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椅座支撑组件：采用铝合金一体压铸成型，长度263mm（±5mm）, 宽度248mm（±5mm）, 高度53mm（±5mm）,椅座支撑不小于4个着力点的位置厚度最厚的地方不小于20mm ,最薄的是不小于14mm，表面经静电喷粉工艺处理，与椅座采用穿透式的连接方式，以确保牢固度。</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5</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前倾斜固定桌椅椅子站脚立柱</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组</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规格：长度82mm（±5mm）,宽度87mm（±5mm）,高度377mm（±5mm）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站脚立柱：采用前后两个C型不小于2.5mm厚钢板冲压焊接成型组件，规格：长度82mm（±5mm）,宽度87mm（±5mm）,高度377mm（±5mm）与铝合金站脚底座及椅座支撑组件组合成型，内配有受力及限位机构。</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6</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前倾斜固定桌椅座椅回复机构</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套</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站脚立柱和站脚底座组合展示部件</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座椅回复机构：采用双程式重力自动回复机构并配置阻尼缓冲装置，通过四轴联动结构实现座椅前后倾仰功能，座椅倾仰及回复过程平滑顺畅。</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可直观展示回复机构内部阻尼缓冲装置。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7</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组合学习课桌台面板</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块</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规格：长度600mm（±5mm）,宽度450mm（±5mm），厚度不小于18mm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台面板：规格长度600mm（±5mm）,宽度450mm（±5mm），厚度不小于18mm，不低于E0 级三胺刨花板经模具注塑成型，3D造型，防水不脱边，前端设置长条状笔槽，靠胸部位带圆弧保护弧形，符合人体工学设计，注塑封边圆滑美观；</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台面板任意截角一处可直观展示板材材质结构。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8</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组合学习课桌站管</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根</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规格：直径不小于50mm 的异型D形钢管</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站管：采用直径不小于50mm 的异型D形钢管</w:t>
            </w:r>
            <w:r>
              <w:rPr>
                <w:rFonts w:ascii="宋体" w:hAnsi="宋体" w:cs="宋体"/>
                <w:sz w:val="21"/>
                <w:szCs w:val="21"/>
                <w:highlight w:val="none"/>
                <w:lang w:eastAsia="zh-CN"/>
              </w:rPr>
              <w:t>，壁厚不小于1.5mm；</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9</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组合学习课桌底部底脚：</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件</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规格为长度445mm（±5mm）宽度75mm（±5mm），高度57mm（±5mm）。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底部底脚：采用铝合金材质经模具一次性压铸成型，规格为长度445mm（±5mm）宽度75mm（±5mm），高度57mm（±5mm）。站脚两端为圆弧设计。中间预留与站管紧密连接D形凹槽。底部预留穿透固定不小于10mm螺杆孔。便于对接插入的站管，牢固安全美观，带可移动活动轮设计。</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原材料裸材1件。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10</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组合学习课椅座板</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 xml:space="preserve">个 </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规格:长度425mm（±5mm），宽度413（±5mm），高度45mm（±5mm）。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座板:采用改性 PP（聚丙烯）材料经模具压注成型，具有良好的力学性能。尺寸:长度425mm（±5mm），宽度413（±5mm），高度45mm（±5mm）。</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材料小样：塑料件1个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trPr>
        <w:tc>
          <w:tcPr>
            <w:tcW w:w="754" w:type="dxa"/>
            <w:vAlign w:val="center"/>
          </w:tcPr>
          <w:p>
            <w:pPr>
              <w:widowControl/>
              <w:spacing w:line="360" w:lineRule="exact"/>
              <w:jc w:val="center"/>
              <w:textAlignment w:val="center"/>
              <w:rPr>
                <w:rFonts w:hint="eastAsia" w:ascii="宋体" w:hAnsi="宋体" w:cs="仿宋_GB2312"/>
                <w:sz w:val="24"/>
                <w:szCs w:val="22"/>
              </w:rPr>
            </w:pPr>
            <w:r>
              <w:rPr>
                <w:rFonts w:hint="eastAsia" w:ascii="宋体" w:hAnsi="宋体" w:cs="仿宋_GB2312"/>
                <w:sz w:val="24"/>
                <w:szCs w:val="22"/>
              </w:rPr>
              <w:t>11</w:t>
            </w:r>
          </w:p>
        </w:tc>
        <w:tc>
          <w:tcPr>
            <w:tcW w:w="1419"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组合学习课椅椅背</w:t>
            </w:r>
          </w:p>
        </w:tc>
        <w:tc>
          <w:tcPr>
            <w:tcW w:w="7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1</w:t>
            </w:r>
          </w:p>
        </w:tc>
        <w:tc>
          <w:tcPr>
            <w:tcW w:w="75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个</w:t>
            </w:r>
          </w:p>
        </w:tc>
        <w:tc>
          <w:tcPr>
            <w:tcW w:w="3000"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椅背顶部宽度为440mm（±5mm）,底部宽度为482mm（±5mm）。</w:t>
            </w:r>
          </w:p>
        </w:tc>
        <w:tc>
          <w:tcPr>
            <w:tcW w:w="5512"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椅背设有不规则透气孔,椅背顶部宽度为440mm（±5mm）,底部宽度为482mm（±5mm）。</w:t>
            </w:r>
          </w:p>
        </w:tc>
        <w:tc>
          <w:tcPr>
            <w:tcW w:w="1913" w:type="dxa"/>
            <w:vAlign w:val="center"/>
          </w:tcPr>
          <w:p>
            <w:pPr>
              <w:pStyle w:val="113"/>
              <w:rPr>
                <w:rFonts w:ascii="宋体" w:hAnsi="宋体" w:cs="仿宋_GB2312"/>
                <w:kern w:val="2"/>
                <w:sz w:val="24"/>
                <w:szCs w:val="22"/>
                <w:lang w:eastAsia="zh-CN"/>
              </w:rPr>
            </w:pPr>
            <w:r>
              <w:rPr>
                <w:rFonts w:ascii="宋体" w:hAnsi="宋体" w:cs="宋体"/>
                <w:sz w:val="21"/>
                <w:szCs w:val="21"/>
                <w:lang w:eastAsia="zh-CN"/>
              </w:rPr>
              <w:t>材料小样：塑料件1个</w:t>
            </w:r>
          </w:p>
        </w:tc>
      </w:tr>
    </w:tbl>
    <w:p>
      <w:pPr>
        <w:rPr>
          <w:rFonts w:ascii="宋体" w:hAnsi="宋体" w:cs="宋体"/>
          <w:szCs w:val="21"/>
        </w:rPr>
      </w:pPr>
    </w:p>
    <w:p>
      <w:pPr>
        <w:rPr>
          <w:rFonts w:hint="eastAsia" w:ascii="宋体" w:hAnsi="宋体" w:cs="宋体"/>
          <w:szCs w:val="21"/>
        </w:rPr>
      </w:pPr>
      <w:r>
        <w:rPr>
          <w:rFonts w:ascii="宋体" w:hAnsi="宋体" w:cs="宋体"/>
          <w:szCs w:val="21"/>
        </w:rPr>
        <w:t>注：</w:t>
      </w:r>
      <w:r>
        <w:rPr>
          <w:rFonts w:hint="eastAsia" w:ascii="宋体" w:hAnsi="宋体" w:cs="宋体"/>
          <w:szCs w:val="21"/>
        </w:rPr>
        <w:t>未按清单要求提供、提供不全或未达到制作标准及要求的样品，对应项不得分</w:t>
      </w:r>
      <w:r>
        <w:rPr>
          <w:rFonts w:ascii="宋体" w:hAnsi="宋体" w:cs="宋体"/>
          <w:szCs w:val="21"/>
        </w:rPr>
        <w:t>。</w:t>
      </w:r>
    </w:p>
    <w:p>
      <w:pPr>
        <w:rPr>
          <w:rFonts w:hint="eastAsia" w:ascii="宋体" w:hAnsi="宋体" w:cs="宋体"/>
          <w:szCs w:val="21"/>
        </w:rPr>
      </w:pPr>
      <w:r>
        <w:rPr>
          <w:rFonts w:ascii="宋体" w:hAnsi="宋体" w:cs="宋体"/>
          <w:szCs w:val="21"/>
        </w:rPr>
        <w:t>样品要求：</w:t>
      </w:r>
    </w:p>
    <w:p>
      <w:pPr>
        <w:rPr>
          <w:rFonts w:hint="eastAsia" w:ascii="宋体" w:hAnsi="宋体" w:cs="宋体"/>
          <w:szCs w:val="21"/>
        </w:rPr>
      </w:pPr>
      <w:r>
        <w:rPr>
          <w:rFonts w:ascii="宋体" w:hAnsi="宋体" w:cs="宋体"/>
          <w:szCs w:val="21"/>
        </w:rPr>
        <w:t>1、样品的各项技术质量指标应符合招标要求，不接受3D打印技术制作，未按照样品清单及样品制作的标准和要求提供样品的，视为未提供样品处理；</w:t>
      </w:r>
    </w:p>
    <w:p>
      <w:pPr>
        <w:rPr>
          <w:rFonts w:hint="eastAsia" w:ascii="宋体" w:hAnsi="宋体" w:cs="宋体"/>
          <w:szCs w:val="21"/>
        </w:rPr>
      </w:pPr>
      <w:r>
        <w:rPr>
          <w:rFonts w:ascii="宋体" w:hAnsi="宋体" w:cs="宋体"/>
          <w:szCs w:val="21"/>
        </w:rPr>
        <w:t xml:space="preserve">2、样品必须与投标文件分开，每个样品必须按照构件名称标识清楚； </w:t>
      </w:r>
    </w:p>
    <w:p>
      <w:pPr>
        <w:rPr>
          <w:rFonts w:hint="eastAsia" w:ascii="宋体" w:hAnsi="宋体" w:cs="宋体"/>
          <w:szCs w:val="21"/>
        </w:rPr>
      </w:pPr>
      <w:r>
        <w:rPr>
          <w:rFonts w:ascii="宋体" w:hAnsi="宋体" w:cs="宋体"/>
          <w:szCs w:val="21"/>
        </w:rPr>
        <w:t xml:space="preserve">3、每项样品为盲样，不得出现任何投标人或厂家相关信息（包含但不限于公司名称、品牌），样品的制作、包装、运输等费用由投标人自行承担。评标结束后，采购人对中标候选人的样品进行保管、封存，并作为履约验收的参考。 </w:t>
      </w:r>
    </w:p>
    <w:p>
      <w:pPr>
        <w:rPr>
          <w:rFonts w:hint="eastAsia" w:ascii="宋体" w:hAnsi="宋体" w:cs="宋体"/>
          <w:szCs w:val="21"/>
        </w:rPr>
      </w:pPr>
      <w:r>
        <w:rPr>
          <w:rFonts w:ascii="宋体" w:hAnsi="宋体" w:cs="宋体"/>
          <w:szCs w:val="21"/>
        </w:rPr>
        <w:t xml:space="preserve">4、采购人及采购代理机构对投标人所递交样品的破损或质量不负任何责任，采购人在通知未中标的投标人领取投标样品后5个工作日而未领取的，采购人有权自行处置未中标的投标人样品。 </w:t>
      </w:r>
    </w:p>
    <w:p>
      <w:pPr>
        <w:pStyle w:val="2"/>
        <w:rPr>
          <w:rFonts w:hint="default"/>
          <w:lang w:val="en-US" w:eastAsia="zh-CN"/>
        </w:rPr>
        <w:sectPr>
          <w:pgSz w:w="16838" w:h="11906" w:orient="landscape"/>
          <w:pgMar w:top="1418" w:right="1418" w:bottom="1134" w:left="1134" w:header="936" w:footer="720" w:gutter="0"/>
          <w:cols w:space="720" w:num="1"/>
          <w:docGrid w:linePitch="331" w:charSpace="0"/>
        </w:sectPr>
      </w:pPr>
    </w:p>
    <w:p>
      <w:pPr>
        <w:pStyle w:val="2"/>
        <w:numPr>
          <w:ilvl w:val="0"/>
          <w:numId w:val="0"/>
        </w:numPr>
        <w:spacing w:before="0"/>
        <w:jc w:val="left"/>
        <w:rPr>
          <w:rFonts w:ascii="宋体" w:eastAsia="宋体"/>
          <w:szCs w:val="28"/>
        </w:rPr>
      </w:pPr>
      <w:bookmarkStart w:id="372" w:name="_Toc23555"/>
      <w:r>
        <w:rPr>
          <w:rFonts w:hint="eastAsia" w:ascii="宋体" w:eastAsia="宋体"/>
          <w:szCs w:val="28"/>
          <w:lang w:val="en-US" w:eastAsia="zh-CN"/>
        </w:rPr>
        <w:t>八</w:t>
      </w:r>
      <w:r>
        <w:rPr>
          <w:rFonts w:hint="eastAsia" w:ascii="宋体" w:eastAsia="宋体"/>
          <w:szCs w:val="28"/>
        </w:rPr>
        <w:t>、需求及参数表</w:t>
      </w:r>
      <w:bookmarkEnd w:id="372"/>
    </w:p>
    <w:p>
      <w:pPr>
        <w:pStyle w:val="16"/>
        <w:ind w:left="0" w:leftChars="0" w:right="1470"/>
        <w:rPr>
          <w:rFonts w:hint="eastAsia"/>
          <w:b/>
          <w:bCs/>
          <w:sz w:val="28"/>
          <w:szCs w:val="28"/>
        </w:rPr>
      </w:pPr>
      <w:r>
        <w:rPr>
          <w:rFonts w:hint="eastAsia"/>
          <w:b/>
          <w:bCs/>
          <w:sz w:val="28"/>
          <w:szCs w:val="28"/>
        </w:rPr>
        <w:t>本项目核心产品：表中序号5 智慧教室定制桌椅</w:t>
      </w:r>
    </w:p>
    <w:tbl>
      <w:tblPr>
        <w:tblStyle w:val="38"/>
        <w:tblW w:w="13388" w:type="dxa"/>
        <w:tblInd w:w="0" w:type="dxa"/>
        <w:tblLayout w:type="fixed"/>
        <w:tblCellMar>
          <w:top w:w="15" w:type="dxa"/>
          <w:left w:w="15" w:type="dxa"/>
          <w:bottom w:w="15" w:type="dxa"/>
          <w:right w:w="15" w:type="dxa"/>
        </w:tblCellMar>
      </w:tblPr>
      <w:tblGrid>
        <w:gridCol w:w="316"/>
        <w:gridCol w:w="2156"/>
        <w:gridCol w:w="615"/>
        <w:gridCol w:w="472"/>
        <w:gridCol w:w="1668"/>
        <w:gridCol w:w="8161"/>
      </w:tblGrid>
      <w:tr>
        <w:tblPrEx>
          <w:tblLayout w:type="fixed"/>
          <w:tblCellMar>
            <w:top w:w="15" w:type="dxa"/>
            <w:left w:w="15" w:type="dxa"/>
            <w:bottom w:w="15" w:type="dxa"/>
            <w:right w:w="15" w:type="dxa"/>
          </w:tblCellMar>
        </w:tblPrEx>
        <w:trPr>
          <w:trHeight w:val="51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ar"/>
              </w:rPr>
              <w:t>序号</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ar"/>
              </w:rPr>
              <w:t>产品（项目）名称</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ar"/>
              </w:rPr>
              <w:t>数量</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ar"/>
              </w:rPr>
              <w:t>计量单位</w:t>
            </w:r>
          </w:p>
        </w:tc>
        <w:tc>
          <w:tcPr>
            <w:tcW w:w="1668"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ar"/>
              </w:rPr>
              <w:t>须控制的预算单价</w:t>
            </w:r>
            <w:r>
              <w:rPr>
                <w:rFonts w:hint="eastAsia" w:ascii="宋体" w:hAnsi="宋体" w:cs="宋体"/>
                <w:b/>
                <w:color w:val="000000"/>
                <w:kern w:val="0"/>
                <w:sz w:val="20"/>
                <w:szCs w:val="20"/>
                <w:lang w:bidi="ar"/>
              </w:rPr>
              <w:br w:type="textWrapping"/>
            </w:r>
            <w:r>
              <w:rPr>
                <w:rFonts w:hint="eastAsia" w:ascii="宋体" w:hAnsi="宋体" w:cs="宋体"/>
                <w:b/>
                <w:color w:val="000000"/>
                <w:kern w:val="0"/>
                <w:sz w:val="20"/>
                <w:szCs w:val="20"/>
                <w:lang w:bidi="ar"/>
              </w:rPr>
              <w:t>（单位：元）</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ar"/>
              </w:rPr>
              <w:t>配置要求及参数（不能指定品牌）</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kern w:val="0"/>
                <w:sz w:val="18"/>
                <w:szCs w:val="18"/>
                <w:lang w:bidi="ar"/>
              </w:rPr>
              <w:t>1</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8</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1440.00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本次采购内容为1套包含2人位的桌椅。</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规格要求如下：</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b/>
                <w:bCs/>
                <w:color w:val="auto"/>
                <w:sz w:val="18"/>
                <w:szCs w:val="18"/>
              </w:rPr>
            </w:pPr>
            <w:r>
              <w:rPr>
                <w:rFonts w:hint="eastAsia" w:asciiTheme="minorEastAsia" w:hAnsiTheme="minorEastAsia" w:eastAsiaTheme="minorEastAsia" w:cstheme="minorEastAsia"/>
                <w:b/>
                <w:bCs/>
                <w:color w:val="auto"/>
                <w:sz w:val="18"/>
                <w:szCs w:val="18"/>
              </w:rPr>
              <w:t>★1.1.桌子规格:桌面长度跟随前倾斜固定座椅配套制作，桌面长度1160mm（±5mm），桌面宽度350mm（±5mm）,桌面高度740mm（±5mm）（提供实物实拍</w:t>
            </w:r>
            <w:r>
              <w:rPr>
                <w:rFonts w:hint="eastAsia" w:asciiTheme="minorEastAsia" w:hAnsiTheme="minorEastAsia" w:eastAsiaTheme="minorEastAsia" w:cstheme="minorEastAsia"/>
                <w:b/>
                <w:bCs/>
                <w:color w:val="auto"/>
                <w:sz w:val="18"/>
                <w:szCs w:val="18"/>
                <w:lang w:val="en-US" w:eastAsia="zh-CN"/>
              </w:rPr>
              <w:t>图</w:t>
            </w:r>
            <w:r>
              <w:rPr>
                <w:rFonts w:hint="eastAsia" w:asciiTheme="minorEastAsia" w:hAnsiTheme="minorEastAsia" w:eastAsiaTheme="minorEastAsia" w:cstheme="minorEastAsia"/>
                <w:b/>
                <w:bCs/>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排桌+挡板+多功能电源模块：采用钢、木融合一体，形成加强型的框体结构。桌腿立管采用闭合钢管制作，截面正面尺寸100mm（±5mm）侧面外观尺寸50mm（±5mm），管材背后加强面宽度70mm（±5mm），厚度≥1.5mm截面，桌腿立管与经模具加工成型的底脚双面加强焊接成型，底脚长度280mm（±5mm）, 宽度98mm（±5mm）， 高度30mm（±5mm） 厚度为≥2mm，PP材质地爆装饰盖尺寸为166*52*35mm（±5mm）。前排桌桌腿立管须具备多功能电源信号穿线空间设计，可与多功能信息模块对接，多功能电源模块按照不少于每1套配1个的密度来配置，电源模块需为3C认证的正规电器产品，需带USB充电功能。</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1.3.台面板：采用≥18mm厚，不低于E0级三聚氰胺饰面刨花板，甲醛释放量≤0.05mg/m³， ≥1.5mm厚PVC封边，台面深度350mm（±5mm）。三聚氰胺饰面刨花板须符合GB/T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1.4.书网架：连接在写字台下方，与写字台平行；采用≥φ5mm的冷拉圆钢与≥φ3.5mm圆钢交错碰焊成网状结构,连接在台面板下方，承重不小于20kg.内空高度为106mm（±5mm）.表面经电镀处理。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2.1.椅子结构：具有前后倾复功能，以便座位两旁的人不需站起中间的人可自由进出。椅面尺寸425mm *470mm（±5mm），椅背离地总高度 880mm（±5mm），倾斜区间高度20mm（±5mm）,站脚尺寸218mm*248mm（±5mm），座面高度450mm（±5mm）。（提供实物实拍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w:t>
            </w:r>
            <w:r>
              <w:rPr>
                <w:rFonts w:hint="eastAsia" w:asciiTheme="minorEastAsia" w:hAnsiTheme="minorEastAsia" w:eastAsiaTheme="minorEastAsia" w:cstheme="minorEastAsia"/>
                <w:color w:val="auto"/>
                <w:sz w:val="18"/>
                <w:szCs w:val="18"/>
                <w:lang w:val="zh-TW" w:eastAsia="zh-TW"/>
              </w:rPr>
              <w:t>椅面：</w:t>
            </w:r>
            <w:r>
              <w:rPr>
                <w:rFonts w:hint="eastAsia" w:asciiTheme="minorEastAsia" w:hAnsiTheme="minorEastAsia" w:eastAsiaTheme="minorEastAsia" w:cstheme="minorEastAsia"/>
                <w:color w:val="auto"/>
                <w:sz w:val="18"/>
                <w:szCs w:val="18"/>
              </w:rPr>
              <w:t>采用厚度为≥10mm的优质多层板（胶合板），多层旋切木皮经模具热压成型，并经油漆饰面；座背板为一体成型，外形按人体工程学原理设计，最大限度保证人体与椅面的接触面，坐感舒适、外型简约、凸显人体工程学设计元素。且符合以下标准：检测执行标准：GB/T9846-2015，GB 18580-2025《室内装饰装修材料 人造板及其制品中甲醛释放限量》标准要求。检验项目包含：10%≤含水率≤15%，胶合强度≥0.70MPa，甲醛释放量≤0.05mg/m³。</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2.3.椅子站脚底座：采用铝合金材料经模具压铸成型，底座尺寸为248mmx218mm（±5mm）,底座高度73mm（±5mm），铝合金底座净重量为≥800g，四枚不锈钢顶爆螺丝与地面紧固，增强受力面积及确保牢固度，表面经高温静电喷粉处理，并配有塑料材质的地爆螺丝装饰盖。铝合金一体成型铸件须符合QB/T 4071-2021《课桌椅》、GB/T 3325-2024《金属家具通用技术条件标准要求》具体内容：冲压件外观应无脱层、裂缝；涂层外观应无漏喷、锈蚀和脱色、掉色现象； 涂层外观应光滑均匀、色泽一致，应无流挂、疙瘩、皱皮、飞漆等缺陷；金属件电镀层-抗盐雾：300h，1.5mm以下锈点≤20点/dm，其中&gt;1.0mm锈点不超过5点(距离边缘棱角2mm以内不计)；金属喷漆（塑）涂层-冲击强度：冲击高度400mm，应无剥落、裂纹、皱纹；金属喷漆(塑)涂层-附着力：2级或优于2级。</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2.4.椅座支撑组件：采用铝合金一体压铸成型，长度263mm（±5mm）, 宽度248mm（±5mm）, 高度53mm（±5mm）,椅座支撑不小于4个着力点的位置厚度最厚的地方≥20mm ,最薄的是≥14mm，表面经静电喷粉工艺处理，与椅座采用穿透式的连接方式，以确保牢固度。</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2.5站脚立柱：采用前后两组C型≥2.5mm厚钢板冲压焊接成型组件，规格：长度82mm（±5mm）,宽度87mm（±5mm）,高度377mm（±5mm）与铝合金站脚底座及椅座支撑组件组合成型，内配有受力及限位机构。</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座椅回复机构：采用双程式重力自动回复机构并配置阻尼缓冲装置，通过四轴联动结构实现座椅前后倾仰功能，座椅倾仰及回复过程平滑顺畅，使用寿命≥5万次。回复机构有效解决过道空间问题，通过前倾方式，无需起立即可从座位旁进出。</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2.7.课桌椅整体成品要求：符合GB/T 3325-2024《金属家具通用技术条件》中主要尺寸及偏差，形状和位置公差，外观性能要求，安全性能要求，理化性能要求，力学性能要求；符合GB/T 35607-2024《绿色产品评价 家具》中品质属性/产品寿命/椅类：椅座椅背耐久性（12万次），符合GB/T 35607-2024《绿色产品评价 家具》中品质属性/产品寿命/桌类：桌面水平耐久性（6万次）；环境属性/产品有害物质(甲醛释放量、苯、甲苯、二甲苯、总挥发性有机化合物(TVOC)、苯并[a]芘)标准要求。</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2</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192</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2160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1套数量包含3人位桌椅。要求如下：</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b/>
                <w:bCs/>
                <w:color w:val="auto"/>
                <w:sz w:val="18"/>
                <w:szCs w:val="18"/>
              </w:rPr>
            </w:pPr>
            <w:r>
              <w:rPr>
                <w:rFonts w:hint="eastAsia" w:asciiTheme="minorEastAsia" w:hAnsiTheme="minorEastAsia" w:eastAsiaTheme="minorEastAsia" w:cstheme="minorEastAsia"/>
                <w:b/>
                <w:bCs/>
                <w:color w:val="auto"/>
                <w:sz w:val="18"/>
                <w:szCs w:val="18"/>
              </w:rPr>
              <w:t>★1.1.桌子规格:桌面长度跟随前倾斜固定座椅配套制作，桌面长度1740mm（±5mm），桌面宽度350mm（±5mm）,桌面高度740mm（±5mm）。（提供实物实拍</w:t>
            </w:r>
            <w:r>
              <w:rPr>
                <w:rFonts w:hint="eastAsia" w:asciiTheme="minorEastAsia" w:hAnsiTheme="minorEastAsia" w:eastAsiaTheme="minorEastAsia" w:cstheme="minorEastAsia"/>
                <w:b/>
                <w:bCs/>
                <w:color w:val="auto"/>
                <w:sz w:val="18"/>
                <w:szCs w:val="18"/>
                <w:lang w:val="en-US" w:eastAsia="zh-CN"/>
              </w:rPr>
              <w:t>图</w:t>
            </w:r>
            <w:r>
              <w:rPr>
                <w:rFonts w:hint="eastAsia" w:asciiTheme="minorEastAsia" w:hAnsiTheme="minorEastAsia" w:eastAsiaTheme="minorEastAsia" w:cstheme="minorEastAsia"/>
                <w:b/>
                <w:bCs/>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排桌+挡板+多功能电源模块：采用钢、木融合一体，形成加强型的框体结构。桌腿立管采用闭合钢管制作，截面正面尺寸100mm（±5mm）,侧面外观尺寸50mm（±5mm），管材背后加强面宽度70mm（±5mm），厚度不小于1.5mm截面，桌腿立管与经模具加工成型的底脚双面加强焊接成型，底脚长度280mm（±5mm）, 宽度98mm（±5mm）， 高度30mm（±5mm） 厚度为不小于2mm，PP材质地爆装饰盖尺寸为166*52*35mm（±5mm）。前排桌桌腿立管须具备多功能电源信号穿线空间设计，可与多功能信息模块对接，多功能电源模块按照不少于每1套配1个的密度来配置，电源模块需为3C认证的正规电器产品，需带USB充电功能。</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1.3.台面板：采用 ≥18mm 厚不低于E0级三聚氰胺饰面刨花板，甲醛释放量≤0.05mg/m³， ≥1.5mm厚PVC封边，台面深度350mm（±5mm）。三聚氰胺饰面刨花板须符合GB/T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1.4.书网架：连接在写字台下方，与写字台平行；采用≥φ5mm的冷拉圆钢与≥φ3.5mm圆钢交错碰焊成网状结构,连接在台面板下方，承重不小于20kg.内空高度为106mm（±5mm）.表面经电镀处理。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2.1.椅子结构：具有前后倾复功能，以便座位两旁的人不需站起中间的人可自由进出。椅面尺寸425mm *470mm（±5mm），椅背离地总高度880mm（±5mm），倾斜区间高度20mm（±5mm）,站脚尺寸218mm*248mm（±5mm），座面高度450mm（±5mm）。（提供实物实拍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w:t>
            </w:r>
            <w:r>
              <w:rPr>
                <w:rFonts w:hint="eastAsia" w:asciiTheme="minorEastAsia" w:hAnsiTheme="minorEastAsia" w:eastAsiaTheme="minorEastAsia" w:cstheme="minorEastAsia"/>
                <w:color w:val="auto"/>
                <w:sz w:val="18"/>
                <w:szCs w:val="18"/>
                <w:lang w:val="zh-TW" w:eastAsia="zh-TW"/>
              </w:rPr>
              <w:t>椅面：</w:t>
            </w:r>
            <w:r>
              <w:rPr>
                <w:rFonts w:hint="eastAsia" w:asciiTheme="minorEastAsia" w:hAnsiTheme="minorEastAsia" w:eastAsiaTheme="minorEastAsia" w:cstheme="minorEastAsia"/>
                <w:color w:val="auto"/>
                <w:sz w:val="18"/>
                <w:szCs w:val="18"/>
              </w:rPr>
              <w:t>采用厚度为≥10mm的优质多层板（胶合板），多层旋切木皮经模具热压成型，并经油漆饰面；座背板为一体成型，外形按人体工程学原理设计，最大限度保证人体与椅面的接触面，坐感舒适、外型简约、凸显人体工程学设计元素。且符合以下标准：检测执行标准：GB/T9846-2015，GB 18580-2025《室内装饰装修材料 人造板及其制品中甲醛释放限量》标准要求。检验项目包含：10%≤含水率≤15%，胶合强度≥0.70MPa，甲醛释放量≤0.05mg/m³。</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2.3.椅子站脚底座：需采用铝合金材料经模具压铸成型，底座尺寸为248mmx218mm（±5mm）,底座高度73mm（±5mm）,铝合金底座净重量为≥800g，四枚不锈钢顶爆螺丝与地面紧固，增强受力面积及确保牢固度，表面经高温静电喷粉处理，并配有塑料材质的地爆螺丝装饰盖。铝合金一体成型铸件须符合QB/T 4071-2021《课桌椅》、GB/T 3325-2024《金属家具通用技术条件标准要求，具体内容：冲压件外观应无脱层、裂缝；涂层外观应无漏喷、锈蚀和脱色、掉色现象； 涂层外观应光滑均匀、色泽一致，应无流挂、疙瘩、皱皮、飞漆等缺陷；金属件电镀层-抗盐雾：300h，1.5mm以下锈点≤20点/dm，其中&gt;1.0mm锈点不超过5点(距离边缘棱角2mm以内不计)；金属喷漆（塑）涂层-冲击强度：冲击高度400mm，应无剥落、裂纹、皱纹；金属喷漆(塑)涂层-附着力：2级或优于2级。</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2.4.椅座支撑组件：采用铝合金一体压铸成型，长度263mm（±5mm）, 宽度248mm（±5mm）, 高度53mm（±5mm）,椅座支撑不小于4个着力点的位置厚度最厚的地方≥20mm ,最薄的是≥14mm，表面经静电喷粉工艺处理，与椅座采用穿透式的连接方式，以确保牢固度。</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2.5站脚立柱：采用前后两组C型≥2.5mm厚钢板冲压焊接成型组件，规格：长度82mm（±5mm）,宽度87mm（±5mm）,高度377mm（±5mm），与铝合金站脚底座及椅座支撑组件组合成型，内配有受力及限位机构。</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座椅回复机构：采用双程式重力自动回复机构并配置阻尼缓冲装置，通过四轴联动结构实现座椅前后倾仰功能，座椅倾仰及回复过程平滑顺畅，使用寿命≥5万次。回复机构有效解决过道空间问题，通过前倾方式，无需起立即可从座位旁进出。</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2.7.课桌椅整体成品要求：符合GB/T 3325-2024《金属家具通用技术条件》中主要尺寸及偏差，形状和位置公差，外观性能要求，安全性能要求，理化性能要求，力学性能要求；符合GB/T 35607-2024《绿色产品评价 家具》中品质属性/产品寿命/椅类：椅座椅背耐久性（12万次），符合GB/T 35607-2024《绿色产品评价 家具》中品质属性/产品寿命/桌类：桌面水平耐久性（6万次）；环境属性/产品有害物质(甲醛释放量、苯、甲苯、二甲苯、总挥发性有机化合物(TVOC)、苯并[a]芘)标准要求。</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3</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188</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2880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1套数量包含4人位桌椅。要求如下：</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w:t>
            </w:r>
            <w:r>
              <w:rPr>
                <w:rFonts w:hint="eastAsia" w:asciiTheme="minorEastAsia" w:hAnsiTheme="minorEastAsia" w:eastAsiaTheme="minorEastAsia" w:cstheme="minorEastAsia"/>
                <w:b/>
                <w:bCs/>
                <w:color w:val="auto"/>
                <w:sz w:val="18"/>
                <w:szCs w:val="18"/>
              </w:rPr>
              <w:t>1.1.桌子规格:桌面长度跟随前倾斜固定座椅配套制作，桌面长度2320mm（±5mm），桌面宽度350mm（±5mm）,桌面高度740mm（±5mm）（提供实物实拍</w:t>
            </w:r>
            <w:r>
              <w:rPr>
                <w:rFonts w:hint="eastAsia" w:asciiTheme="minorEastAsia" w:hAnsiTheme="minorEastAsia" w:eastAsiaTheme="minorEastAsia" w:cstheme="minorEastAsia"/>
                <w:b/>
                <w:bCs/>
                <w:color w:val="auto"/>
                <w:sz w:val="18"/>
                <w:szCs w:val="18"/>
                <w:lang w:val="en-US" w:eastAsia="zh-CN"/>
              </w:rPr>
              <w:t>图</w:t>
            </w:r>
            <w:r>
              <w:rPr>
                <w:rFonts w:hint="eastAsia" w:asciiTheme="minorEastAsia" w:hAnsiTheme="minorEastAsia" w:eastAsiaTheme="minorEastAsia" w:cstheme="minorEastAsia"/>
                <w:b/>
                <w:bCs/>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排桌+挡板+多功能电源模块：采用钢、木融合一体，形成加强型的框体结构。桌腿立管采用闭合钢管制作，截面正面尺寸100mm（±5mm）,侧面外观尺寸50mm（±5mm），管材背后加强面宽度70mm（±5mm），厚度不小于1.5mm截面，桌腿立管与经模具加工成型的底脚双面加强焊接成型，底脚长度280mm（±5mm）, 宽度98mm（±5mm）， 高度30mm（±5mm） 厚度为不小于2mm，PP材质地爆装饰盖尺寸为166*52*35mm（±5mm）。前排桌桌腿立管须具备多功能电源信号穿线空间设计，可与多功能信息模块对接，多功能电源模块按照不少于每1套配1个的密度来配置，电源模块需为3C认证的正规电器产品，需带USB充电功能。</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1.3.台面板：采用 ≥18mm 厚不低于E0级三聚氰胺饰面刨花板，甲醛释放量≤0.05mg/m³， ≥1.5mm厚PVC封边，台面深度350mm（±5mm）。三聚氰胺饰面刨花板须符合GB/T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1.4.书网架：连接在写字台下方，与写字台平行；采用≥φ5mm的冷拉圆钢与≥φ3.5mm圆钢交错碰焊成网状结构,连接在台面板下方，承重不小于20kg.内空高度为106mm（±5mm）.表面经电镀处理。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2.1.椅子结构：具有前后倾复功能，以便座位两旁的人不需站起中间的人可自由进出。椅面尺寸425mm *470mm（±5mm），椅背离地总高度880mm（±5mm），倾斜区间高度20mm（±5mm）,站脚尺寸218mm*248mm（±5mm），座面高度450mm（±5mm）。（提供实物实拍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w:t>
            </w:r>
            <w:r>
              <w:rPr>
                <w:rFonts w:hint="eastAsia" w:asciiTheme="minorEastAsia" w:hAnsiTheme="minorEastAsia" w:eastAsiaTheme="minorEastAsia" w:cstheme="minorEastAsia"/>
                <w:color w:val="auto"/>
                <w:sz w:val="18"/>
                <w:szCs w:val="18"/>
                <w:lang w:val="zh-TW" w:eastAsia="zh-TW"/>
              </w:rPr>
              <w:t>椅面：</w:t>
            </w:r>
            <w:r>
              <w:rPr>
                <w:rFonts w:hint="eastAsia" w:asciiTheme="minorEastAsia" w:hAnsiTheme="minorEastAsia" w:eastAsiaTheme="minorEastAsia" w:cstheme="minorEastAsia"/>
                <w:color w:val="auto"/>
                <w:sz w:val="18"/>
                <w:szCs w:val="18"/>
              </w:rPr>
              <w:t>采用厚度为≥10mm的优质多层板（胶合板），多层旋切木皮经模具热压成型，并经油漆饰面；座背板为一体成型，外形按人体工程学原理设计，最大限度保证人体与椅面的接触面，坐感舒适、外型简约、凸显人体工程学设计元素。且符合以下标准：检测执行标准：GB/T9846-2015，GB 18580-2025《室内装饰装修材料 人造板及其制品中甲醛释放限量》标准要求。检验项目包含：10%≤含水率≤15%，胶合强度≥0.70MPa，甲醛释放量≤0.05mg/m³。</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2.3.椅子站脚底座：须采用铝合金材料经模具压铸成型，底座尺寸为248mmx218mm（±5mm）,底座高度73mm（±5mm）,铝合金底座净重量为≥800g，四枚不锈钢顶爆螺丝与地面紧固，增强受力面积及确保牢固度，表面经高温静电喷粉处理，并配有塑料材质的地爆螺丝装饰盖。铝合金一体成型铸件须符合QB/T 4071-2021《课桌椅》、GB/T 3325-2024《金属家具通用技术条件标准要求，具体内容：冲压件外观应无脱层、裂缝；涂层外观应无漏喷、锈蚀和脱色、掉色现象； 涂层外观应光滑均匀、色泽一致，应无流挂、疙瘩、皱皮、飞漆等缺陷；金属件电镀层-抗盐雾：300h，1.5mm以下锈点≤20点/dm，其中&gt;1.0mm锈点不超过5点(距离边缘棱角2mm以内不计)；金属喷漆（塑）涂层-冲击强度：冲击高度400mm，应无剥落、裂纹、皱纹；金属喷漆(塑)涂层-附着力：2级或优于2级。</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2.4.椅座支撑组件：采用铝合金一体压铸成型，长度263mm（±5mm）, 宽度248mm（±5mm）, 高度53mm（±5mm）,椅座支撑不小于4个着力点的位置厚度最厚的地方≥20mm ,最薄的是≥14mm，表面经静电喷粉工艺处理，与椅座采用穿透式的连接方式，以确保牢固度。</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2.5站脚立柱：采用前后两组C型不小于2.5mm厚钢板冲压焊接成型组件，规格：长度82mm（±5mm）,宽度87mm（±5mm）,高度377mm（±5mm）与铝合金站脚底座及椅座支撑组件组合成型，内配有受力及限位机构。</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座椅回复机构：采用双程式重力自动回复机构并配置阻尼缓冲装置，通过四轴联动结构实现座椅前后倾仰功能，座椅倾仰及回复过程平滑顺畅，使用寿命≥5万次。回复机构有效解决过道空间问题，通过前倾方式，无需起立即可从座位旁进出。</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2.7.课桌椅整体成品要求：符合GB/T 3325-2024《金属家具通用技术条件》中主要尺寸及偏差，形状和位置公差，外观性能要求，安全性能要求，理化性能要求，力学性能要求；符合GB/T 35607-2024《绿色产品评价 家具》中品质属性/产品寿命/椅类：椅座椅背耐久性（12万次），符合GB/T 35607-2024《绿色产品评价 家具》中品质属性/产品寿命/桌类：桌面水平耐久性（6万次）；环境属性/产品有害物质(甲醛释放量、苯、甲苯、二甲苯、总挥发性有机化合物(TVOC)、苯并[a]芘)标准要求。</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4</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16</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3600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1套数量包含5人位桌椅。要求如下：</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w:t>
            </w:r>
            <w:r>
              <w:rPr>
                <w:rFonts w:hint="eastAsia" w:asciiTheme="minorEastAsia" w:hAnsiTheme="minorEastAsia" w:eastAsiaTheme="minorEastAsia" w:cstheme="minorEastAsia"/>
                <w:b/>
                <w:bCs/>
                <w:color w:val="auto"/>
                <w:sz w:val="18"/>
                <w:szCs w:val="18"/>
              </w:rPr>
              <w:t>1.1.桌子规格:桌面长度跟随前倾斜固定座椅配套制作，桌面长度≥2900mm（±5mm），桌面宽度350mm（±5mm）,桌面高度740mm（±5mm）（提供实物实拍</w:t>
            </w:r>
            <w:r>
              <w:rPr>
                <w:rFonts w:hint="eastAsia" w:asciiTheme="minorEastAsia" w:hAnsiTheme="minorEastAsia" w:eastAsiaTheme="minorEastAsia" w:cstheme="minorEastAsia"/>
                <w:b/>
                <w:bCs/>
                <w:color w:val="auto"/>
                <w:sz w:val="18"/>
                <w:szCs w:val="18"/>
                <w:lang w:val="en-US" w:eastAsia="zh-CN"/>
              </w:rPr>
              <w:t>图</w:t>
            </w:r>
            <w:r>
              <w:rPr>
                <w:rFonts w:hint="eastAsia" w:asciiTheme="minorEastAsia" w:hAnsiTheme="minorEastAsia" w:eastAsiaTheme="minorEastAsia" w:cstheme="minorEastAsia"/>
                <w:b/>
                <w:bCs/>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排桌+挡板+多功能电源模块：采用钢、木融合一体，形成加强型的框体结构。桌腿立管采用闭合钢管制作，截面正面尺寸100mm（±5mm）,侧面外观尺寸50mm（±5mm），管材背后加强面宽度70mm（±5mm），厚度不小于1.5mm截面，桌腿立管与经模具加工成型的底脚双面加强焊接成型，底脚长度280mm（±5mm）, 宽度98mm（±5mm）， 高度30mm（±5mm） 厚度为不小于2mm，PP材质地爆装饰盖尺寸为166*52*35mm（±5mm）。前排桌桌腿立管须具备多功能电源信号穿线空间设计，可与多功能信息模块对接，多功能电源模块按照不少于每1套配1个的密度来配置，电源模块需为3C认证的正规电器产品，需带USB充电功能。</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1.3.台面板：采用 ≥18mm 厚不低于E0级三聚氰胺饰面刨花板，甲醛释放量≤0.05mg/m³， ≥1.5mm厚PVC封边，台面深度350mm（±5mm）。三聚氰胺饰面刨花板须符合GB/T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1.4.书网架：连接在写字台下方，与写字台平行；采用≥φ5mm的冷拉圆钢与≥φ3.5mm圆钢交错碰焊成网状结构,连接在台面板下方，承重不小于20kg.内空高度为106mm（±5mm）.表面经电镀处理。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2.1.椅子机构：具有前后倾复功能，以便座位两旁的人不需站起中间的人可自由进出。椅面尺寸425mm *470mm（±5mm），椅背离地总高度880mm（±5mm），倾斜区间高度20mm（±5mm）,站脚尺寸218mm*248mm（±5mm），座面高度450mm（±5mm）。（提供实物实拍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w:t>
            </w:r>
            <w:r>
              <w:rPr>
                <w:rFonts w:hint="eastAsia" w:asciiTheme="minorEastAsia" w:hAnsiTheme="minorEastAsia" w:eastAsiaTheme="minorEastAsia" w:cstheme="minorEastAsia"/>
                <w:color w:val="auto"/>
                <w:sz w:val="18"/>
                <w:szCs w:val="18"/>
                <w:lang w:val="zh-TW" w:eastAsia="zh-TW"/>
              </w:rPr>
              <w:t>椅面：</w:t>
            </w:r>
            <w:r>
              <w:rPr>
                <w:rFonts w:hint="eastAsia" w:asciiTheme="minorEastAsia" w:hAnsiTheme="minorEastAsia" w:eastAsiaTheme="minorEastAsia" w:cstheme="minorEastAsia"/>
                <w:color w:val="auto"/>
                <w:sz w:val="18"/>
                <w:szCs w:val="18"/>
              </w:rPr>
              <w:t>采用厚度为≥10mm的优质多层板（胶合板），多层旋切木皮经模具热压成型，并经油漆饰面；座背板为一体成型，外形按人体工程学原理设计，最大限度保证人体与椅面的接触面，坐感舒适、外型简约、凸显人体工程学设计元素。且符合以下标准：检测执行标准：GB/T9846-2015，GB 18580-2025《室内装饰装修材料 人造板及其制品中甲醛释放限量》标准要求。检验项目包含：10%≤含水率≤15%，胶合强度≥0.70MPa，甲醛释放量≤0.05mg/m³。</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2.3.椅子站脚底座：须采用铝合金材料经模具压铸成型，底座尺寸为248mmx218mm（±5mm）,底座高度73mm（±5mm）,铝合金底座净重量为≥800g，四枚不锈钢顶爆螺丝与地面紧固，增强受力面积及确保牢固度，表面经高温静电喷粉处理，并配有塑料材质的地爆螺丝装饰盖。铝合金一体成型铸件须符合QB/T 4071-2021《课桌椅》、GB/T 3325-2024《金属家具通用技术条件标准要求，具体内容：冲压件外观应无脱层、裂缝；涂层外观应无漏喷、锈蚀和脱色、掉色现象； 涂层外观应光滑均匀、色泽一致，应无流挂、疙瘩、皱皮、飞漆等缺陷；金属件电镀层-抗盐雾：300h，1.5mm以下锈点≤20点/dm，其中&gt;1.0mm锈点不超过5点(距离边缘棱角2mm以内不计)；金属喷漆（塑）涂层-冲击强度：冲击高度400mm，应无剥落、裂纹、皱纹；金属喷漆(塑)涂层-附着力：2级或优于2级。</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2.4.椅座支撑组件：采用铝合金一体压铸成型，长度263mm（±5mm）, 宽度248mm（±5mm）, 高度53mm（±5mm）,椅座支撑不小于4个着力点的位置厚度最厚的地方≥20mm ,最薄的是≥14mm，表面经静电喷粉工艺处理，与椅座采用穿透式的连接方式，以确保牢固度。</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2.5站脚立柱：采用前后两组C型≥2.5mm厚钢板冲压焊接成型组件，规格：长度82mm（±5mm）,宽度87mm（±5mm）,高度377mm（±5mm）与铝合金站脚底座及椅座支撑组件组合成型，内配有受力及限位机构。</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座椅回复机构：采用双程式重力自动回复机构并配置阻尼缓冲装置，通过四轴联动结构实现座椅前后倾仰功能，座椅倾仰及回复过程平滑顺畅，使用寿命≥5万次。回复机构有效解决过道空间问题，通过前倾方式，无需起立即可从座位旁进出。</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2.7.课桌椅整体成品要求：符合GB/T 3325-2024《金属家具通用技术条件》中主要尺寸及偏差，形状和位置公差，外观性能要求，安全性能要求，理化性能要求，力学性能要求；符合GB/T 35607-2024《绿色产品评价 家具》中品质属性/产品寿命/椅类：椅座椅背耐久性（12万次），符合GB/T 35607-2024《绿色产品评价 家具》中品质属性/产品寿命/桌类：桌面水平耐久性（6万次）；环境属性/产品有害物质(甲醛释放量、苯、甲苯、二甲苯、总挥发性有机化合物(TVOC)、苯并[a]芘)标准要求。</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5</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184</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4320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1套数量包含6人位桌椅。要求如下：</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w:t>
            </w:r>
            <w:r>
              <w:rPr>
                <w:rFonts w:hint="eastAsia" w:asciiTheme="minorEastAsia" w:hAnsiTheme="minorEastAsia" w:eastAsiaTheme="minorEastAsia" w:cstheme="minorEastAsia"/>
                <w:b/>
                <w:bCs/>
                <w:color w:val="auto"/>
                <w:sz w:val="18"/>
                <w:szCs w:val="18"/>
              </w:rPr>
              <w:t>1.1.桌子规格:桌面长度跟随前倾斜固定座椅配套制作，桌面长度3480mm（±5mm），桌面宽度350mm（±5mm）,桌面高度740mm（±5mm）（提供实物实拍</w:t>
            </w:r>
            <w:r>
              <w:rPr>
                <w:rFonts w:hint="eastAsia" w:asciiTheme="minorEastAsia" w:hAnsiTheme="minorEastAsia" w:eastAsiaTheme="minorEastAsia" w:cstheme="minorEastAsia"/>
                <w:b/>
                <w:bCs/>
                <w:color w:val="auto"/>
                <w:sz w:val="18"/>
                <w:szCs w:val="18"/>
                <w:lang w:val="en-US" w:eastAsia="zh-CN"/>
              </w:rPr>
              <w:t>图</w:t>
            </w:r>
            <w:r>
              <w:rPr>
                <w:rFonts w:hint="eastAsia" w:asciiTheme="minorEastAsia" w:hAnsiTheme="minorEastAsia" w:eastAsiaTheme="minorEastAsia" w:cstheme="minorEastAsia"/>
                <w:b/>
                <w:bCs/>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排桌+挡板+多功能电源模块：采用钢、木融合一体，形成加强型的框体结构。桌腿立管采用闭合钢管制作，截面正面尺寸100mm（±5mm），侧面外观尺寸50mm（±5mm），管材背后加强面宽度70mm（±5mm），厚度不小于1.5mm截面，桌腿立管与经模具加工成型的底脚双面加强焊接成型，底脚长度280mm（±5mm）, 宽度98mm（±5mm）， 高度30mm（±5mm）， 厚度为不小于2mm，PP材质地爆装饰盖尺寸为166*52*35mm（±5mm）。前排桌桌腿立管须具备多功能电源信号穿线空间设计，可与多功能信息模块对接，多功能电源模块按照不少于每1套配1个的密度来配置，电源模块需为3C认证的正规电器产品，需带USB充电功能。（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▲1.3.台面板：采用 ≥18mm 厚不低于E0级三聚氰胺饰面刨花板，甲醛释放量≤0.05mg/m³， ≥1.5mm厚PVC封边，台面深度≥350mm。三聚氰胺饰面刨花板须符合GB/T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甲醛释放量（1m³气候箱法）不低于E0级≤0.050mg/m³，静曲强度（横纹、顺纹），含水率：3~13%。（须提供第三方检测机构出具的检测报告扫描件）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1.4.书网架：连接在写字台下方，与写字台平行；采用≥φ5mm的冷拉圆钢与≥φ3.5mm圆钢交错碰焊成网状结构,连接在台面板下方，承重不小于20kg.内空高度为106mm（±5mm）.表面经电镀处理。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▲2.1.椅子结构：具有前后倾复功能，以便座位两旁的人不需站起中间的人可自由进出。椅面尺寸425mm *470mm（±5mm），椅背离地总高度 880mm（±5mm），倾斜区间高度20mm（±5mm）,站脚尺寸218mm*248mm（±5mm），座面高度450mm（±5mm）。（提供实物实拍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lang w:val="zh-TW" w:eastAsia="zh-TW"/>
              </w:rPr>
            </w:pPr>
            <w:r>
              <w:rPr>
                <w:rFonts w:hint="eastAsia" w:asciiTheme="minorEastAsia" w:hAnsiTheme="minorEastAsia" w:eastAsiaTheme="minorEastAsia" w:cstheme="minorEastAsia"/>
                <w:color w:val="auto"/>
                <w:sz w:val="18"/>
                <w:szCs w:val="18"/>
              </w:rPr>
              <w:t>2.2</w:t>
            </w:r>
            <w:r>
              <w:rPr>
                <w:rFonts w:hint="eastAsia" w:asciiTheme="minorEastAsia" w:hAnsiTheme="minorEastAsia" w:eastAsiaTheme="minorEastAsia" w:cstheme="minorEastAsia"/>
                <w:color w:val="auto"/>
                <w:sz w:val="18"/>
                <w:szCs w:val="18"/>
                <w:lang w:val="zh-TW" w:eastAsia="zh-TW"/>
              </w:rPr>
              <w:t>椅面：</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2.2.1采用厚度为≥10mm的优质多层板（胶合板），多层旋切木皮经模具热压成型，并经油漆饰面；座背板为一体成型，外形按人体工程学原理设计，最大限度保证人体与椅面的接触面，坐感舒适、外型简约、凸显人体工程学设计元素。（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▲2.2.2且符合以下标准：检测执行标准：GB/T9846-2015，GB 18580-2025《室内装饰装修材料 人造板及其制品中甲醛释放限量》标准要求。检验项目包含：10%≤含水率≤15%，胶合强度≥0.70MPa，甲醛释放量≤0.05mg/m³。（须提供第三方检测机构出具的检测报告扫描件）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2.3.椅子站脚底座：须采用铝合金材料经模具压铸成型，底座尺寸为248mmx218mm（±5mm）,底座高度73mm（±5mm），铝合金底座净重量为≥800g，四枚不锈钢顶爆螺丝与地面紧固，增强受力面积及确保牢固度，表面经高温静电喷粉处理，并配有塑料材质的地爆螺丝装饰盖。铝合金一体成型铸件须符合QB/T 4071-2021《课桌椅》、GB/T 3325-2024《金属家具通用技术条件标准要求，具体内容：冲压件外观应无脱层、裂缝；涂层外观应无漏喷、锈蚀和脱色、掉色现象； 涂层外观应光滑均匀、色泽一致，应无流挂、疙瘩、皱皮、飞漆等缺陷；金属件电镀层-抗盐雾：300h，1.5mm以下锈点≤20点/dm，其中&gt;1.0mm锈点不超过5点(距离边缘棱角2mm以内不计)；金属喷漆（塑）涂层-冲击强度：冲击高度400mm，应无剥落、裂纹、皱纹；金属喷漆(塑)涂层-附着力：2级或优于2级。（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▲2.4.椅座支撑组件：采用铝合金一体压铸成型，长度263mm（±5mm）, 宽度248mm（±5mm）, 高度53mm（±5mm）,椅座支撑不小于4个着力点的位置厚度最厚的地方≥20mm ,最薄的是≥14mm，表面经静电喷粉工艺处理，与椅座采用穿透式的连接方式，以确保牢固度。（提供实物实拍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站脚立柱：采用前后两组C型不小于2.5mm厚钢板冲压焊接成型组件，规格：长度82mm（±5mm）,宽度87mm（±5mm）,高度377mm（±5mm）与铝合金站脚底座及椅座支撑组件组合成型，内配有受力及限位机构。（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座椅回复机构：采用双程式重力自动回复机构并配置阻尼缓冲装置，通过四轴联动结构实现座椅前后倾仰功能，座椅倾仰及回复过程平滑顺畅，使用寿命≥5万次。回复机构有效解决过道空间问题，通过前倾方式，无需起立即可从座位旁进出。（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2.7.课桌椅整体成品要求：符合GB/T 3325-2024《金属家具通用技术条件》中主要尺寸及偏差，形状和位置公差，外观性能要求，安全性能要求，理化性能要求，力学性能要求；符合GB/T 35607-2024《绿色产品评价 家具》中品质属性/产品寿命/椅类：椅座椅背耐久性（12万次），符合GB/T 35607-2024《绿色产品评价 家具》中品质属性/产品寿命/桌类：桌面水平耐久性（6万次）；环境属性/产品有害物质(甲醛释放量、苯、甲苯、二甲苯、总挥发性有机化合物(TVOC)、苯并[a]芘)标准要求。</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6</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10</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5760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1套数量包含8人位桌椅。要求如下：</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w:t>
            </w:r>
            <w:r>
              <w:rPr>
                <w:rFonts w:hint="eastAsia" w:asciiTheme="minorEastAsia" w:hAnsiTheme="minorEastAsia" w:eastAsiaTheme="minorEastAsia" w:cstheme="minorEastAsia"/>
                <w:b/>
                <w:bCs/>
                <w:color w:val="auto"/>
                <w:sz w:val="18"/>
                <w:szCs w:val="18"/>
              </w:rPr>
              <w:t>1.1.桌子规格:桌面长度跟随前倾斜固定座椅配套制作，桌面长度4640mm（±5mm），桌面宽度350mm（±5mm）,桌面高度740mm（±5mm）。（提供实物实拍</w:t>
            </w:r>
            <w:r>
              <w:rPr>
                <w:rFonts w:hint="eastAsia" w:asciiTheme="minorEastAsia" w:hAnsiTheme="minorEastAsia" w:eastAsiaTheme="minorEastAsia" w:cstheme="minorEastAsia"/>
                <w:b/>
                <w:bCs/>
                <w:color w:val="auto"/>
                <w:sz w:val="18"/>
                <w:szCs w:val="18"/>
                <w:lang w:val="en-US" w:eastAsia="zh-CN"/>
              </w:rPr>
              <w:t>图</w:t>
            </w:r>
            <w:r>
              <w:rPr>
                <w:rFonts w:hint="eastAsia" w:asciiTheme="minorEastAsia" w:hAnsiTheme="minorEastAsia" w:eastAsiaTheme="minorEastAsia" w:cstheme="minorEastAsia"/>
                <w:b/>
                <w:bCs/>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排桌+挡板+多功能电源模块：采用钢、木融合一体，形成加强型的框体结构。桌腿立管采用闭合钢管制作，截面正面尺寸100mm（±5mm）,侧面外观尺寸50mm（±5mm），管材背后加强面宽度70mm（±5mm），厚度不小于1.5mm截面，桌腿立管与经模具加工成型的底脚双面加强焊接成型，底脚长度280mm（±5mm）, 宽度98mm（±5mm）， 高度30mm（±5mm） 厚度为不小于2mm，PP材质地爆装饰盖尺寸为166*52*35mm（±5mm）。前排桌桌腿立管须具备多功能电源信号穿线空间设计，可与多功能信息模块对接，多功能电源模块按照不少于每1套配1个的密度来配置，电源模块需为3C认证的正规电器产品，需带USB充电功能。</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1.3.台面板：采用 ≥18mm 厚不低于E0级三聚氰胺饰面刨花板，甲醛释放量≤0.05mg/m³， ≥1.5mm厚PVC封边，台面深度350mm（±5mm）。三聚氰胺饰面刨花板须符合GB/T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1.4.书网架：连接在写字台下方，与写字台平行；采用≥φ5mm的冷拉圆钢与≥φ3.5mm圆钢交错碰焊成网状结构,连接在台面板下方，承重不小于20kg.内空高度为106mm（±5mm）.表面经电镀处理。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2.1.椅子结构：具有前后倾复功能，以便座位两旁的人不需站起中间的人可自由进出。椅面尺寸425mm *470mm（±5mm），椅背离地总高度880mm（±5mm），倾斜区间高度20mm（±5mm）,站脚尺寸218mm*248mm（±5mm），座面高度450mm（±5mm）。（提供实物实拍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w:t>
            </w:r>
            <w:r>
              <w:rPr>
                <w:rFonts w:hint="eastAsia" w:asciiTheme="minorEastAsia" w:hAnsiTheme="minorEastAsia" w:eastAsiaTheme="minorEastAsia" w:cstheme="minorEastAsia"/>
                <w:color w:val="auto"/>
                <w:sz w:val="18"/>
                <w:szCs w:val="18"/>
                <w:lang w:val="zh-TW" w:eastAsia="zh-TW"/>
              </w:rPr>
              <w:t>椅面：</w:t>
            </w:r>
            <w:r>
              <w:rPr>
                <w:rFonts w:hint="eastAsia" w:asciiTheme="minorEastAsia" w:hAnsiTheme="minorEastAsia" w:eastAsiaTheme="minorEastAsia" w:cstheme="minorEastAsia"/>
                <w:color w:val="auto"/>
                <w:sz w:val="18"/>
                <w:szCs w:val="18"/>
              </w:rPr>
              <w:t>采用厚度为≥10mm的优质多层板（胶合板），多层旋切木皮经模具热压成型，并经油漆饰面；座背板为一体成型，外形按人体工程学原理设计，最大限度保证人体与椅面的接触面，坐感舒适、外型简约、凸显人体工程学设计元素。且符合以下标准：检测执行标准：GB/T9846-2015，GB 18580-2025《室内装饰装修材料 人造板及其制品中甲醛释放限量》标准要求。检验项目包含：10%≤含水率≤15%，胶合强度≥0.70MPa，甲醛释放量≤0.05mg/m³。</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2.3.椅子站脚底座：须采用铝合金材料经模具压铸成型，底座尺寸为248mmx218mm（±5mm）,底座高度73mm（±5mm）,铝合金底座净重量为≥800g，四枚不锈钢顶爆螺丝与地面紧固，增强受力面积及确保牢固度，表面经高温静电喷粉处理，并配有塑料材质的地爆螺丝装饰盖。铝合金一体成型铸件须符合QB/T 4071-2021《课桌椅》、GB/T 3325-2024《金属家具通用技术条件标准要求》主要规范的是普通教室内独立使用、可移动的单体课桌椅具体内容：冲压件外观应无脱层、裂缝；涂层外观应无漏喷、锈蚀和脱色、掉色现象； 涂层外观应光滑均匀、色泽一致，应无流挂、疙瘩、皱皮、飞漆等缺陷；金属件电镀层-抗盐雾：300h，1.5mm以下锈点≤20点/dm，其中&gt;1.0mm锈点不超过5点(距离边缘棱角2mm以内不计)；金属喷漆（塑）涂层-冲击强度：冲击高度400mm，应无剥落、裂纹、皱纹；金属喷漆(塑)涂层-附着力：2级或优于2级。</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2.4.椅座支撑组件：采用铝合金一体压铸成型，长度263mm（±5mm）, 宽度248mm（±5mm）, 高度53mm（±5mm）,椅座支撑不小于4个着力点的位置厚度最厚的地方≥20mm ,最薄的是≥14mm，表面经静电喷粉工艺处理，与椅座采用穿透式的连接方式，以确保牢固度。</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2.5站脚立柱：采用前后两组C型不小于2.5mm厚钢板冲压焊接成型组件，规格：长度82mm（±5mm）,宽度87mm（±5mm）,高度377mm（±5mm）与铝合金站脚底座及椅座支撑组件组合成型，内配有受力及限位机构。</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座椅回复机构：采用双程式重力自动回复机构并配置阻尼缓冲装置，通过四轴联动结构实现座椅前后倾仰功能，座椅倾仰及回复过程平滑顺畅，使用寿命≥5万次。回复机构有效解决过道空间问题，通过前倾方式，无需起立即可从座位旁进出。</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2.7.课桌椅整体成品要求：符合GB/T 3325-2024《金属家具通用技术条件》中主要尺寸及偏差，形状和位置公差，外观性能要求，安全性能要求，理化性能要求，力学性能要求；符合GB/T 35607-2024《绿色产品评价 家具》中品质属性/产品寿命/椅类：椅座椅背耐久性（12万次），符合GB/T 35607-2024《绿色产品评价 家具》中品质属性/产品寿命/桌类：桌面水平耐久性（6万次）；环境属性/产品有害物质(甲醛释放量、苯、甲苯、二甲苯、总挥发性有机化合物(TVOC)、苯并[a]芘)标准要求。</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7</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智慧教室定制桌椅</w:t>
            </w:r>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481</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1200.00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b/>
                <w:bCs/>
                <w:color w:val="auto"/>
                <w:sz w:val="18"/>
                <w:szCs w:val="18"/>
              </w:rPr>
            </w:pPr>
            <w:r>
              <w:rPr>
                <w:rFonts w:hint="eastAsia" w:asciiTheme="minorEastAsia" w:hAnsiTheme="minorEastAsia" w:eastAsiaTheme="minorEastAsia" w:cstheme="minorEastAsia"/>
                <w:b/>
                <w:bCs/>
                <w:color w:val="auto"/>
                <w:sz w:val="18"/>
                <w:szCs w:val="18"/>
              </w:rPr>
              <w:t>★1套数量包含2个单人位桌椅。</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2个单人位要求如下：</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1.1组合学习课桌尺寸：长度600mm（±5mm）,宽度450mm（±5mm），高度740mm（±5mm）； 可多张组合拼接。多张桌面可紧密拼接在一起，对拼后的桌面缝隙小于5mm。桌面饰面花纹、钢制支架等颜色均可根据采购人要求选择。</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▲1.2.台面板：规格长度600mm（±5mm）,宽度450mm（±5mm），厚度不小于18mm，不低于E0 级三胺刨花板经模具注塑成型，3D造型，防水不脱边，前端设置长条状笔槽，靠胸部位带圆弧保护弧形，符合人体工学设计，注塑封边圆滑美观；（提供实物实拍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和产品设计示意图证明文件）甲醛释放量≤0.05mg/m³，三聚氰胺饰面刨花板须符合GB/T 39600-2021《人造板及其制品甲醛释放量分级》、GB/T 4897-2015《刨花板》、GB/T 17657-2022《人造板及饰面人造板理化性能试验方法》标准要求，具体内容： 甲醛释放量（1m³气候箱法）不低于E0级≤0.050mg/m³，静曲强度（横纹、顺纹），含水率：3~13%；（须提供第三方检测机构出具的检测报告扫描件）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▲1.3.站管：采用直径不小于50mm 的异型D形钢管，壁厚不小于1.5mm；两立管中间由直径不小于 32mm，厚度不小于1.5mm， 圆管组合焊接后打磨喷涂而成。坚固耐用，美观大方；桌面托架采用壁厚不小于2.0mm 优质钢制冲压支撑制作；站管其中一边为直边，其余为圆弧面，站管与铝合金压铸成型的站脚组合成型。（提供实物实拍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和产品设计示意图证明文件）金属管(主受力立柱)须符合GB/T 3325-2024《金属家具通用技术条件》、GB/T 228.1-2021《金属材料 拉伸试验 第 1 部分：室温试验方法》标准要求，具体内容：金属管材外观：无裂缝、叠缝，外露管口端面封闭；金属喷漆 (塑) 涂层外观：光滑均匀、色泽一致，无漏喷、锈蚀、掉色等缺陷；涂层铅笔硬度≥3H；涂层附着力≤2 级；（须提供第三方检测机构出具的检测报告扫描件）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1.4.底部底脚：采用铝合金材质经模具一次性压铸成型，规格为长度445mm（±5mm）宽度75mm（±5mm），高度57mm（±5mm）。站脚两端为圆弧设计。中间预留与站管紧密连接D形凹槽。底部预留穿透固定≥10mm螺杆孔。便于对接插入的站管，牢固安全美观，带可移动活动轮设计。（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1.5.支撑角码：采用工字型连接钢管组件,纵向采用≥20×50×1.5mm 方管，横向采用≥20×30×1.5mm 方管，此组件与台面板安装连接，安装定位精确，安装简易，连接紧固；</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▲1.6.书网：书网为C形结构，两侧采用≥5mm厚激光数控切割钢板与≥Φ6mm 实心钢条焊接成型,书网整体框架组件与站管通过预埋螺母紧固连接；书兜高度120mm（±5mm） 桌子两侧配有挂钩。（提供实物实拍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1.7.活动脚轮：采用 PU 材质带刹车万向静音脚轮。</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2.1</w:t>
            </w:r>
            <w:r>
              <w:rPr>
                <w:rFonts w:hint="eastAsia" w:asciiTheme="minorEastAsia" w:hAnsiTheme="minorEastAsia" w:eastAsiaTheme="minorEastAsia" w:cstheme="minorEastAsia"/>
                <w:color w:val="auto"/>
                <w:kern w:val="0"/>
                <w:sz w:val="18"/>
                <w:szCs w:val="18"/>
                <w:lang w:bidi="ar"/>
              </w:rPr>
              <w:t>组合学习课椅</w:t>
            </w:r>
            <w:r>
              <w:rPr>
                <w:rFonts w:hint="eastAsia" w:asciiTheme="minorEastAsia" w:hAnsiTheme="minorEastAsia" w:eastAsiaTheme="minorEastAsia" w:cstheme="minorEastAsia"/>
                <w:color w:val="auto"/>
                <w:sz w:val="18"/>
                <w:szCs w:val="18"/>
              </w:rPr>
              <w:t>尺寸规格：长度</w:t>
            </w:r>
            <w:r>
              <w:rPr>
                <w:rFonts w:hint="eastAsia" w:asciiTheme="minorEastAsia" w:hAnsiTheme="minorEastAsia" w:eastAsiaTheme="minorEastAsia" w:cstheme="minorEastAsia"/>
                <w:color w:val="auto"/>
                <w:kern w:val="0"/>
                <w:sz w:val="18"/>
                <w:szCs w:val="18"/>
              </w:rPr>
              <w:t>536mm</w:t>
            </w:r>
            <w:r>
              <w:rPr>
                <w:rFonts w:hint="eastAsia" w:asciiTheme="minorEastAsia" w:hAnsiTheme="minorEastAsia" w:eastAsiaTheme="minorEastAsia" w:cstheme="minorEastAsia"/>
                <w:color w:val="auto"/>
                <w:sz w:val="18"/>
                <w:szCs w:val="18"/>
              </w:rPr>
              <w:t>（±5mm），宽度</w:t>
            </w:r>
            <w:r>
              <w:rPr>
                <w:rFonts w:hint="eastAsia" w:asciiTheme="minorEastAsia" w:hAnsiTheme="minorEastAsia" w:eastAsiaTheme="minorEastAsia" w:cstheme="minorEastAsia"/>
                <w:color w:val="auto"/>
                <w:kern w:val="0"/>
                <w:sz w:val="18"/>
                <w:szCs w:val="18"/>
              </w:rPr>
              <w:t>550mm</w:t>
            </w:r>
            <w:r>
              <w:rPr>
                <w:rFonts w:hint="eastAsia" w:asciiTheme="minorEastAsia" w:hAnsiTheme="minorEastAsia" w:eastAsiaTheme="minorEastAsia" w:cstheme="minorEastAsia"/>
                <w:color w:val="auto"/>
                <w:sz w:val="18"/>
                <w:szCs w:val="18"/>
              </w:rPr>
              <w:t xml:space="preserve">（±5mm），高度890mm（±5mm）； </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▲2.2椅架：椅架采用直径≥22mm，≥2.0mm厚圆管折弯焊接成型,椅脚底部焊接数控加工成型的实心钢柱，连接椅背立管呈外八字形，与椅背无需螺丝紧配式紧固，并配 PU 材质万向静音脚轮。椅架表面经高温静电喷粉工艺处理。（提供实物实拍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color w:val="auto"/>
                <w:sz w:val="18"/>
                <w:szCs w:val="18"/>
              </w:rPr>
              <w:t>▲2.3</w:t>
            </w:r>
            <w:r>
              <w:rPr>
                <w:rFonts w:hint="eastAsia" w:asciiTheme="minorEastAsia" w:hAnsiTheme="minorEastAsia" w:eastAsiaTheme="minorEastAsia" w:cstheme="minorEastAsia"/>
                <w:b w:val="0"/>
                <w:bCs w:val="0"/>
                <w:color w:val="auto"/>
                <w:sz w:val="18"/>
                <w:szCs w:val="18"/>
              </w:rPr>
              <w:t>座板:采用改性 PP（聚丙烯）材料经模具压注成型，具有良好的力学性能。尺寸:长度425mm（±5mm），宽度413（±5mm），高度45mm（±5mm）。（</w:t>
            </w:r>
            <w:r>
              <w:rPr>
                <w:rFonts w:hint="eastAsia" w:asciiTheme="minorEastAsia" w:hAnsiTheme="minorEastAsia" w:eastAsiaTheme="minorEastAsia" w:cstheme="minorEastAsia"/>
                <w:color w:val="auto"/>
                <w:sz w:val="18"/>
                <w:szCs w:val="18"/>
              </w:rPr>
              <w:t>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r>
              <w:rPr>
                <w:rFonts w:hint="eastAsia" w:asciiTheme="minorEastAsia" w:hAnsiTheme="minorEastAsia" w:eastAsiaTheme="minorEastAsia" w:cstheme="minorEastAsia"/>
                <w:b w:val="0"/>
                <w:bCs w:val="0"/>
                <w:color w:val="auto"/>
                <w:sz w:val="18"/>
                <w:szCs w:val="18"/>
              </w:rPr>
              <w:t>）</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b w:val="0"/>
                <w:bCs w:val="0"/>
                <w:color w:val="auto"/>
                <w:sz w:val="18"/>
                <w:szCs w:val="18"/>
              </w:rPr>
              <w:t>▲2.4.椅背：双组分复合椅背</w:t>
            </w:r>
            <w:r>
              <w:rPr>
                <w:rFonts w:hint="eastAsia" w:asciiTheme="minorEastAsia" w:hAnsiTheme="minorEastAsia" w:eastAsiaTheme="minorEastAsia" w:cstheme="minorEastAsia"/>
                <w:color w:val="auto"/>
                <w:sz w:val="18"/>
                <w:szCs w:val="18"/>
              </w:rPr>
              <w:t>采用改性PP（聚丙烯）材料和改性TPR材料经复合模具一体压注成型，受力支撑部份两侧呈外八字形，紧固于椅架立管，无需螺丝紧配式连接，具有15度角左右的倾仰弹性，久坐不累。椅背设有不规则透气孔，椅背离地高度为470mm（±5mm）,椅背顶部宽度为440mm（±5mm）,底部宽度为482mm（±5mm）。椅背聚丙烯 PP 塑料须符合 GB/T 32487-2016《塑料家具通用技术条件》标准要求，具体内容：PP 塑料外观无疙瘩、划痕、毛刺、污渍等缺陷；塑料件耐冷热循环试验后无裂纹、鼓泡、变色、起皱；邻苯二甲酸酯（BBP、DNOP、DIDP 等）单项含量≤0.1%，实测未检出；可溶性铬≤60mg/kg，各类可溶性重金属均未检出；苯并 [a] 芘≤1.0mg/kg，全部有害物质限量达标；（须提供第三方检测机构出具的检测报告扫描件，并提供实物实拍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2.5活动脚轮：采用 PU 材质带刹车万向静音脚轮。</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2.6课椅环保标准：零醛标准。</w:t>
            </w:r>
          </w:p>
          <w:p>
            <w:pPr>
              <w:keepNext w:val="0"/>
              <w:keepLines w:val="0"/>
              <w:pageBreakBefore w:val="0"/>
              <w:widowControl/>
              <w:kinsoku/>
              <w:wordWrap/>
              <w:overflowPunct/>
              <w:topLinePunct w:val="0"/>
              <w:autoSpaceDE/>
              <w:autoSpaceDN/>
              <w:bidi w:val="0"/>
              <w:adjustRightInd w:val="0"/>
              <w:snapToGrid w:val="0"/>
              <w:spacing w:line="320" w:lineRule="exact"/>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2.7</w:t>
            </w:r>
            <w:r>
              <w:rPr>
                <w:rFonts w:hint="eastAsia" w:asciiTheme="minorEastAsia" w:hAnsiTheme="minorEastAsia" w:eastAsiaTheme="minorEastAsia" w:cstheme="minorEastAsia"/>
                <w:color w:val="auto"/>
                <w:sz w:val="18"/>
                <w:szCs w:val="18"/>
                <w:lang w:bidi="ar"/>
              </w:rPr>
              <w:t>学习课椅</w:t>
            </w:r>
            <w:r>
              <w:rPr>
                <w:rFonts w:hint="eastAsia" w:asciiTheme="minorEastAsia" w:hAnsiTheme="minorEastAsia" w:eastAsiaTheme="minorEastAsia" w:cstheme="minorEastAsia"/>
                <w:color w:val="auto"/>
                <w:sz w:val="18"/>
                <w:szCs w:val="18"/>
              </w:rPr>
              <w:t>外形： 按人体工程学设计，线条流畅，坐感舒适，可堆叠。</w:t>
            </w:r>
          </w:p>
        </w:tc>
      </w:tr>
      <w:tr>
        <w:tblPrEx>
          <w:tblLayout w:type="fixed"/>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kern w:val="0"/>
                <w:sz w:val="18"/>
                <w:szCs w:val="18"/>
                <w:lang w:bidi="ar"/>
              </w:rPr>
            </w:pPr>
            <w:r>
              <w:rPr>
                <w:rFonts w:hint="eastAsia" w:asciiTheme="minorEastAsia" w:hAnsiTheme="minorEastAsia" w:eastAsiaTheme="minorEastAsia" w:cstheme="minorEastAsia"/>
                <w:color w:val="auto"/>
                <w:kern w:val="0"/>
                <w:sz w:val="18"/>
                <w:szCs w:val="18"/>
                <w:lang w:bidi="ar"/>
              </w:rPr>
              <w:t>8</w:t>
            </w:r>
          </w:p>
        </w:tc>
        <w:tc>
          <w:tcPr>
            <w:tcW w:w="2156"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bookmarkStart w:id="373" w:name="OLE_LINK1"/>
            <w:r>
              <w:rPr>
                <w:rFonts w:hint="eastAsia" w:asciiTheme="minorEastAsia" w:hAnsiTheme="minorEastAsia" w:eastAsiaTheme="minorEastAsia" w:cstheme="minorEastAsia"/>
                <w:color w:val="auto"/>
                <w:sz w:val="18"/>
                <w:szCs w:val="18"/>
              </w:rPr>
              <w:t>学习空间定制桌椅</w:t>
            </w:r>
            <w:bookmarkEnd w:id="373"/>
          </w:p>
        </w:tc>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spacing w:line="320" w:lineRule="exact"/>
              <w:jc w:val="center"/>
              <w:textAlignment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套</w:t>
            </w:r>
          </w:p>
        </w:tc>
        <w:tc>
          <w:tcPr>
            <w:tcW w:w="16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20" w:lineRule="exact"/>
              <w:jc w:val="cente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84000.00</w:t>
            </w:r>
          </w:p>
        </w:tc>
        <w:tc>
          <w:tcPr>
            <w:tcW w:w="8161"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1.定制学习高桌：长度1500mm（±5mm），宽度460mm（±5mm），高度1100mm（±5mm）.数量：46张。台面板厚度不小于50mm,板材采用不低于E0级三聚氰胺饰面环保刨花板，板材甲醛释放量≤0.05mg/m³。挡板厚度为不小于15mm,采用不小于1.5mm厚PVC封边。桌腿：桌腿底脚：采用不小于8.0mm厚钢板加工成型，直径为φ200mm（±5mm），焊接于桌腿立管。桌腿立管：采用直径为φ80mm（±5mm）,厚度为≥2.0mm钢管加工成型，表面径高温静电喷粉处理。桌腿与台面板通过五金角码配件紧固连接一体。（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2.学习高椅92张；规格长度430mm（±5mm）,宽度430（±5mm），高度930mm（±5mm）。采用不小于12mm实心冷拉钢筋与厚度不小于4mm,宽度不小于30mm扁铁折弯焊接结构。座椅采用海绵聚氨酯发泡定型海绵密度≥65kg/m³。椅面为西皮面耐脏耐磨，颜色可选。（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3.定制双人学习沙发椅48张：定制双人学习沙发椅：长度1450mm（±5mm），宽度620mm（±5mm），高度1000mm（±5mm），椅座高度400mm（±5mm）。沙发椅带靠背，面料：为西皮软包，海绵为高密度海绵。根据场景定制配套布置设计；（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4.钢架茶几18个：钢架茶几:茶几规格直径800mm（±5mm），高度700mm（±5mm）岩板面/碳素钢脚。（提供实物实拍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5.三角椅22张：三角椅：长度720mm（±5mm），宽度620mm（±5mm），高度400mm（±5mm），面料：为西皮软包，海绵为高密度海绵，根据场景定制配套布置设计。椅架：采用落叶松+桉木结合刨方木架，AAA级多层饰面板。配防滑塑胶脚。（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p>
            <w:pPr>
              <w:keepNext w:val="0"/>
              <w:keepLines w:val="0"/>
              <w:pageBreakBefore w:val="0"/>
              <w:kinsoku/>
              <w:wordWrap/>
              <w:overflowPunct/>
              <w:topLinePunct w:val="0"/>
              <w:autoSpaceDE/>
              <w:autoSpaceDN/>
              <w:bidi w:val="0"/>
              <w:spacing w:line="320" w:lineRule="exact"/>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rPr>
              <w:t>6.定制钢制装饰斜面屏风：数量30平方米。主架材质采用≥40*30*1.5mm镀锌钢管制作。内置学校文化定制图文，并配置彩色玻璃搭配和置物格、防风防雨设计。整体外观设计符合学习场景。（提供实物实拍</w:t>
            </w:r>
            <w:r>
              <w:rPr>
                <w:rFonts w:hint="eastAsia" w:asciiTheme="minorEastAsia" w:hAnsiTheme="minorEastAsia" w:eastAsiaTheme="minorEastAsia" w:cstheme="minorEastAsia"/>
                <w:color w:val="auto"/>
                <w:sz w:val="18"/>
                <w:szCs w:val="18"/>
                <w:lang w:val="en-US" w:eastAsia="zh-CN"/>
              </w:rPr>
              <w:t>图</w:t>
            </w:r>
            <w:r>
              <w:rPr>
                <w:rFonts w:hint="eastAsia" w:asciiTheme="minorEastAsia" w:hAnsiTheme="minorEastAsia" w:eastAsiaTheme="minorEastAsia" w:cstheme="minorEastAsia"/>
                <w:color w:val="auto"/>
                <w:sz w:val="18"/>
                <w:szCs w:val="18"/>
              </w:rPr>
              <w:t>和产品设计示意图证明文件）</w:t>
            </w:r>
          </w:p>
        </w:tc>
      </w:tr>
    </w:tbl>
    <w:p>
      <w:pPr>
        <w:pStyle w:val="16"/>
        <w:ind w:left="0" w:leftChars="0" w:right="1470"/>
      </w:pPr>
    </w:p>
    <w:p>
      <w:pPr>
        <w:rPr>
          <w:rFonts w:hint="eastAsia" w:ascii="宋体" w:hAnsi="宋体" w:cs="宋体"/>
          <w:spacing w:val="-4"/>
          <w:szCs w:val="21"/>
        </w:rPr>
      </w:pPr>
    </w:p>
    <w:p>
      <w:pPr>
        <w:autoSpaceDE w:val="0"/>
        <w:spacing w:line="560" w:lineRule="exact"/>
        <w:ind w:firstLine="562" w:firstLineChars="200"/>
        <w:rPr>
          <w:rFonts w:hint="eastAsia" w:ascii="宋体" w:hAnsi="宋体" w:cs="宋体"/>
          <w:b/>
          <w:bCs/>
          <w:sz w:val="28"/>
          <w:szCs w:val="28"/>
          <w:u w:val="single"/>
          <w:lang w:bidi="ar"/>
        </w:rPr>
      </w:pPr>
    </w:p>
    <w:p>
      <w:pPr>
        <w:rPr>
          <w:rFonts w:hint="eastAsia" w:ascii="宋体" w:hAnsi="宋体" w:cs="宋体"/>
          <w:szCs w:val="21"/>
        </w:rPr>
        <w:sectPr>
          <w:pgSz w:w="16838" w:h="11906" w:orient="landscape"/>
          <w:pgMar w:top="1800" w:right="1440" w:bottom="1800" w:left="1440" w:header="851" w:footer="992" w:gutter="0"/>
          <w:cols w:space="720" w:num="1"/>
          <w:docGrid w:type="lines" w:linePitch="387" w:charSpace="0"/>
        </w:sectPr>
      </w:pPr>
    </w:p>
    <w:p>
      <w:pPr>
        <w:pStyle w:val="3"/>
        <w:numPr>
          <w:ilvl w:val="0"/>
          <w:numId w:val="0"/>
        </w:numPr>
        <w:ind w:left="284"/>
        <w:jc w:val="center"/>
        <w:rPr>
          <w:rFonts w:hint="eastAsia" w:ascii="宋体" w:hAnsi="宋体" w:eastAsia="宋体"/>
          <w:sz w:val="36"/>
          <w:szCs w:val="36"/>
        </w:rPr>
      </w:pPr>
      <w:bookmarkStart w:id="374" w:name="_Toc27131"/>
      <w:bookmarkStart w:id="375" w:name="_Toc234942479"/>
      <w:bookmarkStart w:id="376" w:name="_Toc11611"/>
      <w:r>
        <w:rPr>
          <w:rFonts w:hint="eastAsia" w:ascii="宋体" w:hAnsi="宋体" w:eastAsia="宋体"/>
          <w:sz w:val="36"/>
          <w:szCs w:val="36"/>
        </w:rPr>
        <w:t>第六章  资格审查</w:t>
      </w:r>
      <w:bookmarkEnd w:id="368"/>
      <w:bookmarkEnd w:id="369"/>
      <w:bookmarkEnd w:id="374"/>
      <w:bookmarkEnd w:id="375"/>
      <w:bookmarkEnd w:id="376"/>
    </w:p>
    <w:p>
      <w:pPr>
        <w:pStyle w:val="2"/>
        <w:numPr>
          <w:ilvl w:val="0"/>
          <w:numId w:val="0"/>
        </w:numPr>
        <w:spacing w:before="0"/>
        <w:jc w:val="center"/>
        <w:rPr>
          <w:rFonts w:ascii="宋体" w:eastAsia="宋体"/>
          <w:szCs w:val="28"/>
        </w:rPr>
      </w:pPr>
      <w:bookmarkStart w:id="377" w:name="_Toc24281"/>
      <w:bookmarkStart w:id="378" w:name="_Toc17482"/>
      <w:bookmarkStart w:id="379" w:name="_Toc234942480"/>
      <w:bookmarkStart w:id="380" w:name="_Toc14098"/>
      <w:bookmarkStart w:id="381" w:name="_Toc5803"/>
      <w:r>
        <w:rPr>
          <w:rFonts w:hint="eastAsia" w:ascii="宋体" w:eastAsia="宋体"/>
          <w:szCs w:val="28"/>
        </w:rPr>
        <w:t>资格审查前附表</w:t>
      </w:r>
      <w:bookmarkEnd w:id="377"/>
      <w:bookmarkEnd w:id="378"/>
      <w:bookmarkEnd w:id="379"/>
      <w:bookmarkEnd w:id="380"/>
      <w:bookmarkEnd w:id="381"/>
    </w:p>
    <w:tbl>
      <w:tblPr>
        <w:tblStyle w:val="38"/>
        <w:tblW w:w="9296"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417"/>
        <w:gridCol w:w="1276"/>
        <w:gridCol w:w="5639"/>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Align w:val="center"/>
          </w:tcPr>
          <w:p>
            <w:pPr>
              <w:jc w:val="center"/>
              <w:rPr>
                <w:rFonts w:hint="eastAsia" w:ascii="宋体" w:hAnsi="宋体"/>
                <w:b/>
                <w:szCs w:val="21"/>
              </w:rPr>
            </w:pPr>
            <w:r>
              <w:rPr>
                <w:rFonts w:hint="eastAsia" w:ascii="宋体" w:hAnsi="宋体"/>
                <w:b/>
                <w:szCs w:val="21"/>
              </w:rPr>
              <w:t>条款号</w:t>
            </w:r>
          </w:p>
        </w:tc>
        <w:tc>
          <w:tcPr>
            <w:tcW w:w="1417" w:type="dxa"/>
            <w:vAlign w:val="center"/>
          </w:tcPr>
          <w:p>
            <w:pPr>
              <w:jc w:val="center"/>
              <w:rPr>
                <w:rFonts w:hint="eastAsia" w:ascii="宋体" w:hAnsi="宋体"/>
                <w:b/>
                <w:szCs w:val="21"/>
              </w:rPr>
            </w:pPr>
            <w:r>
              <w:rPr>
                <w:rFonts w:hint="eastAsia" w:ascii="宋体" w:hAnsi="宋体"/>
                <w:b/>
                <w:szCs w:val="21"/>
              </w:rPr>
              <w:t>审 查 因 素</w:t>
            </w:r>
          </w:p>
        </w:tc>
        <w:tc>
          <w:tcPr>
            <w:tcW w:w="6915" w:type="dxa"/>
            <w:gridSpan w:val="2"/>
            <w:vAlign w:val="center"/>
          </w:tcPr>
          <w:p>
            <w:pPr>
              <w:jc w:val="center"/>
              <w:rPr>
                <w:rFonts w:hint="eastAsia" w:ascii="宋体" w:hAnsi="宋体"/>
                <w:b/>
                <w:szCs w:val="21"/>
              </w:rPr>
            </w:pPr>
            <w:r>
              <w:rPr>
                <w:rFonts w:hint="eastAsia" w:ascii="宋体" w:hAnsi="宋体"/>
                <w:b/>
                <w:szCs w:val="21"/>
              </w:rPr>
              <w:t>审 查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restart"/>
            <w:vAlign w:val="center"/>
          </w:tcPr>
          <w:p>
            <w:pPr>
              <w:jc w:val="center"/>
              <w:rPr>
                <w:rFonts w:ascii="宋体"/>
                <w:sz w:val="36"/>
              </w:rPr>
            </w:pPr>
            <w:r>
              <w:rPr>
                <w:rFonts w:hint="eastAsia" w:ascii="宋体" w:hAnsi="宋体"/>
                <w:b/>
                <w:szCs w:val="21"/>
              </w:rPr>
              <w:t>2</w:t>
            </w:r>
          </w:p>
        </w:tc>
        <w:tc>
          <w:tcPr>
            <w:tcW w:w="1417" w:type="dxa"/>
            <w:vMerge w:val="restart"/>
            <w:vAlign w:val="center"/>
          </w:tcPr>
          <w:p>
            <w:pPr>
              <w:jc w:val="center"/>
              <w:rPr>
                <w:rFonts w:hint="eastAsia" w:ascii="宋体" w:hAnsi="宋体"/>
                <w:b/>
                <w:szCs w:val="21"/>
              </w:rPr>
            </w:pPr>
            <w:r>
              <w:rPr>
                <w:rFonts w:hint="eastAsia" w:ascii="宋体" w:hAnsi="宋体"/>
                <w:b/>
                <w:szCs w:val="21"/>
              </w:rPr>
              <w:t>资格条件</w:t>
            </w:r>
          </w:p>
        </w:tc>
        <w:tc>
          <w:tcPr>
            <w:tcW w:w="1276" w:type="dxa"/>
            <w:vMerge w:val="restart"/>
            <w:tcBorders>
              <w:right w:val="single" w:color="auto" w:sz="4" w:space="0"/>
            </w:tcBorders>
            <w:vAlign w:val="center"/>
          </w:tcPr>
          <w:p>
            <w:pPr>
              <w:jc w:val="center"/>
              <w:rPr>
                <w:rFonts w:hint="eastAsia" w:ascii="宋体" w:hAnsi="宋体"/>
                <w:b/>
                <w:szCs w:val="21"/>
              </w:rPr>
            </w:pPr>
            <w:r>
              <w:rPr>
                <w:rFonts w:hint="eastAsia" w:ascii="宋体" w:hAnsi="宋体"/>
                <w:szCs w:val="21"/>
              </w:rPr>
              <w:t>符合《中华人民共和国政府采购法》第二十二条规定的条件，并提供资格证明文件</w:t>
            </w:r>
          </w:p>
        </w:tc>
        <w:tc>
          <w:tcPr>
            <w:tcW w:w="5639" w:type="dxa"/>
            <w:tcBorders>
              <w:left w:val="single" w:color="auto" w:sz="4" w:space="0"/>
            </w:tcBorders>
            <w:vAlign w:val="center"/>
          </w:tcPr>
          <w:p>
            <w:pPr>
              <w:autoSpaceDE w:val="0"/>
              <w:autoSpaceDN w:val="0"/>
              <w:snapToGrid w:val="0"/>
              <w:spacing w:line="400" w:lineRule="exact"/>
              <w:textAlignment w:val="bottom"/>
              <w:rPr>
                <w:rFonts w:hint="eastAsia" w:ascii="宋体" w:hAnsi="宋体"/>
                <w:b/>
                <w:szCs w:val="21"/>
                <w:u w:val="single"/>
              </w:rPr>
            </w:pPr>
            <w:r>
              <w:rPr>
                <w:rFonts w:hint="eastAsia" w:ascii="宋体" w:hAnsi="宋体"/>
                <w:b/>
                <w:szCs w:val="21"/>
                <w:u w:val="single"/>
                <w:lang w:val="en-US" w:eastAsia="zh-CN"/>
              </w:rPr>
              <w:t>1.</w:t>
            </w:r>
            <w:r>
              <w:rPr>
                <w:rFonts w:hint="eastAsia" w:ascii="宋体" w:hAnsi="宋体"/>
                <w:b/>
                <w:szCs w:val="21"/>
                <w:u w:val="single"/>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continue"/>
            <w:vAlign w:val="center"/>
          </w:tcPr>
          <w:p>
            <w:pPr>
              <w:jc w:val="center"/>
              <w:rPr>
                <w:rFonts w:hint="eastAsia" w:ascii="宋体" w:hAnsi="宋体"/>
                <w:b/>
                <w:szCs w:val="21"/>
              </w:rPr>
            </w:pPr>
          </w:p>
        </w:tc>
        <w:tc>
          <w:tcPr>
            <w:tcW w:w="1417" w:type="dxa"/>
            <w:vMerge w:val="continue"/>
            <w:vAlign w:val="center"/>
          </w:tcPr>
          <w:p>
            <w:pPr>
              <w:jc w:val="center"/>
              <w:rPr>
                <w:rFonts w:hint="eastAsia" w:ascii="宋体" w:hAnsi="宋体"/>
                <w:b/>
                <w:szCs w:val="21"/>
              </w:rPr>
            </w:pPr>
          </w:p>
        </w:tc>
        <w:tc>
          <w:tcPr>
            <w:tcW w:w="1276" w:type="dxa"/>
            <w:vMerge w:val="continue"/>
            <w:tcBorders>
              <w:right w:val="single" w:color="auto" w:sz="4" w:space="0"/>
            </w:tcBorders>
            <w:vAlign w:val="center"/>
          </w:tcPr>
          <w:p>
            <w:pPr>
              <w:jc w:val="center"/>
              <w:rPr>
                <w:rFonts w:hint="eastAsia" w:ascii="宋体" w:hAnsi="宋体"/>
                <w:szCs w:val="21"/>
              </w:rPr>
            </w:pPr>
          </w:p>
        </w:tc>
        <w:tc>
          <w:tcPr>
            <w:tcW w:w="5639" w:type="dxa"/>
            <w:tcBorders>
              <w:left w:val="single" w:color="auto" w:sz="4" w:space="0"/>
            </w:tcBorders>
            <w:vAlign w:val="center"/>
          </w:tcPr>
          <w:p>
            <w:pPr>
              <w:autoSpaceDE w:val="0"/>
              <w:autoSpaceDN w:val="0"/>
              <w:snapToGrid w:val="0"/>
              <w:spacing w:line="400" w:lineRule="exact"/>
              <w:textAlignment w:val="bottom"/>
              <w:rPr>
                <w:rFonts w:ascii="宋体"/>
                <w:b/>
                <w:bCs/>
                <w:szCs w:val="21"/>
                <w:u w:val="single"/>
              </w:rPr>
            </w:pPr>
            <w:r>
              <w:rPr>
                <w:rFonts w:hint="eastAsia" w:ascii="宋体"/>
                <w:b/>
                <w:bCs/>
                <w:szCs w:val="21"/>
                <w:u w:val="single"/>
                <w:lang w:val="en-US" w:eastAsia="zh-CN"/>
              </w:rPr>
              <w:t>2.</w:t>
            </w:r>
            <w:r>
              <w:rPr>
                <w:rFonts w:hint="eastAsia" w:ascii="宋体"/>
                <w:b/>
                <w:bCs/>
                <w:szCs w:val="21"/>
                <w:u w:val="single"/>
              </w:rPr>
              <w:t>投标人应提供202</w:t>
            </w:r>
            <w:r>
              <w:rPr>
                <w:rFonts w:hint="eastAsia" w:ascii="宋体"/>
                <w:b/>
                <w:bCs/>
                <w:szCs w:val="21"/>
                <w:u w:val="single"/>
                <w:lang w:val="en-US" w:eastAsia="zh-CN"/>
              </w:rPr>
              <w:t>4</w:t>
            </w:r>
            <w:r>
              <w:rPr>
                <w:rFonts w:hint="eastAsia" w:ascii="宋体"/>
                <w:b/>
                <w:bCs/>
                <w:szCs w:val="21"/>
                <w:u w:val="single"/>
              </w:rPr>
              <w:t>年1月至今期间（税款所属时期）任意1个月的税务局税收通用缴款书扫描件或银行电子缴税凭证扫描件或税务局出具的纳税情况相关证明扫描件；依法免税的投标人，应提供相应文件证明其依法免税；新成立企业尚未缴纳税款的，应出具情况证明。</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continue"/>
            <w:vAlign w:val="center"/>
          </w:tcPr>
          <w:p>
            <w:pPr>
              <w:jc w:val="center"/>
              <w:rPr>
                <w:rFonts w:ascii="宋体"/>
                <w:sz w:val="36"/>
              </w:rPr>
            </w:pPr>
          </w:p>
        </w:tc>
        <w:tc>
          <w:tcPr>
            <w:tcW w:w="1417" w:type="dxa"/>
            <w:vMerge w:val="continue"/>
            <w:vAlign w:val="center"/>
          </w:tcPr>
          <w:p>
            <w:pPr>
              <w:jc w:val="center"/>
              <w:rPr>
                <w:rFonts w:hint="eastAsia" w:ascii="宋体" w:hAnsi="宋体"/>
                <w:b/>
                <w:szCs w:val="21"/>
              </w:rPr>
            </w:pPr>
          </w:p>
        </w:tc>
        <w:tc>
          <w:tcPr>
            <w:tcW w:w="1276" w:type="dxa"/>
            <w:vMerge w:val="continue"/>
            <w:tcBorders>
              <w:right w:val="single" w:color="auto" w:sz="4" w:space="0"/>
            </w:tcBorders>
            <w:vAlign w:val="center"/>
          </w:tcPr>
          <w:p>
            <w:pPr>
              <w:jc w:val="center"/>
              <w:rPr>
                <w:rFonts w:hint="eastAsia" w:ascii="宋体" w:hAnsi="宋体"/>
                <w:b/>
                <w:szCs w:val="21"/>
              </w:rPr>
            </w:pPr>
          </w:p>
        </w:tc>
        <w:tc>
          <w:tcPr>
            <w:tcW w:w="5639" w:type="dxa"/>
            <w:tcBorders>
              <w:left w:val="single" w:color="auto" w:sz="4" w:space="0"/>
            </w:tcBorders>
            <w:vAlign w:val="center"/>
          </w:tcPr>
          <w:p>
            <w:pPr>
              <w:autoSpaceDE w:val="0"/>
              <w:autoSpaceDN w:val="0"/>
              <w:snapToGrid w:val="0"/>
              <w:spacing w:line="400" w:lineRule="exact"/>
              <w:textAlignment w:val="bottom"/>
              <w:rPr>
                <w:rFonts w:hint="eastAsia" w:ascii="宋体" w:hAnsi="宋体"/>
                <w:b/>
                <w:szCs w:val="21"/>
              </w:rPr>
            </w:pPr>
            <w:r>
              <w:rPr>
                <w:rFonts w:hint="eastAsia" w:ascii="宋体"/>
                <w:b/>
                <w:bCs/>
                <w:szCs w:val="21"/>
                <w:u w:val="single"/>
                <w:lang w:val="en-US" w:eastAsia="zh-CN"/>
              </w:rPr>
              <w:t>3.</w:t>
            </w:r>
            <w:r>
              <w:rPr>
                <w:rFonts w:hint="eastAsia" w:ascii="宋体"/>
                <w:b/>
                <w:bCs/>
                <w:szCs w:val="21"/>
                <w:u w:val="single"/>
              </w:rPr>
              <w:t>投标人应提供202</w:t>
            </w:r>
            <w:r>
              <w:rPr>
                <w:rFonts w:hint="eastAsia" w:ascii="宋体"/>
                <w:b/>
                <w:bCs/>
                <w:szCs w:val="21"/>
                <w:u w:val="single"/>
                <w:lang w:val="en-US" w:eastAsia="zh-CN"/>
              </w:rPr>
              <w:t>4</w:t>
            </w:r>
            <w:r>
              <w:rPr>
                <w:rFonts w:hint="eastAsia" w:ascii="宋体"/>
                <w:b/>
                <w:bCs/>
                <w:szCs w:val="21"/>
                <w:u w:val="single"/>
              </w:rPr>
              <w:t>年1月至今期间（费款所属时期）任意1个月的社会保险费缴款书扫描件或银行电子缴费凭证扫描件或社保管理部门出具的有效缴款证明扫描件；依法不需要缴纳社会保障资金的投标人，应提供相应文件证明其不需要缴纳社会保障资金；新成立企业尚未缴纳社保的，应出具情况证明。</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continue"/>
            <w:vAlign w:val="center"/>
          </w:tcPr>
          <w:p>
            <w:pPr>
              <w:jc w:val="center"/>
              <w:rPr>
                <w:rFonts w:ascii="宋体"/>
                <w:sz w:val="36"/>
              </w:rPr>
            </w:pPr>
          </w:p>
        </w:tc>
        <w:tc>
          <w:tcPr>
            <w:tcW w:w="1417" w:type="dxa"/>
            <w:vMerge w:val="continue"/>
            <w:vAlign w:val="center"/>
          </w:tcPr>
          <w:p>
            <w:pPr>
              <w:jc w:val="center"/>
              <w:rPr>
                <w:rFonts w:hint="eastAsia" w:ascii="宋体" w:hAnsi="宋体"/>
                <w:b/>
                <w:szCs w:val="21"/>
              </w:rPr>
            </w:pPr>
          </w:p>
        </w:tc>
        <w:tc>
          <w:tcPr>
            <w:tcW w:w="1276" w:type="dxa"/>
            <w:vMerge w:val="continue"/>
            <w:tcBorders>
              <w:right w:val="single" w:color="auto" w:sz="4" w:space="0"/>
            </w:tcBorders>
            <w:vAlign w:val="center"/>
          </w:tcPr>
          <w:p>
            <w:pPr>
              <w:jc w:val="center"/>
              <w:rPr>
                <w:rFonts w:hint="eastAsia" w:ascii="宋体" w:hAnsi="宋体"/>
                <w:b/>
                <w:szCs w:val="21"/>
              </w:rPr>
            </w:pPr>
          </w:p>
        </w:tc>
        <w:tc>
          <w:tcPr>
            <w:tcW w:w="5639" w:type="dxa"/>
            <w:tcBorders>
              <w:left w:val="single" w:color="auto" w:sz="4" w:space="0"/>
            </w:tcBorders>
            <w:vAlign w:val="center"/>
          </w:tcPr>
          <w:p>
            <w:pPr>
              <w:rPr>
                <w:b/>
                <w:bCs/>
                <w:u w:val="single"/>
              </w:rPr>
            </w:pPr>
            <w:r>
              <w:rPr>
                <w:rFonts w:hint="eastAsia"/>
                <w:b/>
                <w:bCs/>
                <w:u w:val="single"/>
                <w:lang w:val="en-US" w:eastAsia="zh-CN"/>
              </w:rPr>
              <w:t>4.</w:t>
            </w:r>
            <w:r>
              <w:rPr>
                <w:rFonts w:hint="eastAsia"/>
                <w:b/>
                <w:bCs/>
                <w:u w:val="single"/>
              </w:rPr>
              <w:t>投标人应提供财务状况报告，可提供以下(1）、(2）二者之一:</w:t>
            </w:r>
          </w:p>
          <w:p>
            <w:pPr>
              <w:rPr>
                <w:b/>
                <w:bCs/>
                <w:u w:val="single"/>
              </w:rPr>
            </w:pPr>
            <w:r>
              <w:rPr>
                <w:rFonts w:hint="eastAsia"/>
                <w:b/>
                <w:bCs/>
                <w:u w:val="single"/>
              </w:rPr>
              <w:t>(1)提供202</w:t>
            </w:r>
            <w:r>
              <w:rPr>
                <w:rFonts w:hint="eastAsia"/>
                <w:b/>
                <w:bCs/>
                <w:u w:val="single"/>
                <w:lang w:val="en-US" w:eastAsia="zh-CN"/>
              </w:rPr>
              <w:t>4</w:t>
            </w:r>
            <w:r>
              <w:rPr>
                <w:rFonts w:hint="eastAsia"/>
                <w:b/>
                <w:bCs/>
                <w:u w:val="single"/>
              </w:rPr>
              <w:t>年至今任意一年度经审计的财务审计报告扫描件（包括财务审计报告及“四表一注”，“四表一注”即资产负债表、利润表、现金流量表、所有者权益变动表及其附注；执行小企业会计准则的投标人可不提供所有者权益变动表。）【注：根据《关于加强审计报告查验工作的通知》（财会〔2023〕15号）规定，在2022年10月以后出具的审计报告须在注册会计师行业统一监管平台（网址：http://acc.mof.gov.cn）取得赋码，未取得赋码的财务报告视为无效】</w:t>
            </w:r>
          </w:p>
          <w:p>
            <w:pPr>
              <w:rPr>
                <w:rFonts w:hint="eastAsia" w:ascii="宋体" w:hAnsi="宋体"/>
                <w:b/>
                <w:szCs w:val="21"/>
              </w:rPr>
            </w:pPr>
            <w:r>
              <w:rPr>
                <w:rFonts w:hint="eastAsia"/>
                <w:b/>
                <w:bCs/>
                <w:u w:val="single"/>
              </w:rPr>
              <w:t>(2)提供投标文件提交截止时间前三个月内基本开户银行出具的资信证明。【注：资信证明中未明确为基本开户银行的，需同时提供《基本存款账号信息》或《开户许可证》】。</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604" w:hRule="atLeast"/>
          <w:jc w:val="center"/>
        </w:trPr>
        <w:tc>
          <w:tcPr>
            <w:tcW w:w="964" w:type="dxa"/>
            <w:vMerge w:val="continue"/>
            <w:vAlign w:val="center"/>
          </w:tcPr>
          <w:p>
            <w:pPr>
              <w:jc w:val="center"/>
              <w:rPr>
                <w:rFonts w:ascii="宋体"/>
                <w:sz w:val="36"/>
              </w:rPr>
            </w:pPr>
          </w:p>
        </w:tc>
        <w:tc>
          <w:tcPr>
            <w:tcW w:w="1417" w:type="dxa"/>
            <w:vMerge w:val="continue"/>
            <w:vAlign w:val="center"/>
          </w:tcPr>
          <w:p>
            <w:pPr>
              <w:jc w:val="center"/>
              <w:rPr>
                <w:rFonts w:hint="eastAsia" w:ascii="宋体" w:hAnsi="宋体"/>
                <w:b/>
                <w:szCs w:val="21"/>
              </w:rPr>
            </w:pPr>
          </w:p>
        </w:tc>
        <w:tc>
          <w:tcPr>
            <w:tcW w:w="1276" w:type="dxa"/>
            <w:vMerge w:val="continue"/>
            <w:tcBorders>
              <w:right w:val="single" w:color="auto" w:sz="4" w:space="0"/>
            </w:tcBorders>
            <w:vAlign w:val="center"/>
          </w:tcPr>
          <w:p>
            <w:pPr>
              <w:jc w:val="center"/>
              <w:rPr>
                <w:rFonts w:hint="eastAsia" w:ascii="宋体" w:hAnsi="宋体"/>
                <w:b/>
                <w:szCs w:val="21"/>
              </w:rPr>
            </w:pPr>
          </w:p>
        </w:tc>
        <w:tc>
          <w:tcPr>
            <w:tcW w:w="5639" w:type="dxa"/>
            <w:tcBorders>
              <w:left w:val="single" w:color="auto" w:sz="4" w:space="0"/>
            </w:tcBorders>
            <w:vAlign w:val="center"/>
          </w:tcPr>
          <w:p>
            <w:pPr>
              <w:autoSpaceDE w:val="0"/>
              <w:autoSpaceDN w:val="0"/>
              <w:snapToGrid w:val="0"/>
              <w:spacing w:line="400" w:lineRule="exact"/>
              <w:textAlignment w:val="bottom"/>
              <w:rPr>
                <w:rFonts w:hint="eastAsia" w:ascii="宋体" w:hAnsi="宋体"/>
                <w:b/>
                <w:szCs w:val="21"/>
              </w:rPr>
            </w:pPr>
            <w:r>
              <w:rPr>
                <w:rFonts w:hint="eastAsia" w:ascii="宋体" w:hAnsi="宋体"/>
                <w:b/>
                <w:bCs/>
                <w:szCs w:val="21"/>
                <w:u w:val="single"/>
                <w:lang w:val="en-US" w:eastAsia="zh-CN"/>
              </w:rPr>
              <w:t>5.</w:t>
            </w:r>
            <w:r>
              <w:rPr>
                <w:rFonts w:hint="eastAsia" w:ascii="宋体" w:hAnsi="宋体"/>
                <w:b/>
                <w:bCs/>
                <w:szCs w:val="21"/>
                <w:u w:val="single"/>
              </w:rPr>
              <w:t>投标人书面声明原件</w:t>
            </w:r>
            <w:r>
              <w:rPr>
                <w:rFonts w:hint="eastAsia" w:ascii="宋体" w:hAnsi="宋体"/>
                <w:b/>
                <w:bCs/>
                <w:szCs w:val="21"/>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continue"/>
            <w:vAlign w:val="center"/>
          </w:tcPr>
          <w:p>
            <w:pPr>
              <w:jc w:val="center"/>
              <w:rPr>
                <w:rFonts w:ascii="宋体"/>
                <w:sz w:val="36"/>
              </w:rPr>
            </w:pPr>
          </w:p>
        </w:tc>
        <w:tc>
          <w:tcPr>
            <w:tcW w:w="1417" w:type="dxa"/>
            <w:vMerge w:val="continue"/>
            <w:vAlign w:val="center"/>
          </w:tcPr>
          <w:p>
            <w:pPr>
              <w:jc w:val="center"/>
              <w:rPr>
                <w:rFonts w:hint="eastAsia" w:ascii="宋体" w:hAnsi="宋体"/>
                <w:b/>
                <w:szCs w:val="21"/>
              </w:rPr>
            </w:pPr>
          </w:p>
        </w:tc>
        <w:tc>
          <w:tcPr>
            <w:tcW w:w="6915" w:type="dxa"/>
            <w:gridSpan w:val="2"/>
            <w:vAlign w:val="center"/>
          </w:tcPr>
          <w:p>
            <w:pPr>
              <w:jc w:val="left"/>
              <w:rPr>
                <w:rFonts w:hint="eastAsia" w:ascii="宋体" w:hAnsi="宋体"/>
                <w:b/>
                <w:szCs w:val="21"/>
              </w:rPr>
            </w:pPr>
            <w:r>
              <w:rPr>
                <w:rFonts w:hint="eastAsia" w:ascii="宋体" w:hAnsi="宋体"/>
                <w:szCs w:val="21"/>
              </w:rPr>
              <w:t>符合采购人根据本项目的特殊要求规定投标人应具备的特定条件，详见招标文件第一章的投标邀请资格要求。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continue"/>
            <w:vAlign w:val="center"/>
          </w:tcPr>
          <w:p>
            <w:pPr>
              <w:jc w:val="center"/>
              <w:rPr>
                <w:rFonts w:ascii="宋体"/>
                <w:sz w:val="36"/>
              </w:rPr>
            </w:pPr>
          </w:p>
        </w:tc>
        <w:tc>
          <w:tcPr>
            <w:tcW w:w="1417" w:type="dxa"/>
            <w:vMerge w:val="continue"/>
            <w:vAlign w:val="center"/>
          </w:tcPr>
          <w:p>
            <w:pPr>
              <w:jc w:val="center"/>
              <w:rPr>
                <w:rFonts w:hint="eastAsia" w:ascii="宋体" w:hAnsi="宋体"/>
                <w:b/>
                <w:szCs w:val="21"/>
              </w:rPr>
            </w:pPr>
          </w:p>
        </w:tc>
        <w:tc>
          <w:tcPr>
            <w:tcW w:w="6915" w:type="dxa"/>
            <w:gridSpan w:val="2"/>
            <w:vAlign w:val="center"/>
          </w:tcPr>
          <w:p>
            <w:pPr>
              <w:jc w:val="left"/>
              <w:rPr>
                <w:rFonts w:hint="eastAsia" w:ascii="宋体" w:hAnsi="宋体"/>
                <w:b/>
                <w:szCs w:val="21"/>
              </w:rPr>
            </w:pPr>
            <w:r>
              <w:rPr>
                <w:rFonts w:hint="eastAsia" w:ascii="宋体" w:hAnsi="宋体"/>
                <w:szCs w:val="21"/>
              </w:rPr>
              <w:t>参加投标的投标人在投标文件提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中国政府采购网”网站（www.ccgp.gov.cn）查询投标人信用记录。</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21" w:hRule="atLeast"/>
          <w:jc w:val="center"/>
        </w:trPr>
        <w:tc>
          <w:tcPr>
            <w:tcW w:w="964" w:type="dxa"/>
            <w:vMerge w:val="continue"/>
            <w:vAlign w:val="center"/>
          </w:tcPr>
          <w:p>
            <w:pPr>
              <w:jc w:val="center"/>
              <w:rPr>
                <w:rFonts w:ascii="宋体"/>
                <w:sz w:val="36"/>
              </w:rPr>
            </w:pPr>
          </w:p>
        </w:tc>
        <w:tc>
          <w:tcPr>
            <w:tcW w:w="1417" w:type="dxa"/>
            <w:vMerge w:val="continue"/>
            <w:vAlign w:val="center"/>
          </w:tcPr>
          <w:p>
            <w:pPr>
              <w:jc w:val="center"/>
              <w:rPr>
                <w:rFonts w:hint="eastAsia" w:ascii="宋体" w:hAnsi="宋体"/>
                <w:b/>
                <w:szCs w:val="21"/>
              </w:rPr>
            </w:pPr>
          </w:p>
        </w:tc>
        <w:tc>
          <w:tcPr>
            <w:tcW w:w="6915" w:type="dxa"/>
            <w:gridSpan w:val="2"/>
            <w:vAlign w:val="center"/>
          </w:tcPr>
          <w:p>
            <w:pPr>
              <w:jc w:val="left"/>
              <w:rPr>
                <w:rFonts w:hint="eastAsia" w:ascii="宋体" w:hAnsi="宋体"/>
                <w:b/>
                <w:szCs w:val="21"/>
              </w:rPr>
            </w:pPr>
            <w:r>
              <w:rPr>
                <w:rFonts w:hint="eastAsia" w:ascii="宋体" w:hAnsi="宋体"/>
                <w:szCs w:val="21"/>
              </w:rPr>
              <w:t>符合招标文件关于联合体投标的有关规定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64" w:type="dxa"/>
            <w:vMerge w:val="continue"/>
            <w:vAlign w:val="center"/>
          </w:tcPr>
          <w:p>
            <w:pPr>
              <w:jc w:val="center"/>
              <w:rPr>
                <w:rFonts w:ascii="宋体"/>
                <w:sz w:val="36"/>
              </w:rPr>
            </w:pPr>
          </w:p>
        </w:tc>
        <w:tc>
          <w:tcPr>
            <w:tcW w:w="1417" w:type="dxa"/>
            <w:vAlign w:val="center"/>
          </w:tcPr>
          <w:p>
            <w:pPr>
              <w:jc w:val="center"/>
              <w:rPr>
                <w:rFonts w:hint="eastAsia" w:ascii="宋体" w:hAnsi="宋体"/>
                <w:b/>
                <w:szCs w:val="21"/>
              </w:rPr>
            </w:pPr>
            <w:r>
              <w:rPr>
                <w:rFonts w:hint="eastAsia" w:ascii="宋体" w:hAnsi="宋体"/>
                <w:b/>
                <w:szCs w:val="21"/>
              </w:rPr>
              <w:t>投标保证金</w:t>
            </w:r>
          </w:p>
        </w:tc>
        <w:tc>
          <w:tcPr>
            <w:tcW w:w="6915" w:type="dxa"/>
            <w:gridSpan w:val="2"/>
            <w:vAlign w:val="center"/>
          </w:tcPr>
          <w:p>
            <w:pPr>
              <w:jc w:val="left"/>
              <w:rPr>
                <w:rFonts w:hint="eastAsia" w:ascii="宋体" w:hAnsi="宋体"/>
                <w:b/>
                <w:szCs w:val="21"/>
              </w:rPr>
            </w:pPr>
            <w:r>
              <w:rPr>
                <w:rFonts w:hint="eastAsia" w:ascii="宋体" w:hAnsi="宋体"/>
                <w:szCs w:val="21"/>
              </w:rPr>
              <w:t>无</w:t>
            </w:r>
          </w:p>
        </w:tc>
      </w:tr>
    </w:tbl>
    <w:p/>
    <w:p>
      <w:pPr>
        <w:pStyle w:val="2"/>
        <w:numPr>
          <w:ilvl w:val="0"/>
          <w:numId w:val="0"/>
        </w:numPr>
        <w:spacing w:before="0"/>
        <w:rPr>
          <w:rFonts w:hint="eastAsia" w:ascii="宋体" w:hAnsi="宋体" w:eastAsia="宋体"/>
          <w:szCs w:val="28"/>
        </w:rPr>
      </w:pPr>
      <w:bookmarkStart w:id="382" w:name="_Toc29685"/>
      <w:bookmarkStart w:id="383" w:name="_Toc16185"/>
      <w:bookmarkStart w:id="384" w:name="_Toc234942481"/>
      <w:bookmarkStart w:id="385" w:name="_Toc3460"/>
      <w:bookmarkStart w:id="386" w:name="_Toc7526"/>
      <w:r>
        <w:rPr>
          <w:rFonts w:hint="eastAsia" w:ascii="宋体" w:hAnsi="宋体" w:eastAsia="宋体"/>
          <w:szCs w:val="28"/>
        </w:rPr>
        <w:t>1. 资格审查</w:t>
      </w:r>
      <w:bookmarkEnd w:id="382"/>
      <w:bookmarkEnd w:id="383"/>
      <w:bookmarkEnd w:id="384"/>
      <w:bookmarkEnd w:id="385"/>
      <w:bookmarkEnd w:id="386"/>
    </w:p>
    <w:p>
      <w:pPr>
        <w:ind w:firstLine="480" w:firstLineChars="200"/>
        <w:rPr>
          <w:rFonts w:hint="eastAsia" w:ascii="宋体" w:hAnsi="宋体"/>
          <w:sz w:val="24"/>
        </w:rPr>
      </w:pPr>
      <w:r>
        <w:rPr>
          <w:rFonts w:ascii="宋体" w:hAnsi="宋体"/>
          <w:sz w:val="24"/>
        </w:rPr>
        <w:t>公开招标采购项目开标结束后，采购人或者采购代理机构依法对投标人的资格进行审查。</w:t>
      </w:r>
    </w:p>
    <w:p>
      <w:pPr>
        <w:pStyle w:val="2"/>
        <w:numPr>
          <w:ilvl w:val="0"/>
          <w:numId w:val="0"/>
        </w:numPr>
        <w:spacing w:before="0"/>
        <w:rPr>
          <w:rFonts w:hint="eastAsia" w:ascii="宋体" w:hAnsi="宋体" w:eastAsia="宋体"/>
          <w:szCs w:val="28"/>
        </w:rPr>
      </w:pPr>
      <w:bookmarkStart w:id="387" w:name="_Toc234942482"/>
      <w:bookmarkStart w:id="388" w:name="_Toc4327"/>
      <w:bookmarkStart w:id="389" w:name="_Toc28914"/>
      <w:bookmarkStart w:id="390" w:name="_Toc20473"/>
      <w:bookmarkStart w:id="391" w:name="_Toc28962"/>
      <w:r>
        <w:rPr>
          <w:rFonts w:hint="eastAsia" w:ascii="宋体" w:hAnsi="宋体" w:eastAsia="宋体"/>
          <w:szCs w:val="28"/>
        </w:rPr>
        <w:t>2. 资格审查标准</w:t>
      </w:r>
      <w:bookmarkEnd w:id="387"/>
      <w:bookmarkEnd w:id="388"/>
      <w:bookmarkEnd w:id="389"/>
      <w:bookmarkEnd w:id="390"/>
      <w:bookmarkEnd w:id="391"/>
    </w:p>
    <w:p>
      <w:pPr>
        <w:spacing w:line="360" w:lineRule="auto"/>
        <w:ind w:firstLine="480" w:firstLineChars="200"/>
        <w:jc w:val="left"/>
        <w:rPr>
          <w:rFonts w:hint="eastAsia" w:ascii="宋体" w:hAnsi="宋体"/>
          <w:sz w:val="24"/>
        </w:rPr>
      </w:pPr>
      <w:r>
        <w:rPr>
          <w:rFonts w:hint="eastAsia" w:ascii="宋体" w:hAnsi="宋体"/>
          <w:sz w:val="24"/>
        </w:rPr>
        <w:t>资格审查标准：</w:t>
      </w:r>
      <w:r>
        <w:rPr>
          <w:rFonts w:ascii="宋体" w:hAnsi="宋体"/>
          <w:sz w:val="24"/>
        </w:rPr>
        <w:t>依据法律法规和招标文件的规定，对投标文件中的</w:t>
      </w:r>
      <w:r>
        <w:rPr>
          <w:rFonts w:hint="eastAsia" w:ascii="宋体" w:hAnsi="宋体"/>
          <w:sz w:val="24"/>
        </w:rPr>
        <w:t>资格条件以及</w:t>
      </w:r>
      <w:r>
        <w:rPr>
          <w:rFonts w:ascii="宋体" w:hAnsi="宋体"/>
          <w:sz w:val="24"/>
        </w:rPr>
        <w:t>证明</w:t>
      </w:r>
      <w:r>
        <w:rPr>
          <w:rFonts w:hint="eastAsia" w:ascii="宋体" w:hAnsi="宋体"/>
          <w:sz w:val="24"/>
        </w:rPr>
        <w:t>文件</w:t>
      </w:r>
      <w:r>
        <w:rPr>
          <w:rFonts w:ascii="宋体" w:hAnsi="宋体"/>
          <w:sz w:val="24"/>
        </w:rPr>
        <w:t>、投标保证金等进行审查，以确定</w:t>
      </w:r>
      <w:r>
        <w:rPr>
          <w:rFonts w:hint="eastAsia" w:ascii="宋体" w:hAnsi="宋体"/>
          <w:sz w:val="24"/>
        </w:rPr>
        <w:t>投标人</w:t>
      </w:r>
      <w:r>
        <w:rPr>
          <w:rFonts w:ascii="宋体" w:hAnsi="宋体"/>
          <w:sz w:val="24"/>
        </w:rPr>
        <w:t>是否具备投标资格</w:t>
      </w:r>
      <w:r>
        <w:rPr>
          <w:rFonts w:hint="eastAsia" w:ascii="宋体" w:hAnsi="宋体"/>
          <w:sz w:val="24"/>
        </w:rPr>
        <w:t>；见资格审查前附表。</w:t>
      </w:r>
    </w:p>
    <w:p>
      <w:pPr>
        <w:pStyle w:val="2"/>
        <w:numPr>
          <w:ilvl w:val="0"/>
          <w:numId w:val="0"/>
        </w:numPr>
        <w:spacing w:before="0"/>
        <w:rPr>
          <w:rFonts w:hint="eastAsia" w:ascii="宋体" w:hAnsi="宋体" w:eastAsia="宋体"/>
          <w:szCs w:val="28"/>
        </w:rPr>
      </w:pPr>
      <w:bookmarkStart w:id="392" w:name="_Toc28029"/>
      <w:bookmarkStart w:id="393" w:name="_Toc234942483"/>
      <w:bookmarkStart w:id="394" w:name="_Toc6869"/>
      <w:bookmarkStart w:id="395" w:name="_Toc29677"/>
      <w:bookmarkStart w:id="396" w:name="_Toc28245"/>
      <w:r>
        <w:rPr>
          <w:rFonts w:hint="eastAsia" w:ascii="宋体" w:hAnsi="宋体" w:eastAsia="宋体"/>
          <w:szCs w:val="28"/>
        </w:rPr>
        <w:t>3. 资格审查程序</w:t>
      </w:r>
      <w:bookmarkEnd w:id="392"/>
      <w:bookmarkEnd w:id="393"/>
      <w:bookmarkEnd w:id="394"/>
      <w:bookmarkEnd w:id="395"/>
      <w:bookmarkEnd w:id="396"/>
    </w:p>
    <w:p>
      <w:pPr>
        <w:pStyle w:val="19"/>
        <w:tabs>
          <w:tab w:val="left" w:pos="2472"/>
        </w:tabs>
        <w:spacing w:line="360" w:lineRule="auto"/>
        <w:ind w:firstLine="480" w:firstLineChars="200"/>
        <w:rPr>
          <w:rFonts w:hint="eastAsia" w:hAnsi="宋体"/>
          <w:sz w:val="24"/>
          <w:szCs w:val="24"/>
        </w:rPr>
      </w:pPr>
      <w:r>
        <w:rPr>
          <w:rFonts w:hint="eastAsia" w:hAnsi="宋体"/>
          <w:sz w:val="24"/>
          <w:szCs w:val="24"/>
        </w:rPr>
        <w:t>采购人或采购代理机构依据本章第2项规定的标准对投标文件进行资格审查。有一项不符合审查标准的，投标无效。</w:t>
      </w:r>
    </w:p>
    <w:p>
      <w:pPr>
        <w:pStyle w:val="19"/>
        <w:tabs>
          <w:tab w:val="left" w:pos="2472"/>
        </w:tabs>
        <w:spacing w:line="360" w:lineRule="auto"/>
        <w:ind w:firstLine="482" w:firstLineChars="200"/>
        <w:rPr>
          <w:rFonts w:hint="eastAsia" w:hAnsi="宋体"/>
          <w:b/>
          <w:sz w:val="24"/>
          <w:szCs w:val="24"/>
          <w:u w:val="single"/>
        </w:rPr>
      </w:pPr>
      <w:r>
        <w:rPr>
          <w:rFonts w:hint="eastAsia" w:hAnsi="宋体"/>
          <w:b/>
          <w:sz w:val="24"/>
          <w:szCs w:val="24"/>
          <w:u w:val="single"/>
        </w:rPr>
        <w:t>注：合格投标人不足3家的，不再进入评标程序，作废标处理。</w:t>
      </w:r>
    </w:p>
    <w:p>
      <w:pPr>
        <w:pStyle w:val="3"/>
        <w:numPr>
          <w:ilvl w:val="0"/>
          <w:numId w:val="0"/>
        </w:numPr>
        <w:spacing w:before="0"/>
        <w:jc w:val="center"/>
        <w:rPr>
          <w:rFonts w:ascii="宋体" w:eastAsia="宋体"/>
          <w:sz w:val="36"/>
        </w:rPr>
      </w:pPr>
      <w:r>
        <w:rPr>
          <w:rFonts w:ascii="宋体" w:eastAsia="宋体"/>
          <w:sz w:val="36"/>
        </w:rPr>
        <w:br w:type="page"/>
      </w:r>
      <w:bookmarkStart w:id="397" w:name="_Toc22446"/>
      <w:bookmarkStart w:id="398" w:name="_Toc32377"/>
      <w:bookmarkStart w:id="399" w:name="_Toc234942484"/>
      <w:bookmarkStart w:id="400" w:name="_Toc19126"/>
      <w:bookmarkStart w:id="401" w:name="_Toc15611"/>
      <w:r>
        <w:rPr>
          <w:rFonts w:hint="eastAsia" w:ascii="宋体" w:eastAsia="宋体"/>
          <w:sz w:val="36"/>
        </w:rPr>
        <w:t>第七章  评标办法（综合评分法）</w:t>
      </w:r>
      <w:bookmarkEnd w:id="397"/>
      <w:bookmarkEnd w:id="398"/>
      <w:bookmarkEnd w:id="399"/>
      <w:bookmarkEnd w:id="400"/>
      <w:bookmarkEnd w:id="401"/>
    </w:p>
    <w:p>
      <w:pPr>
        <w:pStyle w:val="2"/>
        <w:numPr>
          <w:ilvl w:val="0"/>
          <w:numId w:val="0"/>
        </w:numPr>
        <w:spacing w:before="0"/>
        <w:jc w:val="center"/>
        <w:rPr>
          <w:rFonts w:ascii="宋体" w:eastAsia="宋体"/>
          <w:szCs w:val="28"/>
        </w:rPr>
      </w:pPr>
      <w:bookmarkStart w:id="402" w:name="_Toc15541"/>
      <w:bookmarkStart w:id="403" w:name="_Toc20622"/>
      <w:bookmarkStart w:id="404" w:name="_Toc234942485"/>
      <w:bookmarkStart w:id="405" w:name="_Toc5629"/>
      <w:bookmarkStart w:id="406" w:name="_Toc16937"/>
      <w:bookmarkStart w:id="407" w:name="_Toc12278"/>
      <w:bookmarkStart w:id="408" w:name="_Toc468805876"/>
      <w:r>
        <w:rPr>
          <w:rFonts w:hint="eastAsia" w:ascii="宋体" w:eastAsia="宋体"/>
          <w:szCs w:val="28"/>
        </w:rPr>
        <w:t>评标办法前附表</w:t>
      </w:r>
      <w:bookmarkEnd w:id="402"/>
      <w:bookmarkEnd w:id="403"/>
      <w:bookmarkEnd w:id="404"/>
      <w:bookmarkEnd w:id="405"/>
      <w:bookmarkEnd w:id="406"/>
      <w:bookmarkEnd w:id="407"/>
    </w:p>
    <w:tbl>
      <w:tblPr>
        <w:tblStyle w:val="38"/>
        <w:tblW w:w="9296"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155"/>
        <w:gridCol w:w="6507"/>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1634" w:type="dxa"/>
            <w:gridSpan w:val="2"/>
            <w:vAlign w:val="center"/>
          </w:tcPr>
          <w:p>
            <w:pPr>
              <w:jc w:val="center"/>
              <w:rPr>
                <w:rFonts w:hint="eastAsia" w:ascii="宋体" w:hAnsi="宋体"/>
                <w:b/>
                <w:szCs w:val="21"/>
              </w:rPr>
            </w:pPr>
            <w:r>
              <w:rPr>
                <w:rFonts w:hint="eastAsia" w:ascii="宋体" w:hAnsi="宋体"/>
                <w:b/>
                <w:szCs w:val="21"/>
              </w:rPr>
              <w:t>条款号</w:t>
            </w:r>
          </w:p>
        </w:tc>
        <w:tc>
          <w:tcPr>
            <w:tcW w:w="1155" w:type="dxa"/>
            <w:vAlign w:val="center"/>
          </w:tcPr>
          <w:p>
            <w:pPr>
              <w:jc w:val="center"/>
              <w:rPr>
                <w:rFonts w:hint="eastAsia" w:ascii="宋体" w:hAnsi="宋体"/>
                <w:b/>
                <w:szCs w:val="21"/>
              </w:rPr>
            </w:pPr>
            <w:r>
              <w:rPr>
                <w:rFonts w:hint="eastAsia" w:ascii="宋体" w:hAnsi="宋体"/>
                <w:b/>
                <w:szCs w:val="21"/>
              </w:rPr>
              <w:t>评 审 因 素</w:t>
            </w:r>
          </w:p>
        </w:tc>
        <w:tc>
          <w:tcPr>
            <w:tcW w:w="6507" w:type="dxa"/>
            <w:vAlign w:val="center"/>
          </w:tcPr>
          <w:p>
            <w:pPr>
              <w:jc w:val="center"/>
              <w:rPr>
                <w:rFonts w:hint="eastAsia" w:ascii="宋体" w:hAnsi="宋体"/>
                <w:b/>
                <w:szCs w:val="21"/>
              </w:rPr>
            </w:pPr>
            <w:r>
              <w:rPr>
                <w:rFonts w:hint="eastAsia" w:ascii="宋体" w:hAnsi="宋体"/>
                <w:b/>
                <w:szCs w:val="21"/>
              </w:rPr>
              <w:t>评 审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817" w:type="dxa"/>
            <w:vMerge w:val="restart"/>
            <w:vAlign w:val="center"/>
          </w:tcPr>
          <w:p>
            <w:pPr>
              <w:jc w:val="center"/>
              <w:rPr>
                <w:rFonts w:hint="eastAsia" w:ascii="宋体" w:hAnsi="宋体"/>
                <w:szCs w:val="21"/>
              </w:rPr>
            </w:pPr>
            <w:r>
              <w:rPr>
                <w:rFonts w:hint="eastAsia" w:ascii="宋体" w:hAnsi="宋体"/>
                <w:szCs w:val="21"/>
              </w:rPr>
              <w:t>2.1</w:t>
            </w:r>
          </w:p>
        </w:tc>
        <w:tc>
          <w:tcPr>
            <w:tcW w:w="817" w:type="dxa"/>
            <w:vMerge w:val="restart"/>
            <w:vAlign w:val="center"/>
          </w:tcPr>
          <w:p>
            <w:pPr>
              <w:jc w:val="center"/>
              <w:rPr>
                <w:rFonts w:hint="eastAsia" w:ascii="宋体" w:hAnsi="宋体"/>
                <w:szCs w:val="21"/>
              </w:rPr>
            </w:pPr>
            <w:r>
              <w:rPr>
                <w:rFonts w:hint="eastAsia" w:ascii="宋体" w:hAnsi="宋体"/>
                <w:szCs w:val="21"/>
              </w:rPr>
              <w:t>符合</w:t>
            </w:r>
          </w:p>
          <w:p>
            <w:pPr>
              <w:jc w:val="center"/>
              <w:rPr>
                <w:rFonts w:hint="eastAsia" w:ascii="宋体" w:hAnsi="宋体"/>
                <w:szCs w:val="21"/>
              </w:rPr>
            </w:pPr>
            <w:r>
              <w:rPr>
                <w:rFonts w:hint="eastAsia" w:ascii="宋体" w:hAnsi="宋体"/>
                <w:szCs w:val="21"/>
              </w:rPr>
              <w:t>性审查标</w:t>
            </w:r>
          </w:p>
          <w:p>
            <w:pPr>
              <w:jc w:val="center"/>
              <w:rPr>
                <w:rFonts w:hint="eastAsia" w:ascii="宋体" w:hAnsi="宋体"/>
                <w:szCs w:val="21"/>
              </w:rPr>
            </w:pPr>
            <w:r>
              <w:rPr>
                <w:rFonts w:hint="eastAsia" w:ascii="宋体" w:hAnsi="宋体"/>
                <w:szCs w:val="21"/>
              </w:rPr>
              <w:t>准</w:t>
            </w:r>
          </w:p>
        </w:tc>
        <w:tc>
          <w:tcPr>
            <w:tcW w:w="1155" w:type="dxa"/>
            <w:vAlign w:val="center"/>
          </w:tcPr>
          <w:p>
            <w:pPr>
              <w:jc w:val="center"/>
              <w:rPr>
                <w:rFonts w:hint="eastAsia" w:ascii="宋体" w:hAnsi="宋体"/>
                <w:szCs w:val="21"/>
              </w:rPr>
            </w:pPr>
            <w:r>
              <w:rPr>
                <w:rFonts w:hint="eastAsia" w:ascii="宋体" w:hAnsi="宋体"/>
                <w:szCs w:val="21"/>
              </w:rPr>
              <w:t>投标文件格式</w:t>
            </w:r>
          </w:p>
        </w:tc>
        <w:tc>
          <w:tcPr>
            <w:tcW w:w="6507" w:type="dxa"/>
            <w:vAlign w:val="center"/>
          </w:tcPr>
          <w:p>
            <w:pPr>
              <w:rPr>
                <w:rFonts w:hint="eastAsia" w:ascii="宋体" w:hAnsi="宋体"/>
                <w:szCs w:val="21"/>
              </w:rPr>
            </w:pPr>
            <w:r>
              <w:rPr>
                <w:rFonts w:hint="eastAsia" w:ascii="宋体" w:hAnsi="宋体"/>
                <w:szCs w:val="21"/>
              </w:rPr>
              <w:t>投标文件按招标文件格式及内容要求签署、盖章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719"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Align w:val="center"/>
          </w:tcPr>
          <w:p>
            <w:pPr>
              <w:jc w:val="center"/>
              <w:rPr>
                <w:rFonts w:hint="eastAsia" w:ascii="宋体" w:hAnsi="宋体"/>
              </w:rPr>
            </w:pPr>
            <w:r>
              <w:rPr>
                <w:rFonts w:hint="eastAsia" w:ascii="宋体" w:hAnsi="宋体"/>
              </w:rPr>
              <w:t>投标函</w:t>
            </w:r>
          </w:p>
        </w:tc>
        <w:tc>
          <w:tcPr>
            <w:tcW w:w="6507" w:type="dxa"/>
            <w:vAlign w:val="center"/>
          </w:tcPr>
          <w:p>
            <w:pPr>
              <w:rPr>
                <w:rFonts w:hint="eastAsia" w:ascii="宋体" w:hAnsi="宋体"/>
              </w:rPr>
            </w:pPr>
            <w:r>
              <w:rPr>
                <w:rFonts w:hint="eastAsia" w:ascii="宋体" w:hAnsi="宋体"/>
              </w:rPr>
              <w:t>有法定代表人或其委托代理人签名或盖章，并加盖单位公章；符合招标文件给定格式及内容；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836"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Align w:val="center"/>
          </w:tcPr>
          <w:p>
            <w:pPr>
              <w:jc w:val="center"/>
              <w:rPr>
                <w:rFonts w:hint="eastAsia" w:ascii="宋体" w:hAnsi="宋体"/>
              </w:rPr>
            </w:pPr>
            <w:r>
              <w:rPr>
                <w:rFonts w:hint="eastAsia" w:ascii="宋体" w:hAnsi="宋体"/>
              </w:rPr>
              <w:t>法定代表人资格证明书</w:t>
            </w:r>
          </w:p>
        </w:tc>
        <w:tc>
          <w:tcPr>
            <w:tcW w:w="6507" w:type="dxa"/>
            <w:vAlign w:val="center"/>
          </w:tcPr>
          <w:p>
            <w:pPr>
              <w:rPr>
                <w:rFonts w:hint="eastAsia" w:ascii="宋体" w:hAnsi="宋体"/>
              </w:rPr>
            </w:pPr>
            <w:r>
              <w:rPr>
                <w:rFonts w:hint="eastAsia" w:ascii="宋体" w:hAnsi="宋体"/>
              </w:rPr>
              <w:t>符合招标文件给定格式及内容,并加盖单位公章；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330"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Merge w:val="restart"/>
            <w:vAlign w:val="center"/>
          </w:tcPr>
          <w:p>
            <w:pPr>
              <w:jc w:val="center"/>
              <w:rPr>
                <w:rFonts w:hint="eastAsia" w:ascii="宋体" w:hAnsi="宋体"/>
              </w:rPr>
            </w:pPr>
            <w:r>
              <w:rPr>
                <w:rFonts w:hint="eastAsia" w:ascii="宋体" w:hAnsi="宋体"/>
              </w:rPr>
              <w:t>法定代表人授权委托书</w:t>
            </w:r>
          </w:p>
        </w:tc>
        <w:tc>
          <w:tcPr>
            <w:tcW w:w="6507" w:type="dxa"/>
            <w:vAlign w:val="center"/>
          </w:tcPr>
          <w:p>
            <w:pPr>
              <w:rPr>
                <w:rFonts w:hint="eastAsia" w:ascii="宋体" w:hAnsi="宋体"/>
              </w:rPr>
            </w:pPr>
            <w:r>
              <w:rPr>
                <w:rFonts w:hint="eastAsia" w:ascii="宋体" w:hAnsi="宋体"/>
              </w:rPr>
              <w:t>有法定代表人签名或盖章，并加盖单位公章；符合招标文件给定格式及内容；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165"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Merge w:val="continue"/>
            <w:vAlign w:val="center"/>
          </w:tcPr>
          <w:p>
            <w:pPr>
              <w:jc w:val="center"/>
              <w:rPr>
                <w:rFonts w:hint="eastAsia" w:ascii="宋体" w:hAnsi="宋体"/>
              </w:rPr>
            </w:pPr>
          </w:p>
        </w:tc>
        <w:tc>
          <w:tcPr>
            <w:tcW w:w="6507" w:type="dxa"/>
            <w:vAlign w:val="center"/>
          </w:tcPr>
          <w:p>
            <w:pPr>
              <w:rPr>
                <w:rFonts w:hint="eastAsia" w:ascii="宋体" w:hAnsi="宋体"/>
              </w:rPr>
            </w:pPr>
            <w:r>
              <w:rPr>
                <w:rFonts w:hint="eastAsia" w:ascii="宋体" w:hAnsi="宋体"/>
              </w:rPr>
              <w:t>注：投标文件（包括评标过程中的澄清、说明或者补正）由法定代表人签署的，不审查该项。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64"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Align w:val="center"/>
          </w:tcPr>
          <w:p>
            <w:pPr>
              <w:jc w:val="center"/>
              <w:rPr>
                <w:rFonts w:hint="eastAsia" w:ascii="宋体" w:hAnsi="宋体"/>
              </w:rPr>
            </w:pPr>
            <w:r>
              <w:rPr>
                <w:rFonts w:hint="eastAsia" w:ascii="宋体" w:hAnsi="宋体"/>
                <w:szCs w:val="21"/>
              </w:rPr>
              <w:t>投标报价</w:t>
            </w:r>
          </w:p>
        </w:tc>
        <w:tc>
          <w:tcPr>
            <w:tcW w:w="6507" w:type="dxa"/>
            <w:vAlign w:val="center"/>
          </w:tcPr>
          <w:p>
            <w:pPr>
              <w:rPr>
                <w:rFonts w:hint="eastAsia" w:ascii="宋体" w:hAnsi="宋体"/>
              </w:rPr>
            </w:pPr>
            <w:r>
              <w:rPr>
                <w:rFonts w:hint="eastAsia" w:ascii="宋体" w:hAnsi="宋体"/>
              </w:rPr>
              <w:t>完整，只有一个有效报价且</w:t>
            </w:r>
            <w:r>
              <w:rPr>
                <w:rFonts w:hint="eastAsia" w:ascii="宋体" w:hAnsi="宋体"/>
                <w:szCs w:val="21"/>
              </w:rPr>
              <w:t>未超过招标文件中规定的预算金额或者最高限价</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Align w:val="center"/>
          </w:tcPr>
          <w:p>
            <w:pPr>
              <w:jc w:val="center"/>
              <w:rPr>
                <w:rFonts w:hint="eastAsia" w:ascii="宋体" w:hAnsi="宋体"/>
                <w:szCs w:val="21"/>
              </w:rPr>
            </w:pPr>
            <w:r>
              <w:rPr>
                <w:rFonts w:hint="eastAsia" w:ascii="宋体" w:hAnsi="宋体"/>
                <w:szCs w:val="21"/>
              </w:rPr>
              <w:t>投标有效期</w:t>
            </w:r>
          </w:p>
        </w:tc>
        <w:tc>
          <w:tcPr>
            <w:tcW w:w="6507" w:type="dxa"/>
            <w:vAlign w:val="center"/>
          </w:tcPr>
          <w:p>
            <w:pPr>
              <w:rPr>
                <w:rFonts w:hint="eastAsia" w:ascii="宋体" w:hAnsi="宋体"/>
                <w:szCs w:val="21"/>
              </w:rPr>
            </w:pPr>
            <w:r>
              <w:rPr>
                <w:rFonts w:hint="eastAsia" w:ascii="宋体" w:hAnsi="宋体"/>
                <w:szCs w:val="21"/>
              </w:rPr>
              <w:t>符合第二章“投标人须知”第17.1项规定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Align w:val="center"/>
          </w:tcPr>
          <w:p>
            <w:pPr>
              <w:jc w:val="center"/>
              <w:rPr>
                <w:rFonts w:hint="eastAsia" w:ascii="宋体" w:hAnsi="宋体"/>
                <w:szCs w:val="21"/>
              </w:rPr>
            </w:pPr>
            <w:r>
              <w:rPr>
                <w:rFonts w:hint="eastAsia" w:ascii="宋体" w:hAnsi="宋体"/>
                <w:szCs w:val="21"/>
              </w:rPr>
              <w:t>实质性条件</w:t>
            </w:r>
          </w:p>
        </w:tc>
        <w:tc>
          <w:tcPr>
            <w:tcW w:w="6507" w:type="dxa"/>
            <w:vAlign w:val="center"/>
          </w:tcPr>
          <w:p>
            <w:pPr>
              <w:rPr>
                <w:rFonts w:hint="eastAsia" w:ascii="宋体" w:hAnsi="宋体"/>
                <w:szCs w:val="21"/>
              </w:rPr>
            </w:pPr>
            <w:r>
              <w:rPr>
                <w:rFonts w:hint="eastAsia" w:ascii="宋体" w:hAnsi="宋体"/>
                <w:szCs w:val="21"/>
              </w:rPr>
              <w:t>实质性响应招标文件中标注★条款内容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宋体" w:hAnsi="宋体"/>
              </w:rPr>
            </w:pPr>
          </w:p>
        </w:tc>
        <w:tc>
          <w:tcPr>
            <w:tcW w:w="817" w:type="dxa"/>
            <w:vMerge w:val="continue"/>
            <w:vAlign w:val="center"/>
          </w:tcPr>
          <w:p>
            <w:pPr>
              <w:rPr>
                <w:rFonts w:hint="eastAsia" w:ascii="宋体" w:hAnsi="宋体"/>
              </w:rPr>
            </w:pPr>
          </w:p>
        </w:tc>
        <w:tc>
          <w:tcPr>
            <w:tcW w:w="1155" w:type="dxa"/>
            <w:vAlign w:val="center"/>
          </w:tcPr>
          <w:p>
            <w:pPr>
              <w:jc w:val="center"/>
              <w:rPr>
                <w:rFonts w:hint="eastAsia" w:ascii="宋体" w:hAnsi="宋体"/>
                <w:szCs w:val="21"/>
              </w:rPr>
            </w:pPr>
            <w:r>
              <w:rPr>
                <w:rFonts w:hint="eastAsia" w:ascii="宋体" w:hAnsi="宋体"/>
                <w:szCs w:val="21"/>
              </w:rPr>
              <w:t>投标无效</w:t>
            </w:r>
          </w:p>
        </w:tc>
        <w:tc>
          <w:tcPr>
            <w:tcW w:w="6507" w:type="dxa"/>
            <w:vAlign w:val="center"/>
          </w:tcPr>
          <w:p>
            <w:pPr>
              <w:rPr>
                <w:rFonts w:hint="eastAsia" w:ascii="宋体" w:hAnsi="宋体"/>
                <w:szCs w:val="21"/>
              </w:rPr>
            </w:pPr>
            <w:r>
              <w:rPr>
                <w:rFonts w:hint="eastAsia" w:ascii="宋体" w:hAnsi="宋体"/>
                <w:szCs w:val="21"/>
              </w:rPr>
              <w:t>无招标文件规定的其他投标无效情形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1634" w:type="dxa"/>
            <w:gridSpan w:val="2"/>
            <w:vAlign w:val="center"/>
          </w:tcPr>
          <w:p>
            <w:pPr>
              <w:jc w:val="center"/>
              <w:rPr>
                <w:rFonts w:hint="eastAsia" w:ascii="宋体" w:hAnsi="宋体"/>
                <w:szCs w:val="21"/>
              </w:rPr>
            </w:pPr>
            <w:r>
              <w:rPr>
                <w:rFonts w:hint="eastAsia" w:ascii="宋体" w:hAnsi="宋体"/>
                <w:b/>
                <w:szCs w:val="21"/>
              </w:rPr>
              <w:t>条款号</w:t>
            </w:r>
          </w:p>
        </w:tc>
        <w:tc>
          <w:tcPr>
            <w:tcW w:w="1155" w:type="dxa"/>
            <w:vAlign w:val="center"/>
          </w:tcPr>
          <w:p>
            <w:pPr>
              <w:jc w:val="center"/>
              <w:rPr>
                <w:rFonts w:hint="eastAsia" w:ascii="宋体" w:hAnsi="宋体"/>
                <w:b/>
                <w:szCs w:val="21"/>
              </w:rPr>
            </w:pPr>
            <w:r>
              <w:rPr>
                <w:rFonts w:hint="eastAsia" w:ascii="宋体" w:hAnsi="宋体"/>
                <w:b/>
                <w:szCs w:val="21"/>
              </w:rPr>
              <w:t>条款内容</w:t>
            </w:r>
          </w:p>
        </w:tc>
        <w:tc>
          <w:tcPr>
            <w:tcW w:w="6507" w:type="dxa"/>
            <w:vAlign w:val="center"/>
          </w:tcPr>
          <w:p>
            <w:pPr>
              <w:jc w:val="center"/>
              <w:rPr>
                <w:rFonts w:hint="eastAsia" w:ascii="宋体" w:hAnsi="宋体"/>
                <w:b/>
                <w:szCs w:val="21"/>
              </w:rPr>
            </w:pPr>
            <w:r>
              <w:rPr>
                <w:rFonts w:hint="eastAsia" w:ascii="宋体" w:hAnsi="宋体"/>
                <w:b/>
                <w:szCs w:val="21"/>
              </w:rPr>
              <w:t>编列内容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1634" w:type="dxa"/>
            <w:gridSpan w:val="2"/>
            <w:vMerge w:val="restart"/>
            <w:vAlign w:val="center"/>
          </w:tcPr>
          <w:p>
            <w:pPr>
              <w:jc w:val="center"/>
              <w:rPr>
                <w:rFonts w:hint="eastAsia" w:ascii="宋体" w:hAnsi="宋体"/>
                <w:szCs w:val="21"/>
              </w:rPr>
            </w:pPr>
            <w:r>
              <w:rPr>
                <w:rFonts w:hint="eastAsia" w:ascii="宋体" w:hAnsi="宋体"/>
                <w:szCs w:val="21"/>
              </w:rPr>
              <w:t>2.2.1</w:t>
            </w:r>
          </w:p>
        </w:tc>
        <w:tc>
          <w:tcPr>
            <w:tcW w:w="1155" w:type="dxa"/>
            <w:vMerge w:val="restart"/>
            <w:vAlign w:val="center"/>
          </w:tcPr>
          <w:p>
            <w:pPr>
              <w:jc w:val="center"/>
              <w:rPr>
                <w:rFonts w:hint="eastAsia" w:ascii="宋体" w:hAnsi="宋体"/>
                <w:szCs w:val="21"/>
              </w:rPr>
            </w:pPr>
            <w:r>
              <w:rPr>
                <w:rFonts w:hint="eastAsia" w:ascii="宋体" w:hAnsi="宋体"/>
                <w:szCs w:val="21"/>
              </w:rPr>
              <w:t>分值构成</w:t>
            </w:r>
          </w:p>
          <w:p>
            <w:pPr>
              <w:jc w:val="center"/>
              <w:rPr>
                <w:rFonts w:hint="eastAsia" w:ascii="宋体" w:hAnsi="宋体"/>
                <w:szCs w:val="21"/>
              </w:rPr>
            </w:pPr>
            <w:r>
              <w:rPr>
                <w:rFonts w:hint="eastAsia" w:ascii="宋体" w:hAnsi="宋体"/>
                <w:szCs w:val="21"/>
              </w:rPr>
              <w:t>（满分100分）</w:t>
            </w:r>
          </w:p>
        </w:tc>
        <w:tc>
          <w:tcPr>
            <w:tcW w:w="6507" w:type="dxa"/>
            <w:vAlign w:val="center"/>
          </w:tcPr>
          <w:p>
            <w:pPr>
              <w:rPr>
                <w:rFonts w:hint="eastAsia" w:ascii="宋体" w:hAnsi="宋体"/>
                <w:szCs w:val="21"/>
              </w:rPr>
            </w:pPr>
            <w:r>
              <w:rPr>
                <w:rFonts w:hint="eastAsia" w:ascii="宋体" w:hAnsi="宋体"/>
                <w:szCs w:val="21"/>
              </w:rPr>
              <w:t>投标人的评审总得分＝F1＋F2＋F3</w:t>
            </w:r>
          </w:p>
          <w:p>
            <w:pPr>
              <w:rPr>
                <w:rFonts w:hint="eastAsia" w:ascii="宋体" w:hAnsi="宋体"/>
                <w:szCs w:val="21"/>
              </w:rPr>
            </w:pPr>
            <w:r>
              <w:rPr>
                <w:rFonts w:hint="eastAsia" w:ascii="宋体" w:hAnsi="宋体"/>
                <w:szCs w:val="21"/>
              </w:rPr>
              <w:t>其中：</w:t>
            </w:r>
          </w:p>
          <w:p>
            <w:pPr>
              <w:rPr>
                <w:rFonts w:hint="eastAsia" w:ascii="宋体" w:hAnsi="宋体"/>
                <w:szCs w:val="21"/>
              </w:rPr>
            </w:pPr>
            <w:r>
              <w:rPr>
                <w:rFonts w:hint="eastAsia" w:ascii="宋体" w:hAnsi="宋体"/>
                <w:szCs w:val="21"/>
              </w:rPr>
              <w:t>F1、F2、F3分别为技术部分、</w:t>
            </w:r>
            <w:r>
              <w:rPr>
                <w:rFonts w:hint="eastAsia" w:ascii="宋体"/>
                <w:szCs w:val="21"/>
              </w:rPr>
              <w:t>商务</w:t>
            </w:r>
            <w:r>
              <w:rPr>
                <w:rFonts w:hint="eastAsia" w:ascii="宋体" w:hAnsi="宋体"/>
                <w:szCs w:val="21"/>
              </w:rPr>
              <w:t>部分、投标报价3项评分因素的汇总得分；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847" w:hRule="atLeast"/>
          <w:jc w:val="center"/>
        </w:trPr>
        <w:tc>
          <w:tcPr>
            <w:tcW w:w="1634" w:type="dxa"/>
            <w:gridSpan w:val="2"/>
            <w:vMerge w:val="continue"/>
            <w:vAlign w:val="center"/>
          </w:tcPr>
          <w:p>
            <w:pPr>
              <w:rPr>
                <w:rFonts w:hint="eastAsia" w:ascii="宋体" w:hAnsi="宋体"/>
              </w:rPr>
            </w:pPr>
          </w:p>
        </w:tc>
        <w:tc>
          <w:tcPr>
            <w:tcW w:w="1155" w:type="dxa"/>
            <w:vMerge w:val="continue"/>
            <w:vAlign w:val="center"/>
          </w:tcPr>
          <w:p>
            <w:pPr>
              <w:rPr>
                <w:rFonts w:hint="eastAsia" w:ascii="宋体" w:hAnsi="宋体"/>
              </w:rPr>
            </w:pPr>
          </w:p>
        </w:tc>
        <w:tc>
          <w:tcPr>
            <w:tcW w:w="6507" w:type="dxa"/>
            <w:vAlign w:val="center"/>
          </w:tcPr>
          <w:p>
            <w:pPr>
              <w:rPr>
                <w:rFonts w:ascii="宋体"/>
                <w:szCs w:val="21"/>
              </w:rPr>
            </w:pPr>
            <w:r>
              <w:rPr>
                <w:rFonts w:hint="eastAsia" w:ascii="宋体"/>
                <w:szCs w:val="21"/>
              </w:rPr>
              <w:t>技术部分F1：</w:t>
            </w:r>
            <w:r>
              <w:rPr>
                <w:rFonts w:hint="eastAsia" w:ascii="宋体"/>
                <w:szCs w:val="21"/>
                <w:lang w:val="en-US" w:eastAsia="zh-CN"/>
              </w:rPr>
              <w:t>64</w:t>
            </w:r>
            <w:r>
              <w:rPr>
                <w:rFonts w:hint="eastAsia" w:ascii="宋体"/>
                <w:szCs w:val="21"/>
              </w:rPr>
              <w:t>分。</w:t>
            </w:r>
          </w:p>
          <w:p>
            <w:pPr>
              <w:rPr>
                <w:rFonts w:ascii="宋体"/>
                <w:szCs w:val="21"/>
              </w:rPr>
            </w:pPr>
            <w:r>
              <w:rPr>
                <w:rFonts w:hint="eastAsia" w:ascii="宋体"/>
                <w:szCs w:val="21"/>
              </w:rPr>
              <w:t>商务部分F2：</w:t>
            </w:r>
            <w:r>
              <w:rPr>
                <w:rFonts w:hint="eastAsia" w:ascii="宋体"/>
                <w:szCs w:val="21"/>
                <w:lang w:val="en-US" w:eastAsia="zh-CN"/>
              </w:rPr>
              <w:t>6</w:t>
            </w:r>
            <w:r>
              <w:rPr>
                <w:rFonts w:hint="eastAsia" w:ascii="宋体"/>
                <w:szCs w:val="21"/>
              </w:rPr>
              <w:t>分。</w:t>
            </w:r>
          </w:p>
          <w:p>
            <w:pPr>
              <w:rPr>
                <w:rFonts w:ascii="宋体"/>
                <w:szCs w:val="21"/>
              </w:rPr>
            </w:pPr>
            <w:r>
              <w:rPr>
                <w:rFonts w:hint="eastAsia" w:ascii="宋体"/>
                <w:szCs w:val="21"/>
              </w:rPr>
              <w:t>投标报价F3：30分。</w:t>
            </w:r>
          </w:p>
        </w:tc>
      </w:tr>
    </w:tbl>
    <w:p>
      <w:pPr>
        <w:tabs>
          <w:tab w:val="left" w:pos="817"/>
          <w:tab w:val="left" w:pos="1634"/>
          <w:tab w:val="left" w:pos="4073"/>
        </w:tabs>
        <w:ind w:right="840"/>
        <w:rPr>
          <w:rFonts w:ascii="宋体"/>
        </w:rPr>
      </w:pPr>
    </w:p>
    <w:p>
      <w:pPr>
        <w:tabs>
          <w:tab w:val="left" w:pos="817"/>
          <w:tab w:val="left" w:pos="1634"/>
          <w:tab w:val="left" w:pos="4073"/>
        </w:tabs>
        <w:ind w:right="840"/>
        <w:rPr>
          <w:rFonts w:ascii="宋体"/>
        </w:rPr>
      </w:pPr>
    </w:p>
    <w:p>
      <w:pPr>
        <w:tabs>
          <w:tab w:val="left" w:pos="817"/>
          <w:tab w:val="left" w:pos="1634"/>
          <w:tab w:val="left" w:pos="4073"/>
        </w:tabs>
        <w:ind w:right="840"/>
        <w:rPr>
          <w:rFonts w:ascii="宋体"/>
        </w:rPr>
      </w:pPr>
    </w:p>
    <w:p>
      <w:pPr>
        <w:tabs>
          <w:tab w:val="left" w:pos="817"/>
          <w:tab w:val="left" w:pos="1634"/>
          <w:tab w:val="left" w:pos="4073"/>
        </w:tabs>
        <w:ind w:right="840"/>
        <w:rPr>
          <w:rFonts w:ascii="宋体"/>
        </w:rPr>
      </w:pPr>
    </w:p>
    <w:p>
      <w:pPr>
        <w:tabs>
          <w:tab w:val="left" w:pos="817"/>
          <w:tab w:val="left" w:pos="1634"/>
          <w:tab w:val="left" w:pos="4073"/>
        </w:tabs>
        <w:ind w:right="840"/>
        <w:rPr>
          <w:rFonts w:ascii="宋体"/>
        </w:rPr>
      </w:pPr>
    </w:p>
    <w:p>
      <w:pPr>
        <w:tabs>
          <w:tab w:val="left" w:pos="817"/>
          <w:tab w:val="left" w:pos="1634"/>
          <w:tab w:val="left" w:pos="4073"/>
        </w:tabs>
        <w:ind w:right="840"/>
        <w:rPr>
          <w:rFonts w:ascii="宋体"/>
        </w:rPr>
      </w:pPr>
    </w:p>
    <w:p/>
    <w:p/>
    <w:p/>
    <w:p/>
    <w:p/>
    <w:p/>
    <w:p>
      <w:pPr>
        <w:tabs>
          <w:tab w:val="left" w:pos="817"/>
          <w:tab w:val="left" w:pos="1634"/>
          <w:tab w:val="left" w:pos="4073"/>
        </w:tabs>
        <w:ind w:right="840"/>
        <w:rPr>
          <w:rFonts w:ascii="宋体"/>
          <w:b/>
          <w:bCs/>
          <w:sz w:val="28"/>
          <w:szCs w:val="36"/>
        </w:rPr>
      </w:pPr>
    </w:p>
    <w:tbl>
      <w:tblPr>
        <w:tblStyle w:val="38"/>
        <w:tblW w:w="9554"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661"/>
        <w:gridCol w:w="6259"/>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3722" w:hRule="atLeast"/>
          <w:jc w:val="center"/>
        </w:trPr>
        <w:tc>
          <w:tcPr>
            <w:tcW w:w="817" w:type="dxa"/>
            <w:vMerge w:val="restart"/>
            <w:tcBorders>
              <w:top w:val="single" w:color="auto" w:sz="12"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bookmarkStart w:id="409" w:name="_Hlk236065117"/>
            <w:r>
              <w:rPr>
                <w:rFonts w:hint="eastAsia" w:asciiTheme="minorEastAsia" w:hAnsiTheme="minorEastAsia" w:eastAsiaTheme="minorEastAsia" w:cstheme="minorEastAsia"/>
                <w:sz w:val="21"/>
                <w:szCs w:val="21"/>
              </w:rPr>
              <w:t>2.2.2</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817" w:type="dxa"/>
            <w:vMerge w:val="restart"/>
            <w:tcBorders>
              <w:top w:val="single" w:color="auto" w:sz="12" w:space="0"/>
              <w:lef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技术部分</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F1</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评分标准</w:t>
            </w:r>
          </w:p>
        </w:tc>
        <w:tc>
          <w:tcPr>
            <w:tcW w:w="1661" w:type="dxa"/>
            <w:vAlign w:val="center"/>
          </w:tcPr>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需求参数评审</w:t>
            </w:r>
          </w:p>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（满分22.5分）</w:t>
            </w:r>
          </w:p>
        </w:tc>
        <w:tc>
          <w:tcPr>
            <w:tcW w:w="6259" w:type="dxa"/>
            <w:vAlign w:val="center"/>
          </w:tcPr>
          <w:p>
            <w:pPr>
              <w:keepNext w:val="0"/>
              <w:keepLines w:val="0"/>
              <w:pageBreakBefore w:val="0"/>
              <w:widowControl/>
              <w:kinsoku/>
              <w:wordWrap/>
              <w:overflowPunct/>
              <w:topLinePunct w:val="0"/>
              <w:autoSpaceDE/>
              <w:autoSpaceDN/>
              <w:bidi w:val="0"/>
              <w:adjustRightInd/>
              <w:snapToGrid w:val="0"/>
              <w:spacing w:line="32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一般参数评审：需求参数表中未标注▲的一般技术参数内容，共计65项，满分6.5分：投标人需按参数要求如实填写技术规格偏离表，若投标人未对一般技术参数内容作出响应或响应为负偏离的，每出现一条扣0.1分，扣完为止；</w:t>
            </w:r>
          </w:p>
          <w:p>
            <w:pPr>
              <w:keepNext w:val="0"/>
              <w:keepLines w:val="0"/>
              <w:pageBreakBefore w:val="0"/>
              <w:widowControl/>
              <w:kinsoku/>
              <w:wordWrap/>
              <w:overflowPunct/>
              <w:topLinePunct w:val="0"/>
              <w:autoSpaceDE/>
              <w:autoSpaceDN/>
              <w:bidi w:val="0"/>
              <w:adjustRightInd/>
              <w:snapToGrid w:val="0"/>
              <w:spacing w:line="32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（二）重要参数评审：需求参数表中标注▲的重要参数内容，共计 16项，满分16分：每出现一条不满足扣1分，扣完为止；投标人除如实填写技术要求偏离表外，重要参数投标文件中必须提供采购需求要求的证明材料证明</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证明材料要求提供检测报告的参数要求在检测报告中均能体现。</w:t>
            </w:r>
            <w:r>
              <w:rPr>
                <w:rFonts w:hint="eastAsia" w:asciiTheme="minorEastAsia" w:hAnsiTheme="minorEastAsia" w:eastAsiaTheme="minorEastAsia" w:cstheme="minorEastAsia"/>
                <w:sz w:val="21"/>
                <w:szCs w:val="21"/>
              </w:rPr>
              <w:t>凡不符合上述要求的，视为负偏离。</w:t>
            </w:r>
          </w:p>
          <w:p>
            <w:pPr>
              <w:keepNext w:val="0"/>
              <w:keepLines w:val="0"/>
              <w:pageBreakBefore w:val="0"/>
              <w:widowControl/>
              <w:kinsoku/>
              <w:wordWrap/>
              <w:overflowPunct/>
              <w:topLinePunct w:val="0"/>
              <w:autoSpaceDE/>
              <w:autoSpaceDN/>
              <w:bidi w:val="0"/>
              <w:adjustRightInd/>
              <w:snapToGrid w:val="0"/>
              <w:spacing w:line="320" w:lineRule="exact"/>
              <w:jc w:val="left"/>
              <w:textAlignment w:val="auto"/>
              <w:rPr>
                <w:rStyle w:val="49"/>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sz w:val="21"/>
                <w:szCs w:val="21"/>
              </w:rPr>
              <w:t>补充说明：本项仅针对单品硬性技术指标、检测报告、构件材质规格开展符合性核验，不评审整体设计图纸、空间效果图、成套布局及整体工艺设计方案，相关内容统一在产品整体技术设计方案模块评审，本模块不重复评判。</w:t>
            </w:r>
          </w:p>
        </w:tc>
      </w:tr>
      <w:bookmarkEnd w:id="409"/>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1815"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p>
        </w:tc>
        <w:tc>
          <w:tcPr>
            <w:tcW w:w="817" w:type="dxa"/>
            <w:vMerge w:val="continue"/>
            <w:tcBorders>
              <w:top w:val="single" w:color="auto" w:sz="12" w:space="0"/>
              <w:left w:val="single" w:color="auto" w:sz="4" w:space="0"/>
              <w:bottom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p>
        </w:tc>
        <w:tc>
          <w:tcPr>
            <w:tcW w:w="1661"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样品评审评分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（满分16.5分）</w:t>
            </w:r>
          </w:p>
        </w:tc>
        <w:tc>
          <w:tcPr>
            <w:tcW w:w="6259"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根据投标人提供的样品评分：本项满分16.5分，材料小样样品（11项），提供齐全且全部满足要求的得16.5分。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投标人需根据采购需求和“小样样品清单及制作标准和要求”提供小样品，评标委员会根据货物采购需求对样品进行综合评定：</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单一样品分项打分规则：</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（1）该样品参数、外观尺寸结构、材料性能（含主材、五金件、加工工艺、成品质量等）完全符合招标文件要求，无明显瑕疵缺陷，得该项满分1.5分；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（2）该样品参数、外观尺寸结构、材料性能基本符合招标文件要求，仅有可接受细微瑕疵缺陷，该项</w:t>
            </w:r>
            <w:r>
              <w:rPr>
                <w:rFonts w:hint="eastAsia" w:asciiTheme="minorEastAsia" w:hAnsiTheme="minorEastAsia" w:eastAsiaTheme="minorEastAsia" w:cstheme="minorEastAsia"/>
                <w:sz w:val="21"/>
                <w:szCs w:val="21"/>
                <w:lang w:val="en-US" w:eastAsia="zh-CN"/>
              </w:rPr>
              <w:t>分值</w:t>
            </w:r>
            <w:r>
              <w:rPr>
                <w:rFonts w:hint="eastAsia" w:asciiTheme="minorEastAsia" w:hAnsiTheme="minorEastAsia" w:eastAsiaTheme="minorEastAsia" w:cstheme="minorEastAsia"/>
                <w:sz w:val="21"/>
                <w:szCs w:val="21"/>
              </w:rPr>
              <w:t>扣0.5分；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（3）该样品参数、外观尺寸结构、材料性能不符合招标文件要求，严重偏离招标要求，该项</w:t>
            </w:r>
            <w:r>
              <w:rPr>
                <w:rFonts w:hint="eastAsia" w:asciiTheme="minorEastAsia" w:hAnsiTheme="minorEastAsia" w:eastAsiaTheme="minorEastAsia" w:cstheme="minorEastAsia"/>
                <w:sz w:val="21"/>
                <w:szCs w:val="21"/>
                <w:lang w:val="en-US" w:eastAsia="zh-CN"/>
              </w:rPr>
              <w:t>分值</w:t>
            </w:r>
            <w:r>
              <w:rPr>
                <w:rFonts w:hint="eastAsia" w:asciiTheme="minorEastAsia" w:hAnsiTheme="minorEastAsia" w:eastAsiaTheme="minorEastAsia" w:cstheme="minorEastAsia"/>
                <w:sz w:val="21"/>
                <w:szCs w:val="21"/>
              </w:rPr>
              <w:t>扣1分；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（4）漏送、错送、未按招标文件制作标准提供对应样品，该项得0分。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样品总得分为11个</w:t>
            </w:r>
            <w:r>
              <w:rPr>
                <w:rFonts w:hint="eastAsia" w:asciiTheme="minorEastAsia" w:hAnsiTheme="minorEastAsia" w:eastAsiaTheme="minorEastAsia" w:cstheme="minorEastAsia"/>
                <w:sz w:val="21"/>
                <w:szCs w:val="21"/>
                <w:lang w:val="en-US" w:eastAsia="zh-CN"/>
              </w:rPr>
              <w:t>样品</w:t>
            </w:r>
            <w:r>
              <w:rPr>
                <w:rFonts w:hint="eastAsia" w:asciiTheme="minorEastAsia" w:hAnsiTheme="minorEastAsia" w:eastAsiaTheme="minorEastAsia" w:cstheme="minorEastAsia"/>
                <w:sz w:val="21"/>
                <w:szCs w:val="21"/>
              </w:rPr>
              <w:t>分项得分相加。</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备注：缺陷判定标准统一如下：</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金属部分：表面无毛刺或疙瘩；无划痕或裂纹；无漏喷或锈蚀；无气孔或渣眼；无颜色不均。</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木制部分：无划痕、龟裂，无色差，无鼓包或鼓泡，无崩边、脱落或边角粗糙划手，无漏胶或分层。</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塑料部分：无破损、变形或翘曲、边角粗糙；无色污或油污，无填充不足或溢料（飞边）；无明显划痕、压痕；无干花、湿花、污斑。</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1815"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bookmarkStart w:id="410" w:name="_Hlk236065207"/>
          </w:p>
        </w:tc>
        <w:tc>
          <w:tcPr>
            <w:tcW w:w="817" w:type="dxa"/>
            <w:vMerge w:val="continue"/>
            <w:tcBorders>
              <w:top w:val="single" w:color="auto" w:sz="12" w:space="0"/>
              <w:left w:val="single" w:color="auto" w:sz="4" w:space="0"/>
              <w:bottom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p>
        </w:tc>
        <w:tc>
          <w:tcPr>
            <w:tcW w:w="1661" w:type="dxa"/>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产品整体技术设计方案</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（满分15分）</w:t>
            </w:r>
          </w:p>
        </w:tc>
        <w:tc>
          <w:tcPr>
            <w:tcW w:w="6259"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根据投标人提供的产品提供整体技术设计方案进行评审，产品整体技术设计方案包括但不限于：1.结构示意图、2.尺寸说明、3.材料清单、4.工艺说明、5.效果图；</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完整包含全部要求内容，结构示意图清晰规范、尺寸参数精准合规、材料清单详实明确、生产工艺科学完善、效果图贴合符合采购人环境；所有设计内容针对性强、贴合本项目采购产品参数及校园使用场景，深化设计说明详细具体、可行性高，完全满足采购人采购及使用需求的得15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经评标委员会评审，存在重大缺陷每处扣3分；各项内容中每有一处存在一般瑕疵扣1.5分，扣完本项分值为止。</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大缺陷是指：方案存在核心内容缺项、关键图纸资料缺失（无结构示意图、尺寸说明、材料清单、工艺说明、效果图）；产品尺寸、材料、工艺设计与采购需求核心参数不符；整体设计方案无法落地实施、无法满足校园学习空间使用及安全标准，按对应分值一次性扣减。</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般瑕疵是指：设计方案照搬通用模板、未结合本项目产品特性；结构、尺寸、工艺、材料阐述简略模糊、内容不完善；图纸清晰度差、标注不规范，效果图与项目场景适配性不足；方案逻辑混乱、针对性及可行性欠缺等任意一处类似缺陷或瑕疵。</w:t>
            </w:r>
          </w:p>
        </w:tc>
      </w:tr>
      <w:bookmarkEnd w:id="410"/>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1815"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bookmarkStart w:id="411" w:name="_Hlk236661626"/>
          </w:p>
        </w:tc>
        <w:tc>
          <w:tcPr>
            <w:tcW w:w="817" w:type="dxa"/>
            <w:vMerge w:val="continue"/>
            <w:tcBorders>
              <w:top w:val="single" w:color="auto" w:sz="12" w:space="0"/>
              <w:left w:val="single" w:color="auto" w:sz="4" w:space="0"/>
              <w:bottom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p>
        </w:tc>
        <w:tc>
          <w:tcPr>
            <w:tcW w:w="1661"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项目实施方案（满分10分）</w:t>
            </w:r>
          </w:p>
        </w:tc>
        <w:tc>
          <w:tcPr>
            <w:tcW w:w="6259"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根据投标人提供的项目实施方案进行评审，项目实施方案内容包括但不限于：1.原材料及零部件选取标准；2.生产加工；3.成品运输；4.现场拆除、5.现场安装调试；</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中原材料选材标准严苛、进场检验机制完善，生产加工工艺规范精细，成品运输防护措施完备；旧桌椅拆除转运、现场安装调试流程细化详实；方案结合本项目实际情况编制，针对性强、可操作性高，完全满足采购人质量、工期、施工、环保、验收全部要求的得。</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经评标委员会评审，存在重大缺陷每处扣2分；各项内容中每有一处存在一般瑕疵扣1分，扣完本项分值为止。</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大缺陷是指：方案存在核心内容缺项、关键质量管控环节缺失；原材料选取、工序质控、环保管控、成品质检等核心保障措施缺失或无法落地；质量保障标准不符合国家规范及本项目采购要求，无法保障产品质量及使用安全，按对应分值一次性扣减。</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般瑕疵是指：方案照搬通用模板，未结合本项目产品特性；原材料选型、工艺管控、环保措施、工序质检等内容阐述简略模糊、内容不完善；方案逻辑混乱、针对性不足、质控措施不具体、可执行性欠缺等任意一处类似缺陷或瑕疵。</w:t>
            </w:r>
          </w:p>
        </w:tc>
      </w:tr>
      <w:bookmarkEnd w:id="411"/>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817"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p>
        </w:tc>
        <w:tc>
          <w:tcPr>
            <w:tcW w:w="817" w:type="dxa"/>
            <w:vMerge w:val="continue"/>
            <w:tcBorders>
              <w:left w:val="single" w:color="auto" w:sz="4" w:space="0"/>
            </w:tcBorders>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p>
        </w:tc>
        <w:tc>
          <w:tcPr>
            <w:tcW w:w="7920" w:type="dxa"/>
            <w:gridSpan w:val="2"/>
            <w:tcBorders>
              <w:top w:val="single" w:color="auto" w:sz="4" w:space="0"/>
            </w:tcBorders>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备注：评标委员会根据招标文件要求，按照上述评审因素逐项对各投标人投标文件的技术部分独立进行评分。</w:t>
            </w:r>
          </w:p>
        </w:tc>
      </w:tr>
    </w:tbl>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p>
    <w:tbl>
      <w:tblPr>
        <w:tblStyle w:val="38"/>
        <w:tblW w:w="9575"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26"/>
        <w:gridCol w:w="840"/>
        <w:gridCol w:w="1695"/>
        <w:gridCol w:w="6214"/>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45" w:hRule="atLeast"/>
          <w:jc w:val="center"/>
        </w:trPr>
        <w:tc>
          <w:tcPr>
            <w:tcW w:w="826" w:type="dxa"/>
            <w:vMerge w:val="restart"/>
            <w:tcBorders>
              <w:top w:val="single" w:color="auto" w:sz="12"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bookmarkStart w:id="412" w:name="_Hlk236065423"/>
            <w:r>
              <w:rPr>
                <w:rFonts w:hint="eastAsia" w:asciiTheme="minorEastAsia" w:hAnsiTheme="minorEastAsia" w:eastAsiaTheme="minorEastAsia" w:cstheme="minorEastAsia"/>
                <w:sz w:val="21"/>
                <w:szCs w:val="21"/>
              </w:rPr>
              <w:t>2.2.2</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840" w:type="dxa"/>
            <w:vMerge w:val="restart"/>
            <w:tcBorders>
              <w:top w:val="single" w:color="auto" w:sz="12" w:space="0"/>
              <w:lef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商务部分</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F2</w:t>
            </w:r>
          </w:p>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评分标准</w:t>
            </w:r>
          </w:p>
        </w:tc>
        <w:tc>
          <w:tcPr>
            <w:tcW w:w="1695"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售后服务方案、承诺及保证评审评分（满分5分）</w:t>
            </w:r>
          </w:p>
        </w:tc>
        <w:tc>
          <w:tcPr>
            <w:tcW w:w="6214"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投标人提供的售后服务方案完整性、规范性、针对性、可落地性评分，内容包括但不限于：（1）售后服务体系及响应机制；（2）运行维护承诺及保障措施；（3）故障处理承诺及保障措施；（4）售后响应时限及承诺；（5）售后服务违约承诺及处罚措施。</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方案完整覆盖全部评审内容，售后服务体系架构完善、人员配置齐全、响应机制健全；日常运行维护措施全面、保障到位；故障排查、抢修处置流程规范高效；售后响应时限明确、承诺真实有效；违约处罚措施清晰合理、约束力强，贴合本项目校园使用场景，针对性强、可落地性高，完全满足采购人后期运维及售后保障需求的得5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经评标委员会评审，存在重大缺陷每处扣1分；各项内容中每有一处存在一般瑕疵扣0.5分，扣完本项分值为止。</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大缺陷是指：方案存在核心内容缺项、关键售后模块缺失；服务体系、响应机制、故障处理、时限承诺、违约处罚等核心内容缺失或无法落地实施；售后保障措施无法满足本项目产品长期运维需求，不能有效保障设备正常稳定使用，按对应分值一次性扣减。</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般瑕疵是指：方案照搬通用模板，未结合本项目定制桌椅、沙发、屏风产品售后特点；各项售后保障、故障处理、响应时限、违约处罚内容阐述简略模糊、内容不完善；方案逻辑混乱、前后矛盾、无项目针对性、实际落地执行效果欠缺等任意一处类似缺陷或瑕疵。</w:t>
            </w:r>
          </w:p>
        </w:tc>
      </w:tr>
      <w:bookmarkEnd w:id="412"/>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45" w:hRule="atLeast"/>
          <w:jc w:val="center"/>
        </w:trPr>
        <w:tc>
          <w:tcPr>
            <w:tcW w:w="826" w:type="dxa"/>
            <w:vMerge w:val="continue"/>
            <w:tcBorders>
              <w:top w:val="single" w:color="auto" w:sz="12" w:space="0"/>
              <w:right w:val="single" w:color="auto" w:sz="4" w:space="0"/>
            </w:tcBorders>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bookmarkStart w:id="413" w:name="_Hlk236065459"/>
          </w:p>
        </w:tc>
        <w:tc>
          <w:tcPr>
            <w:tcW w:w="840" w:type="dxa"/>
            <w:vMerge w:val="continue"/>
            <w:tcBorders>
              <w:top w:val="single" w:color="auto" w:sz="12" w:space="0"/>
              <w:left w:val="single" w:color="auto" w:sz="4" w:space="0"/>
            </w:tcBorders>
            <w:vAlign w:val="center"/>
          </w:tcPr>
          <w:p>
            <w:pPr>
              <w:keepNext w:val="0"/>
              <w:keepLines w:val="0"/>
              <w:pageBreakBefore w:val="0"/>
              <w:kinsoku/>
              <w:wordWrap/>
              <w:overflowPunct/>
              <w:topLinePunct w:val="0"/>
              <w:autoSpaceDE/>
              <w:autoSpaceDN/>
              <w:bidi w:val="0"/>
              <w:adjustRightInd/>
              <w:spacing w:line="320" w:lineRule="exact"/>
              <w:jc w:val="center"/>
              <w:textAlignment w:val="auto"/>
              <w:rPr>
                <w:rFonts w:hint="eastAsia" w:asciiTheme="minorEastAsia" w:hAnsiTheme="minorEastAsia" w:eastAsiaTheme="minorEastAsia" w:cstheme="minorEastAsia"/>
                <w:sz w:val="21"/>
                <w:szCs w:val="21"/>
              </w:rPr>
            </w:pPr>
          </w:p>
        </w:tc>
        <w:tc>
          <w:tcPr>
            <w:tcW w:w="1695"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同类业绩评审评分（满分1分）</w:t>
            </w:r>
          </w:p>
        </w:tc>
        <w:tc>
          <w:tcPr>
            <w:tcW w:w="6214" w:type="dxa"/>
            <w:vAlign w:val="center"/>
          </w:tcPr>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2024年1月1日以来（以合同签订时间为准），同类业绩，每个得0.5分，最高1分</w:t>
            </w:r>
          </w:p>
          <w:p>
            <w:pPr>
              <w:keepNext w:val="0"/>
              <w:keepLines w:val="0"/>
              <w:pageBreakBefore w:val="0"/>
              <w:kinsoku/>
              <w:wordWrap/>
              <w:overflowPunct/>
              <w:topLinePunct w:val="0"/>
              <w:autoSpaceDE/>
              <w:autoSpaceDN/>
              <w:bidi w:val="0"/>
              <w:adjustRightInd/>
              <w:spacing w:line="3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需提供</w:t>
            </w:r>
            <w:r>
              <w:rPr>
                <w:rFonts w:hint="eastAsia"/>
                <w:lang w:eastAsia="zh-CN"/>
              </w:rPr>
              <w:t>同类产品业绩证明材料</w:t>
            </w:r>
            <w:r>
              <w:rPr>
                <w:rFonts w:hint="eastAsia" w:asciiTheme="minorEastAsia" w:hAnsiTheme="minorEastAsia" w:eastAsiaTheme="minorEastAsia" w:cstheme="minorEastAsia"/>
                <w:sz w:val="21"/>
                <w:szCs w:val="21"/>
              </w:rPr>
              <w:t>：中标（成交）通知书或结果公告+合同关键页（含用户名称、项目名称、标的、双方盖章、签订日期。未提供证明材料或证明材料不全的不得分）</w:t>
            </w:r>
          </w:p>
        </w:tc>
      </w:tr>
      <w:bookmarkEnd w:id="413"/>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78" w:hRule="atLeast"/>
          <w:jc w:val="center"/>
        </w:trPr>
        <w:tc>
          <w:tcPr>
            <w:tcW w:w="9575" w:type="dxa"/>
            <w:gridSpan w:val="4"/>
            <w:vAlign w:val="center"/>
          </w:tcPr>
          <w:p>
            <w:pPr>
              <w:rPr>
                <w:rFonts w:hint="eastAsia" w:ascii="宋体" w:hAnsi="宋体"/>
                <w:b/>
                <w:szCs w:val="21"/>
              </w:rPr>
            </w:pPr>
            <w:r>
              <w:rPr>
                <w:rFonts w:hint="eastAsia" w:ascii="宋体" w:hAnsi="宋体"/>
                <w:b/>
                <w:szCs w:val="21"/>
              </w:rPr>
              <w:t>备注：评标委员会根据招标文件要求，按照上述评审因素逐项对各投标人投标文件的商务部分独立进行评分。</w:t>
            </w:r>
          </w:p>
        </w:tc>
      </w:tr>
    </w:tbl>
    <w:p/>
    <w:p/>
    <w:tbl>
      <w:tblPr>
        <w:tblStyle w:val="38"/>
        <w:tblW w:w="9467"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88"/>
        <w:gridCol w:w="817"/>
        <w:gridCol w:w="1806"/>
        <w:gridCol w:w="5856"/>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1805" w:type="dxa"/>
            <w:gridSpan w:val="2"/>
            <w:tcBorders>
              <w:bottom w:val="single" w:color="auto" w:sz="4" w:space="0"/>
            </w:tcBorders>
            <w:vAlign w:val="center"/>
          </w:tcPr>
          <w:p>
            <w:pPr>
              <w:rPr>
                <w:rFonts w:ascii="宋体"/>
                <w:szCs w:val="21"/>
              </w:rPr>
            </w:pPr>
            <w:r>
              <w:rPr>
                <w:rFonts w:hint="eastAsia" w:ascii="宋体"/>
                <w:szCs w:val="21"/>
              </w:rPr>
              <w:t>2.2.3</w:t>
            </w:r>
          </w:p>
        </w:tc>
        <w:tc>
          <w:tcPr>
            <w:tcW w:w="1806" w:type="dxa"/>
            <w:vAlign w:val="center"/>
          </w:tcPr>
          <w:p>
            <w:pPr>
              <w:jc w:val="center"/>
              <w:rPr>
                <w:rFonts w:ascii="宋体"/>
                <w:b/>
                <w:szCs w:val="21"/>
              </w:rPr>
            </w:pPr>
            <w:r>
              <w:rPr>
                <w:rFonts w:hint="eastAsia" w:ascii="宋体" w:cs="宋体"/>
                <w:kern w:val="0"/>
                <w:szCs w:val="21"/>
              </w:rPr>
              <w:t>评标基准价计算方法</w:t>
            </w:r>
          </w:p>
        </w:tc>
        <w:tc>
          <w:tcPr>
            <w:tcW w:w="5856" w:type="dxa"/>
            <w:vAlign w:val="center"/>
          </w:tcPr>
          <w:p>
            <w:pPr>
              <w:rPr>
                <w:rFonts w:ascii="宋体"/>
                <w:b/>
                <w:szCs w:val="21"/>
              </w:rPr>
            </w:pPr>
            <w:r>
              <w:rPr>
                <w:rFonts w:hint="eastAsia" w:ascii="宋体" w:cs="宋体"/>
                <w:kern w:val="0"/>
                <w:szCs w:val="21"/>
              </w:rPr>
              <w:t>满足招标文件要求且投标价格最低的投标报价为评标基准价</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605" w:hRule="atLeast"/>
          <w:jc w:val="center"/>
        </w:trPr>
        <w:tc>
          <w:tcPr>
            <w:tcW w:w="988" w:type="dxa"/>
            <w:vMerge w:val="restart"/>
            <w:tcBorders>
              <w:top w:val="single" w:color="auto" w:sz="4" w:space="0"/>
              <w:right w:val="single" w:color="auto" w:sz="4" w:space="0"/>
            </w:tcBorders>
            <w:vAlign w:val="center"/>
          </w:tcPr>
          <w:p>
            <w:pPr>
              <w:jc w:val="center"/>
              <w:rPr>
                <w:rFonts w:ascii="宋体"/>
              </w:rPr>
            </w:pPr>
            <w:r>
              <w:rPr>
                <w:rFonts w:hint="eastAsia" w:ascii="宋体"/>
              </w:rPr>
              <w:t>2.2.2（3）</w:t>
            </w:r>
          </w:p>
        </w:tc>
        <w:tc>
          <w:tcPr>
            <w:tcW w:w="817" w:type="dxa"/>
            <w:vMerge w:val="restart"/>
            <w:tcBorders>
              <w:top w:val="single" w:color="auto" w:sz="4" w:space="0"/>
              <w:left w:val="single" w:color="auto" w:sz="4" w:space="0"/>
            </w:tcBorders>
            <w:vAlign w:val="center"/>
          </w:tcPr>
          <w:p>
            <w:pPr>
              <w:jc w:val="center"/>
              <w:rPr>
                <w:rFonts w:ascii="宋体"/>
                <w:szCs w:val="21"/>
              </w:rPr>
            </w:pPr>
            <w:r>
              <w:rPr>
                <w:rFonts w:hint="eastAsia" w:ascii="宋体"/>
                <w:szCs w:val="21"/>
              </w:rPr>
              <w:t>投标报价</w:t>
            </w:r>
          </w:p>
          <w:p>
            <w:pPr>
              <w:jc w:val="center"/>
              <w:rPr>
                <w:rFonts w:ascii="宋体"/>
                <w:szCs w:val="21"/>
              </w:rPr>
            </w:pPr>
            <w:r>
              <w:rPr>
                <w:rFonts w:hint="eastAsia" w:ascii="宋体"/>
                <w:szCs w:val="21"/>
              </w:rPr>
              <w:t>F3</w:t>
            </w:r>
          </w:p>
          <w:p>
            <w:pPr>
              <w:jc w:val="center"/>
              <w:rPr>
                <w:rFonts w:ascii="宋体"/>
                <w:szCs w:val="21"/>
              </w:rPr>
            </w:pPr>
            <w:r>
              <w:rPr>
                <w:rFonts w:hint="eastAsia" w:ascii="宋体"/>
                <w:szCs w:val="21"/>
              </w:rPr>
              <w:t>评分标准</w:t>
            </w:r>
          </w:p>
        </w:tc>
        <w:tc>
          <w:tcPr>
            <w:tcW w:w="1806" w:type="dxa"/>
            <w:vMerge w:val="restart"/>
            <w:vAlign w:val="center"/>
          </w:tcPr>
          <w:p>
            <w:pPr>
              <w:jc w:val="center"/>
              <w:rPr>
                <w:rFonts w:ascii="宋体"/>
                <w:szCs w:val="21"/>
              </w:rPr>
            </w:pPr>
            <w:r>
              <w:rPr>
                <w:rFonts w:hint="eastAsia" w:ascii="宋体"/>
                <w:szCs w:val="21"/>
              </w:rPr>
              <w:t>投标报价评分计算公式</w:t>
            </w:r>
          </w:p>
          <w:p>
            <w:pPr>
              <w:jc w:val="center"/>
              <w:rPr>
                <w:rFonts w:ascii="宋体"/>
                <w:szCs w:val="21"/>
              </w:rPr>
            </w:pPr>
          </w:p>
        </w:tc>
        <w:tc>
          <w:tcPr>
            <w:tcW w:w="5856" w:type="dxa"/>
            <w:vAlign w:val="center"/>
          </w:tcPr>
          <w:p>
            <w:pPr>
              <w:rPr>
                <w:rFonts w:ascii="宋体"/>
                <w:szCs w:val="21"/>
              </w:rPr>
            </w:pPr>
            <w:r>
              <w:rPr>
                <w:rFonts w:hint="eastAsia" w:ascii="宋体"/>
                <w:szCs w:val="21"/>
              </w:rPr>
              <w:t>F3＝（</w:t>
            </w:r>
            <w:r>
              <w:rPr>
                <w:rFonts w:hint="eastAsia" w:ascii="宋体" w:cs="宋体"/>
                <w:kern w:val="0"/>
                <w:szCs w:val="21"/>
              </w:rPr>
              <w:t>评标基</w:t>
            </w:r>
            <w:bookmarkStart w:id="435" w:name="_GoBack"/>
            <w:bookmarkEnd w:id="435"/>
            <w:r>
              <w:rPr>
                <w:rFonts w:hint="eastAsia" w:ascii="宋体" w:cs="宋体"/>
                <w:kern w:val="0"/>
                <w:szCs w:val="21"/>
              </w:rPr>
              <w:t>准价/该投标人的投标报价）</w:t>
            </w:r>
            <w:r>
              <w:rPr>
                <w:rFonts w:hint="eastAsia" w:ascii="宋体"/>
                <w:szCs w:val="21"/>
              </w:rPr>
              <w:t>×30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2136" w:hRule="atLeast"/>
          <w:jc w:val="center"/>
        </w:trPr>
        <w:tc>
          <w:tcPr>
            <w:tcW w:w="988" w:type="dxa"/>
            <w:vMerge w:val="continue"/>
            <w:tcBorders>
              <w:right w:val="single" w:color="auto" w:sz="4" w:space="0"/>
            </w:tcBorders>
            <w:vAlign w:val="center"/>
          </w:tcPr>
          <w:p>
            <w:pPr>
              <w:jc w:val="center"/>
              <w:rPr>
                <w:rFonts w:ascii="宋体"/>
              </w:rPr>
            </w:pPr>
          </w:p>
        </w:tc>
        <w:tc>
          <w:tcPr>
            <w:tcW w:w="817" w:type="dxa"/>
            <w:vMerge w:val="continue"/>
            <w:tcBorders>
              <w:left w:val="single" w:color="auto" w:sz="4" w:space="0"/>
            </w:tcBorders>
            <w:vAlign w:val="center"/>
          </w:tcPr>
          <w:p>
            <w:pPr>
              <w:jc w:val="center"/>
              <w:rPr>
                <w:rFonts w:ascii="宋体"/>
                <w:szCs w:val="21"/>
              </w:rPr>
            </w:pPr>
          </w:p>
        </w:tc>
        <w:tc>
          <w:tcPr>
            <w:tcW w:w="1806" w:type="dxa"/>
            <w:vMerge w:val="continue"/>
            <w:vAlign w:val="center"/>
          </w:tcPr>
          <w:p>
            <w:pPr>
              <w:jc w:val="center"/>
              <w:rPr>
                <w:rFonts w:ascii="宋体"/>
                <w:szCs w:val="21"/>
              </w:rPr>
            </w:pPr>
          </w:p>
        </w:tc>
        <w:tc>
          <w:tcPr>
            <w:tcW w:w="5856" w:type="dxa"/>
          </w:tcPr>
          <w:p>
            <w:pPr>
              <w:rPr>
                <w:rFonts w:ascii="宋体"/>
              </w:rPr>
            </w:pPr>
            <w:r>
              <w:rPr>
                <w:rFonts w:hint="eastAsia" w:ascii="宋体"/>
              </w:rPr>
              <w:t>注：</w:t>
            </w:r>
          </w:p>
          <w:p>
            <w:pPr>
              <w:rPr>
                <w:rFonts w:hint="eastAsia" w:ascii="宋体" w:hAnsi="宋体"/>
                <w:szCs w:val="21"/>
              </w:rPr>
            </w:pPr>
            <w:r>
              <w:rPr>
                <w:rFonts w:hint="eastAsia" w:ascii="宋体" w:hAnsi="宋体"/>
                <w:szCs w:val="21"/>
              </w:rPr>
              <w:t>1、因落实政府采购政策进行价格调整的，以调整后的价格计算评标基准价和投标报价；</w:t>
            </w:r>
          </w:p>
          <w:p>
            <w:pPr>
              <w:rPr>
                <w:rFonts w:hint="eastAsia" w:ascii="宋体" w:hAnsi="宋体"/>
                <w:szCs w:val="21"/>
              </w:rPr>
            </w:pPr>
            <w:r>
              <w:rPr>
                <w:rFonts w:hint="eastAsia" w:ascii="宋体" w:hAnsi="宋体"/>
                <w:szCs w:val="21"/>
              </w:rPr>
              <w:t>2、若货物为</w:t>
            </w:r>
            <w:r>
              <w:rPr>
                <w:rFonts w:hint="eastAsia" w:ascii="宋体" w:hAnsi="宋体"/>
                <w:spacing w:val="6"/>
                <w:szCs w:val="21"/>
              </w:rPr>
              <w:t>小微型企业（</w:t>
            </w:r>
            <w:r>
              <w:rPr>
                <w:rFonts w:hint="eastAsia" w:ascii="宋体" w:hAnsi="宋体"/>
              </w:rPr>
              <w:t>残疾人福利性单位、监狱企业</w:t>
            </w:r>
            <w:r>
              <w:rPr>
                <w:rFonts w:hint="eastAsia" w:ascii="宋体" w:hAnsi="宋体"/>
                <w:spacing w:val="6"/>
                <w:szCs w:val="21"/>
              </w:rPr>
              <w:t>）产品、服务，请按投标文件要求格式提供中小企业声明函（详见第四章投标文件格式13），经评标委员会核实</w:t>
            </w:r>
            <w:r>
              <w:rPr>
                <w:rFonts w:ascii="宋体" w:hAnsi="宋体"/>
                <w:szCs w:val="21"/>
              </w:rPr>
              <w:t>方可获得价格</w:t>
            </w:r>
            <w:r>
              <w:rPr>
                <w:rFonts w:hint="eastAsia" w:ascii="宋体"/>
              </w:rPr>
              <w:t>扣除</w:t>
            </w:r>
            <w:r>
              <w:rPr>
                <w:rFonts w:hint="eastAsia" w:ascii="宋体" w:hAnsi="宋体"/>
                <w:szCs w:val="21"/>
              </w:rPr>
              <w:t>；</w:t>
            </w:r>
          </w:p>
          <w:p>
            <w:pPr>
              <w:rPr>
                <w:rFonts w:hint="eastAsia" w:ascii="宋体" w:hAnsi="宋体" w:cs="宋体"/>
                <w:kern w:val="0"/>
                <w:szCs w:val="21"/>
              </w:rPr>
            </w:pPr>
            <w:r>
              <w:rPr>
                <w:rFonts w:hint="eastAsia" w:ascii="宋体" w:hAnsi="宋体" w:cs="宋体"/>
                <w:kern w:val="0"/>
                <w:szCs w:val="21"/>
              </w:rPr>
              <w:t>3、对小型和微型企业产品、服务的价格给予10%的扣除，用扣除后的价格参与评审</w:t>
            </w:r>
            <w:r>
              <w:rPr>
                <w:rFonts w:ascii="宋体" w:hAnsi="宋体"/>
                <w:szCs w:val="21"/>
              </w:rPr>
              <w:t>（</w:t>
            </w:r>
            <w:r>
              <w:rPr>
                <w:rFonts w:hint="eastAsia" w:ascii="宋体" w:hAnsi="宋体"/>
                <w:szCs w:val="21"/>
              </w:rPr>
              <w:t>如为</w:t>
            </w:r>
            <w:r>
              <w:rPr>
                <w:rFonts w:hint="eastAsia" w:ascii="宋体" w:hAnsi="宋体"/>
                <w:spacing w:val="6"/>
                <w:szCs w:val="21"/>
              </w:rPr>
              <w:t>联合体，联合协议中约定，小型、微型企业的协议合同金额占到联合体协议合同总金额30%以上的，可给予联合体4%的价格扣除</w:t>
            </w:r>
            <w:r>
              <w:rPr>
                <w:rFonts w:ascii="宋体" w:hAnsi="宋体"/>
                <w:szCs w:val="21"/>
              </w:rPr>
              <w:t>）</w:t>
            </w:r>
            <w:r>
              <w:rPr>
                <w:rFonts w:hint="eastAsia" w:ascii="宋体" w:hAnsi="宋体"/>
                <w:szCs w:val="21"/>
              </w:rPr>
              <w:t>；</w:t>
            </w:r>
          </w:p>
          <w:p>
            <w:pPr>
              <w:rPr>
                <w:rFonts w:hint="eastAsia" w:ascii="宋体" w:hAnsi="宋体"/>
              </w:rPr>
            </w:pPr>
            <w:r>
              <w:rPr>
                <w:rFonts w:hint="eastAsia" w:ascii="宋体" w:hAnsi="宋体"/>
              </w:rPr>
              <w:t>4、残疾人福利性单位（监狱企业）产品、服务视同小型、微型企业产品、服务，享受同等价格扣除；</w:t>
            </w:r>
          </w:p>
          <w:p>
            <w:pPr>
              <w:rPr>
                <w:rFonts w:hint="eastAsia" w:ascii="宋体" w:hAnsi="宋体"/>
              </w:rPr>
            </w:pPr>
            <w:r>
              <w:rPr>
                <w:rFonts w:hint="eastAsia" w:ascii="宋体" w:hAnsi="宋体"/>
              </w:rPr>
              <w:t>5、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w:t>
            </w:r>
          </w:p>
        </w:tc>
      </w:tr>
    </w:tbl>
    <w:p/>
    <w:p>
      <w:bookmarkStart w:id="414" w:name="_Toc19290"/>
      <w:bookmarkStart w:id="415" w:name="_Toc30850"/>
      <w:bookmarkStart w:id="416" w:name="_Toc23871"/>
      <w:r>
        <w:rPr>
          <w:rFonts w:hint="eastAsia"/>
        </w:rPr>
        <w:br w:type="page"/>
      </w:r>
    </w:p>
    <w:p>
      <w:pPr>
        <w:pStyle w:val="2"/>
        <w:numPr>
          <w:ilvl w:val="0"/>
          <w:numId w:val="0"/>
        </w:numPr>
        <w:spacing w:before="0"/>
        <w:rPr>
          <w:rFonts w:hint="eastAsia" w:ascii="宋体" w:hAnsi="宋体" w:eastAsia="宋体"/>
        </w:rPr>
      </w:pPr>
      <w:bookmarkStart w:id="417" w:name="_Toc234942486"/>
      <w:bookmarkStart w:id="418" w:name="_Toc25901"/>
      <w:r>
        <w:rPr>
          <w:rFonts w:hint="eastAsia" w:ascii="宋体" w:hAnsi="宋体" w:eastAsia="宋体"/>
          <w:szCs w:val="28"/>
        </w:rPr>
        <w:t>1. 评标方法：</w:t>
      </w:r>
      <w:bookmarkEnd w:id="408"/>
      <w:bookmarkEnd w:id="414"/>
      <w:bookmarkEnd w:id="415"/>
      <w:bookmarkEnd w:id="416"/>
      <w:bookmarkEnd w:id="417"/>
      <w:bookmarkEnd w:id="418"/>
    </w:p>
    <w:p>
      <w:pPr>
        <w:adjustRightInd w:val="0"/>
        <w:spacing w:line="360" w:lineRule="auto"/>
        <w:ind w:firstLine="420" w:firstLineChars="200"/>
        <w:rPr>
          <w:rFonts w:hint="eastAsia" w:ascii="宋体" w:hAnsi="宋体"/>
          <w:szCs w:val="21"/>
        </w:rPr>
      </w:pPr>
      <w:r>
        <w:rPr>
          <w:rFonts w:hint="eastAsia" w:ascii="宋体" w:hAnsi="宋体"/>
          <w:szCs w:val="21"/>
        </w:rPr>
        <w:t>本次评标采用综合评分法。评标委员会对通过资格审查、符合性审查的投标文件，按照本章第2.2 款规定的评分标准进行打分，并按得分由高到低顺序推荐中标候选人；得分相同的，按报价由低到高顺序排列。得分且报价相同的，按技术指标优劣由高到低顺序排列。投标文件满足招标文件全部实质性要求，且按照评审因素的量化指标评审得分最高的投标人为排名第一的中标候选人。</w:t>
      </w:r>
    </w:p>
    <w:p>
      <w:pPr>
        <w:pStyle w:val="2"/>
        <w:numPr>
          <w:ilvl w:val="0"/>
          <w:numId w:val="0"/>
        </w:numPr>
        <w:spacing w:before="0"/>
        <w:rPr>
          <w:rFonts w:hint="eastAsia" w:ascii="宋体" w:hAnsi="宋体" w:eastAsia="宋体"/>
          <w:szCs w:val="28"/>
        </w:rPr>
      </w:pPr>
      <w:bookmarkStart w:id="419" w:name="_Toc468805877"/>
      <w:bookmarkStart w:id="420" w:name="_Toc929"/>
      <w:bookmarkStart w:id="421" w:name="_Toc12655"/>
      <w:bookmarkStart w:id="422" w:name="_Toc17248"/>
      <w:bookmarkStart w:id="423" w:name="_Toc234942487"/>
      <w:bookmarkStart w:id="424" w:name="_Toc23110"/>
      <w:r>
        <w:rPr>
          <w:rFonts w:hint="eastAsia" w:ascii="宋体" w:hAnsi="宋体" w:eastAsia="宋体"/>
          <w:szCs w:val="28"/>
        </w:rPr>
        <w:t>2. 评审标准</w:t>
      </w:r>
      <w:bookmarkEnd w:id="419"/>
      <w:bookmarkEnd w:id="420"/>
      <w:bookmarkEnd w:id="421"/>
      <w:bookmarkEnd w:id="422"/>
      <w:bookmarkEnd w:id="423"/>
      <w:bookmarkEnd w:id="424"/>
    </w:p>
    <w:p>
      <w:pPr>
        <w:pStyle w:val="60"/>
        <w:spacing w:line="360" w:lineRule="auto"/>
        <w:rPr>
          <w:b/>
          <w:sz w:val="24"/>
        </w:rPr>
      </w:pPr>
      <w:r>
        <w:rPr>
          <w:rFonts w:hint="eastAsia"/>
          <w:b/>
          <w:sz w:val="24"/>
        </w:rPr>
        <w:t>2.1 符合性审查标准</w:t>
      </w:r>
    </w:p>
    <w:p>
      <w:pPr>
        <w:pStyle w:val="19"/>
        <w:tabs>
          <w:tab w:val="left" w:pos="2472"/>
        </w:tabs>
        <w:spacing w:line="360" w:lineRule="auto"/>
        <w:ind w:firstLine="420" w:firstLineChars="200"/>
        <w:rPr>
          <w:rFonts w:hint="eastAsia" w:hAnsi="宋体"/>
          <w:szCs w:val="21"/>
        </w:rPr>
      </w:pPr>
      <w:r>
        <w:rPr>
          <w:rFonts w:hint="eastAsia" w:hAnsi="宋体"/>
          <w:szCs w:val="21"/>
        </w:rPr>
        <w:t>符合性审查标准：</w:t>
      </w:r>
      <w:r>
        <w:rPr>
          <w:rFonts w:hAnsi="宋体"/>
          <w:szCs w:val="21"/>
        </w:rPr>
        <w:t>依据招标文件的规定，从投标文件的有效性、完整性和对招标文件的响应程度进行审查，以确定是否对招标文件的实质性要求作出响应</w:t>
      </w:r>
      <w:r>
        <w:rPr>
          <w:rFonts w:hint="eastAsia" w:hAnsi="宋体"/>
          <w:szCs w:val="21"/>
        </w:rPr>
        <w:t>；见评标办法前附表。</w:t>
      </w:r>
    </w:p>
    <w:p>
      <w:pPr>
        <w:pStyle w:val="60"/>
        <w:spacing w:line="360" w:lineRule="auto"/>
        <w:rPr>
          <w:b/>
          <w:sz w:val="24"/>
        </w:rPr>
      </w:pPr>
      <w:bookmarkStart w:id="425" w:name="_Toc468805879"/>
      <w:r>
        <w:rPr>
          <w:rFonts w:hint="eastAsia"/>
          <w:b/>
          <w:sz w:val="24"/>
        </w:rPr>
        <w:t>2.2 分值构成与评分标准</w:t>
      </w:r>
      <w:bookmarkEnd w:id="425"/>
    </w:p>
    <w:p>
      <w:pPr>
        <w:pStyle w:val="19"/>
        <w:tabs>
          <w:tab w:val="left" w:pos="2472"/>
        </w:tabs>
        <w:spacing w:line="360" w:lineRule="auto"/>
        <w:ind w:firstLine="420" w:firstLineChars="200"/>
        <w:rPr>
          <w:rFonts w:hint="eastAsia" w:hAnsi="宋体"/>
          <w:szCs w:val="21"/>
        </w:rPr>
      </w:pPr>
      <w:r>
        <w:rPr>
          <w:rFonts w:hint="eastAsia" w:hAnsi="宋体"/>
          <w:szCs w:val="21"/>
        </w:rPr>
        <w:t>2.2.1分值构成</w:t>
      </w:r>
    </w:p>
    <w:p>
      <w:pPr>
        <w:pStyle w:val="19"/>
        <w:tabs>
          <w:tab w:val="left" w:pos="2472"/>
        </w:tabs>
        <w:spacing w:line="360" w:lineRule="auto"/>
        <w:ind w:firstLine="420" w:firstLineChars="200"/>
        <w:rPr>
          <w:rFonts w:hint="eastAsia" w:hAnsi="宋体"/>
          <w:szCs w:val="21"/>
        </w:rPr>
      </w:pPr>
      <w:r>
        <w:rPr>
          <w:rFonts w:hint="eastAsia" w:hAnsi="宋体"/>
          <w:szCs w:val="21"/>
        </w:rPr>
        <w:t>（1）技术部分：见评标办法前附表；</w:t>
      </w:r>
    </w:p>
    <w:p>
      <w:pPr>
        <w:pStyle w:val="19"/>
        <w:tabs>
          <w:tab w:val="left" w:pos="2472"/>
        </w:tabs>
        <w:spacing w:line="360" w:lineRule="auto"/>
        <w:ind w:firstLine="525" w:firstLineChars="250"/>
        <w:rPr>
          <w:rFonts w:hint="eastAsia" w:hAnsi="宋体"/>
          <w:szCs w:val="21"/>
        </w:rPr>
      </w:pPr>
      <w:r>
        <w:rPr>
          <w:rFonts w:hint="eastAsia" w:hAnsi="宋体"/>
          <w:szCs w:val="21"/>
        </w:rPr>
        <w:t>(2)</w:t>
      </w:r>
      <w:r>
        <w:rPr>
          <w:rFonts w:hint="eastAsia"/>
        </w:rPr>
        <w:t xml:space="preserve"> </w:t>
      </w:r>
      <w:r>
        <w:rPr>
          <w:rFonts w:hint="eastAsia" w:hAnsi="宋体"/>
          <w:szCs w:val="21"/>
        </w:rPr>
        <w:t>商务部分：见评标办法前附表；</w:t>
      </w:r>
    </w:p>
    <w:p>
      <w:pPr>
        <w:pStyle w:val="19"/>
        <w:tabs>
          <w:tab w:val="left" w:pos="2472"/>
        </w:tabs>
        <w:spacing w:line="360" w:lineRule="auto"/>
        <w:ind w:firstLine="420" w:firstLineChars="200"/>
        <w:rPr>
          <w:rFonts w:hint="eastAsia" w:hAnsi="宋体"/>
          <w:szCs w:val="21"/>
        </w:rPr>
      </w:pPr>
      <w:r>
        <w:rPr>
          <w:rFonts w:hint="eastAsia" w:hAnsi="宋体"/>
          <w:szCs w:val="21"/>
        </w:rPr>
        <w:t>（3）投标报价：见评标办法前附表。</w:t>
      </w:r>
    </w:p>
    <w:p>
      <w:pPr>
        <w:pStyle w:val="19"/>
        <w:tabs>
          <w:tab w:val="left" w:pos="2472"/>
        </w:tabs>
        <w:spacing w:line="360" w:lineRule="auto"/>
        <w:ind w:firstLine="420" w:firstLineChars="200"/>
        <w:rPr>
          <w:rFonts w:hint="eastAsia" w:hAnsi="宋体"/>
          <w:szCs w:val="21"/>
        </w:rPr>
      </w:pPr>
      <w:r>
        <w:rPr>
          <w:rFonts w:hint="eastAsia" w:hAnsi="宋体"/>
          <w:szCs w:val="21"/>
        </w:rPr>
        <w:t>2.2.2评分标准</w:t>
      </w:r>
    </w:p>
    <w:p>
      <w:pPr>
        <w:pStyle w:val="19"/>
        <w:tabs>
          <w:tab w:val="left" w:pos="2472"/>
        </w:tabs>
        <w:spacing w:line="360" w:lineRule="auto"/>
        <w:ind w:firstLine="420" w:firstLineChars="200"/>
        <w:rPr>
          <w:rFonts w:hint="eastAsia" w:hAnsi="宋体"/>
          <w:szCs w:val="21"/>
        </w:rPr>
      </w:pPr>
      <w:r>
        <w:rPr>
          <w:rFonts w:hAnsi="宋体"/>
          <w:szCs w:val="21"/>
        </w:rPr>
        <w:t>按招标文件中规定的评标方法和标准，对资格</w:t>
      </w:r>
      <w:r>
        <w:rPr>
          <w:rFonts w:hint="eastAsia" w:hAnsi="宋体"/>
          <w:szCs w:val="21"/>
        </w:rPr>
        <w:t>审查</w:t>
      </w:r>
      <w:r>
        <w:rPr>
          <w:rFonts w:hAnsi="宋体"/>
          <w:szCs w:val="21"/>
        </w:rPr>
        <w:t>和符合性</w:t>
      </w:r>
      <w:r>
        <w:rPr>
          <w:rFonts w:hint="eastAsia" w:hAnsi="宋体"/>
          <w:szCs w:val="21"/>
        </w:rPr>
        <w:t>审查</w:t>
      </w:r>
      <w:r>
        <w:rPr>
          <w:rFonts w:hAnsi="宋体"/>
          <w:szCs w:val="21"/>
        </w:rPr>
        <w:t>合格的投标文件进行商务和技术评估，综合比较与评价</w:t>
      </w:r>
      <w:r>
        <w:rPr>
          <w:rFonts w:hint="eastAsia" w:hAnsi="宋体"/>
          <w:szCs w:val="21"/>
        </w:rPr>
        <w:t>。</w:t>
      </w:r>
    </w:p>
    <w:p>
      <w:pPr>
        <w:pStyle w:val="19"/>
        <w:tabs>
          <w:tab w:val="left" w:pos="2472"/>
        </w:tabs>
        <w:spacing w:line="360" w:lineRule="auto"/>
        <w:ind w:firstLine="420" w:firstLineChars="200"/>
        <w:rPr>
          <w:rFonts w:hint="eastAsia" w:hAnsi="宋体"/>
          <w:szCs w:val="21"/>
        </w:rPr>
      </w:pPr>
      <w:r>
        <w:rPr>
          <w:rFonts w:hint="eastAsia" w:hAnsi="宋体"/>
          <w:szCs w:val="21"/>
        </w:rPr>
        <w:t>（1）技术部分评分标准：见评标办法前附表；</w:t>
      </w:r>
    </w:p>
    <w:p>
      <w:pPr>
        <w:pStyle w:val="19"/>
        <w:tabs>
          <w:tab w:val="left" w:pos="2472"/>
        </w:tabs>
        <w:spacing w:line="360" w:lineRule="auto"/>
        <w:ind w:firstLine="420" w:firstLineChars="200"/>
        <w:rPr>
          <w:rFonts w:hint="eastAsia" w:hAnsi="宋体"/>
          <w:szCs w:val="21"/>
        </w:rPr>
      </w:pPr>
      <w:r>
        <w:rPr>
          <w:rFonts w:hint="eastAsia" w:hAnsi="宋体"/>
          <w:szCs w:val="21"/>
        </w:rPr>
        <w:t>（2）商务部分评分标准：见评标办法前附表；</w:t>
      </w:r>
    </w:p>
    <w:p>
      <w:pPr>
        <w:pStyle w:val="19"/>
        <w:tabs>
          <w:tab w:val="left" w:pos="2472"/>
        </w:tabs>
        <w:spacing w:line="360" w:lineRule="auto"/>
        <w:ind w:firstLine="420" w:firstLineChars="200"/>
        <w:rPr>
          <w:rFonts w:hint="eastAsia" w:hAnsi="宋体"/>
          <w:szCs w:val="21"/>
        </w:rPr>
      </w:pPr>
      <w:r>
        <w:rPr>
          <w:rFonts w:hint="eastAsia" w:hAnsi="宋体"/>
          <w:szCs w:val="21"/>
        </w:rPr>
        <w:t>（3）投标报价评分标准：见评标办法前附表。</w:t>
      </w:r>
    </w:p>
    <w:p>
      <w:pPr>
        <w:pStyle w:val="19"/>
        <w:tabs>
          <w:tab w:val="left" w:pos="2472"/>
        </w:tabs>
        <w:spacing w:line="360" w:lineRule="auto"/>
        <w:ind w:firstLine="420" w:firstLineChars="200"/>
        <w:rPr>
          <w:rFonts w:hint="eastAsia" w:hAnsi="宋体"/>
          <w:szCs w:val="21"/>
        </w:rPr>
      </w:pPr>
      <w:r>
        <w:rPr>
          <w:rFonts w:hint="eastAsia" w:hAnsi="宋体"/>
          <w:szCs w:val="21"/>
        </w:rPr>
        <w:t>2.2.3评标基准价计算方法：见评标办法前附表。</w:t>
      </w:r>
    </w:p>
    <w:p>
      <w:pPr>
        <w:pStyle w:val="2"/>
        <w:numPr>
          <w:ilvl w:val="0"/>
          <w:numId w:val="0"/>
        </w:numPr>
        <w:spacing w:before="0"/>
        <w:rPr>
          <w:rFonts w:hint="eastAsia" w:ascii="宋体" w:hAnsi="宋体" w:eastAsia="宋体"/>
          <w:szCs w:val="28"/>
        </w:rPr>
      </w:pPr>
      <w:bookmarkStart w:id="426" w:name="_Toc234942488"/>
      <w:bookmarkStart w:id="427" w:name="_Toc26417"/>
      <w:bookmarkStart w:id="428" w:name="_Toc468805880"/>
      <w:bookmarkStart w:id="429" w:name="_Toc30137"/>
      <w:bookmarkStart w:id="430" w:name="_Toc27427"/>
      <w:bookmarkStart w:id="431" w:name="_Toc16177"/>
      <w:r>
        <w:rPr>
          <w:rFonts w:hint="eastAsia" w:ascii="宋体" w:hAnsi="宋体" w:eastAsia="宋体"/>
          <w:szCs w:val="28"/>
        </w:rPr>
        <w:t>3. 评标程序</w:t>
      </w:r>
      <w:bookmarkEnd w:id="426"/>
      <w:bookmarkEnd w:id="427"/>
      <w:bookmarkEnd w:id="428"/>
      <w:bookmarkEnd w:id="429"/>
      <w:bookmarkEnd w:id="430"/>
      <w:bookmarkEnd w:id="431"/>
    </w:p>
    <w:p>
      <w:pPr>
        <w:pStyle w:val="60"/>
        <w:spacing w:line="360" w:lineRule="auto"/>
        <w:rPr>
          <w:b/>
          <w:sz w:val="24"/>
        </w:rPr>
      </w:pPr>
      <w:r>
        <w:rPr>
          <w:rFonts w:hint="eastAsia"/>
          <w:b/>
          <w:sz w:val="24"/>
        </w:rPr>
        <w:t>3.1 符合性审查</w:t>
      </w:r>
    </w:p>
    <w:p>
      <w:pPr>
        <w:pStyle w:val="19"/>
        <w:tabs>
          <w:tab w:val="left" w:pos="2472"/>
        </w:tabs>
        <w:spacing w:line="360" w:lineRule="auto"/>
        <w:ind w:firstLine="420" w:firstLineChars="200"/>
        <w:rPr>
          <w:rFonts w:hint="eastAsia" w:hAnsi="宋体"/>
          <w:szCs w:val="21"/>
        </w:rPr>
      </w:pPr>
      <w:r>
        <w:rPr>
          <w:rFonts w:hint="eastAsia" w:hAnsi="宋体"/>
          <w:szCs w:val="21"/>
        </w:rPr>
        <w:t>评标委员会依据本章第2.1项规定的标准对资格审查合格的投标文件进行符合性审查。有一项不符合评审标准的，投标无效。</w:t>
      </w:r>
    </w:p>
    <w:p>
      <w:pPr>
        <w:pStyle w:val="19"/>
        <w:tabs>
          <w:tab w:val="left" w:pos="2472"/>
        </w:tabs>
        <w:spacing w:line="360" w:lineRule="auto"/>
        <w:ind w:firstLine="420" w:firstLineChars="200"/>
        <w:rPr>
          <w:rFonts w:hint="eastAsia" w:hAnsi="宋体"/>
          <w:szCs w:val="21"/>
        </w:rPr>
      </w:pPr>
      <w:r>
        <w:rPr>
          <w:rFonts w:hint="eastAsia" w:hAnsi="宋体"/>
          <w:szCs w:val="21"/>
        </w:rPr>
        <w:t>提供相同品牌产品（核心产品）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pPr>
        <w:pStyle w:val="60"/>
        <w:spacing w:line="360" w:lineRule="auto"/>
        <w:rPr>
          <w:b/>
          <w:sz w:val="24"/>
        </w:rPr>
      </w:pPr>
      <w:bookmarkStart w:id="432" w:name="_Toc468805882"/>
      <w:r>
        <w:rPr>
          <w:rFonts w:hint="eastAsia"/>
          <w:b/>
          <w:sz w:val="24"/>
        </w:rPr>
        <w:t>3.2</w:t>
      </w:r>
      <w:bookmarkEnd w:id="432"/>
      <w:r>
        <w:rPr>
          <w:rFonts w:hint="eastAsia"/>
          <w:b/>
          <w:sz w:val="24"/>
        </w:rPr>
        <w:t>商务和技术评估，综合比较与评价</w:t>
      </w:r>
    </w:p>
    <w:p>
      <w:pPr>
        <w:pStyle w:val="19"/>
        <w:tabs>
          <w:tab w:val="left" w:pos="2472"/>
        </w:tabs>
        <w:spacing w:line="360" w:lineRule="auto"/>
        <w:ind w:firstLine="420" w:firstLineChars="200"/>
        <w:rPr>
          <w:rFonts w:hint="eastAsia" w:hAnsi="宋体"/>
          <w:szCs w:val="21"/>
        </w:rPr>
      </w:pPr>
      <w:r>
        <w:rPr>
          <w:rFonts w:hint="eastAsia" w:hAnsi="宋体"/>
          <w:szCs w:val="21"/>
        </w:rPr>
        <w:t>3.2.1 评标委员会</w:t>
      </w:r>
      <w:r>
        <w:rPr>
          <w:rFonts w:hAnsi="宋体"/>
          <w:szCs w:val="21"/>
        </w:rPr>
        <w:t>按</w:t>
      </w:r>
      <w:r>
        <w:rPr>
          <w:rFonts w:hint="eastAsia" w:hAnsi="宋体"/>
          <w:szCs w:val="21"/>
        </w:rPr>
        <w:t>本章第2.2款规定的量化因素和分值进行打分，并计算出投标人的评标总得分。</w:t>
      </w:r>
    </w:p>
    <w:p>
      <w:pPr>
        <w:pStyle w:val="19"/>
        <w:tabs>
          <w:tab w:val="left" w:pos="2472"/>
        </w:tabs>
        <w:spacing w:line="360" w:lineRule="auto"/>
        <w:ind w:firstLine="420" w:firstLineChars="200"/>
        <w:rPr>
          <w:rFonts w:hint="eastAsia" w:hAnsi="宋体"/>
          <w:szCs w:val="21"/>
        </w:rPr>
      </w:pPr>
      <w:bookmarkStart w:id="433" w:name="_Toc468805883"/>
      <w:r>
        <w:rPr>
          <w:rFonts w:hint="eastAsia" w:hAnsi="宋体"/>
          <w:szCs w:val="21"/>
        </w:rPr>
        <w:t>（1）按本章第2.2.2（1）目规定的评审因素和分值对技术部分计算出得分F1；</w:t>
      </w:r>
    </w:p>
    <w:p>
      <w:pPr>
        <w:pStyle w:val="19"/>
        <w:tabs>
          <w:tab w:val="left" w:pos="2472"/>
        </w:tabs>
        <w:spacing w:line="360" w:lineRule="auto"/>
        <w:ind w:firstLine="420" w:firstLineChars="200"/>
        <w:rPr>
          <w:rFonts w:hint="eastAsia" w:hAnsi="宋体"/>
          <w:szCs w:val="21"/>
        </w:rPr>
      </w:pPr>
      <w:r>
        <w:rPr>
          <w:rFonts w:hint="eastAsia" w:hAnsi="宋体"/>
          <w:szCs w:val="21"/>
        </w:rPr>
        <w:t>（2）按本章第2.2.2（2）目规定的评审因素和分值对商务部分计算出得分F2；</w:t>
      </w:r>
    </w:p>
    <w:p>
      <w:pPr>
        <w:pStyle w:val="19"/>
        <w:tabs>
          <w:tab w:val="left" w:pos="2472"/>
        </w:tabs>
        <w:spacing w:line="360" w:lineRule="auto"/>
        <w:ind w:firstLine="420" w:firstLineChars="200"/>
        <w:rPr>
          <w:rFonts w:hint="eastAsia" w:hAnsi="宋体"/>
          <w:szCs w:val="21"/>
        </w:rPr>
      </w:pPr>
      <w:r>
        <w:rPr>
          <w:rFonts w:hint="eastAsia" w:hAnsi="宋体"/>
          <w:szCs w:val="21"/>
        </w:rPr>
        <w:t>（3）按本章第2.2.2（3）目规定的评审因素和分值对投标报价计算出得分F3，并计算投标报价评分分值；</w:t>
      </w:r>
    </w:p>
    <w:p>
      <w:pPr>
        <w:pStyle w:val="19"/>
        <w:tabs>
          <w:tab w:val="left" w:pos="2472"/>
        </w:tabs>
        <w:spacing w:line="360" w:lineRule="auto"/>
        <w:ind w:firstLine="420" w:firstLineChars="200"/>
        <w:rPr>
          <w:rFonts w:hint="eastAsia" w:hAnsi="宋体"/>
          <w:szCs w:val="21"/>
        </w:rPr>
      </w:pPr>
      <w:r>
        <w:rPr>
          <w:rFonts w:hint="eastAsia" w:hAnsi="宋体"/>
          <w:szCs w:val="21"/>
        </w:rPr>
        <w:t>（4）按本章第2.2.1项所列公式计算评标总得分。</w:t>
      </w:r>
    </w:p>
    <w:p>
      <w:pPr>
        <w:spacing w:line="360" w:lineRule="auto"/>
        <w:ind w:firstLine="420" w:firstLineChars="200"/>
        <w:jc w:val="left"/>
        <w:rPr>
          <w:rFonts w:hint="eastAsia" w:ascii="宋体" w:hAnsi="宋体"/>
          <w:szCs w:val="21"/>
        </w:rPr>
      </w:pPr>
      <w:r>
        <w:rPr>
          <w:rFonts w:hint="eastAsia" w:ascii="宋体" w:hAnsi="宋体"/>
          <w:szCs w:val="21"/>
        </w:rPr>
        <w:t>3.2.2技术部分（F1）和商务部分（F2）得分由评标委员会成员独立评分，计算各投标人得分的算术平均值计入各投标人总分。</w:t>
      </w:r>
    </w:p>
    <w:p>
      <w:pPr>
        <w:pStyle w:val="60"/>
        <w:spacing w:line="360" w:lineRule="auto"/>
        <w:ind w:firstLine="420" w:firstLineChars="200"/>
        <w:rPr>
          <w:rFonts w:hint="eastAsia" w:hAnsi="宋体"/>
          <w:b w:val="0"/>
          <w:bCs w:val="0"/>
          <w:szCs w:val="21"/>
        </w:rPr>
      </w:pPr>
      <w:r>
        <w:rPr>
          <w:rFonts w:hint="eastAsia" w:hAnsi="宋体"/>
          <w:b w:val="0"/>
          <w:bCs w:val="0"/>
          <w:szCs w:val="21"/>
        </w:rPr>
        <w:t>3.2.3根据《关于推动解决政府采购异常低价问题的通知》（财库〔2026〕2号），政府采购评审中出现下列情形之一的，评审委员会应当启动异常低价投标（响应）审查程序：</w:t>
      </w:r>
    </w:p>
    <w:p>
      <w:pPr>
        <w:pStyle w:val="60"/>
        <w:spacing w:line="360" w:lineRule="auto"/>
        <w:ind w:firstLine="420" w:firstLineChars="200"/>
        <w:rPr>
          <w:rFonts w:hint="eastAsia" w:hAnsi="宋体"/>
          <w:b w:val="0"/>
          <w:bCs w:val="0"/>
          <w:szCs w:val="21"/>
        </w:rPr>
      </w:pPr>
      <w:r>
        <w:rPr>
          <w:rFonts w:hint="eastAsia" w:hAnsi="宋体"/>
          <w:b w:val="0"/>
          <w:bCs w:val="0"/>
          <w:szCs w:val="21"/>
        </w:rPr>
        <w:t>（1）投标（响应）报价低于全部通过符合性审查供应商投标（响应）报价平均值</w:t>
      </w:r>
      <w:r>
        <w:rPr>
          <w:rFonts w:hint="eastAsia" w:hAnsi="宋体"/>
          <w:b w:val="0"/>
          <w:bCs w:val="0"/>
          <w:szCs w:val="21"/>
          <w:lang w:val="en-US" w:eastAsia="zh-CN"/>
        </w:rPr>
        <w:t>50</w:t>
      </w:r>
      <w:r>
        <w:rPr>
          <w:rFonts w:hint="eastAsia" w:hAnsi="宋体"/>
          <w:b w:val="0"/>
          <w:bCs w:val="0"/>
          <w:szCs w:val="21"/>
        </w:rPr>
        <w:t>%的，即投标（响应）报价&lt;全部通过符合性审查供应商投标（响应）报价平均值×</w:t>
      </w:r>
      <w:r>
        <w:rPr>
          <w:rFonts w:hint="eastAsia" w:hAnsi="宋体"/>
          <w:b w:val="0"/>
          <w:bCs w:val="0"/>
          <w:szCs w:val="21"/>
          <w:lang w:val="en-US" w:eastAsia="zh-CN"/>
        </w:rPr>
        <w:t>50</w:t>
      </w:r>
      <w:r>
        <w:rPr>
          <w:rFonts w:hint="eastAsia" w:hAnsi="宋体"/>
          <w:b w:val="0"/>
          <w:bCs w:val="0"/>
          <w:szCs w:val="21"/>
        </w:rPr>
        <w:t>%；</w:t>
      </w:r>
    </w:p>
    <w:p>
      <w:pPr>
        <w:pStyle w:val="60"/>
        <w:spacing w:line="360" w:lineRule="auto"/>
        <w:ind w:firstLine="420" w:firstLineChars="200"/>
        <w:rPr>
          <w:rFonts w:hint="eastAsia" w:hAnsi="宋体"/>
          <w:b w:val="0"/>
          <w:bCs w:val="0"/>
          <w:szCs w:val="21"/>
        </w:rPr>
      </w:pPr>
      <w:r>
        <w:rPr>
          <w:rFonts w:hint="eastAsia" w:hAnsi="宋体"/>
          <w:b w:val="0"/>
          <w:bCs w:val="0"/>
          <w:szCs w:val="21"/>
        </w:rPr>
        <w:t>（2）投标（响应）报价低于通过符合性审查的次低报价供应商投标（响应）报价</w:t>
      </w:r>
      <w:r>
        <w:rPr>
          <w:rFonts w:hint="eastAsia" w:hAnsi="宋体"/>
          <w:b w:val="0"/>
          <w:bCs w:val="0"/>
          <w:szCs w:val="21"/>
          <w:lang w:val="en-US" w:eastAsia="zh-CN"/>
        </w:rPr>
        <w:t>50</w:t>
      </w:r>
      <w:r>
        <w:rPr>
          <w:rFonts w:hint="eastAsia" w:hAnsi="宋体"/>
          <w:b w:val="0"/>
          <w:bCs w:val="0"/>
          <w:szCs w:val="21"/>
        </w:rPr>
        <w:t>%的，即投标（响应）报价&lt;通过符合性审查的次低报价供应商投标（响应）报价×</w:t>
      </w:r>
      <w:r>
        <w:rPr>
          <w:rFonts w:hint="eastAsia" w:hAnsi="宋体"/>
          <w:b w:val="0"/>
          <w:bCs w:val="0"/>
          <w:szCs w:val="21"/>
          <w:lang w:val="en-US" w:eastAsia="zh-CN"/>
        </w:rPr>
        <w:t>50</w:t>
      </w:r>
      <w:r>
        <w:rPr>
          <w:rFonts w:hint="eastAsia" w:hAnsi="宋体"/>
          <w:b w:val="0"/>
          <w:bCs w:val="0"/>
          <w:szCs w:val="21"/>
        </w:rPr>
        <w:t>%；</w:t>
      </w:r>
    </w:p>
    <w:p>
      <w:pPr>
        <w:pStyle w:val="60"/>
        <w:spacing w:line="360" w:lineRule="auto"/>
        <w:ind w:firstLine="420" w:firstLineChars="200"/>
        <w:rPr>
          <w:rFonts w:hint="eastAsia" w:hAnsi="宋体"/>
          <w:b w:val="0"/>
          <w:bCs w:val="0"/>
          <w:szCs w:val="21"/>
        </w:rPr>
      </w:pPr>
      <w:r>
        <w:rPr>
          <w:rFonts w:hint="eastAsia" w:hAnsi="宋体"/>
          <w:b w:val="0"/>
          <w:bCs w:val="0"/>
          <w:szCs w:val="21"/>
        </w:rPr>
        <w:t>（3）投标（响应）报价低于采购项目最高限价</w:t>
      </w:r>
      <w:r>
        <w:rPr>
          <w:rFonts w:hint="eastAsia" w:hAnsi="宋体"/>
          <w:b w:val="0"/>
          <w:bCs w:val="0"/>
          <w:szCs w:val="21"/>
          <w:lang w:val="en-US" w:eastAsia="zh-CN"/>
        </w:rPr>
        <w:t>45</w:t>
      </w:r>
      <w:r>
        <w:rPr>
          <w:rFonts w:hint="eastAsia" w:hAnsi="宋体"/>
          <w:b w:val="0"/>
          <w:bCs w:val="0"/>
          <w:szCs w:val="21"/>
        </w:rPr>
        <w:t>%的，即投标（响应）报价&lt;采购项目最高限价×</w:t>
      </w:r>
      <w:r>
        <w:rPr>
          <w:rFonts w:hint="eastAsia" w:hAnsi="宋体"/>
          <w:b w:val="0"/>
          <w:bCs w:val="0"/>
          <w:szCs w:val="21"/>
          <w:lang w:val="en-US" w:eastAsia="zh-CN"/>
        </w:rPr>
        <w:t>45</w:t>
      </w:r>
      <w:r>
        <w:rPr>
          <w:rFonts w:hint="eastAsia" w:hAnsi="宋体"/>
          <w:b w:val="0"/>
          <w:bCs w:val="0"/>
          <w:szCs w:val="21"/>
        </w:rPr>
        <w:t>%；</w:t>
      </w:r>
    </w:p>
    <w:p>
      <w:pPr>
        <w:pStyle w:val="60"/>
        <w:spacing w:line="360" w:lineRule="auto"/>
        <w:ind w:firstLine="420" w:firstLineChars="200"/>
        <w:rPr>
          <w:rFonts w:hint="eastAsia" w:hAnsi="宋体"/>
          <w:b w:val="0"/>
          <w:bCs w:val="0"/>
          <w:szCs w:val="21"/>
        </w:rPr>
      </w:pPr>
      <w:r>
        <w:rPr>
          <w:rFonts w:hint="eastAsia" w:hAnsi="宋体"/>
          <w:b w:val="0"/>
          <w:bCs w:val="0"/>
          <w:szCs w:val="21"/>
        </w:rPr>
        <w:t>（4）评审委员会基于专业判断，认为供应商报价过低，有可能影响产品质量或者不能诚信履约的其他情形。</w:t>
      </w:r>
    </w:p>
    <w:p>
      <w:pPr>
        <w:pStyle w:val="60"/>
        <w:spacing w:line="360" w:lineRule="auto"/>
        <w:ind w:firstLine="420" w:firstLineChars="200"/>
        <w:rPr>
          <w:rFonts w:hint="eastAsia" w:hAnsi="宋体"/>
          <w:b w:val="0"/>
          <w:bCs w:val="0"/>
          <w:szCs w:val="21"/>
        </w:rPr>
      </w:pPr>
      <w:r>
        <w:rPr>
          <w:rFonts w:hint="eastAsia" w:hAnsi="宋体"/>
          <w:b w:val="0"/>
          <w:bCs w:val="0"/>
          <w:szCs w:val="21"/>
        </w:rPr>
        <w:t>相关法律法规对供应商报价有规定的，从其规定。</w:t>
      </w:r>
    </w:p>
    <w:p>
      <w:pPr>
        <w:pStyle w:val="60"/>
        <w:spacing w:line="360" w:lineRule="auto"/>
        <w:ind w:firstLine="420" w:firstLineChars="200"/>
        <w:rPr>
          <w:rFonts w:hint="eastAsia" w:hAnsi="宋体"/>
          <w:b w:val="0"/>
          <w:bCs w:val="0"/>
          <w:szCs w:val="21"/>
        </w:rPr>
      </w:pPr>
      <w:r>
        <w:rPr>
          <w:rFonts w:hint="eastAsia" w:hAnsi="宋体"/>
          <w:b w:val="0"/>
          <w:bCs w:val="0"/>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60"/>
        <w:spacing w:line="360" w:lineRule="auto"/>
        <w:ind w:firstLine="420" w:firstLineChars="200"/>
        <w:rPr>
          <w:rFonts w:hint="eastAsia" w:hAnsi="宋体"/>
          <w:b w:val="0"/>
          <w:bCs w:val="0"/>
          <w:szCs w:val="21"/>
        </w:rPr>
      </w:pPr>
      <w:r>
        <w:rPr>
          <w:rFonts w:hint="eastAsia" w:hAnsi="宋体"/>
          <w:b w:val="0"/>
          <w:bCs w:val="0"/>
          <w:szCs w:val="21"/>
        </w:rPr>
        <w:t>投标（响应）供应商不能提供书面说明、证明材料，或者提供的书面说明、证明材料不能证明其报价合理性的，评审委员会应当将其作为无效投标（响应）处理。</w:t>
      </w:r>
    </w:p>
    <w:p>
      <w:pPr>
        <w:pStyle w:val="60"/>
        <w:spacing w:line="360" w:lineRule="auto"/>
        <w:ind w:firstLine="420" w:firstLineChars="200"/>
        <w:rPr>
          <w:rFonts w:hint="eastAsia" w:hAnsi="宋体"/>
          <w:szCs w:val="21"/>
        </w:rPr>
      </w:pPr>
      <w:r>
        <w:rPr>
          <w:rFonts w:hint="eastAsia" w:hAnsi="宋体"/>
          <w:szCs w:val="21"/>
        </w:rPr>
        <w:t>异常低价投标（响应）审查的启动原因、审查意见和审查结果应当在评审报告中记录。</w:t>
      </w:r>
    </w:p>
    <w:p>
      <w:pPr>
        <w:pStyle w:val="60"/>
        <w:spacing w:line="360" w:lineRule="auto"/>
        <w:rPr>
          <w:b/>
          <w:sz w:val="24"/>
        </w:rPr>
      </w:pPr>
      <w:r>
        <w:rPr>
          <w:rFonts w:hint="eastAsia"/>
          <w:b/>
          <w:sz w:val="24"/>
        </w:rPr>
        <w:t>3.3 投标文件的澄清原则：</w:t>
      </w:r>
      <w:bookmarkEnd w:id="433"/>
    </w:p>
    <w:p>
      <w:pPr>
        <w:spacing w:line="360" w:lineRule="auto"/>
        <w:ind w:firstLine="420" w:firstLineChars="200"/>
        <w:jc w:val="left"/>
        <w:rPr>
          <w:rFonts w:hint="eastAsia" w:ascii="宋体" w:hAnsi="宋体"/>
          <w:szCs w:val="21"/>
        </w:rPr>
      </w:pPr>
      <w:r>
        <w:rPr>
          <w:rFonts w:hint="eastAsia" w:ascii="宋体" w:hAnsi="宋体"/>
          <w:szCs w:val="21"/>
        </w:rPr>
        <w:t>3.3.1 在评标过程中，评标委员会可以书面形式</w:t>
      </w:r>
      <w:r>
        <w:rPr>
          <w:rFonts w:ascii="宋体" w:hAnsi="宋体"/>
          <w:szCs w:val="21"/>
        </w:rPr>
        <w:t>（应当由评标委员会专家签字）</w:t>
      </w:r>
      <w:r>
        <w:rPr>
          <w:rFonts w:hint="eastAsia" w:ascii="宋体" w:hAnsi="宋体"/>
          <w:szCs w:val="21"/>
        </w:rPr>
        <w:t>要求投标人对所提交的投标文件</w:t>
      </w:r>
      <w:r>
        <w:rPr>
          <w:rFonts w:ascii="宋体" w:hAnsi="宋体"/>
          <w:szCs w:val="21"/>
        </w:rPr>
        <w:t>中含义不明确、同类问题表述不一致或者有明显文字和计算错误的内容，</w:t>
      </w:r>
      <w:r>
        <w:rPr>
          <w:rFonts w:hint="eastAsia" w:ascii="宋体" w:hAnsi="宋体"/>
          <w:szCs w:val="21"/>
        </w:rPr>
        <w:t>进行澄清、说明或者补正。评标委员会不接受投标人主动提出的澄清、说明或补正。</w:t>
      </w:r>
    </w:p>
    <w:p>
      <w:pPr>
        <w:spacing w:line="360" w:lineRule="auto"/>
        <w:ind w:firstLine="420" w:firstLineChars="200"/>
        <w:jc w:val="left"/>
        <w:rPr>
          <w:rFonts w:hint="eastAsia" w:ascii="宋体" w:hAnsi="宋体"/>
          <w:szCs w:val="21"/>
        </w:rPr>
      </w:pPr>
      <w:r>
        <w:rPr>
          <w:rFonts w:hint="eastAsia" w:ascii="宋体" w:hAnsi="宋体"/>
          <w:szCs w:val="21"/>
        </w:rPr>
        <w:t>3.3.2 投标人的澄清、说明和补正</w:t>
      </w:r>
      <w:r>
        <w:rPr>
          <w:rFonts w:ascii="宋体" w:hAnsi="宋体"/>
          <w:szCs w:val="21"/>
        </w:rPr>
        <w:t>应当采用书面形式，</w:t>
      </w:r>
      <w:r>
        <w:rPr>
          <w:rFonts w:hint="eastAsia" w:ascii="宋体" w:hAnsi="宋体"/>
          <w:szCs w:val="21"/>
        </w:rPr>
        <w:t>并加盖公章，或者</w:t>
      </w:r>
      <w:r>
        <w:rPr>
          <w:rFonts w:ascii="宋体" w:hAnsi="宋体"/>
          <w:szCs w:val="21"/>
        </w:rPr>
        <w:t>由</w:t>
      </w:r>
      <w:r>
        <w:rPr>
          <w:rFonts w:hint="eastAsia" w:ascii="宋体" w:hAnsi="宋体"/>
          <w:szCs w:val="21"/>
        </w:rPr>
        <w:t>法定代表人或</w:t>
      </w:r>
      <w:r>
        <w:rPr>
          <w:rFonts w:ascii="宋体" w:hAnsi="宋体"/>
          <w:szCs w:val="21"/>
        </w:rPr>
        <w:t>其授权的代表签字</w:t>
      </w:r>
      <w:r>
        <w:rPr>
          <w:rFonts w:hint="eastAsia" w:ascii="宋体" w:hAnsi="宋体"/>
          <w:szCs w:val="21"/>
        </w:rPr>
        <w:t>。投标人的澄清、说明或者补正不得超出投标文件的范围或者改变投标文件的实质性内容。投标人的书面澄清、说明和补正属于投标文件的组成部分。</w:t>
      </w:r>
    </w:p>
    <w:p>
      <w:pPr>
        <w:spacing w:line="360" w:lineRule="auto"/>
        <w:ind w:firstLine="420" w:firstLineChars="200"/>
        <w:jc w:val="left"/>
        <w:rPr>
          <w:rFonts w:hint="eastAsia" w:ascii="宋体" w:hAnsi="宋体"/>
          <w:szCs w:val="21"/>
        </w:rPr>
      </w:pPr>
      <w:r>
        <w:rPr>
          <w:rFonts w:hint="eastAsia" w:ascii="宋体" w:hAnsi="宋体"/>
          <w:szCs w:val="21"/>
        </w:rPr>
        <w:t>3.3.3 评标委员会对投标人提交的澄清、说明或补正有疑问的，可以要求投标人进一步澄清、说明或补正，直至满足评标委员会的要求。</w:t>
      </w:r>
    </w:p>
    <w:p>
      <w:pPr>
        <w:pStyle w:val="60"/>
        <w:spacing w:line="360" w:lineRule="auto"/>
        <w:rPr>
          <w:b/>
          <w:sz w:val="24"/>
        </w:rPr>
      </w:pPr>
      <w:r>
        <w:rPr>
          <w:rFonts w:hint="eastAsia"/>
          <w:b/>
          <w:sz w:val="24"/>
        </w:rPr>
        <w:t>3.4 投标人有以下情形之一的，其投标无效：</w:t>
      </w:r>
    </w:p>
    <w:p>
      <w:pPr>
        <w:pStyle w:val="19"/>
        <w:tabs>
          <w:tab w:val="left" w:pos="2472"/>
        </w:tabs>
        <w:spacing w:line="360" w:lineRule="auto"/>
        <w:ind w:firstLine="420" w:firstLineChars="200"/>
        <w:rPr>
          <w:rFonts w:hint="eastAsia" w:hAnsi="宋体"/>
          <w:szCs w:val="21"/>
        </w:rPr>
      </w:pPr>
      <w:r>
        <w:rPr>
          <w:rFonts w:hint="eastAsia" w:hAnsi="宋体"/>
          <w:szCs w:val="21"/>
        </w:rPr>
        <w:t>（1）串通投标或弄虚作假或有其他违法行为的；</w:t>
      </w:r>
    </w:p>
    <w:p>
      <w:pPr>
        <w:pStyle w:val="19"/>
        <w:tabs>
          <w:tab w:val="left" w:pos="2472"/>
        </w:tabs>
        <w:spacing w:line="360" w:lineRule="auto"/>
        <w:ind w:firstLine="420" w:firstLineChars="200"/>
        <w:rPr>
          <w:rFonts w:hint="eastAsia" w:hAnsi="宋体"/>
          <w:szCs w:val="21"/>
        </w:rPr>
      </w:pPr>
      <w:r>
        <w:rPr>
          <w:rFonts w:hint="eastAsia" w:hAnsi="宋体"/>
          <w:szCs w:val="21"/>
        </w:rPr>
        <w:t>（2）不按评标委员会要求澄清、说明或补正的。</w:t>
      </w:r>
    </w:p>
    <w:p>
      <w:pPr>
        <w:pStyle w:val="60"/>
        <w:spacing w:line="360" w:lineRule="auto"/>
        <w:rPr>
          <w:b/>
          <w:sz w:val="24"/>
        </w:rPr>
      </w:pPr>
      <w:bookmarkStart w:id="434" w:name="_Toc468805884"/>
      <w:r>
        <w:rPr>
          <w:rFonts w:hint="eastAsia"/>
          <w:b/>
          <w:sz w:val="24"/>
        </w:rPr>
        <w:t>3.5 评标结果</w:t>
      </w:r>
      <w:bookmarkEnd w:id="434"/>
    </w:p>
    <w:p>
      <w:pPr>
        <w:spacing w:line="360" w:lineRule="auto"/>
        <w:ind w:firstLine="420" w:firstLineChars="200"/>
        <w:jc w:val="left"/>
        <w:rPr>
          <w:rFonts w:hint="eastAsia" w:ascii="宋体" w:hAnsi="宋体"/>
          <w:szCs w:val="21"/>
        </w:rPr>
      </w:pPr>
      <w:r>
        <w:rPr>
          <w:rFonts w:hint="eastAsia" w:ascii="宋体" w:hAnsi="宋体"/>
          <w:szCs w:val="21"/>
        </w:rPr>
        <w:t>3.5.1 评标委员会按得分由高到低顺序推荐三名中标候选人，并提出书面评标报告。</w:t>
      </w:r>
    </w:p>
    <w:p>
      <w:pPr>
        <w:spacing w:line="360" w:lineRule="auto"/>
        <w:ind w:firstLine="420" w:firstLineChars="200"/>
        <w:jc w:val="left"/>
        <w:rPr>
          <w:rFonts w:hint="eastAsia" w:ascii="宋体" w:hAnsi="宋体"/>
          <w:szCs w:val="21"/>
        </w:rPr>
      </w:pPr>
      <w:r>
        <w:rPr>
          <w:rFonts w:hint="eastAsia" w:ascii="宋体" w:hAnsi="宋体"/>
          <w:szCs w:val="21"/>
        </w:rPr>
        <w:t>3.5.2 采购人根据评标委员会提出的书面评标报告和推荐的中标候选人名单，按顺序确定中标人。</w:t>
      </w:r>
    </w:p>
    <w:p/>
    <w:sectPr>
      <w:pgSz w:w="11906" w:h="16838"/>
      <w:pgMar w:top="1418" w:right="1134" w:bottom="1134" w:left="1418" w:header="936" w:footer="720"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altName w:val="微软雅黑"/>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22"/>
                            <w:rPr>
                              <w:rStyle w:val="35"/>
                            </w:rPr>
                          </w:pPr>
                          <w:r>
                            <w:fldChar w:fldCharType="begin"/>
                          </w:r>
                          <w:r>
                            <w:rPr>
                              <w:rStyle w:val="35"/>
                            </w:rPr>
                            <w:instrText xml:space="preserve">PAGE  </w:instrText>
                          </w:r>
                          <w:r>
                            <w:fldChar w:fldCharType="separate"/>
                          </w:r>
                          <w:r>
                            <w:rPr>
                              <w:rStyle w:val="35"/>
                            </w:rP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2336;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OfL&#10;HALRAAAAAgEAAA8AAAAAAAAAAQAgAAAAIgAAAGRycy9kb3ducmV2LnhtbFBLAQIUABQAAAAIAIdO&#10;4kDNH3U4uAEAAFYDAAAOAAAAAAAAAAEAIAAAACABAABkcnMvZTJvRG9jLnhtbFBLBQYAAAAABgAG&#10;AFkBAABKBQAAAAA=&#10;">
              <v:fill on="f" focussize="0,0"/>
              <v:stroke on="f"/>
              <v:imagedata o:title=""/>
              <o:lock v:ext="edit" aspectratio="f"/>
              <v:textbox inset="0mm,0mm,0mm,0mm" style="mso-fit-shape-to-text:t;">
                <w:txbxContent>
                  <w:p>
                    <w:pPr>
                      <w:pStyle w:val="22"/>
                      <w:rPr>
                        <w:rStyle w:val="35"/>
                      </w:rPr>
                    </w:pPr>
                    <w:r>
                      <w:fldChar w:fldCharType="begin"/>
                    </w:r>
                    <w:r>
                      <w:rPr>
                        <w:rStyle w:val="35"/>
                      </w:rPr>
                      <w:instrText xml:space="preserve">PAGE  </w:instrText>
                    </w:r>
                    <w:r>
                      <w:fldChar w:fldCharType="separate"/>
                    </w:r>
                    <w:r>
                      <w:rPr>
                        <w:rStyle w:val="35"/>
                      </w:rPr>
                      <w:t>1</w:t>
                    </w:r>
                    <w: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separate"/>
    </w:r>
    <w:r>
      <w:rPr>
        <w:rStyle w:val="35"/>
      </w:rPr>
      <w:t>58</w:t>
    </w:r>
    <w:r>
      <w:fldChar w:fldCharType="end"/>
    </w:r>
  </w:p>
  <w:p>
    <w:pPr>
      <w:pStyle w:val="22"/>
      <w:ind w:right="360"/>
      <w:rPr>
        <w:sz w:val="21"/>
      </w:rP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a:effectLst/>
                    </wps:spPr>
                    <wps:txbx>
                      <w:txbxContent>
                        <w:p>
                          <w:pPr>
                            <w:pStyle w:val="22"/>
                            <w:rPr>
                              <w:rStyle w:val="35"/>
                            </w:rPr>
                          </w:pPr>
                          <w:r>
                            <w:fldChar w:fldCharType="begin"/>
                          </w:r>
                          <w:r>
                            <w:rPr>
                              <w:rStyle w:val="35"/>
                            </w:rPr>
                            <w:instrText xml:space="preserve">PAGE  </w:instrText>
                          </w:r>
                          <w:r>
                            <w:fldChar w:fldCharType="separate"/>
                          </w:r>
                          <w:r>
                            <w:rPr>
                              <w:rStyle w:val="35"/>
                            </w:rPr>
                            <w:t>58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m0JBs&#10;0AAAAAIBAAAPAAAAAAAAAAEAIAAAACIAAABkcnMvZG93bnJldi54bWxQSwECFAAUAAAACACHTuJA&#10;qKvrqLcBAABWAwAADgAAAAAAAAABACAAAAAfAQAAZHJzL2Uyb0RvYy54bWxQSwUGAAAAAAYABgBZ&#10;AQAASAUAAAAA&#10;">
              <v:fill on="f" focussize="0,0"/>
              <v:stroke on="f"/>
              <v:imagedata o:title=""/>
              <o:lock v:ext="edit" aspectratio="f"/>
              <v:textbox inset="0mm,0mm,0mm,0mm" style="mso-fit-shape-to-text:t;">
                <w:txbxContent>
                  <w:p>
                    <w:pPr>
                      <w:pStyle w:val="22"/>
                      <w:rPr>
                        <w:rStyle w:val="35"/>
                      </w:rPr>
                    </w:pPr>
                    <w:r>
                      <w:fldChar w:fldCharType="begin"/>
                    </w:r>
                    <w:r>
                      <w:rPr>
                        <w:rStyle w:val="35"/>
                      </w:rPr>
                      <w:instrText xml:space="preserve">PAGE  </w:instrText>
                    </w:r>
                    <w:r>
                      <w:fldChar w:fldCharType="separate"/>
                    </w:r>
                    <w:r>
                      <w:rPr>
                        <w:rStyle w:val="35"/>
                      </w:rPr>
                      <w:t>58</w:t>
                    </w:r>
                    <w:r>
                      <w:fldChar w:fldCharType="end"/>
                    </w:r>
                  </w:p>
                </w:txbxContent>
              </v:textbox>
              <w10:wrap type="square"/>
            </v:shape>
          </w:pict>
        </mc:Fallback>
      </mc:AlternateContent>
    </w: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a:effectLst/>
                    </wps:spPr>
                    <wps:txbx>
                      <w:txbxContent>
                        <w:p>
                          <w:pPr>
                            <w:pStyle w:val="22"/>
                            <w:rPr>
                              <w:rStyle w:val="35"/>
                              <w:sz w:val="21"/>
                            </w:rPr>
                          </w:pPr>
                          <w:r>
                            <w:rPr>
                              <w:sz w:val="21"/>
                            </w:rPr>
                            <w:fldChar w:fldCharType="begin"/>
                          </w:r>
                          <w:r>
                            <w:rPr>
                              <w:rStyle w:val="35"/>
                              <w:sz w:val="21"/>
                            </w:rPr>
                            <w:instrText xml:space="preserve">PAGE  </w:instrText>
                          </w:r>
                          <w:r>
                            <w:rPr>
                              <w:sz w:val="21"/>
                            </w:rPr>
                            <w:fldChar w:fldCharType="separate"/>
                          </w:r>
                          <w:r>
                            <w:rPr>
                              <w:rStyle w:val="35"/>
                              <w:sz w:val="21"/>
                            </w:rPr>
                            <w:t>58</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KrLlHP&#10;AAAAAwEAAA8AAAAAAAAAAQAgAAAAIgAAAGRycy9kb3ducmV2LnhtbFBLAQIUABQAAAAIAIdO4kAf&#10;CmIOtwEAAFcDAAAOAAAAAAAAAAEAIAAAAB4BAABkcnMvZTJvRG9jLnhtbFBLBQYAAAAABgAGAFkB&#10;AABHBQAAAAA=&#10;">
              <v:fill on="f" focussize="0,0"/>
              <v:stroke on="f"/>
              <v:imagedata o:title=""/>
              <o:lock v:ext="edit" aspectratio="f"/>
              <v:textbox inset="0mm,0mm,0mm,0mm" style="mso-fit-shape-to-text:t;">
                <w:txbxContent>
                  <w:p>
                    <w:pPr>
                      <w:pStyle w:val="22"/>
                      <w:rPr>
                        <w:rStyle w:val="35"/>
                        <w:sz w:val="21"/>
                      </w:rPr>
                    </w:pPr>
                    <w:r>
                      <w:rPr>
                        <w:sz w:val="21"/>
                      </w:rPr>
                      <w:fldChar w:fldCharType="begin"/>
                    </w:r>
                    <w:r>
                      <w:rPr>
                        <w:rStyle w:val="35"/>
                        <w:sz w:val="21"/>
                      </w:rPr>
                      <w:instrText xml:space="preserve">PAGE  </w:instrText>
                    </w:r>
                    <w:r>
                      <w:rPr>
                        <w:sz w:val="21"/>
                      </w:rPr>
                      <w:fldChar w:fldCharType="separate"/>
                    </w:r>
                    <w:r>
                      <w:rPr>
                        <w:rStyle w:val="35"/>
                        <w:sz w:val="21"/>
                      </w:rPr>
                      <w:t>58</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separate"/>
    </w:r>
    <w:r>
      <w:rPr>
        <w:rStyle w:val="35"/>
      </w:rPr>
      <w:t>69</w:t>
    </w:r>
    <w:r>
      <w:fldChar w:fldCharType="end"/>
    </w:r>
  </w:p>
  <w:p>
    <w:pPr>
      <w:pStyle w:val="22"/>
      <w:ind w:right="360"/>
      <w:jc w:val="right"/>
    </w:pPr>
    <w:r>
      <mc:AlternateContent>
        <mc:Choice Requires="wps">
          <w:drawing>
            <wp:anchor distT="0" distB="0" distL="0" distR="0" simplePos="0" relativeHeight="251659264"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a:effectLst/>
                    </wps:spPr>
                    <wps:txbx>
                      <w:txbxContent>
                        <w:p>
                          <w:pPr>
                            <w:pStyle w:val="22"/>
                            <w:rPr>
                              <w:rStyle w:val="35"/>
                            </w:rPr>
                          </w:pPr>
                        </w:p>
                      </w:txbxContent>
                    </wps:txbx>
                    <wps:bodyPr wrap="square"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yk4N1AAAAAQB&#10;AAAPAAAAAAAAAAEAIAAAACIAAABkcnMvZG93bnJldi54bWxQSwECFAAUAAAACACHTuJA25UMw60B&#10;AAA/AwAADgAAAAAAAAABACAAAAAjAQAAZHJzL2Uyb0RvYy54bWxQSwUGAAAAAAYABgBZAQAAQgUA&#10;AAAA&#10;">
              <v:fill on="f" focussize="0,0"/>
              <v:stroke on="f"/>
              <v:imagedata o:title=""/>
              <o:lock v:ext="edit" aspectratio="f"/>
              <v:textbox inset="0mm,0mm,0mm,0mm">
                <w:txbxContent>
                  <w:p>
                    <w:pPr>
                      <w:pStyle w:val="22"/>
                      <w:rPr>
                        <w:rStyle w:val="35"/>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rFonts w:hint="eastAsia" w:ascii="宋体" w:hAnsi="宋体"/>
        <w:szCs w:val="21"/>
      </w:rPr>
      <w:t>昆明理工大学信息化建设管理中心智慧校园一体化数智化教学条件建设采购项目(z26)-智慧教室设备（课桌椅）YNZC2026-G1-04753-YNSZ-0271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C9B97F"/>
    <w:multiLevelType w:val="singleLevel"/>
    <w:tmpl w:val="F3C9B97F"/>
    <w:lvl w:ilvl="0" w:tentative="0">
      <w:start w:val="2"/>
      <w:numFmt w:val="decimal"/>
      <w:suff w:val="space"/>
      <w:lvlText w:val="%1."/>
      <w:lvlJc w:val="left"/>
    </w:lvl>
  </w:abstractNum>
  <w:abstractNum w:abstractNumId="1">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2"/>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pStyle w:val="5"/>
      <w:lvlText w:val=""/>
      <w:lvlJc w:val="left"/>
      <w:pPr>
        <w:tabs>
          <w:tab w:val="left" w:pos="360"/>
        </w:tabs>
      </w:pPr>
      <w:rPr>
        <w:rFonts w:cs="Times New Roman"/>
      </w:rPr>
    </w:lvl>
    <w:lvl w:ilvl="4" w:tentative="0">
      <w:start w:val="0"/>
      <w:numFmt w:val="decimal"/>
      <w:pStyle w:val="7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3NjIyZWRhZDRjNDBhYzkwZjY2YjRiYmVjMzk0NmYifQ=="/>
  </w:docVars>
  <w:rsids>
    <w:rsidRoot w:val="00027726"/>
    <w:rsid w:val="00001E9E"/>
    <w:rsid w:val="00007A58"/>
    <w:rsid w:val="00017060"/>
    <w:rsid w:val="000216CC"/>
    <w:rsid w:val="00023F75"/>
    <w:rsid w:val="000240B4"/>
    <w:rsid w:val="00024782"/>
    <w:rsid w:val="0002628B"/>
    <w:rsid w:val="00027726"/>
    <w:rsid w:val="00027E74"/>
    <w:rsid w:val="00031B88"/>
    <w:rsid w:val="00031D91"/>
    <w:rsid w:val="00032101"/>
    <w:rsid w:val="0003374F"/>
    <w:rsid w:val="00033E39"/>
    <w:rsid w:val="000344D7"/>
    <w:rsid w:val="00035F47"/>
    <w:rsid w:val="000370B6"/>
    <w:rsid w:val="000379DB"/>
    <w:rsid w:val="00040530"/>
    <w:rsid w:val="000409D1"/>
    <w:rsid w:val="000410B5"/>
    <w:rsid w:val="00041550"/>
    <w:rsid w:val="0004384C"/>
    <w:rsid w:val="00043CF8"/>
    <w:rsid w:val="00045A53"/>
    <w:rsid w:val="00046211"/>
    <w:rsid w:val="0004684B"/>
    <w:rsid w:val="000514C5"/>
    <w:rsid w:val="00055C49"/>
    <w:rsid w:val="00060E5A"/>
    <w:rsid w:val="0006133D"/>
    <w:rsid w:val="00062EAB"/>
    <w:rsid w:val="00066D71"/>
    <w:rsid w:val="00070CB0"/>
    <w:rsid w:val="00073DA5"/>
    <w:rsid w:val="00077C40"/>
    <w:rsid w:val="00081DC2"/>
    <w:rsid w:val="00085431"/>
    <w:rsid w:val="0008597A"/>
    <w:rsid w:val="000865BC"/>
    <w:rsid w:val="00087BC2"/>
    <w:rsid w:val="000921AA"/>
    <w:rsid w:val="000924E9"/>
    <w:rsid w:val="000977A2"/>
    <w:rsid w:val="000A1C20"/>
    <w:rsid w:val="000A2768"/>
    <w:rsid w:val="000B2825"/>
    <w:rsid w:val="000B35D3"/>
    <w:rsid w:val="000B423D"/>
    <w:rsid w:val="000B4B52"/>
    <w:rsid w:val="000B52DF"/>
    <w:rsid w:val="000B5B5B"/>
    <w:rsid w:val="000B66A4"/>
    <w:rsid w:val="000C0280"/>
    <w:rsid w:val="000C09F7"/>
    <w:rsid w:val="000C45D6"/>
    <w:rsid w:val="000C4768"/>
    <w:rsid w:val="000C4910"/>
    <w:rsid w:val="000C5EA3"/>
    <w:rsid w:val="000C74CD"/>
    <w:rsid w:val="000D01B3"/>
    <w:rsid w:val="000D1A98"/>
    <w:rsid w:val="000D2C75"/>
    <w:rsid w:val="000D74BE"/>
    <w:rsid w:val="000D7616"/>
    <w:rsid w:val="000E0392"/>
    <w:rsid w:val="000E20BF"/>
    <w:rsid w:val="000E6079"/>
    <w:rsid w:val="000E696A"/>
    <w:rsid w:val="000F2FFC"/>
    <w:rsid w:val="000F3990"/>
    <w:rsid w:val="000F5653"/>
    <w:rsid w:val="000F6E3C"/>
    <w:rsid w:val="000F7DF5"/>
    <w:rsid w:val="00102ACB"/>
    <w:rsid w:val="00103A28"/>
    <w:rsid w:val="00103BBE"/>
    <w:rsid w:val="00105B31"/>
    <w:rsid w:val="00105B85"/>
    <w:rsid w:val="00105D5B"/>
    <w:rsid w:val="0011053C"/>
    <w:rsid w:val="00112652"/>
    <w:rsid w:val="00114837"/>
    <w:rsid w:val="00115D5D"/>
    <w:rsid w:val="00120BE4"/>
    <w:rsid w:val="00121A0E"/>
    <w:rsid w:val="00122138"/>
    <w:rsid w:val="00122F19"/>
    <w:rsid w:val="0012512C"/>
    <w:rsid w:val="0012567E"/>
    <w:rsid w:val="00125DB0"/>
    <w:rsid w:val="00134E6F"/>
    <w:rsid w:val="00136884"/>
    <w:rsid w:val="00141E90"/>
    <w:rsid w:val="001447C7"/>
    <w:rsid w:val="00145173"/>
    <w:rsid w:val="00145527"/>
    <w:rsid w:val="00151457"/>
    <w:rsid w:val="00151570"/>
    <w:rsid w:val="0015359C"/>
    <w:rsid w:val="00155882"/>
    <w:rsid w:val="001650AE"/>
    <w:rsid w:val="00166172"/>
    <w:rsid w:val="00167B8C"/>
    <w:rsid w:val="001740D4"/>
    <w:rsid w:val="00177A28"/>
    <w:rsid w:val="00181E3B"/>
    <w:rsid w:val="00182C40"/>
    <w:rsid w:val="00182F7E"/>
    <w:rsid w:val="0018531E"/>
    <w:rsid w:val="00187310"/>
    <w:rsid w:val="00187D99"/>
    <w:rsid w:val="00190D72"/>
    <w:rsid w:val="00190FD0"/>
    <w:rsid w:val="00192C58"/>
    <w:rsid w:val="00192F3C"/>
    <w:rsid w:val="00196FDC"/>
    <w:rsid w:val="001A1D1D"/>
    <w:rsid w:val="001A298E"/>
    <w:rsid w:val="001A45EB"/>
    <w:rsid w:val="001B5F38"/>
    <w:rsid w:val="001B7AF4"/>
    <w:rsid w:val="001C3B97"/>
    <w:rsid w:val="001C6429"/>
    <w:rsid w:val="001C6695"/>
    <w:rsid w:val="001C6EBF"/>
    <w:rsid w:val="001D394B"/>
    <w:rsid w:val="001D3AB4"/>
    <w:rsid w:val="001D7727"/>
    <w:rsid w:val="001F1219"/>
    <w:rsid w:val="001F1DB5"/>
    <w:rsid w:val="001F620E"/>
    <w:rsid w:val="00203ACC"/>
    <w:rsid w:val="00203D5F"/>
    <w:rsid w:val="00204B44"/>
    <w:rsid w:val="00210671"/>
    <w:rsid w:val="00214D69"/>
    <w:rsid w:val="00214E26"/>
    <w:rsid w:val="00216920"/>
    <w:rsid w:val="002178DE"/>
    <w:rsid w:val="00223C6B"/>
    <w:rsid w:val="002240D7"/>
    <w:rsid w:val="00224B66"/>
    <w:rsid w:val="00232185"/>
    <w:rsid w:val="00233002"/>
    <w:rsid w:val="002330A6"/>
    <w:rsid w:val="00246F49"/>
    <w:rsid w:val="00250B7D"/>
    <w:rsid w:val="002514F3"/>
    <w:rsid w:val="0025377C"/>
    <w:rsid w:val="0025386D"/>
    <w:rsid w:val="00254A22"/>
    <w:rsid w:val="00254E2B"/>
    <w:rsid w:val="0025695F"/>
    <w:rsid w:val="002634F0"/>
    <w:rsid w:val="00264B13"/>
    <w:rsid w:val="0026518E"/>
    <w:rsid w:val="00271F51"/>
    <w:rsid w:val="00272DD7"/>
    <w:rsid w:val="002732DC"/>
    <w:rsid w:val="00275788"/>
    <w:rsid w:val="002770E3"/>
    <w:rsid w:val="002802B3"/>
    <w:rsid w:val="002838BB"/>
    <w:rsid w:val="0028496C"/>
    <w:rsid w:val="0028608F"/>
    <w:rsid w:val="002862E2"/>
    <w:rsid w:val="00286A0B"/>
    <w:rsid w:val="002872D2"/>
    <w:rsid w:val="002934AD"/>
    <w:rsid w:val="00293A08"/>
    <w:rsid w:val="002A3B36"/>
    <w:rsid w:val="002A3B74"/>
    <w:rsid w:val="002A48DC"/>
    <w:rsid w:val="002A6306"/>
    <w:rsid w:val="002B265E"/>
    <w:rsid w:val="002B604E"/>
    <w:rsid w:val="002C5FD8"/>
    <w:rsid w:val="002C678D"/>
    <w:rsid w:val="002C6C06"/>
    <w:rsid w:val="002C7124"/>
    <w:rsid w:val="002D356E"/>
    <w:rsid w:val="002E32C8"/>
    <w:rsid w:val="002E65C7"/>
    <w:rsid w:val="002E73E9"/>
    <w:rsid w:val="002E7E7D"/>
    <w:rsid w:val="002F0437"/>
    <w:rsid w:val="002F0458"/>
    <w:rsid w:val="002F23E2"/>
    <w:rsid w:val="002F267F"/>
    <w:rsid w:val="002F26DF"/>
    <w:rsid w:val="002F2EC0"/>
    <w:rsid w:val="002F3611"/>
    <w:rsid w:val="002F372B"/>
    <w:rsid w:val="002F588E"/>
    <w:rsid w:val="00302B7B"/>
    <w:rsid w:val="003043F1"/>
    <w:rsid w:val="003100D2"/>
    <w:rsid w:val="00312A39"/>
    <w:rsid w:val="00315837"/>
    <w:rsid w:val="00317A39"/>
    <w:rsid w:val="00317DE8"/>
    <w:rsid w:val="00334E0D"/>
    <w:rsid w:val="0033782D"/>
    <w:rsid w:val="00337848"/>
    <w:rsid w:val="003418AC"/>
    <w:rsid w:val="00341C2E"/>
    <w:rsid w:val="00345C04"/>
    <w:rsid w:val="00347ACC"/>
    <w:rsid w:val="00350661"/>
    <w:rsid w:val="00350BA5"/>
    <w:rsid w:val="00350E41"/>
    <w:rsid w:val="003521A7"/>
    <w:rsid w:val="00357095"/>
    <w:rsid w:val="00357A58"/>
    <w:rsid w:val="003605FC"/>
    <w:rsid w:val="00361B40"/>
    <w:rsid w:val="00361BF7"/>
    <w:rsid w:val="00362E2C"/>
    <w:rsid w:val="0036427F"/>
    <w:rsid w:val="00365A5E"/>
    <w:rsid w:val="003733FE"/>
    <w:rsid w:val="00376B74"/>
    <w:rsid w:val="00377567"/>
    <w:rsid w:val="00382953"/>
    <w:rsid w:val="003839C8"/>
    <w:rsid w:val="00384ACC"/>
    <w:rsid w:val="00384CFB"/>
    <w:rsid w:val="003869B9"/>
    <w:rsid w:val="00395826"/>
    <w:rsid w:val="003A3690"/>
    <w:rsid w:val="003A5F9C"/>
    <w:rsid w:val="003B3427"/>
    <w:rsid w:val="003B5D32"/>
    <w:rsid w:val="003B5FE2"/>
    <w:rsid w:val="003B7907"/>
    <w:rsid w:val="003C0686"/>
    <w:rsid w:val="003C68C1"/>
    <w:rsid w:val="003D2DAA"/>
    <w:rsid w:val="003D6342"/>
    <w:rsid w:val="003D69BE"/>
    <w:rsid w:val="003E05B1"/>
    <w:rsid w:val="003E5560"/>
    <w:rsid w:val="003E69D8"/>
    <w:rsid w:val="003F18DA"/>
    <w:rsid w:val="003F19CB"/>
    <w:rsid w:val="003F57BA"/>
    <w:rsid w:val="003F601D"/>
    <w:rsid w:val="003F6301"/>
    <w:rsid w:val="0040230E"/>
    <w:rsid w:val="00402393"/>
    <w:rsid w:val="00402606"/>
    <w:rsid w:val="00403962"/>
    <w:rsid w:val="004049D5"/>
    <w:rsid w:val="0040515B"/>
    <w:rsid w:val="004101AD"/>
    <w:rsid w:val="0041024C"/>
    <w:rsid w:val="00410670"/>
    <w:rsid w:val="00410AA8"/>
    <w:rsid w:val="00413DDF"/>
    <w:rsid w:val="00416C22"/>
    <w:rsid w:val="00417FE9"/>
    <w:rsid w:val="0042252F"/>
    <w:rsid w:val="00424BC6"/>
    <w:rsid w:val="00425201"/>
    <w:rsid w:val="00426477"/>
    <w:rsid w:val="00427D4B"/>
    <w:rsid w:val="004302D0"/>
    <w:rsid w:val="00430A7B"/>
    <w:rsid w:val="00432AA5"/>
    <w:rsid w:val="00432B08"/>
    <w:rsid w:val="00437346"/>
    <w:rsid w:val="0043797D"/>
    <w:rsid w:val="00440053"/>
    <w:rsid w:val="00440F78"/>
    <w:rsid w:val="00441ED5"/>
    <w:rsid w:val="00442502"/>
    <w:rsid w:val="00450C63"/>
    <w:rsid w:val="00451ED3"/>
    <w:rsid w:val="00451FF6"/>
    <w:rsid w:val="004536FB"/>
    <w:rsid w:val="00454911"/>
    <w:rsid w:val="00455521"/>
    <w:rsid w:val="004568A8"/>
    <w:rsid w:val="00457650"/>
    <w:rsid w:val="00457AE2"/>
    <w:rsid w:val="00463D82"/>
    <w:rsid w:val="00464757"/>
    <w:rsid w:val="00470937"/>
    <w:rsid w:val="004711B1"/>
    <w:rsid w:val="004744A0"/>
    <w:rsid w:val="00475AEE"/>
    <w:rsid w:val="0048119A"/>
    <w:rsid w:val="00482C47"/>
    <w:rsid w:val="00483424"/>
    <w:rsid w:val="0048613F"/>
    <w:rsid w:val="0049344E"/>
    <w:rsid w:val="00494759"/>
    <w:rsid w:val="004A63E2"/>
    <w:rsid w:val="004A6E08"/>
    <w:rsid w:val="004A7FA2"/>
    <w:rsid w:val="004B2412"/>
    <w:rsid w:val="004B4D6B"/>
    <w:rsid w:val="004C3A6D"/>
    <w:rsid w:val="004C4C20"/>
    <w:rsid w:val="004C621B"/>
    <w:rsid w:val="004D0BCD"/>
    <w:rsid w:val="004D244C"/>
    <w:rsid w:val="004D3D3E"/>
    <w:rsid w:val="004D5EA2"/>
    <w:rsid w:val="004D73E2"/>
    <w:rsid w:val="004E13E7"/>
    <w:rsid w:val="004E1D31"/>
    <w:rsid w:val="004E39E9"/>
    <w:rsid w:val="004E3FBB"/>
    <w:rsid w:val="004F010E"/>
    <w:rsid w:val="004F364E"/>
    <w:rsid w:val="004F400B"/>
    <w:rsid w:val="004F400F"/>
    <w:rsid w:val="004F445E"/>
    <w:rsid w:val="004F6D61"/>
    <w:rsid w:val="00501770"/>
    <w:rsid w:val="00501A20"/>
    <w:rsid w:val="00503B1D"/>
    <w:rsid w:val="00507175"/>
    <w:rsid w:val="0050767A"/>
    <w:rsid w:val="0050787B"/>
    <w:rsid w:val="00507C53"/>
    <w:rsid w:val="0051110D"/>
    <w:rsid w:val="00511F51"/>
    <w:rsid w:val="0051341B"/>
    <w:rsid w:val="005137CB"/>
    <w:rsid w:val="0051444B"/>
    <w:rsid w:val="005146CE"/>
    <w:rsid w:val="0051671D"/>
    <w:rsid w:val="00521A1F"/>
    <w:rsid w:val="00523A98"/>
    <w:rsid w:val="005245F7"/>
    <w:rsid w:val="005261EE"/>
    <w:rsid w:val="0053023D"/>
    <w:rsid w:val="00533D1D"/>
    <w:rsid w:val="005407FD"/>
    <w:rsid w:val="00543F18"/>
    <w:rsid w:val="00550BBF"/>
    <w:rsid w:val="005527EA"/>
    <w:rsid w:val="00552C56"/>
    <w:rsid w:val="00553FE2"/>
    <w:rsid w:val="00555056"/>
    <w:rsid w:val="0056093C"/>
    <w:rsid w:val="00560A94"/>
    <w:rsid w:val="00563D57"/>
    <w:rsid w:val="005658EF"/>
    <w:rsid w:val="00567B54"/>
    <w:rsid w:val="00567B9D"/>
    <w:rsid w:val="00571B65"/>
    <w:rsid w:val="005804D4"/>
    <w:rsid w:val="005823CE"/>
    <w:rsid w:val="00583CA4"/>
    <w:rsid w:val="0058425D"/>
    <w:rsid w:val="005870A3"/>
    <w:rsid w:val="00594613"/>
    <w:rsid w:val="00594C27"/>
    <w:rsid w:val="005A192C"/>
    <w:rsid w:val="005A3CB5"/>
    <w:rsid w:val="005A3DD1"/>
    <w:rsid w:val="005A69E9"/>
    <w:rsid w:val="005A751F"/>
    <w:rsid w:val="005A7972"/>
    <w:rsid w:val="005B1930"/>
    <w:rsid w:val="005B345D"/>
    <w:rsid w:val="005B3B98"/>
    <w:rsid w:val="005B47DC"/>
    <w:rsid w:val="005C4BF4"/>
    <w:rsid w:val="005C5367"/>
    <w:rsid w:val="005D074A"/>
    <w:rsid w:val="005D08C8"/>
    <w:rsid w:val="005D1CFE"/>
    <w:rsid w:val="005D2EDD"/>
    <w:rsid w:val="005D3A39"/>
    <w:rsid w:val="005D4F5D"/>
    <w:rsid w:val="005D59C6"/>
    <w:rsid w:val="005E09B4"/>
    <w:rsid w:val="005E1364"/>
    <w:rsid w:val="005E2BEA"/>
    <w:rsid w:val="005E3CD6"/>
    <w:rsid w:val="005E43E0"/>
    <w:rsid w:val="005E597C"/>
    <w:rsid w:val="005E620C"/>
    <w:rsid w:val="005E6827"/>
    <w:rsid w:val="005E7435"/>
    <w:rsid w:val="005F32FA"/>
    <w:rsid w:val="005F660D"/>
    <w:rsid w:val="005F7249"/>
    <w:rsid w:val="006000A0"/>
    <w:rsid w:val="00600456"/>
    <w:rsid w:val="006100E5"/>
    <w:rsid w:val="00611FF4"/>
    <w:rsid w:val="0061541D"/>
    <w:rsid w:val="0061595B"/>
    <w:rsid w:val="00616939"/>
    <w:rsid w:val="00627F6E"/>
    <w:rsid w:val="006309C8"/>
    <w:rsid w:val="00630DE2"/>
    <w:rsid w:val="00632F3B"/>
    <w:rsid w:val="006377EB"/>
    <w:rsid w:val="00640D32"/>
    <w:rsid w:val="00643087"/>
    <w:rsid w:val="00643BC5"/>
    <w:rsid w:val="00644BD1"/>
    <w:rsid w:val="006517EF"/>
    <w:rsid w:val="0065778E"/>
    <w:rsid w:val="00660AF5"/>
    <w:rsid w:val="00666B23"/>
    <w:rsid w:val="006726BF"/>
    <w:rsid w:val="00674AC3"/>
    <w:rsid w:val="006778C1"/>
    <w:rsid w:val="00677F67"/>
    <w:rsid w:val="00680B0F"/>
    <w:rsid w:val="006830E4"/>
    <w:rsid w:val="006843CB"/>
    <w:rsid w:val="00684E1D"/>
    <w:rsid w:val="00692352"/>
    <w:rsid w:val="00694172"/>
    <w:rsid w:val="0069506F"/>
    <w:rsid w:val="00696FB3"/>
    <w:rsid w:val="006A7C46"/>
    <w:rsid w:val="006A7F8C"/>
    <w:rsid w:val="006B4687"/>
    <w:rsid w:val="006B4816"/>
    <w:rsid w:val="006B5AF3"/>
    <w:rsid w:val="006C1AEA"/>
    <w:rsid w:val="006C2931"/>
    <w:rsid w:val="006C4905"/>
    <w:rsid w:val="006C7FE8"/>
    <w:rsid w:val="006D0AD4"/>
    <w:rsid w:val="006D1304"/>
    <w:rsid w:val="006D2E7F"/>
    <w:rsid w:val="006D51E1"/>
    <w:rsid w:val="006D66FC"/>
    <w:rsid w:val="006D7215"/>
    <w:rsid w:val="006E21BD"/>
    <w:rsid w:val="006E2C2B"/>
    <w:rsid w:val="006E4E12"/>
    <w:rsid w:val="006E50D0"/>
    <w:rsid w:val="006F049C"/>
    <w:rsid w:val="006F14FE"/>
    <w:rsid w:val="006F2E93"/>
    <w:rsid w:val="006F3DEB"/>
    <w:rsid w:val="006F69CE"/>
    <w:rsid w:val="006F6F41"/>
    <w:rsid w:val="006F7D4F"/>
    <w:rsid w:val="00703CDA"/>
    <w:rsid w:val="00710A59"/>
    <w:rsid w:val="007125C3"/>
    <w:rsid w:val="00712B74"/>
    <w:rsid w:val="00715547"/>
    <w:rsid w:val="00716B1C"/>
    <w:rsid w:val="00721349"/>
    <w:rsid w:val="00723758"/>
    <w:rsid w:val="00723CF7"/>
    <w:rsid w:val="007361B6"/>
    <w:rsid w:val="00744F1F"/>
    <w:rsid w:val="007453A2"/>
    <w:rsid w:val="00745E2C"/>
    <w:rsid w:val="00750539"/>
    <w:rsid w:val="0075098F"/>
    <w:rsid w:val="007533B7"/>
    <w:rsid w:val="00754F71"/>
    <w:rsid w:val="00755714"/>
    <w:rsid w:val="00761ECC"/>
    <w:rsid w:val="00762680"/>
    <w:rsid w:val="00764AE3"/>
    <w:rsid w:val="00764D21"/>
    <w:rsid w:val="00766BC4"/>
    <w:rsid w:val="0077002C"/>
    <w:rsid w:val="0077187E"/>
    <w:rsid w:val="00782ECD"/>
    <w:rsid w:val="0078414B"/>
    <w:rsid w:val="00791DBE"/>
    <w:rsid w:val="007936E6"/>
    <w:rsid w:val="007A450F"/>
    <w:rsid w:val="007A4757"/>
    <w:rsid w:val="007A4972"/>
    <w:rsid w:val="007A7D7C"/>
    <w:rsid w:val="007B372C"/>
    <w:rsid w:val="007B3FF8"/>
    <w:rsid w:val="007B6816"/>
    <w:rsid w:val="007B6AC9"/>
    <w:rsid w:val="007B7EC2"/>
    <w:rsid w:val="007C12ED"/>
    <w:rsid w:val="007D631D"/>
    <w:rsid w:val="007E0E60"/>
    <w:rsid w:val="007E1388"/>
    <w:rsid w:val="007E3F6F"/>
    <w:rsid w:val="007E59EA"/>
    <w:rsid w:val="007E7647"/>
    <w:rsid w:val="007F4BB6"/>
    <w:rsid w:val="007F4FC7"/>
    <w:rsid w:val="007F7074"/>
    <w:rsid w:val="007F721F"/>
    <w:rsid w:val="007F7888"/>
    <w:rsid w:val="00802FAD"/>
    <w:rsid w:val="0080433C"/>
    <w:rsid w:val="008054A6"/>
    <w:rsid w:val="0081026D"/>
    <w:rsid w:val="00811E49"/>
    <w:rsid w:val="00816B79"/>
    <w:rsid w:val="00820BF4"/>
    <w:rsid w:val="00820CCE"/>
    <w:rsid w:val="00821769"/>
    <w:rsid w:val="00824989"/>
    <w:rsid w:val="0082581B"/>
    <w:rsid w:val="00826E04"/>
    <w:rsid w:val="008300BD"/>
    <w:rsid w:val="00835973"/>
    <w:rsid w:val="00841EFA"/>
    <w:rsid w:val="00842664"/>
    <w:rsid w:val="00844989"/>
    <w:rsid w:val="00846F3F"/>
    <w:rsid w:val="008471CA"/>
    <w:rsid w:val="0084759C"/>
    <w:rsid w:val="0085198E"/>
    <w:rsid w:val="00853608"/>
    <w:rsid w:val="00853919"/>
    <w:rsid w:val="00853EAB"/>
    <w:rsid w:val="00856BDE"/>
    <w:rsid w:val="008600CE"/>
    <w:rsid w:val="00861197"/>
    <w:rsid w:val="00865E43"/>
    <w:rsid w:val="00867A6C"/>
    <w:rsid w:val="00870B2C"/>
    <w:rsid w:val="0087173D"/>
    <w:rsid w:val="00872054"/>
    <w:rsid w:val="00872792"/>
    <w:rsid w:val="00872BE8"/>
    <w:rsid w:val="0087379B"/>
    <w:rsid w:val="0088098D"/>
    <w:rsid w:val="00880F2B"/>
    <w:rsid w:val="00882181"/>
    <w:rsid w:val="00884231"/>
    <w:rsid w:val="00885FE6"/>
    <w:rsid w:val="00887348"/>
    <w:rsid w:val="00894A5F"/>
    <w:rsid w:val="00895EE0"/>
    <w:rsid w:val="008977A0"/>
    <w:rsid w:val="008B27AD"/>
    <w:rsid w:val="008B6DF4"/>
    <w:rsid w:val="008C0904"/>
    <w:rsid w:val="008C0CC8"/>
    <w:rsid w:val="008D1DA7"/>
    <w:rsid w:val="008D38D2"/>
    <w:rsid w:val="008D5715"/>
    <w:rsid w:val="008D5F3D"/>
    <w:rsid w:val="008E00E9"/>
    <w:rsid w:val="008E37F6"/>
    <w:rsid w:val="008E3A9F"/>
    <w:rsid w:val="008E6B43"/>
    <w:rsid w:val="008E6C2E"/>
    <w:rsid w:val="008F128E"/>
    <w:rsid w:val="008F3B41"/>
    <w:rsid w:val="008F51DD"/>
    <w:rsid w:val="008F5E90"/>
    <w:rsid w:val="00901CF6"/>
    <w:rsid w:val="00902613"/>
    <w:rsid w:val="00903AE3"/>
    <w:rsid w:val="00904F85"/>
    <w:rsid w:val="0090528E"/>
    <w:rsid w:val="009055CE"/>
    <w:rsid w:val="0090576C"/>
    <w:rsid w:val="00905BCF"/>
    <w:rsid w:val="00910D83"/>
    <w:rsid w:val="009201B8"/>
    <w:rsid w:val="00921857"/>
    <w:rsid w:val="00921F75"/>
    <w:rsid w:val="009230D8"/>
    <w:rsid w:val="00923F49"/>
    <w:rsid w:val="00925623"/>
    <w:rsid w:val="00926770"/>
    <w:rsid w:val="00932666"/>
    <w:rsid w:val="00932902"/>
    <w:rsid w:val="00932C79"/>
    <w:rsid w:val="00933240"/>
    <w:rsid w:val="00933C2A"/>
    <w:rsid w:val="00936276"/>
    <w:rsid w:val="0094093F"/>
    <w:rsid w:val="00941C89"/>
    <w:rsid w:val="009478BF"/>
    <w:rsid w:val="00947FCA"/>
    <w:rsid w:val="009501B4"/>
    <w:rsid w:val="0095151B"/>
    <w:rsid w:val="009523E1"/>
    <w:rsid w:val="0095363F"/>
    <w:rsid w:val="00955670"/>
    <w:rsid w:val="0095602A"/>
    <w:rsid w:val="00956190"/>
    <w:rsid w:val="00956F5D"/>
    <w:rsid w:val="00956FEF"/>
    <w:rsid w:val="009578D8"/>
    <w:rsid w:val="00962B08"/>
    <w:rsid w:val="009640D2"/>
    <w:rsid w:val="0096586C"/>
    <w:rsid w:val="00967B48"/>
    <w:rsid w:val="00972DD8"/>
    <w:rsid w:val="00972F41"/>
    <w:rsid w:val="00980B6B"/>
    <w:rsid w:val="00981317"/>
    <w:rsid w:val="009814EA"/>
    <w:rsid w:val="0098195F"/>
    <w:rsid w:val="0098213A"/>
    <w:rsid w:val="00984295"/>
    <w:rsid w:val="00985057"/>
    <w:rsid w:val="00987CE0"/>
    <w:rsid w:val="009911A6"/>
    <w:rsid w:val="0099295A"/>
    <w:rsid w:val="00994225"/>
    <w:rsid w:val="00995600"/>
    <w:rsid w:val="009959EA"/>
    <w:rsid w:val="00996373"/>
    <w:rsid w:val="00997D51"/>
    <w:rsid w:val="009A2763"/>
    <w:rsid w:val="009A47F8"/>
    <w:rsid w:val="009A4F80"/>
    <w:rsid w:val="009A5C6F"/>
    <w:rsid w:val="009C14FE"/>
    <w:rsid w:val="009C3577"/>
    <w:rsid w:val="009C401E"/>
    <w:rsid w:val="009C645F"/>
    <w:rsid w:val="009D4C44"/>
    <w:rsid w:val="009D5245"/>
    <w:rsid w:val="009D5685"/>
    <w:rsid w:val="009D598F"/>
    <w:rsid w:val="009D5EA5"/>
    <w:rsid w:val="009D6BD9"/>
    <w:rsid w:val="009E6FD7"/>
    <w:rsid w:val="009E73E1"/>
    <w:rsid w:val="009E761B"/>
    <w:rsid w:val="009F11A5"/>
    <w:rsid w:val="009F3A89"/>
    <w:rsid w:val="00A0290B"/>
    <w:rsid w:val="00A03F7F"/>
    <w:rsid w:val="00A071B3"/>
    <w:rsid w:val="00A10A93"/>
    <w:rsid w:val="00A11A0D"/>
    <w:rsid w:val="00A153FD"/>
    <w:rsid w:val="00A157DE"/>
    <w:rsid w:val="00A16715"/>
    <w:rsid w:val="00A21C89"/>
    <w:rsid w:val="00A2204A"/>
    <w:rsid w:val="00A23CAF"/>
    <w:rsid w:val="00A356C4"/>
    <w:rsid w:val="00A368EB"/>
    <w:rsid w:val="00A36A4D"/>
    <w:rsid w:val="00A4352E"/>
    <w:rsid w:val="00A51F16"/>
    <w:rsid w:val="00A537A8"/>
    <w:rsid w:val="00A56F0D"/>
    <w:rsid w:val="00A57705"/>
    <w:rsid w:val="00A61D03"/>
    <w:rsid w:val="00A61DBF"/>
    <w:rsid w:val="00A63762"/>
    <w:rsid w:val="00A64316"/>
    <w:rsid w:val="00A665F2"/>
    <w:rsid w:val="00A66733"/>
    <w:rsid w:val="00A66CA4"/>
    <w:rsid w:val="00A673C9"/>
    <w:rsid w:val="00A70923"/>
    <w:rsid w:val="00A72E5D"/>
    <w:rsid w:val="00A7637A"/>
    <w:rsid w:val="00A763ED"/>
    <w:rsid w:val="00A764C9"/>
    <w:rsid w:val="00A82004"/>
    <w:rsid w:val="00A90D95"/>
    <w:rsid w:val="00A940A0"/>
    <w:rsid w:val="00A956E5"/>
    <w:rsid w:val="00AA0899"/>
    <w:rsid w:val="00AA2D52"/>
    <w:rsid w:val="00AA3A31"/>
    <w:rsid w:val="00AA3B65"/>
    <w:rsid w:val="00AA7165"/>
    <w:rsid w:val="00AA792D"/>
    <w:rsid w:val="00AB0D9B"/>
    <w:rsid w:val="00AB27FB"/>
    <w:rsid w:val="00AB363A"/>
    <w:rsid w:val="00AB5D6E"/>
    <w:rsid w:val="00AB6312"/>
    <w:rsid w:val="00AC1597"/>
    <w:rsid w:val="00AC2CA8"/>
    <w:rsid w:val="00AC376E"/>
    <w:rsid w:val="00AC725A"/>
    <w:rsid w:val="00AD64E8"/>
    <w:rsid w:val="00AD6D1E"/>
    <w:rsid w:val="00AE0DDE"/>
    <w:rsid w:val="00AE22E3"/>
    <w:rsid w:val="00AE4DEF"/>
    <w:rsid w:val="00AF1BA4"/>
    <w:rsid w:val="00AF2140"/>
    <w:rsid w:val="00AF26D2"/>
    <w:rsid w:val="00AF781A"/>
    <w:rsid w:val="00B0339B"/>
    <w:rsid w:val="00B03B67"/>
    <w:rsid w:val="00B04AB2"/>
    <w:rsid w:val="00B056C2"/>
    <w:rsid w:val="00B0688C"/>
    <w:rsid w:val="00B14B2A"/>
    <w:rsid w:val="00B151FF"/>
    <w:rsid w:val="00B1760F"/>
    <w:rsid w:val="00B20E62"/>
    <w:rsid w:val="00B21225"/>
    <w:rsid w:val="00B22967"/>
    <w:rsid w:val="00B2395C"/>
    <w:rsid w:val="00B23B06"/>
    <w:rsid w:val="00B305CE"/>
    <w:rsid w:val="00B33417"/>
    <w:rsid w:val="00B37C0A"/>
    <w:rsid w:val="00B40316"/>
    <w:rsid w:val="00B42EAE"/>
    <w:rsid w:val="00B45B4C"/>
    <w:rsid w:val="00B46060"/>
    <w:rsid w:val="00B503B8"/>
    <w:rsid w:val="00B50DAB"/>
    <w:rsid w:val="00B5113E"/>
    <w:rsid w:val="00B51753"/>
    <w:rsid w:val="00B528DD"/>
    <w:rsid w:val="00B555FA"/>
    <w:rsid w:val="00B63D33"/>
    <w:rsid w:val="00B64131"/>
    <w:rsid w:val="00B645AA"/>
    <w:rsid w:val="00B6519F"/>
    <w:rsid w:val="00B7004C"/>
    <w:rsid w:val="00B700D9"/>
    <w:rsid w:val="00B72289"/>
    <w:rsid w:val="00B77836"/>
    <w:rsid w:val="00B8111B"/>
    <w:rsid w:val="00B92FAC"/>
    <w:rsid w:val="00B961D9"/>
    <w:rsid w:val="00BA13DC"/>
    <w:rsid w:val="00BA243A"/>
    <w:rsid w:val="00BA4D68"/>
    <w:rsid w:val="00BA4FA5"/>
    <w:rsid w:val="00BA6B05"/>
    <w:rsid w:val="00BB28A1"/>
    <w:rsid w:val="00BB36DA"/>
    <w:rsid w:val="00BB5C47"/>
    <w:rsid w:val="00BB5C59"/>
    <w:rsid w:val="00BB659E"/>
    <w:rsid w:val="00BC06E9"/>
    <w:rsid w:val="00BC0B11"/>
    <w:rsid w:val="00BC2812"/>
    <w:rsid w:val="00BD1BA3"/>
    <w:rsid w:val="00BD3FF6"/>
    <w:rsid w:val="00BD69BF"/>
    <w:rsid w:val="00BD7265"/>
    <w:rsid w:val="00BE16B0"/>
    <w:rsid w:val="00BE2FEB"/>
    <w:rsid w:val="00BE4266"/>
    <w:rsid w:val="00BE7E24"/>
    <w:rsid w:val="00BF279A"/>
    <w:rsid w:val="00BF4D1D"/>
    <w:rsid w:val="00BF5C3D"/>
    <w:rsid w:val="00BF6605"/>
    <w:rsid w:val="00BF6D5F"/>
    <w:rsid w:val="00C0491F"/>
    <w:rsid w:val="00C07B2F"/>
    <w:rsid w:val="00C142D4"/>
    <w:rsid w:val="00C14CCC"/>
    <w:rsid w:val="00C15989"/>
    <w:rsid w:val="00C161A5"/>
    <w:rsid w:val="00C1649D"/>
    <w:rsid w:val="00C21FB2"/>
    <w:rsid w:val="00C260E1"/>
    <w:rsid w:val="00C43672"/>
    <w:rsid w:val="00C451C6"/>
    <w:rsid w:val="00C46644"/>
    <w:rsid w:val="00C50FA6"/>
    <w:rsid w:val="00C51849"/>
    <w:rsid w:val="00C52ABB"/>
    <w:rsid w:val="00C53138"/>
    <w:rsid w:val="00C563DA"/>
    <w:rsid w:val="00C563FD"/>
    <w:rsid w:val="00C57E62"/>
    <w:rsid w:val="00C62E6C"/>
    <w:rsid w:val="00C6584F"/>
    <w:rsid w:val="00C6776B"/>
    <w:rsid w:val="00C678EC"/>
    <w:rsid w:val="00C71606"/>
    <w:rsid w:val="00C72D89"/>
    <w:rsid w:val="00C73883"/>
    <w:rsid w:val="00C73CC6"/>
    <w:rsid w:val="00C73FE1"/>
    <w:rsid w:val="00C7670F"/>
    <w:rsid w:val="00C777FA"/>
    <w:rsid w:val="00C80CAE"/>
    <w:rsid w:val="00C81191"/>
    <w:rsid w:val="00C83ADD"/>
    <w:rsid w:val="00C86BF8"/>
    <w:rsid w:val="00C87D4F"/>
    <w:rsid w:val="00C907F4"/>
    <w:rsid w:val="00C9112C"/>
    <w:rsid w:val="00CA15C3"/>
    <w:rsid w:val="00CA54BB"/>
    <w:rsid w:val="00CB0519"/>
    <w:rsid w:val="00CB0B81"/>
    <w:rsid w:val="00CB72B9"/>
    <w:rsid w:val="00CC0305"/>
    <w:rsid w:val="00CC2B92"/>
    <w:rsid w:val="00CC4B30"/>
    <w:rsid w:val="00CC597F"/>
    <w:rsid w:val="00CC5D4A"/>
    <w:rsid w:val="00CC7337"/>
    <w:rsid w:val="00CD0393"/>
    <w:rsid w:val="00CD05B2"/>
    <w:rsid w:val="00CD24D3"/>
    <w:rsid w:val="00CD275D"/>
    <w:rsid w:val="00CD511B"/>
    <w:rsid w:val="00CD5A57"/>
    <w:rsid w:val="00CE2173"/>
    <w:rsid w:val="00CE4557"/>
    <w:rsid w:val="00CE5664"/>
    <w:rsid w:val="00CE5BC5"/>
    <w:rsid w:val="00CE74C4"/>
    <w:rsid w:val="00CF111F"/>
    <w:rsid w:val="00CF1F57"/>
    <w:rsid w:val="00CF260D"/>
    <w:rsid w:val="00CF44DC"/>
    <w:rsid w:val="00CF4798"/>
    <w:rsid w:val="00CF67B6"/>
    <w:rsid w:val="00CF6807"/>
    <w:rsid w:val="00CF7A7E"/>
    <w:rsid w:val="00D04DD2"/>
    <w:rsid w:val="00D06C48"/>
    <w:rsid w:val="00D075C0"/>
    <w:rsid w:val="00D0762C"/>
    <w:rsid w:val="00D104E5"/>
    <w:rsid w:val="00D111BC"/>
    <w:rsid w:val="00D12CE7"/>
    <w:rsid w:val="00D132E4"/>
    <w:rsid w:val="00D14C05"/>
    <w:rsid w:val="00D14D35"/>
    <w:rsid w:val="00D1671C"/>
    <w:rsid w:val="00D21017"/>
    <w:rsid w:val="00D22538"/>
    <w:rsid w:val="00D23E40"/>
    <w:rsid w:val="00D251F1"/>
    <w:rsid w:val="00D26DEA"/>
    <w:rsid w:val="00D27312"/>
    <w:rsid w:val="00D276B1"/>
    <w:rsid w:val="00D327BD"/>
    <w:rsid w:val="00D32F7A"/>
    <w:rsid w:val="00D34A11"/>
    <w:rsid w:val="00D36025"/>
    <w:rsid w:val="00D367F4"/>
    <w:rsid w:val="00D376BD"/>
    <w:rsid w:val="00D40CD1"/>
    <w:rsid w:val="00D43F50"/>
    <w:rsid w:val="00D44B51"/>
    <w:rsid w:val="00D46306"/>
    <w:rsid w:val="00D540A2"/>
    <w:rsid w:val="00D711B8"/>
    <w:rsid w:val="00D7153A"/>
    <w:rsid w:val="00D722D8"/>
    <w:rsid w:val="00D72340"/>
    <w:rsid w:val="00D76607"/>
    <w:rsid w:val="00D766CE"/>
    <w:rsid w:val="00D76A79"/>
    <w:rsid w:val="00D81027"/>
    <w:rsid w:val="00D8181C"/>
    <w:rsid w:val="00D82CBD"/>
    <w:rsid w:val="00D838C0"/>
    <w:rsid w:val="00D83E14"/>
    <w:rsid w:val="00D879D9"/>
    <w:rsid w:val="00D96E6E"/>
    <w:rsid w:val="00DA041F"/>
    <w:rsid w:val="00DA0F8D"/>
    <w:rsid w:val="00DA374B"/>
    <w:rsid w:val="00DA4202"/>
    <w:rsid w:val="00DA51EF"/>
    <w:rsid w:val="00DA6136"/>
    <w:rsid w:val="00DA63CD"/>
    <w:rsid w:val="00DA7283"/>
    <w:rsid w:val="00DB7F11"/>
    <w:rsid w:val="00DC1C41"/>
    <w:rsid w:val="00DC265D"/>
    <w:rsid w:val="00DC2F66"/>
    <w:rsid w:val="00DC2FA2"/>
    <w:rsid w:val="00DD12DF"/>
    <w:rsid w:val="00DD5A94"/>
    <w:rsid w:val="00DD77CF"/>
    <w:rsid w:val="00DD7AC7"/>
    <w:rsid w:val="00DE0A18"/>
    <w:rsid w:val="00DE2AB8"/>
    <w:rsid w:val="00DE3A63"/>
    <w:rsid w:val="00DE4BA7"/>
    <w:rsid w:val="00DE5704"/>
    <w:rsid w:val="00DF02D3"/>
    <w:rsid w:val="00DF2A07"/>
    <w:rsid w:val="00DF3C63"/>
    <w:rsid w:val="00DF7878"/>
    <w:rsid w:val="00E008A6"/>
    <w:rsid w:val="00E03ACB"/>
    <w:rsid w:val="00E04AB2"/>
    <w:rsid w:val="00E05E08"/>
    <w:rsid w:val="00E14BE9"/>
    <w:rsid w:val="00E20718"/>
    <w:rsid w:val="00E268A6"/>
    <w:rsid w:val="00E27E03"/>
    <w:rsid w:val="00E347D5"/>
    <w:rsid w:val="00E34A37"/>
    <w:rsid w:val="00E34FB0"/>
    <w:rsid w:val="00E3506A"/>
    <w:rsid w:val="00E40C9E"/>
    <w:rsid w:val="00E41508"/>
    <w:rsid w:val="00E44561"/>
    <w:rsid w:val="00E47D75"/>
    <w:rsid w:val="00E50127"/>
    <w:rsid w:val="00E50F5E"/>
    <w:rsid w:val="00E53405"/>
    <w:rsid w:val="00E534A9"/>
    <w:rsid w:val="00E53F05"/>
    <w:rsid w:val="00E619F2"/>
    <w:rsid w:val="00E62CE8"/>
    <w:rsid w:val="00E62E14"/>
    <w:rsid w:val="00E65280"/>
    <w:rsid w:val="00E66D60"/>
    <w:rsid w:val="00E76804"/>
    <w:rsid w:val="00E76F5D"/>
    <w:rsid w:val="00E82B51"/>
    <w:rsid w:val="00E8597E"/>
    <w:rsid w:val="00E86594"/>
    <w:rsid w:val="00E92F21"/>
    <w:rsid w:val="00E93B06"/>
    <w:rsid w:val="00E955EE"/>
    <w:rsid w:val="00EA0FC9"/>
    <w:rsid w:val="00EA499E"/>
    <w:rsid w:val="00EB34DE"/>
    <w:rsid w:val="00EB38D6"/>
    <w:rsid w:val="00EC2588"/>
    <w:rsid w:val="00EC6638"/>
    <w:rsid w:val="00ED0710"/>
    <w:rsid w:val="00ED15FC"/>
    <w:rsid w:val="00ED5CFC"/>
    <w:rsid w:val="00EE00C3"/>
    <w:rsid w:val="00EE0ADC"/>
    <w:rsid w:val="00EE517F"/>
    <w:rsid w:val="00EE5329"/>
    <w:rsid w:val="00EE5DE9"/>
    <w:rsid w:val="00EE649A"/>
    <w:rsid w:val="00EE7FF3"/>
    <w:rsid w:val="00EF103F"/>
    <w:rsid w:val="00EF2123"/>
    <w:rsid w:val="00EF74AA"/>
    <w:rsid w:val="00EF78A4"/>
    <w:rsid w:val="00EF7F1B"/>
    <w:rsid w:val="00F059FF"/>
    <w:rsid w:val="00F067A6"/>
    <w:rsid w:val="00F12995"/>
    <w:rsid w:val="00F13475"/>
    <w:rsid w:val="00F14967"/>
    <w:rsid w:val="00F17A78"/>
    <w:rsid w:val="00F2171D"/>
    <w:rsid w:val="00F23ECA"/>
    <w:rsid w:val="00F2519D"/>
    <w:rsid w:val="00F2556A"/>
    <w:rsid w:val="00F25FE4"/>
    <w:rsid w:val="00F268FD"/>
    <w:rsid w:val="00F30173"/>
    <w:rsid w:val="00F30726"/>
    <w:rsid w:val="00F35BB6"/>
    <w:rsid w:val="00F374D3"/>
    <w:rsid w:val="00F37A4E"/>
    <w:rsid w:val="00F40A69"/>
    <w:rsid w:val="00F42C90"/>
    <w:rsid w:val="00F43450"/>
    <w:rsid w:val="00F44630"/>
    <w:rsid w:val="00F4489B"/>
    <w:rsid w:val="00F50E80"/>
    <w:rsid w:val="00F529D5"/>
    <w:rsid w:val="00F55A9B"/>
    <w:rsid w:val="00F61D28"/>
    <w:rsid w:val="00F62489"/>
    <w:rsid w:val="00F64EB5"/>
    <w:rsid w:val="00F66FB3"/>
    <w:rsid w:val="00F670DC"/>
    <w:rsid w:val="00F70C4D"/>
    <w:rsid w:val="00F71478"/>
    <w:rsid w:val="00F7364D"/>
    <w:rsid w:val="00F74E9A"/>
    <w:rsid w:val="00F74FE4"/>
    <w:rsid w:val="00F76928"/>
    <w:rsid w:val="00F8445C"/>
    <w:rsid w:val="00F8517F"/>
    <w:rsid w:val="00F91758"/>
    <w:rsid w:val="00F9266F"/>
    <w:rsid w:val="00F9376F"/>
    <w:rsid w:val="00F946DD"/>
    <w:rsid w:val="00F9565F"/>
    <w:rsid w:val="00F96737"/>
    <w:rsid w:val="00F96984"/>
    <w:rsid w:val="00F974E3"/>
    <w:rsid w:val="00F97985"/>
    <w:rsid w:val="00FA0CA7"/>
    <w:rsid w:val="00FA70D8"/>
    <w:rsid w:val="00FA7529"/>
    <w:rsid w:val="00FA75EC"/>
    <w:rsid w:val="00FB1916"/>
    <w:rsid w:val="00FB3896"/>
    <w:rsid w:val="00FB780D"/>
    <w:rsid w:val="00FC0A2B"/>
    <w:rsid w:val="00FC28B2"/>
    <w:rsid w:val="00FC2C99"/>
    <w:rsid w:val="00FC39E0"/>
    <w:rsid w:val="00FC5184"/>
    <w:rsid w:val="00FD0A78"/>
    <w:rsid w:val="00FD1444"/>
    <w:rsid w:val="00FD203A"/>
    <w:rsid w:val="00FD63A4"/>
    <w:rsid w:val="00FD6E2A"/>
    <w:rsid w:val="00FD7A5D"/>
    <w:rsid w:val="00FD7ABF"/>
    <w:rsid w:val="00FE03F1"/>
    <w:rsid w:val="00FE2B17"/>
    <w:rsid w:val="00FE2B88"/>
    <w:rsid w:val="00FE2FAC"/>
    <w:rsid w:val="00FE543C"/>
    <w:rsid w:val="00FE58C6"/>
    <w:rsid w:val="00FF464A"/>
    <w:rsid w:val="00FF5751"/>
    <w:rsid w:val="00FF669C"/>
    <w:rsid w:val="011A52DC"/>
    <w:rsid w:val="0139126C"/>
    <w:rsid w:val="01D11F8A"/>
    <w:rsid w:val="02AD014F"/>
    <w:rsid w:val="02C31D2D"/>
    <w:rsid w:val="03A73586"/>
    <w:rsid w:val="03C924B0"/>
    <w:rsid w:val="04182C51"/>
    <w:rsid w:val="047F615F"/>
    <w:rsid w:val="05374142"/>
    <w:rsid w:val="054052F2"/>
    <w:rsid w:val="055A1E59"/>
    <w:rsid w:val="05DC45CF"/>
    <w:rsid w:val="05E4667B"/>
    <w:rsid w:val="05F50AD5"/>
    <w:rsid w:val="061E5682"/>
    <w:rsid w:val="06357858"/>
    <w:rsid w:val="064E05EA"/>
    <w:rsid w:val="06747C22"/>
    <w:rsid w:val="06A738D6"/>
    <w:rsid w:val="06F46C3B"/>
    <w:rsid w:val="070168AD"/>
    <w:rsid w:val="070F3339"/>
    <w:rsid w:val="077C2403"/>
    <w:rsid w:val="078828AD"/>
    <w:rsid w:val="07996D35"/>
    <w:rsid w:val="079D1499"/>
    <w:rsid w:val="07AB694A"/>
    <w:rsid w:val="07AF3351"/>
    <w:rsid w:val="07C0227A"/>
    <w:rsid w:val="08114BD6"/>
    <w:rsid w:val="087909B8"/>
    <w:rsid w:val="08FE41CD"/>
    <w:rsid w:val="09011D44"/>
    <w:rsid w:val="09230F20"/>
    <w:rsid w:val="09526CCE"/>
    <w:rsid w:val="095A2369"/>
    <w:rsid w:val="096810C0"/>
    <w:rsid w:val="098A5FE7"/>
    <w:rsid w:val="0A2F3217"/>
    <w:rsid w:val="0A564AE8"/>
    <w:rsid w:val="0A5720CE"/>
    <w:rsid w:val="0A7E53FC"/>
    <w:rsid w:val="0A9C2318"/>
    <w:rsid w:val="0A9C5934"/>
    <w:rsid w:val="0AD13F46"/>
    <w:rsid w:val="0B090E84"/>
    <w:rsid w:val="0B1A1EFA"/>
    <w:rsid w:val="0B534B15"/>
    <w:rsid w:val="0B837647"/>
    <w:rsid w:val="0B844027"/>
    <w:rsid w:val="0B8908F3"/>
    <w:rsid w:val="0BA44D66"/>
    <w:rsid w:val="0BD53976"/>
    <w:rsid w:val="0C75647E"/>
    <w:rsid w:val="0CFD3CFD"/>
    <w:rsid w:val="0D1E48BE"/>
    <w:rsid w:val="0D2A25C8"/>
    <w:rsid w:val="0D487358"/>
    <w:rsid w:val="0D6525FD"/>
    <w:rsid w:val="0E0C645F"/>
    <w:rsid w:val="0EB94E29"/>
    <w:rsid w:val="0EBE4E06"/>
    <w:rsid w:val="0EF95E6F"/>
    <w:rsid w:val="0F087A87"/>
    <w:rsid w:val="0FB70EB9"/>
    <w:rsid w:val="10173F04"/>
    <w:rsid w:val="10296245"/>
    <w:rsid w:val="10472D43"/>
    <w:rsid w:val="10621F58"/>
    <w:rsid w:val="10D640B4"/>
    <w:rsid w:val="10E8616A"/>
    <w:rsid w:val="11055167"/>
    <w:rsid w:val="112F3D99"/>
    <w:rsid w:val="11370414"/>
    <w:rsid w:val="114870EE"/>
    <w:rsid w:val="1163128F"/>
    <w:rsid w:val="11853BCD"/>
    <w:rsid w:val="11AA186D"/>
    <w:rsid w:val="11D92573"/>
    <w:rsid w:val="11E83D19"/>
    <w:rsid w:val="11E91350"/>
    <w:rsid w:val="122D0B62"/>
    <w:rsid w:val="12341B54"/>
    <w:rsid w:val="12396BFF"/>
    <w:rsid w:val="126D5FF9"/>
    <w:rsid w:val="12943CF0"/>
    <w:rsid w:val="12D32525"/>
    <w:rsid w:val="12DB562F"/>
    <w:rsid w:val="12E71057"/>
    <w:rsid w:val="12ED571D"/>
    <w:rsid w:val="13126856"/>
    <w:rsid w:val="13280FCE"/>
    <w:rsid w:val="134436C8"/>
    <w:rsid w:val="136716B3"/>
    <w:rsid w:val="137D6718"/>
    <w:rsid w:val="13CD4243"/>
    <w:rsid w:val="144E4EA1"/>
    <w:rsid w:val="14BE1A4E"/>
    <w:rsid w:val="15435B70"/>
    <w:rsid w:val="15924739"/>
    <w:rsid w:val="159676FE"/>
    <w:rsid w:val="15C32504"/>
    <w:rsid w:val="15EE2487"/>
    <w:rsid w:val="160E14D4"/>
    <w:rsid w:val="166F64EA"/>
    <w:rsid w:val="16BF0860"/>
    <w:rsid w:val="16C3183B"/>
    <w:rsid w:val="16FC6D7C"/>
    <w:rsid w:val="170A0BE8"/>
    <w:rsid w:val="172D1C46"/>
    <w:rsid w:val="17823B20"/>
    <w:rsid w:val="179044AA"/>
    <w:rsid w:val="17F65611"/>
    <w:rsid w:val="17F83F32"/>
    <w:rsid w:val="181E4221"/>
    <w:rsid w:val="1826220B"/>
    <w:rsid w:val="19213FDD"/>
    <w:rsid w:val="19CA1B97"/>
    <w:rsid w:val="19E446D8"/>
    <w:rsid w:val="1A962558"/>
    <w:rsid w:val="1B1329B4"/>
    <w:rsid w:val="1B3F6E41"/>
    <w:rsid w:val="1B8E16EC"/>
    <w:rsid w:val="1BE16998"/>
    <w:rsid w:val="1BEB1AE8"/>
    <w:rsid w:val="1BEF08B7"/>
    <w:rsid w:val="1BFE2CE6"/>
    <w:rsid w:val="1C357DE4"/>
    <w:rsid w:val="1C3E36B8"/>
    <w:rsid w:val="1C431A1E"/>
    <w:rsid w:val="1C687AF1"/>
    <w:rsid w:val="1DE60A0A"/>
    <w:rsid w:val="1DF01E18"/>
    <w:rsid w:val="1E4A0464"/>
    <w:rsid w:val="1E7A3A7F"/>
    <w:rsid w:val="1EA145E5"/>
    <w:rsid w:val="1ECC0154"/>
    <w:rsid w:val="1EF53F2C"/>
    <w:rsid w:val="202D213C"/>
    <w:rsid w:val="2073687F"/>
    <w:rsid w:val="20F6236D"/>
    <w:rsid w:val="21104A68"/>
    <w:rsid w:val="21653F5F"/>
    <w:rsid w:val="21692FD1"/>
    <w:rsid w:val="218F1876"/>
    <w:rsid w:val="21933601"/>
    <w:rsid w:val="21A129D7"/>
    <w:rsid w:val="21A70D17"/>
    <w:rsid w:val="21DE05B6"/>
    <w:rsid w:val="22995FF7"/>
    <w:rsid w:val="22CF515C"/>
    <w:rsid w:val="23097387"/>
    <w:rsid w:val="23642E7D"/>
    <w:rsid w:val="23751042"/>
    <w:rsid w:val="23EA3613"/>
    <w:rsid w:val="24177439"/>
    <w:rsid w:val="25003903"/>
    <w:rsid w:val="251B2CA0"/>
    <w:rsid w:val="25454733"/>
    <w:rsid w:val="25D15918"/>
    <w:rsid w:val="26726418"/>
    <w:rsid w:val="267A5401"/>
    <w:rsid w:val="268A50E9"/>
    <w:rsid w:val="26991EBE"/>
    <w:rsid w:val="26BD70AE"/>
    <w:rsid w:val="26E850BC"/>
    <w:rsid w:val="26F4208B"/>
    <w:rsid w:val="27063E73"/>
    <w:rsid w:val="272B5FAA"/>
    <w:rsid w:val="27313F6F"/>
    <w:rsid w:val="274E0F74"/>
    <w:rsid w:val="275F1BAA"/>
    <w:rsid w:val="27AA7706"/>
    <w:rsid w:val="27F11E77"/>
    <w:rsid w:val="27F60D15"/>
    <w:rsid w:val="28122912"/>
    <w:rsid w:val="2862313D"/>
    <w:rsid w:val="294C24D9"/>
    <w:rsid w:val="29D60815"/>
    <w:rsid w:val="29E63D17"/>
    <w:rsid w:val="2A3644D2"/>
    <w:rsid w:val="2A5A0448"/>
    <w:rsid w:val="2A816BC9"/>
    <w:rsid w:val="2AAF66C1"/>
    <w:rsid w:val="2AFC4314"/>
    <w:rsid w:val="2B392463"/>
    <w:rsid w:val="2B8E4414"/>
    <w:rsid w:val="2BCE4CC7"/>
    <w:rsid w:val="2C3E5684"/>
    <w:rsid w:val="2C5323FC"/>
    <w:rsid w:val="2C666E88"/>
    <w:rsid w:val="2D1464DD"/>
    <w:rsid w:val="2DA55745"/>
    <w:rsid w:val="2DE81100"/>
    <w:rsid w:val="2DF47F6D"/>
    <w:rsid w:val="2E016052"/>
    <w:rsid w:val="2E2648E6"/>
    <w:rsid w:val="2E540C3E"/>
    <w:rsid w:val="2EA66AF6"/>
    <w:rsid w:val="2EA9281C"/>
    <w:rsid w:val="2F215289"/>
    <w:rsid w:val="2FED96BC"/>
    <w:rsid w:val="30523C3A"/>
    <w:rsid w:val="30B35C54"/>
    <w:rsid w:val="30B55C11"/>
    <w:rsid w:val="30C3504D"/>
    <w:rsid w:val="30D70DDD"/>
    <w:rsid w:val="30FB62F5"/>
    <w:rsid w:val="312F7772"/>
    <w:rsid w:val="31484130"/>
    <w:rsid w:val="316B62D0"/>
    <w:rsid w:val="31783985"/>
    <w:rsid w:val="319B3B5D"/>
    <w:rsid w:val="31AC22D6"/>
    <w:rsid w:val="31DC052C"/>
    <w:rsid w:val="31DE6182"/>
    <w:rsid w:val="32594943"/>
    <w:rsid w:val="32730AF4"/>
    <w:rsid w:val="334D0641"/>
    <w:rsid w:val="337113B9"/>
    <w:rsid w:val="339C6C14"/>
    <w:rsid w:val="33A0328B"/>
    <w:rsid w:val="349E4672"/>
    <w:rsid w:val="34A716CE"/>
    <w:rsid w:val="34E647FA"/>
    <w:rsid w:val="35111F9B"/>
    <w:rsid w:val="351747CE"/>
    <w:rsid w:val="351E4A68"/>
    <w:rsid w:val="35230BBD"/>
    <w:rsid w:val="354613F6"/>
    <w:rsid w:val="357F2070"/>
    <w:rsid w:val="35937252"/>
    <w:rsid w:val="35CE0E57"/>
    <w:rsid w:val="35D703E8"/>
    <w:rsid w:val="35FC3FEC"/>
    <w:rsid w:val="360C1224"/>
    <w:rsid w:val="360F18E4"/>
    <w:rsid w:val="36794EA9"/>
    <w:rsid w:val="36982CDA"/>
    <w:rsid w:val="36A93B22"/>
    <w:rsid w:val="36F62AE0"/>
    <w:rsid w:val="371A2F36"/>
    <w:rsid w:val="37433B17"/>
    <w:rsid w:val="376108AB"/>
    <w:rsid w:val="37DBE22F"/>
    <w:rsid w:val="37F45AB6"/>
    <w:rsid w:val="383513E6"/>
    <w:rsid w:val="384C719D"/>
    <w:rsid w:val="38CF03BB"/>
    <w:rsid w:val="38F378FD"/>
    <w:rsid w:val="390E6C81"/>
    <w:rsid w:val="397514AB"/>
    <w:rsid w:val="39BA4298"/>
    <w:rsid w:val="39CD587C"/>
    <w:rsid w:val="39FE59B1"/>
    <w:rsid w:val="39FFC9C9"/>
    <w:rsid w:val="3AE813A4"/>
    <w:rsid w:val="3AFB2B0F"/>
    <w:rsid w:val="3B172535"/>
    <w:rsid w:val="3B19207C"/>
    <w:rsid w:val="3B4E6A46"/>
    <w:rsid w:val="3B7F6F72"/>
    <w:rsid w:val="3BE23632"/>
    <w:rsid w:val="3BF97050"/>
    <w:rsid w:val="3C2344F5"/>
    <w:rsid w:val="3C4340D1"/>
    <w:rsid w:val="3C727633"/>
    <w:rsid w:val="3C7B675F"/>
    <w:rsid w:val="3CC507E8"/>
    <w:rsid w:val="3CCA6F32"/>
    <w:rsid w:val="3CE61127"/>
    <w:rsid w:val="3D6E189E"/>
    <w:rsid w:val="3D7578F5"/>
    <w:rsid w:val="3D8134AA"/>
    <w:rsid w:val="3DDF1816"/>
    <w:rsid w:val="3E9450B8"/>
    <w:rsid w:val="3F061212"/>
    <w:rsid w:val="3F1F4F1F"/>
    <w:rsid w:val="3FB11C9A"/>
    <w:rsid w:val="3FFECB3F"/>
    <w:rsid w:val="40067982"/>
    <w:rsid w:val="40083152"/>
    <w:rsid w:val="40890E5C"/>
    <w:rsid w:val="409B24C5"/>
    <w:rsid w:val="40C07474"/>
    <w:rsid w:val="41306BEE"/>
    <w:rsid w:val="416D6715"/>
    <w:rsid w:val="42445726"/>
    <w:rsid w:val="424D7747"/>
    <w:rsid w:val="42593BBD"/>
    <w:rsid w:val="427D3690"/>
    <w:rsid w:val="42823C2F"/>
    <w:rsid w:val="42A4194C"/>
    <w:rsid w:val="42D7104B"/>
    <w:rsid w:val="43AD2778"/>
    <w:rsid w:val="43AE138E"/>
    <w:rsid w:val="445175A7"/>
    <w:rsid w:val="44625C74"/>
    <w:rsid w:val="447F02EB"/>
    <w:rsid w:val="448160C0"/>
    <w:rsid w:val="44A97187"/>
    <w:rsid w:val="44B2430B"/>
    <w:rsid w:val="45A05DB2"/>
    <w:rsid w:val="45A46AA3"/>
    <w:rsid w:val="462C72B9"/>
    <w:rsid w:val="46A05B8A"/>
    <w:rsid w:val="46B50A13"/>
    <w:rsid w:val="47072501"/>
    <w:rsid w:val="47680E90"/>
    <w:rsid w:val="47722674"/>
    <w:rsid w:val="478D1E2F"/>
    <w:rsid w:val="479D73AE"/>
    <w:rsid w:val="47F157AF"/>
    <w:rsid w:val="481C1F94"/>
    <w:rsid w:val="484D62D8"/>
    <w:rsid w:val="489A5D60"/>
    <w:rsid w:val="48C44D2B"/>
    <w:rsid w:val="4928211D"/>
    <w:rsid w:val="49831FB1"/>
    <w:rsid w:val="499D1203"/>
    <w:rsid w:val="49A062D9"/>
    <w:rsid w:val="49DF688B"/>
    <w:rsid w:val="49EB12D5"/>
    <w:rsid w:val="4A7A26CF"/>
    <w:rsid w:val="4ABB7684"/>
    <w:rsid w:val="4AF96866"/>
    <w:rsid w:val="4BA61DA2"/>
    <w:rsid w:val="4BE72F73"/>
    <w:rsid w:val="4BFC1F41"/>
    <w:rsid w:val="4C2A705C"/>
    <w:rsid w:val="4C4E7F4C"/>
    <w:rsid w:val="4C5D06BC"/>
    <w:rsid w:val="4C67383A"/>
    <w:rsid w:val="4CB13283"/>
    <w:rsid w:val="4CCF30F6"/>
    <w:rsid w:val="4CDC3826"/>
    <w:rsid w:val="4D092945"/>
    <w:rsid w:val="4D226519"/>
    <w:rsid w:val="4E551F29"/>
    <w:rsid w:val="4E61488B"/>
    <w:rsid w:val="4EB719BA"/>
    <w:rsid w:val="4EBF7625"/>
    <w:rsid w:val="4EEF5810"/>
    <w:rsid w:val="4EF94AC3"/>
    <w:rsid w:val="4F9617E0"/>
    <w:rsid w:val="4FCF6E8F"/>
    <w:rsid w:val="50164210"/>
    <w:rsid w:val="502C3EEF"/>
    <w:rsid w:val="503C4ED0"/>
    <w:rsid w:val="504972CC"/>
    <w:rsid w:val="50575F45"/>
    <w:rsid w:val="50C3182D"/>
    <w:rsid w:val="511D3BEC"/>
    <w:rsid w:val="517A1818"/>
    <w:rsid w:val="51970F01"/>
    <w:rsid w:val="51A06ACD"/>
    <w:rsid w:val="51A93A95"/>
    <w:rsid w:val="522A3356"/>
    <w:rsid w:val="528278EA"/>
    <w:rsid w:val="52945C09"/>
    <w:rsid w:val="52CC317E"/>
    <w:rsid w:val="53222A7B"/>
    <w:rsid w:val="534A08D8"/>
    <w:rsid w:val="53545A44"/>
    <w:rsid w:val="5358625C"/>
    <w:rsid w:val="535A6478"/>
    <w:rsid w:val="53E67AB8"/>
    <w:rsid w:val="54110F76"/>
    <w:rsid w:val="541F174D"/>
    <w:rsid w:val="542C5381"/>
    <w:rsid w:val="5466301A"/>
    <w:rsid w:val="547677DE"/>
    <w:rsid w:val="55366A71"/>
    <w:rsid w:val="554B38B3"/>
    <w:rsid w:val="557309E8"/>
    <w:rsid w:val="55A22D0A"/>
    <w:rsid w:val="560C42F3"/>
    <w:rsid w:val="565076BF"/>
    <w:rsid w:val="56570A4D"/>
    <w:rsid w:val="567D58C3"/>
    <w:rsid w:val="56CF0F2B"/>
    <w:rsid w:val="56DB773D"/>
    <w:rsid w:val="56EB2C3D"/>
    <w:rsid w:val="57260958"/>
    <w:rsid w:val="574A5E21"/>
    <w:rsid w:val="575952E3"/>
    <w:rsid w:val="579212BC"/>
    <w:rsid w:val="57C93994"/>
    <w:rsid w:val="57CC4919"/>
    <w:rsid w:val="57CD5CC0"/>
    <w:rsid w:val="57E879E4"/>
    <w:rsid w:val="580E15DF"/>
    <w:rsid w:val="588A0146"/>
    <w:rsid w:val="593F3A25"/>
    <w:rsid w:val="59476D59"/>
    <w:rsid w:val="59581952"/>
    <w:rsid w:val="5963340F"/>
    <w:rsid w:val="59E27887"/>
    <w:rsid w:val="5A1319D2"/>
    <w:rsid w:val="5A685562"/>
    <w:rsid w:val="5A6E6344"/>
    <w:rsid w:val="5AA74E22"/>
    <w:rsid w:val="5B1F1A22"/>
    <w:rsid w:val="5B596BA0"/>
    <w:rsid w:val="5B6B1F86"/>
    <w:rsid w:val="5B99406F"/>
    <w:rsid w:val="5BEF07EE"/>
    <w:rsid w:val="5C053715"/>
    <w:rsid w:val="5C6A09BA"/>
    <w:rsid w:val="5C8C51C9"/>
    <w:rsid w:val="5C8C5D94"/>
    <w:rsid w:val="5C912C83"/>
    <w:rsid w:val="5CE015B4"/>
    <w:rsid w:val="5CEB062A"/>
    <w:rsid w:val="5D0451E6"/>
    <w:rsid w:val="5DAC665A"/>
    <w:rsid w:val="5E287261"/>
    <w:rsid w:val="5E3561A3"/>
    <w:rsid w:val="5E677E75"/>
    <w:rsid w:val="5E9756F9"/>
    <w:rsid w:val="5E9A2643"/>
    <w:rsid w:val="5EB37DB4"/>
    <w:rsid w:val="5EC559DD"/>
    <w:rsid w:val="5F5A19C2"/>
    <w:rsid w:val="5F6BBD20"/>
    <w:rsid w:val="5F8472A4"/>
    <w:rsid w:val="605930EA"/>
    <w:rsid w:val="608529D9"/>
    <w:rsid w:val="60876396"/>
    <w:rsid w:val="616679B4"/>
    <w:rsid w:val="61DA311C"/>
    <w:rsid w:val="62274C51"/>
    <w:rsid w:val="62544523"/>
    <w:rsid w:val="62591873"/>
    <w:rsid w:val="62736166"/>
    <w:rsid w:val="62F730E6"/>
    <w:rsid w:val="63462F14"/>
    <w:rsid w:val="634C56B2"/>
    <w:rsid w:val="634E5253"/>
    <w:rsid w:val="642350E4"/>
    <w:rsid w:val="644646D4"/>
    <w:rsid w:val="646F08D5"/>
    <w:rsid w:val="649A251A"/>
    <w:rsid w:val="64DE437E"/>
    <w:rsid w:val="64FA4B69"/>
    <w:rsid w:val="64FE0ADD"/>
    <w:rsid w:val="658C27E5"/>
    <w:rsid w:val="669435F8"/>
    <w:rsid w:val="66F635CB"/>
    <w:rsid w:val="6744287B"/>
    <w:rsid w:val="67824DD2"/>
    <w:rsid w:val="6788208D"/>
    <w:rsid w:val="67C51B1C"/>
    <w:rsid w:val="67DB2AF0"/>
    <w:rsid w:val="680B4DD7"/>
    <w:rsid w:val="68137C49"/>
    <w:rsid w:val="68264469"/>
    <w:rsid w:val="68607836"/>
    <w:rsid w:val="692A497D"/>
    <w:rsid w:val="699762C9"/>
    <w:rsid w:val="699F1495"/>
    <w:rsid w:val="69A578CA"/>
    <w:rsid w:val="69B12719"/>
    <w:rsid w:val="69DC5A67"/>
    <w:rsid w:val="6A2B4F3F"/>
    <w:rsid w:val="6A4B7CB6"/>
    <w:rsid w:val="6ABE7755"/>
    <w:rsid w:val="6AD94AA3"/>
    <w:rsid w:val="6AEB3A02"/>
    <w:rsid w:val="6AFD6E95"/>
    <w:rsid w:val="6B7A6C97"/>
    <w:rsid w:val="6B925B11"/>
    <w:rsid w:val="6BC27ED8"/>
    <w:rsid w:val="6BD4007B"/>
    <w:rsid w:val="6BF5742D"/>
    <w:rsid w:val="6CAD3E41"/>
    <w:rsid w:val="6CF57460"/>
    <w:rsid w:val="6CF77DD4"/>
    <w:rsid w:val="6D2015F5"/>
    <w:rsid w:val="6D752DA1"/>
    <w:rsid w:val="6DAD4C1D"/>
    <w:rsid w:val="6DC94940"/>
    <w:rsid w:val="6E035988"/>
    <w:rsid w:val="6E4F2CA5"/>
    <w:rsid w:val="6E861E62"/>
    <w:rsid w:val="6E883B2F"/>
    <w:rsid w:val="6EA613DC"/>
    <w:rsid w:val="6ECB4906"/>
    <w:rsid w:val="6F9D0F21"/>
    <w:rsid w:val="6FB06ED0"/>
    <w:rsid w:val="703C7E3A"/>
    <w:rsid w:val="710F3CA7"/>
    <w:rsid w:val="71434C7E"/>
    <w:rsid w:val="716E4D18"/>
    <w:rsid w:val="719721EE"/>
    <w:rsid w:val="71AB1697"/>
    <w:rsid w:val="71AB54F5"/>
    <w:rsid w:val="720946AE"/>
    <w:rsid w:val="720C252B"/>
    <w:rsid w:val="727237EE"/>
    <w:rsid w:val="72B01CFE"/>
    <w:rsid w:val="72CF5261"/>
    <w:rsid w:val="73050D48"/>
    <w:rsid w:val="730C4765"/>
    <w:rsid w:val="73397A01"/>
    <w:rsid w:val="733F0C3E"/>
    <w:rsid w:val="73594A83"/>
    <w:rsid w:val="735F1ED8"/>
    <w:rsid w:val="73BC23E0"/>
    <w:rsid w:val="73F456D6"/>
    <w:rsid w:val="73FA5817"/>
    <w:rsid w:val="74635464"/>
    <w:rsid w:val="7469210F"/>
    <w:rsid w:val="749705C0"/>
    <w:rsid w:val="7499378F"/>
    <w:rsid w:val="74B9247B"/>
    <w:rsid w:val="7516167C"/>
    <w:rsid w:val="752379E5"/>
    <w:rsid w:val="7542597D"/>
    <w:rsid w:val="75936C6C"/>
    <w:rsid w:val="75B26917"/>
    <w:rsid w:val="75B869D1"/>
    <w:rsid w:val="763B3A90"/>
    <w:rsid w:val="767B2F51"/>
    <w:rsid w:val="770C2671"/>
    <w:rsid w:val="771472F5"/>
    <w:rsid w:val="77612092"/>
    <w:rsid w:val="77806588"/>
    <w:rsid w:val="77A222C7"/>
    <w:rsid w:val="77B311C2"/>
    <w:rsid w:val="77D2446B"/>
    <w:rsid w:val="77E7290C"/>
    <w:rsid w:val="78385533"/>
    <w:rsid w:val="78A70F68"/>
    <w:rsid w:val="78C53B99"/>
    <w:rsid w:val="78D51699"/>
    <w:rsid w:val="79224A93"/>
    <w:rsid w:val="794D6390"/>
    <w:rsid w:val="79BE2E66"/>
    <w:rsid w:val="79D0642D"/>
    <w:rsid w:val="7A8819CF"/>
    <w:rsid w:val="7A887721"/>
    <w:rsid w:val="7AA43DBD"/>
    <w:rsid w:val="7ABD0771"/>
    <w:rsid w:val="7AD45665"/>
    <w:rsid w:val="7B145335"/>
    <w:rsid w:val="7B1F3065"/>
    <w:rsid w:val="7B3E6D9D"/>
    <w:rsid w:val="7B75534E"/>
    <w:rsid w:val="7BBA4855"/>
    <w:rsid w:val="7BE3591A"/>
    <w:rsid w:val="7BE76F71"/>
    <w:rsid w:val="7C3E1AD1"/>
    <w:rsid w:val="7C57508E"/>
    <w:rsid w:val="7C9360E5"/>
    <w:rsid w:val="7CA66482"/>
    <w:rsid w:val="7CB35E87"/>
    <w:rsid w:val="7CD27F01"/>
    <w:rsid w:val="7D315466"/>
    <w:rsid w:val="7D611591"/>
    <w:rsid w:val="7D7E9950"/>
    <w:rsid w:val="7DE95984"/>
    <w:rsid w:val="7E1F77F3"/>
    <w:rsid w:val="7E393341"/>
    <w:rsid w:val="7EB57184"/>
    <w:rsid w:val="7ECF1219"/>
    <w:rsid w:val="7EDC7EFB"/>
    <w:rsid w:val="7EF3242D"/>
    <w:rsid w:val="7F116FAE"/>
    <w:rsid w:val="7F2D7CEE"/>
    <w:rsid w:val="7F567E5D"/>
    <w:rsid w:val="7F770524"/>
    <w:rsid w:val="7FDB7BD5"/>
    <w:rsid w:val="7FEE3D5D"/>
    <w:rsid w:val="85775052"/>
    <w:rsid w:val="98E5BA2F"/>
    <w:rsid w:val="A7FB9CA7"/>
    <w:rsid w:val="B5FFB763"/>
    <w:rsid w:val="DFABD037"/>
    <w:rsid w:val="F5BB427D"/>
    <w:rsid w:val="F7ABBC8A"/>
    <w:rsid w:val="FDF5563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0"/>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2">
    <w:name w:val="heading 2"/>
    <w:basedOn w:val="1"/>
    <w:next w:val="1"/>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41"/>
    <w:qFormat/>
    <w:uiPriority w:val="0"/>
    <w:pPr>
      <w:keepNext/>
      <w:keepLines/>
      <w:numPr>
        <w:ilvl w:val="3"/>
        <w:numId w:val="2"/>
      </w:numPr>
      <w:spacing w:before="320" w:after="280"/>
      <w:jc w:val="left"/>
      <w:outlineLvl w:val="3"/>
    </w:pPr>
    <w:rPr>
      <w:rFonts w:ascii="黑体" w:hAnsi="黑体" w:eastAsia="黑体"/>
      <w:b/>
      <w:bCs/>
      <w:sz w:val="28"/>
      <w:szCs w:val="28"/>
      <w:lang w:val="zh-CN"/>
    </w:rPr>
  </w:style>
  <w:style w:type="character" w:default="1" w:styleId="33">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1"/>
    <w:semiHidden/>
    <w:qFormat/>
    <w:uiPriority w:val="0"/>
    <w:rPr>
      <w:b/>
      <w:bCs/>
    </w:rPr>
  </w:style>
  <w:style w:type="paragraph" w:styleId="7">
    <w:name w:val="annotation text"/>
    <w:basedOn w:val="1"/>
    <w:link w:val="42"/>
    <w:qFormat/>
    <w:uiPriority w:val="0"/>
    <w:pPr>
      <w:jc w:val="left"/>
    </w:pPr>
  </w:style>
  <w:style w:type="paragraph" w:styleId="8">
    <w:name w:val="toc 7"/>
    <w:basedOn w:val="1"/>
    <w:next w:val="1"/>
    <w:unhideWhenUsed/>
    <w:qFormat/>
    <w:uiPriority w:val="39"/>
    <w:pPr>
      <w:spacing w:after="160" w:line="278" w:lineRule="auto"/>
      <w:ind w:left="2520" w:leftChars="1200"/>
      <w:jc w:val="left"/>
    </w:pPr>
    <w:rPr>
      <w:rFonts w:ascii="Calibri" w:hAnsi="Calibri"/>
      <w:sz w:val="22"/>
    </w:rPr>
  </w:style>
  <w:style w:type="paragraph" w:styleId="9">
    <w:name w:val="Body Text First Indent"/>
    <w:basedOn w:val="10"/>
    <w:qFormat/>
    <w:uiPriority w:val="0"/>
    <w:pPr>
      <w:spacing w:after="120"/>
      <w:ind w:firstLine="420" w:firstLineChars="100"/>
    </w:pPr>
  </w:style>
  <w:style w:type="paragraph" w:styleId="10">
    <w:name w:val="Body Text"/>
    <w:basedOn w:val="1"/>
    <w:next w:val="1"/>
    <w:qFormat/>
    <w:uiPriority w:val="0"/>
    <w:rPr>
      <w:rFonts w:ascii="金山简黑体" w:hAnsi="金山简黑体" w:eastAsia="金山简黑体"/>
      <w:b/>
      <w:spacing w:val="-8"/>
      <w:sz w:val="44"/>
      <w:szCs w:val="20"/>
    </w:rPr>
  </w:style>
  <w:style w:type="paragraph" w:styleId="11">
    <w:name w:val="Normal Indent"/>
    <w:basedOn w:val="1"/>
    <w:qFormat/>
    <w:uiPriority w:val="0"/>
    <w:pPr>
      <w:ind w:firstLine="420"/>
    </w:pPr>
    <w:rPr>
      <w:szCs w:val="20"/>
    </w:rPr>
  </w:style>
  <w:style w:type="paragraph" w:styleId="12">
    <w:name w:val="caption"/>
    <w:basedOn w:val="1"/>
    <w:next w:val="1"/>
    <w:qFormat/>
    <w:uiPriority w:val="0"/>
    <w:pPr>
      <w:spacing w:before="152" w:after="160"/>
    </w:pPr>
    <w:rPr>
      <w:rFonts w:ascii="Arial" w:hAnsi="Arial" w:eastAsia="黑体"/>
      <w:sz w:val="20"/>
      <w:szCs w:val="20"/>
    </w:rPr>
  </w:style>
  <w:style w:type="paragraph" w:styleId="13">
    <w:name w:val="Document Map"/>
    <w:basedOn w:val="1"/>
    <w:qFormat/>
    <w:uiPriority w:val="0"/>
    <w:pPr>
      <w:shd w:val="clear" w:color="auto" w:fill="000080"/>
    </w:pPr>
  </w:style>
  <w:style w:type="paragraph" w:styleId="14">
    <w:name w:val="Body Text Indent"/>
    <w:basedOn w:val="1"/>
    <w:next w:val="15"/>
    <w:link w:val="112"/>
    <w:qFormat/>
    <w:uiPriority w:val="0"/>
    <w:pPr>
      <w:spacing w:line="200" w:lineRule="exact"/>
      <w:ind w:firstLine="301"/>
    </w:pPr>
    <w:rPr>
      <w:rFonts w:ascii="宋体"/>
      <w:spacing w:val="-4"/>
      <w:sz w:val="18"/>
      <w:szCs w:val="20"/>
    </w:rPr>
  </w:style>
  <w:style w:type="paragraph" w:styleId="15">
    <w:name w:val="Body Text First Indent 2"/>
    <w:basedOn w:val="14"/>
    <w:next w:val="16"/>
    <w:link w:val="43"/>
    <w:unhideWhenUsed/>
    <w:qFormat/>
    <w:uiPriority w:val="0"/>
    <w:pPr>
      <w:spacing w:after="120" w:line="240" w:lineRule="auto"/>
      <w:ind w:left="420" w:leftChars="200" w:firstLine="420" w:firstLineChars="200"/>
    </w:pPr>
    <w:rPr>
      <w:sz w:val="21"/>
      <w:szCs w:val="24"/>
    </w:rPr>
  </w:style>
  <w:style w:type="paragraph" w:styleId="16">
    <w:name w:val="Block Text"/>
    <w:basedOn w:val="1"/>
    <w:qFormat/>
    <w:uiPriority w:val="0"/>
    <w:pPr>
      <w:spacing w:after="120"/>
      <w:ind w:left="1440" w:leftChars="700" w:right="1440" w:rightChars="700"/>
    </w:pPr>
  </w:style>
  <w:style w:type="paragraph" w:styleId="17">
    <w:name w:val="toc 5"/>
    <w:basedOn w:val="1"/>
    <w:next w:val="1"/>
    <w:unhideWhenUsed/>
    <w:qFormat/>
    <w:uiPriority w:val="39"/>
    <w:pPr>
      <w:spacing w:after="160" w:line="278" w:lineRule="auto"/>
      <w:ind w:left="1680" w:leftChars="800"/>
      <w:jc w:val="left"/>
    </w:pPr>
    <w:rPr>
      <w:rFonts w:ascii="Calibri" w:hAnsi="Calibri"/>
      <w:sz w:val="22"/>
    </w:rPr>
  </w:style>
  <w:style w:type="paragraph" w:styleId="18">
    <w:name w:val="toc 3"/>
    <w:basedOn w:val="1"/>
    <w:next w:val="1"/>
    <w:qFormat/>
    <w:uiPriority w:val="39"/>
    <w:pPr>
      <w:ind w:left="300" w:leftChars="300"/>
      <w:jc w:val="left"/>
    </w:pPr>
    <w:rPr>
      <w:iCs/>
      <w:szCs w:val="20"/>
    </w:rPr>
  </w:style>
  <w:style w:type="paragraph" w:styleId="19">
    <w:name w:val="Plain Text"/>
    <w:basedOn w:val="1"/>
    <w:next w:val="1"/>
    <w:qFormat/>
    <w:uiPriority w:val="0"/>
    <w:rPr>
      <w:rFonts w:ascii="宋体"/>
      <w:szCs w:val="20"/>
    </w:rPr>
  </w:style>
  <w:style w:type="paragraph" w:styleId="20">
    <w:name w:val="toc 8"/>
    <w:basedOn w:val="1"/>
    <w:next w:val="1"/>
    <w:unhideWhenUsed/>
    <w:qFormat/>
    <w:uiPriority w:val="39"/>
    <w:pPr>
      <w:spacing w:after="160" w:line="278" w:lineRule="auto"/>
      <w:ind w:left="2940" w:leftChars="1400"/>
      <w:jc w:val="left"/>
    </w:pPr>
    <w:rPr>
      <w:rFonts w:ascii="Calibri" w:hAnsi="Calibri"/>
      <w:sz w:val="22"/>
    </w:rPr>
  </w:style>
  <w:style w:type="paragraph" w:styleId="21">
    <w:name w:val="Balloon Text"/>
    <w:basedOn w:val="1"/>
    <w:link w:val="44"/>
    <w:qFormat/>
    <w:uiPriority w:val="0"/>
    <w:rPr>
      <w:sz w:val="18"/>
      <w:szCs w:val="18"/>
    </w:rPr>
  </w:style>
  <w:style w:type="paragraph" w:styleId="22">
    <w:name w:val="footer"/>
    <w:basedOn w:val="1"/>
    <w:link w:val="45"/>
    <w:qFormat/>
    <w:uiPriority w:val="0"/>
    <w:pPr>
      <w:tabs>
        <w:tab w:val="center" w:pos="4153"/>
        <w:tab w:val="right" w:pos="8306"/>
      </w:tabs>
      <w:snapToGrid w:val="0"/>
      <w:jc w:val="left"/>
    </w:pPr>
    <w:rPr>
      <w:rFonts w:ascii="宋体"/>
      <w:sz w:val="18"/>
      <w:szCs w:val="20"/>
    </w:rPr>
  </w:style>
  <w:style w:type="paragraph" w:styleId="23">
    <w:name w:val="envelope return"/>
    <w:basedOn w:val="1"/>
    <w:qFormat/>
    <w:uiPriority w:val="0"/>
    <w:rPr>
      <w:rFonts w:cs="Arial"/>
    </w:rPr>
  </w:style>
  <w:style w:type="paragraph" w:styleId="24">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adjustRightInd w:val="0"/>
      <w:spacing w:before="120" w:after="120"/>
      <w:ind w:firstLine="50" w:firstLineChars="50"/>
      <w:jc w:val="left"/>
      <w:outlineLvl w:val="0"/>
    </w:pPr>
    <w:rPr>
      <w:bCs/>
      <w:caps/>
      <w:szCs w:val="20"/>
    </w:rPr>
  </w:style>
  <w:style w:type="paragraph" w:styleId="26">
    <w:name w:val="toc 4"/>
    <w:basedOn w:val="1"/>
    <w:next w:val="1"/>
    <w:unhideWhenUsed/>
    <w:qFormat/>
    <w:uiPriority w:val="39"/>
    <w:pPr>
      <w:spacing w:after="160" w:line="278" w:lineRule="auto"/>
      <w:ind w:left="1260" w:leftChars="600"/>
      <w:jc w:val="left"/>
    </w:pPr>
    <w:rPr>
      <w:rFonts w:ascii="Calibri" w:hAnsi="Calibri"/>
      <w:sz w:val="22"/>
    </w:rPr>
  </w:style>
  <w:style w:type="paragraph" w:styleId="27">
    <w:name w:val="toc 6"/>
    <w:basedOn w:val="1"/>
    <w:next w:val="1"/>
    <w:unhideWhenUsed/>
    <w:qFormat/>
    <w:uiPriority w:val="39"/>
    <w:pPr>
      <w:spacing w:after="160" w:line="278" w:lineRule="auto"/>
      <w:ind w:left="2100" w:leftChars="1000"/>
      <w:jc w:val="left"/>
    </w:pPr>
    <w:rPr>
      <w:rFonts w:ascii="Calibri" w:hAnsi="Calibri"/>
      <w:sz w:val="22"/>
    </w:rPr>
  </w:style>
  <w:style w:type="paragraph" w:styleId="28">
    <w:name w:val="toc 2"/>
    <w:basedOn w:val="1"/>
    <w:next w:val="1"/>
    <w:qFormat/>
    <w:uiPriority w:val="39"/>
    <w:pPr>
      <w:tabs>
        <w:tab w:val="right" w:leader="dot" w:pos="9344"/>
      </w:tabs>
      <w:ind w:left="200" w:leftChars="200"/>
      <w:jc w:val="left"/>
    </w:pPr>
    <w:rPr>
      <w:smallCaps/>
      <w:szCs w:val="20"/>
    </w:rPr>
  </w:style>
  <w:style w:type="paragraph" w:styleId="29">
    <w:name w:val="toc 9"/>
    <w:basedOn w:val="1"/>
    <w:next w:val="1"/>
    <w:unhideWhenUsed/>
    <w:qFormat/>
    <w:uiPriority w:val="39"/>
    <w:pPr>
      <w:spacing w:after="160" w:line="278" w:lineRule="auto"/>
      <w:ind w:left="3360" w:leftChars="1600"/>
      <w:jc w:val="left"/>
    </w:pPr>
    <w:rPr>
      <w:rFonts w:ascii="Calibri" w:hAnsi="Calibri"/>
      <w:sz w:val="22"/>
    </w:rPr>
  </w:style>
  <w:style w:type="paragraph" w:styleId="30">
    <w:name w:val="Body Text 2"/>
    <w:basedOn w:val="1"/>
    <w:next w:val="10"/>
    <w:qFormat/>
    <w:uiPriority w:val="0"/>
    <w:pPr>
      <w:snapToGrid w:val="0"/>
      <w:spacing w:after="120" w:line="480" w:lineRule="auto"/>
    </w:pPr>
    <w:rPr>
      <w:szCs w:val="20"/>
    </w:rPr>
  </w:style>
  <w:style w:type="paragraph" w:styleId="31">
    <w:name w:val="Message Header"/>
    <w:link w:val="47"/>
    <w:qFormat/>
    <w:uiPriority w:val="99"/>
    <w:pPr>
      <w:widowControl w:val="0"/>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both"/>
    </w:pPr>
    <w:rPr>
      <w:rFonts w:ascii="Arial" w:hAnsi="Arial" w:eastAsia="宋体" w:cs="Times New Roman"/>
      <w:kern w:val="2"/>
      <w:sz w:val="24"/>
      <w:szCs w:val="24"/>
      <w:lang w:val="en-US" w:eastAsia="zh-CN" w:bidi="ar-SA"/>
    </w:rPr>
  </w:style>
  <w:style w:type="paragraph" w:styleId="32">
    <w:name w:val="Normal (Web)"/>
    <w:basedOn w:val="1"/>
    <w:qFormat/>
    <w:uiPriority w:val="0"/>
    <w:pPr>
      <w:spacing w:before="100" w:beforeAutospacing="1" w:after="100" w:afterAutospacing="1"/>
      <w:jc w:val="left"/>
    </w:pPr>
    <w:rPr>
      <w:kern w:val="0"/>
      <w:sz w:val="24"/>
    </w:rPr>
  </w:style>
  <w:style w:type="character" w:styleId="34">
    <w:name w:val="Strong"/>
    <w:qFormat/>
    <w:uiPriority w:val="0"/>
    <w:rPr>
      <w:b/>
    </w:rPr>
  </w:style>
  <w:style w:type="character" w:styleId="35">
    <w:name w:val="page number"/>
    <w:qFormat/>
    <w:uiPriority w:val="0"/>
  </w:style>
  <w:style w:type="character" w:styleId="36">
    <w:name w:val="Hyperlink"/>
    <w:qFormat/>
    <w:uiPriority w:val="99"/>
    <w:rPr>
      <w:color w:val="555555"/>
      <w:u w:val="none"/>
    </w:rPr>
  </w:style>
  <w:style w:type="character" w:styleId="37">
    <w:name w:val="annotation reference"/>
    <w:qFormat/>
    <w:uiPriority w:val="0"/>
    <w:rPr>
      <w:sz w:val="21"/>
      <w:szCs w:val="21"/>
    </w:rPr>
  </w:style>
  <w:style w:type="table" w:styleId="39">
    <w:name w:val="Table Grid"/>
    <w:basedOn w:val="3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0">
    <w:name w:val="标题 1 字符"/>
    <w:link w:val="3"/>
    <w:qFormat/>
    <w:uiPriority w:val="0"/>
    <w:rPr>
      <w:rFonts w:eastAsia="黑体"/>
      <w:b/>
      <w:kern w:val="44"/>
      <w:sz w:val="28"/>
      <w:szCs w:val="20"/>
    </w:rPr>
  </w:style>
  <w:style w:type="character" w:customStyle="1" w:styleId="41">
    <w:name w:val="标题 4 字符"/>
    <w:link w:val="5"/>
    <w:qFormat/>
    <w:uiPriority w:val="0"/>
    <w:rPr>
      <w:rFonts w:ascii="黑体" w:hAnsi="黑体" w:eastAsia="黑体"/>
      <w:b/>
      <w:bCs/>
      <w:kern w:val="2"/>
      <w:sz w:val="28"/>
      <w:szCs w:val="28"/>
      <w:lang w:val="zh-CN"/>
    </w:rPr>
  </w:style>
  <w:style w:type="character" w:customStyle="1" w:styleId="42">
    <w:name w:val="批注文字 字符"/>
    <w:link w:val="7"/>
    <w:qFormat/>
    <w:uiPriority w:val="0"/>
    <w:rPr>
      <w:kern w:val="2"/>
      <w:sz w:val="21"/>
      <w:szCs w:val="24"/>
    </w:rPr>
  </w:style>
  <w:style w:type="character" w:customStyle="1" w:styleId="43">
    <w:name w:val="正文文本首行缩进 2 字符"/>
    <w:link w:val="15"/>
    <w:qFormat/>
    <w:uiPriority w:val="0"/>
    <w:rPr>
      <w:rFonts w:ascii="宋体"/>
      <w:spacing w:val="-4"/>
      <w:kern w:val="2"/>
      <w:sz w:val="21"/>
      <w:szCs w:val="24"/>
    </w:rPr>
  </w:style>
  <w:style w:type="character" w:customStyle="1" w:styleId="44">
    <w:name w:val="批注框文本 字符"/>
    <w:link w:val="21"/>
    <w:qFormat/>
    <w:uiPriority w:val="0"/>
    <w:rPr>
      <w:kern w:val="2"/>
      <w:sz w:val="18"/>
      <w:szCs w:val="18"/>
    </w:rPr>
  </w:style>
  <w:style w:type="character" w:customStyle="1" w:styleId="45">
    <w:name w:val="页脚 字符"/>
    <w:link w:val="22"/>
    <w:qFormat/>
    <w:uiPriority w:val="0"/>
    <w:rPr>
      <w:rFonts w:ascii="宋体"/>
      <w:kern w:val="2"/>
      <w:sz w:val="18"/>
    </w:rPr>
  </w:style>
  <w:style w:type="character" w:customStyle="1" w:styleId="46">
    <w:name w:val="页眉 字符"/>
    <w:link w:val="24"/>
    <w:qFormat/>
    <w:uiPriority w:val="0"/>
    <w:rPr>
      <w:kern w:val="2"/>
      <w:sz w:val="18"/>
      <w:szCs w:val="18"/>
    </w:rPr>
  </w:style>
  <w:style w:type="character" w:customStyle="1" w:styleId="47">
    <w:name w:val="信息标题 字符"/>
    <w:link w:val="31"/>
    <w:qFormat/>
    <w:uiPriority w:val="99"/>
    <w:rPr>
      <w:rFonts w:ascii="Arial" w:hAnsi="Arial"/>
      <w:kern w:val="2"/>
      <w:sz w:val="24"/>
      <w:szCs w:val="24"/>
      <w:shd w:val="pct20" w:color="auto" w:fill="auto"/>
    </w:rPr>
  </w:style>
  <w:style w:type="character" w:customStyle="1" w:styleId="48">
    <w:name w:val="cf01"/>
    <w:qFormat/>
    <w:uiPriority w:val="0"/>
    <w:rPr>
      <w:rFonts w:hint="eastAsia" w:ascii="Microsoft YaHei UI" w:hAnsi="Microsoft YaHei UI" w:eastAsia="Microsoft YaHei UI"/>
      <w:sz w:val="18"/>
      <w:szCs w:val="18"/>
    </w:rPr>
  </w:style>
  <w:style w:type="character" w:customStyle="1" w:styleId="49">
    <w:name w:val="font11"/>
    <w:qFormat/>
    <w:uiPriority w:val="0"/>
    <w:rPr>
      <w:rFonts w:hint="eastAsia" w:ascii="宋体" w:hAnsi="宋体" w:eastAsia="宋体" w:cs="宋体"/>
      <w:color w:val="000000"/>
      <w:sz w:val="24"/>
      <w:szCs w:val="24"/>
      <w:u w:val="none"/>
    </w:rPr>
  </w:style>
  <w:style w:type="character" w:customStyle="1" w:styleId="50">
    <w:name w:val="font51"/>
    <w:qFormat/>
    <w:uiPriority w:val="0"/>
    <w:rPr>
      <w:rFonts w:hint="eastAsia" w:ascii="宋体" w:hAnsi="宋体" w:eastAsia="宋体" w:cs="宋体"/>
      <w:color w:val="FF0000"/>
      <w:sz w:val="28"/>
      <w:szCs w:val="28"/>
      <w:u w:val="none"/>
    </w:rPr>
  </w:style>
  <w:style w:type="character" w:customStyle="1" w:styleId="51">
    <w:name w:val="font91"/>
    <w:qFormat/>
    <w:uiPriority w:val="0"/>
    <w:rPr>
      <w:rFonts w:hint="eastAsia" w:ascii="微软雅黑" w:hAnsi="微软雅黑" w:eastAsia="微软雅黑" w:cs="微软雅黑"/>
      <w:color w:val="FF0000"/>
      <w:sz w:val="20"/>
      <w:szCs w:val="20"/>
      <w:u w:val="none"/>
    </w:rPr>
  </w:style>
  <w:style w:type="character" w:customStyle="1" w:styleId="52">
    <w:name w:val="font101"/>
    <w:qFormat/>
    <w:uiPriority w:val="0"/>
    <w:rPr>
      <w:rFonts w:hint="default" w:ascii="Times New Roman" w:hAnsi="Times New Roman" w:cs="Times New Roman"/>
      <w:color w:val="000000"/>
      <w:sz w:val="20"/>
      <w:szCs w:val="20"/>
      <w:u w:val="none"/>
    </w:rPr>
  </w:style>
  <w:style w:type="character" w:customStyle="1" w:styleId="53">
    <w:name w:val="未处理的提及1"/>
    <w:unhideWhenUsed/>
    <w:qFormat/>
    <w:uiPriority w:val="99"/>
    <w:rPr>
      <w:color w:val="605E5C"/>
      <w:shd w:val="clear" w:color="auto" w:fill="E1DFDD"/>
    </w:rPr>
  </w:style>
  <w:style w:type="character" w:customStyle="1" w:styleId="54">
    <w:name w:val="未处理的提及2"/>
    <w:unhideWhenUsed/>
    <w:qFormat/>
    <w:uiPriority w:val="99"/>
    <w:rPr>
      <w:color w:val="605E5C"/>
      <w:shd w:val="clear" w:color="auto" w:fill="E1DFDD"/>
    </w:rPr>
  </w:style>
  <w:style w:type="character" w:customStyle="1" w:styleId="55">
    <w:name w:val="未处理的提及3"/>
    <w:unhideWhenUsed/>
    <w:qFormat/>
    <w:uiPriority w:val="99"/>
    <w:rPr>
      <w:color w:val="605E5C"/>
      <w:shd w:val="clear" w:color="auto" w:fill="E1DFDD"/>
    </w:rPr>
  </w:style>
  <w:style w:type="character" w:customStyle="1" w:styleId="56">
    <w:name w:val="未处理的提及4"/>
    <w:unhideWhenUsed/>
    <w:qFormat/>
    <w:uiPriority w:val="99"/>
    <w:rPr>
      <w:color w:val="605E5C"/>
      <w:shd w:val="clear" w:color="auto" w:fill="E1DFDD"/>
    </w:rPr>
  </w:style>
  <w:style w:type="character" w:customStyle="1" w:styleId="57">
    <w:name w:val="_Style 55"/>
    <w:unhideWhenUsed/>
    <w:qFormat/>
    <w:uiPriority w:val="99"/>
    <w:rPr>
      <w:color w:val="605E5C"/>
      <w:shd w:val="clear" w:color="auto" w:fill="E1DFDD"/>
    </w:rPr>
  </w:style>
  <w:style w:type="paragraph" w:customStyle="1" w:styleId="58">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59">
    <w:name w:val="_Style 16"/>
    <w:basedOn w:val="14"/>
    <w:next w:val="15"/>
    <w:qFormat/>
    <w:uiPriority w:val="0"/>
    <w:pPr>
      <w:ind w:firstLine="420" w:firstLineChars="200"/>
    </w:pPr>
  </w:style>
  <w:style w:type="paragraph" w:customStyle="1" w:styleId="60">
    <w:name w:val="纯文本 New New"/>
    <w:basedOn w:val="1"/>
    <w:next w:val="1"/>
    <w:qFormat/>
    <w:uiPriority w:val="0"/>
    <w:pPr>
      <w:autoSpaceDE w:val="0"/>
      <w:autoSpaceDN w:val="0"/>
      <w:adjustRightInd w:val="0"/>
      <w:jc w:val="left"/>
    </w:pPr>
    <w:rPr>
      <w:rFonts w:ascii="宋体"/>
    </w:rPr>
  </w:style>
  <w:style w:type="paragraph" w:customStyle="1" w:styleId="61">
    <w:name w:val="列表段落1"/>
    <w:basedOn w:val="1"/>
    <w:qFormat/>
    <w:uiPriority w:val="99"/>
    <w:pPr>
      <w:ind w:firstLine="420" w:firstLineChars="200"/>
    </w:pPr>
  </w:style>
  <w:style w:type="paragraph" w:customStyle="1" w:styleId="62">
    <w:name w:val="Table Text"/>
    <w:basedOn w:val="1"/>
    <w:semiHidden/>
    <w:qFormat/>
    <w:uiPriority w:val="0"/>
    <w:rPr>
      <w:rFonts w:ascii="宋体" w:hAnsi="宋体" w:cs="宋体"/>
      <w:sz w:val="20"/>
      <w:szCs w:val="20"/>
      <w:lang w:eastAsia="en-US"/>
    </w:rPr>
  </w:style>
  <w:style w:type="paragraph" w:customStyle="1" w:styleId="63">
    <w:name w:val="表格样式"/>
    <w:basedOn w:val="1"/>
    <w:qFormat/>
    <w:uiPriority w:val="0"/>
    <w:pPr>
      <w:spacing w:beforeLines="30"/>
      <w:jc w:val="left"/>
    </w:pPr>
    <w:rPr>
      <w:szCs w:val="21"/>
    </w:rPr>
  </w:style>
  <w:style w:type="paragraph" w:customStyle="1" w:styleId="64">
    <w:name w:val="修订2"/>
    <w:unhideWhenUsed/>
    <w:qFormat/>
    <w:uiPriority w:val="99"/>
    <w:rPr>
      <w:rFonts w:ascii="Times New Roman" w:hAnsi="Times New Roman" w:eastAsia="宋体" w:cs="Times New Roman"/>
      <w:kern w:val="2"/>
      <w:sz w:val="21"/>
      <w:szCs w:val="24"/>
      <w:lang w:val="en-US" w:eastAsia="zh-CN" w:bidi="ar-SA"/>
    </w:rPr>
  </w:style>
  <w:style w:type="paragraph" w:styleId="65">
    <w:name w:val="List Paragraph"/>
    <w:basedOn w:val="1"/>
    <w:qFormat/>
    <w:uiPriority w:val="34"/>
    <w:pPr>
      <w:ind w:firstLine="420" w:firstLineChars="200"/>
    </w:pPr>
  </w:style>
  <w:style w:type="paragraph" w:customStyle="1" w:styleId="66">
    <w:name w:val="正文缩进1"/>
    <w:basedOn w:val="1"/>
    <w:qFormat/>
    <w:uiPriority w:val="0"/>
    <w:pPr>
      <w:widowControl/>
      <w:ind w:firstLine="420"/>
      <w:jc w:val="left"/>
    </w:pPr>
    <w:rPr>
      <w:kern w:val="0"/>
    </w:rPr>
  </w:style>
  <w:style w:type="paragraph" w:customStyle="1" w:styleId="67">
    <w:name w:val="表格文字"/>
    <w:basedOn w:val="1"/>
    <w:qFormat/>
    <w:uiPriority w:val="0"/>
    <w:pPr>
      <w:spacing w:before="25" w:after="25"/>
    </w:pPr>
    <w:rPr>
      <w:bCs/>
      <w:spacing w:val="10"/>
      <w:sz w:val="24"/>
    </w:rPr>
  </w:style>
  <w:style w:type="paragraph" w:customStyle="1" w:styleId="68">
    <w:name w:val="样式 正文文字缩进 + 小四 首行缩进:  2 字符"/>
    <w:basedOn w:val="1"/>
    <w:qFormat/>
    <w:uiPriority w:val="0"/>
    <w:pPr>
      <w:spacing w:line="600" w:lineRule="exact"/>
      <w:jc w:val="center"/>
    </w:pPr>
    <w:rPr>
      <w:rFonts w:ascii="宋体"/>
      <w:b/>
      <w:u w:val="double"/>
    </w:rPr>
  </w:style>
  <w:style w:type="paragraph" w:customStyle="1" w:styleId="69">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正文文本首行缩进 21"/>
    <w:basedOn w:val="14"/>
    <w:qFormat/>
    <w:uiPriority w:val="0"/>
    <w:pPr>
      <w:spacing w:after="120" w:line="240" w:lineRule="auto"/>
      <w:ind w:left="420" w:leftChars="200" w:firstLine="420" w:firstLineChars="200"/>
    </w:pPr>
    <w:rPr>
      <w:sz w:val="21"/>
      <w:szCs w:val="24"/>
    </w:rPr>
  </w:style>
  <w:style w:type="paragraph" w:customStyle="1" w:styleId="71">
    <w:name w:val="修订3"/>
    <w:unhideWhenUsed/>
    <w:qFormat/>
    <w:uiPriority w:val="99"/>
    <w:rPr>
      <w:rFonts w:ascii="Times New Roman" w:hAnsi="Times New Roman" w:eastAsia="宋体" w:cs="Times New Roman"/>
      <w:kern w:val="2"/>
      <w:sz w:val="21"/>
      <w:szCs w:val="24"/>
      <w:lang w:val="en-US" w:eastAsia="zh-CN" w:bidi="ar-SA"/>
    </w:rPr>
  </w:style>
  <w:style w:type="paragraph" w:customStyle="1" w:styleId="72">
    <w:name w:val="修订8"/>
    <w:semiHidden/>
    <w:qFormat/>
    <w:uiPriority w:val="99"/>
    <w:rPr>
      <w:rFonts w:ascii="Times New Roman" w:hAnsi="Times New Roman" w:eastAsia="宋体" w:cs="Times New Roman"/>
      <w:kern w:val="2"/>
      <w:sz w:val="21"/>
      <w:szCs w:val="24"/>
      <w:lang w:val="en-US" w:eastAsia="zh-CN" w:bidi="ar-SA"/>
    </w:rPr>
  </w:style>
  <w:style w:type="paragraph" w:customStyle="1" w:styleId="73">
    <w:name w:val="修订31"/>
    <w:unhideWhenUsed/>
    <w:qFormat/>
    <w:uiPriority w:val="99"/>
    <w:rPr>
      <w:rFonts w:ascii="Times New Roman" w:hAnsi="Times New Roman" w:eastAsia="宋体" w:cs="Times New Roman"/>
      <w:kern w:val="2"/>
      <w:sz w:val="21"/>
      <w:szCs w:val="24"/>
      <w:lang w:val="en-US" w:eastAsia="zh-CN" w:bidi="ar-SA"/>
    </w:rPr>
  </w:style>
  <w:style w:type="paragraph" w:customStyle="1" w:styleId="74">
    <w:name w:val="Default"/>
    <w:next w:val="1"/>
    <w:qFormat/>
    <w:uiPriority w:val="0"/>
    <w:pPr>
      <w:widowControl w:val="0"/>
      <w:autoSpaceDE w:val="0"/>
      <w:autoSpaceDN w:val="0"/>
      <w:adjustRightInd w:val="0"/>
    </w:pPr>
    <w:rPr>
      <w:rFonts w:ascii="华文细黑" w:hAnsi="Calibri" w:eastAsia="华文细黑" w:cs="华文细黑"/>
      <w:color w:val="000000"/>
      <w:sz w:val="24"/>
      <w:szCs w:val="24"/>
      <w:lang w:val="en-US" w:eastAsia="zh-CN" w:bidi="ar-SA"/>
    </w:rPr>
  </w:style>
  <w:style w:type="paragraph" w:customStyle="1" w:styleId="75">
    <w:name w:val="标题 5（有编号）（绿盟科技）"/>
    <w:basedOn w:val="76"/>
    <w:next w:val="79"/>
    <w:qFormat/>
    <w:uiPriority w:val="0"/>
    <w:pPr>
      <w:keepNext/>
      <w:keepLines/>
      <w:numPr>
        <w:ilvl w:val="4"/>
        <w:numId w:val="2"/>
      </w:numPr>
      <w:tabs>
        <w:tab w:val="left" w:pos="0"/>
      </w:tabs>
      <w:spacing w:before="280" w:after="156" w:line="377" w:lineRule="auto"/>
      <w:outlineLvl w:val="4"/>
    </w:pPr>
    <w:rPr>
      <w:rFonts w:ascii="Arial" w:hAnsi="Arial" w:eastAsia="黑体"/>
      <w:b/>
      <w:szCs w:val="28"/>
    </w:rPr>
  </w:style>
  <w:style w:type="paragraph" w:customStyle="1" w:styleId="76">
    <w:name w:val="正文1"/>
    <w:next w:val="77"/>
    <w:qFormat/>
    <w:uiPriority w:val="0"/>
    <w:pPr>
      <w:widowControl w:val="0"/>
      <w:adjustRightInd w:val="0"/>
      <w:spacing w:after="160" w:line="312" w:lineRule="atLeast"/>
      <w:jc w:val="both"/>
      <w:textAlignment w:val="baseline"/>
    </w:pPr>
    <w:rPr>
      <w:rFonts w:ascii="宋体" w:hAnsi="Calibri" w:eastAsia="宋体" w:cs="Times New Roman"/>
      <w:sz w:val="34"/>
      <w:szCs w:val="22"/>
      <w:lang w:val="en-US" w:eastAsia="zh-CN" w:bidi="ar-SA"/>
    </w:rPr>
  </w:style>
  <w:style w:type="paragraph" w:customStyle="1" w:styleId="77">
    <w:name w:val="正文文本1"/>
    <w:basedOn w:val="78"/>
    <w:next w:val="76"/>
    <w:qFormat/>
    <w:uiPriority w:val="0"/>
    <w:pPr>
      <w:spacing w:afterLines="50"/>
    </w:pPr>
  </w:style>
  <w:style w:type="paragraph" w:customStyle="1" w:styleId="78">
    <w:name w:val="表格内1"/>
    <w:next w:val="77"/>
    <w:qFormat/>
    <w:uiPriority w:val="0"/>
    <w:pPr>
      <w:widowControl w:val="0"/>
      <w:ind w:left="425" w:hanging="425"/>
      <w:jc w:val="both"/>
    </w:pPr>
    <w:rPr>
      <w:rFonts w:ascii="Calibri" w:hAnsi="Calibri" w:eastAsia="宋体" w:cs="黑体"/>
      <w:b/>
      <w:kern w:val="2"/>
      <w:sz w:val="21"/>
      <w:szCs w:val="22"/>
      <w:lang w:val="en-US" w:eastAsia="zh-CN" w:bidi="ar-SA"/>
    </w:rPr>
  </w:style>
  <w:style w:type="paragraph" w:customStyle="1" w:styleId="79">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80">
    <w:name w:val="修订5"/>
    <w:unhideWhenUsed/>
    <w:qFormat/>
    <w:uiPriority w:val="99"/>
    <w:rPr>
      <w:rFonts w:ascii="Times New Roman" w:hAnsi="Times New Roman" w:eastAsia="宋体" w:cs="Times New Roman"/>
      <w:kern w:val="2"/>
      <w:sz w:val="21"/>
      <w:szCs w:val="24"/>
      <w:lang w:val="en-US" w:eastAsia="zh-CN" w:bidi="ar-SA"/>
    </w:rPr>
  </w:style>
  <w:style w:type="paragraph" w:customStyle="1" w:styleId="81">
    <w:name w:val="_Style 79"/>
    <w:unhideWhenUsed/>
    <w:qFormat/>
    <w:uiPriority w:val="99"/>
    <w:rPr>
      <w:rFonts w:ascii="Times New Roman" w:hAnsi="Times New Roman" w:eastAsia="宋体" w:cs="Times New Roman"/>
      <w:kern w:val="2"/>
      <w:sz w:val="21"/>
      <w:szCs w:val="24"/>
      <w:lang w:val="en-US" w:eastAsia="zh-CN" w:bidi="ar-SA"/>
    </w:rPr>
  </w:style>
  <w:style w:type="paragraph" w:customStyle="1" w:styleId="82">
    <w:name w:val="修订7"/>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修订6"/>
    <w:unhideWhenUsed/>
    <w:qFormat/>
    <w:uiPriority w:val="99"/>
    <w:rPr>
      <w:rFonts w:ascii="Times New Roman" w:hAnsi="Times New Roman" w:eastAsia="宋体" w:cs="Times New Roman"/>
      <w:kern w:val="2"/>
      <w:sz w:val="21"/>
      <w:szCs w:val="24"/>
      <w:lang w:val="en-US" w:eastAsia="zh-CN" w:bidi="ar-SA"/>
    </w:rPr>
  </w:style>
  <w:style w:type="paragraph" w:customStyle="1" w:styleId="84">
    <w:name w:val="修订4"/>
    <w:unhideWhenUsed/>
    <w:qFormat/>
    <w:uiPriority w:val="99"/>
    <w:rPr>
      <w:rFonts w:ascii="Times New Roman" w:hAnsi="Times New Roman" w:eastAsia="宋体" w:cs="Times New Roman"/>
      <w:kern w:val="2"/>
      <w:sz w:val="21"/>
      <w:szCs w:val="24"/>
      <w:lang w:val="en-US" w:eastAsia="zh-CN" w:bidi="ar-SA"/>
    </w:rPr>
  </w:style>
  <w:style w:type="paragraph" w:customStyle="1" w:styleId="85">
    <w:name w:val="修订9"/>
    <w:unhideWhenUsed/>
    <w:qFormat/>
    <w:uiPriority w:val="99"/>
    <w:rPr>
      <w:rFonts w:ascii="Times New Roman" w:hAnsi="Times New Roman" w:eastAsia="宋体" w:cs="Times New Roman"/>
      <w:kern w:val="2"/>
      <w:sz w:val="21"/>
      <w:szCs w:val="24"/>
      <w:lang w:val="en-US" w:eastAsia="zh-CN" w:bidi="ar-SA"/>
    </w:rPr>
  </w:style>
  <w:style w:type="paragraph" w:customStyle="1" w:styleId="86">
    <w:name w:val="Table Paragraph"/>
    <w:basedOn w:val="1"/>
    <w:qFormat/>
    <w:uiPriority w:val="0"/>
  </w:style>
  <w:style w:type="paragraph" w:customStyle="1" w:styleId="87">
    <w:name w:val="样式 首行缩进:  0 字符"/>
    <w:basedOn w:val="1"/>
    <w:qFormat/>
    <w:uiPriority w:val="0"/>
  </w:style>
  <w:style w:type="character" w:customStyle="1" w:styleId="88">
    <w:name w:val="font112"/>
    <w:qFormat/>
    <w:uiPriority w:val="0"/>
    <w:rPr>
      <w:rFonts w:hint="default" w:ascii="Times New Roman" w:hAnsi="Times New Roman" w:eastAsia="宋体" w:cs="Times New Roman"/>
      <w:color w:val="000000"/>
      <w:sz w:val="20"/>
      <w:szCs w:val="20"/>
      <w:u w:val="none"/>
    </w:rPr>
  </w:style>
  <w:style w:type="character" w:customStyle="1" w:styleId="89">
    <w:name w:val="font21"/>
    <w:qFormat/>
    <w:uiPriority w:val="0"/>
    <w:rPr>
      <w:rFonts w:hint="eastAsia" w:ascii="宋体" w:hAnsi="宋体" w:eastAsia="宋体" w:cs="宋体"/>
      <w:color w:val="000000"/>
      <w:sz w:val="20"/>
      <w:szCs w:val="20"/>
      <w:u w:val="none"/>
    </w:rPr>
  </w:style>
  <w:style w:type="character" w:customStyle="1" w:styleId="90">
    <w:name w:val="font81"/>
    <w:qFormat/>
    <w:uiPriority w:val="0"/>
    <w:rPr>
      <w:rFonts w:hint="eastAsia" w:ascii="宋体" w:hAnsi="宋体" w:eastAsia="宋体" w:cs="宋体"/>
      <w:color w:val="000000"/>
      <w:sz w:val="20"/>
      <w:szCs w:val="20"/>
      <w:u w:val="none"/>
      <w:vertAlign w:val="superscript"/>
    </w:rPr>
  </w:style>
  <w:style w:type="character" w:customStyle="1" w:styleId="91">
    <w:name w:val="font111"/>
    <w:qFormat/>
    <w:uiPriority w:val="0"/>
    <w:rPr>
      <w:rFonts w:hint="default" w:ascii="Times New Roman" w:hAnsi="Times New Roman" w:eastAsia="宋体" w:cs="Times New Roman"/>
      <w:color w:val="000000"/>
      <w:sz w:val="20"/>
      <w:szCs w:val="20"/>
      <w:u w:val="none"/>
    </w:rPr>
  </w:style>
  <w:style w:type="character" w:customStyle="1" w:styleId="92">
    <w:name w:val="font61"/>
    <w:qFormat/>
    <w:uiPriority w:val="0"/>
    <w:rPr>
      <w:rFonts w:hint="eastAsia" w:ascii="宋体" w:hAnsi="宋体" w:eastAsia="宋体" w:cs="宋体"/>
      <w:color w:val="000000"/>
      <w:sz w:val="20"/>
      <w:szCs w:val="20"/>
      <w:u w:val="none"/>
    </w:rPr>
  </w:style>
  <w:style w:type="character" w:customStyle="1" w:styleId="93">
    <w:name w:val="font71"/>
    <w:qFormat/>
    <w:uiPriority w:val="0"/>
    <w:rPr>
      <w:rFonts w:hint="eastAsia" w:ascii="宋体" w:hAnsi="宋体" w:eastAsia="宋体" w:cs="宋体"/>
      <w:color w:val="000000"/>
      <w:sz w:val="20"/>
      <w:szCs w:val="20"/>
      <w:u w:val="none"/>
    </w:rPr>
  </w:style>
  <w:style w:type="character" w:customStyle="1" w:styleId="94">
    <w:name w:val="font151"/>
    <w:qFormat/>
    <w:uiPriority w:val="0"/>
    <w:rPr>
      <w:rFonts w:hint="eastAsia" w:ascii="宋体" w:hAnsi="宋体" w:eastAsia="宋体" w:cs="宋体"/>
      <w:color w:val="000000"/>
      <w:sz w:val="20"/>
      <w:szCs w:val="20"/>
      <w:u w:val="none"/>
      <w:vertAlign w:val="superscript"/>
    </w:rPr>
  </w:style>
  <w:style w:type="character" w:customStyle="1" w:styleId="95">
    <w:name w:val="font41"/>
    <w:qFormat/>
    <w:uiPriority w:val="0"/>
    <w:rPr>
      <w:rFonts w:hint="eastAsia" w:ascii="宋体" w:hAnsi="宋体" w:eastAsia="宋体" w:cs="宋体"/>
      <w:color w:val="FF0000"/>
      <w:sz w:val="20"/>
      <w:szCs w:val="20"/>
      <w:u w:val="none"/>
    </w:rPr>
  </w:style>
  <w:style w:type="paragraph" w:customStyle="1" w:styleId="96">
    <w:name w:val="修订10"/>
    <w:hidden/>
    <w:unhideWhenUsed/>
    <w:qFormat/>
    <w:uiPriority w:val="99"/>
    <w:rPr>
      <w:rFonts w:ascii="Times New Roman" w:hAnsi="Times New Roman" w:eastAsia="宋体" w:cs="Times New Roman"/>
      <w:kern w:val="2"/>
      <w:sz w:val="21"/>
      <w:szCs w:val="24"/>
      <w:lang w:val="en-US" w:eastAsia="zh-CN" w:bidi="ar-SA"/>
    </w:rPr>
  </w:style>
  <w:style w:type="character" w:customStyle="1" w:styleId="97">
    <w:name w:val="font01"/>
    <w:basedOn w:val="33"/>
    <w:qFormat/>
    <w:uiPriority w:val="0"/>
    <w:rPr>
      <w:rFonts w:hint="eastAsia" w:ascii="宋体" w:hAnsi="宋体" w:eastAsia="宋体" w:cs="宋体"/>
      <w:color w:val="000000"/>
      <w:sz w:val="22"/>
      <w:szCs w:val="22"/>
      <w:u w:val="none"/>
    </w:rPr>
  </w:style>
  <w:style w:type="character" w:customStyle="1" w:styleId="98">
    <w:name w:val="font31"/>
    <w:basedOn w:val="33"/>
    <w:qFormat/>
    <w:uiPriority w:val="0"/>
    <w:rPr>
      <w:rFonts w:hint="eastAsia" w:ascii="宋体" w:hAnsi="宋体" w:eastAsia="宋体" w:cs="宋体"/>
      <w:color w:val="FF0000"/>
      <w:sz w:val="22"/>
      <w:szCs w:val="22"/>
      <w:u w:val="none"/>
    </w:rPr>
  </w:style>
  <w:style w:type="character" w:customStyle="1" w:styleId="99">
    <w:name w:val="未处理的提及5"/>
    <w:basedOn w:val="33"/>
    <w:semiHidden/>
    <w:unhideWhenUsed/>
    <w:qFormat/>
    <w:uiPriority w:val="99"/>
    <w:rPr>
      <w:color w:val="605E5C"/>
      <w:shd w:val="clear" w:color="auto" w:fill="E1DFDD"/>
    </w:rPr>
  </w:style>
  <w:style w:type="paragraph" w:customStyle="1" w:styleId="100">
    <w:name w:val="修订11"/>
    <w:hidden/>
    <w:unhideWhenUsed/>
    <w:qFormat/>
    <w:uiPriority w:val="99"/>
    <w:rPr>
      <w:rFonts w:ascii="Times New Roman" w:hAnsi="Times New Roman" w:eastAsia="宋体" w:cs="Times New Roman"/>
      <w:kern w:val="2"/>
      <w:sz w:val="21"/>
      <w:szCs w:val="24"/>
      <w:lang w:val="en-US" w:eastAsia="zh-CN" w:bidi="ar-SA"/>
    </w:rPr>
  </w:style>
  <w:style w:type="character" w:customStyle="1" w:styleId="101">
    <w:name w:val="未处理的提及6"/>
    <w:basedOn w:val="33"/>
    <w:semiHidden/>
    <w:unhideWhenUsed/>
    <w:qFormat/>
    <w:uiPriority w:val="99"/>
    <w:rPr>
      <w:color w:val="605E5C"/>
      <w:shd w:val="clear" w:color="auto" w:fill="E1DFDD"/>
    </w:rPr>
  </w:style>
  <w:style w:type="paragraph" w:customStyle="1" w:styleId="102">
    <w:name w:val="修订12"/>
    <w:hidden/>
    <w:unhideWhenUsed/>
    <w:qFormat/>
    <w:uiPriority w:val="99"/>
    <w:rPr>
      <w:rFonts w:ascii="Times New Roman" w:hAnsi="Times New Roman" w:eastAsia="宋体" w:cs="Times New Roman"/>
      <w:kern w:val="2"/>
      <w:sz w:val="21"/>
      <w:szCs w:val="24"/>
      <w:lang w:val="en-US" w:eastAsia="zh-CN" w:bidi="ar-SA"/>
    </w:rPr>
  </w:style>
  <w:style w:type="character" w:customStyle="1" w:styleId="103">
    <w:name w:val="未处理的提及7"/>
    <w:basedOn w:val="33"/>
    <w:semiHidden/>
    <w:unhideWhenUsed/>
    <w:qFormat/>
    <w:uiPriority w:val="99"/>
    <w:rPr>
      <w:color w:val="605E5C"/>
      <w:shd w:val="clear" w:color="auto" w:fill="E1DFDD"/>
    </w:rPr>
  </w:style>
  <w:style w:type="paragraph" w:customStyle="1" w:styleId="104">
    <w:name w:val="Y正文GBK"/>
    <w:basedOn w:val="1"/>
    <w:qFormat/>
    <w:uiPriority w:val="0"/>
    <w:pPr>
      <w:spacing w:line="560" w:lineRule="exact"/>
      <w:ind w:firstLine="640"/>
    </w:pPr>
    <w:rPr>
      <w:rFonts w:ascii="方正仿宋_GBK" w:hAnsi="黑体" w:eastAsia="方正仿宋_GBK"/>
      <w:szCs w:val="32"/>
    </w:rPr>
  </w:style>
  <w:style w:type="paragraph" w:customStyle="1" w:styleId="105">
    <w:name w:val="Body Text First Indent 21"/>
    <w:basedOn w:val="1"/>
    <w:qFormat/>
    <w:uiPriority w:val="0"/>
    <w:pPr>
      <w:spacing w:after="120"/>
      <w:ind w:left="420" w:leftChars="200" w:firstLine="420" w:firstLineChars="200"/>
    </w:pPr>
    <w:rPr>
      <w:rFonts w:ascii="宋体" w:hAnsi="Calibri"/>
      <w:spacing w:val="-4"/>
    </w:rPr>
  </w:style>
  <w:style w:type="paragraph" w:customStyle="1" w:styleId="106">
    <w:name w:val="修订13"/>
    <w:hidden/>
    <w:unhideWhenUsed/>
    <w:qFormat/>
    <w:uiPriority w:val="99"/>
    <w:rPr>
      <w:rFonts w:ascii="Times New Roman" w:hAnsi="Times New Roman" w:eastAsia="宋体" w:cs="Times New Roman"/>
      <w:kern w:val="2"/>
      <w:sz w:val="21"/>
      <w:szCs w:val="24"/>
      <w:lang w:val="en-US" w:eastAsia="zh-CN" w:bidi="ar-SA"/>
    </w:rPr>
  </w:style>
  <w:style w:type="paragraph" w:customStyle="1" w:styleId="107">
    <w:name w:val="修订14"/>
    <w:hidden/>
    <w:unhideWhenUsed/>
    <w:qFormat/>
    <w:uiPriority w:val="99"/>
    <w:rPr>
      <w:rFonts w:ascii="Times New Roman" w:hAnsi="Times New Roman" w:eastAsia="宋体" w:cs="Times New Roman"/>
      <w:kern w:val="2"/>
      <w:sz w:val="21"/>
      <w:szCs w:val="24"/>
      <w:lang w:val="en-US" w:eastAsia="zh-CN" w:bidi="ar-SA"/>
    </w:rPr>
  </w:style>
  <w:style w:type="character" w:customStyle="1" w:styleId="108">
    <w:name w:val="未处理的提及8"/>
    <w:basedOn w:val="33"/>
    <w:semiHidden/>
    <w:unhideWhenUsed/>
    <w:qFormat/>
    <w:uiPriority w:val="99"/>
    <w:rPr>
      <w:color w:val="605E5C"/>
      <w:shd w:val="clear" w:color="auto" w:fill="E1DFDD"/>
    </w:rPr>
  </w:style>
  <w:style w:type="paragraph" w:customStyle="1" w:styleId="109">
    <w:name w:val="修订15"/>
    <w:hidden/>
    <w:unhideWhenUsed/>
    <w:qFormat/>
    <w:uiPriority w:val="99"/>
    <w:rPr>
      <w:rFonts w:ascii="Times New Roman" w:hAnsi="Times New Roman" w:eastAsia="宋体" w:cs="Times New Roman"/>
      <w:kern w:val="2"/>
      <w:sz w:val="21"/>
      <w:szCs w:val="24"/>
      <w:lang w:val="en-US" w:eastAsia="zh-CN" w:bidi="ar-SA"/>
    </w:rPr>
  </w:style>
  <w:style w:type="paragraph" w:customStyle="1" w:styleId="110">
    <w:name w:val="修订16"/>
    <w:hidden/>
    <w:unhideWhenUsed/>
    <w:qFormat/>
    <w:uiPriority w:val="99"/>
    <w:rPr>
      <w:rFonts w:ascii="Times New Roman" w:hAnsi="Times New Roman" w:eastAsia="宋体" w:cs="Times New Roman"/>
      <w:kern w:val="2"/>
      <w:sz w:val="21"/>
      <w:szCs w:val="24"/>
      <w:lang w:val="en-US" w:eastAsia="zh-CN" w:bidi="ar-SA"/>
    </w:rPr>
  </w:style>
  <w:style w:type="character" w:customStyle="1" w:styleId="111">
    <w:name w:val="未处理的提及9"/>
    <w:basedOn w:val="33"/>
    <w:semiHidden/>
    <w:unhideWhenUsed/>
    <w:qFormat/>
    <w:uiPriority w:val="99"/>
    <w:rPr>
      <w:color w:val="605E5C"/>
      <w:shd w:val="clear" w:color="auto" w:fill="E1DFDD"/>
    </w:rPr>
  </w:style>
  <w:style w:type="character" w:customStyle="1" w:styleId="112">
    <w:name w:val="正文文本缩进 字符"/>
    <w:link w:val="14"/>
    <w:qFormat/>
    <w:uiPriority w:val="0"/>
    <w:rPr>
      <w:rFonts w:ascii="宋体"/>
      <w:spacing w:val="-4"/>
      <w:kern w:val="2"/>
      <w:sz w:val="18"/>
    </w:rPr>
  </w:style>
  <w:style w:type="paragraph" w:customStyle="1" w:styleId="113">
    <w:name w:val="null3"/>
    <w:qFormat/>
    <w:uiPriority w:val="0"/>
    <w:rPr>
      <w:rFonts w:hint="eastAsia" w:ascii="Calibri" w:hAnsi="Calibri" w:eastAsia="宋体" w:cs="Times New Roman"/>
      <w:lang w:val="en-US" w:eastAsia="zh-Hans" w:bidi="ar-SA"/>
    </w:rPr>
  </w:style>
  <w:style w:type="character" w:customStyle="1" w:styleId="114">
    <w:name w:val="未处理的提及10"/>
    <w:basedOn w:val="33"/>
    <w:semiHidden/>
    <w:unhideWhenUsed/>
    <w:qFormat/>
    <w:uiPriority w:val="99"/>
    <w:rPr>
      <w:color w:val="605E5C"/>
      <w:shd w:val="clear" w:color="auto" w:fill="E1DFDD"/>
    </w:rPr>
  </w:style>
  <w:style w:type="paragraph" w:customStyle="1" w:styleId="115">
    <w:name w:val="修订17"/>
    <w:hidden/>
    <w:unhideWhenUsed/>
    <w:qFormat/>
    <w:uiPriority w:val="99"/>
    <w:rPr>
      <w:rFonts w:ascii="Times New Roman" w:hAnsi="Times New Roman" w:eastAsia="宋体" w:cs="Times New Roman"/>
      <w:kern w:val="2"/>
      <w:sz w:val="21"/>
      <w:szCs w:val="24"/>
      <w:lang w:val="en-US" w:eastAsia="zh-CN" w:bidi="ar-SA"/>
    </w:rPr>
  </w:style>
  <w:style w:type="paragraph" w:customStyle="1" w:styleId="116">
    <w:name w:val="修订18"/>
    <w:hidden/>
    <w:unhideWhenUsed/>
    <w:qFormat/>
    <w:uiPriority w:val="99"/>
    <w:rPr>
      <w:rFonts w:ascii="Times New Roman" w:hAnsi="Times New Roman" w:eastAsia="宋体" w:cs="Times New Roman"/>
      <w:kern w:val="2"/>
      <w:sz w:val="21"/>
      <w:szCs w:val="24"/>
      <w:lang w:val="en-US" w:eastAsia="zh-CN" w:bidi="ar-SA"/>
    </w:rPr>
  </w:style>
  <w:style w:type="paragraph" w:customStyle="1" w:styleId="117">
    <w:name w:val="修订19"/>
    <w:hidden/>
    <w:unhideWhenUsed/>
    <w:qFormat/>
    <w:uiPriority w:val="99"/>
    <w:rPr>
      <w:rFonts w:ascii="Times New Roman" w:hAnsi="Times New Roman" w:eastAsia="宋体" w:cs="Times New Roman"/>
      <w:kern w:val="2"/>
      <w:sz w:val="21"/>
      <w:szCs w:val="24"/>
      <w:lang w:val="en-US" w:eastAsia="zh-CN" w:bidi="ar-SA"/>
    </w:rPr>
  </w:style>
  <w:style w:type="character" w:customStyle="1" w:styleId="118">
    <w:name w:val="未处理的提及11"/>
    <w:basedOn w:val="3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BD8BE5-7061-44B8-AB3E-8F5C815AC44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80</Pages>
  <Words>16057</Words>
  <Characters>17324</Characters>
  <Lines>1817</Lines>
  <Paragraphs>1631</Paragraphs>
  <TotalTime>20</TotalTime>
  <ScaleCrop>false</ScaleCrop>
  <LinksUpToDate>false</LinksUpToDate>
  <CharactersWithSpaces>17888</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2025-08-12T06:25:00Z</dcterms:created>
  <dc:creator>Administrator</dc:creator>
  <cp:lastModifiedBy>Administrator</cp:lastModifiedBy>
  <cp:lastPrinted>2025-10-17T16:25:00Z</cp:lastPrinted>
  <dcterms:modified xsi:type="dcterms:W3CDTF">2026-08-12T02:43:43Z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541DEC532BCF662E74B1746AA2905FB1_43</vt:lpwstr>
  </property>
  <property fmtid="{D5CDD505-2E9C-101B-9397-08002B2CF9AE}" pid="4" name="KSOTemplateDocerSaveRecord">
    <vt:lpwstr>eyJoZGlkIjoiZjA4MGIzOGQ0MTVjNzhiNjk5ODgxZGZhMGVlNTI1M2EiLCJ1c2VySWQiOiIxNzE1Mzg4NjUzIn0=</vt:lpwstr>
  </property>
</Properties>
</file>