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eastAsia="宋体" w:cs="宋体"/>
          <w:b/>
          <w:bCs/>
          <w:sz w:val="32"/>
          <w:szCs w:val="32"/>
        </w:rPr>
      </w:pPr>
      <w:bookmarkStart w:id="1" w:name="_GoBack"/>
      <w:r>
        <w:rPr>
          <w:rFonts w:hint="eastAsia" w:ascii="宋体" w:hAnsi="宋体" w:eastAsia="宋体" w:cs="宋体"/>
          <w:b/>
          <w:bCs/>
          <w:sz w:val="32"/>
          <w:szCs w:val="32"/>
        </w:rPr>
        <w:t>广州南站候车厅LED广告项目</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1、服务期限：2年.</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2、在广东省广州市广州南站三层候车厅休息区内投放广东福彩营销、公益宣传（视频/平面）广告。</w:t>
      </w:r>
    </w:p>
    <w:tbl>
      <w:tblPr>
        <w:tblStyle w:val="18"/>
        <w:tblW w:w="49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8"/>
        <w:gridCol w:w="1075"/>
        <w:gridCol w:w="1044"/>
        <w:gridCol w:w="1001"/>
        <w:gridCol w:w="1123"/>
        <w:gridCol w:w="1053"/>
        <w:gridCol w:w="1267"/>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2" w:hRule="atLeast"/>
        </w:trPr>
        <w:tc>
          <w:tcPr>
            <w:tcW w:w="427" w:type="pct"/>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638" w:type="pct"/>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媒体</w:t>
            </w:r>
          </w:p>
          <w:p>
            <w:pPr>
              <w:jc w:val="center"/>
              <w:rPr>
                <w:rFonts w:hint="eastAsia" w:ascii="宋体" w:hAnsi="宋体" w:eastAsia="宋体" w:cs="宋体"/>
                <w:b/>
                <w:bCs/>
                <w:sz w:val="24"/>
                <w:szCs w:val="24"/>
              </w:rPr>
            </w:pPr>
            <w:r>
              <w:rPr>
                <w:rFonts w:hint="eastAsia" w:ascii="宋体" w:hAnsi="宋体" w:eastAsia="宋体" w:cs="宋体"/>
                <w:b/>
                <w:bCs/>
                <w:sz w:val="24"/>
                <w:szCs w:val="24"/>
              </w:rPr>
              <w:t>位置</w:t>
            </w:r>
          </w:p>
        </w:tc>
        <w:tc>
          <w:tcPr>
            <w:tcW w:w="620" w:type="pct"/>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媒体类型</w:t>
            </w:r>
          </w:p>
        </w:tc>
        <w:tc>
          <w:tcPr>
            <w:tcW w:w="594" w:type="pct"/>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媒体</w:t>
            </w:r>
          </w:p>
          <w:p>
            <w:pPr>
              <w:jc w:val="center"/>
              <w:rPr>
                <w:rFonts w:hint="eastAsia" w:ascii="宋体" w:hAnsi="宋体" w:eastAsia="宋体" w:cs="宋体"/>
                <w:b/>
                <w:bCs/>
                <w:sz w:val="24"/>
                <w:szCs w:val="24"/>
              </w:rPr>
            </w:pPr>
            <w:r>
              <w:rPr>
                <w:rFonts w:hint="eastAsia" w:ascii="宋体" w:hAnsi="宋体" w:eastAsia="宋体" w:cs="宋体"/>
                <w:b/>
                <w:bCs/>
                <w:sz w:val="24"/>
                <w:szCs w:val="24"/>
              </w:rPr>
              <w:t>数量</w:t>
            </w:r>
          </w:p>
        </w:tc>
        <w:tc>
          <w:tcPr>
            <w:tcW w:w="667" w:type="pct"/>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屏幕尺寸</w:t>
            </w:r>
          </w:p>
        </w:tc>
        <w:tc>
          <w:tcPr>
            <w:tcW w:w="625" w:type="pct"/>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广告</w:t>
            </w:r>
          </w:p>
          <w:p>
            <w:pPr>
              <w:jc w:val="center"/>
              <w:rPr>
                <w:rFonts w:hint="eastAsia" w:ascii="宋体" w:hAnsi="宋体" w:eastAsia="宋体" w:cs="宋体"/>
                <w:b/>
                <w:bCs/>
                <w:sz w:val="24"/>
                <w:szCs w:val="24"/>
              </w:rPr>
            </w:pPr>
            <w:r>
              <w:rPr>
                <w:rFonts w:hint="eastAsia" w:ascii="宋体" w:hAnsi="宋体" w:eastAsia="宋体" w:cs="宋体"/>
                <w:b/>
                <w:bCs/>
                <w:sz w:val="24"/>
                <w:szCs w:val="24"/>
              </w:rPr>
              <w:t>频次</w:t>
            </w:r>
          </w:p>
        </w:tc>
        <w:tc>
          <w:tcPr>
            <w:tcW w:w="752" w:type="pct"/>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广告</w:t>
            </w:r>
          </w:p>
          <w:p>
            <w:pPr>
              <w:jc w:val="center"/>
              <w:rPr>
                <w:rFonts w:hint="eastAsia" w:ascii="宋体" w:hAnsi="宋体" w:eastAsia="宋体" w:cs="宋体"/>
                <w:b/>
                <w:bCs/>
                <w:sz w:val="24"/>
                <w:szCs w:val="24"/>
              </w:rPr>
            </w:pPr>
            <w:r>
              <w:rPr>
                <w:rFonts w:hint="eastAsia" w:ascii="宋体" w:hAnsi="宋体" w:eastAsia="宋体" w:cs="宋体"/>
                <w:b/>
                <w:bCs/>
                <w:sz w:val="24"/>
                <w:szCs w:val="24"/>
              </w:rPr>
              <w:t>规格</w:t>
            </w:r>
          </w:p>
        </w:tc>
        <w:tc>
          <w:tcPr>
            <w:tcW w:w="673" w:type="pct"/>
            <w:shd w:val="clear" w:color="auto" w:fill="auto"/>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投放数量</w:t>
            </w:r>
          </w:p>
          <w:p>
            <w:pPr>
              <w:jc w:val="center"/>
              <w:rPr>
                <w:rFonts w:hint="eastAsia" w:ascii="宋体" w:hAnsi="宋体" w:eastAsia="宋体" w:cs="宋体"/>
                <w:b/>
                <w:bCs/>
                <w:snapToGrid w:val="0"/>
                <w:sz w:val="24"/>
                <w:szCs w:val="24"/>
              </w:rPr>
            </w:pPr>
            <w:r>
              <w:rPr>
                <w:rFonts w:hint="eastAsia" w:ascii="宋体" w:hAnsi="宋体" w:eastAsia="宋体" w:cs="宋体"/>
                <w:b/>
                <w:bCs/>
                <w:sz w:val="24"/>
                <w:szCs w:val="24"/>
              </w:rPr>
              <w:t>(组)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2" w:hRule="atLeast"/>
        </w:trPr>
        <w:tc>
          <w:tcPr>
            <w:tcW w:w="427" w:type="pct"/>
            <w:vAlign w:val="center"/>
          </w:tcPr>
          <w:p>
            <w:pPr>
              <w:jc w:val="center"/>
              <w:rPr>
                <w:rFonts w:hint="eastAsia" w:ascii="宋体" w:hAnsi="宋体" w:eastAsia="宋体" w:cs="宋体"/>
                <w:sz w:val="24"/>
                <w:szCs w:val="24"/>
              </w:rPr>
            </w:pPr>
            <w:r>
              <w:rPr>
                <w:rFonts w:hint="eastAsia" w:ascii="宋体" w:hAnsi="宋体" w:eastAsia="宋体" w:cs="宋体"/>
                <w:sz w:val="24"/>
                <w:szCs w:val="24"/>
              </w:rPr>
              <w:t>1</w:t>
            </w:r>
          </w:p>
        </w:tc>
        <w:tc>
          <w:tcPr>
            <w:tcW w:w="638" w:type="pct"/>
            <w:vAlign w:val="center"/>
          </w:tcPr>
          <w:p>
            <w:pPr>
              <w:jc w:val="center"/>
              <w:rPr>
                <w:rFonts w:hint="eastAsia" w:ascii="宋体" w:hAnsi="宋体" w:eastAsia="宋体" w:cs="宋体"/>
                <w:sz w:val="24"/>
                <w:szCs w:val="24"/>
              </w:rPr>
            </w:pPr>
            <w:r>
              <w:rPr>
                <w:rFonts w:hint="eastAsia" w:ascii="宋体" w:hAnsi="宋体" w:eastAsia="宋体" w:cs="宋体"/>
                <w:sz w:val="24"/>
                <w:szCs w:val="24"/>
              </w:rPr>
              <w:t>三楼VIP候车区精品屏</w:t>
            </w:r>
          </w:p>
        </w:tc>
        <w:tc>
          <w:tcPr>
            <w:tcW w:w="620" w:type="pct"/>
            <w:vAlign w:val="center"/>
          </w:tcPr>
          <w:p>
            <w:pPr>
              <w:jc w:val="center"/>
              <w:rPr>
                <w:rFonts w:hint="eastAsia" w:ascii="宋体" w:hAnsi="宋体" w:eastAsia="宋体" w:cs="宋体"/>
                <w:sz w:val="24"/>
                <w:szCs w:val="24"/>
              </w:rPr>
            </w:pPr>
            <w:r>
              <w:rPr>
                <w:rFonts w:hint="eastAsia" w:ascii="宋体" w:hAnsi="宋体" w:eastAsia="宋体" w:cs="宋体"/>
                <w:sz w:val="24"/>
                <w:szCs w:val="24"/>
              </w:rPr>
              <w:t>LED</w:t>
            </w:r>
          </w:p>
        </w:tc>
        <w:tc>
          <w:tcPr>
            <w:tcW w:w="594" w:type="pct"/>
            <w:vAlign w:val="center"/>
          </w:tcPr>
          <w:p>
            <w:pPr>
              <w:jc w:val="center"/>
              <w:rPr>
                <w:rFonts w:hint="eastAsia" w:ascii="宋体" w:hAnsi="宋体" w:eastAsia="宋体" w:cs="宋体"/>
                <w:sz w:val="24"/>
                <w:szCs w:val="24"/>
              </w:rPr>
            </w:pPr>
            <w:r>
              <w:rPr>
                <w:rFonts w:hint="eastAsia" w:ascii="宋体" w:hAnsi="宋体" w:eastAsia="宋体" w:cs="宋体"/>
                <w:sz w:val="24"/>
                <w:szCs w:val="24"/>
              </w:rPr>
              <w:t>4块/组</w:t>
            </w:r>
          </w:p>
        </w:tc>
        <w:tc>
          <w:tcPr>
            <w:tcW w:w="667" w:type="pct"/>
            <w:vAlign w:val="center"/>
          </w:tcPr>
          <w:p>
            <w:pPr>
              <w:jc w:val="center"/>
              <w:rPr>
                <w:rFonts w:hint="eastAsia" w:ascii="宋体" w:hAnsi="宋体" w:eastAsia="宋体" w:cs="宋体"/>
                <w:sz w:val="24"/>
                <w:szCs w:val="24"/>
              </w:rPr>
            </w:pPr>
            <w:r>
              <w:rPr>
                <w:rFonts w:hint="eastAsia" w:ascii="宋体" w:hAnsi="宋体" w:eastAsia="宋体" w:cs="宋体"/>
                <w:sz w:val="24"/>
                <w:szCs w:val="24"/>
              </w:rPr>
              <w:t>13.66米*5.86米*4块</w:t>
            </w:r>
          </w:p>
        </w:tc>
        <w:tc>
          <w:tcPr>
            <w:tcW w:w="625" w:type="pct"/>
            <w:vAlign w:val="center"/>
          </w:tcPr>
          <w:p>
            <w:pPr>
              <w:jc w:val="center"/>
              <w:rPr>
                <w:rFonts w:hint="eastAsia" w:ascii="宋体" w:hAnsi="宋体" w:eastAsia="宋体" w:cs="宋体"/>
                <w:sz w:val="24"/>
                <w:szCs w:val="24"/>
              </w:rPr>
            </w:pPr>
            <w:r>
              <w:rPr>
                <w:rFonts w:hint="eastAsia" w:ascii="宋体" w:hAnsi="宋体" w:eastAsia="宋体" w:cs="宋体"/>
                <w:sz w:val="24"/>
                <w:szCs w:val="24"/>
              </w:rPr>
              <w:t>300次/天</w:t>
            </w:r>
          </w:p>
        </w:tc>
        <w:tc>
          <w:tcPr>
            <w:tcW w:w="752" w:type="pct"/>
            <w:vAlign w:val="center"/>
          </w:tcPr>
          <w:p>
            <w:pPr>
              <w:jc w:val="center"/>
              <w:rPr>
                <w:rFonts w:hint="eastAsia" w:ascii="宋体" w:hAnsi="宋体" w:eastAsia="宋体" w:cs="宋体"/>
                <w:sz w:val="24"/>
                <w:szCs w:val="24"/>
              </w:rPr>
            </w:pPr>
            <w:r>
              <w:rPr>
                <w:rFonts w:hint="eastAsia" w:ascii="宋体" w:hAnsi="宋体" w:eastAsia="宋体" w:cs="宋体"/>
                <w:sz w:val="24"/>
                <w:szCs w:val="24"/>
              </w:rPr>
              <w:t>15秒</w:t>
            </w:r>
          </w:p>
        </w:tc>
        <w:tc>
          <w:tcPr>
            <w:tcW w:w="673" w:type="pct"/>
            <w:shd w:val="clear" w:color="auto" w:fill="auto"/>
            <w:vAlign w:val="center"/>
          </w:tcPr>
          <w:p>
            <w:pPr>
              <w:jc w:val="center"/>
              <w:rPr>
                <w:rFonts w:hint="eastAsia" w:ascii="宋体" w:hAnsi="宋体" w:eastAsia="宋体" w:cs="宋体"/>
                <w:snapToGrid w:val="0"/>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1" w:hRule="atLeast"/>
        </w:trPr>
        <w:tc>
          <w:tcPr>
            <w:tcW w:w="427" w:type="pct"/>
            <w:vAlign w:val="center"/>
          </w:tcPr>
          <w:p>
            <w:pPr>
              <w:jc w:val="center"/>
              <w:rPr>
                <w:rFonts w:hint="eastAsia" w:ascii="宋体" w:hAnsi="宋体" w:eastAsia="宋体" w:cs="宋体"/>
                <w:sz w:val="24"/>
                <w:szCs w:val="24"/>
              </w:rPr>
            </w:pPr>
            <w:r>
              <w:rPr>
                <w:rFonts w:hint="eastAsia" w:ascii="宋体" w:hAnsi="宋体" w:eastAsia="宋体" w:cs="宋体"/>
                <w:sz w:val="24"/>
                <w:szCs w:val="24"/>
              </w:rPr>
              <w:t>2</w:t>
            </w:r>
          </w:p>
        </w:tc>
        <w:tc>
          <w:tcPr>
            <w:tcW w:w="638" w:type="pct"/>
            <w:vAlign w:val="center"/>
          </w:tcPr>
          <w:p>
            <w:pPr>
              <w:jc w:val="center"/>
              <w:rPr>
                <w:rFonts w:hint="eastAsia" w:ascii="宋体" w:hAnsi="宋体" w:eastAsia="宋体" w:cs="宋体"/>
                <w:sz w:val="24"/>
                <w:szCs w:val="24"/>
              </w:rPr>
            </w:pPr>
            <w:r>
              <w:rPr>
                <w:rFonts w:hint="eastAsia" w:ascii="宋体" w:hAnsi="宋体" w:eastAsia="宋体" w:cs="宋体"/>
                <w:sz w:val="24"/>
                <w:szCs w:val="24"/>
              </w:rPr>
              <w:t>三楼候车区联播屏</w:t>
            </w:r>
          </w:p>
        </w:tc>
        <w:tc>
          <w:tcPr>
            <w:tcW w:w="620" w:type="pct"/>
            <w:vAlign w:val="center"/>
          </w:tcPr>
          <w:p>
            <w:pPr>
              <w:jc w:val="center"/>
              <w:rPr>
                <w:rFonts w:hint="eastAsia" w:ascii="宋体" w:hAnsi="宋体" w:eastAsia="宋体" w:cs="宋体"/>
                <w:sz w:val="24"/>
                <w:szCs w:val="24"/>
              </w:rPr>
            </w:pPr>
            <w:r>
              <w:rPr>
                <w:rFonts w:hint="eastAsia" w:ascii="宋体" w:hAnsi="宋体" w:eastAsia="宋体" w:cs="宋体"/>
                <w:sz w:val="24"/>
                <w:szCs w:val="24"/>
              </w:rPr>
              <w:t>LED</w:t>
            </w:r>
          </w:p>
        </w:tc>
        <w:tc>
          <w:tcPr>
            <w:tcW w:w="594" w:type="pct"/>
            <w:vAlign w:val="center"/>
          </w:tcPr>
          <w:p>
            <w:pPr>
              <w:jc w:val="center"/>
              <w:rPr>
                <w:rFonts w:hint="eastAsia" w:ascii="宋体" w:hAnsi="宋体" w:eastAsia="宋体" w:cs="宋体"/>
                <w:sz w:val="24"/>
                <w:szCs w:val="24"/>
              </w:rPr>
            </w:pPr>
            <w:r>
              <w:rPr>
                <w:rFonts w:hint="eastAsia" w:ascii="宋体" w:hAnsi="宋体" w:eastAsia="宋体" w:cs="宋体"/>
                <w:sz w:val="24"/>
                <w:szCs w:val="24"/>
              </w:rPr>
              <w:t>64台/组</w:t>
            </w:r>
          </w:p>
        </w:tc>
        <w:tc>
          <w:tcPr>
            <w:tcW w:w="667" w:type="pct"/>
            <w:vAlign w:val="center"/>
          </w:tcPr>
          <w:p>
            <w:pPr>
              <w:jc w:val="center"/>
              <w:rPr>
                <w:rFonts w:hint="eastAsia" w:ascii="宋体" w:hAnsi="宋体" w:eastAsia="宋体" w:cs="宋体"/>
                <w:sz w:val="24"/>
                <w:szCs w:val="24"/>
              </w:rPr>
            </w:pPr>
            <w:r>
              <w:rPr>
                <w:rFonts w:hint="eastAsia" w:ascii="宋体" w:hAnsi="宋体" w:eastAsia="宋体" w:cs="宋体"/>
                <w:sz w:val="24"/>
                <w:szCs w:val="24"/>
              </w:rPr>
              <w:t>106吋，64台，双面</w:t>
            </w:r>
          </w:p>
        </w:tc>
        <w:tc>
          <w:tcPr>
            <w:tcW w:w="625" w:type="pct"/>
            <w:vAlign w:val="center"/>
          </w:tcPr>
          <w:p>
            <w:pPr>
              <w:jc w:val="center"/>
              <w:rPr>
                <w:rFonts w:hint="eastAsia" w:ascii="宋体" w:hAnsi="宋体" w:eastAsia="宋体" w:cs="宋体"/>
                <w:sz w:val="24"/>
                <w:szCs w:val="24"/>
              </w:rPr>
            </w:pPr>
            <w:r>
              <w:rPr>
                <w:rFonts w:hint="eastAsia" w:ascii="宋体" w:hAnsi="宋体" w:eastAsia="宋体" w:cs="宋体"/>
                <w:sz w:val="24"/>
                <w:szCs w:val="24"/>
              </w:rPr>
              <w:t>195次/天</w:t>
            </w:r>
          </w:p>
        </w:tc>
        <w:tc>
          <w:tcPr>
            <w:tcW w:w="752" w:type="pct"/>
            <w:vAlign w:val="center"/>
          </w:tcPr>
          <w:p>
            <w:pPr>
              <w:jc w:val="center"/>
              <w:rPr>
                <w:rFonts w:hint="eastAsia" w:ascii="宋体" w:hAnsi="宋体" w:eastAsia="宋体" w:cs="宋体"/>
                <w:sz w:val="24"/>
                <w:szCs w:val="24"/>
              </w:rPr>
            </w:pPr>
            <w:r>
              <w:rPr>
                <w:rFonts w:hint="eastAsia" w:ascii="宋体" w:hAnsi="宋体" w:eastAsia="宋体" w:cs="宋体"/>
                <w:sz w:val="24"/>
                <w:szCs w:val="24"/>
              </w:rPr>
              <w:t>15秒</w:t>
            </w:r>
          </w:p>
        </w:tc>
        <w:tc>
          <w:tcPr>
            <w:tcW w:w="673" w:type="pct"/>
            <w:shd w:val="clear" w:color="auto" w:fill="auto"/>
            <w:vAlign w:val="center"/>
          </w:tcPr>
          <w:p>
            <w:pPr>
              <w:jc w:val="center"/>
              <w:rPr>
                <w:rFonts w:hint="eastAsia" w:ascii="宋体" w:hAnsi="宋体" w:eastAsia="宋体" w:cs="宋体"/>
                <w:snapToGrid w:val="0"/>
                <w:sz w:val="24"/>
                <w:szCs w:val="24"/>
              </w:rPr>
            </w:pPr>
            <w:r>
              <w:rPr>
                <w:rFonts w:hint="eastAsia" w:ascii="宋体" w:hAnsi="宋体" w:eastAsia="宋体" w:cs="宋体"/>
                <w:sz w:val="24"/>
                <w:szCs w:val="24"/>
              </w:rPr>
              <w:t>1</w:t>
            </w:r>
          </w:p>
        </w:tc>
      </w:tr>
    </w:tbl>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3、投标人需在投标文件中提供拟投入本项目的广告资源信息：不同周期折后价格。</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对应不同投放周期：4周/4批，2周/4批，4周/2批的报价。（</w:t>
      </w:r>
      <w:bookmarkStart w:id="0" w:name="_Hlk178544335"/>
      <w:r>
        <w:rPr>
          <w:rFonts w:hint="eastAsia" w:ascii="宋体" w:hAnsi="宋体" w:eastAsia="宋体" w:cs="宋体"/>
          <w:sz w:val="24"/>
          <w:szCs w:val="24"/>
        </w:rPr>
        <w:t>名词解释：4周/4批就是2年服务期投放4批，每批4周，多个位置投放广告，投放不同的内容，指定不同的数量）</w:t>
      </w:r>
    </w:p>
    <w:bookmarkEnd w:id="0"/>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4、广告制作和发布要求</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福彩广告刊登内容由采购人提供，中标人须按采购人提供的广告内容、时间要求进行设计制作，在广告上画前须交采购人确认；经采购人审核确认后，中标人负责办理广告发布的登记/备案手续，并在采购人规定时间内完成全部广告画面的发布工作。</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（2）中标人须按照采购人要求，安排广告的发布日期及周期、数量。</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（3）广告投放期间，中标人若出现漏投、错投，中标人须按“漏一补一、错一补一”的原则在相同的时段安排补投，因此影响的广告发布时间相应顺延。</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（4）中标人若因单方面原因终止播放采购人广告，中标人须为采购人调换等价位置的其他广告资源发布广告，因此影响的广告发布时间相应顺延，并承诺在相同时段播放。</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（5）中标人须承诺采购人广告发布期间，除不可抗力及政府政策外，不得擅自撤除广告或遮挡广告的任何部分。</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5、广告维护和保养要求</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（1）中标人须负责在广告发布期间对广告资源的日常维护和保养，并承担在广告发布和日常维护期间相关施工人员、维护人员和第三者的安全责任。</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中标人须保证广告资源的正常运行及清洁，并及时进行保养；如广告资源出现运行故障、脏污等影响广告发布效果的情形，中标人应在3个自然日内修复并将修复情况报告采购人，因此影响的广告发布时间相应顺延。</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6、报价要求</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投标人的的投标报价应包含但不限于人员薪酬（包括工资、奖金、福利、社保、保险、服装、劳保用品等）、广告位使用费、广告发布费及广告审批费、材料费、设计费、制作费、运输费、安装费、监测费、税金、发布费、水电费、广告维护费及税费等投标人为履行本合同所有不可预见费用，采购人不再支付其他任何费用。</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7、验收要求：</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（1）中标人应在每次投放广告内容主题结束后10个自然日内提交该次广告发布总结报告，其内容包括但不限于广告投放数量完成率、信息发布按时完成率、广告投放评估等。</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（2）在完成项目所有广告投放后的15个工作日内，向采购人出具一份项目总结报告。</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（3）采购人验收合格后，双方签订验收报告，作为本项目付款条件。未通过验收的，采购人有权要求中标供应商及时按照违约条款进行赔偿并及时向采购人申请验收。</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8、付款方式</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（1）若投放4期，按以下付款方式：</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1期：支付比例30%,在合同签订之日起5个工作日内，采购人向中标人支付合同总金额的30%；</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2期：支付比例20%,在完成投放第二期广告并经采购人确认验收报告合格后10个</w:t>
      </w:r>
      <w:r>
        <w:rPr>
          <w:rFonts w:hint="eastAsia" w:ascii="宋体" w:hAnsi="宋体" w:eastAsia="宋体" w:cs="宋体"/>
          <w:sz w:val="24"/>
          <w:szCs w:val="24"/>
          <w:lang w:eastAsia="zh-CN"/>
        </w:rPr>
        <w:t>工作</w:t>
      </w:r>
      <w:r>
        <w:rPr>
          <w:rFonts w:hint="eastAsia" w:ascii="宋体" w:hAnsi="宋体" w:eastAsia="宋体" w:cs="宋体"/>
          <w:sz w:val="24"/>
          <w:szCs w:val="24"/>
        </w:rPr>
        <w:t>日内，采购人向中标人支付合同总金额的20%；</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3期：支付比例30%,在完成投放第三期广告并经采购人确认验收报告合格后10个</w:t>
      </w:r>
      <w:r>
        <w:rPr>
          <w:rFonts w:hint="eastAsia" w:ascii="宋体" w:hAnsi="宋体" w:eastAsia="宋体" w:cs="宋体"/>
          <w:sz w:val="24"/>
          <w:szCs w:val="24"/>
          <w:lang w:eastAsia="zh-CN"/>
        </w:rPr>
        <w:t>工作</w:t>
      </w:r>
      <w:r>
        <w:rPr>
          <w:rFonts w:hint="eastAsia" w:ascii="宋体" w:hAnsi="宋体" w:eastAsia="宋体" w:cs="宋体"/>
          <w:sz w:val="24"/>
          <w:szCs w:val="24"/>
        </w:rPr>
        <w:t>日内，采购人向中标人支付合同总金额的30%；</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4期：支付比例20%,在完成投放第四期广告并经采购人确认验收报告合格后10个</w:t>
      </w:r>
      <w:r>
        <w:rPr>
          <w:rFonts w:hint="eastAsia" w:ascii="宋体" w:hAnsi="宋体" w:eastAsia="宋体" w:cs="宋体"/>
          <w:sz w:val="24"/>
          <w:szCs w:val="24"/>
          <w:lang w:eastAsia="zh-CN"/>
        </w:rPr>
        <w:t>工作</w:t>
      </w:r>
      <w:r>
        <w:rPr>
          <w:rFonts w:hint="eastAsia" w:ascii="宋体" w:hAnsi="宋体" w:eastAsia="宋体" w:cs="宋体"/>
          <w:sz w:val="24"/>
          <w:szCs w:val="24"/>
        </w:rPr>
        <w:t>日内，采购人向中标人支付合同总金额的20%。采购人通过银行转账的方式支付合同费用，中标人在收款前需向采购人出具等额、合法、有效且符合采购人财务要求的正式发票和验收报告予以采购人验收。中标人怠于提供发票和验收报告的，采购人有权顺延付款期限直至收到中标人的发票及合格的验收报告，中标人不得据此怠于履行任何一项或几项合同义务。</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（2）若投放2期，按以下付款方式：</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1期：支付比例50%,在合同签订之日起5个工作日内，采购人向中标人支付合同总金额的50%；</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2期：支付比例50%,在完成投放第四期广告并经采购人确认验收报告合格后10个</w:t>
      </w:r>
      <w:r>
        <w:rPr>
          <w:rFonts w:hint="eastAsia" w:ascii="宋体" w:hAnsi="宋体" w:eastAsia="宋体" w:cs="宋体"/>
          <w:sz w:val="24"/>
          <w:szCs w:val="24"/>
          <w:lang w:eastAsia="zh-CN"/>
        </w:rPr>
        <w:t>工作</w:t>
      </w:r>
      <w:r>
        <w:rPr>
          <w:rFonts w:hint="eastAsia" w:ascii="宋体" w:hAnsi="宋体" w:eastAsia="宋体" w:cs="宋体"/>
          <w:sz w:val="24"/>
          <w:szCs w:val="24"/>
        </w:rPr>
        <w:t>日内，采购人向中标人支付合同总金额的50%。采购人通过银行转账的方式支付合同费用，中标人在收款前需向采购人出具等额、合法、有效且符合采购人财务要求的正式发票和验收报告予以采购人验收。中标人怠于提供发票和验收报告的，采购人有权顺延付款期限直至收到中标人的发票及合格的验收报告，中标人不得据此怠于履行任何一项或几项合同义务。</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9、其他要求</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（1）服务期间，采购人将以随时、随机的方式要求中标人在约定的时间内提供应某一广告屏的实时录屏。</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（2）服务期间，采购人或其委托的第三方专业机构对项目实施情况进行随机抽查，中标人应配合出具关联工作报告及项目执行的证明材料，如中标人所投放的广告未符合要求的，以中标人违约处理。</w:t>
      </w:r>
    </w:p>
    <w:p>
      <w:pPr>
        <w:spacing w:line="360" w:lineRule="auto"/>
        <w:ind w:firstLine="480" w:firstLineChars="200"/>
        <w:rPr>
          <w:rFonts w:hint="eastAsia" w:ascii="宋体" w:hAnsi="宋体" w:eastAsia="宋体" w:cs="宋体"/>
          <w:b/>
          <w:bCs/>
          <w:sz w:val="32"/>
          <w:szCs w:val="32"/>
        </w:rPr>
      </w:pPr>
      <w:r>
        <w:rPr>
          <w:rFonts w:hint="eastAsia" w:ascii="宋体" w:hAnsi="宋体" w:eastAsia="宋体" w:cs="宋体"/>
          <w:sz w:val="24"/>
          <w:szCs w:val="24"/>
        </w:rPr>
        <w:t>（3）中标人须按投标文件承诺做好项目巡检工作，并向采购人提供项目巡检报告。</w:t>
      </w:r>
    </w:p>
    <w:bookmarkEnd w:id="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kwYmY0YjQ1MDE0Yjk4MGQ1NTU1MDYzYjQyM2VlYzYifQ=="/>
    <w:docVar w:name="KSO_WPS_MARK_KEY" w:val="54dbf48b-268f-47ab-b915-ed310bf8593f"/>
  </w:docVars>
  <w:rsids>
    <w:rsidRoot w:val="00E37D6E"/>
    <w:rsid w:val="00071B42"/>
    <w:rsid w:val="0013353A"/>
    <w:rsid w:val="002511C2"/>
    <w:rsid w:val="002620A8"/>
    <w:rsid w:val="00274FC1"/>
    <w:rsid w:val="0028493C"/>
    <w:rsid w:val="00427222"/>
    <w:rsid w:val="004E1B7F"/>
    <w:rsid w:val="00561A4F"/>
    <w:rsid w:val="0057771B"/>
    <w:rsid w:val="005A461D"/>
    <w:rsid w:val="005F1B41"/>
    <w:rsid w:val="00661DBA"/>
    <w:rsid w:val="006C45F8"/>
    <w:rsid w:val="006D052D"/>
    <w:rsid w:val="00736D31"/>
    <w:rsid w:val="00755E76"/>
    <w:rsid w:val="00781CF0"/>
    <w:rsid w:val="007C06DF"/>
    <w:rsid w:val="00840696"/>
    <w:rsid w:val="008D1F00"/>
    <w:rsid w:val="00902322"/>
    <w:rsid w:val="009678F7"/>
    <w:rsid w:val="00990E55"/>
    <w:rsid w:val="009920EF"/>
    <w:rsid w:val="00AE0B4A"/>
    <w:rsid w:val="00BE7B8E"/>
    <w:rsid w:val="00CB591E"/>
    <w:rsid w:val="00CE1B32"/>
    <w:rsid w:val="00D53B34"/>
    <w:rsid w:val="00D8025D"/>
    <w:rsid w:val="00DE00AC"/>
    <w:rsid w:val="00E27DF2"/>
    <w:rsid w:val="00E33339"/>
    <w:rsid w:val="00E37D6E"/>
    <w:rsid w:val="00E83EEA"/>
    <w:rsid w:val="00E864DA"/>
    <w:rsid w:val="00F4412C"/>
    <w:rsid w:val="00F709ED"/>
    <w:rsid w:val="00F919E6"/>
    <w:rsid w:val="02083F75"/>
    <w:rsid w:val="033258AB"/>
    <w:rsid w:val="043A0548"/>
    <w:rsid w:val="06B831DA"/>
    <w:rsid w:val="07D7607C"/>
    <w:rsid w:val="09C23A82"/>
    <w:rsid w:val="0AAE2EC2"/>
    <w:rsid w:val="0E7D703D"/>
    <w:rsid w:val="151F10F0"/>
    <w:rsid w:val="178F39AF"/>
    <w:rsid w:val="1CF838F4"/>
    <w:rsid w:val="24416CF1"/>
    <w:rsid w:val="2A566E5D"/>
    <w:rsid w:val="31771119"/>
    <w:rsid w:val="3FDA65E1"/>
    <w:rsid w:val="42557827"/>
    <w:rsid w:val="480D054E"/>
    <w:rsid w:val="5AE6022B"/>
    <w:rsid w:val="5B266033"/>
    <w:rsid w:val="65771594"/>
    <w:rsid w:val="66780646"/>
    <w:rsid w:val="6C2A403F"/>
    <w:rsid w:val="6E7A3144"/>
    <w:rsid w:val="72940B8B"/>
    <w:rsid w:val="73D94D40"/>
    <w:rsid w:val="754F2F69"/>
    <w:rsid w:val="7E1D074A"/>
    <w:rsid w:val="7EBF76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link w:val="21"/>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2"/>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3"/>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4"/>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5"/>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6"/>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7"/>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9"/>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40"/>
    <w:semiHidden/>
    <w:unhideWhenUsed/>
    <w:qFormat/>
    <w:uiPriority w:val="99"/>
    <w:pPr>
      <w:jc w:val="left"/>
    </w:pPr>
  </w:style>
  <w:style w:type="paragraph" w:styleId="12">
    <w:name w:val="Balloon Text"/>
    <w:basedOn w:val="1"/>
    <w:link w:val="39"/>
    <w:semiHidden/>
    <w:unhideWhenUsed/>
    <w:qFormat/>
    <w:uiPriority w:val="99"/>
    <w:rPr>
      <w:sz w:val="18"/>
      <w:szCs w:val="18"/>
    </w:rPr>
  </w:style>
  <w:style w:type="paragraph" w:styleId="13">
    <w:name w:val="Subtitle"/>
    <w:basedOn w:val="1"/>
    <w:next w:val="1"/>
    <w:link w:val="31"/>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5">
    <w:name w:val="Title"/>
    <w:basedOn w:val="1"/>
    <w:next w:val="1"/>
    <w:link w:val="30"/>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16">
    <w:name w:val="annotation subject"/>
    <w:basedOn w:val="11"/>
    <w:next w:val="11"/>
    <w:link w:val="41"/>
    <w:semiHidden/>
    <w:unhideWhenUsed/>
    <w:qFormat/>
    <w:uiPriority w:val="99"/>
    <w:rPr>
      <w:b/>
      <w:bCs/>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annotation reference"/>
    <w:basedOn w:val="19"/>
    <w:semiHidden/>
    <w:unhideWhenUsed/>
    <w:qFormat/>
    <w:uiPriority w:val="99"/>
    <w:rPr>
      <w:sz w:val="21"/>
      <w:szCs w:val="21"/>
    </w:rPr>
  </w:style>
  <w:style w:type="character" w:customStyle="1" w:styleId="21">
    <w:name w:val="标题 1 字符"/>
    <w:basedOn w:val="19"/>
    <w:link w:val="2"/>
    <w:qFormat/>
    <w:uiPriority w:val="9"/>
    <w:rPr>
      <w:rFonts w:asciiTheme="majorHAnsi" w:hAnsiTheme="majorHAnsi" w:eastAsiaTheme="majorEastAsia" w:cstheme="majorBidi"/>
      <w:color w:val="104862" w:themeColor="accent1" w:themeShade="BF"/>
      <w:sz w:val="48"/>
      <w:szCs w:val="48"/>
    </w:rPr>
  </w:style>
  <w:style w:type="character" w:customStyle="1" w:styleId="22">
    <w:name w:val="标题 2 字符"/>
    <w:basedOn w:val="19"/>
    <w:link w:val="3"/>
    <w:qFormat/>
    <w:uiPriority w:val="9"/>
    <w:rPr>
      <w:rFonts w:asciiTheme="majorHAnsi" w:hAnsiTheme="majorHAnsi" w:eastAsiaTheme="majorEastAsia" w:cstheme="majorBidi"/>
      <w:color w:val="104862" w:themeColor="accent1" w:themeShade="BF"/>
      <w:sz w:val="40"/>
      <w:szCs w:val="40"/>
    </w:rPr>
  </w:style>
  <w:style w:type="character" w:customStyle="1" w:styleId="23">
    <w:name w:val="标题 3 字符"/>
    <w:basedOn w:val="19"/>
    <w:link w:val="4"/>
    <w:qFormat/>
    <w:uiPriority w:val="9"/>
    <w:rPr>
      <w:rFonts w:asciiTheme="majorHAnsi" w:hAnsiTheme="majorHAnsi" w:eastAsiaTheme="majorEastAsia" w:cstheme="majorBidi"/>
      <w:color w:val="104862" w:themeColor="accent1" w:themeShade="BF"/>
      <w:sz w:val="32"/>
      <w:szCs w:val="32"/>
    </w:rPr>
  </w:style>
  <w:style w:type="character" w:customStyle="1" w:styleId="24">
    <w:name w:val="标题 4 字符"/>
    <w:basedOn w:val="19"/>
    <w:link w:val="5"/>
    <w:qFormat/>
    <w:uiPriority w:val="9"/>
    <w:rPr>
      <w:rFonts w:cstheme="majorBidi"/>
      <w:color w:val="104862" w:themeColor="accent1" w:themeShade="BF"/>
      <w:sz w:val="28"/>
      <w:szCs w:val="28"/>
    </w:rPr>
  </w:style>
  <w:style w:type="character" w:customStyle="1" w:styleId="25">
    <w:name w:val="标题 5 字符"/>
    <w:basedOn w:val="19"/>
    <w:link w:val="6"/>
    <w:semiHidden/>
    <w:qFormat/>
    <w:uiPriority w:val="9"/>
    <w:rPr>
      <w:rFonts w:cstheme="majorBidi"/>
      <w:color w:val="104862" w:themeColor="accent1" w:themeShade="BF"/>
      <w:sz w:val="24"/>
      <w:szCs w:val="24"/>
    </w:rPr>
  </w:style>
  <w:style w:type="character" w:customStyle="1" w:styleId="26">
    <w:name w:val="标题 6 字符"/>
    <w:basedOn w:val="19"/>
    <w:link w:val="7"/>
    <w:semiHidden/>
    <w:qFormat/>
    <w:uiPriority w:val="9"/>
    <w:rPr>
      <w:rFonts w:cstheme="majorBidi"/>
      <w:b/>
      <w:bCs/>
      <w:color w:val="104862" w:themeColor="accent1" w:themeShade="BF"/>
    </w:rPr>
  </w:style>
  <w:style w:type="character" w:customStyle="1" w:styleId="27">
    <w:name w:val="标题 7 字符"/>
    <w:basedOn w:val="19"/>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8">
    <w:name w:val="标题 8 字符"/>
    <w:basedOn w:val="19"/>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9">
    <w:name w:val="标题 9 字符"/>
    <w:basedOn w:val="19"/>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标题 字符"/>
    <w:basedOn w:val="19"/>
    <w:link w:val="15"/>
    <w:qFormat/>
    <w:uiPriority w:val="10"/>
    <w:rPr>
      <w:rFonts w:asciiTheme="majorHAnsi" w:hAnsiTheme="majorHAnsi" w:eastAsiaTheme="majorEastAsia" w:cstheme="majorBidi"/>
      <w:spacing w:val="-10"/>
      <w:kern w:val="28"/>
      <w:sz w:val="56"/>
      <w:szCs w:val="56"/>
    </w:rPr>
  </w:style>
  <w:style w:type="character" w:customStyle="1" w:styleId="31">
    <w:name w:val="副标题 字符"/>
    <w:basedOn w:val="19"/>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引用 字符"/>
    <w:basedOn w:val="19"/>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明显强调1"/>
    <w:basedOn w:val="19"/>
    <w:qFormat/>
    <w:uiPriority w:val="21"/>
    <w:rPr>
      <w:i/>
      <w:iCs/>
      <w:color w:val="104862"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7">
    <w:name w:val="明显引用 字符"/>
    <w:basedOn w:val="19"/>
    <w:link w:val="36"/>
    <w:qFormat/>
    <w:uiPriority w:val="30"/>
    <w:rPr>
      <w:i/>
      <w:iCs/>
      <w:color w:val="104862" w:themeColor="accent1" w:themeShade="BF"/>
    </w:rPr>
  </w:style>
  <w:style w:type="character" w:customStyle="1" w:styleId="38">
    <w:name w:val="明显参考1"/>
    <w:basedOn w:val="19"/>
    <w:qFormat/>
    <w:uiPriority w:val="32"/>
    <w:rPr>
      <w:b/>
      <w:bCs/>
      <w:smallCaps/>
      <w:color w:val="104862" w:themeColor="accent1" w:themeShade="BF"/>
      <w:spacing w:val="5"/>
    </w:rPr>
  </w:style>
  <w:style w:type="character" w:customStyle="1" w:styleId="39">
    <w:name w:val="批注框文本 字符"/>
    <w:basedOn w:val="19"/>
    <w:link w:val="12"/>
    <w:semiHidden/>
    <w:qFormat/>
    <w:uiPriority w:val="99"/>
    <w:rPr>
      <w:kern w:val="2"/>
      <w:sz w:val="18"/>
      <w:szCs w:val="18"/>
      <w14:ligatures w14:val="standardContextual"/>
    </w:rPr>
  </w:style>
  <w:style w:type="character" w:customStyle="1" w:styleId="40">
    <w:name w:val="批注文字 字符"/>
    <w:basedOn w:val="19"/>
    <w:link w:val="11"/>
    <w:semiHidden/>
    <w:qFormat/>
    <w:uiPriority w:val="99"/>
    <w:rPr>
      <w:kern w:val="2"/>
      <w:sz w:val="21"/>
      <w:szCs w:val="22"/>
      <w14:ligatures w14:val="standardContextual"/>
    </w:rPr>
  </w:style>
  <w:style w:type="character" w:customStyle="1" w:styleId="41">
    <w:name w:val="批注主题 字符"/>
    <w:basedOn w:val="40"/>
    <w:link w:val="16"/>
    <w:semiHidden/>
    <w:qFormat/>
    <w:uiPriority w:val="99"/>
    <w:rPr>
      <w:b/>
      <w:bCs/>
      <w:kern w:val="2"/>
      <w:sz w:val="21"/>
      <w:szCs w:val="22"/>
      <w14:ligatures w14:val="standardContextual"/>
    </w:rPr>
  </w:style>
  <w:style w:type="paragraph" w:customStyle="1" w:styleId="42">
    <w:name w:val="修订1"/>
    <w:hidden/>
    <w:semiHidden/>
    <w:qFormat/>
    <w:uiPriority w:val="99"/>
    <w:rPr>
      <w:rFonts w:asciiTheme="minorHAnsi" w:hAnsiTheme="minorHAnsi" w:eastAsiaTheme="minorEastAsia" w:cstheme="minorBidi"/>
      <w:kern w:val="2"/>
      <w:sz w:val="21"/>
      <w:szCs w:val="22"/>
      <w:lang w:val="en-US" w:eastAsia="zh-CN" w:bidi="ar-SA"/>
      <w14:ligatures w14:val="standardContextual"/>
    </w:rPr>
  </w:style>
  <w:style w:type="paragraph" w:customStyle="1" w:styleId="43">
    <w:name w:val="_Style 10"/>
    <w:basedOn w:val="1"/>
    <w:qFormat/>
    <w:uiPriority w:val="99"/>
    <w:pPr>
      <w:ind w:firstLine="420" w:firstLineChars="200"/>
    </w:pPr>
  </w:style>
  <w:style w:type="paragraph" w:customStyle="1" w:styleId="44">
    <w:name w:val="Revision"/>
    <w:hidden/>
    <w:unhideWhenUsed/>
    <w:qFormat/>
    <w:uiPriority w:val="99"/>
    <w:rPr>
      <w:rFonts w:asciiTheme="minorHAnsi" w:hAnsiTheme="minorHAnsi" w:eastAsiaTheme="minorEastAsia" w:cstheme="minorBidi"/>
      <w:kern w:val="2"/>
      <w:sz w:val="21"/>
      <w:szCs w:val="22"/>
      <w:lang w:val="en-US" w:eastAsia="zh-CN" w:bidi="ar-SA"/>
      <w14:ligatures w14:val="standardContextual"/>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3</Pages>
  <Words>1997</Words>
  <Characters>2066</Characters>
  <Lines>15</Lines>
  <Paragraphs>4</Paragraphs>
  <TotalTime>0</TotalTime>
  <ScaleCrop>false</ScaleCrop>
  <LinksUpToDate>false</LinksUpToDate>
  <CharactersWithSpaces>2066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2024-04-07T00:45:00Z</dcterms:created>
  <dc:creator>悲啖 张</dc:creator>
  <cp:lastModifiedBy>Space</cp:lastModifiedBy>
  <dcterms:modified xsi:type="dcterms:W3CDTF">2024-09-30T05:40:00Z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E34EA27514DA411693A48C4C1CD4E5EA_13</vt:lpwstr>
  </property>
</Properties>
</file>