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7628D2">
      <w:pPr>
        <w:shd w:val="clear"/>
        <w:bidi w:val="0"/>
        <w:spacing w:line="360" w:lineRule="auto"/>
        <w:jc w:val="center"/>
        <w:rPr>
          <w:rFonts w:hint="eastAsia" w:ascii="仿宋" w:hAnsi="仿宋" w:eastAsia="仿宋" w:cs="仿宋"/>
          <w:color w:val="auto"/>
          <w:sz w:val="44"/>
          <w:szCs w:val="44"/>
          <w:highlight w:val="none"/>
          <w:lang w:val="en-US" w:eastAsia="zh-CN"/>
        </w:rPr>
      </w:pPr>
      <w:bookmarkStart w:id="816" w:name="_GoBack"/>
    </w:p>
    <w:p w14:paraId="49C63958">
      <w:pPr>
        <w:shd w:val="clear"/>
        <w:bidi w:val="0"/>
        <w:spacing w:line="360" w:lineRule="auto"/>
        <w:jc w:val="center"/>
        <w:rPr>
          <w:rFonts w:hint="eastAsia" w:ascii="仿宋" w:hAnsi="仿宋" w:eastAsia="仿宋" w:cs="仿宋"/>
          <w:color w:val="auto"/>
          <w:szCs w:val="44"/>
          <w:highlight w:val="none"/>
          <w:lang w:val="en-US" w:eastAsia="zh-CN"/>
        </w:rPr>
      </w:pPr>
      <w:r>
        <w:rPr>
          <w:rFonts w:hint="eastAsia" w:ascii="仿宋" w:hAnsi="仿宋" w:eastAsia="仿宋" w:cs="仿宋"/>
          <w:color w:val="auto"/>
          <w:sz w:val="44"/>
          <w:szCs w:val="44"/>
          <w:highlight w:val="none"/>
          <w:lang w:val="en-US" w:eastAsia="zh-CN"/>
        </w:rPr>
        <w:t>玉龙县公安局移动警务服务采购项目（二次）</w:t>
      </w:r>
    </w:p>
    <w:bookmarkEnd w:id="816"/>
    <w:p w14:paraId="78766738">
      <w:pPr>
        <w:shd w:val="clear"/>
        <w:spacing w:line="360" w:lineRule="auto"/>
        <w:rPr>
          <w:rFonts w:hint="eastAsia" w:ascii="仿宋" w:hAnsi="仿宋" w:eastAsia="仿宋" w:cs="仿宋"/>
          <w:color w:val="auto"/>
          <w:highlight w:val="none"/>
        </w:rPr>
      </w:pPr>
    </w:p>
    <w:p w14:paraId="643CE7F4">
      <w:pPr>
        <w:pStyle w:val="9"/>
        <w:shd w:val="clear"/>
        <w:rPr>
          <w:rFonts w:hint="eastAsia" w:ascii="仿宋" w:hAnsi="仿宋" w:eastAsia="仿宋" w:cs="仿宋"/>
          <w:color w:val="auto"/>
          <w:highlight w:val="none"/>
        </w:rPr>
      </w:pPr>
    </w:p>
    <w:p w14:paraId="52CFBCCF">
      <w:pPr>
        <w:pStyle w:val="13"/>
        <w:shd w:val="clear"/>
        <w:rPr>
          <w:rFonts w:hint="eastAsia"/>
          <w:color w:val="auto"/>
          <w:highlight w:val="none"/>
        </w:rPr>
      </w:pPr>
    </w:p>
    <w:p w14:paraId="0FD285C3">
      <w:pPr>
        <w:shd w:val="clear"/>
        <w:rPr>
          <w:rFonts w:hint="eastAsia"/>
          <w:color w:val="auto"/>
          <w:highlight w:val="none"/>
        </w:rPr>
      </w:pPr>
    </w:p>
    <w:p w14:paraId="4650A7C5">
      <w:pPr>
        <w:pStyle w:val="21"/>
        <w:shd w:val="clear"/>
        <w:rPr>
          <w:rFonts w:hint="eastAsia"/>
          <w:color w:val="auto"/>
          <w:highlight w:val="none"/>
        </w:rPr>
      </w:pPr>
    </w:p>
    <w:p w14:paraId="09598464">
      <w:pPr>
        <w:pStyle w:val="20"/>
        <w:shd w:val="clear"/>
        <w:rPr>
          <w:rFonts w:hint="eastAsia"/>
          <w:color w:val="auto"/>
          <w:highlight w:val="none"/>
        </w:rPr>
      </w:pPr>
    </w:p>
    <w:p w14:paraId="46FD8336">
      <w:pPr>
        <w:shd w:val="clear"/>
        <w:rPr>
          <w:rFonts w:hint="eastAsia"/>
          <w:color w:val="auto"/>
          <w:highlight w:val="none"/>
        </w:rPr>
      </w:pPr>
    </w:p>
    <w:p w14:paraId="47F10820">
      <w:pPr>
        <w:shd w:val="clear"/>
        <w:tabs>
          <w:tab w:val="left" w:pos="5190"/>
        </w:tabs>
        <w:spacing w:line="360" w:lineRule="auto"/>
        <w:jc w:val="center"/>
        <w:rPr>
          <w:rFonts w:hint="eastAsia" w:ascii="仿宋" w:hAnsi="仿宋" w:eastAsia="仿宋" w:cs="仿宋"/>
          <w:color w:val="auto"/>
          <w:sz w:val="36"/>
          <w:highlight w:val="none"/>
        </w:rPr>
      </w:pPr>
    </w:p>
    <w:p w14:paraId="676E54D0">
      <w:pPr>
        <w:shd w:val="clear"/>
        <w:bidi w:val="0"/>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招标文件</w:t>
      </w:r>
    </w:p>
    <w:p w14:paraId="06E971E7">
      <w:pPr>
        <w:shd w:val="clear"/>
        <w:bidi w:val="0"/>
        <w:spacing w:line="360" w:lineRule="auto"/>
        <w:jc w:val="cente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项目编号：</w:t>
      </w:r>
      <w:r>
        <w:rPr>
          <w:rFonts w:hint="eastAsia" w:ascii="仿宋" w:hAnsi="仿宋" w:eastAsia="仿宋" w:cs="仿宋"/>
          <w:color w:val="auto"/>
          <w:sz w:val="32"/>
          <w:szCs w:val="32"/>
          <w:highlight w:val="none"/>
          <w:lang w:eastAsia="zh-CN"/>
        </w:rPr>
        <w:t>HB-FW2024062</w:t>
      </w:r>
    </w:p>
    <w:p w14:paraId="57BE57D0">
      <w:pPr>
        <w:shd w:val="clear"/>
        <w:bidi w:val="0"/>
        <w:spacing w:line="360" w:lineRule="auto"/>
        <w:jc w:val="center"/>
        <w:rPr>
          <w:rFonts w:hint="eastAsia" w:ascii="仿宋" w:hAnsi="仿宋" w:eastAsia="仿宋" w:cs="仿宋"/>
          <w:color w:val="auto"/>
          <w:sz w:val="32"/>
          <w:szCs w:val="32"/>
          <w:highlight w:val="none"/>
          <w:lang w:eastAsia="zh-CN"/>
        </w:rPr>
      </w:pPr>
    </w:p>
    <w:p w14:paraId="6D76619F">
      <w:pPr>
        <w:pStyle w:val="13"/>
        <w:shd w:val="clear"/>
        <w:ind w:left="0" w:leftChars="0" w:firstLine="0" w:firstLineChars="0"/>
        <w:rPr>
          <w:rFonts w:hint="eastAsia" w:ascii="仿宋" w:hAnsi="仿宋" w:eastAsia="仿宋" w:cs="仿宋"/>
          <w:color w:val="auto"/>
          <w:sz w:val="32"/>
          <w:szCs w:val="32"/>
          <w:highlight w:val="none"/>
          <w:lang w:eastAsia="zh-CN"/>
        </w:rPr>
      </w:pPr>
    </w:p>
    <w:p w14:paraId="200B58B7">
      <w:pPr>
        <w:shd w:val="clear"/>
        <w:rPr>
          <w:rFonts w:hint="eastAsia" w:ascii="仿宋" w:hAnsi="仿宋" w:eastAsia="仿宋" w:cs="仿宋"/>
          <w:color w:val="auto"/>
          <w:sz w:val="32"/>
          <w:szCs w:val="32"/>
          <w:highlight w:val="none"/>
          <w:lang w:eastAsia="zh-CN"/>
        </w:rPr>
      </w:pPr>
    </w:p>
    <w:p w14:paraId="78442F4C">
      <w:pPr>
        <w:pStyle w:val="21"/>
        <w:shd w:val="clear"/>
        <w:rPr>
          <w:rFonts w:hint="eastAsia" w:ascii="仿宋" w:hAnsi="仿宋" w:eastAsia="仿宋" w:cs="仿宋"/>
          <w:color w:val="auto"/>
          <w:sz w:val="32"/>
          <w:szCs w:val="32"/>
          <w:highlight w:val="none"/>
          <w:lang w:eastAsia="zh-CN"/>
        </w:rPr>
      </w:pPr>
    </w:p>
    <w:p w14:paraId="6CDFD9D4">
      <w:pPr>
        <w:shd w:val="clear"/>
        <w:rPr>
          <w:rFonts w:hint="eastAsia"/>
          <w:color w:val="auto"/>
          <w:highlight w:val="none"/>
          <w:lang w:eastAsia="zh-CN"/>
        </w:rPr>
      </w:pPr>
    </w:p>
    <w:p w14:paraId="6B2F468D">
      <w:pPr>
        <w:pStyle w:val="21"/>
        <w:shd w:val="clear"/>
        <w:rPr>
          <w:rFonts w:hint="eastAsia"/>
          <w:color w:val="auto"/>
          <w:highlight w:val="none"/>
          <w:lang w:eastAsia="zh-CN"/>
        </w:rPr>
      </w:pPr>
    </w:p>
    <w:p w14:paraId="607F7A00">
      <w:pPr>
        <w:shd w:val="clear"/>
        <w:rPr>
          <w:rFonts w:hint="eastAsia"/>
          <w:color w:val="auto"/>
          <w:highlight w:val="none"/>
          <w:lang w:eastAsia="zh-CN"/>
        </w:rPr>
      </w:pPr>
    </w:p>
    <w:p w14:paraId="35A0A2B2">
      <w:pPr>
        <w:pStyle w:val="9"/>
        <w:shd w:val="clear"/>
        <w:rPr>
          <w:rFonts w:hint="eastAsia"/>
          <w:color w:val="auto"/>
          <w:highlight w:val="none"/>
          <w:lang w:eastAsia="zh-CN"/>
        </w:rPr>
      </w:pPr>
    </w:p>
    <w:p w14:paraId="157B595A">
      <w:pPr>
        <w:shd w:val="clear"/>
        <w:bidi w:val="0"/>
        <w:spacing w:line="360" w:lineRule="auto"/>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招标人：</w:t>
      </w:r>
      <w:r>
        <w:rPr>
          <w:rFonts w:hint="eastAsia" w:ascii="仿宋" w:hAnsi="仿宋" w:eastAsia="仿宋" w:cs="仿宋"/>
          <w:color w:val="auto"/>
          <w:sz w:val="32"/>
          <w:szCs w:val="32"/>
          <w:highlight w:val="none"/>
          <w:lang w:eastAsia="zh-CN"/>
        </w:rPr>
        <w:t>玉龙纳西族自治县公安局</w:t>
      </w:r>
    </w:p>
    <w:p w14:paraId="51FB7BC1">
      <w:pPr>
        <w:shd w:val="clear"/>
        <w:bidi w:val="0"/>
        <w:spacing w:line="360" w:lineRule="auto"/>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招标代理机构：</w:t>
      </w:r>
      <w:r>
        <w:rPr>
          <w:rFonts w:hint="eastAsia" w:ascii="仿宋" w:hAnsi="仿宋" w:eastAsia="仿宋" w:cs="仿宋"/>
          <w:color w:val="auto"/>
          <w:sz w:val="32"/>
          <w:szCs w:val="32"/>
          <w:highlight w:val="none"/>
          <w:lang w:eastAsia="zh-CN"/>
        </w:rPr>
        <w:t>丽江恒邦项目管理有限公司</w:t>
      </w:r>
    </w:p>
    <w:p w14:paraId="4DAF7082">
      <w:pPr>
        <w:shd w:val="clear"/>
        <w:bidi w:val="0"/>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32"/>
          <w:szCs w:val="32"/>
          <w:highlight w:val="none"/>
        </w:rPr>
        <w:t>日期：202</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11月</w:t>
      </w:r>
    </w:p>
    <w:p w14:paraId="0B52C8CD">
      <w:pPr>
        <w:widowControl/>
        <w:shd w:val="clear"/>
        <w:jc w:val="center"/>
        <w:rPr>
          <w:rFonts w:hint="eastAsia" w:ascii="仿宋" w:hAnsi="仿宋" w:eastAsia="仿宋" w:cs="仿宋"/>
          <w:bCs/>
          <w:color w:val="auto"/>
          <w:szCs w:val="21"/>
          <w:highlight w:val="none"/>
        </w:rPr>
        <w:sectPr>
          <w:headerReference r:id="rId3" w:type="default"/>
          <w:footerReference r:id="rId4" w:type="default"/>
          <w:pgSz w:w="11906" w:h="16838"/>
          <w:pgMar w:top="1440" w:right="1080" w:bottom="1440" w:left="1080" w:header="794" w:footer="794" w:gutter="0"/>
          <w:pgBorders>
            <w:top w:val="none" w:sz="0" w:space="0"/>
            <w:left w:val="none" w:sz="0" w:space="0"/>
            <w:bottom w:val="none" w:sz="0" w:space="0"/>
            <w:right w:val="none" w:sz="0" w:space="0"/>
          </w:pgBorders>
          <w:pgNumType w:start="1"/>
          <w:cols w:space="720" w:num="1"/>
          <w:docGrid w:linePitch="312" w:charSpace="0"/>
        </w:sectPr>
      </w:pPr>
    </w:p>
    <w:p w14:paraId="4DF1862C">
      <w:pPr>
        <w:shd w:val="clear"/>
        <w:bidi w:val="0"/>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目</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rPr>
        <w:t>录</w:t>
      </w:r>
    </w:p>
    <w:p w14:paraId="3EBDDD0C">
      <w:pPr>
        <w:pStyle w:val="16"/>
        <w:keepNext w:val="0"/>
        <w:keepLines w:val="0"/>
        <w:pageBreakBefore w:val="0"/>
        <w:widowControl w:val="0"/>
        <w:shd w:val="clear"/>
        <w:tabs>
          <w:tab w:val="right" w:leader="dot" w:pos="9746"/>
        </w:tabs>
        <w:kinsoku/>
        <w:wordWrap/>
        <w:overflowPunct/>
        <w:topLinePunct w:val="0"/>
        <w:autoSpaceDE/>
        <w:autoSpaceDN/>
        <w:bidi w:val="0"/>
        <w:adjustRightInd/>
        <w:snapToGrid/>
        <w:spacing w:before="0" w:after="0" w:line="360" w:lineRule="exact"/>
        <w:ind w:left="0"/>
        <w:textAlignment w:val="auto"/>
        <w:rPr>
          <w:color w:val="auto"/>
          <w:sz w:val="21"/>
          <w:szCs w:val="21"/>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"1-2"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_Toc10355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1"/>
          <w:highlight w:val="none"/>
        </w:rPr>
        <w:t>第一章</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招标公告</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_Toc10355 \h </w:instrText>
      </w:r>
      <w:r>
        <w:rPr>
          <w:color w:val="auto"/>
          <w:sz w:val="21"/>
          <w:szCs w:val="21"/>
          <w:highlight w:val="none"/>
        </w:rPr>
        <w:fldChar w:fldCharType="separate"/>
      </w:r>
      <w:r>
        <w:rPr>
          <w:color w:val="auto"/>
          <w:sz w:val="21"/>
          <w:szCs w:val="21"/>
          <w:highlight w:val="none"/>
        </w:rPr>
        <w:t>1</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198E48F0">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_Toc16347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32"/>
          <w:highlight w:val="none"/>
        </w:rPr>
        <w:t>一、项目基本情况</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_Toc16347 \h </w:instrText>
      </w:r>
      <w:r>
        <w:rPr>
          <w:color w:val="auto"/>
          <w:sz w:val="21"/>
          <w:szCs w:val="21"/>
          <w:highlight w:val="none"/>
        </w:rPr>
        <w:fldChar w:fldCharType="separate"/>
      </w:r>
      <w:r>
        <w:rPr>
          <w:color w:val="auto"/>
          <w:sz w:val="21"/>
          <w:szCs w:val="21"/>
          <w:highlight w:val="none"/>
        </w:rPr>
        <w:t>1</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1121D558">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_Toc2205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32"/>
          <w:highlight w:val="none"/>
        </w:rPr>
        <w:t>二、申请人的资格要求</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_Toc2205 \h </w:instrText>
      </w:r>
      <w:r>
        <w:rPr>
          <w:color w:val="auto"/>
          <w:sz w:val="21"/>
          <w:szCs w:val="21"/>
          <w:highlight w:val="none"/>
        </w:rPr>
        <w:fldChar w:fldCharType="separate"/>
      </w:r>
      <w:r>
        <w:rPr>
          <w:color w:val="auto"/>
          <w:sz w:val="21"/>
          <w:szCs w:val="21"/>
          <w:highlight w:val="none"/>
        </w:rPr>
        <w:t>2</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6FD7B483">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_Toc6290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32"/>
          <w:highlight w:val="none"/>
        </w:rPr>
        <w:t>三、获取招标文件</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_Toc6290 \h </w:instrText>
      </w:r>
      <w:r>
        <w:rPr>
          <w:color w:val="auto"/>
          <w:sz w:val="21"/>
          <w:szCs w:val="21"/>
          <w:highlight w:val="none"/>
        </w:rPr>
        <w:fldChar w:fldCharType="separate"/>
      </w:r>
      <w:r>
        <w:rPr>
          <w:color w:val="auto"/>
          <w:sz w:val="21"/>
          <w:szCs w:val="21"/>
          <w:highlight w:val="none"/>
        </w:rPr>
        <w:t>3</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596E13BE">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_Toc9328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32"/>
          <w:highlight w:val="none"/>
        </w:rPr>
        <w:t>四、提交投标文件截止时间、开标时间和地点</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_Toc9328 \h </w:instrText>
      </w:r>
      <w:r>
        <w:rPr>
          <w:color w:val="auto"/>
          <w:sz w:val="21"/>
          <w:szCs w:val="21"/>
          <w:highlight w:val="none"/>
        </w:rPr>
        <w:fldChar w:fldCharType="separate"/>
      </w:r>
      <w:r>
        <w:rPr>
          <w:color w:val="auto"/>
          <w:sz w:val="21"/>
          <w:szCs w:val="21"/>
          <w:highlight w:val="none"/>
        </w:rPr>
        <w:t>4</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179ACA0D">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_Toc7763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32"/>
          <w:highlight w:val="none"/>
        </w:rPr>
        <w:t>五、公告期限</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_Toc7763 \h </w:instrText>
      </w:r>
      <w:r>
        <w:rPr>
          <w:color w:val="auto"/>
          <w:sz w:val="21"/>
          <w:szCs w:val="21"/>
          <w:highlight w:val="none"/>
        </w:rPr>
        <w:fldChar w:fldCharType="separate"/>
      </w:r>
      <w:r>
        <w:rPr>
          <w:color w:val="auto"/>
          <w:sz w:val="21"/>
          <w:szCs w:val="21"/>
          <w:highlight w:val="none"/>
        </w:rPr>
        <w:t>4</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09B35C06">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_Toc9770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32"/>
          <w:highlight w:val="none"/>
        </w:rPr>
        <w:t>六、其他补充事宜</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_Toc9770 \h </w:instrText>
      </w:r>
      <w:r>
        <w:rPr>
          <w:color w:val="auto"/>
          <w:sz w:val="21"/>
          <w:szCs w:val="21"/>
          <w:highlight w:val="none"/>
        </w:rPr>
        <w:fldChar w:fldCharType="separate"/>
      </w:r>
      <w:r>
        <w:rPr>
          <w:color w:val="auto"/>
          <w:sz w:val="21"/>
          <w:szCs w:val="21"/>
          <w:highlight w:val="none"/>
        </w:rPr>
        <w:t>4</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4B1F6B10">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_Toc1109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32"/>
          <w:highlight w:val="none"/>
        </w:rPr>
        <w:t>七、对本次招标提出询问，请按以下方式联系</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_Toc1109 \h </w:instrText>
      </w:r>
      <w:r>
        <w:rPr>
          <w:color w:val="auto"/>
          <w:sz w:val="21"/>
          <w:szCs w:val="21"/>
          <w:highlight w:val="none"/>
        </w:rPr>
        <w:fldChar w:fldCharType="separate"/>
      </w:r>
      <w:r>
        <w:rPr>
          <w:color w:val="auto"/>
          <w:sz w:val="21"/>
          <w:szCs w:val="21"/>
          <w:highlight w:val="none"/>
        </w:rPr>
        <w:t>5</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366673BD">
      <w:pPr>
        <w:pStyle w:val="16"/>
        <w:keepNext w:val="0"/>
        <w:keepLines w:val="0"/>
        <w:pageBreakBefore w:val="0"/>
        <w:widowControl w:val="0"/>
        <w:shd w:val="clear"/>
        <w:tabs>
          <w:tab w:val="right" w:leader="dot" w:pos="9746"/>
        </w:tabs>
        <w:kinsoku/>
        <w:wordWrap/>
        <w:overflowPunct/>
        <w:topLinePunct w:val="0"/>
        <w:autoSpaceDE/>
        <w:autoSpaceDN/>
        <w:bidi w:val="0"/>
        <w:adjustRightInd/>
        <w:snapToGrid/>
        <w:spacing w:before="0" w:after="0" w:line="360" w:lineRule="exact"/>
        <w:ind w:left="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_Toc17969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1"/>
          <w:highlight w:val="none"/>
        </w:rPr>
        <w:t>第二章</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pacing w:val="10"/>
          <w:sz w:val="21"/>
          <w:szCs w:val="21"/>
          <w:highlight w:val="none"/>
        </w:rPr>
        <w:t>投标人</w:t>
      </w:r>
      <w:r>
        <w:rPr>
          <w:rFonts w:hint="eastAsia" w:ascii="仿宋" w:hAnsi="仿宋" w:eastAsia="仿宋" w:cs="仿宋"/>
          <w:color w:val="auto"/>
          <w:sz w:val="21"/>
          <w:szCs w:val="21"/>
          <w:highlight w:val="none"/>
        </w:rPr>
        <w:t>须知</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_Toc17969 \h </w:instrText>
      </w:r>
      <w:r>
        <w:rPr>
          <w:color w:val="auto"/>
          <w:sz w:val="21"/>
          <w:szCs w:val="21"/>
          <w:highlight w:val="none"/>
        </w:rPr>
        <w:fldChar w:fldCharType="separate"/>
      </w:r>
      <w:r>
        <w:rPr>
          <w:color w:val="auto"/>
          <w:sz w:val="21"/>
          <w:szCs w:val="21"/>
          <w:highlight w:val="none"/>
        </w:rPr>
        <w:t>6</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1F21E1D5">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_Toc29490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投标人须知前附表</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_Toc29490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6</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1A576FB2">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_Toc15712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一、总则</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_Toc15712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11</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7516603A">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_Toc12408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二、招标文件</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_Toc12408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13</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4AF4AB6A">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_Toc21180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三、投标文件</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_Toc21180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14</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4B00760F">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_Toc26618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四、投标</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_Toc26618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16</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2CF8E8D8">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_Toc10252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五、开标</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_Toc10252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17</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2A028F1E">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_Toc19622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六、评标</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_Toc19622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18</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3D8655F1">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_Toc17373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七、中标结果</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_Toc17373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19</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51635D46">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_Toc13527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八、其他事项</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_Toc13527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21</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34CEBB81">
      <w:pPr>
        <w:pStyle w:val="16"/>
        <w:keepNext w:val="0"/>
        <w:keepLines w:val="0"/>
        <w:pageBreakBefore w:val="0"/>
        <w:widowControl w:val="0"/>
        <w:shd w:val="clear"/>
        <w:tabs>
          <w:tab w:val="right" w:leader="dot" w:pos="9746"/>
        </w:tabs>
        <w:kinsoku/>
        <w:wordWrap/>
        <w:overflowPunct/>
        <w:topLinePunct w:val="0"/>
        <w:autoSpaceDE/>
        <w:autoSpaceDN/>
        <w:bidi w:val="0"/>
        <w:adjustRightInd/>
        <w:snapToGrid/>
        <w:spacing w:before="0" w:after="0" w:line="360" w:lineRule="exact"/>
        <w:ind w:left="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_Toc3322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1"/>
          <w:highlight w:val="none"/>
        </w:rPr>
        <w:t>第三章</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合同书样式及主要条款</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_Toc3322 \h </w:instrText>
      </w:r>
      <w:r>
        <w:rPr>
          <w:color w:val="auto"/>
          <w:sz w:val="21"/>
          <w:szCs w:val="21"/>
          <w:highlight w:val="none"/>
        </w:rPr>
        <w:fldChar w:fldCharType="separate"/>
      </w:r>
      <w:r>
        <w:rPr>
          <w:color w:val="auto"/>
          <w:sz w:val="21"/>
          <w:szCs w:val="21"/>
          <w:highlight w:val="none"/>
        </w:rPr>
        <w:t>23</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1BDA1770">
      <w:pPr>
        <w:pStyle w:val="16"/>
        <w:keepNext w:val="0"/>
        <w:keepLines w:val="0"/>
        <w:pageBreakBefore w:val="0"/>
        <w:widowControl w:val="0"/>
        <w:shd w:val="clear"/>
        <w:tabs>
          <w:tab w:val="right" w:leader="dot" w:pos="9746"/>
        </w:tabs>
        <w:kinsoku/>
        <w:wordWrap/>
        <w:overflowPunct/>
        <w:topLinePunct w:val="0"/>
        <w:autoSpaceDE/>
        <w:autoSpaceDN/>
        <w:bidi w:val="0"/>
        <w:adjustRightInd/>
        <w:snapToGrid/>
        <w:spacing w:before="0" w:after="0" w:line="360" w:lineRule="exact"/>
        <w:ind w:left="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_Toc13960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1"/>
          <w:highlight w:val="none"/>
        </w:rPr>
        <w:t>第四章</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投标文件格式</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_Toc13960 \h </w:instrText>
      </w:r>
      <w:r>
        <w:rPr>
          <w:color w:val="auto"/>
          <w:sz w:val="21"/>
          <w:szCs w:val="21"/>
          <w:highlight w:val="none"/>
        </w:rPr>
        <w:fldChar w:fldCharType="separate"/>
      </w:r>
      <w:r>
        <w:rPr>
          <w:color w:val="auto"/>
          <w:sz w:val="21"/>
          <w:szCs w:val="21"/>
          <w:highlight w:val="none"/>
        </w:rPr>
        <w:t>31</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278D6492">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_Toc19050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lang w:val="en-US" w:eastAsia="zh-CN"/>
        </w:rPr>
        <w:t>一</w:t>
      </w:r>
      <w:r>
        <w:rPr>
          <w:rFonts w:hint="eastAsia" w:ascii="仿宋" w:hAnsi="仿宋" w:eastAsia="仿宋" w:cs="仿宋"/>
          <w:color w:val="auto"/>
          <w:sz w:val="21"/>
          <w:szCs w:val="28"/>
          <w:highlight w:val="none"/>
        </w:rPr>
        <w:t>、开标一览表</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_Toc19050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32</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08F511A7">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_Toc10707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lang w:val="en-US" w:eastAsia="zh-CN"/>
        </w:rPr>
        <w:t>二</w:t>
      </w:r>
      <w:r>
        <w:rPr>
          <w:rFonts w:hint="eastAsia" w:ascii="仿宋" w:hAnsi="仿宋" w:eastAsia="仿宋" w:cs="仿宋"/>
          <w:color w:val="auto"/>
          <w:sz w:val="21"/>
          <w:szCs w:val="28"/>
          <w:highlight w:val="none"/>
        </w:rPr>
        <w:t>、资格审查文件部分</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_Toc10707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33</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426D6A3B">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_Toc5214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lang w:val="en-US" w:eastAsia="zh-CN"/>
        </w:rPr>
        <w:t>三</w:t>
      </w:r>
      <w:r>
        <w:rPr>
          <w:rFonts w:hint="eastAsia" w:ascii="仿宋" w:hAnsi="仿宋" w:eastAsia="仿宋" w:cs="仿宋"/>
          <w:color w:val="auto"/>
          <w:sz w:val="21"/>
          <w:szCs w:val="28"/>
          <w:highlight w:val="none"/>
        </w:rPr>
        <w:t>、</w:t>
      </w:r>
      <w:r>
        <w:rPr>
          <w:rFonts w:hint="eastAsia" w:ascii="仿宋" w:hAnsi="仿宋" w:eastAsia="仿宋" w:cs="仿宋"/>
          <w:color w:val="auto"/>
          <w:sz w:val="21"/>
          <w:szCs w:val="28"/>
          <w:highlight w:val="none"/>
          <w:lang w:val="en-US" w:eastAsia="zh-CN"/>
        </w:rPr>
        <w:t>技术</w:t>
      </w:r>
      <w:r>
        <w:rPr>
          <w:rFonts w:hint="eastAsia" w:ascii="仿宋" w:hAnsi="仿宋" w:eastAsia="仿宋" w:cs="仿宋"/>
          <w:color w:val="auto"/>
          <w:sz w:val="21"/>
          <w:szCs w:val="28"/>
          <w:highlight w:val="none"/>
        </w:rPr>
        <w:t>部分</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_Toc5214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35</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748BC4A9">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_Toc28828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lang w:val="en-US" w:eastAsia="zh-CN"/>
        </w:rPr>
        <w:t>四</w:t>
      </w:r>
      <w:r>
        <w:rPr>
          <w:rFonts w:hint="eastAsia" w:ascii="仿宋" w:hAnsi="仿宋" w:eastAsia="仿宋" w:cs="仿宋"/>
          <w:color w:val="auto"/>
          <w:sz w:val="21"/>
          <w:szCs w:val="28"/>
          <w:highlight w:val="none"/>
        </w:rPr>
        <w:t>、</w:t>
      </w:r>
      <w:r>
        <w:rPr>
          <w:rFonts w:hint="eastAsia" w:ascii="仿宋" w:hAnsi="仿宋" w:eastAsia="仿宋" w:cs="仿宋"/>
          <w:color w:val="auto"/>
          <w:sz w:val="21"/>
          <w:szCs w:val="28"/>
          <w:highlight w:val="none"/>
          <w:lang w:val="en-US" w:eastAsia="zh-CN"/>
        </w:rPr>
        <w:t>商务</w:t>
      </w:r>
      <w:r>
        <w:rPr>
          <w:rFonts w:hint="eastAsia" w:ascii="仿宋" w:hAnsi="仿宋" w:eastAsia="仿宋" w:cs="仿宋"/>
          <w:color w:val="auto"/>
          <w:sz w:val="21"/>
          <w:szCs w:val="28"/>
          <w:highlight w:val="none"/>
        </w:rPr>
        <w:t>部分</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_Toc28828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39</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5BA87FC1">
      <w:pPr>
        <w:pStyle w:val="16"/>
        <w:keepNext w:val="0"/>
        <w:keepLines w:val="0"/>
        <w:pageBreakBefore w:val="0"/>
        <w:widowControl w:val="0"/>
        <w:shd w:val="clear"/>
        <w:tabs>
          <w:tab w:val="right" w:leader="dot" w:pos="9746"/>
        </w:tabs>
        <w:kinsoku/>
        <w:wordWrap/>
        <w:overflowPunct/>
        <w:topLinePunct w:val="0"/>
        <w:autoSpaceDE/>
        <w:autoSpaceDN/>
        <w:bidi w:val="0"/>
        <w:adjustRightInd/>
        <w:snapToGrid/>
        <w:spacing w:before="0" w:after="0" w:line="360" w:lineRule="exact"/>
        <w:ind w:left="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_Toc28462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1"/>
          <w:highlight w:val="none"/>
          <w:shd w:val="clear"/>
          <w:lang w:val="en-US" w:eastAsia="zh-CN"/>
        </w:rPr>
        <w:t xml:space="preserve">第五章  </w:t>
      </w:r>
      <w:r>
        <w:rPr>
          <w:rFonts w:hint="eastAsia" w:ascii="仿宋" w:hAnsi="仿宋" w:eastAsia="仿宋" w:cs="仿宋"/>
          <w:color w:val="auto"/>
          <w:sz w:val="21"/>
          <w:szCs w:val="21"/>
          <w:highlight w:val="none"/>
          <w:shd w:val="clear"/>
        </w:rPr>
        <w:t>采购需求</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_Toc28462 \h </w:instrText>
      </w:r>
      <w:r>
        <w:rPr>
          <w:color w:val="auto"/>
          <w:sz w:val="21"/>
          <w:szCs w:val="21"/>
          <w:highlight w:val="none"/>
        </w:rPr>
        <w:fldChar w:fldCharType="separate"/>
      </w:r>
      <w:r>
        <w:rPr>
          <w:color w:val="auto"/>
          <w:sz w:val="21"/>
          <w:szCs w:val="21"/>
          <w:highlight w:val="none"/>
        </w:rPr>
        <w:t>51</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02CAEF3E">
      <w:pPr>
        <w:pStyle w:val="16"/>
        <w:keepNext w:val="0"/>
        <w:keepLines w:val="0"/>
        <w:pageBreakBefore w:val="0"/>
        <w:widowControl w:val="0"/>
        <w:shd w:val="clear"/>
        <w:tabs>
          <w:tab w:val="right" w:leader="dot" w:pos="9746"/>
        </w:tabs>
        <w:kinsoku/>
        <w:wordWrap/>
        <w:overflowPunct/>
        <w:topLinePunct w:val="0"/>
        <w:autoSpaceDE/>
        <w:autoSpaceDN/>
        <w:bidi w:val="0"/>
        <w:adjustRightInd/>
        <w:snapToGrid/>
        <w:spacing w:before="0" w:after="0" w:line="360" w:lineRule="exact"/>
        <w:ind w:left="0"/>
        <w:textAlignment w:val="auto"/>
        <w:rPr>
          <w:color w:val="auto"/>
          <w:sz w:val="21"/>
          <w:szCs w:val="21"/>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_Toc23056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1"/>
          <w:highlight w:val="none"/>
          <w:lang w:eastAsia="zh-CN"/>
        </w:rPr>
        <w:t>第六章</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评标办法</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_Toc23056 \h </w:instrText>
      </w:r>
      <w:r>
        <w:rPr>
          <w:color w:val="auto"/>
          <w:sz w:val="21"/>
          <w:szCs w:val="21"/>
          <w:highlight w:val="none"/>
        </w:rPr>
        <w:fldChar w:fldCharType="separate"/>
      </w:r>
      <w:r>
        <w:rPr>
          <w:color w:val="auto"/>
          <w:sz w:val="21"/>
          <w:szCs w:val="21"/>
          <w:highlight w:val="none"/>
        </w:rPr>
        <w:t>100</w:t>
      </w:r>
      <w:r>
        <w:rPr>
          <w:color w:val="auto"/>
          <w:sz w:val="21"/>
          <w:szCs w:val="21"/>
          <w:highlight w:val="none"/>
        </w:rPr>
        <w:fldChar w:fldCharType="end"/>
      </w:r>
      <w:r>
        <w:rPr>
          <w:rFonts w:hint="eastAsia" w:ascii="仿宋" w:hAnsi="仿宋" w:eastAsia="仿宋" w:cs="仿宋"/>
          <w:color w:val="auto"/>
          <w:sz w:val="21"/>
          <w:szCs w:val="28"/>
          <w:highlight w:val="none"/>
        </w:rPr>
        <w:fldChar w:fldCharType="end"/>
      </w:r>
    </w:p>
    <w:p w14:paraId="66E68F5E">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_Toc8144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一、评标方法</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_Toc8144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104</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3E0E8152">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_Toc24313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二、评标委员会</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_Toc24313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107</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049145AC">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_Toc13555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三、评标原则</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_Toc13555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107</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038CFA43">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rFonts w:hint="eastAsia" w:ascii="仿宋" w:hAnsi="仿宋" w:eastAsia="仿宋" w:cs="仿宋"/>
          <w:color w:val="auto"/>
          <w:sz w:val="21"/>
          <w:szCs w:val="28"/>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_Toc27289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四、评标纪律</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_Toc27289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108</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0B74BB4C">
      <w:pPr>
        <w:pStyle w:val="18"/>
        <w:keepNext w:val="0"/>
        <w:keepLines w:val="0"/>
        <w:pageBreakBefore w:val="0"/>
        <w:widowControl w:val="0"/>
        <w:shd w:val="clear"/>
        <w:tabs>
          <w:tab w:val="right" w:leader="dot" w:pos="9746"/>
        </w:tabs>
        <w:kinsoku/>
        <w:wordWrap/>
        <w:overflowPunct/>
        <w:topLinePunct w:val="0"/>
        <w:autoSpaceDE/>
        <w:autoSpaceDN/>
        <w:bidi w:val="0"/>
        <w:adjustRightInd/>
        <w:snapToGrid/>
        <w:spacing w:line="360" w:lineRule="exact"/>
        <w:ind w:left="420" w:leftChars="200"/>
        <w:textAlignment w:val="auto"/>
        <w:rPr>
          <w:color w:val="auto"/>
          <w:highlight w:val="none"/>
        </w:rPr>
      </w:pP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HYPERLINK \l _Toc3353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五、评标程序和标准</w:t>
      </w:r>
      <w:r>
        <w:rPr>
          <w:rFonts w:hint="eastAsia" w:ascii="仿宋" w:hAnsi="仿宋" w:eastAsia="仿宋" w:cs="仿宋"/>
          <w:color w:val="auto"/>
          <w:sz w:val="21"/>
          <w:szCs w:val="28"/>
          <w:highlight w:val="none"/>
        </w:rPr>
        <w:tab/>
      </w:r>
      <w:r>
        <w:rPr>
          <w:rFonts w:hint="eastAsia" w:ascii="仿宋" w:hAnsi="仿宋" w:eastAsia="仿宋" w:cs="仿宋"/>
          <w:color w:val="auto"/>
          <w:sz w:val="21"/>
          <w:szCs w:val="28"/>
          <w:highlight w:val="none"/>
        </w:rPr>
        <w:fldChar w:fldCharType="begin"/>
      </w:r>
      <w:r>
        <w:rPr>
          <w:rFonts w:hint="eastAsia" w:ascii="仿宋" w:hAnsi="仿宋" w:eastAsia="仿宋" w:cs="仿宋"/>
          <w:color w:val="auto"/>
          <w:sz w:val="21"/>
          <w:szCs w:val="28"/>
          <w:highlight w:val="none"/>
        </w:rPr>
        <w:instrText xml:space="preserve"> PAGEREF _Toc3353 \h </w:instrText>
      </w:r>
      <w:r>
        <w:rPr>
          <w:rFonts w:hint="eastAsia" w:ascii="仿宋" w:hAnsi="仿宋" w:eastAsia="仿宋" w:cs="仿宋"/>
          <w:color w:val="auto"/>
          <w:sz w:val="21"/>
          <w:szCs w:val="28"/>
          <w:highlight w:val="none"/>
        </w:rPr>
        <w:fldChar w:fldCharType="separate"/>
      </w:r>
      <w:r>
        <w:rPr>
          <w:rFonts w:hint="eastAsia" w:ascii="仿宋" w:hAnsi="仿宋" w:eastAsia="仿宋" w:cs="仿宋"/>
          <w:color w:val="auto"/>
          <w:sz w:val="21"/>
          <w:szCs w:val="28"/>
          <w:highlight w:val="none"/>
        </w:rPr>
        <w:t>108</w:t>
      </w:r>
      <w:r>
        <w:rPr>
          <w:rFonts w:hint="eastAsia" w:ascii="仿宋" w:hAnsi="仿宋" w:eastAsia="仿宋" w:cs="仿宋"/>
          <w:color w:val="auto"/>
          <w:sz w:val="21"/>
          <w:szCs w:val="28"/>
          <w:highlight w:val="none"/>
        </w:rPr>
        <w:fldChar w:fldCharType="end"/>
      </w:r>
      <w:r>
        <w:rPr>
          <w:rFonts w:hint="eastAsia" w:ascii="仿宋" w:hAnsi="仿宋" w:eastAsia="仿宋" w:cs="仿宋"/>
          <w:color w:val="auto"/>
          <w:sz w:val="21"/>
          <w:szCs w:val="28"/>
          <w:highlight w:val="none"/>
        </w:rPr>
        <w:fldChar w:fldCharType="end"/>
      </w:r>
    </w:p>
    <w:p w14:paraId="0E227569">
      <w:pPr>
        <w:pStyle w:val="2"/>
        <w:keepNext w:val="0"/>
        <w:keepLines w:val="0"/>
        <w:pageBreakBefore w:val="0"/>
        <w:widowControl w:val="0"/>
        <w:shd w:val="clear"/>
        <w:kinsoku/>
        <w:wordWrap/>
        <w:overflowPunct/>
        <w:topLinePunct w:val="0"/>
        <w:autoSpaceDE/>
        <w:autoSpaceDN/>
        <w:bidi w:val="0"/>
        <w:adjustRightInd/>
        <w:snapToGrid/>
        <w:spacing w:before="0" w:line="3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fldChar w:fldCharType="end"/>
      </w:r>
    </w:p>
    <w:p w14:paraId="02331DAC">
      <w:pPr>
        <w:pStyle w:val="3"/>
        <w:keepNext/>
        <w:keepLines w:val="0"/>
        <w:pageBreakBefore w:val="0"/>
        <w:widowControl w:val="0"/>
        <w:shd w:val="clear"/>
        <w:kinsoku/>
        <w:wordWrap/>
        <w:overflowPunct/>
        <w:topLinePunct w:val="0"/>
        <w:autoSpaceDE/>
        <w:autoSpaceDN/>
        <w:bidi w:val="0"/>
        <w:adjustRightInd w:val="0"/>
        <w:snapToGrid/>
        <w:spacing w:after="157" w:afterLines="50" w:line="360" w:lineRule="auto"/>
        <w:textAlignment w:val="auto"/>
        <w:outlineLvl w:val="0"/>
        <w:rPr>
          <w:rFonts w:hint="eastAsia" w:ascii="仿宋" w:hAnsi="仿宋" w:eastAsia="仿宋" w:cs="仿宋"/>
          <w:color w:val="auto"/>
          <w:highlight w:val="none"/>
        </w:rPr>
        <w:sectPr>
          <w:footerReference r:id="rId5" w:type="default"/>
          <w:pgSz w:w="11906" w:h="16838"/>
          <w:pgMar w:top="1440" w:right="1080" w:bottom="1440" w:left="1080" w:header="794" w:footer="794" w:gutter="0"/>
          <w:pgBorders>
            <w:top w:val="none" w:sz="0" w:space="0"/>
            <w:left w:val="none" w:sz="0" w:space="0"/>
            <w:bottom w:val="none" w:sz="0" w:space="0"/>
            <w:right w:val="none" w:sz="0" w:space="0"/>
          </w:pgBorders>
          <w:pgNumType w:fmt="decimal"/>
          <w:cols w:space="0" w:num="1"/>
          <w:rtlGutter w:val="0"/>
          <w:docGrid w:linePitch="312" w:charSpace="0"/>
        </w:sectPr>
      </w:pPr>
      <w:bookmarkStart w:id="0" w:name="_Toc244341279"/>
      <w:bookmarkStart w:id="1" w:name="_Toc364392598"/>
      <w:bookmarkStart w:id="2" w:name="_Toc5293"/>
      <w:bookmarkStart w:id="3" w:name="_Toc18506"/>
      <w:bookmarkStart w:id="4" w:name="_Toc23332"/>
      <w:bookmarkStart w:id="5" w:name="_Toc4779"/>
      <w:bookmarkStart w:id="6" w:name="_Toc13887"/>
    </w:p>
    <w:p w14:paraId="1903EE0D">
      <w:pPr>
        <w:pStyle w:val="3"/>
        <w:keepNext/>
        <w:keepLines w:val="0"/>
        <w:pageBreakBefore w:val="0"/>
        <w:widowControl w:val="0"/>
        <w:shd w:val="clear"/>
        <w:kinsoku/>
        <w:wordWrap/>
        <w:overflowPunct/>
        <w:topLinePunct w:val="0"/>
        <w:autoSpaceDE/>
        <w:autoSpaceDN/>
        <w:bidi w:val="0"/>
        <w:adjustRightInd w:val="0"/>
        <w:snapToGrid/>
        <w:spacing w:after="157" w:afterLines="50" w:line="360" w:lineRule="auto"/>
        <w:textAlignment w:val="auto"/>
        <w:outlineLvl w:val="0"/>
        <w:rPr>
          <w:rFonts w:hint="eastAsia" w:ascii="仿宋" w:hAnsi="仿宋" w:eastAsia="仿宋" w:cs="仿宋"/>
          <w:color w:val="auto"/>
          <w:highlight w:val="none"/>
        </w:rPr>
      </w:pPr>
      <w:bookmarkStart w:id="7" w:name="_Toc10355"/>
      <w:r>
        <w:rPr>
          <w:rFonts w:hint="eastAsia" w:ascii="仿宋" w:hAnsi="仿宋" w:eastAsia="仿宋" w:cs="仿宋"/>
          <w:color w:val="auto"/>
          <w:highlight w:val="none"/>
        </w:rPr>
        <w:t>第一章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招标</w:t>
      </w:r>
      <w:bookmarkEnd w:id="0"/>
      <w:bookmarkEnd w:id="1"/>
      <w:r>
        <w:rPr>
          <w:rFonts w:hint="eastAsia" w:ascii="仿宋" w:hAnsi="仿宋" w:eastAsia="仿宋" w:cs="仿宋"/>
          <w:color w:val="auto"/>
          <w:highlight w:val="none"/>
        </w:rPr>
        <w:t>公告</w:t>
      </w:r>
      <w:bookmarkEnd w:id="2"/>
      <w:bookmarkEnd w:id="3"/>
      <w:bookmarkEnd w:id="4"/>
      <w:bookmarkEnd w:id="5"/>
      <w:bookmarkEnd w:id="6"/>
      <w:bookmarkEnd w:id="7"/>
    </w:p>
    <w:p w14:paraId="645B1B57">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right="0" w:rightChars="0"/>
        <w:jc w:val="center"/>
        <w:textAlignment w:val="auto"/>
        <w:rPr>
          <w:rFonts w:hint="default" w:ascii="仿宋" w:hAnsi="仿宋" w:eastAsia="仿宋" w:cs="仿宋"/>
          <w:b/>
          <w:color w:val="auto"/>
          <w:kern w:val="0"/>
          <w:sz w:val="24"/>
          <w:szCs w:val="22"/>
          <w:highlight w:val="none"/>
          <w:u w:val="none"/>
          <w:lang w:val="en-US" w:eastAsia="zh-CN"/>
        </w:rPr>
      </w:pPr>
      <w:bookmarkStart w:id="8" w:name="_Toc29102"/>
      <w:bookmarkStart w:id="9" w:name="_Toc1850"/>
      <w:bookmarkStart w:id="10" w:name="_Toc17257"/>
      <w:bookmarkStart w:id="11" w:name="_Toc13484"/>
      <w:bookmarkStart w:id="12" w:name="_Toc7911"/>
      <w:r>
        <w:rPr>
          <w:rFonts w:hint="eastAsia" w:ascii="仿宋" w:hAnsi="仿宋" w:eastAsia="仿宋" w:cs="仿宋"/>
          <w:b/>
          <w:color w:val="auto"/>
          <w:kern w:val="0"/>
          <w:sz w:val="24"/>
          <w:szCs w:val="22"/>
          <w:highlight w:val="none"/>
          <w:u w:val="none"/>
          <w:lang w:val="en-US" w:eastAsia="zh-CN"/>
        </w:rPr>
        <w:t>项目概况</w:t>
      </w:r>
    </w:p>
    <w:p w14:paraId="58051192">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left="0" w:leftChars="0" w:right="0" w:rightChars="0" w:firstLine="482" w:firstLineChars="200"/>
        <w:jc w:val="both"/>
        <w:textAlignment w:val="auto"/>
        <w:rPr>
          <w:rFonts w:hint="eastAsia" w:ascii="仿宋" w:hAnsi="仿宋" w:eastAsia="仿宋" w:cs="仿宋"/>
          <w:color w:val="auto"/>
          <w:sz w:val="24"/>
          <w:highlight w:val="none"/>
        </w:rPr>
      </w:pPr>
      <w:r>
        <w:rPr>
          <w:rFonts w:hint="eastAsia" w:ascii="仿宋" w:hAnsi="仿宋" w:eastAsia="仿宋" w:cs="仿宋"/>
          <w:b/>
          <w:color w:val="auto"/>
          <w:kern w:val="0"/>
          <w:sz w:val="24"/>
          <w:szCs w:val="22"/>
          <w:highlight w:val="none"/>
          <w:u w:val="none"/>
          <w:lang w:eastAsia="zh-CN"/>
        </w:rPr>
        <w:t>玉龙县公安局移动警务服务采购项目（二次）</w:t>
      </w:r>
      <w:r>
        <w:rPr>
          <w:rFonts w:hint="eastAsia" w:ascii="仿宋" w:hAnsi="仿宋" w:eastAsia="仿宋" w:cs="仿宋"/>
          <w:bCs/>
          <w:color w:val="auto"/>
          <w:kern w:val="0"/>
          <w:sz w:val="24"/>
          <w:szCs w:val="22"/>
          <w:highlight w:val="none"/>
        </w:rPr>
        <w:t>的潜在投标人</w:t>
      </w:r>
      <w:r>
        <w:rPr>
          <w:rFonts w:hint="eastAsia" w:ascii="仿宋" w:hAnsi="仿宋" w:eastAsia="仿宋" w:cs="仿宋"/>
          <w:bCs/>
          <w:color w:val="auto"/>
          <w:sz w:val="24"/>
          <w:highlight w:val="none"/>
        </w:rPr>
        <w:t>应</w:t>
      </w:r>
      <w:r>
        <w:rPr>
          <w:rFonts w:hint="eastAsia" w:ascii="仿宋" w:hAnsi="仿宋" w:eastAsia="仿宋" w:cs="仿宋"/>
          <w:b w:val="0"/>
          <w:bCs/>
          <w:color w:val="auto"/>
          <w:sz w:val="24"/>
          <w:highlight w:val="none"/>
        </w:rPr>
        <w:t>在</w:t>
      </w:r>
      <w:r>
        <w:rPr>
          <w:rFonts w:hint="eastAsia" w:ascii="仿宋" w:hAnsi="仿宋" w:eastAsia="仿宋" w:cs="仿宋"/>
          <w:b/>
          <w:bCs/>
          <w:color w:val="auto"/>
          <w:sz w:val="24"/>
          <w:highlight w:val="none"/>
          <w:lang w:eastAsia="zh-CN"/>
        </w:rPr>
        <w:t>政采云平台（https://www.zcygov.cn/）</w:t>
      </w:r>
      <w:r>
        <w:rPr>
          <w:rStyle w:val="27"/>
          <w:rFonts w:hint="eastAsia" w:ascii="仿宋" w:hAnsi="仿宋" w:eastAsia="仿宋" w:cs="仿宋"/>
          <w:b/>
          <w:color w:val="auto"/>
          <w:sz w:val="24"/>
          <w:szCs w:val="22"/>
          <w:highlight w:val="none"/>
        </w:rPr>
        <w:fldChar w:fldCharType="begin"/>
      </w:r>
      <w:r>
        <w:rPr>
          <w:rStyle w:val="27"/>
          <w:rFonts w:hint="eastAsia" w:ascii="仿宋" w:hAnsi="仿宋" w:eastAsia="仿宋" w:cs="仿宋"/>
          <w:b/>
          <w:color w:val="auto"/>
          <w:sz w:val="24"/>
          <w:szCs w:val="22"/>
          <w:highlight w:val="none"/>
        </w:rPr>
        <w:instrText xml:space="preserve"> HYPERLINK "http://116.55.195.54:8001/#/homePage，点击切换至\“丽江市\”）获取招标文件，并于2022年" </w:instrText>
      </w:r>
      <w:r>
        <w:rPr>
          <w:rStyle w:val="27"/>
          <w:rFonts w:hint="eastAsia" w:ascii="仿宋" w:hAnsi="仿宋" w:eastAsia="仿宋" w:cs="仿宋"/>
          <w:b/>
          <w:color w:val="auto"/>
          <w:sz w:val="24"/>
          <w:szCs w:val="22"/>
          <w:highlight w:val="none"/>
        </w:rPr>
        <w:fldChar w:fldCharType="separate"/>
      </w:r>
      <w:r>
        <w:rPr>
          <w:rStyle w:val="27"/>
          <w:rFonts w:hint="eastAsia" w:ascii="仿宋" w:hAnsi="仿宋" w:eastAsia="仿宋" w:cs="仿宋"/>
          <w:b w:val="0"/>
          <w:bCs/>
          <w:color w:val="auto"/>
          <w:sz w:val="24"/>
          <w:szCs w:val="22"/>
          <w:highlight w:val="none"/>
        </w:rPr>
        <w:t>获取招标文件</w:t>
      </w:r>
      <w:r>
        <w:rPr>
          <w:rStyle w:val="27"/>
          <w:rFonts w:hint="eastAsia" w:ascii="仿宋" w:hAnsi="仿宋" w:eastAsia="仿宋" w:cs="仿宋"/>
          <w:b/>
          <w:color w:val="auto"/>
          <w:sz w:val="24"/>
          <w:szCs w:val="22"/>
          <w:highlight w:val="none"/>
        </w:rPr>
        <w:t>，并于202</w:t>
      </w:r>
      <w:r>
        <w:rPr>
          <w:rStyle w:val="27"/>
          <w:rFonts w:hint="eastAsia" w:ascii="仿宋" w:hAnsi="仿宋" w:eastAsia="仿宋" w:cs="仿宋"/>
          <w:b/>
          <w:color w:val="auto"/>
          <w:sz w:val="24"/>
          <w:szCs w:val="22"/>
          <w:highlight w:val="none"/>
          <w:lang w:val="en-US" w:eastAsia="zh-CN"/>
        </w:rPr>
        <w:t>4</w:t>
      </w:r>
      <w:r>
        <w:rPr>
          <w:rStyle w:val="27"/>
          <w:rFonts w:hint="eastAsia" w:ascii="仿宋" w:hAnsi="仿宋" w:eastAsia="仿宋" w:cs="仿宋"/>
          <w:b/>
          <w:color w:val="auto"/>
          <w:sz w:val="24"/>
          <w:szCs w:val="22"/>
          <w:highlight w:val="none"/>
        </w:rPr>
        <w:t>年</w:t>
      </w:r>
      <w:r>
        <w:rPr>
          <w:rStyle w:val="27"/>
          <w:rFonts w:hint="eastAsia" w:ascii="仿宋" w:hAnsi="仿宋" w:eastAsia="仿宋" w:cs="仿宋"/>
          <w:b/>
          <w:color w:val="auto"/>
          <w:sz w:val="24"/>
          <w:szCs w:val="22"/>
          <w:highlight w:val="none"/>
        </w:rPr>
        <w:fldChar w:fldCharType="end"/>
      </w:r>
      <w:r>
        <w:rPr>
          <w:rStyle w:val="27"/>
          <w:rFonts w:hint="eastAsia" w:ascii="仿宋" w:hAnsi="仿宋" w:eastAsia="仿宋" w:cs="仿宋"/>
          <w:b/>
          <w:color w:val="auto"/>
          <w:sz w:val="24"/>
          <w:szCs w:val="22"/>
          <w:highlight w:val="none"/>
          <w:lang w:val="en-US" w:eastAsia="zh-CN"/>
        </w:rPr>
        <w:t>12</w:t>
      </w:r>
      <w:r>
        <w:rPr>
          <w:rStyle w:val="27"/>
          <w:rFonts w:hint="eastAsia" w:ascii="仿宋" w:hAnsi="仿宋" w:eastAsia="仿宋" w:cs="仿宋"/>
          <w:b/>
          <w:color w:val="auto"/>
          <w:sz w:val="24"/>
          <w:szCs w:val="22"/>
          <w:highlight w:val="none"/>
        </w:rPr>
        <w:t>月</w:t>
      </w:r>
      <w:r>
        <w:rPr>
          <w:rStyle w:val="27"/>
          <w:rFonts w:hint="eastAsia" w:ascii="仿宋" w:hAnsi="仿宋" w:eastAsia="仿宋" w:cs="仿宋"/>
          <w:b/>
          <w:color w:val="auto"/>
          <w:sz w:val="24"/>
          <w:szCs w:val="22"/>
          <w:highlight w:val="none"/>
          <w:lang w:val="en-US" w:eastAsia="zh-CN"/>
        </w:rPr>
        <w:t>09</w:t>
      </w:r>
      <w:r>
        <w:rPr>
          <w:rStyle w:val="27"/>
          <w:rFonts w:hint="eastAsia" w:ascii="仿宋" w:hAnsi="仿宋" w:eastAsia="仿宋" w:cs="仿宋"/>
          <w:b/>
          <w:color w:val="auto"/>
          <w:sz w:val="24"/>
          <w:szCs w:val="22"/>
          <w:highlight w:val="none"/>
        </w:rPr>
        <w:t>日</w:t>
      </w:r>
      <w:r>
        <w:rPr>
          <w:rStyle w:val="27"/>
          <w:rFonts w:hint="eastAsia" w:ascii="仿宋" w:hAnsi="仿宋" w:eastAsia="仿宋" w:cs="仿宋"/>
          <w:b/>
          <w:color w:val="auto"/>
          <w:sz w:val="24"/>
          <w:szCs w:val="22"/>
          <w:highlight w:val="none"/>
          <w:lang w:val="en-US" w:eastAsia="zh-CN"/>
        </w:rPr>
        <w:t>09</w:t>
      </w:r>
      <w:r>
        <w:rPr>
          <w:rStyle w:val="27"/>
          <w:rFonts w:hint="eastAsia" w:ascii="仿宋" w:hAnsi="仿宋" w:eastAsia="仿宋" w:cs="仿宋"/>
          <w:b/>
          <w:color w:val="auto"/>
          <w:sz w:val="24"/>
          <w:szCs w:val="22"/>
          <w:highlight w:val="none"/>
        </w:rPr>
        <w:t>点</w:t>
      </w:r>
      <w:r>
        <w:rPr>
          <w:rStyle w:val="27"/>
          <w:rFonts w:hint="eastAsia" w:ascii="仿宋" w:hAnsi="仿宋" w:eastAsia="仿宋" w:cs="仿宋"/>
          <w:b/>
          <w:color w:val="auto"/>
          <w:sz w:val="24"/>
          <w:szCs w:val="22"/>
          <w:highlight w:val="none"/>
          <w:lang w:val="en-US" w:eastAsia="zh-CN"/>
        </w:rPr>
        <w:t>00</w:t>
      </w:r>
      <w:r>
        <w:rPr>
          <w:rStyle w:val="27"/>
          <w:rFonts w:hint="eastAsia" w:ascii="仿宋" w:hAnsi="仿宋" w:eastAsia="仿宋" w:cs="仿宋"/>
          <w:b/>
          <w:color w:val="auto"/>
          <w:sz w:val="24"/>
          <w:szCs w:val="22"/>
          <w:highlight w:val="none"/>
        </w:rPr>
        <w:t>分</w:t>
      </w:r>
      <w:r>
        <w:rPr>
          <w:rStyle w:val="27"/>
          <w:rFonts w:hint="eastAsia" w:ascii="仿宋" w:hAnsi="仿宋" w:eastAsia="仿宋" w:cs="仿宋"/>
          <w:b/>
          <w:color w:val="auto"/>
          <w:sz w:val="24"/>
          <w:szCs w:val="22"/>
          <w:highlight w:val="none"/>
          <w:u w:val="none"/>
        </w:rPr>
        <w:t>（</w:t>
      </w:r>
      <w:r>
        <w:rPr>
          <w:rFonts w:hint="eastAsia" w:ascii="仿宋" w:hAnsi="仿宋" w:eastAsia="仿宋" w:cs="仿宋"/>
          <w:b/>
          <w:color w:val="auto"/>
          <w:sz w:val="24"/>
          <w:highlight w:val="none"/>
          <w:u w:val="none"/>
        </w:rPr>
        <w:t>北京时间）</w:t>
      </w:r>
      <w:r>
        <w:rPr>
          <w:rFonts w:hint="eastAsia" w:ascii="仿宋" w:hAnsi="仿宋" w:eastAsia="仿宋" w:cs="仿宋"/>
          <w:bCs/>
          <w:color w:val="auto"/>
          <w:sz w:val="24"/>
          <w:highlight w:val="none"/>
        </w:rPr>
        <w:t>前提交投标文件。</w:t>
      </w:r>
    </w:p>
    <w:p w14:paraId="16B5222C">
      <w:pPr>
        <w:pStyle w:val="4"/>
        <w:keepNext/>
        <w:keepLines/>
        <w:pageBreakBefore w:val="0"/>
        <w:widowControl w:val="0"/>
        <w:shd w:val="clear"/>
        <w:kinsoku/>
        <w:wordWrap/>
        <w:overflowPunct/>
        <w:topLinePunct w:val="0"/>
        <w:autoSpaceDE/>
        <w:autoSpaceDN/>
        <w:bidi w:val="0"/>
        <w:adjustRightInd/>
        <w:snapToGrid/>
        <w:spacing w:before="469" w:beforeLines="150" w:after="157" w:afterLines="50" w:line="360" w:lineRule="auto"/>
        <w:ind w:firstLine="187" w:firstLineChars="62"/>
        <w:textAlignment w:val="auto"/>
        <w:outlineLvl w:val="1"/>
        <w:rPr>
          <w:rFonts w:hint="eastAsia" w:ascii="仿宋" w:hAnsi="仿宋" w:eastAsia="仿宋" w:cs="仿宋"/>
          <w:color w:val="auto"/>
          <w:highlight w:val="none"/>
        </w:rPr>
      </w:pPr>
      <w:bookmarkStart w:id="13" w:name="_Toc16347"/>
      <w:r>
        <w:rPr>
          <w:rFonts w:hint="eastAsia" w:ascii="仿宋" w:hAnsi="仿宋" w:eastAsia="仿宋" w:cs="仿宋"/>
          <w:color w:val="auto"/>
          <w:sz w:val="30"/>
          <w:szCs w:val="30"/>
          <w:highlight w:val="none"/>
        </w:rPr>
        <w:t>一、项目基本情况</w:t>
      </w:r>
      <w:bookmarkEnd w:id="8"/>
      <w:bookmarkEnd w:id="9"/>
      <w:bookmarkEnd w:id="10"/>
      <w:bookmarkEnd w:id="11"/>
      <w:bookmarkEnd w:id="13"/>
    </w:p>
    <w:p w14:paraId="4177CE53">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项目编号：</w:t>
      </w:r>
      <w:r>
        <w:rPr>
          <w:rFonts w:hint="eastAsia" w:ascii="仿宋" w:hAnsi="仿宋" w:eastAsia="仿宋" w:cs="仿宋"/>
          <w:color w:val="auto"/>
          <w:sz w:val="24"/>
          <w:szCs w:val="22"/>
          <w:highlight w:val="none"/>
          <w:lang w:eastAsia="zh-CN"/>
        </w:rPr>
        <w:t>HB-FW2024062</w:t>
      </w:r>
    </w:p>
    <w:p w14:paraId="2E722E75">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项目名称：</w:t>
      </w:r>
      <w:r>
        <w:rPr>
          <w:rFonts w:hint="eastAsia" w:ascii="仿宋" w:hAnsi="仿宋" w:eastAsia="仿宋" w:cs="仿宋"/>
          <w:color w:val="auto"/>
          <w:sz w:val="24"/>
          <w:szCs w:val="22"/>
          <w:highlight w:val="none"/>
          <w:lang w:eastAsia="zh-CN"/>
        </w:rPr>
        <w:t>玉龙县公安局移动警务服务采购项目（二次）</w:t>
      </w:r>
    </w:p>
    <w:p w14:paraId="66AC483D">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招标方式：公开招标</w:t>
      </w:r>
    </w:p>
    <w:p w14:paraId="09DCC5AE">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资格审查方式：资格后审</w:t>
      </w:r>
    </w:p>
    <w:p w14:paraId="3456FD75">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rPr>
        <w:t>预算金额</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275.0328万元</w:t>
      </w:r>
    </w:p>
    <w:p w14:paraId="1CABDD9E">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rPr>
        <w:t>最高限价</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275.0328万元 321元/月/套。</w:t>
      </w:r>
    </w:p>
    <w:p w14:paraId="04BCDB99">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rPr>
        <w:t>采购需求：</w:t>
      </w:r>
      <w:r>
        <w:rPr>
          <w:rFonts w:hint="eastAsia" w:ascii="仿宋" w:hAnsi="仿宋" w:eastAsia="仿宋" w:cs="仿宋"/>
          <w:color w:val="auto"/>
          <w:sz w:val="24"/>
          <w:szCs w:val="22"/>
          <w:highlight w:val="none"/>
          <w:lang w:eastAsia="zh-CN"/>
        </w:rPr>
        <w:t>移动警务服务</w:t>
      </w:r>
      <w:r>
        <w:rPr>
          <w:rFonts w:hint="eastAsia" w:ascii="仿宋" w:hAnsi="仿宋" w:eastAsia="仿宋" w:cs="仿宋"/>
          <w:color w:val="auto"/>
          <w:sz w:val="24"/>
          <w:szCs w:val="22"/>
          <w:highlight w:val="none"/>
          <w:lang w:val="en-US" w:eastAsia="zh-CN"/>
        </w:rPr>
        <w:t>357套</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详见招标文件第五章《采购方要求及标准》</w:t>
      </w:r>
      <w:r>
        <w:rPr>
          <w:rFonts w:hint="eastAsia" w:ascii="仿宋" w:hAnsi="仿宋" w:eastAsia="仿宋" w:cs="仿宋"/>
          <w:color w:val="auto"/>
          <w:sz w:val="24"/>
          <w:szCs w:val="22"/>
          <w:highlight w:val="none"/>
          <w:lang w:eastAsia="zh-CN"/>
        </w:rPr>
        <w:t>。</w:t>
      </w:r>
    </w:p>
    <w:p w14:paraId="7AAB73CF">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b w:val="0"/>
          <w:bCs/>
          <w:color w:val="000000" w:themeColor="text1"/>
          <w:kern w:val="0"/>
          <w:sz w:val="24"/>
          <w:szCs w:val="24"/>
          <w:lang w:bidi="ar"/>
          <w14:textFill>
            <w14:solidFill>
              <w14:schemeClr w14:val="tx1"/>
            </w14:solidFill>
          </w14:textFill>
        </w:rPr>
      </w:pPr>
      <w:r>
        <w:rPr>
          <w:rFonts w:hint="eastAsia" w:ascii="仿宋" w:hAnsi="仿宋" w:eastAsia="仿宋" w:cs="仿宋"/>
          <w:color w:val="auto"/>
          <w:sz w:val="24"/>
          <w:szCs w:val="22"/>
          <w:highlight w:val="none"/>
          <w:lang w:eastAsia="zh-CN"/>
        </w:rPr>
        <w:t>质保期：验收合格后</w:t>
      </w:r>
      <w:r>
        <w:rPr>
          <w:rFonts w:hint="eastAsia" w:ascii="仿宋" w:hAnsi="仿宋" w:eastAsia="仿宋" w:cs="仿宋"/>
          <w:color w:val="auto"/>
          <w:sz w:val="24"/>
          <w:szCs w:val="22"/>
          <w:highlight w:val="none"/>
          <w:lang w:val="en-US" w:eastAsia="zh-CN"/>
        </w:rPr>
        <w:t>2年。</w:t>
      </w:r>
    </w:p>
    <w:p w14:paraId="3C8D98F4">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b w:val="0"/>
          <w:bCs/>
          <w:color w:val="000000" w:themeColor="text1"/>
          <w:kern w:val="0"/>
          <w:sz w:val="24"/>
          <w:szCs w:val="24"/>
          <w:lang w:bidi="ar"/>
          <w14:textFill>
            <w14:solidFill>
              <w14:schemeClr w14:val="tx1"/>
            </w14:solidFill>
          </w14:textFill>
        </w:rPr>
      </w:pPr>
      <w:r>
        <w:rPr>
          <w:rFonts w:hint="eastAsia" w:ascii="仿宋" w:hAnsi="仿宋" w:eastAsia="仿宋" w:cs="仿宋"/>
          <w:color w:val="auto"/>
          <w:sz w:val="24"/>
          <w:szCs w:val="22"/>
          <w:highlight w:val="none"/>
        </w:rPr>
        <w:t>合同履行期限：</w:t>
      </w:r>
      <w:r>
        <w:rPr>
          <w:rFonts w:hint="eastAsia" w:ascii="仿宋" w:hAnsi="仿宋" w:eastAsia="仿宋" w:cs="仿宋"/>
          <w:color w:val="auto"/>
          <w:sz w:val="24"/>
          <w:szCs w:val="22"/>
          <w:highlight w:val="none"/>
          <w:lang w:eastAsia="zh-CN"/>
        </w:rPr>
        <w:t>两年。</w:t>
      </w:r>
    </w:p>
    <w:p w14:paraId="6A3AE58E">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付款方式：</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付款金额按合同签订时采购方实际使用人数结算。合同签订后，采购方预付50%服务费用，</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采购方在签订</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合同</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时</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具体约定</w:t>
      </w:r>
      <w:r>
        <w:rPr>
          <w:rFonts w:hint="eastAsia" w:ascii="仿宋" w:hAnsi="仿宋" w:eastAsia="仿宋" w:cs="仿宋"/>
          <w:b w:val="0"/>
          <w:bCs/>
          <w:color w:val="000000" w:themeColor="text1"/>
          <w:kern w:val="0"/>
          <w:sz w:val="24"/>
          <w:szCs w:val="24"/>
          <w:lang w:bidi="ar"/>
          <w14:textFill>
            <w14:solidFill>
              <w14:schemeClr w14:val="tx1"/>
            </w14:solidFill>
          </w14:textFill>
        </w:rPr>
        <w:t>绩效</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考核</w:t>
      </w:r>
      <w:r>
        <w:rPr>
          <w:rFonts w:hint="eastAsia" w:ascii="仿宋" w:hAnsi="仿宋" w:eastAsia="仿宋" w:cs="仿宋"/>
          <w:b w:val="0"/>
          <w:bCs/>
          <w:color w:val="000000" w:themeColor="text1"/>
          <w:kern w:val="0"/>
          <w:sz w:val="24"/>
          <w:szCs w:val="24"/>
          <w:lang w:bidi="ar"/>
          <w14:textFill>
            <w14:solidFill>
              <w14:schemeClr w14:val="tx1"/>
            </w14:solidFill>
          </w14:textFill>
        </w:rPr>
        <w:t>标准</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；供应商</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经采购方对当年绩效考核</w:t>
      </w:r>
      <w:r>
        <w:rPr>
          <w:rFonts w:hint="eastAsia" w:ascii="仿宋" w:hAnsi="仿宋" w:eastAsia="仿宋" w:cs="仿宋"/>
          <w:b w:val="0"/>
          <w:bCs/>
          <w:color w:val="000000" w:themeColor="text1"/>
          <w:kern w:val="0"/>
          <w:sz w:val="24"/>
          <w:szCs w:val="24"/>
          <w:lang w:bidi="ar"/>
          <w14:textFill>
            <w14:solidFill>
              <w14:schemeClr w14:val="tx1"/>
            </w14:solidFill>
          </w14:textFill>
        </w:rPr>
        <w:t>合格后</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支付</w:t>
      </w:r>
      <w:r>
        <w:rPr>
          <w:rFonts w:hint="eastAsia" w:ascii="仿宋" w:hAnsi="仿宋" w:eastAsia="仿宋" w:cs="仿宋"/>
          <w:b w:val="0"/>
          <w:bCs/>
          <w:color w:val="000000" w:themeColor="text1"/>
          <w:kern w:val="0"/>
          <w:sz w:val="24"/>
          <w:szCs w:val="24"/>
          <w:lang w:bidi="ar"/>
          <w14:textFill>
            <w14:solidFill>
              <w14:schemeClr w14:val="tx1"/>
            </w14:solidFill>
          </w14:textFill>
        </w:rPr>
        <w:t>次年</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服务费用。</w:t>
      </w:r>
    </w:p>
    <w:p w14:paraId="7CC12538">
      <w:pPr>
        <w:keepNext w:val="0"/>
        <w:keepLines w:val="0"/>
        <w:pageBreakBefore w:val="0"/>
        <w:widowControl w:val="0"/>
        <w:numPr>
          <w:ilvl w:val="0"/>
          <w:numId w:val="1"/>
        </w:numPr>
        <w:shd w:val="clear"/>
        <w:kinsoku/>
        <w:wordWrap/>
        <w:overflowPunct/>
        <w:topLinePunct w:val="0"/>
        <w:autoSpaceDE/>
        <w:autoSpaceDN/>
        <w:bidi w:val="0"/>
        <w:adjustRightInd/>
        <w:snapToGrid/>
        <w:spacing w:after="157" w:afterLines="50" w:line="360" w:lineRule="auto"/>
        <w:ind w:left="0" w:leftChars="0"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本项目（否）接受联合体投标。</w:t>
      </w:r>
    </w:p>
    <w:p w14:paraId="6BAC43D7">
      <w:pPr>
        <w:pStyle w:val="4"/>
        <w:keepNext/>
        <w:keepLines/>
        <w:pageBreakBefore w:val="0"/>
        <w:widowControl w:val="0"/>
        <w:shd w:val="clear"/>
        <w:kinsoku/>
        <w:wordWrap/>
        <w:overflowPunct/>
        <w:topLinePunct w:val="0"/>
        <w:autoSpaceDE/>
        <w:autoSpaceDN/>
        <w:bidi w:val="0"/>
        <w:adjustRightInd/>
        <w:snapToGrid/>
        <w:spacing w:before="469" w:beforeLines="150" w:after="157" w:afterLines="50" w:line="360" w:lineRule="auto"/>
        <w:ind w:firstLine="187" w:firstLineChars="62"/>
        <w:textAlignment w:val="auto"/>
        <w:outlineLvl w:val="1"/>
        <w:rPr>
          <w:rFonts w:hint="eastAsia" w:ascii="仿宋" w:hAnsi="仿宋" w:eastAsia="仿宋" w:cs="仿宋"/>
          <w:color w:val="auto"/>
          <w:sz w:val="30"/>
          <w:szCs w:val="30"/>
          <w:highlight w:val="none"/>
        </w:rPr>
      </w:pPr>
      <w:bookmarkStart w:id="14" w:name="_Toc27622"/>
      <w:bookmarkStart w:id="15" w:name="_Toc24218"/>
      <w:bookmarkStart w:id="16" w:name="_Toc2205"/>
      <w:bookmarkStart w:id="17" w:name="_Toc13422"/>
      <w:bookmarkStart w:id="18" w:name="_Toc4204"/>
      <w:bookmarkStart w:id="19" w:name="_Toc9535"/>
      <w:r>
        <w:rPr>
          <w:rFonts w:hint="eastAsia" w:ascii="仿宋" w:hAnsi="仿宋" w:eastAsia="仿宋" w:cs="仿宋"/>
          <w:color w:val="auto"/>
          <w:sz w:val="30"/>
          <w:szCs w:val="30"/>
          <w:highlight w:val="none"/>
        </w:rPr>
        <w:t>二、申请人的资格要求</w:t>
      </w:r>
      <w:bookmarkEnd w:id="14"/>
      <w:bookmarkEnd w:id="15"/>
      <w:bookmarkEnd w:id="16"/>
      <w:bookmarkEnd w:id="17"/>
      <w:bookmarkEnd w:id="18"/>
      <w:bookmarkEnd w:id="19"/>
    </w:p>
    <w:p w14:paraId="2ACF3DF8">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highlight w:val="none"/>
        </w:rPr>
        <w:t>符合《中华人民共和国政府采购法》第二十二条的规定</w:t>
      </w:r>
      <w:r>
        <w:rPr>
          <w:rFonts w:hint="eastAsia" w:ascii="仿宋" w:hAnsi="仿宋" w:eastAsia="仿宋" w:cs="仿宋"/>
          <w:color w:val="auto"/>
          <w:sz w:val="24"/>
          <w:szCs w:val="22"/>
          <w:highlight w:val="none"/>
        </w:rPr>
        <w:t>。</w:t>
      </w:r>
    </w:p>
    <w:p w14:paraId="5C7A5895">
      <w:pPr>
        <w:pStyle w:val="19"/>
        <w:pageBreakBefore w:val="0"/>
        <w:tabs>
          <w:tab w:val="left" w:pos="8544"/>
        </w:tabs>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eastAsia" w:ascii="仿宋" w:hAnsi="仿宋" w:eastAsia="仿宋" w:cs="仿宋"/>
          <w:bCs/>
          <w:color w:val="auto"/>
          <w:kern w:val="2"/>
          <w:sz w:val="24"/>
          <w:highlight w:val="none"/>
          <w:lang w:val="en-US" w:eastAsia="zh-CN" w:bidi="ar-SA"/>
        </w:rPr>
      </w:pPr>
      <w:r>
        <w:rPr>
          <w:rFonts w:hint="eastAsia" w:ascii="仿宋" w:hAnsi="仿宋" w:eastAsia="仿宋" w:cs="仿宋"/>
          <w:color w:val="auto"/>
          <w:sz w:val="24"/>
          <w:szCs w:val="22"/>
          <w:highlight w:val="none"/>
        </w:rPr>
        <w:t>1.1</w:t>
      </w:r>
      <w:r>
        <w:rPr>
          <w:rFonts w:hint="eastAsia" w:ascii="仿宋" w:hAnsi="仿宋" w:eastAsia="仿宋" w:cs="仿宋"/>
          <w:bCs/>
          <w:color w:val="auto"/>
          <w:kern w:val="2"/>
          <w:sz w:val="24"/>
          <w:highlight w:val="none"/>
          <w:lang w:val="en-US" w:eastAsia="zh-CN" w:bidi="ar-SA"/>
        </w:rPr>
        <w:t>具有独立承担民事责任能力的法人企业或其分支机构（若分支机构参与投标的，必须提供逐级授权委托书）、其它组织或自然人，提供营业执照、登记证书或自然人身份证明；能独立完成招标文件中所规定内容；</w:t>
      </w:r>
    </w:p>
    <w:p w14:paraId="67745075">
      <w:pPr>
        <w:shd w:val="clear"/>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1.2有良好的商业信誉和健全的财务会计制度；</w:t>
      </w:r>
      <w:r>
        <w:rPr>
          <w:rFonts w:hint="eastAsia" w:ascii="仿宋" w:hAnsi="仿宋" w:eastAsia="仿宋" w:cs="仿宋"/>
          <w:bCs/>
          <w:color w:val="auto"/>
          <w:sz w:val="24"/>
          <w:highlight w:val="none"/>
          <w:lang w:eastAsia="zh-CN"/>
        </w:rPr>
        <w:t>（提供202</w:t>
      </w:r>
      <w:r>
        <w:rPr>
          <w:rFonts w:hint="eastAsia" w:ascii="仿宋" w:hAnsi="仿宋" w:eastAsia="仿宋" w:cs="仿宋"/>
          <w:bCs/>
          <w:color w:val="auto"/>
          <w:sz w:val="24"/>
          <w:highlight w:val="none"/>
          <w:lang w:val="en-US" w:eastAsia="zh-CN"/>
        </w:rPr>
        <w:t>1</w:t>
      </w:r>
      <w:r>
        <w:rPr>
          <w:rFonts w:hint="eastAsia" w:ascii="仿宋" w:hAnsi="仿宋" w:eastAsia="仿宋" w:cs="仿宋"/>
          <w:bCs/>
          <w:color w:val="auto"/>
          <w:sz w:val="24"/>
          <w:highlight w:val="none"/>
          <w:lang w:eastAsia="zh-CN"/>
        </w:rPr>
        <w:t>年度至本项目投标文件提交截止时间前任意一年经会计师事务所或审计机构审计的审计报告及财务报表（包括资产负债表、利润表、现金流量表及财务情况说明书（附注））或公司内部完整的财务报表（包括资产负债表、利润表、现金流量表）或开标日期前3个月内由银行开具的资信证明文件（或资金证明文件），成立不满1年的投标人提供自成立以来公司内部完整的财务报表（包括资产负债表、利润表、现金流量表）或开标日期前3个月内由银行开具的资信证明文件（或资金证明文件）。</w:t>
      </w:r>
    </w:p>
    <w:p w14:paraId="4922F219">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1.3具有履行合同所必需的设备和专业技术能力；（投标人自行承诺）</w:t>
      </w:r>
    </w:p>
    <w:p w14:paraId="0C5795DE">
      <w:pPr>
        <w:shd w:val="clear"/>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1.4有依法缴纳税收和社会保障资金的良好记录；</w:t>
      </w:r>
      <w:r>
        <w:rPr>
          <w:rFonts w:hint="eastAsia" w:ascii="仿宋" w:hAnsi="仿宋" w:eastAsia="仿宋" w:cs="仿宋"/>
          <w:color w:val="auto"/>
          <w:sz w:val="24"/>
          <w:szCs w:val="22"/>
          <w:highlight w:val="none"/>
          <w:lang w:eastAsia="zh-CN"/>
        </w:rPr>
        <w:t>（提供2023年1月至投标文件提交截止时间（税款所属时期）</w:t>
      </w:r>
      <w:r>
        <w:rPr>
          <w:rFonts w:hint="eastAsia" w:ascii="仿宋" w:hAnsi="仿宋" w:eastAsia="仿宋" w:cs="仿宋"/>
          <w:color w:val="auto"/>
          <w:sz w:val="24"/>
          <w:szCs w:val="22"/>
          <w:highlight w:val="none"/>
          <w:lang w:val="en-US" w:eastAsia="zh-CN"/>
        </w:rPr>
        <w:t>前</w:t>
      </w:r>
      <w:r>
        <w:rPr>
          <w:rFonts w:hint="eastAsia" w:ascii="仿宋" w:hAnsi="仿宋" w:eastAsia="仿宋" w:cs="仿宋"/>
          <w:color w:val="auto"/>
          <w:sz w:val="24"/>
          <w:szCs w:val="22"/>
          <w:highlight w:val="none"/>
          <w:lang w:eastAsia="zh-CN"/>
        </w:rPr>
        <w:t>任意连续3个月的税务局税收通用缴款书复印件或银行电子缴税（费）凭证或税务局出具纳税情况的相关证明，提供2023年1月至投标文件提交截止时间（费款所属时期）</w:t>
      </w:r>
      <w:r>
        <w:rPr>
          <w:rFonts w:hint="eastAsia" w:ascii="仿宋" w:hAnsi="仿宋" w:eastAsia="仿宋" w:cs="仿宋"/>
          <w:color w:val="auto"/>
          <w:sz w:val="24"/>
          <w:szCs w:val="22"/>
          <w:highlight w:val="none"/>
          <w:lang w:val="en-US" w:eastAsia="zh-CN"/>
        </w:rPr>
        <w:t>前</w:t>
      </w:r>
      <w:r>
        <w:rPr>
          <w:rFonts w:hint="eastAsia" w:ascii="仿宋" w:hAnsi="仿宋" w:eastAsia="仿宋" w:cs="仿宋"/>
          <w:color w:val="auto"/>
          <w:sz w:val="24"/>
          <w:szCs w:val="22"/>
          <w:highlight w:val="none"/>
          <w:lang w:eastAsia="zh-CN"/>
        </w:rPr>
        <w:t>任意连续3个月的社会保险费缴款书复印件或银行电子缴税（费）凭证或社保管理部门出具的有效的缴款证明；成立未满3个月的提供成立以来的税收和社会保障资金缴纳凭证或相关情况说明。（依法免税或不需要缴纳社会保障资金的投标人，应提供相应文件证明其依法免税或不需要缴纳社会保障资金））</w:t>
      </w:r>
    </w:p>
    <w:p w14:paraId="29F6191C">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1.5</w:t>
      </w:r>
      <w:r>
        <w:rPr>
          <w:rFonts w:hint="eastAsia" w:ascii="仿宋" w:hAnsi="仿宋" w:eastAsia="仿宋" w:cs="仿宋"/>
          <w:color w:val="auto"/>
          <w:sz w:val="24"/>
          <w:szCs w:val="22"/>
          <w:highlight w:val="none"/>
          <w:lang w:eastAsia="zh-CN"/>
        </w:rPr>
        <w:t>参加政府采购活动前三年内，在经营活动中没有重大违法记录</w:t>
      </w:r>
      <w:r>
        <w:rPr>
          <w:rFonts w:hint="eastAsia" w:ascii="仿宋" w:hAnsi="仿宋" w:eastAsia="仿宋" w:cs="仿宋"/>
          <w:color w:val="auto"/>
          <w:sz w:val="24"/>
          <w:szCs w:val="22"/>
          <w:highlight w:val="none"/>
        </w:rPr>
        <w:t>；（投标人自行承诺）</w:t>
      </w:r>
    </w:p>
    <w:p w14:paraId="7A503596">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1.6法律、行政法规规定的其他条件；</w:t>
      </w:r>
    </w:p>
    <w:p w14:paraId="231F8F3B">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lang w:eastAsia="zh-CN"/>
        </w:rPr>
        <w:t>）投标人未被列入“信用中国”网站（www.creditchina.gov.cn）失信被执行人、重大税收违法案件当事人、政府采购严重违法失信行为记录名单，“中国政府采购网”网站(www.ccgp.gov.cn)政府采购严重违法失信行为记录名单（被禁止在一定期限内参加政府采购活动，但期限届满的视作未列入失信名单）（由采购人或</w:t>
      </w:r>
      <w:r>
        <w:rPr>
          <w:rFonts w:hint="eastAsia" w:ascii="仿宋" w:hAnsi="仿宋" w:eastAsia="仿宋" w:cs="仿宋"/>
          <w:color w:val="auto"/>
          <w:sz w:val="24"/>
          <w:szCs w:val="22"/>
          <w:highlight w:val="none"/>
          <w:lang w:val="en-US" w:eastAsia="zh-CN"/>
        </w:rPr>
        <w:t>采购代理机构在开标当天</w:t>
      </w:r>
      <w:r>
        <w:rPr>
          <w:rFonts w:hint="eastAsia" w:ascii="仿宋" w:hAnsi="仿宋" w:eastAsia="仿宋" w:cs="仿宋"/>
          <w:color w:val="auto"/>
          <w:sz w:val="24"/>
          <w:szCs w:val="22"/>
          <w:highlight w:val="none"/>
          <w:lang w:eastAsia="zh-CN"/>
        </w:rPr>
        <w:t>进行查询）；</w:t>
      </w:r>
    </w:p>
    <w:p w14:paraId="2CD167E7">
      <w:pPr>
        <w:shd w:val="clear"/>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）法定代表人或单位负责人为同一人或者存在直接控股、管理关系的不同投标人，不得同时参加本项目的投标</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投标人自行提供承诺书</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w:t>
      </w:r>
    </w:p>
    <w:p w14:paraId="16338584">
      <w:pPr>
        <w:pStyle w:val="19"/>
        <w:pageBreakBefore w:val="0"/>
        <w:tabs>
          <w:tab w:val="left" w:pos="8544"/>
        </w:tabs>
        <w:kinsoku/>
        <w:wordWrap/>
        <w:overflowPunct/>
        <w:topLinePunct w:val="0"/>
        <w:autoSpaceDE/>
        <w:autoSpaceDN/>
        <w:bidi w:val="0"/>
        <w:adjustRightInd/>
        <w:spacing w:before="0" w:beforeAutospacing="0" w:after="0" w:afterAutospacing="0" w:line="360" w:lineRule="auto"/>
        <w:ind w:left="0" w:leftChars="0" w:firstLine="480" w:firstLineChars="200"/>
        <w:jc w:val="left"/>
        <w:textAlignment w:val="auto"/>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2．落实政府采购政策需满足的资格要求:</w:t>
      </w:r>
      <w:r>
        <w:rPr>
          <w:rFonts w:hint="eastAsia" w:ascii="仿宋" w:hAnsi="仿宋" w:eastAsia="仿宋" w:cs="仿宋"/>
          <w:color w:val="auto"/>
          <w:sz w:val="24"/>
          <w:szCs w:val="22"/>
          <w:highlight w:val="none"/>
          <w:lang w:eastAsia="zh-CN"/>
        </w:rPr>
        <w:t>本项目</w:t>
      </w:r>
      <w:r>
        <w:rPr>
          <w:rFonts w:hint="eastAsia" w:ascii="仿宋" w:hAnsi="仿宋" w:eastAsia="仿宋" w:cs="仿宋"/>
          <w:color w:val="auto"/>
          <w:sz w:val="24"/>
          <w:szCs w:val="22"/>
          <w:highlight w:val="none"/>
          <w:lang w:val="en-US" w:eastAsia="zh-CN"/>
        </w:rPr>
        <w:t>非</w:t>
      </w:r>
      <w:r>
        <w:rPr>
          <w:rFonts w:hint="eastAsia" w:ascii="仿宋" w:hAnsi="仿宋" w:eastAsia="仿宋" w:cs="仿宋"/>
          <w:color w:val="auto"/>
          <w:sz w:val="24"/>
          <w:szCs w:val="22"/>
          <w:highlight w:val="none"/>
          <w:lang w:eastAsia="zh-CN"/>
        </w:rPr>
        <w:t>专门面向中小微企业采购项目</w:t>
      </w:r>
      <w:r>
        <w:rPr>
          <w:rFonts w:hint="eastAsia" w:ascii="仿宋" w:hAnsi="仿宋" w:eastAsia="仿宋" w:cs="仿宋"/>
          <w:color w:val="auto"/>
          <w:sz w:val="24"/>
          <w:szCs w:val="22"/>
          <w:highlight w:val="none"/>
          <w:lang w:val="en-US" w:eastAsia="zh-CN"/>
        </w:rPr>
        <w:t>;</w:t>
      </w:r>
      <w:r>
        <w:rPr>
          <w:rFonts w:hint="eastAsia" w:ascii="仿宋" w:hAnsi="仿宋" w:eastAsia="仿宋" w:cs="仿宋"/>
          <w:color w:val="auto"/>
          <w:sz w:val="24"/>
          <w:highlight w:val="none"/>
        </w:rPr>
        <w:t>本项目针对小型和微型企业产品或残疾人福利性单位产品的价格给予</w:t>
      </w:r>
      <w:r>
        <w:rPr>
          <w:rFonts w:hint="eastAsia" w:ascii="仿宋" w:hAnsi="仿宋" w:eastAsia="仿宋" w:cs="仿宋"/>
          <w:color w:val="auto"/>
          <w:sz w:val="24"/>
          <w:highlight w:val="none"/>
          <w:lang w:eastAsia="zh-CN"/>
        </w:rPr>
        <w:t>10%</w:t>
      </w:r>
      <w:r>
        <w:rPr>
          <w:rFonts w:hint="eastAsia" w:ascii="仿宋" w:hAnsi="仿宋" w:eastAsia="仿宋" w:cs="仿宋"/>
          <w:color w:val="auto"/>
          <w:sz w:val="24"/>
          <w:highlight w:val="none"/>
        </w:rPr>
        <w:t>的扣除，用扣除后的价格参与评审，残疾人福利性单位属于小型、微型企业的，不重复享受政策。（监狱企业视同小型或微型企业）。本项目</w:t>
      </w:r>
      <w:r>
        <w:rPr>
          <w:rFonts w:hint="eastAsia" w:ascii="仿宋" w:hAnsi="仿宋" w:eastAsia="仿宋" w:cs="仿宋"/>
          <w:color w:val="auto"/>
          <w:sz w:val="24"/>
          <w:highlight w:val="none"/>
          <w:lang w:val="en-US" w:eastAsia="zh-CN"/>
        </w:rPr>
        <w:t>对应的中小微企业划分标准所属行业为：信息传输业。</w:t>
      </w:r>
    </w:p>
    <w:p w14:paraId="07837E9F">
      <w:pPr>
        <w:pStyle w:val="19"/>
        <w:pageBreakBefore w:val="0"/>
        <w:tabs>
          <w:tab w:val="left" w:pos="8544"/>
        </w:tabs>
        <w:kinsoku/>
        <w:wordWrap/>
        <w:overflowPunct/>
        <w:topLinePunct w:val="0"/>
        <w:autoSpaceDE/>
        <w:autoSpaceDN/>
        <w:bidi w:val="0"/>
        <w:adjustRightInd/>
        <w:spacing w:before="0" w:beforeAutospacing="0" w:after="0" w:afterAutospacing="0" w:line="360" w:lineRule="auto"/>
        <w:ind w:left="0" w:leftChars="0" w:firstLine="480" w:firstLineChars="200"/>
        <w:jc w:val="left"/>
        <w:textAlignment w:val="auto"/>
        <w:rPr>
          <w:rFonts w:hint="eastAsia"/>
          <w:color w:val="auto"/>
          <w:sz w:val="24"/>
          <w:szCs w:val="24"/>
          <w:highlight w:val="none"/>
          <w:lang w:val="en-US" w:eastAsia="zh-CN"/>
        </w:rPr>
      </w:pPr>
      <w:r>
        <w:rPr>
          <w:rFonts w:hint="eastAsia" w:ascii="仿宋" w:hAnsi="仿宋" w:eastAsia="仿宋" w:cs="仿宋"/>
          <w:color w:val="auto"/>
          <w:sz w:val="24"/>
          <w:szCs w:val="22"/>
          <w:highlight w:val="none"/>
          <w:shd w:val="clear"/>
        </w:rPr>
        <w:t>3．本项目的特定资格要求：</w:t>
      </w:r>
      <w:r>
        <w:rPr>
          <w:rFonts w:hint="eastAsia"/>
          <w:color w:val="auto"/>
          <w:sz w:val="24"/>
          <w:szCs w:val="24"/>
          <w:highlight w:val="none"/>
          <w:lang w:val="en-US" w:eastAsia="zh-CN"/>
        </w:rPr>
        <w:t xml:space="preserve"> </w:t>
      </w:r>
    </w:p>
    <w:p w14:paraId="75B99D23">
      <w:pPr>
        <w:pStyle w:val="19"/>
        <w:pageBreakBefore w:val="0"/>
        <w:tabs>
          <w:tab w:val="left" w:pos="8544"/>
        </w:tabs>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kern w:val="2"/>
          <w:sz w:val="24"/>
          <w:highlight w:val="none"/>
          <w:lang w:val="en-US" w:eastAsia="zh-CN" w:bidi="ar-SA"/>
        </w:rPr>
        <w:t>3.1本项目不接受进口产品投标，进口产品是指通过中国海关报关验放进入中国境内且产自关境外的产品（提供相关承诺或声明函）；</w:t>
      </w:r>
    </w:p>
    <w:p w14:paraId="339DB944">
      <w:pPr>
        <w:shd w:val="clear"/>
        <w:spacing w:line="360" w:lineRule="auto"/>
        <w:ind w:firstLine="480" w:firstLineChars="200"/>
        <w:contextualSpacing/>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kern w:val="2"/>
          <w:sz w:val="24"/>
          <w:highlight w:val="none"/>
          <w:lang w:val="en-US" w:eastAsia="zh-CN" w:bidi="ar-SA"/>
        </w:rPr>
        <w:t>3.2本项目为一个完整的包件，不允许有任何形式的分包或转包（自行承诺）。</w:t>
      </w:r>
    </w:p>
    <w:p w14:paraId="4BCD67AE">
      <w:pPr>
        <w:pStyle w:val="4"/>
        <w:keepNext/>
        <w:keepLines/>
        <w:pageBreakBefore w:val="0"/>
        <w:widowControl w:val="0"/>
        <w:shd w:val="clear"/>
        <w:kinsoku/>
        <w:wordWrap/>
        <w:overflowPunct/>
        <w:topLinePunct w:val="0"/>
        <w:autoSpaceDE/>
        <w:autoSpaceDN/>
        <w:bidi w:val="0"/>
        <w:adjustRightInd/>
        <w:snapToGrid/>
        <w:spacing w:before="469" w:beforeLines="150" w:after="157" w:afterLines="50" w:line="360" w:lineRule="auto"/>
        <w:ind w:firstLine="187" w:firstLineChars="62"/>
        <w:textAlignment w:val="auto"/>
        <w:outlineLvl w:val="1"/>
        <w:rPr>
          <w:rFonts w:hint="eastAsia" w:ascii="仿宋" w:hAnsi="仿宋" w:eastAsia="仿宋" w:cs="仿宋"/>
          <w:color w:val="auto"/>
          <w:sz w:val="30"/>
          <w:szCs w:val="30"/>
          <w:highlight w:val="none"/>
        </w:rPr>
      </w:pPr>
      <w:bookmarkStart w:id="20" w:name="_Toc31029"/>
      <w:bookmarkStart w:id="21" w:name="_Toc26584"/>
      <w:bookmarkStart w:id="22" w:name="_Toc6290"/>
      <w:bookmarkStart w:id="23" w:name="_Toc7408"/>
      <w:bookmarkStart w:id="24" w:name="_Toc32563"/>
      <w:r>
        <w:rPr>
          <w:rFonts w:hint="eastAsia" w:ascii="仿宋" w:hAnsi="仿宋" w:eastAsia="仿宋" w:cs="仿宋"/>
          <w:color w:val="auto"/>
          <w:sz w:val="30"/>
          <w:szCs w:val="30"/>
          <w:highlight w:val="none"/>
        </w:rPr>
        <w:t>三、获取招标文件</w:t>
      </w:r>
      <w:bookmarkEnd w:id="20"/>
      <w:bookmarkEnd w:id="21"/>
      <w:bookmarkEnd w:id="22"/>
      <w:bookmarkEnd w:id="23"/>
      <w:bookmarkEnd w:id="24"/>
    </w:p>
    <w:p w14:paraId="4BBE7BF9">
      <w:pPr>
        <w:shd w:val="clear"/>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时间：</w:t>
      </w:r>
      <w:r>
        <w:rPr>
          <w:rFonts w:hint="eastAsia" w:ascii="仿宋" w:hAnsi="仿宋" w:eastAsia="仿宋" w:cs="仿宋"/>
          <w:color w:val="auto"/>
          <w:sz w:val="24"/>
          <w:szCs w:val="22"/>
          <w:highlight w:val="none"/>
          <w:lang w:val="en-US" w:eastAsia="zh-CN"/>
        </w:rPr>
        <w:t xml:space="preserve"> 2024年11月19日至2024年11月25日</w:t>
      </w:r>
      <w:r>
        <w:rPr>
          <w:rFonts w:hint="eastAsia" w:ascii="仿宋" w:hAnsi="仿宋" w:eastAsia="仿宋" w:cs="仿宋"/>
          <w:color w:val="auto"/>
          <w:sz w:val="24"/>
          <w:szCs w:val="22"/>
          <w:highlight w:val="none"/>
        </w:rPr>
        <w:t>，每天上午0</w:t>
      </w:r>
      <w:r>
        <w:rPr>
          <w:rFonts w:hint="eastAsia" w:ascii="仿宋" w:hAnsi="仿宋" w:eastAsia="仿宋" w:cs="仿宋"/>
          <w:color w:val="auto"/>
          <w:sz w:val="24"/>
          <w:szCs w:val="22"/>
          <w:highlight w:val="none"/>
          <w:lang w:val="en-US" w:eastAsia="zh-CN"/>
        </w:rPr>
        <w:t>0</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00</w:t>
      </w:r>
      <w:r>
        <w:rPr>
          <w:rFonts w:hint="eastAsia" w:ascii="仿宋" w:hAnsi="仿宋" w:eastAsia="仿宋" w:cs="仿宋"/>
          <w:color w:val="auto"/>
          <w:sz w:val="24"/>
          <w:szCs w:val="22"/>
          <w:highlight w:val="none"/>
        </w:rPr>
        <w:t>至12:00，下午12:0</w:t>
      </w:r>
      <w:r>
        <w:rPr>
          <w:rFonts w:hint="eastAsia" w:ascii="仿宋" w:hAnsi="仿宋" w:eastAsia="仿宋" w:cs="仿宋"/>
          <w:color w:val="auto"/>
          <w:sz w:val="24"/>
          <w:szCs w:val="22"/>
          <w:highlight w:val="none"/>
          <w:lang w:val="en-US" w:eastAsia="zh-CN"/>
        </w:rPr>
        <w:t>0</w:t>
      </w:r>
      <w:r>
        <w:rPr>
          <w:rFonts w:hint="eastAsia" w:ascii="仿宋" w:hAnsi="仿宋" w:eastAsia="仿宋" w:cs="仿宋"/>
          <w:color w:val="auto"/>
          <w:sz w:val="24"/>
          <w:szCs w:val="22"/>
          <w:highlight w:val="none"/>
        </w:rPr>
        <w:t>至</w:t>
      </w:r>
      <w:r>
        <w:rPr>
          <w:rFonts w:hint="eastAsia" w:ascii="仿宋" w:hAnsi="仿宋" w:eastAsia="仿宋" w:cs="仿宋"/>
          <w:color w:val="auto"/>
          <w:sz w:val="24"/>
          <w:szCs w:val="22"/>
          <w:highlight w:val="none"/>
          <w:lang w:val="en-US" w:eastAsia="zh-CN"/>
        </w:rPr>
        <w:t>23</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59</w:t>
      </w:r>
      <w:r>
        <w:rPr>
          <w:rFonts w:hint="eastAsia" w:ascii="仿宋" w:hAnsi="仿宋" w:eastAsia="仿宋" w:cs="仿宋"/>
          <w:color w:val="auto"/>
          <w:sz w:val="24"/>
          <w:szCs w:val="22"/>
          <w:highlight w:val="none"/>
        </w:rPr>
        <w:t>（北京时间）</w:t>
      </w:r>
      <w:r>
        <w:rPr>
          <w:rFonts w:hint="eastAsia" w:ascii="仿宋" w:hAnsi="仿宋" w:eastAsia="仿宋" w:cs="仿宋"/>
          <w:color w:val="auto"/>
          <w:sz w:val="24"/>
          <w:szCs w:val="22"/>
          <w:highlight w:val="none"/>
          <w:lang w:eastAsia="zh-CN"/>
        </w:rPr>
        <w:t>。</w:t>
      </w:r>
    </w:p>
    <w:p w14:paraId="11FE8305">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地点：政采云平台（https://www.zcygov.cn/）。</w:t>
      </w:r>
    </w:p>
    <w:p w14:paraId="285F7D93">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式：凡有意参加投标者，须在政采云平台办理数字证书（CA），并在政采云绑定数字证书（CA）后线上获取采购文件及其它采购资料。CA申领链接：http://yzt.ynsmartcert.cn/cms/yztynlblj.html，CA申领后需登陆政采云平台完成数字证书（CA）绑定才可以使用，数字证书（CA）详见其办理流程。</w:t>
      </w:r>
    </w:p>
    <w:p w14:paraId="201EEB6A">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按上述要求获取文件的投标人视为合法获取了本项目采购文件，具备本项目的投标资格。</w:t>
      </w:r>
    </w:p>
    <w:p w14:paraId="47060257">
      <w:pPr>
        <w:shd w:val="clear"/>
        <w:spacing w:line="360" w:lineRule="auto"/>
        <w:ind w:firstLine="480" w:firstLineChars="200"/>
        <w:contextualSpacing/>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售价：</w:t>
      </w:r>
      <w:r>
        <w:rPr>
          <w:rFonts w:hint="eastAsia" w:ascii="仿宋" w:hAnsi="仿宋" w:eastAsia="仿宋" w:cs="仿宋"/>
          <w:color w:val="auto"/>
          <w:sz w:val="24"/>
          <w:highlight w:val="none"/>
          <w:lang w:val="en-US" w:eastAsia="zh-CN"/>
        </w:rPr>
        <w:t>0元</w:t>
      </w:r>
    </w:p>
    <w:p w14:paraId="56417EDE">
      <w:pPr>
        <w:pStyle w:val="4"/>
        <w:keepNext/>
        <w:keepLines/>
        <w:pageBreakBefore w:val="0"/>
        <w:widowControl w:val="0"/>
        <w:shd w:val="clear"/>
        <w:kinsoku/>
        <w:wordWrap/>
        <w:overflowPunct/>
        <w:topLinePunct w:val="0"/>
        <w:autoSpaceDE/>
        <w:autoSpaceDN/>
        <w:bidi w:val="0"/>
        <w:adjustRightInd/>
        <w:snapToGrid/>
        <w:spacing w:before="469" w:beforeLines="150" w:after="157" w:afterLines="50" w:line="360" w:lineRule="auto"/>
        <w:ind w:firstLine="187" w:firstLineChars="62"/>
        <w:textAlignment w:val="auto"/>
        <w:outlineLvl w:val="1"/>
        <w:rPr>
          <w:rFonts w:hint="eastAsia" w:ascii="仿宋" w:hAnsi="仿宋" w:eastAsia="仿宋" w:cs="仿宋"/>
          <w:color w:val="auto"/>
          <w:sz w:val="30"/>
          <w:szCs w:val="30"/>
          <w:highlight w:val="none"/>
        </w:rPr>
      </w:pPr>
      <w:bookmarkStart w:id="25" w:name="_Toc7802"/>
      <w:bookmarkStart w:id="26" w:name="_Toc17011"/>
      <w:bookmarkStart w:id="27" w:name="_Toc6222"/>
      <w:bookmarkStart w:id="28" w:name="_Toc28723"/>
      <w:bookmarkStart w:id="29" w:name="_Toc9328"/>
      <w:r>
        <w:rPr>
          <w:rFonts w:hint="eastAsia" w:ascii="仿宋" w:hAnsi="仿宋" w:eastAsia="仿宋" w:cs="仿宋"/>
          <w:color w:val="auto"/>
          <w:sz w:val="30"/>
          <w:szCs w:val="30"/>
          <w:highlight w:val="none"/>
        </w:rPr>
        <w:t>四、提交投标文件截止时间、开标时间和地点</w:t>
      </w:r>
      <w:bookmarkEnd w:id="25"/>
      <w:bookmarkEnd w:id="26"/>
      <w:bookmarkEnd w:id="27"/>
      <w:bookmarkEnd w:id="28"/>
      <w:bookmarkEnd w:id="29"/>
    </w:p>
    <w:p w14:paraId="014882CC">
      <w:pPr>
        <w:shd w:val="clear"/>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val="en-US" w:eastAsia="zh-CN"/>
        </w:rPr>
        <w:t>时间：</w:t>
      </w:r>
      <w:r>
        <w:rPr>
          <w:rFonts w:hint="eastAsia" w:ascii="仿宋" w:hAnsi="仿宋" w:eastAsia="仿宋" w:cs="仿宋"/>
          <w:b/>
          <w:bCs/>
          <w:color w:val="auto"/>
          <w:sz w:val="24"/>
          <w:szCs w:val="22"/>
          <w:highlight w:val="none"/>
          <w:lang w:eastAsia="zh-CN"/>
        </w:rPr>
        <w:t>2024年</w:t>
      </w:r>
      <w:r>
        <w:rPr>
          <w:rFonts w:hint="eastAsia" w:ascii="仿宋" w:hAnsi="仿宋" w:eastAsia="仿宋" w:cs="仿宋"/>
          <w:b/>
          <w:bCs/>
          <w:color w:val="auto"/>
          <w:sz w:val="24"/>
          <w:szCs w:val="22"/>
          <w:highlight w:val="none"/>
          <w:lang w:val="en-US" w:eastAsia="zh-CN"/>
        </w:rPr>
        <w:t>12</w:t>
      </w:r>
      <w:r>
        <w:rPr>
          <w:rFonts w:hint="eastAsia" w:ascii="仿宋" w:hAnsi="仿宋" w:eastAsia="仿宋" w:cs="仿宋"/>
          <w:b/>
          <w:bCs/>
          <w:color w:val="auto"/>
          <w:sz w:val="24"/>
          <w:szCs w:val="22"/>
          <w:highlight w:val="none"/>
          <w:lang w:eastAsia="zh-CN"/>
        </w:rPr>
        <w:t>月</w:t>
      </w:r>
      <w:r>
        <w:rPr>
          <w:rFonts w:hint="eastAsia" w:ascii="仿宋" w:hAnsi="仿宋" w:eastAsia="仿宋" w:cs="仿宋"/>
          <w:b/>
          <w:bCs/>
          <w:color w:val="auto"/>
          <w:sz w:val="24"/>
          <w:szCs w:val="22"/>
          <w:highlight w:val="none"/>
          <w:lang w:val="en-US" w:eastAsia="zh-CN"/>
        </w:rPr>
        <w:t>09</w:t>
      </w:r>
      <w:r>
        <w:rPr>
          <w:rFonts w:hint="eastAsia" w:ascii="仿宋" w:hAnsi="仿宋" w:eastAsia="仿宋" w:cs="仿宋"/>
          <w:b/>
          <w:bCs/>
          <w:color w:val="auto"/>
          <w:sz w:val="24"/>
          <w:szCs w:val="22"/>
          <w:highlight w:val="none"/>
          <w:lang w:eastAsia="zh-CN"/>
        </w:rPr>
        <w:t>日</w:t>
      </w:r>
      <w:r>
        <w:rPr>
          <w:rStyle w:val="27"/>
          <w:rFonts w:hint="eastAsia" w:ascii="仿宋" w:hAnsi="仿宋" w:eastAsia="仿宋" w:cs="仿宋"/>
          <w:b/>
          <w:bCs/>
          <w:color w:val="auto"/>
          <w:sz w:val="24"/>
          <w:szCs w:val="22"/>
          <w:highlight w:val="none"/>
          <w:lang w:val="en-US" w:eastAsia="zh-CN"/>
        </w:rPr>
        <w:t>09</w:t>
      </w:r>
      <w:r>
        <w:rPr>
          <w:rStyle w:val="27"/>
          <w:rFonts w:hint="eastAsia" w:ascii="仿宋" w:hAnsi="仿宋" w:eastAsia="仿宋" w:cs="仿宋"/>
          <w:b/>
          <w:bCs/>
          <w:color w:val="auto"/>
          <w:sz w:val="24"/>
          <w:szCs w:val="22"/>
          <w:highlight w:val="none"/>
        </w:rPr>
        <w:t>点</w:t>
      </w:r>
      <w:r>
        <w:rPr>
          <w:rStyle w:val="27"/>
          <w:rFonts w:hint="eastAsia" w:ascii="仿宋" w:hAnsi="仿宋" w:eastAsia="仿宋" w:cs="仿宋"/>
          <w:b/>
          <w:bCs/>
          <w:color w:val="auto"/>
          <w:sz w:val="24"/>
          <w:szCs w:val="22"/>
          <w:highlight w:val="none"/>
          <w:lang w:val="en-US" w:eastAsia="zh-CN"/>
        </w:rPr>
        <w:t>00</w:t>
      </w:r>
      <w:r>
        <w:rPr>
          <w:rStyle w:val="27"/>
          <w:rFonts w:hint="eastAsia" w:ascii="仿宋" w:hAnsi="仿宋" w:eastAsia="仿宋" w:cs="仿宋"/>
          <w:b/>
          <w:bCs/>
          <w:color w:val="auto"/>
          <w:sz w:val="24"/>
          <w:szCs w:val="22"/>
          <w:highlight w:val="none"/>
        </w:rPr>
        <w:t>分</w:t>
      </w:r>
      <w:r>
        <w:rPr>
          <w:rFonts w:hint="eastAsia" w:ascii="仿宋" w:hAnsi="仿宋" w:eastAsia="仿宋" w:cs="仿宋"/>
          <w:b/>
          <w:bCs/>
          <w:color w:val="auto"/>
          <w:sz w:val="24"/>
          <w:szCs w:val="22"/>
          <w:highlight w:val="none"/>
        </w:rPr>
        <w:t>（北京时间）</w:t>
      </w:r>
      <w:r>
        <w:rPr>
          <w:rFonts w:hint="eastAsia" w:ascii="仿宋" w:hAnsi="仿宋" w:eastAsia="仿宋" w:cs="仿宋"/>
          <w:b/>
          <w:bCs/>
          <w:color w:val="auto"/>
          <w:sz w:val="24"/>
          <w:szCs w:val="22"/>
          <w:highlight w:val="none"/>
          <w:lang w:eastAsia="zh-CN"/>
        </w:rPr>
        <w:t>。</w:t>
      </w:r>
    </w:p>
    <w:p w14:paraId="73455293">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highlight w:val="none"/>
        </w:rPr>
        <w:t>地点：</w:t>
      </w:r>
      <w:r>
        <w:rPr>
          <w:rFonts w:hint="eastAsia" w:ascii="仿宋" w:hAnsi="仿宋" w:eastAsia="仿宋" w:cs="仿宋"/>
          <w:color w:val="auto"/>
          <w:sz w:val="24"/>
          <w:highlight w:val="none"/>
          <w:lang w:val="en-US" w:eastAsia="zh-CN"/>
        </w:rPr>
        <w:t>请登录</w:t>
      </w:r>
      <w:r>
        <w:rPr>
          <w:rFonts w:hint="eastAsia" w:ascii="仿宋" w:hAnsi="仿宋" w:eastAsia="仿宋" w:cs="仿宋"/>
          <w:color w:val="auto"/>
          <w:sz w:val="24"/>
          <w:highlight w:val="none"/>
        </w:rPr>
        <w:t>政采云</w:t>
      </w:r>
      <w:r>
        <w:rPr>
          <w:rFonts w:hint="eastAsia" w:ascii="仿宋" w:hAnsi="仿宋" w:eastAsia="仿宋" w:cs="仿宋"/>
          <w:color w:val="auto"/>
          <w:sz w:val="24"/>
          <w:highlight w:val="none"/>
          <w:lang w:val="en-US" w:eastAsia="zh-CN"/>
        </w:rPr>
        <w:t>投标客户端投标</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应按照本项目采购文件和"政采云"平台的要求编制、加密后在</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提交截止时间前上传至"政采云"平台，</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提交截止时间前未完成</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上传的，视为撤回</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在“政采云"平台提交电子版</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时，请填写参加远程采购活动经办人联系方式。</w:t>
      </w:r>
    </w:p>
    <w:p w14:paraId="3CC86D7D">
      <w:pPr>
        <w:pStyle w:val="4"/>
        <w:keepNext/>
        <w:keepLines/>
        <w:pageBreakBefore w:val="0"/>
        <w:widowControl w:val="0"/>
        <w:shd w:val="clear"/>
        <w:kinsoku/>
        <w:wordWrap/>
        <w:overflowPunct/>
        <w:topLinePunct w:val="0"/>
        <w:autoSpaceDE/>
        <w:autoSpaceDN/>
        <w:bidi w:val="0"/>
        <w:adjustRightInd/>
        <w:snapToGrid/>
        <w:spacing w:before="469" w:beforeLines="150" w:after="157" w:afterLines="50" w:line="360" w:lineRule="auto"/>
        <w:ind w:firstLine="187" w:firstLineChars="62"/>
        <w:textAlignment w:val="auto"/>
        <w:outlineLvl w:val="1"/>
        <w:rPr>
          <w:rFonts w:hint="eastAsia" w:ascii="仿宋" w:hAnsi="仿宋" w:eastAsia="仿宋" w:cs="仿宋"/>
          <w:color w:val="auto"/>
          <w:sz w:val="30"/>
          <w:szCs w:val="30"/>
          <w:highlight w:val="none"/>
        </w:rPr>
      </w:pPr>
      <w:bookmarkStart w:id="30" w:name="_Toc743"/>
      <w:bookmarkStart w:id="31" w:name="_Toc17353"/>
      <w:bookmarkStart w:id="32" w:name="_Toc26858"/>
      <w:bookmarkStart w:id="33" w:name="_Toc8786"/>
      <w:bookmarkStart w:id="34" w:name="_Toc7763"/>
      <w:r>
        <w:rPr>
          <w:rFonts w:hint="eastAsia" w:ascii="仿宋" w:hAnsi="仿宋" w:eastAsia="仿宋" w:cs="仿宋"/>
          <w:color w:val="auto"/>
          <w:sz w:val="30"/>
          <w:szCs w:val="30"/>
          <w:highlight w:val="none"/>
        </w:rPr>
        <w:t>五、公告期限</w:t>
      </w:r>
      <w:bookmarkEnd w:id="30"/>
      <w:bookmarkEnd w:id="31"/>
      <w:bookmarkEnd w:id="32"/>
      <w:bookmarkEnd w:id="33"/>
      <w:bookmarkEnd w:id="34"/>
    </w:p>
    <w:p w14:paraId="499BFAB8">
      <w:pPr>
        <w:shd w:val="clear"/>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自本公告发布之日起5个工作日。</w:t>
      </w:r>
    </w:p>
    <w:p w14:paraId="28F29B27">
      <w:pPr>
        <w:pStyle w:val="4"/>
        <w:keepNext/>
        <w:keepLines/>
        <w:pageBreakBefore w:val="0"/>
        <w:widowControl w:val="0"/>
        <w:shd w:val="clear"/>
        <w:kinsoku/>
        <w:wordWrap/>
        <w:overflowPunct/>
        <w:topLinePunct w:val="0"/>
        <w:autoSpaceDE/>
        <w:autoSpaceDN/>
        <w:bidi w:val="0"/>
        <w:adjustRightInd/>
        <w:snapToGrid/>
        <w:spacing w:before="469" w:beforeLines="150" w:after="157" w:afterLines="50" w:line="360" w:lineRule="auto"/>
        <w:ind w:firstLine="187" w:firstLineChars="62"/>
        <w:textAlignment w:val="auto"/>
        <w:outlineLvl w:val="1"/>
        <w:rPr>
          <w:rFonts w:hint="eastAsia" w:ascii="仿宋" w:hAnsi="仿宋" w:eastAsia="仿宋" w:cs="仿宋"/>
          <w:color w:val="auto"/>
          <w:sz w:val="30"/>
          <w:szCs w:val="30"/>
          <w:highlight w:val="none"/>
        </w:rPr>
      </w:pPr>
      <w:bookmarkStart w:id="35" w:name="_Toc1202"/>
      <w:bookmarkStart w:id="36" w:name="_Toc9770"/>
      <w:bookmarkStart w:id="37" w:name="_Toc30287"/>
      <w:bookmarkStart w:id="38" w:name="_Toc11949"/>
      <w:bookmarkStart w:id="39" w:name="_Toc31633"/>
      <w:r>
        <w:rPr>
          <w:rFonts w:hint="eastAsia" w:ascii="仿宋" w:hAnsi="仿宋" w:eastAsia="仿宋" w:cs="仿宋"/>
          <w:color w:val="auto"/>
          <w:sz w:val="30"/>
          <w:szCs w:val="30"/>
          <w:highlight w:val="none"/>
        </w:rPr>
        <w:t>六、其他补充事宜</w:t>
      </w:r>
      <w:bookmarkEnd w:id="35"/>
      <w:bookmarkEnd w:id="36"/>
      <w:bookmarkEnd w:id="37"/>
      <w:bookmarkEnd w:id="38"/>
      <w:bookmarkEnd w:id="39"/>
    </w:p>
    <w:p w14:paraId="5F714DA5">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开标方式：</w:t>
      </w:r>
      <w:r>
        <w:rPr>
          <w:rFonts w:hint="eastAsia" w:ascii="仿宋" w:hAnsi="仿宋" w:eastAsia="仿宋" w:cs="仿宋"/>
          <w:color w:val="auto"/>
          <w:sz w:val="24"/>
          <w:szCs w:val="22"/>
          <w:highlight w:val="none"/>
          <w:lang w:val="en-US" w:eastAsia="zh-CN"/>
        </w:rPr>
        <w:t>网上</w:t>
      </w:r>
      <w:r>
        <w:rPr>
          <w:rFonts w:hint="eastAsia" w:ascii="仿宋" w:hAnsi="仿宋" w:eastAsia="仿宋" w:cs="仿宋"/>
          <w:color w:val="auto"/>
          <w:sz w:val="24"/>
          <w:szCs w:val="22"/>
          <w:highlight w:val="none"/>
        </w:rPr>
        <w:t>开标</w:t>
      </w:r>
    </w:p>
    <w:p w14:paraId="7B0455DB">
      <w:pPr>
        <w:shd w:val="clear"/>
        <w:spacing w:line="360" w:lineRule="auto"/>
        <w:ind w:firstLine="480" w:firstLineChars="200"/>
        <w:contextualSpacing/>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是否需要缴纳投标保证金：是</w:t>
      </w:r>
    </w:p>
    <w:p w14:paraId="3940BD7E">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rPr>
        <w:t>保证金金额：</w:t>
      </w:r>
      <w:r>
        <w:rPr>
          <w:rFonts w:hint="eastAsia" w:ascii="仿宋" w:hAnsi="仿宋" w:eastAsia="仿宋" w:cs="仿宋"/>
          <w:color w:val="auto"/>
          <w:sz w:val="24"/>
          <w:szCs w:val="22"/>
          <w:highlight w:val="none"/>
          <w:lang w:val="en-US" w:eastAsia="zh-CN"/>
        </w:rPr>
        <w:t>20000元</w:t>
      </w:r>
      <w:r>
        <w:rPr>
          <w:rFonts w:hint="eastAsia" w:ascii="仿宋" w:hAnsi="仿宋" w:eastAsia="仿宋" w:cs="仿宋"/>
          <w:color w:val="auto"/>
          <w:sz w:val="24"/>
          <w:highlight w:val="none"/>
          <w:lang w:val="en-US" w:eastAsia="zh-CN"/>
        </w:rPr>
        <w:t>（人民币贰万元整）</w:t>
      </w:r>
    </w:p>
    <w:p w14:paraId="140D48B2">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rPr>
        <w:t>保证金缴纳方式：支票、汇票、本票、保函、银行转账、保证保险</w:t>
      </w:r>
      <w:r>
        <w:rPr>
          <w:rFonts w:hint="eastAsia" w:ascii="仿宋" w:hAnsi="仿宋" w:eastAsia="仿宋" w:cs="仿宋"/>
          <w:color w:val="auto"/>
          <w:sz w:val="24"/>
          <w:szCs w:val="22"/>
          <w:highlight w:val="none"/>
          <w:lang w:val="en-US" w:eastAsia="zh-CN"/>
        </w:rPr>
        <w:t>等非现金形式。</w:t>
      </w:r>
    </w:p>
    <w:p w14:paraId="6F9CC998">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rPr>
        <w:t>保证金缴纳截止时间：</w:t>
      </w:r>
      <w:r>
        <w:rPr>
          <w:rFonts w:hint="eastAsia" w:ascii="仿宋" w:hAnsi="仿宋" w:eastAsia="仿宋" w:cs="仿宋"/>
          <w:b/>
          <w:bCs/>
          <w:color w:val="auto"/>
          <w:sz w:val="24"/>
          <w:szCs w:val="22"/>
          <w:highlight w:val="none"/>
          <w:lang w:eastAsia="zh-CN"/>
        </w:rPr>
        <w:t>2024年</w:t>
      </w:r>
      <w:r>
        <w:rPr>
          <w:rFonts w:hint="eastAsia" w:ascii="仿宋" w:hAnsi="仿宋" w:eastAsia="仿宋" w:cs="仿宋"/>
          <w:b/>
          <w:bCs/>
          <w:color w:val="auto"/>
          <w:sz w:val="24"/>
          <w:szCs w:val="22"/>
          <w:highlight w:val="none"/>
          <w:lang w:val="en-US" w:eastAsia="zh-CN"/>
        </w:rPr>
        <w:t>12</w:t>
      </w:r>
      <w:r>
        <w:rPr>
          <w:rFonts w:hint="eastAsia" w:ascii="仿宋" w:hAnsi="仿宋" w:eastAsia="仿宋" w:cs="仿宋"/>
          <w:b/>
          <w:bCs/>
          <w:color w:val="auto"/>
          <w:sz w:val="24"/>
          <w:szCs w:val="22"/>
          <w:highlight w:val="none"/>
          <w:lang w:eastAsia="zh-CN"/>
        </w:rPr>
        <w:t>月</w:t>
      </w:r>
      <w:r>
        <w:rPr>
          <w:rFonts w:hint="eastAsia" w:ascii="仿宋" w:hAnsi="仿宋" w:eastAsia="仿宋" w:cs="仿宋"/>
          <w:b/>
          <w:bCs/>
          <w:color w:val="auto"/>
          <w:sz w:val="24"/>
          <w:szCs w:val="22"/>
          <w:highlight w:val="none"/>
          <w:lang w:val="en-US" w:eastAsia="zh-CN"/>
        </w:rPr>
        <w:t>09</w:t>
      </w:r>
      <w:r>
        <w:rPr>
          <w:rFonts w:hint="eastAsia" w:ascii="仿宋" w:hAnsi="仿宋" w:eastAsia="仿宋" w:cs="仿宋"/>
          <w:b/>
          <w:bCs/>
          <w:color w:val="auto"/>
          <w:sz w:val="24"/>
          <w:szCs w:val="22"/>
          <w:highlight w:val="none"/>
          <w:lang w:eastAsia="zh-CN"/>
        </w:rPr>
        <w:t>日</w:t>
      </w:r>
      <w:r>
        <w:rPr>
          <w:rStyle w:val="27"/>
          <w:rFonts w:hint="eastAsia" w:ascii="仿宋" w:hAnsi="仿宋" w:eastAsia="仿宋" w:cs="仿宋"/>
          <w:b/>
          <w:bCs/>
          <w:color w:val="auto"/>
          <w:sz w:val="24"/>
          <w:szCs w:val="22"/>
          <w:highlight w:val="none"/>
          <w:lang w:val="en-US" w:eastAsia="zh-CN"/>
        </w:rPr>
        <w:t>09</w:t>
      </w:r>
      <w:r>
        <w:rPr>
          <w:rStyle w:val="27"/>
          <w:rFonts w:hint="eastAsia" w:ascii="仿宋" w:hAnsi="仿宋" w:eastAsia="仿宋" w:cs="仿宋"/>
          <w:b/>
          <w:bCs/>
          <w:color w:val="auto"/>
          <w:sz w:val="24"/>
          <w:szCs w:val="22"/>
          <w:highlight w:val="none"/>
        </w:rPr>
        <w:t>点</w:t>
      </w:r>
      <w:r>
        <w:rPr>
          <w:rStyle w:val="27"/>
          <w:rFonts w:hint="eastAsia" w:ascii="仿宋" w:hAnsi="仿宋" w:eastAsia="仿宋" w:cs="仿宋"/>
          <w:b/>
          <w:bCs/>
          <w:color w:val="auto"/>
          <w:sz w:val="24"/>
          <w:szCs w:val="22"/>
          <w:highlight w:val="none"/>
          <w:lang w:val="en-US" w:eastAsia="zh-CN"/>
        </w:rPr>
        <w:t>00</w:t>
      </w:r>
      <w:r>
        <w:rPr>
          <w:rStyle w:val="27"/>
          <w:rFonts w:hint="eastAsia" w:ascii="仿宋" w:hAnsi="仿宋" w:eastAsia="仿宋" w:cs="仿宋"/>
          <w:b/>
          <w:bCs/>
          <w:color w:val="auto"/>
          <w:sz w:val="24"/>
          <w:szCs w:val="22"/>
          <w:highlight w:val="none"/>
        </w:rPr>
        <w:t>分</w:t>
      </w:r>
      <w:r>
        <w:rPr>
          <w:rFonts w:hint="eastAsia" w:ascii="仿宋" w:hAnsi="仿宋" w:eastAsia="仿宋" w:cs="仿宋"/>
          <w:b/>
          <w:bCs/>
          <w:color w:val="auto"/>
          <w:sz w:val="24"/>
          <w:szCs w:val="22"/>
          <w:highlight w:val="none"/>
        </w:rPr>
        <w:t>（北京时间）</w:t>
      </w:r>
      <w:r>
        <w:rPr>
          <w:rFonts w:hint="eastAsia" w:ascii="仿宋" w:hAnsi="仿宋" w:eastAsia="仿宋" w:cs="仿宋"/>
          <w:b/>
          <w:bCs/>
          <w:color w:val="auto"/>
          <w:sz w:val="24"/>
          <w:szCs w:val="22"/>
          <w:highlight w:val="none"/>
          <w:lang w:eastAsia="zh-CN"/>
        </w:rPr>
        <w:t>。</w:t>
      </w:r>
    </w:p>
    <w:p w14:paraId="7545274D">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本次招标公告在云南省政府采购网公布，请各供应商在提交投标文件前随时查看，以获取最新信息。因供应商不留意网站公告，导致后果由其自行负责，采购人及代理机构不承担任何责任。如有其它网站转载公告，采购人及代理机构不承担任何责任。 </w:t>
      </w:r>
    </w:p>
    <w:p w14:paraId="54931993">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注：（1）供应商登录政采云平台（https://www.zcygov.cn/），按《供应商操作指南》（https://edu.zcygov.cn/luban/yunnan-dzjy-gys?utm=a0017.b3687.48.18.4b09ec80cbc911edb8a97356c5970511）完成远程投标文件解密等相关操作。本项目解密时间为30分钟，若供应商未在规定时间完成投标文件解密，则视为无效投标，不再进入评标阶段。</w:t>
      </w:r>
    </w:p>
    <w:p w14:paraId="6116535E">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（2）因开标系统、开标现场网络、设备及其他特殊原因，导致不能正常解密投标文件的，经核实和上报相关部门同意后，可再次下达网上解密指令来延长解密时间；</w:t>
      </w:r>
    </w:p>
    <w:p w14:paraId="27FE78F3">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（3）异常处理：如供应商在开标时遗失CA或其他原因，供应商需将备份的或加密的投标文件提供给代理机构，代理机构通过“异常处理”端口上传、解密。</w:t>
      </w:r>
    </w:p>
    <w:p w14:paraId="038EAE75">
      <w:pPr>
        <w:pStyle w:val="4"/>
        <w:keepNext/>
        <w:keepLines/>
        <w:pageBreakBefore w:val="0"/>
        <w:widowControl w:val="0"/>
        <w:shd w:val="clear"/>
        <w:kinsoku/>
        <w:wordWrap/>
        <w:overflowPunct/>
        <w:topLinePunct w:val="0"/>
        <w:autoSpaceDE/>
        <w:autoSpaceDN/>
        <w:bidi w:val="0"/>
        <w:adjustRightInd/>
        <w:snapToGrid/>
        <w:spacing w:before="469" w:beforeLines="150" w:after="157" w:afterLines="50" w:line="360" w:lineRule="auto"/>
        <w:ind w:firstLine="187" w:firstLineChars="62"/>
        <w:textAlignment w:val="auto"/>
        <w:outlineLvl w:val="1"/>
        <w:rPr>
          <w:rFonts w:hint="eastAsia" w:ascii="仿宋" w:hAnsi="仿宋" w:eastAsia="仿宋" w:cs="仿宋"/>
          <w:color w:val="auto"/>
          <w:sz w:val="30"/>
          <w:szCs w:val="30"/>
          <w:highlight w:val="none"/>
        </w:rPr>
      </w:pPr>
      <w:bookmarkStart w:id="40" w:name="_Toc9110"/>
      <w:bookmarkStart w:id="41" w:name="_Toc28015"/>
      <w:bookmarkStart w:id="42" w:name="_Toc1109"/>
      <w:bookmarkStart w:id="43" w:name="_Toc6000"/>
      <w:r>
        <w:rPr>
          <w:rFonts w:hint="eastAsia" w:ascii="仿宋" w:hAnsi="仿宋" w:eastAsia="仿宋" w:cs="仿宋"/>
          <w:color w:val="auto"/>
          <w:sz w:val="30"/>
          <w:szCs w:val="30"/>
          <w:highlight w:val="none"/>
        </w:rPr>
        <w:t>七、对本次招标提出询问，请按以下方式联系</w:t>
      </w:r>
      <w:bookmarkEnd w:id="12"/>
      <w:bookmarkEnd w:id="40"/>
      <w:bookmarkEnd w:id="41"/>
      <w:bookmarkEnd w:id="42"/>
      <w:bookmarkEnd w:id="43"/>
    </w:p>
    <w:p w14:paraId="7425ADEB">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1.招标人信息</w:t>
      </w:r>
    </w:p>
    <w:p w14:paraId="3F0E7D2F">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名称：玉龙纳西族自治县公安局</w:t>
      </w:r>
    </w:p>
    <w:p w14:paraId="61BD6DED">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地址：玉龙纳西族自治县政府行政办公区</w:t>
      </w:r>
    </w:p>
    <w:p w14:paraId="5ACF7021">
      <w:pPr>
        <w:shd w:val="clear"/>
        <w:spacing w:line="360" w:lineRule="auto"/>
        <w:ind w:firstLine="480" w:firstLineChars="200"/>
        <w:contextualSpacing/>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2"/>
          <w:highlight w:val="none"/>
          <w:lang w:val="en-US" w:eastAsia="zh-CN"/>
        </w:rPr>
        <w:t xml:space="preserve">联系方式： </w:t>
      </w:r>
      <w:r>
        <w:rPr>
          <w:rFonts w:hint="eastAsia" w:ascii="仿宋" w:hAnsi="仿宋" w:eastAsia="仿宋" w:cs="仿宋"/>
          <w:color w:val="auto"/>
          <w:sz w:val="24"/>
          <w:szCs w:val="24"/>
          <w:highlight w:val="none"/>
          <w:lang w:val="en-US" w:eastAsia="zh-CN"/>
        </w:rPr>
        <w:t>和卫新 0888-5394017</w:t>
      </w:r>
    </w:p>
    <w:p w14:paraId="156C4580">
      <w:pPr>
        <w:pStyle w:val="2"/>
        <w:rPr>
          <w:rFonts w:hint="default"/>
          <w:lang w:val="en-US" w:eastAsia="zh-CN"/>
        </w:rPr>
      </w:pPr>
    </w:p>
    <w:p w14:paraId="6407AFD5">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2.采购代理机构信息</w:t>
      </w:r>
    </w:p>
    <w:p w14:paraId="5AB350D3">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名称：丽江恒邦项目管理有限公司</w:t>
      </w:r>
    </w:p>
    <w:p w14:paraId="4E08B6C1">
      <w:pPr>
        <w:shd w:val="clear"/>
        <w:spacing w:line="360" w:lineRule="auto"/>
        <w:ind w:firstLine="480" w:firstLineChars="200"/>
        <w:contextualSpacing/>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地址：丽江市玉龙县物资集团4楼410室</w:t>
      </w:r>
    </w:p>
    <w:p w14:paraId="36645BCD">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联系方式：周子玙19908880997</w:t>
      </w:r>
    </w:p>
    <w:p w14:paraId="5E677C1F">
      <w:pPr>
        <w:pStyle w:val="2"/>
        <w:rPr>
          <w:rFonts w:hint="default"/>
          <w:lang w:val="en-US" w:eastAsia="zh-CN"/>
        </w:rPr>
      </w:pPr>
    </w:p>
    <w:p w14:paraId="32D8B31F">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3.项目联系方式</w:t>
      </w:r>
    </w:p>
    <w:p w14:paraId="2623DB3C">
      <w:pPr>
        <w:shd w:val="clear"/>
        <w:spacing w:line="360" w:lineRule="auto"/>
        <w:ind w:firstLine="480" w:firstLineChars="200"/>
        <w:contextualSpacing/>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项目联系人：周子玙19908880997</w:t>
      </w:r>
    </w:p>
    <w:p w14:paraId="3DD4858A">
      <w:pPr>
        <w:pStyle w:val="30"/>
        <w:keepNext w:val="0"/>
        <w:keepLines w:val="0"/>
        <w:widowControl/>
        <w:suppressLineNumbers w:val="0"/>
        <w:shd w:val="clear"/>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br w:type="page"/>
      </w:r>
    </w:p>
    <w:p w14:paraId="59740CF2">
      <w:pPr>
        <w:pStyle w:val="3"/>
        <w:shd w:val="clear"/>
        <w:outlineLvl w:val="0"/>
        <w:rPr>
          <w:rFonts w:hint="eastAsia" w:ascii="仿宋" w:hAnsi="仿宋" w:eastAsia="仿宋" w:cs="仿宋"/>
          <w:color w:val="auto"/>
          <w:highlight w:val="none"/>
        </w:rPr>
      </w:pPr>
      <w:bookmarkStart w:id="44" w:name="_Toc244341280"/>
      <w:bookmarkStart w:id="45" w:name="_Toc17969"/>
      <w:bookmarkStart w:id="46" w:name="_Toc3323"/>
      <w:bookmarkStart w:id="47" w:name="_Toc364392607"/>
      <w:bookmarkStart w:id="48" w:name="_Toc28043"/>
      <w:bookmarkStart w:id="49" w:name="_Toc32756"/>
      <w:bookmarkStart w:id="50" w:name="_Toc24807"/>
      <w:r>
        <w:rPr>
          <w:rFonts w:hint="eastAsia" w:ascii="仿宋" w:hAnsi="仿宋" w:eastAsia="仿宋" w:cs="仿宋"/>
          <w:color w:val="auto"/>
          <w:highlight w:val="none"/>
        </w:rPr>
        <w:t>第二章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spacing w:val="10"/>
          <w:highlight w:val="none"/>
        </w:rPr>
        <w:t>投标人</w:t>
      </w:r>
      <w:r>
        <w:rPr>
          <w:rFonts w:hint="eastAsia" w:ascii="仿宋" w:hAnsi="仿宋" w:eastAsia="仿宋" w:cs="仿宋"/>
          <w:color w:val="auto"/>
          <w:highlight w:val="none"/>
        </w:rPr>
        <w:t>须知</w:t>
      </w:r>
      <w:bookmarkEnd w:id="44"/>
      <w:bookmarkEnd w:id="45"/>
      <w:bookmarkEnd w:id="46"/>
      <w:bookmarkEnd w:id="47"/>
      <w:bookmarkEnd w:id="48"/>
      <w:bookmarkEnd w:id="49"/>
      <w:bookmarkEnd w:id="50"/>
    </w:p>
    <w:p w14:paraId="236ED17C">
      <w:pPr>
        <w:pStyle w:val="4"/>
        <w:shd w:val="clear"/>
        <w:ind w:firstLine="0" w:firstLineChars="0"/>
        <w:jc w:val="center"/>
        <w:outlineLvl w:val="1"/>
        <w:rPr>
          <w:rFonts w:hint="eastAsia" w:ascii="仿宋" w:hAnsi="仿宋" w:eastAsia="仿宋" w:cs="仿宋"/>
          <w:color w:val="auto"/>
          <w:highlight w:val="none"/>
        </w:rPr>
      </w:pPr>
      <w:bookmarkStart w:id="51" w:name="_Toc364392608"/>
      <w:bookmarkStart w:id="52" w:name="_Toc31041"/>
      <w:bookmarkStart w:id="53" w:name="_Toc17519"/>
      <w:bookmarkStart w:id="54" w:name="_Toc29490"/>
      <w:bookmarkStart w:id="55" w:name="_Toc29357076"/>
      <w:r>
        <w:rPr>
          <w:rFonts w:hint="eastAsia" w:ascii="仿宋" w:hAnsi="仿宋" w:eastAsia="仿宋" w:cs="仿宋"/>
          <w:color w:val="auto"/>
          <w:spacing w:val="10"/>
          <w:highlight w:val="none"/>
        </w:rPr>
        <w:t>投标人</w:t>
      </w:r>
      <w:r>
        <w:rPr>
          <w:rFonts w:hint="eastAsia" w:ascii="仿宋" w:hAnsi="仿宋" w:eastAsia="仿宋" w:cs="仿宋"/>
          <w:color w:val="auto"/>
          <w:highlight w:val="none"/>
        </w:rPr>
        <w:t>须知前附表</w:t>
      </w:r>
      <w:bookmarkEnd w:id="51"/>
      <w:bookmarkEnd w:id="52"/>
      <w:bookmarkEnd w:id="53"/>
      <w:bookmarkEnd w:id="54"/>
    </w:p>
    <w:tbl>
      <w:tblPr>
        <w:tblStyle w:val="22"/>
        <w:tblW w:w="9676" w:type="dxa"/>
        <w:jc w:val="center"/>
        <w:tblLayout w:type="fixed"/>
        <w:tblCellMar>
          <w:top w:w="0" w:type="dxa"/>
          <w:left w:w="108" w:type="dxa"/>
          <w:bottom w:w="0" w:type="dxa"/>
          <w:right w:w="108" w:type="dxa"/>
        </w:tblCellMar>
      </w:tblPr>
      <w:tblGrid>
        <w:gridCol w:w="949"/>
        <w:gridCol w:w="2172"/>
        <w:gridCol w:w="6555"/>
      </w:tblGrid>
      <w:tr w14:paraId="5F698EDE">
        <w:tblPrEx>
          <w:tblCellMar>
            <w:top w:w="0" w:type="dxa"/>
            <w:left w:w="108" w:type="dxa"/>
            <w:bottom w:w="0" w:type="dxa"/>
            <w:right w:w="108" w:type="dxa"/>
          </w:tblCellMar>
        </w:tblPrEx>
        <w:trPr>
          <w:trHeight w:val="61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1C1571F">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2172" w:type="dxa"/>
            <w:tcBorders>
              <w:top w:val="single" w:color="auto" w:sz="4" w:space="0"/>
              <w:left w:val="single" w:color="auto" w:sz="4" w:space="0"/>
              <w:bottom w:val="single" w:color="auto" w:sz="4" w:space="0"/>
              <w:right w:val="single" w:color="auto" w:sz="4" w:space="0"/>
            </w:tcBorders>
            <w:vAlign w:val="center"/>
          </w:tcPr>
          <w:p w14:paraId="73E0EB43">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条款名称</w:t>
            </w:r>
          </w:p>
        </w:tc>
        <w:tc>
          <w:tcPr>
            <w:tcW w:w="6555" w:type="dxa"/>
            <w:tcBorders>
              <w:top w:val="single" w:color="auto" w:sz="4" w:space="0"/>
              <w:left w:val="single" w:color="auto" w:sz="4" w:space="0"/>
              <w:bottom w:val="single" w:color="auto" w:sz="4" w:space="0"/>
              <w:right w:val="single" w:color="auto" w:sz="4" w:space="0"/>
            </w:tcBorders>
            <w:vAlign w:val="center"/>
          </w:tcPr>
          <w:p w14:paraId="62422D2C">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编列内容</w:t>
            </w:r>
          </w:p>
        </w:tc>
      </w:tr>
      <w:tr w14:paraId="1A2261CD">
        <w:tblPrEx>
          <w:tblCellMar>
            <w:top w:w="0" w:type="dxa"/>
            <w:left w:w="108" w:type="dxa"/>
            <w:bottom w:w="0" w:type="dxa"/>
            <w:right w:w="108" w:type="dxa"/>
          </w:tblCellMar>
        </w:tblPrEx>
        <w:trPr>
          <w:trHeight w:val="64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E6B0E2D">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2172" w:type="dxa"/>
            <w:tcBorders>
              <w:top w:val="single" w:color="auto" w:sz="4" w:space="0"/>
              <w:left w:val="single" w:color="auto" w:sz="4" w:space="0"/>
              <w:bottom w:val="single" w:color="auto" w:sz="4" w:space="0"/>
              <w:right w:val="single" w:color="auto" w:sz="4" w:space="0"/>
            </w:tcBorders>
            <w:vAlign w:val="center"/>
          </w:tcPr>
          <w:p w14:paraId="4DF24ABE">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555" w:type="dxa"/>
            <w:tcBorders>
              <w:top w:val="single" w:color="auto" w:sz="4" w:space="0"/>
              <w:left w:val="single" w:color="auto" w:sz="4" w:space="0"/>
              <w:bottom w:val="single" w:color="auto" w:sz="4" w:space="0"/>
              <w:right w:val="single" w:color="auto" w:sz="4" w:space="0"/>
            </w:tcBorders>
            <w:vAlign w:val="center"/>
          </w:tcPr>
          <w:p w14:paraId="5FD0B56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名称：玉龙纳西族自治县公安局</w:t>
            </w:r>
          </w:p>
          <w:p w14:paraId="0EDDDCD1">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地址：玉龙纳西族自治县政府行政办公区</w:t>
            </w:r>
          </w:p>
          <w:p w14:paraId="0C4FEF57">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联系方式：和卫新 0888-5394017</w:t>
            </w:r>
          </w:p>
        </w:tc>
      </w:tr>
      <w:tr w14:paraId="74BFAE7A">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729FFE7">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2172" w:type="dxa"/>
            <w:tcBorders>
              <w:top w:val="single" w:color="auto" w:sz="4" w:space="0"/>
              <w:left w:val="single" w:color="auto" w:sz="4" w:space="0"/>
              <w:bottom w:val="single" w:color="auto" w:sz="4" w:space="0"/>
              <w:right w:val="single" w:color="auto" w:sz="4" w:space="0"/>
            </w:tcBorders>
            <w:vAlign w:val="center"/>
          </w:tcPr>
          <w:p w14:paraId="07AAC267">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555" w:type="dxa"/>
            <w:tcBorders>
              <w:top w:val="single" w:color="auto" w:sz="4" w:space="0"/>
              <w:left w:val="single" w:color="auto" w:sz="4" w:space="0"/>
              <w:bottom w:val="single" w:color="auto" w:sz="4" w:space="0"/>
              <w:right w:val="single" w:color="auto" w:sz="4" w:space="0"/>
            </w:tcBorders>
            <w:vAlign w:val="center"/>
          </w:tcPr>
          <w:p w14:paraId="12BDAF3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名称：丽江恒邦项目管理有限公司</w:t>
            </w:r>
          </w:p>
          <w:p w14:paraId="70C71AB9">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地址：丽江市玉龙县物资集团4楼410室</w:t>
            </w:r>
          </w:p>
          <w:p w14:paraId="0D02C295">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2"/>
                <w:highlight w:val="none"/>
                <w:lang w:val="en-US" w:eastAsia="zh-CN"/>
              </w:rPr>
              <w:t>周子玙 19908880997</w:t>
            </w:r>
          </w:p>
        </w:tc>
      </w:tr>
      <w:tr w14:paraId="25DE7936">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A14D477">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2172" w:type="dxa"/>
            <w:tcBorders>
              <w:top w:val="single" w:color="auto" w:sz="4" w:space="0"/>
              <w:left w:val="single" w:color="auto" w:sz="4" w:space="0"/>
              <w:bottom w:val="single" w:color="auto" w:sz="4" w:space="0"/>
              <w:right w:val="single" w:color="auto" w:sz="4" w:space="0"/>
            </w:tcBorders>
            <w:vAlign w:val="center"/>
          </w:tcPr>
          <w:p w14:paraId="38BE0007">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340E9C85">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6555" w:type="dxa"/>
            <w:tcBorders>
              <w:top w:val="single" w:color="auto" w:sz="4" w:space="0"/>
              <w:left w:val="single" w:color="auto" w:sz="4" w:space="0"/>
              <w:bottom w:val="single" w:color="auto" w:sz="4" w:space="0"/>
              <w:right w:val="single" w:color="auto" w:sz="4" w:space="0"/>
            </w:tcBorders>
            <w:vAlign w:val="center"/>
          </w:tcPr>
          <w:p w14:paraId="434EE287">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w:t>
            </w:r>
            <w:r>
              <w:rPr>
                <w:rFonts w:hint="eastAsia" w:ascii="仿宋" w:hAnsi="仿宋" w:eastAsia="仿宋" w:cs="仿宋"/>
                <w:color w:val="auto"/>
                <w:sz w:val="24"/>
                <w:szCs w:val="22"/>
                <w:highlight w:val="none"/>
                <w:lang w:eastAsia="zh-CN"/>
              </w:rPr>
              <w:t>玉龙县公安局移动警务服务采购项目（二次）</w:t>
            </w:r>
          </w:p>
          <w:p w14:paraId="7B336228">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项目编号：HB-FW2024062</w:t>
            </w:r>
          </w:p>
        </w:tc>
      </w:tr>
      <w:tr w14:paraId="38EB2C5F">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FD23DFC">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2172" w:type="dxa"/>
            <w:tcBorders>
              <w:top w:val="single" w:color="auto" w:sz="4" w:space="0"/>
              <w:left w:val="single" w:color="auto" w:sz="4" w:space="0"/>
              <w:bottom w:val="single" w:color="auto" w:sz="4" w:space="0"/>
              <w:right w:val="single" w:color="auto" w:sz="4" w:space="0"/>
            </w:tcBorders>
            <w:vAlign w:val="center"/>
          </w:tcPr>
          <w:p w14:paraId="6C86601E">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w:t>
            </w:r>
          </w:p>
        </w:tc>
        <w:tc>
          <w:tcPr>
            <w:tcW w:w="6555" w:type="dxa"/>
            <w:tcBorders>
              <w:top w:val="single" w:color="auto" w:sz="4" w:space="0"/>
              <w:left w:val="single" w:color="auto" w:sz="4" w:space="0"/>
              <w:bottom w:val="single" w:color="auto" w:sz="4" w:space="0"/>
              <w:right w:val="single" w:color="auto" w:sz="4" w:space="0"/>
            </w:tcBorders>
            <w:vAlign w:val="center"/>
          </w:tcPr>
          <w:p w14:paraId="06C95E73">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2"/>
                <w:highlight w:val="none"/>
                <w:lang w:val="en-US" w:eastAsia="zh-CN"/>
              </w:rPr>
              <w:t>275.0328万元</w:t>
            </w:r>
            <w:r>
              <w:rPr>
                <w:rFonts w:hint="eastAsia" w:ascii="仿宋" w:hAnsi="仿宋" w:eastAsia="仿宋" w:cs="仿宋"/>
                <w:color w:val="auto"/>
                <w:sz w:val="24"/>
                <w:szCs w:val="24"/>
                <w:highlight w:val="none"/>
                <w:lang w:val="en-US" w:eastAsia="zh-CN"/>
              </w:rPr>
              <w:t xml:space="preserve">。 </w:t>
            </w:r>
          </w:p>
        </w:tc>
      </w:tr>
      <w:tr w14:paraId="17A42C80">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D25C7ED">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2172" w:type="dxa"/>
            <w:tcBorders>
              <w:top w:val="single" w:color="auto" w:sz="4" w:space="0"/>
              <w:left w:val="single" w:color="auto" w:sz="4" w:space="0"/>
              <w:bottom w:val="single" w:color="auto" w:sz="4" w:space="0"/>
              <w:right w:val="single" w:color="auto" w:sz="4" w:space="0"/>
            </w:tcBorders>
            <w:vAlign w:val="center"/>
          </w:tcPr>
          <w:p w14:paraId="47A6E850">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tc>
        <w:tc>
          <w:tcPr>
            <w:tcW w:w="6555" w:type="dxa"/>
            <w:tcBorders>
              <w:top w:val="single" w:color="auto" w:sz="4" w:space="0"/>
              <w:left w:val="single" w:color="auto" w:sz="4" w:space="0"/>
              <w:bottom w:val="single" w:color="auto" w:sz="4" w:space="0"/>
              <w:right w:val="single" w:color="auto" w:sz="4" w:space="0"/>
            </w:tcBorders>
            <w:vAlign w:val="center"/>
          </w:tcPr>
          <w:p w14:paraId="7851E77D">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详见招标文件第一章《招标公告》“一、项目基本情况”，具体要求等详见本招标文件第五章《采购需求》。</w:t>
            </w:r>
          </w:p>
        </w:tc>
      </w:tr>
      <w:tr w14:paraId="5E3B3EDD">
        <w:tblPrEx>
          <w:tblCellMar>
            <w:top w:w="0" w:type="dxa"/>
            <w:left w:w="108" w:type="dxa"/>
            <w:bottom w:w="0" w:type="dxa"/>
            <w:right w:w="108" w:type="dxa"/>
          </w:tblCellMar>
        </w:tblPrEx>
        <w:trPr>
          <w:trHeight w:val="35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9F2241D">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2172" w:type="dxa"/>
            <w:tcBorders>
              <w:top w:val="single" w:color="auto" w:sz="4" w:space="0"/>
              <w:left w:val="single" w:color="auto" w:sz="4" w:space="0"/>
              <w:bottom w:val="single" w:color="auto" w:sz="4" w:space="0"/>
              <w:right w:val="single" w:color="auto" w:sz="4" w:space="0"/>
            </w:tcBorders>
            <w:vAlign w:val="center"/>
          </w:tcPr>
          <w:p w14:paraId="644C20C5">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服务期限</w:t>
            </w:r>
          </w:p>
        </w:tc>
        <w:tc>
          <w:tcPr>
            <w:tcW w:w="6555" w:type="dxa"/>
            <w:tcBorders>
              <w:top w:val="single" w:color="auto" w:sz="4" w:space="0"/>
              <w:left w:val="single" w:color="auto" w:sz="4" w:space="0"/>
              <w:bottom w:val="single" w:color="auto" w:sz="4" w:space="0"/>
              <w:right w:val="single" w:color="auto" w:sz="4" w:space="0"/>
            </w:tcBorders>
            <w:vAlign w:val="center"/>
          </w:tcPr>
          <w:p w14:paraId="05C50FBD">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两年。</w:t>
            </w:r>
          </w:p>
        </w:tc>
      </w:tr>
      <w:tr w14:paraId="580C0561">
        <w:tblPrEx>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A90F8F5">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2172" w:type="dxa"/>
            <w:tcBorders>
              <w:top w:val="single" w:color="auto" w:sz="4" w:space="0"/>
              <w:left w:val="single" w:color="auto" w:sz="4" w:space="0"/>
              <w:bottom w:val="single" w:color="auto" w:sz="4" w:space="0"/>
              <w:right w:val="single" w:color="auto" w:sz="4" w:space="0"/>
            </w:tcBorders>
            <w:vAlign w:val="center"/>
          </w:tcPr>
          <w:p w14:paraId="68E5AF21">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服务地点</w:t>
            </w:r>
          </w:p>
        </w:tc>
        <w:tc>
          <w:tcPr>
            <w:tcW w:w="6555" w:type="dxa"/>
            <w:tcBorders>
              <w:top w:val="single" w:color="auto" w:sz="4" w:space="0"/>
              <w:left w:val="single" w:color="auto" w:sz="4" w:space="0"/>
              <w:bottom w:val="single" w:color="auto" w:sz="4" w:space="0"/>
              <w:right w:val="single" w:color="auto" w:sz="4" w:space="0"/>
            </w:tcBorders>
            <w:vAlign w:val="center"/>
          </w:tcPr>
          <w:p w14:paraId="5A394B7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玉龙县公安局指定地点。</w:t>
            </w:r>
          </w:p>
        </w:tc>
      </w:tr>
      <w:tr w14:paraId="1F4CA86C">
        <w:tblPrEx>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F202B4D">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2172" w:type="dxa"/>
            <w:tcBorders>
              <w:top w:val="single" w:color="auto" w:sz="4" w:space="0"/>
              <w:left w:val="single" w:color="auto" w:sz="4" w:space="0"/>
              <w:bottom w:val="single" w:color="auto" w:sz="4" w:space="0"/>
              <w:right w:val="single" w:color="auto" w:sz="4" w:space="0"/>
            </w:tcBorders>
            <w:vAlign w:val="center"/>
          </w:tcPr>
          <w:p w14:paraId="0FE4FDDD">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c>
          <w:tcPr>
            <w:tcW w:w="6555" w:type="dxa"/>
            <w:tcBorders>
              <w:top w:val="single" w:color="auto" w:sz="4" w:space="0"/>
              <w:left w:val="single" w:color="auto" w:sz="4" w:space="0"/>
              <w:bottom w:val="single" w:color="auto" w:sz="4" w:space="0"/>
              <w:right w:val="single" w:color="auto" w:sz="4" w:space="0"/>
            </w:tcBorders>
            <w:vAlign w:val="center"/>
          </w:tcPr>
          <w:p w14:paraId="2F09FFA4">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2"/>
                <w:highlight w:val="none"/>
                <w:lang w:eastAsia="zh-CN"/>
              </w:rPr>
              <w:t>验收合格后</w:t>
            </w:r>
            <w:r>
              <w:rPr>
                <w:rFonts w:hint="eastAsia" w:ascii="仿宋" w:hAnsi="仿宋" w:eastAsia="仿宋" w:cs="仿宋"/>
                <w:color w:val="auto"/>
                <w:sz w:val="24"/>
                <w:szCs w:val="22"/>
                <w:highlight w:val="none"/>
                <w:lang w:val="en-US" w:eastAsia="zh-CN"/>
              </w:rPr>
              <w:t>2年。</w:t>
            </w:r>
          </w:p>
        </w:tc>
      </w:tr>
      <w:tr w14:paraId="1072F7AD">
        <w:tblPrEx>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E80DED4">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2172" w:type="dxa"/>
            <w:tcBorders>
              <w:top w:val="single" w:color="auto" w:sz="4" w:space="0"/>
              <w:left w:val="single" w:color="auto" w:sz="4" w:space="0"/>
              <w:bottom w:val="single" w:color="auto" w:sz="4" w:space="0"/>
              <w:right w:val="single" w:color="auto" w:sz="4" w:space="0"/>
            </w:tcBorders>
            <w:vAlign w:val="center"/>
          </w:tcPr>
          <w:p w14:paraId="7BCA74B4">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投标人资格要求</w:t>
            </w:r>
          </w:p>
        </w:tc>
        <w:tc>
          <w:tcPr>
            <w:tcW w:w="6555" w:type="dxa"/>
            <w:tcBorders>
              <w:top w:val="single" w:color="auto" w:sz="4" w:space="0"/>
              <w:left w:val="single" w:color="auto" w:sz="4" w:space="0"/>
              <w:bottom w:val="single" w:color="auto" w:sz="4" w:space="0"/>
              <w:right w:val="single" w:color="auto" w:sz="4" w:space="0"/>
            </w:tcBorders>
            <w:vAlign w:val="center"/>
          </w:tcPr>
          <w:p w14:paraId="458A3617">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详见招标文件第一章《招标公告》“二、投标人的资格要求”</w:t>
            </w:r>
          </w:p>
        </w:tc>
      </w:tr>
      <w:tr w14:paraId="49E8E2DF">
        <w:tblPrEx>
          <w:tblCellMar>
            <w:top w:w="0" w:type="dxa"/>
            <w:left w:w="108" w:type="dxa"/>
            <w:bottom w:w="0" w:type="dxa"/>
            <w:right w:w="108" w:type="dxa"/>
          </w:tblCellMar>
        </w:tblPrEx>
        <w:trPr>
          <w:trHeight w:val="114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1E19EE2">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2172" w:type="dxa"/>
            <w:tcBorders>
              <w:top w:val="single" w:color="auto" w:sz="4" w:space="0"/>
              <w:left w:val="single" w:color="auto" w:sz="4" w:space="0"/>
              <w:bottom w:val="single" w:color="auto" w:sz="4" w:space="0"/>
              <w:right w:val="single" w:color="auto" w:sz="4" w:space="0"/>
            </w:tcBorders>
            <w:vAlign w:val="center"/>
          </w:tcPr>
          <w:p w14:paraId="4362B58B">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采购人根据采购项目的特殊要求规定的特定条件</w:t>
            </w:r>
          </w:p>
        </w:tc>
        <w:tc>
          <w:tcPr>
            <w:tcW w:w="6555" w:type="dxa"/>
            <w:tcBorders>
              <w:top w:val="single" w:color="auto" w:sz="4" w:space="0"/>
              <w:left w:val="single" w:color="auto" w:sz="4" w:space="0"/>
              <w:bottom w:val="single" w:color="auto" w:sz="4" w:space="0"/>
              <w:right w:val="single" w:color="auto" w:sz="4" w:space="0"/>
            </w:tcBorders>
            <w:vAlign w:val="center"/>
          </w:tcPr>
          <w:p w14:paraId="2B4643C5">
            <w:pPr>
              <w:keepNext w:val="0"/>
              <w:keepLines w:val="0"/>
              <w:pageBreakBefore w:val="0"/>
              <w:widowControl/>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详见招标文件第一章《招标公告》“二、投标人的资格要求”</w:t>
            </w:r>
          </w:p>
        </w:tc>
      </w:tr>
      <w:tr w14:paraId="73162586">
        <w:tblPrEx>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C4C177D">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w:t>
            </w:r>
          </w:p>
        </w:tc>
        <w:tc>
          <w:tcPr>
            <w:tcW w:w="2172" w:type="dxa"/>
            <w:tcBorders>
              <w:top w:val="single" w:color="auto" w:sz="4" w:space="0"/>
              <w:left w:val="single" w:color="auto" w:sz="4" w:space="0"/>
              <w:bottom w:val="single" w:color="auto" w:sz="4" w:space="0"/>
              <w:right w:val="single" w:color="auto" w:sz="4" w:space="0"/>
            </w:tcBorders>
            <w:vAlign w:val="center"/>
          </w:tcPr>
          <w:p w14:paraId="5AB2592B">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是否接受联合体参加</w:t>
            </w:r>
          </w:p>
        </w:tc>
        <w:tc>
          <w:tcPr>
            <w:tcW w:w="6555" w:type="dxa"/>
            <w:tcBorders>
              <w:top w:val="single" w:color="auto" w:sz="4" w:space="0"/>
              <w:left w:val="single" w:color="auto" w:sz="4" w:space="0"/>
              <w:bottom w:val="single" w:color="auto" w:sz="4" w:space="0"/>
              <w:right w:val="single" w:color="auto" w:sz="4" w:space="0"/>
            </w:tcBorders>
            <w:vAlign w:val="center"/>
          </w:tcPr>
          <w:p w14:paraId="2BC438D2">
            <w:pPr>
              <w:keepNext w:val="0"/>
              <w:keepLines w:val="0"/>
              <w:pageBreakBefore w:val="0"/>
              <w:widowControl/>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w:t>
            </w:r>
          </w:p>
        </w:tc>
      </w:tr>
      <w:tr w14:paraId="5190AA4D">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02BF1B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w:t>
            </w:r>
          </w:p>
        </w:tc>
        <w:tc>
          <w:tcPr>
            <w:tcW w:w="2172" w:type="dxa"/>
            <w:tcBorders>
              <w:top w:val="single" w:color="auto" w:sz="4" w:space="0"/>
              <w:left w:val="single" w:color="auto" w:sz="4" w:space="0"/>
              <w:bottom w:val="single" w:color="auto" w:sz="4" w:space="0"/>
              <w:right w:val="single" w:color="auto" w:sz="4" w:space="0"/>
            </w:tcBorders>
            <w:vAlign w:val="center"/>
          </w:tcPr>
          <w:p w14:paraId="3103DD45">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现场考察</w:t>
            </w:r>
          </w:p>
        </w:tc>
        <w:tc>
          <w:tcPr>
            <w:tcW w:w="6555" w:type="dxa"/>
            <w:tcBorders>
              <w:top w:val="single" w:color="auto" w:sz="4" w:space="0"/>
              <w:left w:val="single" w:color="auto" w:sz="4" w:space="0"/>
              <w:bottom w:val="single" w:color="auto" w:sz="4" w:space="0"/>
              <w:right w:val="single" w:color="auto" w:sz="4" w:space="0"/>
            </w:tcBorders>
            <w:vAlign w:val="center"/>
          </w:tcPr>
          <w:p w14:paraId="3639B0E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不组织</w:t>
            </w:r>
          </w:p>
        </w:tc>
      </w:tr>
      <w:tr w14:paraId="13CEC238">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926842B">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p>
        </w:tc>
        <w:tc>
          <w:tcPr>
            <w:tcW w:w="2172" w:type="dxa"/>
            <w:tcBorders>
              <w:top w:val="single" w:color="auto" w:sz="4" w:space="0"/>
              <w:left w:val="single" w:color="auto" w:sz="4" w:space="0"/>
              <w:bottom w:val="single" w:color="auto" w:sz="4" w:space="0"/>
              <w:right w:val="single" w:color="auto" w:sz="4" w:space="0"/>
            </w:tcBorders>
            <w:vAlign w:val="center"/>
          </w:tcPr>
          <w:p w14:paraId="3878BDBE">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开标前答疑会</w:t>
            </w:r>
          </w:p>
        </w:tc>
        <w:tc>
          <w:tcPr>
            <w:tcW w:w="6555" w:type="dxa"/>
            <w:tcBorders>
              <w:top w:val="single" w:color="auto" w:sz="4" w:space="0"/>
              <w:left w:val="single" w:color="auto" w:sz="4" w:space="0"/>
              <w:bottom w:val="single" w:color="auto" w:sz="4" w:space="0"/>
              <w:right w:val="single" w:color="auto" w:sz="4" w:space="0"/>
            </w:tcBorders>
            <w:vAlign w:val="center"/>
          </w:tcPr>
          <w:p w14:paraId="6633FE8C">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不组织</w:t>
            </w:r>
          </w:p>
        </w:tc>
      </w:tr>
      <w:tr w14:paraId="7458A15E">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500BAD7">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2172" w:type="dxa"/>
            <w:tcBorders>
              <w:top w:val="single" w:color="auto" w:sz="4" w:space="0"/>
              <w:left w:val="single" w:color="auto" w:sz="4" w:space="0"/>
              <w:bottom w:val="single" w:color="auto" w:sz="4" w:space="0"/>
              <w:right w:val="single" w:color="auto" w:sz="4" w:space="0"/>
            </w:tcBorders>
            <w:vAlign w:val="center"/>
          </w:tcPr>
          <w:p w14:paraId="2F2AA57F">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招标文件的询问时间</w:t>
            </w:r>
          </w:p>
        </w:tc>
        <w:tc>
          <w:tcPr>
            <w:tcW w:w="6555" w:type="dxa"/>
            <w:tcBorders>
              <w:top w:val="single" w:color="auto" w:sz="4" w:space="0"/>
              <w:left w:val="single" w:color="auto" w:sz="4" w:space="0"/>
              <w:bottom w:val="single" w:color="auto" w:sz="4" w:space="0"/>
              <w:right w:val="single" w:color="auto" w:sz="4" w:space="0"/>
            </w:tcBorders>
            <w:vAlign w:val="center"/>
          </w:tcPr>
          <w:p w14:paraId="4E4F68A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投标人应认真阅读招标文件，如有疑问的，投标人可以向采购人或采购代理机构提出询问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采购人或者采购代理机构在接到询问后的3个工作日内对投标人依法提出的询问作出答复，但答复的内容不涉及商业秘密。</w:t>
            </w:r>
          </w:p>
        </w:tc>
      </w:tr>
      <w:tr w14:paraId="5B1E797B">
        <w:tblPrEx>
          <w:tblCellMar>
            <w:top w:w="0" w:type="dxa"/>
            <w:left w:w="108" w:type="dxa"/>
            <w:bottom w:w="0" w:type="dxa"/>
            <w:right w:w="108" w:type="dxa"/>
          </w:tblCellMar>
        </w:tblPrEx>
        <w:trPr>
          <w:trHeight w:val="79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0773656">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2172" w:type="dxa"/>
            <w:tcBorders>
              <w:top w:val="single" w:color="auto" w:sz="4" w:space="0"/>
              <w:left w:val="single" w:color="auto" w:sz="4" w:space="0"/>
              <w:bottom w:val="single" w:color="auto" w:sz="4" w:space="0"/>
              <w:right w:val="single" w:color="auto" w:sz="4" w:space="0"/>
            </w:tcBorders>
            <w:vAlign w:val="center"/>
          </w:tcPr>
          <w:p w14:paraId="226E336E">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招标文件询问联系方式</w:t>
            </w:r>
          </w:p>
        </w:tc>
        <w:tc>
          <w:tcPr>
            <w:tcW w:w="6555" w:type="dxa"/>
            <w:tcBorders>
              <w:top w:val="single" w:color="auto" w:sz="4" w:space="0"/>
              <w:left w:val="single" w:color="auto" w:sz="4" w:space="0"/>
              <w:bottom w:val="single" w:color="auto" w:sz="4" w:space="0"/>
              <w:right w:val="single" w:color="auto" w:sz="4" w:space="0"/>
            </w:tcBorders>
            <w:vAlign w:val="center"/>
          </w:tcPr>
          <w:p w14:paraId="6C64C327">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4"/>
                <w:highlight w:val="none"/>
              </w:rPr>
              <w:t>询问联系人：</w:t>
            </w:r>
            <w:r>
              <w:rPr>
                <w:rFonts w:hint="eastAsia" w:ascii="仿宋" w:hAnsi="仿宋" w:eastAsia="仿宋" w:cs="仿宋"/>
                <w:color w:val="auto"/>
                <w:sz w:val="24"/>
                <w:szCs w:val="22"/>
                <w:highlight w:val="none"/>
                <w:lang w:val="en-US" w:eastAsia="zh-CN"/>
              </w:rPr>
              <w:t>周子玙</w:t>
            </w:r>
          </w:p>
          <w:p w14:paraId="5A6CBD85">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val="en-US" w:eastAsia="zh-CN"/>
              </w:rPr>
              <w:t>19908880997</w:t>
            </w:r>
          </w:p>
        </w:tc>
      </w:tr>
      <w:tr w14:paraId="7F769AC1">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9D449B2">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2172" w:type="dxa"/>
            <w:tcBorders>
              <w:top w:val="single" w:color="auto" w:sz="4" w:space="0"/>
              <w:left w:val="single" w:color="auto" w:sz="4" w:space="0"/>
              <w:bottom w:val="single" w:color="auto" w:sz="4" w:space="0"/>
              <w:right w:val="single" w:color="auto" w:sz="4" w:space="0"/>
            </w:tcBorders>
            <w:vAlign w:val="center"/>
          </w:tcPr>
          <w:p w14:paraId="68853772">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招标文件澄清、修改时间</w:t>
            </w:r>
          </w:p>
        </w:tc>
        <w:tc>
          <w:tcPr>
            <w:tcW w:w="6555" w:type="dxa"/>
            <w:tcBorders>
              <w:top w:val="single" w:color="auto" w:sz="4" w:space="0"/>
              <w:left w:val="single" w:color="auto" w:sz="4" w:space="0"/>
              <w:bottom w:val="single" w:color="auto" w:sz="4" w:space="0"/>
              <w:right w:val="single" w:color="auto" w:sz="4" w:space="0"/>
            </w:tcBorders>
            <w:vAlign w:val="center"/>
          </w:tcPr>
          <w:p w14:paraId="2026E8AC">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w:t>
            </w:r>
            <w:r>
              <w:rPr>
                <w:rFonts w:hint="eastAsia" w:ascii="仿宋" w:hAnsi="仿宋" w:eastAsia="仿宋" w:cs="仿宋"/>
                <w:b/>
                <w:bCs/>
                <w:color w:val="auto"/>
                <w:sz w:val="24"/>
                <w:highlight w:val="none"/>
                <w:lang w:eastAsia="zh-CN"/>
              </w:rPr>
              <w:t>政采云平台（https://www.zcygov.cn/）</w:t>
            </w:r>
            <w:r>
              <w:rPr>
                <w:rFonts w:hint="eastAsia" w:ascii="仿宋" w:hAnsi="仿宋" w:eastAsia="仿宋" w:cs="仿宋"/>
                <w:b/>
                <w:bCs/>
                <w:color w:val="auto"/>
                <w:sz w:val="24"/>
                <w:highlight w:val="none"/>
                <w:lang w:val="en-US" w:eastAsia="zh-CN"/>
              </w:rPr>
              <w:t>或云南省政府采购网（http://www.yngp.com/）</w:t>
            </w:r>
            <w:r>
              <w:rPr>
                <w:rFonts w:hint="eastAsia" w:ascii="仿宋" w:hAnsi="仿宋" w:eastAsia="仿宋" w:cs="仿宋"/>
                <w:color w:val="auto"/>
                <w:sz w:val="24"/>
                <w:szCs w:val="24"/>
                <w:highlight w:val="none"/>
              </w:rPr>
              <w:t>查看有关该项目招标文件的澄清、修改内容。如因投标人自身原因导致未及时查看有关该项目招标文件的澄清、修改内容，由此造成的一切后果由投标自行承担。</w:t>
            </w:r>
          </w:p>
        </w:tc>
      </w:tr>
      <w:tr w14:paraId="1755BCF3">
        <w:tblPrEx>
          <w:tblCellMar>
            <w:top w:w="0" w:type="dxa"/>
            <w:left w:w="108" w:type="dxa"/>
            <w:bottom w:w="0" w:type="dxa"/>
            <w:right w:w="108" w:type="dxa"/>
          </w:tblCellMar>
        </w:tblPrEx>
        <w:trPr>
          <w:trHeight w:val="31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6964920">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2172" w:type="dxa"/>
            <w:tcBorders>
              <w:top w:val="single" w:color="auto" w:sz="4" w:space="0"/>
              <w:left w:val="single" w:color="auto" w:sz="4" w:space="0"/>
              <w:bottom w:val="single" w:color="auto" w:sz="4" w:space="0"/>
              <w:right w:val="single" w:color="auto" w:sz="4" w:space="0"/>
            </w:tcBorders>
            <w:vAlign w:val="center"/>
          </w:tcPr>
          <w:p w14:paraId="5E6C1E21">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语言文字</w:t>
            </w:r>
          </w:p>
        </w:tc>
        <w:tc>
          <w:tcPr>
            <w:tcW w:w="6555" w:type="dxa"/>
            <w:tcBorders>
              <w:top w:val="single" w:color="auto" w:sz="4" w:space="0"/>
              <w:left w:val="single" w:color="auto" w:sz="4" w:space="0"/>
              <w:bottom w:val="single" w:color="auto" w:sz="4" w:space="0"/>
              <w:right w:val="single" w:color="auto" w:sz="4" w:space="0"/>
            </w:tcBorders>
            <w:vAlign w:val="center"/>
          </w:tcPr>
          <w:p w14:paraId="28EE33AD">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投标人的投标文件以及投标人与采购代理机构就有关投标的所有来往函电统一使用中文（特别规定除外）。</w:t>
            </w:r>
          </w:p>
        </w:tc>
      </w:tr>
      <w:tr w14:paraId="20CC588C">
        <w:tblPrEx>
          <w:tblCellMar>
            <w:top w:w="0" w:type="dxa"/>
            <w:left w:w="108" w:type="dxa"/>
            <w:bottom w:w="0" w:type="dxa"/>
            <w:right w:w="108" w:type="dxa"/>
          </w:tblCellMar>
        </w:tblPrEx>
        <w:trPr>
          <w:trHeight w:val="30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FC47C82">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2172" w:type="dxa"/>
            <w:tcBorders>
              <w:top w:val="single" w:color="auto" w:sz="4" w:space="0"/>
              <w:left w:val="single" w:color="auto" w:sz="4" w:space="0"/>
              <w:bottom w:val="single" w:color="auto" w:sz="4" w:space="0"/>
              <w:right w:val="single" w:color="auto" w:sz="4" w:space="0"/>
            </w:tcBorders>
            <w:vAlign w:val="center"/>
          </w:tcPr>
          <w:p w14:paraId="64330F67">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计量单位</w:t>
            </w:r>
          </w:p>
        </w:tc>
        <w:tc>
          <w:tcPr>
            <w:tcW w:w="6555" w:type="dxa"/>
            <w:tcBorders>
              <w:top w:val="single" w:color="auto" w:sz="4" w:space="0"/>
              <w:left w:val="single" w:color="auto" w:sz="4" w:space="0"/>
              <w:bottom w:val="single" w:color="auto" w:sz="4" w:space="0"/>
              <w:right w:val="single" w:color="auto" w:sz="4" w:space="0"/>
            </w:tcBorders>
            <w:vAlign w:val="center"/>
          </w:tcPr>
          <w:p w14:paraId="609048EF">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投标文件中使用的计量单位除招标文件中有特殊规定外，一律使用中国法定计量单位。</w:t>
            </w:r>
          </w:p>
        </w:tc>
      </w:tr>
      <w:tr w14:paraId="0597E79F">
        <w:tblPrEx>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AE7D998">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w:t>
            </w:r>
          </w:p>
        </w:tc>
        <w:tc>
          <w:tcPr>
            <w:tcW w:w="2172" w:type="dxa"/>
            <w:tcBorders>
              <w:top w:val="single" w:color="auto" w:sz="4" w:space="0"/>
              <w:left w:val="single" w:color="auto" w:sz="4" w:space="0"/>
              <w:bottom w:val="single" w:color="auto" w:sz="4" w:space="0"/>
              <w:right w:val="single" w:color="auto" w:sz="4" w:space="0"/>
            </w:tcBorders>
            <w:vAlign w:val="center"/>
          </w:tcPr>
          <w:p w14:paraId="53734E33">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构成投标文件的其他资料</w:t>
            </w:r>
          </w:p>
        </w:tc>
        <w:tc>
          <w:tcPr>
            <w:tcW w:w="6555" w:type="dxa"/>
            <w:tcBorders>
              <w:top w:val="single" w:color="auto" w:sz="4" w:space="0"/>
              <w:left w:val="single" w:color="auto" w:sz="4" w:space="0"/>
              <w:bottom w:val="single" w:color="auto" w:sz="4" w:space="0"/>
              <w:right w:val="single" w:color="auto" w:sz="4" w:space="0"/>
            </w:tcBorders>
            <w:vAlign w:val="center"/>
          </w:tcPr>
          <w:p w14:paraId="4EDACC55">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.第五章《采购需求》中要求提供的其他资料；</w:t>
            </w:r>
          </w:p>
          <w:p w14:paraId="129D54DF">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.招标文件中所涉及到的相关资料及证明文件或投标人认为必须提供的其他相关资料。</w:t>
            </w:r>
          </w:p>
        </w:tc>
      </w:tr>
      <w:tr w14:paraId="20866D13">
        <w:tblPrEx>
          <w:tblCellMar>
            <w:top w:w="0" w:type="dxa"/>
            <w:left w:w="108" w:type="dxa"/>
            <w:bottom w:w="0" w:type="dxa"/>
            <w:right w:w="108" w:type="dxa"/>
          </w:tblCellMar>
        </w:tblPrEx>
        <w:trPr>
          <w:trHeight w:val="1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C9134C6">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w:t>
            </w:r>
          </w:p>
        </w:tc>
        <w:tc>
          <w:tcPr>
            <w:tcW w:w="2172" w:type="dxa"/>
            <w:tcBorders>
              <w:top w:val="single" w:color="auto" w:sz="4" w:space="0"/>
              <w:left w:val="single" w:color="auto" w:sz="4" w:space="0"/>
              <w:bottom w:val="single" w:color="auto" w:sz="4" w:space="0"/>
              <w:right w:val="single" w:color="auto" w:sz="4" w:space="0"/>
            </w:tcBorders>
            <w:vAlign w:val="center"/>
          </w:tcPr>
          <w:p w14:paraId="0A8BA2BF">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555" w:type="dxa"/>
            <w:tcBorders>
              <w:top w:val="single" w:color="auto" w:sz="4" w:space="0"/>
              <w:left w:val="single" w:color="auto" w:sz="4" w:space="0"/>
              <w:bottom w:val="single" w:color="auto" w:sz="4" w:space="0"/>
              <w:right w:val="single" w:color="auto" w:sz="4" w:space="0"/>
            </w:tcBorders>
            <w:vAlign w:val="center"/>
          </w:tcPr>
          <w:p w14:paraId="3D79CFB7">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从提交投标文件截止之日起90日历天。</w:t>
            </w:r>
          </w:p>
        </w:tc>
      </w:tr>
      <w:tr w14:paraId="15B6412A">
        <w:tblPrEx>
          <w:tblCellMar>
            <w:top w:w="0" w:type="dxa"/>
            <w:left w:w="108" w:type="dxa"/>
            <w:bottom w:w="0" w:type="dxa"/>
            <w:right w:w="108" w:type="dxa"/>
          </w:tblCellMar>
        </w:tblPrEx>
        <w:trPr>
          <w:trHeight w:val="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0A097D6">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w:t>
            </w:r>
          </w:p>
        </w:tc>
        <w:tc>
          <w:tcPr>
            <w:tcW w:w="2172" w:type="dxa"/>
            <w:tcBorders>
              <w:top w:val="single" w:color="auto" w:sz="4" w:space="0"/>
              <w:left w:val="single" w:color="auto" w:sz="4" w:space="0"/>
              <w:bottom w:val="single" w:color="auto" w:sz="4" w:space="0"/>
              <w:right w:val="single" w:color="auto" w:sz="4" w:space="0"/>
            </w:tcBorders>
            <w:vAlign w:val="center"/>
          </w:tcPr>
          <w:p w14:paraId="6DC5F041">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555" w:type="dxa"/>
            <w:tcBorders>
              <w:top w:val="single" w:color="auto" w:sz="4" w:space="0"/>
              <w:left w:val="single" w:color="auto" w:sz="4" w:space="0"/>
              <w:bottom w:val="single" w:color="auto" w:sz="4" w:space="0"/>
              <w:right w:val="single" w:color="auto" w:sz="4" w:space="0"/>
            </w:tcBorders>
            <w:vAlign w:val="center"/>
          </w:tcPr>
          <w:p w14:paraId="7E41F8BD">
            <w:pPr>
              <w:keepNext w:val="0"/>
              <w:keepLines w:val="0"/>
              <w:pageBreakBefore w:val="0"/>
              <w:widowControl w:val="0"/>
              <w:shd w:val="clear"/>
              <w:kinsoku/>
              <w:wordWrap/>
              <w:overflowPunct/>
              <w:topLinePunct w:val="0"/>
              <w:autoSpaceDE/>
              <w:autoSpaceDN/>
              <w:bidi w:val="0"/>
              <w:adjustRightInd/>
              <w:snapToGrid/>
              <w:spacing w:before="10" w:after="10" w:line="360" w:lineRule="auto"/>
              <w:contextualSpacing/>
              <w:jc w:val="both"/>
              <w:textAlignment w:val="auto"/>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highlight w:val="none"/>
              </w:rPr>
              <w:t>各</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应向</w:t>
            </w:r>
            <w:r>
              <w:rPr>
                <w:rFonts w:hint="eastAsia" w:ascii="仿宋" w:hAnsi="仿宋" w:eastAsia="仿宋" w:cs="仿宋"/>
                <w:color w:val="auto"/>
                <w:sz w:val="24"/>
                <w:highlight w:val="none"/>
                <w:lang w:eastAsia="zh-CN"/>
              </w:rPr>
              <w:t>丽江恒邦项目管理有限公司</w:t>
            </w:r>
            <w:r>
              <w:rPr>
                <w:rFonts w:hint="eastAsia" w:ascii="仿宋" w:hAnsi="仿宋" w:eastAsia="仿宋" w:cs="仿宋"/>
                <w:color w:val="auto"/>
                <w:sz w:val="24"/>
                <w:highlight w:val="none"/>
              </w:rPr>
              <w:t>提交</w:t>
            </w:r>
            <w:r>
              <w:rPr>
                <w:rFonts w:hint="eastAsia" w:ascii="仿宋" w:hAnsi="仿宋" w:eastAsia="仿宋" w:cs="仿宋"/>
                <w:color w:val="auto"/>
                <w:sz w:val="24"/>
                <w:highlight w:val="none"/>
                <w:lang w:val="en-US" w:eastAsia="zh-CN"/>
              </w:rPr>
              <w:t>保证金</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20000元（人民币贰万元整）。</w:t>
            </w:r>
          </w:p>
          <w:p w14:paraId="489FE63C">
            <w:pPr>
              <w:keepNext w:val="0"/>
              <w:keepLines w:val="0"/>
              <w:pageBreakBefore w:val="0"/>
              <w:widowControl w:val="0"/>
              <w:shd w:val="clear"/>
              <w:kinsoku/>
              <w:wordWrap/>
              <w:overflowPunct/>
              <w:topLinePunct w:val="0"/>
              <w:autoSpaceDE/>
              <w:autoSpaceDN/>
              <w:bidi w:val="0"/>
              <w:adjustRightInd/>
              <w:snapToGrid/>
              <w:spacing w:before="10" w:after="10" w:line="360" w:lineRule="auto"/>
              <w:contextualSpacing/>
              <w:jc w:val="both"/>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保证金递交形式仅接受</w:t>
            </w:r>
            <w:r>
              <w:rPr>
                <w:rFonts w:hint="eastAsia" w:ascii="仿宋" w:hAnsi="仿宋" w:eastAsia="仿宋" w:cs="仿宋"/>
                <w:color w:val="auto"/>
                <w:sz w:val="24"/>
                <w:szCs w:val="22"/>
                <w:highlight w:val="none"/>
              </w:rPr>
              <w:t>支票、汇票、本票、保函、银行转账、保证保险</w:t>
            </w:r>
            <w:r>
              <w:rPr>
                <w:rFonts w:hint="eastAsia" w:ascii="仿宋" w:hAnsi="仿宋" w:eastAsia="仿宋" w:cs="仿宋"/>
                <w:color w:val="auto"/>
                <w:sz w:val="24"/>
                <w:szCs w:val="22"/>
                <w:highlight w:val="none"/>
                <w:lang w:val="en-US" w:eastAsia="zh-CN"/>
              </w:rPr>
              <w:t>等非现金形式</w:t>
            </w:r>
            <w:r>
              <w:rPr>
                <w:rFonts w:hint="eastAsia" w:ascii="仿宋" w:hAnsi="仿宋" w:eastAsia="仿宋" w:cs="仿宋"/>
                <w:color w:val="auto"/>
                <w:sz w:val="24"/>
                <w:highlight w:val="none"/>
              </w:rPr>
              <w:t>，保证金递交截止时间为</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文件递交截止时间，逾期提交者、未到帐的均视同未提交保证金，不得参加本项目</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w:t>
            </w:r>
          </w:p>
          <w:p w14:paraId="5B2874C6">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账  户：丽江恒邦项目管理有限公司</w:t>
            </w:r>
          </w:p>
          <w:p w14:paraId="2DE3CBA1">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账  号: 2512 0224 0920 0040 803</w:t>
            </w:r>
          </w:p>
          <w:p w14:paraId="60D23C95">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Cs/>
                <w:color w:val="auto"/>
                <w:kern w:val="0"/>
                <w:sz w:val="24"/>
                <w:highlight w:val="none"/>
              </w:rPr>
              <w:t>开户行：中国工商银行股份有限公司象山支行</w:t>
            </w:r>
          </w:p>
        </w:tc>
      </w:tr>
      <w:tr w14:paraId="011206A6">
        <w:tblPrEx>
          <w:tblCellMar>
            <w:top w:w="0" w:type="dxa"/>
            <w:left w:w="108" w:type="dxa"/>
            <w:bottom w:w="0" w:type="dxa"/>
            <w:right w:w="108" w:type="dxa"/>
          </w:tblCellMar>
        </w:tblPrEx>
        <w:trPr>
          <w:trHeight w:val="54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2D24572">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19.3</w:t>
            </w:r>
          </w:p>
        </w:tc>
        <w:tc>
          <w:tcPr>
            <w:tcW w:w="2172" w:type="dxa"/>
            <w:tcBorders>
              <w:top w:val="single" w:color="auto" w:sz="4" w:space="0"/>
              <w:left w:val="single" w:color="auto" w:sz="4" w:space="0"/>
              <w:bottom w:val="single" w:color="auto" w:sz="4" w:space="0"/>
              <w:right w:val="single" w:color="auto" w:sz="4" w:space="0"/>
            </w:tcBorders>
            <w:vAlign w:val="center"/>
          </w:tcPr>
          <w:p w14:paraId="2A0BA1A5">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w:t>
            </w:r>
          </w:p>
        </w:tc>
        <w:tc>
          <w:tcPr>
            <w:tcW w:w="6555" w:type="dxa"/>
            <w:tcBorders>
              <w:top w:val="single" w:color="auto" w:sz="4" w:space="0"/>
              <w:left w:val="single" w:color="auto" w:sz="4" w:space="0"/>
              <w:bottom w:val="single" w:color="auto" w:sz="4" w:space="0"/>
              <w:right w:val="single" w:color="auto" w:sz="4" w:space="0"/>
            </w:tcBorders>
            <w:vAlign w:val="center"/>
          </w:tcPr>
          <w:p w14:paraId="49F01C35">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电子投标文件一份。</w:t>
            </w:r>
          </w:p>
        </w:tc>
      </w:tr>
      <w:tr w14:paraId="1187EDCC">
        <w:tblPrEx>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9D1D469">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172" w:type="dxa"/>
            <w:tcBorders>
              <w:top w:val="single" w:color="auto" w:sz="4" w:space="0"/>
              <w:left w:val="single" w:color="auto" w:sz="4" w:space="0"/>
              <w:bottom w:val="single" w:color="auto" w:sz="4" w:space="0"/>
              <w:right w:val="single" w:color="auto" w:sz="4" w:space="0"/>
            </w:tcBorders>
            <w:vAlign w:val="center"/>
          </w:tcPr>
          <w:p w14:paraId="6D6A5CF3">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报价</w:t>
            </w:r>
          </w:p>
        </w:tc>
        <w:tc>
          <w:tcPr>
            <w:tcW w:w="6555" w:type="dxa"/>
            <w:tcBorders>
              <w:top w:val="single" w:color="auto" w:sz="4" w:space="0"/>
              <w:left w:val="single" w:color="auto" w:sz="4" w:space="0"/>
              <w:bottom w:val="single" w:color="auto" w:sz="4" w:space="0"/>
              <w:right w:val="single" w:color="auto" w:sz="4" w:space="0"/>
            </w:tcBorders>
            <w:shd w:val="clear" w:color="auto" w:fill="auto"/>
            <w:vAlign w:val="center"/>
          </w:tcPr>
          <w:p w14:paraId="1C9B48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0"/>
              <w:jc w:val="both"/>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投标总报价。</w:t>
            </w:r>
          </w:p>
        </w:tc>
      </w:tr>
      <w:tr w14:paraId="4EEFEB78">
        <w:tblPrEx>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0453750">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w:t>
            </w:r>
          </w:p>
        </w:tc>
        <w:tc>
          <w:tcPr>
            <w:tcW w:w="2172" w:type="dxa"/>
            <w:tcBorders>
              <w:top w:val="single" w:color="auto" w:sz="4" w:space="0"/>
              <w:left w:val="single" w:color="auto" w:sz="4" w:space="0"/>
              <w:bottom w:val="single" w:color="auto" w:sz="4" w:space="0"/>
              <w:right w:val="single" w:color="auto" w:sz="4" w:space="0"/>
            </w:tcBorders>
            <w:vAlign w:val="center"/>
          </w:tcPr>
          <w:p w14:paraId="11C314F1">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投标文件的密封</w:t>
            </w:r>
          </w:p>
        </w:tc>
        <w:tc>
          <w:tcPr>
            <w:tcW w:w="6555" w:type="dxa"/>
            <w:tcBorders>
              <w:top w:val="single" w:color="auto" w:sz="4" w:space="0"/>
              <w:left w:val="single" w:color="auto" w:sz="4" w:space="0"/>
              <w:bottom w:val="single" w:color="auto" w:sz="4" w:space="0"/>
              <w:right w:val="single" w:color="auto" w:sz="4" w:space="0"/>
            </w:tcBorders>
            <w:vAlign w:val="center"/>
          </w:tcPr>
          <w:p w14:paraId="5EA5884B">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登录“政采云”平台（https://www.zcygov.cn），投标人须在投标文件提交截止时间前完成投标文件的电子签章、加密及上传，投标文件提交截止时间前未完成投标文件上传的，视为撤回投标文件。</w:t>
            </w:r>
          </w:p>
        </w:tc>
      </w:tr>
      <w:tr w14:paraId="1EFE4D84">
        <w:tblPrEx>
          <w:tblCellMar>
            <w:top w:w="0" w:type="dxa"/>
            <w:left w:w="108" w:type="dxa"/>
            <w:bottom w:w="0" w:type="dxa"/>
            <w:right w:w="108" w:type="dxa"/>
          </w:tblCellMar>
        </w:tblPrEx>
        <w:trPr>
          <w:trHeight w:val="1214"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CA021D5">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2172" w:type="dxa"/>
            <w:tcBorders>
              <w:top w:val="single" w:color="auto" w:sz="4" w:space="0"/>
              <w:left w:val="single" w:color="auto" w:sz="4" w:space="0"/>
              <w:bottom w:val="single" w:color="auto" w:sz="4" w:space="0"/>
              <w:right w:val="single" w:color="auto" w:sz="4" w:space="0"/>
            </w:tcBorders>
            <w:vAlign w:val="center"/>
          </w:tcPr>
          <w:p w14:paraId="75F03FA0">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投标文件提交截止时间、提交投标文件的地点</w:t>
            </w:r>
          </w:p>
        </w:tc>
        <w:tc>
          <w:tcPr>
            <w:tcW w:w="6555" w:type="dxa"/>
            <w:tcBorders>
              <w:top w:val="single" w:color="auto" w:sz="4" w:space="0"/>
              <w:left w:val="single" w:color="auto" w:sz="4" w:space="0"/>
              <w:bottom w:val="single" w:color="auto" w:sz="4" w:space="0"/>
              <w:right w:val="single" w:color="auto" w:sz="4" w:space="0"/>
            </w:tcBorders>
            <w:vAlign w:val="center"/>
          </w:tcPr>
          <w:p w14:paraId="473EB28B">
            <w:pPr>
              <w:pStyle w:val="12"/>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投标文件提交截止时间：详见第一章《招标公告》；</w:t>
            </w:r>
          </w:p>
          <w:p w14:paraId="555700B0">
            <w:pPr>
              <w:pStyle w:val="12"/>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提交投标文件的地点：详见第一章《招标公告》。</w:t>
            </w:r>
          </w:p>
        </w:tc>
      </w:tr>
      <w:tr w14:paraId="33703D44">
        <w:tblPrEx>
          <w:tblCellMar>
            <w:top w:w="0" w:type="dxa"/>
            <w:left w:w="108" w:type="dxa"/>
            <w:bottom w:w="0" w:type="dxa"/>
            <w:right w:w="108" w:type="dxa"/>
          </w:tblCellMar>
        </w:tblPrEx>
        <w:trPr>
          <w:trHeight w:val="67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F7BADD2">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w:t>
            </w:r>
          </w:p>
        </w:tc>
        <w:tc>
          <w:tcPr>
            <w:tcW w:w="2172" w:type="dxa"/>
            <w:tcBorders>
              <w:top w:val="single" w:color="auto" w:sz="4" w:space="0"/>
              <w:left w:val="single" w:color="auto" w:sz="4" w:space="0"/>
              <w:bottom w:val="single" w:color="auto" w:sz="4" w:space="0"/>
              <w:right w:val="single" w:color="auto" w:sz="4" w:space="0"/>
            </w:tcBorders>
            <w:vAlign w:val="center"/>
          </w:tcPr>
          <w:p w14:paraId="4BAC3AEC">
            <w:pPr>
              <w:pStyle w:val="12"/>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开标时间和地点</w:t>
            </w:r>
          </w:p>
        </w:tc>
        <w:tc>
          <w:tcPr>
            <w:tcW w:w="6555" w:type="dxa"/>
            <w:tcBorders>
              <w:top w:val="single" w:color="auto" w:sz="4" w:space="0"/>
              <w:left w:val="single" w:color="auto" w:sz="4" w:space="0"/>
              <w:bottom w:val="single" w:color="auto" w:sz="4" w:space="0"/>
              <w:right w:val="single" w:color="auto" w:sz="4" w:space="0"/>
            </w:tcBorders>
            <w:vAlign w:val="center"/>
          </w:tcPr>
          <w:p w14:paraId="2208FA72">
            <w:pPr>
              <w:pStyle w:val="12"/>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开标时间：同投标文件提交截止时间；</w:t>
            </w:r>
          </w:p>
          <w:p w14:paraId="3418A123">
            <w:pPr>
              <w:pStyle w:val="12"/>
              <w:keepNext w:val="0"/>
              <w:keepLines w:val="0"/>
              <w:pageBreakBefore w:val="0"/>
              <w:widowControl w:val="0"/>
              <w:shd w:val="clear"/>
              <w:kinsoku/>
              <w:wordWrap/>
              <w:overflowPunct/>
              <w:topLinePunct w:val="0"/>
              <w:autoSpaceDE/>
              <w:autoSpaceDN/>
              <w:bidi w:val="0"/>
              <w:adjustRightInd/>
              <w:snapToGrid/>
              <w:spacing w:line="360" w:lineRule="auto"/>
              <w:ind w:left="1200" w:hanging="1200" w:hangingChars="500"/>
              <w:jc w:val="both"/>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开标地点：同提交投标文件的地点。</w:t>
            </w:r>
          </w:p>
        </w:tc>
      </w:tr>
      <w:tr w14:paraId="32A1A7E9">
        <w:tblPrEx>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E2685A9">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25.2</w:t>
            </w:r>
          </w:p>
        </w:tc>
        <w:tc>
          <w:tcPr>
            <w:tcW w:w="2172" w:type="dxa"/>
            <w:tcBorders>
              <w:top w:val="single" w:color="auto" w:sz="4" w:space="0"/>
              <w:left w:val="single" w:color="auto" w:sz="4" w:space="0"/>
              <w:bottom w:val="single" w:color="auto" w:sz="4" w:space="0"/>
              <w:right w:val="single" w:color="auto" w:sz="4" w:space="0"/>
            </w:tcBorders>
            <w:vAlign w:val="center"/>
          </w:tcPr>
          <w:p w14:paraId="317BC2B7">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w:t>
            </w:r>
          </w:p>
        </w:tc>
        <w:tc>
          <w:tcPr>
            <w:tcW w:w="6555" w:type="dxa"/>
            <w:tcBorders>
              <w:top w:val="single" w:color="auto" w:sz="4" w:space="0"/>
              <w:left w:val="single" w:color="auto" w:sz="4" w:space="0"/>
              <w:bottom w:val="single" w:color="auto" w:sz="4" w:space="0"/>
              <w:right w:val="single" w:color="auto" w:sz="4" w:space="0"/>
            </w:tcBorders>
            <w:vAlign w:val="center"/>
          </w:tcPr>
          <w:p w14:paraId="5F4508AB">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评标委员会由采购人代表和评审专家组成，成员人数为</w:t>
            </w:r>
            <w:r>
              <w:rPr>
                <w:rFonts w:hint="eastAsia" w:ascii="仿宋" w:hAnsi="仿宋" w:eastAsia="仿宋" w:cs="仿宋"/>
                <w:color w:val="auto"/>
                <w:sz w:val="24"/>
                <w:szCs w:val="24"/>
                <w:highlight w:val="none"/>
                <w:lang w:val="en-US" w:eastAsia="zh-CN"/>
              </w:rPr>
              <w:t>5人及以上单数</w:t>
            </w:r>
            <w:r>
              <w:rPr>
                <w:rFonts w:hint="eastAsia" w:ascii="仿宋" w:hAnsi="仿宋" w:eastAsia="仿宋" w:cs="仿宋"/>
                <w:color w:val="auto"/>
                <w:sz w:val="24"/>
                <w:szCs w:val="24"/>
                <w:highlight w:val="none"/>
              </w:rPr>
              <w:t>，其中评审专家不得少于成员总数的三分之二。评标委员会应当推选组长，但采购人代表不得担任组长。</w:t>
            </w:r>
          </w:p>
        </w:tc>
      </w:tr>
      <w:tr w14:paraId="01A0364F">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D2BB8B0">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25.5</w:t>
            </w:r>
          </w:p>
        </w:tc>
        <w:tc>
          <w:tcPr>
            <w:tcW w:w="2172" w:type="dxa"/>
            <w:tcBorders>
              <w:top w:val="single" w:color="auto" w:sz="4" w:space="0"/>
              <w:left w:val="single" w:color="auto" w:sz="4" w:space="0"/>
              <w:bottom w:val="single" w:color="auto" w:sz="4" w:space="0"/>
              <w:right w:val="single" w:color="auto" w:sz="4" w:space="0"/>
            </w:tcBorders>
            <w:vAlign w:val="center"/>
          </w:tcPr>
          <w:p w14:paraId="77B27C13">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评标方法</w:t>
            </w:r>
          </w:p>
        </w:tc>
        <w:tc>
          <w:tcPr>
            <w:tcW w:w="6555" w:type="dxa"/>
            <w:tcBorders>
              <w:top w:val="single" w:color="auto" w:sz="4" w:space="0"/>
              <w:left w:val="single" w:color="auto" w:sz="4" w:space="0"/>
              <w:bottom w:val="single" w:color="auto" w:sz="4" w:space="0"/>
              <w:right w:val="single" w:color="auto" w:sz="4" w:space="0"/>
            </w:tcBorders>
            <w:vAlign w:val="center"/>
          </w:tcPr>
          <w:p w14:paraId="66ABD662">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综合评分法</w:t>
            </w:r>
          </w:p>
        </w:tc>
      </w:tr>
      <w:tr w14:paraId="7E791943">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3417A26">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w:t>
            </w:r>
          </w:p>
        </w:tc>
        <w:tc>
          <w:tcPr>
            <w:tcW w:w="2172" w:type="dxa"/>
            <w:tcBorders>
              <w:top w:val="single" w:color="auto" w:sz="4" w:space="0"/>
              <w:left w:val="single" w:color="auto" w:sz="4" w:space="0"/>
              <w:bottom w:val="single" w:color="auto" w:sz="4" w:space="0"/>
              <w:right w:val="single" w:color="auto" w:sz="4" w:space="0"/>
            </w:tcBorders>
            <w:vAlign w:val="center"/>
          </w:tcPr>
          <w:p w14:paraId="7904CD66">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555" w:type="dxa"/>
            <w:tcBorders>
              <w:top w:val="single" w:color="auto" w:sz="4" w:space="0"/>
              <w:left w:val="single" w:color="auto" w:sz="4" w:space="0"/>
              <w:bottom w:val="single" w:color="auto" w:sz="4" w:space="0"/>
              <w:right w:val="single" w:color="auto" w:sz="4" w:space="0"/>
            </w:tcBorders>
            <w:vAlign w:val="center"/>
          </w:tcPr>
          <w:p w14:paraId="5D7EE43A">
            <w:pPr>
              <w:keepNext w:val="0"/>
              <w:keepLines w:val="0"/>
              <w:pageBreakBefore w:val="0"/>
              <w:widowControl w:val="0"/>
              <w:shd w:val="clear" w:color="auto"/>
              <w:kinsoku/>
              <w:wordWrap/>
              <w:overflowPunct/>
              <w:topLinePunct w:val="0"/>
              <w:autoSpaceDE/>
              <w:autoSpaceDN/>
              <w:bidi w:val="0"/>
              <w:adjustRightInd/>
              <w:snapToGrid/>
              <w:spacing w:line="360" w:lineRule="auto"/>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本项目免收履约保证金</w:t>
            </w:r>
          </w:p>
        </w:tc>
      </w:tr>
      <w:tr w14:paraId="7AB7FE33">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C08B155">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2172" w:type="dxa"/>
            <w:tcBorders>
              <w:top w:val="single" w:color="auto" w:sz="4" w:space="0"/>
              <w:left w:val="single" w:color="auto" w:sz="4" w:space="0"/>
              <w:bottom w:val="single" w:color="auto" w:sz="4" w:space="0"/>
              <w:right w:val="single" w:color="auto" w:sz="4" w:space="0"/>
            </w:tcBorders>
            <w:vAlign w:val="center"/>
          </w:tcPr>
          <w:p w14:paraId="11D0F6E0">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代理</w:t>
            </w:r>
            <w:r>
              <w:rPr>
                <w:rFonts w:hint="eastAsia" w:ascii="仿宋" w:hAnsi="仿宋" w:eastAsia="仿宋" w:cs="仿宋"/>
                <w:color w:val="auto"/>
                <w:sz w:val="24"/>
                <w:szCs w:val="24"/>
                <w:highlight w:val="none"/>
                <w:lang w:eastAsia="zh-CN"/>
              </w:rPr>
              <w:t>服务费</w:t>
            </w:r>
          </w:p>
        </w:tc>
        <w:tc>
          <w:tcPr>
            <w:tcW w:w="6555" w:type="dxa"/>
            <w:tcBorders>
              <w:top w:val="single" w:color="auto" w:sz="4" w:space="0"/>
              <w:left w:val="single" w:color="auto" w:sz="4" w:space="0"/>
              <w:bottom w:val="single" w:color="auto" w:sz="4" w:space="0"/>
              <w:right w:val="single" w:color="auto" w:sz="4" w:space="0"/>
            </w:tcBorders>
            <w:vAlign w:val="center"/>
          </w:tcPr>
          <w:p w14:paraId="2296F0E1">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1、本项目代理服务费由中标人支付，中标人收到中标通知书的同时，应向采购代理机构缴付代理服务费。</w:t>
            </w:r>
          </w:p>
          <w:p w14:paraId="20C1A7A9">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2、本项目代理</w:t>
            </w:r>
            <w:r>
              <w:rPr>
                <w:rFonts w:hint="eastAsia" w:ascii="仿宋" w:hAnsi="仿宋" w:eastAsia="仿宋" w:cs="仿宋"/>
                <w:color w:val="auto"/>
                <w:sz w:val="24"/>
                <w:szCs w:val="24"/>
                <w:highlight w:val="none"/>
                <w:lang w:eastAsia="zh-CN"/>
              </w:rPr>
              <w:t>服务费</w:t>
            </w:r>
            <w:r>
              <w:rPr>
                <w:rFonts w:hint="eastAsia" w:ascii="仿宋" w:hAnsi="仿宋" w:eastAsia="仿宋" w:cs="仿宋"/>
                <w:color w:val="auto"/>
                <w:kern w:val="0"/>
                <w:sz w:val="24"/>
                <w:szCs w:val="24"/>
                <w:highlight w:val="none"/>
                <w:lang w:val="en-US" w:eastAsia="zh-CN"/>
              </w:rPr>
              <w:t>参照《云南省建设工程招标代理服务收费指导意见(试行)》(云建招协【2023】51号)计取，其中收费低于7000元的项目(或标段)，按7000元计取，不再浮动。由每个标包中标人向招标代理机构支付;以中标价为基准价计算后下浮20%向中标人收取</w:t>
            </w:r>
            <w:r>
              <w:rPr>
                <w:rFonts w:hint="eastAsia" w:ascii="仿宋" w:hAnsi="仿宋" w:eastAsia="仿宋" w:cs="仿宋"/>
                <w:color w:val="auto"/>
                <w:sz w:val="24"/>
                <w:highlight w:val="none"/>
              </w:rPr>
              <w:t>。</w:t>
            </w:r>
          </w:p>
          <w:p w14:paraId="7D9C7F61">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3、招标代理服务费接受以下形式：现金、银行电汇、网银。</w:t>
            </w:r>
          </w:p>
          <w:p w14:paraId="7D496001">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4、代理机构账号信息：</w:t>
            </w:r>
          </w:p>
          <w:p w14:paraId="10E6E0BB">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账  户：丽江恒邦项目管理有限公司</w:t>
            </w:r>
          </w:p>
          <w:p w14:paraId="43B1F1ED">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账  号: 2512 0224 0920 0040 803</w:t>
            </w:r>
          </w:p>
          <w:p w14:paraId="04B22736">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bCs/>
                <w:color w:val="auto"/>
                <w:kern w:val="0"/>
                <w:sz w:val="24"/>
                <w:highlight w:val="none"/>
              </w:rPr>
              <w:t>开户行：中国工商银行股份有限公司象山支行</w:t>
            </w:r>
          </w:p>
        </w:tc>
      </w:tr>
      <w:tr w14:paraId="2099B68E">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EC3990F">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2172" w:type="dxa"/>
            <w:tcBorders>
              <w:top w:val="single" w:color="auto" w:sz="4" w:space="0"/>
              <w:left w:val="single" w:color="auto" w:sz="4" w:space="0"/>
              <w:bottom w:val="single" w:color="auto" w:sz="4" w:space="0"/>
              <w:right w:val="single" w:color="auto" w:sz="4" w:space="0"/>
            </w:tcBorders>
            <w:vAlign w:val="center"/>
          </w:tcPr>
          <w:p w14:paraId="3A87C228">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w:t>
            </w:r>
          </w:p>
        </w:tc>
        <w:tc>
          <w:tcPr>
            <w:tcW w:w="6555" w:type="dxa"/>
            <w:tcBorders>
              <w:top w:val="single" w:color="auto" w:sz="4" w:space="0"/>
              <w:left w:val="single" w:color="auto" w:sz="4" w:space="0"/>
              <w:bottom w:val="single" w:color="auto" w:sz="4" w:space="0"/>
              <w:right w:val="single" w:color="auto" w:sz="4" w:space="0"/>
            </w:tcBorders>
            <w:vAlign w:val="center"/>
          </w:tcPr>
          <w:p w14:paraId="55600771">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kern w:val="0"/>
                <w:sz w:val="24"/>
                <w:szCs w:val="24"/>
                <w:highlight w:val="none"/>
                <w:lang w:val="en-US" w:eastAsia="zh-CN"/>
              </w:rPr>
              <w:t>采购人将根据实际需要对项目进行调整，所带来的的风险各投标人需自行承担，可能产生的风险如下：</w:t>
            </w:r>
          </w:p>
          <w:p w14:paraId="1721CBA3">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（1）因国家政策调整导致采购规模差异较大的风险；</w:t>
            </w:r>
          </w:p>
          <w:p w14:paraId="1449A595">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（2）因其他非采购人原因导致的项目取消及终止风险。</w:t>
            </w:r>
          </w:p>
          <w:p w14:paraId="1C2E5E3D">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投标人必须保证在投标文件中所提供的商务文件、技术文件、资格证明文件的有关材料及自身所做出的相关承诺的真实性，不得弄虚作假，若所供材料有弄虚作假，故意欺骗的情况，一经发现，则取消该投标人的投标资格。</w:t>
            </w:r>
          </w:p>
          <w:p w14:paraId="2FA65D41">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根据《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凡涉及“中标价较大偏差”却不能合理解释或未提交相应证明材料的，评标委员会有权按照《政府采购货物和服务招标投标管理办法》第六十条规定判定其报价为低于成本价将其作为无效投标处理;若投标人认为自身报价可能明显低于其他投标人的，请自行准备报价合理性的证明材料，以便及时提交评标委员会进行审查。</w:t>
            </w:r>
          </w:p>
          <w:p w14:paraId="561C05E9">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4、中标人在合同签订时应提供三份纸质版盖章后的投标文件给招标代理机构及招标人，用于存档使用。</w:t>
            </w:r>
          </w:p>
        </w:tc>
      </w:tr>
      <w:tr w14:paraId="798D9707">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6EE5AF5">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8727" w:type="dxa"/>
            <w:gridSpan w:val="2"/>
            <w:tcBorders>
              <w:top w:val="single" w:color="auto" w:sz="4" w:space="0"/>
              <w:left w:val="single" w:color="auto" w:sz="4" w:space="0"/>
              <w:bottom w:val="single" w:color="auto" w:sz="4" w:space="0"/>
              <w:right w:val="single" w:color="auto" w:sz="4" w:space="0"/>
            </w:tcBorders>
            <w:vAlign w:val="center"/>
          </w:tcPr>
          <w:p w14:paraId="1EA53EA1">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本项目投标人为自然人的，应当由本人</w:t>
            </w:r>
            <w:r>
              <w:rPr>
                <w:rFonts w:hint="eastAsia" w:ascii="仿宋" w:hAnsi="仿宋" w:eastAsia="仿宋" w:cs="仿宋"/>
                <w:color w:val="auto"/>
                <w:sz w:val="24"/>
                <w:szCs w:val="24"/>
                <w:highlight w:val="none"/>
                <w:lang w:eastAsia="zh-CN"/>
              </w:rPr>
              <w:t>（电子签名或签章）</w:t>
            </w:r>
            <w:r>
              <w:rPr>
                <w:rFonts w:hint="eastAsia" w:ascii="仿宋" w:hAnsi="仿宋" w:eastAsia="仿宋" w:cs="仿宋"/>
                <w:color w:val="auto"/>
                <w:sz w:val="24"/>
                <w:szCs w:val="24"/>
                <w:highlight w:val="none"/>
              </w:rPr>
              <w:t>；投标人为法人应当由</w:t>
            </w:r>
            <w:r>
              <w:rPr>
                <w:rFonts w:hint="eastAsia" w:ascii="仿宋" w:hAnsi="仿宋" w:eastAsia="仿宋" w:cs="仿宋"/>
                <w:color w:val="auto"/>
                <w:sz w:val="24"/>
                <w:szCs w:val="24"/>
                <w:highlight w:val="none"/>
                <w:lang w:eastAsia="zh-CN"/>
              </w:rPr>
              <w:t>法定代表人（负责人）（电子签名或签章）</w:t>
            </w:r>
            <w:r>
              <w:rPr>
                <w:rFonts w:hint="eastAsia" w:ascii="仿宋" w:hAnsi="仿宋" w:eastAsia="仿宋" w:cs="仿宋"/>
                <w:color w:val="auto"/>
                <w:sz w:val="24"/>
                <w:szCs w:val="24"/>
                <w:highlight w:val="none"/>
              </w:rPr>
              <w:t>；其他组织的应当由主要负责人</w:t>
            </w:r>
            <w:r>
              <w:rPr>
                <w:rFonts w:hint="eastAsia" w:ascii="仿宋" w:hAnsi="仿宋" w:eastAsia="仿宋" w:cs="仿宋"/>
                <w:color w:val="auto"/>
                <w:sz w:val="24"/>
                <w:szCs w:val="24"/>
                <w:highlight w:val="none"/>
                <w:lang w:eastAsia="zh-CN"/>
              </w:rPr>
              <w:t>（电子签名或签章）</w:t>
            </w:r>
            <w:r>
              <w:rPr>
                <w:rFonts w:hint="eastAsia" w:ascii="仿宋" w:hAnsi="仿宋" w:eastAsia="仿宋" w:cs="仿宋"/>
                <w:color w:val="auto"/>
                <w:sz w:val="24"/>
                <w:szCs w:val="24"/>
                <w:highlight w:val="none"/>
              </w:rPr>
              <w:t>，并加盖电子公章。</w:t>
            </w:r>
          </w:p>
        </w:tc>
      </w:tr>
      <w:tr w14:paraId="5FA998A0">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6926BF8">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w:t>
            </w:r>
          </w:p>
        </w:tc>
        <w:tc>
          <w:tcPr>
            <w:tcW w:w="8727" w:type="dxa"/>
            <w:gridSpan w:val="2"/>
            <w:tcBorders>
              <w:top w:val="single" w:color="auto" w:sz="4" w:space="0"/>
              <w:left w:val="single" w:color="auto" w:sz="4" w:space="0"/>
              <w:bottom w:val="single" w:color="auto" w:sz="4" w:space="0"/>
              <w:right w:val="single" w:color="auto" w:sz="4" w:space="0"/>
            </w:tcBorders>
            <w:vAlign w:val="center"/>
          </w:tcPr>
          <w:p w14:paraId="0E4466D2">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其他内容</w:t>
            </w:r>
            <w:r>
              <w:rPr>
                <w:rFonts w:hint="eastAsia" w:ascii="仿宋" w:hAnsi="仿宋" w:eastAsia="仿宋" w:cs="仿宋"/>
                <w:color w:val="auto"/>
                <w:sz w:val="24"/>
                <w:szCs w:val="24"/>
                <w:highlight w:val="none"/>
              </w:rPr>
              <w:t>：根据《财政部关于在政府采购活动中查询及使用信用记录有关问题的通知-财库〔2016〕125号》相关要求，采购人或者采购代理机构对信用记录进行核实，对列入失信被执行人、重大税收违法案件当事人名单、政府采购严重违法失信行为记录名单及其他不符合《中华人民共和国政府采购法》第二十二条规定条件的投标人，拒绝其参与政府采购活动。</w:t>
            </w:r>
          </w:p>
        </w:tc>
      </w:tr>
    </w:tbl>
    <w:p w14:paraId="24639158">
      <w:pPr>
        <w:pStyle w:val="4"/>
        <w:shd w:val="clear"/>
        <w:spacing w:line="360" w:lineRule="auto"/>
        <w:ind w:firstLine="643"/>
        <w:jc w:val="center"/>
        <w:outlineLvl w:val="1"/>
        <w:rPr>
          <w:rFonts w:hint="eastAsia" w:ascii="仿宋" w:hAnsi="仿宋" w:eastAsia="仿宋" w:cs="仿宋"/>
          <w:color w:val="auto"/>
          <w:sz w:val="30"/>
          <w:szCs w:val="30"/>
          <w:highlight w:val="none"/>
        </w:rPr>
      </w:pPr>
      <w:r>
        <w:rPr>
          <w:rFonts w:hint="eastAsia" w:ascii="仿宋" w:hAnsi="仿宋" w:eastAsia="仿宋" w:cs="仿宋"/>
          <w:color w:val="auto"/>
          <w:highlight w:val="none"/>
        </w:rPr>
        <w:br w:type="page"/>
      </w:r>
      <w:bookmarkStart w:id="56" w:name="_Toc32463"/>
      <w:bookmarkStart w:id="57" w:name="_Toc15712"/>
      <w:bookmarkStart w:id="58" w:name="_Toc260"/>
      <w:r>
        <w:rPr>
          <w:rFonts w:hint="eastAsia" w:ascii="仿宋" w:hAnsi="仿宋" w:eastAsia="仿宋" w:cs="仿宋"/>
          <w:color w:val="auto"/>
          <w:sz w:val="30"/>
          <w:szCs w:val="30"/>
          <w:highlight w:val="none"/>
        </w:rPr>
        <w:t>一、总则</w:t>
      </w:r>
      <w:bookmarkEnd w:id="56"/>
      <w:bookmarkEnd w:id="57"/>
      <w:bookmarkEnd w:id="58"/>
    </w:p>
    <w:p w14:paraId="553E5DC2">
      <w:pPr>
        <w:shd w:val="clear"/>
        <w:spacing w:line="360" w:lineRule="auto"/>
        <w:rPr>
          <w:rFonts w:hint="eastAsia" w:ascii="仿宋" w:hAnsi="仿宋" w:eastAsia="仿宋" w:cs="仿宋"/>
          <w:color w:val="auto"/>
          <w:sz w:val="24"/>
          <w:szCs w:val="24"/>
          <w:highlight w:val="none"/>
        </w:rPr>
      </w:pPr>
      <w:bookmarkStart w:id="59" w:name="_Toc528186453"/>
      <w:bookmarkStart w:id="60" w:name="_Toc489145704"/>
      <w:bookmarkStart w:id="61" w:name="_Toc24232"/>
      <w:bookmarkStart w:id="62" w:name="_Toc247085690"/>
      <w:bookmarkStart w:id="63" w:name="_Toc18164"/>
      <w:bookmarkStart w:id="64" w:name="_Toc152042306"/>
      <w:bookmarkStart w:id="65" w:name="_Toc489197808"/>
      <w:bookmarkStart w:id="66" w:name="_Toc144974498"/>
      <w:bookmarkStart w:id="67" w:name="_Toc296602421"/>
      <w:bookmarkStart w:id="68" w:name="_Toc152045530"/>
      <w:bookmarkStart w:id="69" w:name="_Toc246996176"/>
      <w:bookmarkStart w:id="70" w:name="_Toc246996919"/>
      <w:bookmarkStart w:id="71" w:name="_Toc179632547"/>
      <w:bookmarkStart w:id="72" w:name="_Toc31121"/>
      <w:r>
        <w:rPr>
          <w:rFonts w:hint="eastAsia" w:ascii="仿宋" w:hAnsi="仿宋" w:eastAsia="仿宋" w:cs="仿宋"/>
          <w:color w:val="auto"/>
          <w:sz w:val="24"/>
          <w:szCs w:val="24"/>
          <w:highlight w:val="none"/>
        </w:rPr>
        <w:t>1.项目概况</w:t>
      </w:r>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2D96DCBD">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1.1根据《中华人民共和国政府采购法》、《中华人民共和国政府采购法实施条例》、《政府采购货物和服务招标投标管理办法》（财政部令第87号）等有关</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的规定，本项目已具备招标条件，现对本项目进行公开招标。</w:t>
      </w:r>
    </w:p>
    <w:p w14:paraId="391DA0C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1.2本项目采购人：详见《投标人须知前附表》。</w:t>
      </w:r>
    </w:p>
    <w:p w14:paraId="2672518F">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1.3本项目采购代理机构：详见《投标人须知前附表》。</w:t>
      </w:r>
    </w:p>
    <w:p w14:paraId="700D5FD7">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1.4本项目名称及项目编号：详见《投标人须知前附表》。</w:t>
      </w:r>
    </w:p>
    <w:p w14:paraId="40700B72">
      <w:pPr>
        <w:shd w:val="clear"/>
        <w:spacing w:line="360" w:lineRule="auto"/>
        <w:rPr>
          <w:rFonts w:hint="eastAsia" w:ascii="仿宋" w:hAnsi="仿宋" w:eastAsia="仿宋" w:cs="仿宋"/>
          <w:color w:val="auto"/>
          <w:sz w:val="24"/>
          <w:szCs w:val="24"/>
          <w:highlight w:val="none"/>
        </w:rPr>
      </w:pPr>
      <w:bookmarkStart w:id="73" w:name="_Toc528186454"/>
      <w:bookmarkStart w:id="74" w:name="_Toc152042307"/>
      <w:bookmarkStart w:id="75" w:name="_Toc246996920"/>
      <w:bookmarkStart w:id="76" w:name="_Toc179632548"/>
      <w:bookmarkStart w:id="77" w:name="_Toc489145705"/>
      <w:bookmarkStart w:id="78" w:name="_Toc247085691"/>
      <w:bookmarkStart w:id="79" w:name="_Toc246996177"/>
      <w:bookmarkStart w:id="80" w:name="_Toc296602422"/>
      <w:bookmarkStart w:id="81" w:name="_Toc144974499"/>
      <w:bookmarkStart w:id="82" w:name="_Toc489197809"/>
      <w:bookmarkStart w:id="83" w:name="_Toc152045531"/>
      <w:bookmarkStart w:id="84" w:name="_Toc9634"/>
      <w:bookmarkStart w:id="85" w:name="_Toc2063"/>
      <w:bookmarkStart w:id="86" w:name="_Toc29064"/>
      <w:r>
        <w:rPr>
          <w:rFonts w:hint="eastAsia" w:ascii="仿宋" w:hAnsi="仿宋" w:eastAsia="仿宋" w:cs="仿宋"/>
          <w:color w:val="auto"/>
          <w:sz w:val="24"/>
          <w:szCs w:val="24"/>
          <w:highlight w:val="none"/>
        </w:rPr>
        <w:t>2.</w:t>
      </w:r>
      <w:bookmarkEnd w:id="73"/>
      <w:bookmarkEnd w:id="74"/>
      <w:bookmarkEnd w:id="75"/>
      <w:bookmarkEnd w:id="76"/>
      <w:bookmarkEnd w:id="77"/>
      <w:bookmarkEnd w:id="78"/>
      <w:bookmarkEnd w:id="79"/>
      <w:bookmarkEnd w:id="80"/>
      <w:bookmarkEnd w:id="81"/>
      <w:bookmarkEnd w:id="82"/>
      <w:bookmarkEnd w:id="83"/>
      <w:r>
        <w:rPr>
          <w:rFonts w:hint="eastAsia" w:ascii="仿宋" w:hAnsi="仿宋" w:eastAsia="仿宋" w:cs="仿宋"/>
          <w:color w:val="auto"/>
          <w:sz w:val="24"/>
          <w:szCs w:val="24"/>
          <w:highlight w:val="none"/>
        </w:rPr>
        <w:t>预算金额</w:t>
      </w:r>
      <w:bookmarkEnd w:id="84"/>
      <w:bookmarkEnd w:id="85"/>
      <w:bookmarkEnd w:id="86"/>
    </w:p>
    <w:p w14:paraId="31B76AE8">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2.1预算金额：详见《投标人须知前附表》。</w:t>
      </w:r>
      <w:bookmarkStart w:id="87" w:name="_Toc247085692"/>
      <w:bookmarkStart w:id="88" w:name="_Toc246996178"/>
      <w:bookmarkStart w:id="89" w:name="_Toc152042308"/>
      <w:bookmarkStart w:id="90" w:name="_Toc246996921"/>
      <w:bookmarkStart w:id="91" w:name="_Toc179632549"/>
      <w:bookmarkStart w:id="92" w:name="_Toc152045532"/>
      <w:bookmarkStart w:id="93" w:name="_Toc296602423"/>
      <w:bookmarkStart w:id="94" w:name="_Toc144974500"/>
    </w:p>
    <w:p w14:paraId="385FB35F">
      <w:pPr>
        <w:shd w:val="clear"/>
        <w:spacing w:line="360" w:lineRule="auto"/>
        <w:rPr>
          <w:rFonts w:hint="eastAsia" w:ascii="仿宋" w:hAnsi="仿宋" w:eastAsia="仿宋" w:cs="仿宋"/>
          <w:color w:val="auto"/>
          <w:sz w:val="24"/>
          <w:szCs w:val="24"/>
          <w:highlight w:val="none"/>
          <w:lang w:eastAsia="zh-CN"/>
        </w:rPr>
      </w:pPr>
      <w:bookmarkStart w:id="95" w:name="_Toc489197810"/>
      <w:bookmarkStart w:id="96" w:name="_Toc528186455"/>
      <w:bookmarkStart w:id="97" w:name="_Toc489145706"/>
      <w:bookmarkStart w:id="98" w:name="_Toc9355"/>
      <w:bookmarkStart w:id="99" w:name="_Toc9600"/>
      <w:bookmarkStart w:id="100" w:name="_Toc1203"/>
      <w:r>
        <w:rPr>
          <w:rFonts w:hint="eastAsia" w:ascii="仿宋" w:hAnsi="仿宋" w:eastAsia="仿宋" w:cs="仿宋"/>
          <w:color w:val="auto"/>
          <w:sz w:val="24"/>
          <w:szCs w:val="24"/>
          <w:highlight w:val="none"/>
        </w:rPr>
        <w:t>3.</w:t>
      </w:r>
      <w:bookmarkEnd w:id="87"/>
      <w:bookmarkEnd w:id="88"/>
      <w:bookmarkEnd w:id="89"/>
      <w:bookmarkEnd w:id="90"/>
      <w:bookmarkEnd w:id="91"/>
      <w:bookmarkEnd w:id="92"/>
      <w:bookmarkEnd w:id="93"/>
      <w:bookmarkEnd w:id="94"/>
      <w:bookmarkStart w:id="101" w:name="_Toc421541057"/>
      <w:bookmarkStart w:id="102" w:name="_Toc427056529"/>
      <w:bookmarkStart w:id="103" w:name="_Toc427056451"/>
      <w:r>
        <w:rPr>
          <w:rFonts w:hint="eastAsia" w:ascii="仿宋" w:hAnsi="仿宋" w:eastAsia="仿宋" w:cs="仿宋"/>
          <w:color w:val="auto"/>
          <w:sz w:val="24"/>
          <w:szCs w:val="24"/>
          <w:highlight w:val="none"/>
        </w:rPr>
        <w:t>采购需求及</w:t>
      </w:r>
      <w:bookmarkEnd w:id="95"/>
      <w:bookmarkEnd w:id="96"/>
      <w:bookmarkEnd w:id="97"/>
      <w:bookmarkEnd w:id="98"/>
      <w:bookmarkEnd w:id="99"/>
      <w:bookmarkEnd w:id="100"/>
      <w:bookmarkEnd w:id="101"/>
      <w:bookmarkEnd w:id="102"/>
      <w:bookmarkEnd w:id="103"/>
      <w:r>
        <w:rPr>
          <w:rFonts w:hint="eastAsia" w:ascii="仿宋" w:hAnsi="仿宋" w:eastAsia="仿宋" w:cs="仿宋"/>
          <w:color w:val="auto"/>
          <w:sz w:val="24"/>
          <w:szCs w:val="24"/>
          <w:highlight w:val="none"/>
          <w:lang w:eastAsia="zh-CN"/>
        </w:rPr>
        <w:t>合同履行期限</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项目地点</w:t>
      </w:r>
    </w:p>
    <w:p w14:paraId="4F78C129">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3.1本项目采购需求：详见《投标人须知前附表》。</w:t>
      </w:r>
    </w:p>
    <w:p w14:paraId="021B41A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3.2本项目</w:t>
      </w:r>
      <w:r>
        <w:rPr>
          <w:rFonts w:hint="eastAsia" w:ascii="仿宋" w:hAnsi="仿宋" w:eastAsia="仿宋" w:cs="仿宋"/>
          <w:color w:val="auto"/>
          <w:sz w:val="24"/>
          <w:szCs w:val="24"/>
          <w:highlight w:val="none"/>
          <w:lang w:val="en-US" w:eastAsia="zh-CN"/>
        </w:rPr>
        <w:t>合同履行期限</w:t>
      </w:r>
      <w:r>
        <w:rPr>
          <w:rFonts w:hint="eastAsia" w:ascii="仿宋" w:hAnsi="仿宋" w:eastAsia="仿宋" w:cs="仿宋"/>
          <w:color w:val="auto"/>
          <w:sz w:val="24"/>
          <w:szCs w:val="24"/>
          <w:highlight w:val="none"/>
        </w:rPr>
        <w:t>：详见《投标人须知前附表》。</w:t>
      </w:r>
    </w:p>
    <w:p w14:paraId="5B30FBE5">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3.3</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供货地点</w:t>
      </w:r>
      <w:r>
        <w:rPr>
          <w:rFonts w:hint="eastAsia" w:ascii="仿宋" w:hAnsi="仿宋" w:eastAsia="仿宋" w:cs="仿宋"/>
          <w:color w:val="auto"/>
          <w:sz w:val="24"/>
          <w:szCs w:val="24"/>
          <w:highlight w:val="none"/>
        </w:rPr>
        <w:t>：详见《投标人须知前附表》。</w:t>
      </w:r>
    </w:p>
    <w:p w14:paraId="0DE4DD3B">
      <w:pPr>
        <w:shd w:val="clear"/>
        <w:spacing w:line="360" w:lineRule="auto"/>
        <w:rPr>
          <w:rFonts w:hint="eastAsia" w:ascii="仿宋" w:hAnsi="仿宋" w:eastAsia="仿宋" w:cs="仿宋"/>
          <w:color w:val="auto"/>
          <w:sz w:val="24"/>
          <w:szCs w:val="24"/>
          <w:highlight w:val="none"/>
        </w:rPr>
      </w:pPr>
      <w:bookmarkStart w:id="104" w:name="_Toc247085693"/>
      <w:bookmarkStart w:id="105" w:name="_Toc528186456"/>
      <w:bookmarkStart w:id="106" w:name="_Toc296602424"/>
      <w:bookmarkStart w:id="107" w:name="_Toc152042310"/>
      <w:bookmarkStart w:id="108" w:name="_Toc246996922"/>
      <w:bookmarkStart w:id="109" w:name="_Toc179632551"/>
      <w:bookmarkStart w:id="110" w:name="_Toc489145707"/>
      <w:bookmarkStart w:id="111" w:name="_Toc2077"/>
      <w:bookmarkStart w:id="112" w:name="_Toc152045534"/>
      <w:bookmarkStart w:id="113" w:name="_Toc144974502"/>
      <w:bookmarkStart w:id="114" w:name="_Toc16237"/>
      <w:bookmarkStart w:id="115" w:name="_Toc4535"/>
      <w:bookmarkStart w:id="116" w:name="_Toc246996179"/>
      <w:bookmarkStart w:id="117" w:name="_Toc489197811"/>
      <w:r>
        <w:rPr>
          <w:rFonts w:hint="eastAsia" w:ascii="仿宋" w:hAnsi="仿宋" w:eastAsia="仿宋" w:cs="仿宋"/>
          <w:color w:val="auto"/>
          <w:sz w:val="24"/>
          <w:szCs w:val="24"/>
          <w:highlight w:val="none"/>
        </w:rPr>
        <w:t>▲4.投标人资格要求</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hint="eastAsia" w:ascii="仿宋" w:hAnsi="仿宋" w:eastAsia="仿宋" w:cs="仿宋"/>
          <w:color w:val="auto"/>
          <w:sz w:val="24"/>
          <w:szCs w:val="24"/>
          <w:highlight w:val="none"/>
        </w:rPr>
        <w:t>及其他要求</w:t>
      </w:r>
    </w:p>
    <w:p w14:paraId="3ECBAC52">
      <w:pPr>
        <w:shd w:val="clear"/>
        <w:spacing w:line="360" w:lineRule="auto"/>
        <w:ind w:firstLine="420"/>
        <w:jc w:val="left"/>
        <w:rPr>
          <w:rFonts w:hint="eastAsia" w:ascii="仿宋" w:hAnsi="仿宋" w:eastAsia="仿宋" w:cs="仿宋"/>
          <w:color w:val="auto"/>
          <w:sz w:val="24"/>
          <w:szCs w:val="24"/>
          <w:highlight w:val="none"/>
        </w:rPr>
      </w:pPr>
      <w:bookmarkStart w:id="118" w:name="_Toc152042311"/>
      <w:bookmarkStart w:id="119" w:name="_Toc247085694"/>
      <w:bookmarkStart w:id="120" w:name="_Toc246996180"/>
      <w:bookmarkStart w:id="121" w:name="_Toc296602425"/>
      <w:bookmarkStart w:id="122" w:name="_Toc152045535"/>
      <w:bookmarkStart w:id="123" w:name="_Toc246996923"/>
      <w:bookmarkStart w:id="124" w:name="_Toc144974503"/>
      <w:bookmarkStart w:id="125" w:name="_Toc179632552"/>
      <w:r>
        <w:rPr>
          <w:rFonts w:hint="eastAsia" w:ascii="仿宋" w:hAnsi="仿宋" w:eastAsia="仿宋" w:cs="仿宋"/>
          <w:color w:val="auto"/>
          <w:sz w:val="24"/>
          <w:szCs w:val="24"/>
          <w:highlight w:val="none"/>
        </w:rPr>
        <w:t>4.1投标人资格要求：详见《投标人须知前附表》</w:t>
      </w:r>
    </w:p>
    <w:p w14:paraId="6969C540">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4.2采购人根据采购项目的特殊要求规定的特定条件：详见《投标人须知前附表》</w:t>
      </w:r>
    </w:p>
    <w:p w14:paraId="1D7B3ADC">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4.3是否接受联合体参加：</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w:t>
      </w:r>
    </w:p>
    <w:p w14:paraId="33DD92DA">
      <w:pPr>
        <w:shd w:val="clear"/>
        <w:spacing w:line="360" w:lineRule="auto"/>
        <w:rPr>
          <w:rFonts w:hint="eastAsia" w:ascii="仿宋" w:hAnsi="仿宋" w:eastAsia="仿宋" w:cs="仿宋"/>
          <w:color w:val="auto"/>
          <w:sz w:val="24"/>
          <w:szCs w:val="24"/>
          <w:highlight w:val="none"/>
        </w:rPr>
      </w:pPr>
      <w:bookmarkStart w:id="126" w:name="_Toc528186457"/>
      <w:bookmarkStart w:id="127" w:name="_Toc489197812"/>
      <w:bookmarkStart w:id="128" w:name="_Toc7517"/>
      <w:bookmarkStart w:id="129" w:name="_Toc489145708"/>
      <w:bookmarkStart w:id="130" w:name="_Toc9786"/>
      <w:bookmarkStart w:id="131" w:name="_Toc29381"/>
      <w:r>
        <w:rPr>
          <w:rFonts w:hint="eastAsia" w:ascii="仿宋" w:hAnsi="仿宋" w:eastAsia="仿宋" w:cs="仿宋"/>
          <w:color w:val="auto"/>
          <w:sz w:val="24"/>
          <w:szCs w:val="24"/>
          <w:highlight w:val="none"/>
        </w:rPr>
        <w:t>5.费用承担</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55C77C1C">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5.1不论投标结果如何，投标人均应自行承担所有与准备和参加投标活动有关的全部费用；</w:t>
      </w:r>
    </w:p>
    <w:p w14:paraId="743F9B23">
      <w:pPr>
        <w:shd w:val="clear"/>
        <w:spacing w:line="360" w:lineRule="auto"/>
        <w:rPr>
          <w:rFonts w:hint="eastAsia" w:ascii="仿宋" w:hAnsi="仿宋" w:eastAsia="仿宋" w:cs="仿宋"/>
          <w:color w:val="auto"/>
          <w:sz w:val="24"/>
          <w:szCs w:val="24"/>
          <w:highlight w:val="none"/>
        </w:rPr>
      </w:pPr>
      <w:bookmarkStart w:id="132" w:name="_Toc489197813"/>
      <w:bookmarkStart w:id="133" w:name="_Toc528186458"/>
      <w:bookmarkStart w:id="134" w:name="_Toc489145709"/>
      <w:bookmarkStart w:id="135" w:name="_Toc14617"/>
      <w:bookmarkStart w:id="136" w:name="_Toc29767"/>
      <w:bookmarkStart w:id="137" w:name="_Toc25690"/>
      <w:r>
        <w:rPr>
          <w:rFonts w:hint="eastAsia" w:ascii="仿宋" w:hAnsi="仿宋" w:eastAsia="仿宋" w:cs="仿宋"/>
          <w:color w:val="auto"/>
          <w:sz w:val="24"/>
          <w:szCs w:val="24"/>
          <w:highlight w:val="none"/>
        </w:rPr>
        <w:t>6.现场考察</w:t>
      </w:r>
      <w:bookmarkEnd w:id="132"/>
      <w:bookmarkEnd w:id="133"/>
      <w:bookmarkEnd w:id="134"/>
      <w:bookmarkEnd w:id="135"/>
      <w:bookmarkEnd w:id="136"/>
      <w:bookmarkEnd w:id="137"/>
    </w:p>
    <w:p w14:paraId="5A796B29">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6.1投标人须知前附表规定组织现场考察的，采购人按《投标人须知前附表》规定的时间、集中地点组织潜在投标人进行现场考察。</w:t>
      </w:r>
    </w:p>
    <w:p w14:paraId="258069DC">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6.2现场考察所发生的费用由潜在投标人自理。</w:t>
      </w:r>
    </w:p>
    <w:p w14:paraId="0BD0D5D8">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6.3除采购人的原因外，潜在投标人自行负责在现场考察中所发生的人员伤亡和财产损失。</w:t>
      </w:r>
    </w:p>
    <w:p w14:paraId="4C0D9699">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6.4采购人在现场考察中介绍的项目场地和相关的周边环境情况，供潜在投标人在编制投标文件时参考，采购人不对潜在投标人据此作出的判断和决策负责。</w:t>
      </w:r>
    </w:p>
    <w:p w14:paraId="3D07C56A">
      <w:pPr>
        <w:shd w:val="clear"/>
        <w:spacing w:line="360" w:lineRule="auto"/>
        <w:rPr>
          <w:rFonts w:hint="eastAsia" w:ascii="仿宋" w:hAnsi="仿宋" w:eastAsia="仿宋" w:cs="仿宋"/>
          <w:color w:val="auto"/>
          <w:sz w:val="24"/>
          <w:szCs w:val="24"/>
          <w:highlight w:val="none"/>
        </w:rPr>
      </w:pPr>
      <w:bookmarkStart w:id="138" w:name="_Toc27813"/>
      <w:bookmarkStart w:id="139" w:name="_Toc23342"/>
      <w:bookmarkStart w:id="140" w:name="_Toc528186459"/>
      <w:bookmarkStart w:id="141" w:name="_Toc489197814"/>
      <w:bookmarkStart w:id="142" w:name="_Toc26130"/>
      <w:bookmarkStart w:id="143" w:name="_Toc489145710"/>
      <w:r>
        <w:rPr>
          <w:rFonts w:hint="eastAsia" w:ascii="仿宋" w:hAnsi="仿宋" w:eastAsia="仿宋" w:cs="仿宋"/>
          <w:color w:val="auto"/>
          <w:sz w:val="24"/>
          <w:szCs w:val="24"/>
          <w:highlight w:val="none"/>
        </w:rPr>
        <w:t>7.开标前答疑会</w:t>
      </w:r>
      <w:bookmarkEnd w:id="138"/>
      <w:bookmarkEnd w:id="139"/>
      <w:bookmarkEnd w:id="140"/>
      <w:bookmarkEnd w:id="141"/>
      <w:bookmarkEnd w:id="142"/>
      <w:bookmarkEnd w:id="143"/>
    </w:p>
    <w:p w14:paraId="3C77258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7.1投标人须知前附表规定召开开标前答疑会的，采购人按《投标人须知前附表》规定的时间和地点召开开标前答疑会，书面澄清潜在投标人提出的问题。</w:t>
      </w:r>
    </w:p>
    <w:p w14:paraId="4B5EA76A">
      <w:pPr>
        <w:shd w:val="clear"/>
        <w:spacing w:line="360" w:lineRule="auto"/>
        <w:rPr>
          <w:rFonts w:hint="eastAsia" w:ascii="仿宋" w:hAnsi="仿宋" w:eastAsia="仿宋" w:cs="仿宋"/>
          <w:color w:val="auto"/>
          <w:sz w:val="24"/>
          <w:szCs w:val="24"/>
          <w:highlight w:val="none"/>
        </w:rPr>
      </w:pPr>
      <w:bookmarkStart w:id="144" w:name="_Toc528186460"/>
      <w:bookmarkStart w:id="145" w:name="_Toc24436"/>
      <w:bookmarkStart w:id="146" w:name="_Toc4930"/>
      <w:bookmarkStart w:id="147" w:name="_Toc489145711"/>
      <w:bookmarkStart w:id="148" w:name="_Toc489197815"/>
      <w:bookmarkStart w:id="149" w:name="_Toc2280"/>
      <w:r>
        <w:rPr>
          <w:rFonts w:hint="eastAsia" w:ascii="仿宋" w:hAnsi="仿宋" w:eastAsia="仿宋" w:cs="仿宋"/>
          <w:color w:val="auto"/>
          <w:sz w:val="24"/>
          <w:szCs w:val="24"/>
          <w:highlight w:val="none"/>
        </w:rPr>
        <w:t>8.质疑</w:t>
      </w:r>
      <w:bookmarkEnd w:id="144"/>
      <w:bookmarkEnd w:id="145"/>
      <w:bookmarkEnd w:id="146"/>
      <w:bookmarkEnd w:id="147"/>
      <w:bookmarkEnd w:id="148"/>
      <w:bookmarkEnd w:id="149"/>
    </w:p>
    <w:p w14:paraId="2537B42C">
      <w:pPr>
        <w:shd w:val="clear"/>
        <w:spacing w:line="360" w:lineRule="auto"/>
        <w:ind w:firstLine="420"/>
        <w:jc w:val="left"/>
        <w:rPr>
          <w:rFonts w:hint="eastAsia" w:ascii="仿宋" w:hAnsi="仿宋" w:eastAsia="仿宋" w:cs="仿宋"/>
          <w:color w:val="auto"/>
          <w:sz w:val="24"/>
          <w:szCs w:val="24"/>
          <w:highlight w:val="none"/>
        </w:rPr>
      </w:pPr>
      <w:bookmarkStart w:id="150" w:name="_Toc489197816"/>
      <w:bookmarkStart w:id="151" w:name="_Toc489145712"/>
      <w:r>
        <w:rPr>
          <w:rFonts w:hint="eastAsia" w:ascii="仿宋" w:hAnsi="仿宋" w:eastAsia="仿宋" w:cs="仿宋"/>
          <w:color w:val="auto"/>
          <w:sz w:val="24"/>
          <w:szCs w:val="24"/>
          <w:highlight w:val="none"/>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74B61CDA">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8.2招标文件第二章《投标人须知》8.1条中“知道或者应知其权益受到损害之日”是指：</w:t>
      </w:r>
    </w:p>
    <w:p w14:paraId="6AC7E1EF">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（一）对可以质疑的采购文件提出质疑的，为收到采购文件之日或者采购文件公告期限届满之日；</w:t>
      </w:r>
    </w:p>
    <w:p w14:paraId="023F29E9">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（二）对采购过程提出质疑的，为各采购程序环节结束之日；</w:t>
      </w:r>
    </w:p>
    <w:p w14:paraId="563B0252">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（三）对中标或者成交结果提出质疑的，为中标或者成交结果公告期限届满之日。</w:t>
      </w:r>
    </w:p>
    <w:p w14:paraId="55C9CFE9">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8.3投标人可以委托代理人进行质疑。其授权委托书应当载明代理人的姓名或者名称、代理事项、具体权限、期限和相关事项。投标人为自然人的，应当由本人签字；投标人为法人或者其他组织的，应当由</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、主要负责人签字或者盖章，并加盖公章。代理人提出质疑，应当提交投标人签署的授权委托书。</w:t>
      </w:r>
    </w:p>
    <w:p w14:paraId="0879FCE7">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提出质疑的投标人应当是参与所质疑项目采购活动的投标人。</w:t>
      </w:r>
    </w:p>
    <w:p w14:paraId="161973CD">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60E9C5C8">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（一）投标人的姓名或者名称、地址、邮编、联系人及联系电话；</w:t>
      </w:r>
    </w:p>
    <w:p w14:paraId="28EE98ED">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（二）质疑项目的名称、编号；</w:t>
      </w:r>
    </w:p>
    <w:p w14:paraId="29C627D1">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（三）具体、明确的质疑事项和与质疑事项相关的请求；</w:t>
      </w:r>
    </w:p>
    <w:p w14:paraId="73874B69">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（四）事实依据；</w:t>
      </w:r>
    </w:p>
    <w:p w14:paraId="6D394C95">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（五）必要的法律依据；</w:t>
      </w:r>
    </w:p>
    <w:p w14:paraId="27E73307">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（六）提出质疑的日期。</w:t>
      </w:r>
    </w:p>
    <w:p w14:paraId="404F37D7">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投标人为自然人的，应当由本人签字；投标人为法人或者其他组织的，应当由</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、主要负责人，或者其授权代表签字或者盖章，并加盖公章。</w:t>
      </w:r>
    </w:p>
    <w:p w14:paraId="14890F8F">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8.5投标人不得捏造事实、提供虚假材料或者以非法手段取得证明材料。</w:t>
      </w:r>
    </w:p>
    <w:p w14:paraId="0B15E311">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8.6质疑函应当使用中文。相关当事人提供外文书证或者外国语视听资料的，应当附有中文译本，由翻译机构盖章或者翻译人员签名。</w:t>
      </w:r>
    </w:p>
    <w:p w14:paraId="120FD13A">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8.7采购人、采购代理机构将在收到投标人质疑函后七个工作日内作出答复，但质疑答复的内容不涉及商业秘密。</w:t>
      </w:r>
    </w:p>
    <w:p w14:paraId="7AA6AD66">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8.8投标人对评审过程、中标结果提出质疑的，采购人、采购代理机构可以组织原评标委员会协助答复质疑。质疑答复导致中标结果改变的，采购人或者采购代理机构会将有关情况书面报告本级财政部门。</w:t>
      </w:r>
    </w:p>
    <w:p w14:paraId="05E797EB">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8.9接收质疑函的方式：书面方式；接收质疑函的部门：</w:t>
      </w:r>
      <w:r>
        <w:rPr>
          <w:rFonts w:hint="eastAsia" w:ascii="仿宋" w:hAnsi="仿宋" w:eastAsia="仿宋" w:cs="仿宋"/>
          <w:color w:val="auto"/>
          <w:sz w:val="24"/>
          <w:szCs w:val="24"/>
          <w:highlight w:val="none"/>
          <w:lang w:eastAsia="zh-CN"/>
        </w:rPr>
        <w:t>丽江恒邦项目管理有限公司</w:t>
      </w: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周子玙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19908880997</w:t>
      </w:r>
      <w:r>
        <w:rPr>
          <w:rFonts w:hint="eastAsia" w:ascii="仿宋" w:hAnsi="仿宋" w:eastAsia="仿宋" w:cs="仿宋"/>
          <w:color w:val="auto"/>
          <w:sz w:val="24"/>
          <w:szCs w:val="24"/>
          <w:highlight w:val="none"/>
        </w:rPr>
        <w:t>；通讯地址：</w:t>
      </w:r>
      <w:r>
        <w:rPr>
          <w:rFonts w:hint="eastAsia" w:ascii="仿宋" w:hAnsi="仿宋" w:eastAsia="仿宋" w:cs="仿宋"/>
          <w:color w:val="auto"/>
          <w:sz w:val="24"/>
          <w:szCs w:val="24"/>
          <w:highlight w:val="none"/>
          <w:lang w:eastAsia="zh-CN"/>
        </w:rPr>
        <w:t>丽江市玉龙县物资集团4楼410室</w:t>
      </w:r>
      <w:r>
        <w:rPr>
          <w:rFonts w:hint="eastAsia" w:ascii="仿宋" w:hAnsi="仿宋" w:eastAsia="仿宋" w:cs="仿宋"/>
          <w:color w:val="auto"/>
          <w:sz w:val="24"/>
          <w:szCs w:val="24"/>
          <w:highlight w:val="none"/>
        </w:rPr>
        <w:t>。</w:t>
      </w:r>
    </w:p>
    <w:p w14:paraId="4BBE831C">
      <w:pPr>
        <w:shd w:val="clear"/>
        <w:spacing w:line="360" w:lineRule="auto"/>
        <w:ind w:firstLine="420"/>
        <w:jc w:val="left"/>
        <w:rPr>
          <w:rFonts w:hint="eastAsia" w:ascii="仿宋" w:hAnsi="仿宋" w:eastAsia="仿宋" w:cs="仿宋"/>
          <w:color w:val="auto"/>
          <w:sz w:val="24"/>
          <w:szCs w:val="24"/>
          <w:highlight w:val="none"/>
        </w:rPr>
      </w:pPr>
      <w:bookmarkStart w:id="152" w:name="_Toc21886"/>
      <w:bookmarkStart w:id="153" w:name="_Toc528186461"/>
      <w:bookmarkStart w:id="154" w:name="_Toc23864"/>
      <w:bookmarkStart w:id="155" w:name="_Toc12771"/>
      <w:r>
        <w:rPr>
          <w:rFonts w:hint="eastAsia" w:ascii="仿宋" w:hAnsi="仿宋" w:eastAsia="仿宋" w:cs="仿宋"/>
          <w:color w:val="auto"/>
          <w:sz w:val="24"/>
          <w:szCs w:val="24"/>
          <w:highlight w:val="none"/>
        </w:rPr>
        <w:t>9.投诉</w:t>
      </w:r>
      <w:bookmarkEnd w:id="150"/>
      <w:bookmarkEnd w:id="151"/>
      <w:bookmarkEnd w:id="152"/>
      <w:bookmarkEnd w:id="153"/>
      <w:bookmarkEnd w:id="154"/>
      <w:bookmarkEnd w:id="155"/>
    </w:p>
    <w:p w14:paraId="4EC78E1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9.1投诉必须首先经过质疑程序。质疑人对采购人、采购代理机构的答复不满意，或者采购人、采购代理机构未在规定的时间内</w:t>
      </w:r>
      <w:r>
        <w:rPr>
          <w:rFonts w:hint="eastAsia" w:ascii="仿宋" w:hAnsi="仿宋" w:eastAsia="仿宋" w:cs="仿宋"/>
          <w:color w:val="auto"/>
          <w:sz w:val="24"/>
          <w:szCs w:val="24"/>
          <w:highlight w:val="none"/>
          <w:lang w:eastAsia="zh-CN"/>
        </w:rPr>
        <w:t>作出</w:t>
      </w:r>
      <w:r>
        <w:rPr>
          <w:rFonts w:hint="eastAsia" w:ascii="仿宋" w:hAnsi="仿宋" w:eastAsia="仿宋" w:cs="仿宋"/>
          <w:color w:val="auto"/>
          <w:sz w:val="24"/>
          <w:szCs w:val="24"/>
          <w:highlight w:val="none"/>
        </w:rPr>
        <w:t>答复的，可以在答复期满后十五个工作日内书面向同级财政部门提出投诉。</w:t>
      </w:r>
    </w:p>
    <w:p w14:paraId="2C485A3E">
      <w:pPr>
        <w:pStyle w:val="4"/>
        <w:shd w:val="clear"/>
        <w:spacing w:line="360" w:lineRule="auto"/>
        <w:ind w:firstLine="643"/>
        <w:jc w:val="center"/>
        <w:outlineLvl w:val="1"/>
        <w:rPr>
          <w:rFonts w:hint="eastAsia" w:ascii="仿宋" w:hAnsi="仿宋" w:eastAsia="仿宋" w:cs="仿宋"/>
          <w:color w:val="auto"/>
          <w:sz w:val="30"/>
          <w:szCs w:val="30"/>
          <w:highlight w:val="none"/>
        </w:rPr>
      </w:pPr>
      <w:bookmarkStart w:id="156" w:name="_Toc5721"/>
      <w:bookmarkStart w:id="157" w:name="_Toc9914"/>
      <w:bookmarkStart w:id="158" w:name="_Toc378239352"/>
      <w:bookmarkStart w:id="159" w:name="_Toc31081"/>
      <w:bookmarkStart w:id="160" w:name="_Toc378239079"/>
      <w:bookmarkStart w:id="161" w:name="_Toc378239171"/>
      <w:bookmarkStart w:id="162" w:name="_Toc152045542"/>
      <w:bookmarkStart w:id="163" w:name="_Toc489197817"/>
      <w:bookmarkStart w:id="164" w:name="_Toc528186462"/>
      <w:bookmarkStart w:id="165" w:name="_Toc488633605"/>
      <w:bookmarkStart w:id="166" w:name="_Toc152042318"/>
      <w:bookmarkStart w:id="167" w:name="_Toc296602432"/>
      <w:bookmarkStart w:id="168" w:name="_Toc144974510"/>
      <w:bookmarkStart w:id="169" w:name="_Toc247085701"/>
      <w:bookmarkStart w:id="170" w:name="_Toc246996187"/>
      <w:bookmarkStart w:id="171" w:name="_Toc401342135"/>
      <w:bookmarkStart w:id="172" w:name="_Toc4164"/>
      <w:bookmarkStart w:id="173" w:name="_Toc489145713"/>
      <w:bookmarkStart w:id="174" w:name="_Toc480817644"/>
      <w:bookmarkStart w:id="175" w:name="_Toc246996930"/>
      <w:bookmarkStart w:id="176" w:name="_Toc179632560"/>
      <w:bookmarkStart w:id="177" w:name="_Toc17348"/>
      <w:bookmarkStart w:id="178" w:name="_Toc16145"/>
      <w:bookmarkStart w:id="179" w:name="_Toc12408"/>
      <w:r>
        <w:rPr>
          <w:rFonts w:hint="eastAsia" w:ascii="仿宋" w:hAnsi="仿宋" w:eastAsia="仿宋" w:cs="仿宋"/>
          <w:color w:val="auto"/>
          <w:sz w:val="30"/>
          <w:szCs w:val="30"/>
          <w:highlight w:val="none"/>
        </w:rPr>
        <w:t>二、招标文件</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5794219E">
      <w:pPr>
        <w:shd w:val="clear"/>
        <w:spacing w:line="360" w:lineRule="auto"/>
        <w:rPr>
          <w:rFonts w:hint="eastAsia" w:ascii="仿宋" w:hAnsi="仿宋" w:eastAsia="仿宋" w:cs="仿宋"/>
          <w:color w:val="auto"/>
          <w:sz w:val="24"/>
          <w:szCs w:val="24"/>
          <w:highlight w:val="none"/>
        </w:rPr>
      </w:pPr>
      <w:bookmarkStart w:id="180" w:name="_Toc179632561"/>
      <w:bookmarkStart w:id="181" w:name="_Toc489197818"/>
      <w:bookmarkStart w:id="182" w:name="_Toc489145714"/>
      <w:bookmarkStart w:id="183" w:name="_Toc144974511"/>
      <w:bookmarkStart w:id="184" w:name="_Toc152042319"/>
      <w:bookmarkStart w:id="185" w:name="_Toc246996188"/>
      <w:bookmarkStart w:id="186" w:name="_Toc247085702"/>
      <w:bookmarkStart w:id="187" w:name="_Toc152045543"/>
      <w:bookmarkStart w:id="188" w:name="_Toc296602433"/>
      <w:bookmarkStart w:id="189" w:name="_Toc246996931"/>
      <w:bookmarkStart w:id="190" w:name="_Toc25201"/>
      <w:bookmarkStart w:id="191" w:name="_Toc32708"/>
      <w:bookmarkStart w:id="192" w:name="_Toc528186463"/>
      <w:bookmarkStart w:id="193" w:name="_Toc23589"/>
      <w:r>
        <w:rPr>
          <w:rFonts w:hint="eastAsia" w:ascii="仿宋" w:hAnsi="仿宋" w:eastAsia="仿宋" w:cs="仿宋"/>
          <w:color w:val="auto"/>
          <w:sz w:val="24"/>
          <w:szCs w:val="24"/>
          <w:highlight w:val="none"/>
        </w:rPr>
        <w:t>10.</w:t>
      </w:r>
      <w:bookmarkEnd w:id="180"/>
      <w:bookmarkEnd w:id="181"/>
      <w:bookmarkEnd w:id="182"/>
      <w:bookmarkEnd w:id="183"/>
      <w:bookmarkEnd w:id="184"/>
      <w:bookmarkEnd w:id="185"/>
      <w:bookmarkEnd w:id="186"/>
      <w:bookmarkEnd w:id="187"/>
      <w:bookmarkEnd w:id="188"/>
      <w:bookmarkEnd w:id="189"/>
      <w:bookmarkStart w:id="194" w:name="_Toc489197819"/>
      <w:bookmarkStart w:id="195" w:name="_Toc489145715"/>
      <w:r>
        <w:rPr>
          <w:rFonts w:hint="eastAsia" w:ascii="仿宋" w:hAnsi="仿宋" w:eastAsia="仿宋" w:cs="仿宋"/>
          <w:color w:val="auto"/>
          <w:sz w:val="24"/>
          <w:szCs w:val="24"/>
          <w:highlight w:val="none"/>
        </w:rPr>
        <w:t>招标文件的组成</w:t>
      </w:r>
      <w:bookmarkEnd w:id="190"/>
      <w:bookmarkEnd w:id="191"/>
      <w:bookmarkEnd w:id="192"/>
      <w:bookmarkEnd w:id="193"/>
      <w:bookmarkEnd w:id="194"/>
      <w:bookmarkEnd w:id="195"/>
    </w:p>
    <w:p w14:paraId="4DE3B4A6">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10.1采购人要求提供的货物、工程或者服务、采购过程及合同条款在招标文件中均有说明，招标文件共六章，各章的内容如下：</w:t>
      </w:r>
    </w:p>
    <w:p w14:paraId="632FDEC1">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第一章公开招标公告</w:t>
      </w:r>
    </w:p>
    <w:p w14:paraId="0B6477EE">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第二章投标人须知</w:t>
      </w:r>
    </w:p>
    <w:p w14:paraId="2D56C776">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第三章合同书样式及主要条款</w:t>
      </w:r>
    </w:p>
    <w:p w14:paraId="0E76F63F">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第四章投标文件格式</w:t>
      </w:r>
    </w:p>
    <w:p w14:paraId="01C7494C">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第五章采购需求</w:t>
      </w:r>
    </w:p>
    <w:p w14:paraId="0C21ED08">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第六章评标方法（综合评分法）</w:t>
      </w:r>
    </w:p>
    <w:p w14:paraId="34834994">
      <w:pPr>
        <w:shd w:val="clear"/>
        <w:spacing w:line="360" w:lineRule="auto"/>
        <w:rPr>
          <w:rFonts w:hint="eastAsia" w:ascii="仿宋" w:hAnsi="仿宋" w:eastAsia="仿宋" w:cs="仿宋"/>
          <w:color w:val="auto"/>
          <w:sz w:val="24"/>
          <w:szCs w:val="24"/>
          <w:highlight w:val="none"/>
        </w:rPr>
      </w:pPr>
      <w:bookmarkStart w:id="196" w:name="_Toc247085703"/>
      <w:bookmarkStart w:id="197" w:name="_Toc528186464"/>
      <w:bookmarkStart w:id="198" w:name="_Toc246996932"/>
      <w:bookmarkStart w:id="199" w:name="_Toc152042320"/>
      <w:bookmarkStart w:id="200" w:name="_Toc152045544"/>
      <w:bookmarkStart w:id="201" w:name="_Toc179632562"/>
      <w:bookmarkStart w:id="202" w:name="_Toc144974512"/>
      <w:bookmarkStart w:id="203" w:name="_Toc17915"/>
      <w:bookmarkStart w:id="204" w:name="_Toc246996189"/>
      <w:bookmarkStart w:id="205" w:name="_Toc11853"/>
      <w:bookmarkStart w:id="206" w:name="_Toc489145716"/>
      <w:bookmarkStart w:id="207" w:name="_Toc296602434"/>
      <w:bookmarkStart w:id="208" w:name="_Toc17717"/>
      <w:bookmarkStart w:id="209" w:name="_Toc489197820"/>
      <w:r>
        <w:rPr>
          <w:rFonts w:hint="eastAsia" w:ascii="仿宋" w:hAnsi="仿宋" w:eastAsia="仿宋" w:cs="仿宋"/>
          <w:color w:val="auto"/>
          <w:sz w:val="24"/>
          <w:szCs w:val="24"/>
          <w:highlight w:val="none"/>
        </w:rPr>
        <w:t>11.招标文件的询问、澄清、修改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17D9DEFE">
      <w:pPr>
        <w:shd w:val="clear"/>
        <w:spacing w:line="360" w:lineRule="auto"/>
        <w:ind w:firstLine="420"/>
        <w:jc w:val="both"/>
        <w:rPr>
          <w:rFonts w:hint="eastAsia" w:ascii="仿宋" w:hAnsi="仿宋" w:eastAsia="仿宋" w:cs="仿宋"/>
          <w:color w:val="auto"/>
          <w:sz w:val="24"/>
          <w:szCs w:val="24"/>
          <w:highlight w:val="none"/>
        </w:rPr>
      </w:pPr>
      <w:bookmarkStart w:id="210" w:name="_Toc489145717"/>
      <w:bookmarkStart w:id="211" w:name="_Toc247085705"/>
      <w:bookmarkStart w:id="212" w:name="_Toc488633606"/>
      <w:bookmarkStart w:id="213" w:name="_Toc152045546"/>
      <w:bookmarkStart w:id="214" w:name="_Toc528186465"/>
      <w:bookmarkStart w:id="215" w:name="_Toc246996934"/>
      <w:bookmarkStart w:id="216" w:name="_Toc246996191"/>
      <w:bookmarkStart w:id="217" w:name="_Toc489197821"/>
      <w:bookmarkStart w:id="218" w:name="_Toc144974514"/>
      <w:bookmarkStart w:id="219" w:name="_Toc29509"/>
      <w:bookmarkStart w:id="220" w:name="_Toc152042322"/>
      <w:bookmarkStart w:id="221" w:name="_Toc179632564"/>
      <w:bookmarkStart w:id="222" w:name="_Toc480817645"/>
      <w:bookmarkStart w:id="223" w:name="_Toc378239353"/>
      <w:bookmarkStart w:id="224" w:name="_Toc378239172"/>
      <w:bookmarkStart w:id="225" w:name="_Toc401342136"/>
      <w:bookmarkStart w:id="226" w:name="_Toc296602436"/>
      <w:bookmarkStart w:id="227" w:name="_Toc378239080"/>
      <w:r>
        <w:rPr>
          <w:rFonts w:hint="eastAsia" w:ascii="仿宋" w:hAnsi="仿宋" w:eastAsia="仿宋" w:cs="仿宋"/>
          <w:color w:val="auto"/>
          <w:sz w:val="24"/>
          <w:szCs w:val="24"/>
          <w:highlight w:val="none"/>
        </w:rPr>
        <w:t>11.1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06F68B27">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11.2招标文件询问联系方式：详见《投标人须知前附表》。</w:t>
      </w:r>
    </w:p>
    <w:p w14:paraId="53C08EAF">
      <w:pPr>
        <w:shd w:val="clear"/>
        <w:spacing w:line="360" w:lineRule="auto"/>
        <w:ind w:firstLine="42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11.3采购人、采购代理机构可以对已发出的招标文件进行必要的澄清或者修改，澄清或者修改的内容作为招标文件的组成部分。招标文件的澄清、修改文件内容均以网上电子文件为准，当招标文件、招标文件澄清、修改文件内容前后相互矛盾时，以最后发出的为准。澄清或者修改的内容可能影响投标文件编制的，采购人、采购代理机构将在投标截止时间至少15日前，以书面形式通知所有接收招标文件的潜在投标人，不足15日的，将顺延投标截止之日。投标人应在电子投标文件提交截止时间前及时登录</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b w:val="0"/>
          <w:bCs w:val="0"/>
          <w:color w:val="auto"/>
          <w:sz w:val="24"/>
          <w:highlight w:val="none"/>
          <w:lang w:val="en-US" w:eastAsia="zh-CN"/>
        </w:rPr>
        <w:t>或在云南省政府采购网（http://www.yngp.com/）</w:t>
      </w:r>
      <w:r>
        <w:rPr>
          <w:rFonts w:hint="eastAsia" w:ascii="仿宋" w:hAnsi="仿宋" w:eastAsia="仿宋" w:cs="仿宋"/>
          <w:b w:val="0"/>
          <w:bCs w:val="0"/>
          <w:color w:val="auto"/>
          <w:sz w:val="24"/>
          <w:szCs w:val="24"/>
          <w:highlight w:val="none"/>
        </w:rPr>
        <w:t>中查看有关该项目招标文件的澄清、修改内容。如因投标人自身原因导致未及时查看有关该项目招标文件的澄清、修改内容，由此造成的一切后果由投标人自行承担。</w:t>
      </w:r>
    </w:p>
    <w:p w14:paraId="26A6ADBA">
      <w:pPr>
        <w:shd w:val="clear"/>
        <w:spacing w:line="360" w:lineRule="auto"/>
        <w:ind w:firstLine="42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11.4投标人确认收到招标文件澄清、修改后，应在收到澄清、修改后24小时内以书面形式通知采购人或采购代理机构，确认已收到该澄清、修改。</w:t>
      </w:r>
    </w:p>
    <w:p w14:paraId="292C43EA">
      <w:pPr>
        <w:pStyle w:val="4"/>
        <w:shd w:val="clear"/>
        <w:spacing w:line="360" w:lineRule="auto"/>
        <w:ind w:firstLine="643"/>
        <w:jc w:val="center"/>
        <w:outlineLvl w:val="1"/>
        <w:rPr>
          <w:rFonts w:hint="eastAsia" w:ascii="仿宋" w:hAnsi="仿宋" w:eastAsia="仿宋" w:cs="仿宋"/>
          <w:color w:val="auto"/>
          <w:sz w:val="30"/>
          <w:szCs w:val="30"/>
          <w:highlight w:val="none"/>
        </w:rPr>
      </w:pPr>
      <w:bookmarkStart w:id="228" w:name="_Toc11951"/>
      <w:bookmarkStart w:id="229" w:name="_Toc27280"/>
      <w:bookmarkStart w:id="230" w:name="_Toc21180"/>
      <w:bookmarkStart w:id="231" w:name="_Toc17837"/>
      <w:bookmarkStart w:id="232" w:name="_Toc25733"/>
      <w:bookmarkStart w:id="233" w:name="_Toc5319"/>
      <w:r>
        <w:rPr>
          <w:rFonts w:hint="eastAsia" w:ascii="仿宋" w:hAnsi="仿宋" w:eastAsia="仿宋" w:cs="仿宋"/>
          <w:color w:val="auto"/>
          <w:sz w:val="30"/>
          <w:szCs w:val="30"/>
          <w:highlight w:val="none"/>
        </w:rPr>
        <w:t>三、投标文件</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43BC1989">
      <w:pPr>
        <w:shd w:val="clear"/>
        <w:spacing w:line="360" w:lineRule="auto"/>
        <w:rPr>
          <w:rFonts w:hint="eastAsia" w:ascii="仿宋" w:hAnsi="仿宋" w:eastAsia="仿宋" w:cs="仿宋"/>
          <w:color w:val="auto"/>
          <w:sz w:val="24"/>
          <w:szCs w:val="24"/>
          <w:highlight w:val="none"/>
        </w:rPr>
      </w:pPr>
      <w:bookmarkStart w:id="234" w:name="_Toc19963"/>
      <w:bookmarkStart w:id="235" w:name="_Toc3974"/>
      <w:bookmarkStart w:id="236" w:name="_Toc489197822"/>
      <w:bookmarkStart w:id="237" w:name="_Toc528186466"/>
      <w:bookmarkStart w:id="238" w:name="_Toc489145718"/>
      <w:bookmarkStart w:id="239" w:name="_Toc5023"/>
      <w:r>
        <w:rPr>
          <w:rFonts w:hint="eastAsia" w:ascii="仿宋" w:hAnsi="仿宋" w:eastAsia="仿宋" w:cs="仿宋"/>
          <w:color w:val="auto"/>
          <w:sz w:val="24"/>
          <w:szCs w:val="24"/>
          <w:highlight w:val="none"/>
        </w:rPr>
        <w:t>12.投标文件编写注意事项</w:t>
      </w:r>
      <w:bookmarkEnd w:id="234"/>
      <w:bookmarkEnd w:id="235"/>
      <w:bookmarkEnd w:id="236"/>
      <w:bookmarkEnd w:id="237"/>
      <w:bookmarkEnd w:id="238"/>
      <w:bookmarkEnd w:id="239"/>
    </w:p>
    <w:p w14:paraId="7FAC237D">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12.1投标人应仔细阅读招标文件，在完全了解采购内容、技术性能要求和商务条件后，根据招标文件要求编写投标文件。</w:t>
      </w:r>
    </w:p>
    <w:p w14:paraId="054C39F2">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12.2对招标文件提出的实质性要求和条件作出响应是指投标人的投标文件必须对招标文件中规定的实质性要求和条件作出满足或者优于原要求和条件的承诺，并提供相应的证明材料，否则按无效处理。</w:t>
      </w:r>
    </w:p>
    <w:p w14:paraId="7E65521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12.3提交投标文件截止时间前，潜在投标人放弃投标的，需向采购人或采购代理机构以书面形式提交放弃函。</w:t>
      </w:r>
    </w:p>
    <w:p w14:paraId="5548387F">
      <w:pPr>
        <w:shd w:val="clear"/>
        <w:spacing w:line="360" w:lineRule="auto"/>
        <w:rPr>
          <w:rFonts w:hint="eastAsia" w:ascii="仿宋" w:hAnsi="仿宋" w:eastAsia="仿宋" w:cs="仿宋"/>
          <w:color w:val="auto"/>
          <w:sz w:val="24"/>
          <w:szCs w:val="24"/>
          <w:highlight w:val="none"/>
        </w:rPr>
      </w:pPr>
      <w:bookmarkStart w:id="240" w:name="_Toc2537"/>
      <w:bookmarkStart w:id="241" w:name="_Toc489145719"/>
      <w:bookmarkStart w:id="242" w:name="_Toc15523"/>
      <w:bookmarkStart w:id="243" w:name="_Toc18290"/>
      <w:bookmarkStart w:id="244" w:name="_Toc489197823"/>
      <w:bookmarkStart w:id="245" w:name="_Toc528186467"/>
      <w:r>
        <w:rPr>
          <w:rFonts w:hint="eastAsia" w:ascii="仿宋" w:hAnsi="仿宋" w:eastAsia="仿宋" w:cs="仿宋"/>
          <w:color w:val="auto"/>
          <w:sz w:val="24"/>
          <w:szCs w:val="24"/>
          <w:highlight w:val="none"/>
        </w:rPr>
        <w:t>13.语言文字</w:t>
      </w:r>
      <w:bookmarkEnd w:id="240"/>
      <w:bookmarkEnd w:id="241"/>
      <w:bookmarkEnd w:id="242"/>
      <w:bookmarkEnd w:id="243"/>
      <w:bookmarkEnd w:id="244"/>
      <w:bookmarkEnd w:id="245"/>
    </w:p>
    <w:p w14:paraId="211A2429">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13.1投标人的投标文件以及投标人与采购代理机构就有关投标的所有来往函电统一使用中文（特别规定除外）。</w:t>
      </w:r>
    </w:p>
    <w:p w14:paraId="285B5A7F">
      <w:pPr>
        <w:shd w:val="clear"/>
        <w:spacing w:line="360" w:lineRule="auto"/>
        <w:rPr>
          <w:rFonts w:hint="eastAsia" w:ascii="仿宋" w:hAnsi="仿宋" w:eastAsia="仿宋" w:cs="仿宋"/>
          <w:color w:val="auto"/>
          <w:sz w:val="24"/>
          <w:szCs w:val="24"/>
          <w:highlight w:val="none"/>
        </w:rPr>
      </w:pPr>
      <w:bookmarkStart w:id="246" w:name="_Toc17992"/>
      <w:bookmarkStart w:id="247" w:name="_Toc528186468"/>
      <w:bookmarkStart w:id="248" w:name="_Toc20259"/>
      <w:bookmarkStart w:id="249" w:name="_Toc22144"/>
      <w:bookmarkStart w:id="250" w:name="_Toc489197824"/>
      <w:bookmarkStart w:id="251" w:name="_Toc489145720"/>
      <w:r>
        <w:rPr>
          <w:rFonts w:hint="eastAsia" w:ascii="仿宋" w:hAnsi="仿宋" w:eastAsia="仿宋" w:cs="仿宋"/>
          <w:color w:val="auto"/>
          <w:sz w:val="24"/>
          <w:szCs w:val="24"/>
          <w:highlight w:val="none"/>
        </w:rPr>
        <w:t>14.计量单位</w:t>
      </w:r>
      <w:bookmarkEnd w:id="246"/>
      <w:bookmarkEnd w:id="247"/>
      <w:bookmarkEnd w:id="248"/>
      <w:bookmarkEnd w:id="249"/>
      <w:bookmarkEnd w:id="250"/>
      <w:bookmarkEnd w:id="251"/>
    </w:p>
    <w:p w14:paraId="61708B80">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14.1投标文件中使用的计量单位除招标文件中有特殊规定外，一律使用中国法定计量单位。</w:t>
      </w:r>
    </w:p>
    <w:p w14:paraId="37F513AB">
      <w:pPr>
        <w:shd w:val="clear"/>
        <w:spacing w:line="360" w:lineRule="auto"/>
        <w:rPr>
          <w:rFonts w:hint="eastAsia" w:ascii="仿宋" w:hAnsi="仿宋" w:eastAsia="仿宋" w:cs="仿宋"/>
          <w:color w:val="auto"/>
          <w:sz w:val="24"/>
          <w:szCs w:val="24"/>
          <w:highlight w:val="none"/>
        </w:rPr>
      </w:pPr>
      <w:bookmarkStart w:id="252" w:name="_Toc5834"/>
      <w:bookmarkStart w:id="253" w:name="_Toc29156"/>
      <w:bookmarkStart w:id="254" w:name="_Toc152042323"/>
      <w:bookmarkStart w:id="255" w:name="_Toc152045547"/>
      <w:bookmarkStart w:id="256" w:name="_Toc528186469"/>
      <w:bookmarkStart w:id="257" w:name="_Toc489197825"/>
      <w:bookmarkStart w:id="258" w:name="_Toc179632565"/>
      <w:bookmarkStart w:id="259" w:name="_Toc296602437"/>
      <w:bookmarkStart w:id="260" w:name="_Toc247085706"/>
      <w:bookmarkStart w:id="261" w:name="_Toc14010"/>
      <w:bookmarkStart w:id="262" w:name="_Toc246996935"/>
      <w:bookmarkStart w:id="263" w:name="_Toc489145721"/>
      <w:bookmarkStart w:id="264" w:name="_Toc246996192"/>
      <w:bookmarkStart w:id="265" w:name="_Toc144974515"/>
      <w:r>
        <w:rPr>
          <w:rFonts w:hint="eastAsia" w:ascii="仿宋" w:hAnsi="仿宋" w:eastAsia="仿宋" w:cs="仿宋"/>
          <w:color w:val="auto"/>
          <w:sz w:val="24"/>
          <w:szCs w:val="24"/>
          <w:highlight w:val="none"/>
        </w:rPr>
        <w:t>15.投标文件的组成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3907CA6A">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15.1投标人编写的投标文件应按第四章《投标文件格式》要求填写。有关文件的提交如未特别注明需提供原件的，可提供复印件或扫描件。投标人同时投多个</w:t>
      </w:r>
      <w:r>
        <w:rPr>
          <w:rFonts w:hint="eastAsia" w:ascii="仿宋" w:hAnsi="仿宋" w:eastAsia="仿宋" w:cs="仿宋"/>
          <w:color w:val="auto"/>
          <w:sz w:val="24"/>
          <w:szCs w:val="24"/>
          <w:highlight w:val="none"/>
          <w:lang w:eastAsia="zh-CN"/>
        </w:rPr>
        <w:t>包</w:t>
      </w:r>
      <w:r>
        <w:rPr>
          <w:rFonts w:hint="eastAsia" w:ascii="仿宋" w:hAnsi="仿宋" w:eastAsia="仿宋" w:cs="仿宋"/>
          <w:color w:val="auto"/>
          <w:sz w:val="24"/>
          <w:szCs w:val="24"/>
          <w:highlight w:val="none"/>
        </w:rPr>
        <w:t>（若分</w:t>
      </w:r>
      <w:r>
        <w:rPr>
          <w:rFonts w:hint="eastAsia" w:ascii="仿宋" w:hAnsi="仿宋" w:eastAsia="仿宋" w:cs="仿宋"/>
          <w:color w:val="auto"/>
          <w:sz w:val="24"/>
          <w:szCs w:val="24"/>
          <w:highlight w:val="none"/>
          <w:lang w:eastAsia="zh-CN"/>
        </w:rPr>
        <w:t>包</w:t>
      </w:r>
      <w:r>
        <w:rPr>
          <w:rFonts w:hint="eastAsia" w:ascii="仿宋" w:hAnsi="仿宋" w:eastAsia="仿宋" w:cs="仿宋"/>
          <w:color w:val="auto"/>
          <w:sz w:val="24"/>
          <w:szCs w:val="24"/>
          <w:highlight w:val="none"/>
        </w:rPr>
        <w:t>时）的，投标文件应按</w:t>
      </w:r>
      <w:r>
        <w:rPr>
          <w:rFonts w:hint="eastAsia" w:ascii="仿宋" w:hAnsi="仿宋" w:eastAsia="仿宋" w:cs="仿宋"/>
          <w:color w:val="auto"/>
          <w:sz w:val="24"/>
          <w:szCs w:val="24"/>
          <w:highlight w:val="none"/>
          <w:lang w:eastAsia="zh-CN"/>
        </w:rPr>
        <w:t>包</w:t>
      </w:r>
      <w:r>
        <w:rPr>
          <w:rFonts w:hint="eastAsia" w:ascii="仿宋" w:hAnsi="仿宋" w:eastAsia="仿宋" w:cs="仿宋"/>
          <w:color w:val="auto"/>
          <w:sz w:val="24"/>
          <w:szCs w:val="24"/>
          <w:highlight w:val="none"/>
        </w:rPr>
        <w:t>分别编制</w:t>
      </w:r>
      <w:r>
        <w:rPr>
          <w:rFonts w:hint="eastAsia" w:ascii="仿宋" w:hAnsi="仿宋" w:eastAsia="仿宋" w:cs="仿宋"/>
          <w:color w:val="auto"/>
          <w:sz w:val="24"/>
          <w:szCs w:val="24"/>
          <w:highlight w:val="none"/>
          <w:lang w:val="en-US" w:eastAsia="zh-CN"/>
        </w:rPr>
        <w:t>并加密提交</w:t>
      </w:r>
      <w:r>
        <w:rPr>
          <w:rFonts w:hint="eastAsia" w:ascii="仿宋" w:hAnsi="仿宋" w:eastAsia="仿宋" w:cs="仿宋"/>
          <w:color w:val="auto"/>
          <w:sz w:val="24"/>
          <w:szCs w:val="24"/>
          <w:highlight w:val="none"/>
        </w:rPr>
        <w:t>。</w:t>
      </w:r>
    </w:p>
    <w:p w14:paraId="44E26EE2">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15.2构成投标文件的其他资料：详见《投标人须知前附表》。</w:t>
      </w:r>
    </w:p>
    <w:p w14:paraId="3F79AFEA">
      <w:pPr>
        <w:shd w:val="clear"/>
        <w:spacing w:line="360" w:lineRule="auto"/>
        <w:rPr>
          <w:rFonts w:hint="eastAsia" w:ascii="仿宋" w:hAnsi="仿宋" w:eastAsia="仿宋" w:cs="仿宋"/>
          <w:color w:val="auto"/>
          <w:sz w:val="24"/>
          <w:szCs w:val="24"/>
          <w:highlight w:val="none"/>
        </w:rPr>
      </w:pPr>
      <w:bookmarkStart w:id="266" w:name="_Toc11820"/>
      <w:bookmarkStart w:id="267" w:name="_Toc489145722"/>
      <w:bookmarkStart w:id="268" w:name="_Toc528186470"/>
      <w:bookmarkStart w:id="269" w:name="_Toc17304"/>
      <w:bookmarkStart w:id="270" w:name="_Toc10997"/>
      <w:bookmarkStart w:id="271" w:name="_Toc489197826"/>
      <w:r>
        <w:rPr>
          <w:rFonts w:hint="eastAsia" w:ascii="仿宋" w:hAnsi="仿宋" w:eastAsia="仿宋" w:cs="仿宋"/>
          <w:color w:val="auto"/>
          <w:sz w:val="24"/>
          <w:szCs w:val="24"/>
          <w:highlight w:val="none"/>
        </w:rPr>
        <w:t>16.投标文件的格式要求</w:t>
      </w:r>
      <w:bookmarkEnd w:id="266"/>
      <w:bookmarkEnd w:id="267"/>
      <w:bookmarkEnd w:id="268"/>
      <w:bookmarkEnd w:id="269"/>
      <w:bookmarkEnd w:id="270"/>
      <w:bookmarkEnd w:id="271"/>
    </w:p>
    <w:p w14:paraId="13FA24E8">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16.1投标人应按第四章《投标文件格式》提供的格式完整地填写。</w:t>
      </w:r>
    </w:p>
    <w:p w14:paraId="0AEBCD8F">
      <w:pPr>
        <w:shd w:val="clear"/>
        <w:spacing w:line="360" w:lineRule="auto"/>
        <w:rPr>
          <w:rFonts w:hint="eastAsia" w:ascii="仿宋" w:hAnsi="仿宋" w:eastAsia="仿宋" w:cs="仿宋"/>
          <w:color w:val="auto"/>
          <w:sz w:val="24"/>
          <w:szCs w:val="24"/>
          <w:highlight w:val="none"/>
        </w:rPr>
      </w:pPr>
      <w:bookmarkStart w:id="272" w:name="_Toc10823"/>
      <w:bookmarkStart w:id="273" w:name="_Toc29824"/>
      <w:bookmarkStart w:id="274" w:name="_Toc16374"/>
      <w:bookmarkStart w:id="275" w:name="_Toc489197827"/>
      <w:bookmarkStart w:id="276" w:name="_Toc528186471"/>
      <w:bookmarkStart w:id="277" w:name="_Toc489145723"/>
      <w:r>
        <w:rPr>
          <w:rFonts w:hint="eastAsia" w:ascii="仿宋" w:hAnsi="仿宋" w:eastAsia="仿宋" w:cs="仿宋"/>
          <w:color w:val="auto"/>
          <w:sz w:val="24"/>
          <w:szCs w:val="24"/>
          <w:highlight w:val="none"/>
        </w:rPr>
        <w:t>▲17.投标有效期</w:t>
      </w:r>
      <w:bookmarkEnd w:id="272"/>
      <w:bookmarkEnd w:id="273"/>
      <w:bookmarkEnd w:id="274"/>
      <w:bookmarkEnd w:id="275"/>
      <w:bookmarkEnd w:id="276"/>
      <w:bookmarkEnd w:id="277"/>
    </w:p>
    <w:p w14:paraId="677F9B31">
      <w:pPr>
        <w:shd w:val="clear"/>
        <w:spacing w:line="360" w:lineRule="auto"/>
        <w:ind w:firstLine="420"/>
        <w:jc w:val="left"/>
        <w:rPr>
          <w:rFonts w:hint="eastAsia" w:ascii="仿宋" w:hAnsi="仿宋" w:eastAsia="仿宋" w:cs="仿宋"/>
          <w:color w:val="auto"/>
          <w:sz w:val="24"/>
          <w:szCs w:val="24"/>
          <w:highlight w:val="none"/>
        </w:rPr>
      </w:pPr>
      <w:bookmarkStart w:id="278" w:name="_Toc246996937"/>
      <w:bookmarkStart w:id="279" w:name="_Toc247085708"/>
      <w:bookmarkStart w:id="280" w:name="_Toc179632567"/>
      <w:bookmarkStart w:id="281" w:name="_Toc152045549"/>
      <w:bookmarkStart w:id="282" w:name="_Toc296602439"/>
      <w:bookmarkStart w:id="283" w:name="_Toc152042325"/>
      <w:bookmarkStart w:id="284" w:name="_Toc246996194"/>
      <w:bookmarkStart w:id="285" w:name="_Toc144974517"/>
      <w:r>
        <w:rPr>
          <w:rFonts w:hint="eastAsia" w:ascii="仿宋" w:hAnsi="仿宋" w:eastAsia="仿宋" w:cs="仿宋"/>
          <w:color w:val="auto"/>
          <w:sz w:val="24"/>
          <w:szCs w:val="24"/>
          <w:highlight w:val="none"/>
        </w:rPr>
        <w:t>17.1在《投标</w:t>
      </w:r>
      <w:bookmarkEnd w:id="278"/>
      <w:bookmarkEnd w:id="279"/>
      <w:bookmarkEnd w:id="280"/>
      <w:bookmarkEnd w:id="281"/>
      <w:bookmarkEnd w:id="282"/>
      <w:bookmarkEnd w:id="283"/>
      <w:bookmarkEnd w:id="284"/>
      <w:bookmarkEnd w:id="285"/>
      <w:r>
        <w:rPr>
          <w:rFonts w:hint="eastAsia" w:ascii="仿宋" w:hAnsi="仿宋" w:eastAsia="仿宋" w:cs="仿宋"/>
          <w:color w:val="auto"/>
          <w:sz w:val="24"/>
          <w:szCs w:val="24"/>
          <w:highlight w:val="none"/>
        </w:rPr>
        <w:t>人须知前附表》规定的有效期内，投标人不得要求撤销或修改其投标文件。</w:t>
      </w:r>
    </w:p>
    <w:p w14:paraId="57B46515">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17.2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68AF19F2">
      <w:pPr>
        <w:shd w:val="clear"/>
        <w:spacing w:line="360" w:lineRule="auto"/>
        <w:rPr>
          <w:rFonts w:hint="eastAsia" w:ascii="仿宋" w:hAnsi="仿宋" w:eastAsia="仿宋" w:cs="仿宋"/>
          <w:b/>
          <w:bCs/>
          <w:color w:val="auto"/>
          <w:sz w:val="24"/>
          <w:szCs w:val="24"/>
          <w:highlight w:val="none"/>
          <w:lang w:eastAsia="zh-CN"/>
        </w:rPr>
      </w:pPr>
      <w:bookmarkStart w:id="286" w:name="_Toc89"/>
      <w:bookmarkStart w:id="287" w:name="_Toc1477"/>
      <w:bookmarkStart w:id="288" w:name="_Toc489197828"/>
      <w:bookmarkStart w:id="289" w:name="_Toc528186472"/>
      <w:bookmarkStart w:id="290" w:name="_Toc8378"/>
      <w:bookmarkStart w:id="291" w:name="_Toc489145724"/>
      <w:r>
        <w:rPr>
          <w:rFonts w:hint="eastAsia" w:ascii="仿宋" w:hAnsi="仿宋" w:eastAsia="仿宋" w:cs="仿宋"/>
          <w:color w:val="auto"/>
          <w:sz w:val="24"/>
          <w:szCs w:val="24"/>
          <w:highlight w:val="none"/>
        </w:rPr>
        <w:t>18.投标保证金</w:t>
      </w:r>
      <w:bookmarkEnd w:id="286"/>
      <w:bookmarkEnd w:id="287"/>
      <w:bookmarkEnd w:id="288"/>
      <w:bookmarkEnd w:id="289"/>
      <w:bookmarkEnd w:id="290"/>
      <w:bookmarkEnd w:id="291"/>
    </w:p>
    <w:p w14:paraId="7C824518">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292" w:name="_Toc152042326"/>
      <w:bookmarkStart w:id="293" w:name="_Toc144974518"/>
      <w:bookmarkStart w:id="294" w:name="_Toc247085709"/>
      <w:bookmarkStart w:id="295" w:name="_Toc246996195"/>
      <w:bookmarkStart w:id="296" w:name="_Toc152045550"/>
      <w:bookmarkStart w:id="297" w:name="_Toc246996938"/>
      <w:bookmarkStart w:id="298" w:name="_Toc179632568"/>
      <w:bookmarkStart w:id="299" w:name="_Toc296602440"/>
      <w:r>
        <w:rPr>
          <w:rFonts w:hint="eastAsia" w:ascii="仿宋" w:hAnsi="仿宋" w:eastAsia="仿宋" w:cs="仿宋"/>
          <w:color w:val="auto"/>
          <w:sz w:val="24"/>
          <w:szCs w:val="24"/>
          <w:highlight w:val="none"/>
        </w:rPr>
        <w:t>8.1投标人应按《投标人须知前附表》</w:t>
      </w:r>
      <w:bookmarkEnd w:id="292"/>
      <w:bookmarkEnd w:id="293"/>
      <w:bookmarkEnd w:id="294"/>
      <w:bookmarkEnd w:id="295"/>
      <w:bookmarkEnd w:id="296"/>
      <w:bookmarkEnd w:id="297"/>
      <w:bookmarkEnd w:id="298"/>
      <w:bookmarkEnd w:id="299"/>
      <w:r>
        <w:rPr>
          <w:rFonts w:hint="eastAsia" w:ascii="仿宋" w:hAnsi="仿宋" w:eastAsia="仿宋" w:cs="仿宋"/>
          <w:color w:val="auto"/>
          <w:sz w:val="24"/>
          <w:szCs w:val="24"/>
          <w:highlight w:val="none"/>
        </w:rPr>
        <w:t>规定的金额、形式交纳投标保证金，投标保证金须在投标文件提交截止时间前从投标人基本账户</w:t>
      </w:r>
      <w:r>
        <w:rPr>
          <w:rFonts w:hint="eastAsia" w:ascii="仿宋" w:hAnsi="仿宋" w:eastAsia="仿宋" w:cs="仿宋"/>
          <w:color w:val="auto"/>
          <w:sz w:val="24"/>
          <w:szCs w:val="24"/>
          <w:highlight w:val="none"/>
          <w:lang w:eastAsia="zh-CN"/>
        </w:rPr>
        <w:t>缴纳</w:t>
      </w:r>
      <w:r>
        <w:rPr>
          <w:rFonts w:hint="eastAsia" w:ascii="仿宋" w:hAnsi="仿宋" w:eastAsia="仿宋" w:cs="仿宋"/>
          <w:color w:val="auto"/>
          <w:sz w:val="24"/>
          <w:szCs w:val="24"/>
          <w:highlight w:val="none"/>
        </w:rPr>
        <w:t>到《投标人须知前附表》规定的账户，投标人未按照招标文件要求提交投标保证金的，投标无效。</w:t>
      </w:r>
    </w:p>
    <w:p w14:paraId="4D2D66D7">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58A91120">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（1）投标人在提交投标文件截止时间后撤销投标文件的；</w:t>
      </w:r>
    </w:p>
    <w:p w14:paraId="0FAC96E7">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（2）投标人在投标文件中提供虚假材料的；</w:t>
      </w:r>
    </w:p>
    <w:p w14:paraId="0092E0CA">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（3）除因不可抗力或招标文件认可的情形以外，中标人不与采购人签订合同的；</w:t>
      </w:r>
    </w:p>
    <w:p w14:paraId="0164578C">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（4）投标人与采购人、其他投标人或者采购代理机构恶意串通的；</w:t>
      </w:r>
    </w:p>
    <w:p w14:paraId="7ED01C50">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（5）招标文件规定的其他情形。</w:t>
      </w:r>
    </w:p>
    <w:p w14:paraId="29C7D87D">
      <w:pPr>
        <w:shd w:val="clear"/>
        <w:spacing w:line="360" w:lineRule="auto"/>
        <w:rPr>
          <w:rFonts w:hint="eastAsia" w:ascii="仿宋" w:hAnsi="仿宋" w:eastAsia="仿宋" w:cs="仿宋"/>
          <w:color w:val="auto"/>
          <w:sz w:val="24"/>
          <w:szCs w:val="24"/>
          <w:highlight w:val="none"/>
        </w:rPr>
      </w:pPr>
      <w:bookmarkStart w:id="300" w:name="_Toc8756"/>
      <w:bookmarkStart w:id="301" w:name="_Toc20948"/>
      <w:bookmarkStart w:id="302" w:name="_Toc489197829"/>
      <w:bookmarkStart w:id="303" w:name="_Toc528186473"/>
      <w:bookmarkStart w:id="304" w:name="_Toc489145725"/>
      <w:bookmarkStart w:id="305" w:name="_Toc7128"/>
      <w:r>
        <w:rPr>
          <w:rFonts w:hint="eastAsia" w:ascii="仿宋" w:hAnsi="仿宋" w:eastAsia="仿宋" w:cs="仿宋"/>
          <w:color w:val="auto"/>
          <w:sz w:val="24"/>
          <w:szCs w:val="24"/>
          <w:highlight w:val="none"/>
        </w:rPr>
        <w:t>19.投标文件的编制</w:t>
      </w:r>
      <w:bookmarkEnd w:id="300"/>
      <w:bookmarkEnd w:id="301"/>
      <w:bookmarkEnd w:id="302"/>
      <w:bookmarkEnd w:id="303"/>
      <w:bookmarkEnd w:id="304"/>
      <w:bookmarkEnd w:id="305"/>
      <w:bookmarkStart w:id="306" w:name="_Toc296602442"/>
    </w:p>
    <w:bookmarkEnd w:id="306"/>
    <w:p w14:paraId="52D8F970">
      <w:pPr>
        <w:shd w:val="clear"/>
        <w:spacing w:line="360" w:lineRule="auto"/>
        <w:ind w:firstLine="420"/>
        <w:jc w:val="left"/>
        <w:rPr>
          <w:rFonts w:hint="eastAsia" w:ascii="仿宋" w:hAnsi="仿宋" w:eastAsia="仿宋" w:cs="仿宋"/>
          <w:color w:val="auto"/>
          <w:sz w:val="24"/>
          <w:szCs w:val="24"/>
          <w:highlight w:val="none"/>
          <w:lang w:val="en-US" w:eastAsia="zh-CN"/>
        </w:rPr>
      </w:pPr>
      <w:bookmarkStart w:id="307" w:name="_Toc489145726"/>
      <w:bookmarkStart w:id="308" w:name="_Toc489197830"/>
      <w:bookmarkStart w:id="309" w:name="_Toc528186474"/>
      <w:r>
        <w:rPr>
          <w:rFonts w:hint="eastAsia" w:ascii="仿宋" w:hAnsi="仿宋" w:eastAsia="仿宋" w:cs="仿宋"/>
          <w:color w:val="auto"/>
          <w:sz w:val="24"/>
          <w:szCs w:val="24"/>
          <w:highlight w:val="none"/>
        </w:rPr>
        <w:t>19.1电子投标文件</w:t>
      </w:r>
      <w:r>
        <w:rPr>
          <w:rFonts w:hint="eastAsia" w:ascii="仿宋" w:hAnsi="仿宋" w:eastAsia="仿宋" w:cs="仿宋"/>
          <w:color w:val="auto"/>
          <w:sz w:val="24"/>
          <w:szCs w:val="24"/>
          <w:highlight w:val="none"/>
          <w:lang w:val="en-US" w:eastAsia="zh-CN"/>
        </w:rPr>
        <w:t>编制及加密应符合</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val="en-US" w:eastAsia="zh-CN"/>
        </w:rPr>
        <w:t>要求。</w:t>
      </w:r>
    </w:p>
    <w:p w14:paraId="74BF8C4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19.2如投标人提交的电子投标文件不符合（19.1）要求或开标时无法读取导入或解密，其投标文件将不予受理。</w:t>
      </w:r>
    </w:p>
    <w:p w14:paraId="5431C92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19.3电子投标文件份数：详见《投标人须知前附表》。</w:t>
      </w:r>
    </w:p>
    <w:p w14:paraId="3C663FB6">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19.4投标文件中提供的资料、关键内容必须清晰可辨，若出现字迹潦草、表达不清、未按要求填写而导致非唯一理解，视为未实质性响应招标采购文件，投标人投标文件将按无效处理。</w:t>
      </w:r>
    </w:p>
    <w:p w14:paraId="06AA328C">
      <w:pPr>
        <w:numPr>
          <w:ilvl w:val="0"/>
          <w:numId w:val="2"/>
        </w:numPr>
        <w:shd w:val="clear"/>
        <w:spacing w:line="360" w:lineRule="auto"/>
        <w:rPr>
          <w:rFonts w:hint="eastAsia" w:ascii="仿宋" w:hAnsi="仿宋" w:eastAsia="仿宋" w:cs="仿宋"/>
          <w:color w:val="auto"/>
          <w:sz w:val="24"/>
          <w:szCs w:val="24"/>
          <w:highlight w:val="none"/>
        </w:rPr>
      </w:pPr>
      <w:bookmarkStart w:id="310" w:name="_Toc13058"/>
      <w:bookmarkStart w:id="311" w:name="_Toc6763"/>
      <w:bookmarkStart w:id="312" w:name="_Toc16360"/>
      <w:r>
        <w:rPr>
          <w:rFonts w:hint="eastAsia" w:ascii="仿宋" w:hAnsi="仿宋" w:eastAsia="仿宋" w:cs="仿宋"/>
          <w:color w:val="auto"/>
          <w:sz w:val="24"/>
          <w:szCs w:val="24"/>
          <w:highlight w:val="none"/>
        </w:rPr>
        <w:t>投标报价和报价货币</w:t>
      </w:r>
      <w:bookmarkEnd w:id="307"/>
      <w:bookmarkEnd w:id="308"/>
      <w:bookmarkEnd w:id="309"/>
      <w:bookmarkEnd w:id="310"/>
      <w:bookmarkEnd w:id="311"/>
      <w:bookmarkEnd w:id="312"/>
      <w:bookmarkStart w:id="313" w:name="_Toc432106486"/>
      <w:bookmarkStart w:id="314" w:name="_Toc470507051"/>
      <w:bookmarkStart w:id="315" w:name="_Toc432194837"/>
      <w:bookmarkStart w:id="316" w:name="_Toc383175287"/>
      <w:bookmarkStart w:id="317" w:name="_Toc482343737"/>
      <w:bookmarkStart w:id="318" w:name="_Toc86124056"/>
      <w:bookmarkStart w:id="319" w:name="_Toc383175063"/>
      <w:bookmarkStart w:id="320" w:name="_Toc329810197"/>
      <w:bookmarkStart w:id="321" w:name="_Toc383175485"/>
    </w:p>
    <w:bookmarkEnd w:id="313"/>
    <w:bookmarkEnd w:id="314"/>
    <w:bookmarkEnd w:id="315"/>
    <w:bookmarkEnd w:id="316"/>
    <w:bookmarkEnd w:id="317"/>
    <w:bookmarkEnd w:id="318"/>
    <w:bookmarkEnd w:id="319"/>
    <w:bookmarkEnd w:id="320"/>
    <w:bookmarkEnd w:id="321"/>
    <w:p w14:paraId="445509C2">
      <w:pPr>
        <w:shd w:val="clear"/>
        <w:spacing w:line="360" w:lineRule="auto"/>
        <w:ind w:firstLine="4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20.1投标人必须对所投</w:t>
      </w:r>
      <w:r>
        <w:rPr>
          <w:rFonts w:hint="eastAsia" w:ascii="仿宋" w:hAnsi="仿宋" w:eastAsia="仿宋" w:cs="仿宋"/>
          <w:color w:val="auto"/>
          <w:sz w:val="24"/>
          <w:szCs w:val="24"/>
          <w:highlight w:val="none"/>
          <w:lang w:eastAsia="zh-CN"/>
        </w:rPr>
        <w:t>包</w:t>
      </w:r>
      <w:r>
        <w:rPr>
          <w:rFonts w:hint="eastAsia" w:ascii="仿宋" w:hAnsi="仿宋" w:eastAsia="仿宋" w:cs="仿宋"/>
          <w:color w:val="auto"/>
          <w:sz w:val="24"/>
          <w:szCs w:val="24"/>
          <w:highlight w:val="none"/>
        </w:rPr>
        <w:t>内所有内容作出完整唯一的投标报价，不得缺项、漏项，否则投标文件将按无效处理。</w:t>
      </w:r>
    </w:p>
    <w:p w14:paraId="1D1FBC27">
      <w:pPr>
        <w:shd w:val="clear"/>
        <w:spacing w:line="360" w:lineRule="auto"/>
        <w:ind w:firstLine="4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20.2投标报价包括但不限于完成本项目的</w:t>
      </w:r>
      <w:r>
        <w:rPr>
          <w:rFonts w:hint="eastAsia" w:ascii="仿宋" w:hAnsi="仿宋" w:eastAsia="仿宋" w:cs="仿宋"/>
          <w:color w:val="auto"/>
          <w:sz w:val="24"/>
          <w:highlight w:val="none"/>
        </w:rPr>
        <w:t>人员、设备、税收、保险、利润</w:t>
      </w:r>
      <w:r>
        <w:rPr>
          <w:rFonts w:hint="eastAsia" w:ascii="仿宋" w:hAnsi="仿宋" w:eastAsia="仿宋" w:cs="仿宋"/>
          <w:color w:val="auto"/>
          <w:sz w:val="24"/>
          <w:highlight w:val="none"/>
          <w:lang w:eastAsia="zh-CN"/>
        </w:rPr>
        <w:t>、</w:t>
      </w:r>
      <w:r>
        <w:rPr>
          <w:rFonts w:hint="eastAsia" w:ascii="仿宋" w:hAnsi="仿宋" w:eastAsia="仿宋" w:cs="仿宋"/>
          <w:color w:val="auto"/>
          <w:kern w:val="0"/>
          <w:sz w:val="24"/>
          <w:szCs w:val="24"/>
          <w:highlight w:val="none"/>
          <w:lang w:val="en-US" w:eastAsia="zh-CN"/>
        </w:rPr>
        <w:t>代理</w:t>
      </w:r>
      <w:r>
        <w:rPr>
          <w:rFonts w:hint="eastAsia" w:ascii="仿宋" w:hAnsi="仿宋" w:eastAsia="仿宋" w:cs="仿宋"/>
          <w:color w:val="auto"/>
          <w:sz w:val="24"/>
          <w:szCs w:val="24"/>
          <w:highlight w:val="none"/>
        </w:rPr>
        <w:t>服务费等其它</w:t>
      </w:r>
      <w:r>
        <w:rPr>
          <w:rFonts w:hint="eastAsia" w:ascii="仿宋" w:hAnsi="仿宋" w:eastAsia="仿宋" w:cs="仿宋"/>
          <w:color w:val="auto"/>
          <w:sz w:val="24"/>
          <w:highlight w:val="none"/>
        </w:rPr>
        <w:t>项目实施的一切费用</w:t>
      </w:r>
      <w:r>
        <w:rPr>
          <w:rFonts w:hint="eastAsia" w:ascii="仿宋" w:hAnsi="仿宋" w:eastAsia="仿宋" w:cs="仿宋"/>
          <w:color w:val="auto"/>
          <w:sz w:val="24"/>
          <w:szCs w:val="24"/>
          <w:highlight w:val="none"/>
        </w:rPr>
        <w:t>。该报价应考虑市场风险、政策性风险、汇率风险等因素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应符合市场行情并能保证投标人完成履行合同所需的一切工作。合同一旦签订，投标报价在合同实施期间将不因市场价格等的变化而调整。</w:t>
      </w:r>
    </w:p>
    <w:p w14:paraId="3764644C">
      <w:pPr>
        <w:shd w:val="clear"/>
        <w:spacing w:line="360" w:lineRule="auto"/>
        <w:ind w:firstLine="4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投标人应依据招标文件的要求及有关资料，执行国家或行业现行技术、经济标准、定额及规范，根据现行市场价格自行测算出满足采购要求的货物、工程或者服务的投标报价。本次报价包括完成本项目的一切费用。</w:t>
      </w:r>
    </w:p>
    <w:p w14:paraId="65A52153">
      <w:pPr>
        <w:shd w:val="clear"/>
        <w:spacing w:line="360" w:lineRule="auto"/>
        <w:ind w:firstLine="4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投标人不得哄抬报价，也不应低于成本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49C50E78">
      <w:pPr>
        <w:shd w:val="clear"/>
        <w:spacing w:line="360" w:lineRule="auto"/>
        <w:ind w:firstLine="4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2AFBDF2B">
      <w:pPr>
        <w:shd w:val="clear"/>
        <w:spacing w:line="360" w:lineRule="auto"/>
        <w:ind w:firstLine="4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报价货币为人民币。</w:t>
      </w:r>
    </w:p>
    <w:p w14:paraId="72D5D8F5">
      <w:pPr>
        <w:pStyle w:val="4"/>
        <w:shd w:val="clear"/>
        <w:spacing w:line="360" w:lineRule="auto"/>
        <w:ind w:firstLine="643"/>
        <w:jc w:val="center"/>
        <w:outlineLvl w:val="1"/>
        <w:rPr>
          <w:rFonts w:hint="eastAsia" w:ascii="仿宋" w:hAnsi="仿宋" w:eastAsia="仿宋" w:cs="仿宋"/>
          <w:color w:val="auto"/>
          <w:sz w:val="30"/>
          <w:szCs w:val="30"/>
          <w:highlight w:val="none"/>
        </w:rPr>
      </w:pPr>
      <w:bookmarkStart w:id="322" w:name="_Toc6164"/>
      <w:bookmarkStart w:id="323" w:name="_Toc489145727"/>
      <w:bookmarkStart w:id="324" w:name="_Toc528186475"/>
      <w:bookmarkStart w:id="325" w:name="_Toc489197831"/>
      <w:bookmarkStart w:id="326" w:name="_Toc27900"/>
      <w:bookmarkStart w:id="327" w:name="_Toc12423"/>
      <w:bookmarkStart w:id="328" w:name="_Toc14345"/>
      <w:bookmarkStart w:id="329" w:name="_Toc26618"/>
      <w:bookmarkStart w:id="330" w:name="_Toc488633607"/>
      <w:bookmarkStart w:id="331" w:name="_Toc11404"/>
      <w:r>
        <w:rPr>
          <w:rFonts w:hint="eastAsia" w:ascii="仿宋" w:hAnsi="仿宋" w:eastAsia="仿宋" w:cs="仿宋"/>
          <w:color w:val="auto"/>
          <w:sz w:val="30"/>
          <w:szCs w:val="30"/>
          <w:highlight w:val="none"/>
        </w:rPr>
        <w:t>四、投标</w:t>
      </w:r>
      <w:bookmarkEnd w:id="322"/>
      <w:bookmarkEnd w:id="323"/>
      <w:bookmarkEnd w:id="324"/>
      <w:bookmarkEnd w:id="325"/>
      <w:bookmarkEnd w:id="326"/>
      <w:bookmarkEnd w:id="327"/>
      <w:bookmarkEnd w:id="328"/>
      <w:bookmarkEnd w:id="329"/>
      <w:bookmarkEnd w:id="330"/>
      <w:bookmarkEnd w:id="331"/>
    </w:p>
    <w:p w14:paraId="146B78A1">
      <w:pPr>
        <w:numPr>
          <w:ilvl w:val="0"/>
          <w:numId w:val="0"/>
        </w:numPr>
        <w:shd w:val="clear"/>
        <w:spacing w:line="360" w:lineRule="auto"/>
        <w:rPr>
          <w:rFonts w:hint="eastAsia" w:ascii="仿宋" w:hAnsi="仿宋" w:eastAsia="仿宋" w:cs="仿宋"/>
          <w:color w:val="auto"/>
          <w:sz w:val="24"/>
          <w:szCs w:val="24"/>
          <w:highlight w:val="none"/>
        </w:rPr>
      </w:pPr>
      <w:bookmarkStart w:id="332" w:name="_Toc528186476"/>
      <w:bookmarkStart w:id="333" w:name="_Toc489145728"/>
      <w:bookmarkStart w:id="334" w:name="_Toc12022"/>
      <w:bookmarkStart w:id="335" w:name="_Toc489197832"/>
      <w:bookmarkStart w:id="336" w:name="_Toc6233"/>
      <w:r>
        <w:rPr>
          <w:rFonts w:hint="eastAsia" w:ascii="仿宋" w:hAnsi="仿宋" w:eastAsia="仿宋" w:cs="仿宋"/>
          <w:color w:val="auto"/>
          <w:sz w:val="24"/>
          <w:szCs w:val="24"/>
          <w:highlight w:val="none"/>
        </w:rPr>
        <w:t>21.投标文</w:t>
      </w:r>
      <w:bookmarkStart w:id="337" w:name="_Toc480817646"/>
      <w:bookmarkStart w:id="338" w:name="_Toc378239081"/>
      <w:bookmarkStart w:id="339" w:name="_Toc378239173"/>
      <w:bookmarkStart w:id="340" w:name="_Toc296602443"/>
      <w:bookmarkStart w:id="341" w:name="_Toc401342137"/>
      <w:bookmarkStart w:id="342" w:name="_Toc4707"/>
      <w:bookmarkStart w:id="343" w:name="_Toc378239354"/>
      <w:r>
        <w:rPr>
          <w:rFonts w:hint="eastAsia" w:ascii="仿宋" w:hAnsi="仿宋" w:eastAsia="仿宋" w:cs="仿宋"/>
          <w:color w:val="auto"/>
          <w:sz w:val="24"/>
          <w:szCs w:val="24"/>
          <w:highlight w:val="none"/>
        </w:rPr>
        <w:t>件的密封</w:t>
      </w:r>
      <w:bookmarkEnd w:id="337"/>
      <w:bookmarkEnd w:id="338"/>
      <w:bookmarkEnd w:id="339"/>
      <w:bookmarkEnd w:id="340"/>
      <w:bookmarkEnd w:id="341"/>
      <w:bookmarkEnd w:id="342"/>
      <w:bookmarkEnd w:id="343"/>
      <w:r>
        <w:rPr>
          <w:rFonts w:hint="eastAsia" w:ascii="仿宋" w:hAnsi="仿宋" w:eastAsia="仿宋" w:cs="仿宋"/>
          <w:color w:val="auto"/>
          <w:sz w:val="24"/>
          <w:szCs w:val="24"/>
          <w:highlight w:val="none"/>
        </w:rPr>
        <w:t>和</w:t>
      </w:r>
      <w:bookmarkEnd w:id="332"/>
      <w:bookmarkEnd w:id="333"/>
      <w:bookmarkEnd w:id="334"/>
      <w:bookmarkEnd w:id="335"/>
      <w:bookmarkEnd w:id="336"/>
      <w:bookmarkStart w:id="344" w:name="_Toc296602444"/>
      <w:bookmarkStart w:id="345" w:name="_Toc246996200"/>
      <w:bookmarkStart w:id="346" w:name="_Toc179632574"/>
      <w:bookmarkStart w:id="347" w:name="_Toc152045556"/>
      <w:bookmarkStart w:id="348" w:name="_Toc144974524"/>
      <w:bookmarkStart w:id="349" w:name="_Toc247085714"/>
      <w:bookmarkStart w:id="350" w:name="_Toc152042332"/>
      <w:bookmarkStart w:id="351" w:name="_Toc246996943"/>
      <w:r>
        <w:rPr>
          <w:rFonts w:hint="eastAsia" w:ascii="仿宋" w:hAnsi="仿宋" w:eastAsia="仿宋" w:cs="仿宋"/>
          <w:color w:val="auto"/>
          <w:sz w:val="24"/>
          <w:szCs w:val="24"/>
          <w:highlight w:val="none"/>
        </w:rPr>
        <w:t>解密</w:t>
      </w:r>
    </w:p>
    <w:bookmarkEnd w:id="344"/>
    <w:bookmarkEnd w:id="345"/>
    <w:bookmarkEnd w:id="346"/>
    <w:bookmarkEnd w:id="347"/>
    <w:bookmarkEnd w:id="348"/>
    <w:bookmarkEnd w:id="349"/>
    <w:bookmarkEnd w:id="350"/>
    <w:bookmarkEnd w:id="351"/>
    <w:p w14:paraId="650406C2">
      <w:pPr>
        <w:shd w:val="clear"/>
        <w:spacing w:line="360" w:lineRule="auto"/>
        <w:ind w:firstLine="420"/>
        <w:jc w:val="both"/>
        <w:rPr>
          <w:rFonts w:hint="eastAsia" w:ascii="仿宋" w:hAnsi="仿宋" w:eastAsia="仿宋" w:cs="仿宋"/>
          <w:color w:val="auto"/>
          <w:sz w:val="24"/>
          <w:szCs w:val="24"/>
          <w:highlight w:val="none"/>
        </w:rPr>
      </w:pPr>
      <w:bookmarkStart w:id="352" w:name="_Toc489197833"/>
      <w:bookmarkStart w:id="353" w:name="_Toc489145729"/>
      <w:bookmarkStart w:id="354" w:name="_Toc528186477"/>
      <w:bookmarkStart w:id="355" w:name="_Toc246996944"/>
      <w:bookmarkStart w:id="356" w:name="_Toc247085715"/>
      <w:bookmarkStart w:id="357" w:name="_Toc246996201"/>
      <w:bookmarkStart w:id="358" w:name="_Toc152042333"/>
      <w:bookmarkStart w:id="359" w:name="_Toc152045557"/>
      <w:bookmarkStart w:id="360" w:name="_Toc179632575"/>
      <w:bookmarkStart w:id="361" w:name="_Toc144974525"/>
      <w:r>
        <w:rPr>
          <w:rFonts w:hint="eastAsia" w:ascii="仿宋" w:hAnsi="仿宋" w:eastAsia="仿宋" w:cs="仿宋"/>
          <w:color w:val="auto"/>
          <w:sz w:val="24"/>
          <w:szCs w:val="24"/>
          <w:highlight w:val="none"/>
        </w:rPr>
        <w:t>21.1投标文件的密封：投标人应将通</w:t>
      </w:r>
      <w:r>
        <w:rPr>
          <w:rFonts w:hint="eastAsia" w:ascii="仿宋" w:hAnsi="仿宋" w:eastAsia="仿宋" w:cs="仿宋"/>
          <w:b w:val="0"/>
          <w:bCs w:val="0"/>
          <w:color w:val="auto"/>
          <w:sz w:val="24"/>
          <w:szCs w:val="24"/>
          <w:highlight w:val="none"/>
        </w:rPr>
        <w:t>过</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color w:val="auto"/>
          <w:sz w:val="24"/>
          <w:szCs w:val="24"/>
          <w:highlight w:val="none"/>
        </w:rPr>
        <w:t>提交加密的电子投标文件</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"http://www.ynggzyxx.gov.cn/zfcg-tb）提交的电子投标文件进行加密。"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w:t>
      </w:r>
      <w:bookmarkStart w:id="362" w:name="_Toc17219"/>
      <w:bookmarkStart w:id="363" w:name="_Toc34"/>
      <w:bookmarkStart w:id="364" w:name="_Toc1260"/>
      <w:r>
        <w:rPr>
          <w:rFonts w:hint="eastAsia" w:ascii="仿宋" w:hAnsi="仿宋" w:eastAsia="仿宋" w:cs="仿宋"/>
          <w:color w:val="auto"/>
          <w:sz w:val="24"/>
          <w:szCs w:val="24"/>
          <w:highlight w:val="none"/>
        </w:rPr>
        <w:fldChar w:fldCharType="end"/>
      </w:r>
    </w:p>
    <w:p w14:paraId="24B4AC52">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21.2网上开标及远程解密：</w:t>
      </w:r>
    </w:p>
    <w:p w14:paraId="0A9C03F3">
      <w:pPr>
        <w:shd w:val="clear"/>
        <w:spacing w:line="360" w:lineRule="auto"/>
        <w:ind w:firstLine="4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（1）投标人登录</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color w:val="auto"/>
          <w:sz w:val="24"/>
          <w:szCs w:val="24"/>
          <w:highlight w:val="none"/>
        </w:rPr>
        <w:t>，完成远程解密、查看开标一览表等相关操作。本项目解密时间为</w:t>
      </w:r>
      <w:r>
        <w:rPr>
          <w:rFonts w:hint="eastAsia" w:ascii="仿宋" w:hAnsi="仿宋" w:eastAsia="仿宋" w:cs="仿宋"/>
          <w:color w:val="auto"/>
          <w:sz w:val="24"/>
          <w:szCs w:val="24"/>
          <w:highlight w:val="none"/>
          <w:lang w:val="en-US" w:eastAsia="zh-CN"/>
        </w:rPr>
        <w:t>30分钟</w:t>
      </w:r>
      <w:r>
        <w:rPr>
          <w:rFonts w:hint="eastAsia" w:ascii="仿宋" w:hAnsi="仿宋" w:eastAsia="仿宋" w:cs="仿宋"/>
          <w:color w:val="auto"/>
          <w:sz w:val="24"/>
          <w:szCs w:val="24"/>
          <w:highlight w:val="none"/>
        </w:rPr>
        <w:t>，若投标人未在规定时间完成所有投标文件解密，则视为无效投标，不再进入评标阶段。</w:t>
      </w:r>
    </w:p>
    <w:p w14:paraId="12CBC30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（2）因开标系统、开标现场网络、设备及其他特殊原因，导致不能正常解密投标文件的，经核实和上报相关部门同意后，可再次下达网上解密指令来延长解密时间。</w:t>
      </w:r>
    </w:p>
    <w:p w14:paraId="0784094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（3）开标过程中如有问题，可以在线提出异议，由代理机构给予回复。在规定的异议询问时间内未提出异议的，则视为对开标结果无异议。</w:t>
      </w:r>
    </w:p>
    <w:p w14:paraId="0A108AF1">
      <w:pPr>
        <w:numPr>
          <w:ilvl w:val="0"/>
          <w:numId w:val="0"/>
        </w:num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22.投标文件的提交</w:t>
      </w:r>
      <w:bookmarkEnd w:id="352"/>
      <w:bookmarkEnd w:id="353"/>
      <w:bookmarkEnd w:id="354"/>
      <w:bookmarkEnd w:id="362"/>
      <w:bookmarkEnd w:id="363"/>
      <w:bookmarkEnd w:id="364"/>
    </w:p>
    <w:p w14:paraId="68BD3162">
      <w:pPr>
        <w:shd w:val="clear"/>
        <w:spacing w:line="360" w:lineRule="auto"/>
        <w:ind w:firstLine="420"/>
        <w:jc w:val="left"/>
        <w:rPr>
          <w:rFonts w:hint="eastAsia" w:ascii="仿宋" w:hAnsi="仿宋" w:eastAsia="仿宋" w:cs="仿宋"/>
          <w:color w:val="auto"/>
          <w:sz w:val="24"/>
          <w:szCs w:val="24"/>
          <w:highlight w:val="none"/>
        </w:rPr>
      </w:pPr>
      <w:bookmarkStart w:id="365" w:name="_Toc296602445"/>
      <w:r>
        <w:rPr>
          <w:rFonts w:hint="eastAsia" w:ascii="仿宋" w:hAnsi="仿宋" w:eastAsia="仿宋" w:cs="仿宋"/>
          <w:color w:val="auto"/>
          <w:sz w:val="24"/>
          <w:szCs w:val="24"/>
          <w:highlight w:val="none"/>
        </w:rPr>
        <w:t>22.1投标文件提</w:t>
      </w:r>
      <w:bookmarkEnd w:id="355"/>
      <w:bookmarkEnd w:id="356"/>
      <w:bookmarkEnd w:id="357"/>
      <w:bookmarkEnd w:id="358"/>
      <w:bookmarkEnd w:id="359"/>
      <w:bookmarkEnd w:id="360"/>
      <w:bookmarkEnd w:id="361"/>
      <w:bookmarkEnd w:id="365"/>
      <w:r>
        <w:rPr>
          <w:rFonts w:hint="eastAsia" w:ascii="仿宋" w:hAnsi="仿宋" w:eastAsia="仿宋" w:cs="仿宋"/>
          <w:color w:val="auto"/>
          <w:sz w:val="24"/>
          <w:szCs w:val="24"/>
          <w:highlight w:val="none"/>
        </w:rPr>
        <w:t>交截止时间、提交投标文件的地点：详见《投标人须知前附表》</w:t>
      </w:r>
    </w:p>
    <w:p w14:paraId="0C0B6C6C">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22.2本项目采用电子招标投标，投标人电子投标文件通过</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color w:val="auto"/>
          <w:sz w:val="24"/>
          <w:szCs w:val="24"/>
          <w:highlight w:val="none"/>
        </w:rPr>
        <w:t>提交，电子投标文件提交截止时间前未完成电子投标文件传输的，视为撤回投标文件。</w:t>
      </w:r>
    </w:p>
    <w:p w14:paraId="694FA9A5">
      <w:pPr>
        <w:numPr>
          <w:ilvl w:val="0"/>
          <w:numId w:val="0"/>
        </w:numPr>
        <w:shd w:val="clear"/>
        <w:spacing w:line="360" w:lineRule="auto"/>
        <w:rPr>
          <w:rFonts w:hint="eastAsia" w:ascii="仿宋" w:hAnsi="仿宋" w:eastAsia="仿宋" w:cs="仿宋"/>
          <w:color w:val="auto"/>
          <w:sz w:val="24"/>
          <w:szCs w:val="24"/>
          <w:highlight w:val="none"/>
        </w:rPr>
      </w:pPr>
      <w:bookmarkStart w:id="366" w:name="_Toc14578"/>
      <w:bookmarkStart w:id="367" w:name="_Toc8866"/>
      <w:bookmarkStart w:id="368" w:name="_Toc489145730"/>
      <w:bookmarkStart w:id="369" w:name="_Toc21225"/>
      <w:bookmarkStart w:id="370" w:name="_Toc528186478"/>
      <w:bookmarkStart w:id="371" w:name="_Toc489197834"/>
      <w:r>
        <w:rPr>
          <w:rFonts w:hint="eastAsia" w:ascii="仿宋" w:hAnsi="仿宋" w:eastAsia="仿宋" w:cs="仿宋"/>
          <w:color w:val="auto"/>
          <w:sz w:val="24"/>
          <w:szCs w:val="24"/>
          <w:highlight w:val="none"/>
        </w:rPr>
        <w:t>23.投标文件的补充、</w:t>
      </w:r>
      <w:bookmarkStart w:id="372" w:name="_Toc152045558"/>
      <w:bookmarkStart w:id="373" w:name="_Toc152042334"/>
      <w:bookmarkStart w:id="374" w:name="_Toc246996202"/>
      <w:bookmarkStart w:id="375" w:name="_Toc247085716"/>
      <w:bookmarkStart w:id="376" w:name="_Toc144974526"/>
      <w:bookmarkStart w:id="377" w:name="_Toc296602446"/>
      <w:bookmarkStart w:id="378" w:name="_Toc246996945"/>
      <w:bookmarkStart w:id="379" w:name="_Toc179632576"/>
      <w:r>
        <w:rPr>
          <w:rFonts w:hint="eastAsia" w:ascii="仿宋" w:hAnsi="仿宋" w:eastAsia="仿宋" w:cs="仿宋"/>
          <w:color w:val="auto"/>
          <w:sz w:val="24"/>
          <w:szCs w:val="24"/>
          <w:highlight w:val="none"/>
        </w:rPr>
        <w:t>修改或者撤回</w:t>
      </w:r>
      <w:bookmarkEnd w:id="366"/>
      <w:bookmarkEnd w:id="367"/>
      <w:bookmarkEnd w:id="368"/>
      <w:bookmarkEnd w:id="369"/>
      <w:bookmarkEnd w:id="370"/>
      <w:bookmarkEnd w:id="371"/>
    </w:p>
    <w:p w14:paraId="3FEC5238">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bookmarkEnd w:id="372"/>
      <w:bookmarkEnd w:id="373"/>
      <w:bookmarkEnd w:id="374"/>
      <w:bookmarkEnd w:id="375"/>
      <w:bookmarkEnd w:id="376"/>
      <w:bookmarkEnd w:id="377"/>
      <w:bookmarkEnd w:id="378"/>
      <w:bookmarkEnd w:id="379"/>
      <w:r>
        <w:rPr>
          <w:rFonts w:hint="eastAsia" w:ascii="仿宋" w:hAnsi="仿宋" w:eastAsia="仿宋" w:cs="仿宋"/>
          <w:color w:val="auto"/>
          <w:sz w:val="24"/>
          <w:szCs w:val="24"/>
          <w:highlight w:val="none"/>
        </w:rPr>
        <w:t>.1投标人在投标截止时间前，可以对所提交的投标文件进行补充、修改或者撤回，并书面通知采购人或者采购代理机构。补充、修改的内容应当按照招标文件要求签署、盖章、密封后，作为投标文件的组成部分。</w:t>
      </w:r>
    </w:p>
    <w:p w14:paraId="1A1D2BF8">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23.2投标人在投标截止时间前撤回已提交的投标文件的，采购人或者采购代理机构将自收到投标人书面撤回通知之日起5个工作日内，退还已收取的投标保证金，但因投标人自身原因导致无法及时退还的除外。</w:t>
      </w:r>
    </w:p>
    <w:p w14:paraId="3417E7CC">
      <w:pPr>
        <w:pStyle w:val="4"/>
        <w:shd w:val="clear"/>
        <w:spacing w:line="360" w:lineRule="auto"/>
        <w:ind w:firstLine="643"/>
        <w:jc w:val="center"/>
        <w:outlineLvl w:val="1"/>
        <w:rPr>
          <w:rFonts w:hint="eastAsia" w:ascii="仿宋" w:hAnsi="仿宋" w:eastAsia="仿宋" w:cs="仿宋"/>
          <w:color w:val="auto"/>
          <w:sz w:val="30"/>
          <w:szCs w:val="30"/>
          <w:highlight w:val="none"/>
        </w:rPr>
      </w:pPr>
      <w:bookmarkStart w:id="380" w:name="_Toc489197835"/>
      <w:bookmarkStart w:id="381" w:name="_Toc31068"/>
      <w:bookmarkStart w:id="382" w:name="_Toc488633608"/>
      <w:bookmarkStart w:id="383" w:name="_Toc17571"/>
      <w:bookmarkStart w:id="384" w:name="_Toc489145731"/>
      <w:bookmarkStart w:id="385" w:name="_Toc15436"/>
      <w:bookmarkStart w:id="386" w:name="_Toc23680"/>
      <w:bookmarkStart w:id="387" w:name="_Toc528186479"/>
      <w:bookmarkStart w:id="388" w:name="_Toc26035"/>
      <w:bookmarkStart w:id="389" w:name="_Toc10252"/>
      <w:r>
        <w:rPr>
          <w:rFonts w:hint="eastAsia" w:ascii="仿宋" w:hAnsi="仿宋" w:eastAsia="仿宋" w:cs="仿宋"/>
          <w:color w:val="auto"/>
          <w:sz w:val="30"/>
          <w:szCs w:val="30"/>
          <w:highlight w:val="none"/>
        </w:rPr>
        <w:t>五、开标</w:t>
      </w:r>
      <w:bookmarkEnd w:id="380"/>
      <w:bookmarkEnd w:id="381"/>
      <w:bookmarkEnd w:id="382"/>
      <w:bookmarkEnd w:id="383"/>
      <w:bookmarkEnd w:id="384"/>
      <w:bookmarkEnd w:id="385"/>
      <w:bookmarkEnd w:id="386"/>
      <w:bookmarkEnd w:id="387"/>
      <w:bookmarkEnd w:id="388"/>
      <w:bookmarkEnd w:id="389"/>
    </w:p>
    <w:p w14:paraId="21463ACA">
      <w:pPr>
        <w:numPr>
          <w:ilvl w:val="0"/>
          <w:numId w:val="0"/>
        </w:numPr>
        <w:shd w:val="clear"/>
        <w:spacing w:line="360" w:lineRule="auto"/>
        <w:rPr>
          <w:rFonts w:hint="eastAsia" w:ascii="仿宋" w:hAnsi="仿宋" w:eastAsia="仿宋" w:cs="仿宋"/>
          <w:color w:val="auto"/>
          <w:sz w:val="24"/>
          <w:szCs w:val="24"/>
          <w:highlight w:val="none"/>
        </w:rPr>
      </w:pPr>
      <w:bookmarkStart w:id="390" w:name="_Toc14804"/>
      <w:bookmarkStart w:id="391" w:name="_Toc14962"/>
      <w:bookmarkStart w:id="392" w:name="_Toc28158"/>
      <w:bookmarkStart w:id="393" w:name="_Toc489145732"/>
      <w:bookmarkStart w:id="394" w:name="_Toc528186480"/>
      <w:bookmarkStart w:id="395" w:name="_Toc489197836"/>
      <w:r>
        <w:rPr>
          <w:rFonts w:hint="eastAsia" w:ascii="仿宋" w:hAnsi="仿宋" w:eastAsia="仿宋" w:cs="仿宋"/>
          <w:color w:val="auto"/>
          <w:sz w:val="24"/>
          <w:szCs w:val="24"/>
          <w:highlight w:val="none"/>
        </w:rPr>
        <w:t>24.开标</w:t>
      </w:r>
      <w:bookmarkEnd w:id="390"/>
      <w:bookmarkEnd w:id="391"/>
      <w:bookmarkEnd w:id="392"/>
      <w:bookmarkEnd w:id="393"/>
      <w:bookmarkEnd w:id="394"/>
      <w:bookmarkEnd w:id="395"/>
    </w:p>
    <w:p w14:paraId="25125412">
      <w:pPr>
        <w:shd w:val="clear"/>
        <w:spacing w:line="360" w:lineRule="auto"/>
        <w:ind w:firstLine="420"/>
        <w:jc w:val="left"/>
        <w:rPr>
          <w:rFonts w:hint="eastAsia" w:ascii="仿宋" w:hAnsi="仿宋" w:eastAsia="仿宋" w:cs="仿宋"/>
          <w:color w:val="auto"/>
          <w:sz w:val="24"/>
          <w:szCs w:val="24"/>
          <w:highlight w:val="none"/>
        </w:rPr>
      </w:pPr>
      <w:bookmarkStart w:id="396" w:name="_Toc179632577"/>
      <w:bookmarkStart w:id="397" w:name="_Toc480817647"/>
      <w:bookmarkStart w:id="398" w:name="_Toc296602447"/>
      <w:bookmarkStart w:id="399" w:name="_Toc378239355"/>
      <w:bookmarkStart w:id="400" w:name="_Toc378239174"/>
      <w:bookmarkStart w:id="401" w:name="_Toc152042335"/>
      <w:bookmarkStart w:id="402" w:name="_Toc29395"/>
      <w:bookmarkStart w:id="403" w:name="_Toc246996946"/>
      <w:bookmarkStart w:id="404" w:name="_Toc247085717"/>
      <w:bookmarkStart w:id="405" w:name="_Toc144974527"/>
      <w:bookmarkStart w:id="406" w:name="_Toc378239082"/>
      <w:bookmarkStart w:id="407" w:name="_Toc152045559"/>
      <w:bookmarkStart w:id="408" w:name="_Toc401342138"/>
      <w:bookmarkStart w:id="409" w:name="_Toc246996203"/>
      <w:r>
        <w:rPr>
          <w:rFonts w:hint="eastAsia" w:ascii="仿宋" w:hAnsi="仿宋" w:eastAsia="仿宋" w:cs="仿宋"/>
          <w:color w:val="auto"/>
          <w:sz w:val="24"/>
          <w:szCs w:val="24"/>
          <w:highlight w:val="none"/>
        </w:rPr>
        <w:t>24.1</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Pr>
          <w:rFonts w:hint="eastAsia" w:ascii="仿宋" w:hAnsi="仿宋" w:eastAsia="仿宋" w:cs="仿宋"/>
          <w:color w:val="auto"/>
          <w:sz w:val="24"/>
          <w:szCs w:val="24"/>
          <w:highlight w:val="none"/>
        </w:rPr>
        <w:t>开</w:t>
      </w:r>
      <w:bookmarkStart w:id="410" w:name="_Toc152045560"/>
      <w:bookmarkStart w:id="411" w:name="_Toc246996204"/>
      <w:bookmarkStart w:id="412" w:name="_Toc296602448"/>
      <w:bookmarkStart w:id="413" w:name="_Toc152042336"/>
      <w:bookmarkStart w:id="414" w:name="_Toc246996947"/>
      <w:bookmarkStart w:id="415" w:name="_Toc247085718"/>
      <w:bookmarkStart w:id="416" w:name="_Toc144974528"/>
      <w:bookmarkStart w:id="417" w:name="_Toc179632578"/>
      <w:r>
        <w:rPr>
          <w:rFonts w:hint="eastAsia" w:ascii="仿宋" w:hAnsi="仿宋" w:eastAsia="仿宋" w:cs="仿宋"/>
          <w:color w:val="auto"/>
          <w:sz w:val="24"/>
          <w:szCs w:val="24"/>
          <w:highlight w:val="none"/>
        </w:rPr>
        <w:t>标将在招标文</w:t>
      </w:r>
      <w:bookmarkEnd w:id="410"/>
      <w:bookmarkEnd w:id="411"/>
      <w:bookmarkEnd w:id="412"/>
      <w:bookmarkEnd w:id="413"/>
      <w:bookmarkEnd w:id="414"/>
      <w:bookmarkEnd w:id="415"/>
      <w:bookmarkEnd w:id="416"/>
      <w:bookmarkEnd w:id="417"/>
      <w:r>
        <w:rPr>
          <w:rFonts w:hint="eastAsia" w:ascii="仿宋" w:hAnsi="仿宋" w:eastAsia="仿宋" w:cs="仿宋"/>
          <w:color w:val="auto"/>
          <w:sz w:val="24"/>
          <w:szCs w:val="24"/>
          <w:highlight w:val="none"/>
        </w:rPr>
        <w:t>件确定的提交投标文件截止时间的同一时间进行。开标地点为招标文件中预先确定的地点。</w:t>
      </w:r>
    </w:p>
    <w:p w14:paraId="25AECC9F">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24.2开标时，由采购人或者采购代理机构工作人员当众宣布投标人名称、投标价格和招标文件规定的需要宣布的其他内容。投标人不足3家的，不得开标。</w:t>
      </w:r>
    </w:p>
    <w:p w14:paraId="7848B515">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24.3投标人的</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或委托代理人应参加开标会，投标人代表对开标过程和开标记录有疑义，以及认为采购人、采购代理机构相关工作人员有需要回避的情形的，应当场提出询问或者回避申请。采购人、采购代理机构对投标人代表提出的询问或者回避申请将及时进行处理。</w:t>
      </w:r>
    </w:p>
    <w:p w14:paraId="65AE04F2">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24.4如投标人代表未参加开标或未对开标过程和开标记录提出异议，视同认可开标结果，由此产生的后果由投标人自行负责。</w:t>
      </w:r>
    </w:p>
    <w:p w14:paraId="0601DA1D">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24.5开标程序</w:t>
      </w:r>
    </w:p>
    <w:p w14:paraId="37E5D7B4">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开标会由采购代理机构主持，</w:t>
      </w:r>
      <w:r>
        <w:rPr>
          <w:rFonts w:hint="eastAsia" w:ascii="仿宋" w:hAnsi="仿宋" w:eastAsia="仿宋" w:cs="仿宋"/>
          <w:color w:val="auto"/>
          <w:sz w:val="24"/>
          <w:highlight w:val="none"/>
        </w:rPr>
        <w:t>开标时</w:t>
      </w:r>
      <w:r>
        <w:rPr>
          <w:rFonts w:hint="eastAsia" w:ascii="仿宋" w:hAnsi="仿宋" w:eastAsia="仿宋" w:cs="仿宋"/>
          <w:color w:val="auto"/>
          <w:sz w:val="24"/>
          <w:highlight w:val="none"/>
          <w:lang w:val="en-US" w:eastAsia="zh-CN"/>
        </w:rPr>
        <w:t>政采云平台</w:t>
      </w:r>
      <w:r>
        <w:rPr>
          <w:rFonts w:hint="eastAsia" w:ascii="仿宋" w:hAnsi="仿宋" w:eastAsia="仿宋" w:cs="仿宋"/>
          <w:color w:val="auto"/>
          <w:sz w:val="24"/>
          <w:highlight w:val="none"/>
        </w:rPr>
        <w:t>自动提取所有投标文件，提示招标人和投标人按招标文件规定方式按时在线解密。解密全部完成后，应当向所有投标人公布投标人名称、投标价格和招标文件规定的其他内容</w:t>
      </w:r>
      <w:r>
        <w:rPr>
          <w:rFonts w:hint="eastAsia" w:ascii="仿宋" w:hAnsi="仿宋" w:eastAsia="仿宋" w:cs="仿宋"/>
          <w:color w:val="auto"/>
          <w:sz w:val="24"/>
          <w:szCs w:val="24"/>
          <w:highlight w:val="none"/>
        </w:rPr>
        <w:t>。</w:t>
      </w:r>
    </w:p>
    <w:p w14:paraId="37D42D8C">
      <w:pPr>
        <w:shd w:val="clear"/>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24.6投标文件报价出现前后不一致的，按照下列规定修正：</w:t>
      </w:r>
    </w:p>
    <w:p w14:paraId="1DF24195">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（一）投标文件中开标一览表（报价表）内容与投标文件中相应内容不一致的，以开标一览表（报价表）为准；</w:t>
      </w:r>
    </w:p>
    <w:p w14:paraId="7075C565">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（二）大写金额和小写金额不一致的，以大写金额为准；</w:t>
      </w:r>
    </w:p>
    <w:p w14:paraId="306CF99B">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（三）单价金额小数点或者百分比有明显错位的，以开标一览表的总价为准，并修改单价；</w:t>
      </w:r>
    </w:p>
    <w:p w14:paraId="57EBDBE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（四）总价金额与按单价汇总金额不一致的，以单价金额计算结果为准。</w:t>
      </w:r>
    </w:p>
    <w:p w14:paraId="7B74500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同时出现两种以上不一致的，按照前款规定的顺序修正。修正后的报价按照招标文件规定并经投标人确认后产生约束力，投标人不确认的，其投标无效。</w:t>
      </w:r>
    </w:p>
    <w:p w14:paraId="6FDB20E1">
      <w:pPr>
        <w:pStyle w:val="4"/>
        <w:shd w:val="clear"/>
        <w:spacing w:line="360" w:lineRule="auto"/>
        <w:ind w:firstLine="643"/>
        <w:jc w:val="center"/>
        <w:outlineLvl w:val="1"/>
        <w:rPr>
          <w:rFonts w:hint="eastAsia" w:ascii="仿宋" w:hAnsi="仿宋" w:eastAsia="仿宋" w:cs="仿宋"/>
          <w:color w:val="auto"/>
          <w:sz w:val="30"/>
          <w:szCs w:val="30"/>
          <w:highlight w:val="none"/>
        </w:rPr>
      </w:pPr>
      <w:bookmarkStart w:id="418" w:name="_Toc19622"/>
      <w:r>
        <w:rPr>
          <w:rFonts w:hint="eastAsia" w:ascii="仿宋" w:hAnsi="仿宋" w:eastAsia="仿宋" w:cs="仿宋"/>
          <w:color w:val="auto"/>
          <w:sz w:val="30"/>
          <w:szCs w:val="30"/>
          <w:highlight w:val="none"/>
        </w:rPr>
        <w:t>六、评标</w:t>
      </w:r>
      <w:bookmarkEnd w:id="418"/>
    </w:p>
    <w:p w14:paraId="7A112BE8">
      <w:pPr>
        <w:numPr>
          <w:ilvl w:val="0"/>
          <w:numId w:val="0"/>
        </w:numPr>
        <w:shd w:val="clear"/>
        <w:spacing w:line="360" w:lineRule="auto"/>
        <w:rPr>
          <w:rFonts w:hint="eastAsia" w:ascii="仿宋" w:hAnsi="仿宋" w:eastAsia="仿宋" w:cs="仿宋"/>
          <w:color w:val="auto"/>
          <w:sz w:val="24"/>
          <w:szCs w:val="24"/>
          <w:highlight w:val="none"/>
        </w:rPr>
      </w:pPr>
      <w:bookmarkStart w:id="419" w:name="_Toc489145734"/>
      <w:bookmarkStart w:id="420" w:name="_Toc32433"/>
      <w:bookmarkStart w:id="421" w:name="_Toc489197838"/>
      <w:bookmarkStart w:id="422" w:name="_Toc12001"/>
      <w:bookmarkStart w:id="423" w:name="_Toc11345"/>
      <w:bookmarkStart w:id="424" w:name="_Toc528186482"/>
      <w:r>
        <w:rPr>
          <w:rFonts w:hint="eastAsia" w:ascii="仿宋" w:hAnsi="仿宋" w:eastAsia="仿宋" w:cs="仿宋"/>
          <w:color w:val="auto"/>
          <w:sz w:val="24"/>
          <w:szCs w:val="24"/>
          <w:highlight w:val="none"/>
        </w:rPr>
        <w:t>25.评标</w:t>
      </w:r>
      <w:bookmarkEnd w:id="419"/>
      <w:bookmarkEnd w:id="420"/>
      <w:bookmarkEnd w:id="421"/>
      <w:bookmarkEnd w:id="422"/>
      <w:bookmarkEnd w:id="423"/>
      <w:bookmarkEnd w:id="424"/>
    </w:p>
    <w:p w14:paraId="2EABDE44">
      <w:pPr>
        <w:shd w:val="clear"/>
        <w:spacing w:line="360" w:lineRule="auto"/>
        <w:ind w:firstLine="480" w:firstLineChars="200"/>
        <w:jc w:val="left"/>
        <w:rPr>
          <w:rFonts w:hint="eastAsia" w:ascii="仿宋" w:hAnsi="仿宋" w:eastAsia="仿宋" w:cs="仿宋"/>
          <w:color w:val="auto"/>
          <w:sz w:val="24"/>
          <w:szCs w:val="24"/>
          <w:highlight w:val="none"/>
        </w:rPr>
      </w:pPr>
      <w:bookmarkStart w:id="425" w:name="_Toc296602451"/>
      <w:bookmarkStart w:id="426" w:name="_Toc1045"/>
      <w:bookmarkStart w:id="427" w:name="_Toc246996206"/>
      <w:bookmarkStart w:id="428" w:name="_Toc401342139"/>
      <w:bookmarkStart w:id="429" w:name="_Toc480817648"/>
      <w:bookmarkStart w:id="430" w:name="_Toc152042338"/>
      <w:bookmarkStart w:id="431" w:name="_Toc152045562"/>
      <w:bookmarkStart w:id="432" w:name="_Toc378239175"/>
      <w:bookmarkStart w:id="433" w:name="_Toc247085720"/>
      <w:bookmarkStart w:id="434" w:name="_Toc378239083"/>
      <w:bookmarkStart w:id="435" w:name="_Toc246996949"/>
      <w:bookmarkStart w:id="436" w:name="_Toc378239356"/>
      <w:bookmarkStart w:id="437" w:name="_Toc144974530"/>
      <w:bookmarkStart w:id="438" w:name="_Toc179632580"/>
      <w:r>
        <w:rPr>
          <w:rFonts w:hint="eastAsia" w:ascii="仿宋" w:hAnsi="仿宋" w:eastAsia="仿宋" w:cs="仿宋"/>
          <w:color w:val="auto"/>
          <w:sz w:val="24"/>
          <w:szCs w:val="24"/>
          <w:highlight w:val="none"/>
        </w:rPr>
        <w:t>25.1</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Pr>
          <w:rFonts w:hint="eastAsia" w:ascii="仿宋" w:hAnsi="仿宋" w:eastAsia="仿宋" w:cs="仿宋"/>
          <w:color w:val="auto"/>
          <w:sz w:val="24"/>
          <w:szCs w:val="24"/>
          <w:highlight w:val="none"/>
        </w:rPr>
        <w:t>开</w:t>
      </w:r>
      <w:bookmarkStart w:id="439" w:name="_Toc179632581"/>
      <w:bookmarkStart w:id="440" w:name="_Toc246996207"/>
      <w:bookmarkStart w:id="441" w:name="_Toc144974531"/>
      <w:bookmarkStart w:id="442" w:name="_Toc152045563"/>
      <w:bookmarkStart w:id="443" w:name="_Toc246996950"/>
      <w:bookmarkStart w:id="444" w:name="_Toc247085721"/>
      <w:bookmarkStart w:id="445" w:name="_Toc296602452"/>
      <w:bookmarkStart w:id="446" w:name="_Toc152042339"/>
      <w:r>
        <w:rPr>
          <w:rFonts w:hint="eastAsia" w:ascii="仿宋" w:hAnsi="仿宋" w:eastAsia="仿宋" w:cs="仿宋"/>
          <w:color w:val="auto"/>
          <w:sz w:val="24"/>
          <w:szCs w:val="24"/>
          <w:highlight w:val="none"/>
        </w:rPr>
        <w:t>标结束后，采</w:t>
      </w:r>
      <w:bookmarkEnd w:id="439"/>
      <w:bookmarkEnd w:id="440"/>
      <w:bookmarkEnd w:id="441"/>
      <w:bookmarkEnd w:id="442"/>
      <w:bookmarkEnd w:id="443"/>
      <w:bookmarkEnd w:id="444"/>
      <w:bookmarkEnd w:id="445"/>
      <w:bookmarkEnd w:id="446"/>
      <w:r>
        <w:rPr>
          <w:rFonts w:hint="eastAsia" w:ascii="仿宋" w:hAnsi="仿宋" w:eastAsia="仿宋" w:cs="仿宋"/>
          <w:color w:val="auto"/>
          <w:sz w:val="24"/>
          <w:szCs w:val="24"/>
          <w:highlight w:val="none"/>
        </w:rPr>
        <w:t>购人或者采购代理机构将根据招标文件规定，依法对投标人的资格进行审查。合格投标人不足3家的，不得评标。</w:t>
      </w:r>
    </w:p>
    <w:p w14:paraId="263F64C4">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25.2评标委员会由采购人代表和评审专家组成，成员人数为</w:t>
      </w:r>
      <w:r>
        <w:rPr>
          <w:rFonts w:hint="eastAsia" w:ascii="仿宋" w:hAnsi="仿宋" w:eastAsia="仿宋" w:cs="仿宋"/>
          <w:color w:val="auto"/>
          <w:sz w:val="24"/>
          <w:szCs w:val="24"/>
          <w:highlight w:val="none"/>
          <w:lang w:val="en-US" w:eastAsia="zh-CN"/>
        </w:rPr>
        <w:t>5人及以上单数</w:t>
      </w:r>
      <w:r>
        <w:rPr>
          <w:rFonts w:hint="eastAsia" w:ascii="仿宋" w:hAnsi="仿宋" w:eastAsia="仿宋" w:cs="仿宋"/>
          <w:color w:val="auto"/>
          <w:sz w:val="24"/>
          <w:szCs w:val="24"/>
          <w:highlight w:val="none"/>
        </w:rPr>
        <w:t>，其中评审专家不得少于成员总数的三分之二。评标委员会应当推选组长，但采购人代表不得担任组长。</w:t>
      </w:r>
    </w:p>
    <w:p w14:paraId="6DBE86F2">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25.3采购人委派代表参加评标委员会的，要向采购代理机构出具授权函。除授权代表外，采购人可以委派纪检监察等相关人员进入评审现场，对评审工作实施监督，但不得超过2人。</w:t>
      </w:r>
    </w:p>
    <w:p w14:paraId="6D47E3E4">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25.4评标活动遵循公平</w:t>
      </w:r>
      <w:bookmarkStart w:id="447" w:name="_Toc296602454"/>
      <w:bookmarkStart w:id="448" w:name="_Toc152042341"/>
      <w:bookmarkStart w:id="449" w:name="_Toc179632583"/>
      <w:bookmarkStart w:id="450" w:name="_Toc246996952"/>
      <w:bookmarkStart w:id="451" w:name="_Toc152045565"/>
      <w:bookmarkStart w:id="452" w:name="_Toc144974533"/>
      <w:bookmarkStart w:id="453" w:name="_Toc247085723"/>
      <w:bookmarkStart w:id="454" w:name="_Toc246996209"/>
      <w:r>
        <w:rPr>
          <w:rFonts w:hint="eastAsia" w:ascii="仿宋" w:hAnsi="仿宋" w:eastAsia="仿宋" w:cs="仿宋"/>
          <w:color w:val="auto"/>
          <w:sz w:val="24"/>
          <w:szCs w:val="24"/>
          <w:highlight w:val="none"/>
        </w:rPr>
        <w:t>、公正、科学和择优的原则。</w:t>
      </w:r>
    </w:p>
    <w:p w14:paraId="0814E018">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25.5评标委员会各成员</w:t>
      </w:r>
      <w:bookmarkEnd w:id="447"/>
      <w:bookmarkEnd w:id="448"/>
      <w:bookmarkEnd w:id="449"/>
      <w:bookmarkEnd w:id="450"/>
      <w:bookmarkEnd w:id="451"/>
      <w:bookmarkEnd w:id="452"/>
      <w:bookmarkEnd w:id="453"/>
      <w:bookmarkEnd w:id="454"/>
      <w:r>
        <w:rPr>
          <w:rFonts w:hint="eastAsia" w:ascii="仿宋" w:hAnsi="仿宋" w:eastAsia="仿宋" w:cs="仿宋"/>
          <w:color w:val="auto"/>
          <w:sz w:val="24"/>
          <w:szCs w:val="24"/>
          <w:highlight w:val="none"/>
        </w:rPr>
        <w:t>根据政府采购法律法规按照招标文件规定的评标方法和标准，独立对符合性审查合格的投标文件进行</w:t>
      </w:r>
      <w:r>
        <w:rPr>
          <w:rFonts w:hint="eastAsia" w:ascii="仿宋" w:hAnsi="仿宋" w:eastAsia="仿宋" w:cs="仿宋"/>
          <w:color w:val="auto"/>
          <w:sz w:val="24"/>
          <w:szCs w:val="24"/>
          <w:highlight w:val="none"/>
          <w:lang w:val="en-US" w:eastAsia="zh-CN"/>
        </w:rPr>
        <w:t>投标报价、</w:t>
      </w:r>
      <w:r>
        <w:rPr>
          <w:rFonts w:hint="eastAsia" w:ascii="仿宋" w:hAnsi="仿宋" w:eastAsia="仿宋" w:cs="仿宋"/>
          <w:color w:val="auto"/>
          <w:sz w:val="24"/>
          <w:szCs w:val="24"/>
          <w:highlight w:val="none"/>
        </w:rPr>
        <w:t>技术</w:t>
      </w:r>
      <w:r>
        <w:rPr>
          <w:rFonts w:hint="eastAsia" w:ascii="仿宋" w:hAnsi="仿宋" w:eastAsia="仿宋" w:cs="仿宋"/>
          <w:color w:val="auto"/>
          <w:sz w:val="24"/>
          <w:szCs w:val="24"/>
          <w:highlight w:val="none"/>
          <w:lang w:val="en-US" w:eastAsia="zh-CN"/>
        </w:rPr>
        <w:t>和商务</w:t>
      </w:r>
      <w:r>
        <w:rPr>
          <w:rFonts w:hint="eastAsia" w:ascii="仿宋" w:hAnsi="仿宋" w:eastAsia="仿宋" w:cs="仿宋"/>
          <w:color w:val="auto"/>
          <w:sz w:val="24"/>
          <w:szCs w:val="24"/>
          <w:highlight w:val="none"/>
        </w:rPr>
        <w:t>评估，综合比较与评价，并汇总每个投标人的得分。招标文件中没有规定的方法、评审因素和标准，不作为评标依据。</w:t>
      </w:r>
    </w:p>
    <w:p w14:paraId="0B27D65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25.6评标过程的保密</w:t>
      </w:r>
    </w:p>
    <w:p w14:paraId="64AF63B4">
      <w:pPr>
        <w:shd w:val="clear"/>
        <w:spacing w:line="360" w:lineRule="auto"/>
        <w:ind w:firstLine="480" w:firstLineChars="200"/>
        <w:jc w:val="left"/>
        <w:rPr>
          <w:rFonts w:hint="eastAsia" w:ascii="仿宋" w:hAnsi="仿宋" w:eastAsia="仿宋" w:cs="仿宋"/>
          <w:color w:val="auto"/>
          <w:sz w:val="24"/>
          <w:szCs w:val="24"/>
          <w:highlight w:val="none"/>
        </w:rPr>
      </w:pPr>
      <w:bookmarkStart w:id="455" w:name="_Toc417913976"/>
      <w:r>
        <w:rPr>
          <w:rFonts w:hint="eastAsia" w:ascii="仿宋" w:hAnsi="仿宋" w:eastAsia="仿宋" w:cs="仿宋"/>
          <w:color w:val="auto"/>
          <w:sz w:val="24"/>
          <w:szCs w:val="24"/>
          <w:highlight w:val="none"/>
        </w:rPr>
        <w:t>25.6.1评标在严格</w:t>
      </w:r>
      <w:bookmarkEnd w:id="455"/>
      <w:r>
        <w:rPr>
          <w:rFonts w:hint="eastAsia" w:ascii="仿宋" w:hAnsi="仿宋" w:eastAsia="仿宋" w:cs="仿宋"/>
          <w:color w:val="auto"/>
          <w:sz w:val="24"/>
          <w:szCs w:val="24"/>
          <w:highlight w:val="none"/>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170F04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1BF332AB">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或其授权的代表签字。投标人的澄清、说明或者补正不得超出投标文件的范围或者改变投标文件的实质性内容。</w:t>
      </w:r>
    </w:p>
    <w:p w14:paraId="6D138038">
      <w:pPr>
        <w:shd w:val="clear"/>
        <w:spacing w:line="360" w:lineRule="auto"/>
        <w:rPr>
          <w:rFonts w:hint="eastAsia" w:ascii="仿宋" w:hAnsi="仿宋" w:eastAsia="仿宋" w:cs="仿宋"/>
          <w:color w:val="auto"/>
          <w:sz w:val="24"/>
          <w:szCs w:val="24"/>
          <w:highlight w:val="none"/>
        </w:rPr>
      </w:pPr>
      <w:bookmarkStart w:id="456" w:name="_Toc489197839"/>
      <w:bookmarkStart w:id="457" w:name="_Toc528186483"/>
      <w:bookmarkStart w:id="458" w:name="_Toc24802"/>
      <w:bookmarkStart w:id="459" w:name="_Toc489145735"/>
      <w:bookmarkStart w:id="460" w:name="_Toc8616"/>
      <w:bookmarkStart w:id="461" w:name="_Toc1803"/>
      <w:r>
        <w:rPr>
          <w:rFonts w:hint="eastAsia" w:ascii="仿宋" w:hAnsi="仿宋" w:eastAsia="仿宋" w:cs="仿宋"/>
          <w:color w:val="auto"/>
          <w:sz w:val="24"/>
          <w:szCs w:val="24"/>
          <w:highlight w:val="none"/>
        </w:rPr>
        <w:t>▲26.有下列情形之一的，视为投标人串通投标，其投标无效：</w:t>
      </w:r>
      <w:bookmarkEnd w:id="456"/>
      <w:bookmarkEnd w:id="457"/>
      <w:bookmarkEnd w:id="458"/>
      <w:bookmarkEnd w:id="459"/>
      <w:bookmarkEnd w:id="460"/>
      <w:bookmarkEnd w:id="461"/>
    </w:p>
    <w:p w14:paraId="6ED017C7">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（一）不同投标人的投标文件由同一单位或者个人编制；</w:t>
      </w:r>
    </w:p>
    <w:p w14:paraId="5A34E649">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（二）不同投标人委托同一单位或者个人办理投标事宜；</w:t>
      </w:r>
    </w:p>
    <w:p w14:paraId="4D5C1894">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（三）不同投标人的投标文件载明的项目管理成员或者联系人员为同一人；</w:t>
      </w:r>
    </w:p>
    <w:p w14:paraId="09411A0A">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（四）不同投标人的投标文件异常一致或者投标报价呈规律性差异；</w:t>
      </w:r>
    </w:p>
    <w:p w14:paraId="166C88E0">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（五）不同投标人的投标文件相互混装；</w:t>
      </w:r>
    </w:p>
    <w:p w14:paraId="3A2B911F">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（六）不同投标人的投标保证金从同一单位或者个人的账户转出。</w:t>
      </w:r>
    </w:p>
    <w:p w14:paraId="570729F0">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投标人应当遵循公平竞争的原则，不得恶意串通，不得妨碍其他投标人的竞争行为，不得损害采购人或者其他投标人的合法权益。</w:t>
      </w:r>
    </w:p>
    <w:p w14:paraId="08593CD7">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在评标过程中发现投标人有上述情形的，评标委员会应当认定其投标无效，并书面报告本级财政部门。</w:t>
      </w:r>
    </w:p>
    <w:p w14:paraId="505A4EC1">
      <w:pPr>
        <w:shd w:val="clear"/>
        <w:spacing w:line="360" w:lineRule="auto"/>
        <w:rPr>
          <w:rFonts w:hint="eastAsia" w:ascii="仿宋" w:hAnsi="仿宋" w:eastAsia="仿宋" w:cs="仿宋"/>
          <w:color w:val="auto"/>
          <w:sz w:val="24"/>
          <w:szCs w:val="24"/>
          <w:highlight w:val="none"/>
        </w:rPr>
      </w:pPr>
      <w:bookmarkStart w:id="462" w:name="_Toc13478"/>
      <w:bookmarkStart w:id="463" w:name="_Toc489197840"/>
      <w:bookmarkStart w:id="464" w:name="_Toc175"/>
      <w:bookmarkStart w:id="465" w:name="_Toc18744"/>
      <w:bookmarkStart w:id="466" w:name="_Toc489145736"/>
      <w:bookmarkStart w:id="467" w:name="_Toc528186484"/>
      <w:r>
        <w:rPr>
          <w:rFonts w:hint="eastAsia" w:ascii="仿宋" w:hAnsi="仿宋" w:eastAsia="仿宋" w:cs="仿宋"/>
          <w:color w:val="auto"/>
          <w:sz w:val="24"/>
          <w:szCs w:val="24"/>
          <w:highlight w:val="none"/>
        </w:rPr>
        <w:t>▲27.投标人存在下列情</w:t>
      </w:r>
      <w:bookmarkStart w:id="468" w:name="_Toc417913977"/>
      <w:r>
        <w:rPr>
          <w:rFonts w:hint="eastAsia" w:ascii="仿宋" w:hAnsi="仿宋" w:eastAsia="仿宋" w:cs="仿宋"/>
          <w:color w:val="auto"/>
          <w:sz w:val="24"/>
          <w:szCs w:val="24"/>
          <w:highlight w:val="none"/>
        </w:rPr>
        <w:t>况之一的，投标无效：</w:t>
      </w:r>
      <w:bookmarkEnd w:id="462"/>
      <w:bookmarkEnd w:id="463"/>
      <w:bookmarkEnd w:id="464"/>
      <w:bookmarkEnd w:id="465"/>
      <w:bookmarkEnd w:id="466"/>
      <w:bookmarkEnd w:id="467"/>
    </w:p>
    <w:p w14:paraId="20EB37A1">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（一）未按照招标文件的</w:t>
      </w:r>
      <w:bookmarkEnd w:id="468"/>
      <w:r>
        <w:rPr>
          <w:rFonts w:hint="eastAsia" w:ascii="仿宋" w:hAnsi="仿宋" w:eastAsia="仿宋" w:cs="仿宋"/>
          <w:color w:val="auto"/>
          <w:sz w:val="24"/>
          <w:szCs w:val="24"/>
          <w:highlight w:val="none"/>
        </w:rPr>
        <w:t>规定提交投标保证金的；</w:t>
      </w:r>
    </w:p>
    <w:p w14:paraId="19A2D8E3">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（二）投标文件未按招标文件要求签署、盖章的；</w:t>
      </w:r>
    </w:p>
    <w:p w14:paraId="62D94863">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（三）不具备招标文件中规定的资格要求的；</w:t>
      </w:r>
    </w:p>
    <w:p w14:paraId="3FF77544">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（四）报价超过招标文件中规定的预算金额或者最高限价的；</w:t>
      </w:r>
    </w:p>
    <w:p w14:paraId="6C2CDF0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（五）投标文件含有采购人不能接受的附加条件的</w:t>
      </w:r>
      <w:r>
        <w:rPr>
          <w:rFonts w:hint="eastAsia" w:ascii="仿宋" w:hAnsi="仿宋" w:eastAsia="仿宋" w:cs="仿宋"/>
          <w:color w:val="auto"/>
          <w:sz w:val="24"/>
          <w:szCs w:val="24"/>
          <w:highlight w:val="none"/>
          <w:lang w:eastAsia="zh-CN"/>
        </w:rPr>
        <w:t>；</w:t>
      </w:r>
    </w:p>
    <w:p w14:paraId="655ED2DB">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（六）法律、法规和招标文件规定的其他无效情形。</w:t>
      </w:r>
    </w:p>
    <w:p w14:paraId="0A79E854">
      <w:pPr>
        <w:shd w:val="clear"/>
        <w:spacing w:line="360" w:lineRule="auto"/>
        <w:rPr>
          <w:rFonts w:hint="eastAsia" w:ascii="仿宋" w:hAnsi="仿宋" w:eastAsia="仿宋" w:cs="仿宋"/>
          <w:color w:val="auto"/>
          <w:sz w:val="24"/>
          <w:szCs w:val="24"/>
          <w:highlight w:val="none"/>
        </w:rPr>
      </w:pPr>
      <w:bookmarkStart w:id="469" w:name="_Toc30832"/>
      <w:bookmarkStart w:id="470" w:name="_Toc528186485"/>
      <w:bookmarkStart w:id="471" w:name="_Toc489197841"/>
      <w:bookmarkStart w:id="472" w:name="_Toc10276"/>
      <w:bookmarkStart w:id="473" w:name="_Toc489145737"/>
      <w:bookmarkStart w:id="474" w:name="_Toc25015"/>
      <w:r>
        <w:rPr>
          <w:rFonts w:hint="eastAsia" w:ascii="仿宋" w:hAnsi="仿宋" w:eastAsia="仿宋" w:cs="仿宋"/>
          <w:color w:val="auto"/>
          <w:sz w:val="24"/>
          <w:szCs w:val="24"/>
          <w:highlight w:val="none"/>
        </w:rPr>
        <w:t>28.在招标采购中，出现下列情形之一的，应予废标：</w:t>
      </w:r>
      <w:bookmarkEnd w:id="469"/>
      <w:bookmarkEnd w:id="470"/>
      <w:bookmarkEnd w:id="471"/>
      <w:bookmarkEnd w:id="472"/>
      <w:bookmarkEnd w:id="473"/>
      <w:bookmarkEnd w:id="474"/>
    </w:p>
    <w:p w14:paraId="4FD31157">
      <w:pPr>
        <w:shd w:val="clear"/>
        <w:spacing w:line="360" w:lineRule="auto"/>
        <w:ind w:firstLine="120" w:firstLineChars="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（一）符合专业条件的投标人或者对招标文件作实质响应的投标人不足三家的；</w:t>
      </w:r>
    </w:p>
    <w:p w14:paraId="44E402CA">
      <w:pPr>
        <w:shd w:val="clear"/>
        <w:spacing w:line="360" w:lineRule="auto"/>
        <w:ind w:firstLine="120" w:firstLineChars="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（二）出现影响采购公正的违法、违规行为的；</w:t>
      </w:r>
    </w:p>
    <w:p w14:paraId="6FF268DB">
      <w:pPr>
        <w:shd w:val="clear"/>
        <w:spacing w:line="360" w:lineRule="auto"/>
        <w:ind w:firstLine="120" w:firstLineChars="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（三）投标人的报价均超过了采购预算，采购人不能支付的；</w:t>
      </w:r>
    </w:p>
    <w:p w14:paraId="39EB5A52">
      <w:pPr>
        <w:shd w:val="clear"/>
        <w:spacing w:line="360" w:lineRule="auto"/>
        <w:ind w:firstLine="120" w:firstLineChars="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（四）因重大变故，采购任务取消的。</w:t>
      </w:r>
    </w:p>
    <w:p w14:paraId="0FF4280F">
      <w:pPr>
        <w:shd w:val="clear"/>
        <w:spacing w:line="360" w:lineRule="auto"/>
        <w:ind w:firstLine="120" w:firstLineChars="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废标后，采购人应当将废标理由通知所有投标人。</w:t>
      </w:r>
    </w:p>
    <w:p w14:paraId="6F7CC0ED">
      <w:pPr>
        <w:pStyle w:val="4"/>
        <w:shd w:val="clear"/>
        <w:spacing w:line="360" w:lineRule="auto"/>
        <w:ind w:firstLine="643"/>
        <w:jc w:val="center"/>
        <w:outlineLvl w:val="1"/>
        <w:rPr>
          <w:rFonts w:hint="eastAsia" w:ascii="仿宋" w:hAnsi="仿宋" w:eastAsia="仿宋" w:cs="仿宋"/>
          <w:color w:val="auto"/>
          <w:sz w:val="30"/>
          <w:szCs w:val="30"/>
          <w:highlight w:val="none"/>
        </w:rPr>
      </w:pPr>
      <w:bookmarkStart w:id="475" w:name="_Toc423"/>
      <w:bookmarkStart w:id="476" w:name="_Toc489197842"/>
      <w:bookmarkStart w:id="477" w:name="_Toc528186486"/>
      <w:bookmarkStart w:id="478" w:name="_Toc489145738"/>
      <w:bookmarkStart w:id="479" w:name="_Toc30648"/>
      <w:bookmarkStart w:id="480" w:name="_Toc17373"/>
      <w:bookmarkStart w:id="481" w:name="_Toc13118"/>
      <w:bookmarkStart w:id="482" w:name="_Toc6069"/>
      <w:bookmarkStart w:id="483" w:name="_Toc488633610"/>
      <w:bookmarkStart w:id="484" w:name="_Toc4598"/>
      <w:bookmarkStart w:id="485" w:name="_Toc15092"/>
      <w:r>
        <w:rPr>
          <w:rFonts w:hint="eastAsia" w:ascii="仿宋" w:hAnsi="仿宋" w:eastAsia="仿宋" w:cs="仿宋"/>
          <w:color w:val="auto"/>
          <w:sz w:val="30"/>
          <w:szCs w:val="30"/>
          <w:highlight w:val="none"/>
        </w:rPr>
        <w:t>七、中标结果</w:t>
      </w:r>
      <w:bookmarkEnd w:id="475"/>
      <w:bookmarkEnd w:id="476"/>
      <w:bookmarkEnd w:id="477"/>
      <w:bookmarkEnd w:id="478"/>
      <w:bookmarkEnd w:id="479"/>
      <w:bookmarkEnd w:id="480"/>
      <w:bookmarkEnd w:id="481"/>
      <w:bookmarkEnd w:id="482"/>
      <w:bookmarkEnd w:id="483"/>
      <w:bookmarkEnd w:id="484"/>
      <w:bookmarkEnd w:id="485"/>
    </w:p>
    <w:p w14:paraId="34E38A2E">
      <w:pPr>
        <w:shd w:val="clear"/>
        <w:spacing w:line="360" w:lineRule="auto"/>
        <w:rPr>
          <w:rFonts w:hint="eastAsia" w:ascii="仿宋" w:hAnsi="仿宋" w:eastAsia="仿宋" w:cs="仿宋"/>
          <w:color w:val="auto"/>
          <w:sz w:val="24"/>
          <w:szCs w:val="24"/>
          <w:highlight w:val="none"/>
        </w:rPr>
      </w:pPr>
      <w:bookmarkStart w:id="486" w:name="_Toc489197843"/>
      <w:bookmarkStart w:id="487" w:name="_Toc27751"/>
      <w:bookmarkStart w:id="488" w:name="_Toc26494"/>
      <w:bookmarkStart w:id="489" w:name="_Toc489145739"/>
      <w:bookmarkStart w:id="490" w:name="_Toc18071"/>
      <w:bookmarkStart w:id="491" w:name="_Toc528186487"/>
      <w:bookmarkStart w:id="492" w:name="_Toc12331"/>
      <w:r>
        <w:rPr>
          <w:rFonts w:hint="eastAsia" w:ascii="仿宋" w:hAnsi="仿宋" w:eastAsia="仿宋" w:cs="仿宋"/>
          <w:color w:val="auto"/>
          <w:sz w:val="24"/>
          <w:szCs w:val="24"/>
          <w:highlight w:val="none"/>
        </w:rPr>
        <w:t>29.中</w:t>
      </w:r>
      <w:bookmarkStart w:id="493" w:name="_Toc246996953"/>
      <w:bookmarkStart w:id="494" w:name="_Toc152045566"/>
      <w:bookmarkStart w:id="495" w:name="_Toc378239084"/>
      <w:bookmarkStart w:id="496" w:name="_Toc378239176"/>
      <w:bookmarkStart w:id="497" w:name="_Toc378239357"/>
      <w:bookmarkStart w:id="498" w:name="_Toc179632584"/>
      <w:bookmarkStart w:id="499" w:name="_Toc401342140"/>
      <w:bookmarkStart w:id="500" w:name="_Toc247085724"/>
      <w:bookmarkStart w:id="501" w:name="_Toc152042342"/>
      <w:bookmarkStart w:id="502" w:name="_Toc296602455"/>
      <w:bookmarkStart w:id="503" w:name="_Toc246996210"/>
      <w:bookmarkStart w:id="504" w:name="_Toc144974534"/>
      <w:bookmarkStart w:id="505" w:name="_Toc480817649"/>
      <w:bookmarkStart w:id="506" w:name="_Toc13517"/>
      <w:r>
        <w:rPr>
          <w:rFonts w:hint="eastAsia" w:ascii="仿宋" w:hAnsi="仿宋" w:eastAsia="仿宋" w:cs="仿宋"/>
          <w:color w:val="auto"/>
          <w:sz w:val="24"/>
          <w:szCs w:val="24"/>
          <w:highlight w:val="none"/>
        </w:rPr>
        <w:t>标</w:t>
      </w:r>
      <w:bookmarkEnd w:id="493"/>
      <w:bookmarkEnd w:id="494"/>
      <w:bookmarkEnd w:id="495"/>
      <w:bookmarkEnd w:id="496"/>
      <w:bookmarkEnd w:id="497"/>
      <w:bookmarkEnd w:id="498"/>
      <w:bookmarkEnd w:id="499"/>
      <w:bookmarkEnd w:id="500"/>
      <w:bookmarkEnd w:id="501"/>
      <w:bookmarkEnd w:id="502"/>
      <w:bookmarkEnd w:id="503"/>
      <w:bookmarkEnd w:id="504"/>
      <w:r>
        <w:rPr>
          <w:rFonts w:hint="eastAsia" w:ascii="仿宋" w:hAnsi="仿宋" w:eastAsia="仿宋" w:cs="仿宋"/>
          <w:color w:val="auto"/>
          <w:sz w:val="24"/>
          <w:szCs w:val="24"/>
          <w:highlight w:val="none"/>
        </w:rPr>
        <w:t>人的</w:t>
      </w:r>
      <w:bookmarkEnd w:id="505"/>
      <w:bookmarkEnd w:id="506"/>
      <w:r>
        <w:rPr>
          <w:rFonts w:hint="eastAsia" w:ascii="仿宋" w:hAnsi="仿宋" w:eastAsia="仿宋" w:cs="仿宋"/>
          <w:color w:val="auto"/>
          <w:sz w:val="24"/>
          <w:szCs w:val="24"/>
          <w:highlight w:val="none"/>
        </w:rPr>
        <w:t>确</w:t>
      </w:r>
      <w:bookmarkStart w:id="507" w:name="_Toc152045567"/>
      <w:bookmarkStart w:id="508" w:name="_Toc246996211"/>
      <w:bookmarkStart w:id="509" w:name="_Toc152042343"/>
      <w:bookmarkStart w:id="510" w:name="_Toc296602456"/>
      <w:bookmarkStart w:id="511" w:name="_Toc179632585"/>
      <w:bookmarkStart w:id="512" w:name="_Toc247085725"/>
      <w:bookmarkStart w:id="513" w:name="_Toc144974535"/>
      <w:bookmarkStart w:id="514" w:name="_Toc246996954"/>
      <w:r>
        <w:rPr>
          <w:rFonts w:hint="eastAsia" w:ascii="仿宋" w:hAnsi="仿宋" w:eastAsia="仿宋" w:cs="仿宋"/>
          <w:color w:val="auto"/>
          <w:sz w:val="24"/>
          <w:szCs w:val="24"/>
          <w:highlight w:val="none"/>
        </w:rPr>
        <w:t>定</w:t>
      </w:r>
      <w:bookmarkEnd w:id="486"/>
      <w:bookmarkEnd w:id="487"/>
      <w:bookmarkEnd w:id="488"/>
      <w:bookmarkEnd w:id="489"/>
      <w:bookmarkEnd w:id="490"/>
      <w:bookmarkEnd w:id="491"/>
      <w:bookmarkEnd w:id="492"/>
    </w:p>
    <w:p w14:paraId="65ACADAF">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Start w:id="515" w:name="_Toc417913979"/>
      <w:r>
        <w:rPr>
          <w:rFonts w:hint="eastAsia" w:ascii="仿宋" w:hAnsi="仿宋" w:eastAsia="仿宋" w:cs="仿宋"/>
          <w:color w:val="auto"/>
          <w:sz w:val="24"/>
          <w:szCs w:val="24"/>
          <w:highlight w:val="none"/>
        </w:rPr>
        <w:t>9.1采购代理机构应</w:t>
      </w:r>
      <w:bookmarkEnd w:id="507"/>
      <w:bookmarkEnd w:id="508"/>
      <w:bookmarkEnd w:id="509"/>
      <w:bookmarkEnd w:id="510"/>
      <w:bookmarkEnd w:id="511"/>
      <w:bookmarkEnd w:id="512"/>
      <w:bookmarkEnd w:id="513"/>
      <w:bookmarkEnd w:id="514"/>
      <w:bookmarkEnd w:id="515"/>
      <w:r>
        <w:rPr>
          <w:rFonts w:hint="eastAsia" w:ascii="仿宋" w:hAnsi="仿宋" w:eastAsia="仿宋" w:cs="仿宋"/>
          <w:color w:val="auto"/>
          <w:sz w:val="24"/>
          <w:szCs w:val="24"/>
          <w:highlight w:val="none"/>
        </w:rPr>
        <w:t>当在评标结束后2个工作日内将评标报告送采购人。</w:t>
      </w:r>
    </w:p>
    <w:p w14:paraId="626CBD9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29.2采购人应当自收到评标报告之日起5个工作日内，在评标报告确定的中标候选人名单中按顺序确定中标人。中标候选人并列的，由评标委员会按照招标文件规定的方式确定中标人。</w:t>
      </w:r>
    </w:p>
    <w:p w14:paraId="2292F53B">
      <w:pPr>
        <w:shd w:val="clear"/>
        <w:spacing w:line="360" w:lineRule="auto"/>
        <w:rPr>
          <w:rFonts w:hint="eastAsia" w:ascii="仿宋" w:hAnsi="仿宋" w:eastAsia="仿宋" w:cs="仿宋"/>
          <w:color w:val="auto"/>
          <w:sz w:val="24"/>
          <w:szCs w:val="24"/>
          <w:highlight w:val="none"/>
        </w:rPr>
      </w:pPr>
      <w:bookmarkStart w:id="516" w:name="_Toc489197844"/>
      <w:bookmarkStart w:id="517" w:name="_Toc528186488"/>
      <w:bookmarkStart w:id="518" w:name="_Toc489145740"/>
      <w:bookmarkStart w:id="519" w:name="_Toc16105"/>
      <w:bookmarkStart w:id="520" w:name="_Toc31584"/>
      <w:bookmarkStart w:id="521" w:name="_Toc9834"/>
      <w:bookmarkStart w:id="522" w:name="_Toc9879"/>
      <w:r>
        <w:rPr>
          <w:rFonts w:hint="eastAsia" w:ascii="仿宋" w:hAnsi="仿宋" w:eastAsia="仿宋" w:cs="仿宋"/>
          <w:color w:val="auto"/>
          <w:sz w:val="24"/>
          <w:szCs w:val="24"/>
          <w:highlight w:val="none"/>
        </w:rPr>
        <w:t>30.中标通知书</w:t>
      </w:r>
      <w:bookmarkEnd w:id="516"/>
      <w:bookmarkEnd w:id="517"/>
      <w:bookmarkEnd w:id="518"/>
      <w:bookmarkEnd w:id="519"/>
      <w:bookmarkEnd w:id="520"/>
      <w:bookmarkEnd w:id="521"/>
      <w:bookmarkEnd w:id="522"/>
    </w:p>
    <w:p w14:paraId="697DC2DD">
      <w:pPr>
        <w:shd w:val="clear"/>
        <w:spacing w:line="360" w:lineRule="auto"/>
        <w:ind w:firstLine="480" w:firstLineChars="200"/>
        <w:jc w:val="left"/>
        <w:rPr>
          <w:rFonts w:hint="eastAsia" w:ascii="仿宋" w:hAnsi="仿宋" w:eastAsia="仿宋" w:cs="仿宋"/>
          <w:color w:val="auto"/>
          <w:sz w:val="24"/>
          <w:szCs w:val="24"/>
          <w:highlight w:val="none"/>
        </w:rPr>
      </w:pPr>
      <w:bookmarkStart w:id="523" w:name="_Toc144974536"/>
      <w:bookmarkStart w:id="524" w:name="_Toc246996955"/>
      <w:bookmarkStart w:id="525" w:name="_Toc179632586"/>
      <w:bookmarkStart w:id="526" w:name="_Toc247085726"/>
      <w:bookmarkStart w:id="527" w:name="_Toc152042344"/>
      <w:bookmarkStart w:id="528" w:name="_Toc246996212"/>
      <w:bookmarkStart w:id="529" w:name="_Toc152045568"/>
      <w:bookmarkStart w:id="530" w:name="_Toc296602458"/>
      <w:r>
        <w:rPr>
          <w:rFonts w:hint="eastAsia" w:ascii="仿宋" w:hAnsi="仿宋" w:eastAsia="仿宋" w:cs="仿宋"/>
          <w:color w:val="auto"/>
          <w:sz w:val="24"/>
          <w:szCs w:val="24"/>
          <w:highlight w:val="none"/>
        </w:rPr>
        <w:t>30.1中标人确定之</w:t>
      </w:r>
      <w:bookmarkEnd w:id="523"/>
      <w:bookmarkEnd w:id="524"/>
      <w:bookmarkEnd w:id="525"/>
      <w:bookmarkEnd w:id="526"/>
      <w:bookmarkEnd w:id="527"/>
      <w:bookmarkEnd w:id="528"/>
      <w:bookmarkEnd w:id="529"/>
      <w:bookmarkEnd w:id="530"/>
      <w:r>
        <w:rPr>
          <w:rFonts w:hint="eastAsia" w:ascii="仿宋" w:hAnsi="仿宋" w:eastAsia="仿宋" w:cs="仿宋"/>
          <w:color w:val="auto"/>
          <w:sz w:val="24"/>
          <w:szCs w:val="24"/>
          <w:highlight w:val="none"/>
        </w:rPr>
        <w:t>日起</w:t>
      </w:r>
      <w:bookmarkStart w:id="531" w:name="_Toc246996957"/>
      <w:bookmarkStart w:id="532" w:name="_Toc152045570"/>
      <w:bookmarkStart w:id="533" w:name="_Toc144974538"/>
      <w:bookmarkStart w:id="534" w:name="_Toc152042346"/>
      <w:bookmarkStart w:id="535" w:name="_Toc246996214"/>
      <w:bookmarkStart w:id="536" w:name="_Toc247085728"/>
      <w:bookmarkStart w:id="537" w:name="_Toc179632588"/>
      <w:bookmarkStart w:id="538" w:name="_Toc296602460"/>
      <w:r>
        <w:rPr>
          <w:rFonts w:hint="eastAsia" w:ascii="仿宋" w:hAnsi="仿宋" w:eastAsia="仿宋" w:cs="仿宋"/>
          <w:color w:val="auto"/>
          <w:sz w:val="24"/>
          <w:szCs w:val="24"/>
          <w:highlight w:val="none"/>
        </w:rPr>
        <w:t>2个工作日内，采购代理机构向中标人发出中标通知书，并在财政部门指定的政府采购信息发布媒体上公告中标结果。中标公告期限为1个工作日。</w:t>
      </w:r>
    </w:p>
    <w:p w14:paraId="450B9708">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30.2中标通知书是合同的一个组成部分。</w:t>
      </w:r>
    </w:p>
    <w:p w14:paraId="119FAE75">
      <w:pPr>
        <w:shd w:val="clear"/>
        <w:spacing w:line="360" w:lineRule="auto"/>
        <w:rPr>
          <w:rFonts w:hint="eastAsia" w:ascii="仿宋" w:hAnsi="仿宋" w:eastAsia="仿宋" w:cs="仿宋"/>
          <w:color w:val="auto"/>
          <w:sz w:val="24"/>
          <w:szCs w:val="24"/>
          <w:highlight w:val="none"/>
        </w:rPr>
      </w:pPr>
      <w:bookmarkStart w:id="539" w:name="_Toc61"/>
      <w:bookmarkStart w:id="540" w:name="_Toc528186489"/>
      <w:bookmarkStart w:id="541" w:name="_Toc1652"/>
      <w:bookmarkStart w:id="542" w:name="_Toc489197845"/>
      <w:bookmarkStart w:id="543" w:name="_Toc31113"/>
      <w:bookmarkStart w:id="544" w:name="_Toc489145741"/>
      <w:bookmarkStart w:id="545" w:name="_Toc30707"/>
      <w:r>
        <w:rPr>
          <w:rFonts w:hint="eastAsia" w:ascii="仿宋" w:hAnsi="仿宋" w:eastAsia="仿宋" w:cs="仿宋"/>
          <w:color w:val="auto"/>
          <w:sz w:val="24"/>
          <w:szCs w:val="24"/>
          <w:highlight w:val="none"/>
        </w:rPr>
        <w:t>31.签订合同</w:t>
      </w:r>
      <w:bookmarkEnd w:id="539"/>
      <w:bookmarkEnd w:id="540"/>
      <w:bookmarkEnd w:id="541"/>
      <w:bookmarkEnd w:id="542"/>
      <w:bookmarkEnd w:id="543"/>
      <w:bookmarkEnd w:id="544"/>
      <w:bookmarkEnd w:id="545"/>
    </w:p>
    <w:p w14:paraId="50DE1FBD">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31.1采购人应当自中</w:t>
      </w:r>
      <w:bookmarkEnd w:id="531"/>
      <w:bookmarkEnd w:id="532"/>
      <w:bookmarkEnd w:id="533"/>
      <w:bookmarkEnd w:id="534"/>
      <w:bookmarkEnd w:id="535"/>
      <w:bookmarkEnd w:id="536"/>
      <w:bookmarkEnd w:id="537"/>
      <w:bookmarkEnd w:id="538"/>
      <w:r>
        <w:rPr>
          <w:rFonts w:hint="eastAsia" w:ascii="仿宋" w:hAnsi="仿宋" w:eastAsia="仿宋" w:cs="仿宋"/>
          <w:color w:val="auto"/>
          <w:sz w:val="24"/>
          <w:szCs w:val="24"/>
          <w:highlight w:val="none"/>
        </w:rPr>
        <w:t>标通知书发出之日起30日内，按照招标文件和中标人投标文件的规定，与中标人签订书面合同。所签订的合同不得对招标文件确定的事项和中标人投标文件作实质性修改。</w:t>
      </w:r>
    </w:p>
    <w:p w14:paraId="74A22D51">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31.2中标通知书发出后，中标人无正当理由放弃中标或拒签合同的，采购人取消其中标资格，其投标保证金不予退还；给采购人造成的损失超过投标保证金数额的，中标人还应当对超过部分予以赔偿。</w:t>
      </w:r>
    </w:p>
    <w:p w14:paraId="36C9D297">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158D2BA2">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31.4政府采购合同应当包括采购人与中标人的名称和住所、标的、数量、质量、价款或者报酬、履行期限及地点和方式、验收要求、违约责任、解决争议的方法等内容。</w:t>
      </w:r>
    </w:p>
    <w:p w14:paraId="70A0FD8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31.5政府采购合同履行中，采购人需追加与合同标的相同的货物、工程或者服务的，在不改变合同其他条款的前提下，可以与中标人协商签订补充合同，但所有补充合同的采购金额不得超过原合同采购金额的</w:t>
      </w:r>
      <w:r>
        <w:rPr>
          <w:rFonts w:hint="eastAsia" w:ascii="仿宋" w:hAnsi="仿宋" w:eastAsia="仿宋" w:cs="仿宋"/>
          <w:color w:val="auto"/>
          <w:sz w:val="24"/>
          <w:szCs w:val="24"/>
          <w:highlight w:val="none"/>
          <w:lang w:eastAsia="zh-CN"/>
        </w:rPr>
        <w:t>10%</w:t>
      </w:r>
      <w:r>
        <w:rPr>
          <w:rFonts w:hint="eastAsia" w:ascii="仿宋" w:hAnsi="仿宋" w:eastAsia="仿宋" w:cs="仿宋"/>
          <w:color w:val="auto"/>
          <w:sz w:val="24"/>
          <w:szCs w:val="24"/>
          <w:highlight w:val="none"/>
        </w:rPr>
        <w:t>。</w:t>
      </w:r>
    </w:p>
    <w:p w14:paraId="585A50AD">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0ADDBE44">
      <w:pPr>
        <w:shd w:val="clear"/>
        <w:spacing w:line="360" w:lineRule="auto"/>
        <w:rPr>
          <w:rFonts w:hint="eastAsia" w:ascii="仿宋" w:hAnsi="仿宋" w:eastAsia="仿宋" w:cs="仿宋"/>
          <w:color w:val="auto"/>
          <w:sz w:val="24"/>
          <w:szCs w:val="24"/>
          <w:highlight w:val="none"/>
        </w:rPr>
      </w:pPr>
      <w:bookmarkStart w:id="546" w:name="_Toc11904"/>
      <w:bookmarkStart w:id="547" w:name="_Toc528186490"/>
      <w:bookmarkStart w:id="548" w:name="_Toc10219"/>
      <w:bookmarkStart w:id="549" w:name="_Toc489145742"/>
      <w:bookmarkStart w:id="550" w:name="_Toc489197846"/>
      <w:bookmarkStart w:id="551" w:name="_Toc22468"/>
      <w:bookmarkStart w:id="552" w:name="_Toc19700"/>
      <w:r>
        <w:rPr>
          <w:rFonts w:hint="eastAsia" w:ascii="仿宋" w:hAnsi="仿宋" w:eastAsia="仿宋" w:cs="仿宋"/>
          <w:color w:val="auto"/>
          <w:sz w:val="24"/>
          <w:szCs w:val="24"/>
          <w:highlight w:val="none"/>
        </w:rPr>
        <w:t>32.履约保证金</w:t>
      </w:r>
      <w:bookmarkEnd w:id="546"/>
      <w:bookmarkEnd w:id="547"/>
      <w:bookmarkEnd w:id="548"/>
      <w:bookmarkEnd w:id="549"/>
      <w:bookmarkEnd w:id="550"/>
      <w:bookmarkEnd w:id="551"/>
      <w:bookmarkEnd w:id="552"/>
    </w:p>
    <w:p w14:paraId="4F1E63FB">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553" w:name="_Toc417913982"/>
      <w:r>
        <w:rPr>
          <w:rFonts w:hint="eastAsia" w:ascii="仿宋" w:hAnsi="仿宋" w:eastAsia="仿宋" w:cs="仿宋"/>
          <w:color w:val="auto"/>
          <w:sz w:val="24"/>
          <w:szCs w:val="24"/>
          <w:highlight w:val="none"/>
        </w:rPr>
        <w:t>2.1签</w:t>
      </w:r>
      <w:bookmarkEnd w:id="553"/>
      <w:r>
        <w:rPr>
          <w:rFonts w:hint="eastAsia" w:ascii="仿宋" w:hAnsi="仿宋" w:eastAsia="仿宋" w:cs="仿宋"/>
          <w:color w:val="auto"/>
          <w:sz w:val="24"/>
          <w:szCs w:val="24"/>
          <w:highlight w:val="none"/>
        </w:rPr>
        <w:t>订合同前，中标人应按《投标人须知前附表》上确定的履约保证金的金额及形式，向采购人提交履约保证金，联合体中标的，其履约保证金由牵头人递交。否则，视为放弃中标项目，投标保证金将不予退还。</w:t>
      </w:r>
    </w:p>
    <w:p w14:paraId="10E03683">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32.2签订合同后，如中标人不按双方签订合同约定履约，则没收其全部履约保证金，给采购人造成的损失超过履约保证金数额的，中标人还应当对超过部分予以赔偿。</w:t>
      </w:r>
    </w:p>
    <w:p w14:paraId="01F1B877">
      <w:pPr>
        <w:pStyle w:val="4"/>
        <w:shd w:val="clear"/>
        <w:spacing w:line="360" w:lineRule="auto"/>
        <w:ind w:firstLine="643"/>
        <w:jc w:val="center"/>
        <w:outlineLvl w:val="1"/>
        <w:rPr>
          <w:rFonts w:hint="eastAsia" w:ascii="仿宋" w:hAnsi="仿宋" w:eastAsia="仿宋" w:cs="仿宋"/>
          <w:color w:val="auto"/>
          <w:sz w:val="30"/>
          <w:szCs w:val="30"/>
          <w:highlight w:val="none"/>
        </w:rPr>
      </w:pPr>
      <w:bookmarkStart w:id="554" w:name="_Toc489197847"/>
      <w:bookmarkStart w:id="555" w:name="_Toc489145743"/>
      <w:bookmarkStart w:id="556" w:name="_Toc32688"/>
      <w:bookmarkStart w:id="557" w:name="_Toc26286"/>
      <w:bookmarkStart w:id="558" w:name="_Toc528186491"/>
      <w:bookmarkStart w:id="559" w:name="_Toc30100"/>
      <w:bookmarkStart w:id="560" w:name="_Toc12084"/>
      <w:bookmarkStart w:id="561" w:name="_Toc32208"/>
      <w:bookmarkStart w:id="562" w:name="_Toc488633611"/>
      <w:bookmarkStart w:id="563" w:name="_Toc23574"/>
      <w:bookmarkStart w:id="564" w:name="_Toc13527"/>
      <w:r>
        <w:rPr>
          <w:rFonts w:hint="eastAsia" w:ascii="仿宋" w:hAnsi="仿宋" w:eastAsia="仿宋" w:cs="仿宋"/>
          <w:color w:val="auto"/>
          <w:sz w:val="30"/>
          <w:szCs w:val="30"/>
          <w:highlight w:val="none"/>
        </w:rPr>
        <w:t>八、其他事项</w:t>
      </w:r>
      <w:bookmarkEnd w:id="554"/>
      <w:bookmarkEnd w:id="555"/>
      <w:bookmarkEnd w:id="556"/>
      <w:bookmarkEnd w:id="557"/>
      <w:bookmarkEnd w:id="558"/>
      <w:bookmarkEnd w:id="559"/>
      <w:bookmarkEnd w:id="560"/>
      <w:bookmarkEnd w:id="561"/>
      <w:bookmarkEnd w:id="562"/>
      <w:bookmarkEnd w:id="563"/>
      <w:bookmarkEnd w:id="564"/>
    </w:p>
    <w:p w14:paraId="393597BC">
      <w:pPr>
        <w:shd w:val="clear"/>
        <w:spacing w:line="360" w:lineRule="auto"/>
        <w:rPr>
          <w:rFonts w:hint="eastAsia" w:ascii="仿宋" w:hAnsi="仿宋" w:eastAsia="仿宋" w:cs="仿宋"/>
          <w:color w:val="auto"/>
          <w:sz w:val="24"/>
          <w:szCs w:val="24"/>
          <w:highlight w:val="none"/>
          <w:lang w:eastAsia="zh-CN"/>
        </w:rPr>
      </w:pPr>
      <w:bookmarkStart w:id="565" w:name="_Toc30098"/>
      <w:bookmarkStart w:id="566" w:name="_Toc489197848"/>
      <w:bookmarkStart w:id="567" w:name="_Toc14661"/>
      <w:bookmarkStart w:id="568" w:name="_Toc489145744"/>
      <w:bookmarkStart w:id="569" w:name="_Toc7122"/>
      <w:bookmarkStart w:id="570" w:name="_Toc19951"/>
      <w:bookmarkStart w:id="571" w:name="_Toc528186492"/>
      <w:r>
        <w:rPr>
          <w:rFonts w:hint="eastAsia" w:ascii="仿宋" w:hAnsi="仿宋" w:eastAsia="仿宋" w:cs="仿宋"/>
          <w:color w:val="auto"/>
          <w:sz w:val="24"/>
          <w:szCs w:val="24"/>
          <w:highlight w:val="none"/>
        </w:rPr>
        <w:t>33.</w:t>
      </w:r>
      <w:bookmarkEnd w:id="565"/>
      <w:bookmarkEnd w:id="566"/>
      <w:bookmarkEnd w:id="567"/>
      <w:bookmarkEnd w:id="568"/>
      <w:bookmarkEnd w:id="569"/>
      <w:bookmarkEnd w:id="570"/>
      <w:bookmarkEnd w:id="571"/>
      <w:r>
        <w:rPr>
          <w:rFonts w:hint="eastAsia" w:ascii="仿宋" w:hAnsi="仿宋" w:eastAsia="仿宋" w:cs="仿宋"/>
          <w:color w:val="auto"/>
          <w:kern w:val="0"/>
          <w:sz w:val="24"/>
          <w:szCs w:val="24"/>
          <w:highlight w:val="none"/>
          <w:lang w:val="en-US" w:eastAsia="zh-CN"/>
        </w:rPr>
        <w:t>代理</w:t>
      </w:r>
      <w:r>
        <w:rPr>
          <w:rFonts w:hint="eastAsia" w:ascii="仿宋" w:hAnsi="仿宋" w:eastAsia="仿宋" w:cs="仿宋"/>
          <w:color w:val="auto"/>
          <w:sz w:val="24"/>
          <w:szCs w:val="24"/>
          <w:highlight w:val="none"/>
          <w:lang w:eastAsia="zh-CN"/>
        </w:rPr>
        <w:t>服务费</w:t>
      </w:r>
    </w:p>
    <w:p w14:paraId="5E5BE1FD">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rPr>
        <w:t>33.</w:t>
      </w:r>
      <w:r>
        <w:rPr>
          <w:rFonts w:hint="eastAsia" w:ascii="仿宋" w:hAnsi="仿宋" w:eastAsia="仿宋" w:cs="仿宋"/>
          <w:color w:val="auto"/>
          <w:kern w:val="0"/>
          <w:sz w:val="24"/>
          <w:szCs w:val="24"/>
          <w:highlight w:val="none"/>
          <w:lang w:val="en-US" w:eastAsia="zh-CN"/>
        </w:rPr>
        <w:t>1本项目代理服务费由中标人支付，中标人收到中标通知书的同时，应向采购代理机构缴付代理服务费。本项目代理</w:t>
      </w:r>
      <w:r>
        <w:rPr>
          <w:rFonts w:hint="eastAsia" w:ascii="仿宋" w:hAnsi="仿宋" w:eastAsia="仿宋" w:cs="仿宋"/>
          <w:color w:val="auto"/>
          <w:sz w:val="24"/>
          <w:szCs w:val="24"/>
          <w:highlight w:val="none"/>
          <w:lang w:eastAsia="zh-CN"/>
        </w:rPr>
        <w:t>服务费</w:t>
      </w:r>
      <w:r>
        <w:rPr>
          <w:rFonts w:hint="eastAsia" w:ascii="仿宋" w:hAnsi="仿宋" w:eastAsia="仿宋" w:cs="仿宋"/>
          <w:color w:val="auto"/>
          <w:kern w:val="0"/>
          <w:sz w:val="24"/>
          <w:szCs w:val="24"/>
          <w:highlight w:val="none"/>
          <w:lang w:val="en-US" w:eastAsia="zh-CN"/>
        </w:rPr>
        <w:t>参照《云南省建设工程招标代理服务收费指导意见(试行)》(云建招协【2023】51号)计取，其中收费低于7000元的项目(或标段)，按7000元计取，不再浮动。由每个标包中标人向招标代理机构支付;以中标价为基准价计算后下浮20%向中标人收取</w:t>
      </w:r>
      <w:r>
        <w:rPr>
          <w:rFonts w:hint="eastAsia" w:ascii="仿宋" w:hAnsi="仿宋" w:eastAsia="仿宋" w:cs="仿宋"/>
          <w:color w:val="auto"/>
          <w:sz w:val="24"/>
          <w:highlight w:val="none"/>
        </w:rPr>
        <w:t>。</w:t>
      </w:r>
    </w:p>
    <w:p w14:paraId="2B0DF1DE">
      <w:pPr>
        <w:shd w:val="clea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33.2中标人应在接受“中标通知书”前向采购代理机构一次付清</w:t>
      </w:r>
      <w:r>
        <w:rPr>
          <w:rFonts w:hint="eastAsia" w:ascii="仿宋" w:hAnsi="仿宋" w:eastAsia="仿宋" w:cs="仿宋"/>
          <w:color w:val="auto"/>
          <w:kern w:val="0"/>
          <w:sz w:val="24"/>
          <w:szCs w:val="24"/>
          <w:highlight w:val="none"/>
          <w:lang w:val="en-US" w:eastAsia="zh-CN"/>
        </w:rPr>
        <w:t>代理</w:t>
      </w:r>
      <w:r>
        <w:rPr>
          <w:rFonts w:hint="eastAsia" w:ascii="仿宋" w:hAnsi="仿宋" w:eastAsia="仿宋" w:cs="仿宋"/>
          <w:color w:val="auto"/>
          <w:sz w:val="24"/>
          <w:szCs w:val="24"/>
          <w:highlight w:val="none"/>
          <w:lang w:eastAsia="zh-CN"/>
        </w:rPr>
        <w:t>服务费</w:t>
      </w:r>
      <w:r>
        <w:rPr>
          <w:rFonts w:hint="eastAsia" w:ascii="仿宋" w:hAnsi="仿宋" w:eastAsia="仿宋" w:cs="仿宋"/>
          <w:color w:val="auto"/>
          <w:sz w:val="24"/>
          <w:szCs w:val="24"/>
          <w:highlight w:val="none"/>
        </w:rPr>
        <w:t>。</w:t>
      </w:r>
    </w:p>
    <w:p w14:paraId="085221EA">
      <w:pPr>
        <w:shd w:val="clear"/>
        <w:spacing w:line="360" w:lineRule="auto"/>
        <w:rPr>
          <w:rFonts w:hint="eastAsia" w:ascii="仿宋" w:hAnsi="仿宋" w:eastAsia="仿宋" w:cs="仿宋"/>
          <w:color w:val="auto"/>
          <w:sz w:val="24"/>
          <w:szCs w:val="24"/>
          <w:highlight w:val="none"/>
        </w:rPr>
      </w:pPr>
      <w:bookmarkStart w:id="572" w:name="_Toc7870"/>
      <w:bookmarkStart w:id="573" w:name="_Toc24951"/>
      <w:bookmarkStart w:id="574" w:name="_Toc489145745"/>
      <w:bookmarkStart w:id="575" w:name="_Toc528186493"/>
      <w:bookmarkStart w:id="576" w:name="_Toc30698"/>
      <w:bookmarkStart w:id="577" w:name="_Toc10663"/>
      <w:bookmarkStart w:id="578" w:name="_Toc489197849"/>
      <w:r>
        <w:rPr>
          <w:rFonts w:hint="eastAsia" w:ascii="仿宋" w:hAnsi="仿宋" w:eastAsia="仿宋" w:cs="仿宋"/>
          <w:color w:val="auto"/>
          <w:sz w:val="24"/>
          <w:szCs w:val="24"/>
          <w:highlight w:val="none"/>
        </w:rPr>
        <w:t>34.招标文件编制依据</w:t>
      </w:r>
      <w:bookmarkEnd w:id="572"/>
      <w:bookmarkEnd w:id="573"/>
      <w:bookmarkEnd w:id="574"/>
      <w:bookmarkEnd w:id="575"/>
      <w:bookmarkEnd w:id="576"/>
      <w:bookmarkEnd w:id="577"/>
      <w:bookmarkEnd w:id="578"/>
    </w:p>
    <w:p w14:paraId="3E9F6097">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34.1本招标文件根据《中华人民共和国政府采购法》、《中华人民共和国政府采购法实施条例》、《政府采购货物和服务招标投标管理办法》（财政部令第87号）等有关</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编制，解释权属于采购人、采购代理机构。</w:t>
      </w:r>
    </w:p>
    <w:p w14:paraId="57F760FB">
      <w:pPr>
        <w:shd w:val="clear"/>
        <w:spacing w:line="360" w:lineRule="auto"/>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35.</w:t>
      </w:r>
      <w:r>
        <w:rPr>
          <w:rFonts w:hint="eastAsia" w:ascii="仿宋" w:hAnsi="仿宋" w:eastAsia="仿宋" w:cs="仿宋"/>
          <w:bCs/>
          <w:color w:val="auto"/>
          <w:sz w:val="24"/>
          <w:szCs w:val="24"/>
          <w:highlight w:val="none"/>
          <w:lang w:eastAsia="zh-CN"/>
        </w:rPr>
        <w:t>其他需要</w:t>
      </w:r>
      <w:r>
        <w:rPr>
          <w:rFonts w:hint="eastAsia" w:ascii="仿宋" w:hAnsi="仿宋" w:eastAsia="仿宋" w:cs="仿宋"/>
          <w:color w:val="auto"/>
          <w:sz w:val="24"/>
          <w:szCs w:val="24"/>
          <w:highlight w:val="none"/>
        </w:rPr>
        <w:t>补充的其他内容：详见《投标人须知前附表》。</w:t>
      </w:r>
    </w:p>
    <w:p w14:paraId="4217D38B">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36.</w:t>
      </w:r>
      <w:r>
        <w:rPr>
          <w:rFonts w:hint="eastAsia" w:ascii="仿宋" w:hAnsi="仿宋" w:eastAsia="仿宋" w:cs="仿宋"/>
          <w:color w:val="auto"/>
          <w:sz w:val="24"/>
          <w:szCs w:val="24"/>
          <w:highlight w:val="none"/>
        </w:rPr>
        <w:t>本项目投标人为自然人的，应当由本人</w:t>
      </w:r>
      <w:r>
        <w:rPr>
          <w:rFonts w:hint="eastAsia" w:ascii="仿宋" w:hAnsi="仿宋" w:eastAsia="仿宋" w:cs="仿宋"/>
          <w:color w:val="auto"/>
          <w:sz w:val="24"/>
          <w:szCs w:val="24"/>
          <w:highlight w:val="none"/>
          <w:lang w:eastAsia="zh-CN"/>
        </w:rPr>
        <w:t>（电子签名或签章）</w:t>
      </w:r>
      <w:r>
        <w:rPr>
          <w:rFonts w:hint="eastAsia" w:ascii="仿宋" w:hAnsi="仿宋" w:eastAsia="仿宋" w:cs="仿宋"/>
          <w:color w:val="auto"/>
          <w:sz w:val="24"/>
          <w:szCs w:val="24"/>
          <w:highlight w:val="none"/>
        </w:rPr>
        <w:t>；投标人为法人应当由</w:t>
      </w:r>
      <w:r>
        <w:rPr>
          <w:rFonts w:hint="eastAsia" w:ascii="仿宋" w:hAnsi="仿宋" w:eastAsia="仿宋" w:cs="仿宋"/>
          <w:color w:val="auto"/>
          <w:sz w:val="24"/>
          <w:szCs w:val="24"/>
          <w:highlight w:val="none"/>
          <w:lang w:eastAsia="zh-CN"/>
        </w:rPr>
        <w:t>法定代表人（负责人）（电子签名或签章）</w:t>
      </w:r>
      <w:r>
        <w:rPr>
          <w:rFonts w:hint="eastAsia" w:ascii="仿宋" w:hAnsi="仿宋" w:eastAsia="仿宋" w:cs="仿宋"/>
          <w:color w:val="auto"/>
          <w:sz w:val="24"/>
          <w:szCs w:val="24"/>
          <w:highlight w:val="none"/>
        </w:rPr>
        <w:t>；其他组织的应当由主要负责人</w:t>
      </w:r>
      <w:r>
        <w:rPr>
          <w:rFonts w:hint="eastAsia" w:ascii="仿宋" w:hAnsi="仿宋" w:eastAsia="仿宋" w:cs="仿宋"/>
          <w:color w:val="auto"/>
          <w:sz w:val="24"/>
          <w:szCs w:val="24"/>
          <w:highlight w:val="none"/>
          <w:lang w:eastAsia="zh-CN"/>
        </w:rPr>
        <w:t>（电子签名或签章）</w:t>
      </w:r>
      <w:r>
        <w:rPr>
          <w:rFonts w:hint="eastAsia" w:ascii="仿宋" w:hAnsi="仿宋" w:eastAsia="仿宋" w:cs="仿宋"/>
          <w:color w:val="auto"/>
          <w:sz w:val="24"/>
          <w:szCs w:val="24"/>
          <w:highlight w:val="none"/>
        </w:rPr>
        <w:t>，并加盖电子公章。</w:t>
      </w:r>
    </w:p>
    <w:p w14:paraId="225EDD02">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bookmarkStart w:id="579" w:name="_Toc103173521"/>
      <w:bookmarkStart w:id="580" w:name="_Toc30641"/>
      <w:bookmarkStart w:id="581" w:name="_Toc112951198"/>
      <w:bookmarkStart w:id="582" w:name="_Toc103269427"/>
      <w:bookmarkStart w:id="583" w:name="_Toc100937199"/>
      <w:r>
        <w:rPr>
          <w:rFonts w:hint="eastAsia" w:ascii="仿宋" w:hAnsi="仿宋" w:eastAsia="仿宋" w:cs="仿宋"/>
          <w:color w:val="auto"/>
          <w:sz w:val="24"/>
          <w:szCs w:val="24"/>
          <w:highlight w:val="none"/>
          <w:lang w:val="en-US" w:eastAsia="zh-CN"/>
        </w:rPr>
        <w:t>37.其他内容</w:t>
      </w:r>
      <w:bookmarkEnd w:id="579"/>
      <w:bookmarkEnd w:id="580"/>
      <w:bookmarkEnd w:id="581"/>
      <w:bookmarkEnd w:id="582"/>
      <w:bookmarkEnd w:id="583"/>
    </w:p>
    <w:p w14:paraId="3371BC6E">
      <w:pPr>
        <w:pStyle w:val="31"/>
        <w:keepNext w:val="0"/>
        <w:keepLines w:val="0"/>
        <w:pageBreakBefore w:val="0"/>
        <w:shd w:val="clear"/>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highlight w:val="none"/>
        </w:rPr>
      </w:pPr>
      <w:r>
        <w:rPr>
          <w:rFonts w:hint="eastAsia" w:ascii="仿宋" w:hAnsi="仿宋" w:eastAsia="仿宋" w:cs="仿宋"/>
          <w:color w:val="auto"/>
          <w:highlight w:val="none"/>
        </w:rPr>
        <w:t>根据《财政部关于在政府采购活动中查询及使用信用记录有关问题的通知-财库〔2016〕125号》相关要求，采购人或者采购代理机构对信用记录进行核实，对列入失信被执行人、重大税收违法案件当事人名单、政府采购严重违法失信行为记录名单及其他不符合《中华人民共和国政府采购法》第二十二条规定条件的投标人，拒绝其参与政府采购活动。</w:t>
      </w:r>
    </w:p>
    <w:p w14:paraId="6D409F6C">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lang w:val="en-US" w:eastAsia="zh-CN" w:bidi="en-US"/>
        </w:rPr>
      </w:pPr>
      <w:bookmarkStart w:id="584" w:name="_Toc14105161"/>
      <w:bookmarkStart w:id="585" w:name="_Toc10202"/>
      <w:bookmarkStart w:id="586" w:name="_Toc103173522"/>
      <w:bookmarkStart w:id="587" w:name="_Toc23867294"/>
      <w:bookmarkStart w:id="588" w:name="_Toc112951199"/>
      <w:bookmarkStart w:id="589" w:name="_Toc103269428"/>
      <w:bookmarkStart w:id="590" w:name="_Toc81398765"/>
      <w:r>
        <w:rPr>
          <w:rFonts w:hint="eastAsia" w:ascii="仿宋" w:hAnsi="仿宋" w:eastAsia="仿宋" w:cs="仿宋"/>
          <w:color w:val="auto"/>
          <w:kern w:val="0"/>
          <w:sz w:val="24"/>
          <w:szCs w:val="24"/>
          <w:highlight w:val="none"/>
          <w:lang w:val="en-US" w:eastAsia="zh-CN" w:bidi="en-US"/>
        </w:rPr>
        <w:t>38.招标文件中有关术语解释</w:t>
      </w:r>
      <w:bookmarkEnd w:id="584"/>
      <w:bookmarkEnd w:id="585"/>
      <w:bookmarkEnd w:id="586"/>
      <w:bookmarkEnd w:id="587"/>
      <w:bookmarkEnd w:id="588"/>
      <w:bookmarkEnd w:id="589"/>
      <w:bookmarkEnd w:id="590"/>
    </w:p>
    <w:p w14:paraId="3F61FBD1">
      <w:pPr>
        <w:pStyle w:val="19"/>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b/>
          <w:color w:val="auto"/>
          <w:kern w:val="2"/>
          <w:highlight w:val="none"/>
        </w:rPr>
        <w:t>招标人</w:t>
      </w:r>
      <w:r>
        <w:rPr>
          <w:rFonts w:hint="eastAsia" w:ascii="仿宋" w:hAnsi="仿宋" w:eastAsia="仿宋" w:cs="仿宋"/>
          <w:color w:val="auto"/>
          <w:highlight w:val="none"/>
        </w:rPr>
        <w:t>”系指依法提出招标项目、进行招标的法人或者其他组织。政府采购中也指“采购人”。</w:t>
      </w:r>
    </w:p>
    <w:p w14:paraId="443AE5C7">
      <w:pPr>
        <w:pStyle w:val="19"/>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b/>
          <w:color w:val="auto"/>
          <w:kern w:val="2"/>
          <w:highlight w:val="none"/>
        </w:rPr>
        <w:t>招标代理机构</w:t>
      </w:r>
      <w:r>
        <w:rPr>
          <w:rFonts w:hint="eastAsia" w:ascii="仿宋" w:hAnsi="仿宋" w:eastAsia="仿宋" w:cs="仿宋"/>
          <w:color w:val="auto"/>
          <w:highlight w:val="none"/>
        </w:rPr>
        <w:t>”系指依法设立，从事招标代理业务并提供相关服务的社会中介组织。政府采购中也指“采购代理机构”。</w:t>
      </w:r>
    </w:p>
    <w:p w14:paraId="32A8F47A">
      <w:pPr>
        <w:pStyle w:val="19"/>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b/>
          <w:color w:val="auto"/>
          <w:kern w:val="2"/>
          <w:highlight w:val="none"/>
        </w:rPr>
        <w:t>投标人</w:t>
      </w:r>
      <w:r>
        <w:rPr>
          <w:rFonts w:hint="eastAsia" w:ascii="仿宋" w:hAnsi="仿宋" w:eastAsia="仿宋" w:cs="仿宋"/>
          <w:color w:val="auto"/>
          <w:highlight w:val="none"/>
        </w:rPr>
        <w:t>”系指响应招标、参加投标竞争的法人或者其他组织。</w:t>
      </w:r>
    </w:p>
    <w:p w14:paraId="533460E1">
      <w:pPr>
        <w:pStyle w:val="19"/>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b/>
          <w:color w:val="auto"/>
          <w:kern w:val="2"/>
          <w:highlight w:val="none"/>
        </w:rPr>
        <w:t>货物</w:t>
      </w:r>
      <w:r>
        <w:rPr>
          <w:rFonts w:hint="eastAsia" w:ascii="仿宋" w:hAnsi="仿宋" w:eastAsia="仿宋" w:cs="仿宋"/>
          <w:color w:val="auto"/>
          <w:highlight w:val="none"/>
        </w:rPr>
        <w:t>”系指招标人拟采购的、在招标文件中要求的各种形态和种类的物品，包括设备、原材料、燃料、办公和生活家具、工具、器具、仪表等有形产品。</w:t>
      </w:r>
    </w:p>
    <w:p w14:paraId="290501F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b/>
          <w:color w:val="auto"/>
          <w:sz w:val="24"/>
          <w:highlight w:val="none"/>
        </w:rPr>
        <w:t>服务</w:t>
      </w:r>
      <w:r>
        <w:rPr>
          <w:rFonts w:hint="eastAsia" w:ascii="仿宋" w:hAnsi="仿宋" w:eastAsia="仿宋" w:cs="仿宋"/>
          <w:color w:val="auto"/>
          <w:sz w:val="24"/>
          <w:highlight w:val="none"/>
        </w:rPr>
        <w:t>”系指招标文件规定的需中标人承担的如运输、保险</w:t>
      </w:r>
      <w:r>
        <w:rPr>
          <w:rFonts w:hint="eastAsia" w:ascii="仿宋" w:hAnsi="仿宋" w:eastAsia="仿宋" w:cs="仿宋"/>
          <w:color w:val="auto"/>
          <w:sz w:val="24"/>
          <w:highlight w:val="none"/>
          <w:lang w:eastAsia="zh-CN"/>
        </w:rPr>
        <w:t>及其他</w:t>
      </w:r>
      <w:r>
        <w:rPr>
          <w:rFonts w:hint="eastAsia" w:ascii="仿宋" w:hAnsi="仿宋" w:eastAsia="仿宋" w:cs="仿宋"/>
          <w:color w:val="auto"/>
          <w:sz w:val="24"/>
          <w:highlight w:val="none"/>
        </w:rPr>
        <w:t>服务，或安装、调试、提供技术协助、技术服务、培训</w:t>
      </w:r>
      <w:r>
        <w:rPr>
          <w:rFonts w:hint="eastAsia" w:ascii="仿宋" w:hAnsi="仿宋" w:eastAsia="仿宋" w:cs="仿宋"/>
          <w:color w:val="auto"/>
          <w:sz w:val="24"/>
          <w:highlight w:val="none"/>
          <w:lang w:eastAsia="zh-CN"/>
        </w:rPr>
        <w:t>及其他</w:t>
      </w:r>
      <w:r>
        <w:rPr>
          <w:rFonts w:hint="eastAsia" w:ascii="仿宋" w:hAnsi="仿宋" w:eastAsia="仿宋" w:cs="仿宋"/>
          <w:color w:val="auto"/>
          <w:sz w:val="24"/>
          <w:highlight w:val="none"/>
        </w:rPr>
        <w:t>义务。</w:t>
      </w:r>
    </w:p>
    <w:p w14:paraId="52320780">
      <w:pPr>
        <w:pStyle w:val="19"/>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（6）“</w:t>
      </w:r>
      <w:r>
        <w:rPr>
          <w:rFonts w:hint="eastAsia" w:ascii="仿宋" w:hAnsi="仿宋" w:eastAsia="仿宋" w:cs="仿宋"/>
          <w:b/>
          <w:color w:val="auto"/>
          <w:kern w:val="2"/>
          <w:highlight w:val="none"/>
        </w:rPr>
        <w:t>单位公章</w:t>
      </w:r>
      <w:r>
        <w:rPr>
          <w:rFonts w:hint="eastAsia" w:ascii="仿宋" w:hAnsi="仿宋" w:eastAsia="仿宋" w:cs="仿宋"/>
          <w:color w:val="auto"/>
          <w:highlight w:val="none"/>
        </w:rPr>
        <w:t>”系指刻有工商登记部门核准并登记的法人名称全称的公章，简称“公章”。</w:t>
      </w:r>
    </w:p>
    <w:p w14:paraId="0DF40604">
      <w:pPr>
        <w:pStyle w:val="19"/>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（7）“</w:t>
      </w:r>
      <w:r>
        <w:rPr>
          <w:rFonts w:hint="eastAsia" w:ascii="仿宋" w:hAnsi="仿宋" w:eastAsia="仿宋" w:cs="仿宋"/>
          <w:b/>
          <w:color w:val="auto"/>
          <w:kern w:val="2"/>
          <w:highlight w:val="none"/>
        </w:rPr>
        <w:t>法人</w:t>
      </w:r>
      <w:r>
        <w:rPr>
          <w:rFonts w:hint="eastAsia" w:ascii="仿宋" w:hAnsi="仿宋" w:eastAsia="仿宋" w:cs="仿宋"/>
          <w:color w:val="auto"/>
          <w:highlight w:val="none"/>
        </w:rPr>
        <w:t>”系指具有民事权利能力和民事行为能力，依法独立享有民事权利和承担民事义务的组织。简言之，法人是具有民事权利主体资格的</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"http://baike.baidu.com/view/11175.htm"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社会</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组织。我国的法人主要有四种：机关法人、事业法人、企业法人和社团法人。</w:t>
      </w:r>
    </w:p>
    <w:p w14:paraId="12F067AD">
      <w:pPr>
        <w:pStyle w:val="19"/>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（8）“</w:t>
      </w:r>
      <w:r>
        <w:rPr>
          <w:rFonts w:hint="eastAsia" w:ascii="仿宋" w:hAnsi="仿宋" w:eastAsia="仿宋" w:cs="仿宋"/>
          <w:b/>
          <w:color w:val="auto"/>
          <w:kern w:val="2"/>
          <w:highlight w:val="none"/>
        </w:rPr>
        <w:t>企业法人</w:t>
      </w:r>
      <w:r>
        <w:rPr>
          <w:rFonts w:hint="eastAsia" w:ascii="仿宋" w:hAnsi="仿宋" w:eastAsia="仿宋" w:cs="仿宋"/>
          <w:color w:val="auto"/>
          <w:highlight w:val="none"/>
        </w:rPr>
        <w:t>”系指指依照《中华人民共和国公司法》在中国境内设立的有限责任公司和股份有限公司。</w:t>
      </w:r>
    </w:p>
    <w:p w14:paraId="27D73C6D">
      <w:pPr>
        <w:pStyle w:val="12"/>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r>
        <w:rPr>
          <w:rFonts w:hint="eastAsia" w:ascii="仿宋" w:hAnsi="仿宋" w:eastAsia="仿宋" w:cs="仿宋"/>
          <w:b/>
          <w:color w:val="auto"/>
          <w:sz w:val="24"/>
          <w:highlight w:val="none"/>
          <w:lang w:eastAsia="zh-CN"/>
        </w:rPr>
        <w:t>法定代表人（负责人）</w:t>
      </w:r>
      <w:r>
        <w:rPr>
          <w:rFonts w:hint="eastAsia" w:ascii="仿宋" w:hAnsi="仿宋" w:eastAsia="仿宋" w:cs="仿宋"/>
          <w:color w:val="auto"/>
          <w:sz w:val="24"/>
          <w:highlight w:val="none"/>
        </w:rPr>
        <w:t>”系指依照法律或法人组织章程规定，代表法人行使职权的负责人。</w:t>
      </w:r>
    </w:p>
    <w:p w14:paraId="2C00A336">
      <w:pPr>
        <w:pStyle w:val="12"/>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b/>
          <w:color w:val="auto"/>
          <w:sz w:val="24"/>
          <w:highlight w:val="none"/>
        </w:rPr>
        <w:t>单位负责人</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系指非法人的单位、团体、组织或个体户的负责人或经营者</w:t>
      </w:r>
      <w:r>
        <w:rPr>
          <w:rFonts w:hint="eastAsia" w:ascii="仿宋" w:hAnsi="仿宋" w:eastAsia="仿宋" w:cs="仿宋"/>
          <w:color w:val="auto"/>
          <w:sz w:val="24"/>
          <w:highlight w:val="none"/>
        </w:rPr>
        <w:t>。</w:t>
      </w:r>
    </w:p>
    <w:p w14:paraId="2AB5A87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2"/>
          <w:sz w:val="24"/>
          <w:szCs w:val="24"/>
          <w:highlight w:val="none"/>
          <w:lang w:val="en-US" w:eastAsia="zh-CN" w:bidi="ar-SA"/>
        </w:rPr>
      </w:pPr>
      <w:bookmarkStart w:id="591" w:name="_Toc103173524"/>
      <w:bookmarkStart w:id="592" w:name="_Toc103269430"/>
      <w:bookmarkStart w:id="593" w:name="_Toc16199"/>
      <w:bookmarkStart w:id="594" w:name="_Toc112951201"/>
      <w:r>
        <w:rPr>
          <w:rFonts w:hint="eastAsia" w:ascii="仿宋" w:hAnsi="仿宋" w:eastAsia="仿宋" w:cs="仿宋"/>
          <w:color w:val="auto"/>
          <w:kern w:val="2"/>
          <w:sz w:val="24"/>
          <w:szCs w:val="24"/>
          <w:highlight w:val="none"/>
          <w:lang w:val="en-US" w:eastAsia="zh-CN" w:bidi="ar-SA"/>
        </w:rPr>
        <w:t>39、小微企业或监狱企业或残疾人福利性单位：详见招标文件《投标人须知前附表》。</w:t>
      </w:r>
      <w:bookmarkEnd w:id="591"/>
      <w:bookmarkEnd w:id="592"/>
      <w:bookmarkEnd w:id="593"/>
      <w:bookmarkEnd w:id="594"/>
    </w:p>
    <w:p w14:paraId="0F641FA9">
      <w:pPr>
        <w:shd w:val="clea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4A0AC0F">
      <w:pPr>
        <w:pStyle w:val="3"/>
        <w:shd w:val="clear"/>
        <w:outlineLvl w:val="0"/>
        <w:rPr>
          <w:rFonts w:hint="eastAsia" w:ascii="仿宋" w:hAnsi="仿宋" w:eastAsia="仿宋" w:cs="仿宋"/>
          <w:color w:val="auto"/>
          <w:highlight w:val="none"/>
        </w:rPr>
      </w:pPr>
      <w:bookmarkStart w:id="595" w:name="_Toc364392640"/>
      <w:bookmarkStart w:id="596" w:name="_Toc6824"/>
      <w:bookmarkStart w:id="597" w:name="_Toc26119"/>
      <w:bookmarkStart w:id="598" w:name="_Toc6023"/>
      <w:bookmarkStart w:id="599" w:name="_Toc1846"/>
      <w:bookmarkStart w:id="600" w:name="_Toc3322"/>
      <w:bookmarkStart w:id="601" w:name="_Toc488633609"/>
      <w:bookmarkStart w:id="602" w:name="_Toc489197837"/>
      <w:bookmarkStart w:id="603" w:name="_Toc1592"/>
      <w:bookmarkStart w:id="604" w:name="_Toc30011"/>
      <w:bookmarkStart w:id="605" w:name="_Toc10970"/>
      <w:bookmarkStart w:id="606" w:name="_Toc7291"/>
      <w:bookmarkStart w:id="607" w:name="_Toc528186481"/>
      <w:bookmarkStart w:id="608" w:name="_Toc489145733"/>
      <w:r>
        <w:rPr>
          <w:rFonts w:hint="eastAsia" w:ascii="仿宋" w:hAnsi="仿宋" w:eastAsia="仿宋" w:cs="仿宋"/>
          <w:color w:val="auto"/>
          <w:highlight w:val="none"/>
        </w:rPr>
        <w:t>第三章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合同书样式及主要条款</w:t>
      </w:r>
      <w:bookmarkEnd w:id="595"/>
      <w:bookmarkEnd w:id="596"/>
      <w:bookmarkEnd w:id="597"/>
      <w:bookmarkEnd w:id="598"/>
      <w:bookmarkEnd w:id="599"/>
      <w:bookmarkEnd w:id="600"/>
    </w:p>
    <w:p w14:paraId="68F03EF8">
      <w:pPr>
        <w:shd w:val="clear"/>
        <w:rPr>
          <w:rFonts w:hint="eastAsia" w:ascii="仿宋" w:hAnsi="仿宋" w:eastAsia="仿宋" w:cs="仿宋"/>
          <w:color w:val="auto"/>
          <w:highlight w:val="none"/>
        </w:rPr>
      </w:pPr>
    </w:p>
    <w:tbl>
      <w:tblPr>
        <w:tblStyle w:val="22"/>
        <w:tblW w:w="978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127"/>
        <w:gridCol w:w="6735"/>
      </w:tblGrid>
      <w:tr w14:paraId="37BD415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926" w:type="dxa"/>
            <w:vAlign w:val="center"/>
          </w:tcPr>
          <w:p w14:paraId="1DFD2064">
            <w:pPr>
              <w:pStyle w:val="12"/>
              <w:shd w:val="clea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127" w:type="dxa"/>
            <w:vAlign w:val="center"/>
          </w:tcPr>
          <w:p w14:paraId="55277C74">
            <w:pPr>
              <w:pStyle w:val="12"/>
              <w:shd w:val="clea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w:t>
            </w:r>
          </w:p>
        </w:tc>
        <w:tc>
          <w:tcPr>
            <w:tcW w:w="6735" w:type="dxa"/>
            <w:vAlign w:val="center"/>
          </w:tcPr>
          <w:p w14:paraId="32CEB404">
            <w:pPr>
              <w:pStyle w:val="12"/>
              <w:shd w:val="clea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内容</w:t>
            </w:r>
          </w:p>
        </w:tc>
      </w:tr>
      <w:tr w14:paraId="3A384D9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926" w:type="dxa"/>
            <w:vAlign w:val="center"/>
          </w:tcPr>
          <w:p w14:paraId="0A2FB81A">
            <w:pPr>
              <w:pStyle w:val="12"/>
              <w:shd w:val="clear"/>
              <w:spacing w:line="276" w:lineRule="auto"/>
              <w:jc w:val="center"/>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w:t>
            </w:r>
          </w:p>
        </w:tc>
        <w:tc>
          <w:tcPr>
            <w:tcW w:w="2127" w:type="dxa"/>
            <w:vAlign w:val="center"/>
          </w:tcPr>
          <w:p w14:paraId="6FB745ED">
            <w:pPr>
              <w:shd w:val="clear"/>
              <w:jc w:val="center"/>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4"/>
                <w:highlight w:val="none"/>
                <w:lang w:val="en-US" w:eastAsia="zh-CN"/>
              </w:rPr>
              <w:t>合同履行期限</w:t>
            </w:r>
          </w:p>
        </w:tc>
        <w:tc>
          <w:tcPr>
            <w:tcW w:w="6735" w:type="dxa"/>
            <w:vAlign w:val="center"/>
          </w:tcPr>
          <w:p w14:paraId="517743FF">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eastAsia="zh-CN"/>
              </w:rPr>
              <w:t>两年。</w:t>
            </w:r>
          </w:p>
        </w:tc>
      </w:tr>
      <w:tr w14:paraId="191832F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926" w:type="dxa"/>
            <w:vAlign w:val="center"/>
          </w:tcPr>
          <w:p w14:paraId="388D74F6">
            <w:pPr>
              <w:pStyle w:val="12"/>
              <w:shd w:val="clear"/>
              <w:spacing w:line="276" w:lineRule="auto"/>
              <w:jc w:val="center"/>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w:t>
            </w:r>
          </w:p>
        </w:tc>
        <w:tc>
          <w:tcPr>
            <w:tcW w:w="2127" w:type="dxa"/>
            <w:vAlign w:val="center"/>
          </w:tcPr>
          <w:p w14:paraId="44EC6FBD">
            <w:pPr>
              <w:shd w:val="clear"/>
              <w:jc w:val="center"/>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4"/>
                <w:highlight w:val="none"/>
                <w:lang w:val="en-US" w:eastAsia="zh-CN"/>
              </w:rPr>
              <w:t>质保期</w:t>
            </w:r>
          </w:p>
        </w:tc>
        <w:tc>
          <w:tcPr>
            <w:tcW w:w="6735" w:type="dxa"/>
            <w:vAlign w:val="center"/>
          </w:tcPr>
          <w:p w14:paraId="23990050">
            <w:pPr>
              <w:keepNext w:val="0"/>
              <w:keepLines w:val="0"/>
              <w:pageBreakBefore w:val="0"/>
              <w:widowControl w:val="0"/>
              <w:shd w:val="clear"/>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eastAsia="zh-CN"/>
              </w:rPr>
              <w:t>验收合格后</w:t>
            </w:r>
            <w:r>
              <w:rPr>
                <w:rFonts w:hint="eastAsia" w:ascii="仿宋" w:hAnsi="仿宋" w:eastAsia="仿宋" w:cs="仿宋"/>
                <w:color w:val="auto"/>
                <w:sz w:val="24"/>
                <w:szCs w:val="22"/>
                <w:highlight w:val="none"/>
                <w:lang w:val="en-US" w:eastAsia="zh-CN"/>
              </w:rPr>
              <w:t>2年。</w:t>
            </w:r>
          </w:p>
        </w:tc>
      </w:tr>
      <w:tr w14:paraId="6C9016D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926" w:type="dxa"/>
            <w:vAlign w:val="center"/>
          </w:tcPr>
          <w:p w14:paraId="118904F2">
            <w:pPr>
              <w:pStyle w:val="12"/>
              <w:shd w:val="clear"/>
              <w:spacing w:line="276" w:lineRule="auto"/>
              <w:jc w:val="center"/>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w:t>
            </w:r>
          </w:p>
        </w:tc>
        <w:tc>
          <w:tcPr>
            <w:tcW w:w="2127" w:type="dxa"/>
            <w:vAlign w:val="center"/>
          </w:tcPr>
          <w:p w14:paraId="7FE02542">
            <w:pPr>
              <w:pStyle w:val="12"/>
              <w:shd w:val="clear"/>
              <w:spacing w:line="276" w:lineRule="auto"/>
              <w:jc w:val="center"/>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结算方式</w:t>
            </w:r>
          </w:p>
        </w:tc>
        <w:tc>
          <w:tcPr>
            <w:tcW w:w="6735" w:type="dxa"/>
            <w:vAlign w:val="center"/>
          </w:tcPr>
          <w:p w14:paraId="50E21C43">
            <w:pPr>
              <w:keepNext w:val="0"/>
              <w:keepLines w:val="0"/>
              <w:pageBreakBefore w:val="0"/>
              <w:shd w:val="clear"/>
              <w:kinsoku/>
              <w:wordWrap/>
              <w:overflowPunct/>
              <w:topLinePunct w:val="0"/>
              <w:autoSpaceDE/>
              <w:autoSpaceDN/>
              <w:bidi w:val="0"/>
              <w:adjustRightInd/>
              <w:snapToGrid/>
              <w:spacing w:line="440" w:lineRule="exact"/>
              <w:textAlignment w:val="auto"/>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付款金额按合同签订时采购方实际使用人数结算。合同签订时，预付50%服务费用，</w:t>
            </w:r>
            <w:r>
              <w:rPr>
                <w:rFonts w:hint="eastAsia" w:ascii="仿宋" w:hAnsi="仿宋" w:eastAsia="仿宋" w:cs="仿宋"/>
                <w:color w:val="auto"/>
                <w:sz w:val="24"/>
                <w:szCs w:val="22"/>
                <w:highlight w:val="none"/>
                <w:lang w:eastAsia="zh-CN"/>
              </w:rPr>
              <w:t>采购方在签订</w:t>
            </w:r>
            <w:r>
              <w:rPr>
                <w:rFonts w:hint="eastAsia" w:ascii="仿宋" w:hAnsi="仿宋" w:eastAsia="仿宋" w:cs="仿宋"/>
                <w:color w:val="auto"/>
                <w:sz w:val="24"/>
                <w:szCs w:val="22"/>
                <w:highlight w:val="none"/>
                <w:lang w:val="en-US" w:eastAsia="zh-CN"/>
              </w:rPr>
              <w:t>合同</w:t>
            </w:r>
            <w:r>
              <w:rPr>
                <w:rFonts w:hint="eastAsia" w:ascii="仿宋" w:hAnsi="仿宋" w:eastAsia="仿宋" w:cs="仿宋"/>
                <w:color w:val="auto"/>
                <w:sz w:val="24"/>
                <w:szCs w:val="22"/>
                <w:highlight w:val="none"/>
                <w:lang w:eastAsia="zh-CN"/>
              </w:rPr>
              <w:t>时</w:t>
            </w:r>
            <w:r>
              <w:rPr>
                <w:rFonts w:hint="eastAsia" w:ascii="仿宋" w:hAnsi="仿宋" w:eastAsia="仿宋" w:cs="仿宋"/>
                <w:color w:val="auto"/>
                <w:sz w:val="24"/>
                <w:szCs w:val="22"/>
                <w:highlight w:val="none"/>
                <w:lang w:val="en-US" w:eastAsia="zh-CN"/>
              </w:rPr>
              <w:t>具体约定</w:t>
            </w:r>
            <w:r>
              <w:rPr>
                <w:rFonts w:hint="eastAsia" w:ascii="仿宋" w:hAnsi="仿宋" w:eastAsia="仿宋" w:cs="仿宋"/>
                <w:color w:val="auto"/>
                <w:sz w:val="24"/>
                <w:szCs w:val="22"/>
                <w:highlight w:val="none"/>
                <w:lang w:eastAsia="zh-CN"/>
              </w:rPr>
              <w:t>绩效</w:t>
            </w:r>
            <w:r>
              <w:rPr>
                <w:rFonts w:hint="eastAsia" w:ascii="仿宋" w:hAnsi="仿宋" w:eastAsia="仿宋" w:cs="仿宋"/>
                <w:color w:val="auto"/>
                <w:sz w:val="24"/>
                <w:szCs w:val="22"/>
                <w:highlight w:val="none"/>
                <w:lang w:val="en-US" w:eastAsia="zh-CN"/>
              </w:rPr>
              <w:t>考核</w:t>
            </w:r>
            <w:r>
              <w:rPr>
                <w:rFonts w:hint="eastAsia" w:ascii="仿宋" w:hAnsi="仿宋" w:eastAsia="仿宋" w:cs="仿宋"/>
                <w:color w:val="auto"/>
                <w:sz w:val="24"/>
                <w:szCs w:val="22"/>
                <w:highlight w:val="none"/>
                <w:lang w:eastAsia="zh-CN"/>
              </w:rPr>
              <w:t>标准；供应商</w:t>
            </w:r>
            <w:r>
              <w:rPr>
                <w:rFonts w:hint="eastAsia" w:ascii="仿宋" w:hAnsi="仿宋" w:eastAsia="仿宋" w:cs="仿宋"/>
                <w:color w:val="auto"/>
                <w:sz w:val="24"/>
                <w:szCs w:val="22"/>
                <w:highlight w:val="none"/>
                <w:lang w:val="en-US" w:eastAsia="zh-CN"/>
              </w:rPr>
              <w:t>经采购方对当年绩效考核</w:t>
            </w:r>
            <w:r>
              <w:rPr>
                <w:rFonts w:hint="eastAsia" w:ascii="仿宋" w:hAnsi="仿宋" w:eastAsia="仿宋" w:cs="仿宋"/>
                <w:color w:val="auto"/>
                <w:sz w:val="24"/>
                <w:szCs w:val="22"/>
                <w:highlight w:val="none"/>
                <w:lang w:eastAsia="zh-CN"/>
              </w:rPr>
              <w:t>合格后，</w:t>
            </w:r>
            <w:r>
              <w:rPr>
                <w:rFonts w:hint="eastAsia" w:ascii="仿宋" w:hAnsi="仿宋" w:eastAsia="仿宋" w:cs="仿宋"/>
                <w:color w:val="auto"/>
                <w:sz w:val="24"/>
                <w:szCs w:val="22"/>
                <w:highlight w:val="none"/>
                <w:lang w:val="en-US" w:eastAsia="zh-CN"/>
              </w:rPr>
              <w:t>支付</w:t>
            </w:r>
            <w:r>
              <w:rPr>
                <w:rFonts w:hint="eastAsia" w:ascii="仿宋" w:hAnsi="仿宋" w:eastAsia="仿宋" w:cs="仿宋"/>
                <w:color w:val="auto"/>
                <w:sz w:val="24"/>
                <w:szCs w:val="22"/>
                <w:highlight w:val="none"/>
                <w:lang w:eastAsia="zh-CN"/>
              </w:rPr>
              <w:t>次年合同</w:t>
            </w:r>
            <w:r>
              <w:rPr>
                <w:rFonts w:hint="eastAsia" w:ascii="仿宋" w:hAnsi="仿宋" w:eastAsia="仿宋" w:cs="仿宋"/>
                <w:color w:val="auto"/>
                <w:sz w:val="24"/>
                <w:szCs w:val="22"/>
                <w:highlight w:val="none"/>
                <w:lang w:val="en-US" w:eastAsia="zh-CN"/>
              </w:rPr>
              <w:t>费用</w:t>
            </w:r>
            <w:r>
              <w:rPr>
                <w:rFonts w:hint="eastAsia" w:ascii="仿宋" w:hAnsi="仿宋" w:eastAsia="仿宋" w:cs="仿宋"/>
                <w:color w:val="auto"/>
                <w:sz w:val="24"/>
                <w:szCs w:val="22"/>
                <w:highlight w:val="none"/>
                <w:lang w:eastAsia="zh-CN"/>
              </w:rPr>
              <w:t>。</w:t>
            </w:r>
          </w:p>
        </w:tc>
      </w:tr>
    </w:tbl>
    <w:p w14:paraId="6D51AF04">
      <w:pPr>
        <w:shd w:val="clear"/>
        <w:rPr>
          <w:rFonts w:hint="eastAsia" w:ascii="仿宋" w:hAnsi="仿宋" w:eastAsia="仿宋" w:cs="仿宋"/>
          <w:color w:val="auto"/>
          <w:highlight w:val="none"/>
        </w:rPr>
      </w:pPr>
    </w:p>
    <w:p w14:paraId="0D71C2CC">
      <w:pPr>
        <w:shd w:val="clear"/>
        <w:autoSpaceDE w:val="0"/>
        <w:autoSpaceDN w:val="0"/>
        <w:adjustRightInd w:val="0"/>
        <w:spacing w:line="360" w:lineRule="auto"/>
        <w:ind w:right="-72"/>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注：</w:t>
      </w:r>
      <w:r>
        <w:rPr>
          <w:rFonts w:hint="eastAsia" w:ascii="仿宋" w:hAnsi="仿宋" w:eastAsia="仿宋" w:cs="仿宋"/>
          <w:b/>
          <w:color w:val="auto"/>
          <w:sz w:val="24"/>
          <w:highlight w:val="none"/>
          <w:u w:val="single"/>
        </w:rPr>
        <w:t>本合同样式仅供参考，具体合同以采购人与中标人签订的合同为准</w:t>
      </w:r>
      <w:r>
        <w:rPr>
          <w:rFonts w:hint="eastAsia" w:ascii="仿宋" w:hAnsi="仿宋" w:eastAsia="仿宋" w:cs="仿宋"/>
          <w:color w:val="auto"/>
          <w:sz w:val="24"/>
          <w:highlight w:val="none"/>
        </w:rPr>
        <w:t>）</w:t>
      </w:r>
    </w:p>
    <w:p w14:paraId="6B428AAA">
      <w:pPr>
        <w:shd w:val="clear"/>
        <w:autoSpaceDE w:val="0"/>
        <w:autoSpaceDN w:val="0"/>
        <w:adjustRightInd w:val="0"/>
        <w:spacing w:line="360" w:lineRule="auto"/>
        <w:ind w:right="-72"/>
        <w:rPr>
          <w:rFonts w:hint="eastAsia" w:ascii="仿宋" w:hAnsi="仿宋" w:eastAsia="仿宋" w:cs="仿宋"/>
          <w:b/>
          <w:color w:val="auto"/>
          <w:kern w:val="0"/>
          <w:sz w:val="24"/>
          <w:highlight w:val="none"/>
        </w:rPr>
      </w:pPr>
      <w:r>
        <w:rPr>
          <w:rFonts w:hint="eastAsia" w:ascii="仿宋" w:hAnsi="仿宋" w:eastAsia="仿宋" w:cs="仿宋"/>
          <w:color w:val="auto"/>
          <w:sz w:val="24"/>
          <w:highlight w:val="none"/>
        </w:rPr>
        <w:t>合同编号：合同自编号：</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项目编号：</w:t>
      </w:r>
    </w:p>
    <w:p w14:paraId="087882D2">
      <w:pPr>
        <w:shd w:val="clear"/>
        <w:autoSpaceDE w:val="0"/>
        <w:autoSpaceDN w:val="0"/>
        <w:adjustRightInd w:val="0"/>
        <w:spacing w:line="360" w:lineRule="auto"/>
        <w:ind w:right="568"/>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本合同须加盖甲乙双方骑缝章有效</w:t>
      </w:r>
    </w:p>
    <w:p w14:paraId="2A09CA92">
      <w:pPr>
        <w:shd w:val="clear"/>
        <w:autoSpaceDE w:val="0"/>
        <w:autoSpaceDN w:val="0"/>
        <w:adjustRightInd w:val="0"/>
        <w:spacing w:line="360" w:lineRule="auto"/>
        <w:jc w:val="center"/>
        <w:rPr>
          <w:rFonts w:hint="eastAsia" w:ascii="仿宋" w:hAnsi="仿宋" w:eastAsia="仿宋" w:cs="仿宋"/>
          <w:color w:val="auto"/>
          <w:kern w:val="0"/>
          <w:sz w:val="24"/>
          <w:highlight w:val="none"/>
        </w:rPr>
      </w:pPr>
    </w:p>
    <w:p w14:paraId="52C01361">
      <w:pPr>
        <w:shd w:val="clear"/>
        <w:autoSpaceDE w:val="0"/>
        <w:autoSpaceDN w:val="0"/>
        <w:adjustRightInd w:val="0"/>
        <w:spacing w:line="360" w:lineRule="auto"/>
        <w:jc w:val="center"/>
        <w:rPr>
          <w:rFonts w:hint="eastAsia" w:ascii="仿宋" w:hAnsi="仿宋" w:eastAsia="仿宋" w:cs="仿宋"/>
          <w:color w:val="auto"/>
          <w:kern w:val="0"/>
          <w:sz w:val="32"/>
          <w:szCs w:val="32"/>
          <w:highlight w:val="none"/>
        </w:rPr>
      </w:pPr>
    </w:p>
    <w:p w14:paraId="5CC2F494">
      <w:pPr>
        <w:shd w:val="clear"/>
        <w:autoSpaceDE w:val="0"/>
        <w:autoSpaceDN w:val="0"/>
        <w:adjustRightInd w:val="0"/>
        <w:spacing w:line="360" w:lineRule="auto"/>
        <w:jc w:val="center"/>
        <w:rPr>
          <w:rFonts w:hint="eastAsia" w:ascii="仿宋" w:hAnsi="仿宋" w:eastAsia="仿宋" w:cs="仿宋"/>
          <w:color w:val="auto"/>
          <w:kern w:val="0"/>
          <w:sz w:val="32"/>
          <w:szCs w:val="32"/>
          <w:highlight w:val="none"/>
        </w:rPr>
      </w:pPr>
    </w:p>
    <w:p w14:paraId="6D034A4F">
      <w:pPr>
        <w:shd w:val="clear"/>
        <w:autoSpaceDE w:val="0"/>
        <w:autoSpaceDN w:val="0"/>
        <w:adjustRightInd w:val="0"/>
        <w:spacing w:line="360" w:lineRule="auto"/>
        <w:jc w:val="center"/>
        <w:rPr>
          <w:rFonts w:hint="eastAsia" w:ascii="仿宋" w:hAnsi="仿宋" w:eastAsia="仿宋" w:cs="仿宋"/>
          <w:color w:val="auto"/>
          <w:kern w:val="0"/>
          <w:sz w:val="52"/>
          <w:szCs w:val="52"/>
          <w:highlight w:val="none"/>
        </w:rPr>
      </w:pPr>
      <w:r>
        <w:rPr>
          <w:rFonts w:hint="eastAsia" w:ascii="仿宋" w:hAnsi="仿宋" w:eastAsia="仿宋" w:cs="仿宋"/>
          <w:color w:val="auto"/>
          <w:kern w:val="0"/>
          <w:sz w:val="52"/>
          <w:szCs w:val="52"/>
          <w:highlight w:val="none"/>
        </w:rPr>
        <w:t>政府采购</w:t>
      </w:r>
    </w:p>
    <w:p w14:paraId="2520933D">
      <w:pPr>
        <w:shd w:val="clear"/>
        <w:autoSpaceDE w:val="0"/>
        <w:autoSpaceDN w:val="0"/>
        <w:adjustRightInd w:val="0"/>
        <w:spacing w:line="360" w:lineRule="auto"/>
        <w:jc w:val="center"/>
        <w:rPr>
          <w:rFonts w:hint="eastAsia" w:ascii="仿宋" w:hAnsi="仿宋" w:eastAsia="仿宋" w:cs="仿宋"/>
          <w:b/>
          <w:color w:val="auto"/>
          <w:kern w:val="0"/>
          <w:sz w:val="44"/>
          <w:szCs w:val="44"/>
          <w:highlight w:val="none"/>
        </w:rPr>
      </w:pPr>
    </w:p>
    <w:p w14:paraId="70184336">
      <w:pPr>
        <w:shd w:val="clear"/>
        <w:autoSpaceDE w:val="0"/>
        <w:autoSpaceDN w:val="0"/>
        <w:adjustRightInd w:val="0"/>
        <w:spacing w:line="360" w:lineRule="auto"/>
        <w:jc w:val="center"/>
        <w:rPr>
          <w:rFonts w:hint="eastAsia" w:ascii="仿宋" w:hAnsi="仿宋" w:eastAsia="仿宋" w:cs="仿宋"/>
          <w:b/>
          <w:color w:val="auto"/>
          <w:kern w:val="0"/>
          <w:sz w:val="44"/>
          <w:szCs w:val="44"/>
          <w:highlight w:val="none"/>
        </w:rPr>
      </w:pPr>
      <w:r>
        <w:rPr>
          <w:rFonts w:hint="eastAsia" w:ascii="仿宋" w:hAnsi="仿宋" w:eastAsia="仿宋" w:cs="仿宋"/>
          <w:color w:val="auto"/>
          <w:sz w:val="33"/>
          <w:szCs w:val="33"/>
          <w:highlight w:val="none"/>
        </w:rPr>
        <w:t>（委托采购）</w:t>
      </w:r>
    </w:p>
    <w:p w14:paraId="42CEA7E1">
      <w:pPr>
        <w:shd w:val="clear"/>
        <w:autoSpaceDE w:val="0"/>
        <w:autoSpaceDN w:val="0"/>
        <w:adjustRightInd w:val="0"/>
        <w:spacing w:line="360" w:lineRule="auto"/>
        <w:jc w:val="center"/>
        <w:rPr>
          <w:rFonts w:hint="eastAsia" w:ascii="仿宋" w:hAnsi="仿宋" w:eastAsia="仿宋" w:cs="仿宋"/>
          <w:color w:val="auto"/>
          <w:kern w:val="0"/>
          <w:sz w:val="18"/>
          <w:szCs w:val="18"/>
          <w:highlight w:val="none"/>
        </w:rPr>
      </w:pPr>
    </w:p>
    <w:p w14:paraId="2544AA60">
      <w:pPr>
        <w:shd w:val="clear"/>
        <w:autoSpaceDE w:val="0"/>
        <w:autoSpaceDN w:val="0"/>
        <w:adjustRightInd w:val="0"/>
        <w:spacing w:line="360" w:lineRule="auto"/>
        <w:jc w:val="center"/>
        <w:rPr>
          <w:rFonts w:hint="eastAsia" w:ascii="仿宋" w:hAnsi="仿宋" w:eastAsia="仿宋" w:cs="仿宋"/>
          <w:color w:val="auto"/>
          <w:kern w:val="0"/>
          <w:sz w:val="18"/>
          <w:szCs w:val="18"/>
          <w:highlight w:val="none"/>
        </w:rPr>
      </w:pPr>
    </w:p>
    <w:p w14:paraId="4C3FAE42">
      <w:pPr>
        <w:shd w:val="clear"/>
        <w:autoSpaceDE w:val="0"/>
        <w:autoSpaceDN w:val="0"/>
        <w:adjustRightInd w:val="0"/>
        <w:spacing w:line="360" w:lineRule="auto"/>
        <w:jc w:val="center"/>
        <w:rPr>
          <w:rFonts w:hint="eastAsia" w:ascii="仿宋" w:hAnsi="仿宋" w:eastAsia="仿宋" w:cs="仿宋"/>
          <w:color w:val="auto"/>
          <w:kern w:val="0"/>
          <w:sz w:val="84"/>
          <w:szCs w:val="84"/>
          <w:highlight w:val="none"/>
          <w:lang w:eastAsia="zh-CN"/>
        </w:rPr>
      </w:pPr>
      <w:r>
        <w:rPr>
          <w:rFonts w:hint="eastAsia" w:ascii="仿宋" w:hAnsi="仿宋" w:eastAsia="仿宋" w:cs="仿宋"/>
          <w:color w:val="auto"/>
          <w:kern w:val="0"/>
          <w:sz w:val="84"/>
          <w:szCs w:val="84"/>
          <w:highlight w:val="none"/>
        </w:rPr>
        <w:t>合</w:t>
      </w:r>
    </w:p>
    <w:p w14:paraId="4CD19524">
      <w:pPr>
        <w:shd w:val="clear"/>
        <w:autoSpaceDE w:val="0"/>
        <w:autoSpaceDN w:val="0"/>
        <w:adjustRightInd w:val="0"/>
        <w:spacing w:line="360" w:lineRule="auto"/>
        <w:jc w:val="center"/>
        <w:rPr>
          <w:rFonts w:hint="eastAsia" w:ascii="仿宋" w:hAnsi="仿宋" w:eastAsia="仿宋" w:cs="仿宋"/>
          <w:color w:val="auto"/>
          <w:kern w:val="0"/>
          <w:sz w:val="72"/>
          <w:szCs w:val="72"/>
          <w:highlight w:val="none"/>
          <w:lang w:eastAsia="zh-CN"/>
        </w:rPr>
      </w:pPr>
      <w:r>
        <w:rPr>
          <w:rFonts w:hint="eastAsia" w:ascii="仿宋" w:hAnsi="仿宋" w:eastAsia="仿宋" w:cs="仿宋"/>
          <w:color w:val="auto"/>
          <w:kern w:val="0"/>
          <w:sz w:val="84"/>
          <w:szCs w:val="84"/>
          <w:highlight w:val="none"/>
        </w:rPr>
        <w:t>同</w:t>
      </w:r>
    </w:p>
    <w:p w14:paraId="71BAC21A">
      <w:pPr>
        <w:shd w:val="clear"/>
        <w:autoSpaceDE w:val="0"/>
        <w:autoSpaceDN w:val="0"/>
        <w:adjustRightInd w:val="0"/>
        <w:spacing w:line="360" w:lineRule="auto"/>
        <w:jc w:val="center"/>
        <w:rPr>
          <w:rFonts w:hint="eastAsia" w:ascii="仿宋" w:hAnsi="仿宋" w:eastAsia="仿宋" w:cs="仿宋"/>
          <w:color w:val="auto"/>
          <w:kern w:val="0"/>
          <w:sz w:val="84"/>
          <w:szCs w:val="84"/>
          <w:highlight w:val="none"/>
          <w:lang w:eastAsia="zh-CN"/>
        </w:rPr>
      </w:pPr>
      <w:r>
        <w:rPr>
          <w:rFonts w:hint="eastAsia" w:ascii="仿宋" w:hAnsi="仿宋" w:eastAsia="仿宋" w:cs="仿宋"/>
          <w:color w:val="auto"/>
          <w:kern w:val="0"/>
          <w:sz w:val="84"/>
          <w:szCs w:val="84"/>
          <w:highlight w:val="none"/>
        </w:rPr>
        <w:t>书</w:t>
      </w:r>
    </w:p>
    <w:p w14:paraId="4F38DD86">
      <w:pPr>
        <w:shd w:val="clear"/>
        <w:autoSpaceDE w:val="0"/>
        <w:autoSpaceDN w:val="0"/>
        <w:adjustRightInd w:val="0"/>
        <w:spacing w:line="360" w:lineRule="auto"/>
        <w:ind w:firstLine="3654" w:firstLineChars="1300"/>
        <w:rPr>
          <w:rFonts w:hint="eastAsia" w:ascii="仿宋" w:hAnsi="仿宋" w:eastAsia="仿宋" w:cs="仿宋"/>
          <w:b/>
          <w:color w:val="auto"/>
          <w:kern w:val="0"/>
          <w:sz w:val="28"/>
          <w:szCs w:val="28"/>
          <w:highlight w:val="none"/>
          <w:lang w:val="zh-CN"/>
        </w:rPr>
      </w:pPr>
      <w:r>
        <w:rPr>
          <w:rFonts w:hint="eastAsia" w:ascii="仿宋" w:hAnsi="仿宋" w:eastAsia="仿宋" w:cs="仿宋"/>
          <w:b/>
          <w:color w:val="auto"/>
          <w:kern w:val="0"/>
          <w:sz w:val="28"/>
          <w:szCs w:val="28"/>
          <w:highlight w:val="none"/>
          <w:lang w:val="zh-CN"/>
        </w:rPr>
        <w:t>签订地点：丽江市</w:t>
      </w:r>
    </w:p>
    <w:p w14:paraId="64B5AF6B">
      <w:pPr>
        <w:shd w:val="clear"/>
        <w:autoSpaceDE w:val="0"/>
        <w:autoSpaceDN w:val="0"/>
        <w:adjustRightInd w:val="0"/>
        <w:spacing w:line="360" w:lineRule="auto"/>
        <w:jc w:val="center"/>
        <w:rPr>
          <w:rFonts w:hint="eastAsia" w:ascii="仿宋" w:hAnsi="仿宋" w:eastAsia="仿宋" w:cs="仿宋"/>
          <w:b/>
          <w:color w:val="auto"/>
          <w:kern w:val="0"/>
          <w:sz w:val="28"/>
          <w:szCs w:val="28"/>
          <w:highlight w:val="none"/>
          <w:lang w:val="zh-CN"/>
        </w:rPr>
      </w:pPr>
    </w:p>
    <w:p w14:paraId="083956BD">
      <w:pPr>
        <w:shd w:val="clear"/>
        <w:autoSpaceDE w:val="0"/>
        <w:autoSpaceDN w:val="0"/>
        <w:adjustRightInd w:val="0"/>
        <w:spacing w:line="360" w:lineRule="auto"/>
        <w:jc w:val="center"/>
        <w:rPr>
          <w:rFonts w:hint="eastAsia" w:ascii="仿宋" w:hAnsi="仿宋" w:eastAsia="仿宋" w:cs="仿宋"/>
          <w:b/>
          <w:color w:val="auto"/>
          <w:kern w:val="0"/>
          <w:sz w:val="28"/>
          <w:szCs w:val="28"/>
          <w:highlight w:val="none"/>
          <w:lang w:val="zh-CN"/>
        </w:rPr>
      </w:pPr>
      <w:r>
        <w:rPr>
          <w:rFonts w:hint="eastAsia" w:ascii="仿宋" w:hAnsi="仿宋" w:eastAsia="仿宋" w:cs="仿宋"/>
          <w:b/>
          <w:color w:val="auto"/>
          <w:kern w:val="0"/>
          <w:sz w:val="28"/>
          <w:szCs w:val="28"/>
          <w:highlight w:val="none"/>
          <w:lang w:val="zh-CN"/>
        </w:rPr>
        <w:t>签订日期：年　月　日</w:t>
      </w:r>
    </w:p>
    <w:p w14:paraId="31664C1C">
      <w:pPr>
        <w:pStyle w:val="9"/>
        <w:shd w:val="clear"/>
        <w:jc w:val="center"/>
        <w:rPr>
          <w:rFonts w:hint="eastAsia" w:ascii="仿宋" w:hAnsi="仿宋" w:eastAsia="仿宋" w:cs="仿宋"/>
          <w:b/>
          <w:bCs w:val="0"/>
          <w:color w:val="auto"/>
          <w:kern w:val="0"/>
          <w:szCs w:val="28"/>
          <w:highlight w:val="none"/>
          <w:lang w:val="zh-CN"/>
        </w:rPr>
      </w:pPr>
      <w:r>
        <w:rPr>
          <w:rFonts w:hint="eastAsia" w:ascii="仿宋" w:hAnsi="仿宋" w:eastAsia="仿宋" w:cs="仿宋"/>
          <w:b/>
          <w:bCs w:val="0"/>
          <w:color w:val="auto"/>
          <w:kern w:val="0"/>
          <w:szCs w:val="28"/>
          <w:highlight w:val="none"/>
          <w:lang w:val="zh-CN"/>
        </w:rPr>
        <w:t>云南省财政厅制</w:t>
      </w:r>
    </w:p>
    <w:p w14:paraId="727348FE">
      <w:pPr>
        <w:pStyle w:val="9"/>
        <w:shd w:val="clear"/>
        <w:jc w:val="center"/>
        <w:rPr>
          <w:rFonts w:hint="eastAsia" w:ascii="仿宋" w:hAnsi="仿宋" w:eastAsia="仿宋" w:cs="仿宋"/>
          <w:b/>
          <w:bCs w:val="0"/>
          <w:color w:val="auto"/>
          <w:kern w:val="0"/>
          <w:szCs w:val="28"/>
          <w:highlight w:val="none"/>
          <w:lang w:val="zh-CN"/>
        </w:rPr>
      </w:pPr>
    </w:p>
    <w:p w14:paraId="0E6BA464">
      <w:pPr>
        <w:shd w:val="clear"/>
        <w:spacing w:before="114" w:line="637" w:lineRule="exact"/>
        <w:ind w:left="3336"/>
        <w:rPr>
          <w:rFonts w:hint="eastAsia" w:ascii="仿宋" w:hAnsi="仿宋" w:eastAsia="仿宋" w:cs="仿宋"/>
          <w:color w:val="auto"/>
          <w:sz w:val="35"/>
          <w:szCs w:val="35"/>
          <w:highlight w:val="none"/>
        </w:rPr>
      </w:pPr>
      <w:r>
        <w:rPr>
          <w:rFonts w:hint="eastAsia" w:ascii="仿宋" w:hAnsi="仿宋" w:eastAsia="仿宋" w:cs="仿宋"/>
          <w:color w:val="auto"/>
          <w:highlight w:val="none"/>
        </w:rPr>
        <w:br w:type="page"/>
      </w:r>
      <w:r>
        <w:rPr>
          <w:rFonts w:hint="eastAsia" w:ascii="仿宋" w:hAnsi="仿宋" w:eastAsia="仿宋" w:cs="仿宋"/>
          <w:b/>
          <w:bCs/>
          <w:color w:val="auto"/>
          <w:spacing w:val="-6"/>
          <w:position w:val="20"/>
          <w:sz w:val="35"/>
          <w:szCs w:val="35"/>
          <w:highlight w:val="none"/>
        </w:rPr>
        <w:t>政府采购合同书</w:t>
      </w:r>
    </w:p>
    <w:p w14:paraId="326A0C94">
      <w:pPr>
        <w:shd w:val="clear"/>
        <w:spacing w:line="219" w:lineRule="auto"/>
        <w:ind w:left="3645"/>
        <w:rPr>
          <w:rFonts w:hint="eastAsia" w:ascii="仿宋" w:hAnsi="仿宋" w:eastAsia="仿宋" w:cs="仿宋"/>
          <w:color w:val="auto"/>
          <w:sz w:val="29"/>
          <w:szCs w:val="29"/>
          <w:highlight w:val="none"/>
        </w:rPr>
      </w:pPr>
      <w:r>
        <w:rPr>
          <w:rFonts w:hint="eastAsia" w:ascii="仿宋" w:hAnsi="仿宋" w:eastAsia="仿宋" w:cs="仿宋"/>
          <w:b/>
          <w:bCs/>
          <w:color w:val="auto"/>
          <w:spacing w:val="-12"/>
          <w:sz w:val="29"/>
          <w:szCs w:val="29"/>
          <w:highlight w:val="none"/>
        </w:rPr>
        <w:t>(</w:t>
      </w:r>
      <w:r>
        <w:rPr>
          <w:rFonts w:hint="eastAsia" w:ascii="仿宋" w:hAnsi="仿宋" w:eastAsia="仿宋" w:cs="仿宋"/>
          <w:b/>
          <w:bCs/>
          <w:color w:val="auto"/>
          <w:spacing w:val="-12"/>
          <w:sz w:val="29"/>
          <w:szCs w:val="29"/>
          <w:highlight w:val="none"/>
          <w:lang w:val="en-US" w:eastAsia="zh-CN"/>
        </w:rPr>
        <w:t>公开招标</w:t>
      </w:r>
      <w:r>
        <w:rPr>
          <w:rFonts w:hint="eastAsia" w:ascii="仿宋" w:hAnsi="仿宋" w:eastAsia="仿宋" w:cs="仿宋"/>
          <w:b/>
          <w:bCs/>
          <w:color w:val="auto"/>
          <w:spacing w:val="-12"/>
          <w:sz w:val="29"/>
          <w:szCs w:val="29"/>
          <w:highlight w:val="none"/>
        </w:rPr>
        <w:t>)</w:t>
      </w:r>
    </w:p>
    <w:p w14:paraId="131BE65A">
      <w:pPr>
        <w:keepNext w:val="0"/>
        <w:keepLines w:val="0"/>
        <w:pageBreakBefore w:val="0"/>
        <w:widowControl w:val="0"/>
        <w:shd w:val="clear"/>
        <w:kinsoku/>
        <w:wordWrap/>
        <w:overflowPunct/>
        <w:topLinePunct w:val="0"/>
        <w:autoSpaceDE/>
        <w:autoSpaceDN/>
        <w:bidi w:val="0"/>
        <w:snapToGrid/>
        <w:spacing w:line="219" w:lineRule="auto"/>
        <w:ind w:left="630" w:leftChars="300"/>
        <w:textAlignment w:val="auto"/>
        <w:rPr>
          <w:rFonts w:hint="eastAsia" w:ascii="仿宋" w:hAnsi="仿宋" w:eastAsia="仿宋" w:cs="仿宋"/>
          <w:color w:val="auto"/>
          <w:sz w:val="29"/>
          <w:szCs w:val="29"/>
          <w:highlight w:val="none"/>
          <w:lang w:eastAsia="zh-CN"/>
        </w:rPr>
      </w:pPr>
      <w:r>
        <w:rPr>
          <w:rFonts w:hint="eastAsia" w:ascii="仿宋" w:hAnsi="仿宋" w:eastAsia="仿宋" w:cs="仿宋"/>
          <w:b/>
          <w:bCs/>
          <w:color w:val="auto"/>
          <w:spacing w:val="5"/>
          <w:sz w:val="29"/>
          <w:szCs w:val="29"/>
          <w:highlight w:val="none"/>
        </w:rPr>
        <w:t>项目名称：</w:t>
      </w:r>
      <w:r>
        <w:rPr>
          <w:rFonts w:hint="eastAsia" w:ascii="仿宋" w:hAnsi="仿宋" w:eastAsia="仿宋" w:cs="仿宋"/>
          <w:b/>
          <w:bCs/>
          <w:color w:val="auto"/>
          <w:spacing w:val="5"/>
          <w:sz w:val="29"/>
          <w:szCs w:val="29"/>
          <w:highlight w:val="none"/>
          <w:lang w:eastAsia="zh-CN"/>
        </w:rPr>
        <w:t>玉龙县公安局移动警务服务采购项目（二次）</w:t>
      </w:r>
    </w:p>
    <w:p w14:paraId="6D8BBAE2">
      <w:pPr>
        <w:keepNext w:val="0"/>
        <w:keepLines w:val="0"/>
        <w:pageBreakBefore w:val="0"/>
        <w:widowControl w:val="0"/>
        <w:shd w:val="clear"/>
        <w:kinsoku/>
        <w:wordWrap/>
        <w:overflowPunct/>
        <w:topLinePunct w:val="0"/>
        <w:autoSpaceDE/>
        <w:autoSpaceDN/>
        <w:bidi w:val="0"/>
        <w:snapToGrid/>
        <w:spacing w:line="281" w:lineRule="auto"/>
        <w:ind w:left="630" w:leftChars="300"/>
        <w:textAlignment w:val="auto"/>
        <w:rPr>
          <w:rFonts w:hint="eastAsia" w:ascii="仿宋" w:hAnsi="仿宋" w:eastAsia="仿宋" w:cs="仿宋"/>
          <w:color w:val="auto"/>
          <w:sz w:val="21"/>
          <w:highlight w:val="none"/>
        </w:rPr>
      </w:pPr>
    </w:p>
    <w:p w14:paraId="2BD5F8E8">
      <w:pPr>
        <w:pStyle w:val="9"/>
        <w:keepNext w:val="0"/>
        <w:keepLines w:val="0"/>
        <w:pageBreakBefore w:val="0"/>
        <w:widowControl w:val="0"/>
        <w:shd w:val="clear"/>
        <w:kinsoku/>
        <w:wordWrap/>
        <w:overflowPunct/>
        <w:topLinePunct w:val="0"/>
        <w:autoSpaceDE/>
        <w:autoSpaceDN/>
        <w:bidi w:val="0"/>
        <w:snapToGrid/>
        <w:ind w:left="630" w:leftChars="300"/>
        <w:textAlignment w:val="auto"/>
        <w:rPr>
          <w:rFonts w:hint="eastAsia" w:ascii="仿宋" w:hAnsi="仿宋" w:eastAsia="仿宋" w:cs="仿宋"/>
          <w:color w:val="auto"/>
          <w:highlight w:val="none"/>
        </w:rPr>
      </w:pPr>
    </w:p>
    <w:p w14:paraId="1F90A138">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甲方(采购人)</w:t>
      </w:r>
    </w:p>
    <w:p w14:paraId="775706F0">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eastAsia="zh-CN"/>
        </w:rPr>
        <w:t>玉龙纳西族自治县公安局</w:t>
      </w:r>
    </w:p>
    <w:p w14:paraId="5EC71192">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玉龙纳西族自治县政府行政办公区</w:t>
      </w:r>
    </w:p>
    <w:p w14:paraId="0B44F075">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邮编：674100</w:t>
      </w:r>
    </w:p>
    <w:p w14:paraId="56149338">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法定代表人(签章或签字):</w:t>
      </w:r>
    </w:p>
    <w:p w14:paraId="421D7AEA">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授权委托人</w:t>
      </w:r>
      <w:r>
        <w:rPr>
          <w:rFonts w:hint="eastAsia" w:ascii="仿宋" w:hAnsi="仿宋" w:eastAsia="仿宋" w:cs="仿宋"/>
          <w:color w:val="auto"/>
          <w:sz w:val="24"/>
          <w:szCs w:val="24"/>
          <w:highlight w:val="none"/>
        </w:rPr>
        <w:t>(签字):</w:t>
      </w:r>
    </w:p>
    <w:p w14:paraId="32230C02">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项目负责人(签字):</w:t>
      </w:r>
    </w:p>
    <w:p w14:paraId="4F478184">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电</w:t>
      </w:r>
      <w:r>
        <w:rPr>
          <w:rFonts w:hint="eastAsia" w:ascii="仿宋" w:hAnsi="仿宋" w:eastAsia="仿宋" w:cs="仿宋"/>
          <w:color w:val="auto"/>
          <w:sz w:val="24"/>
          <w:szCs w:val="24"/>
          <w:highlight w:val="none"/>
        </w:rPr>
        <w:t>话：</w:t>
      </w:r>
    </w:p>
    <w:p w14:paraId="78403780">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p>
    <w:p w14:paraId="5BFDDB92">
      <w:pPr>
        <w:pStyle w:val="9"/>
        <w:keepNext w:val="0"/>
        <w:keepLines w:val="0"/>
        <w:pageBreakBefore w:val="0"/>
        <w:widowControl w:val="0"/>
        <w:shd w:val="clear"/>
        <w:kinsoku/>
        <w:wordWrap/>
        <w:overflowPunct/>
        <w:topLinePunct w:val="0"/>
        <w:autoSpaceDE/>
        <w:autoSpaceDN/>
        <w:bidi w:val="0"/>
        <w:snapToGrid/>
        <w:ind w:left="630" w:leftChars="300"/>
        <w:textAlignment w:val="auto"/>
        <w:rPr>
          <w:rFonts w:hint="eastAsia" w:ascii="仿宋" w:hAnsi="仿宋" w:eastAsia="仿宋" w:cs="仿宋"/>
          <w:color w:val="auto"/>
          <w:highlight w:val="none"/>
        </w:rPr>
      </w:pPr>
    </w:p>
    <w:p w14:paraId="38C3A00B">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65746BCE">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p w14:paraId="09261D55">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26300531">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w:t>
      </w:r>
    </w:p>
    <w:p w14:paraId="3271A09E">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法定代表人(签章或签字):</w:t>
      </w:r>
    </w:p>
    <w:p w14:paraId="4D0CD2B6">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售后联系人(签字):</w:t>
      </w:r>
    </w:p>
    <w:p w14:paraId="0984DA8E">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乙方户名：</w:t>
      </w:r>
    </w:p>
    <w:p w14:paraId="5B34CE69">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乙方开户行：</w:t>
      </w:r>
    </w:p>
    <w:p w14:paraId="1ABF93DD">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乙方账号：</w:t>
      </w:r>
    </w:p>
    <w:p w14:paraId="7DC0FD6E">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p w14:paraId="74A0A0E1">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p>
    <w:p w14:paraId="257A7525">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签订地点：</w:t>
      </w:r>
      <w:r>
        <w:rPr>
          <w:rFonts w:hint="eastAsia" w:ascii="仿宋" w:hAnsi="仿宋" w:eastAsia="仿宋" w:cs="仿宋"/>
          <w:color w:val="auto"/>
          <w:sz w:val="24"/>
          <w:szCs w:val="24"/>
          <w:highlight w:val="none"/>
          <w:lang w:eastAsia="zh-CN"/>
        </w:rPr>
        <w:t>玉龙纳西族自治县公安局</w:t>
      </w:r>
    </w:p>
    <w:p w14:paraId="73332637">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签订时间：</w:t>
      </w:r>
    </w:p>
    <w:p w14:paraId="52086CA5">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合同总价：</w:t>
      </w:r>
    </w:p>
    <w:p w14:paraId="4058E52D">
      <w:pPr>
        <w:shd w:val="clear"/>
        <w:rPr>
          <w:rFonts w:hint="eastAsia" w:ascii="仿宋" w:hAnsi="仿宋" w:eastAsia="仿宋" w:cs="仿宋"/>
          <w:color w:val="auto"/>
          <w:sz w:val="21"/>
          <w:highlight w:val="none"/>
        </w:rPr>
      </w:pPr>
      <w:r>
        <w:rPr>
          <w:rFonts w:hint="eastAsia" w:ascii="仿宋" w:hAnsi="仿宋" w:eastAsia="仿宋" w:cs="仿宋"/>
          <w:color w:val="auto"/>
          <w:sz w:val="21"/>
          <w:highlight w:val="none"/>
        </w:rPr>
        <w:br w:type="page"/>
      </w:r>
    </w:p>
    <w:p w14:paraId="07A96BDC">
      <w:pPr>
        <w:pStyle w:val="9"/>
        <w:pageBreakBefore w:val="0"/>
        <w:topLinePunct w:val="0"/>
        <w:bidi w:val="0"/>
        <w:spacing w:after="0" w:line="360" w:lineRule="auto"/>
        <w:ind w:firstLine="480" w:firstLineChars="200"/>
      </w:pPr>
      <w:r>
        <w:rPr>
          <w:rFonts w:hint="eastAsia" w:ascii="仿宋" w:hAnsi="仿宋" w:eastAsia="仿宋" w:cs="仿宋"/>
          <w:color w:val="auto"/>
          <w:sz w:val="24"/>
          <w:highlight w:val="none"/>
          <w:lang w:eastAsia="zh-CN"/>
        </w:rPr>
        <w:t>甲乙双方</w:t>
      </w:r>
      <w:r>
        <w:rPr>
          <w:rFonts w:hint="eastAsia" w:ascii="仿宋" w:hAnsi="仿宋" w:eastAsia="仿宋" w:cs="仿宋"/>
          <w:color w:val="auto"/>
          <w:sz w:val="24"/>
          <w:highlight w:val="none"/>
        </w:rPr>
        <w:t>根据</w:t>
      </w:r>
      <w:r>
        <w:rPr>
          <w:rFonts w:hint="eastAsia" w:ascii="仿宋" w:hAnsi="仿宋" w:eastAsia="仿宋" w:cs="仿宋"/>
          <w:color w:val="auto"/>
          <w:sz w:val="24"/>
          <w:highlight w:val="none"/>
          <w:lang w:eastAsia="zh-CN"/>
        </w:rPr>
        <w:t>玉龙纳西族自治县公安局</w:t>
      </w:r>
      <w:r>
        <w:rPr>
          <w:rFonts w:hint="eastAsia" w:ascii="仿宋" w:hAnsi="仿宋" w:eastAsia="仿宋" w:cs="仿宋"/>
          <w:color w:val="auto"/>
          <w:sz w:val="24"/>
          <w:highlight w:val="none"/>
        </w:rPr>
        <w:t>委托</w:t>
      </w:r>
      <w:r>
        <w:rPr>
          <w:rFonts w:hint="eastAsia" w:ascii="仿宋" w:hAnsi="仿宋" w:eastAsia="仿宋" w:cs="仿宋"/>
          <w:color w:val="auto"/>
          <w:sz w:val="24"/>
          <w:highlight w:val="none"/>
          <w:lang w:eastAsia="zh-CN"/>
        </w:rPr>
        <w:t>丽江恒邦项目管理有限公司</w:t>
      </w:r>
      <w:r>
        <w:rPr>
          <w:rFonts w:hint="eastAsia" w:ascii="仿宋" w:hAnsi="仿宋" w:eastAsia="仿宋" w:cs="仿宋"/>
          <w:color w:val="auto"/>
          <w:sz w:val="24"/>
          <w:highlight w:val="none"/>
        </w:rPr>
        <w:t>组织的项目编号为</w:t>
      </w:r>
      <w:r>
        <w:rPr>
          <w:rFonts w:hint="eastAsia" w:ascii="仿宋" w:hAnsi="仿宋" w:eastAsia="仿宋" w:cs="仿宋"/>
          <w:color w:val="auto"/>
          <w:sz w:val="24"/>
          <w:highlight w:val="none"/>
          <w:lang w:eastAsia="zh-CN"/>
        </w:rPr>
        <w:t>HB-FW2024062</w:t>
      </w:r>
      <w:r>
        <w:rPr>
          <w:rFonts w:hint="eastAsia" w:ascii="仿宋" w:hAnsi="仿宋" w:eastAsia="仿宋" w:cs="仿宋"/>
          <w:color w:val="auto"/>
          <w:sz w:val="24"/>
          <w:highlight w:val="none"/>
        </w:rPr>
        <w:t>的“</w:t>
      </w:r>
      <w:r>
        <w:rPr>
          <w:rFonts w:hint="eastAsia" w:ascii="仿宋" w:hAnsi="仿宋" w:eastAsia="仿宋" w:cs="仿宋"/>
          <w:color w:val="auto"/>
          <w:kern w:val="0"/>
          <w:sz w:val="24"/>
          <w:highlight w:val="none"/>
          <w:lang w:eastAsia="zh-CN"/>
        </w:rPr>
        <w:t>玉龙县公安局移动警务服务采购项目（二次）</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通过</w:t>
      </w:r>
      <w:r>
        <w:rPr>
          <w:rFonts w:hint="eastAsia" w:ascii="仿宋" w:hAnsi="仿宋" w:eastAsia="仿宋" w:cs="仿宋"/>
          <w:color w:val="auto"/>
          <w:sz w:val="24"/>
          <w:highlight w:val="none"/>
          <w:lang w:val="en-US" w:eastAsia="zh-CN"/>
        </w:rPr>
        <w:t>公开招标</w:t>
      </w:r>
      <w:r>
        <w:rPr>
          <w:rFonts w:hint="eastAsia" w:ascii="仿宋" w:hAnsi="仿宋" w:eastAsia="仿宋" w:cs="仿宋"/>
          <w:color w:val="auto"/>
          <w:sz w:val="24"/>
          <w:highlight w:val="none"/>
          <w:lang w:eastAsia="zh-CN"/>
        </w:rPr>
        <w:t>的采购结果</w:t>
      </w:r>
      <w:r>
        <w:rPr>
          <w:rFonts w:hint="eastAsia" w:ascii="仿宋" w:hAnsi="仿宋" w:eastAsia="仿宋" w:cs="仿宋"/>
          <w:color w:val="auto"/>
          <w:sz w:val="24"/>
          <w:highlight w:val="none"/>
        </w:rPr>
        <w:t>，确定乙方为该项目</w:t>
      </w:r>
      <w:r>
        <w:rPr>
          <w:rFonts w:hint="eastAsia" w:ascii="仿宋" w:hAnsi="仿宋" w:eastAsia="仿宋" w:cs="仿宋"/>
          <w:color w:val="auto"/>
          <w:sz w:val="24"/>
          <w:highlight w:val="none"/>
          <w:lang w:val="en-US" w:eastAsia="zh-CN"/>
        </w:rPr>
        <w:t>中标</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。为了保护供需各方合法权益，甲乙双方依照《中华人民共和国民法典》及其相关法律、行政法规，遵循平等、自愿、公平和诚实信用的原则，经双方协定达成一致，签订以下内容：</w:t>
      </w:r>
      <w:bookmarkEnd w:id="55"/>
      <w:bookmarkEnd w:id="601"/>
      <w:bookmarkEnd w:id="602"/>
      <w:bookmarkEnd w:id="603"/>
      <w:bookmarkEnd w:id="604"/>
      <w:bookmarkEnd w:id="605"/>
      <w:bookmarkEnd w:id="606"/>
      <w:bookmarkEnd w:id="607"/>
      <w:bookmarkEnd w:id="608"/>
      <w:bookmarkStart w:id="609" w:name="_Toc29357077"/>
      <w:bookmarkStart w:id="610" w:name="_Toc25598"/>
      <w:bookmarkStart w:id="611" w:name="_Toc15068"/>
      <w:bookmarkStart w:id="612" w:name="_Toc12047"/>
      <w:bookmarkStart w:id="613" w:name="_Toc364392642"/>
      <w:bookmarkStart w:id="614" w:name="_Toc13960"/>
      <w:bookmarkStart w:id="615" w:name="_Toc9955"/>
    </w:p>
    <w:p w14:paraId="124C42D2">
      <w:pPr>
        <w:pStyle w:val="43"/>
        <w:pageBreakBefore w:val="0"/>
        <w:tabs>
          <w:tab w:val="left" w:pos="1560"/>
        </w:tabs>
        <w:topLinePunct w:val="0"/>
        <w:bidi w:val="0"/>
        <w:spacing w:before="0" w:after="0" w:line="360" w:lineRule="auto"/>
        <w:ind w:left="71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第一条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项目概况及服务范围</w:t>
      </w:r>
    </w:p>
    <w:p w14:paraId="623C4203">
      <w:pPr>
        <w:pStyle w:val="9"/>
        <w:pageBreakBefore w:val="0"/>
        <w:topLinePunct w:val="0"/>
        <w:bidi w:val="0"/>
        <w:spacing w:after="0" w:line="360" w:lineRule="auto"/>
        <w:ind w:left="71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1.项目名称：</w:t>
      </w:r>
    </w:p>
    <w:p w14:paraId="6D490291">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2.采购内容及范围： </w:t>
      </w:r>
      <w:r>
        <w:rPr>
          <w:rFonts w:hint="eastAsia" w:ascii="仿宋" w:hAnsi="仿宋" w:eastAsia="仿宋" w:cs="仿宋"/>
          <w:b w:val="0"/>
          <w:bCs/>
          <w:color w:val="auto"/>
          <w:kern w:val="0"/>
          <w:sz w:val="24"/>
          <w:highlight w:val="none"/>
          <w:lang w:val="en-US" w:eastAsia="zh-CN" w:bidi="ar-SA"/>
        </w:rPr>
        <w:tab/>
      </w:r>
    </w:p>
    <w:p w14:paraId="4FDE3C25">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3.合同履行期限：</w:t>
      </w:r>
      <w:r>
        <w:rPr>
          <w:rFonts w:hint="eastAsia" w:ascii="仿宋" w:hAnsi="仿宋" w:eastAsia="仿宋" w:cs="仿宋"/>
          <w:b w:val="0"/>
          <w:bCs/>
          <w:color w:val="auto"/>
          <w:kern w:val="0"/>
          <w:sz w:val="24"/>
          <w:highlight w:val="none"/>
          <w:lang w:val="en-US" w:eastAsia="zh-CN" w:bidi="ar-SA"/>
        </w:rPr>
        <w:tab/>
      </w:r>
    </w:p>
    <w:p w14:paraId="3BCB6695">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4.交付时间及地点：</w:t>
      </w:r>
    </w:p>
    <w:p w14:paraId="35B269A3">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5.报价要求：合同合计金额可能包括交付产品、维修、技术指导等伴随服务内容的全部费用。如招投标文件对其另有规定的，从其规定。</w:t>
      </w:r>
    </w:p>
    <w:p w14:paraId="58EFC955">
      <w:pPr>
        <w:pStyle w:val="43"/>
        <w:pageBreakBefore w:val="0"/>
        <w:tabs>
          <w:tab w:val="left" w:pos="1560"/>
        </w:tabs>
        <w:topLinePunct w:val="0"/>
        <w:bidi w:val="0"/>
        <w:spacing w:before="0" w:after="0" w:line="360" w:lineRule="auto"/>
        <w:ind w:left="71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第二条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交付产品清单</w:t>
      </w:r>
    </w:p>
    <w:tbl>
      <w:tblPr>
        <w:tblStyle w:val="22"/>
        <w:tblW w:w="9287" w:type="dxa"/>
        <w:tblInd w:w="142" w:type="dxa"/>
        <w:tblLayout w:type="fixed"/>
        <w:tblCellMar>
          <w:top w:w="0" w:type="dxa"/>
          <w:left w:w="0" w:type="dxa"/>
          <w:bottom w:w="0" w:type="dxa"/>
          <w:right w:w="0" w:type="dxa"/>
        </w:tblCellMar>
      </w:tblPr>
      <w:tblGrid>
        <w:gridCol w:w="732"/>
        <w:gridCol w:w="1815"/>
        <w:gridCol w:w="992"/>
        <w:gridCol w:w="633"/>
        <w:gridCol w:w="1311"/>
        <w:gridCol w:w="1741"/>
        <w:gridCol w:w="2063"/>
      </w:tblGrid>
      <w:tr w14:paraId="2DED196B">
        <w:tblPrEx>
          <w:tblCellMar>
            <w:top w:w="0" w:type="dxa"/>
            <w:left w:w="0" w:type="dxa"/>
            <w:bottom w:w="0" w:type="dxa"/>
            <w:right w:w="0" w:type="dxa"/>
          </w:tblCellMar>
        </w:tblPrEx>
        <w:trPr>
          <w:trHeight w:val="546" w:hRule="exact"/>
        </w:trPr>
        <w:tc>
          <w:tcPr>
            <w:tcW w:w="732" w:type="dxa"/>
            <w:tcBorders>
              <w:top w:val="single" w:color="000000" w:sz="4" w:space="0"/>
              <w:left w:val="single" w:color="000000" w:sz="4" w:space="0"/>
              <w:bottom w:val="single" w:color="000000" w:sz="4" w:space="0"/>
              <w:right w:val="single" w:color="000000" w:sz="4" w:space="0"/>
            </w:tcBorders>
            <w:noWrap w:val="0"/>
            <w:vAlign w:val="top"/>
          </w:tcPr>
          <w:p w14:paraId="3484BD26">
            <w:pPr>
              <w:pStyle w:val="44"/>
              <w:pageBreakBefore w:val="0"/>
              <w:topLinePunct w:val="0"/>
              <w:bidi w:val="0"/>
              <w:spacing w:after="0" w:line="360" w:lineRule="auto"/>
              <w:ind w:right="191"/>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序号</w:t>
            </w:r>
          </w:p>
        </w:tc>
        <w:tc>
          <w:tcPr>
            <w:tcW w:w="1815" w:type="dxa"/>
            <w:tcBorders>
              <w:top w:val="single" w:color="000000" w:sz="4" w:space="0"/>
              <w:left w:val="single" w:color="000000" w:sz="4" w:space="0"/>
              <w:bottom w:val="single" w:color="000000" w:sz="4" w:space="0"/>
              <w:right w:val="single" w:color="000000" w:sz="4" w:space="0"/>
            </w:tcBorders>
            <w:noWrap w:val="0"/>
            <w:vAlign w:val="top"/>
          </w:tcPr>
          <w:p w14:paraId="12349049">
            <w:pPr>
              <w:pStyle w:val="44"/>
              <w:pageBreakBefore w:val="0"/>
              <w:topLinePunct w:val="0"/>
              <w:bidi w:val="0"/>
              <w:spacing w:after="0" w:line="360" w:lineRule="auto"/>
              <w:ind w:right="156"/>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产品名称</w:t>
            </w: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6C9DFE1C">
            <w:pPr>
              <w:pStyle w:val="44"/>
              <w:pageBreakBefore w:val="0"/>
              <w:numPr>
                <w:ilvl w:val="0"/>
                <w:numId w:val="0"/>
              </w:numPr>
              <w:topLinePunct w:val="0"/>
              <w:bidi w:val="0"/>
              <w:spacing w:after="0" w:line="360" w:lineRule="auto"/>
              <w:ind w:leftChars="0" w:right="298" w:rightChars="0"/>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数量</w:t>
            </w:r>
          </w:p>
        </w:tc>
        <w:tc>
          <w:tcPr>
            <w:tcW w:w="633" w:type="dxa"/>
            <w:tcBorders>
              <w:top w:val="single" w:color="000000" w:sz="4" w:space="0"/>
              <w:left w:val="single" w:color="000000" w:sz="4" w:space="0"/>
              <w:bottom w:val="single" w:color="000000" w:sz="4" w:space="0"/>
              <w:right w:val="single" w:color="000000" w:sz="4" w:space="0"/>
            </w:tcBorders>
            <w:noWrap w:val="0"/>
            <w:vAlign w:val="top"/>
          </w:tcPr>
          <w:p w14:paraId="5F45115C">
            <w:pPr>
              <w:pStyle w:val="44"/>
              <w:pageBreakBefore w:val="0"/>
              <w:topLinePunct w:val="0"/>
              <w:bidi w:val="0"/>
              <w:spacing w:after="0" w:line="360" w:lineRule="auto"/>
              <w:ind w:right="1"/>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单位</w:t>
            </w:r>
          </w:p>
        </w:tc>
        <w:tc>
          <w:tcPr>
            <w:tcW w:w="1311" w:type="dxa"/>
            <w:tcBorders>
              <w:top w:val="single" w:color="000000" w:sz="4" w:space="0"/>
              <w:left w:val="single" w:color="000000" w:sz="4" w:space="0"/>
              <w:bottom w:val="single" w:color="000000" w:sz="4" w:space="0"/>
              <w:right w:val="single" w:color="000000" w:sz="4" w:space="0"/>
            </w:tcBorders>
            <w:noWrap w:val="0"/>
            <w:vAlign w:val="top"/>
          </w:tcPr>
          <w:p w14:paraId="5BBF0664">
            <w:pPr>
              <w:pStyle w:val="44"/>
              <w:pageBreakBefore w:val="0"/>
              <w:topLinePunct w:val="0"/>
              <w:bidi w:val="0"/>
              <w:spacing w:after="0" w:line="360" w:lineRule="auto"/>
              <w:ind w:right="1"/>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单价（元）</w:t>
            </w:r>
          </w:p>
        </w:tc>
        <w:tc>
          <w:tcPr>
            <w:tcW w:w="1741" w:type="dxa"/>
            <w:tcBorders>
              <w:top w:val="single" w:color="000000" w:sz="4" w:space="0"/>
              <w:left w:val="single" w:color="000000" w:sz="4" w:space="0"/>
              <w:bottom w:val="single" w:color="000000" w:sz="4" w:space="0"/>
              <w:right w:val="single" w:color="000000" w:sz="4" w:space="0"/>
            </w:tcBorders>
            <w:noWrap w:val="0"/>
            <w:vAlign w:val="top"/>
          </w:tcPr>
          <w:p w14:paraId="2EC9033F">
            <w:pPr>
              <w:pStyle w:val="44"/>
              <w:pageBreakBefore w:val="0"/>
              <w:topLinePunct w:val="0"/>
              <w:bidi w:val="0"/>
              <w:spacing w:after="0" w:line="360" w:lineRule="auto"/>
              <w:ind w:right="1"/>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金额（元）</w:t>
            </w:r>
          </w:p>
        </w:tc>
        <w:tc>
          <w:tcPr>
            <w:tcW w:w="2063" w:type="dxa"/>
            <w:tcBorders>
              <w:top w:val="single" w:color="000000" w:sz="4" w:space="0"/>
              <w:left w:val="single" w:color="000000" w:sz="4" w:space="0"/>
              <w:bottom w:val="single" w:color="000000" w:sz="4" w:space="0"/>
              <w:right w:val="single" w:color="000000" w:sz="4" w:space="0"/>
            </w:tcBorders>
            <w:noWrap w:val="0"/>
            <w:vAlign w:val="top"/>
          </w:tcPr>
          <w:p w14:paraId="25DB247E">
            <w:pPr>
              <w:pStyle w:val="44"/>
              <w:pageBreakBefore w:val="0"/>
              <w:topLinePunct w:val="0"/>
              <w:bidi w:val="0"/>
              <w:spacing w:after="0" w:line="360" w:lineRule="auto"/>
              <w:ind w:right="1"/>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备注</w:t>
            </w:r>
          </w:p>
        </w:tc>
      </w:tr>
      <w:tr w14:paraId="3E072CF0">
        <w:tblPrEx>
          <w:tblCellMar>
            <w:top w:w="0" w:type="dxa"/>
            <w:left w:w="0" w:type="dxa"/>
            <w:bottom w:w="0" w:type="dxa"/>
            <w:right w:w="0" w:type="dxa"/>
          </w:tblCellMar>
        </w:tblPrEx>
        <w:trPr>
          <w:trHeight w:val="468" w:hRule="exact"/>
        </w:trPr>
        <w:tc>
          <w:tcPr>
            <w:tcW w:w="732" w:type="dxa"/>
            <w:tcBorders>
              <w:top w:val="single" w:color="000000" w:sz="4" w:space="0"/>
              <w:left w:val="single" w:color="000000" w:sz="4" w:space="0"/>
              <w:bottom w:val="single" w:color="000000" w:sz="4" w:space="0"/>
              <w:right w:val="single" w:color="000000" w:sz="4" w:space="0"/>
            </w:tcBorders>
            <w:noWrap w:val="0"/>
            <w:vAlign w:val="top"/>
          </w:tcPr>
          <w:p w14:paraId="2D185810">
            <w:pPr>
              <w:pStyle w:val="44"/>
              <w:pageBreakBefore w:val="0"/>
              <w:topLinePunct w:val="0"/>
              <w:bidi w:val="0"/>
              <w:spacing w:after="0" w:line="360" w:lineRule="auto"/>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w:t>
            </w:r>
          </w:p>
        </w:tc>
        <w:tc>
          <w:tcPr>
            <w:tcW w:w="1815" w:type="dxa"/>
            <w:tcBorders>
              <w:top w:val="single" w:color="000000" w:sz="4" w:space="0"/>
              <w:left w:val="single" w:color="000000" w:sz="4" w:space="0"/>
              <w:bottom w:val="single" w:color="000000" w:sz="4" w:space="0"/>
              <w:right w:val="single" w:color="000000" w:sz="4" w:space="0"/>
            </w:tcBorders>
            <w:noWrap w:val="0"/>
            <w:vAlign w:val="top"/>
          </w:tcPr>
          <w:p w14:paraId="3CC4523D">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3BC9590D">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633" w:type="dxa"/>
            <w:tcBorders>
              <w:top w:val="single" w:color="000000" w:sz="4" w:space="0"/>
              <w:left w:val="single" w:color="000000" w:sz="4" w:space="0"/>
              <w:bottom w:val="single" w:color="000000" w:sz="4" w:space="0"/>
              <w:right w:val="single" w:color="000000" w:sz="4" w:space="0"/>
            </w:tcBorders>
            <w:noWrap w:val="0"/>
            <w:vAlign w:val="top"/>
          </w:tcPr>
          <w:p w14:paraId="39CD36C9">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1311" w:type="dxa"/>
            <w:tcBorders>
              <w:top w:val="single" w:color="000000" w:sz="4" w:space="0"/>
              <w:left w:val="single" w:color="000000" w:sz="4" w:space="0"/>
              <w:bottom w:val="single" w:color="000000" w:sz="4" w:space="0"/>
              <w:right w:val="single" w:color="000000" w:sz="4" w:space="0"/>
            </w:tcBorders>
            <w:noWrap w:val="0"/>
            <w:vAlign w:val="top"/>
          </w:tcPr>
          <w:p w14:paraId="3211E7CC">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1741" w:type="dxa"/>
            <w:tcBorders>
              <w:top w:val="single" w:color="000000" w:sz="4" w:space="0"/>
              <w:left w:val="single" w:color="000000" w:sz="4" w:space="0"/>
              <w:bottom w:val="single" w:color="000000" w:sz="4" w:space="0"/>
              <w:right w:val="single" w:color="000000" w:sz="4" w:space="0"/>
            </w:tcBorders>
            <w:noWrap w:val="0"/>
            <w:vAlign w:val="top"/>
          </w:tcPr>
          <w:p w14:paraId="605578E0">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2063" w:type="dxa"/>
            <w:vMerge w:val="restart"/>
            <w:tcBorders>
              <w:top w:val="single" w:color="000000" w:sz="4" w:space="0"/>
              <w:left w:val="single" w:color="000000" w:sz="4" w:space="0"/>
              <w:right w:val="single" w:color="000000" w:sz="4" w:space="0"/>
            </w:tcBorders>
            <w:noWrap w:val="0"/>
            <w:vAlign w:val="top"/>
          </w:tcPr>
          <w:p w14:paraId="4059F742">
            <w:pPr>
              <w:pStyle w:val="44"/>
              <w:pageBreakBefore w:val="0"/>
              <w:topLinePunct w:val="0"/>
              <w:bidi w:val="0"/>
              <w:spacing w:after="0" w:line="360" w:lineRule="auto"/>
              <w:ind w:left="102"/>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是否进口产品、如有商标品牌、型号参数、生产商（制造商）</w:t>
            </w:r>
          </w:p>
          <w:p w14:paraId="3E9F846C">
            <w:pPr>
              <w:pStyle w:val="44"/>
              <w:pageBreakBefore w:val="0"/>
              <w:topLinePunct w:val="0"/>
              <w:bidi w:val="0"/>
              <w:spacing w:after="0" w:line="360" w:lineRule="auto"/>
              <w:ind w:left="102"/>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厂家等信息请注明</w:t>
            </w:r>
          </w:p>
          <w:p w14:paraId="78798A91">
            <w:pPr>
              <w:pStyle w:val="44"/>
              <w:pageBreakBefore w:val="0"/>
              <w:topLinePunct w:val="0"/>
              <w:bidi w:val="0"/>
              <w:spacing w:after="0" w:line="360" w:lineRule="auto"/>
              <w:ind w:left="102"/>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明</w:t>
            </w:r>
          </w:p>
        </w:tc>
      </w:tr>
      <w:tr w14:paraId="4FB2D122">
        <w:tblPrEx>
          <w:tblCellMar>
            <w:top w:w="0" w:type="dxa"/>
            <w:left w:w="0" w:type="dxa"/>
            <w:bottom w:w="0" w:type="dxa"/>
            <w:right w:w="0" w:type="dxa"/>
          </w:tblCellMar>
        </w:tblPrEx>
        <w:trPr>
          <w:trHeight w:val="488" w:hRule="exact"/>
        </w:trPr>
        <w:tc>
          <w:tcPr>
            <w:tcW w:w="732" w:type="dxa"/>
            <w:tcBorders>
              <w:top w:val="single" w:color="000000" w:sz="4" w:space="0"/>
              <w:left w:val="single" w:color="000000" w:sz="4" w:space="0"/>
              <w:right w:val="single" w:color="000000" w:sz="4" w:space="0"/>
            </w:tcBorders>
            <w:noWrap w:val="0"/>
            <w:vAlign w:val="top"/>
          </w:tcPr>
          <w:p w14:paraId="2FAD46AC">
            <w:pPr>
              <w:pStyle w:val="44"/>
              <w:pageBreakBefore w:val="0"/>
              <w:topLinePunct w:val="0"/>
              <w:bidi w:val="0"/>
              <w:spacing w:after="0" w:line="360" w:lineRule="auto"/>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w:t>
            </w:r>
          </w:p>
        </w:tc>
        <w:tc>
          <w:tcPr>
            <w:tcW w:w="1815" w:type="dxa"/>
            <w:tcBorders>
              <w:top w:val="single" w:color="000000" w:sz="4" w:space="0"/>
              <w:left w:val="single" w:color="000000" w:sz="4" w:space="0"/>
              <w:right w:val="single" w:color="000000" w:sz="4" w:space="0"/>
            </w:tcBorders>
            <w:noWrap w:val="0"/>
            <w:vAlign w:val="top"/>
          </w:tcPr>
          <w:p w14:paraId="0572AED3">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992" w:type="dxa"/>
            <w:tcBorders>
              <w:top w:val="single" w:color="000000" w:sz="4" w:space="0"/>
              <w:left w:val="single" w:color="000000" w:sz="4" w:space="0"/>
              <w:right w:val="single" w:color="000000" w:sz="4" w:space="0"/>
            </w:tcBorders>
            <w:noWrap w:val="0"/>
            <w:vAlign w:val="top"/>
          </w:tcPr>
          <w:p w14:paraId="260B0E6E">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633" w:type="dxa"/>
            <w:tcBorders>
              <w:top w:val="single" w:color="000000" w:sz="4" w:space="0"/>
              <w:left w:val="single" w:color="000000" w:sz="4" w:space="0"/>
              <w:right w:val="single" w:color="000000" w:sz="4" w:space="0"/>
            </w:tcBorders>
            <w:noWrap w:val="0"/>
            <w:vAlign w:val="top"/>
          </w:tcPr>
          <w:p w14:paraId="076106FD">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1311" w:type="dxa"/>
            <w:tcBorders>
              <w:top w:val="single" w:color="000000" w:sz="4" w:space="0"/>
              <w:left w:val="single" w:color="000000" w:sz="4" w:space="0"/>
              <w:right w:val="single" w:color="000000" w:sz="4" w:space="0"/>
            </w:tcBorders>
            <w:noWrap w:val="0"/>
            <w:vAlign w:val="top"/>
          </w:tcPr>
          <w:p w14:paraId="52955501">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1741" w:type="dxa"/>
            <w:tcBorders>
              <w:top w:val="single" w:color="000000" w:sz="4" w:space="0"/>
              <w:left w:val="single" w:color="000000" w:sz="4" w:space="0"/>
              <w:right w:val="single" w:color="000000" w:sz="4" w:space="0"/>
            </w:tcBorders>
            <w:noWrap w:val="0"/>
            <w:vAlign w:val="top"/>
          </w:tcPr>
          <w:p w14:paraId="7FCFE0EF">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2063" w:type="dxa"/>
            <w:vMerge w:val="continue"/>
            <w:tcBorders>
              <w:left w:val="single" w:color="000000" w:sz="4" w:space="0"/>
              <w:right w:val="single" w:color="000000" w:sz="4" w:space="0"/>
            </w:tcBorders>
            <w:noWrap w:val="0"/>
            <w:vAlign w:val="top"/>
          </w:tcPr>
          <w:p w14:paraId="04AF0FF0">
            <w:pPr>
              <w:pStyle w:val="44"/>
              <w:pageBreakBefore w:val="0"/>
              <w:topLinePunct w:val="0"/>
              <w:bidi w:val="0"/>
              <w:spacing w:after="0" w:line="360" w:lineRule="auto"/>
              <w:ind w:left="102"/>
              <w:rPr>
                <w:rFonts w:hint="eastAsia" w:ascii="仿宋" w:hAnsi="仿宋" w:eastAsia="仿宋" w:cs="仿宋"/>
                <w:b w:val="0"/>
                <w:bCs/>
                <w:color w:val="auto"/>
                <w:kern w:val="0"/>
                <w:sz w:val="24"/>
                <w:highlight w:val="none"/>
                <w:lang w:val="en-US" w:eastAsia="zh-CN" w:bidi="ar-SA"/>
              </w:rPr>
            </w:pPr>
          </w:p>
        </w:tc>
      </w:tr>
      <w:tr w14:paraId="13A2EE67">
        <w:tblPrEx>
          <w:tblCellMar>
            <w:top w:w="0" w:type="dxa"/>
            <w:left w:w="0" w:type="dxa"/>
            <w:bottom w:w="0" w:type="dxa"/>
            <w:right w:w="0" w:type="dxa"/>
          </w:tblCellMar>
        </w:tblPrEx>
        <w:trPr>
          <w:trHeight w:val="887" w:hRule="exact"/>
        </w:trPr>
        <w:tc>
          <w:tcPr>
            <w:tcW w:w="732" w:type="dxa"/>
            <w:tcBorders>
              <w:top w:val="single" w:color="000000" w:sz="4" w:space="0"/>
              <w:left w:val="single" w:color="000000" w:sz="4" w:space="0"/>
              <w:bottom w:val="single" w:color="auto" w:sz="4" w:space="0"/>
              <w:right w:val="single" w:color="000000" w:sz="4" w:space="0"/>
            </w:tcBorders>
            <w:noWrap w:val="0"/>
            <w:vAlign w:val="top"/>
          </w:tcPr>
          <w:p w14:paraId="629AC711">
            <w:pPr>
              <w:pStyle w:val="44"/>
              <w:pageBreakBefore w:val="0"/>
              <w:topLinePunct w:val="0"/>
              <w:bidi w:val="0"/>
              <w:spacing w:after="0" w:line="360" w:lineRule="auto"/>
              <w:jc w:val="cente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w:t>
            </w:r>
          </w:p>
        </w:tc>
        <w:tc>
          <w:tcPr>
            <w:tcW w:w="1815" w:type="dxa"/>
            <w:tcBorders>
              <w:top w:val="single" w:color="000000" w:sz="4" w:space="0"/>
              <w:left w:val="single" w:color="000000" w:sz="4" w:space="0"/>
              <w:bottom w:val="single" w:color="auto" w:sz="4" w:space="0"/>
              <w:right w:val="single" w:color="000000" w:sz="4" w:space="0"/>
            </w:tcBorders>
            <w:noWrap w:val="0"/>
            <w:vAlign w:val="top"/>
          </w:tcPr>
          <w:p w14:paraId="59CB67F7">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992" w:type="dxa"/>
            <w:tcBorders>
              <w:top w:val="single" w:color="000000" w:sz="4" w:space="0"/>
              <w:left w:val="single" w:color="000000" w:sz="4" w:space="0"/>
              <w:bottom w:val="single" w:color="auto" w:sz="4" w:space="0"/>
              <w:right w:val="single" w:color="000000" w:sz="4" w:space="0"/>
            </w:tcBorders>
            <w:noWrap w:val="0"/>
            <w:vAlign w:val="top"/>
          </w:tcPr>
          <w:p w14:paraId="3EF3F358">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633" w:type="dxa"/>
            <w:tcBorders>
              <w:top w:val="single" w:color="000000" w:sz="4" w:space="0"/>
              <w:left w:val="single" w:color="000000" w:sz="4" w:space="0"/>
              <w:bottom w:val="single" w:color="auto" w:sz="4" w:space="0"/>
              <w:right w:val="single" w:color="000000" w:sz="4" w:space="0"/>
            </w:tcBorders>
            <w:noWrap w:val="0"/>
            <w:vAlign w:val="top"/>
          </w:tcPr>
          <w:p w14:paraId="56DF7920">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1311" w:type="dxa"/>
            <w:tcBorders>
              <w:top w:val="single" w:color="000000" w:sz="4" w:space="0"/>
              <w:left w:val="single" w:color="000000" w:sz="4" w:space="0"/>
              <w:bottom w:val="single" w:color="auto" w:sz="4" w:space="0"/>
              <w:right w:val="single" w:color="000000" w:sz="4" w:space="0"/>
            </w:tcBorders>
            <w:noWrap w:val="0"/>
            <w:vAlign w:val="top"/>
          </w:tcPr>
          <w:p w14:paraId="2A65F4E1">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1741" w:type="dxa"/>
            <w:tcBorders>
              <w:top w:val="single" w:color="000000" w:sz="4" w:space="0"/>
              <w:left w:val="single" w:color="000000" w:sz="4" w:space="0"/>
              <w:bottom w:val="single" w:color="auto" w:sz="4" w:space="0"/>
              <w:right w:val="single" w:color="000000" w:sz="4" w:space="0"/>
            </w:tcBorders>
            <w:noWrap w:val="0"/>
            <w:vAlign w:val="top"/>
          </w:tcPr>
          <w:p w14:paraId="049EAD0E">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2063" w:type="dxa"/>
            <w:vMerge w:val="continue"/>
            <w:tcBorders>
              <w:left w:val="single" w:color="000000" w:sz="4" w:space="0"/>
              <w:bottom w:val="single" w:color="auto" w:sz="4" w:space="0"/>
              <w:right w:val="single" w:color="000000" w:sz="4" w:space="0"/>
            </w:tcBorders>
            <w:noWrap w:val="0"/>
            <w:vAlign w:val="top"/>
          </w:tcPr>
          <w:p w14:paraId="3D333FCB">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r>
      <w:tr w14:paraId="0F66FC42">
        <w:tblPrEx>
          <w:tblCellMar>
            <w:top w:w="0" w:type="dxa"/>
            <w:left w:w="0" w:type="dxa"/>
            <w:bottom w:w="0" w:type="dxa"/>
            <w:right w:w="0" w:type="dxa"/>
          </w:tblCellMar>
        </w:tblPrEx>
        <w:trPr>
          <w:trHeight w:val="468" w:hRule="exact"/>
        </w:trPr>
        <w:tc>
          <w:tcPr>
            <w:tcW w:w="4172" w:type="dxa"/>
            <w:gridSpan w:val="4"/>
            <w:tcBorders>
              <w:top w:val="single" w:color="auto" w:sz="4" w:space="0"/>
              <w:left w:val="single" w:color="auto" w:sz="4" w:space="0"/>
              <w:bottom w:val="single" w:color="auto" w:sz="4" w:space="0"/>
              <w:right w:val="nil"/>
            </w:tcBorders>
            <w:noWrap w:val="0"/>
            <w:vAlign w:val="top"/>
          </w:tcPr>
          <w:p w14:paraId="37050CA7">
            <w:pPr>
              <w:pStyle w:val="44"/>
              <w:pageBreakBefore w:val="0"/>
              <w:topLinePunct w:val="0"/>
              <w:bidi w:val="0"/>
              <w:spacing w:after="0" w:line="360" w:lineRule="auto"/>
              <w:ind w:left="104"/>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人民币合计金额（大写）</w:t>
            </w:r>
          </w:p>
        </w:tc>
        <w:tc>
          <w:tcPr>
            <w:tcW w:w="1311" w:type="dxa"/>
            <w:tcBorders>
              <w:top w:val="single" w:color="auto" w:sz="4" w:space="0"/>
              <w:left w:val="nil"/>
              <w:bottom w:val="single" w:color="auto" w:sz="4" w:space="0"/>
              <w:right w:val="nil"/>
            </w:tcBorders>
            <w:noWrap w:val="0"/>
            <w:vAlign w:val="top"/>
          </w:tcPr>
          <w:p w14:paraId="46739CA8">
            <w:pPr>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p>
        </w:tc>
        <w:tc>
          <w:tcPr>
            <w:tcW w:w="3804" w:type="dxa"/>
            <w:gridSpan w:val="2"/>
            <w:tcBorders>
              <w:top w:val="single" w:color="auto" w:sz="4" w:space="0"/>
              <w:left w:val="nil"/>
              <w:bottom w:val="single" w:color="auto" w:sz="4" w:space="0"/>
              <w:right w:val="single" w:color="auto" w:sz="4" w:space="0"/>
            </w:tcBorders>
            <w:noWrap w:val="0"/>
            <w:vAlign w:val="top"/>
          </w:tcPr>
          <w:p w14:paraId="66729D11">
            <w:pPr>
              <w:pStyle w:val="44"/>
              <w:pageBreakBefore w:val="0"/>
              <w:topLinePunct w:val="0"/>
              <w:bidi w:val="0"/>
              <w:spacing w:after="0" w:line="360" w:lineRule="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（小写）</w:t>
            </w:r>
          </w:p>
        </w:tc>
      </w:tr>
    </w:tbl>
    <w:p w14:paraId="189CF9F6">
      <w:pPr>
        <w:pStyle w:val="43"/>
        <w:pageBreakBefore w:val="0"/>
        <w:numPr>
          <w:ilvl w:val="0"/>
          <w:numId w:val="3"/>
        </w:numPr>
        <w:tabs>
          <w:tab w:val="left" w:pos="1560"/>
        </w:tabs>
        <w:topLinePunct w:val="0"/>
        <w:bidi w:val="0"/>
        <w:spacing w:before="0" w:after="0" w:line="360" w:lineRule="auto"/>
        <w:ind w:left="71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费用及交付方式：甲、乙双方自行协商约定。</w:t>
      </w:r>
    </w:p>
    <w:p w14:paraId="24E8B88C">
      <w:pPr>
        <w:pStyle w:val="43"/>
        <w:pageBreakBefore w:val="0"/>
        <w:numPr>
          <w:ilvl w:val="0"/>
          <w:numId w:val="3"/>
        </w:numPr>
        <w:tabs>
          <w:tab w:val="left" w:pos="1560"/>
        </w:tabs>
        <w:topLinePunct w:val="0"/>
        <w:bidi w:val="0"/>
        <w:spacing w:before="0" w:after="0" w:line="360" w:lineRule="auto"/>
        <w:ind w:left="718" w:leftChars="0" w:firstLine="0" w:firstLineChars="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权利和义务</w:t>
      </w:r>
    </w:p>
    <w:p w14:paraId="6ED34D45">
      <w:pPr>
        <w:pageBreakBefore w:val="0"/>
        <w:tabs>
          <w:tab w:val="left" w:pos="1560"/>
        </w:tabs>
        <w:topLinePunct w:val="0"/>
        <w:bidi w:val="0"/>
        <w:spacing w:after="0" w:line="360" w:lineRule="auto"/>
        <w:ind w:left="718" w:right="4406"/>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（一）委托方</w:t>
      </w:r>
    </w:p>
    <w:p w14:paraId="232973C9">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w:t>
      </w:r>
    </w:p>
    <w:p w14:paraId="0E20C116">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w:t>
      </w:r>
    </w:p>
    <w:p w14:paraId="75BD4045">
      <w:pPr>
        <w:pStyle w:val="9"/>
        <w:pageBreakBefore w:val="0"/>
        <w:topLinePunct w:val="0"/>
        <w:bidi w:val="0"/>
        <w:spacing w:after="0" w:line="360" w:lineRule="auto"/>
        <w:ind w:right="216" w:firstLine="720" w:firstLineChars="3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w:t>
      </w:r>
    </w:p>
    <w:p w14:paraId="2B648853">
      <w:pPr>
        <w:pStyle w:val="9"/>
        <w:pageBreakBefore w:val="0"/>
        <w:topLinePunct w:val="0"/>
        <w:bidi w:val="0"/>
        <w:spacing w:after="0" w:line="360" w:lineRule="auto"/>
        <w:ind w:right="216" w:firstLine="720" w:firstLineChars="3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4.、、、、、、、</w:t>
      </w:r>
    </w:p>
    <w:p w14:paraId="3AF44F64">
      <w:pPr>
        <w:pageBreakBefore w:val="0"/>
        <w:tabs>
          <w:tab w:val="left" w:pos="1560"/>
        </w:tabs>
        <w:topLinePunct w:val="0"/>
        <w:bidi w:val="0"/>
        <w:spacing w:after="0" w:line="360" w:lineRule="auto"/>
        <w:ind w:left="718" w:right="4406"/>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（二）受托方</w:t>
      </w:r>
    </w:p>
    <w:p w14:paraId="5CBC0CEC">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w:t>
      </w:r>
    </w:p>
    <w:p w14:paraId="2389AB3A">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w:t>
      </w:r>
    </w:p>
    <w:p w14:paraId="144865B5">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w:t>
      </w:r>
    </w:p>
    <w:p w14:paraId="4DFCAA0E">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4.、、、、、、</w:t>
      </w:r>
    </w:p>
    <w:p w14:paraId="32139F7D">
      <w:pPr>
        <w:pStyle w:val="9"/>
        <w:pageBreakBefore w:val="0"/>
        <w:topLinePunct w:val="0"/>
        <w:bidi w:val="0"/>
        <w:spacing w:after="0" w:line="360" w:lineRule="auto"/>
        <w:ind w:left="29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5.乙方服务人员应履行保密义务。如乙方因违反本条约定给甲方造成损失的，乙方应当承担相应的法律责任，并赔偿由此给甲方造成的一切损失。</w:t>
      </w:r>
    </w:p>
    <w:p w14:paraId="7922144F">
      <w:pPr>
        <w:pStyle w:val="43"/>
        <w:pageBreakBefore w:val="0"/>
        <w:tabs>
          <w:tab w:val="left" w:pos="1380"/>
        </w:tabs>
        <w:topLinePunct w:val="0"/>
        <w:bidi w:val="0"/>
        <w:spacing w:before="0" w:after="0" w:line="360" w:lineRule="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第五条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包装和运输</w:t>
      </w:r>
    </w:p>
    <w:p w14:paraId="2EF570BE">
      <w:pPr>
        <w:pStyle w:val="9"/>
        <w:pageBreakBefore w:val="0"/>
        <w:topLinePunct w:val="0"/>
        <w:bidi w:val="0"/>
        <w:spacing w:after="0" w:line="360" w:lineRule="auto"/>
        <w:ind w:right="216"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1.乙方提供的服务交付成果或产品均应按招投标文件要求的包装材料、包装标准、包装方式进行包装，每一包装单元内应附详细的交付清单和质量合格证，如有缺失应及时补齐，否则视为逾期 交付。</w:t>
      </w:r>
    </w:p>
    <w:p w14:paraId="621A46F5">
      <w:pPr>
        <w:pStyle w:val="9"/>
        <w:pageBreakBefore w:val="0"/>
        <w:topLinePunct w:val="0"/>
        <w:bidi w:val="0"/>
        <w:spacing w:after="0" w:line="360" w:lineRule="auto"/>
        <w:ind w:right="213"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2.乙方负责服务交付成果、产品的运输。服务交付成果、产品的运输方式由乙方自定。服务交付成果、产品运输合理损耗及计算方法由乙方负责。</w:t>
      </w:r>
    </w:p>
    <w:p w14:paraId="31E01468">
      <w:pPr>
        <w:pStyle w:val="43"/>
        <w:pageBreakBefore w:val="0"/>
        <w:tabs>
          <w:tab w:val="left" w:pos="1380"/>
        </w:tabs>
        <w:topLinePunct w:val="0"/>
        <w:bidi w:val="0"/>
        <w:spacing w:before="0" w:after="0" w:line="360" w:lineRule="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第六条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交付和验收</w:t>
      </w:r>
    </w:p>
    <w:p w14:paraId="50B71F78">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1.交付使用时间：按乙方投标文件中所承诺的时间；</w:t>
      </w:r>
    </w:p>
    <w:p w14:paraId="7CEEB8F8">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地点：甲方指定地点。</w:t>
      </w:r>
    </w:p>
    <w:p w14:paraId="46946975">
      <w:pPr>
        <w:pStyle w:val="9"/>
        <w:pageBreakBefore w:val="0"/>
        <w:topLinePunct w:val="0"/>
        <w:bidi w:val="0"/>
        <w:spacing w:after="0" w:line="360" w:lineRule="auto"/>
        <w:ind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2.乙方提供不符合招投标文件和本合同规定的货物或服务，甲方有权拒绝接受。</w:t>
      </w:r>
    </w:p>
    <w:p w14:paraId="427E2406">
      <w:pPr>
        <w:pStyle w:val="9"/>
        <w:pageBreakBefore w:val="0"/>
        <w:topLinePunct w:val="0"/>
        <w:bidi w:val="0"/>
        <w:spacing w:after="0" w:line="360" w:lineRule="auto"/>
        <w:ind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3.甲方应当在产品或服务成果提交并安装、测试、检验完后  日内进行验收，验收合格后由甲乙双方签署验收单并加盖采购单位公章，甲乙双方各 执贰份。</w:t>
      </w:r>
    </w:p>
    <w:p w14:paraId="22EFA81B">
      <w:pPr>
        <w:pStyle w:val="9"/>
        <w:pageBreakBefore w:val="0"/>
        <w:topLinePunct w:val="0"/>
        <w:bidi w:val="0"/>
        <w:spacing w:after="0" w:line="360" w:lineRule="auto"/>
        <w:ind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4.甲方委托第三方组织的验收项目，其验收时间以该项目验收方案确定的验收时间为准，验收结果以该项目验收报告结论为准。在验收过程中发现乙方有违约问题，可暂缓资金结算，待违约问 题解决后，方可办理资金结算事宜。</w:t>
      </w:r>
    </w:p>
    <w:p w14:paraId="0D8980B8">
      <w:pPr>
        <w:pStyle w:val="9"/>
        <w:pageBreakBefore w:val="0"/>
        <w:topLinePunct w:val="0"/>
        <w:bidi w:val="0"/>
        <w:spacing w:after="0" w:line="360" w:lineRule="auto"/>
        <w:ind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5.甲方对验收有异议的，在验收后五个工作日内以书面形式向乙方提出，乙方应自收到甲方书面异议后七日内及时予以解决。</w:t>
      </w:r>
    </w:p>
    <w:p w14:paraId="70EFF37B">
      <w:pPr>
        <w:pStyle w:val="43"/>
        <w:pageBreakBefore w:val="0"/>
        <w:tabs>
          <w:tab w:val="left" w:pos="1380"/>
        </w:tabs>
        <w:topLinePunct w:val="0"/>
        <w:bidi w:val="0"/>
        <w:spacing w:before="0" w:after="0" w:line="360" w:lineRule="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第七条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安装和培训</w:t>
      </w:r>
    </w:p>
    <w:p w14:paraId="577BB046">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1.甲方应提供必要安装条件（如场地、电源、水源等）。</w:t>
      </w:r>
    </w:p>
    <w:p w14:paraId="2565C825">
      <w:pPr>
        <w:pageBreakBefore w:val="0"/>
        <w:tabs>
          <w:tab w:val="left" w:pos="1380"/>
        </w:tabs>
        <w:topLinePunct w:val="0"/>
        <w:bidi w:val="0"/>
        <w:spacing w:after="0" w:line="360" w:lineRule="auto"/>
        <w:ind w:left="538" w:right="2726"/>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2.乙方负责甲方有关人员的培训。</w:t>
      </w:r>
    </w:p>
    <w:p w14:paraId="1FBCB6E7">
      <w:pPr>
        <w:pageBreakBefore w:val="0"/>
        <w:tabs>
          <w:tab w:val="left" w:pos="1380"/>
        </w:tabs>
        <w:topLinePunct w:val="0"/>
        <w:bidi w:val="0"/>
        <w:spacing w:after="0" w:line="360" w:lineRule="auto"/>
        <w:ind w:left="538" w:right="2726"/>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培训时间、地点、方案由甲方决定。 </w:t>
      </w:r>
    </w:p>
    <w:p w14:paraId="04C75572">
      <w:pPr>
        <w:pageBreakBefore w:val="0"/>
        <w:tabs>
          <w:tab w:val="left" w:pos="1380"/>
        </w:tabs>
        <w:topLinePunct w:val="0"/>
        <w:bidi w:val="0"/>
        <w:spacing w:after="0" w:line="360" w:lineRule="auto"/>
        <w:ind w:left="538" w:right="2726"/>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第八条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售后服务、质保期</w:t>
      </w:r>
    </w:p>
    <w:p w14:paraId="23E61F82">
      <w:pPr>
        <w:pStyle w:val="9"/>
        <w:pageBreakBefore w:val="0"/>
        <w:topLinePunct w:val="0"/>
        <w:bidi w:val="0"/>
        <w:spacing w:after="0" w:line="360" w:lineRule="auto"/>
        <w:ind w:right="21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1.乙方应按照国家有关法律法规和“三包”规定以及招投标文件和本合同附件，为甲方提供售后服务。</w:t>
      </w:r>
    </w:p>
    <w:p w14:paraId="2E1A62C3">
      <w:pPr>
        <w:pStyle w:val="9"/>
        <w:pageBreakBefore w:val="0"/>
        <w:topLinePunct w:val="0"/>
        <w:bidi w:val="0"/>
        <w:spacing w:after="0" w:line="360" w:lineRule="auto"/>
        <w:ind w:right="21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2.货物或服务成果质保期：两年。</w:t>
      </w:r>
    </w:p>
    <w:p w14:paraId="2316DF32">
      <w:pPr>
        <w:pStyle w:val="9"/>
        <w:pageBreakBefore w:val="0"/>
        <w:topLinePunct w:val="0"/>
        <w:bidi w:val="0"/>
        <w:spacing w:after="0" w:line="360" w:lineRule="auto"/>
        <w:ind w:right="21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3.乙方提供的质保期责任、服务承诺和售后服务等其它具体约定事项。</w:t>
      </w:r>
    </w:p>
    <w:p w14:paraId="7772F33F">
      <w:pPr>
        <w:pageBreakBefore w:val="0"/>
        <w:tabs>
          <w:tab w:val="left" w:pos="1380"/>
        </w:tabs>
        <w:topLinePunct w:val="0"/>
        <w:bidi w:val="0"/>
        <w:spacing w:after="0" w:line="360" w:lineRule="auto"/>
        <w:ind w:left="538" w:right="840"/>
        <w:rPr>
          <w:rFonts w:hint="default"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第九条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履约保证金</w:t>
      </w:r>
    </w:p>
    <w:p w14:paraId="20E31B8C">
      <w:pPr>
        <w:pageBreakBefore w:val="0"/>
        <w:tabs>
          <w:tab w:val="left" w:pos="8938"/>
        </w:tabs>
        <w:topLinePunct w:val="0"/>
        <w:bidi w:val="0"/>
        <w:spacing w:after="0" w:line="360" w:lineRule="auto"/>
        <w:ind w:left="708" w:leftChars="337" w:right="156" w:firstLine="477" w:firstLineChars="199"/>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按采购方要求执行 。本项目收取合同金额的10%的作为质保金。在质保期满后的15日历天内，由甲方向乙方以无利息方式一次性支付给乙方；如质保期内发现质量问题，则质保金在扣除相关费用后无息支付给乙方；如质保金不足以弥补所发生的质量问题，甲方有权继续向乙方主张权利。 </w:t>
      </w:r>
    </w:p>
    <w:p w14:paraId="40E254E7">
      <w:pPr>
        <w:pageBreakBefore w:val="0"/>
        <w:tabs>
          <w:tab w:val="left" w:pos="8938"/>
        </w:tabs>
        <w:topLinePunct w:val="0"/>
        <w:bidi w:val="0"/>
        <w:spacing w:after="0" w:line="360" w:lineRule="auto"/>
        <w:ind w:right="156"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第十条 税费</w:t>
      </w:r>
    </w:p>
    <w:p w14:paraId="47CFC9B1">
      <w:pPr>
        <w:pageBreakBefore w:val="0"/>
        <w:tabs>
          <w:tab w:val="left" w:pos="8938"/>
        </w:tabs>
        <w:topLinePunct w:val="0"/>
        <w:bidi w:val="0"/>
        <w:spacing w:after="0" w:line="360" w:lineRule="auto"/>
        <w:ind w:right="156"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本合同执行中相关的一切税费均由乙方支付。</w:t>
      </w:r>
    </w:p>
    <w:p w14:paraId="245BE3CB">
      <w:pPr>
        <w:pageBreakBefore w:val="0"/>
        <w:topLinePunct w:val="0"/>
        <w:bidi w:val="0"/>
        <w:spacing w:after="0" w:line="360" w:lineRule="auto"/>
        <w:ind w:left="538" w:right="3954"/>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第十一条 质量保证及售后服务</w:t>
      </w:r>
    </w:p>
    <w:p w14:paraId="3ED34ECF">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1.按招标文件规定的服务质量标准，并达到或优于中标人承诺的标准。</w:t>
      </w:r>
    </w:p>
    <w:p w14:paraId="20AED943">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2.乙方所提供的产品型号、技术规格、技术参数等质量必须与招投标文件和承诺相一致。乙方提供的节能和环保产品必须是列入政府采购清单的产品。</w:t>
      </w:r>
    </w:p>
    <w:p w14:paraId="1041616C">
      <w:pPr>
        <w:pStyle w:val="9"/>
        <w:pageBreakBefore w:val="0"/>
        <w:tabs>
          <w:tab w:val="left" w:pos="6365"/>
        </w:tabs>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3.如在使用过程中发生质量问题，乙方在接到甲方通知后在   </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小时内到达甲方现场。</w:t>
      </w:r>
    </w:p>
    <w:p w14:paraId="544271E1">
      <w:pPr>
        <w:pStyle w:val="9"/>
        <w:pageBreakBefore w:val="0"/>
        <w:topLinePunct w:val="0"/>
        <w:bidi w:val="0"/>
        <w:spacing w:after="0" w:line="360" w:lineRule="auto"/>
        <w:ind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4.在质保期内，乙方应对货物或服务成果出现的质量及安全问题负责处理解决并承担一切费用。</w:t>
      </w:r>
    </w:p>
    <w:p w14:paraId="08546E93">
      <w:pPr>
        <w:pStyle w:val="9"/>
        <w:pageBreakBefore w:val="0"/>
        <w:topLinePunct w:val="0"/>
        <w:bidi w:val="0"/>
        <w:spacing w:after="0" w:line="360" w:lineRule="auto"/>
        <w:ind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5.上述的货物或服务成果因人为因素出现的故障不在免费保修范围内。超过质保期的机器产品，终生维修，维修时只收部件成本费。 </w:t>
      </w:r>
    </w:p>
    <w:p w14:paraId="352999E6">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第十二条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违约责任</w:t>
      </w:r>
    </w:p>
    <w:p w14:paraId="2B7AECE1">
      <w:pPr>
        <w:pStyle w:val="9"/>
        <w:pageBreakBefore w:val="0"/>
        <w:topLinePunct w:val="0"/>
        <w:bidi w:val="0"/>
        <w:spacing w:after="0" w:line="360" w:lineRule="auto"/>
        <w:ind w:right="103"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1.若因乙方原因而未能履行合同或未达到合同约定的要求，甲方有权书面敦促乙方履行合同， 乙方应在收到甲方书面通知之日起七日内给予书面答复并进行整改；如乙方在上述时间未答复，或 无故拖延履行合同超过 日，或经 次整改后仍未达到甲方要求，甲方有权书面通知乙方解除合同，且无需支付合同解除后的合同后续费用。同时，乙方必须退还甲方已付出的所有费 用，并赔偿由此给甲方造成的全部损失。</w:t>
      </w:r>
    </w:p>
    <w:p w14:paraId="54DD5040">
      <w:pPr>
        <w:pStyle w:val="9"/>
        <w:pageBreakBefore w:val="0"/>
        <w:topLinePunct w:val="0"/>
        <w:bidi w:val="0"/>
        <w:spacing w:after="0" w:line="360" w:lineRule="auto"/>
        <w:ind w:right="115"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2.乙方未得到甲方同意，擅自更换项目负责人及服务团队成员时，甲方有权书面通知乙方解除合同，且无需支付合同解除后的合同后续费用。同时，乙方必须退还甲方已付出的所有费 用，并赔偿由此给甲方造成的全部损失。</w:t>
      </w:r>
    </w:p>
    <w:p w14:paraId="62A37BA2">
      <w:pPr>
        <w:pStyle w:val="9"/>
        <w:pageBreakBefore w:val="0"/>
        <w:topLinePunct w:val="0"/>
        <w:bidi w:val="0"/>
        <w:spacing w:after="0" w:line="360" w:lineRule="auto"/>
        <w:ind w:right="116"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3.乙方或乙方人员违反保密义务时，甲方有权书面通知乙方解除合同，且无需支付合同解除后的合同后续费用。同时，乙方必须退还甲方已付出的所有费用，并赔偿由此给甲方造成的 全部损失。</w:t>
      </w:r>
    </w:p>
    <w:p w14:paraId="20B94D47">
      <w:pPr>
        <w:pStyle w:val="9"/>
        <w:pageBreakBefore w:val="0"/>
        <w:topLinePunct w:val="0"/>
        <w:bidi w:val="0"/>
        <w:spacing w:after="0" w:line="360" w:lineRule="auto"/>
        <w:ind w:right="116"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4.乙方提供的货物或服务如侵犯了第三方合法权益而引发的任何纠纷或诉讼，均由乙方负责交涉并承担全部责任。</w:t>
      </w:r>
    </w:p>
    <w:p w14:paraId="66D2A6D4">
      <w:pPr>
        <w:pStyle w:val="9"/>
        <w:pageBreakBefore w:val="0"/>
        <w:topLinePunct w:val="0"/>
        <w:bidi w:val="0"/>
        <w:spacing w:after="0" w:line="360" w:lineRule="auto"/>
        <w:ind w:right="116"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5.因包装、运输引起的货物或服务成果损坏，按质量不合格处罚。</w:t>
      </w:r>
    </w:p>
    <w:p w14:paraId="24B641C6">
      <w:pPr>
        <w:pStyle w:val="9"/>
        <w:pageBreakBefore w:val="0"/>
        <w:topLinePunct w:val="0"/>
        <w:bidi w:val="0"/>
        <w:spacing w:after="0" w:line="360" w:lineRule="auto"/>
        <w:ind w:right="116"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6.乙方未按本合同和投标文件中规定的服务承诺提供售后服务的，乙方应按本合同合计金额5%向甲方支付违约金。</w:t>
      </w:r>
    </w:p>
    <w:p w14:paraId="41588BAD">
      <w:pPr>
        <w:pStyle w:val="9"/>
        <w:pageBreakBefore w:val="0"/>
        <w:topLinePunct w:val="0"/>
        <w:bidi w:val="0"/>
        <w:spacing w:after="0" w:line="360" w:lineRule="auto"/>
        <w:ind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7.乙方提供的货物或服务成果在质量保证期内，因设计、工艺或材料的缺陷和其它质量原因造成的问题，由乙方负责，费用从履约保证金中扣除，履约保证金不足以支付的，由乙方另行支付。</w:t>
      </w:r>
    </w:p>
    <w:p w14:paraId="21FAFC18">
      <w:pPr>
        <w:pStyle w:val="9"/>
        <w:pageBreakBefore w:val="0"/>
        <w:topLinePunct w:val="0"/>
        <w:bidi w:val="0"/>
        <w:spacing w:after="0" w:line="360" w:lineRule="auto"/>
        <w:ind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8.其它违约行为按违约货物或服务成果费用金额 5%收取违约金并赔偿经济损失。</w:t>
      </w:r>
    </w:p>
    <w:p w14:paraId="2CB6692F">
      <w:pPr>
        <w:pageBreakBefore w:val="0"/>
        <w:topLinePunct w:val="0"/>
        <w:bidi w:val="0"/>
        <w:spacing w:after="0" w:line="360" w:lineRule="auto"/>
        <w:ind w:right="84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   第十三条 不可抗力事件处理</w:t>
      </w:r>
    </w:p>
    <w:p w14:paraId="57355386">
      <w:pPr>
        <w:pStyle w:val="9"/>
        <w:pageBreakBefore w:val="0"/>
        <w:topLinePunct w:val="0"/>
        <w:bidi w:val="0"/>
        <w:spacing w:after="0" w:line="360" w:lineRule="auto"/>
        <w:ind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1.在合同有效期内，任何一方因不可抗力事件导致不能履行合同，则合同履行期可延长，其延长期与不可抗力影响期相同。</w:t>
      </w:r>
    </w:p>
    <w:p w14:paraId="358C6901">
      <w:pPr>
        <w:pStyle w:val="9"/>
        <w:pageBreakBefore w:val="0"/>
        <w:topLinePunct w:val="0"/>
        <w:bidi w:val="0"/>
        <w:spacing w:after="0" w:line="360" w:lineRule="auto"/>
        <w:ind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2.不可抗力事件发生后，应立即通知对方，并提交有关权威机构出具的证明。</w:t>
      </w:r>
    </w:p>
    <w:p w14:paraId="4BA1F432">
      <w:pPr>
        <w:pStyle w:val="9"/>
        <w:pageBreakBefore w:val="0"/>
        <w:topLinePunct w:val="0"/>
        <w:bidi w:val="0"/>
        <w:spacing w:after="0" w:line="360" w:lineRule="auto"/>
        <w:ind w:left="479" w:leftChars="228" w:firstLine="0" w:firstLineChars="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3.不可抗力事件延续一百二十天以上，双方应通过友好协商，确定是否继续履行合同。 第十四条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合同争议解决</w:t>
      </w:r>
    </w:p>
    <w:p w14:paraId="203D9CFA">
      <w:pPr>
        <w:pStyle w:val="9"/>
        <w:pageBreakBefore w:val="0"/>
        <w:topLinePunct w:val="0"/>
        <w:bidi w:val="0"/>
        <w:spacing w:after="0" w:line="360" w:lineRule="auto"/>
        <w:ind w:right="116"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1.因货物或服务成果质量问题发生争议的，应邀请国家认可的质量检测机构按照国家标准对货物或服务成果质量进行验收。货物或服务成果符合国家标准的，鉴定费由甲方承担；货物或服务成 果不符合国家标准的，鉴定费由乙方承担。</w:t>
      </w:r>
    </w:p>
    <w:p w14:paraId="0CC2BFE6">
      <w:pPr>
        <w:pStyle w:val="9"/>
        <w:pageBreakBefore w:val="0"/>
        <w:topLinePunct w:val="0"/>
        <w:bidi w:val="0"/>
        <w:spacing w:after="0" w:line="360" w:lineRule="auto"/>
        <w:ind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2.因履行本合同引起的或与本合同有关的争议，甲乙双方应首先通过友好协商解决，如果协商不能解决，可向甲方所在地人民法院提起诉讼。</w:t>
      </w:r>
    </w:p>
    <w:p w14:paraId="17314D92">
      <w:pPr>
        <w:pStyle w:val="9"/>
        <w:pageBreakBefore w:val="0"/>
        <w:topLinePunct w:val="0"/>
        <w:bidi w:val="0"/>
        <w:spacing w:after="0" w:line="360" w:lineRule="auto"/>
        <w:ind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3.诉讼期间，本合同继续履行。</w:t>
      </w:r>
    </w:p>
    <w:p w14:paraId="761E2FA0">
      <w:pPr>
        <w:pageBreakBefore w:val="0"/>
        <w:topLinePunct w:val="0"/>
        <w:bidi w:val="0"/>
        <w:spacing w:after="0" w:line="360" w:lineRule="auto"/>
        <w:ind w:right="5407"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第十五条 合同生效及其它</w:t>
      </w:r>
    </w:p>
    <w:p w14:paraId="74C62362">
      <w:pPr>
        <w:pStyle w:val="9"/>
        <w:pageBreakBefore w:val="0"/>
        <w:tabs>
          <w:tab w:val="left" w:pos="3701"/>
          <w:tab w:val="left" w:pos="7711"/>
        </w:tabs>
        <w:topLinePunct w:val="0"/>
        <w:bidi w:val="0"/>
        <w:spacing w:after="0" w:line="360" w:lineRule="auto"/>
        <w:ind w:right="11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1.本合同履行期限为：</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；合同履行地点为：</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；合同履行的方 式：</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w:t>
      </w:r>
    </w:p>
    <w:p w14:paraId="5B3A4413">
      <w:pPr>
        <w:pStyle w:val="9"/>
        <w:pageBreakBefore w:val="0"/>
        <w:topLinePunct w:val="0"/>
        <w:bidi w:val="0"/>
        <w:spacing w:after="0" w:line="360" w:lineRule="auto"/>
        <w:ind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2.合同经双方法定代表人或授权代表签字并加盖单位公章后生效。</w:t>
      </w:r>
    </w:p>
    <w:p w14:paraId="298D991A">
      <w:pPr>
        <w:pStyle w:val="9"/>
        <w:pageBreakBefore w:val="0"/>
        <w:topLinePunct w:val="0"/>
        <w:bidi w:val="0"/>
        <w:spacing w:after="0" w:line="360" w:lineRule="auto"/>
        <w:ind w:firstLine="480" w:firstLineChars="20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3.合同执行中涉及采购资金和采购内容修改或补充的，须经财政部门审批，并签书面补充协议报财政部门备案，方可作为主合同不可分割的一部分。</w:t>
      </w:r>
    </w:p>
    <w:p w14:paraId="43694A37">
      <w:pPr>
        <w:pageBreakBefore w:val="0"/>
        <w:tabs>
          <w:tab w:val="left" w:pos="1591"/>
        </w:tabs>
        <w:topLinePunct w:val="0"/>
        <w:bidi w:val="0"/>
        <w:spacing w:after="0" w:line="360" w:lineRule="auto"/>
        <w:ind w:left="538" w:right="-46"/>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4.本合同未尽事宜，遵照《民法典》有关条文执行。 </w:t>
      </w:r>
    </w:p>
    <w:p w14:paraId="163F43FC">
      <w:pPr>
        <w:pageBreakBefore w:val="0"/>
        <w:tabs>
          <w:tab w:val="left" w:pos="1591"/>
        </w:tabs>
        <w:topLinePunct w:val="0"/>
        <w:bidi w:val="0"/>
        <w:spacing w:after="0" w:line="360" w:lineRule="auto"/>
        <w:ind w:left="538" w:right="3831"/>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第十六条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合同的变更、终止与转让</w:t>
      </w:r>
    </w:p>
    <w:p w14:paraId="355FE405">
      <w:pPr>
        <w:pStyle w:val="9"/>
        <w:pageBreakBefore w:val="0"/>
        <w:topLinePunct w:val="0"/>
        <w:bidi w:val="0"/>
        <w:spacing w:after="0" w:line="360" w:lineRule="auto"/>
        <w:ind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1.除《中华人民共和国政府采购法》第五十条规定的情形外，本合同一经签订，甲乙双方不得擅自变更、中止或终止。</w:t>
      </w:r>
    </w:p>
    <w:p w14:paraId="7E3F1707">
      <w:pPr>
        <w:pStyle w:val="9"/>
        <w:pageBreakBefore w:val="0"/>
        <w:topLinePunct w:val="0"/>
        <w:bidi w:val="0"/>
        <w:spacing w:after="0" w:line="360" w:lineRule="auto"/>
        <w:ind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2.未经甲方书面同意，乙方不得擅自转让（无进口资格的乙方委托进口货物除外）其应履行的合同义务。</w:t>
      </w:r>
    </w:p>
    <w:p w14:paraId="7A3AD488">
      <w:pPr>
        <w:pStyle w:val="43"/>
        <w:pageBreakBefore w:val="0"/>
        <w:tabs>
          <w:tab w:val="left" w:pos="1591"/>
        </w:tabs>
        <w:topLinePunct w:val="0"/>
        <w:bidi w:val="0"/>
        <w:spacing w:before="0" w:after="0" w:line="360" w:lineRule="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第十七条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签订本合同依据</w:t>
      </w:r>
    </w:p>
    <w:p w14:paraId="60E86E69">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1.政府采购招标文件；</w:t>
      </w:r>
    </w:p>
    <w:p w14:paraId="60198780">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2.乙方提供的投标文件；</w:t>
      </w:r>
    </w:p>
    <w:p w14:paraId="3D3BCE80">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3.投标承诺书；</w:t>
      </w:r>
    </w:p>
    <w:p w14:paraId="747DFFD4">
      <w:pPr>
        <w:pStyle w:val="9"/>
        <w:pageBreakBefore w:val="0"/>
        <w:topLinePunct w:val="0"/>
        <w:bidi w:val="0"/>
        <w:spacing w:after="0" w:line="360" w:lineRule="auto"/>
        <w:ind w:left="538"/>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4.中标通知书。</w:t>
      </w:r>
    </w:p>
    <w:p w14:paraId="731D2070">
      <w:pPr>
        <w:pStyle w:val="9"/>
        <w:pageBreakBefore w:val="0"/>
        <w:tabs>
          <w:tab w:val="left" w:pos="1591"/>
        </w:tabs>
        <w:topLinePunct w:val="0"/>
        <w:bidi w:val="0"/>
        <w:spacing w:after="0" w:line="360" w:lineRule="auto"/>
        <w:ind w:right="118" w:firstLine="420"/>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第十八条</w:t>
      </w:r>
      <w:r>
        <w:rPr>
          <w:rFonts w:hint="eastAsia" w:ascii="仿宋" w:hAnsi="仿宋" w:eastAsia="仿宋" w:cs="仿宋"/>
          <w:b w:val="0"/>
          <w:bCs/>
          <w:color w:val="auto"/>
          <w:kern w:val="0"/>
          <w:sz w:val="24"/>
          <w:highlight w:val="none"/>
          <w:lang w:val="en-US" w:eastAsia="zh-CN" w:bidi="ar-SA"/>
        </w:rPr>
        <w:tab/>
      </w:r>
      <w:r>
        <w:rPr>
          <w:rFonts w:hint="eastAsia" w:ascii="仿宋" w:hAnsi="仿宋" w:eastAsia="仿宋" w:cs="仿宋"/>
          <w:b w:val="0"/>
          <w:bCs/>
          <w:color w:val="auto"/>
          <w:kern w:val="0"/>
          <w:sz w:val="24"/>
          <w:highlight w:val="none"/>
          <w:lang w:val="en-US" w:eastAsia="zh-CN" w:bidi="ar-SA"/>
        </w:rPr>
        <w:t>本合同一式陆份，具有同等法律效力。甲、乙双方各两份，采购机构、公证各一份。</w:t>
      </w:r>
    </w:p>
    <w:p w14:paraId="74870173">
      <w:pPr>
        <w:keepNext w:val="0"/>
        <w:keepLines w:val="0"/>
        <w:pageBreakBefore w:val="0"/>
        <w:widowControl w:val="0"/>
        <w:kinsoku/>
        <w:wordWrap/>
        <w:overflowPunct/>
        <w:topLinePunct w:val="0"/>
        <w:autoSpaceDE w:val="0"/>
        <w:autoSpaceDN w:val="0"/>
        <w:bidi w:val="0"/>
        <w:adjustRightInd w:val="0"/>
        <w:snapToGrid/>
        <w:spacing w:after="120" w:line="360" w:lineRule="auto"/>
        <w:ind w:firstLine="240" w:firstLineChars="100"/>
        <w:jc w:val="left"/>
        <w:textAlignment w:val="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本合同经甲乙双方法定代表人或被授权代表签字并加盖单位公章后生效。</w:t>
      </w:r>
    </w:p>
    <w:p w14:paraId="6D879F93">
      <w:pPr>
        <w:keepNext w:val="0"/>
        <w:keepLines w:val="0"/>
        <w:pageBreakBefore w:val="0"/>
        <w:widowControl w:val="0"/>
        <w:kinsoku/>
        <w:wordWrap/>
        <w:overflowPunct/>
        <w:topLinePunct w:val="0"/>
        <w:autoSpaceDE w:val="0"/>
        <w:autoSpaceDN w:val="0"/>
        <w:bidi w:val="0"/>
        <w:adjustRightInd w:val="0"/>
        <w:snapToGrid/>
        <w:spacing w:after="120" w:line="360" w:lineRule="auto"/>
        <w:ind w:firstLine="240" w:firstLineChars="100"/>
        <w:jc w:val="left"/>
        <w:textAlignment w:val="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甲方（采购人公章） ：                         乙方（供应商公章）：</w:t>
      </w:r>
    </w:p>
    <w:p w14:paraId="78AAA8C1">
      <w:pPr>
        <w:keepNext w:val="0"/>
        <w:keepLines w:val="0"/>
        <w:pageBreakBefore w:val="0"/>
        <w:widowControl w:val="0"/>
        <w:kinsoku/>
        <w:wordWrap/>
        <w:overflowPunct/>
        <w:topLinePunct w:val="0"/>
        <w:autoSpaceDE w:val="0"/>
        <w:autoSpaceDN w:val="0"/>
        <w:bidi w:val="0"/>
        <w:adjustRightInd w:val="0"/>
        <w:snapToGrid/>
        <w:spacing w:after="120" w:line="360" w:lineRule="auto"/>
        <w:ind w:firstLine="240" w:firstLineChars="100"/>
        <w:jc w:val="left"/>
        <w:textAlignment w:val="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法定代表人：                                  法定代表人： </w:t>
      </w:r>
    </w:p>
    <w:p w14:paraId="6FF956E3">
      <w:pPr>
        <w:keepNext w:val="0"/>
        <w:keepLines w:val="0"/>
        <w:pageBreakBefore w:val="0"/>
        <w:widowControl w:val="0"/>
        <w:kinsoku/>
        <w:wordWrap/>
        <w:overflowPunct/>
        <w:topLinePunct w:val="0"/>
        <w:bidi w:val="0"/>
        <w:snapToGrid/>
        <w:spacing w:after="120" w:line="360" w:lineRule="auto"/>
        <w:ind w:firstLine="240" w:firstLineChars="100"/>
        <w:textAlignment w:val="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委托代理人：                                  委托代理人：                               </w:t>
      </w:r>
    </w:p>
    <w:p w14:paraId="6879BDE9">
      <w:pPr>
        <w:pStyle w:val="9"/>
        <w:keepNext w:val="0"/>
        <w:keepLines w:val="0"/>
        <w:pageBreakBefore w:val="0"/>
        <w:widowControl w:val="0"/>
        <w:kinsoku/>
        <w:wordWrap/>
        <w:overflowPunct/>
        <w:topLinePunct w:val="0"/>
        <w:bidi w:val="0"/>
        <w:snapToGrid/>
        <w:spacing w:after="120" w:line="360" w:lineRule="auto"/>
        <w:ind w:firstLine="240" w:firstLineChars="100"/>
        <w:textAlignment w:val="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开户银行：                                    开户银行：</w:t>
      </w:r>
    </w:p>
    <w:p w14:paraId="0ED28569">
      <w:pPr>
        <w:pStyle w:val="9"/>
        <w:keepNext w:val="0"/>
        <w:keepLines w:val="0"/>
        <w:pageBreakBefore w:val="0"/>
        <w:widowControl w:val="0"/>
        <w:kinsoku/>
        <w:wordWrap/>
        <w:overflowPunct/>
        <w:topLinePunct w:val="0"/>
        <w:bidi w:val="0"/>
        <w:snapToGrid/>
        <w:spacing w:after="120" w:line="360" w:lineRule="auto"/>
        <w:ind w:firstLine="240" w:firstLineChars="100"/>
        <w:textAlignment w:val="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 xml:space="preserve">账 号：                                       账 号：                                          </w:t>
      </w:r>
    </w:p>
    <w:p w14:paraId="40977896">
      <w:pPr>
        <w:keepNext w:val="0"/>
        <w:keepLines w:val="0"/>
        <w:pageBreakBefore w:val="0"/>
        <w:widowControl w:val="0"/>
        <w:kinsoku/>
        <w:wordWrap/>
        <w:overflowPunct/>
        <w:topLinePunct w:val="0"/>
        <w:bidi w:val="0"/>
        <w:snapToGrid/>
        <w:spacing w:after="120" w:line="360" w:lineRule="auto"/>
        <w:ind w:firstLine="240" w:firstLineChars="100"/>
        <w:textAlignment w:val="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地 址：                                       地 址：</w:t>
      </w:r>
    </w:p>
    <w:p w14:paraId="4CF42477">
      <w:pPr>
        <w:keepNext w:val="0"/>
        <w:keepLines w:val="0"/>
        <w:pageBreakBefore w:val="0"/>
        <w:widowControl w:val="0"/>
        <w:kinsoku/>
        <w:wordWrap/>
        <w:overflowPunct/>
        <w:topLinePunct w:val="0"/>
        <w:autoSpaceDE w:val="0"/>
        <w:autoSpaceDN w:val="0"/>
        <w:bidi w:val="0"/>
        <w:adjustRightInd w:val="0"/>
        <w:snapToGrid/>
        <w:spacing w:after="120" w:line="360" w:lineRule="auto"/>
        <w:ind w:firstLine="240" w:firstLineChars="100"/>
        <w:jc w:val="left"/>
        <w:textAlignment w:val="auto"/>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t>电 话：                                       电 话：</w:t>
      </w:r>
    </w:p>
    <w:p w14:paraId="25FCEF1E">
      <w:pPr>
        <w:shd w:val="clear"/>
        <w:rPr>
          <w:rFonts w:hint="eastAsia" w:ascii="仿宋" w:hAnsi="仿宋" w:eastAsia="仿宋" w:cs="仿宋"/>
          <w:b w:val="0"/>
          <w:bCs/>
          <w:color w:val="auto"/>
          <w:kern w:val="0"/>
          <w:sz w:val="24"/>
          <w:highlight w:val="none"/>
          <w:lang w:val="en-US" w:eastAsia="zh-CN" w:bidi="ar-SA"/>
        </w:rPr>
      </w:pPr>
    </w:p>
    <w:p w14:paraId="03A7CA8B">
      <w:pPr>
        <w:rPr>
          <w:rFonts w:hint="eastAsia" w:ascii="仿宋" w:hAnsi="仿宋" w:eastAsia="仿宋" w:cs="仿宋"/>
          <w:b w:val="0"/>
          <w:bCs/>
          <w:color w:val="auto"/>
          <w:kern w:val="0"/>
          <w:sz w:val="24"/>
          <w:highlight w:val="none"/>
          <w:lang w:val="en-US" w:eastAsia="zh-CN" w:bidi="ar-SA"/>
        </w:rPr>
      </w:pPr>
      <w:r>
        <w:rPr>
          <w:rFonts w:hint="eastAsia" w:ascii="仿宋" w:hAnsi="仿宋" w:eastAsia="仿宋" w:cs="仿宋"/>
          <w:b w:val="0"/>
          <w:bCs/>
          <w:color w:val="auto"/>
          <w:kern w:val="0"/>
          <w:sz w:val="24"/>
          <w:highlight w:val="none"/>
          <w:lang w:val="en-US" w:eastAsia="zh-CN" w:bidi="ar-SA"/>
        </w:rPr>
        <w:br w:type="page"/>
      </w:r>
    </w:p>
    <w:p w14:paraId="1BE67E1F">
      <w:pPr>
        <w:pStyle w:val="3"/>
        <w:shd w:val="clear"/>
        <w:outlineLvl w:val="0"/>
        <w:rPr>
          <w:rFonts w:hint="eastAsia" w:ascii="仿宋" w:hAnsi="仿宋" w:eastAsia="仿宋" w:cs="仿宋"/>
          <w:color w:val="auto"/>
          <w:highlight w:val="none"/>
        </w:rPr>
      </w:pPr>
      <w:r>
        <w:rPr>
          <w:rFonts w:hint="eastAsia" w:ascii="仿宋" w:hAnsi="仿宋" w:eastAsia="仿宋" w:cs="仿宋"/>
          <w:color w:val="auto"/>
          <w:highlight w:val="none"/>
        </w:rPr>
        <w:t>第四章</w:t>
      </w:r>
      <w:bookmarkEnd w:id="609"/>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投标文件格式</w:t>
      </w:r>
      <w:bookmarkEnd w:id="610"/>
      <w:bookmarkEnd w:id="611"/>
      <w:bookmarkEnd w:id="612"/>
      <w:bookmarkEnd w:id="613"/>
      <w:bookmarkEnd w:id="614"/>
      <w:bookmarkEnd w:id="615"/>
    </w:p>
    <w:p w14:paraId="5DA8AE68">
      <w:pPr>
        <w:shd w:val="clear"/>
        <w:spacing w:line="324" w:lineRule="auto"/>
        <w:jc w:val="center"/>
        <w:rPr>
          <w:rFonts w:hint="eastAsia" w:ascii="仿宋" w:hAnsi="仿宋" w:eastAsia="仿宋" w:cs="仿宋"/>
          <w:color w:val="auto"/>
          <w:sz w:val="28"/>
          <w:highlight w:val="none"/>
        </w:rPr>
      </w:pPr>
    </w:p>
    <w:p w14:paraId="486AD661">
      <w:pPr>
        <w:shd w:val="clear"/>
        <w:bidi w:val="0"/>
        <w:rPr>
          <w:rFonts w:hint="eastAsia" w:ascii="仿宋" w:hAnsi="仿宋" w:eastAsia="仿宋" w:cs="仿宋"/>
          <w:color w:val="auto"/>
          <w:sz w:val="28"/>
          <w:szCs w:val="28"/>
          <w:highlight w:val="none"/>
        </w:rPr>
      </w:pPr>
    </w:p>
    <w:p w14:paraId="629D3836">
      <w:pPr>
        <w:shd w:val="clear"/>
        <w:tabs>
          <w:tab w:val="left" w:pos="5190"/>
        </w:tabs>
        <w:spacing w:line="324" w:lineRule="auto"/>
        <w:jc w:val="center"/>
        <w:rPr>
          <w:rFonts w:hint="eastAsia" w:ascii="仿宋" w:hAnsi="仿宋" w:eastAsia="仿宋" w:cs="仿宋"/>
          <w:b/>
          <w:color w:val="auto"/>
          <w:sz w:val="44"/>
          <w:szCs w:val="22"/>
          <w:highlight w:val="none"/>
          <w:lang w:eastAsia="zh-CN"/>
        </w:rPr>
      </w:pPr>
      <w:r>
        <w:rPr>
          <w:rFonts w:hint="eastAsia" w:ascii="仿宋" w:hAnsi="仿宋" w:eastAsia="仿宋" w:cs="仿宋"/>
          <w:b/>
          <w:color w:val="auto"/>
          <w:sz w:val="44"/>
          <w:szCs w:val="22"/>
          <w:highlight w:val="none"/>
          <w:lang w:val="en-US" w:eastAsia="zh-CN"/>
        </w:rPr>
        <w:t>玉龙县公安局移动警务服务采购项目（二次）</w:t>
      </w:r>
    </w:p>
    <w:p w14:paraId="23C0BB4E">
      <w:pPr>
        <w:shd w:val="clear"/>
        <w:tabs>
          <w:tab w:val="left" w:pos="5190"/>
        </w:tabs>
        <w:spacing w:line="324" w:lineRule="auto"/>
        <w:jc w:val="both"/>
        <w:rPr>
          <w:rFonts w:hint="eastAsia" w:ascii="仿宋" w:hAnsi="仿宋" w:eastAsia="仿宋" w:cs="仿宋"/>
          <w:b/>
          <w:color w:val="auto"/>
          <w:sz w:val="36"/>
          <w:highlight w:val="none"/>
        </w:rPr>
      </w:pPr>
    </w:p>
    <w:p w14:paraId="2BDCA4DB">
      <w:pPr>
        <w:pStyle w:val="21"/>
        <w:shd w:val="clear"/>
        <w:rPr>
          <w:rFonts w:hint="eastAsia" w:ascii="仿宋" w:hAnsi="仿宋" w:eastAsia="仿宋" w:cs="仿宋"/>
          <w:b/>
          <w:color w:val="auto"/>
          <w:sz w:val="36"/>
          <w:highlight w:val="none"/>
        </w:rPr>
      </w:pPr>
    </w:p>
    <w:p w14:paraId="60829A6D">
      <w:pPr>
        <w:pStyle w:val="20"/>
        <w:shd w:val="clear"/>
        <w:rPr>
          <w:rFonts w:hint="eastAsia" w:ascii="仿宋" w:hAnsi="仿宋" w:eastAsia="仿宋" w:cs="仿宋"/>
          <w:b/>
          <w:color w:val="auto"/>
          <w:sz w:val="36"/>
          <w:highlight w:val="none"/>
        </w:rPr>
      </w:pPr>
    </w:p>
    <w:p w14:paraId="751E199D">
      <w:pPr>
        <w:shd w:val="clear"/>
        <w:rPr>
          <w:rFonts w:hint="eastAsia" w:ascii="仿宋" w:hAnsi="仿宋" w:eastAsia="仿宋" w:cs="仿宋"/>
          <w:b/>
          <w:color w:val="auto"/>
          <w:sz w:val="36"/>
          <w:highlight w:val="none"/>
        </w:rPr>
      </w:pPr>
    </w:p>
    <w:p w14:paraId="63E8D0D3">
      <w:pPr>
        <w:pStyle w:val="21"/>
        <w:shd w:val="clear"/>
        <w:rPr>
          <w:rFonts w:hint="eastAsia"/>
          <w:color w:val="auto"/>
          <w:highlight w:val="none"/>
        </w:rPr>
      </w:pPr>
    </w:p>
    <w:p w14:paraId="4F50A731">
      <w:pPr>
        <w:shd w:val="clear"/>
        <w:tabs>
          <w:tab w:val="left" w:pos="5190"/>
        </w:tabs>
        <w:spacing w:line="324" w:lineRule="auto"/>
        <w:jc w:val="both"/>
        <w:rPr>
          <w:rFonts w:hint="eastAsia" w:ascii="仿宋" w:hAnsi="仿宋" w:eastAsia="仿宋" w:cs="仿宋"/>
          <w:b/>
          <w:color w:val="auto"/>
          <w:sz w:val="36"/>
          <w:highlight w:val="none"/>
        </w:rPr>
      </w:pPr>
    </w:p>
    <w:p w14:paraId="14C0B3FD">
      <w:pPr>
        <w:shd w:val="clear"/>
        <w:spacing w:line="360" w:lineRule="auto"/>
        <w:jc w:val="center"/>
        <w:rPr>
          <w:rFonts w:hint="eastAsia" w:ascii="仿宋" w:hAnsi="仿宋" w:eastAsia="仿宋" w:cs="仿宋"/>
          <w:b/>
          <w:bCs/>
          <w:color w:val="auto"/>
          <w:kern w:val="0"/>
          <w:sz w:val="72"/>
          <w:szCs w:val="72"/>
          <w:highlight w:val="none"/>
        </w:rPr>
      </w:pPr>
      <w:r>
        <w:rPr>
          <w:rFonts w:hint="eastAsia" w:ascii="仿宋" w:hAnsi="仿宋" w:eastAsia="仿宋" w:cs="仿宋"/>
          <w:b/>
          <w:bCs/>
          <w:color w:val="auto"/>
          <w:spacing w:val="217"/>
          <w:kern w:val="0"/>
          <w:sz w:val="72"/>
          <w:szCs w:val="72"/>
          <w:highlight w:val="none"/>
        </w:rPr>
        <w:t>投标文</w:t>
      </w:r>
      <w:r>
        <w:rPr>
          <w:rFonts w:hint="eastAsia" w:ascii="仿宋" w:hAnsi="仿宋" w:eastAsia="仿宋" w:cs="仿宋"/>
          <w:b/>
          <w:bCs/>
          <w:color w:val="auto"/>
          <w:kern w:val="0"/>
          <w:sz w:val="72"/>
          <w:szCs w:val="72"/>
          <w:highlight w:val="none"/>
        </w:rPr>
        <w:t>件</w:t>
      </w:r>
    </w:p>
    <w:p w14:paraId="63F57237">
      <w:pPr>
        <w:shd w:val="clear"/>
        <w:spacing w:line="360" w:lineRule="auto"/>
        <w:jc w:val="center"/>
        <w:rPr>
          <w:rFonts w:hint="default" w:ascii="仿宋" w:hAnsi="仿宋" w:eastAsia="仿宋" w:cs="仿宋"/>
          <w:b/>
          <w:bCs/>
          <w:color w:val="auto"/>
          <w:sz w:val="36"/>
          <w:szCs w:val="36"/>
          <w:highlight w:val="none"/>
          <w:lang w:val="en-US" w:eastAsia="zh-CN"/>
        </w:rPr>
      </w:pPr>
    </w:p>
    <w:p w14:paraId="3A8D2D0A">
      <w:pPr>
        <w:shd w:val="clear"/>
        <w:spacing w:line="360" w:lineRule="auto"/>
        <w:jc w:val="center"/>
        <w:rPr>
          <w:rFonts w:hint="eastAsia" w:ascii="仿宋" w:hAnsi="仿宋" w:eastAsia="仿宋" w:cs="仿宋"/>
          <w:color w:val="auto"/>
          <w:sz w:val="32"/>
          <w:szCs w:val="32"/>
          <w:highlight w:val="none"/>
          <w:lang w:val="en-US" w:eastAsia="zh-CN"/>
        </w:rPr>
      </w:pPr>
      <w:bookmarkStart w:id="616" w:name="_Toc18518"/>
      <w:bookmarkStart w:id="617" w:name="_Toc1364"/>
      <w:r>
        <w:rPr>
          <w:rFonts w:hint="eastAsia" w:ascii="仿宋" w:hAnsi="仿宋" w:eastAsia="仿宋" w:cs="仿宋"/>
          <w:color w:val="auto"/>
          <w:sz w:val="32"/>
          <w:szCs w:val="32"/>
          <w:highlight w:val="none"/>
        </w:rPr>
        <w:t>项目编号：</w:t>
      </w:r>
      <w:bookmarkEnd w:id="616"/>
      <w:bookmarkEnd w:id="617"/>
      <w:r>
        <w:rPr>
          <w:rFonts w:hint="eastAsia" w:ascii="仿宋" w:hAnsi="仿宋" w:eastAsia="仿宋" w:cs="仿宋"/>
          <w:b/>
          <w:color w:val="auto"/>
          <w:sz w:val="32"/>
          <w:szCs w:val="32"/>
          <w:highlight w:val="none"/>
          <w:lang w:eastAsia="zh-CN"/>
        </w:rPr>
        <w:t>HB-FW2024062</w:t>
      </w:r>
    </w:p>
    <w:p w14:paraId="6AC4DA08">
      <w:pPr>
        <w:shd w:val="clear"/>
        <w:spacing w:line="324" w:lineRule="auto"/>
        <w:jc w:val="center"/>
        <w:rPr>
          <w:rFonts w:hint="eastAsia" w:ascii="仿宋" w:hAnsi="仿宋" w:eastAsia="仿宋" w:cs="仿宋"/>
          <w:color w:val="auto"/>
          <w:sz w:val="32"/>
          <w:szCs w:val="32"/>
          <w:highlight w:val="none"/>
        </w:rPr>
      </w:pPr>
    </w:p>
    <w:p w14:paraId="419EB9B4">
      <w:pPr>
        <w:shd w:val="clear"/>
        <w:tabs>
          <w:tab w:val="left" w:pos="5190"/>
        </w:tabs>
        <w:spacing w:line="324" w:lineRule="auto"/>
        <w:jc w:val="center"/>
        <w:rPr>
          <w:rFonts w:hint="eastAsia" w:ascii="仿宋" w:hAnsi="仿宋" w:eastAsia="仿宋" w:cs="仿宋"/>
          <w:color w:val="auto"/>
          <w:sz w:val="32"/>
          <w:szCs w:val="32"/>
          <w:highlight w:val="none"/>
        </w:rPr>
      </w:pPr>
    </w:p>
    <w:p w14:paraId="11B0B404">
      <w:pPr>
        <w:shd w:val="clear"/>
        <w:tabs>
          <w:tab w:val="left" w:pos="5190"/>
        </w:tabs>
        <w:spacing w:line="324" w:lineRule="auto"/>
        <w:rPr>
          <w:rFonts w:hint="eastAsia" w:ascii="仿宋" w:hAnsi="仿宋" w:eastAsia="仿宋" w:cs="仿宋"/>
          <w:color w:val="auto"/>
          <w:sz w:val="32"/>
          <w:szCs w:val="32"/>
          <w:highlight w:val="none"/>
        </w:rPr>
      </w:pPr>
    </w:p>
    <w:p w14:paraId="1600CBA1">
      <w:pPr>
        <w:shd w:val="clear"/>
        <w:tabs>
          <w:tab w:val="left" w:pos="5190"/>
        </w:tabs>
        <w:spacing w:line="324" w:lineRule="auto"/>
        <w:rPr>
          <w:rFonts w:hint="eastAsia" w:ascii="仿宋" w:hAnsi="仿宋" w:eastAsia="仿宋" w:cs="仿宋"/>
          <w:color w:val="auto"/>
          <w:sz w:val="32"/>
          <w:szCs w:val="32"/>
          <w:highlight w:val="none"/>
        </w:rPr>
      </w:pPr>
    </w:p>
    <w:p w14:paraId="192BF2B3">
      <w:pPr>
        <w:shd w:val="clear"/>
        <w:tabs>
          <w:tab w:val="left" w:pos="5190"/>
        </w:tabs>
        <w:spacing w:line="324" w:lineRule="auto"/>
        <w:rPr>
          <w:rFonts w:hint="eastAsia" w:ascii="仿宋" w:hAnsi="仿宋" w:eastAsia="仿宋" w:cs="仿宋"/>
          <w:color w:val="auto"/>
          <w:sz w:val="32"/>
          <w:szCs w:val="32"/>
          <w:highlight w:val="none"/>
        </w:rPr>
      </w:pPr>
    </w:p>
    <w:p w14:paraId="53E84223">
      <w:pPr>
        <w:shd w:val="clear"/>
        <w:spacing w:line="360" w:lineRule="auto"/>
        <w:jc w:val="left"/>
        <w:rPr>
          <w:rFonts w:hint="default" w:ascii="仿宋" w:hAnsi="仿宋" w:eastAsia="仿宋" w:cs="仿宋"/>
          <w:color w:val="auto"/>
          <w:sz w:val="32"/>
          <w:szCs w:val="32"/>
          <w:highlight w:val="none"/>
          <w:u w:val="single"/>
          <w:lang w:val="en-US" w:eastAsia="zh-CN"/>
        </w:rPr>
      </w:pPr>
      <w:bookmarkStart w:id="618" w:name="_Toc14512"/>
      <w:bookmarkStart w:id="619" w:name="_Toc7928"/>
      <w:r>
        <w:rPr>
          <w:rFonts w:hint="eastAsia" w:ascii="仿宋" w:hAnsi="仿宋" w:eastAsia="仿宋" w:cs="仿宋"/>
          <w:color w:val="auto"/>
          <w:sz w:val="32"/>
          <w:szCs w:val="32"/>
          <w:highlight w:val="none"/>
        </w:rPr>
        <w:t>投标人（电子公章）：</w:t>
      </w:r>
      <w:bookmarkEnd w:id="618"/>
      <w:bookmarkEnd w:id="619"/>
      <w:r>
        <w:rPr>
          <w:rFonts w:hint="eastAsia" w:ascii="仿宋" w:hAnsi="仿宋" w:eastAsia="仿宋" w:cs="仿宋"/>
          <w:color w:val="auto"/>
          <w:sz w:val="32"/>
          <w:szCs w:val="32"/>
          <w:highlight w:val="none"/>
          <w:u w:val="single"/>
          <w:lang w:val="en-US" w:eastAsia="zh-CN"/>
        </w:rPr>
        <w:t xml:space="preserve">                      </w:t>
      </w:r>
    </w:p>
    <w:p w14:paraId="33496F0A">
      <w:pPr>
        <w:shd w:val="clear"/>
        <w:tabs>
          <w:tab w:val="left" w:pos="5190"/>
        </w:tabs>
        <w:spacing w:line="360" w:lineRule="auto"/>
        <w:jc w:val="left"/>
        <w:rPr>
          <w:rFonts w:hint="default" w:ascii="仿宋" w:hAnsi="仿宋" w:eastAsia="仿宋" w:cs="仿宋"/>
          <w:color w:val="auto"/>
          <w:sz w:val="32"/>
          <w:szCs w:val="32"/>
          <w:highlight w:val="none"/>
          <w:u w:val="single"/>
          <w:lang w:val="en-US" w:eastAsia="zh-CN"/>
        </w:rPr>
      </w:pPr>
      <w:bookmarkStart w:id="620" w:name="_Toc4400"/>
      <w:bookmarkStart w:id="621" w:name="_Toc19495"/>
      <w:r>
        <w:rPr>
          <w:rFonts w:hint="eastAsia" w:ascii="仿宋" w:hAnsi="仿宋" w:eastAsia="仿宋" w:cs="仿宋"/>
          <w:color w:val="auto"/>
          <w:sz w:val="32"/>
          <w:szCs w:val="32"/>
          <w:highlight w:val="none"/>
          <w:lang w:eastAsia="zh-CN"/>
        </w:rPr>
        <w:t>法定代表人（或负责人）或委托代理人（电子签章）</w:t>
      </w:r>
      <w:r>
        <w:rPr>
          <w:rFonts w:hint="eastAsia" w:ascii="仿宋" w:hAnsi="仿宋" w:eastAsia="仿宋" w:cs="仿宋"/>
          <w:color w:val="auto"/>
          <w:sz w:val="32"/>
          <w:szCs w:val="32"/>
          <w:highlight w:val="none"/>
        </w:rPr>
        <w:t>：</w:t>
      </w:r>
      <w:bookmarkEnd w:id="620"/>
      <w:bookmarkEnd w:id="621"/>
      <w:r>
        <w:rPr>
          <w:rFonts w:hint="eastAsia" w:ascii="仿宋" w:hAnsi="仿宋" w:eastAsia="仿宋" w:cs="仿宋"/>
          <w:color w:val="auto"/>
          <w:sz w:val="32"/>
          <w:szCs w:val="32"/>
          <w:highlight w:val="none"/>
          <w:u w:val="single"/>
          <w:lang w:val="en-US" w:eastAsia="zh-CN"/>
        </w:rPr>
        <w:t xml:space="preserve">       </w:t>
      </w:r>
    </w:p>
    <w:p w14:paraId="0CF97C2B">
      <w:pPr>
        <w:shd w:val="clear"/>
        <w:spacing w:line="360" w:lineRule="auto"/>
        <w:jc w:val="left"/>
        <w:rPr>
          <w:rFonts w:hint="default" w:ascii="仿宋" w:hAnsi="仿宋" w:eastAsia="仿宋" w:cs="仿宋"/>
          <w:color w:val="auto"/>
          <w:sz w:val="32"/>
          <w:szCs w:val="32"/>
          <w:highlight w:val="none"/>
          <w:u w:val="single"/>
          <w:lang w:val="en-US" w:eastAsia="zh-CN"/>
        </w:rPr>
      </w:pPr>
      <w:bookmarkStart w:id="622" w:name="_Toc16680"/>
      <w:bookmarkStart w:id="623" w:name="_Toc5064"/>
      <w:r>
        <w:rPr>
          <w:rFonts w:hint="eastAsia" w:ascii="仿宋" w:hAnsi="仿宋" w:eastAsia="仿宋" w:cs="仿宋"/>
          <w:color w:val="auto"/>
          <w:sz w:val="32"/>
          <w:szCs w:val="32"/>
          <w:highlight w:val="none"/>
        </w:rPr>
        <w:t>日期：</w:t>
      </w:r>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rPr>
        <w:t>月</w:t>
      </w:r>
      <w:bookmarkEnd w:id="622"/>
      <w:bookmarkEnd w:id="623"/>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u w:val="none"/>
          <w:lang w:val="en-US" w:eastAsia="zh-CN"/>
        </w:rPr>
        <w:t>日</w:t>
      </w:r>
    </w:p>
    <w:p w14:paraId="4CDBC9EA">
      <w:pPr>
        <w:shd w:val="clear"/>
        <w:rPr>
          <w:rFonts w:hint="eastAsia" w:ascii="仿宋" w:hAnsi="仿宋" w:eastAsia="仿宋" w:cs="仿宋"/>
          <w:color w:val="auto"/>
          <w:sz w:val="30"/>
          <w:szCs w:val="30"/>
          <w:highlight w:val="none"/>
        </w:rPr>
      </w:pPr>
      <w:bookmarkStart w:id="624" w:name="_Toc26634"/>
      <w:bookmarkStart w:id="625" w:name="_Toc4422"/>
      <w:bookmarkStart w:id="626" w:name="_Toc13968"/>
      <w:bookmarkStart w:id="627" w:name="_Toc383636412"/>
      <w:bookmarkStart w:id="628" w:name="_Toc406162617"/>
      <w:bookmarkStart w:id="629" w:name="_Toc27365"/>
      <w:bookmarkStart w:id="630" w:name="_Toc391301871"/>
      <w:r>
        <w:rPr>
          <w:rFonts w:hint="eastAsia" w:ascii="仿宋" w:hAnsi="仿宋" w:eastAsia="仿宋" w:cs="仿宋"/>
          <w:color w:val="auto"/>
          <w:sz w:val="30"/>
          <w:szCs w:val="30"/>
          <w:highlight w:val="none"/>
        </w:rPr>
        <w:br w:type="page"/>
      </w:r>
    </w:p>
    <w:p w14:paraId="40D75DC7">
      <w:pPr>
        <w:pStyle w:val="4"/>
        <w:shd w:val="clear"/>
        <w:ind w:firstLine="0" w:firstLineChars="0"/>
        <w:jc w:val="center"/>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 </w:t>
      </w:r>
      <w:bookmarkStart w:id="631" w:name="_Toc19050"/>
      <w:r>
        <w:rPr>
          <w:rFonts w:hint="eastAsia" w:ascii="仿宋" w:hAnsi="仿宋" w:eastAsia="仿宋" w:cs="仿宋"/>
          <w:color w:val="auto"/>
          <w:sz w:val="30"/>
          <w:szCs w:val="30"/>
          <w:highlight w:val="none"/>
          <w:lang w:val="en-US" w:eastAsia="zh-CN"/>
        </w:rPr>
        <w:t>一</w:t>
      </w:r>
      <w:r>
        <w:rPr>
          <w:rFonts w:hint="eastAsia" w:ascii="仿宋" w:hAnsi="仿宋" w:eastAsia="仿宋" w:cs="仿宋"/>
          <w:color w:val="auto"/>
          <w:sz w:val="30"/>
          <w:szCs w:val="30"/>
          <w:highlight w:val="none"/>
        </w:rPr>
        <w:t>、开标一览表</w:t>
      </w:r>
      <w:bookmarkEnd w:id="624"/>
      <w:bookmarkEnd w:id="625"/>
      <w:bookmarkEnd w:id="626"/>
      <w:bookmarkEnd w:id="627"/>
      <w:bookmarkEnd w:id="628"/>
      <w:bookmarkEnd w:id="629"/>
      <w:bookmarkEnd w:id="630"/>
      <w:bookmarkEnd w:id="631"/>
    </w:p>
    <w:p w14:paraId="2684F18A">
      <w:pPr>
        <w:shd w:val="clear"/>
        <w:spacing w:line="360" w:lineRule="auto"/>
        <w:rPr>
          <w:rFonts w:hint="eastAsia" w:ascii="仿宋" w:hAnsi="仿宋" w:eastAsia="仿宋" w:cs="仿宋"/>
          <w:color w:val="auto"/>
          <w:sz w:val="24"/>
          <w:szCs w:val="24"/>
          <w:highlight w:val="none"/>
          <w:lang w:eastAsia="zh-CN"/>
        </w:rPr>
      </w:pPr>
      <w:bookmarkStart w:id="632" w:name="_Toc469987739"/>
      <w:bookmarkStart w:id="633" w:name="_Toc469987153"/>
      <w:bookmarkStart w:id="634" w:name="_Toc406162643"/>
      <w:bookmarkStart w:id="635" w:name="_Toc38173201"/>
      <w:bookmarkStart w:id="636" w:name="_Toc364392656"/>
      <w:bookmarkStart w:id="637" w:name="_Toc231871465"/>
      <w:bookmarkStart w:id="638" w:name="_Toc327881157"/>
      <w:bookmarkStart w:id="639" w:name="_Toc383636441"/>
      <w:bookmarkStart w:id="640" w:name="_Toc482189277"/>
      <w:bookmarkStart w:id="641" w:name="_Toc391301900"/>
      <w:bookmarkStart w:id="642" w:name="_Toc364392659"/>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玉龙县公安局移动警务服务采购项目（二次）</w:t>
      </w:r>
    </w:p>
    <w:p w14:paraId="10E007C8">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0"/>
          <w:sz w:val="24"/>
          <w:szCs w:val="24"/>
          <w:highlight w:val="none"/>
        </w:rPr>
        <w:t>项目</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lang w:eastAsia="zh-CN"/>
        </w:rPr>
        <w:t>HB-FW2024062</w:t>
      </w:r>
    </w:p>
    <w:tbl>
      <w:tblPr>
        <w:tblStyle w:val="22"/>
        <w:tblW w:w="9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812"/>
        <w:gridCol w:w="6515"/>
      </w:tblGrid>
      <w:tr w14:paraId="10554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5" w:hRule="atLeast"/>
          <w:jc w:val="center"/>
        </w:trPr>
        <w:tc>
          <w:tcPr>
            <w:tcW w:w="2812" w:type="dxa"/>
            <w:noWrap w:val="0"/>
            <w:vAlign w:val="center"/>
          </w:tcPr>
          <w:p w14:paraId="1C9A3D6F">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投标单位名称</w:t>
            </w:r>
          </w:p>
        </w:tc>
        <w:tc>
          <w:tcPr>
            <w:tcW w:w="6515" w:type="dxa"/>
            <w:noWrap w:val="0"/>
            <w:vAlign w:val="center"/>
          </w:tcPr>
          <w:p w14:paraId="74953DE1">
            <w:pPr>
              <w:shd w:val="clear"/>
              <w:spacing w:line="360" w:lineRule="auto"/>
              <w:rPr>
                <w:rFonts w:hint="eastAsia" w:ascii="仿宋" w:hAnsi="仿宋" w:eastAsia="仿宋" w:cs="仿宋"/>
                <w:color w:val="auto"/>
                <w:sz w:val="24"/>
                <w:szCs w:val="24"/>
                <w:highlight w:val="none"/>
                <w:lang w:val="zh-CN" w:eastAsia="zh-CN"/>
              </w:rPr>
            </w:pPr>
          </w:p>
        </w:tc>
      </w:tr>
      <w:tr w14:paraId="74F7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00" w:hRule="atLeast"/>
          <w:jc w:val="center"/>
        </w:trPr>
        <w:tc>
          <w:tcPr>
            <w:tcW w:w="2812" w:type="dxa"/>
            <w:noWrap w:val="0"/>
            <w:vAlign w:val="center"/>
          </w:tcPr>
          <w:p w14:paraId="0D610BF0">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投标</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lang w:val="zh-CN" w:eastAsia="zh-CN"/>
              </w:rPr>
              <w:t>报价</w:t>
            </w:r>
          </w:p>
        </w:tc>
        <w:tc>
          <w:tcPr>
            <w:tcW w:w="6515" w:type="dxa"/>
            <w:noWrap w:val="0"/>
            <w:vAlign w:val="center"/>
          </w:tcPr>
          <w:p w14:paraId="6ADBFF75">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大写：</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eastAsia="zh-CN"/>
              </w:rPr>
              <w:t>小写：</w:t>
            </w:r>
          </w:p>
        </w:tc>
      </w:tr>
      <w:tr w14:paraId="5F0F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9" w:hRule="atLeast"/>
          <w:jc w:val="center"/>
        </w:trPr>
        <w:tc>
          <w:tcPr>
            <w:tcW w:w="2812" w:type="dxa"/>
            <w:noWrap w:val="0"/>
            <w:vAlign w:val="center"/>
          </w:tcPr>
          <w:p w14:paraId="381682EF">
            <w:pPr>
              <w:shd w:val="clea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分项</w:t>
            </w:r>
            <w:r>
              <w:rPr>
                <w:rFonts w:hint="eastAsia" w:ascii="仿宋" w:hAnsi="仿宋" w:eastAsia="仿宋" w:cs="仿宋"/>
                <w:color w:val="auto"/>
                <w:sz w:val="24"/>
                <w:szCs w:val="24"/>
                <w:highlight w:val="none"/>
                <w:lang w:val="en-US" w:eastAsia="zh-CN"/>
              </w:rPr>
              <w:t>价格</w:t>
            </w:r>
          </w:p>
        </w:tc>
        <w:tc>
          <w:tcPr>
            <w:tcW w:w="6515" w:type="dxa"/>
            <w:noWrap w:val="0"/>
            <w:vAlign w:val="center"/>
          </w:tcPr>
          <w:p w14:paraId="733B2651">
            <w:pPr>
              <w:shd w:val="clea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元/月/套</w:t>
            </w:r>
          </w:p>
        </w:tc>
      </w:tr>
      <w:tr w14:paraId="5CC4D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9" w:hRule="atLeast"/>
          <w:jc w:val="center"/>
        </w:trPr>
        <w:tc>
          <w:tcPr>
            <w:tcW w:w="2812" w:type="dxa"/>
            <w:noWrap w:val="0"/>
            <w:vAlign w:val="center"/>
          </w:tcPr>
          <w:p w14:paraId="4A54AB61">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质保期</w:t>
            </w:r>
          </w:p>
        </w:tc>
        <w:tc>
          <w:tcPr>
            <w:tcW w:w="6515" w:type="dxa"/>
            <w:noWrap w:val="0"/>
            <w:vAlign w:val="center"/>
          </w:tcPr>
          <w:p w14:paraId="769A41A1">
            <w:pPr>
              <w:shd w:val="clea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验收合格后</w:t>
            </w:r>
            <w:r>
              <w:rPr>
                <w:rFonts w:hint="eastAsia" w:ascii="仿宋" w:hAnsi="仿宋" w:eastAsia="仿宋" w:cs="仿宋"/>
                <w:color w:val="auto"/>
                <w:sz w:val="24"/>
                <w:szCs w:val="24"/>
                <w:highlight w:val="none"/>
                <w:lang w:val="en-US" w:eastAsia="zh-CN"/>
              </w:rPr>
              <w:t>2年</w:t>
            </w:r>
          </w:p>
        </w:tc>
      </w:tr>
      <w:tr w14:paraId="042B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9" w:hRule="atLeast"/>
          <w:jc w:val="center"/>
        </w:trPr>
        <w:tc>
          <w:tcPr>
            <w:tcW w:w="2812" w:type="dxa"/>
            <w:noWrap w:val="0"/>
            <w:vAlign w:val="center"/>
          </w:tcPr>
          <w:p w14:paraId="004C2123">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服务承诺</w:t>
            </w:r>
          </w:p>
        </w:tc>
        <w:tc>
          <w:tcPr>
            <w:tcW w:w="6515" w:type="dxa"/>
            <w:noWrap w:val="0"/>
            <w:vAlign w:val="center"/>
          </w:tcPr>
          <w:p w14:paraId="76824739">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eastAsia="zh-CN"/>
              </w:rPr>
              <w:t>一次性验收合格，符合国家及行业标准。</w:t>
            </w:r>
          </w:p>
        </w:tc>
      </w:tr>
      <w:tr w14:paraId="7A9A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9" w:hRule="atLeast"/>
          <w:jc w:val="center"/>
        </w:trPr>
        <w:tc>
          <w:tcPr>
            <w:tcW w:w="2812" w:type="dxa"/>
            <w:noWrap w:val="0"/>
            <w:vAlign w:val="center"/>
          </w:tcPr>
          <w:p w14:paraId="562410B7">
            <w:pPr>
              <w:shd w:val="clea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合同履行期限</w:t>
            </w:r>
          </w:p>
        </w:tc>
        <w:tc>
          <w:tcPr>
            <w:tcW w:w="6515" w:type="dxa"/>
            <w:noWrap w:val="0"/>
            <w:vAlign w:val="center"/>
          </w:tcPr>
          <w:p w14:paraId="3D50703C">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两年。</w:t>
            </w:r>
          </w:p>
        </w:tc>
      </w:tr>
      <w:tr w14:paraId="33B0A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9" w:hRule="atLeast"/>
          <w:jc w:val="center"/>
        </w:trPr>
        <w:tc>
          <w:tcPr>
            <w:tcW w:w="2812" w:type="dxa"/>
            <w:noWrap w:val="0"/>
            <w:vAlign w:val="center"/>
          </w:tcPr>
          <w:p w14:paraId="4020A4EF">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其</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eastAsia="zh-CN"/>
              </w:rPr>
              <w:t>他</w:t>
            </w:r>
          </w:p>
        </w:tc>
        <w:tc>
          <w:tcPr>
            <w:tcW w:w="6515" w:type="dxa"/>
            <w:noWrap w:val="0"/>
            <w:vAlign w:val="center"/>
          </w:tcPr>
          <w:p w14:paraId="25DF9A9A">
            <w:pPr>
              <w:shd w:val="clear"/>
              <w:spacing w:line="360" w:lineRule="auto"/>
              <w:rPr>
                <w:rFonts w:hint="eastAsia" w:ascii="仿宋" w:hAnsi="仿宋" w:eastAsia="仿宋" w:cs="仿宋"/>
                <w:color w:val="auto"/>
                <w:sz w:val="24"/>
                <w:szCs w:val="24"/>
                <w:highlight w:val="none"/>
                <w:lang w:val="zh-CN" w:eastAsia="zh-CN"/>
              </w:rPr>
            </w:pPr>
          </w:p>
        </w:tc>
      </w:tr>
    </w:tbl>
    <w:p w14:paraId="3A3B70ED">
      <w:pPr>
        <w:keepNext w:val="0"/>
        <w:keepLines w:val="0"/>
        <w:pageBreakBefore w:val="0"/>
        <w:widowControl w:val="0"/>
        <w:shd w:val="clear"/>
        <w:kinsoku/>
        <w:wordWrap/>
        <w:overflowPunct/>
        <w:topLinePunct w:val="0"/>
        <w:autoSpaceDE/>
        <w:autoSpaceDN/>
        <w:bidi w:val="0"/>
        <w:adjustRightInd/>
        <w:snapToGrid/>
        <w:spacing w:line="560" w:lineRule="exact"/>
        <w:ind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特别注意：&lt;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&gt;投标人可根据自身投标情况，按规定表格填报、不得漏报</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zh-CN"/>
        </w:rPr>
        <w:t>不得改变表格形式。</w:t>
      </w:r>
    </w:p>
    <w:p w14:paraId="3E9F4209">
      <w:pPr>
        <w:keepNext w:val="0"/>
        <w:keepLines w:val="0"/>
        <w:pageBreakBefore w:val="0"/>
        <w:widowControl w:val="0"/>
        <w:shd w:val="clear"/>
        <w:kinsoku/>
        <w:wordWrap/>
        <w:overflowPunct/>
        <w:topLinePunct w:val="0"/>
        <w:autoSpaceDE/>
        <w:autoSpaceDN/>
        <w:bidi w:val="0"/>
        <w:adjustRightInd/>
        <w:snapToGrid/>
        <w:spacing w:line="560" w:lineRule="exact"/>
        <w:ind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&lt;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&gt;</w:t>
      </w:r>
      <w:r>
        <w:rPr>
          <w:rFonts w:hint="eastAsia" w:ascii="仿宋" w:hAnsi="仿宋" w:eastAsia="仿宋" w:cs="仿宋"/>
          <w:b/>
          <w:bCs/>
          <w:color w:val="auto"/>
          <w:sz w:val="21"/>
          <w:szCs w:val="21"/>
          <w:highlight w:val="none"/>
          <w:lang w:val="zh-CN"/>
        </w:rPr>
        <w:t>“投标报价”为项目总价。</w:t>
      </w:r>
      <w:r>
        <w:rPr>
          <w:rFonts w:hint="eastAsia" w:ascii="仿宋" w:hAnsi="仿宋" w:eastAsia="仿宋" w:cs="仿宋"/>
          <w:b/>
          <w:bCs/>
          <w:color w:val="auto"/>
          <w:sz w:val="21"/>
          <w:szCs w:val="21"/>
          <w:highlight w:val="none"/>
        </w:rPr>
        <w:t>该报价应包含提供服务</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rPr>
        <w:t>产品的价格、检</w:t>
      </w:r>
      <w:r>
        <w:rPr>
          <w:rFonts w:hint="eastAsia" w:ascii="仿宋" w:hAnsi="仿宋" w:eastAsia="仿宋" w:cs="仿宋"/>
          <w:b/>
          <w:bCs/>
          <w:color w:val="auto"/>
          <w:sz w:val="21"/>
          <w:szCs w:val="21"/>
          <w:highlight w:val="none"/>
          <w:lang w:val="en-US" w:eastAsia="zh-CN"/>
        </w:rPr>
        <w:t>测</w:t>
      </w:r>
      <w:r>
        <w:rPr>
          <w:rFonts w:hint="eastAsia" w:ascii="仿宋" w:hAnsi="仿宋" w:eastAsia="仿宋" w:cs="仿宋"/>
          <w:b/>
          <w:bCs/>
          <w:color w:val="auto"/>
          <w:sz w:val="21"/>
          <w:szCs w:val="21"/>
          <w:highlight w:val="none"/>
        </w:rPr>
        <w:t>费、运输、包装、装卸费、保险费、备品备件、</w:t>
      </w:r>
      <w:r>
        <w:rPr>
          <w:rFonts w:hint="eastAsia" w:ascii="仿宋" w:hAnsi="仿宋" w:eastAsia="仿宋" w:cs="仿宋"/>
          <w:b/>
          <w:bCs/>
          <w:color w:val="auto"/>
          <w:sz w:val="21"/>
          <w:szCs w:val="21"/>
          <w:highlight w:val="none"/>
          <w:lang w:val="en-US" w:eastAsia="zh-CN"/>
        </w:rPr>
        <w:t>售后服务</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eastAsia="zh-CN"/>
        </w:rPr>
        <w:t>培训费、</w:t>
      </w:r>
      <w:r>
        <w:rPr>
          <w:rFonts w:hint="eastAsia" w:ascii="仿宋" w:hAnsi="仿宋" w:eastAsia="仿宋" w:cs="仿宋"/>
          <w:b/>
          <w:bCs/>
          <w:color w:val="auto"/>
          <w:sz w:val="21"/>
          <w:szCs w:val="21"/>
          <w:highlight w:val="none"/>
        </w:rPr>
        <w:t>税费、利润及</w:t>
      </w:r>
      <w:r>
        <w:rPr>
          <w:rFonts w:hint="eastAsia" w:ascii="仿宋" w:hAnsi="仿宋" w:eastAsia="仿宋" w:cs="仿宋"/>
          <w:b/>
          <w:bCs/>
          <w:color w:val="auto"/>
          <w:sz w:val="21"/>
          <w:szCs w:val="21"/>
          <w:highlight w:val="none"/>
          <w:lang w:val="en-US" w:eastAsia="zh-CN"/>
        </w:rPr>
        <w:t>与之</w:t>
      </w:r>
      <w:r>
        <w:rPr>
          <w:rFonts w:hint="eastAsia" w:ascii="仿宋" w:hAnsi="仿宋" w:eastAsia="仿宋" w:cs="仿宋"/>
          <w:b/>
          <w:bCs/>
          <w:color w:val="auto"/>
          <w:sz w:val="21"/>
          <w:szCs w:val="21"/>
          <w:highlight w:val="none"/>
        </w:rPr>
        <w:t>相关</w:t>
      </w:r>
      <w:r>
        <w:rPr>
          <w:rFonts w:hint="eastAsia" w:ascii="仿宋" w:hAnsi="仿宋" w:eastAsia="仿宋" w:cs="仿宋"/>
          <w:b/>
          <w:bCs/>
          <w:color w:val="auto"/>
          <w:sz w:val="21"/>
          <w:szCs w:val="21"/>
          <w:highlight w:val="none"/>
          <w:lang w:val="en-US" w:eastAsia="zh-CN"/>
        </w:rPr>
        <w:t>的所有费用</w:t>
      </w:r>
      <w:r>
        <w:rPr>
          <w:rFonts w:hint="eastAsia" w:ascii="仿宋" w:hAnsi="仿宋" w:eastAsia="仿宋" w:cs="仿宋"/>
          <w:b/>
          <w:bCs/>
          <w:color w:val="auto"/>
          <w:sz w:val="21"/>
          <w:szCs w:val="21"/>
          <w:highlight w:val="none"/>
        </w:rPr>
        <w:t>。</w:t>
      </w:r>
    </w:p>
    <w:p w14:paraId="1F6BED15">
      <w:pPr>
        <w:keepNext w:val="0"/>
        <w:keepLines w:val="0"/>
        <w:pageBreakBefore w:val="0"/>
        <w:widowControl w:val="0"/>
        <w:shd w:val="clear"/>
        <w:kinsoku/>
        <w:wordWrap/>
        <w:overflowPunct/>
        <w:topLinePunct w:val="0"/>
        <w:autoSpaceDE/>
        <w:autoSpaceDN/>
        <w:bidi w:val="0"/>
        <w:adjustRightInd/>
        <w:snapToGrid/>
        <w:spacing w:line="560" w:lineRule="exact"/>
        <w:ind w:firstLine="211" w:firstLineChars="1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&lt;</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&gt;投标（唱标）一览表内容应与投标文件内容相一致，当两者不相符时，以《投标（唱标）一览表》为准，且不得出现选择性内容。</w:t>
      </w:r>
    </w:p>
    <w:p w14:paraId="58ABF85D">
      <w:pPr>
        <w:keepNext w:val="0"/>
        <w:keepLines w:val="0"/>
        <w:pageBreakBefore w:val="0"/>
        <w:widowControl w:val="0"/>
        <w:shd w:val="clear"/>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仿宋"/>
          <w:b/>
          <w:color w:val="auto"/>
          <w:kern w:val="2"/>
          <w:sz w:val="30"/>
          <w:szCs w:val="30"/>
          <w:highlight w:val="none"/>
          <w:lang w:val="en-US" w:eastAsia="zh-CN" w:bidi="ar-SA"/>
        </w:rPr>
      </w:pPr>
    </w:p>
    <w:p w14:paraId="04780107">
      <w:pPr>
        <w:rPr>
          <w:rFonts w:hint="eastAsia" w:ascii="仿宋" w:hAnsi="仿宋" w:eastAsia="仿宋" w:cs="仿宋"/>
          <w:color w:val="auto"/>
          <w:highlight w:val="none"/>
        </w:rPr>
      </w:pPr>
      <w:r>
        <w:rPr>
          <w:rFonts w:hint="eastAsia" w:ascii="仿宋" w:hAnsi="仿宋" w:eastAsia="仿宋" w:cs="仿宋"/>
          <w:b/>
          <w:color w:val="auto"/>
          <w:kern w:val="2"/>
          <w:sz w:val="30"/>
          <w:szCs w:val="30"/>
          <w:highlight w:val="none"/>
          <w:lang w:val="en-US" w:eastAsia="zh-CN" w:bidi="ar-SA"/>
        </w:rPr>
        <w:br w:type="page"/>
      </w:r>
    </w:p>
    <w:p w14:paraId="731B4DD2">
      <w:pPr>
        <w:pStyle w:val="4"/>
        <w:shd w:val="clear"/>
        <w:ind w:firstLine="0" w:firstLineChars="0"/>
        <w:jc w:val="center"/>
        <w:outlineLvl w:val="1"/>
        <w:rPr>
          <w:rFonts w:hint="eastAsia" w:ascii="仿宋" w:hAnsi="仿宋" w:eastAsia="仿宋" w:cs="仿宋"/>
          <w:color w:val="auto"/>
          <w:sz w:val="30"/>
          <w:szCs w:val="30"/>
          <w:highlight w:val="none"/>
        </w:rPr>
      </w:pPr>
      <w:bookmarkStart w:id="643" w:name="_Toc406162618"/>
      <w:bookmarkStart w:id="644" w:name="_Toc527634722"/>
      <w:bookmarkStart w:id="645" w:name="_Toc10707"/>
      <w:bookmarkStart w:id="646" w:name="_Toc383636413"/>
      <w:bookmarkStart w:id="647" w:name="_Toc391301872"/>
      <w:bookmarkStart w:id="648" w:name="_Toc9661"/>
      <w:r>
        <w:rPr>
          <w:rFonts w:hint="eastAsia" w:ascii="仿宋" w:hAnsi="仿宋" w:eastAsia="仿宋" w:cs="仿宋"/>
          <w:color w:val="auto"/>
          <w:sz w:val="30"/>
          <w:szCs w:val="30"/>
          <w:highlight w:val="none"/>
          <w:lang w:val="en-US" w:eastAsia="zh-CN"/>
        </w:rPr>
        <w:t>二</w:t>
      </w:r>
      <w:r>
        <w:rPr>
          <w:rFonts w:hint="eastAsia" w:ascii="仿宋" w:hAnsi="仿宋" w:eastAsia="仿宋" w:cs="仿宋"/>
          <w:color w:val="auto"/>
          <w:sz w:val="30"/>
          <w:szCs w:val="30"/>
          <w:highlight w:val="none"/>
        </w:rPr>
        <w:t>、资格审查文件部分</w:t>
      </w:r>
      <w:bookmarkEnd w:id="643"/>
      <w:bookmarkEnd w:id="644"/>
      <w:bookmarkEnd w:id="645"/>
      <w:bookmarkEnd w:id="646"/>
      <w:bookmarkEnd w:id="647"/>
      <w:bookmarkEnd w:id="648"/>
    </w:p>
    <w:p w14:paraId="387C31C7">
      <w:pPr>
        <w:pStyle w:val="9"/>
        <w:shd w:val="clear"/>
        <w:rPr>
          <w:rFonts w:hint="eastAsia" w:ascii="仿宋" w:hAnsi="仿宋" w:eastAsia="仿宋" w:cs="仿宋"/>
          <w:color w:val="auto"/>
          <w:highlight w:val="none"/>
        </w:rPr>
      </w:pPr>
    </w:p>
    <w:p w14:paraId="57BC8A04">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w:t>
      </w:r>
      <w:r>
        <w:rPr>
          <w:rFonts w:hint="eastAsia" w:ascii="仿宋" w:hAnsi="仿宋" w:eastAsia="仿宋" w:cs="仿宋"/>
          <w:b/>
          <w:color w:val="auto"/>
          <w:kern w:val="0"/>
          <w:sz w:val="24"/>
          <w:szCs w:val="24"/>
          <w:highlight w:val="none"/>
        </w:rPr>
        <w:t>、具有独立承担民事责任的能力</w:t>
      </w:r>
    </w:p>
    <w:p w14:paraId="177FE5F7">
      <w:pPr>
        <w:pageBreakBefore w:val="0"/>
        <w:widowControl w:val="0"/>
        <w:shd w:val="clear"/>
        <w:kinsoku/>
        <w:wordWrap/>
        <w:overflowPunct/>
        <w:topLinePunct w:val="0"/>
        <w:autoSpaceDE/>
        <w:autoSpaceDN/>
        <w:bidi w:val="0"/>
        <w:adjustRightInd/>
        <w:snapToGrid/>
        <w:spacing w:after="157" w:afterLines="50" w:line="360" w:lineRule="auto"/>
        <w:ind w:firstLine="480" w:firstLineChars="200"/>
        <w:contextualSpacing/>
        <w:textAlignment w:val="auto"/>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（具有独立承担民事责任能力的法人企业</w:t>
      </w:r>
      <w:r>
        <w:rPr>
          <w:rFonts w:hint="eastAsia" w:ascii="仿宋" w:hAnsi="仿宋" w:eastAsia="仿宋" w:cs="仿宋"/>
          <w:bCs/>
          <w:color w:val="auto"/>
          <w:sz w:val="24"/>
          <w:highlight w:val="none"/>
          <w:lang w:val="en-US" w:eastAsia="zh-CN"/>
        </w:rPr>
        <w:t>或其分支机构（</w:t>
      </w:r>
      <w:r>
        <w:rPr>
          <w:rFonts w:hint="eastAsia" w:ascii="仿宋" w:hAnsi="仿宋" w:eastAsia="仿宋" w:cs="仿宋"/>
          <w:bCs/>
          <w:color w:val="auto"/>
          <w:sz w:val="24"/>
          <w:highlight w:val="none"/>
          <w:lang w:eastAsia="zh-CN"/>
        </w:rPr>
        <w:t>若分支机构参与投标的，必须提供逐级授权委托书</w:t>
      </w:r>
      <w:r>
        <w:rPr>
          <w:rFonts w:hint="eastAsia" w:ascii="仿宋" w:hAnsi="仿宋" w:eastAsia="仿宋" w:cs="仿宋"/>
          <w:bCs/>
          <w:color w:val="auto"/>
          <w:sz w:val="24"/>
          <w:highlight w:val="none"/>
          <w:lang w:val="en-US" w:eastAsia="zh-CN"/>
        </w:rPr>
        <w:t>）</w:t>
      </w:r>
      <w:r>
        <w:rPr>
          <w:rFonts w:hint="eastAsia" w:ascii="仿宋" w:hAnsi="仿宋" w:eastAsia="仿宋" w:cs="仿宋"/>
          <w:bCs/>
          <w:color w:val="auto"/>
          <w:sz w:val="24"/>
          <w:highlight w:val="none"/>
          <w:lang w:eastAsia="zh-CN"/>
        </w:rPr>
        <w:t>、其它组织或自然人，提供营业执照、登记证书或自然人身份证明；能独立完成招标文件中所规定内容；）</w:t>
      </w:r>
    </w:p>
    <w:p w14:paraId="1E18A0F6">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rPr>
      </w:pPr>
    </w:p>
    <w:p w14:paraId="518289A2">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格式2</w:t>
      </w:r>
      <w:r>
        <w:rPr>
          <w:rFonts w:hint="eastAsia" w:ascii="仿宋" w:hAnsi="仿宋" w:eastAsia="仿宋" w:cs="仿宋"/>
          <w:b/>
          <w:color w:val="auto"/>
          <w:kern w:val="0"/>
          <w:sz w:val="24"/>
          <w:szCs w:val="24"/>
          <w:highlight w:val="none"/>
          <w:lang w:eastAsia="zh-CN"/>
        </w:rPr>
        <w:t>、</w:t>
      </w:r>
      <w:r>
        <w:rPr>
          <w:rFonts w:hint="eastAsia" w:ascii="仿宋" w:hAnsi="仿宋" w:eastAsia="仿宋" w:cs="仿宋"/>
          <w:b/>
          <w:color w:val="auto"/>
          <w:kern w:val="0"/>
          <w:sz w:val="24"/>
          <w:szCs w:val="24"/>
          <w:highlight w:val="none"/>
        </w:rPr>
        <w:t>有良好的商业信誉和健全的财务会计制度</w:t>
      </w:r>
    </w:p>
    <w:p w14:paraId="2DDC3DC9">
      <w:pPr>
        <w:pageBreakBefore w:val="0"/>
        <w:widowControl w:val="0"/>
        <w:shd w:val="clear"/>
        <w:kinsoku/>
        <w:wordWrap/>
        <w:overflowPunct/>
        <w:topLinePunct w:val="0"/>
        <w:autoSpaceDE/>
        <w:autoSpaceDN/>
        <w:bidi w:val="0"/>
        <w:adjustRightInd/>
        <w:snapToGrid/>
        <w:spacing w:after="157" w:afterLines="50" w:line="360" w:lineRule="auto"/>
        <w:ind w:firstLine="480" w:firstLineChars="200"/>
        <w:contextualSpacing/>
        <w:textAlignment w:val="auto"/>
        <w:rPr>
          <w:rFonts w:hint="eastAsia" w:ascii="仿宋" w:hAnsi="仿宋" w:eastAsia="仿宋" w:cs="仿宋"/>
          <w:color w:val="auto"/>
          <w:sz w:val="24"/>
          <w:szCs w:val="22"/>
          <w:highlight w:val="none"/>
          <w:lang w:eastAsia="zh-CN"/>
        </w:rPr>
      </w:pPr>
      <w:r>
        <w:rPr>
          <w:rFonts w:hint="eastAsia" w:ascii="仿宋" w:hAnsi="仿宋" w:eastAsia="仿宋" w:cs="仿宋"/>
          <w:bCs/>
          <w:color w:val="auto"/>
          <w:sz w:val="24"/>
          <w:highlight w:val="none"/>
          <w:lang w:eastAsia="zh-CN"/>
        </w:rPr>
        <w:t>（提供202</w:t>
      </w:r>
      <w:r>
        <w:rPr>
          <w:rFonts w:hint="eastAsia" w:ascii="仿宋" w:hAnsi="仿宋" w:eastAsia="仿宋" w:cs="仿宋"/>
          <w:bCs/>
          <w:color w:val="auto"/>
          <w:sz w:val="24"/>
          <w:highlight w:val="none"/>
          <w:lang w:val="en-US" w:eastAsia="zh-CN"/>
        </w:rPr>
        <w:t>1</w:t>
      </w:r>
      <w:r>
        <w:rPr>
          <w:rFonts w:hint="eastAsia" w:ascii="仿宋" w:hAnsi="仿宋" w:eastAsia="仿宋" w:cs="仿宋"/>
          <w:bCs/>
          <w:color w:val="auto"/>
          <w:sz w:val="24"/>
          <w:highlight w:val="none"/>
          <w:lang w:eastAsia="zh-CN"/>
        </w:rPr>
        <w:t>年度至本项目投标文件提交截止时间前任意一年经会计师事务所或审计机构审计的审计报告及财务报表（包括资产负债表、利润表、现金流量表及财务情况说明书（附注））或公司内部完整的财务报表（包括资产负债表、利润表、现金流量表）或开标日期前3个月内由银行开具的资信证明文件（或资金证明文件），成立不满1年的投标人提供自成立以来公司内部完整的财务报表（包括资产负债表、利润表、现金流量表）或开标日期前3个月内由银行开具的资信证明文件（或资金证明文件））。</w:t>
      </w:r>
    </w:p>
    <w:p w14:paraId="7ADB3B4A">
      <w:pPr>
        <w:pageBreakBefore w:val="0"/>
        <w:widowControl w:val="0"/>
        <w:shd w:val="clear"/>
        <w:kinsoku/>
        <w:wordWrap/>
        <w:overflowPunct/>
        <w:topLinePunct w:val="0"/>
        <w:autoSpaceDE/>
        <w:autoSpaceDN/>
        <w:bidi w:val="0"/>
        <w:adjustRightInd/>
        <w:snapToGrid/>
        <w:spacing w:after="157" w:afterLines="50" w:line="360" w:lineRule="auto"/>
        <w:ind w:firstLine="480" w:firstLineChars="200"/>
        <w:contextualSpacing/>
        <w:textAlignment w:val="auto"/>
        <w:rPr>
          <w:rFonts w:hint="eastAsia" w:ascii="仿宋" w:hAnsi="仿宋" w:eastAsia="仿宋" w:cs="仿宋"/>
          <w:color w:val="auto"/>
          <w:sz w:val="24"/>
          <w:szCs w:val="22"/>
          <w:highlight w:val="none"/>
        </w:rPr>
      </w:pPr>
    </w:p>
    <w:p w14:paraId="0264C8FB">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格式3</w:t>
      </w:r>
      <w:r>
        <w:rPr>
          <w:rFonts w:hint="eastAsia" w:ascii="仿宋" w:hAnsi="仿宋" w:eastAsia="仿宋" w:cs="仿宋"/>
          <w:b/>
          <w:color w:val="auto"/>
          <w:kern w:val="0"/>
          <w:sz w:val="24"/>
          <w:szCs w:val="24"/>
          <w:highlight w:val="none"/>
          <w:lang w:eastAsia="zh-CN"/>
        </w:rPr>
        <w:t>、</w:t>
      </w:r>
      <w:r>
        <w:rPr>
          <w:rFonts w:hint="eastAsia" w:ascii="仿宋" w:hAnsi="仿宋" w:eastAsia="仿宋" w:cs="仿宋"/>
          <w:b/>
          <w:color w:val="auto"/>
          <w:kern w:val="0"/>
          <w:sz w:val="24"/>
          <w:szCs w:val="24"/>
          <w:highlight w:val="none"/>
        </w:rPr>
        <w:t>具有履行合同所必需的设备和专业技术能力</w:t>
      </w:r>
    </w:p>
    <w:p w14:paraId="2BA8CCE4">
      <w:pPr>
        <w:pageBreakBefore w:val="0"/>
        <w:widowControl w:val="0"/>
        <w:shd w:val="clear"/>
        <w:kinsoku/>
        <w:wordWrap/>
        <w:overflowPunct/>
        <w:topLinePunct w:val="0"/>
        <w:autoSpaceDE/>
        <w:autoSpaceDN/>
        <w:bidi w:val="0"/>
        <w:adjustRightInd/>
        <w:snapToGrid/>
        <w:spacing w:after="157" w:afterLines="50" w:line="360" w:lineRule="auto"/>
        <w:ind w:firstLine="480" w:firstLineChars="200"/>
        <w:contextualSpacing/>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（投标人自行承诺）</w:t>
      </w:r>
    </w:p>
    <w:p w14:paraId="382A4454">
      <w:pPr>
        <w:pageBreakBefore w:val="0"/>
        <w:widowControl w:val="0"/>
        <w:shd w:val="clear"/>
        <w:kinsoku/>
        <w:wordWrap/>
        <w:overflowPunct/>
        <w:topLinePunct w:val="0"/>
        <w:autoSpaceDE/>
        <w:autoSpaceDN/>
        <w:bidi w:val="0"/>
        <w:adjustRightInd/>
        <w:snapToGrid/>
        <w:spacing w:after="157" w:afterLines="50" w:line="360" w:lineRule="auto"/>
        <w:ind w:firstLine="480" w:firstLineChars="200"/>
        <w:contextualSpacing/>
        <w:textAlignment w:val="auto"/>
        <w:rPr>
          <w:rFonts w:hint="eastAsia" w:ascii="仿宋" w:hAnsi="仿宋" w:eastAsia="仿宋" w:cs="仿宋"/>
          <w:color w:val="auto"/>
          <w:sz w:val="24"/>
          <w:szCs w:val="22"/>
          <w:highlight w:val="none"/>
        </w:rPr>
      </w:pPr>
    </w:p>
    <w:p w14:paraId="1ECE61FB">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格式4</w:t>
      </w:r>
      <w:r>
        <w:rPr>
          <w:rFonts w:hint="eastAsia" w:ascii="仿宋" w:hAnsi="仿宋" w:eastAsia="仿宋" w:cs="仿宋"/>
          <w:b/>
          <w:color w:val="auto"/>
          <w:kern w:val="0"/>
          <w:sz w:val="24"/>
          <w:szCs w:val="24"/>
          <w:highlight w:val="none"/>
          <w:lang w:eastAsia="zh-CN"/>
        </w:rPr>
        <w:t>、</w:t>
      </w:r>
      <w:r>
        <w:rPr>
          <w:rFonts w:hint="eastAsia" w:ascii="仿宋" w:hAnsi="仿宋" w:eastAsia="仿宋" w:cs="仿宋"/>
          <w:b/>
          <w:color w:val="auto"/>
          <w:kern w:val="0"/>
          <w:sz w:val="24"/>
          <w:szCs w:val="24"/>
          <w:highlight w:val="none"/>
        </w:rPr>
        <w:t>有依法缴纳税收和社会保障资金的良好记录</w:t>
      </w:r>
    </w:p>
    <w:p w14:paraId="012938F7">
      <w:pPr>
        <w:pageBreakBefore w:val="0"/>
        <w:widowControl w:val="0"/>
        <w:shd w:val="clear"/>
        <w:kinsoku/>
        <w:wordWrap/>
        <w:overflowPunct/>
        <w:topLinePunct w:val="0"/>
        <w:autoSpaceDE/>
        <w:autoSpaceDN/>
        <w:bidi w:val="0"/>
        <w:adjustRightInd/>
        <w:snapToGrid/>
        <w:spacing w:after="157" w:afterLines="50" w:line="360" w:lineRule="auto"/>
        <w:ind w:firstLine="480" w:firstLineChars="200"/>
        <w:contextualSpacing/>
        <w:textAlignment w:val="auto"/>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（提供2023年1月至投标文件提交截止时间（税款所属时期）</w:t>
      </w:r>
      <w:r>
        <w:rPr>
          <w:rFonts w:hint="eastAsia" w:ascii="仿宋" w:hAnsi="仿宋" w:eastAsia="仿宋" w:cs="仿宋"/>
          <w:color w:val="auto"/>
          <w:sz w:val="24"/>
          <w:szCs w:val="22"/>
          <w:highlight w:val="none"/>
          <w:lang w:val="en-US" w:eastAsia="zh-CN"/>
        </w:rPr>
        <w:t>前</w:t>
      </w:r>
      <w:r>
        <w:rPr>
          <w:rFonts w:hint="eastAsia" w:ascii="仿宋" w:hAnsi="仿宋" w:eastAsia="仿宋" w:cs="仿宋"/>
          <w:color w:val="auto"/>
          <w:sz w:val="24"/>
          <w:szCs w:val="22"/>
          <w:highlight w:val="none"/>
          <w:lang w:eastAsia="zh-CN"/>
        </w:rPr>
        <w:t>任意连续3个月的税务局税收通用缴款书复印件或银行电子缴税（费）凭证或税务局出具纳税情况的相关证明，提供2023年1月至投标文件提交截止时间（费款所属时期）</w:t>
      </w:r>
      <w:r>
        <w:rPr>
          <w:rFonts w:hint="eastAsia" w:ascii="仿宋" w:hAnsi="仿宋" w:eastAsia="仿宋" w:cs="仿宋"/>
          <w:color w:val="auto"/>
          <w:sz w:val="24"/>
          <w:szCs w:val="22"/>
          <w:highlight w:val="none"/>
          <w:lang w:val="en-US" w:eastAsia="zh-CN"/>
        </w:rPr>
        <w:t>前</w:t>
      </w:r>
      <w:r>
        <w:rPr>
          <w:rFonts w:hint="eastAsia" w:ascii="仿宋" w:hAnsi="仿宋" w:eastAsia="仿宋" w:cs="仿宋"/>
          <w:color w:val="auto"/>
          <w:sz w:val="24"/>
          <w:szCs w:val="22"/>
          <w:highlight w:val="none"/>
          <w:lang w:eastAsia="zh-CN"/>
        </w:rPr>
        <w:t>任意连续3个月的社会保险费缴款书复印件或银行电子缴税（费）凭证或社保管理部门出具的有效的缴款证明；成立未满3个月的提供成立以来的税收和社会保障资金缴纳凭证或相关情况说明。（依法免税或不需要缴纳社会保障资金的投标人，应提供相应文件证明其依法免税或不需要缴纳社会保障资金））</w:t>
      </w:r>
    </w:p>
    <w:p w14:paraId="78C7B991">
      <w:pPr>
        <w:pageBreakBefore w:val="0"/>
        <w:widowControl w:val="0"/>
        <w:shd w:val="clear"/>
        <w:kinsoku/>
        <w:wordWrap/>
        <w:overflowPunct/>
        <w:topLinePunct w:val="0"/>
        <w:autoSpaceDE/>
        <w:autoSpaceDN/>
        <w:bidi w:val="0"/>
        <w:adjustRightInd/>
        <w:snapToGrid/>
        <w:spacing w:after="157" w:afterLines="50" w:line="360" w:lineRule="auto"/>
        <w:ind w:firstLine="420" w:firstLineChars="200"/>
        <w:textAlignment w:val="auto"/>
        <w:rPr>
          <w:rFonts w:hint="eastAsia"/>
          <w:color w:val="auto"/>
          <w:highlight w:val="none"/>
        </w:rPr>
      </w:pPr>
    </w:p>
    <w:p w14:paraId="027D9700">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格式5</w:t>
      </w:r>
      <w:r>
        <w:rPr>
          <w:rFonts w:hint="eastAsia" w:ascii="仿宋" w:hAnsi="仿宋" w:eastAsia="仿宋" w:cs="仿宋"/>
          <w:b/>
          <w:color w:val="auto"/>
          <w:kern w:val="0"/>
          <w:sz w:val="24"/>
          <w:szCs w:val="24"/>
          <w:highlight w:val="none"/>
          <w:lang w:eastAsia="zh-CN"/>
        </w:rPr>
        <w:t>、参加政府采购活动前三年内，在经营活动中没有重大违法记录</w:t>
      </w:r>
      <w:r>
        <w:rPr>
          <w:rFonts w:hint="eastAsia" w:ascii="仿宋" w:hAnsi="仿宋" w:eastAsia="仿宋" w:cs="仿宋"/>
          <w:b/>
          <w:color w:val="auto"/>
          <w:kern w:val="0"/>
          <w:sz w:val="24"/>
          <w:szCs w:val="24"/>
          <w:highlight w:val="none"/>
        </w:rPr>
        <w:t>；</w:t>
      </w:r>
    </w:p>
    <w:p w14:paraId="504552C7">
      <w:pPr>
        <w:pageBreakBefore w:val="0"/>
        <w:widowControl w:val="0"/>
        <w:shd w:val="clear"/>
        <w:kinsoku/>
        <w:wordWrap/>
        <w:overflowPunct/>
        <w:topLinePunct w:val="0"/>
        <w:autoSpaceDE/>
        <w:autoSpaceDN/>
        <w:bidi w:val="0"/>
        <w:adjustRightInd/>
        <w:snapToGrid/>
        <w:spacing w:after="157" w:afterLines="50" w:line="360" w:lineRule="auto"/>
        <w:ind w:firstLine="480" w:firstLineChars="200"/>
        <w:contextualSpacing/>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（投标人自行承诺）</w:t>
      </w:r>
    </w:p>
    <w:p w14:paraId="04E1B599">
      <w:pPr>
        <w:pageBreakBefore w:val="0"/>
        <w:widowControl w:val="0"/>
        <w:shd w:val="clear"/>
        <w:kinsoku/>
        <w:wordWrap/>
        <w:overflowPunct/>
        <w:topLinePunct w:val="0"/>
        <w:autoSpaceDE/>
        <w:autoSpaceDN/>
        <w:bidi w:val="0"/>
        <w:adjustRightInd/>
        <w:snapToGrid/>
        <w:spacing w:after="157" w:afterLines="50" w:line="360" w:lineRule="auto"/>
        <w:ind w:firstLine="420" w:firstLineChars="200"/>
        <w:textAlignment w:val="auto"/>
        <w:rPr>
          <w:rFonts w:hint="eastAsia"/>
          <w:color w:val="auto"/>
          <w:highlight w:val="none"/>
        </w:rPr>
      </w:pPr>
    </w:p>
    <w:p w14:paraId="5E57A131">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6、法律、行政法规规定的其他条件</w:t>
      </w:r>
    </w:p>
    <w:p w14:paraId="10C98EF7">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lang w:eastAsia="zh-CN"/>
        </w:rPr>
        <w:t>）投标人未被列入“信用中国”网站（www.creditchina.gov.cn）失信被执行人、重大税收违法案件当事人、政府采购严重违法失信行为记录名单，“中国政府采购网”网站(www.ccgp.gov.cn)政府采购严重违法失信行为记录名单（被禁止在一定期限内参加政府采购活动，但期限届满的视作未列入失信名单）（由采购人或</w:t>
      </w:r>
      <w:r>
        <w:rPr>
          <w:rFonts w:hint="eastAsia" w:ascii="仿宋" w:hAnsi="仿宋" w:eastAsia="仿宋" w:cs="仿宋"/>
          <w:color w:val="auto"/>
          <w:sz w:val="24"/>
          <w:szCs w:val="22"/>
          <w:highlight w:val="none"/>
          <w:lang w:val="en-US" w:eastAsia="zh-CN"/>
        </w:rPr>
        <w:t>采购代理机构在开标当天</w:t>
      </w:r>
      <w:r>
        <w:rPr>
          <w:rFonts w:hint="eastAsia" w:ascii="仿宋" w:hAnsi="仿宋" w:eastAsia="仿宋" w:cs="仿宋"/>
          <w:color w:val="auto"/>
          <w:sz w:val="24"/>
          <w:szCs w:val="22"/>
          <w:highlight w:val="none"/>
          <w:lang w:eastAsia="zh-CN"/>
        </w:rPr>
        <w:t>进行查询）；</w:t>
      </w:r>
    </w:p>
    <w:p w14:paraId="2F10D5A9">
      <w:pPr>
        <w:shd w:val="clear"/>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）法定代表人或单位负责人为同一人或者存在直接控股、管理关系的不同投标人，不得同时参加本项目的投标</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投标人自行提供承诺书</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w:t>
      </w:r>
    </w:p>
    <w:p w14:paraId="5E909911">
      <w:pPr>
        <w:pageBreakBefore w:val="0"/>
        <w:widowControl w:val="0"/>
        <w:shd w:val="clear"/>
        <w:kinsoku/>
        <w:wordWrap/>
        <w:overflowPunct/>
        <w:topLinePunct w:val="0"/>
        <w:autoSpaceDE/>
        <w:autoSpaceDN/>
        <w:bidi w:val="0"/>
        <w:adjustRightInd/>
        <w:snapToGrid/>
        <w:spacing w:after="157" w:afterLines="50" w:line="360" w:lineRule="auto"/>
        <w:ind w:firstLine="420" w:firstLineChars="200"/>
        <w:textAlignment w:val="auto"/>
        <w:rPr>
          <w:rFonts w:hint="eastAsia"/>
          <w:color w:val="auto"/>
          <w:highlight w:val="none"/>
        </w:rPr>
      </w:pPr>
    </w:p>
    <w:p w14:paraId="0EF821D6">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rPr>
      </w:pPr>
    </w:p>
    <w:p w14:paraId="64B1A90C">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7、本项目的特定资格要求</w:t>
      </w:r>
    </w:p>
    <w:p w14:paraId="7D12E366">
      <w:pPr>
        <w:pStyle w:val="19"/>
        <w:pageBreakBefore w:val="0"/>
        <w:tabs>
          <w:tab w:val="left" w:pos="8544"/>
        </w:tabs>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kern w:val="2"/>
          <w:sz w:val="24"/>
          <w:highlight w:val="none"/>
          <w:lang w:val="en-US" w:eastAsia="zh-CN" w:bidi="ar-SA"/>
        </w:rPr>
        <w:t>1.本项目不接受进口产品投标，进口产品是指通过中国海关报关验放进入中国境内且产自关境外的产品（提供相关承诺或声明函）；</w:t>
      </w:r>
    </w:p>
    <w:p w14:paraId="594883C2">
      <w:pPr>
        <w:shd w:val="clear"/>
        <w:spacing w:line="360" w:lineRule="auto"/>
        <w:ind w:firstLine="480" w:firstLineChars="200"/>
        <w:contextualSpacing/>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kern w:val="2"/>
          <w:sz w:val="24"/>
          <w:highlight w:val="none"/>
          <w:lang w:val="en-US" w:eastAsia="zh-CN" w:bidi="ar-SA"/>
        </w:rPr>
        <w:t>2.本项目为一个完整的包件，不允许有任何形式的分包或转包（自行承诺）。</w:t>
      </w:r>
    </w:p>
    <w:p w14:paraId="57A39C94">
      <w:pPr>
        <w:pStyle w:val="28"/>
        <w:rPr>
          <w:rFonts w:hint="eastAsia"/>
        </w:rPr>
      </w:pPr>
    </w:p>
    <w:p w14:paraId="5505CDD8">
      <w:pPr>
        <w:pageBreakBefore w:val="0"/>
        <w:widowControl w:val="0"/>
        <w:shd w:val="clear"/>
        <w:kinsoku/>
        <w:wordWrap/>
        <w:overflowPunct/>
        <w:topLinePunct w:val="0"/>
        <w:autoSpaceDE/>
        <w:autoSpaceDN/>
        <w:bidi w:val="0"/>
        <w:adjustRightInd/>
        <w:snapToGrid/>
        <w:spacing w:after="157" w:afterLines="50" w:line="360" w:lineRule="auto"/>
        <w:ind w:firstLine="420" w:firstLineChars="200"/>
        <w:textAlignment w:val="auto"/>
        <w:rPr>
          <w:rFonts w:hint="eastAsia" w:ascii="仿宋" w:hAnsi="仿宋" w:eastAsia="仿宋" w:cs="仿宋"/>
          <w:color w:val="auto"/>
          <w:highlight w:val="none"/>
        </w:rPr>
      </w:pPr>
    </w:p>
    <w:p w14:paraId="5ADFDC11">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8、</w:t>
      </w:r>
      <w:r>
        <w:rPr>
          <w:rFonts w:hint="eastAsia" w:ascii="仿宋" w:hAnsi="仿宋" w:eastAsia="仿宋" w:cs="仿宋"/>
          <w:b/>
          <w:color w:val="auto"/>
          <w:kern w:val="0"/>
          <w:sz w:val="24"/>
          <w:szCs w:val="24"/>
          <w:highlight w:val="none"/>
        </w:rPr>
        <w:t>招标文件中所涉及到的相关资料及证明文件或投标人认为必须提供的其他相关资料</w:t>
      </w:r>
    </w:p>
    <w:p w14:paraId="2D19F17F">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textAlignment w:val="auto"/>
        <w:outlineLvl w:val="2"/>
        <w:rPr>
          <w:rFonts w:hint="eastAsia" w:ascii="仿宋" w:hAnsi="仿宋" w:eastAsia="仿宋" w:cs="仿宋"/>
          <w:b/>
          <w:color w:val="auto"/>
          <w:kern w:val="0"/>
          <w:sz w:val="24"/>
          <w:szCs w:val="24"/>
          <w:highlight w:val="none"/>
        </w:rPr>
      </w:pPr>
    </w:p>
    <w:p w14:paraId="6D6DD6C8">
      <w:pPr>
        <w:rPr>
          <w:rFonts w:hint="eastAsia" w:ascii="仿宋" w:hAnsi="仿宋" w:eastAsia="仿宋" w:cs="仿宋"/>
          <w:b/>
          <w:color w:val="auto"/>
          <w:kern w:val="0"/>
          <w:sz w:val="24"/>
          <w:szCs w:val="24"/>
          <w:highlight w:val="none"/>
        </w:rPr>
      </w:pPr>
      <w:bookmarkStart w:id="649" w:name="_Toc27228"/>
      <w:r>
        <w:rPr>
          <w:rFonts w:hint="eastAsia" w:ascii="仿宋" w:hAnsi="仿宋" w:eastAsia="仿宋" w:cs="仿宋"/>
          <w:b/>
          <w:color w:val="auto"/>
          <w:kern w:val="0"/>
          <w:sz w:val="24"/>
          <w:szCs w:val="24"/>
          <w:highlight w:val="none"/>
        </w:rPr>
        <w:br w:type="page"/>
      </w:r>
    </w:p>
    <w:bookmarkEnd w:id="632"/>
    <w:bookmarkEnd w:id="633"/>
    <w:bookmarkEnd w:id="649"/>
    <w:p w14:paraId="5088D138">
      <w:pPr>
        <w:pStyle w:val="4"/>
        <w:numPr>
          <w:ilvl w:val="0"/>
          <w:numId w:val="4"/>
        </w:numPr>
        <w:shd w:val="clear"/>
        <w:ind w:firstLine="0" w:firstLineChars="0"/>
        <w:jc w:val="center"/>
        <w:outlineLvl w:val="1"/>
        <w:rPr>
          <w:rFonts w:hint="eastAsia" w:ascii="仿宋" w:hAnsi="仿宋" w:eastAsia="仿宋" w:cs="仿宋"/>
          <w:color w:val="auto"/>
          <w:sz w:val="30"/>
          <w:szCs w:val="30"/>
          <w:highlight w:val="none"/>
        </w:rPr>
      </w:pPr>
      <w:bookmarkStart w:id="650" w:name="_Toc5214"/>
      <w:bookmarkStart w:id="651" w:name="_Toc12836"/>
      <w:bookmarkStart w:id="652" w:name="_Toc391301893"/>
      <w:bookmarkStart w:id="653" w:name="_Toc383636434"/>
      <w:bookmarkStart w:id="654" w:name="_Toc406162639"/>
      <w:bookmarkStart w:id="655" w:name="_Toc527634744"/>
      <w:bookmarkStart w:id="656" w:name="_Toc469987160"/>
      <w:bookmarkStart w:id="657" w:name="_Toc469987746"/>
      <w:r>
        <w:rPr>
          <w:rFonts w:hint="eastAsia" w:ascii="仿宋" w:hAnsi="仿宋" w:eastAsia="仿宋" w:cs="仿宋"/>
          <w:color w:val="auto"/>
          <w:sz w:val="30"/>
          <w:szCs w:val="30"/>
          <w:highlight w:val="none"/>
          <w:lang w:val="en-US" w:eastAsia="zh-CN"/>
        </w:rPr>
        <w:t>技术</w:t>
      </w:r>
      <w:r>
        <w:rPr>
          <w:rFonts w:hint="eastAsia" w:ascii="仿宋" w:hAnsi="仿宋" w:eastAsia="仿宋" w:cs="仿宋"/>
          <w:color w:val="auto"/>
          <w:sz w:val="30"/>
          <w:szCs w:val="30"/>
          <w:highlight w:val="none"/>
        </w:rPr>
        <w:t>部分</w:t>
      </w:r>
      <w:bookmarkEnd w:id="650"/>
    </w:p>
    <w:p w14:paraId="2224D58D">
      <w:pPr>
        <w:keepNext/>
        <w:keepLines/>
        <w:shd w:val="clear"/>
        <w:spacing w:before="312" w:after="312" w:line="360" w:lineRule="auto"/>
        <w:jc w:val="center"/>
        <w:outlineLvl w:val="1"/>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1、服务方案</w:t>
      </w:r>
      <w:r>
        <w:rPr>
          <w:rFonts w:hint="eastAsia" w:ascii="仿宋" w:hAnsi="仿宋" w:eastAsia="仿宋" w:cs="仿宋"/>
          <w:b/>
          <w:color w:val="auto"/>
          <w:kern w:val="0"/>
          <w:sz w:val="24"/>
          <w:szCs w:val="24"/>
          <w:highlight w:val="none"/>
          <w:lang w:eastAsia="zh-CN"/>
        </w:rPr>
        <w:t>（</w:t>
      </w:r>
      <w:r>
        <w:rPr>
          <w:rFonts w:hint="eastAsia" w:ascii="仿宋" w:hAnsi="仿宋" w:eastAsia="仿宋" w:cs="仿宋"/>
          <w:b/>
          <w:color w:val="auto"/>
          <w:kern w:val="0"/>
          <w:sz w:val="24"/>
          <w:szCs w:val="24"/>
          <w:highlight w:val="none"/>
          <w:lang w:val="en-US" w:eastAsia="zh-CN"/>
        </w:rPr>
        <w:t>自行编制，格式自拟</w:t>
      </w:r>
      <w:r>
        <w:rPr>
          <w:rFonts w:hint="eastAsia" w:ascii="仿宋" w:hAnsi="仿宋" w:eastAsia="仿宋" w:cs="仿宋"/>
          <w:b/>
          <w:color w:val="auto"/>
          <w:kern w:val="0"/>
          <w:sz w:val="24"/>
          <w:szCs w:val="24"/>
          <w:highlight w:val="none"/>
          <w:lang w:eastAsia="zh-CN"/>
        </w:rPr>
        <w:t>）</w:t>
      </w:r>
    </w:p>
    <w:p w14:paraId="0A7BDB93">
      <w:pPr>
        <w:shd w:val="clear"/>
        <w:spacing w:line="360" w:lineRule="auto"/>
        <w:ind w:firstLine="480" w:firstLineChars="200"/>
        <w:rPr>
          <w:rFonts w:hint="eastAsia"/>
          <w:color w:val="auto"/>
          <w:highlight w:val="none"/>
        </w:rPr>
      </w:pPr>
      <w:r>
        <w:rPr>
          <w:rFonts w:hint="eastAsia" w:ascii="仿宋" w:hAnsi="仿宋" w:eastAsia="仿宋" w:cs="仿宋"/>
          <w:sz w:val="24"/>
          <w:szCs w:val="24"/>
        </w:rPr>
        <w:t>服务方案内容对项目的服务需求有深入了解，就</w:t>
      </w:r>
      <w:r>
        <w:rPr>
          <w:rFonts w:hint="eastAsia" w:ascii="仿宋" w:hAnsi="仿宋" w:eastAsia="仿宋" w:cs="仿宋"/>
          <w:b/>
          <w:bCs/>
          <w:sz w:val="24"/>
          <w:szCs w:val="24"/>
        </w:rPr>
        <w:t>服务内容、项目计划、项目实施方案、项目理解</w:t>
      </w:r>
      <w:r>
        <w:rPr>
          <w:rFonts w:hint="eastAsia" w:ascii="仿宋" w:hAnsi="仿宋" w:eastAsia="仿宋" w:cs="仿宋"/>
          <w:b w:val="0"/>
          <w:bCs w:val="0"/>
          <w:sz w:val="24"/>
          <w:szCs w:val="24"/>
          <w:lang w:val="en-US" w:eastAsia="zh-CN"/>
        </w:rPr>
        <w:t>四个方面提供对应内容</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sz w:val="24"/>
          <w:szCs w:val="24"/>
          <w:highlight w:val="none"/>
        </w:rPr>
        <w:t>投标人制定的</w:t>
      </w:r>
      <w:r>
        <w:rPr>
          <w:rFonts w:hint="eastAsia" w:ascii="仿宋" w:hAnsi="仿宋" w:eastAsia="仿宋" w:cs="仿宋"/>
          <w:color w:val="auto"/>
          <w:sz w:val="24"/>
          <w:szCs w:val="24"/>
          <w:highlight w:val="none"/>
          <w:lang w:val="en-US" w:eastAsia="zh-CN"/>
        </w:rPr>
        <w:t>计划、</w:t>
      </w:r>
      <w:r>
        <w:rPr>
          <w:rFonts w:hint="eastAsia" w:ascii="仿宋" w:hAnsi="仿宋" w:eastAsia="仿宋" w:cs="仿宋"/>
          <w:color w:val="auto"/>
          <w:sz w:val="24"/>
          <w:szCs w:val="24"/>
          <w:highlight w:val="none"/>
        </w:rPr>
        <w:t>方案</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须具有实际的可操作性，有理可依，不弄虚作假及空口承诺。确定中标后，中标人的</w:t>
      </w:r>
      <w:r>
        <w:rPr>
          <w:rFonts w:hint="eastAsia" w:ascii="仿宋" w:hAnsi="仿宋" w:eastAsia="仿宋" w:cs="仿宋"/>
          <w:color w:val="auto"/>
          <w:sz w:val="24"/>
          <w:szCs w:val="24"/>
          <w:highlight w:val="none"/>
          <w:lang w:val="en-US" w:eastAsia="zh-CN"/>
        </w:rPr>
        <w:t>项目计划、实施</w:t>
      </w:r>
      <w:r>
        <w:rPr>
          <w:rFonts w:hint="eastAsia" w:ascii="仿宋" w:hAnsi="仿宋" w:eastAsia="仿宋" w:cs="仿宋"/>
          <w:color w:val="auto"/>
          <w:sz w:val="24"/>
          <w:szCs w:val="24"/>
          <w:highlight w:val="none"/>
        </w:rPr>
        <w:t>方案</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将体现在本项目</w:t>
      </w:r>
      <w:r>
        <w:rPr>
          <w:rFonts w:hint="eastAsia" w:ascii="仿宋" w:hAnsi="仿宋" w:eastAsia="仿宋" w:cs="仿宋"/>
          <w:color w:val="auto"/>
          <w:sz w:val="24"/>
          <w:szCs w:val="24"/>
          <w:highlight w:val="none"/>
          <w:lang w:val="en-US" w:eastAsia="zh-CN"/>
        </w:rPr>
        <w:t>实施过程中</w:t>
      </w:r>
      <w:r>
        <w:rPr>
          <w:rFonts w:hint="eastAsia" w:ascii="仿宋" w:hAnsi="仿宋" w:eastAsia="仿宋" w:cs="仿宋"/>
          <w:color w:val="auto"/>
          <w:sz w:val="24"/>
          <w:szCs w:val="24"/>
          <w:highlight w:val="none"/>
        </w:rPr>
        <w:t>。</w:t>
      </w:r>
    </w:p>
    <w:p w14:paraId="44F61254">
      <w:pPr>
        <w:shd w:val="clear"/>
        <w:spacing w:line="360" w:lineRule="auto"/>
        <w:rPr>
          <w:rFonts w:ascii="仿宋" w:hAnsi="仿宋" w:eastAsia="仿宋" w:cs="仿宋"/>
          <w:color w:val="auto"/>
          <w:sz w:val="24"/>
          <w:szCs w:val="24"/>
          <w:highlight w:val="none"/>
        </w:rPr>
      </w:pPr>
    </w:p>
    <w:p w14:paraId="3C63B74C">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68E18089">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7F328AD4">
      <w:pPr>
        <w:pStyle w:val="28"/>
        <w:shd w:val="clear"/>
        <w:ind w:firstLine="52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1539F349">
      <w:pPr>
        <w:pStyle w:val="28"/>
        <w:rPr>
          <w:rFonts w:hint="eastAsia"/>
          <w:color w:val="auto"/>
          <w:highlight w:val="none"/>
        </w:rPr>
      </w:pPr>
    </w:p>
    <w:p w14:paraId="6D6C7E4E">
      <w:pPr>
        <w:pStyle w:val="28"/>
        <w:shd w:val="clear"/>
        <w:rPr>
          <w:rFonts w:hint="eastAsia" w:ascii="仿宋" w:hAnsi="仿宋" w:eastAsia="仿宋" w:cs="仿宋"/>
          <w:color w:val="auto"/>
          <w:sz w:val="24"/>
          <w:szCs w:val="24"/>
          <w:highlight w:val="none"/>
          <w:lang w:val="en-US" w:eastAsia="zh-CN" w:bidi="ar-SA"/>
        </w:rPr>
      </w:pPr>
    </w:p>
    <w:p w14:paraId="3030729E">
      <w:pPr>
        <w:keepNext/>
        <w:keepLines/>
        <w:shd w:val="clear"/>
        <w:spacing w:before="312" w:after="312" w:line="360" w:lineRule="auto"/>
        <w:ind w:firstLine="3373" w:firstLineChars="1400"/>
        <w:jc w:val="both"/>
        <w:outlineLvl w:val="1"/>
        <w:rPr>
          <w:rFonts w:hint="eastAsia" w:ascii="仿宋" w:hAnsi="仿宋" w:eastAsia="仿宋" w:cs="仿宋"/>
          <w:b/>
          <w:color w:val="auto"/>
          <w:kern w:val="0"/>
          <w:sz w:val="24"/>
          <w:szCs w:val="24"/>
          <w:highlight w:val="none"/>
        </w:rPr>
      </w:pPr>
      <w:bookmarkStart w:id="658" w:name="_Toc25769"/>
      <w:bookmarkStart w:id="659" w:name="_Toc17866"/>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2、</w:t>
      </w:r>
      <w:bookmarkEnd w:id="658"/>
      <w:bookmarkEnd w:id="659"/>
      <w:r>
        <w:rPr>
          <w:rFonts w:hint="eastAsia" w:ascii="仿宋" w:hAnsi="仿宋" w:eastAsia="仿宋" w:cs="仿宋"/>
          <w:b/>
          <w:color w:val="auto"/>
          <w:kern w:val="0"/>
          <w:sz w:val="24"/>
          <w:szCs w:val="24"/>
          <w:highlight w:val="none"/>
        </w:rPr>
        <w:t>售后服务能力</w:t>
      </w:r>
    </w:p>
    <w:p w14:paraId="0237FB68">
      <w:pPr>
        <w:pStyle w:val="9"/>
        <w:shd w:val="clear"/>
        <w:jc w:val="center"/>
        <w:rPr>
          <w:rFonts w:ascii="仿宋" w:hAnsi="仿宋" w:eastAsia="仿宋" w:cs="仿宋"/>
          <w:color w:val="auto"/>
          <w:highlight w:val="none"/>
        </w:rPr>
      </w:pPr>
      <w:r>
        <w:rPr>
          <w:rFonts w:hint="eastAsia" w:ascii="仿宋" w:hAnsi="仿宋" w:eastAsia="仿宋" w:cs="仿宋"/>
          <w:color w:val="auto"/>
          <w:highlight w:val="none"/>
        </w:rPr>
        <w:t>格式自拟</w:t>
      </w:r>
    </w:p>
    <w:p w14:paraId="3EF1F6EE">
      <w:pPr>
        <w:shd w:val="clear"/>
        <w:spacing w:line="360" w:lineRule="auto"/>
        <w:rPr>
          <w:rFonts w:ascii="仿宋" w:hAnsi="仿宋" w:eastAsia="仿宋" w:cs="仿宋"/>
          <w:color w:val="auto"/>
          <w:sz w:val="24"/>
          <w:szCs w:val="24"/>
          <w:highlight w:val="none"/>
        </w:rPr>
      </w:pPr>
    </w:p>
    <w:p w14:paraId="7850F850">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67250363">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71E07F95">
      <w:pPr>
        <w:pStyle w:val="28"/>
        <w:shd w:val="clear"/>
        <w:ind w:firstLine="52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5236A65A">
      <w:pPr>
        <w:shd w:val="clear"/>
        <w:rPr>
          <w:rFonts w:hint="eastAsia"/>
          <w:color w:val="auto"/>
          <w:highlight w:val="none"/>
        </w:rPr>
      </w:pPr>
    </w:p>
    <w:p w14:paraId="74BD07C7">
      <w:pPr>
        <w:pStyle w:val="9"/>
        <w:shd w:val="clear"/>
        <w:rPr>
          <w:rFonts w:hint="eastAsia"/>
          <w:color w:val="auto"/>
          <w:highlight w:val="none"/>
        </w:rPr>
      </w:pPr>
    </w:p>
    <w:p w14:paraId="68C84428">
      <w:pPr>
        <w:pStyle w:val="9"/>
        <w:shd w:val="clear"/>
        <w:rPr>
          <w:rFonts w:hint="eastAsia"/>
          <w:color w:val="auto"/>
          <w:highlight w:val="none"/>
        </w:rPr>
      </w:pPr>
    </w:p>
    <w:p w14:paraId="1949DCE1">
      <w:pPr>
        <w:ind w:firstLine="3373" w:firstLineChars="1400"/>
        <w:jc w:val="both"/>
        <w:rPr>
          <w:rFonts w:hint="eastAsia" w:ascii="宋体" w:hAnsi="宋体" w:cs="宋体"/>
          <w:color w:val="000000" w:themeColor="text1"/>
          <w:sz w:val="24"/>
          <w:szCs w:val="24"/>
          <w:lang w:val="en-US" w:eastAsia="zh-CN"/>
          <w14:textFill>
            <w14:solidFill>
              <w14:schemeClr w14:val="tx1"/>
            </w14:solidFill>
          </w14:textFill>
        </w:rPr>
      </w:pPr>
      <w:bookmarkStart w:id="660" w:name="_Toc22601"/>
      <w:bookmarkStart w:id="661" w:name="_Toc22978"/>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3、</w:t>
      </w:r>
      <w:bookmarkEnd w:id="660"/>
      <w:bookmarkEnd w:id="661"/>
      <w:r>
        <w:rPr>
          <w:rFonts w:hint="eastAsia" w:ascii="仿宋" w:hAnsi="仿宋" w:eastAsia="仿宋" w:cs="仿宋"/>
          <w:b/>
          <w:color w:val="auto"/>
          <w:kern w:val="0"/>
          <w:sz w:val="24"/>
          <w:szCs w:val="24"/>
          <w:highlight w:val="none"/>
        </w:rPr>
        <w:t>应急处置方案</w:t>
      </w:r>
    </w:p>
    <w:p w14:paraId="32AB11CF">
      <w:pPr>
        <w:pStyle w:val="9"/>
        <w:shd w:val="clear"/>
        <w:jc w:val="center"/>
        <w:rPr>
          <w:rFonts w:ascii="仿宋" w:hAnsi="仿宋" w:eastAsia="仿宋" w:cs="仿宋"/>
          <w:color w:val="auto"/>
          <w:highlight w:val="none"/>
        </w:rPr>
      </w:pPr>
      <w:r>
        <w:rPr>
          <w:rFonts w:hint="eastAsia" w:ascii="仿宋" w:hAnsi="仿宋" w:eastAsia="仿宋" w:cs="仿宋"/>
          <w:color w:val="auto"/>
          <w:highlight w:val="none"/>
        </w:rPr>
        <w:t>格式自拟</w:t>
      </w:r>
    </w:p>
    <w:p w14:paraId="449CBEA4">
      <w:pPr>
        <w:shd w:val="clear"/>
        <w:spacing w:line="360" w:lineRule="auto"/>
        <w:rPr>
          <w:rFonts w:ascii="仿宋" w:hAnsi="仿宋" w:eastAsia="仿宋" w:cs="仿宋"/>
          <w:color w:val="auto"/>
          <w:sz w:val="24"/>
          <w:szCs w:val="24"/>
          <w:highlight w:val="none"/>
        </w:rPr>
      </w:pPr>
    </w:p>
    <w:p w14:paraId="4D834809">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66AB7E41">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36FE1908">
      <w:pPr>
        <w:pStyle w:val="28"/>
        <w:shd w:val="clear"/>
        <w:ind w:firstLine="52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47A87ACB">
      <w:pPr>
        <w:pStyle w:val="28"/>
        <w:rPr>
          <w:rFonts w:hint="eastAsia"/>
          <w:lang w:val="en-US" w:eastAsia="zh-CN"/>
        </w:rPr>
      </w:pPr>
    </w:p>
    <w:p w14:paraId="13F05C50">
      <w:pPr>
        <w:pStyle w:val="28"/>
        <w:rPr>
          <w:rFonts w:hint="eastAsia" w:ascii="仿宋" w:hAnsi="仿宋" w:eastAsia="仿宋" w:cs="仿宋"/>
          <w:b/>
          <w:bCs w:val="0"/>
          <w:color w:val="auto"/>
          <w:spacing w:val="0"/>
          <w:kern w:val="0"/>
          <w:sz w:val="24"/>
          <w:szCs w:val="24"/>
          <w:highlight w:val="none"/>
          <w:lang w:val="en-US" w:eastAsia="zh-CN" w:bidi="ar-SA"/>
        </w:rPr>
      </w:pPr>
    </w:p>
    <w:p w14:paraId="4E6F676C">
      <w:pPr>
        <w:pStyle w:val="28"/>
        <w:jc w:val="both"/>
        <w:rPr>
          <w:rFonts w:hint="eastAsia" w:ascii="仿宋" w:hAnsi="仿宋" w:eastAsia="仿宋" w:cs="仿宋"/>
          <w:b/>
          <w:bCs w:val="0"/>
          <w:color w:val="auto"/>
          <w:spacing w:val="0"/>
          <w:kern w:val="0"/>
          <w:sz w:val="24"/>
          <w:szCs w:val="24"/>
          <w:highlight w:val="none"/>
          <w:lang w:val="en-US" w:eastAsia="zh-CN" w:bidi="ar-SA"/>
        </w:rPr>
      </w:pPr>
    </w:p>
    <w:p w14:paraId="3DE22E51">
      <w:pPr>
        <w:pStyle w:val="28"/>
        <w:jc w:val="center"/>
        <w:rPr>
          <w:rFonts w:hint="eastAsia" w:ascii="仿宋" w:hAnsi="仿宋" w:eastAsia="仿宋" w:cs="仿宋"/>
          <w:b/>
          <w:bCs w:val="0"/>
          <w:color w:val="auto"/>
          <w:spacing w:val="0"/>
          <w:kern w:val="0"/>
          <w:sz w:val="24"/>
          <w:szCs w:val="24"/>
          <w:highlight w:val="none"/>
          <w:lang w:val="en-US" w:eastAsia="zh-CN" w:bidi="ar-SA"/>
        </w:rPr>
      </w:pPr>
      <w:r>
        <w:rPr>
          <w:rFonts w:hint="eastAsia" w:ascii="仿宋" w:hAnsi="仿宋" w:eastAsia="仿宋" w:cs="仿宋"/>
          <w:b/>
          <w:bCs w:val="0"/>
          <w:color w:val="auto"/>
          <w:spacing w:val="0"/>
          <w:kern w:val="0"/>
          <w:sz w:val="24"/>
          <w:szCs w:val="24"/>
          <w:highlight w:val="none"/>
          <w:lang w:val="en-US" w:eastAsia="zh-CN" w:bidi="ar-SA"/>
        </w:rPr>
        <w:t>格式4、培训方案</w:t>
      </w:r>
    </w:p>
    <w:p w14:paraId="30089B91">
      <w:pPr>
        <w:pStyle w:val="9"/>
        <w:shd w:val="clear"/>
        <w:jc w:val="center"/>
        <w:rPr>
          <w:rFonts w:ascii="仿宋" w:hAnsi="仿宋" w:eastAsia="仿宋" w:cs="仿宋"/>
          <w:color w:val="auto"/>
          <w:highlight w:val="none"/>
        </w:rPr>
      </w:pPr>
      <w:r>
        <w:rPr>
          <w:rFonts w:hint="eastAsia" w:ascii="仿宋" w:hAnsi="仿宋" w:eastAsia="仿宋" w:cs="仿宋"/>
          <w:color w:val="auto"/>
          <w:highlight w:val="none"/>
        </w:rPr>
        <w:t>格式自拟</w:t>
      </w:r>
    </w:p>
    <w:p w14:paraId="50070789">
      <w:pPr>
        <w:shd w:val="clear"/>
        <w:spacing w:line="360" w:lineRule="auto"/>
        <w:rPr>
          <w:rFonts w:ascii="仿宋" w:hAnsi="仿宋" w:eastAsia="仿宋" w:cs="仿宋"/>
          <w:color w:val="auto"/>
          <w:sz w:val="24"/>
          <w:szCs w:val="24"/>
          <w:highlight w:val="none"/>
        </w:rPr>
      </w:pPr>
    </w:p>
    <w:p w14:paraId="0A156405">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20595A61">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56C108F0">
      <w:pPr>
        <w:pStyle w:val="28"/>
        <w:shd w:val="clear"/>
        <w:ind w:firstLine="52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42FAEFAB">
      <w:pPr>
        <w:pStyle w:val="28"/>
        <w:rPr>
          <w:rFonts w:hint="eastAsia" w:ascii="仿宋" w:hAnsi="仿宋" w:eastAsia="仿宋" w:cs="仿宋"/>
          <w:b/>
          <w:bCs w:val="0"/>
          <w:color w:val="auto"/>
          <w:spacing w:val="0"/>
          <w:kern w:val="0"/>
          <w:sz w:val="24"/>
          <w:szCs w:val="24"/>
          <w:highlight w:val="none"/>
          <w:lang w:val="en-US" w:eastAsia="zh-CN" w:bidi="ar-SA"/>
        </w:rPr>
      </w:pPr>
    </w:p>
    <w:p w14:paraId="77772F97">
      <w:pPr>
        <w:pStyle w:val="28"/>
        <w:jc w:val="center"/>
        <w:rPr>
          <w:rFonts w:hint="eastAsia" w:ascii="仿宋" w:hAnsi="仿宋" w:eastAsia="仿宋" w:cs="仿宋"/>
          <w:b/>
          <w:bCs w:val="0"/>
          <w:color w:val="auto"/>
          <w:spacing w:val="0"/>
          <w:kern w:val="0"/>
          <w:sz w:val="24"/>
          <w:szCs w:val="24"/>
          <w:highlight w:val="none"/>
          <w:lang w:val="en-US" w:eastAsia="zh-CN" w:bidi="ar-SA"/>
        </w:rPr>
      </w:pPr>
    </w:p>
    <w:p w14:paraId="6D952B39">
      <w:pPr>
        <w:pStyle w:val="28"/>
        <w:jc w:val="center"/>
        <w:rPr>
          <w:rFonts w:hint="eastAsia" w:ascii="仿宋" w:hAnsi="仿宋" w:eastAsia="仿宋" w:cs="仿宋"/>
          <w:b/>
          <w:bCs w:val="0"/>
          <w:color w:val="auto"/>
          <w:spacing w:val="0"/>
          <w:kern w:val="0"/>
          <w:sz w:val="24"/>
          <w:szCs w:val="24"/>
          <w:highlight w:val="none"/>
          <w:lang w:val="en-US" w:eastAsia="zh-CN" w:bidi="ar-SA"/>
        </w:rPr>
      </w:pPr>
    </w:p>
    <w:p w14:paraId="18E00191">
      <w:pPr>
        <w:pStyle w:val="28"/>
        <w:jc w:val="center"/>
        <w:rPr>
          <w:rFonts w:hint="eastAsia" w:ascii="仿宋" w:hAnsi="仿宋" w:eastAsia="仿宋" w:cs="仿宋"/>
          <w:b/>
          <w:bCs w:val="0"/>
          <w:color w:val="auto"/>
          <w:spacing w:val="0"/>
          <w:kern w:val="0"/>
          <w:sz w:val="24"/>
          <w:szCs w:val="24"/>
          <w:highlight w:val="none"/>
          <w:lang w:val="en-US" w:eastAsia="zh-CN" w:bidi="ar-SA"/>
        </w:rPr>
      </w:pPr>
    </w:p>
    <w:p w14:paraId="617C6AF3">
      <w:pPr>
        <w:pStyle w:val="28"/>
        <w:jc w:val="center"/>
        <w:rPr>
          <w:rFonts w:hint="eastAsia" w:ascii="仿宋" w:hAnsi="仿宋" w:eastAsia="仿宋" w:cs="仿宋"/>
          <w:b/>
          <w:bCs w:val="0"/>
          <w:color w:val="auto"/>
          <w:spacing w:val="0"/>
          <w:kern w:val="0"/>
          <w:sz w:val="24"/>
          <w:szCs w:val="24"/>
          <w:highlight w:val="none"/>
          <w:lang w:val="en-US" w:eastAsia="zh-CN" w:bidi="ar-SA"/>
        </w:rPr>
      </w:pPr>
    </w:p>
    <w:p w14:paraId="522F83F8">
      <w:pPr>
        <w:pStyle w:val="28"/>
        <w:jc w:val="center"/>
        <w:rPr>
          <w:rFonts w:hint="eastAsia" w:ascii="仿宋" w:hAnsi="仿宋" w:eastAsia="仿宋" w:cs="仿宋"/>
          <w:b/>
          <w:bCs w:val="0"/>
          <w:color w:val="auto"/>
          <w:spacing w:val="0"/>
          <w:kern w:val="0"/>
          <w:sz w:val="24"/>
          <w:szCs w:val="24"/>
          <w:highlight w:val="none"/>
          <w:lang w:val="en-US" w:eastAsia="zh-CN" w:bidi="ar-SA"/>
        </w:rPr>
      </w:pPr>
      <w:r>
        <w:rPr>
          <w:rFonts w:hint="eastAsia" w:ascii="仿宋" w:hAnsi="仿宋" w:eastAsia="仿宋" w:cs="仿宋"/>
          <w:b/>
          <w:bCs w:val="0"/>
          <w:color w:val="auto"/>
          <w:spacing w:val="0"/>
          <w:kern w:val="0"/>
          <w:sz w:val="24"/>
          <w:szCs w:val="24"/>
          <w:highlight w:val="none"/>
          <w:lang w:val="en-US" w:eastAsia="zh-CN" w:bidi="ar-SA"/>
        </w:rPr>
        <w:t>格式5、网络覆盖情况</w:t>
      </w:r>
    </w:p>
    <w:p w14:paraId="5CBE073F">
      <w:pPr>
        <w:pStyle w:val="9"/>
        <w:shd w:val="clear"/>
        <w:jc w:val="center"/>
        <w:rPr>
          <w:rFonts w:ascii="仿宋" w:hAnsi="仿宋" w:eastAsia="仿宋" w:cs="仿宋"/>
          <w:color w:val="auto"/>
          <w:highlight w:val="none"/>
        </w:rPr>
      </w:pPr>
      <w:r>
        <w:rPr>
          <w:rFonts w:hint="eastAsia" w:ascii="仿宋" w:hAnsi="仿宋" w:eastAsia="仿宋" w:cs="仿宋"/>
          <w:color w:val="auto"/>
          <w:highlight w:val="none"/>
        </w:rPr>
        <w:t>格式自拟</w:t>
      </w:r>
    </w:p>
    <w:p w14:paraId="02171925">
      <w:pPr>
        <w:shd w:val="clear"/>
        <w:spacing w:line="360" w:lineRule="auto"/>
        <w:rPr>
          <w:rFonts w:ascii="仿宋" w:hAnsi="仿宋" w:eastAsia="仿宋" w:cs="仿宋"/>
          <w:color w:val="auto"/>
          <w:sz w:val="24"/>
          <w:szCs w:val="24"/>
          <w:highlight w:val="none"/>
        </w:rPr>
      </w:pPr>
    </w:p>
    <w:p w14:paraId="19EC5D6C">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135B48E4">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43DF034A">
      <w:pPr>
        <w:pStyle w:val="28"/>
        <w:shd w:val="clear"/>
        <w:ind w:firstLine="52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16CCEEB7">
      <w:pPr>
        <w:shd w:val="clear"/>
        <w:adjustRightInd w:val="0"/>
        <w:snapToGrid w:val="0"/>
        <w:spacing w:line="360" w:lineRule="auto"/>
        <w:jc w:val="left"/>
        <w:rPr>
          <w:rFonts w:ascii="仿宋" w:hAnsi="仿宋" w:eastAsia="仿宋" w:cs="仿宋"/>
          <w:color w:val="auto"/>
          <w:sz w:val="24"/>
          <w:szCs w:val="24"/>
          <w:highlight w:val="none"/>
        </w:rPr>
      </w:pPr>
    </w:p>
    <w:p w14:paraId="0AF2E6A6">
      <w:pPr>
        <w:shd w:val="clear"/>
        <w:adjustRightInd w:val="0"/>
        <w:snapToGrid w:val="0"/>
        <w:spacing w:line="360" w:lineRule="auto"/>
        <w:jc w:val="left"/>
        <w:rPr>
          <w:rFonts w:ascii="仿宋" w:hAnsi="仿宋" w:eastAsia="仿宋" w:cs="仿宋"/>
          <w:color w:val="auto"/>
          <w:sz w:val="24"/>
          <w:szCs w:val="24"/>
          <w:highlight w:val="none"/>
        </w:rPr>
      </w:pPr>
    </w:p>
    <w:p w14:paraId="509CD7A3">
      <w:pPr>
        <w:shd w:val="clear"/>
        <w:ind w:firstLine="241" w:firstLineChars="100"/>
        <w:jc w:val="center"/>
        <w:rPr>
          <w:rFonts w:hint="eastAsia" w:ascii="仿宋" w:hAnsi="仿宋" w:eastAsia="仿宋" w:cs="仿宋"/>
          <w:b/>
          <w:bCs w:val="0"/>
          <w:color w:val="auto"/>
          <w:spacing w:val="0"/>
          <w:kern w:val="0"/>
          <w:sz w:val="24"/>
          <w:szCs w:val="24"/>
          <w:highlight w:val="none"/>
          <w:lang w:val="en-US" w:eastAsia="zh-CN" w:bidi="ar-SA"/>
        </w:rPr>
      </w:pPr>
    </w:p>
    <w:p w14:paraId="348828C6">
      <w:pPr>
        <w:shd w:val="clear"/>
        <w:ind w:firstLine="241" w:firstLineChars="100"/>
        <w:jc w:val="center"/>
        <w:rPr>
          <w:rFonts w:hint="eastAsia" w:ascii="仿宋" w:hAnsi="仿宋" w:eastAsia="仿宋" w:cs="仿宋"/>
          <w:b/>
          <w:bCs w:val="0"/>
          <w:color w:val="auto"/>
          <w:spacing w:val="0"/>
          <w:kern w:val="0"/>
          <w:sz w:val="24"/>
          <w:szCs w:val="24"/>
          <w:highlight w:val="none"/>
          <w:lang w:val="en-US" w:eastAsia="zh-CN" w:bidi="ar-SA"/>
        </w:rPr>
      </w:pPr>
    </w:p>
    <w:p w14:paraId="7CD8C4FD">
      <w:pPr>
        <w:shd w:val="clear"/>
        <w:ind w:firstLine="241" w:firstLineChars="100"/>
        <w:jc w:val="center"/>
        <w:rPr>
          <w:rFonts w:hint="eastAsia" w:ascii="仿宋" w:hAnsi="仿宋" w:eastAsia="仿宋" w:cs="仿宋"/>
          <w:b/>
          <w:bCs w:val="0"/>
          <w:color w:val="auto"/>
          <w:spacing w:val="0"/>
          <w:kern w:val="0"/>
          <w:sz w:val="24"/>
          <w:szCs w:val="24"/>
          <w:highlight w:val="none"/>
          <w:lang w:val="en-US" w:eastAsia="zh-CN" w:bidi="ar-SA"/>
        </w:rPr>
      </w:pPr>
    </w:p>
    <w:p w14:paraId="65F4125E">
      <w:pPr>
        <w:shd w:val="clear"/>
        <w:ind w:firstLine="241" w:firstLineChars="100"/>
        <w:jc w:val="center"/>
        <w:rPr>
          <w:rFonts w:hint="eastAsia" w:ascii="仿宋" w:hAnsi="仿宋" w:eastAsia="仿宋" w:cs="仿宋"/>
          <w:b/>
          <w:bCs w:val="0"/>
          <w:color w:val="auto"/>
          <w:spacing w:val="0"/>
          <w:kern w:val="0"/>
          <w:sz w:val="24"/>
          <w:szCs w:val="24"/>
          <w:highlight w:val="none"/>
          <w:lang w:val="en-US" w:eastAsia="zh-CN" w:bidi="ar-SA"/>
        </w:rPr>
      </w:pPr>
    </w:p>
    <w:p w14:paraId="14200E8F">
      <w:pPr>
        <w:shd w:val="clear"/>
        <w:ind w:firstLine="241" w:firstLineChars="100"/>
        <w:jc w:val="center"/>
        <w:rPr>
          <w:rFonts w:hint="eastAsia" w:ascii="仿宋" w:hAnsi="仿宋" w:eastAsia="仿宋" w:cs="仿宋"/>
          <w:color w:val="auto"/>
          <w:highlight w:val="none"/>
        </w:rPr>
      </w:pPr>
      <w:r>
        <w:rPr>
          <w:rFonts w:hint="eastAsia" w:ascii="仿宋" w:hAnsi="仿宋" w:eastAsia="仿宋" w:cs="仿宋"/>
          <w:b/>
          <w:bCs w:val="0"/>
          <w:color w:val="auto"/>
          <w:spacing w:val="0"/>
          <w:kern w:val="0"/>
          <w:sz w:val="24"/>
          <w:szCs w:val="24"/>
          <w:highlight w:val="none"/>
          <w:lang w:val="en-US" w:eastAsia="zh-CN" w:bidi="ar-SA"/>
        </w:rPr>
        <w:t>格式6、保密制度方案</w:t>
      </w:r>
    </w:p>
    <w:p w14:paraId="35960EB8">
      <w:pPr>
        <w:pStyle w:val="9"/>
        <w:shd w:val="clear"/>
        <w:jc w:val="center"/>
        <w:rPr>
          <w:rFonts w:ascii="仿宋" w:hAnsi="仿宋" w:eastAsia="仿宋" w:cs="仿宋"/>
          <w:color w:val="auto"/>
          <w:highlight w:val="none"/>
        </w:rPr>
      </w:pPr>
      <w:bookmarkStart w:id="662" w:name="_Toc15220"/>
      <w:bookmarkStart w:id="663" w:name="_Toc9161"/>
      <w:r>
        <w:rPr>
          <w:rFonts w:hint="eastAsia" w:ascii="仿宋" w:hAnsi="仿宋" w:eastAsia="仿宋" w:cs="仿宋"/>
          <w:color w:val="auto"/>
          <w:highlight w:val="none"/>
        </w:rPr>
        <w:t>格式自拟</w:t>
      </w:r>
    </w:p>
    <w:p w14:paraId="1B169B1A">
      <w:pPr>
        <w:shd w:val="clear"/>
        <w:spacing w:line="360" w:lineRule="auto"/>
        <w:rPr>
          <w:rFonts w:ascii="仿宋" w:hAnsi="仿宋" w:eastAsia="仿宋" w:cs="仿宋"/>
          <w:color w:val="auto"/>
          <w:sz w:val="24"/>
          <w:szCs w:val="24"/>
          <w:highlight w:val="none"/>
        </w:rPr>
      </w:pPr>
    </w:p>
    <w:p w14:paraId="2AA4646D">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2D1F43A8">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1269856D">
      <w:pPr>
        <w:pStyle w:val="28"/>
        <w:shd w:val="clear"/>
        <w:ind w:firstLine="52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6CEE8DDD">
      <w:pPr>
        <w:rPr>
          <w:rFonts w:hint="eastAsia" w:ascii="仿宋" w:hAnsi="仿宋" w:eastAsia="仿宋" w:cs="仿宋"/>
          <w:b/>
          <w:color w:val="auto"/>
          <w:sz w:val="24"/>
          <w:szCs w:val="24"/>
          <w:highlight w:val="none"/>
        </w:rPr>
      </w:pPr>
    </w:p>
    <w:p w14:paraId="3DD0A0C2">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776CAF8C">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rPr>
        <w:t>、中小企业声明函</w:t>
      </w:r>
      <w:bookmarkEnd w:id="662"/>
      <w:bookmarkEnd w:id="663"/>
    </w:p>
    <w:p w14:paraId="3ADCAE10">
      <w:pPr>
        <w:pStyle w:val="19"/>
        <w:shd w:val="clear" w:color="auto"/>
        <w:spacing w:before="0" w:beforeAutospacing="0" w:after="0" w:afterAutospacing="0" w:line="510" w:lineRule="atLeast"/>
        <w:ind w:firstLine="480"/>
        <w:rPr>
          <w:rFonts w:hint="eastAsia" w:ascii="仿宋" w:hAnsi="仿宋" w:eastAsia="仿宋" w:cs="仿宋"/>
          <w:color w:val="auto"/>
          <w:spacing w:val="8"/>
          <w:sz w:val="24"/>
          <w:szCs w:val="24"/>
          <w:highlight w:val="none"/>
          <w:shd w:val="clear" w:color="auto" w:fill="FCFCFC"/>
        </w:rPr>
      </w:pPr>
      <w:r>
        <w:rPr>
          <w:rFonts w:hint="eastAsia" w:ascii="仿宋" w:hAnsi="仿宋" w:eastAsia="仿宋" w:cs="仿宋"/>
          <w:color w:val="auto"/>
          <w:spacing w:val="8"/>
          <w:sz w:val="24"/>
          <w:szCs w:val="24"/>
          <w:highlight w:val="none"/>
          <w:shd w:val="clear" w:color="auto" w:fill="FCFCFC"/>
        </w:rPr>
        <w:t>本公司</w:t>
      </w:r>
      <w:r>
        <w:rPr>
          <w:rFonts w:hint="eastAsia" w:ascii="仿宋" w:hAnsi="仿宋" w:eastAsia="仿宋" w:cs="仿宋"/>
          <w:color w:val="auto"/>
          <w:spacing w:val="8"/>
          <w:sz w:val="24"/>
          <w:szCs w:val="24"/>
          <w:highlight w:val="none"/>
          <w:u w:val="single"/>
          <w:shd w:val="clear" w:color="auto" w:fill="FCFCFC"/>
        </w:rPr>
        <w:t>（联合体）</w:t>
      </w:r>
      <w:r>
        <w:rPr>
          <w:rFonts w:hint="eastAsia" w:ascii="仿宋" w:hAnsi="仿宋" w:eastAsia="仿宋" w:cs="仿宋"/>
          <w:color w:val="auto"/>
          <w:spacing w:val="8"/>
          <w:sz w:val="24"/>
          <w:szCs w:val="24"/>
          <w:highlight w:val="none"/>
          <w:shd w:val="clear" w:color="auto" w:fill="FCFCFC"/>
        </w:rPr>
        <w:t>郑重声明，根据《政府采购促进中小企业发展管理办法》（财库﹝2020﹞46 号）的规定，本公司</w:t>
      </w:r>
      <w:r>
        <w:rPr>
          <w:rFonts w:hint="eastAsia" w:ascii="仿宋" w:hAnsi="仿宋" w:eastAsia="仿宋" w:cs="仿宋"/>
          <w:color w:val="auto"/>
          <w:spacing w:val="8"/>
          <w:sz w:val="24"/>
          <w:szCs w:val="24"/>
          <w:highlight w:val="none"/>
          <w:u w:val="single"/>
          <w:shd w:val="clear" w:color="auto" w:fill="FCFCFC"/>
        </w:rPr>
        <w:t>（联合体）</w:t>
      </w:r>
      <w:r>
        <w:rPr>
          <w:rFonts w:hint="eastAsia" w:ascii="仿宋" w:hAnsi="仿宋" w:eastAsia="仿宋" w:cs="仿宋"/>
          <w:color w:val="auto"/>
          <w:spacing w:val="8"/>
          <w:sz w:val="24"/>
          <w:szCs w:val="24"/>
          <w:highlight w:val="none"/>
          <w:shd w:val="clear" w:color="auto" w:fill="FCFCFC"/>
        </w:rPr>
        <w:t>参加</w:t>
      </w:r>
      <w:r>
        <w:rPr>
          <w:rFonts w:hint="eastAsia" w:ascii="仿宋" w:hAnsi="仿宋" w:eastAsia="仿宋" w:cs="仿宋"/>
          <w:color w:val="auto"/>
          <w:spacing w:val="8"/>
          <w:sz w:val="24"/>
          <w:szCs w:val="24"/>
          <w:highlight w:val="none"/>
          <w:u w:val="single"/>
          <w:shd w:val="clear" w:color="auto" w:fill="FCFCFC"/>
        </w:rPr>
        <w:t>（单位名称）</w:t>
      </w:r>
      <w:r>
        <w:rPr>
          <w:rFonts w:hint="eastAsia" w:ascii="仿宋" w:hAnsi="仿宋" w:eastAsia="仿宋" w:cs="仿宋"/>
          <w:color w:val="auto"/>
          <w:spacing w:val="8"/>
          <w:sz w:val="24"/>
          <w:szCs w:val="24"/>
          <w:highlight w:val="none"/>
          <w:shd w:val="clear" w:color="auto" w:fill="FCFCFC"/>
        </w:rPr>
        <w:t>的</w:t>
      </w:r>
      <w:r>
        <w:rPr>
          <w:rFonts w:hint="eastAsia" w:ascii="仿宋" w:hAnsi="仿宋" w:eastAsia="仿宋" w:cs="仿宋"/>
          <w:color w:val="auto"/>
          <w:spacing w:val="8"/>
          <w:sz w:val="24"/>
          <w:szCs w:val="24"/>
          <w:highlight w:val="none"/>
          <w:u w:val="single"/>
          <w:shd w:val="clear" w:color="auto" w:fill="FCFCFC"/>
        </w:rPr>
        <w:t>（项目名称）</w:t>
      </w:r>
      <w:r>
        <w:rPr>
          <w:rFonts w:hint="eastAsia" w:ascii="仿宋" w:hAnsi="仿宋" w:eastAsia="仿宋" w:cs="仿宋"/>
          <w:color w:val="auto"/>
          <w:spacing w:val="8"/>
          <w:sz w:val="24"/>
          <w:szCs w:val="24"/>
          <w:highlight w:val="none"/>
          <w:shd w:val="clear" w:color="auto" w:fill="FCFCFC"/>
        </w:rPr>
        <w:t>采购活动，提供的货物全部由符合政策要求的中小企业制造。相关企业(含联合体中的中小企业、签订分包意向协议的中小企业)的具体情况如下:</w:t>
      </w:r>
    </w:p>
    <w:p w14:paraId="24B87AE9">
      <w:pPr>
        <w:pStyle w:val="19"/>
        <w:shd w:val="clear" w:color="auto"/>
        <w:spacing w:before="0" w:beforeAutospacing="0" w:after="0" w:afterAutospacing="0" w:line="510" w:lineRule="atLeast"/>
        <w:ind w:firstLine="480"/>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shd w:val="clear" w:color="auto" w:fill="FCFCFC"/>
        </w:rPr>
        <w:t>1.</w:t>
      </w:r>
      <w:r>
        <w:rPr>
          <w:rFonts w:hint="eastAsia" w:ascii="仿宋" w:hAnsi="仿宋" w:eastAsia="仿宋" w:cs="仿宋"/>
          <w:color w:val="auto"/>
          <w:spacing w:val="8"/>
          <w:sz w:val="24"/>
          <w:szCs w:val="24"/>
          <w:highlight w:val="none"/>
          <w:u w:val="single"/>
          <w:shd w:val="clear" w:color="auto" w:fill="FCFCFC"/>
        </w:rPr>
        <w:t>（标的名称）</w:t>
      </w:r>
      <w:r>
        <w:rPr>
          <w:rFonts w:hint="eastAsia" w:ascii="仿宋" w:hAnsi="仿宋" w:eastAsia="仿宋" w:cs="仿宋"/>
          <w:color w:val="auto"/>
          <w:spacing w:val="8"/>
          <w:sz w:val="24"/>
          <w:szCs w:val="24"/>
          <w:highlight w:val="none"/>
          <w:shd w:val="clear" w:color="auto" w:fill="FCFCFC"/>
        </w:rPr>
        <w:t>，属于</w:t>
      </w:r>
      <w:r>
        <w:rPr>
          <w:rFonts w:hint="eastAsia" w:ascii="仿宋" w:hAnsi="仿宋" w:eastAsia="仿宋" w:cs="仿宋"/>
          <w:color w:val="auto"/>
          <w:spacing w:val="8"/>
          <w:sz w:val="24"/>
          <w:szCs w:val="24"/>
          <w:highlight w:val="none"/>
          <w:u w:val="single"/>
          <w:shd w:val="clear" w:color="auto" w:fill="FCFCFC"/>
        </w:rPr>
        <w:t>（采购文件中明确的所属行业）</w:t>
      </w:r>
      <w:r>
        <w:rPr>
          <w:rFonts w:hint="eastAsia" w:ascii="仿宋" w:hAnsi="仿宋" w:eastAsia="仿宋" w:cs="仿宋"/>
          <w:color w:val="auto"/>
          <w:spacing w:val="8"/>
          <w:sz w:val="24"/>
          <w:szCs w:val="24"/>
          <w:highlight w:val="none"/>
          <w:shd w:val="clear" w:color="auto" w:fill="FCFCFC"/>
        </w:rPr>
        <w:t>；制造商为</w:t>
      </w:r>
      <w:r>
        <w:rPr>
          <w:rFonts w:hint="eastAsia" w:ascii="仿宋" w:hAnsi="仿宋" w:eastAsia="仿宋" w:cs="仿宋"/>
          <w:color w:val="auto"/>
          <w:spacing w:val="8"/>
          <w:sz w:val="24"/>
          <w:szCs w:val="24"/>
          <w:highlight w:val="none"/>
          <w:u w:val="single"/>
          <w:shd w:val="clear" w:color="auto" w:fill="FCFCFC"/>
        </w:rPr>
        <w:t>（企业名称）</w:t>
      </w:r>
      <w:r>
        <w:rPr>
          <w:rFonts w:hint="eastAsia" w:ascii="仿宋" w:hAnsi="仿宋" w:eastAsia="仿宋" w:cs="仿宋"/>
          <w:color w:val="auto"/>
          <w:spacing w:val="8"/>
          <w:sz w:val="24"/>
          <w:szCs w:val="24"/>
          <w:highlight w:val="none"/>
          <w:shd w:val="clear" w:color="auto" w:fill="FCFCFC"/>
        </w:rPr>
        <w:t>，从业人员</w:t>
      </w:r>
      <w:r>
        <w:rPr>
          <w:rFonts w:hint="eastAsia" w:ascii="仿宋" w:hAnsi="仿宋" w:eastAsia="仿宋" w:cs="仿宋"/>
          <w:color w:val="auto"/>
          <w:spacing w:val="8"/>
          <w:sz w:val="24"/>
          <w:szCs w:val="24"/>
          <w:highlight w:val="none"/>
          <w:u w:val="single"/>
          <w:shd w:val="clear" w:color="auto" w:fill="FCFCFC"/>
        </w:rPr>
        <w:t xml:space="preserve">    </w:t>
      </w:r>
      <w:r>
        <w:rPr>
          <w:rFonts w:hint="eastAsia" w:ascii="仿宋" w:hAnsi="仿宋" w:eastAsia="仿宋" w:cs="仿宋"/>
          <w:color w:val="auto"/>
          <w:spacing w:val="8"/>
          <w:sz w:val="24"/>
          <w:szCs w:val="24"/>
          <w:highlight w:val="none"/>
          <w:shd w:val="clear" w:color="auto" w:fill="FCFCFC"/>
        </w:rPr>
        <w:t>人，营业收入为</w:t>
      </w:r>
      <w:r>
        <w:rPr>
          <w:rFonts w:hint="eastAsia" w:ascii="仿宋" w:hAnsi="仿宋" w:eastAsia="仿宋" w:cs="仿宋"/>
          <w:color w:val="auto"/>
          <w:spacing w:val="8"/>
          <w:sz w:val="24"/>
          <w:szCs w:val="24"/>
          <w:highlight w:val="none"/>
          <w:u w:val="single"/>
          <w:shd w:val="clear" w:color="auto" w:fill="FCFCFC"/>
        </w:rPr>
        <w:t xml:space="preserve">       </w:t>
      </w:r>
      <w:r>
        <w:rPr>
          <w:rFonts w:hint="eastAsia" w:ascii="仿宋" w:hAnsi="仿宋" w:eastAsia="仿宋" w:cs="仿宋"/>
          <w:color w:val="auto"/>
          <w:spacing w:val="8"/>
          <w:sz w:val="24"/>
          <w:szCs w:val="24"/>
          <w:highlight w:val="none"/>
          <w:shd w:val="clear" w:color="auto" w:fill="FCFCFC"/>
        </w:rPr>
        <w:t>万元，资产总额为</w:t>
      </w:r>
      <w:r>
        <w:rPr>
          <w:rFonts w:hint="eastAsia" w:ascii="仿宋" w:hAnsi="仿宋" w:eastAsia="仿宋" w:cs="仿宋"/>
          <w:color w:val="auto"/>
          <w:spacing w:val="8"/>
          <w:sz w:val="24"/>
          <w:szCs w:val="24"/>
          <w:highlight w:val="none"/>
          <w:u w:val="single"/>
          <w:shd w:val="clear" w:color="auto" w:fill="FCFCFC"/>
        </w:rPr>
        <w:t xml:space="preserve">       </w:t>
      </w:r>
      <w:r>
        <w:rPr>
          <w:rFonts w:hint="eastAsia" w:ascii="仿宋" w:hAnsi="仿宋" w:eastAsia="仿宋" w:cs="仿宋"/>
          <w:color w:val="auto"/>
          <w:spacing w:val="8"/>
          <w:sz w:val="24"/>
          <w:szCs w:val="24"/>
          <w:highlight w:val="none"/>
          <w:shd w:val="clear" w:color="auto" w:fill="FCFCFC"/>
        </w:rPr>
        <w:t>万元，属于</w:t>
      </w:r>
      <w:r>
        <w:rPr>
          <w:rFonts w:hint="eastAsia" w:ascii="仿宋" w:hAnsi="仿宋" w:eastAsia="仿宋" w:cs="仿宋"/>
          <w:color w:val="auto"/>
          <w:spacing w:val="8"/>
          <w:sz w:val="24"/>
          <w:szCs w:val="24"/>
          <w:highlight w:val="none"/>
          <w:u w:val="single"/>
          <w:shd w:val="clear" w:color="auto" w:fill="FCFCFC"/>
        </w:rPr>
        <w:t>（中型企业、小型企业、微型企业）</w:t>
      </w:r>
      <w:r>
        <w:rPr>
          <w:rFonts w:hint="eastAsia" w:ascii="仿宋" w:hAnsi="仿宋" w:eastAsia="仿宋" w:cs="仿宋"/>
          <w:color w:val="auto"/>
          <w:spacing w:val="8"/>
          <w:sz w:val="24"/>
          <w:szCs w:val="24"/>
          <w:highlight w:val="none"/>
          <w:shd w:val="clear" w:color="auto" w:fill="FCFCFC"/>
        </w:rPr>
        <w:t>；</w:t>
      </w:r>
    </w:p>
    <w:p w14:paraId="4F78A3A4">
      <w:pPr>
        <w:pStyle w:val="19"/>
        <w:shd w:val="clear" w:color="auto"/>
        <w:spacing w:before="0" w:beforeAutospacing="0" w:after="0" w:afterAutospacing="0" w:line="510" w:lineRule="atLeast"/>
        <w:ind w:firstLine="480"/>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shd w:val="clear" w:color="auto" w:fill="FCFCFC"/>
        </w:rPr>
        <w:t>2.</w:t>
      </w:r>
      <w:r>
        <w:rPr>
          <w:rFonts w:hint="eastAsia" w:ascii="仿宋" w:hAnsi="仿宋" w:eastAsia="仿宋" w:cs="仿宋"/>
          <w:color w:val="auto"/>
          <w:spacing w:val="8"/>
          <w:sz w:val="24"/>
          <w:szCs w:val="24"/>
          <w:highlight w:val="none"/>
          <w:u w:val="single"/>
          <w:shd w:val="clear" w:color="auto" w:fill="FCFCFC"/>
        </w:rPr>
        <w:t>（标的名称）</w:t>
      </w:r>
      <w:r>
        <w:rPr>
          <w:rFonts w:hint="eastAsia" w:ascii="仿宋" w:hAnsi="仿宋" w:eastAsia="仿宋" w:cs="仿宋"/>
          <w:color w:val="auto"/>
          <w:spacing w:val="8"/>
          <w:sz w:val="24"/>
          <w:szCs w:val="24"/>
          <w:highlight w:val="none"/>
          <w:shd w:val="clear" w:color="auto" w:fill="FCFCFC"/>
        </w:rPr>
        <w:t>，属于</w:t>
      </w:r>
      <w:r>
        <w:rPr>
          <w:rFonts w:hint="eastAsia" w:ascii="仿宋" w:hAnsi="仿宋" w:eastAsia="仿宋" w:cs="仿宋"/>
          <w:color w:val="auto"/>
          <w:spacing w:val="8"/>
          <w:sz w:val="24"/>
          <w:szCs w:val="24"/>
          <w:highlight w:val="none"/>
          <w:u w:val="single"/>
          <w:shd w:val="clear" w:color="auto" w:fill="FCFCFC"/>
        </w:rPr>
        <w:t>（采购文件中明确的所属行业）</w:t>
      </w:r>
      <w:r>
        <w:rPr>
          <w:rFonts w:hint="eastAsia" w:ascii="仿宋" w:hAnsi="仿宋" w:eastAsia="仿宋" w:cs="仿宋"/>
          <w:color w:val="auto"/>
          <w:spacing w:val="8"/>
          <w:sz w:val="24"/>
          <w:szCs w:val="24"/>
          <w:highlight w:val="none"/>
          <w:shd w:val="clear" w:color="auto" w:fill="FCFCFC"/>
        </w:rPr>
        <w:t>；制造商</w:t>
      </w:r>
      <w:r>
        <w:rPr>
          <w:rFonts w:hint="eastAsia" w:ascii="仿宋" w:hAnsi="仿宋" w:eastAsia="仿宋" w:cs="仿宋"/>
          <w:color w:val="auto"/>
          <w:spacing w:val="8"/>
          <w:sz w:val="24"/>
          <w:szCs w:val="24"/>
          <w:highlight w:val="none"/>
          <w:u w:val="single"/>
          <w:shd w:val="clear" w:color="auto" w:fill="FCFCFC"/>
        </w:rPr>
        <w:t>（企业名称）</w:t>
      </w:r>
      <w:r>
        <w:rPr>
          <w:rFonts w:hint="eastAsia" w:ascii="仿宋" w:hAnsi="仿宋" w:eastAsia="仿宋" w:cs="仿宋"/>
          <w:color w:val="auto"/>
          <w:spacing w:val="8"/>
          <w:sz w:val="24"/>
          <w:szCs w:val="24"/>
          <w:highlight w:val="none"/>
          <w:shd w:val="clear" w:color="auto" w:fill="FCFCFC"/>
        </w:rPr>
        <w:t>，从业人员</w:t>
      </w:r>
      <w:r>
        <w:rPr>
          <w:rFonts w:hint="eastAsia" w:ascii="仿宋" w:hAnsi="仿宋" w:eastAsia="仿宋" w:cs="仿宋"/>
          <w:color w:val="auto"/>
          <w:spacing w:val="8"/>
          <w:sz w:val="24"/>
          <w:szCs w:val="24"/>
          <w:highlight w:val="none"/>
          <w:u w:val="single"/>
          <w:shd w:val="clear" w:color="auto" w:fill="FCFCFC"/>
        </w:rPr>
        <w:t xml:space="preserve">    </w:t>
      </w:r>
      <w:r>
        <w:rPr>
          <w:rFonts w:hint="eastAsia" w:ascii="仿宋" w:hAnsi="仿宋" w:eastAsia="仿宋" w:cs="仿宋"/>
          <w:color w:val="auto"/>
          <w:spacing w:val="8"/>
          <w:sz w:val="24"/>
          <w:szCs w:val="24"/>
          <w:highlight w:val="none"/>
          <w:shd w:val="clear" w:color="auto" w:fill="FCFCFC"/>
        </w:rPr>
        <w:t>人，营业收入为</w:t>
      </w:r>
      <w:r>
        <w:rPr>
          <w:rFonts w:hint="eastAsia" w:ascii="仿宋" w:hAnsi="仿宋" w:eastAsia="仿宋" w:cs="仿宋"/>
          <w:color w:val="auto"/>
          <w:spacing w:val="8"/>
          <w:sz w:val="24"/>
          <w:szCs w:val="24"/>
          <w:highlight w:val="none"/>
          <w:u w:val="single"/>
          <w:shd w:val="clear" w:color="auto" w:fill="FCFCFC"/>
        </w:rPr>
        <w:t xml:space="preserve">       </w:t>
      </w:r>
      <w:r>
        <w:rPr>
          <w:rFonts w:hint="eastAsia" w:ascii="仿宋" w:hAnsi="仿宋" w:eastAsia="仿宋" w:cs="仿宋"/>
          <w:color w:val="auto"/>
          <w:spacing w:val="8"/>
          <w:sz w:val="24"/>
          <w:szCs w:val="24"/>
          <w:highlight w:val="none"/>
          <w:shd w:val="clear" w:color="auto" w:fill="FCFCFC"/>
        </w:rPr>
        <w:t>万元，资产总额为</w:t>
      </w:r>
      <w:r>
        <w:rPr>
          <w:rFonts w:hint="eastAsia" w:ascii="仿宋" w:hAnsi="仿宋" w:eastAsia="仿宋" w:cs="仿宋"/>
          <w:color w:val="auto"/>
          <w:spacing w:val="8"/>
          <w:sz w:val="24"/>
          <w:szCs w:val="24"/>
          <w:highlight w:val="none"/>
          <w:u w:val="single"/>
          <w:shd w:val="clear" w:color="auto" w:fill="FCFCFC"/>
        </w:rPr>
        <w:t xml:space="preserve">       </w:t>
      </w:r>
      <w:r>
        <w:rPr>
          <w:rFonts w:hint="eastAsia" w:ascii="仿宋" w:hAnsi="仿宋" w:eastAsia="仿宋" w:cs="仿宋"/>
          <w:color w:val="auto"/>
          <w:spacing w:val="8"/>
          <w:sz w:val="24"/>
          <w:szCs w:val="24"/>
          <w:highlight w:val="none"/>
          <w:shd w:val="clear" w:color="auto" w:fill="FCFCFC"/>
        </w:rPr>
        <w:t>万元，属于</w:t>
      </w:r>
      <w:r>
        <w:rPr>
          <w:rFonts w:hint="eastAsia" w:ascii="仿宋" w:hAnsi="仿宋" w:eastAsia="仿宋" w:cs="仿宋"/>
          <w:color w:val="auto"/>
          <w:spacing w:val="8"/>
          <w:sz w:val="24"/>
          <w:szCs w:val="24"/>
          <w:highlight w:val="none"/>
          <w:u w:val="single"/>
          <w:shd w:val="clear" w:color="auto" w:fill="FCFCFC"/>
        </w:rPr>
        <w:t>（中型企业、小型企业、微型企业）</w:t>
      </w:r>
      <w:r>
        <w:rPr>
          <w:rFonts w:hint="eastAsia" w:ascii="仿宋" w:hAnsi="仿宋" w:eastAsia="仿宋" w:cs="仿宋"/>
          <w:color w:val="auto"/>
          <w:spacing w:val="8"/>
          <w:sz w:val="24"/>
          <w:szCs w:val="24"/>
          <w:highlight w:val="none"/>
          <w:shd w:val="clear" w:color="auto" w:fill="FCFCFC"/>
        </w:rPr>
        <w:t>；</w:t>
      </w:r>
    </w:p>
    <w:p w14:paraId="4A05D6BC">
      <w:pPr>
        <w:pStyle w:val="19"/>
        <w:shd w:val="clear" w:color="auto"/>
        <w:spacing w:before="0" w:beforeAutospacing="0" w:after="0" w:afterAutospacing="0" w:line="510" w:lineRule="atLeast"/>
        <w:ind w:firstLine="480"/>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shd w:val="clear" w:color="auto" w:fill="FCFCFC"/>
        </w:rPr>
        <w:t>……</w:t>
      </w:r>
    </w:p>
    <w:p w14:paraId="2FF0AB94">
      <w:pPr>
        <w:pStyle w:val="19"/>
        <w:shd w:val="clear" w:color="auto"/>
        <w:spacing w:before="0" w:beforeAutospacing="0" w:after="0" w:afterAutospacing="0" w:line="510" w:lineRule="atLeast"/>
        <w:ind w:firstLine="480"/>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shd w:val="clear" w:color="auto" w:fill="FCFCFC"/>
        </w:rPr>
        <w:t>以上企业，不属于大企业的分支机构，不存在控股股东为大企业的情形，也不存在与大企业的负责人为同一人的情形。</w:t>
      </w:r>
    </w:p>
    <w:p w14:paraId="4D944D05">
      <w:pPr>
        <w:widowControl/>
        <w:shd w:val="clear"/>
        <w:spacing w:line="360" w:lineRule="auto"/>
        <w:ind w:firstLine="512"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shd w:val="clear" w:color="auto" w:fill="FCFCFC"/>
        </w:rPr>
        <w:t>本企业对上述声明内容的真实性负责。如有虚假，将依法承担相应责任。</w:t>
      </w:r>
    </w:p>
    <w:p w14:paraId="75EC3AEC">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auto"/>
          <w:sz w:val="24"/>
          <w:szCs w:val="24"/>
          <w:highlight w:val="none"/>
          <w:lang w:eastAsia="zh-CN"/>
        </w:rPr>
      </w:pPr>
    </w:p>
    <w:p w14:paraId="041BDD4D">
      <w:pPr>
        <w:shd w:val="clear"/>
        <w:spacing w:line="360" w:lineRule="auto"/>
        <w:rPr>
          <w:rFonts w:hint="eastAsia" w:ascii="仿宋" w:hAnsi="仿宋" w:eastAsia="仿宋" w:cs="仿宋"/>
          <w:color w:val="auto"/>
          <w:highlight w:val="none"/>
        </w:rPr>
      </w:pPr>
    </w:p>
    <w:p w14:paraId="18FA347A">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0E5810FE">
      <w:pPr>
        <w:shd w:val="clear"/>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2E8B80B8">
      <w:pPr>
        <w:shd w:val="clear"/>
        <w:spacing w:line="360" w:lineRule="auto"/>
        <w:rPr>
          <w:rFonts w:hint="eastAsia" w:ascii="仿宋" w:hAnsi="仿宋" w:eastAsia="仿宋" w:cs="仿宋"/>
          <w:b/>
          <w:bCs/>
          <w:color w:val="auto"/>
          <w:sz w:val="24"/>
          <w:szCs w:val="24"/>
          <w:highlight w:val="none"/>
        </w:rPr>
      </w:pPr>
    </w:p>
    <w:p w14:paraId="53491D2B">
      <w:pPr>
        <w:widowControl/>
        <w:shd w:val="clea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注：1、从业人员、营业收入、资产总额填报上一年度数据，无上一年度数据的新成立企业可不填报</w:t>
      </w:r>
    </w:p>
    <w:p w14:paraId="6E83371E">
      <w:pPr>
        <w:widowControl/>
        <w:shd w:val="clear"/>
        <w:spacing w:line="360" w:lineRule="auto"/>
        <w:ind w:firstLine="482" w:firstLineChars="200"/>
        <w:rPr>
          <w:rFonts w:hint="eastAsia" w:ascii="仿宋" w:hAnsi="仿宋" w:eastAsia="仿宋" w:cs="仿宋"/>
          <w:color w:val="auto"/>
          <w:kern w:val="0"/>
          <w:szCs w:val="21"/>
          <w:highlight w:val="none"/>
        </w:rPr>
        <w:sectPr>
          <w:footerReference r:id="rId6" w:type="default"/>
          <w:pgSz w:w="11906" w:h="16838"/>
          <w:pgMar w:top="1440" w:right="1080" w:bottom="1440" w:left="1080" w:header="794" w:footer="992" w:gutter="0"/>
          <w:pgBorders>
            <w:top w:val="none" w:sz="0" w:space="0"/>
            <w:left w:val="none" w:sz="0" w:space="0"/>
            <w:bottom w:val="none" w:sz="0" w:space="0"/>
            <w:right w:val="none" w:sz="0" w:space="0"/>
          </w:pgBorders>
          <w:pgNumType w:fmt="decimal"/>
          <w:cols w:space="425" w:num="1"/>
          <w:docGrid w:linePitch="312" w:charSpace="0"/>
        </w:sectPr>
      </w:pPr>
      <w:r>
        <w:rPr>
          <w:rFonts w:hint="eastAsia" w:ascii="仿宋" w:hAnsi="仿宋" w:eastAsia="仿宋" w:cs="仿宋"/>
          <w:b/>
          <w:bCs/>
          <w:color w:val="auto"/>
          <w:sz w:val="24"/>
          <w:szCs w:val="24"/>
          <w:highlight w:val="none"/>
        </w:rPr>
        <w:t>2、中小企业提供本企业制造的货物参与</w:t>
      </w:r>
      <w:r>
        <w:rPr>
          <w:rFonts w:hint="eastAsia" w:ascii="仿宋" w:hAnsi="仿宋" w:eastAsia="仿宋" w:cs="仿宋"/>
          <w:b/>
          <w:bCs/>
          <w:color w:val="auto"/>
          <w:sz w:val="24"/>
          <w:szCs w:val="24"/>
          <w:highlight w:val="none"/>
          <w:lang w:val="en-US" w:eastAsia="zh-CN"/>
        </w:rPr>
        <w:t>磋商申请</w:t>
      </w:r>
      <w:r>
        <w:rPr>
          <w:rFonts w:hint="eastAsia" w:ascii="仿宋" w:hAnsi="仿宋" w:eastAsia="仿宋" w:cs="仿宋"/>
          <w:b/>
          <w:bCs/>
          <w:color w:val="auto"/>
          <w:sz w:val="24"/>
          <w:szCs w:val="24"/>
          <w:highlight w:val="none"/>
        </w:rPr>
        <w:t>时，须提供本企业的《中小企业声明函》；中小企业提供其他中小企业制造的货物参与</w:t>
      </w:r>
      <w:r>
        <w:rPr>
          <w:rFonts w:hint="eastAsia" w:ascii="仿宋" w:hAnsi="仿宋" w:eastAsia="仿宋" w:cs="仿宋"/>
          <w:b/>
          <w:bCs/>
          <w:color w:val="auto"/>
          <w:sz w:val="24"/>
          <w:szCs w:val="24"/>
          <w:highlight w:val="none"/>
          <w:lang w:val="en-US" w:eastAsia="zh-CN"/>
        </w:rPr>
        <w:t>磋商申请</w:t>
      </w:r>
      <w:r>
        <w:rPr>
          <w:rFonts w:hint="eastAsia" w:ascii="仿宋" w:hAnsi="仿宋" w:eastAsia="仿宋" w:cs="仿宋"/>
          <w:b/>
          <w:bCs/>
          <w:color w:val="auto"/>
          <w:sz w:val="24"/>
          <w:szCs w:val="24"/>
          <w:highlight w:val="none"/>
        </w:rPr>
        <w:t>时，还须同时提供货物制造企业的《中小企业声明函》。</w:t>
      </w:r>
      <w:r>
        <w:rPr>
          <w:rFonts w:hint="eastAsia" w:ascii="仿宋" w:hAnsi="仿宋" w:eastAsia="仿宋" w:cs="仿宋"/>
          <w:b/>
          <w:bCs/>
          <w:color w:val="auto"/>
          <w:sz w:val="24"/>
          <w:szCs w:val="24"/>
          <w:highlight w:val="none"/>
        </w:rPr>
        <w:br w:type="page"/>
      </w:r>
    </w:p>
    <w:p w14:paraId="3B27F7D5">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bookmarkStart w:id="664" w:name="_Toc3828"/>
      <w:bookmarkStart w:id="665" w:name="_Toc9007"/>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、残疾人福利性单位声明函</w:t>
      </w:r>
      <w:bookmarkEnd w:id="664"/>
      <w:bookmarkEnd w:id="665"/>
    </w:p>
    <w:p w14:paraId="00B6408C">
      <w:pPr>
        <w:shd w:val="clear"/>
        <w:tabs>
          <w:tab w:val="left" w:pos="5580"/>
        </w:tabs>
        <w:spacing w:line="360" w:lineRule="auto"/>
        <w:jc w:val="center"/>
        <w:rPr>
          <w:rFonts w:hint="eastAsia" w:ascii="仿宋" w:hAnsi="仿宋" w:eastAsia="仿宋" w:cs="仿宋"/>
          <w:b/>
          <w:color w:val="auto"/>
          <w:sz w:val="28"/>
          <w:highlight w:val="none"/>
        </w:rPr>
      </w:pPr>
    </w:p>
    <w:p w14:paraId="3C06CD44">
      <w:pPr>
        <w:shd w:val="clear"/>
        <w:tabs>
          <w:tab w:val="left" w:pos="5580"/>
        </w:tabs>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《残疾人福利性单位声明函》（原件扫描件。符合《三部门联合发布关于促进残疾人就业政府采购政策的通知》（财库〔2017〕141号）价格扣减条件的投标人须提交）</w:t>
      </w:r>
    </w:p>
    <w:p w14:paraId="5C49F4EF">
      <w:pPr>
        <w:shd w:val="clear"/>
        <w:bidi w:val="0"/>
        <w:rPr>
          <w:rStyle w:val="25"/>
          <w:rFonts w:hint="eastAsia" w:ascii="仿宋" w:hAnsi="仿宋" w:eastAsia="仿宋" w:cs="仿宋"/>
          <w:color w:val="auto"/>
          <w:spacing w:val="8"/>
          <w:sz w:val="28"/>
          <w:szCs w:val="28"/>
          <w:highlight w:val="none"/>
          <w:shd w:val="clear" w:color="auto" w:fill="FCFCFC"/>
        </w:rPr>
      </w:pPr>
    </w:p>
    <w:p w14:paraId="74B39AA0">
      <w:pPr>
        <w:shd w:val="clear"/>
        <w:spacing w:line="360" w:lineRule="auto"/>
        <w:ind w:firstLine="504" w:firstLineChars="200"/>
        <w:rPr>
          <w:rFonts w:hint="eastAsia" w:ascii="仿宋" w:hAnsi="仿宋" w:eastAsia="仿宋" w:cs="仿宋"/>
          <w:color w:val="auto"/>
          <w:spacing w:val="6"/>
          <w:sz w:val="24"/>
          <w:szCs w:val="24"/>
          <w:highlight w:val="none"/>
        </w:rPr>
      </w:pPr>
    </w:p>
    <w:p w14:paraId="59008725">
      <w:pPr>
        <w:shd w:val="clea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〔2017〕141</w:t>
      </w:r>
      <w:r>
        <w:rPr>
          <w:rFonts w:hint="eastAsia" w:ascii="仿宋" w:hAnsi="仿宋" w:eastAsia="仿宋" w:cs="仿宋"/>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D94C70">
      <w:pPr>
        <w:shd w:val="clea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5E9ED64E">
      <w:pPr>
        <w:shd w:val="clea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78AB96A9">
      <w:pPr>
        <w:shd w:val="clea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lang w:eastAsia="zh-CN"/>
        </w:rPr>
      </w:pPr>
    </w:p>
    <w:p w14:paraId="120207F9">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5185AC1C">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778EC8EB">
      <w:pPr>
        <w:shd w:val="clea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rPr>
      </w:pPr>
    </w:p>
    <w:p w14:paraId="0192369F">
      <w:pPr>
        <w:shd w:val="clear"/>
        <w:spacing w:line="360" w:lineRule="auto"/>
        <w:ind w:firstLine="480" w:firstLineChars="200"/>
        <w:rPr>
          <w:rFonts w:hint="eastAsia" w:ascii="仿宋" w:hAnsi="仿宋" w:eastAsia="仿宋" w:cs="仿宋"/>
          <w:color w:val="auto"/>
          <w:sz w:val="24"/>
          <w:highlight w:val="none"/>
        </w:rPr>
      </w:pPr>
    </w:p>
    <w:p w14:paraId="4817EFA2">
      <w:pPr>
        <w:keepNext/>
        <w:keepLines/>
        <w:shd w:val="clear"/>
        <w:spacing w:before="312" w:after="312" w:line="360" w:lineRule="auto"/>
        <w:jc w:val="center"/>
        <w:outlineLvl w:val="1"/>
        <w:rPr>
          <w:rFonts w:hint="eastAsia" w:ascii="仿宋" w:hAnsi="仿宋" w:eastAsia="仿宋" w:cs="仿宋"/>
          <w:b/>
          <w:bCs/>
          <w:color w:val="auto"/>
          <w:szCs w:val="28"/>
          <w:highlight w:val="none"/>
        </w:rPr>
      </w:pPr>
      <w:r>
        <w:rPr>
          <w:rFonts w:hint="eastAsia" w:ascii="仿宋" w:hAnsi="仿宋" w:eastAsia="仿宋" w:cs="仿宋"/>
          <w:color w:val="auto"/>
          <w:highlight w:val="none"/>
        </w:rPr>
        <w:br w:type="page"/>
      </w:r>
      <w:bookmarkStart w:id="666" w:name="_Toc25118"/>
      <w:bookmarkStart w:id="667" w:name="_Toc21688"/>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、监狱企业证明文件</w:t>
      </w:r>
      <w:bookmarkEnd w:id="666"/>
      <w:bookmarkEnd w:id="667"/>
    </w:p>
    <w:p w14:paraId="73D94F2C">
      <w:pPr>
        <w:shd w:val="clear"/>
        <w:spacing w:line="360" w:lineRule="auto"/>
        <w:jc w:val="left"/>
        <w:rPr>
          <w:rFonts w:hint="eastAsia" w:ascii="仿宋" w:hAnsi="仿宋" w:eastAsia="仿宋" w:cs="仿宋"/>
          <w:b/>
          <w:color w:val="auto"/>
          <w:szCs w:val="21"/>
          <w:highlight w:val="none"/>
        </w:rPr>
      </w:pPr>
    </w:p>
    <w:p w14:paraId="2E48B98C">
      <w:pPr>
        <w:shd w:val="clear"/>
        <w:tabs>
          <w:tab w:val="left" w:pos="5580"/>
        </w:tabs>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《监狱企业证明文件》（原件。符合《财政部司法部关于政府采购支持监狱企业发展有关问题的通知》（财库[2014]68号）价格扣减条件的投标人须提交）</w:t>
      </w:r>
    </w:p>
    <w:p w14:paraId="760AA8E1">
      <w:pPr>
        <w:shd w:val="clear"/>
        <w:spacing w:line="360" w:lineRule="auto"/>
        <w:ind w:firstLine="480" w:firstLineChars="200"/>
        <w:jc w:val="left"/>
        <w:rPr>
          <w:rFonts w:hint="eastAsia" w:ascii="仿宋" w:hAnsi="仿宋" w:eastAsia="仿宋" w:cs="仿宋"/>
          <w:color w:val="auto"/>
          <w:sz w:val="24"/>
          <w:highlight w:val="none"/>
        </w:rPr>
      </w:pPr>
    </w:p>
    <w:p w14:paraId="7E302F81">
      <w:pPr>
        <w:shd w:val="clea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C09B17">
      <w:pPr>
        <w:shd w:val="clea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监狱企业参加政府采购活动时，应当提供由省级以上监狱管理局、戒毒管理局（含新疆生产建设兵团）出具的属于监狱企业的证明文件。</w:t>
      </w:r>
    </w:p>
    <w:p w14:paraId="5FD32372">
      <w:pPr>
        <w:widowControl/>
        <w:shd w:val="clear"/>
        <w:spacing w:line="360" w:lineRule="auto"/>
        <w:jc w:val="left"/>
        <w:rPr>
          <w:rFonts w:hint="eastAsia" w:ascii="仿宋" w:hAnsi="仿宋" w:eastAsia="仿宋" w:cs="仿宋"/>
          <w:b/>
          <w:color w:val="auto"/>
          <w:sz w:val="24"/>
          <w:highlight w:val="none"/>
        </w:rPr>
      </w:pPr>
    </w:p>
    <w:p w14:paraId="603BE510">
      <w:pPr>
        <w:widowControl/>
        <w:shd w:val="clear"/>
        <w:spacing w:line="360" w:lineRule="auto"/>
        <w:jc w:val="left"/>
        <w:rPr>
          <w:rFonts w:hint="eastAsia" w:ascii="仿宋" w:hAnsi="仿宋" w:eastAsia="仿宋" w:cs="仿宋"/>
          <w:color w:val="auto"/>
          <w:sz w:val="28"/>
          <w:highlight w:val="none"/>
        </w:rPr>
      </w:pPr>
      <w:r>
        <w:rPr>
          <w:rFonts w:hint="eastAsia" w:ascii="仿宋" w:hAnsi="仿宋" w:eastAsia="仿宋" w:cs="仿宋"/>
          <w:b/>
          <w:color w:val="auto"/>
          <w:szCs w:val="24"/>
          <w:highlight w:val="none"/>
        </w:rPr>
        <w:t>注：符合条件的监狱企业在参加政府采购活动时，应当按《财政部司法部关于政府采购支持监狱企业发展有关问题的通知》（财库[2014]68号）提供规定的《监狱企业证明文件》，并对声明的真实性负责。</w:t>
      </w:r>
    </w:p>
    <w:p w14:paraId="14CD9C06">
      <w:pPr>
        <w:shd w:val="clear"/>
        <w:spacing w:line="360" w:lineRule="auto"/>
        <w:rPr>
          <w:rFonts w:hint="eastAsia" w:ascii="仿宋" w:hAnsi="仿宋" w:eastAsia="仿宋" w:cs="仿宋"/>
          <w:color w:val="auto"/>
          <w:highlight w:val="none"/>
        </w:rPr>
      </w:pPr>
    </w:p>
    <w:p w14:paraId="74591183">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669AF25E">
      <w:pPr>
        <w:shd w:val="clear"/>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274CB27F">
      <w:pPr>
        <w:shd w:val="clear"/>
        <w:spacing w:line="360" w:lineRule="auto"/>
        <w:ind w:firstLine="480" w:firstLineChars="200"/>
        <w:rPr>
          <w:rFonts w:hint="eastAsia" w:ascii="仿宋" w:hAnsi="仿宋" w:eastAsia="仿宋" w:cs="仿宋"/>
          <w:b w:val="0"/>
          <w:bCs/>
          <w:color w:val="auto"/>
          <w:sz w:val="24"/>
          <w:szCs w:val="24"/>
          <w:highlight w:val="none"/>
        </w:rPr>
      </w:pPr>
    </w:p>
    <w:p w14:paraId="0A73CE89">
      <w:pPr>
        <w:shd w:val="clear"/>
        <w:spacing w:line="360" w:lineRule="auto"/>
        <w:ind w:firstLine="480" w:firstLineChars="200"/>
        <w:rPr>
          <w:rFonts w:hint="eastAsia" w:ascii="仿宋" w:hAnsi="仿宋" w:eastAsia="仿宋" w:cs="仿宋"/>
          <w:b w:val="0"/>
          <w:bCs/>
          <w:color w:val="auto"/>
          <w:sz w:val="24"/>
          <w:szCs w:val="24"/>
          <w:highlight w:val="none"/>
        </w:rPr>
      </w:pPr>
    </w:p>
    <w:p w14:paraId="63961DD3">
      <w:pPr>
        <w:rPr>
          <w:rFonts w:hint="eastAsia" w:ascii="仿宋" w:hAnsi="仿宋" w:eastAsia="仿宋" w:cs="仿宋"/>
          <w:b/>
          <w:bCs w:val="0"/>
          <w:color w:val="auto"/>
          <w:kern w:val="2"/>
          <w:sz w:val="30"/>
          <w:szCs w:val="30"/>
          <w:lang w:val="en-US" w:eastAsia="zh-CN" w:bidi="ar-SA"/>
        </w:rPr>
      </w:pPr>
      <w:r>
        <w:rPr>
          <w:rFonts w:hint="eastAsia" w:ascii="仿宋" w:hAnsi="仿宋" w:eastAsia="仿宋" w:cs="仿宋"/>
          <w:b/>
          <w:bCs w:val="0"/>
          <w:color w:val="auto"/>
          <w:kern w:val="2"/>
          <w:sz w:val="30"/>
          <w:szCs w:val="30"/>
          <w:lang w:val="en-US" w:eastAsia="zh-CN" w:bidi="ar-SA"/>
        </w:rPr>
        <w:br w:type="page"/>
      </w:r>
    </w:p>
    <w:p w14:paraId="1249AB1E">
      <w:pPr>
        <w:pStyle w:val="3"/>
        <w:pageBreakBefore w:val="0"/>
        <w:numPr>
          <w:ilvl w:val="0"/>
          <w:numId w:val="0"/>
        </w:numPr>
        <w:topLinePunct w:val="0"/>
        <w:bidi w:val="0"/>
        <w:spacing w:line="360" w:lineRule="auto"/>
        <w:ind w:left="0" w:leftChars="0" w:firstLine="482" w:firstLineChars="200"/>
        <w:jc w:val="center"/>
        <w:rPr>
          <w:rFonts w:hint="eastAsia" w:ascii="仿宋" w:hAnsi="仿宋" w:eastAsia="仿宋" w:cs="仿宋"/>
          <w:b/>
          <w:bCs w:val="0"/>
          <w:color w:val="auto"/>
          <w:kern w:val="2"/>
          <w:sz w:val="30"/>
          <w:szCs w:val="30"/>
          <w:highlight w:val="none"/>
          <w:lang w:val="en-US" w:eastAsia="zh-CN" w:bidi="ar-SA"/>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10</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技术参数偏离表</w:t>
      </w:r>
    </w:p>
    <w:p w14:paraId="010930DA">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玉龙县公安局移动警务服务采购项目（二次）</w:t>
      </w:r>
    </w:p>
    <w:p w14:paraId="3F10B1F7">
      <w:pPr>
        <w:shd w:val="clear"/>
        <w:spacing w:line="360" w:lineRule="auto"/>
        <w:rPr>
          <w:rFonts w:hint="eastAsia"/>
          <w:lang w:val="en-US" w:eastAsia="zh-CN"/>
        </w:rPr>
      </w:pPr>
      <w:r>
        <w:rPr>
          <w:rFonts w:hint="eastAsia" w:ascii="仿宋" w:hAnsi="仿宋" w:eastAsia="仿宋" w:cs="仿宋"/>
          <w:color w:val="auto"/>
          <w:spacing w:val="10"/>
          <w:sz w:val="24"/>
          <w:szCs w:val="24"/>
          <w:highlight w:val="none"/>
        </w:rPr>
        <w:t>项目</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lang w:eastAsia="zh-CN"/>
        </w:rPr>
        <w:t>HB-FW2024062</w:t>
      </w:r>
    </w:p>
    <w:tbl>
      <w:tblPr>
        <w:tblStyle w:val="22"/>
        <w:tblpPr w:leftFromText="180" w:rightFromText="180" w:vertAnchor="text" w:horzAnchor="page" w:tblpX="1068" w:tblpY="23"/>
        <w:tblOverlap w:val="never"/>
        <w:tblW w:w="949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36"/>
        <w:gridCol w:w="2836"/>
        <w:gridCol w:w="3110"/>
        <w:gridCol w:w="1608"/>
        <w:gridCol w:w="1203"/>
      </w:tblGrid>
      <w:tr w14:paraId="7C6D2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9" w:hRule="atLeast"/>
        </w:trPr>
        <w:tc>
          <w:tcPr>
            <w:tcW w:w="3572" w:type="dxa"/>
            <w:gridSpan w:val="2"/>
            <w:tcBorders>
              <w:top w:val="single" w:color="auto" w:sz="4" w:space="0"/>
              <w:left w:val="single" w:color="auto" w:sz="4" w:space="0"/>
              <w:bottom w:val="single" w:color="auto" w:sz="4" w:space="0"/>
              <w:right w:val="single" w:color="auto" w:sz="4" w:space="0"/>
            </w:tcBorders>
            <w:noWrap w:val="0"/>
            <w:vAlign w:val="center"/>
          </w:tcPr>
          <w:p w14:paraId="6B37321F">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招标文件要求</w:t>
            </w:r>
          </w:p>
        </w:tc>
        <w:tc>
          <w:tcPr>
            <w:tcW w:w="3110" w:type="dxa"/>
            <w:tcBorders>
              <w:top w:val="single" w:color="auto" w:sz="4" w:space="0"/>
              <w:left w:val="single" w:color="auto" w:sz="4" w:space="0"/>
              <w:bottom w:val="single" w:color="auto" w:sz="4" w:space="0"/>
              <w:right w:val="single" w:color="auto" w:sz="4" w:space="0"/>
            </w:tcBorders>
            <w:noWrap w:val="0"/>
            <w:vAlign w:val="center"/>
          </w:tcPr>
          <w:p w14:paraId="75647E8A">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投标内容响应情况</w:t>
            </w:r>
          </w:p>
        </w:tc>
        <w:tc>
          <w:tcPr>
            <w:tcW w:w="1608" w:type="dxa"/>
            <w:tcBorders>
              <w:top w:val="single" w:color="auto" w:sz="4" w:space="0"/>
              <w:left w:val="single" w:color="auto" w:sz="4" w:space="0"/>
              <w:bottom w:val="single" w:color="auto" w:sz="4" w:space="0"/>
              <w:right w:val="single" w:color="auto" w:sz="4" w:space="0"/>
            </w:tcBorders>
            <w:noWrap w:val="0"/>
            <w:vAlign w:val="top"/>
          </w:tcPr>
          <w:p w14:paraId="23BEFB2A">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偏离说明</w:t>
            </w:r>
          </w:p>
        </w:tc>
        <w:tc>
          <w:tcPr>
            <w:tcW w:w="1203" w:type="dxa"/>
            <w:vMerge w:val="restart"/>
            <w:tcBorders>
              <w:top w:val="single" w:color="auto" w:sz="4" w:space="0"/>
              <w:left w:val="single" w:color="auto" w:sz="4" w:space="0"/>
              <w:right w:val="single" w:color="auto" w:sz="4" w:space="0"/>
            </w:tcBorders>
            <w:noWrap w:val="0"/>
            <w:vAlign w:val="center"/>
          </w:tcPr>
          <w:p w14:paraId="20CBCAAF">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备注</w:t>
            </w:r>
          </w:p>
        </w:tc>
      </w:tr>
      <w:tr w14:paraId="5537C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281" w:hRule="atLeast"/>
        </w:trPr>
        <w:tc>
          <w:tcPr>
            <w:tcW w:w="736" w:type="dxa"/>
            <w:tcBorders>
              <w:top w:val="single" w:color="auto" w:sz="4" w:space="0"/>
              <w:left w:val="single" w:color="auto" w:sz="4" w:space="0"/>
              <w:bottom w:val="single" w:color="auto" w:sz="4" w:space="0"/>
              <w:right w:val="single" w:color="auto" w:sz="4" w:space="0"/>
            </w:tcBorders>
            <w:noWrap w:val="0"/>
            <w:vAlign w:val="center"/>
          </w:tcPr>
          <w:p w14:paraId="7C20CDF9">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产品名称</w:t>
            </w:r>
          </w:p>
        </w:tc>
        <w:tc>
          <w:tcPr>
            <w:tcW w:w="2836" w:type="dxa"/>
            <w:tcBorders>
              <w:top w:val="single" w:color="auto" w:sz="4" w:space="0"/>
              <w:left w:val="single" w:color="auto" w:sz="4" w:space="0"/>
              <w:bottom w:val="single" w:color="auto" w:sz="4" w:space="0"/>
              <w:right w:val="single" w:color="auto" w:sz="4" w:space="0"/>
            </w:tcBorders>
            <w:noWrap w:val="0"/>
            <w:vAlign w:val="center"/>
          </w:tcPr>
          <w:p w14:paraId="4375B407">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技术参数要求</w:t>
            </w:r>
          </w:p>
        </w:tc>
        <w:tc>
          <w:tcPr>
            <w:tcW w:w="3110" w:type="dxa"/>
            <w:tcBorders>
              <w:top w:val="single" w:color="auto" w:sz="4" w:space="0"/>
              <w:left w:val="single" w:color="auto" w:sz="4" w:space="0"/>
              <w:bottom w:val="single" w:color="auto" w:sz="4" w:space="0"/>
              <w:right w:val="single" w:color="auto" w:sz="4" w:space="0"/>
            </w:tcBorders>
            <w:noWrap w:val="0"/>
            <w:vAlign w:val="center"/>
          </w:tcPr>
          <w:p w14:paraId="76EB9BF3">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技术参数响应描述（配置）</w:t>
            </w:r>
          </w:p>
        </w:tc>
        <w:tc>
          <w:tcPr>
            <w:tcW w:w="1608" w:type="dxa"/>
            <w:tcBorders>
              <w:top w:val="single" w:color="auto" w:sz="4" w:space="0"/>
              <w:left w:val="single" w:color="auto" w:sz="4" w:space="0"/>
              <w:bottom w:val="single" w:color="auto" w:sz="4" w:space="0"/>
              <w:right w:val="single" w:color="auto" w:sz="4" w:space="0"/>
            </w:tcBorders>
            <w:noWrap w:val="0"/>
            <w:vAlign w:val="top"/>
          </w:tcPr>
          <w:p w14:paraId="5D50BAE3">
            <w:pPr>
              <w:pageBreakBefore w:val="0"/>
              <w:kinsoku w:val="0"/>
              <w:overflowPunct w:val="0"/>
              <w:topLinePunct w:val="0"/>
              <w:autoSpaceDE w:val="0"/>
              <w:autoSpaceDN w:val="0"/>
              <w:bidi w:val="0"/>
              <w:adjustRightInd w:val="0"/>
              <w:snapToGrid w:val="0"/>
              <w:spacing w:line="360" w:lineRule="auto"/>
              <w:jc w:val="left"/>
              <w:rPr>
                <w:rFonts w:hint="eastAsia" w:ascii="仿宋" w:hAnsi="仿宋" w:eastAsia="仿宋" w:cs="仿宋"/>
                <w:b w:val="0"/>
                <w:bCs w:val="0"/>
                <w:sz w:val="24"/>
                <w:szCs w:val="24"/>
              </w:rPr>
            </w:pPr>
            <w:r>
              <w:rPr>
                <w:rFonts w:hint="eastAsia" w:ascii="仿宋" w:hAnsi="仿宋" w:eastAsia="仿宋" w:cs="仿宋"/>
                <w:b w:val="0"/>
                <w:bCs w:val="0"/>
                <w:sz w:val="24"/>
                <w:szCs w:val="24"/>
              </w:rPr>
              <w:t>正、负偏离或无偏离</w:t>
            </w:r>
          </w:p>
        </w:tc>
        <w:tc>
          <w:tcPr>
            <w:tcW w:w="1203" w:type="dxa"/>
            <w:vMerge w:val="continue"/>
            <w:tcBorders>
              <w:left w:val="single" w:color="auto" w:sz="4" w:space="0"/>
              <w:bottom w:val="single" w:color="auto" w:sz="4" w:space="0"/>
              <w:right w:val="single" w:color="auto" w:sz="4" w:space="0"/>
            </w:tcBorders>
            <w:noWrap w:val="0"/>
            <w:vAlign w:val="top"/>
          </w:tcPr>
          <w:p w14:paraId="2C951DCA">
            <w:pPr>
              <w:pageBreakBefore w:val="0"/>
              <w:kinsoku w:val="0"/>
              <w:overflowPunct w:val="0"/>
              <w:topLinePunct w:val="0"/>
              <w:autoSpaceDE w:val="0"/>
              <w:autoSpaceDN w:val="0"/>
              <w:bidi w:val="0"/>
              <w:adjustRightInd w:val="0"/>
              <w:snapToGrid w:val="0"/>
              <w:spacing w:line="360" w:lineRule="auto"/>
              <w:jc w:val="left"/>
              <w:rPr>
                <w:rFonts w:hint="eastAsia" w:ascii="仿宋" w:hAnsi="仿宋" w:eastAsia="仿宋" w:cs="仿宋"/>
                <w:b w:val="0"/>
                <w:bCs w:val="0"/>
                <w:sz w:val="24"/>
                <w:szCs w:val="24"/>
              </w:rPr>
            </w:pPr>
          </w:p>
        </w:tc>
      </w:tr>
      <w:tr w14:paraId="394E8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41" w:hRule="atLeast"/>
        </w:trPr>
        <w:tc>
          <w:tcPr>
            <w:tcW w:w="736" w:type="dxa"/>
            <w:vMerge w:val="restart"/>
            <w:tcBorders>
              <w:top w:val="single" w:color="auto" w:sz="4" w:space="0"/>
              <w:left w:val="single" w:color="auto" w:sz="4" w:space="0"/>
              <w:bottom w:val="single" w:color="auto" w:sz="4" w:space="0"/>
              <w:right w:val="single" w:color="auto" w:sz="4" w:space="0"/>
            </w:tcBorders>
            <w:shd w:val="solid" w:color="FFFFFF" w:fill="auto"/>
            <w:noWrap w:val="0"/>
            <w:vAlign w:val="center"/>
          </w:tcPr>
          <w:p w14:paraId="7343A4CE">
            <w:pPr>
              <w:pageBreakBefore w:val="0"/>
              <w:topLinePunct w:val="0"/>
              <w:autoSpaceDE w:val="0"/>
              <w:autoSpaceDN w:val="0"/>
              <w:bidi w:val="0"/>
              <w:spacing w:line="360" w:lineRule="auto"/>
              <w:jc w:val="center"/>
              <w:rPr>
                <w:rFonts w:hint="eastAsia" w:ascii="仿宋" w:hAnsi="仿宋" w:eastAsia="仿宋" w:cs="仿宋"/>
                <w:b w:val="0"/>
                <w:bCs w:val="0"/>
                <w:color w:val="0000FF"/>
                <w:sz w:val="24"/>
                <w:szCs w:val="24"/>
              </w:rPr>
            </w:pPr>
          </w:p>
        </w:tc>
        <w:tc>
          <w:tcPr>
            <w:tcW w:w="28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489997">
            <w:pPr>
              <w:pageBreakBefore w:val="0"/>
              <w:topLinePunct w:val="0"/>
              <w:bidi w:val="0"/>
              <w:spacing w:line="360" w:lineRule="auto"/>
              <w:jc w:val="left"/>
              <w:rPr>
                <w:rFonts w:hint="eastAsia" w:ascii="仿宋" w:hAnsi="仿宋" w:eastAsia="仿宋" w:cs="仿宋"/>
                <w:b w:val="0"/>
                <w:bCs w:val="0"/>
                <w:color w:val="0000FF"/>
                <w:sz w:val="24"/>
                <w:szCs w:val="24"/>
              </w:rPr>
            </w:pPr>
            <w:r>
              <w:rPr>
                <w:rFonts w:hint="eastAsia" w:ascii="仿宋" w:hAnsi="仿宋" w:eastAsia="仿宋" w:cs="仿宋"/>
                <w:b w:val="0"/>
                <w:bCs w:val="0"/>
                <w:color w:val="0000FF"/>
                <w:sz w:val="24"/>
                <w:szCs w:val="24"/>
              </w:rPr>
              <w:t xml:space="preserve"> </w:t>
            </w:r>
          </w:p>
        </w:tc>
        <w:tc>
          <w:tcPr>
            <w:tcW w:w="3110" w:type="dxa"/>
            <w:tcBorders>
              <w:top w:val="single" w:color="auto" w:sz="4" w:space="0"/>
              <w:left w:val="single" w:color="auto" w:sz="4" w:space="0"/>
              <w:bottom w:val="single" w:color="auto" w:sz="4" w:space="0"/>
              <w:right w:val="single" w:color="auto" w:sz="4" w:space="0"/>
            </w:tcBorders>
            <w:shd w:val="solid" w:color="FFFFFF" w:fill="auto"/>
            <w:noWrap w:val="0"/>
            <w:vAlign w:val="center"/>
          </w:tcPr>
          <w:p w14:paraId="680D8861">
            <w:pPr>
              <w:pageBreakBefore w:val="0"/>
              <w:kinsoku w:val="0"/>
              <w:overflowPunct w:val="0"/>
              <w:topLinePunct w:val="0"/>
              <w:autoSpaceDE w:val="0"/>
              <w:autoSpaceDN w:val="0"/>
              <w:bidi w:val="0"/>
              <w:adjustRightInd w:val="0"/>
              <w:snapToGrid w:val="0"/>
              <w:spacing w:before="240" w:line="360" w:lineRule="auto"/>
              <w:jc w:val="center"/>
              <w:rPr>
                <w:rFonts w:hint="eastAsia" w:ascii="仿宋" w:hAnsi="仿宋" w:eastAsia="仿宋" w:cs="仿宋"/>
                <w:b w:val="0"/>
                <w:bCs w:val="0"/>
                <w:color w:val="0000FF"/>
                <w:sz w:val="24"/>
                <w:szCs w:val="24"/>
              </w:rPr>
            </w:pPr>
          </w:p>
        </w:tc>
        <w:tc>
          <w:tcPr>
            <w:tcW w:w="1608" w:type="dxa"/>
            <w:tcBorders>
              <w:top w:val="single" w:color="auto" w:sz="4" w:space="0"/>
              <w:left w:val="single" w:color="auto" w:sz="4" w:space="0"/>
              <w:bottom w:val="single" w:color="auto" w:sz="4" w:space="0"/>
              <w:right w:val="single" w:color="auto" w:sz="4" w:space="0"/>
            </w:tcBorders>
            <w:noWrap w:val="0"/>
            <w:vAlign w:val="top"/>
          </w:tcPr>
          <w:p w14:paraId="1DBE38AC">
            <w:pPr>
              <w:pageBreakBefore w:val="0"/>
              <w:kinsoku w:val="0"/>
              <w:overflowPunct w:val="0"/>
              <w:topLinePunct w:val="0"/>
              <w:autoSpaceDE w:val="0"/>
              <w:autoSpaceDN w:val="0"/>
              <w:bidi w:val="0"/>
              <w:adjustRightInd w:val="0"/>
              <w:snapToGrid w:val="0"/>
              <w:spacing w:before="240" w:line="360" w:lineRule="auto"/>
              <w:jc w:val="center"/>
              <w:rPr>
                <w:rFonts w:hint="eastAsia" w:ascii="仿宋" w:hAnsi="仿宋" w:eastAsia="仿宋" w:cs="仿宋"/>
                <w:b w:val="0"/>
                <w:bCs w:val="0"/>
                <w:color w:val="0000FF"/>
                <w:sz w:val="24"/>
                <w:szCs w:val="24"/>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3DBA3B99">
            <w:pPr>
              <w:pageBreakBefore w:val="0"/>
              <w:kinsoku w:val="0"/>
              <w:overflowPunct w:val="0"/>
              <w:topLinePunct w:val="0"/>
              <w:autoSpaceDE w:val="0"/>
              <w:autoSpaceDN w:val="0"/>
              <w:bidi w:val="0"/>
              <w:adjustRightInd w:val="0"/>
              <w:snapToGrid w:val="0"/>
              <w:spacing w:before="240" w:line="360" w:lineRule="auto"/>
              <w:rPr>
                <w:rFonts w:hint="eastAsia" w:ascii="仿宋" w:hAnsi="仿宋" w:eastAsia="仿宋" w:cs="仿宋"/>
                <w:b w:val="0"/>
                <w:bCs w:val="0"/>
                <w:color w:val="0000FF"/>
                <w:sz w:val="24"/>
                <w:szCs w:val="24"/>
              </w:rPr>
            </w:pPr>
          </w:p>
        </w:tc>
      </w:tr>
      <w:tr w14:paraId="35FED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Pr>
        <w:tc>
          <w:tcPr>
            <w:tcW w:w="736" w:type="dxa"/>
            <w:vMerge w:val="continue"/>
            <w:tcBorders>
              <w:top w:val="single" w:color="auto" w:sz="4" w:space="0"/>
              <w:left w:val="single" w:color="auto" w:sz="4" w:space="0"/>
              <w:bottom w:val="single" w:color="auto" w:sz="4" w:space="0"/>
              <w:right w:val="single" w:color="auto" w:sz="4" w:space="0"/>
            </w:tcBorders>
            <w:shd w:val="solid" w:color="FFFFFF" w:fill="auto"/>
            <w:noWrap w:val="0"/>
            <w:vAlign w:val="center"/>
          </w:tcPr>
          <w:p w14:paraId="2A29D239">
            <w:pPr>
              <w:pageBreakBefore w:val="0"/>
              <w:topLinePunct w:val="0"/>
              <w:autoSpaceDE w:val="0"/>
              <w:autoSpaceDN w:val="0"/>
              <w:bidi w:val="0"/>
              <w:spacing w:line="360" w:lineRule="auto"/>
              <w:jc w:val="center"/>
              <w:rPr>
                <w:rFonts w:hint="eastAsia" w:ascii="仿宋" w:hAnsi="仿宋" w:eastAsia="仿宋" w:cs="仿宋"/>
                <w:b w:val="0"/>
                <w:bCs w:val="0"/>
                <w:color w:val="0000FF"/>
                <w:sz w:val="24"/>
                <w:szCs w:val="24"/>
              </w:rPr>
            </w:pPr>
          </w:p>
        </w:tc>
        <w:tc>
          <w:tcPr>
            <w:tcW w:w="28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C3A3C4">
            <w:pPr>
              <w:pageBreakBefore w:val="0"/>
              <w:topLinePunct w:val="0"/>
              <w:bidi w:val="0"/>
              <w:spacing w:line="360" w:lineRule="auto"/>
              <w:jc w:val="left"/>
              <w:rPr>
                <w:rFonts w:hint="eastAsia" w:ascii="仿宋" w:hAnsi="仿宋" w:eastAsia="仿宋" w:cs="仿宋"/>
                <w:b w:val="0"/>
                <w:bCs w:val="0"/>
                <w:color w:val="0000FF"/>
                <w:sz w:val="24"/>
                <w:szCs w:val="24"/>
              </w:rPr>
            </w:pPr>
          </w:p>
        </w:tc>
        <w:tc>
          <w:tcPr>
            <w:tcW w:w="3110" w:type="dxa"/>
            <w:tcBorders>
              <w:top w:val="single" w:color="auto" w:sz="4" w:space="0"/>
              <w:left w:val="single" w:color="auto" w:sz="4" w:space="0"/>
              <w:bottom w:val="single" w:color="auto" w:sz="4" w:space="0"/>
              <w:right w:val="single" w:color="auto" w:sz="4" w:space="0"/>
            </w:tcBorders>
            <w:shd w:val="solid" w:color="FFFFFF" w:fill="auto"/>
            <w:noWrap w:val="0"/>
            <w:vAlign w:val="center"/>
          </w:tcPr>
          <w:p w14:paraId="793C9B02">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color w:val="0000FF"/>
                <w:sz w:val="24"/>
                <w:szCs w:val="24"/>
              </w:rPr>
            </w:pPr>
          </w:p>
        </w:tc>
        <w:tc>
          <w:tcPr>
            <w:tcW w:w="1608" w:type="dxa"/>
            <w:tcBorders>
              <w:top w:val="single" w:color="auto" w:sz="4" w:space="0"/>
              <w:left w:val="single" w:color="auto" w:sz="4" w:space="0"/>
              <w:bottom w:val="single" w:color="auto" w:sz="4" w:space="0"/>
              <w:right w:val="single" w:color="auto" w:sz="4" w:space="0"/>
            </w:tcBorders>
            <w:noWrap w:val="0"/>
            <w:vAlign w:val="top"/>
          </w:tcPr>
          <w:p w14:paraId="1F0D9FD4">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color w:val="0000FF"/>
                <w:sz w:val="24"/>
                <w:szCs w:val="24"/>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27A2B735">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color w:val="0000FF"/>
                <w:sz w:val="24"/>
                <w:szCs w:val="24"/>
              </w:rPr>
            </w:pPr>
          </w:p>
        </w:tc>
      </w:tr>
      <w:tr w14:paraId="78523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6" w:hRule="atLeast"/>
        </w:trPr>
        <w:tc>
          <w:tcPr>
            <w:tcW w:w="736" w:type="dxa"/>
            <w:vMerge w:val="restart"/>
            <w:tcBorders>
              <w:top w:val="single" w:color="auto" w:sz="4" w:space="0"/>
              <w:left w:val="single" w:color="auto" w:sz="4" w:space="0"/>
              <w:bottom w:val="single" w:color="auto" w:sz="4" w:space="0"/>
              <w:right w:val="single" w:color="auto" w:sz="4" w:space="0"/>
            </w:tcBorders>
            <w:shd w:val="solid" w:color="FFFFFF" w:fill="auto"/>
            <w:noWrap w:val="0"/>
            <w:vAlign w:val="center"/>
          </w:tcPr>
          <w:p w14:paraId="2BF82141">
            <w:pPr>
              <w:pageBreakBefore w:val="0"/>
              <w:topLinePunct w:val="0"/>
              <w:autoSpaceDE w:val="0"/>
              <w:autoSpaceDN w:val="0"/>
              <w:bidi w:val="0"/>
              <w:spacing w:line="360" w:lineRule="auto"/>
              <w:jc w:val="center"/>
              <w:rPr>
                <w:rFonts w:hint="eastAsia" w:ascii="仿宋" w:hAnsi="仿宋" w:eastAsia="仿宋" w:cs="仿宋"/>
                <w:b w:val="0"/>
                <w:bCs w:val="0"/>
                <w:color w:val="0000FF"/>
                <w:sz w:val="24"/>
                <w:szCs w:val="24"/>
              </w:rPr>
            </w:pPr>
          </w:p>
        </w:tc>
        <w:tc>
          <w:tcPr>
            <w:tcW w:w="28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E6D892">
            <w:pPr>
              <w:pageBreakBefore w:val="0"/>
              <w:topLinePunct w:val="0"/>
              <w:bidi w:val="0"/>
              <w:spacing w:line="360" w:lineRule="auto"/>
              <w:jc w:val="left"/>
              <w:rPr>
                <w:rFonts w:hint="eastAsia" w:ascii="仿宋" w:hAnsi="仿宋" w:eastAsia="仿宋" w:cs="仿宋"/>
                <w:b w:val="0"/>
                <w:bCs w:val="0"/>
                <w:color w:val="0000FF"/>
                <w:sz w:val="24"/>
                <w:szCs w:val="24"/>
              </w:rPr>
            </w:pPr>
            <w:r>
              <w:rPr>
                <w:rFonts w:hint="eastAsia" w:ascii="仿宋" w:hAnsi="仿宋" w:eastAsia="仿宋" w:cs="仿宋"/>
                <w:b w:val="0"/>
                <w:bCs w:val="0"/>
                <w:color w:val="0000FF"/>
                <w:sz w:val="24"/>
                <w:szCs w:val="24"/>
              </w:rPr>
              <w:t xml:space="preserve"> </w:t>
            </w:r>
          </w:p>
        </w:tc>
        <w:tc>
          <w:tcPr>
            <w:tcW w:w="3110" w:type="dxa"/>
            <w:tcBorders>
              <w:top w:val="single" w:color="auto" w:sz="4" w:space="0"/>
              <w:left w:val="single" w:color="auto" w:sz="4" w:space="0"/>
              <w:bottom w:val="single" w:color="auto" w:sz="4" w:space="0"/>
              <w:right w:val="single" w:color="auto" w:sz="4" w:space="0"/>
            </w:tcBorders>
            <w:shd w:val="solid" w:color="FFFFFF" w:fill="auto"/>
            <w:noWrap w:val="0"/>
            <w:vAlign w:val="center"/>
          </w:tcPr>
          <w:p w14:paraId="61ACFF68">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color w:val="0000FF"/>
                <w:sz w:val="24"/>
                <w:szCs w:val="24"/>
              </w:rPr>
            </w:pPr>
            <w:r>
              <w:rPr>
                <w:rFonts w:hint="eastAsia" w:ascii="仿宋" w:hAnsi="仿宋" w:eastAsia="仿宋" w:cs="仿宋"/>
                <w:b w:val="0"/>
                <w:bCs w:val="0"/>
                <w:color w:val="0000FF"/>
                <w:sz w:val="24"/>
                <w:szCs w:val="24"/>
              </w:rPr>
              <w:t xml:space="preserve"> </w:t>
            </w:r>
          </w:p>
        </w:tc>
        <w:tc>
          <w:tcPr>
            <w:tcW w:w="1608" w:type="dxa"/>
            <w:tcBorders>
              <w:top w:val="single" w:color="auto" w:sz="4" w:space="0"/>
              <w:left w:val="single" w:color="auto" w:sz="4" w:space="0"/>
              <w:bottom w:val="single" w:color="auto" w:sz="4" w:space="0"/>
              <w:right w:val="single" w:color="auto" w:sz="4" w:space="0"/>
            </w:tcBorders>
            <w:noWrap w:val="0"/>
            <w:vAlign w:val="top"/>
          </w:tcPr>
          <w:p w14:paraId="0B27E2BF">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color w:val="0000FF"/>
                <w:sz w:val="24"/>
                <w:szCs w:val="24"/>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6D00BB32">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color w:val="0000FF"/>
                <w:sz w:val="24"/>
                <w:szCs w:val="24"/>
              </w:rPr>
            </w:pPr>
          </w:p>
        </w:tc>
      </w:tr>
      <w:tr w14:paraId="029E0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36" w:hRule="atLeast"/>
        </w:trPr>
        <w:tc>
          <w:tcPr>
            <w:tcW w:w="736" w:type="dxa"/>
            <w:vMerge w:val="continue"/>
            <w:tcBorders>
              <w:top w:val="single" w:color="auto" w:sz="4" w:space="0"/>
              <w:left w:val="single" w:color="auto" w:sz="4" w:space="0"/>
              <w:bottom w:val="single" w:color="auto" w:sz="4" w:space="0"/>
              <w:right w:val="single" w:color="auto" w:sz="4" w:space="0"/>
            </w:tcBorders>
            <w:shd w:val="solid" w:color="FFFFFF" w:fill="auto"/>
            <w:noWrap w:val="0"/>
            <w:vAlign w:val="center"/>
          </w:tcPr>
          <w:p w14:paraId="2F5125C9">
            <w:pPr>
              <w:pageBreakBefore w:val="0"/>
              <w:topLinePunct w:val="0"/>
              <w:autoSpaceDE w:val="0"/>
              <w:autoSpaceDN w:val="0"/>
              <w:bidi w:val="0"/>
              <w:spacing w:line="360" w:lineRule="auto"/>
              <w:jc w:val="center"/>
              <w:rPr>
                <w:rFonts w:hint="eastAsia" w:ascii="仿宋" w:hAnsi="仿宋" w:eastAsia="仿宋" w:cs="仿宋"/>
                <w:b w:val="0"/>
                <w:bCs w:val="0"/>
                <w:color w:val="0000FF"/>
                <w:sz w:val="24"/>
                <w:szCs w:val="24"/>
              </w:rPr>
            </w:pPr>
          </w:p>
        </w:tc>
        <w:tc>
          <w:tcPr>
            <w:tcW w:w="28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B34ECB">
            <w:pPr>
              <w:pageBreakBefore w:val="0"/>
              <w:topLinePunct w:val="0"/>
              <w:bidi w:val="0"/>
              <w:spacing w:line="360" w:lineRule="auto"/>
              <w:jc w:val="left"/>
              <w:rPr>
                <w:rFonts w:hint="eastAsia" w:ascii="仿宋" w:hAnsi="仿宋" w:eastAsia="仿宋" w:cs="仿宋"/>
                <w:b w:val="0"/>
                <w:bCs w:val="0"/>
                <w:color w:val="0000FF"/>
                <w:sz w:val="24"/>
                <w:szCs w:val="24"/>
              </w:rPr>
            </w:pPr>
          </w:p>
        </w:tc>
        <w:tc>
          <w:tcPr>
            <w:tcW w:w="3110" w:type="dxa"/>
            <w:tcBorders>
              <w:top w:val="single" w:color="auto" w:sz="4" w:space="0"/>
              <w:left w:val="single" w:color="auto" w:sz="4" w:space="0"/>
              <w:bottom w:val="single" w:color="auto" w:sz="4" w:space="0"/>
              <w:right w:val="single" w:color="auto" w:sz="4" w:space="0"/>
            </w:tcBorders>
            <w:shd w:val="solid" w:color="FFFFFF" w:fill="auto"/>
            <w:noWrap w:val="0"/>
            <w:vAlign w:val="center"/>
          </w:tcPr>
          <w:p w14:paraId="4D9F8E40">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color w:val="0000FF"/>
                <w:sz w:val="24"/>
                <w:szCs w:val="24"/>
              </w:rPr>
            </w:pPr>
          </w:p>
        </w:tc>
        <w:tc>
          <w:tcPr>
            <w:tcW w:w="1608" w:type="dxa"/>
            <w:tcBorders>
              <w:top w:val="single" w:color="auto" w:sz="4" w:space="0"/>
              <w:left w:val="single" w:color="auto" w:sz="4" w:space="0"/>
              <w:bottom w:val="single" w:color="auto" w:sz="4" w:space="0"/>
              <w:right w:val="single" w:color="auto" w:sz="4" w:space="0"/>
            </w:tcBorders>
            <w:noWrap w:val="0"/>
            <w:vAlign w:val="top"/>
          </w:tcPr>
          <w:p w14:paraId="2D520047">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color w:val="0000FF"/>
                <w:sz w:val="24"/>
                <w:szCs w:val="24"/>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0877B22A">
            <w:pPr>
              <w:pageBreakBefore w:val="0"/>
              <w:kinsoku w:val="0"/>
              <w:overflowPunct w:val="0"/>
              <w:topLinePunct w:val="0"/>
              <w:autoSpaceDE w:val="0"/>
              <w:autoSpaceDN w:val="0"/>
              <w:bidi w:val="0"/>
              <w:adjustRightInd w:val="0"/>
              <w:snapToGrid w:val="0"/>
              <w:spacing w:line="360" w:lineRule="auto"/>
              <w:jc w:val="center"/>
              <w:rPr>
                <w:rFonts w:hint="eastAsia" w:ascii="仿宋" w:hAnsi="仿宋" w:eastAsia="仿宋" w:cs="仿宋"/>
                <w:b w:val="0"/>
                <w:bCs w:val="0"/>
                <w:color w:val="0000FF"/>
                <w:sz w:val="24"/>
                <w:szCs w:val="24"/>
              </w:rPr>
            </w:pPr>
          </w:p>
        </w:tc>
      </w:tr>
      <w:tr w14:paraId="60E71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2" w:hRule="atLeast"/>
        </w:trPr>
        <w:tc>
          <w:tcPr>
            <w:tcW w:w="736" w:type="dxa"/>
            <w:vMerge w:val="continue"/>
            <w:tcBorders>
              <w:top w:val="single" w:color="auto" w:sz="4" w:space="0"/>
              <w:left w:val="single" w:color="auto" w:sz="4" w:space="0"/>
              <w:bottom w:val="single" w:color="auto" w:sz="4" w:space="0"/>
              <w:right w:val="single" w:color="auto" w:sz="4" w:space="0"/>
            </w:tcBorders>
            <w:shd w:val="solid" w:color="FFFFFF" w:fill="auto"/>
            <w:noWrap w:val="0"/>
            <w:vAlign w:val="center"/>
          </w:tcPr>
          <w:p w14:paraId="57121A80">
            <w:pPr>
              <w:pageBreakBefore w:val="0"/>
              <w:topLinePunct w:val="0"/>
              <w:autoSpaceDE w:val="0"/>
              <w:autoSpaceDN w:val="0"/>
              <w:bidi w:val="0"/>
              <w:spacing w:line="360" w:lineRule="auto"/>
              <w:jc w:val="center"/>
              <w:rPr>
                <w:rFonts w:hint="eastAsia" w:ascii="仿宋" w:hAnsi="仿宋" w:eastAsia="仿宋" w:cs="仿宋"/>
                <w:b w:val="0"/>
                <w:bCs w:val="0"/>
                <w:color w:val="0000FF"/>
                <w:sz w:val="24"/>
                <w:szCs w:val="24"/>
              </w:rPr>
            </w:pPr>
          </w:p>
        </w:tc>
        <w:tc>
          <w:tcPr>
            <w:tcW w:w="28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DCE2A2">
            <w:pPr>
              <w:pageBreakBefore w:val="0"/>
              <w:topLinePunct w:val="0"/>
              <w:bidi w:val="0"/>
              <w:spacing w:line="360" w:lineRule="auto"/>
              <w:jc w:val="left"/>
              <w:rPr>
                <w:rFonts w:hint="eastAsia" w:ascii="仿宋" w:hAnsi="仿宋" w:eastAsia="仿宋" w:cs="仿宋"/>
                <w:b w:val="0"/>
                <w:bCs w:val="0"/>
                <w:color w:val="0000FF"/>
                <w:sz w:val="24"/>
                <w:szCs w:val="24"/>
              </w:rPr>
            </w:pPr>
          </w:p>
        </w:tc>
        <w:tc>
          <w:tcPr>
            <w:tcW w:w="3110" w:type="dxa"/>
            <w:tcBorders>
              <w:top w:val="single" w:color="auto" w:sz="4" w:space="0"/>
              <w:left w:val="single" w:color="auto" w:sz="4" w:space="0"/>
              <w:bottom w:val="single" w:color="auto" w:sz="4" w:space="0"/>
              <w:right w:val="single" w:color="auto" w:sz="4" w:space="0"/>
            </w:tcBorders>
            <w:shd w:val="solid" w:color="FFFFFF" w:fill="auto"/>
            <w:noWrap w:val="0"/>
            <w:vAlign w:val="center"/>
          </w:tcPr>
          <w:p w14:paraId="02C3D5A2">
            <w:pPr>
              <w:pageBreakBefore w:val="0"/>
              <w:kinsoku w:val="0"/>
              <w:overflowPunct w:val="0"/>
              <w:topLinePunct w:val="0"/>
              <w:autoSpaceDE w:val="0"/>
              <w:autoSpaceDN w:val="0"/>
              <w:bidi w:val="0"/>
              <w:adjustRightInd w:val="0"/>
              <w:snapToGrid w:val="0"/>
              <w:spacing w:line="360" w:lineRule="auto"/>
              <w:rPr>
                <w:rFonts w:hint="eastAsia" w:ascii="仿宋" w:hAnsi="仿宋" w:eastAsia="仿宋" w:cs="仿宋"/>
                <w:b w:val="0"/>
                <w:bCs w:val="0"/>
                <w:color w:val="0000FF"/>
                <w:sz w:val="24"/>
                <w:szCs w:val="24"/>
              </w:rPr>
            </w:pPr>
          </w:p>
        </w:tc>
        <w:tc>
          <w:tcPr>
            <w:tcW w:w="1608" w:type="dxa"/>
            <w:tcBorders>
              <w:top w:val="single" w:color="auto" w:sz="4" w:space="0"/>
              <w:left w:val="single" w:color="auto" w:sz="4" w:space="0"/>
              <w:bottom w:val="single" w:color="auto" w:sz="4" w:space="0"/>
              <w:right w:val="single" w:color="auto" w:sz="4" w:space="0"/>
            </w:tcBorders>
            <w:noWrap w:val="0"/>
            <w:vAlign w:val="top"/>
          </w:tcPr>
          <w:p w14:paraId="3550CE18">
            <w:pPr>
              <w:pageBreakBefore w:val="0"/>
              <w:kinsoku w:val="0"/>
              <w:overflowPunct w:val="0"/>
              <w:topLinePunct w:val="0"/>
              <w:autoSpaceDE w:val="0"/>
              <w:autoSpaceDN w:val="0"/>
              <w:bidi w:val="0"/>
              <w:adjustRightInd w:val="0"/>
              <w:snapToGrid w:val="0"/>
              <w:spacing w:line="360" w:lineRule="auto"/>
              <w:rPr>
                <w:rFonts w:hint="eastAsia" w:ascii="仿宋" w:hAnsi="仿宋" w:eastAsia="仿宋" w:cs="仿宋"/>
                <w:b w:val="0"/>
                <w:bCs w:val="0"/>
                <w:color w:val="0000FF"/>
                <w:sz w:val="24"/>
                <w:szCs w:val="24"/>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4FCCB4E5">
            <w:pPr>
              <w:pageBreakBefore w:val="0"/>
              <w:kinsoku w:val="0"/>
              <w:overflowPunct w:val="0"/>
              <w:topLinePunct w:val="0"/>
              <w:autoSpaceDE w:val="0"/>
              <w:autoSpaceDN w:val="0"/>
              <w:bidi w:val="0"/>
              <w:adjustRightInd w:val="0"/>
              <w:snapToGrid w:val="0"/>
              <w:spacing w:line="360" w:lineRule="auto"/>
              <w:rPr>
                <w:rFonts w:hint="eastAsia" w:ascii="仿宋" w:hAnsi="仿宋" w:eastAsia="仿宋" w:cs="仿宋"/>
                <w:b w:val="0"/>
                <w:bCs w:val="0"/>
                <w:color w:val="0000FF"/>
                <w:sz w:val="24"/>
                <w:szCs w:val="24"/>
              </w:rPr>
            </w:pPr>
          </w:p>
        </w:tc>
      </w:tr>
      <w:tr w14:paraId="6F846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2" w:hRule="atLeast"/>
        </w:trPr>
        <w:tc>
          <w:tcPr>
            <w:tcW w:w="736" w:type="dxa"/>
            <w:tcBorders>
              <w:top w:val="single" w:color="auto" w:sz="4" w:space="0"/>
              <w:left w:val="single" w:color="auto" w:sz="4" w:space="0"/>
              <w:bottom w:val="single" w:color="auto" w:sz="4" w:space="0"/>
              <w:right w:val="single" w:color="auto" w:sz="4" w:space="0"/>
            </w:tcBorders>
            <w:shd w:val="solid" w:color="FFFFFF" w:fill="auto"/>
            <w:noWrap w:val="0"/>
            <w:vAlign w:val="center"/>
          </w:tcPr>
          <w:p w14:paraId="3595238A">
            <w:pPr>
              <w:pageBreakBefore w:val="0"/>
              <w:topLinePunct w:val="0"/>
              <w:bidi w:val="0"/>
              <w:spacing w:line="360" w:lineRule="auto"/>
              <w:ind w:firstLine="480" w:firstLineChars="200"/>
              <w:rPr>
                <w:rFonts w:hint="eastAsia" w:ascii="仿宋" w:hAnsi="仿宋" w:eastAsia="仿宋" w:cs="仿宋"/>
                <w:b w:val="0"/>
                <w:bCs w:val="0"/>
                <w:color w:val="0000FF"/>
                <w:sz w:val="24"/>
                <w:szCs w:val="24"/>
              </w:rPr>
            </w:pPr>
          </w:p>
        </w:tc>
        <w:tc>
          <w:tcPr>
            <w:tcW w:w="28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5724F8">
            <w:pPr>
              <w:pageBreakBefore w:val="0"/>
              <w:topLinePunct w:val="0"/>
              <w:bidi w:val="0"/>
              <w:spacing w:line="360" w:lineRule="auto"/>
              <w:jc w:val="left"/>
              <w:rPr>
                <w:rFonts w:hint="eastAsia" w:ascii="仿宋" w:hAnsi="仿宋" w:eastAsia="仿宋" w:cs="仿宋"/>
                <w:b w:val="0"/>
                <w:bCs w:val="0"/>
                <w:color w:val="0000FF"/>
                <w:sz w:val="24"/>
                <w:szCs w:val="24"/>
              </w:rPr>
            </w:pPr>
          </w:p>
        </w:tc>
        <w:tc>
          <w:tcPr>
            <w:tcW w:w="3110" w:type="dxa"/>
            <w:tcBorders>
              <w:top w:val="single" w:color="auto" w:sz="4" w:space="0"/>
              <w:left w:val="single" w:color="auto" w:sz="4" w:space="0"/>
              <w:bottom w:val="single" w:color="auto" w:sz="4" w:space="0"/>
              <w:right w:val="single" w:color="auto" w:sz="4" w:space="0"/>
            </w:tcBorders>
            <w:shd w:val="solid" w:color="FFFFFF" w:fill="auto"/>
            <w:noWrap w:val="0"/>
            <w:vAlign w:val="center"/>
          </w:tcPr>
          <w:p w14:paraId="7FA18DB0">
            <w:pPr>
              <w:pageBreakBefore w:val="0"/>
              <w:kinsoku w:val="0"/>
              <w:overflowPunct w:val="0"/>
              <w:topLinePunct w:val="0"/>
              <w:autoSpaceDE w:val="0"/>
              <w:autoSpaceDN w:val="0"/>
              <w:bidi w:val="0"/>
              <w:adjustRightInd w:val="0"/>
              <w:snapToGrid w:val="0"/>
              <w:spacing w:line="360" w:lineRule="auto"/>
              <w:rPr>
                <w:rFonts w:hint="eastAsia" w:ascii="仿宋" w:hAnsi="仿宋" w:eastAsia="仿宋" w:cs="仿宋"/>
                <w:b w:val="0"/>
                <w:bCs w:val="0"/>
                <w:color w:val="0000FF"/>
                <w:sz w:val="24"/>
                <w:szCs w:val="24"/>
              </w:rPr>
            </w:pPr>
          </w:p>
        </w:tc>
        <w:tc>
          <w:tcPr>
            <w:tcW w:w="1608" w:type="dxa"/>
            <w:tcBorders>
              <w:top w:val="single" w:color="auto" w:sz="4" w:space="0"/>
              <w:left w:val="single" w:color="auto" w:sz="4" w:space="0"/>
              <w:bottom w:val="single" w:color="auto" w:sz="4" w:space="0"/>
              <w:right w:val="single" w:color="auto" w:sz="4" w:space="0"/>
            </w:tcBorders>
            <w:noWrap w:val="0"/>
            <w:vAlign w:val="top"/>
          </w:tcPr>
          <w:p w14:paraId="41510CD1">
            <w:pPr>
              <w:pageBreakBefore w:val="0"/>
              <w:kinsoku w:val="0"/>
              <w:overflowPunct w:val="0"/>
              <w:topLinePunct w:val="0"/>
              <w:autoSpaceDE w:val="0"/>
              <w:autoSpaceDN w:val="0"/>
              <w:bidi w:val="0"/>
              <w:adjustRightInd w:val="0"/>
              <w:snapToGrid w:val="0"/>
              <w:spacing w:line="360" w:lineRule="auto"/>
              <w:rPr>
                <w:rFonts w:hint="eastAsia" w:ascii="仿宋" w:hAnsi="仿宋" w:eastAsia="仿宋" w:cs="仿宋"/>
                <w:b w:val="0"/>
                <w:bCs w:val="0"/>
                <w:color w:val="0000FF"/>
                <w:sz w:val="24"/>
                <w:szCs w:val="24"/>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14:paraId="56AC7AB9">
            <w:pPr>
              <w:pageBreakBefore w:val="0"/>
              <w:kinsoku w:val="0"/>
              <w:overflowPunct w:val="0"/>
              <w:topLinePunct w:val="0"/>
              <w:autoSpaceDE w:val="0"/>
              <w:autoSpaceDN w:val="0"/>
              <w:bidi w:val="0"/>
              <w:adjustRightInd w:val="0"/>
              <w:snapToGrid w:val="0"/>
              <w:spacing w:line="360" w:lineRule="auto"/>
              <w:rPr>
                <w:rFonts w:hint="eastAsia" w:ascii="仿宋" w:hAnsi="仿宋" w:eastAsia="仿宋" w:cs="仿宋"/>
                <w:b w:val="0"/>
                <w:bCs w:val="0"/>
                <w:color w:val="0000FF"/>
                <w:sz w:val="24"/>
                <w:szCs w:val="24"/>
              </w:rPr>
            </w:pPr>
          </w:p>
        </w:tc>
      </w:tr>
    </w:tbl>
    <w:p w14:paraId="23FF9F8F">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注：1、此表可自行加行</w:t>
      </w:r>
      <w:r>
        <w:rPr>
          <w:rFonts w:hint="eastAsia" w:ascii="仿宋" w:hAnsi="仿宋" w:eastAsia="仿宋" w:cs="仿宋"/>
          <w:b w:val="0"/>
          <w:bCs w:val="0"/>
          <w:color w:val="auto"/>
          <w:sz w:val="24"/>
          <w:szCs w:val="24"/>
          <w:highlight w:val="none"/>
          <w:lang w:val="en-US" w:eastAsia="zh-CN"/>
        </w:rPr>
        <w:t>加列</w:t>
      </w:r>
      <w:r>
        <w:rPr>
          <w:rFonts w:hint="eastAsia" w:ascii="仿宋" w:hAnsi="仿宋" w:eastAsia="仿宋" w:cs="仿宋"/>
          <w:b w:val="0"/>
          <w:bCs w:val="0"/>
          <w:color w:val="auto"/>
          <w:sz w:val="24"/>
          <w:szCs w:val="24"/>
          <w:highlight w:val="none"/>
        </w:rPr>
        <w:t>；</w:t>
      </w:r>
    </w:p>
    <w:p w14:paraId="18FB0E49">
      <w:pPr>
        <w:keepNext w:val="0"/>
        <w:keepLines w:val="0"/>
        <w:pageBreakBefore w:val="0"/>
        <w:widowControl w:val="0"/>
        <w:shd w:val="clear"/>
        <w:kinsoku/>
        <w:wordWrap/>
        <w:overflowPunct/>
        <w:topLinePunct w:val="0"/>
        <w:autoSpaceDE/>
        <w:autoSpaceDN/>
        <w:bidi w:val="0"/>
        <w:adjustRightInd/>
        <w:snapToGrid/>
        <w:spacing w:line="560" w:lineRule="exact"/>
        <w:ind w:firstLine="240" w:firstLineChars="1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2、此表中的产品应包含该项目中的全部产品、配件等一切货物；</w:t>
      </w:r>
    </w:p>
    <w:p w14:paraId="7F15564E">
      <w:pPr>
        <w:keepNext w:val="0"/>
        <w:keepLines w:val="0"/>
        <w:pageBreakBefore w:val="0"/>
        <w:widowControl w:val="0"/>
        <w:shd w:val="clear"/>
        <w:kinsoku/>
        <w:wordWrap/>
        <w:overflowPunct/>
        <w:topLinePunct w:val="0"/>
        <w:autoSpaceDE/>
        <w:autoSpaceDN/>
        <w:bidi w:val="0"/>
        <w:adjustRightInd/>
        <w:snapToGrid/>
        <w:spacing w:line="560" w:lineRule="exact"/>
        <w:ind w:firstLine="240" w:firstLineChars="1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3、产品顺序需与招标文件中提供的技术参数与要求的顺序一致；投标人应将这些条款的逐条提出或根据以上要求的格式提出偏差。如无偏差，请在备注栏上写“无。</w:t>
      </w:r>
    </w:p>
    <w:p w14:paraId="02299926">
      <w:pPr>
        <w:keepNext w:val="0"/>
        <w:keepLines w:val="0"/>
        <w:pageBreakBefore w:val="0"/>
        <w:widowControl w:val="0"/>
        <w:shd w:val="clear"/>
        <w:kinsoku/>
        <w:wordWrap/>
        <w:overflowPunct/>
        <w:topLinePunct w:val="0"/>
        <w:autoSpaceDE/>
        <w:autoSpaceDN/>
        <w:bidi w:val="0"/>
        <w:adjustRightInd/>
        <w:snapToGrid/>
        <w:spacing w:line="560" w:lineRule="exact"/>
        <w:ind w:firstLine="240" w:firstLineChars="1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投标人应对照招标文件技术规格，逐条说明所提供货物和服务已对招标文件的技术规格做出了实质性的响应，并申明与技术规格条文的偏差和例外。特别对有具体参数要求的指标，投标人必须提供所投项的具体参数值。</w:t>
      </w:r>
    </w:p>
    <w:p w14:paraId="0C4827FE">
      <w:pPr>
        <w:pStyle w:val="28"/>
        <w:rPr>
          <w:rFonts w:hint="eastAsia"/>
        </w:rPr>
      </w:pPr>
    </w:p>
    <w:p w14:paraId="6077A325">
      <w:pPr>
        <w:shd w:val="clear"/>
        <w:spacing w:line="360" w:lineRule="auto"/>
        <w:rPr>
          <w:rFonts w:ascii="仿宋" w:hAnsi="仿宋" w:eastAsia="仿宋" w:cs="仿宋"/>
          <w:color w:val="auto"/>
          <w:sz w:val="24"/>
          <w:szCs w:val="24"/>
          <w:highlight w:val="none"/>
        </w:rPr>
      </w:pPr>
    </w:p>
    <w:p w14:paraId="7963B8F0">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2EDC2F13">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5D45D234">
      <w:pPr>
        <w:pStyle w:val="28"/>
        <w:shd w:val="clear"/>
        <w:ind w:firstLine="52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1C6F9C97">
      <w:pPr>
        <w:shd w:val="clear"/>
        <w:spacing w:line="360" w:lineRule="auto"/>
        <w:ind w:firstLine="480" w:firstLineChars="200"/>
        <w:rPr>
          <w:rFonts w:hint="eastAsia" w:ascii="仿宋" w:hAnsi="仿宋" w:eastAsia="仿宋" w:cs="仿宋"/>
          <w:b w:val="0"/>
          <w:bCs/>
          <w:color w:val="auto"/>
          <w:sz w:val="24"/>
          <w:szCs w:val="24"/>
          <w:highlight w:val="none"/>
        </w:rPr>
      </w:pPr>
    </w:p>
    <w:p w14:paraId="0293FD43">
      <w:pPr>
        <w:jc w:val="center"/>
        <w:rPr>
          <w:rFonts w:hint="eastAsia" w:ascii="仿宋" w:hAnsi="仿宋" w:eastAsia="仿宋" w:cs="仿宋"/>
          <w:b/>
          <w:bCs/>
          <w:color w:val="auto"/>
          <w:sz w:val="30"/>
          <w:szCs w:val="30"/>
          <w:highlight w:val="none"/>
        </w:rPr>
      </w:pPr>
      <w:bookmarkStart w:id="668" w:name="_Toc28828"/>
      <w:r>
        <w:rPr>
          <w:rFonts w:hint="eastAsia" w:ascii="仿宋" w:hAnsi="仿宋" w:eastAsia="仿宋" w:cs="仿宋"/>
          <w:b/>
          <w:bCs/>
          <w:color w:val="auto"/>
          <w:sz w:val="30"/>
          <w:szCs w:val="30"/>
          <w:highlight w:val="none"/>
          <w:lang w:val="en-US" w:eastAsia="zh-CN"/>
        </w:rPr>
        <w:t>四</w:t>
      </w:r>
      <w:r>
        <w:rPr>
          <w:rFonts w:hint="eastAsia" w:ascii="仿宋" w:hAnsi="仿宋" w:eastAsia="仿宋" w:cs="仿宋"/>
          <w:b/>
          <w:bCs/>
          <w:color w:val="auto"/>
          <w:sz w:val="30"/>
          <w:szCs w:val="30"/>
          <w:highlight w:val="none"/>
        </w:rPr>
        <w:t>、</w:t>
      </w:r>
      <w:r>
        <w:rPr>
          <w:rFonts w:hint="eastAsia" w:ascii="仿宋" w:hAnsi="仿宋" w:eastAsia="仿宋" w:cs="仿宋"/>
          <w:b/>
          <w:bCs/>
          <w:color w:val="auto"/>
          <w:sz w:val="30"/>
          <w:szCs w:val="30"/>
          <w:highlight w:val="none"/>
          <w:lang w:val="en-US" w:eastAsia="zh-CN"/>
        </w:rPr>
        <w:t>商务</w:t>
      </w:r>
      <w:r>
        <w:rPr>
          <w:rFonts w:hint="eastAsia" w:ascii="仿宋" w:hAnsi="仿宋" w:eastAsia="仿宋" w:cs="仿宋"/>
          <w:b/>
          <w:bCs/>
          <w:color w:val="auto"/>
          <w:sz w:val="30"/>
          <w:szCs w:val="30"/>
          <w:highlight w:val="none"/>
        </w:rPr>
        <w:t>部分</w:t>
      </w:r>
      <w:bookmarkEnd w:id="651"/>
      <w:bookmarkEnd w:id="652"/>
      <w:bookmarkEnd w:id="653"/>
      <w:bookmarkEnd w:id="654"/>
      <w:bookmarkEnd w:id="655"/>
      <w:bookmarkEnd w:id="668"/>
    </w:p>
    <w:bookmarkEnd w:id="656"/>
    <w:bookmarkEnd w:id="657"/>
    <w:p w14:paraId="65FB8AB4">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bookmarkStart w:id="669" w:name="_Toc391301881"/>
      <w:bookmarkStart w:id="670" w:name="_Toc406162627"/>
      <w:bookmarkStart w:id="671" w:name="_Toc383636422"/>
      <w:bookmarkStart w:id="672" w:name="_Toc527634733"/>
      <w:bookmarkStart w:id="673" w:name="_Toc2916"/>
      <w:bookmarkStart w:id="674" w:name="_Toc14410"/>
      <w:bookmarkStart w:id="675" w:name="_Toc21929"/>
      <w:bookmarkStart w:id="676" w:name="_Toc406162634"/>
      <w:bookmarkStart w:id="677" w:name="_Toc383636429"/>
      <w:bookmarkStart w:id="678" w:name="_Toc388360814"/>
      <w:bookmarkStart w:id="679" w:name="_Toc391301888"/>
      <w:r>
        <w:rPr>
          <w:rFonts w:hint="eastAsia" w:ascii="仿宋" w:hAnsi="仿宋" w:eastAsia="仿宋" w:cs="仿宋"/>
          <w:b/>
          <w:color w:val="auto"/>
          <w:sz w:val="24"/>
          <w:szCs w:val="24"/>
          <w:highlight w:val="none"/>
        </w:rPr>
        <w:t>格式1、投标</w:t>
      </w:r>
      <w:bookmarkEnd w:id="669"/>
      <w:bookmarkEnd w:id="670"/>
      <w:bookmarkEnd w:id="671"/>
      <w:bookmarkEnd w:id="672"/>
      <w:r>
        <w:rPr>
          <w:rFonts w:hint="eastAsia" w:ascii="仿宋" w:hAnsi="仿宋" w:eastAsia="仿宋" w:cs="仿宋"/>
          <w:b/>
          <w:color w:val="auto"/>
          <w:sz w:val="24"/>
          <w:szCs w:val="24"/>
          <w:highlight w:val="none"/>
        </w:rPr>
        <w:t>书</w:t>
      </w:r>
      <w:bookmarkEnd w:id="673"/>
      <w:bookmarkEnd w:id="674"/>
      <w:bookmarkEnd w:id="675"/>
    </w:p>
    <w:p w14:paraId="1E1C1556">
      <w:pPr>
        <w:shd w:val="clear"/>
        <w:spacing w:line="360" w:lineRule="auto"/>
        <w:rPr>
          <w:rFonts w:hint="eastAsia" w:ascii="仿宋" w:hAnsi="仿宋" w:eastAsia="仿宋" w:cs="仿宋"/>
          <w:b w:val="0"/>
          <w:bCs/>
          <w:color w:val="auto"/>
          <w:sz w:val="24"/>
          <w:szCs w:val="24"/>
          <w:highlight w:val="none"/>
          <w:u w:val="single"/>
          <w:lang w:eastAsia="zh-CN"/>
        </w:rPr>
      </w:pPr>
      <w:r>
        <w:rPr>
          <w:rFonts w:hint="eastAsia" w:ascii="仿宋" w:hAnsi="仿宋" w:eastAsia="仿宋" w:cs="仿宋"/>
          <w:b w:val="0"/>
          <w:bCs/>
          <w:color w:val="auto"/>
          <w:sz w:val="24"/>
          <w:szCs w:val="24"/>
          <w:highlight w:val="none"/>
        </w:rPr>
        <w:t>致：</w:t>
      </w:r>
      <w:r>
        <w:rPr>
          <w:rFonts w:hint="eastAsia" w:ascii="仿宋" w:hAnsi="仿宋" w:eastAsia="仿宋" w:cs="仿宋"/>
          <w:b w:val="0"/>
          <w:bCs/>
          <w:color w:val="auto"/>
          <w:sz w:val="24"/>
          <w:szCs w:val="24"/>
          <w:highlight w:val="none"/>
          <w:u w:val="single"/>
          <w:lang w:eastAsia="zh-CN"/>
        </w:rPr>
        <w:t>丽江恒邦项目管理有限公司</w:t>
      </w:r>
    </w:p>
    <w:p w14:paraId="26993FFC">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根据贵方代理的</w:t>
      </w:r>
      <w:r>
        <w:rPr>
          <w:rFonts w:hint="eastAsia" w:ascii="仿宋" w:hAnsi="仿宋" w:eastAsia="仿宋" w:cs="仿宋"/>
          <w:color w:val="auto"/>
          <w:sz w:val="24"/>
          <w:szCs w:val="24"/>
          <w:highlight w:val="none"/>
          <w:u w:val="single"/>
          <w:lang w:eastAsia="zh-CN"/>
        </w:rPr>
        <w:t>玉龙县公安局移动警务服务采购项目（二次）</w:t>
      </w:r>
      <w:r>
        <w:rPr>
          <w:rFonts w:hint="eastAsia" w:ascii="仿宋" w:hAnsi="仿宋" w:eastAsia="仿宋" w:cs="仿宋"/>
          <w:color w:val="auto"/>
          <w:sz w:val="24"/>
          <w:szCs w:val="24"/>
          <w:highlight w:val="none"/>
        </w:rPr>
        <w:t>招标文件。我单位（公司）决定参加该项目的投标，我单位（或公司）同意以下事项：</w:t>
      </w:r>
    </w:p>
    <w:p w14:paraId="36671AB3">
      <w:pPr>
        <w:shd w:val="clear"/>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1、我方承诺已经具备《中华人民共和国政府采购法》中规定的参加政府采购活动的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应当具备的条件。</w:t>
      </w:r>
    </w:p>
    <w:p w14:paraId="0E184297">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2、遵守招标文件的各项条款及一切有关规定，并在投标人须知前附表第1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.1条规定的投标有效期满之前均具有约束力。如果我方投标被接受，则至合同履行完毕、质保期满为止，本投标书保持有效。</w:t>
      </w:r>
    </w:p>
    <w:p w14:paraId="14BED0EE">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我方承诺严格遵守招标文件中的各项要求及合同条款，并承担合同规定的责任义务。</w:t>
      </w:r>
    </w:p>
    <w:p w14:paraId="1B93923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、同意应贵方要求提供与本投标有关的任何数据和资料，并保证数据和资料的完整性和真实性，若有违反，我方愿意承担一切后果。</w:t>
      </w:r>
    </w:p>
    <w:p w14:paraId="2511A4D9">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、我方已详细审核招标文件，我方对招标文件各项条款和评标办法无异议，知道必须放弃提出含糊不清或误解问题的权利。</w:t>
      </w:r>
    </w:p>
    <w:p w14:paraId="24E10845">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、如果在投标文件有效期内撤回投标或者有其他违约行为，我方的投标保证金可被贵方全部没收。</w:t>
      </w:r>
    </w:p>
    <w:p w14:paraId="70B106D5">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、若贵方需要，我方愿意提供我方作出的一切承诺的证明材料。</w:t>
      </w:r>
    </w:p>
    <w:p w14:paraId="6D55EA1D">
      <w:pPr>
        <w:shd w:val="clear"/>
        <w:spacing w:line="360" w:lineRule="auto"/>
        <w:ind w:firstLine="480" w:firstLineChars="200"/>
        <w:rPr>
          <w:rFonts w:hint="eastAsia" w:ascii="仿宋" w:hAnsi="仿宋" w:eastAsia="仿宋" w:cs="仿宋"/>
          <w:color w:val="auto"/>
          <w:sz w:val="24"/>
          <w:szCs w:val="24"/>
          <w:highlight w:val="none"/>
        </w:rPr>
      </w:pPr>
    </w:p>
    <w:p w14:paraId="3CBFE412">
      <w:pPr>
        <w:shd w:val="clear"/>
        <w:spacing w:line="360" w:lineRule="auto"/>
        <w:ind w:firstLine="480" w:firstLineChars="20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4387B63D">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lang w:val="en-US" w:eastAsia="zh-CN"/>
        </w:rPr>
        <w:t xml:space="preserve">                        </w:t>
      </w:r>
    </w:p>
    <w:p w14:paraId="0901A4C4">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lang w:val="en-US" w:eastAsia="zh-CN"/>
        </w:rPr>
        <w:t xml:space="preserve">                        </w:t>
      </w:r>
    </w:p>
    <w:p w14:paraId="2D1C297C">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法定代表人（或负责人）或委托代理人（电子签章）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3A6CFFB1">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54BF293B">
      <w:pPr>
        <w:shd w:val="clear"/>
        <w:rPr>
          <w:rFonts w:hint="eastAsia" w:ascii="仿宋" w:hAnsi="仿宋" w:eastAsia="仿宋" w:cs="仿宋"/>
          <w:color w:val="auto"/>
          <w:highlight w:val="none"/>
        </w:rPr>
      </w:pPr>
      <w:bookmarkStart w:id="680" w:name="_Toc469987155"/>
      <w:bookmarkStart w:id="681" w:name="_Toc469987741"/>
      <w:bookmarkStart w:id="682" w:name="_Toc38173198"/>
      <w:r>
        <w:rPr>
          <w:rFonts w:hint="eastAsia" w:ascii="仿宋" w:hAnsi="仿宋" w:eastAsia="仿宋" w:cs="仿宋"/>
          <w:color w:val="auto"/>
          <w:sz w:val="24"/>
          <w:szCs w:val="24"/>
          <w:highlight w:val="none"/>
        </w:rPr>
        <w:br w:type="page"/>
      </w:r>
    </w:p>
    <w:p w14:paraId="18F79825">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bookmarkStart w:id="683" w:name="_Toc24326"/>
      <w:bookmarkStart w:id="684" w:name="_Toc7239"/>
      <w:bookmarkStart w:id="685" w:name="_Toc12261"/>
      <w:r>
        <w:rPr>
          <w:rFonts w:hint="eastAsia" w:ascii="仿宋" w:hAnsi="仿宋" w:eastAsia="仿宋" w:cs="仿宋"/>
          <w:b/>
          <w:color w:val="auto"/>
          <w:sz w:val="24"/>
          <w:szCs w:val="24"/>
          <w:highlight w:val="none"/>
        </w:rPr>
        <w:t>格式2、投标质量保证书</w:t>
      </w:r>
      <w:bookmarkEnd w:id="680"/>
      <w:bookmarkEnd w:id="681"/>
      <w:bookmarkEnd w:id="682"/>
      <w:bookmarkEnd w:id="683"/>
      <w:bookmarkEnd w:id="684"/>
      <w:bookmarkEnd w:id="685"/>
    </w:p>
    <w:p w14:paraId="4445ED27">
      <w:pPr>
        <w:shd w:val="clear"/>
        <w:spacing w:line="400" w:lineRule="exact"/>
        <w:rPr>
          <w:rFonts w:hint="eastAsia" w:ascii="仿宋" w:hAnsi="仿宋" w:eastAsia="仿宋" w:cs="仿宋"/>
          <w:color w:val="auto"/>
          <w:sz w:val="24"/>
          <w:szCs w:val="24"/>
          <w:highlight w:val="none"/>
        </w:rPr>
      </w:pPr>
    </w:p>
    <w:p w14:paraId="63B293E5">
      <w:pPr>
        <w:shd w:val="clear"/>
        <w:spacing w:after="120" w:line="50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致：</w:t>
      </w:r>
      <w:r>
        <w:rPr>
          <w:rFonts w:hint="eastAsia" w:ascii="仿宋" w:hAnsi="仿宋" w:eastAsia="仿宋" w:cs="仿宋"/>
          <w:b w:val="0"/>
          <w:bCs/>
          <w:color w:val="auto"/>
          <w:sz w:val="24"/>
          <w:szCs w:val="24"/>
          <w:highlight w:val="none"/>
          <w:u w:val="single"/>
          <w:lang w:val="en-US" w:eastAsia="zh-CN"/>
        </w:rPr>
        <w:t>玉龙纳西族自治县公安局/</w:t>
      </w:r>
      <w:r>
        <w:rPr>
          <w:rFonts w:hint="eastAsia" w:ascii="仿宋" w:hAnsi="仿宋" w:eastAsia="仿宋" w:cs="仿宋"/>
          <w:b w:val="0"/>
          <w:bCs/>
          <w:color w:val="auto"/>
          <w:sz w:val="24"/>
          <w:szCs w:val="24"/>
          <w:highlight w:val="none"/>
          <w:u w:val="single"/>
          <w:lang w:eastAsia="zh-CN"/>
        </w:rPr>
        <w:t>丽江恒邦项目管理有限公司</w:t>
      </w:r>
    </w:p>
    <w:p w14:paraId="4FC9CF9E">
      <w:pPr>
        <w:shd w:val="clear"/>
        <w:spacing w:before="60" w:after="60" w:line="500" w:lineRule="exact"/>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本书作为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（投标人）对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（项目名称）</w:t>
      </w:r>
      <w:r>
        <w:rPr>
          <w:rFonts w:hint="eastAsia" w:ascii="仿宋" w:hAnsi="仿宋" w:eastAsia="仿宋" w:cs="仿宋"/>
          <w:color w:val="auto"/>
          <w:sz w:val="24"/>
          <w:szCs w:val="24"/>
          <w:highlight w:val="none"/>
        </w:rPr>
        <w:t>，项目编号为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的项目</w:t>
      </w:r>
      <w:r>
        <w:rPr>
          <w:rFonts w:hint="eastAsia" w:ascii="仿宋" w:hAnsi="仿宋" w:eastAsia="仿宋" w:cs="仿宋"/>
          <w:color w:val="auto"/>
          <w:sz w:val="24"/>
          <w:szCs w:val="24"/>
          <w:highlight w:val="none"/>
        </w:rPr>
        <w:t>所投标产品的质量保证的证明。</w:t>
      </w:r>
    </w:p>
    <w:p w14:paraId="533123E9">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我方承诺提供以下质量保证并承担相应的法律责任：</w:t>
      </w:r>
    </w:p>
    <w:p w14:paraId="6AF83880">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1、提供的产品是全新的、符合国家质量标准的产品。</w:t>
      </w:r>
    </w:p>
    <w:p w14:paraId="5DE7197B">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2、提供的产品符合投标文件承诺和所签合同规定的技术要求。</w:t>
      </w:r>
    </w:p>
    <w:p w14:paraId="318BE48B">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3、保证“投标售后服务承诺”全部内容的满足。</w:t>
      </w:r>
    </w:p>
    <w:p w14:paraId="71600B37">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4、提供的产品货真价实，不以次充好。</w:t>
      </w:r>
    </w:p>
    <w:p w14:paraId="6F5FDE78">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5、保证诚信经营，绝不弄虚作假。</w:t>
      </w:r>
    </w:p>
    <w:p w14:paraId="48244E16">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本保证书自开标日起90天内有效，如我方中标则至货物保质期满为止有效。</w:t>
      </w:r>
    </w:p>
    <w:p w14:paraId="757AA213">
      <w:pPr>
        <w:shd w:val="clear"/>
        <w:spacing w:before="60" w:after="60" w:line="500" w:lineRule="exact"/>
        <w:ind w:firstLine="510"/>
        <w:rPr>
          <w:rFonts w:hint="eastAsia" w:ascii="仿宋" w:hAnsi="仿宋" w:eastAsia="仿宋" w:cs="仿宋"/>
          <w:color w:val="auto"/>
          <w:sz w:val="24"/>
          <w:szCs w:val="24"/>
          <w:highlight w:val="none"/>
        </w:rPr>
      </w:pPr>
    </w:p>
    <w:p w14:paraId="319989AB">
      <w:pPr>
        <w:shd w:val="clear"/>
        <w:spacing w:before="60" w:after="60" w:line="500" w:lineRule="exact"/>
        <w:ind w:firstLine="510"/>
        <w:rPr>
          <w:rFonts w:hint="eastAsia" w:ascii="仿宋" w:hAnsi="仿宋" w:eastAsia="仿宋" w:cs="仿宋"/>
          <w:color w:val="auto"/>
          <w:sz w:val="24"/>
          <w:szCs w:val="24"/>
          <w:highlight w:val="none"/>
        </w:rPr>
      </w:pPr>
    </w:p>
    <w:p w14:paraId="06D69462">
      <w:pPr>
        <w:shd w:val="clear"/>
        <w:spacing w:before="60" w:after="60" w:line="500" w:lineRule="exact"/>
        <w:rPr>
          <w:rFonts w:hint="eastAsia" w:ascii="仿宋" w:hAnsi="仿宋" w:eastAsia="仿宋" w:cs="仿宋"/>
          <w:color w:val="auto"/>
          <w:sz w:val="24"/>
          <w:szCs w:val="24"/>
          <w:highlight w:val="none"/>
        </w:rPr>
      </w:pPr>
    </w:p>
    <w:p w14:paraId="2E445A05">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4F3D434A">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法定代表人（或负责人）或委托代理人（电子签章）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03E84FA0">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2AA5E01E">
      <w:pPr>
        <w:shd w:val="clear"/>
        <w:bidi w:val="0"/>
        <w:rPr>
          <w:rFonts w:hint="eastAsia"/>
          <w:color w:val="auto"/>
          <w:highlight w:val="none"/>
        </w:rPr>
      </w:pPr>
      <w:r>
        <w:rPr>
          <w:rFonts w:hint="eastAsia"/>
          <w:color w:val="auto"/>
          <w:highlight w:val="none"/>
        </w:rPr>
        <w:br w:type="page"/>
      </w:r>
      <w:bookmarkStart w:id="686" w:name="_Toc31603098"/>
      <w:bookmarkStart w:id="687" w:name="_Toc38173197"/>
      <w:bookmarkStart w:id="688" w:name="_Toc469987156"/>
      <w:bookmarkStart w:id="689" w:name="_Toc4678"/>
      <w:bookmarkStart w:id="690" w:name="_Toc469987742"/>
    </w:p>
    <w:p w14:paraId="36DDE975">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bookmarkStart w:id="691" w:name="_Toc14308"/>
      <w:bookmarkStart w:id="692" w:name="_Toc6933"/>
      <w:bookmarkStart w:id="693" w:name="_Toc25413"/>
      <w:r>
        <w:rPr>
          <w:rFonts w:hint="eastAsia" w:ascii="仿宋" w:hAnsi="仿宋" w:eastAsia="仿宋" w:cs="仿宋"/>
          <w:b/>
          <w:color w:val="auto"/>
          <w:sz w:val="24"/>
          <w:szCs w:val="24"/>
          <w:highlight w:val="none"/>
        </w:rPr>
        <w:t>格式3</w:t>
      </w:r>
      <w:bookmarkEnd w:id="686"/>
      <w:bookmarkEnd w:id="687"/>
      <w:r>
        <w:rPr>
          <w:rFonts w:hint="eastAsia" w:ascii="仿宋" w:hAnsi="仿宋" w:eastAsia="仿宋" w:cs="仿宋"/>
          <w:b/>
          <w:color w:val="auto"/>
          <w:sz w:val="24"/>
          <w:szCs w:val="24"/>
          <w:highlight w:val="none"/>
        </w:rPr>
        <w:t>、投标人承诺书（1）</w:t>
      </w:r>
      <w:bookmarkEnd w:id="688"/>
      <w:bookmarkEnd w:id="689"/>
      <w:bookmarkEnd w:id="690"/>
      <w:bookmarkEnd w:id="691"/>
      <w:bookmarkEnd w:id="692"/>
      <w:bookmarkEnd w:id="693"/>
    </w:p>
    <w:p w14:paraId="61BA3E42">
      <w:pPr>
        <w:widowControl/>
        <w:shd w:val="clear"/>
        <w:spacing w:line="520" w:lineRule="exact"/>
        <w:jc w:val="left"/>
        <w:rPr>
          <w:rFonts w:hint="eastAsia" w:ascii="仿宋" w:hAnsi="仿宋" w:eastAsia="仿宋" w:cs="仿宋"/>
          <w:color w:val="auto"/>
          <w:kern w:val="0"/>
          <w:sz w:val="24"/>
          <w:szCs w:val="24"/>
          <w:highlight w:val="none"/>
          <w:u w:val="single"/>
          <w:lang w:eastAsia="zh-CN"/>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lang w:eastAsia="zh-CN"/>
        </w:rPr>
        <w:t>玉龙纳西族自治县公安局</w:t>
      </w:r>
    </w:p>
    <w:p w14:paraId="6FF5ABB5">
      <w:pPr>
        <w:widowControl/>
        <w:shd w:val="clear"/>
        <w:spacing w:line="52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本单位作为参与</w:t>
      </w:r>
      <w:r>
        <w:rPr>
          <w:rFonts w:hint="eastAsia" w:ascii="仿宋" w:hAnsi="仿宋" w:eastAsia="仿宋" w:cs="仿宋"/>
          <w:color w:val="auto"/>
          <w:sz w:val="24"/>
          <w:szCs w:val="24"/>
          <w:highlight w:val="none"/>
          <w:u w:val="single"/>
          <w:lang w:eastAsia="zh-CN"/>
        </w:rPr>
        <w:t>玉龙县公安局移动警务服务采购项目（二次）</w:t>
      </w:r>
      <w:r>
        <w:rPr>
          <w:rFonts w:hint="eastAsia" w:ascii="仿宋" w:hAnsi="仿宋" w:eastAsia="仿宋" w:cs="仿宋"/>
          <w:color w:val="auto"/>
          <w:kern w:val="0"/>
          <w:sz w:val="24"/>
          <w:szCs w:val="24"/>
          <w:highlight w:val="none"/>
        </w:rPr>
        <w:t>的投标人，现作如下承诺：</w:t>
      </w:r>
    </w:p>
    <w:p w14:paraId="2CA18A64">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1、所提供的一切材料都是真实、有效、合法的。</w:t>
      </w:r>
    </w:p>
    <w:p w14:paraId="2D9E9E92">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2、不与其他投标人串通投标，不损害采购人或其他投标人的合法权益。</w:t>
      </w:r>
    </w:p>
    <w:p w14:paraId="7B7640AA">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3、不转让、出租、出借资质证书、人员岗位证书或以其他方式允许他人以本企业名义投标。</w:t>
      </w:r>
    </w:p>
    <w:p w14:paraId="7BE46EE4">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4、不与采购人或采购代理机构串通投标，损害国家利益、社会公共利益或者他人的合法权益。</w:t>
      </w:r>
    </w:p>
    <w:p w14:paraId="092DD8EC">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5、不向采购人、评标委员会成员、监督人员行贿。</w:t>
      </w:r>
    </w:p>
    <w:p w14:paraId="004CFD15">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6、不扰乱招标投标活动正常秩序。</w:t>
      </w:r>
    </w:p>
    <w:p w14:paraId="0C6F8B9B">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7、不进行虚假恶意投诉。</w:t>
      </w:r>
    </w:p>
    <w:p w14:paraId="38567C61">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8、因违反法律、法规、规章被查处的，不干预案件查处。</w:t>
      </w:r>
    </w:p>
    <w:p w14:paraId="473844DF">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如出现上述行为，本投标人自愿承担相关责任，接受招标投标监督管理部门、纪检监察部门或司法机关调查处理。</w:t>
      </w:r>
      <w:r>
        <w:rPr>
          <w:rFonts w:hint="eastAsia" w:ascii="仿宋" w:hAnsi="仿宋" w:eastAsia="仿宋" w:cs="仿宋"/>
          <w:color w:val="auto"/>
          <w:kern w:val="0"/>
          <w:sz w:val="24"/>
          <w:szCs w:val="24"/>
          <w:highlight w:val="none"/>
        </w:rPr>
        <w:t>给采购人造成损失的，依法承担赔偿责任。</w:t>
      </w:r>
    </w:p>
    <w:p w14:paraId="7941B6A7">
      <w:pPr>
        <w:widowControl/>
        <w:shd w:val="clear"/>
        <w:spacing w:line="520" w:lineRule="exact"/>
        <w:jc w:val="left"/>
        <w:rPr>
          <w:rFonts w:hint="eastAsia" w:ascii="仿宋" w:hAnsi="仿宋" w:eastAsia="仿宋" w:cs="仿宋"/>
          <w:color w:val="auto"/>
          <w:kern w:val="0"/>
          <w:sz w:val="24"/>
          <w:szCs w:val="24"/>
          <w:highlight w:val="none"/>
        </w:rPr>
      </w:pPr>
    </w:p>
    <w:p w14:paraId="39DD4AEC">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p>
    <w:p w14:paraId="1CF8A980">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p>
    <w:p w14:paraId="51D54E04">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38535C16">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法定代表人（或负责人）或委托代理人（电子签章）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309B6180">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2295D60C">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694" w:name="_Toc25637"/>
      <w:bookmarkStart w:id="695" w:name="_Toc469987744"/>
      <w:bookmarkStart w:id="696" w:name="_Toc22167"/>
      <w:bookmarkStart w:id="697" w:name="_Toc10280"/>
      <w:bookmarkStart w:id="698" w:name="_Toc469987158"/>
      <w:r>
        <w:rPr>
          <w:rFonts w:hint="eastAsia" w:ascii="仿宋" w:hAnsi="仿宋" w:eastAsia="仿宋" w:cs="仿宋"/>
          <w:b/>
          <w:color w:val="auto"/>
          <w:sz w:val="24"/>
          <w:szCs w:val="24"/>
          <w:highlight w:val="none"/>
        </w:rPr>
        <w:t>格式4、投标人承诺书（2）</w:t>
      </w:r>
      <w:bookmarkEnd w:id="694"/>
      <w:bookmarkEnd w:id="695"/>
      <w:bookmarkEnd w:id="696"/>
      <w:bookmarkEnd w:id="697"/>
      <w:bookmarkEnd w:id="698"/>
    </w:p>
    <w:p w14:paraId="53B4F4C1">
      <w:pPr>
        <w:shd w:val="clear"/>
        <w:rPr>
          <w:rFonts w:hint="eastAsia" w:ascii="仿宋" w:hAnsi="仿宋" w:eastAsia="仿宋" w:cs="仿宋"/>
          <w:color w:val="auto"/>
          <w:sz w:val="24"/>
          <w:szCs w:val="24"/>
          <w:highlight w:val="none"/>
        </w:rPr>
      </w:pPr>
    </w:p>
    <w:p w14:paraId="5B86F164">
      <w:pPr>
        <w:shd w:val="clear"/>
        <w:spacing w:line="48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lang w:eastAsia="zh-CN"/>
        </w:rPr>
        <w:t>玉龙纳西族自治县公安局</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eastAsia="zh-CN"/>
        </w:rPr>
        <w:t>丽江恒邦项目管理有限公司</w:t>
      </w:r>
    </w:p>
    <w:p w14:paraId="3F1C5F2E">
      <w:pPr>
        <w:shd w:val="clear"/>
        <w:spacing w:line="48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本书作为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none"/>
        </w:rPr>
        <w:t>（投标人名称）</w:t>
      </w:r>
      <w:r>
        <w:rPr>
          <w:rFonts w:hint="eastAsia" w:ascii="仿宋" w:hAnsi="仿宋" w:eastAsia="仿宋" w:cs="仿宋"/>
          <w:color w:val="auto"/>
          <w:sz w:val="24"/>
          <w:szCs w:val="24"/>
          <w:highlight w:val="none"/>
        </w:rPr>
        <w:t>对</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项目（项目编号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）公开招标的承诺书，现做出如下承诺：</w:t>
      </w:r>
    </w:p>
    <w:p w14:paraId="79849619">
      <w:pPr>
        <w:shd w:val="clear"/>
        <w:spacing w:line="60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我方会认真阅读招标文件中的所有规定及要求，如发现招标文件规定有误或要求不合理的，我方必将在收到招标文件后在七个工作日内以书面形式加盖鲜公章递交至采购代理机构要求澄清，否则，即等同于我公司已完全认同招标文件的规定及要求。开标后不再针对招标文件的规定及要求提出任何质疑及投诉。</w:t>
      </w:r>
    </w:p>
    <w:p w14:paraId="3DD9B7C1">
      <w:pPr>
        <w:shd w:val="clear"/>
        <w:ind w:firstLine="420"/>
        <w:jc w:val="left"/>
        <w:rPr>
          <w:rFonts w:hint="eastAsia" w:ascii="仿宋" w:hAnsi="仿宋" w:eastAsia="仿宋" w:cs="仿宋"/>
          <w:color w:val="auto"/>
          <w:sz w:val="24"/>
          <w:szCs w:val="24"/>
          <w:highlight w:val="none"/>
        </w:rPr>
      </w:pPr>
    </w:p>
    <w:p w14:paraId="7D7BD603">
      <w:pPr>
        <w:shd w:val="clear"/>
        <w:ind w:firstLine="420"/>
        <w:jc w:val="left"/>
        <w:rPr>
          <w:rFonts w:hint="eastAsia" w:ascii="仿宋" w:hAnsi="仿宋" w:eastAsia="仿宋" w:cs="仿宋"/>
          <w:color w:val="auto"/>
          <w:sz w:val="24"/>
          <w:szCs w:val="24"/>
          <w:highlight w:val="none"/>
        </w:rPr>
      </w:pPr>
    </w:p>
    <w:p w14:paraId="44442D16">
      <w:pPr>
        <w:shd w:val="clear"/>
        <w:ind w:firstLine="420"/>
        <w:jc w:val="left"/>
        <w:rPr>
          <w:rFonts w:hint="eastAsia" w:ascii="仿宋" w:hAnsi="仿宋" w:eastAsia="仿宋" w:cs="仿宋"/>
          <w:color w:val="auto"/>
          <w:sz w:val="24"/>
          <w:szCs w:val="24"/>
          <w:highlight w:val="none"/>
        </w:rPr>
      </w:pPr>
    </w:p>
    <w:p w14:paraId="79301B54">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342F22D6">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法定代表人（或负责人）或委托代理人（电子签章）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4AB52388">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39F78012">
      <w:pPr>
        <w:shd w:val="clear"/>
        <w:rPr>
          <w:rFonts w:hint="eastAsia" w:ascii="仿宋" w:hAnsi="仿宋" w:eastAsia="仿宋" w:cs="仿宋"/>
          <w:color w:val="auto"/>
          <w:highlight w:val="none"/>
        </w:rPr>
      </w:pPr>
    </w:p>
    <w:p w14:paraId="2C193A16">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szCs w:val="24"/>
          <w:highlight w:val="none"/>
          <w:u w:val="single"/>
        </w:rPr>
        <w:br w:type="page"/>
      </w:r>
      <w:bookmarkStart w:id="699" w:name="_Toc527634723"/>
      <w:bookmarkStart w:id="700" w:name="_Toc5187"/>
      <w:bookmarkStart w:id="701" w:name="_Toc16426"/>
      <w:bookmarkStart w:id="702" w:name="_Toc14184"/>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、投标人基本情况表</w:t>
      </w:r>
      <w:bookmarkEnd w:id="699"/>
      <w:bookmarkEnd w:id="700"/>
      <w:bookmarkEnd w:id="701"/>
      <w:bookmarkEnd w:id="702"/>
    </w:p>
    <w:p w14:paraId="5A536005">
      <w:pPr>
        <w:shd w:val="clear"/>
        <w:rPr>
          <w:rFonts w:hint="eastAsia" w:ascii="仿宋" w:hAnsi="仿宋" w:eastAsia="仿宋" w:cs="仿宋"/>
          <w:color w:val="auto"/>
          <w:sz w:val="24"/>
          <w:szCs w:val="24"/>
          <w:highlight w:val="none"/>
        </w:rPr>
      </w:pPr>
    </w:p>
    <w:tbl>
      <w:tblPr>
        <w:tblStyle w:val="22"/>
        <w:tblpPr w:leftFromText="180" w:rightFromText="180" w:vertAnchor="text" w:horzAnchor="margin" w:tblpXSpec="center" w:tblpY="158"/>
        <w:tblW w:w="10031" w:type="dxa"/>
        <w:tblInd w:w="0" w:type="dxa"/>
        <w:tblLayout w:type="fixed"/>
        <w:tblCellMar>
          <w:top w:w="0" w:type="dxa"/>
          <w:left w:w="108" w:type="dxa"/>
          <w:bottom w:w="0" w:type="dxa"/>
          <w:right w:w="108" w:type="dxa"/>
        </w:tblCellMar>
      </w:tblPr>
      <w:tblGrid>
        <w:gridCol w:w="2098"/>
        <w:gridCol w:w="3455"/>
        <w:gridCol w:w="1533"/>
        <w:gridCol w:w="2945"/>
      </w:tblGrid>
      <w:tr w14:paraId="601C4703">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073E7550">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06435E5F">
            <w:pPr>
              <w:shd w:val="clear"/>
              <w:spacing w:line="440" w:lineRule="exact"/>
              <w:ind w:firstLine="200"/>
              <w:rPr>
                <w:rFonts w:hint="eastAsia" w:ascii="仿宋" w:hAnsi="仿宋" w:eastAsia="仿宋" w:cs="仿宋"/>
                <w:color w:val="auto"/>
                <w:sz w:val="24"/>
                <w:szCs w:val="24"/>
                <w:highlight w:val="none"/>
              </w:rPr>
            </w:pPr>
          </w:p>
        </w:tc>
      </w:tr>
      <w:tr w14:paraId="7111667B">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755345DC">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经济类型</w:t>
            </w:r>
          </w:p>
        </w:tc>
        <w:tc>
          <w:tcPr>
            <w:tcW w:w="3455" w:type="dxa"/>
            <w:tcBorders>
              <w:top w:val="single" w:color="auto" w:sz="6" w:space="0"/>
              <w:left w:val="single" w:color="auto" w:sz="6" w:space="0"/>
              <w:bottom w:val="single" w:color="auto" w:sz="6" w:space="0"/>
              <w:right w:val="single" w:color="auto" w:sz="6" w:space="0"/>
            </w:tcBorders>
            <w:vAlign w:val="center"/>
          </w:tcPr>
          <w:p w14:paraId="72A905F1">
            <w:pPr>
              <w:shd w:val="clear"/>
              <w:spacing w:line="440" w:lineRule="exact"/>
              <w:ind w:firstLine="200"/>
              <w:rPr>
                <w:rFonts w:hint="eastAsia" w:ascii="仿宋" w:hAnsi="仿宋" w:eastAsia="仿宋" w:cs="仿宋"/>
                <w:color w:val="auto"/>
                <w:sz w:val="24"/>
                <w:szCs w:val="24"/>
                <w:highlight w:val="none"/>
              </w:rPr>
            </w:pPr>
          </w:p>
        </w:tc>
        <w:tc>
          <w:tcPr>
            <w:tcW w:w="1533" w:type="dxa"/>
            <w:tcBorders>
              <w:top w:val="single" w:color="auto" w:sz="6" w:space="0"/>
              <w:left w:val="single" w:color="auto" w:sz="6" w:space="0"/>
              <w:bottom w:val="single" w:color="auto" w:sz="6" w:space="0"/>
              <w:right w:val="single" w:color="auto" w:sz="6" w:space="0"/>
            </w:tcBorders>
            <w:vAlign w:val="center"/>
          </w:tcPr>
          <w:p w14:paraId="1D6DD820">
            <w:pPr>
              <w:shd w:val="clear"/>
              <w:spacing w:line="440" w:lineRule="exact"/>
              <w:ind w:left="34" w:leftChars="1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p>
        </w:tc>
        <w:tc>
          <w:tcPr>
            <w:tcW w:w="2945" w:type="dxa"/>
            <w:tcBorders>
              <w:top w:val="single" w:color="auto" w:sz="6" w:space="0"/>
              <w:left w:val="single" w:color="auto" w:sz="6" w:space="0"/>
              <w:bottom w:val="single" w:color="auto" w:sz="6" w:space="0"/>
              <w:right w:val="single" w:color="auto" w:sz="6" w:space="0"/>
            </w:tcBorders>
            <w:vAlign w:val="center"/>
          </w:tcPr>
          <w:p w14:paraId="5945A735">
            <w:pPr>
              <w:shd w:val="clear"/>
              <w:spacing w:line="440" w:lineRule="exact"/>
              <w:ind w:firstLine="200"/>
              <w:rPr>
                <w:rFonts w:hint="eastAsia" w:ascii="仿宋" w:hAnsi="仿宋" w:eastAsia="仿宋" w:cs="仿宋"/>
                <w:color w:val="auto"/>
                <w:sz w:val="24"/>
                <w:szCs w:val="24"/>
                <w:highlight w:val="none"/>
              </w:rPr>
            </w:pPr>
          </w:p>
        </w:tc>
      </w:tr>
      <w:tr w14:paraId="54CF287D">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012E82D6">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3455" w:type="dxa"/>
            <w:tcBorders>
              <w:top w:val="single" w:color="auto" w:sz="6" w:space="0"/>
              <w:left w:val="single" w:color="auto" w:sz="6" w:space="0"/>
              <w:bottom w:val="single" w:color="auto" w:sz="6" w:space="0"/>
              <w:right w:val="single" w:color="auto" w:sz="6" w:space="0"/>
            </w:tcBorders>
            <w:vAlign w:val="center"/>
          </w:tcPr>
          <w:p w14:paraId="5BFF0AF5">
            <w:pPr>
              <w:shd w:val="clear"/>
              <w:spacing w:line="440" w:lineRule="exact"/>
              <w:ind w:firstLine="200"/>
              <w:rPr>
                <w:rFonts w:hint="eastAsia" w:ascii="仿宋" w:hAnsi="仿宋" w:eastAsia="仿宋" w:cs="仿宋"/>
                <w:color w:val="auto"/>
                <w:sz w:val="24"/>
                <w:szCs w:val="24"/>
                <w:highlight w:val="none"/>
              </w:rPr>
            </w:pPr>
          </w:p>
        </w:tc>
        <w:tc>
          <w:tcPr>
            <w:tcW w:w="1533" w:type="dxa"/>
            <w:tcBorders>
              <w:top w:val="single" w:color="auto" w:sz="6" w:space="0"/>
              <w:left w:val="single" w:color="auto" w:sz="6" w:space="0"/>
              <w:bottom w:val="single" w:color="auto" w:sz="6" w:space="0"/>
              <w:right w:val="single" w:color="auto" w:sz="6" w:space="0"/>
            </w:tcBorders>
            <w:vAlign w:val="center"/>
          </w:tcPr>
          <w:p w14:paraId="0A1BF721">
            <w:pPr>
              <w:shd w:val="clear"/>
              <w:spacing w:line="440" w:lineRule="exact"/>
              <w:ind w:left="34" w:leftChars="1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945" w:type="dxa"/>
            <w:tcBorders>
              <w:top w:val="single" w:color="auto" w:sz="6" w:space="0"/>
              <w:left w:val="single" w:color="auto" w:sz="6" w:space="0"/>
              <w:bottom w:val="single" w:color="auto" w:sz="6" w:space="0"/>
              <w:right w:val="single" w:color="auto" w:sz="6" w:space="0"/>
            </w:tcBorders>
            <w:vAlign w:val="center"/>
          </w:tcPr>
          <w:p w14:paraId="42ECD27A">
            <w:pPr>
              <w:shd w:val="clear"/>
              <w:spacing w:line="440" w:lineRule="exact"/>
              <w:ind w:firstLine="200"/>
              <w:rPr>
                <w:rFonts w:hint="eastAsia" w:ascii="仿宋" w:hAnsi="仿宋" w:eastAsia="仿宋" w:cs="仿宋"/>
                <w:color w:val="auto"/>
                <w:sz w:val="24"/>
                <w:szCs w:val="24"/>
                <w:highlight w:val="none"/>
              </w:rPr>
            </w:pPr>
          </w:p>
        </w:tc>
      </w:tr>
      <w:tr w14:paraId="3FCA5E8E">
        <w:tblPrEx>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610542CB">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工商登记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34EA4B85">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登记机关：</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注册资本金:</w:t>
            </w:r>
          </w:p>
        </w:tc>
      </w:tr>
      <w:tr w14:paraId="14672C0E">
        <w:tblPrEx>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29FBADB7">
            <w:pPr>
              <w:shd w:val="clear"/>
              <w:spacing w:line="440" w:lineRule="exact"/>
              <w:jc w:val="center"/>
              <w:rPr>
                <w:rFonts w:hint="eastAsia" w:ascii="仿宋" w:hAnsi="仿宋" w:eastAsia="仿宋" w:cs="仿宋"/>
                <w:color w:val="auto"/>
                <w:sz w:val="24"/>
                <w:szCs w:val="24"/>
                <w:highlight w:val="none"/>
              </w:rPr>
            </w:pP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78D2FE02">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执照号：</w:t>
            </w:r>
          </w:p>
        </w:tc>
      </w:tr>
      <w:tr w14:paraId="23A6AE1D">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5E125C31">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税务登记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4A8FAAD4">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登记机关：</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税务号：</w:t>
            </w:r>
          </w:p>
        </w:tc>
      </w:tr>
      <w:tr w14:paraId="766744CC">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640983A1">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经营范围</w:t>
            </w:r>
          </w:p>
        </w:tc>
        <w:tc>
          <w:tcPr>
            <w:tcW w:w="7933" w:type="dxa"/>
            <w:gridSpan w:val="3"/>
            <w:tcBorders>
              <w:top w:val="single" w:color="auto" w:sz="6" w:space="0"/>
              <w:left w:val="single" w:color="auto" w:sz="6" w:space="0"/>
              <w:right w:val="single" w:color="auto" w:sz="6" w:space="0"/>
            </w:tcBorders>
            <w:vAlign w:val="center"/>
          </w:tcPr>
          <w:p w14:paraId="555E8AA3">
            <w:pPr>
              <w:shd w:val="clear"/>
              <w:spacing w:line="440" w:lineRule="exact"/>
              <w:ind w:firstLine="200"/>
              <w:rPr>
                <w:rFonts w:hint="eastAsia" w:ascii="仿宋" w:hAnsi="仿宋" w:eastAsia="仿宋" w:cs="仿宋"/>
                <w:color w:val="auto"/>
                <w:sz w:val="24"/>
                <w:szCs w:val="24"/>
                <w:highlight w:val="none"/>
              </w:rPr>
            </w:pPr>
          </w:p>
        </w:tc>
      </w:tr>
      <w:tr w14:paraId="2A59F098">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09253176">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企业详细地址</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5B460AC2">
            <w:pPr>
              <w:shd w:val="clear"/>
              <w:spacing w:line="440" w:lineRule="exact"/>
              <w:ind w:firstLine="200"/>
              <w:rPr>
                <w:rFonts w:hint="eastAsia" w:ascii="仿宋" w:hAnsi="仿宋" w:eastAsia="仿宋" w:cs="仿宋"/>
                <w:color w:val="auto"/>
                <w:sz w:val="24"/>
                <w:szCs w:val="24"/>
                <w:highlight w:val="none"/>
              </w:rPr>
            </w:pPr>
          </w:p>
        </w:tc>
      </w:tr>
      <w:tr w14:paraId="44779D86">
        <w:tblPrEx>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56182C06">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通信联系</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1A945A49">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企业联系电话：</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传真：</w:t>
            </w:r>
          </w:p>
        </w:tc>
      </w:tr>
      <w:tr w14:paraId="424A6F31">
        <w:tblPrEx>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5BC0F284">
            <w:pPr>
              <w:shd w:val="clear"/>
              <w:spacing w:line="440" w:lineRule="exact"/>
              <w:ind w:firstLine="200"/>
              <w:rPr>
                <w:rFonts w:hint="eastAsia" w:ascii="仿宋" w:hAnsi="仿宋" w:eastAsia="仿宋" w:cs="仿宋"/>
                <w:color w:val="auto"/>
                <w:sz w:val="24"/>
                <w:szCs w:val="24"/>
                <w:highlight w:val="none"/>
              </w:rPr>
            </w:pPr>
          </w:p>
        </w:tc>
        <w:tc>
          <w:tcPr>
            <w:tcW w:w="7933" w:type="dxa"/>
            <w:gridSpan w:val="3"/>
            <w:tcBorders>
              <w:top w:val="single" w:color="auto" w:sz="6" w:space="0"/>
              <w:left w:val="single" w:color="auto" w:sz="6" w:space="0"/>
              <w:bottom w:val="single" w:color="auto" w:sz="4" w:space="0"/>
              <w:right w:val="single" w:color="auto" w:sz="6" w:space="0"/>
            </w:tcBorders>
            <w:vAlign w:val="center"/>
          </w:tcPr>
          <w:p w14:paraId="3733840D">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业务联系人：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电话：</w:t>
            </w:r>
          </w:p>
        </w:tc>
      </w:tr>
    </w:tbl>
    <w:p w14:paraId="1E4C363E">
      <w:pPr>
        <w:shd w:val="clear"/>
        <w:ind w:firstLine="420"/>
        <w:rPr>
          <w:rFonts w:hint="eastAsia" w:ascii="仿宋" w:hAnsi="仿宋" w:eastAsia="仿宋" w:cs="仿宋"/>
          <w:color w:val="auto"/>
          <w:sz w:val="24"/>
          <w:szCs w:val="24"/>
          <w:highlight w:val="none"/>
        </w:rPr>
      </w:pPr>
    </w:p>
    <w:p w14:paraId="32905084">
      <w:pPr>
        <w:shd w:val="clear"/>
        <w:rPr>
          <w:rFonts w:hint="eastAsia" w:ascii="仿宋" w:hAnsi="仿宋" w:eastAsia="仿宋" w:cs="仿宋"/>
          <w:color w:val="auto"/>
          <w:sz w:val="24"/>
          <w:szCs w:val="24"/>
          <w:highlight w:val="none"/>
        </w:rPr>
      </w:pPr>
    </w:p>
    <w:p w14:paraId="480BB002">
      <w:pPr>
        <w:shd w:val="clear"/>
        <w:ind w:firstLine="420"/>
        <w:rPr>
          <w:rFonts w:hint="eastAsia" w:ascii="仿宋" w:hAnsi="仿宋" w:eastAsia="仿宋" w:cs="仿宋"/>
          <w:color w:val="auto"/>
          <w:sz w:val="24"/>
          <w:szCs w:val="24"/>
          <w:highlight w:val="none"/>
        </w:rPr>
      </w:pPr>
    </w:p>
    <w:p w14:paraId="2FA21AC5">
      <w:pPr>
        <w:shd w:val="clear"/>
        <w:ind w:firstLine="420"/>
        <w:rPr>
          <w:rFonts w:hint="eastAsia" w:ascii="仿宋" w:hAnsi="仿宋" w:eastAsia="仿宋" w:cs="仿宋"/>
          <w:color w:val="auto"/>
          <w:sz w:val="24"/>
          <w:szCs w:val="24"/>
          <w:highlight w:val="none"/>
        </w:rPr>
      </w:pPr>
    </w:p>
    <w:p w14:paraId="5748DE61">
      <w:pPr>
        <w:shd w:val="clear"/>
        <w:ind w:firstLine="420"/>
        <w:rPr>
          <w:rFonts w:hint="eastAsia" w:ascii="仿宋" w:hAnsi="仿宋" w:eastAsia="仿宋" w:cs="仿宋"/>
          <w:color w:val="auto"/>
          <w:sz w:val="24"/>
          <w:szCs w:val="24"/>
          <w:highlight w:val="none"/>
        </w:rPr>
      </w:pPr>
    </w:p>
    <w:p w14:paraId="400E7210">
      <w:pPr>
        <w:shd w:val="clear"/>
        <w:ind w:firstLine="420"/>
        <w:rPr>
          <w:rFonts w:hint="eastAsia" w:ascii="仿宋" w:hAnsi="仿宋" w:eastAsia="仿宋" w:cs="仿宋"/>
          <w:color w:val="auto"/>
          <w:sz w:val="24"/>
          <w:szCs w:val="24"/>
          <w:highlight w:val="none"/>
        </w:rPr>
      </w:pPr>
    </w:p>
    <w:p w14:paraId="68C32E6F">
      <w:pPr>
        <w:shd w:val="clear"/>
        <w:ind w:firstLine="420"/>
        <w:rPr>
          <w:rFonts w:hint="eastAsia" w:ascii="仿宋" w:hAnsi="仿宋" w:eastAsia="仿宋" w:cs="仿宋"/>
          <w:color w:val="auto"/>
          <w:sz w:val="24"/>
          <w:szCs w:val="24"/>
          <w:highlight w:val="none"/>
        </w:rPr>
      </w:pPr>
    </w:p>
    <w:p w14:paraId="171699D0">
      <w:pPr>
        <w:shd w:val="clear"/>
        <w:ind w:firstLine="420"/>
        <w:rPr>
          <w:rFonts w:hint="eastAsia" w:ascii="仿宋" w:hAnsi="仿宋" w:eastAsia="仿宋" w:cs="仿宋"/>
          <w:color w:val="auto"/>
          <w:sz w:val="24"/>
          <w:szCs w:val="24"/>
          <w:highlight w:val="none"/>
        </w:rPr>
      </w:pPr>
    </w:p>
    <w:p w14:paraId="4EB7037E">
      <w:pPr>
        <w:shd w:val="clear"/>
        <w:ind w:firstLine="420"/>
        <w:rPr>
          <w:rFonts w:hint="eastAsia" w:ascii="仿宋" w:hAnsi="仿宋" w:eastAsia="仿宋" w:cs="仿宋"/>
          <w:color w:val="auto"/>
          <w:sz w:val="24"/>
          <w:szCs w:val="24"/>
          <w:highlight w:val="none"/>
        </w:rPr>
      </w:pPr>
    </w:p>
    <w:p w14:paraId="705648C2">
      <w:pPr>
        <w:shd w:val="clear"/>
        <w:ind w:firstLine="420"/>
        <w:rPr>
          <w:rFonts w:hint="eastAsia" w:ascii="仿宋" w:hAnsi="仿宋" w:eastAsia="仿宋" w:cs="仿宋"/>
          <w:color w:val="auto"/>
          <w:sz w:val="24"/>
          <w:szCs w:val="24"/>
          <w:highlight w:val="none"/>
        </w:rPr>
      </w:pPr>
    </w:p>
    <w:p w14:paraId="5E839992">
      <w:pPr>
        <w:shd w:val="clear"/>
        <w:ind w:firstLine="420"/>
        <w:rPr>
          <w:rFonts w:hint="eastAsia" w:ascii="仿宋" w:hAnsi="仿宋" w:eastAsia="仿宋" w:cs="仿宋"/>
          <w:color w:val="auto"/>
          <w:sz w:val="24"/>
          <w:szCs w:val="24"/>
          <w:highlight w:val="none"/>
        </w:rPr>
      </w:pPr>
    </w:p>
    <w:p w14:paraId="6AE22B99">
      <w:pPr>
        <w:shd w:val="clear"/>
        <w:ind w:firstLine="420"/>
        <w:rPr>
          <w:rFonts w:hint="eastAsia" w:ascii="仿宋" w:hAnsi="仿宋" w:eastAsia="仿宋" w:cs="仿宋"/>
          <w:color w:val="auto"/>
          <w:sz w:val="24"/>
          <w:szCs w:val="24"/>
          <w:highlight w:val="none"/>
        </w:rPr>
      </w:pPr>
    </w:p>
    <w:p w14:paraId="29A0AC05">
      <w:pPr>
        <w:shd w:val="clear"/>
        <w:ind w:firstLine="420"/>
        <w:rPr>
          <w:rFonts w:hint="eastAsia" w:ascii="仿宋" w:hAnsi="仿宋" w:eastAsia="仿宋" w:cs="仿宋"/>
          <w:color w:val="auto"/>
          <w:sz w:val="24"/>
          <w:szCs w:val="24"/>
          <w:highlight w:val="none"/>
        </w:rPr>
      </w:pPr>
    </w:p>
    <w:p w14:paraId="07EFBFDF">
      <w:pPr>
        <w:shd w:val="clear"/>
        <w:ind w:firstLine="420"/>
        <w:rPr>
          <w:rFonts w:hint="eastAsia" w:ascii="仿宋" w:hAnsi="仿宋" w:eastAsia="仿宋" w:cs="仿宋"/>
          <w:color w:val="auto"/>
          <w:sz w:val="24"/>
          <w:szCs w:val="24"/>
          <w:highlight w:val="none"/>
        </w:rPr>
      </w:pPr>
    </w:p>
    <w:p w14:paraId="09BD4DAD">
      <w:pPr>
        <w:shd w:val="clear"/>
        <w:ind w:firstLine="420"/>
        <w:rPr>
          <w:rFonts w:hint="eastAsia" w:ascii="仿宋" w:hAnsi="仿宋" w:eastAsia="仿宋" w:cs="仿宋"/>
          <w:color w:val="auto"/>
          <w:sz w:val="24"/>
          <w:szCs w:val="24"/>
          <w:highlight w:val="none"/>
        </w:rPr>
      </w:pPr>
    </w:p>
    <w:p w14:paraId="38FD3EC7">
      <w:pPr>
        <w:shd w:val="clear"/>
        <w:ind w:firstLine="420"/>
        <w:rPr>
          <w:rFonts w:hint="eastAsia" w:ascii="仿宋" w:hAnsi="仿宋" w:eastAsia="仿宋" w:cs="仿宋"/>
          <w:color w:val="auto"/>
          <w:sz w:val="24"/>
          <w:szCs w:val="24"/>
          <w:highlight w:val="none"/>
        </w:rPr>
      </w:pPr>
    </w:p>
    <w:p w14:paraId="4DFC8EC4">
      <w:pPr>
        <w:shd w:val="clear"/>
        <w:ind w:firstLine="420"/>
        <w:rPr>
          <w:rFonts w:hint="eastAsia" w:ascii="仿宋" w:hAnsi="仿宋" w:eastAsia="仿宋" w:cs="仿宋"/>
          <w:color w:val="auto"/>
          <w:sz w:val="24"/>
          <w:szCs w:val="24"/>
          <w:highlight w:val="none"/>
        </w:rPr>
      </w:pPr>
    </w:p>
    <w:p w14:paraId="109ACD30">
      <w:pPr>
        <w:shd w:val="clear"/>
        <w:rPr>
          <w:rFonts w:hint="eastAsia" w:ascii="仿宋" w:hAnsi="仿宋" w:eastAsia="仿宋" w:cs="仿宋"/>
          <w:color w:val="auto"/>
          <w:highlight w:val="none"/>
        </w:rPr>
      </w:pPr>
      <w:bookmarkStart w:id="703" w:name="_Toc14046"/>
      <w:r>
        <w:rPr>
          <w:rFonts w:hint="eastAsia" w:ascii="仿宋" w:hAnsi="仿宋" w:eastAsia="仿宋" w:cs="仿宋"/>
          <w:color w:val="auto"/>
          <w:highlight w:val="none"/>
        </w:rPr>
        <w:br w:type="page"/>
      </w:r>
    </w:p>
    <w:bookmarkEnd w:id="703"/>
    <w:p w14:paraId="0FB472A8">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bookmarkStart w:id="704" w:name="_Toc391301874"/>
      <w:bookmarkStart w:id="705" w:name="_Toc527634725"/>
      <w:bookmarkStart w:id="706" w:name="_Toc16155"/>
      <w:bookmarkStart w:id="707" w:name="_Toc383636415"/>
      <w:bookmarkStart w:id="708" w:name="_Toc14769"/>
      <w:bookmarkStart w:id="709" w:name="_Toc406162620"/>
      <w:bookmarkStart w:id="710" w:name="_Toc6774"/>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rPr>
        <w:t>、法定代表人身份证明书</w:t>
      </w:r>
      <w:bookmarkEnd w:id="704"/>
      <w:bookmarkEnd w:id="705"/>
      <w:bookmarkEnd w:id="706"/>
      <w:bookmarkEnd w:id="707"/>
      <w:bookmarkEnd w:id="708"/>
      <w:bookmarkEnd w:id="709"/>
      <w:bookmarkEnd w:id="710"/>
    </w:p>
    <w:p w14:paraId="096AE887">
      <w:pPr>
        <w:shd w:val="clear"/>
        <w:spacing w:line="420" w:lineRule="exact"/>
        <w:ind w:firstLine="420"/>
        <w:rPr>
          <w:rFonts w:hint="eastAsia" w:ascii="仿宋" w:hAnsi="仿宋" w:eastAsia="仿宋" w:cs="仿宋"/>
          <w:color w:val="auto"/>
          <w:sz w:val="24"/>
          <w:szCs w:val="24"/>
          <w:highlight w:val="none"/>
        </w:rPr>
      </w:pPr>
    </w:p>
    <w:p w14:paraId="1EFECB4D">
      <w:pPr>
        <w:shd w:val="clear"/>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lang w:val="en-US" w:eastAsia="zh-CN"/>
        </w:rPr>
        <w:t xml:space="preserve">                          </w:t>
      </w:r>
    </w:p>
    <w:p w14:paraId="308F5B78">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lang w:val="en-US" w:eastAsia="zh-CN"/>
        </w:rPr>
        <w:t xml:space="preserve">                          </w:t>
      </w:r>
    </w:p>
    <w:p w14:paraId="3CABB435">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注册资金：</w:t>
      </w:r>
      <w:r>
        <w:rPr>
          <w:rFonts w:hint="eastAsia" w:ascii="仿宋" w:hAnsi="仿宋" w:eastAsia="仿宋" w:cs="仿宋"/>
          <w:color w:val="auto"/>
          <w:sz w:val="24"/>
          <w:szCs w:val="24"/>
          <w:highlight w:val="none"/>
          <w:u w:val="single"/>
          <w:lang w:val="en-US" w:eastAsia="zh-CN"/>
        </w:rPr>
        <w:t xml:space="preserve">                          </w:t>
      </w:r>
    </w:p>
    <w:p w14:paraId="7FF2FA7D">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u w:val="single"/>
          <w:lang w:val="en-US" w:eastAsia="zh-CN"/>
        </w:rPr>
        <w:t xml:space="preserve">                          </w:t>
      </w:r>
    </w:p>
    <w:p w14:paraId="1A10BC09">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成立时间：</w:t>
      </w:r>
      <w:r>
        <w:rPr>
          <w:rFonts w:hint="eastAsia" w:ascii="仿宋" w:hAnsi="仿宋" w:eastAsia="仿宋" w:cs="仿宋"/>
          <w:color w:val="auto"/>
          <w:sz w:val="24"/>
          <w:szCs w:val="24"/>
          <w:highlight w:val="none"/>
          <w:u w:val="single"/>
          <w:lang w:val="en-US" w:eastAsia="zh-CN"/>
        </w:rPr>
        <w:t xml:space="preserve">                          </w:t>
      </w:r>
    </w:p>
    <w:p w14:paraId="4130C7AC">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经营期限：</w:t>
      </w:r>
      <w:r>
        <w:rPr>
          <w:rFonts w:hint="eastAsia" w:ascii="仿宋" w:hAnsi="仿宋" w:eastAsia="仿宋" w:cs="仿宋"/>
          <w:color w:val="auto"/>
          <w:sz w:val="24"/>
          <w:szCs w:val="24"/>
          <w:highlight w:val="none"/>
          <w:u w:val="single"/>
          <w:lang w:val="en-US" w:eastAsia="zh-CN"/>
        </w:rPr>
        <w:t xml:space="preserve">                          </w:t>
      </w:r>
    </w:p>
    <w:p w14:paraId="225D9C61">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性别：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lang w:val="en-US" w:eastAsia="zh-CN"/>
        </w:rPr>
        <w:t xml:space="preserve">        </w:t>
      </w:r>
    </w:p>
    <w:p w14:paraId="46998342">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的法定代表人</w:t>
      </w:r>
    </w:p>
    <w:p w14:paraId="7B802FBE">
      <w:pPr>
        <w:shd w:val="clear"/>
        <w:spacing w:line="360" w:lineRule="auto"/>
        <w:rPr>
          <w:rFonts w:hint="eastAsia" w:ascii="仿宋" w:hAnsi="仿宋" w:eastAsia="仿宋" w:cs="仿宋"/>
          <w:color w:val="auto"/>
          <w:sz w:val="24"/>
          <w:szCs w:val="24"/>
          <w:highlight w:val="none"/>
        </w:rPr>
      </w:pPr>
    </w:p>
    <w:p w14:paraId="61F04011">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6CFDE2C3">
      <w:pPr>
        <w:shd w:val="clear"/>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43AB2F33">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68CA753D">
      <w:pPr>
        <w:shd w:val="clear"/>
        <w:spacing w:line="420" w:lineRule="exact"/>
        <w:rPr>
          <w:rFonts w:hint="eastAsia" w:ascii="仿宋" w:hAnsi="仿宋" w:eastAsia="仿宋" w:cs="仿宋"/>
          <w:color w:val="auto"/>
          <w:sz w:val="24"/>
          <w:szCs w:val="24"/>
          <w:highlight w:val="none"/>
        </w:rPr>
      </w:pPr>
    </w:p>
    <w:p w14:paraId="646319BB">
      <w:pPr>
        <w:shd w:val="clear"/>
        <w:spacing w:line="420" w:lineRule="exact"/>
        <w:jc w:val="center"/>
        <w:rPr>
          <w:rFonts w:hint="eastAsia" w:ascii="仿宋" w:hAnsi="仿宋" w:eastAsia="仿宋" w:cs="仿宋"/>
          <w:b/>
          <w:color w:val="auto"/>
          <w:sz w:val="24"/>
          <w:szCs w:val="24"/>
          <w:highlight w:val="none"/>
        </w:rPr>
      </w:pPr>
    </w:p>
    <w:p w14:paraId="491CABF0">
      <w:pPr>
        <w:shd w:val="clea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法定代表人有效的身份证复印件</w:t>
      </w:r>
    </w:p>
    <w:p w14:paraId="1325519D">
      <w:pPr>
        <w:shd w:val="clear"/>
        <w:spacing w:line="420" w:lineRule="exact"/>
        <w:jc w:val="center"/>
        <w:rPr>
          <w:rFonts w:hint="eastAsia" w:ascii="仿宋" w:hAnsi="仿宋" w:eastAsia="仿宋" w:cs="仿宋"/>
          <w:color w:val="auto"/>
          <w:sz w:val="24"/>
          <w:szCs w:val="24"/>
          <w:highlight w:val="none"/>
        </w:rPr>
      </w:pPr>
    </w:p>
    <w:p w14:paraId="46867F39">
      <w:pPr>
        <w:shd w:val="clear"/>
        <w:spacing w:line="420" w:lineRule="exact"/>
        <w:rPr>
          <w:rFonts w:hint="eastAsia" w:ascii="仿宋" w:hAnsi="仿宋" w:eastAsia="仿宋" w:cs="仿宋"/>
          <w:color w:val="auto"/>
          <w:sz w:val="24"/>
          <w:szCs w:val="24"/>
          <w:highlight w:val="none"/>
        </w:rPr>
      </w:pPr>
    </w:p>
    <w:p w14:paraId="53C4D6BF">
      <w:pPr>
        <w:shd w:val="clear"/>
        <w:spacing w:line="420" w:lineRule="exact"/>
        <w:rPr>
          <w:rFonts w:hint="eastAsia" w:ascii="仿宋" w:hAnsi="仿宋" w:eastAsia="仿宋" w:cs="仿宋"/>
          <w:color w:val="auto"/>
          <w:sz w:val="24"/>
          <w:szCs w:val="24"/>
          <w:highlight w:val="none"/>
        </w:rPr>
      </w:pPr>
    </w:p>
    <w:p w14:paraId="5912EE1C">
      <w:pPr>
        <w:shd w:val="clear"/>
        <w:spacing w:line="420" w:lineRule="exact"/>
        <w:rPr>
          <w:rFonts w:hint="eastAsia" w:ascii="仿宋" w:hAnsi="仿宋" w:eastAsia="仿宋" w:cs="仿宋"/>
          <w:color w:val="auto"/>
          <w:sz w:val="24"/>
          <w:szCs w:val="24"/>
          <w:highlight w:val="none"/>
        </w:rPr>
      </w:pPr>
    </w:p>
    <w:p w14:paraId="284D6A1A">
      <w:pPr>
        <w:shd w:val="clear"/>
        <w:spacing w:line="420" w:lineRule="exact"/>
        <w:rPr>
          <w:rFonts w:hint="eastAsia" w:ascii="仿宋" w:hAnsi="仿宋" w:eastAsia="仿宋" w:cs="仿宋"/>
          <w:color w:val="auto"/>
          <w:sz w:val="24"/>
          <w:szCs w:val="24"/>
          <w:highlight w:val="none"/>
        </w:rPr>
      </w:pPr>
    </w:p>
    <w:p w14:paraId="4208E65F">
      <w:pPr>
        <w:shd w:val="clear"/>
        <w:spacing w:line="420" w:lineRule="exact"/>
        <w:rPr>
          <w:rFonts w:hint="eastAsia" w:ascii="仿宋" w:hAnsi="仿宋" w:eastAsia="仿宋" w:cs="仿宋"/>
          <w:color w:val="auto"/>
          <w:sz w:val="24"/>
          <w:szCs w:val="24"/>
          <w:highlight w:val="none"/>
        </w:rPr>
      </w:pPr>
    </w:p>
    <w:p w14:paraId="797AB737">
      <w:pPr>
        <w:shd w:val="clear"/>
        <w:spacing w:line="420" w:lineRule="exact"/>
        <w:rPr>
          <w:rFonts w:hint="eastAsia" w:ascii="仿宋" w:hAnsi="仿宋" w:eastAsia="仿宋" w:cs="仿宋"/>
          <w:color w:val="auto"/>
          <w:sz w:val="24"/>
          <w:szCs w:val="24"/>
          <w:highlight w:val="none"/>
        </w:rPr>
      </w:pPr>
    </w:p>
    <w:p w14:paraId="6DB73D51">
      <w:pPr>
        <w:shd w:val="clear"/>
        <w:spacing w:line="420" w:lineRule="exact"/>
        <w:rPr>
          <w:rFonts w:hint="eastAsia" w:ascii="仿宋" w:hAnsi="仿宋" w:eastAsia="仿宋" w:cs="仿宋"/>
          <w:color w:val="auto"/>
          <w:sz w:val="24"/>
          <w:szCs w:val="24"/>
          <w:highlight w:val="none"/>
        </w:rPr>
      </w:pPr>
    </w:p>
    <w:p w14:paraId="01B66FF8">
      <w:pPr>
        <w:shd w:val="clear"/>
        <w:rPr>
          <w:rFonts w:hint="eastAsia" w:ascii="仿宋" w:hAnsi="仿宋" w:eastAsia="仿宋" w:cs="仿宋"/>
          <w:b/>
          <w:color w:val="auto"/>
          <w:sz w:val="24"/>
          <w:szCs w:val="24"/>
          <w:highlight w:val="none"/>
        </w:rPr>
      </w:pPr>
      <w:bookmarkStart w:id="711" w:name="_Toc2977"/>
      <w:bookmarkStart w:id="712" w:name="_Toc430214793"/>
      <w:bookmarkStart w:id="713" w:name="_Toc527634726"/>
      <w:bookmarkStart w:id="714" w:name="_Toc391301876"/>
      <w:bookmarkStart w:id="715" w:name="_Toc383636418"/>
      <w:bookmarkStart w:id="716" w:name="_Toc406162622"/>
      <w:r>
        <w:rPr>
          <w:rFonts w:hint="eastAsia" w:ascii="仿宋" w:hAnsi="仿宋" w:eastAsia="仿宋" w:cs="仿宋"/>
          <w:b/>
          <w:color w:val="auto"/>
          <w:sz w:val="24"/>
          <w:szCs w:val="24"/>
          <w:highlight w:val="none"/>
        </w:rPr>
        <w:br w:type="page"/>
      </w:r>
    </w:p>
    <w:p w14:paraId="6BB80BCA">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bookmarkStart w:id="717" w:name="_Toc19144"/>
      <w:bookmarkStart w:id="718" w:name="_Toc23068"/>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rPr>
        <w:t>、法定代表人授权委托书（授权代表是法定代表人时，不必提供）</w:t>
      </w:r>
      <w:bookmarkEnd w:id="711"/>
      <w:bookmarkEnd w:id="712"/>
      <w:bookmarkEnd w:id="713"/>
      <w:bookmarkEnd w:id="717"/>
      <w:bookmarkEnd w:id="718"/>
    </w:p>
    <w:p w14:paraId="69A8101A">
      <w:pPr>
        <w:shd w:val="clear"/>
        <w:spacing w:line="420" w:lineRule="exact"/>
        <w:ind w:firstLine="540" w:firstLineChars="225"/>
        <w:rPr>
          <w:rFonts w:hint="eastAsia" w:ascii="仿宋" w:hAnsi="仿宋" w:eastAsia="仿宋" w:cs="仿宋"/>
          <w:color w:val="auto"/>
          <w:sz w:val="24"/>
          <w:szCs w:val="24"/>
          <w:highlight w:val="none"/>
        </w:rPr>
      </w:pPr>
    </w:p>
    <w:p w14:paraId="7CF2E983">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本授权委托书声明：我</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（投标人名称）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的法定代表人，现授权委托</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为我公司代理人，以公司名义参加</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rPr>
        <w:t>的投标活动。代理人在开标、评标及合同谈判过程中所签署的一切文件和处理与之有关的一切事务，我均予承认。</w:t>
      </w:r>
    </w:p>
    <w:p w14:paraId="5AA62FD2">
      <w:pPr>
        <w:shd w:val="clear"/>
        <w:spacing w:line="360" w:lineRule="auto"/>
        <w:ind w:firstLine="480" w:firstLineChars="200"/>
        <w:rPr>
          <w:rFonts w:hint="eastAsia" w:ascii="仿宋" w:hAnsi="仿宋" w:eastAsia="仿宋" w:cs="仿宋"/>
          <w:color w:val="auto"/>
          <w:sz w:val="24"/>
          <w:szCs w:val="24"/>
          <w:highlight w:val="none"/>
        </w:rPr>
      </w:pPr>
    </w:p>
    <w:p w14:paraId="52550EAC">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性别：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部门：</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lang w:val="en-US" w:eastAsia="zh-CN"/>
        </w:rPr>
        <w:t xml:space="preserve">        </w:t>
      </w:r>
    </w:p>
    <w:p w14:paraId="0C8B3A19">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代理人无转委权。特此委托。</w:t>
      </w:r>
    </w:p>
    <w:p w14:paraId="76DB3CD8">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77431DE3">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2BDE081E">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lang w:val="en-US" w:eastAsia="zh-CN"/>
        </w:rPr>
        <w:t>签章或</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2CD0E7E6">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3B648F07">
      <w:pPr>
        <w:shd w:val="clea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注：附授权委托代理人身份证复印件，如投标人由法定代表人亲自签署</w:t>
      </w:r>
      <w:r>
        <w:rPr>
          <w:rFonts w:hint="eastAsia" w:ascii="仿宋" w:hAnsi="仿宋" w:eastAsia="仿宋" w:cs="仿宋"/>
          <w:b/>
          <w:bCs/>
          <w:color w:val="auto"/>
          <w:sz w:val="24"/>
          <w:szCs w:val="24"/>
          <w:highlight w:val="none"/>
        </w:rPr>
        <w:t>投标文件</w:t>
      </w:r>
      <w:r>
        <w:rPr>
          <w:rFonts w:hint="eastAsia" w:ascii="仿宋" w:hAnsi="仿宋" w:eastAsia="仿宋" w:cs="仿宋"/>
          <w:b/>
          <w:color w:val="auto"/>
          <w:sz w:val="24"/>
          <w:szCs w:val="24"/>
          <w:highlight w:val="none"/>
        </w:rPr>
        <w:t>并参与相关活动，则不需要办理授权。如有被授权的代理人签署上述文件，则必须按本格式规定填报并提交授权书，否则被授权的代理人将不被认可。</w:t>
      </w:r>
    </w:p>
    <w:p w14:paraId="0746D429">
      <w:pPr>
        <w:shd w:val="clear"/>
        <w:spacing w:line="44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mc:AlternateContent>
          <mc:Choice Requires="wps">
            <w:drawing>
              <wp:anchor distT="0" distB="0" distL="114300" distR="114300" simplePos="0" relativeHeight="251660288" behindDoc="1" locked="0" layoutInCell="1" allowOverlap="1">
                <wp:simplePos x="0" y="0"/>
                <wp:positionH relativeFrom="column">
                  <wp:posOffset>660400</wp:posOffset>
                </wp:positionH>
                <wp:positionV relativeFrom="paragraph">
                  <wp:posOffset>12065</wp:posOffset>
                </wp:positionV>
                <wp:extent cx="4229100" cy="2080260"/>
                <wp:effectExtent l="4445" t="4445" r="14605" b="10795"/>
                <wp:wrapNone/>
                <wp:docPr id="8" name="AutoShape 4"/>
                <wp:cNvGraphicFramePr/>
                <a:graphic xmlns:a="http://schemas.openxmlformats.org/drawingml/2006/main">
                  <a:graphicData uri="http://schemas.microsoft.com/office/word/2010/wordprocessingShape">
                    <wps:wsp>
                      <wps:cNvSpPr/>
                      <wps:spPr>
                        <a:xfrm>
                          <a:off x="0" y="0"/>
                          <a:ext cx="4229100" cy="208026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AutoShape 4" o:spid="_x0000_s1026" o:spt="2" style="position:absolute;left:0pt;margin-left:52pt;margin-top:0.95pt;height:163.8pt;width:333pt;z-index:-251656192;mso-width-relative:page;mso-height-relative:page;" fillcolor="#FFFFFF" filled="t" stroked="t" coordsize="21600,21600" arcsize="0.166666666666667" o:gfxdata="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bUiW8NUAAAAJAQAADwAAAAAAAAABACAAAAAiAAAAZHJz&#10;L2Rvd25yZXYueG1sUEsBAhQAFAAAAAgAh07iQBRI1MsHAgAASQQAAA4AAAAAAAAAAQAgAAAAJAEA&#10;AGRycy9lMm9Eb2MueG1sUEsFBgAAAAAGAAYAWQEAAJ0FAAAAAA==&#10;">
                <v:fill on="t" focussize="0,0"/>
                <v:stroke color="#000000" joinstyle="round"/>
                <v:imagedata o:title=""/>
                <o:lock v:ext="edit" aspectratio="f"/>
              </v:roundrect>
            </w:pict>
          </mc:Fallback>
        </mc:AlternateContent>
      </w:r>
    </w:p>
    <w:p w14:paraId="1DC83ACA">
      <w:pPr>
        <w:shd w:val="clear"/>
        <w:spacing w:line="440" w:lineRule="exact"/>
        <w:ind w:firstLine="482" w:firstLineChars="200"/>
        <w:rPr>
          <w:rFonts w:hint="eastAsia" w:ascii="仿宋" w:hAnsi="仿宋" w:eastAsia="仿宋" w:cs="仿宋"/>
          <w:b/>
          <w:color w:val="auto"/>
          <w:sz w:val="24"/>
          <w:szCs w:val="24"/>
          <w:highlight w:val="none"/>
        </w:rPr>
      </w:pPr>
    </w:p>
    <w:p w14:paraId="3B20EED8">
      <w:pPr>
        <w:shd w:val="clear"/>
        <w:spacing w:line="360" w:lineRule="auto"/>
        <w:ind w:firstLine="480"/>
        <w:rPr>
          <w:rFonts w:hint="eastAsia" w:ascii="仿宋" w:hAnsi="仿宋" w:eastAsia="仿宋" w:cs="仿宋"/>
          <w:b/>
          <w:color w:val="auto"/>
          <w:sz w:val="24"/>
          <w:szCs w:val="24"/>
          <w:highlight w:val="none"/>
        </w:rPr>
      </w:pPr>
    </w:p>
    <w:p w14:paraId="0A5F3A12">
      <w:pPr>
        <w:shd w:val="clear"/>
        <w:spacing w:line="360" w:lineRule="auto"/>
        <w:ind w:firstLine="482"/>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委托代理人有效的身份证复印件</w:t>
      </w:r>
    </w:p>
    <w:p w14:paraId="0DE8B648">
      <w:pPr>
        <w:shd w:val="clear"/>
        <w:spacing w:line="360" w:lineRule="auto"/>
        <w:ind w:firstLine="482"/>
        <w:rPr>
          <w:rFonts w:hint="eastAsia" w:ascii="仿宋" w:hAnsi="仿宋" w:eastAsia="仿宋" w:cs="仿宋"/>
          <w:b/>
          <w:color w:val="auto"/>
          <w:sz w:val="24"/>
          <w:szCs w:val="24"/>
          <w:highlight w:val="none"/>
        </w:rPr>
      </w:pPr>
    </w:p>
    <w:p w14:paraId="6620F0B4">
      <w:pPr>
        <w:shd w:val="clear"/>
        <w:spacing w:line="360" w:lineRule="auto"/>
        <w:ind w:firstLine="482"/>
        <w:rPr>
          <w:rFonts w:hint="eastAsia" w:ascii="仿宋" w:hAnsi="仿宋" w:eastAsia="仿宋" w:cs="仿宋"/>
          <w:b/>
          <w:color w:val="auto"/>
          <w:sz w:val="24"/>
          <w:szCs w:val="24"/>
          <w:highlight w:val="none"/>
        </w:rPr>
      </w:pPr>
    </w:p>
    <w:p w14:paraId="056BE83C">
      <w:pPr>
        <w:shd w:val="clear"/>
        <w:spacing w:line="360" w:lineRule="auto"/>
        <w:ind w:firstLine="482"/>
        <w:rPr>
          <w:rFonts w:hint="eastAsia" w:ascii="仿宋" w:hAnsi="仿宋" w:eastAsia="仿宋" w:cs="仿宋"/>
          <w:b/>
          <w:color w:val="auto"/>
          <w:sz w:val="24"/>
          <w:szCs w:val="24"/>
          <w:highlight w:val="none"/>
        </w:rPr>
      </w:pPr>
    </w:p>
    <w:p w14:paraId="6382D014">
      <w:pPr>
        <w:shd w:val="clear"/>
        <w:spacing w:line="360" w:lineRule="auto"/>
        <w:ind w:firstLine="482"/>
        <w:rPr>
          <w:rFonts w:hint="eastAsia" w:ascii="仿宋" w:hAnsi="仿宋" w:eastAsia="仿宋" w:cs="仿宋"/>
          <w:b/>
          <w:color w:val="auto"/>
          <w:sz w:val="24"/>
          <w:szCs w:val="24"/>
          <w:highlight w:val="none"/>
        </w:rPr>
      </w:pPr>
    </w:p>
    <w:p w14:paraId="61915EDC">
      <w:pPr>
        <w:shd w:val="clear"/>
        <w:adjustRightInd w:val="0"/>
        <w:spacing w:line="440" w:lineRule="exact"/>
        <w:rPr>
          <w:rFonts w:hint="eastAsia" w:ascii="仿宋" w:hAnsi="仿宋" w:eastAsia="仿宋" w:cs="仿宋"/>
          <w:b/>
          <w:bCs/>
          <w:color w:val="auto"/>
          <w:sz w:val="24"/>
          <w:szCs w:val="24"/>
          <w:highlight w:val="none"/>
        </w:rPr>
      </w:pPr>
    </w:p>
    <w:p w14:paraId="772DE19A">
      <w:pPr>
        <w:shd w:val="clear"/>
        <w:adjustRightInd w:val="0"/>
        <w:spacing w:line="440" w:lineRule="exact"/>
        <w:rPr>
          <w:rFonts w:hint="eastAsia" w:ascii="仿宋" w:hAnsi="仿宋" w:eastAsia="仿宋" w:cs="仿宋"/>
          <w:b/>
          <w:bCs/>
          <w:color w:val="auto"/>
          <w:sz w:val="24"/>
          <w:szCs w:val="24"/>
          <w:highlight w:val="none"/>
        </w:rPr>
      </w:pPr>
    </w:p>
    <w:p w14:paraId="789CC27D">
      <w:pPr>
        <w:shd w:val="clear"/>
        <w:adjustRightInd w:val="0"/>
        <w:spacing w:line="440" w:lineRule="exact"/>
        <w:rPr>
          <w:rFonts w:hint="eastAsia" w:ascii="仿宋" w:hAnsi="仿宋" w:eastAsia="仿宋" w:cs="仿宋"/>
          <w:b/>
          <w:bCs/>
          <w:color w:val="auto"/>
          <w:sz w:val="24"/>
          <w:szCs w:val="24"/>
          <w:highlight w:val="none"/>
        </w:rPr>
      </w:pPr>
    </w:p>
    <w:p w14:paraId="2D670CFB">
      <w:pPr>
        <w:shd w:val="clear"/>
        <w:adjustRightInd w:val="0"/>
        <w:spacing w:line="440" w:lineRule="exact"/>
        <w:rPr>
          <w:rFonts w:hint="eastAsia" w:ascii="仿宋" w:hAnsi="仿宋" w:eastAsia="仿宋" w:cs="仿宋"/>
          <w:b/>
          <w:bCs/>
          <w:color w:val="auto"/>
          <w:sz w:val="24"/>
          <w:szCs w:val="24"/>
          <w:highlight w:val="none"/>
        </w:rPr>
      </w:pPr>
    </w:p>
    <w:bookmarkEnd w:id="714"/>
    <w:bookmarkEnd w:id="715"/>
    <w:bookmarkEnd w:id="716"/>
    <w:p w14:paraId="39D05C19">
      <w:pPr>
        <w:shd w:val="clear"/>
        <w:rPr>
          <w:rFonts w:hint="eastAsia" w:ascii="仿宋" w:hAnsi="仿宋" w:eastAsia="仿宋" w:cs="仿宋"/>
          <w:b/>
          <w:color w:val="auto"/>
          <w:sz w:val="24"/>
          <w:szCs w:val="24"/>
          <w:highlight w:val="none"/>
        </w:rPr>
      </w:pPr>
      <w:bookmarkStart w:id="719" w:name="_Toc24978"/>
      <w:bookmarkStart w:id="720" w:name="_Toc2711"/>
      <w:r>
        <w:rPr>
          <w:rFonts w:hint="eastAsia" w:ascii="仿宋" w:hAnsi="仿宋" w:eastAsia="仿宋" w:cs="仿宋"/>
          <w:b/>
          <w:color w:val="auto"/>
          <w:sz w:val="24"/>
          <w:szCs w:val="24"/>
          <w:highlight w:val="none"/>
        </w:rPr>
        <w:br w:type="page"/>
      </w:r>
      <w:bookmarkStart w:id="721" w:name="_Toc27440"/>
      <w:bookmarkStart w:id="722" w:name="_Toc10781"/>
      <w:bookmarkStart w:id="723" w:name="_Toc15225"/>
    </w:p>
    <w:p w14:paraId="62DC5C32">
      <w:pPr>
        <w:keepNext/>
        <w:keepLines/>
        <w:shd w:val="clear"/>
        <w:spacing w:before="312" w:after="312" w:line="360" w:lineRule="auto"/>
        <w:jc w:val="center"/>
        <w:outlineLvl w:val="1"/>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投标</w:t>
      </w:r>
      <w:r>
        <w:rPr>
          <w:rFonts w:hint="eastAsia" w:ascii="仿宋" w:hAnsi="仿宋" w:eastAsia="仿宋" w:cs="仿宋"/>
          <w:b/>
          <w:color w:val="auto"/>
          <w:sz w:val="24"/>
          <w:szCs w:val="24"/>
          <w:highlight w:val="none"/>
          <w:lang w:eastAsia="zh-CN"/>
        </w:rPr>
        <w:t>保证书</w:t>
      </w:r>
    </w:p>
    <w:p w14:paraId="41A000E2">
      <w:pPr>
        <w:bidi w:val="0"/>
        <w:rPr>
          <w:rFonts w:hint="eastAsia" w:ascii="仿宋" w:hAnsi="仿宋" w:eastAsia="仿宋" w:cs="仿宋"/>
          <w:lang w:eastAsia="zh-CN"/>
        </w:rPr>
      </w:pPr>
    </w:p>
    <w:p w14:paraId="74BDE7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lang w:eastAsia="zh-CN"/>
        </w:rPr>
        <w:t>：</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w:t>
      </w:r>
      <w:r>
        <w:rPr>
          <w:rFonts w:hint="eastAsia" w:ascii="仿宋" w:hAnsi="仿宋" w:eastAsia="仿宋" w:cs="仿宋"/>
          <w:sz w:val="24"/>
        </w:rPr>
        <w:t>采购人）</w:t>
      </w:r>
    </w:p>
    <w:p w14:paraId="17072E6E">
      <w:pPr>
        <w:keepNext w:val="0"/>
        <w:keepLines w:val="0"/>
        <w:pageBreakBefore w:val="0"/>
        <w:widowControl w:val="0"/>
        <w:kinsoku/>
        <w:wordWrap/>
        <w:overflowPunct/>
        <w:topLinePunct w:val="0"/>
        <w:autoSpaceDE/>
        <w:autoSpaceDN/>
        <w:bidi w:val="0"/>
        <w:adjustRightInd/>
        <w:snapToGrid/>
        <w:spacing w:line="360" w:lineRule="auto"/>
        <w:ind w:firstLine="616" w:firstLineChars="257"/>
        <w:textAlignment w:val="auto"/>
        <w:rPr>
          <w:rFonts w:hint="eastAsia" w:ascii="仿宋" w:hAnsi="仿宋" w:eastAsia="仿宋" w:cs="仿宋"/>
          <w:sz w:val="24"/>
        </w:rPr>
      </w:pPr>
      <w:r>
        <w:rPr>
          <w:rFonts w:hint="eastAsia" w:ascii="仿宋" w:hAnsi="仿宋" w:eastAsia="仿宋" w:cs="仿宋"/>
          <w:sz w:val="24"/>
        </w:rPr>
        <w:t xml:space="preserve">     </w:t>
      </w:r>
    </w:p>
    <w:p w14:paraId="1F8792DD">
      <w:pPr>
        <w:keepNext w:val="0"/>
        <w:keepLines w:val="0"/>
        <w:pageBreakBefore w:val="0"/>
        <w:widowControl w:val="0"/>
        <w:kinsoku/>
        <w:wordWrap/>
        <w:overflowPunct/>
        <w:topLinePunct w:val="0"/>
        <w:autoSpaceDE/>
        <w:autoSpaceDN/>
        <w:bidi w:val="0"/>
        <w:adjustRightInd/>
        <w:snapToGrid/>
        <w:spacing w:line="360" w:lineRule="auto"/>
        <w:ind w:firstLine="854" w:firstLineChars="356"/>
        <w:textAlignment w:val="auto"/>
        <w:rPr>
          <w:rFonts w:hint="eastAsia" w:ascii="仿宋" w:hAnsi="仿宋" w:eastAsia="仿宋" w:cs="仿宋"/>
          <w:sz w:val="24"/>
        </w:rPr>
      </w:pPr>
      <w:r>
        <w:rPr>
          <w:rFonts w:hint="eastAsia" w:ascii="仿宋" w:hAnsi="仿宋" w:eastAsia="仿宋" w:cs="仿宋"/>
          <w:sz w:val="24"/>
        </w:rPr>
        <w:t xml:space="preserve"> 本书作为 </w:t>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(供应商名称)对 </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lang w:val="en-US" w:eastAsia="zh-CN"/>
        </w:rPr>
        <w:t>（项目名称）</w:t>
      </w:r>
      <w:r>
        <w:rPr>
          <w:rFonts w:hint="eastAsia" w:ascii="仿宋" w:hAnsi="仿宋" w:eastAsia="仿宋" w:cs="仿宋"/>
          <w:sz w:val="24"/>
        </w:rPr>
        <w:t xml:space="preserve"> 提供</w:t>
      </w:r>
      <w:r>
        <w:rPr>
          <w:rFonts w:hint="eastAsia" w:ascii="仿宋" w:hAnsi="仿宋" w:eastAsia="仿宋" w:cs="仿宋"/>
          <w:sz w:val="24"/>
          <w:lang w:val="en-US" w:eastAsia="zh-CN"/>
        </w:rPr>
        <w:t>投标</w:t>
      </w:r>
      <w:r>
        <w:rPr>
          <w:rFonts w:hint="eastAsia" w:ascii="仿宋" w:hAnsi="仿宋" w:eastAsia="仿宋" w:cs="仿宋"/>
          <w:sz w:val="24"/>
        </w:rPr>
        <w:t>保证金的保证。</w:t>
      </w:r>
    </w:p>
    <w:p w14:paraId="36374E1B">
      <w:pPr>
        <w:keepNext w:val="0"/>
        <w:keepLines w:val="0"/>
        <w:pageBreakBefore w:val="0"/>
        <w:widowControl w:val="0"/>
        <w:kinsoku/>
        <w:wordWrap/>
        <w:overflowPunct/>
        <w:topLinePunct w:val="0"/>
        <w:autoSpaceDE/>
        <w:autoSpaceDN/>
        <w:bidi w:val="0"/>
        <w:adjustRightInd/>
        <w:snapToGrid/>
        <w:spacing w:line="360" w:lineRule="auto"/>
        <w:ind w:firstLine="616" w:firstLineChars="257"/>
        <w:textAlignment w:val="auto"/>
        <w:rPr>
          <w:rFonts w:hint="eastAsia" w:ascii="仿宋" w:hAnsi="仿宋" w:eastAsia="仿宋" w:cs="仿宋"/>
          <w:sz w:val="24"/>
          <w:lang w:eastAsia="zh-CN"/>
        </w:rPr>
      </w:pPr>
      <w:r>
        <w:rPr>
          <w:rFonts w:hint="eastAsia" w:ascii="仿宋" w:hAnsi="仿宋" w:eastAsia="仿宋" w:cs="仿宋"/>
          <w:sz w:val="24"/>
          <w:lang w:eastAsia="zh-CN"/>
        </w:rPr>
        <w:t>由</w:t>
      </w:r>
      <w:r>
        <w:rPr>
          <w:rFonts w:hint="eastAsia" w:ascii="仿宋" w:hAnsi="仿宋" w:eastAsia="仿宋" w:cs="仿宋"/>
          <w:sz w:val="24"/>
          <w:u w:val="single"/>
          <w:lang w:eastAsia="zh-CN"/>
        </w:rPr>
        <w:tab/>
      </w:r>
      <w:r>
        <w:rPr>
          <w:rFonts w:hint="eastAsia" w:ascii="仿宋" w:hAnsi="仿宋" w:eastAsia="仿宋" w:cs="仿宋"/>
          <w:sz w:val="24"/>
          <w:u w:val="single"/>
          <w:lang w:val="en-US" w:eastAsia="zh-CN"/>
        </w:rPr>
        <w:t xml:space="preserve">           </w:t>
      </w:r>
      <w:r>
        <w:rPr>
          <w:rFonts w:hint="eastAsia" w:ascii="仿宋" w:hAnsi="仿宋" w:eastAsia="仿宋" w:cs="仿宋"/>
          <w:sz w:val="24"/>
          <w:lang w:eastAsia="zh-CN"/>
        </w:rPr>
        <w:t>（开户银行名称）提供的</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ab/>
      </w:r>
      <w:r>
        <w:rPr>
          <w:rFonts w:hint="eastAsia" w:ascii="仿宋" w:hAnsi="仿宋" w:eastAsia="仿宋" w:cs="仿宋"/>
          <w:sz w:val="24"/>
          <w:lang w:eastAsia="zh-CN"/>
        </w:rPr>
        <w:t>（填保证金形式）总额为（人民币</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ab/>
      </w:r>
      <w:r>
        <w:rPr>
          <w:rFonts w:hint="eastAsia" w:ascii="仿宋" w:hAnsi="仿宋" w:eastAsia="仿宋" w:cs="仿宋"/>
          <w:sz w:val="24"/>
          <w:lang w:eastAsia="zh-CN"/>
        </w:rPr>
        <w:t>元）。</w:t>
      </w:r>
    </w:p>
    <w:p w14:paraId="7EF00AAE">
      <w:pPr>
        <w:keepNext w:val="0"/>
        <w:keepLines w:val="0"/>
        <w:pageBreakBefore w:val="0"/>
        <w:widowControl w:val="0"/>
        <w:kinsoku/>
        <w:wordWrap/>
        <w:overflowPunct/>
        <w:topLinePunct w:val="0"/>
        <w:autoSpaceDE/>
        <w:autoSpaceDN/>
        <w:bidi w:val="0"/>
        <w:adjustRightInd/>
        <w:snapToGrid/>
        <w:spacing w:line="360" w:lineRule="auto"/>
        <w:ind w:firstLine="616" w:firstLineChars="257"/>
        <w:textAlignment w:val="auto"/>
        <w:rPr>
          <w:rFonts w:hint="eastAsia" w:ascii="仿宋" w:hAnsi="仿宋" w:eastAsia="仿宋" w:cs="仿宋"/>
          <w:sz w:val="24"/>
          <w:lang w:eastAsia="zh-CN"/>
        </w:rPr>
      </w:pPr>
      <w:r>
        <w:rPr>
          <w:rFonts w:hint="eastAsia" w:ascii="仿宋" w:hAnsi="仿宋" w:eastAsia="仿宋" w:cs="仿宋"/>
          <w:sz w:val="24"/>
          <w:lang w:eastAsia="zh-CN"/>
        </w:rPr>
        <w:t>一旦发生下述行为，我单位（或公司）将放弃追索</w:t>
      </w:r>
      <w:r>
        <w:rPr>
          <w:rFonts w:hint="eastAsia" w:ascii="仿宋" w:hAnsi="仿宋" w:eastAsia="仿宋" w:cs="仿宋"/>
          <w:sz w:val="24"/>
          <w:lang w:val="en-US" w:eastAsia="zh-CN"/>
        </w:rPr>
        <w:t>投标</w:t>
      </w:r>
      <w:r>
        <w:rPr>
          <w:rFonts w:hint="eastAsia" w:ascii="仿宋" w:hAnsi="仿宋" w:eastAsia="仿宋" w:cs="仿宋"/>
          <w:sz w:val="24"/>
          <w:lang w:eastAsia="zh-CN"/>
        </w:rPr>
        <w:t>保证金的权利：</w:t>
      </w:r>
    </w:p>
    <w:p w14:paraId="6986D941">
      <w:pPr>
        <w:keepNext w:val="0"/>
        <w:keepLines w:val="0"/>
        <w:pageBreakBefore w:val="0"/>
        <w:widowControl w:val="0"/>
        <w:kinsoku/>
        <w:wordWrap/>
        <w:overflowPunct/>
        <w:topLinePunct w:val="0"/>
        <w:autoSpaceDE/>
        <w:autoSpaceDN/>
        <w:bidi w:val="0"/>
        <w:adjustRightInd/>
        <w:snapToGrid/>
        <w:spacing w:line="360" w:lineRule="auto"/>
        <w:ind w:firstLine="616" w:firstLineChars="257"/>
        <w:textAlignment w:val="auto"/>
        <w:rPr>
          <w:rFonts w:hint="eastAsia" w:ascii="仿宋" w:hAnsi="仿宋" w:eastAsia="仿宋" w:cs="仿宋"/>
          <w:sz w:val="24"/>
          <w:highlight w:val="none"/>
        </w:rPr>
      </w:pPr>
      <w:r>
        <w:rPr>
          <w:rFonts w:hint="eastAsia" w:ascii="仿宋" w:hAnsi="仿宋" w:eastAsia="仿宋" w:cs="仿宋"/>
          <w:sz w:val="24"/>
          <w:highlight w:val="none"/>
        </w:rPr>
        <w:t>从递交响应文件之日起</w:t>
      </w:r>
      <w:r>
        <w:rPr>
          <w:rFonts w:hint="eastAsia" w:ascii="仿宋" w:hAnsi="仿宋" w:eastAsia="仿宋" w:cs="仿宋"/>
          <w:sz w:val="24"/>
          <w:highlight w:val="none"/>
          <w:lang w:val="en-US" w:eastAsia="zh-CN"/>
        </w:rPr>
        <w:t>至</w:t>
      </w:r>
      <w:r>
        <w:rPr>
          <w:rFonts w:hint="eastAsia" w:ascii="仿宋" w:hAnsi="仿宋" w:eastAsia="仿宋" w:cs="仿宋"/>
          <w:sz w:val="24"/>
          <w:highlight w:val="none"/>
        </w:rPr>
        <w:t>响应文件有效期满前，撤回响应文件的；</w:t>
      </w:r>
    </w:p>
    <w:p w14:paraId="1FD983F2">
      <w:pPr>
        <w:keepNext w:val="0"/>
        <w:keepLines w:val="0"/>
        <w:pageBreakBefore w:val="0"/>
        <w:widowControl w:val="0"/>
        <w:kinsoku/>
        <w:wordWrap/>
        <w:overflowPunct/>
        <w:topLinePunct w:val="0"/>
        <w:autoSpaceDE/>
        <w:autoSpaceDN/>
        <w:bidi w:val="0"/>
        <w:adjustRightInd/>
        <w:snapToGrid/>
        <w:spacing w:line="360" w:lineRule="auto"/>
        <w:ind w:firstLine="616" w:firstLineChars="257"/>
        <w:textAlignment w:val="auto"/>
        <w:rPr>
          <w:rFonts w:hint="eastAsia" w:ascii="仿宋" w:hAnsi="仿宋" w:eastAsia="仿宋" w:cs="仿宋"/>
          <w:sz w:val="24"/>
          <w:highlight w:val="none"/>
        </w:rPr>
      </w:pPr>
      <w:r>
        <w:rPr>
          <w:rFonts w:hint="eastAsia" w:ascii="仿宋" w:hAnsi="仿宋" w:eastAsia="仿宋" w:cs="仿宋"/>
          <w:sz w:val="24"/>
          <w:highlight w:val="none"/>
        </w:rPr>
        <w:t>发生违反</w:t>
      </w:r>
      <w:r>
        <w:rPr>
          <w:rFonts w:hint="eastAsia" w:ascii="仿宋" w:hAnsi="仿宋" w:eastAsia="仿宋" w:cs="仿宋"/>
          <w:sz w:val="24"/>
          <w:highlight w:val="none"/>
          <w:lang w:val="en-US" w:eastAsia="zh-CN"/>
        </w:rPr>
        <w:t>招标</w:t>
      </w:r>
      <w:r>
        <w:rPr>
          <w:rFonts w:hint="eastAsia" w:ascii="仿宋" w:hAnsi="仿宋" w:eastAsia="仿宋" w:cs="仿宋"/>
          <w:sz w:val="24"/>
          <w:highlight w:val="none"/>
        </w:rPr>
        <w:t>文件规定的行为；</w:t>
      </w:r>
    </w:p>
    <w:p w14:paraId="4D175E66">
      <w:pPr>
        <w:keepNext w:val="0"/>
        <w:keepLines w:val="0"/>
        <w:pageBreakBefore w:val="0"/>
        <w:widowControl w:val="0"/>
        <w:kinsoku/>
        <w:wordWrap/>
        <w:overflowPunct/>
        <w:topLinePunct w:val="0"/>
        <w:autoSpaceDE/>
        <w:autoSpaceDN/>
        <w:bidi w:val="0"/>
        <w:adjustRightInd/>
        <w:snapToGrid/>
        <w:spacing w:line="360" w:lineRule="auto"/>
        <w:ind w:firstLine="616" w:firstLineChars="257"/>
        <w:textAlignment w:val="auto"/>
        <w:rPr>
          <w:rFonts w:hint="eastAsia" w:ascii="仿宋" w:hAnsi="仿宋" w:eastAsia="仿宋" w:cs="仿宋"/>
          <w:sz w:val="24"/>
          <w:highlight w:val="none"/>
        </w:rPr>
      </w:pPr>
      <w:r>
        <w:rPr>
          <w:rFonts w:hint="eastAsia" w:ascii="仿宋" w:hAnsi="仿宋" w:eastAsia="仿宋" w:cs="仿宋"/>
          <w:sz w:val="24"/>
          <w:highlight w:val="none"/>
        </w:rPr>
        <w:t>收到《成交通知书》后未按规定的时间地点与采购人签订合同。</w:t>
      </w:r>
    </w:p>
    <w:p w14:paraId="45EE7026">
      <w:pPr>
        <w:keepNext w:val="0"/>
        <w:keepLines w:val="0"/>
        <w:pageBreakBefore w:val="0"/>
        <w:widowControl w:val="0"/>
        <w:kinsoku/>
        <w:wordWrap/>
        <w:overflowPunct/>
        <w:topLinePunct w:val="0"/>
        <w:autoSpaceDE/>
        <w:autoSpaceDN/>
        <w:bidi w:val="0"/>
        <w:adjustRightInd/>
        <w:snapToGrid/>
        <w:spacing w:line="360" w:lineRule="auto"/>
        <w:ind w:firstLine="616" w:firstLineChars="257"/>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本</w:t>
      </w:r>
      <w:r>
        <w:rPr>
          <w:rFonts w:hint="eastAsia" w:ascii="仿宋" w:hAnsi="仿宋" w:eastAsia="仿宋" w:cs="仿宋"/>
          <w:sz w:val="24"/>
          <w:highlight w:val="none"/>
          <w:lang w:val="en-US" w:eastAsia="zh-CN"/>
        </w:rPr>
        <w:t>投标</w:t>
      </w:r>
      <w:r>
        <w:rPr>
          <w:rFonts w:hint="eastAsia" w:ascii="仿宋" w:hAnsi="仿宋" w:eastAsia="仿宋" w:cs="仿宋"/>
          <w:sz w:val="24"/>
          <w:highlight w:val="none"/>
          <w:lang w:eastAsia="zh-CN"/>
        </w:rPr>
        <w:t>保证书自递交响应文件截止时间起</w:t>
      </w:r>
      <w:r>
        <w:rPr>
          <w:rFonts w:hint="eastAsia" w:ascii="仿宋" w:hAnsi="仿宋" w:eastAsia="仿宋" w:cs="仿宋"/>
          <w:sz w:val="24"/>
          <w:highlight w:val="none"/>
          <w:lang w:val="en-US" w:eastAsia="zh-CN"/>
        </w:rPr>
        <w:t>9</w:t>
      </w:r>
      <w:r>
        <w:rPr>
          <w:rFonts w:hint="eastAsia" w:ascii="仿宋" w:hAnsi="仿宋" w:eastAsia="仿宋" w:cs="仿宋"/>
          <w:sz w:val="24"/>
          <w:highlight w:val="none"/>
          <w:lang w:eastAsia="zh-CN"/>
        </w:rPr>
        <w:t>0日有效，除非贵方提前终止或解除本保证书。</w:t>
      </w:r>
    </w:p>
    <w:p w14:paraId="6588424B">
      <w:pPr>
        <w:spacing w:line="400" w:lineRule="exact"/>
        <w:ind w:firstLine="616" w:firstLineChars="257"/>
        <w:rPr>
          <w:rFonts w:hint="eastAsia" w:ascii="仿宋" w:hAnsi="仿宋" w:eastAsia="仿宋" w:cs="仿宋"/>
          <w:sz w:val="24"/>
          <w:lang w:eastAsia="zh-CN"/>
        </w:rPr>
      </w:pPr>
    </w:p>
    <w:p w14:paraId="6ACFB484">
      <w:pPr>
        <w:spacing w:line="400" w:lineRule="exact"/>
        <w:ind w:firstLine="616" w:firstLineChars="257"/>
        <w:rPr>
          <w:rFonts w:hint="default" w:ascii="仿宋" w:hAnsi="仿宋" w:eastAsia="仿宋" w:cs="仿宋"/>
          <w:sz w:val="24"/>
          <w:lang w:val="en-US"/>
        </w:rPr>
      </w:pPr>
      <w:r>
        <w:rPr>
          <w:rFonts w:hint="eastAsia" w:ascii="仿宋" w:hAnsi="仿宋" w:eastAsia="仿宋" w:cs="仿宋"/>
          <w:sz w:val="24"/>
        </w:rPr>
        <w:t>附：</w:t>
      </w:r>
      <w:r>
        <w:rPr>
          <w:rFonts w:hint="eastAsia" w:ascii="仿宋" w:hAnsi="仿宋" w:eastAsia="仿宋" w:cs="仿宋"/>
          <w:sz w:val="24"/>
          <w:lang w:val="en-US" w:eastAsia="zh-CN"/>
        </w:rPr>
        <w:t>1.</w:t>
      </w:r>
      <w:r>
        <w:rPr>
          <w:rFonts w:hint="eastAsia" w:ascii="仿宋" w:hAnsi="仿宋" w:eastAsia="仿宋" w:cs="仿宋"/>
          <w:kern w:val="2"/>
          <w:sz w:val="24"/>
          <w:szCs w:val="24"/>
          <w:lang w:val="en-US" w:eastAsia="zh-CN" w:bidi="ar-SA"/>
        </w:rPr>
        <w:t>单位基本账户开户许可证复印件加盖公章；</w:t>
      </w:r>
    </w:p>
    <w:p w14:paraId="5D8CCD6A">
      <w:pPr>
        <w:spacing w:line="400" w:lineRule="exact"/>
        <w:ind w:firstLine="1092" w:firstLineChars="455"/>
        <w:rPr>
          <w:rFonts w:hint="eastAsia" w:ascii="仿宋" w:hAnsi="仿宋" w:eastAsia="仿宋" w:cs="仿宋"/>
          <w:sz w:val="24"/>
        </w:rPr>
      </w:pPr>
      <w:r>
        <w:rPr>
          <w:rFonts w:hint="eastAsia" w:ascii="仿宋" w:hAnsi="仿宋" w:eastAsia="仿宋" w:cs="仿宋"/>
          <w:sz w:val="24"/>
          <w:lang w:val="en-US" w:eastAsia="zh-CN"/>
        </w:rPr>
        <w:t>2.投标</w:t>
      </w:r>
      <w:r>
        <w:rPr>
          <w:rFonts w:hint="eastAsia" w:ascii="仿宋" w:hAnsi="仿宋" w:eastAsia="仿宋" w:cs="仿宋"/>
          <w:sz w:val="24"/>
        </w:rPr>
        <w:t>保证金</w:t>
      </w:r>
      <w:r>
        <w:rPr>
          <w:rFonts w:hint="eastAsia" w:ascii="仿宋" w:hAnsi="仿宋" w:eastAsia="仿宋" w:cs="仿宋"/>
          <w:sz w:val="24"/>
          <w:lang w:val="en-US" w:eastAsia="zh-CN"/>
        </w:rPr>
        <w:t>缴纳</w:t>
      </w:r>
      <w:r>
        <w:rPr>
          <w:rFonts w:hint="eastAsia" w:ascii="仿宋" w:hAnsi="仿宋" w:eastAsia="仿宋" w:cs="仿宋"/>
          <w:sz w:val="24"/>
        </w:rPr>
        <w:t>凭证</w:t>
      </w:r>
      <w:r>
        <w:rPr>
          <w:rFonts w:hint="eastAsia" w:ascii="仿宋" w:hAnsi="仿宋" w:eastAsia="仿宋" w:cs="仿宋"/>
          <w:kern w:val="2"/>
          <w:sz w:val="24"/>
          <w:szCs w:val="24"/>
          <w:lang w:val="en-US" w:eastAsia="zh-CN" w:bidi="ar-SA"/>
        </w:rPr>
        <w:t>复印件加盖公章</w:t>
      </w:r>
      <w:r>
        <w:rPr>
          <w:rFonts w:hint="eastAsia" w:ascii="仿宋" w:hAnsi="仿宋" w:eastAsia="仿宋" w:cs="仿宋"/>
          <w:sz w:val="24"/>
        </w:rPr>
        <w:t>。</w:t>
      </w:r>
    </w:p>
    <w:p w14:paraId="46D63590">
      <w:pPr>
        <w:spacing w:line="400" w:lineRule="exact"/>
        <w:ind w:firstLine="616" w:firstLineChars="257"/>
        <w:rPr>
          <w:rFonts w:hint="eastAsia" w:ascii="仿宋" w:hAnsi="仿宋" w:eastAsia="仿宋" w:cs="仿宋"/>
          <w:sz w:val="24"/>
          <w:lang w:eastAsia="zh-CN"/>
        </w:rPr>
      </w:pPr>
    </w:p>
    <w:p w14:paraId="22801B18">
      <w:pPr>
        <w:spacing w:line="400" w:lineRule="exact"/>
        <w:ind w:firstLine="616" w:firstLineChars="257"/>
        <w:rPr>
          <w:rFonts w:hint="eastAsia" w:ascii="仿宋" w:hAnsi="仿宋" w:eastAsia="仿宋" w:cs="仿宋"/>
          <w:sz w:val="24"/>
          <w:lang w:eastAsia="zh-CN"/>
        </w:rPr>
      </w:pPr>
    </w:p>
    <w:p w14:paraId="1E34B468">
      <w:pPr>
        <w:rPr>
          <w:rFonts w:hint="eastAsia" w:ascii="仿宋" w:hAnsi="仿宋" w:eastAsia="仿宋" w:cs="仿宋"/>
          <w:color w:val="000000" w:themeColor="text1"/>
          <w:highlight w:val="none"/>
          <w14:textFill>
            <w14:solidFill>
              <w14:schemeClr w14:val="tx1"/>
            </w14:solidFill>
          </w14:textFill>
        </w:rPr>
      </w:pPr>
    </w:p>
    <w:p w14:paraId="350BB37E">
      <w:pPr>
        <w:keepNext w:val="0"/>
        <w:keepLines w:val="0"/>
        <w:pageBreakBefore w:val="0"/>
        <w:widowControl w:val="0"/>
        <w:kinsoku/>
        <w:wordWrap/>
        <w:overflowPunct/>
        <w:topLinePunct w:val="0"/>
        <w:autoSpaceDE/>
        <w:autoSpaceDN/>
        <w:bidi w:val="0"/>
        <w:adjustRightInd/>
        <w:snapToGrid/>
        <w:spacing w:line="480" w:lineRule="auto"/>
        <w:jc w:val="left"/>
        <w:textAlignment w:val="auto"/>
        <w:outlineLvl w:val="0"/>
        <w:rPr>
          <w:rFonts w:hint="eastAsia" w:ascii="仿宋" w:hAnsi="仿宋" w:eastAsia="仿宋" w:cs="仿宋"/>
          <w:b w:val="0"/>
          <w:bCs/>
          <w:sz w:val="24"/>
          <w:szCs w:val="22"/>
          <w:u w:val="single"/>
        </w:rPr>
      </w:pPr>
      <w:bookmarkStart w:id="724" w:name="_Toc32350"/>
      <w:r>
        <w:rPr>
          <w:rFonts w:hint="eastAsia" w:ascii="仿宋" w:hAnsi="仿宋" w:eastAsia="仿宋" w:cs="仿宋"/>
          <w:b w:val="0"/>
          <w:bCs/>
          <w:sz w:val="24"/>
          <w:szCs w:val="22"/>
        </w:rPr>
        <w:t>供应商名称：</w:t>
      </w:r>
      <w:r>
        <w:rPr>
          <w:rFonts w:hint="eastAsia" w:ascii="仿宋" w:hAnsi="仿宋" w:eastAsia="仿宋" w:cs="仿宋"/>
          <w:b w:val="0"/>
          <w:bCs/>
          <w:sz w:val="24"/>
          <w:szCs w:val="22"/>
          <w:u w:val="single"/>
        </w:rPr>
        <w:t xml:space="preserve">                </w:t>
      </w:r>
      <w:r>
        <w:rPr>
          <w:rFonts w:hint="eastAsia" w:ascii="仿宋" w:hAnsi="仿宋" w:eastAsia="仿宋" w:cs="仿宋"/>
          <w:b w:val="0"/>
          <w:bCs/>
          <w:sz w:val="24"/>
          <w:szCs w:val="22"/>
        </w:rPr>
        <w:t>（电子签章）</w:t>
      </w:r>
      <w:bookmarkEnd w:id="724"/>
    </w:p>
    <w:p w14:paraId="13C0EB62">
      <w:pPr>
        <w:keepNext w:val="0"/>
        <w:keepLines w:val="0"/>
        <w:pageBreakBefore w:val="0"/>
        <w:widowControl w:val="0"/>
        <w:kinsoku/>
        <w:wordWrap/>
        <w:overflowPunct/>
        <w:topLinePunct w:val="0"/>
        <w:autoSpaceDE/>
        <w:autoSpaceDN/>
        <w:bidi w:val="0"/>
        <w:adjustRightInd/>
        <w:snapToGrid/>
        <w:spacing w:line="480" w:lineRule="auto"/>
        <w:jc w:val="left"/>
        <w:textAlignment w:val="auto"/>
        <w:outlineLvl w:val="0"/>
        <w:rPr>
          <w:rFonts w:hint="eastAsia" w:ascii="仿宋" w:hAnsi="仿宋" w:eastAsia="仿宋" w:cs="仿宋"/>
          <w:b w:val="0"/>
          <w:bCs/>
          <w:sz w:val="24"/>
          <w:szCs w:val="22"/>
          <w:u w:val="single"/>
        </w:rPr>
      </w:pPr>
      <w:bookmarkStart w:id="725" w:name="_Toc13866"/>
      <w:r>
        <w:rPr>
          <w:rFonts w:hint="eastAsia" w:ascii="仿宋" w:hAnsi="仿宋" w:eastAsia="仿宋" w:cs="仿宋"/>
          <w:b w:val="0"/>
          <w:bCs/>
          <w:sz w:val="24"/>
          <w:szCs w:val="22"/>
        </w:rPr>
        <w:t>法定代表人</w:t>
      </w:r>
      <w:r>
        <w:rPr>
          <w:rFonts w:hint="eastAsia" w:ascii="仿宋" w:hAnsi="仿宋" w:eastAsia="仿宋" w:cs="仿宋"/>
          <w:b w:val="0"/>
          <w:bCs/>
          <w:sz w:val="24"/>
          <w:szCs w:val="22"/>
          <w:lang w:eastAsia="zh-CN"/>
        </w:rPr>
        <w:t>（</w:t>
      </w:r>
      <w:r>
        <w:rPr>
          <w:rFonts w:hint="eastAsia" w:ascii="仿宋" w:hAnsi="仿宋" w:eastAsia="仿宋" w:cs="仿宋"/>
          <w:b w:val="0"/>
          <w:bCs/>
          <w:sz w:val="24"/>
          <w:szCs w:val="22"/>
          <w:lang w:val="en-US" w:eastAsia="zh-CN"/>
        </w:rPr>
        <w:t>负责人</w:t>
      </w:r>
      <w:r>
        <w:rPr>
          <w:rFonts w:hint="eastAsia" w:ascii="仿宋" w:hAnsi="仿宋" w:eastAsia="仿宋" w:cs="仿宋"/>
          <w:b w:val="0"/>
          <w:bCs/>
          <w:sz w:val="24"/>
          <w:szCs w:val="22"/>
          <w:lang w:eastAsia="zh-CN"/>
        </w:rPr>
        <w:t>）</w:t>
      </w:r>
      <w:r>
        <w:rPr>
          <w:rFonts w:hint="eastAsia" w:ascii="仿宋" w:hAnsi="仿宋" w:eastAsia="仿宋" w:cs="仿宋"/>
          <w:b w:val="0"/>
          <w:bCs/>
          <w:sz w:val="24"/>
          <w:szCs w:val="22"/>
        </w:rPr>
        <w:t>或</w:t>
      </w:r>
      <w:r>
        <w:rPr>
          <w:rFonts w:hint="eastAsia" w:ascii="仿宋" w:hAnsi="仿宋" w:eastAsia="仿宋" w:cs="仿宋"/>
          <w:b w:val="0"/>
          <w:bCs/>
          <w:sz w:val="24"/>
          <w:szCs w:val="22"/>
          <w:lang w:eastAsia="zh-CN"/>
        </w:rPr>
        <w:t>其</w:t>
      </w:r>
      <w:r>
        <w:rPr>
          <w:rFonts w:hint="eastAsia" w:ascii="仿宋" w:hAnsi="仿宋" w:eastAsia="仿宋" w:cs="仿宋"/>
          <w:b w:val="0"/>
          <w:bCs/>
          <w:sz w:val="24"/>
          <w:szCs w:val="22"/>
        </w:rPr>
        <w:t>委托代理人：</w:t>
      </w:r>
      <w:r>
        <w:rPr>
          <w:rFonts w:hint="eastAsia" w:ascii="仿宋" w:hAnsi="仿宋" w:eastAsia="仿宋" w:cs="仿宋"/>
          <w:b w:val="0"/>
          <w:bCs/>
          <w:sz w:val="24"/>
          <w:szCs w:val="22"/>
          <w:u w:val="single"/>
        </w:rPr>
        <w:t xml:space="preserve">  </w:t>
      </w:r>
      <w:r>
        <w:rPr>
          <w:rFonts w:hint="eastAsia" w:ascii="仿宋" w:hAnsi="仿宋" w:eastAsia="仿宋" w:cs="仿宋"/>
          <w:b w:val="0"/>
          <w:bCs/>
          <w:sz w:val="24"/>
          <w:szCs w:val="22"/>
          <w:u w:val="single"/>
          <w:lang w:val="en-US" w:eastAsia="zh-CN"/>
        </w:rPr>
        <w:t xml:space="preserve">      </w:t>
      </w:r>
      <w:r>
        <w:rPr>
          <w:rFonts w:hint="eastAsia" w:ascii="仿宋" w:hAnsi="仿宋" w:eastAsia="仿宋" w:cs="仿宋"/>
          <w:b w:val="0"/>
          <w:bCs/>
          <w:sz w:val="24"/>
          <w:szCs w:val="22"/>
          <w:u w:val="single"/>
        </w:rPr>
        <w:t xml:space="preserve"> </w:t>
      </w:r>
      <w:bookmarkEnd w:id="725"/>
      <w:bookmarkStart w:id="726" w:name="_Toc29484"/>
    </w:p>
    <w:p w14:paraId="742AAFB4">
      <w:pPr>
        <w:keepNext w:val="0"/>
        <w:keepLines w:val="0"/>
        <w:pageBreakBefore w:val="0"/>
        <w:widowControl w:val="0"/>
        <w:kinsoku/>
        <w:wordWrap/>
        <w:overflowPunct/>
        <w:topLinePunct w:val="0"/>
        <w:autoSpaceDE/>
        <w:autoSpaceDN/>
        <w:bidi w:val="0"/>
        <w:adjustRightInd/>
        <w:snapToGrid/>
        <w:spacing w:line="480" w:lineRule="auto"/>
        <w:jc w:val="left"/>
        <w:textAlignment w:val="auto"/>
        <w:outlineLvl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sz w:val="24"/>
          <w:szCs w:val="22"/>
        </w:rPr>
        <w:t>日 期：</w:t>
      </w:r>
      <w:r>
        <w:rPr>
          <w:rFonts w:hint="eastAsia" w:ascii="仿宋" w:hAnsi="仿宋" w:eastAsia="仿宋" w:cs="仿宋"/>
          <w:b w:val="0"/>
          <w:bCs/>
          <w:sz w:val="24"/>
          <w:szCs w:val="22"/>
          <w:u w:val="single"/>
        </w:rPr>
        <w:t xml:space="preserve">       </w:t>
      </w:r>
      <w:r>
        <w:rPr>
          <w:rFonts w:hint="eastAsia" w:ascii="仿宋" w:hAnsi="仿宋" w:eastAsia="仿宋" w:cs="仿宋"/>
          <w:b w:val="0"/>
          <w:bCs/>
          <w:sz w:val="24"/>
          <w:szCs w:val="22"/>
        </w:rPr>
        <w:t>年</w:t>
      </w:r>
      <w:r>
        <w:rPr>
          <w:rFonts w:hint="eastAsia" w:ascii="仿宋" w:hAnsi="仿宋" w:eastAsia="仿宋" w:cs="仿宋"/>
          <w:b w:val="0"/>
          <w:bCs/>
          <w:sz w:val="24"/>
          <w:szCs w:val="22"/>
          <w:u w:val="single"/>
        </w:rPr>
        <w:t xml:space="preserve">     </w:t>
      </w:r>
      <w:r>
        <w:rPr>
          <w:rFonts w:hint="eastAsia" w:ascii="仿宋" w:hAnsi="仿宋" w:eastAsia="仿宋" w:cs="仿宋"/>
          <w:b w:val="0"/>
          <w:bCs/>
          <w:sz w:val="24"/>
          <w:szCs w:val="22"/>
        </w:rPr>
        <w:t>月</w:t>
      </w:r>
      <w:r>
        <w:rPr>
          <w:rFonts w:hint="eastAsia" w:ascii="仿宋" w:hAnsi="仿宋" w:eastAsia="仿宋" w:cs="仿宋"/>
          <w:b w:val="0"/>
          <w:bCs/>
          <w:sz w:val="24"/>
          <w:szCs w:val="22"/>
          <w:u w:val="single"/>
        </w:rPr>
        <w:t xml:space="preserve">    </w:t>
      </w:r>
      <w:r>
        <w:rPr>
          <w:rFonts w:hint="eastAsia" w:ascii="仿宋" w:hAnsi="仿宋" w:eastAsia="仿宋" w:cs="仿宋"/>
          <w:b w:val="0"/>
          <w:bCs/>
          <w:sz w:val="24"/>
          <w:szCs w:val="22"/>
        </w:rPr>
        <w:t>日</w:t>
      </w:r>
      <w:bookmarkEnd w:id="726"/>
    </w:p>
    <w:p w14:paraId="46676C3A">
      <w:pPr>
        <w:pStyle w:val="28"/>
        <w:jc w:val="left"/>
        <w:rPr>
          <w:rFonts w:hint="eastAsia"/>
          <w:lang w:val="en-US" w:eastAsia="zh-CN"/>
        </w:rPr>
      </w:pPr>
    </w:p>
    <w:p w14:paraId="3236E451">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       </w:t>
      </w:r>
    </w:p>
    <w:p w14:paraId="51F250C7">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67CE0822">
      <w:pPr>
        <w:keepNext/>
        <w:keepLines/>
        <w:shd w:val="clear"/>
        <w:spacing w:before="312" w:after="312"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、供应商具备参加政府采购活动条件承诺函</w:t>
      </w:r>
      <w:bookmarkEnd w:id="719"/>
      <w:bookmarkEnd w:id="720"/>
      <w:bookmarkEnd w:id="721"/>
      <w:bookmarkEnd w:id="722"/>
      <w:bookmarkEnd w:id="723"/>
    </w:p>
    <w:p w14:paraId="25FFEF62">
      <w:pPr>
        <w:shd w:val="clear"/>
        <w:spacing w:line="360" w:lineRule="auto"/>
        <w:ind w:firstLine="480" w:firstLineChars="200"/>
        <w:rPr>
          <w:rFonts w:hint="eastAsia" w:ascii="仿宋" w:hAnsi="仿宋" w:eastAsia="仿宋" w:cs="仿宋"/>
          <w:color w:val="auto"/>
          <w:sz w:val="24"/>
          <w:szCs w:val="24"/>
          <w:highlight w:val="none"/>
        </w:rPr>
      </w:pPr>
    </w:p>
    <w:p w14:paraId="57638823">
      <w:pPr>
        <w:shd w:val="clea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致：（招标人）：</w:t>
      </w:r>
    </w:p>
    <w:p w14:paraId="63A1C261">
      <w:pPr>
        <w:shd w:val="clear"/>
        <w:spacing w:line="360" w:lineRule="auto"/>
        <w:ind w:firstLine="480" w:firstLineChars="200"/>
        <w:rPr>
          <w:rFonts w:hint="eastAsia" w:ascii="仿宋" w:hAnsi="仿宋" w:eastAsia="仿宋" w:cs="仿宋"/>
          <w:color w:val="auto"/>
          <w:sz w:val="24"/>
          <w:szCs w:val="24"/>
          <w:highlight w:val="none"/>
        </w:rPr>
      </w:pPr>
    </w:p>
    <w:p w14:paraId="06F70D20">
      <w:pPr>
        <w:shd w:val="clear"/>
        <w:spacing w:line="360" w:lineRule="auto"/>
        <w:jc w:val="center"/>
        <w:rPr>
          <w:rFonts w:hint="eastAsia" w:ascii="仿宋" w:hAnsi="仿宋" w:eastAsia="仿宋" w:cs="仿宋"/>
          <w:color w:val="auto"/>
          <w:sz w:val="24"/>
          <w:szCs w:val="24"/>
          <w:highlight w:val="none"/>
        </w:rPr>
      </w:pPr>
    </w:p>
    <w:p w14:paraId="7501DD0F">
      <w:pPr>
        <w:keepNext w:val="0"/>
        <w:keepLines w:val="0"/>
        <w:pageBreakBefore w:val="0"/>
        <w:widowControl w:val="0"/>
        <w:shd w:val="clear"/>
        <w:kinsoku/>
        <w:wordWrap/>
        <w:overflowPunct/>
        <w:topLinePunct w:val="0"/>
        <w:autoSpaceDE/>
        <w:autoSpaceDN/>
        <w:bidi w:val="0"/>
        <w:adjustRightInd/>
        <w:snapToGrid/>
        <w:spacing w:line="360" w:lineRule="auto"/>
        <w:ind w:left="-210" w:leftChars="-100" w:right="-210" w:rightChars="-10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（投标自行承诺及说明具备《中华人民共和国政府采购法》第二十二条规定的条件，内容自拟）</w:t>
      </w:r>
    </w:p>
    <w:p w14:paraId="1829E542">
      <w:pPr>
        <w:shd w:val="clear"/>
        <w:bidi w:val="0"/>
        <w:rPr>
          <w:rFonts w:hint="eastAsia" w:ascii="仿宋" w:hAnsi="仿宋" w:eastAsia="仿宋" w:cs="仿宋"/>
          <w:color w:val="auto"/>
          <w:highlight w:val="none"/>
        </w:rPr>
      </w:pPr>
    </w:p>
    <w:p w14:paraId="6D7480B5">
      <w:pPr>
        <w:pStyle w:val="11"/>
        <w:shd w:val="clear"/>
        <w:rPr>
          <w:rFonts w:hint="eastAsia" w:ascii="仿宋" w:hAnsi="仿宋" w:eastAsia="仿宋" w:cs="仿宋"/>
          <w:color w:val="auto"/>
          <w:highlight w:val="none"/>
        </w:rPr>
      </w:pPr>
    </w:p>
    <w:p w14:paraId="5CA6DBE8">
      <w:pPr>
        <w:pStyle w:val="11"/>
        <w:shd w:val="clear"/>
        <w:rPr>
          <w:rFonts w:hint="eastAsia" w:ascii="仿宋" w:hAnsi="仿宋" w:eastAsia="仿宋" w:cs="仿宋"/>
          <w:color w:val="auto"/>
          <w:highlight w:val="none"/>
        </w:rPr>
      </w:pPr>
    </w:p>
    <w:p w14:paraId="125C22EA">
      <w:pPr>
        <w:pStyle w:val="11"/>
        <w:shd w:val="clear"/>
        <w:rPr>
          <w:rFonts w:hint="eastAsia" w:ascii="仿宋" w:hAnsi="仿宋" w:eastAsia="仿宋" w:cs="仿宋"/>
          <w:color w:val="auto"/>
          <w:highlight w:val="none"/>
        </w:rPr>
      </w:pPr>
    </w:p>
    <w:p w14:paraId="23F367BB">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6BAC51F0">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法定代表人（或负责人）或委托代理人（电子签章）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2857BB63">
      <w:pPr>
        <w:pStyle w:val="11"/>
        <w:shd w:val="clear"/>
        <w:ind w:left="0" w:leftChars="0" w:firstLine="480" w:firstLineChars="200"/>
        <w:jc w:val="both"/>
        <w:rPr>
          <w:rFonts w:hint="eastAsia" w:ascii="仿宋" w:hAnsi="仿宋" w:eastAsia="仿宋" w:cs="仿宋"/>
          <w:color w:val="auto"/>
          <w:highlight w:val="none"/>
        </w:rPr>
        <w:sectPr>
          <w:pgSz w:w="11906" w:h="16838"/>
          <w:pgMar w:top="1440" w:right="1080" w:bottom="1440" w:left="1080" w:header="794" w:footer="992" w:gutter="0"/>
          <w:pgBorders>
            <w:top w:val="none" w:sz="0" w:space="0"/>
            <w:left w:val="none" w:sz="0" w:space="0"/>
            <w:bottom w:val="none" w:sz="0" w:space="0"/>
            <w:right w:val="none" w:sz="0" w:space="0"/>
          </w:pgBorders>
          <w:pgNumType w:fmt="decimal"/>
          <w:cols w:space="425" w:num="1"/>
          <w:docGrid w:linePitch="312" w:charSpace="0"/>
        </w:sect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1FDA0707">
      <w:pPr>
        <w:keepNext/>
        <w:keepLines/>
        <w:shd w:val="clear"/>
        <w:spacing w:before="312" w:after="312" w:line="360" w:lineRule="auto"/>
        <w:jc w:val="center"/>
        <w:outlineLvl w:val="1"/>
        <w:rPr>
          <w:rFonts w:hint="eastAsia" w:ascii="仿宋" w:hAnsi="仿宋" w:eastAsia="仿宋" w:cs="仿宋"/>
          <w:b/>
          <w:color w:val="auto"/>
          <w:kern w:val="0"/>
          <w:sz w:val="24"/>
          <w:szCs w:val="24"/>
          <w:highlight w:val="none"/>
        </w:rPr>
      </w:pPr>
      <w:bookmarkStart w:id="727" w:name="_Toc29119"/>
      <w:bookmarkStart w:id="728" w:name="_Toc22627"/>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10</w:t>
      </w:r>
      <w:r>
        <w:rPr>
          <w:rFonts w:hint="eastAsia" w:ascii="仿宋" w:hAnsi="仿宋" w:eastAsia="仿宋" w:cs="仿宋"/>
          <w:b/>
          <w:color w:val="auto"/>
          <w:kern w:val="0"/>
          <w:sz w:val="24"/>
          <w:szCs w:val="24"/>
          <w:highlight w:val="none"/>
        </w:rPr>
        <w:t>、</w:t>
      </w:r>
      <w:r>
        <w:rPr>
          <w:rFonts w:hint="eastAsia" w:ascii="仿宋" w:hAnsi="仿宋" w:eastAsia="仿宋" w:cs="仿宋"/>
          <w:b/>
          <w:color w:val="auto"/>
          <w:sz w:val="24"/>
          <w:szCs w:val="24"/>
          <w:highlight w:val="none"/>
        </w:rPr>
        <w:t>类似</w:t>
      </w:r>
      <w:r>
        <w:rPr>
          <w:rFonts w:hint="eastAsia" w:ascii="仿宋" w:hAnsi="仿宋" w:eastAsia="仿宋" w:cs="仿宋"/>
          <w:b/>
          <w:color w:val="auto"/>
          <w:kern w:val="0"/>
          <w:sz w:val="24"/>
          <w:szCs w:val="24"/>
          <w:highlight w:val="none"/>
        </w:rPr>
        <w:t>项目业绩</w:t>
      </w:r>
      <w:bookmarkEnd w:id="727"/>
      <w:bookmarkEnd w:id="728"/>
    </w:p>
    <w:tbl>
      <w:tblPr>
        <w:tblStyle w:val="22"/>
        <w:tblW w:w="8572" w:type="dxa"/>
        <w:jc w:val="center"/>
        <w:tblLayout w:type="fixed"/>
        <w:tblCellMar>
          <w:top w:w="0" w:type="dxa"/>
          <w:left w:w="54" w:type="dxa"/>
          <w:bottom w:w="0" w:type="dxa"/>
          <w:right w:w="54" w:type="dxa"/>
        </w:tblCellMar>
      </w:tblPr>
      <w:tblGrid>
        <w:gridCol w:w="835"/>
        <w:gridCol w:w="1258"/>
        <w:gridCol w:w="1843"/>
        <w:gridCol w:w="1559"/>
        <w:gridCol w:w="1843"/>
        <w:gridCol w:w="1234"/>
      </w:tblGrid>
      <w:tr w14:paraId="4C024285">
        <w:tblPrEx>
          <w:tblCellMar>
            <w:top w:w="0" w:type="dxa"/>
            <w:left w:w="54" w:type="dxa"/>
            <w:bottom w:w="0" w:type="dxa"/>
            <w:right w:w="54" w:type="dxa"/>
          </w:tblCellMar>
        </w:tblPrEx>
        <w:trPr>
          <w:cantSplit/>
          <w:trHeight w:val="437" w:hRule="atLeast"/>
          <w:jc w:val="center"/>
        </w:trPr>
        <w:tc>
          <w:tcPr>
            <w:tcW w:w="835" w:type="dxa"/>
            <w:tcBorders>
              <w:top w:val="single" w:color="auto" w:sz="6" w:space="0"/>
              <w:left w:val="single" w:color="auto" w:sz="6" w:space="0"/>
              <w:bottom w:val="single" w:color="auto" w:sz="4" w:space="0"/>
              <w:right w:val="single" w:color="auto" w:sz="4" w:space="0"/>
            </w:tcBorders>
            <w:vAlign w:val="center"/>
          </w:tcPr>
          <w:p w14:paraId="53C296EF">
            <w:pPr>
              <w:shd w:val="clear"/>
              <w:jc w:val="center"/>
              <w:rPr>
                <w:rFonts w:ascii="仿宋" w:hAnsi="仿宋" w:eastAsia="仿宋" w:cs="仿宋"/>
                <w:bCs/>
                <w:color w:val="auto"/>
                <w:highlight w:val="none"/>
              </w:rPr>
            </w:pPr>
            <w:r>
              <w:rPr>
                <w:rFonts w:hint="eastAsia" w:ascii="仿宋" w:hAnsi="仿宋" w:eastAsia="仿宋" w:cs="仿宋"/>
                <w:bCs/>
                <w:color w:val="auto"/>
                <w:highlight w:val="none"/>
              </w:rPr>
              <w:t>序号</w:t>
            </w:r>
          </w:p>
        </w:tc>
        <w:tc>
          <w:tcPr>
            <w:tcW w:w="1258" w:type="dxa"/>
            <w:tcBorders>
              <w:top w:val="single" w:color="auto" w:sz="6" w:space="0"/>
              <w:left w:val="single" w:color="auto" w:sz="4" w:space="0"/>
              <w:bottom w:val="single" w:color="auto" w:sz="4" w:space="0"/>
              <w:right w:val="single" w:color="auto" w:sz="4" w:space="0"/>
            </w:tcBorders>
            <w:vAlign w:val="center"/>
          </w:tcPr>
          <w:p w14:paraId="2F6D61BA">
            <w:pPr>
              <w:shd w:val="clear"/>
              <w:jc w:val="center"/>
              <w:rPr>
                <w:rFonts w:ascii="仿宋" w:hAnsi="仿宋" w:eastAsia="仿宋" w:cs="仿宋"/>
                <w:bCs/>
                <w:color w:val="auto"/>
                <w:highlight w:val="none"/>
              </w:rPr>
            </w:pPr>
            <w:r>
              <w:rPr>
                <w:rFonts w:hint="eastAsia" w:ascii="仿宋" w:hAnsi="仿宋" w:eastAsia="仿宋" w:cs="仿宋"/>
                <w:bCs/>
                <w:color w:val="auto"/>
                <w:highlight w:val="none"/>
              </w:rPr>
              <w:t>项目名称</w:t>
            </w:r>
          </w:p>
        </w:tc>
        <w:tc>
          <w:tcPr>
            <w:tcW w:w="1843" w:type="dxa"/>
            <w:tcBorders>
              <w:top w:val="single" w:color="auto" w:sz="6" w:space="0"/>
              <w:left w:val="single" w:color="auto" w:sz="4" w:space="0"/>
              <w:bottom w:val="single" w:color="auto" w:sz="4" w:space="0"/>
              <w:right w:val="single" w:color="auto" w:sz="6" w:space="0"/>
            </w:tcBorders>
            <w:vAlign w:val="center"/>
          </w:tcPr>
          <w:p w14:paraId="0636AEFD">
            <w:pPr>
              <w:shd w:val="clear"/>
              <w:jc w:val="center"/>
              <w:rPr>
                <w:rFonts w:ascii="仿宋" w:hAnsi="仿宋" w:eastAsia="仿宋" w:cs="仿宋"/>
                <w:bCs/>
                <w:color w:val="auto"/>
                <w:highlight w:val="none"/>
              </w:rPr>
            </w:pPr>
            <w:r>
              <w:rPr>
                <w:rFonts w:hint="eastAsia" w:ascii="仿宋" w:hAnsi="仿宋" w:eastAsia="仿宋" w:cs="仿宋"/>
                <w:bCs/>
                <w:color w:val="auto"/>
                <w:highlight w:val="none"/>
              </w:rPr>
              <w:t>合同签订日期</w:t>
            </w:r>
          </w:p>
        </w:tc>
        <w:tc>
          <w:tcPr>
            <w:tcW w:w="1559" w:type="dxa"/>
            <w:tcBorders>
              <w:top w:val="single" w:color="auto" w:sz="6" w:space="0"/>
              <w:left w:val="single" w:color="auto" w:sz="6" w:space="0"/>
              <w:bottom w:val="single" w:color="auto" w:sz="4" w:space="0"/>
              <w:right w:val="single" w:color="auto" w:sz="4" w:space="0"/>
            </w:tcBorders>
            <w:vAlign w:val="center"/>
          </w:tcPr>
          <w:p w14:paraId="45B342EE">
            <w:pPr>
              <w:shd w:val="clear"/>
              <w:jc w:val="center"/>
              <w:rPr>
                <w:rFonts w:ascii="仿宋" w:hAnsi="仿宋" w:eastAsia="仿宋" w:cs="仿宋"/>
                <w:bCs/>
                <w:color w:val="auto"/>
                <w:highlight w:val="none"/>
              </w:rPr>
            </w:pPr>
            <w:r>
              <w:rPr>
                <w:rFonts w:hint="eastAsia" w:ascii="仿宋" w:hAnsi="仿宋" w:eastAsia="仿宋" w:cs="仿宋"/>
                <w:bCs/>
                <w:color w:val="auto"/>
                <w:highlight w:val="none"/>
              </w:rPr>
              <w:t>合同金额</w:t>
            </w:r>
          </w:p>
        </w:tc>
        <w:tc>
          <w:tcPr>
            <w:tcW w:w="1843" w:type="dxa"/>
            <w:tcBorders>
              <w:top w:val="single" w:color="auto" w:sz="6" w:space="0"/>
              <w:left w:val="single" w:color="auto" w:sz="4" w:space="0"/>
              <w:bottom w:val="single" w:color="auto" w:sz="4" w:space="0"/>
              <w:right w:val="single" w:color="auto" w:sz="4" w:space="0"/>
            </w:tcBorders>
            <w:vAlign w:val="center"/>
          </w:tcPr>
          <w:p w14:paraId="715E8526">
            <w:pPr>
              <w:shd w:val="clear"/>
              <w:jc w:val="center"/>
              <w:rPr>
                <w:rFonts w:ascii="仿宋" w:hAnsi="仿宋" w:eastAsia="仿宋" w:cs="仿宋"/>
                <w:bCs/>
                <w:color w:val="auto"/>
                <w:highlight w:val="none"/>
              </w:rPr>
            </w:pPr>
            <w:r>
              <w:rPr>
                <w:rFonts w:hint="eastAsia" w:ascii="仿宋" w:hAnsi="仿宋" w:eastAsia="仿宋" w:cs="仿宋"/>
                <w:bCs/>
                <w:color w:val="auto"/>
                <w:highlight w:val="none"/>
              </w:rPr>
              <w:t>采购单位联系人</w:t>
            </w:r>
          </w:p>
        </w:tc>
        <w:tc>
          <w:tcPr>
            <w:tcW w:w="1234" w:type="dxa"/>
            <w:tcBorders>
              <w:top w:val="single" w:color="auto" w:sz="6" w:space="0"/>
              <w:left w:val="single" w:color="auto" w:sz="4" w:space="0"/>
              <w:bottom w:val="single" w:color="auto" w:sz="4" w:space="0"/>
              <w:right w:val="single" w:color="auto" w:sz="4" w:space="0"/>
            </w:tcBorders>
            <w:vAlign w:val="center"/>
          </w:tcPr>
          <w:p w14:paraId="28721563">
            <w:pPr>
              <w:shd w:val="clear"/>
              <w:jc w:val="center"/>
              <w:rPr>
                <w:rFonts w:ascii="仿宋" w:hAnsi="仿宋" w:eastAsia="仿宋" w:cs="仿宋"/>
                <w:bCs/>
                <w:color w:val="auto"/>
                <w:highlight w:val="none"/>
              </w:rPr>
            </w:pPr>
            <w:r>
              <w:rPr>
                <w:rFonts w:hint="eastAsia" w:ascii="仿宋" w:hAnsi="仿宋" w:eastAsia="仿宋" w:cs="仿宋"/>
                <w:bCs/>
                <w:color w:val="auto"/>
                <w:highlight w:val="none"/>
              </w:rPr>
              <w:t>联系电话</w:t>
            </w:r>
          </w:p>
        </w:tc>
      </w:tr>
      <w:tr w14:paraId="354704B9">
        <w:tblPrEx>
          <w:tblCellMar>
            <w:top w:w="0" w:type="dxa"/>
            <w:left w:w="54" w:type="dxa"/>
            <w:bottom w:w="0" w:type="dxa"/>
            <w:right w:w="54" w:type="dxa"/>
          </w:tblCellMar>
        </w:tblPrEx>
        <w:trPr>
          <w:cantSplit/>
          <w:trHeight w:val="461"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15C3679A">
            <w:pPr>
              <w:shd w:val="clear"/>
              <w:spacing w:line="360" w:lineRule="auto"/>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1258" w:type="dxa"/>
            <w:tcBorders>
              <w:top w:val="single" w:color="auto" w:sz="4" w:space="0"/>
              <w:left w:val="single" w:color="auto" w:sz="4" w:space="0"/>
              <w:bottom w:val="single" w:color="auto" w:sz="4" w:space="0"/>
              <w:right w:val="single" w:color="auto" w:sz="4" w:space="0"/>
            </w:tcBorders>
            <w:vAlign w:val="center"/>
          </w:tcPr>
          <w:p w14:paraId="4ED8D72D">
            <w:pPr>
              <w:shd w:val="clear"/>
              <w:spacing w:line="360" w:lineRule="auto"/>
              <w:jc w:val="center"/>
              <w:rPr>
                <w:rFonts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20CF6436">
            <w:pPr>
              <w:shd w:val="clear"/>
              <w:spacing w:line="360" w:lineRule="auto"/>
              <w:jc w:val="center"/>
              <w:rPr>
                <w:rFonts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0261E3FB">
            <w:pPr>
              <w:shd w:val="clear"/>
              <w:spacing w:line="360" w:lineRule="auto"/>
              <w:jc w:val="center"/>
              <w:rPr>
                <w:rFonts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78E7840">
            <w:pPr>
              <w:shd w:val="clear"/>
              <w:spacing w:line="360" w:lineRule="auto"/>
              <w:jc w:val="center"/>
              <w:rPr>
                <w:rFonts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2BA077CA">
            <w:pPr>
              <w:shd w:val="clear"/>
              <w:spacing w:line="360" w:lineRule="auto"/>
              <w:jc w:val="center"/>
              <w:rPr>
                <w:rFonts w:ascii="仿宋" w:hAnsi="仿宋" w:eastAsia="仿宋" w:cs="仿宋"/>
                <w:bCs/>
                <w:color w:val="auto"/>
                <w:szCs w:val="21"/>
                <w:highlight w:val="none"/>
              </w:rPr>
            </w:pPr>
          </w:p>
        </w:tc>
      </w:tr>
      <w:tr w14:paraId="2B9802B3">
        <w:tblPrEx>
          <w:tblCellMar>
            <w:top w:w="0" w:type="dxa"/>
            <w:left w:w="54" w:type="dxa"/>
            <w:bottom w:w="0" w:type="dxa"/>
            <w:right w:w="54" w:type="dxa"/>
          </w:tblCellMar>
        </w:tblPrEx>
        <w:trPr>
          <w:cantSplit/>
          <w:trHeight w:val="452"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5885F200">
            <w:pPr>
              <w:shd w:val="clear"/>
              <w:spacing w:line="360" w:lineRule="auto"/>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1258" w:type="dxa"/>
            <w:tcBorders>
              <w:top w:val="single" w:color="auto" w:sz="4" w:space="0"/>
              <w:left w:val="single" w:color="auto" w:sz="4" w:space="0"/>
              <w:bottom w:val="single" w:color="auto" w:sz="4" w:space="0"/>
              <w:right w:val="single" w:color="auto" w:sz="4" w:space="0"/>
            </w:tcBorders>
            <w:vAlign w:val="center"/>
          </w:tcPr>
          <w:p w14:paraId="12EBD524">
            <w:pPr>
              <w:shd w:val="clear"/>
              <w:spacing w:line="360" w:lineRule="auto"/>
              <w:jc w:val="center"/>
              <w:rPr>
                <w:rFonts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0E9ECA89">
            <w:pPr>
              <w:shd w:val="clear"/>
              <w:spacing w:line="360" w:lineRule="auto"/>
              <w:jc w:val="center"/>
              <w:rPr>
                <w:rFonts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2F3C5773">
            <w:pPr>
              <w:shd w:val="clear"/>
              <w:spacing w:line="360" w:lineRule="auto"/>
              <w:jc w:val="center"/>
              <w:rPr>
                <w:rFonts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50872DD">
            <w:pPr>
              <w:shd w:val="clear"/>
              <w:spacing w:line="360" w:lineRule="auto"/>
              <w:jc w:val="center"/>
              <w:rPr>
                <w:rFonts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6C058DE9">
            <w:pPr>
              <w:shd w:val="clear"/>
              <w:spacing w:line="360" w:lineRule="auto"/>
              <w:jc w:val="center"/>
              <w:rPr>
                <w:rFonts w:ascii="仿宋" w:hAnsi="仿宋" w:eastAsia="仿宋" w:cs="仿宋"/>
                <w:bCs/>
                <w:color w:val="auto"/>
                <w:szCs w:val="21"/>
                <w:highlight w:val="none"/>
              </w:rPr>
            </w:pPr>
          </w:p>
        </w:tc>
      </w:tr>
      <w:tr w14:paraId="0EBC7B7E">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5FBB4214">
            <w:pPr>
              <w:shd w:val="clear"/>
              <w:spacing w:line="360" w:lineRule="auto"/>
              <w:jc w:val="center"/>
              <w:rPr>
                <w:rFonts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1258" w:type="dxa"/>
            <w:tcBorders>
              <w:top w:val="single" w:color="auto" w:sz="4" w:space="0"/>
              <w:left w:val="single" w:color="auto" w:sz="4" w:space="0"/>
              <w:bottom w:val="single" w:color="auto" w:sz="4" w:space="0"/>
              <w:right w:val="single" w:color="auto" w:sz="4" w:space="0"/>
            </w:tcBorders>
          </w:tcPr>
          <w:p w14:paraId="6201901D">
            <w:pPr>
              <w:shd w:val="clear"/>
              <w:spacing w:line="360" w:lineRule="auto"/>
              <w:jc w:val="center"/>
              <w:rPr>
                <w:rFonts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050A63C7">
            <w:pPr>
              <w:shd w:val="clear"/>
              <w:spacing w:line="360" w:lineRule="auto"/>
              <w:jc w:val="center"/>
              <w:rPr>
                <w:rFonts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4D78E6F6">
            <w:pPr>
              <w:shd w:val="clear"/>
              <w:spacing w:line="360" w:lineRule="auto"/>
              <w:jc w:val="center"/>
              <w:rPr>
                <w:rFonts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74DBE9C2">
            <w:pPr>
              <w:shd w:val="clear"/>
              <w:spacing w:line="360" w:lineRule="auto"/>
              <w:jc w:val="center"/>
              <w:rPr>
                <w:rFonts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072B9B86">
            <w:pPr>
              <w:shd w:val="clear"/>
              <w:spacing w:line="360" w:lineRule="auto"/>
              <w:jc w:val="center"/>
              <w:rPr>
                <w:rFonts w:ascii="仿宋" w:hAnsi="仿宋" w:eastAsia="仿宋" w:cs="仿宋"/>
                <w:bCs/>
                <w:color w:val="auto"/>
                <w:szCs w:val="21"/>
                <w:highlight w:val="none"/>
              </w:rPr>
            </w:pPr>
          </w:p>
        </w:tc>
      </w:tr>
    </w:tbl>
    <w:p w14:paraId="1754B907">
      <w:pPr>
        <w:pStyle w:val="34"/>
        <w:keepNext w:val="0"/>
        <w:keepLines w:val="0"/>
        <w:pageBreakBefore w:val="0"/>
        <w:widowControl w:val="0"/>
        <w:shd w:val="clear"/>
        <w:kinsoku/>
        <w:wordWrap/>
        <w:overflowPunct/>
        <w:topLinePunct w:val="0"/>
        <w:autoSpaceDE/>
        <w:autoSpaceDN/>
        <w:bidi w:val="0"/>
        <w:adjustRightInd/>
        <w:snapToGrid/>
        <w:spacing w:line="440" w:lineRule="exact"/>
        <w:ind w:firstLine="0"/>
        <w:jc w:val="both"/>
        <w:textAlignment w:val="auto"/>
        <w:rPr>
          <w:rFonts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类似业绩是指</w:t>
      </w:r>
      <w:r>
        <w:rPr>
          <w:rFonts w:hint="eastAsia" w:ascii="仿宋" w:hAnsi="仿宋" w:eastAsia="仿宋" w:cs="仿宋"/>
          <w:bCs/>
          <w:color w:val="auto"/>
          <w:szCs w:val="21"/>
          <w:highlight w:val="none"/>
          <w:lang w:val="en-US" w:eastAsia="zh-CN"/>
        </w:rPr>
        <w:t>2021</w:t>
      </w:r>
      <w:r>
        <w:rPr>
          <w:rFonts w:hint="eastAsia" w:ascii="仿宋" w:hAnsi="仿宋" w:eastAsia="仿宋" w:cs="仿宋"/>
          <w:bCs/>
          <w:color w:val="auto"/>
          <w:szCs w:val="21"/>
          <w:highlight w:val="none"/>
        </w:rPr>
        <w:t>年至</w:t>
      </w:r>
      <w:r>
        <w:rPr>
          <w:rFonts w:hint="eastAsia" w:ascii="仿宋" w:hAnsi="仿宋" w:eastAsia="仿宋" w:cs="仿宋"/>
          <w:bCs/>
          <w:color w:val="auto"/>
          <w:szCs w:val="21"/>
          <w:highlight w:val="none"/>
          <w:lang w:eastAsia="zh-CN"/>
        </w:rPr>
        <w:t>投标</w:t>
      </w:r>
      <w:r>
        <w:rPr>
          <w:rFonts w:hint="eastAsia" w:ascii="仿宋" w:hAnsi="仿宋" w:eastAsia="仿宋" w:cs="仿宋"/>
          <w:bCs/>
          <w:color w:val="auto"/>
          <w:szCs w:val="21"/>
          <w:highlight w:val="none"/>
        </w:rPr>
        <w:t>文件递交截止时间</w:t>
      </w:r>
      <w:r>
        <w:rPr>
          <w:rFonts w:hint="eastAsia" w:ascii="仿宋" w:hAnsi="仿宋" w:eastAsia="仿宋" w:cs="仿宋"/>
          <w:bCs/>
          <w:color w:val="auto"/>
          <w:szCs w:val="21"/>
          <w:highlight w:val="none"/>
          <w:lang w:val="en-US" w:eastAsia="zh-CN"/>
        </w:rPr>
        <w:t>前</w:t>
      </w:r>
      <w:r>
        <w:rPr>
          <w:rFonts w:hint="eastAsia" w:ascii="仿宋" w:hAnsi="仿宋" w:eastAsia="仿宋" w:cs="仿宋"/>
          <w:bCs/>
          <w:color w:val="auto"/>
          <w:szCs w:val="21"/>
          <w:highlight w:val="none"/>
        </w:rPr>
        <w:t>完成的类似业绩(证明文件</w:t>
      </w:r>
      <w:r>
        <w:rPr>
          <w:rFonts w:hint="eastAsia" w:ascii="仿宋" w:hAnsi="仿宋" w:eastAsia="仿宋" w:cs="仿宋"/>
          <w:bCs/>
          <w:color w:val="auto"/>
          <w:szCs w:val="21"/>
          <w:highlight w:val="none"/>
          <w:lang w:val="en-US" w:eastAsia="zh-CN"/>
        </w:rPr>
        <w:t>需提供现行有效合同等证明材料。)。无证</w:t>
      </w:r>
      <w:r>
        <w:rPr>
          <w:rFonts w:hint="eastAsia" w:ascii="仿宋" w:hAnsi="仿宋" w:eastAsia="仿宋" w:cs="仿宋"/>
          <w:bCs/>
          <w:color w:val="auto"/>
          <w:kern w:val="2"/>
          <w:sz w:val="21"/>
          <w:szCs w:val="21"/>
          <w:highlight w:val="none"/>
          <w:lang w:val="en-US" w:eastAsia="zh-CN" w:bidi="ar-SA"/>
        </w:rPr>
        <w:t>明</w:t>
      </w:r>
      <w:r>
        <w:rPr>
          <w:rFonts w:hint="eastAsia" w:ascii="仿宋" w:hAnsi="仿宋" w:eastAsia="仿宋" w:cs="仿宋"/>
          <w:bCs/>
          <w:color w:val="auto"/>
          <w:szCs w:val="21"/>
          <w:highlight w:val="none"/>
        </w:rPr>
        <w:t>材料或证明材料不齐全、无法体现业绩内容的，不予认可。</w:t>
      </w:r>
    </w:p>
    <w:p w14:paraId="40D94C57">
      <w:pPr>
        <w:keepNext w:val="0"/>
        <w:keepLines w:val="0"/>
        <w:pageBreakBefore w:val="0"/>
        <w:widowControl w:val="0"/>
        <w:shd w:val="clear"/>
        <w:kinsoku/>
        <w:wordWrap/>
        <w:overflowPunct/>
        <w:topLinePunct w:val="0"/>
        <w:autoSpaceDE/>
        <w:autoSpaceDN/>
        <w:bidi w:val="0"/>
        <w:adjustRightInd/>
        <w:snapToGrid/>
        <w:spacing w:line="380" w:lineRule="exact"/>
        <w:ind w:firstLine="0" w:firstLineChars="0"/>
        <w:textAlignment w:val="auto"/>
        <w:rPr>
          <w:rFonts w:ascii="仿宋" w:hAnsi="仿宋" w:eastAsia="仿宋" w:cs="仿宋"/>
          <w:color w:val="auto"/>
          <w:highlight w:val="none"/>
        </w:rPr>
      </w:pPr>
      <w:r>
        <w:rPr>
          <w:rFonts w:hint="eastAsia" w:ascii="仿宋" w:hAnsi="仿宋" w:eastAsia="仿宋" w:cs="仿宋"/>
          <w:bCs/>
          <w:color w:val="auto"/>
          <w:szCs w:val="21"/>
          <w:highlight w:val="none"/>
        </w:rPr>
        <w:t>2.投标人可根据实际情况拓展本表。</w:t>
      </w:r>
    </w:p>
    <w:p w14:paraId="2D8EAC97">
      <w:pPr>
        <w:shd w:val="clear"/>
        <w:spacing w:line="360" w:lineRule="auto"/>
        <w:ind w:firstLine="480" w:firstLineChars="200"/>
        <w:rPr>
          <w:rFonts w:hint="eastAsia" w:ascii="仿宋" w:hAnsi="仿宋" w:eastAsia="仿宋" w:cs="仿宋"/>
          <w:color w:val="auto"/>
          <w:sz w:val="24"/>
          <w:szCs w:val="24"/>
          <w:highlight w:val="none"/>
        </w:rPr>
      </w:pPr>
    </w:p>
    <w:p w14:paraId="7D34BC2A">
      <w:pPr>
        <w:shd w:val="clear"/>
        <w:spacing w:line="360" w:lineRule="auto"/>
        <w:ind w:firstLine="480" w:firstLineChars="200"/>
        <w:rPr>
          <w:rFonts w:hint="eastAsia" w:ascii="仿宋" w:hAnsi="仿宋" w:eastAsia="仿宋" w:cs="仿宋"/>
          <w:color w:val="auto"/>
          <w:sz w:val="24"/>
          <w:szCs w:val="24"/>
          <w:highlight w:val="none"/>
        </w:rPr>
      </w:pPr>
    </w:p>
    <w:p w14:paraId="021B963E">
      <w:pPr>
        <w:shd w:val="clear"/>
        <w:spacing w:line="360" w:lineRule="auto"/>
        <w:ind w:firstLine="480" w:firstLineChars="200"/>
        <w:rPr>
          <w:rFonts w:hint="eastAsia" w:ascii="仿宋" w:hAnsi="仿宋" w:eastAsia="仿宋" w:cs="仿宋"/>
          <w:color w:val="auto"/>
          <w:sz w:val="24"/>
          <w:szCs w:val="24"/>
          <w:highlight w:val="none"/>
        </w:rPr>
      </w:pPr>
    </w:p>
    <w:p w14:paraId="51A2A321">
      <w:pPr>
        <w:shd w:val="clear"/>
        <w:spacing w:line="360" w:lineRule="auto"/>
        <w:ind w:firstLine="480" w:firstLineChars="200"/>
        <w:rPr>
          <w:rFonts w:hint="eastAsia" w:ascii="仿宋" w:hAnsi="仿宋" w:eastAsia="仿宋" w:cs="仿宋"/>
          <w:color w:val="auto"/>
          <w:sz w:val="24"/>
          <w:szCs w:val="24"/>
          <w:highlight w:val="none"/>
        </w:rPr>
      </w:pPr>
    </w:p>
    <w:p w14:paraId="01A77587">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0063498E">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法定代表人（或负责人）或委托代理人（电子签章）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12452FE3">
      <w:pPr>
        <w:shd w:val="clear"/>
        <w:spacing w:line="360" w:lineRule="auto"/>
        <w:ind w:firstLine="480" w:firstLineChars="200"/>
        <w:jc w:val="center"/>
        <w:rPr>
          <w:rFonts w:hint="eastAsia" w:ascii="仿宋" w:hAnsi="仿宋" w:eastAsia="仿宋" w:cs="仿宋"/>
          <w:color w:val="auto"/>
          <w:sz w:val="24"/>
          <w:szCs w:val="24"/>
          <w:highlight w:val="none"/>
        </w:rPr>
        <w:sectPr>
          <w:pgSz w:w="11906" w:h="16838"/>
          <w:pgMar w:top="1440" w:right="1080" w:bottom="1440" w:left="1080" w:header="794"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76BEF22E">
      <w:pPr>
        <w:keepNext/>
        <w:keepLines/>
        <w:shd w:val="clear"/>
        <w:spacing w:before="312" w:after="312" w:line="360" w:lineRule="auto"/>
        <w:jc w:val="center"/>
        <w:outlineLvl w:val="1"/>
        <w:rPr>
          <w:rFonts w:hint="eastAsia" w:ascii="仿宋" w:hAnsi="仿宋" w:eastAsia="仿宋" w:cs="仿宋"/>
          <w:b/>
          <w:color w:val="auto"/>
          <w:kern w:val="0"/>
          <w:sz w:val="24"/>
          <w:szCs w:val="24"/>
          <w:highlight w:val="none"/>
        </w:rPr>
      </w:pPr>
      <w:bookmarkStart w:id="729" w:name="_Toc2763"/>
      <w:bookmarkStart w:id="730" w:name="_Toc15986"/>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11</w:t>
      </w:r>
      <w:r>
        <w:rPr>
          <w:rFonts w:hint="eastAsia" w:ascii="仿宋" w:hAnsi="仿宋" w:eastAsia="仿宋" w:cs="仿宋"/>
          <w:b/>
          <w:color w:val="auto"/>
          <w:kern w:val="0"/>
          <w:sz w:val="24"/>
          <w:szCs w:val="24"/>
          <w:highlight w:val="none"/>
        </w:rPr>
        <w:t>、投标人认为还</w:t>
      </w:r>
      <w:r>
        <w:rPr>
          <w:rFonts w:hint="eastAsia" w:ascii="仿宋" w:hAnsi="仿宋" w:eastAsia="仿宋" w:cs="仿宋"/>
          <w:b/>
          <w:color w:val="auto"/>
          <w:sz w:val="24"/>
          <w:szCs w:val="24"/>
          <w:highlight w:val="none"/>
        </w:rPr>
        <w:t>需要</w:t>
      </w:r>
      <w:r>
        <w:rPr>
          <w:rFonts w:hint="eastAsia" w:ascii="仿宋" w:hAnsi="仿宋" w:eastAsia="仿宋" w:cs="仿宋"/>
          <w:b/>
          <w:color w:val="auto"/>
          <w:kern w:val="0"/>
          <w:sz w:val="24"/>
          <w:szCs w:val="24"/>
          <w:highlight w:val="none"/>
        </w:rPr>
        <w:t>提供的其他资料</w:t>
      </w:r>
      <w:bookmarkEnd w:id="729"/>
      <w:bookmarkEnd w:id="730"/>
    </w:p>
    <w:p w14:paraId="616F7A43">
      <w:pPr>
        <w:shd w:val="clear"/>
        <w:bidi w:val="0"/>
        <w:jc w:val="center"/>
        <w:rPr>
          <w:rFonts w:hint="eastAsia" w:ascii="仿宋" w:hAnsi="仿宋" w:eastAsia="仿宋" w:cs="仿宋"/>
          <w:color w:val="auto"/>
          <w:highlight w:val="none"/>
        </w:rPr>
      </w:pPr>
      <w:r>
        <w:rPr>
          <w:rFonts w:hint="eastAsia" w:ascii="仿宋" w:hAnsi="仿宋" w:eastAsia="仿宋" w:cs="仿宋"/>
          <w:color w:val="auto"/>
          <w:highlight w:val="none"/>
        </w:rPr>
        <w:t>格式自拟</w:t>
      </w:r>
    </w:p>
    <w:p w14:paraId="3C0F1E3B">
      <w:pPr>
        <w:shd w:val="clear"/>
        <w:rPr>
          <w:rFonts w:hint="eastAsia" w:ascii="仿宋" w:hAnsi="仿宋" w:eastAsia="仿宋" w:cs="仿宋"/>
          <w:color w:val="auto"/>
          <w:sz w:val="24"/>
          <w:szCs w:val="24"/>
          <w:highlight w:val="none"/>
        </w:rPr>
      </w:pPr>
    </w:p>
    <w:bookmarkEnd w:id="634"/>
    <w:bookmarkEnd w:id="635"/>
    <w:bookmarkEnd w:id="636"/>
    <w:bookmarkEnd w:id="637"/>
    <w:bookmarkEnd w:id="638"/>
    <w:bookmarkEnd w:id="639"/>
    <w:bookmarkEnd w:id="640"/>
    <w:bookmarkEnd w:id="641"/>
    <w:bookmarkEnd w:id="676"/>
    <w:bookmarkEnd w:id="677"/>
    <w:bookmarkEnd w:id="678"/>
    <w:bookmarkEnd w:id="679"/>
    <w:p w14:paraId="08BA9E46">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jc w:val="center"/>
        <w:textAlignment w:val="auto"/>
        <w:outlineLvl w:val="2"/>
        <w:rPr>
          <w:rFonts w:hint="eastAsia" w:ascii="仿宋" w:hAnsi="仿宋" w:eastAsia="仿宋" w:cs="仿宋"/>
          <w:b/>
          <w:color w:val="auto"/>
          <w:kern w:val="0"/>
          <w:sz w:val="24"/>
          <w:szCs w:val="24"/>
          <w:highlight w:val="none"/>
        </w:rPr>
      </w:pPr>
      <w:bookmarkStart w:id="731" w:name="_Toc13082"/>
      <w:bookmarkStart w:id="732" w:name="_Toc31916"/>
      <w:bookmarkStart w:id="733" w:name="_Toc20864"/>
      <w:bookmarkStart w:id="734" w:name="_Toc28450"/>
      <w:bookmarkStart w:id="735" w:name="_Toc20392"/>
      <w:bookmarkStart w:id="736" w:name="_Toc29288"/>
      <w:bookmarkStart w:id="737" w:name="_Toc25153"/>
      <w:bookmarkStart w:id="738" w:name="_Toc26823"/>
    </w:p>
    <w:p w14:paraId="129FE0D4">
      <w:pPr>
        <w:keepNext/>
        <w:keepLines/>
        <w:pageBreakBefore w:val="0"/>
        <w:widowControl w:val="0"/>
        <w:shd w:val="clear"/>
        <w:kinsoku/>
        <w:wordWrap/>
        <w:overflowPunct/>
        <w:topLinePunct w:val="0"/>
        <w:autoSpaceDE/>
        <w:autoSpaceDN/>
        <w:bidi w:val="0"/>
        <w:adjustRightInd/>
        <w:snapToGrid/>
        <w:spacing w:after="157" w:afterLines="50" w:line="360" w:lineRule="auto"/>
        <w:ind w:firstLine="482" w:firstLineChars="200"/>
        <w:jc w:val="center"/>
        <w:textAlignment w:val="auto"/>
        <w:outlineLvl w:val="2"/>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12、商务偏离表（投标人自行编制）</w:t>
      </w:r>
    </w:p>
    <w:p w14:paraId="3A683AC9">
      <w:pPr>
        <w:pageBreakBefore w:val="0"/>
        <w:topLinePunct w:val="0"/>
        <w:bidi w:val="0"/>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投标人在投标时应对于该部分给予充分的考虑。为了招标人评议的需要，投标人应将这些条款的任何偏差逐条提出或根据以下要求的格式提出偏差。未在此附件中写明的任何偏差，均按投标人响应了招标文件相应部分的要求。如无偏差，请在本表中填写：“无”。</w:t>
      </w:r>
    </w:p>
    <w:tbl>
      <w:tblPr>
        <w:tblStyle w:val="22"/>
        <w:tblW w:w="934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19"/>
        <w:gridCol w:w="3118"/>
        <w:gridCol w:w="2728"/>
        <w:gridCol w:w="1383"/>
      </w:tblGrid>
      <w:tr w14:paraId="1096F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2119" w:type="dxa"/>
            <w:tcBorders>
              <w:top w:val="single" w:color="000000" w:sz="6" w:space="0"/>
              <w:left w:val="single" w:color="000000" w:sz="6" w:space="0"/>
              <w:bottom w:val="single" w:color="000000" w:sz="6" w:space="0"/>
              <w:right w:val="single" w:color="000000" w:sz="6" w:space="0"/>
            </w:tcBorders>
            <w:noWrap w:val="0"/>
            <w:vAlign w:val="center"/>
          </w:tcPr>
          <w:p w14:paraId="143EF9E5">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招标文件</w:t>
            </w:r>
          </w:p>
          <w:p w14:paraId="587EAD03">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商务要求</w:t>
            </w:r>
          </w:p>
        </w:tc>
        <w:tc>
          <w:tcPr>
            <w:tcW w:w="3118" w:type="dxa"/>
            <w:tcBorders>
              <w:top w:val="single" w:color="000000" w:sz="6" w:space="0"/>
              <w:left w:val="single" w:color="000000" w:sz="6" w:space="0"/>
              <w:bottom w:val="single" w:color="000000" w:sz="6" w:space="0"/>
              <w:right w:val="single" w:color="000000" w:sz="6" w:space="0"/>
            </w:tcBorders>
            <w:noWrap w:val="0"/>
            <w:vAlign w:val="center"/>
          </w:tcPr>
          <w:p w14:paraId="495BF7A5">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投标文件</w:t>
            </w:r>
          </w:p>
          <w:p w14:paraId="13408459">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对应规范</w:t>
            </w:r>
          </w:p>
        </w:tc>
        <w:tc>
          <w:tcPr>
            <w:tcW w:w="2728" w:type="dxa"/>
            <w:tcBorders>
              <w:top w:val="single" w:color="000000" w:sz="6" w:space="0"/>
              <w:left w:val="single" w:color="000000" w:sz="6" w:space="0"/>
              <w:bottom w:val="single" w:color="000000" w:sz="6" w:space="0"/>
              <w:right w:val="single" w:color="000000" w:sz="6" w:space="0"/>
            </w:tcBorders>
            <w:noWrap w:val="0"/>
            <w:vAlign w:val="center"/>
          </w:tcPr>
          <w:p w14:paraId="3E242B0B">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偏离情况</w:t>
            </w:r>
          </w:p>
          <w:p w14:paraId="13D69B57">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（有无及正、负偏离）</w:t>
            </w:r>
          </w:p>
        </w:tc>
        <w:tc>
          <w:tcPr>
            <w:tcW w:w="1383" w:type="dxa"/>
            <w:tcBorders>
              <w:top w:val="single" w:color="000000" w:sz="6" w:space="0"/>
              <w:left w:val="single" w:color="000000" w:sz="6" w:space="0"/>
              <w:bottom w:val="single" w:color="000000" w:sz="6" w:space="0"/>
              <w:right w:val="single" w:color="000000" w:sz="6" w:space="0"/>
            </w:tcBorders>
            <w:noWrap w:val="0"/>
            <w:vAlign w:val="center"/>
          </w:tcPr>
          <w:p w14:paraId="1411EC13">
            <w:pPr>
              <w:shd w:val="clea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备注</w:t>
            </w:r>
          </w:p>
        </w:tc>
      </w:tr>
      <w:tr w14:paraId="009AC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50" w:hRule="atLeast"/>
          <w:jc w:val="center"/>
        </w:trPr>
        <w:tc>
          <w:tcPr>
            <w:tcW w:w="2119" w:type="dxa"/>
            <w:tcBorders>
              <w:top w:val="single" w:color="000000" w:sz="6" w:space="0"/>
              <w:left w:val="single" w:color="000000" w:sz="6" w:space="0"/>
              <w:bottom w:val="single" w:color="000000" w:sz="6" w:space="0"/>
              <w:right w:val="single" w:color="000000" w:sz="6" w:space="0"/>
            </w:tcBorders>
            <w:noWrap w:val="0"/>
            <w:vAlign w:val="center"/>
          </w:tcPr>
          <w:p w14:paraId="507AE1E8">
            <w:pPr>
              <w:shd w:val="clear"/>
              <w:spacing w:line="360" w:lineRule="auto"/>
              <w:rPr>
                <w:rFonts w:hint="eastAsia" w:ascii="仿宋" w:hAnsi="仿宋" w:eastAsia="仿宋" w:cs="仿宋"/>
                <w:color w:val="auto"/>
                <w:sz w:val="24"/>
                <w:szCs w:val="24"/>
                <w:highlight w:val="none"/>
                <w:lang w:val="zh-CN" w:eastAsia="zh-CN"/>
              </w:rPr>
            </w:pPr>
          </w:p>
        </w:tc>
        <w:tc>
          <w:tcPr>
            <w:tcW w:w="3118" w:type="dxa"/>
            <w:tcBorders>
              <w:top w:val="single" w:color="000000" w:sz="6" w:space="0"/>
              <w:left w:val="single" w:color="000000" w:sz="6" w:space="0"/>
              <w:bottom w:val="single" w:color="000000" w:sz="6" w:space="0"/>
              <w:right w:val="single" w:color="000000" w:sz="6" w:space="0"/>
            </w:tcBorders>
            <w:noWrap w:val="0"/>
            <w:vAlign w:val="center"/>
          </w:tcPr>
          <w:p w14:paraId="170BFF33">
            <w:pPr>
              <w:shd w:val="clear"/>
              <w:spacing w:line="360" w:lineRule="auto"/>
              <w:rPr>
                <w:rFonts w:hint="eastAsia" w:ascii="仿宋" w:hAnsi="仿宋" w:eastAsia="仿宋" w:cs="仿宋"/>
                <w:color w:val="auto"/>
                <w:sz w:val="24"/>
                <w:szCs w:val="24"/>
                <w:highlight w:val="none"/>
                <w:lang w:val="zh-CN" w:eastAsia="zh-CN"/>
              </w:rPr>
            </w:pPr>
          </w:p>
        </w:tc>
        <w:tc>
          <w:tcPr>
            <w:tcW w:w="2728" w:type="dxa"/>
            <w:tcBorders>
              <w:top w:val="single" w:color="000000" w:sz="6" w:space="0"/>
              <w:left w:val="single" w:color="000000" w:sz="6" w:space="0"/>
              <w:bottom w:val="single" w:color="000000" w:sz="6" w:space="0"/>
              <w:right w:val="single" w:color="000000" w:sz="6" w:space="0"/>
            </w:tcBorders>
            <w:noWrap w:val="0"/>
            <w:vAlign w:val="center"/>
          </w:tcPr>
          <w:p w14:paraId="774D50F8">
            <w:pPr>
              <w:shd w:val="clear"/>
              <w:spacing w:line="360" w:lineRule="auto"/>
              <w:rPr>
                <w:rFonts w:hint="eastAsia" w:ascii="仿宋" w:hAnsi="仿宋" w:eastAsia="仿宋" w:cs="仿宋"/>
                <w:color w:val="auto"/>
                <w:sz w:val="24"/>
                <w:szCs w:val="24"/>
                <w:highlight w:val="none"/>
                <w:lang w:val="zh-CN" w:eastAsia="zh-CN"/>
              </w:rPr>
            </w:pPr>
          </w:p>
        </w:tc>
        <w:tc>
          <w:tcPr>
            <w:tcW w:w="1383" w:type="dxa"/>
            <w:tcBorders>
              <w:top w:val="single" w:color="000000" w:sz="6" w:space="0"/>
              <w:left w:val="single" w:color="000000" w:sz="6" w:space="0"/>
              <w:bottom w:val="single" w:color="000000" w:sz="6" w:space="0"/>
              <w:right w:val="single" w:color="000000" w:sz="6" w:space="0"/>
            </w:tcBorders>
            <w:noWrap w:val="0"/>
            <w:vAlign w:val="center"/>
          </w:tcPr>
          <w:p w14:paraId="7D873FDD">
            <w:pPr>
              <w:shd w:val="clear"/>
              <w:spacing w:line="360" w:lineRule="auto"/>
              <w:rPr>
                <w:rFonts w:hint="eastAsia" w:ascii="仿宋" w:hAnsi="仿宋" w:eastAsia="仿宋" w:cs="仿宋"/>
                <w:color w:val="auto"/>
                <w:sz w:val="24"/>
                <w:szCs w:val="24"/>
                <w:highlight w:val="none"/>
                <w:lang w:val="zh-CN" w:eastAsia="zh-CN"/>
              </w:rPr>
            </w:pPr>
          </w:p>
        </w:tc>
      </w:tr>
      <w:tr w14:paraId="1A728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50" w:hRule="atLeast"/>
          <w:jc w:val="center"/>
        </w:trPr>
        <w:tc>
          <w:tcPr>
            <w:tcW w:w="2119" w:type="dxa"/>
            <w:tcBorders>
              <w:top w:val="single" w:color="000000" w:sz="6" w:space="0"/>
              <w:left w:val="single" w:color="000000" w:sz="6" w:space="0"/>
              <w:bottom w:val="single" w:color="000000" w:sz="6" w:space="0"/>
              <w:right w:val="single" w:color="000000" w:sz="6" w:space="0"/>
            </w:tcBorders>
            <w:noWrap w:val="0"/>
            <w:vAlign w:val="center"/>
          </w:tcPr>
          <w:p w14:paraId="56F88FDB">
            <w:pPr>
              <w:shd w:val="clear"/>
              <w:spacing w:line="360" w:lineRule="auto"/>
              <w:rPr>
                <w:rFonts w:hint="eastAsia" w:ascii="仿宋" w:hAnsi="仿宋" w:eastAsia="仿宋" w:cs="仿宋"/>
                <w:color w:val="auto"/>
                <w:sz w:val="24"/>
                <w:szCs w:val="24"/>
                <w:highlight w:val="none"/>
                <w:lang w:val="zh-CN" w:eastAsia="zh-CN"/>
              </w:rPr>
            </w:pPr>
          </w:p>
        </w:tc>
        <w:tc>
          <w:tcPr>
            <w:tcW w:w="3118" w:type="dxa"/>
            <w:tcBorders>
              <w:top w:val="single" w:color="000000" w:sz="6" w:space="0"/>
              <w:left w:val="single" w:color="000000" w:sz="6" w:space="0"/>
              <w:bottom w:val="single" w:color="000000" w:sz="6" w:space="0"/>
              <w:right w:val="single" w:color="000000" w:sz="6" w:space="0"/>
            </w:tcBorders>
            <w:noWrap w:val="0"/>
            <w:vAlign w:val="center"/>
          </w:tcPr>
          <w:p w14:paraId="409D6454">
            <w:pPr>
              <w:shd w:val="clear"/>
              <w:spacing w:line="360" w:lineRule="auto"/>
              <w:rPr>
                <w:rFonts w:hint="eastAsia" w:ascii="仿宋" w:hAnsi="仿宋" w:eastAsia="仿宋" w:cs="仿宋"/>
                <w:color w:val="auto"/>
                <w:sz w:val="24"/>
                <w:szCs w:val="24"/>
                <w:highlight w:val="none"/>
                <w:lang w:val="zh-CN" w:eastAsia="zh-CN"/>
              </w:rPr>
            </w:pPr>
          </w:p>
        </w:tc>
        <w:tc>
          <w:tcPr>
            <w:tcW w:w="2728" w:type="dxa"/>
            <w:tcBorders>
              <w:top w:val="single" w:color="000000" w:sz="6" w:space="0"/>
              <w:left w:val="single" w:color="000000" w:sz="6" w:space="0"/>
              <w:bottom w:val="single" w:color="000000" w:sz="6" w:space="0"/>
              <w:right w:val="single" w:color="000000" w:sz="6" w:space="0"/>
            </w:tcBorders>
            <w:noWrap w:val="0"/>
            <w:vAlign w:val="center"/>
          </w:tcPr>
          <w:p w14:paraId="69192C45">
            <w:pPr>
              <w:shd w:val="clear"/>
              <w:spacing w:line="360" w:lineRule="auto"/>
              <w:rPr>
                <w:rFonts w:hint="eastAsia" w:ascii="仿宋" w:hAnsi="仿宋" w:eastAsia="仿宋" w:cs="仿宋"/>
                <w:color w:val="auto"/>
                <w:sz w:val="24"/>
                <w:szCs w:val="24"/>
                <w:highlight w:val="none"/>
                <w:lang w:val="zh-CN" w:eastAsia="zh-CN"/>
              </w:rPr>
            </w:pPr>
          </w:p>
        </w:tc>
        <w:tc>
          <w:tcPr>
            <w:tcW w:w="1383" w:type="dxa"/>
            <w:tcBorders>
              <w:top w:val="single" w:color="000000" w:sz="6" w:space="0"/>
              <w:left w:val="single" w:color="000000" w:sz="6" w:space="0"/>
              <w:bottom w:val="single" w:color="000000" w:sz="6" w:space="0"/>
              <w:right w:val="single" w:color="000000" w:sz="6" w:space="0"/>
            </w:tcBorders>
            <w:noWrap w:val="0"/>
            <w:vAlign w:val="center"/>
          </w:tcPr>
          <w:p w14:paraId="201945E4">
            <w:pPr>
              <w:shd w:val="clear"/>
              <w:spacing w:line="360" w:lineRule="auto"/>
              <w:rPr>
                <w:rFonts w:hint="eastAsia" w:ascii="仿宋" w:hAnsi="仿宋" w:eastAsia="仿宋" w:cs="仿宋"/>
                <w:color w:val="auto"/>
                <w:sz w:val="24"/>
                <w:szCs w:val="24"/>
                <w:highlight w:val="none"/>
                <w:lang w:val="zh-CN" w:eastAsia="zh-CN"/>
              </w:rPr>
            </w:pPr>
          </w:p>
        </w:tc>
      </w:tr>
      <w:tr w14:paraId="3C0BF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50" w:hRule="atLeast"/>
          <w:jc w:val="center"/>
        </w:trPr>
        <w:tc>
          <w:tcPr>
            <w:tcW w:w="2119" w:type="dxa"/>
            <w:tcBorders>
              <w:top w:val="single" w:color="000000" w:sz="6" w:space="0"/>
              <w:left w:val="single" w:color="000000" w:sz="6" w:space="0"/>
              <w:right w:val="single" w:color="000000" w:sz="6" w:space="0"/>
            </w:tcBorders>
            <w:noWrap w:val="0"/>
            <w:vAlign w:val="center"/>
          </w:tcPr>
          <w:p w14:paraId="19CBBD3E">
            <w:pPr>
              <w:shd w:val="clear"/>
              <w:spacing w:line="360" w:lineRule="auto"/>
              <w:rPr>
                <w:rFonts w:hint="eastAsia" w:ascii="仿宋" w:hAnsi="仿宋" w:eastAsia="仿宋" w:cs="仿宋"/>
                <w:color w:val="auto"/>
                <w:sz w:val="24"/>
                <w:szCs w:val="24"/>
                <w:highlight w:val="none"/>
                <w:lang w:val="zh-CN" w:eastAsia="zh-CN"/>
              </w:rPr>
            </w:pPr>
          </w:p>
        </w:tc>
        <w:tc>
          <w:tcPr>
            <w:tcW w:w="3118" w:type="dxa"/>
            <w:tcBorders>
              <w:top w:val="single" w:color="000000" w:sz="6" w:space="0"/>
              <w:left w:val="single" w:color="000000" w:sz="6" w:space="0"/>
              <w:right w:val="single" w:color="000000" w:sz="6" w:space="0"/>
            </w:tcBorders>
            <w:noWrap w:val="0"/>
            <w:vAlign w:val="center"/>
          </w:tcPr>
          <w:p w14:paraId="34FFF669">
            <w:pPr>
              <w:shd w:val="clear"/>
              <w:spacing w:line="360" w:lineRule="auto"/>
              <w:rPr>
                <w:rFonts w:hint="eastAsia" w:ascii="仿宋" w:hAnsi="仿宋" w:eastAsia="仿宋" w:cs="仿宋"/>
                <w:color w:val="auto"/>
                <w:sz w:val="24"/>
                <w:szCs w:val="24"/>
                <w:highlight w:val="none"/>
                <w:lang w:val="zh-CN" w:eastAsia="zh-CN"/>
              </w:rPr>
            </w:pPr>
          </w:p>
        </w:tc>
        <w:tc>
          <w:tcPr>
            <w:tcW w:w="2728" w:type="dxa"/>
            <w:tcBorders>
              <w:top w:val="single" w:color="000000" w:sz="6" w:space="0"/>
              <w:left w:val="single" w:color="000000" w:sz="6" w:space="0"/>
              <w:right w:val="single" w:color="000000" w:sz="6" w:space="0"/>
            </w:tcBorders>
            <w:noWrap w:val="0"/>
            <w:vAlign w:val="center"/>
          </w:tcPr>
          <w:p w14:paraId="27DB199F">
            <w:pPr>
              <w:shd w:val="clear"/>
              <w:spacing w:line="360" w:lineRule="auto"/>
              <w:rPr>
                <w:rFonts w:hint="eastAsia" w:ascii="仿宋" w:hAnsi="仿宋" w:eastAsia="仿宋" w:cs="仿宋"/>
                <w:color w:val="auto"/>
                <w:sz w:val="24"/>
                <w:szCs w:val="24"/>
                <w:highlight w:val="none"/>
                <w:lang w:val="zh-CN" w:eastAsia="zh-CN"/>
              </w:rPr>
            </w:pPr>
          </w:p>
        </w:tc>
        <w:tc>
          <w:tcPr>
            <w:tcW w:w="1383" w:type="dxa"/>
            <w:tcBorders>
              <w:top w:val="single" w:color="000000" w:sz="6" w:space="0"/>
              <w:left w:val="single" w:color="000000" w:sz="6" w:space="0"/>
              <w:right w:val="single" w:color="000000" w:sz="6" w:space="0"/>
            </w:tcBorders>
            <w:noWrap w:val="0"/>
            <w:vAlign w:val="center"/>
          </w:tcPr>
          <w:p w14:paraId="53A60B14">
            <w:pPr>
              <w:shd w:val="clear"/>
              <w:spacing w:line="360" w:lineRule="auto"/>
              <w:rPr>
                <w:rFonts w:hint="eastAsia" w:ascii="仿宋" w:hAnsi="仿宋" w:eastAsia="仿宋" w:cs="仿宋"/>
                <w:color w:val="auto"/>
                <w:sz w:val="24"/>
                <w:szCs w:val="24"/>
                <w:highlight w:val="none"/>
                <w:lang w:val="zh-CN" w:eastAsia="zh-CN"/>
              </w:rPr>
            </w:pPr>
          </w:p>
        </w:tc>
      </w:tr>
    </w:tbl>
    <w:p w14:paraId="58001566">
      <w:pPr>
        <w:pageBreakBefore w:val="0"/>
        <w:topLinePunct w:val="0"/>
        <w:bidi w:val="0"/>
        <w:spacing w:after="0" w:line="360" w:lineRule="auto"/>
        <w:ind w:firstLine="240" w:firstLineChars="100"/>
        <w:rPr>
          <w:rFonts w:hint="eastAsia" w:ascii="仿宋" w:hAnsi="仿宋" w:eastAsia="仿宋" w:cs="仿宋"/>
          <w:sz w:val="24"/>
          <w:szCs w:val="24"/>
        </w:rPr>
      </w:pPr>
      <w:r>
        <w:rPr>
          <w:rFonts w:hint="eastAsia" w:ascii="仿宋" w:hAnsi="仿宋" w:eastAsia="仿宋" w:cs="仿宋"/>
          <w:sz w:val="24"/>
          <w:szCs w:val="24"/>
        </w:rPr>
        <w:t>注：1、此表可自行加行</w:t>
      </w:r>
      <w:r>
        <w:rPr>
          <w:rFonts w:hint="eastAsia" w:ascii="仿宋" w:hAnsi="仿宋" w:eastAsia="仿宋" w:cs="仿宋"/>
          <w:sz w:val="24"/>
          <w:szCs w:val="24"/>
          <w:lang w:val="en-US" w:eastAsia="zh-CN"/>
        </w:rPr>
        <w:t>加列</w:t>
      </w:r>
      <w:r>
        <w:rPr>
          <w:rFonts w:hint="eastAsia" w:ascii="仿宋" w:hAnsi="仿宋" w:eastAsia="仿宋" w:cs="仿宋"/>
          <w:sz w:val="24"/>
          <w:szCs w:val="24"/>
        </w:rPr>
        <w:t>；</w:t>
      </w:r>
    </w:p>
    <w:p w14:paraId="55B5A2FB">
      <w:pPr>
        <w:pageBreakBefore w:val="0"/>
        <w:topLinePunct w:val="0"/>
        <w:bidi w:val="0"/>
        <w:spacing w:after="0" w:line="360" w:lineRule="auto"/>
        <w:ind w:firstLine="720" w:firstLineChars="300"/>
        <w:rPr>
          <w:rFonts w:hint="eastAsia" w:ascii="仿宋" w:hAnsi="仿宋" w:eastAsia="仿宋" w:cs="仿宋"/>
          <w:sz w:val="24"/>
          <w:szCs w:val="24"/>
        </w:rPr>
      </w:pPr>
      <w:r>
        <w:rPr>
          <w:rFonts w:hint="eastAsia" w:ascii="仿宋" w:hAnsi="仿宋" w:eastAsia="仿宋" w:cs="仿宋"/>
          <w:sz w:val="24"/>
          <w:szCs w:val="24"/>
        </w:rPr>
        <w:t>2、如果不提供商务偏离表将视为没有实质性响应招标文件。</w:t>
      </w:r>
    </w:p>
    <w:p w14:paraId="562BC2EE">
      <w:pPr>
        <w:pStyle w:val="28"/>
        <w:rPr>
          <w:rFonts w:hint="eastAsia"/>
        </w:rPr>
      </w:pPr>
    </w:p>
    <w:p w14:paraId="676FBD63">
      <w:pPr>
        <w:shd w:val="clear"/>
        <w:spacing w:line="360" w:lineRule="auto"/>
        <w:rPr>
          <w:rFonts w:ascii="仿宋" w:hAnsi="仿宋" w:eastAsia="仿宋" w:cs="仿宋"/>
          <w:color w:val="auto"/>
          <w:sz w:val="24"/>
          <w:szCs w:val="24"/>
          <w:highlight w:val="none"/>
        </w:rPr>
      </w:pPr>
    </w:p>
    <w:p w14:paraId="7485C03F">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447E73DB">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1FA1D687">
      <w:pPr>
        <w:pStyle w:val="28"/>
        <w:shd w:val="clear"/>
        <w:ind w:firstLine="52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41BA82BD">
      <w:pPr>
        <w:pStyle w:val="28"/>
        <w:rPr>
          <w:rFonts w:hint="eastAsia"/>
        </w:rPr>
        <w:sectPr>
          <w:footerReference r:id="rId7" w:type="default"/>
          <w:pgSz w:w="11906" w:h="16838"/>
          <w:pgMar w:top="1440" w:right="1080" w:bottom="1440" w:left="1080" w:header="794" w:footer="794" w:gutter="0"/>
          <w:pgBorders>
            <w:top w:val="none" w:sz="0" w:space="0"/>
            <w:left w:val="none" w:sz="0" w:space="0"/>
            <w:bottom w:val="none" w:sz="0" w:space="0"/>
            <w:right w:val="none" w:sz="0" w:space="0"/>
          </w:pgBorders>
          <w:pgNumType w:fmt="decimal" w:start="1"/>
          <w:cols w:space="0" w:num="1"/>
          <w:rtlGutter w:val="0"/>
          <w:docGrid w:linePitch="312" w:charSpace="0"/>
        </w:sectPr>
      </w:pPr>
    </w:p>
    <w:p w14:paraId="3FBBAFCB">
      <w:pPr>
        <w:pStyle w:val="3"/>
        <w:keepNext/>
        <w:keepLines w:val="0"/>
        <w:pageBreakBefore w:val="0"/>
        <w:widowControl w:val="0"/>
        <w:numPr>
          <w:ilvl w:val="0"/>
          <w:numId w:val="0"/>
        </w:numPr>
        <w:shd w:val="clear"/>
        <w:kinsoku/>
        <w:wordWrap/>
        <w:overflowPunct/>
        <w:topLinePunct w:val="0"/>
        <w:autoSpaceDE/>
        <w:autoSpaceDN/>
        <w:bidi w:val="0"/>
        <w:adjustRightInd w:val="0"/>
        <w:snapToGrid/>
        <w:spacing w:after="313" w:afterLines="100"/>
        <w:textAlignment w:val="auto"/>
        <w:outlineLvl w:val="0"/>
        <w:rPr>
          <w:rFonts w:hint="eastAsia"/>
          <w:color w:val="auto"/>
          <w:highlight w:val="none"/>
        </w:rPr>
      </w:pPr>
      <w:bookmarkStart w:id="739" w:name="_Toc28462"/>
      <w:r>
        <w:rPr>
          <w:rFonts w:hint="eastAsia" w:ascii="仿宋" w:hAnsi="仿宋" w:eastAsia="仿宋" w:cs="仿宋"/>
          <w:color w:val="auto"/>
          <w:highlight w:val="none"/>
          <w:shd w:val="clear"/>
          <w:lang w:val="en-US" w:eastAsia="zh-CN"/>
        </w:rPr>
        <w:t xml:space="preserve">第五章  </w:t>
      </w:r>
      <w:r>
        <w:rPr>
          <w:rFonts w:hint="eastAsia" w:ascii="仿宋" w:hAnsi="仿宋" w:eastAsia="仿宋" w:cs="仿宋"/>
          <w:color w:val="auto"/>
          <w:highlight w:val="none"/>
          <w:shd w:val="clear"/>
        </w:rPr>
        <w:t>采购需求</w:t>
      </w:r>
      <w:bookmarkEnd w:id="739"/>
    </w:p>
    <w:bookmarkEnd w:id="731"/>
    <w:bookmarkEnd w:id="732"/>
    <w:bookmarkEnd w:id="733"/>
    <w:bookmarkEnd w:id="734"/>
    <w:p w14:paraId="4D49B1E4">
      <w:pPr>
        <w:pStyle w:val="10"/>
        <w:spacing w:line="480" w:lineRule="auto"/>
        <w:ind w:left="0" w:leftChars="0"/>
        <w:rPr>
          <w:rFonts w:hint="eastAsia" w:ascii="仿宋" w:hAnsi="仿宋" w:eastAsia="仿宋" w:cs="仿宋"/>
          <w:b/>
          <w:bCs/>
          <w:sz w:val="24"/>
          <w:szCs w:val="24"/>
        </w:rPr>
      </w:pPr>
      <w:r>
        <w:rPr>
          <w:rFonts w:hint="eastAsia" w:ascii="仿宋" w:hAnsi="仿宋" w:eastAsia="仿宋" w:cs="仿宋"/>
          <w:b/>
          <w:bCs/>
          <w:sz w:val="24"/>
          <w:szCs w:val="24"/>
        </w:rPr>
        <w:t>一、项目背景及需求分析</w:t>
      </w:r>
    </w:p>
    <w:p w14:paraId="518501C6">
      <w:pPr>
        <w:adjustRightInd w:val="0"/>
        <w:snapToGrid w:val="0"/>
        <w:spacing w:line="360" w:lineRule="auto"/>
        <w:ind w:firstLine="480" w:firstLineChars="200"/>
        <w:rPr>
          <w:rFonts w:hint="eastAsia"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基于省公安厅移动警务平台、按照统一的安全规范和管理要求开展的</w:t>
      </w:r>
      <w:r>
        <w:rPr>
          <w:rFonts w:hint="eastAsia" w:ascii="仿宋" w:hAnsi="仿宋" w:eastAsia="仿宋" w:cs="仿宋"/>
          <w:color w:val="000000" w:themeColor="text1"/>
          <w:kern w:val="0"/>
          <w:sz w:val="24"/>
          <w:szCs w:val="24"/>
          <w:lang w:bidi="ar"/>
          <w14:textFill>
            <w14:solidFill>
              <w14:schemeClr w14:val="tx1"/>
            </w14:solidFill>
          </w14:textFill>
        </w:rPr>
        <w:t>移动警务服务</w:t>
      </w:r>
      <w:r>
        <w:rPr>
          <w:rFonts w:hint="eastAsia" w:ascii="仿宋" w:hAnsi="仿宋" w:eastAsia="仿宋" w:cs="仿宋"/>
          <w:color w:val="000000" w:themeColor="text1"/>
          <w:sz w:val="24"/>
          <w:szCs w:val="24"/>
          <w:lang w:val="zh-CN"/>
          <w14:textFill>
            <w14:solidFill>
              <w14:schemeClr w14:val="tx1"/>
            </w14:solidFill>
          </w14:textFill>
        </w:rPr>
        <w:t>。</w:t>
      </w:r>
      <w:r>
        <w:rPr>
          <w:rFonts w:hint="eastAsia" w:ascii="仿宋" w:hAnsi="仿宋" w:eastAsia="仿宋" w:cs="仿宋"/>
          <w:color w:val="000000" w:themeColor="text1"/>
          <w:kern w:val="0"/>
          <w:sz w:val="24"/>
          <w:szCs w:val="24"/>
          <w:lang w:bidi="ar"/>
          <w14:textFill>
            <w14:solidFill>
              <w14:schemeClr w14:val="tx1"/>
            </w14:solidFill>
          </w14:textFill>
        </w:rPr>
        <w:t>为方便</w:t>
      </w:r>
      <w:r>
        <w:rPr>
          <w:rFonts w:hint="eastAsia" w:ascii="仿宋" w:hAnsi="仿宋" w:eastAsia="仿宋" w:cs="仿宋"/>
          <w:color w:val="000000" w:themeColor="text1"/>
          <w:kern w:val="0"/>
          <w:sz w:val="24"/>
          <w:szCs w:val="24"/>
          <w:lang w:eastAsia="zh-CN" w:bidi="ar"/>
          <w14:textFill>
            <w14:solidFill>
              <w14:schemeClr w14:val="tx1"/>
            </w14:solidFill>
          </w14:textFill>
        </w:rPr>
        <w:t>玉龙县公安局</w:t>
      </w:r>
      <w:r>
        <w:rPr>
          <w:rFonts w:hint="eastAsia" w:ascii="仿宋" w:hAnsi="仿宋" w:eastAsia="仿宋" w:cs="仿宋"/>
          <w:color w:val="000000" w:themeColor="text1"/>
          <w:kern w:val="0"/>
          <w:sz w:val="24"/>
          <w:szCs w:val="24"/>
          <w:lang w:bidi="ar"/>
          <w14:textFill>
            <w14:solidFill>
              <w14:schemeClr w14:val="tx1"/>
            </w14:solidFill>
          </w14:textFill>
        </w:rPr>
        <w:t>民警</w:t>
      </w:r>
      <w:r>
        <w:rPr>
          <w:rFonts w:hint="eastAsia" w:ascii="仿宋" w:hAnsi="仿宋" w:eastAsia="仿宋" w:cs="仿宋"/>
          <w:color w:val="000000" w:themeColor="text1"/>
          <w:kern w:val="0"/>
          <w:sz w:val="24"/>
          <w:szCs w:val="24"/>
          <w:lang w:val="zh-CN" w:bidi="ar"/>
          <w14:textFill>
            <w14:solidFill>
              <w14:schemeClr w14:val="tx1"/>
            </w14:solidFill>
          </w14:textFill>
        </w:rPr>
        <w:t>开展</w:t>
      </w:r>
      <w:r>
        <w:rPr>
          <w:rFonts w:hint="eastAsia" w:ascii="仿宋" w:hAnsi="仿宋" w:eastAsia="仿宋" w:cs="仿宋"/>
          <w:color w:val="000000" w:themeColor="text1"/>
          <w:kern w:val="0"/>
          <w:sz w:val="24"/>
          <w:szCs w:val="24"/>
          <w:lang w:bidi="ar"/>
          <w14:textFill>
            <w14:solidFill>
              <w14:schemeClr w14:val="tx1"/>
            </w14:solidFill>
          </w14:textFill>
        </w:rPr>
        <w:t>警务核查、移动办公、数据采集、巡逻盘查</w:t>
      </w:r>
      <w:r>
        <w:rPr>
          <w:rFonts w:hint="eastAsia" w:ascii="仿宋" w:hAnsi="仿宋" w:eastAsia="仿宋" w:cs="仿宋"/>
          <w:color w:val="000000" w:themeColor="text1"/>
          <w:sz w:val="24"/>
          <w:szCs w:val="24"/>
          <w:lang w:val="zh-CN"/>
          <w14:textFill>
            <w14:solidFill>
              <w14:schemeClr w14:val="tx1"/>
            </w14:solidFill>
          </w14:textFill>
        </w:rPr>
        <w:t>等警务工作，</w:t>
      </w:r>
      <w:r>
        <w:rPr>
          <w:rFonts w:hint="eastAsia" w:ascii="仿宋" w:hAnsi="仿宋" w:eastAsia="仿宋" w:cs="仿宋"/>
          <w:color w:val="000000" w:themeColor="text1"/>
          <w:kern w:val="0"/>
          <w:sz w:val="24"/>
          <w:szCs w:val="24"/>
          <w:lang w:bidi="ar"/>
          <w14:textFill>
            <w14:solidFill>
              <w14:schemeClr w14:val="tx1"/>
            </w14:solidFill>
          </w14:textFill>
        </w:rPr>
        <w:t>进一步提升警务应用的智能化、专业化水平。</w:t>
      </w:r>
    </w:p>
    <w:p w14:paraId="4A952106">
      <w:pPr>
        <w:pStyle w:val="10"/>
        <w:spacing w:line="480" w:lineRule="auto"/>
        <w:ind w:left="0" w:leftChars="0"/>
        <w:rPr>
          <w:rFonts w:hint="eastAsia" w:ascii="仿宋" w:hAnsi="仿宋" w:eastAsia="仿宋" w:cs="仿宋"/>
          <w:b/>
          <w:bCs/>
          <w:sz w:val="24"/>
          <w:szCs w:val="24"/>
        </w:rPr>
      </w:pPr>
      <w:r>
        <w:rPr>
          <w:rFonts w:hint="eastAsia" w:ascii="仿宋" w:hAnsi="仿宋" w:eastAsia="仿宋" w:cs="仿宋"/>
          <w:b/>
          <w:bCs/>
          <w:sz w:val="24"/>
          <w:szCs w:val="24"/>
        </w:rPr>
        <w:t>二、技术要求</w:t>
      </w:r>
    </w:p>
    <w:p w14:paraId="5620B84C">
      <w:pPr>
        <w:adjustRightInd w:val="0"/>
        <w:snapToGrid w:val="0"/>
        <w:spacing w:line="360" w:lineRule="auto"/>
        <w:ind w:firstLine="480" w:firstLineChars="200"/>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1.</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"http://kjxxhj.ga/wireless/tztb_12858/202105/W020210508532676609426.pdf" </w:instrText>
      </w:r>
      <w:r>
        <w:rPr>
          <w:rFonts w:hint="eastAsia" w:ascii="仿宋" w:hAnsi="仿宋" w:eastAsia="仿宋" w:cs="仿宋"/>
          <w:sz w:val="24"/>
          <w:szCs w:val="24"/>
        </w:rPr>
        <w:fldChar w:fldCharType="separate"/>
      </w:r>
      <w:r>
        <w:rPr>
          <w:rFonts w:hint="eastAsia" w:ascii="仿宋" w:hAnsi="仿宋" w:eastAsia="仿宋" w:cs="仿宋"/>
          <w:color w:val="000000" w:themeColor="text1"/>
          <w:sz w:val="24"/>
          <w:szCs w:val="24"/>
          <w:lang w:val="zh-CN"/>
          <w14:textFill>
            <w14:solidFill>
              <w14:schemeClr w14:val="tx1"/>
            </w14:solidFill>
          </w14:textFill>
        </w:rPr>
        <w:t>《智能手机型移动警务终端 第1部分:技术要求》</w:t>
      </w:r>
      <w:r>
        <w:rPr>
          <w:rFonts w:hint="eastAsia" w:ascii="仿宋" w:hAnsi="仿宋" w:eastAsia="仿宋" w:cs="仿宋"/>
          <w:color w:val="000000" w:themeColor="text1"/>
          <w:sz w:val="24"/>
          <w:szCs w:val="24"/>
          <w:lang w:val="zh-CN"/>
          <w14:textFill>
            <w14:solidFill>
              <w14:schemeClr w14:val="tx1"/>
            </w14:solidFill>
          </w14:textFill>
        </w:rPr>
        <w:fldChar w:fldCharType="end"/>
      </w:r>
      <w:r>
        <w:rPr>
          <w:rFonts w:hint="eastAsia" w:ascii="仿宋" w:hAnsi="仿宋" w:eastAsia="仿宋" w:cs="仿宋"/>
          <w:color w:val="000000" w:themeColor="text1"/>
          <w:sz w:val="24"/>
          <w:szCs w:val="24"/>
          <w:lang w:val="zh-CN"/>
          <w14:textFill>
            <w14:solidFill>
              <w14:schemeClr w14:val="tx1"/>
            </w14:solidFill>
          </w14:textFill>
        </w:rPr>
        <w:t>（GA_T 1466.1-2018）、</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"http://kjxxhj.ga/wireless/tztb_12858/202105/W020210508532676736064.pdf" </w:instrText>
      </w:r>
      <w:r>
        <w:rPr>
          <w:rFonts w:hint="eastAsia" w:ascii="仿宋" w:hAnsi="仿宋" w:eastAsia="仿宋" w:cs="仿宋"/>
          <w:sz w:val="24"/>
          <w:szCs w:val="24"/>
        </w:rPr>
        <w:fldChar w:fldCharType="separate"/>
      </w:r>
      <w:r>
        <w:rPr>
          <w:rFonts w:hint="eastAsia" w:ascii="仿宋" w:hAnsi="仿宋" w:eastAsia="仿宋" w:cs="仿宋"/>
          <w:color w:val="000000" w:themeColor="text1"/>
          <w:sz w:val="24"/>
          <w:szCs w:val="24"/>
          <w:lang w:val="zh-CN"/>
          <w14:textFill>
            <w14:solidFill>
              <w14:schemeClr w14:val="tx1"/>
            </w14:solidFill>
          </w14:textFill>
        </w:rPr>
        <w:t>《智能手机型移动警务终端 第2部分:安全监控组件技术规范》</w:t>
      </w:r>
      <w:r>
        <w:rPr>
          <w:rFonts w:hint="eastAsia" w:ascii="仿宋" w:hAnsi="仿宋" w:eastAsia="仿宋" w:cs="仿宋"/>
          <w:color w:val="000000" w:themeColor="text1"/>
          <w:sz w:val="24"/>
          <w:szCs w:val="24"/>
          <w:lang w:val="zh-CN"/>
          <w14:textFill>
            <w14:solidFill>
              <w14:schemeClr w14:val="tx1"/>
            </w14:solidFill>
          </w14:textFill>
        </w:rPr>
        <w:fldChar w:fldCharType="end"/>
      </w:r>
      <w:r>
        <w:rPr>
          <w:rFonts w:hint="eastAsia" w:ascii="仿宋" w:hAnsi="仿宋" w:eastAsia="仿宋" w:cs="仿宋"/>
          <w:color w:val="000000" w:themeColor="text1"/>
          <w:sz w:val="24"/>
          <w:szCs w:val="24"/>
          <w:lang w:val="zh-CN"/>
          <w14:textFill>
            <w14:solidFill>
              <w14:schemeClr w14:val="tx1"/>
            </w14:solidFill>
          </w14:textFill>
        </w:rPr>
        <w:t>（GA_T 1466.2-2018）等；</w:t>
      </w:r>
    </w:p>
    <w:p w14:paraId="2FCC7FF2">
      <w:pPr>
        <w:adjustRightInd w:val="0"/>
        <w:snapToGrid w:val="0"/>
        <w:spacing w:line="360" w:lineRule="auto"/>
        <w:ind w:firstLine="480" w:firstLineChars="20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2.除上述规范以外，遵循国家现行的规范和标准要求。</w:t>
      </w:r>
    </w:p>
    <w:p w14:paraId="7F831C86">
      <w:pPr>
        <w:pStyle w:val="10"/>
        <w:spacing w:line="480" w:lineRule="auto"/>
        <w:ind w:left="0" w:leftChars="0"/>
        <w:rPr>
          <w:rFonts w:hint="eastAsia" w:ascii="仿宋" w:hAnsi="仿宋" w:eastAsia="仿宋" w:cs="仿宋"/>
          <w:b/>
          <w:bCs/>
          <w:sz w:val="24"/>
          <w:szCs w:val="24"/>
        </w:rPr>
      </w:pPr>
      <w:r>
        <w:rPr>
          <w:rFonts w:hint="eastAsia" w:ascii="仿宋" w:hAnsi="仿宋" w:eastAsia="仿宋" w:cs="仿宋"/>
          <w:b/>
          <w:bCs/>
          <w:sz w:val="24"/>
          <w:szCs w:val="24"/>
        </w:rPr>
        <w:t>三、服务内容</w:t>
      </w:r>
    </w:p>
    <w:p w14:paraId="63EA2FDF">
      <w:pPr>
        <w:widowControl/>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警务</w:t>
      </w:r>
      <w:r>
        <w:rPr>
          <w:rFonts w:hint="eastAsia" w:ascii="仿宋" w:hAnsi="仿宋" w:eastAsia="仿宋" w:cs="仿宋"/>
          <w:color w:val="000000" w:themeColor="text1"/>
          <w:kern w:val="0"/>
          <w:sz w:val="24"/>
          <w:szCs w:val="24"/>
          <w:highlight w:val="none"/>
          <w:lang w:bidi="ar"/>
          <w14:textFill>
            <w14:solidFill>
              <w14:schemeClr w14:val="tx1"/>
            </w14:solidFill>
          </w14:textFill>
        </w:rPr>
        <w:t>服务：</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中标人需提供满足警务服务的网络服务、流量服务、运维服务，并免费提供承载警务服务所必须的终端，终端产品需</w:t>
      </w:r>
      <w:r>
        <w:rPr>
          <w:rFonts w:hint="eastAsia" w:ascii="仿宋" w:hAnsi="仿宋" w:eastAsia="仿宋" w:cs="仿宋"/>
          <w:color w:val="000000" w:themeColor="text1"/>
          <w:kern w:val="0"/>
          <w:sz w:val="24"/>
          <w:szCs w:val="24"/>
          <w:highlight w:val="none"/>
          <w:lang w:bidi="ar"/>
          <w14:textFill>
            <w14:solidFill>
              <w14:schemeClr w14:val="tx1"/>
            </w14:solidFill>
          </w14:textFill>
        </w:rPr>
        <w:t>通过公安部、省公安厅测评</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并</w:t>
      </w:r>
      <w:r>
        <w:rPr>
          <w:rFonts w:hint="eastAsia" w:ascii="仿宋" w:hAnsi="仿宋" w:eastAsia="仿宋" w:cs="仿宋"/>
          <w:color w:val="000000" w:themeColor="text1"/>
          <w:kern w:val="0"/>
          <w:sz w:val="24"/>
          <w:szCs w:val="24"/>
          <w:highlight w:val="none"/>
          <w:lang w:bidi="ar"/>
          <w14:textFill>
            <w14:solidFill>
              <w14:schemeClr w14:val="tx1"/>
            </w14:solidFill>
          </w14:textFill>
        </w:rPr>
        <w:t>具有移动警务功能双系统；提供的移动警务</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专用</w:t>
      </w:r>
      <w:r>
        <w:rPr>
          <w:rFonts w:hint="eastAsia" w:ascii="仿宋" w:hAnsi="仿宋" w:eastAsia="仿宋" w:cs="仿宋"/>
          <w:color w:val="000000" w:themeColor="text1"/>
          <w:kern w:val="0"/>
          <w:sz w:val="24"/>
          <w:szCs w:val="24"/>
          <w:highlight w:val="none"/>
          <w:lang w:bidi="ar"/>
          <w14:textFill>
            <w14:solidFill>
              <w14:schemeClr w14:val="tx1"/>
            </w14:solidFill>
          </w14:textFill>
        </w:rPr>
        <w:t>终端业务可接入公安网</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w:t>
      </w:r>
    </w:p>
    <w:p w14:paraId="2A3B6D22">
      <w:pPr>
        <w:widowControl/>
        <w:spacing w:line="360" w:lineRule="auto"/>
        <w:ind w:firstLine="480" w:firstLineChars="200"/>
        <w:rPr>
          <w:rFonts w:hint="eastAsia" w:ascii="仿宋" w:hAnsi="仿宋" w:eastAsia="仿宋" w:cs="仿宋"/>
          <w:color w:val="000000" w:themeColor="text1"/>
          <w:kern w:val="0"/>
          <w:sz w:val="24"/>
          <w:szCs w:val="24"/>
          <w:lang w:eastAsia="zh-CN"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2.网络服务：提供的5G/4G网络具备高带宽、低时延、高安全性、高稳定性、信号覆盖好等要求</w:t>
      </w:r>
      <w:r>
        <w:rPr>
          <w:rFonts w:hint="eastAsia" w:ascii="仿宋" w:hAnsi="仿宋" w:eastAsia="仿宋" w:cs="仿宋"/>
          <w:color w:val="000000" w:themeColor="text1"/>
          <w:kern w:val="0"/>
          <w:sz w:val="24"/>
          <w:szCs w:val="24"/>
          <w:lang w:eastAsia="zh-CN" w:bidi="ar"/>
          <w14:textFill>
            <w14:solidFill>
              <w14:schemeClr w14:val="tx1"/>
            </w14:solidFill>
          </w14:textFill>
        </w:rPr>
        <w:t>。</w:t>
      </w:r>
    </w:p>
    <w:p w14:paraId="44D67323">
      <w:pPr>
        <w:widowControl/>
        <w:spacing w:line="360" w:lineRule="auto"/>
        <w:ind w:firstLine="480" w:firstLineChars="200"/>
        <w:rPr>
          <w:rFonts w:hint="eastAsia"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 xml:space="preserve">3.运维服务：在服务期限内，提供电话咨询及远程调试服务或现场支持服务；提出解决方案；协助解决提高性能的要求。 </w:t>
      </w:r>
    </w:p>
    <w:p w14:paraId="720BF1FC">
      <w:pPr>
        <w:widowControl/>
        <w:spacing w:line="360" w:lineRule="auto"/>
        <w:ind w:firstLine="480" w:firstLineChars="200"/>
        <w:rPr>
          <w:rFonts w:hint="eastAsia"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4.售后服务：提供技术支撑、故障处理</w:t>
      </w:r>
      <w:r>
        <w:rPr>
          <w:rFonts w:hint="eastAsia" w:ascii="仿宋" w:hAnsi="仿宋" w:eastAsia="仿宋" w:cs="仿宋"/>
          <w:color w:val="000000" w:themeColor="text1"/>
          <w:kern w:val="0"/>
          <w:sz w:val="24"/>
          <w:szCs w:val="24"/>
          <w:lang w:val="en-US" w:eastAsia="zh-CN" w:bidi="ar"/>
          <w14:textFill>
            <w14:solidFill>
              <w14:schemeClr w14:val="tx1"/>
            </w14:solidFill>
          </w14:textFill>
        </w:rPr>
        <w:t>及日常运行维护</w:t>
      </w:r>
      <w:r>
        <w:rPr>
          <w:rFonts w:hint="eastAsia" w:ascii="仿宋" w:hAnsi="仿宋" w:eastAsia="仿宋" w:cs="仿宋"/>
          <w:color w:val="000000" w:themeColor="text1"/>
          <w:kern w:val="0"/>
          <w:sz w:val="24"/>
          <w:szCs w:val="24"/>
          <w:lang w:bidi="ar"/>
          <w14:textFill>
            <w14:solidFill>
              <w14:schemeClr w14:val="tx1"/>
            </w14:solidFill>
          </w14:textFill>
        </w:rPr>
        <w:t>等售后服务。</w:t>
      </w:r>
    </w:p>
    <w:p w14:paraId="79DD96FB">
      <w:pPr>
        <w:pStyle w:val="2"/>
        <w:rPr>
          <w:rFonts w:hint="eastAsia" w:ascii="仿宋" w:hAnsi="仿宋" w:eastAsia="仿宋" w:cs="仿宋"/>
          <w:sz w:val="24"/>
          <w:szCs w:val="24"/>
        </w:rPr>
      </w:pPr>
    </w:p>
    <w:p w14:paraId="696059A7">
      <w:pPr>
        <w:pStyle w:val="10"/>
        <w:spacing w:line="480" w:lineRule="auto"/>
        <w:ind w:left="0" w:leftChars="0"/>
        <w:rPr>
          <w:rFonts w:hint="eastAsia" w:ascii="仿宋" w:hAnsi="仿宋" w:eastAsia="仿宋" w:cs="仿宋"/>
          <w:b/>
          <w:bCs/>
          <w:sz w:val="24"/>
          <w:szCs w:val="24"/>
        </w:rPr>
      </w:pPr>
      <w:r>
        <w:rPr>
          <w:rFonts w:hint="eastAsia" w:ascii="仿宋" w:hAnsi="仿宋" w:eastAsia="仿宋" w:cs="仿宋"/>
          <w:b/>
          <w:bCs/>
          <w:sz w:val="24"/>
          <w:szCs w:val="24"/>
        </w:rPr>
        <w:t>四、采购内容及参数要求</w:t>
      </w:r>
    </w:p>
    <w:tbl>
      <w:tblPr>
        <w:tblStyle w:val="23"/>
        <w:tblpPr w:leftFromText="180" w:rightFromText="180" w:vertAnchor="text" w:horzAnchor="page" w:tblpX="1199" w:tblpY="305"/>
        <w:tblOverlap w:val="never"/>
        <w:tblW w:w="94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5"/>
        <w:gridCol w:w="1430"/>
        <w:gridCol w:w="6643"/>
      </w:tblGrid>
      <w:tr w14:paraId="18D5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restart"/>
            <w:vAlign w:val="center"/>
          </w:tcPr>
          <w:p w14:paraId="4839C22A">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（一）安全接入服务</w:t>
            </w:r>
          </w:p>
        </w:tc>
        <w:tc>
          <w:tcPr>
            <w:tcW w:w="1430" w:type="dxa"/>
            <w:vAlign w:val="center"/>
          </w:tcPr>
          <w:p w14:paraId="6ADA925B">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1、移动警务终端接入安全保障</w:t>
            </w:r>
          </w:p>
        </w:tc>
        <w:tc>
          <w:tcPr>
            <w:tcW w:w="6643" w:type="dxa"/>
            <w:vAlign w:val="center"/>
          </w:tcPr>
          <w:p w14:paraId="5E2DA9BD">
            <w:pPr>
              <w:pStyle w:val="9"/>
              <w:rPr>
                <w:rFonts w:hint="eastAsia" w:ascii="仿宋" w:hAnsi="仿宋" w:eastAsia="仿宋" w:cs="仿宋"/>
                <w:kern w:val="0"/>
                <w:sz w:val="24"/>
                <w:szCs w:val="24"/>
              </w:rPr>
            </w:pPr>
            <w:r>
              <w:rPr>
                <w:rFonts w:hint="eastAsia" w:ascii="仿宋" w:hAnsi="仿宋" w:eastAsia="仿宋" w:cs="仿宋"/>
                <w:kern w:val="0"/>
                <w:sz w:val="24"/>
                <w:szCs w:val="24"/>
              </w:rPr>
              <w:t>由于移动警务终端的可移动性，终端接入时存在非法使用、非授权访问等安全风险，需要建立相关安全机制保和可行性的认证机制保障终端的安全并识别用户的合法性，消除终端在使用环境上存在的安全风险，排除非法终端私自接入平台的可能性。</w:t>
            </w:r>
          </w:p>
        </w:tc>
      </w:tr>
      <w:tr w14:paraId="14A6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55AB9C9E">
            <w:pPr>
              <w:pStyle w:val="9"/>
              <w:rPr>
                <w:rFonts w:hint="eastAsia" w:ascii="仿宋" w:hAnsi="仿宋" w:eastAsia="仿宋" w:cs="仿宋"/>
                <w:kern w:val="0"/>
                <w:sz w:val="24"/>
                <w:szCs w:val="24"/>
              </w:rPr>
            </w:pPr>
          </w:p>
        </w:tc>
        <w:tc>
          <w:tcPr>
            <w:tcW w:w="1430" w:type="dxa"/>
            <w:vAlign w:val="center"/>
          </w:tcPr>
          <w:p w14:paraId="33A43C61">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2、链路通信安全</w:t>
            </w:r>
          </w:p>
        </w:tc>
        <w:tc>
          <w:tcPr>
            <w:tcW w:w="6643" w:type="dxa"/>
            <w:vAlign w:val="center"/>
          </w:tcPr>
          <w:p w14:paraId="3EAD2D0E">
            <w:pPr>
              <w:pStyle w:val="9"/>
              <w:rPr>
                <w:rFonts w:hint="eastAsia" w:ascii="仿宋" w:hAnsi="仿宋" w:eastAsia="仿宋" w:cs="仿宋"/>
                <w:kern w:val="0"/>
                <w:sz w:val="24"/>
                <w:szCs w:val="24"/>
              </w:rPr>
            </w:pPr>
            <w:r>
              <w:rPr>
                <w:rFonts w:hint="eastAsia" w:ascii="仿宋" w:hAnsi="仿宋" w:eastAsia="仿宋" w:cs="仿宋"/>
                <w:kern w:val="0"/>
                <w:sz w:val="24"/>
                <w:szCs w:val="24"/>
              </w:rPr>
              <w:t>在链路和通信安全上，移动终端接入时需采用链路认证机制以及数据传输机密性、完整性保障机制，保障链路的合法性，防止公安敏感信息在传输过程中被窃取或篡改。</w:t>
            </w:r>
          </w:p>
        </w:tc>
      </w:tr>
      <w:tr w14:paraId="03122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4A0F1C87">
            <w:pPr>
              <w:pStyle w:val="9"/>
              <w:rPr>
                <w:rFonts w:hint="eastAsia" w:ascii="仿宋" w:hAnsi="仿宋" w:eastAsia="仿宋" w:cs="仿宋"/>
                <w:kern w:val="0"/>
                <w:sz w:val="24"/>
                <w:szCs w:val="24"/>
              </w:rPr>
            </w:pPr>
          </w:p>
        </w:tc>
        <w:tc>
          <w:tcPr>
            <w:tcW w:w="1430" w:type="dxa"/>
            <w:vAlign w:val="center"/>
          </w:tcPr>
          <w:p w14:paraId="40C65184">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3、公安信息网和公安视频专网边界接入防护安全</w:t>
            </w:r>
          </w:p>
        </w:tc>
        <w:tc>
          <w:tcPr>
            <w:tcW w:w="6643" w:type="dxa"/>
            <w:vAlign w:val="center"/>
          </w:tcPr>
          <w:p w14:paraId="13321311">
            <w:pPr>
              <w:pStyle w:val="9"/>
              <w:rPr>
                <w:rFonts w:hint="eastAsia" w:ascii="仿宋" w:hAnsi="仿宋" w:eastAsia="仿宋" w:cs="仿宋"/>
                <w:kern w:val="0"/>
                <w:sz w:val="24"/>
                <w:szCs w:val="24"/>
              </w:rPr>
            </w:pPr>
            <w:r>
              <w:rPr>
                <w:rFonts w:hint="eastAsia" w:ascii="仿宋" w:hAnsi="仿宋" w:eastAsia="仿宋" w:cs="仿宋"/>
                <w:kern w:val="0"/>
                <w:sz w:val="24"/>
                <w:szCs w:val="24"/>
              </w:rPr>
              <w:t>按照公安信息网及公安视频专网的边界接入要求，做实做严边界，减少接入边界瓶颈的制约，提供强大的安全服务，做到物理层、网络层和应用层的安全技术保障，提供VPN、认证、入侵检测、审计安全防范技术保障，建立健全完善安全防范机制和策略，扎牢扎实边界，确保信息进得来，防得了、高安全、活应用。</w:t>
            </w:r>
          </w:p>
        </w:tc>
      </w:tr>
      <w:tr w14:paraId="20C21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6B309D07">
            <w:pPr>
              <w:pStyle w:val="9"/>
              <w:rPr>
                <w:rFonts w:hint="eastAsia" w:ascii="仿宋" w:hAnsi="仿宋" w:eastAsia="仿宋" w:cs="仿宋"/>
                <w:kern w:val="0"/>
                <w:sz w:val="24"/>
                <w:szCs w:val="24"/>
              </w:rPr>
            </w:pPr>
          </w:p>
        </w:tc>
        <w:tc>
          <w:tcPr>
            <w:tcW w:w="1430" w:type="dxa"/>
            <w:vAlign w:val="center"/>
          </w:tcPr>
          <w:p w14:paraId="4304F920">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4、网络安全风险防范</w:t>
            </w:r>
          </w:p>
        </w:tc>
        <w:tc>
          <w:tcPr>
            <w:tcW w:w="6643" w:type="dxa"/>
            <w:vAlign w:val="center"/>
          </w:tcPr>
          <w:p w14:paraId="30D61A77">
            <w:pPr>
              <w:pStyle w:val="9"/>
              <w:rPr>
                <w:rFonts w:hint="eastAsia" w:ascii="仿宋" w:hAnsi="仿宋" w:eastAsia="仿宋" w:cs="仿宋"/>
                <w:kern w:val="0"/>
                <w:sz w:val="24"/>
                <w:szCs w:val="24"/>
              </w:rPr>
            </w:pPr>
            <w:r>
              <w:rPr>
                <w:rFonts w:hint="eastAsia" w:ascii="仿宋" w:hAnsi="仿宋" w:eastAsia="仿宋" w:cs="仿宋"/>
                <w:kern w:val="0"/>
                <w:sz w:val="24"/>
                <w:szCs w:val="24"/>
              </w:rPr>
              <w:t>由于使用公共无线通信网络实现数据传输，存在非法人员通过公共无线通信网络攻击移动终端和平台的可能，因此，必须加强移动终端和平台网络的安全措施，采用终端加固、网络访问控制、数据过滤、入侵防御等安全手段，加强网络环境的安全防护，抵抗各种攻击。</w:t>
            </w:r>
          </w:p>
        </w:tc>
      </w:tr>
      <w:tr w14:paraId="02E3D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51422F4F">
            <w:pPr>
              <w:pStyle w:val="9"/>
              <w:rPr>
                <w:rFonts w:hint="eastAsia" w:ascii="仿宋" w:hAnsi="仿宋" w:eastAsia="仿宋" w:cs="仿宋"/>
                <w:kern w:val="0"/>
                <w:sz w:val="24"/>
                <w:szCs w:val="24"/>
              </w:rPr>
            </w:pPr>
          </w:p>
        </w:tc>
        <w:tc>
          <w:tcPr>
            <w:tcW w:w="1430" w:type="dxa"/>
            <w:vAlign w:val="center"/>
          </w:tcPr>
          <w:p w14:paraId="731DB7EC">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5、应用级安全</w:t>
            </w:r>
          </w:p>
        </w:tc>
        <w:tc>
          <w:tcPr>
            <w:tcW w:w="6643" w:type="dxa"/>
            <w:vAlign w:val="center"/>
          </w:tcPr>
          <w:p w14:paraId="5625CAD9">
            <w:pPr>
              <w:pStyle w:val="9"/>
              <w:rPr>
                <w:rFonts w:hint="eastAsia" w:ascii="仿宋" w:hAnsi="仿宋" w:eastAsia="仿宋" w:cs="仿宋"/>
                <w:kern w:val="0"/>
                <w:sz w:val="24"/>
                <w:szCs w:val="24"/>
              </w:rPr>
            </w:pPr>
            <w:r>
              <w:rPr>
                <w:rFonts w:hint="eastAsia" w:ascii="仿宋" w:hAnsi="仿宋" w:eastAsia="仿宋" w:cs="仿宋"/>
                <w:kern w:val="0"/>
                <w:sz w:val="24"/>
                <w:szCs w:val="24"/>
              </w:rPr>
              <w:t>平台主要是为各类移动终端提供安全通道以支撑移动警务应用，其中涵盖的应用类型较多，按不同的业务类型的安全需求提供对应的安全保障，以此确保应用层上信息安全，防止敏感信息交叉泄漏，做到安全技术与应用耦合，业务挂接的方便。</w:t>
            </w:r>
          </w:p>
        </w:tc>
      </w:tr>
      <w:tr w14:paraId="6AB13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restart"/>
            <w:vAlign w:val="center"/>
          </w:tcPr>
          <w:p w14:paraId="7A122DBC">
            <w:pPr>
              <w:pStyle w:val="9"/>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rPr>
              <w:t>（二）移动警务</w:t>
            </w:r>
            <w:r>
              <w:rPr>
                <w:rFonts w:hint="eastAsia" w:ascii="仿宋" w:hAnsi="仿宋" w:eastAsia="仿宋" w:cs="仿宋"/>
                <w:kern w:val="0"/>
                <w:sz w:val="24"/>
                <w:szCs w:val="24"/>
                <w:lang w:val="en-US" w:eastAsia="zh-CN"/>
              </w:rPr>
              <w:t>服务要求</w:t>
            </w:r>
          </w:p>
        </w:tc>
        <w:tc>
          <w:tcPr>
            <w:tcW w:w="8073" w:type="dxa"/>
            <w:gridSpan w:val="2"/>
            <w:vAlign w:val="center"/>
          </w:tcPr>
          <w:p w14:paraId="26717C10">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移动警务</w:t>
            </w:r>
            <w:r>
              <w:rPr>
                <w:rFonts w:hint="eastAsia" w:ascii="仿宋" w:hAnsi="仿宋" w:eastAsia="仿宋" w:cs="仿宋"/>
                <w:kern w:val="0"/>
                <w:sz w:val="24"/>
                <w:szCs w:val="24"/>
                <w:lang w:val="en-US" w:eastAsia="zh-CN"/>
              </w:rPr>
              <w:t>服务</w:t>
            </w:r>
            <w:r>
              <w:rPr>
                <w:rFonts w:hint="eastAsia" w:ascii="仿宋" w:hAnsi="仿宋" w:eastAsia="仿宋" w:cs="仿宋"/>
                <w:kern w:val="0"/>
                <w:sz w:val="24"/>
                <w:szCs w:val="24"/>
              </w:rPr>
              <w:t>可通过公共互联网、移动运营商无线通信网等网络提供通信及数据传输服务，</w:t>
            </w:r>
            <w:r>
              <w:rPr>
                <w:rFonts w:hint="eastAsia" w:ascii="仿宋" w:hAnsi="仿宋" w:eastAsia="仿宋" w:cs="仿宋"/>
                <w:kern w:val="0"/>
                <w:sz w:val="24"/>
                <w:szCs w:val="24"/>
                <w:lang w:val="en-US" w:eastAsia="zh-CN"/>
              </w:rPr>
              <w:t>满足</w:t>
            </w:r>
            <w:r>
              <w:rPr>
                <w:rFonts w:hint="eastAsia" w:ascii="仿宋" w:hAnsi="仿宋" w:eastAsia="仿宋" w:cs="仿宋"/>
                <w:kern w:val="0"/>
                <w:sz w:val="24"/>
                <w:szCs w:val="24"/>
              </w:rPr>
              <w:t>双系统双APN同时在线。可以根据隐私信息的安全要求，分别存放到普通容器或安全容器，生活区和工作区各自的存储文件对对方不可见</w:t>
            </w:r>
            <w:r>
              <w:rPr>
                <w:rFonts w:hint="eastAsia" w:ascii="仿宋" w:hAnsi="仿宋" w:eastAsia="仿宋" w:cs="仿宋"/>
                <w:kern w:val="0"/>
                <w:sz w:val="24"/>
                <w:szCs w:val="24"/>
                <w:highlight w:val="none"/>
              </w:rPr>
              <w:t>，安全系统可对硬件驱动进行限制，防止数据泄露（</w:t>
            </w:r>
            <w:r>
              <w:rPr>
                <w:rFonts w:hint="eastAsia" w:ascii="仿宋" w:hAnsi="仿宋" w:eastAsia="仿宋" w:cs="仿宋"/>
                <w:kern w:val="0"/>
                <w:sz w:val="24"/>
                <w:szCs w:val="24"/>
                <w:highlight w:val="none"/>
                <w:lang w:val="en-US" w:eastAsia="zh-CN"/>
              </w:rPr>
              <w:t>工作区系统</w:t>
            </w:r>
            <w:r>
              <w:rPr>
                <w:rFonts w:hint="eastAsia" w:ascii="仿宋" w:hAnsi="仿宋" w:eastAsia="仿宋" w:cs="仿宋"/>
                <w:kern w:val="0"/>
                <w:sz w:val="24"/>
                <w:szCs w:val="24"/>
                <w:highlight w:val="none"/>
              </w:rPr>
              <w:t>驱动层禁止USB、GPS、WiFi等）</w:t>
            </w:r>
            <w:r>
              <w:rPr>
                <w:rFonts w:hint="eastAsia" w:ascii="仿宋" w:hAnsi="仿宋" w:eastAsia="仿宋" w:cs="仿宋"/>
                <w:kern w:val="0"/>
                <w:sz w:val="24"/>
                <w:szCs w:val="24"/>
              </w:rPr>
              <w:t>。终端的要求、参数及功能如下：</w:t>
            </w:r>
          </w:p>
        </w:tc>
      </w:tr>
      <w:tr w14:paraId="434C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2BD03873">
            <w:pPr>
              <w:pStyle w:val="9"/>
              <w:rPr>
                <w:rFonts w:hint="eastAsia" w:ascii="仿宋" w:hAnsi="仿宋" w:eastAsia="仿宋" w:cs="仿宋"/>
                <w:kern w:val="0"/>
                <w:sz w:val="24"/>
                <w:szCs w:val="24"/>
              </w:rPr>
            </w:pPr>
          </w:p>
        </w:tc>
        <w:tc>
          <w:tcPr>
            <w:tcW w:w="1430" w:type="dxa"/>
            <w:vAlign w:val="center"/>
          </w:tcPr>
          <w:p w14:paraId="6E1259FC">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1、选型要求</w:t>
            </w:r>
          </w:p>
        </w:tc>
        <w:tc>
          <w:tcPr>
            <w:tcW w:w="6643" w:type="dxa"/>
            <w:vAlign w:val="center"/>
          </w:tcPr>
          <w:p w14:paraId="5112F9F4">
            <w:pPr>
              <w:pStyle w:val="9"/>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提供</w:t>
            </w:r>
            <w:r>
              <w:rPr>
                <w:rFonts w:hint="eastAsia" w:ascii="仿宋" w:hAnsi="仿宋" w:eastAsia="仿宋" w:cs="仿宋"/>
                <w:kern w:val="0"/>
                <w:sz w:val="24"/>
                <w:szCs w:val="24"/>
              </w:rPr>
              <w:t>的移动警务终端必须是通过公安部《计算机信息系统安全产品质量监督检验中心过检目录》、《智能手机型移动警务终端检测报告目录（更新至2024年1月31日）》和省公安厅移动警务平台安全检测和匹配性测试的手机型移动警务终端，可通过移动运营商无线通信网等网络提供通信及数据传输服务，双系统双APN同时在线。根据云南省公安新一代移动警务平台统一规划和安全管理要求，双系统终端必须通过公安部标准检测和省公安厅平台的功能适配、安全管控检测，提供通过公安部检测的终端检验报告</w:t>
            </w:r>
            <w:r>
              <w:rPr>
                <w:rFonts w:hint="eastAsia" w:ascii="仿宋" w:hAnsi="仿宋" w:eastAsia="仿宋" w:cs="仿宋"/>
                <w:kern w:val="0"/>
                <w:sz w:val="24"/>
                <w:szCs w:val="24"/>
                <w:lang w:val="en-US" w:eastAsia="zh-CN"/>
              </w:rPr>
              <w:t>或承诺书</w:t>
            </w:r>
            <w:r>
              <w:rPr>
                <w:rFonts w:hint="eastAsia" w:ascii="仿宋" w:hAnsi="仿宋" w:eastAsia="仿宋" w:cs="仿宋"/>
                <w:kern w:val="0"/>
                <w:sz w:val="24"/>
                <w:szCs w:val="24"/>
              </w:rPr>
              <w:t>。</w:t>
            </w:r>
          </w:p>
          <w:p w14:paraId="600BE493">
            <w:pPr>
              <w:pStyle w:val="9"/>
              <w:rPr>
                <w:rFonts w:hint="eastAsia" w:ascii="仿宋" w:hAnsi="仿宋" w:eastAsia="仿宋" w:cs="仿宋"/>
                <w:kern w:val="0"/>
                <w:sz w:val="24"/>
                <w:szCs w:val="24"/>
                <w:highlight w:val="yellow"/>
              </w:rPr>
            </w:pPr>
            <w:r>
              <w:rPr>
                <w:rFonts w:hint="eastAsia" w:ascii="仿宋" w:hAnsi="仿宋" w:eastAsia="仿宋" w:cs="仿宋"/>
                <w:kern w:val="0"/>
                <w:sz w:val="24"/>
                <w:szCs w:val="24"/>
              </w:rPr>
              <w:t>△移动警务终端需提供通过公安部检测目录中具备单北斗定位功能的最新一代警务双系统安全终端，供货厂商需提供单北斗定位功能承诺函、公安部安全与警用电子产品质量检测中心检测报告，不接受运营商定制机型。移动警务终端主要依托普通智能手机，为实现移动警务应用服务，兼顾民警日常工作和非工作使用需要的双系统终端。根据公安信息保密安全要求，分别设置普通容器或安全容器的双系统，分生活区和工作区各自的存储文件，相互不可访问，安全系统可对硬件驱动进行限制，防止数据泄露（工作区系统驱动层禁止USB、WiFi等），工作域系统接入公安网开展移动警务应用，生活域系统接入互联网满足通讯需要，双系统可实现“一键切换”。</w:t>
            </w:r>
          </w:p>
        </w:tc>
      </w:tr>
      <w:tr w14:paraId="53AA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719DF403">
            <w:pPr>
              <w:pStyle w:val="9"/>
              <w:rPr>
                <w:rFonts w:hint="eastAsia" w:ascii="仿宋" w:hAnsi="仿宋" w:eastAsia="仿宋" w:cs="仿宋"/>
                <w:kern w:val="0"/>
                <w:sz w:val="24"/>
                <w:szCs w:val="24"/>
              </w:rPr>
            </w:pPr>
          </w:p>
        </w:tc>
        <w:tc>
          <w:tcPr>
            <w:tcW w:w="1430" w:type="dxa"/>
            <w:vAlign w:val="center"/>
          </w:tcPr>
          <w:p w14:paraId="53A6FECA">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2、终端参数</w:t>
            </w:r>
            <w:r>
              <w:rPr>
                <w:rFonts w:hint="eastAsia" w:ascii="仿宋" w:hAnsi="仿宋" w:eastAsia="仿宋" w:cs="仿宋"/>
                <w:kern w:val="0"/>
                <w:sz w:val="24"/>
                <w:szCs w:val="24"/>
                <w:lang w:val="en-US" w:eastAsia="zh-CN"/>
              </w:rPr>
              <w:t>要求</w:t>
            </w:r>
            <w:r>
              <w:rPr>
                <w:rFonts w:hint="eastAsia" w:ascii="仿宋" w:hAnsi="仿宋" w:eastAsia="仿宋" w:cs="仿宋"/>
                <w:kern w:val="0"/>
                <w:sz w:val="24"/>
                <w:szCs w:val="24"/>
              </w:rPr>
              <w:t>（必须满足公安部第三研究所认证机型）：</w:t>
            </w:r>
          </w:p>
        </w:tc>
        <w:tc>
          <w:tcPr>
            <w:tcW w:w="6643" w:type="dxa"/>
            <w:vAlign w:val="center"/>
          </w:tcPr>
          <w:p w14:paraId="48897435">
            <w:pPr>
              <w:pStyle w:val="9"/>
              <w:rPr>
                <w:rFonts w:hint="eastAsia" w:ascii="仿宋" w:hAnsi="仿宋" w:eastAsia="仿宋" w:cs="仿宋"/>
                <w:kern w:val="0"/>
                <w:sz w:val="24"/>
                <w:szCs w:val="24"/>
              </w:rPr>
            </w:pPr>
            <w:r>
              <w:rPr>
                <w:rFonts w:hint="eastAsia" w:ascii="仿宋" w:hAnsi="仿宋" w:eastAsia="仿宋" w:cs="仿宋"/>
                <w:kern w:val="0"/>
                <w:sz w:val="24"/>
                <w:szCs w:val="24"/>
              </w:rPr>
              <w:t>▲操作系统：采用自主研发操作系统或≥Android12；</w:t>
            </w:r>
          </w:p>
          <w:p w14:paraId="2D058663">
            <w:pPr>
              <w:pStyle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处理器：八核12线程，CPU频率≥2.6GHz</w:t>
            </w:r>
          </w:p>
          <w:p w14:paraId="5C3BF383">
            <w:pPr>
              <w:pStyle w:val="9"/>
              <w:rPr>
                <w:rFonts w:hint="eastAsia" w:ascii="仿宋" w:hAnsi="仿宋" w:eastAsia="仿宋" w:cs="仿宋"/>
                <w:kern w:val="0"/>
                <w:sz w:val="24"/>
                <w:szCs w:val="24"/>
              </w:rPr>
            </w:pPr>
            <w:r>
              <w:rPr>
                <w:rFonts w:hint="eastAsia" w:ascii="仿宋" w:hAnsi="仿宋" w:eastAsia="仿宋" w:cs="仿宋"/>
                <w:sz w:val="24"/>
                <w:szCs w:val="24"/>
                <w:lang w:val="en-US" w:eastAsia="zh-CN"/>
              </w:rPr>
              <w:t>*</w:t>
            </w:r>
            <w:r>
              <w:rPr>
                <w:rFonts w:hint="eastAsia" w:ascii="仿宋" w:hAnsi="仿宋" w:eastAsia="仿宋" w:cs="仿宋"/>
                <w:kern w:val="0"/>
                <w:sz w:val="24"/>
                <w:szCs w:val="24"/>
              </w:rPr>
              <w:t>显示屏：主屏幕≥6.6英寸，分辨率≥FHD+2688x1216像素,像素密度≥440PPI；</w:t>
            </w:r>
          </w:p>
          <w:p w14:paraId="02F9D5C4">
            <w:pPr>
              <w:pStyle w:val="9"/>
              <w:rPr>
                <w:rFonts w:hint="eastAsia" w:ascii="仿宋" w:hAnsi="仿宋" w:eastAsia="仿宋" w:cs="仿宋"/>
                <w:kern w:val="0"/>
                <w:sz w:val="24"/>
                <w:szCs w:val="24"/>
                <w:highlight w:val="none"/>
              </w:rPr>
            </w:pPr>
            <w:r>
              <w:rPr>
                <w:rFonts w:hint="eastAsia" w:ascii="仿宋" w:hAnsi="仿宋" w:eastAsia="仿宋" w:cs="仿宋"/>
                <w:sz w:val="24"/>
                <w:szCs w:val="24"/>
                <w:lang w:val="en-US" w:eastAsia="zh-CN"/>
              </w:rPr>
              <w:t>*</w:t>
            </w:r>
            <w:r>
              <w:rPr>
                <w:rFonts w:hint="eastAsia" w:ascii="仿宋" w:hAnsi="仿宋" w:eastAsia="仿宋" w:cs="仿宋"/>
                <w:kern w:val="0"/>
                <w:sz w:val="24"/>
                <w:szCs w:val="24"/>
              </w:rPr>
              <w:t>网络支持：双卡双待，支持联通/电信</w:t>
            </w:r>
            <w:r>
              <w:rPr>
                <w:rFonts w:hint="eastAsia" w:ascii="仿宋" w:hAnsi="仿宋" w:eastAsia="仿宋" w:cs="仿宋"/>
                <w:kern w:val="0"/>
                <w:sz w:val="24"/>
                <w:szCs w:val="24"/>
                <w:highlight w:val="none"/>
              </w:rPr>
              <w:t xml:space="preserve"> 5G/4G/3G/2G，移动5G/4G/2G</w:t>
            </w:r>
          </w:p>
          <w:p w14:paraId="458A6644">
            <w:pPr>
              <w:pStyle w:val="9"/>
              <w:rPr>
                <w:rFonts w:hint="eastAsia" w:ascii="仿宋" w:hAnsi="仿宋" w:eastAsia="仿宋" w:cs="仿宋"/>
                <w:kern w:val="0"/>
                <w:sz w:val="24"/>
                <w:szCs w:val="24"/>
              </w:rPr>
            </w:pPr>
            <w:r>
              <w:rPr>
                <w:rFonts w:hint="eastAsia" w:ascii="仿宋" w:hAnsi="仿宋" w:eastAsia="仿宋" w:cs="仿宋"/>
                <w:sz w:val="24"/>
                <w:szCs w:val="24"/>
                <w:lang w:val="en-US" w:eastAsia="zh-CN"/>
              </w:rPr>
              <w:t>*</w:t>
            </w:r>
            <w:r>
              <w:rPr>
                <w:rFonts w:hint="eastAsia" w:ascii="仿宋" w:hAnsi="仿宋" w:eastAsia="仿宋" w:cs="仿宋"/>
                <w:kern w:val="0"/>
                <w:sz w:val="24"/>
                <w:szCs w:val="24"/>
              </w:rPr>
              <w:t>储存：RAM:≥12GB，ROM:≥256G</w:t>
            </w:r>
          </w:p>
          <w:p w14:paraId="69822308">
            <w:pPr>
              <w:pStyle w:val="9"/>
              <w:rPr>
                <w:rFonts w:hint="eastAsia" w:ascii="仿宋" w:hAnsi="仿宋" w:eastAsia="仿宋" w:cs="仿宋"/>
                <w:kern w:val="0"/>
                <w:sz w:val="24"/>
                <w:szCs w:val="24"/>
              </w:rPr>
            </w:pPr>
            <w:r>
              <w:rPr>
                <w:rFonts w:hint="eastAsia" w:ascii="仿宋" w:hAnsi="仿宋" w:eastAsia="仿宋" w:cs="仿宋"/>
                <w:sz w:val="24"/>
                <w:szCs w:val="24"/>
                <w:lang w:val="en-US" w:eastAsia="zh-CN"/>
              </w:rPr>
              <w:t>*</w:t>
            </w:r>
            <w:r>
              <w:rPr>
                <w:rFonts w:hint="eastAsia" w:ascii="仿宋" w:hAnsi="仿宋" w:eastAsia="仿宋" w:cs="仿宋"/>
                <w:kern w:val="0"/>
                <w:sz w:val="24"/>
                <w:szCs w:val="24"/>
              </w:rPr>
              <w:t>摄像头：前置摄像头：≥1300万像素；后置摄像头：≥三摄，主摄≥5000万像素，支持OIS光学防抖、光学变焦，广角镜头≥1200万像素，潜望式长焦素镜头≥1200万像素；</w:t>
            </w:r>
          </w:p>
          <w:p w14:paraId="4086E311">
            <w:pPr>
              <w:pStyle w:val="9"/>
              <w:rPr>
                <w:rFonts w:hint="eastAsia" w:ascii="仿宋" w:hAnsi="仿宋" w:eastAsia="仿宋" w:cs="仿宋"/>
                <w:kern w:val="0"/>
                <w:sz w:val="24"/>
                <w:szCs w:val="24"/>
              </w:rPr>
            </w:pPr>
            <w:r>
              <w:rPr>
                <w:rFonts w:hint="eastAsia" w:ascii="仿宋" w:hAnsi="仿宋" w:eastAsia="仿宋" w:cs="仿宋"/>
                <w:sz w:val="24"/>
                <w:szCs w:val="24"/>
                <w:lang w:val="en-US" w:eastAsia="zh-CN"/>
              </w:rPr>
              <w:t>*</w:t>
            </w:r>
            <w:r>
              <w:rPr>
                <w:rFonts w:hint="eastAsia" w:ascii="仿宋" w:hAnsi="仿宋" w:eastAsia="仿宋" w:cs="仿宋"/>
                <w:kern w:val="0"/>
                <w:sz w:val="24"/>
                <w:szCs w:val="24"/>
              </w:rPr>
              <w:t>解锁方式：支持指纹/人脸解锁；</w:t>
            </w:r>
          </w:p>
          <w:p w14:paraId="11C1D201">
            <w:pPr>
              <w:pStyle w:val="9"/>
              <w:rPr>
                <w:rFonts w:hint="eastAsia" w:ascii="仿宋" w:hAnsi="仿宋" w:eastAsia="仿宋" w:cs="仿宋"/>
                <w:kern w:val="0"/>
                <w:sz w:val="24"/>
                <w:szCs w:val="24"/>
              </w:rPr>
            </w:pPr>
            <w:r>
              <w:rPr>
                <w:rFonts w:hint="eastAsia" w:ascii="仿宋" w:hAnsi="仿宋" w:eastAsia="仿宋" w:cs="仿宋"/>
                <w:sz w:val="24"/>
                <w:szCs w:val="24"/>
                <w:lang w:val="en-US" w:eastAsia="zh-CN"/>
              </w:rPr>
              <w:t>*</w:t>
            </w:r>
            <w:r>
              <w:rPr>
                <w:rFonts w:hint="eastAsia" w:ascii="仿宋" w:hAnsi="仿宋" w:eastAsia="仿宋" w:cs="仿宋"/>
                <w:kern w:val="0"/>
                <w:sz w:val="24"/>
                <w:szCs w:val="24"/>
              </w:rPr>
              <w:t>电池：≥4700mAh (典型值)；</w:t>
            </w:r>
          </w:p>
          <w:p w14:paraId="53A22723">
            <w:pPr>
              <w:pStyle w:val="9"/>
              <w:rPr>
                <w:rFonts w:hint="eastAsia" w:ascii="仿宋" w:hAnsi="仿宋" w:eastAsia="仿宋" w:cs="仿宋"/>
                <w:kern w:val="0"/>
                <w:sz w:val="24"/>
                <w:szCs w:val="24"/>
              </w:rPr>
            </w:pPr>
            <w:r>
              <w:rPr>
                <w:rFonts w:hint="eastAsia" w:ascii="仿宋" w:hAnsi="仿宋" w:eastAsia="仿宋" w:cs="仿宋"/>
                <w:sz w:val="24"/>
                <w:szCs w:val="24"/>
                <w:lang w:val="en-US" w:eastAsia="zh-CN"/>
              </w:rPr>
              <w:t>*</w:t>
            </w:r>
            <w:r>
              <w:rPr>
                <w:rFonts w:hint="eastAsia" w:ascii="仿宋" w:hAnsi="仿宋" w:eastAsia="仿宋" w:cs="仿宋"/>
                <w:kern w:val="0"/>
                <w:sz w:val="24"/>
                <w:szCs w:val="24"/>
              </w:rPr>
              <w:t>防水等级：IP68及以上；</w:t>
            </w:r>
          </w:p>
          <w:p w14:paraId="0EC43B17">
            <w:pPr>
              <w:pStyle w:val="9"/>
              <w:rPr>
                <w:rFonts w:hint="eastAsia" w:ascii="仿宋" w:hAnsi="仿宋" w:eastAsia="仿宋" w:cs="仿宋"/>
                <w:kern w:val="0"/>
                <w:sz w:val="24"/>
                <w:szCs w:val="24"/>
              </w:rPr>
            </w:pPr>
            <w:r>
              <w:rPr>
                <w:rFonts w:hint="eastAsia" w:ascii="仿宋" w:hAnsi="仿宋" w:eastAsia="仿宋" w:cs="仿宋"/>
                <w:kern w:val="0"/>
                <w:sz w:val="24"/>
                <w:szCs w:val="24"/>
              </w:rPr>
              <w:t>数据接口：Type-C</w:t>
            </w:r>
          </w:p>
          <w:p w14:paraId="191B9EE0">
            <w:pPr>
              <w:pStyle w:val="9"/>
              <w:rPr>
                <w:rFonts w:hint="eastAsia" w:ascii="仿宋" w:hAnsi="仿宋" w:eastAsia="仿宋" w:cs="仿宋"/>
                <w:kern w:val="0"/>
                <w:sz w:val="24"/>
                <w:szCs w:val="24"/>
              </w:rPr>
            </w:pPr>
            <w:r>
              <w:rPr>
                <w:rFonts w:hint="eastAsia" w:ascii="仿宋" w:hAnsi="仿宋" w:eastAsia="仿宋" w:cs="仿宋"/>
                <w:sz w:val="24"/>
                <w:szCs w:val="24"/>
                <w:lang w:val="en-US" w:eastAsia="zh-CN"/>
              </w:rPr>
              <w:t>*</w:t>
            </w:r>
            <w:r>
              <w:rPr>
                <w:rFonts w:hint="eastAsia" w:ascii="仿宋" w:hAnsi="仿宋" w:eastAsia="仿宋" w:cs="仿宋"/>
                <w:color w:val="000000" w:themeColor="text1"/>
                <w:kern w:val="0"/>
                <w:sz w:val="24"/>
                <w:szCs w:val="24"/>
                <w:highlight w:val="none"/>
                <w:lang w:bidi="ar"/>
                <w14:textFill>
                  <w14:solidFill>
                    <w14:schemeClr w14:val="tx1"/>
                  </w14:solidFill>
                </w14:textFill>
              </w:rPr>
              <w:t>定位</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仅</w:t>
            </w:r>
            <w:r>
              <w:rPr>
                <w:rFonts w:hint="eastAsia" w:ascii="仿宋" w:hAnsi="仿宋" w:eastAsia="仿宋" w:cs="仿宋"/>
                <w:kern w:val="0"/>
                <w:sz w:val="24"/>
                <w:szCs w:val="24"/>
              </w:rPr>
              <w:t>支持独立北斗。</w:t>
            </w:r>
          </w:p>
        </w:tc>
      </w:tr>
      <w:tr w14:paraId="1A39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56241676">
            <w:pPr>
              <w:pStyle w:val="9"/>
              <w:rPr>
                <w:rFonts w:hint="eastAsia" w:ascii="仿宋" w:hAnsi="仿宋" w:eastAsia="仿宋" w:cs="仿宋"/>
                <w:kern w:val="0"/>
                <w:sz w:val="24"/>
                <w:szCs w:val="24"/>
              </w:rPr>
            </w:pPr>
          </w:p>
        </w:tc>
        <w:tc>
          <w:tcPr>
            <w:tcW w:w="1430" w:type="dxa"/>
            <w:vAlign w:val="center"/>
          </w:tcPr>
          <w:p w14:paraId="417E86EE">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3、安全功能</w:t>
            </w:r>
          </w:p>
        </w:tc>
        <w:tc>
          <w:tcPr>
            <w:tcW w:w="6643" w:type="dxa"/>
            <w:vAlign w:val="center"/>
          </w:tcPr>
          <w:p w14:paraId="2E0B3F0A">
            <w:pPr>
              <w:pStyle w:val="9"/>
              <w:rPr>
                <w:rFonts w:hint="eastAsia" w:ascii="仿宋" w:hAnsi="仿宋" w:eastAsia="仿宋" w:cs="仿宋"/>
                <w:kern w:val="0"/>
                <w:sz w:val="24"/>
                <w:szCs w:val="24"/>
              </w:rPr>
            </w:pPr>
            <w:r>
              <w:rPr>
                <w:rFonts w:hint="eastAsia" w:ascii="仿宋" w:hAnsi="仿宋" w:eastAsia="仿宋" w:cs="仿宋"/>
                <w:kern w:val="0"/>
                <w:sz w:val="24"/>
                <w:szCs w:val="24"/>
              </w:rPr>
              <w:t>（1）国内自主研发芯片，构筑信息安全基石</w:t>
            </w:r>
          </w:p>
          <w:p w14:paraId="007E2FAA">
            <w:pPr>
              <w:pStyle w:val="9"/>
              <w:rPr>
                <w:rFonts w:hint="eastAsia" w:ascii="仿宋" w:hAnsi="仿宋" w:eastAsia="仿宋" w:cs="仿宋"/>
                <w:kern w:val="0"/>
                <w:sz w:val="24"/>
                <w:szCs w:val="24"/>
              </w:rPr>
            </w:pPr>
            <w:r>
              <w:rPr>
                <w:rFonts w:hint="eastAsia" w:ascii="仿宋" w:hAnsi="仿宋" w:eastAsia="仿宋" w:cs="仿宋"/>
                <w:kern w:val="0"/>
                <w:sz w:val="24"/>
                <w:szCs w:val="24"/>
              </w:rPr>
              <w:t>处理器达到芯片级安全保护，敏感数据不易被获取。</w:t>
            </w:r>
          </w:p>
          <w:p w14:paraId="03F735BF">
            <w:pPr>
              <w:pStyle w:val="9"/>
              <w:rPr>
                <w:rFonts w:hint="eastAsia" w:ascii="仿宋" w:hAnsi="仿宋" w:eastAsia="仿宋" w:cs="仿宋"/>
                <w:kern w:val="0"/>
                <w:sz w:val="24"/>
                <w:szCs w:val="24"/>
              </w:rPr>
            </w:pPr>
            <w:r>
              <w:rPr>
                <w:rFonts w:hint="eastAsia" w:ascii="仿宋" w:hAnsi="仿宋" w:eastAsia="仿宋" w:cs="仿宋"/>
                <w:kern w:val="0"/>
                <w:sz w:val="24"/>
                <w:szCs w:val="24"/>
              </w:rPr>
              <w:t>（2）双系统隔离，确保公安信息保密安全</w:t>
            </w:r>
          </w:p>
          <w:p w14:paraId="3DD5A193">
            <w:pPr>
              <w:pStyle w:val="9"/>
              <w:rPr>
                <w:rFonts w:hint="eastAsia" w:ascii="仿宋" w:hAnsi="仿宋" w:eastAsia="仿宋" w:cs="仿宋"/>
                <w:kern w:val="0"/>
                <w:sz w:val="24"/>
                <w:szCs w:val="24"/>
              </w:rPr>
            </w:pPr>
            <w:r>
              <w:rPr>
                <w:rFonts w:hint="eastAsia" w:ascii="仿宋" w:hAnsi="仿宋" w:eastAsia="仿宋" w:cs="仿宋"/>
                <w:kern w:val="0"/>
                <w:sz w:val="24"/>
                <w:szCs w:val="24"/>
              </w:rPr>
              <w:t>①两个操作系统运行在不同的ROM空间，实现物理隔离；</w:t>
            </w:r>
          </w:p>
          <w:p w14:paraId="47A46AC9">
            <w:pPr>
              <w:pStyle w:val="9"/>
              <w:rPr>
                <w:rFonts w:hint="eastAsia" w:ascii="仿宋" w:hAnsi="仿宋" w:eastAsia="仿宋" w:cs="仿宋"/>
                <w:kern w:val="0"/>
                <w:sz w:val="24"/>
                <w:szCs w:val="24"/>
              </w:rPr>
            </w:pPr>
            <w:r>
              <w:rPr>
                <w:rFonts w:hint="eastAsia" w:ascii="仿宋" w:hAnsi="仿宋" w:eastAsia="仿宋" w:cs="仿宋"/>
                <w:kern w:val="0"/>
                <w:sz w:val="24"/>
                <w:szCs w:val="24"/>
              </w:rPr>
              <w:t>②通话记录、通讯录、图片、视频以及其他信息不能互相访问；</w:t>
            </w:r>
          </w:p>
          <w:p w14:paraId="09A18E91">
            <w:pPr>
              <w:pStyle w:val="9"/>
              <w:rPr>
                <w:rFonts w:hint="eastAsia" w:ascii="仿宋" w:hAnsi="仿宋" w:eastAsia="仿宋" w:cs="仿宋"/>
                <w:kern w:val="0"/>
                <w:sz w:val="24"/>
                <w:szCs w:val="24"/>
              </w:rPr>
            </w:pPr>
            <w:r>
              <w:rPr>
                <w:rFonts w:hint="eastAsia" w:ascii="仿宋" w:hAnsi="仿宋" w:eastAsia="仿宋" w:cs="仿宋"/>
                <w:kern w:val="0"/>
                <w:sz w:val="24"/>
                <w:szCs w:val="24"/>
              </w:rPr>
              <w:t>③两个操作系统间支持一键快速切换、指纹切换、NFC感应切换；</w:t>
            </w:r>
          </w:p>
          <w:p w14:paraId="15E71995">
            <w:pPr>
              <w:pStyle w:val="9"/>
              <w:rPr>
                <w:rFonts w:hint="eastAsia" w:ascii="仿宋" w:hAnsi="仿宋" w:eastAsia="仿宋" w:cs="仿宋"/>
                <w:kern w:val="0"/>
                <w:sz w:val="24"/>
                <w:szCs w:val="24"/>
              </w:rPr>
            </w:pPr>
            <w:r>
              <w:rPr>
                <w:rFonts w:hint="eastAsia" w:ascii="仿宋" w:hAnsi="仿宋" w:eastAsia="仿宋" w:cs="仿宋"/>
                <w:kern w:val="0"/>
                <w:sz w:val="24"/>
                <w:szCs w:val="24"/>
              </w:rPr>
              <w:t>④某一个系统瘫痪不会影响另一个系统的运行。</w:t>
            </w:r>
          </w:p>
          <w:p w14:paraId="5DCD38DA">
            <w:pPr>
              <w:pStyle w:val="9"/>
              <w:rPr>
                <w:rFonts w:hint="eastAsia" w:ascii="仿宋" w:hAnsi="仿宋" w:eastAsia="仿宋" w:cs="仿宋"/>
                <w:kern w:val="0"/>
                <w:sz w:val="24"/>
                <w:szCs w:val="24"/>
              </w:rPr>
            </w:pPr>
            <w:r>
              <w:rPr>
                <w:rFonts w:hint="eastAsia" w:ascii="仿宋" w:hAnsi="仿宋" w:eastAsia="仿宋" w:cs="仿宋"/>
                <w:kern w:val="0"/>
                <w:sz w:val="24"/>
                <w:szCs w:val="24"/>
              </w:rPr>
              <w:t>（3）指纹识别/人脸解锁，谨防被盗用风险</w:t>
            </w:r>
          </w:p>
          <w:p w14:paraId="250AE73A">
            <w:pPr>
              <w:pStyle w:val="9"/>
              <w:rPr>
                <w:rFonts w:hint="eastAsia" w:ascii="仿宋" w:hAnsi="仿宋" w:eastAsia="仿宋" w:cs="仿宋"/>
                <w:kern w:val="0"/>
                <w:sz w:val="24"/>
                <w:szCs w:val="24"/>
              </w:rPr>
            </w:pPr>
            <w:r>
              <w:rPr>
                <w:rFonts w:hint="eastAsia" w:ascii="仿宋" w:hAnsi="仿宋" w:eastAsia="仿宋" w:cs="仿宋"/>
                <w:kern w:val="0"/>
                <w:sz w:val="24"/>
                <w:szCs w:val="24"/>
              </w:rPr>
              <w:t>①主动指纹识别，按压式指纹传感器；</w:t>
            </w:r>
          </w:p>
          <w:p w14:paraId="2E55625B">
            <w:pPr>
              <w:pStyle w:val="9"/>
              <w:rPr>
                <w:rFonts w:hint="eastAsia" w:ascii="仿宋" w:hAnsi="仿宋" w:eastAsia="仿宋" w:cs="仿宋"/>
                <w:kern w:val="0"/>
                <w:sz w:val="24"/>
                <w:szCs w:val="24"/>
              </w:rPr>
            </w:pPr>
            <w:r>
              <w:rPr>
                <w:rFonts w:hint="eastAsia" w:ascii="仿宋" w:hAnsi="仿宋" w:eastAsia="仿宋" w:cs="仿宋"/>
                <w:kern w:val="0"/>
                <w:sz w:val="24"/>
                <w:szCs w:val="24"/>
              </w:rPr>
              <w:t>②人脸识别解锁，安全方便使用。</w:t>
            </w:r>
          </w:p>
          <w:p w14:paraId="1CAAFF13">
            <w:pPr>
              <w:pStyle w:val="9"/>
              <w:rPr>
                <w:rFonts w:hint="eastAsia" w:ascii="仿宋" w:hAnsi="仿宋" w:eastAsia="仿宋" w:cs="仿宋"/>
                <w:kern w:val="0"/>
                <w:sz w:val="24"/>
                <w:szCs w:val="24"/>
              </w:rPr>
            </w:pPr>
            <w:r>
              <w:rPr>
                <w:rFonts w:hint="eastAsia" w:ascii="仿宋" w:hAnsi="仿宋" w:eastAsia="仿宋" w:cs="仿宋"/>
                <w:kern w:val="0"/>
                <w:sz w:val="24"/>
                <w:szCs w:val="24"/>
              </w:rPr>
              <w:t>③双系统独立解锁设置。</w:t>
            </w:r>
          </w:p>
          <w:p w14:paraId="6708305A">
            <w:pPr>
              <w:pStyle w:val="9"/>
              <w:rPr>
                <w:rFonts w:hint="eastAsia" w:ascii="仿宋" w:hAnsi="仿宋" w:eastAsia="仿宋" w:cs="仿宋"/>
                <w:kern w:val="0"/>
                <w:sz w:val="24"/>
                <w:szCs w:val="24"/>
              </w:rPr>
            </w:pPr>
            <w:r>
              <w:rPr>
                <w:rFonts w:hint="eastAsia" w:ascii="仿宋" w:hAnsi="仿宋" w:eastAsia="仿宋" w:cs="仿宋"/>
                <w:kern w:val="0"/>
                <w:sz w:val="24"/>
                <w:szCs w:val="24"/>
              </w:rPr>
              <w:t>（4）外设控制</w:t>
            </w:r>
          </w:p>
          <w:p w14:paraId="4033CC3B">
            <w:pPr>
              <w:pStyle w:val="9"/>
              <w:rPr>
                <w:rFonts w:hint="eastAsia" w:ascii="仿宋" w:hAnsi="仿宋" w:eastAsia="仿宋" w:cs="仿宋"/>
                <w:kern w:val="0"/>
                <w:sz w:val="24"/>
                <w:szCs w:val="24"/>
              </w:rPr>
            </w:pPr>
            <w:r>
              <w:rPr>
                <w:rFonts w:hint="eastAsia" w:ascii="仿宋" w:hAnsi="仿宋" w:eastAsia="仿宋" w:cs="仿宋"/>
                <w:kern w:val="0"/>
                <w:sz w:val="24"/>
                <w:szCs w:val="24"/>
              </w:rPr>
              <w:t>①工作系统的USB只能充电，不能传输数据；</w:t>
            </w:r>
          </w:p>
          <w:p w14:paraId="1E2EBD9D">
            <w:pPr>
              <w:pStyle w:val="9"/>
              <w:rPr>
                <w:rFonts w:hint="eastAsia" w:ascii="仿宋" w:hAnsi="仿宋" w:eastAsia="仿宋" w:cs="仿宋"/>
                <w:kern w:val="0"/>
                <w:sz w:val="24"/>
                <w:szCs w:val="24"/>
              </w:rPr>
            </w:pPr>
            <w:r>
              <w:rPr>
                <w:rFonts w:hint="eastAsia" w:ascii="仿宋" w:hAnsi="仿宋" w:eastAsia="仿宋" w:cs="仿宋"/>
                <w:kern w:val="0"/>
                <w:sz w:val="24"/>
                <w:szCs w:val="24"/>
              </w:rPr>
              <w:t>②工作系统蓝牙、SD卡读写可由MDM远程控制，不能随意开启；</w:t>
            </w:r>
          </w:p>
          <w:p w14:paraId="022D0322">
            <w:pPr>
              <w:pStyle w:val="9"/>
              <w:rPr>
                <w:rFonts w:hint="eastAsia" w:ascii="仿宋" w:hAnsi="仿宋" w:eastAsia="仿宋" w:cs="仿宋"/>
                <w:kern w:val="0"/>
                <w:sz w:val="24"/>
                <w:szCs w:val="24"/>
              </w:rPr>
            </w:pPr>
            <w:r>
              <w:rPr>
                <w:rFonts w:hint="eastAsia" w:ascii="仿宋" w:hAnsi="仿宋" w:eastAsia="仿宋" w:cs="仿宋"/>
                <w:kern w:val="0"/>
                <w:sz w:val="24"/>
                <w:szCs w:val="24"/>
              </w:rPr>
              <w:t>③工作系统WiFi只能接收热点信息，不能传输数据。</w:t>
            </w:r>
          </w:p>
          <w:p w14:paraId="13DDF3B0">
            <w:pPr>
              <w:pStyle w:val="9"/>
              <w:rPr>
                <w:rFonts w:hint="eastAsia" w:ascii="仿宋" w:hAnsi="仿宋" w:eastAsia="仿宋" w:cs="仿宋"/>
                <w:kern w:val="0"/>
                <w:sz w:val="24"/>
                <w:szCs w:val="24"/>
              </w:rPr>
            </w:pPr>
            <w:r>
              <w:rPr>
                <w:rFonts w:hint="eastAsia" w:ascii="仿宋" w:hAnsi="仿宋" w:eastAsia="仿宋" w:cs="仿宋"/>
                <w:kern w:val="0"/>
                <w:sz w:val="24"/>
                <w:szCs w:val="24"/>
              </w:rPr>
              <w:t>（5）先天具备系统级权限</w:t>
            </w:r>
          </w:p>
          <w:p w14:paraId="44DA7397">
            <w:pPr>
              <w:pStyle w:val="9"/>
              <w:rPr>
                <w:rFonts w:hint="eastAsia" w:ascii="仿宋" w:hAnsi="仿宋" w:eastAsia="仿宋" w:cs="仿宋"/>
                <w:kern w:val="0"/>
                <w:sz w:val="24"/>
                <w:szCs w:val="24"/>
              </w:rPr>
            </w:pPr>
            <w:r>
              <w:rPr>
                <w:rFonts w:hint="eastAsia" w:ascii="仿宋" w:hAnsi="仿宋" w:eastAsia="仿宋" w:cs="仿宋"/>
                <w:kern w:val="0"/>
                <w:sz w:val="24"/>
                <w:szCs w:val="24"/>
              </w:rPr>
              <w:t>无需root即可实现各种安全管控。</w:t>
            </w:r>
          </w:p>
          <w:p w14:paraId="0B9151BC">
            <w:pPr>
              <w:pStyle w:val="9"/>
              <w:rPr>
                <w:rFonts w:hint="eastAsia" w:ascii="仿宋" w:hAnsi="仿宋" w:eastAsia="仿宋" w:cs="仿宋"/>
                <w:kern w:val="0"/>
                <w:sz w:val="24"/>
                <w:szCs w:val="24"/>
              </w:rPr>
            </w:pPr>
            <w:r>
              <w:rPr>
                <w:rFonts w:hint="eastAsia" w:ascii="仿宋" w:hAnsi="仿宋" w:eastAsia="仿宋" w:cs="仿宋"/>
                <w:kern w:val="0"/>
                <w:sz w:val="24"/>
                <w:szCs w:val="24"/>
              </w:rPr>
              <w:t>（6）专用通道</w:t>
            </w:r>
          </w:p>
          <w:p w14:paraId="60F93FA9">
            <w:pPr>
              <w:pStyle w:val="9"/>
              <w:rPr>
                <w:rFonts w:hint="eastAsia" w:ascii="仿宋" w:hAnsi="仿宋" w:eastAsia="仿宋" w:cs="仿宋"/>
                <w:kern w:val="0"/>
                <w:sz w:val="24"/>
                <w:szCs w:val="24"/>
              </w:rPr>
            </w:pPr>
            <w:r>
              <w:rPr>
                <w:rFonts w:hint="eastAsia" w:ascii="仿宋" w:hAnsi="仿宋" w:eastAsia="仿宋" w:cs="仿宋"/>
                <w:kern w:val="0"/>
                <w:sz w:val="24"/>
                <w:szCs w:val="24"/>
              </w:rPr>
              <w:t>①支持公共APN和专属APN同时接入、同时在线，实现数据隔离；</w:t>
            </w:r>
          </w:p>
          <w:p w14:paraId="550C103C">
            <w:pPr>
              <w:pStyle w:val="9"/>
              <w:rPr>
                <w:rFonts w:hint="eastAsia" w:ascii="仿宋" w:hAnsi="仿宋" w:eastAsia="仿宋" w:cs="仿宋"/>
                <w:kern w:val="0"/>
                <w:sz w:val="24"/>
                <w:szCs w:val="24"/>
              </w:rPr>
            </w:pPr>
            <w:r>
              <w:rPr>
                <w:rFonts w:hint="eastAsia" w:ascii="仿宋" w:hAnsi="仿宋" w:eastAsia="仿宋" w:cs="仿宋"/>
                <w:kern w:val="0"/>
                <w:sz w:val="24"/>
                <w:szCs w:val="24"/>
              </w:rPr>
              <w:t>②支持IPSec VPN，确保数据安全。</w:t>
            </w:r>
          </w:p>
          <w:p w14:paraId="4AD79F78">
            <w:pPr>
              <w:pStyle w:val="9"/>
              <w:rPr>
                <w:rFonts w:hint="eastAsia" w:ascii="仿宋" w:hAnsi="仿宋" w:eastAsia="仿宋" w:cs="仿宋"/>
                <w:kern w:val="0"/>
                <w:sz w:val="24"/>
                <w:szCs w:val="24"/>
              </w:rPr>
            </w:pPr>
            <w:r>
              <w:rPr>
                <w:rFonts w:hint="eastAsia" w:ascii="仿宋" w:hAnsi="仿宋" w:eastAsia="仿宋" w:cs="仿宋"/>
                <w:kern w:val="0"/>
                <w:sz w:val="24"/>
                <w:szCs w:val="24"/>
              </w:rPr>
              <w:t>（7）硬件加密</w:t>
            </w:r>
          </w:p>
          <w:p w14:paraId="4D0D97FC">
            <w:pPr>
              <w:pStyle w:val="9"/>
              <w:rPr>
                <w:rFonts w:hint="eastAsia" w:ascii="仿宋" w:hAnsi="仿宋" w:eastAsia="仿宋" w:cs="仿宋"/>
                <w:kern w:val="0"/>
                <w:sz w:val="24"/>
                <w:szCs w:val="24"/>
              </w:rPr>
            </w:pPr>
            <w:r>
              <w:rPr>
                <w:rFonts w:hint="eastAsia" w:ascii="仿宋" w:hAnsi="仿宋" w:eastAsia="仿宋" w:cs="仿宋"/>
                <w:kern w:val="0"/>
                <w:sz w:val="24"/>
                <w:szCs w:val="24"/>
              </w:rPr>
              <w:t>①支持国家权威机构认证的加密卡及加密算法定制；</w:t>
            </w:r>
          </w:p>
          <w:p w14:paraId="1D8C6CC6">
            <w:pPr>
              <w:pStyle w:val="9"/>
              <w:rPr>
                <w:rFonts w:hint="eastAsia" w:ascii="仿宋" w:hAnsi="仿宋" w:eastAsia="仿宋" w:cs="仿宋"/>
                <w:kern w:val="0"/>
                <w:sz w:val="24"/>
                <w:szCs w:val="24"/>
              </w:rPr>
            </w:pPr>
            <w:r>
              <w:rPr>
                <w:rFonts w:hint="eastAsia" w:ascii="仿宋" w:hAnsi="仿宋" w:eastAsia="仿宋" w:cs="仿宋"/>
                <w:kern w:val="0"/>
                <w:sz w:val="24"/>
                <w:szCs w:val="24"/>
              </w:rPr>
              <w:t>②支持端到端加密电话、加密短信以及客户的加密应用定制；</w:t>
            </w:r>
          </w:p>
          <w:p w14:paraId="2F35B3AF">
            <w:pPr>
              <w:pStyle w:val="9"/>
              <w:rPr>
                <w:rFonts w:hint="eastAsia" w:ascii="仿宋" w:hAnsi="仿宋" w:eastAsia="仿宋" w:cs="仿宋"/>
                <w:kern w:val="0"/>
                <w:sz w:val="24"/>
                <w:szCs w:val="24"/>
              </w:rPr>
            </w:pPr>
            <w:r>
              <w:rPr>
                <w:rFonts w:hint="eastAsia" w:ascii="仿宋" w:hAnsi="仿宋" w:eastAsia="仿宋" w:cs="仿宋"/>
                <w:kern w:val="0"/>
                <w:sz w:val="24"/>
                <w:szCs w:val="24"/>
              </w:rPr>
              <w:t>③支持全盘加密。</w:t>
            </w:r>
          </w:p>
          <w:p w14:paraId="3A3B0C8D">
            <w:pPr>
              <w:pStyle w:val="9"/>
              <w:rPr>
                <w:rFonts w:hint="eastAsia" w:ascii="仿宋" w:hAnsi="仿宋" w:eastAsia="仿宋" w:cs="仿宋"/>
                <w:kern w:val="0"/>
                <w:sz w:val="24"/>
                <w:szCs w:val="24"/>
              </w:rPr>
            </w:pPr>
            <w:r>
              <w:rPr>
                <w:rFonts w:hint="eastAsia" w:ascii="仿宋" w:hAnsi="仿宋" w:eastAsia="仿宋" w:cs="仿宋"/>
                <w:kern w:val="0"/>
                <w:sz w:val="24"/>
                <w:szCs w:val="24"/>
              </w:rPr>
              <w:t>（8）可信计算，全面保障系统安全</w:t>
            </w:r>
          </w:p>
          <w:p w14:paraId="065D5E1C">
            <w:pPr>
              <w:pStyle w:val="9"/>
              <w:rPr>
                <w:rFonts w:hint="eastAsia" w:ascii="仿宋" w:hAnsi="仿宋" w:eastAsia="仿宋" w:cs="仿宋"/>
                <w:kern w:val="0"/>
                <w:sz w:val="24"/>
                <w:szCs w:val="24"/>
              </w:rPr>
            </w:pPr>
            <w:r>
              <w:rPr>
                <w:rFonts w:hint="eastAsia" w:ascii="仿宋" w:hAnsi="仿宋" w:eastAsia="仿宋" w:cs="仿宋"/>
                <w:kern w:val="0"/>
                <w:sz w:val="24"/>
                <w:szCs w:val="24"/>
              </w:rPr>
              <w:t>①安全启动：镜像逐级验证、启动前安全校验；</w:t>
            </w:r>
          </w:p>
          <w:p w14:paraId="46F00654">
            <w:pPr>
              <w:pStyle w:val="9"/>
              <w:rPr>
                <w:rFonts w:hint="eastAsia" w:ascii="仿宋" w:hAnsi="仿宋" w:eastAsia="仿宋" w:cs="仿宋"/>
                <w:kern w:val="0"/>
                <w:sz w:val="24"/>
                <w:szCs w:val="24"/>
              </w:rPr>
            </w:pPr>
            <w:r>
              <w:rPr>
                <w:rFonts w:hint="eastAsia" w:ascii="仿宋" w:hAnsi="仿宋" w:eastAsia="仿宋" w:cs="仿宋"/>
                <w:kern w:val="0"/>
                <w:sz w:val="24"/>
                <w:szCs w:val="24"/>
              </w:rPr>
              <w:t>②动态度量：系统文件完整性检查、合法性判断；</w:t>
            </w:r>
          </w:p>
          <w:p w14:paraId="012F9A2A">
            <w:pPr>
              <w:pStyle w:val="9"/>
              <w:rPr>
                <w:rFonts w:hint="eastAsia" w:ascii="仿宋" w:hAnsi="仿宋" w:eastAsia="仿宋" w:cs="仿宋"/>
                <w:kern w:val="0"/>
                <w:sz w:val="24"/>
                <w:szCs w:val="24"/>
              </w:rPr>
            </w:pPr>
            <w:r>
              <w:rPr>
                <w:rFonts w:hint="eastAsia" w:ascii="仿宋" w:hAnsi="仿宋" w:eastAsia="仿宋" w:cs="仿宋"/>
                <w:kern w:val="0"/>
                <w:sz w:val="24"/>
                <w:szCs w:val="24"/>
              </w:rPr>
              <w:t>③TEE 可信环境：敏感数据安全存储、全盘加密；</w:t>
            </w:r>
          </w:p>
        </w:tc>
      </w:tr>
      <w:tr w14:paraId="50555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Align w:val="center"/>
          </w:tcPr>
          <w:p w14:paraId="399EE773">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（三）</w:t>
            </w:r>
            <w:r>
              <w:rPr>
                <w:rFonts w:hint="eastAsia" w:ascii="仿宋" w:hAnsi="仿宋" w:eastAsia="仿宋" w:cs="仿宋"/>
                <w:kern w:val="0"/>
                <w:sz w:val="24"/>
                <w:szCs w:val="24"/>
                <w:lang w:val="en-US" w:eastAsia="zh-CN"/>
              </w:rPr>
              <w:t>网络及流量</w:t>
            </w:r>
            <w:r>
              <w:rPr>
                <w:rFonts w:hint="eastAsia" w:ascii="仿宋" w:hAnsi="仿宋" w:eastAsia="仿宋" w:cs="仿宋"/>
                <w:kern w:val="0"/>
                <w:sz w:val="24"/>
                <w:szCs w:val="24"/>
              </w:rPr>
              <w:t>服务</w:t>
            </w:r>
          </w:p>
        </w:tc>
        <w:tc>
          <w:tcPr>
            <w:tcW w:w="8073" w:type="dxa"/>
            <w:gridSpan w:val="2"/>
            <w:vAlign w:val="center"/>
          </w:tcPr>
          <w:p w14:paraId="2021EB87">
            <w:pPr>
              <w:pStyle w:val="9"/>
              <w:rPr>
                <w:rFonts w:hint="eastAsia" w:ascii="仿宋" w:hAnsi="仿宋" w:eastAsia="仿宋" w:cs="仿宋"/>
                <w:kern w:val="0"/>
                <w:sz w:val="24"/>
                <w:szCs w:val="24"/>
              </w:rPr>
            </w:pPr>
            <w:r>
              <w:rPr>
                <w:rFonts w:hint="eastAsia" w:ascii="仿宋" w:hAnsi="仿宋" w:eastAsia="仿宋" w:cs="仿宋"/>
                <w:sz w:val="24"/>
                <w:szCs w:val="24"/>
                <w:lang w:val="en-US" w:eastAsia="zh-CN"/>
              </w:rPr>
              <w:t>*</w:t>
            </w:r>
            <w:r>
              <w:rPr>
                <w:rFonts w:hint="eastAsia" w:ascii="仿宋" w:hAnsi="仿宋" w:eastAsia="仿宋" w:cs="仿宋"/>
                <w:color w:val="auto"/>
                <w:kern w:val="0"/>
                <w:sz w:val="24"/>
                <w:szCs w:val="24"/>
                <w:highlight w:val="none"/>
              </w:rPr>
              <w:t>每套专网数据流量每月不少于</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0G,语音通话每月不少于</w:t>
            </w:r>
            <w:r>
              <w:rPr>
                <w:rFonts w:hint="eastAsia" w:ascii="仿宋" w:hAnsi="仿宋" w:eastAsia="仿宋" w:cs="仿宋"/>
                <w:color w:val="auto"/>
                <w:kern w:val="0"/>
                <w:sz w:val="24"/>
                <w:szCs w:val="24"/>
                <w:highlight w:val="none"/>
                <w:lang w:val="en-US" w:eastAsia="zh-CN"/>
              </w:rPr>
              <w:t>20</w:t>
            </w:r>
            <w:r>
              <w:rPr>
                <w:rFonts w:hint="eastAsia" w:ascii="仿宋" w:hAnsi="仿宋" w:eastAsia="仿宋" w:cs="仿宋"/>
                <w:color w:val="auto"/>
                <w:kern w:val="0"/>
                <w:sz w:val="24"/>
                <w:szCs w:val="24"/>
                <w:highlight w:val="none"/>
              </w:rPr>
              <w:t>00分钟。</w:t>
            </w:r>
          </w:p>
        </w:tc>
      </w:tr>
      <w:tr w14:paraId="31936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Align w:val="center"/>
          </w:tcPr>
          <w:p w14:paraId="746ECEC5">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（四）加密卡匹配</w:t>
            </w:r>
          </w:p>
        </w:tc>
        <w:tc>
          <w:tcPr>
            <w:tcW w:w="8073" w:type="dxa"/>
            <w:gridSpan w:val="2"/>
            <w:vAlign w:val="center"/>
          </w:tcPr>
          <w:p w14:paraId="59FF48A9">
            <w:pPr>
              <w:pStyle w:val="9"/>
              <w:rPr>
                <w:rFonts w:hint="eastAsia" w:ascii="仿宋" w:hAnsi="仿宋" w:eastAsia="仿宋" w:cs="仿宋"/>
                <w:kern w:val="0"/>
                <w:sz w:val="24"/>
                <w:szCs w:val="24"/>
              </w:rPr>
            </w:pPr>
            <w:r>
              <w:rPr>
                <w:rFonts w:hint="eastAsia" w:ascii="仿宋" w:hAnsi="仿宋" w:eastAsia="仿宋" w:cs="仿宋"/>
                <w:sz w:val="24"/>
                <w:szCs w:val="24"/>
                <w:lang w:val="en-US" w:eastAsia="zh-CN"/>
              </w:rPr>
              <w:t>*</w:t>
            </w:r>
            <w:r>
              <w:rPr>
                <w:rFonts w:hint="eastAsia" w:ascii="仿宋" w:hAnsi="仿宋" w:eastAsia="仿宋" w:cs="仿宋"/>
                <w:kern w:val="0"/>
                <w:sz w:val="24"/>
                <w:szCs w:val="24"/>
              </w:rPr>
              <w:t>提</w:t>
            </w:r>
            <w:r>
              <w:rPr>
                <w:rFonts w:hint="eastAsia" w:ascii="仿宋" w:hAnsi="仿宋" w:eastAsia="仿宋" w:cs="仿宋"/>
                <w:kern w:val="0"/>
                <w:sz w:val="24"/>
                <w:szCs w:val="24"/>
                <w:highlight w:val="none"/>
              </w:rPr>
              <w:t>供</w:t>
            </w:r>
            <w:r>
              <w:rPr>
                <w:rFonts w:hint="eastAsia" w:ascii="仿宋" w:hAnsi="仿宋" w:eastAsia="仿宋" w:cs="仿宋"/>
                <w:kern w:val="0"/>
                <w:sz w:val="24"/>
                <w:szCs w:val="24"/>
                <w:highlight w:val="none"/>
                <w:lang w:val="en-US" w:eastAsia="zh-CN"/>
              </w:rPr>
              <w:t>全量</w:t>
            </w:r>
            <w:r>
              <w:rPr>
                <w:rFonts w:hint="eastAsia" w:ascii="仿宋" w:hAnsi="仿宋" w:eastAsia="仿宋" w:cs="仿宋"/>
                <w:kern w:val="0"/>
                <w:sz w:val="24"/>
                <w:szCs w:val="24"/>
                <w:highlight w:val="none"/>
              </w:rPr>
              <w:t>适配</w:t>
            </w:r>
            <w:r>
              <w:rPr>
                <w:rFonts w:hint="eastAsia" w:ascii="仿宋" w:hAnsi="仿宋" w:eastAsia="仿宋" w:cs="仿宋"/>
                <w:kern w:val="0"/>
                <w:sz w:val="24"/>
                <w:szCs w:val="24"/>
              </w:rPr>
              <w:t>移动警务终端的SIM-key加密卡，通过新版云南公安移动警务平台管理系统鉴别评估模块，开展证书签发、三码绑定（SIM卡编号、加密卡编号、手机串号）。</w:t>
            </w:r>
          </w:p>
        </w:tc>
      </w:tr>
      <w:tr w14:paraId="6E471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restart"/>
            <w:vAlign w:val="center"/>
          </w:tcPr>
          <w:p w14:paraId="7EEB916D">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（五）基础网络保障服务</w:t>
            </w:r>
          </w:p>
        </w:tc>
        <w:tc>
          <w:tcPr>
            <w:tcW w:w="1430" w:type="dxa"/>
            <w:vAlign w:val="center"/>
          </w:tcPr>
          <w:p w14:paraId="2E370ABE">
            <w:pPr>
              <w:pStyle w:val="9"/>
              <w:rPr>
                <w:rFonts w:hint="eastAsia" w:ascii="仿宋" w:hAnsi="仿宋" w:eastAsia="仿宋" w:cs="仿宋"/>
                <w:kern w:val="0"/>
                <w:sz w:val="24"/>
                <w:szCs w:val="24"/>
              </w:rPr>
            </w:pPr>
            <w:r>
              <w:rPr>
                <w:rFonts w:hint="eastAsia" w:ascii="仿宋" w:hAnsi="仿宋" w:eastAsia="仿宋" w:cs="仿宋"/>
                <w:kern w:val="0"/>
                <w:sz w:val="24"/>
                <w:szCs w:val="24"/>
              </w:rPr>
              <w:t>1、在玉龙县配置足量维护人员，并指定专人负责网络系统维护管理</w:t>
            </w:r>
          </w:p>
        </w:tc>
        <w:tc>
          <w:tcPr>
            <w:tcW w:w="6643" w:type="dxa"/>
            <w:vAlign w:val="center"/>
          </w:tcPr>
          <w:p w14:paraId="10A3F684">
            <w:pPr>
              <w:pStyle w:val="9"/>
              <w:rPr>
                <w:rFonts w:hint="eastAsia" w:ascii="仿宋" w:hAnsi="仿宋" w:eastAsia="仿宋" w:cs="仿宋"/>
                <w:kern w:val="0"/>
                <w:sz w:val="24"/>
                <w:szCs w:val="24"/>
              </w:rPr>
            </w:pPr>
            <w:r>
              <w:rPr>
                <w:rFonts w:hint="eastAsia" w:ascii="仿宋" w:hAnsi="仿宋" w:eastAsia="仿宋" w:cs="仿宋"/>
                <w:kern w:val="0"/>
                <w:sz w:val="24"/>
                <w:szCs w:val="24"/>
              </w:rPr>
              <w:t>项目经理配置：需配备项目经理1名(具备相关业务证书)，负责项目组人员管理、职责管理、进度管理、质量管理、技能培训等管理工作。</w:t>
            </w:r>
          </w:p>
          <w:p w14:paraId="7D34D11C">
            <w:pPr>
              <w:pStyle w:val="9"/>
              <w:rPr>
                <w:rFonts w:hint="default" w:ascii="仿宋" w:hAnsi="仿宋" w:eastAsia="仿宋" w:cs="仿宋"/>
                <w:kern w:val="0"/>
                <w:sz w:val="24"/>
                <w:szCs w:val="24"/>
                <w:lang w:val="en-US" w:eastAsia="zh-CN"/>
              </w:rPr>
            </w:pPr>
            <w:r>
              <w:rPr>
                <w:rFonts w:hint="eastAsia" w:ascii="仿宋" w:hAnsi="仿宋" w:eastAsia="仿宋" w:cs="仿宋"/>
                <w:kern w:val="0"/>
                <w:sz w:val="24"/>
                <w:szCs w:val="24"/>
              </w:rPr>
              <w:t>项目服务人员配置：需配备不少于2名专业人员，对项目服务期间提供现场或远程</w:t>
            </w:r>
            <w:r>
              <w:rPr>
                <w:rFonts w:hint="eastAsia" w:ascii="仿宋" w:hAnsi="仿宋" w:eastAsia="仿宋" w:cs="仿宋"/>
                <w:kern w:val="0"/>
                <w:sz w:val="24"/>
                <w:szCs w:val="24"/>
                <w:highlight w:val="none"/>
              </w:rPr>
              <w:t>技术支持等。</w:t>
            </w:r>
          </w:p>
        </w:tc>
      </w:tr>
      <w:tr w14:paraId="5F40F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37639074">
            <w:pPr>
              <w:pStyle w:val="9"/>
              <w:rPr>
                <w:rFonts w:hint="eastAsia" w:ascii="仿宋" w:hAnsi="仿宋" w:eastAsia="仿宋" w:cs="仿宋"/>
                <w:kern w:val="0"/>
                <w:sz w:val="24"/>
                <w:szCs w:val="24"/>
              </w:rPr>
            </w:pPr>
          </w:p>
        </w:tc>
        <w:tc>
          <w:tcPr>
            <w:tcW w:w="8073" w:type="dxa"/>
            <w:gridSpan w:val="2"/>
            <w:vAlign w:val="center"/>
          </w:tcPr>
          <w:p w14:paraId="01A98431">
            <w:pPr>
              <w:pStyle w:val="9"/>
              <w:rPr>
                <w:rFonts w:hint="eastAsia" w:ascii="仿宋" w:hAnsi="仿宋" w:eastAsia="仿宋" w:cs="仿宋"/>
                <w:kern w:val="0"/>
                <w:sz w:val="24"/>
                <w:szCs w:val="24"/>
              </w:rPr>
            </w:pPr>
            <w:r>
              <w:rPr>
                <w:rFonts w:hint="eastAsia" w:ascii="仿宋" w:hAnsi="仿宋" w:eastAsia="仿宋" w:cs="仿宋"/>
                <w:kern w:val="0"/>
                <w:sz w:val="24"/>
                <w:szCs w:val="24"/>
              </w:rPr>
              <w:t xml:space="preserve">2、发生问题立即响应，发生故障8小时内解决，故障排除后，30分钟内反馈业主方，并在故障排除后24小时内对用户进行故障排除回访； </w:t>
            </w:r>
          </w:p>
        </w:tc>
      </w:tr>
      <w:tr w14:paraId="0851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5AF5BF52">
            <w:pPr>
              <w:pStyle w:val="9"/>
              <w:rPr>
                <w:rFonts w:hint="eastAsia" w:ascii="仿宋" w:hAnsi="仿宋" w:eastAsia="仿宋" w:cs="仿宋"/>
                <w:kern w:val="0"/>
                <w:sz w:val="24"/>
                <w:szCs w:val="24"/>
              </w:rPr>
            </w:pPr>
          </w:p>
        </w:tc>
        <w:tc>
          <w:tcPr>
            <w:tcW w:w="8073" w:type="dxa"/>
            <w:gridSpan w:val="2"/>
            <w:vAlign w:val="center"/>
          </w:tcPr>
          <w:p w14:paraId="20B985E2">
            <w:pPr>
              <w:pStyle w:val="9"/>
              <w:rPr>
                <w:rFonts w:hint="eastAsia" w:ascii="仿宋" w:hAnsi="仿宋" w:eastAsia="仿宋" w:cs="仿宋"/>
                <w:kern w:val="0"/>
                <w:sz w:val="24"/>
                <w:szCs w:val="24"/>
              </w:rPr>
            </w:pPr>
            <w:r>
              <w:rPr>
                <w:rFonts w:hint="eastAsia" w:ascii="仿宋" w:hAnsi="仿宋" w:eastAsia="仿宋" w:cs="仿宋"/>
                <w:kern w:val="0"/>
                <w:sz w:val="24"/>
                <w:szCs w:val="24"/>
              </w:rPr>
              <w:t>3、在大规模网络检修或升级前24小时，将通知采购方，同时做好应急预案；</w:t>
            </w:r>
          </w:p>
        </w:tc>
      </w:tr>
      <w:tr w14:paraId="774D9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4842FB61">
            <w:pPr>
              <w:pStyle w:val="9"/>
              <w:rPr>
                <w:rFonts w:hint="eastAsia" w:ascii="仿宋" w:hAnsi="仿宋" w:eastAsia="仿宋" w:cs="仿宋"/>
                <w:kern w:val="0"/>
                <w:sz w:val="24"/>
                <w:szCs w:val="24"/>
              </w:rPr>
            </w:pPr>
          </w:p>
        </w:tc>
        <w:tc>
          <w:tcPr>
            <w:tcW w:w="8073" w:type="dxa"/>
            <w:gridSpan w:val="2"/>
            <w:vAlign w:val="center"/>
          </w:tcPr>
          <w:p w14:paraId="4CB282B7">
            <w:pPr>
              <w:pStyle w:val="9"/>
              <w:rPr>
                <w:rFonts w:hint="eastAsia" w:ascii="仿宋" w:hAnsi="仿宋" w:eastAsia="仿宋" w:cs="仿宋"/>
                <w:kern w:val="0"/>
                <w:sz w:val="24"/>
                <w:szCs w:val="24"/>
              </w:rPr>
            </w:pPr>
            <w:r>
              <w:rPr>
                <w:rFonts w:hint="eastAsia" w:ascii="仿宋" w:hAnsi="仿宋" w:eastAsia="仿宋" w:cs="仿宋"/>
                <w:kern w:val="0"/>
                <w:sz w:val="24"/>
                <w:szCs w:val="24"/>
              </w:rPr>
              <w:t>4、定期组织人员对网络进行巡检，保证网络安全以及稳定；</w:t>
            </w:r>
          </w:p>
        </w:tc>
      </w:tr>
      <w:tr w14:paraId="7497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766B36FD">
            <w:pPr>
              <w:pStyle w:val="9"/>
              <w:rPr>
                <w:rFonts w:hint="eastAsia" w:ascii="仿宋" w:hAnsi="仿宋" w:eastAsia="仿宋" w:cs="仿宋"/>
                <w:kern w:val="0"/>
                <w:sz w:val="24"/>
                <w:szCs w:val="24"/>
              </w:rPr>
            </w:pPr>
          </w:p>
        </w:tc>
        <w:tc>
          <w:tcPr>
            <w:tcW w:w="8073" w:type="dxa"/>
            <w:gridSpan w:val="2"/>
            <w:vAlign w:val="center"/>
          </w:tcPr>
          <w:p w14:paraId="0A297C6D">
            <w:pPr>
              <w:pStyle w:val="9"/>
              <w:rPr>
                <w:rFonts w:hint="eastAsia" w:ascii="仿宋" w:hAnsi="仿宋" w:eastAsia="仿宋" w:cs="仿宋"/>
                <w:kern w:val="0"/>
                <w:sz w:val="24"/>
                <w:szCs w:val="24"/>
              </w:rPr>
            </w:pPr>
            <w:r>
              <w:rPr>
                <w:rFonts w:hint="eastAsia" w:ascii="仿宋" w:hAnsi="仿宋" w:eastAsia="仿宋" w:cs="仿宋"/>
                <w:kern w:val="0"/>
                <w:sz w:val="24"/>
                <w:szCs w:val="24"/>
              </w:rPr>
              <w:t>5、每季度末（或按采购方需求）向采购方提供网络租赁服务质量报表，报表包含线路测试数据和线路接通率。</w:t>
            </w:r>
          </w:p>
        </w:tc>
      </w:tr>
      <w:tr w14:paraId="656EE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restart"/>
            <w:vAlign w:val="center"/>
          </w:tcPr>
          <w:p w14:paraId="65AB2D92">
            <w:pPr>
              <w:pStyle w:val="9"/>
              <w:jc w:val="center"/>
              <w:rPr>
                <w:rFonts w:hint="eastAsia" w:ascii="仿宋" w:hAnsi="仿宋" w:eastAsia="仿宋" w:cs="仿宋"/>
                <w:kern w:val="0"/>
                <w:sz w:val="24"/>
                <w:szCs w:val="24"/>
              </w:rPr>
            </w:pPr>
            <w:r>
              <w:rPr>
                <w:rFonts w:hint="eastAsia" w:ascii="仿宋" w:hAnsi="仿宋" w:eastAsia="仿宋" w:cs="仿宋"/>
                <w:kern w:val="0"/>
                <w:sz w:val="24"/>
                <w:szCs w:val="24"/>
              </w:rPr>
              <w:t>（六）服务需求</w:t>
            </w:r>
          </w:p>
        </w:tc>
        <w:tc>
          <w:tcPr>
            <w:tcW w:w="8073" w:type="dxa"/>
            <w:gridSpan w:val="2"/>
            <w:vAlign w:val="center"/>
          </w:tcPr>
          <w:p w14:paraId="73001693">
            <w:pPr>
              <w:pStyle w:val="9"/>
              <w:rPr>
                <w:rFonts w:hint="eastAsia" w:ascii="仿宋" w:hAnsi="仿宋" w:eastAsia="仿宋" w:cs="仿宋"/>
                <w:kern w:val="0"/>
                <w:sz w:val="24"/>
                <w:szCs w:val="24"/>
              </w:rPr>
            </w:pPr>
            <w:r>
              <w:rPr>
                <w:rFonts w:hint="eastAsia" w:ascii="仿宋" w:hAnsi="仿宋" w:eastAsia="仿宋" w:cs="仿宋"/>
                <w:kern w:val="0"/>
                <w:sz w:val="24"/>
                <w:szCs w:val="24"/>
              </w:rPr>
              <w:t>1、在县公安机关配备专属的客户经理，客户经理按周、按月开展回访及其他服务工作，凡有业务办理需求，8小时内开通；投诉、故障处理，2小时以内给予初步答复，并于24小时内首次回复处理结果。</w:t>
            </w:r>
          </w:p>
        </w:tc>
      </w:tr>
      <w:tr w14:paraId="5B2F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14:paraId="6B5729BF">
            <w:pPr>
              <w:pStyle w:val="9"/>
              <w:rPr>
                <w:rFonts w:hint="eastAsia" w:ascii="仿宋" w:hAnsi="仿宋" w:eastAsia="仿宋" w:cs="仿宋"/>
                <w:kern w:val="0"/>
                <w:sz w:val="24"/>
                <w:szCs w:val="24"/>
              </w:rPr>
            </w:pPr>
          </w:p>
        </w:tc>
        <w:tc>
          <w:tcPr>
            <w:tcW w:w="8073" w:type="dxa"/>
            <w:gridSpan w:val="2"/>
            <w:vAlign w:val="center"/>
          </w:tcPr>
          <w:p w14:paraId="09E96E0A">
            <w:pPr>
              <w:pStyle w:val="9"/>
              <w:rPr>
                <w:rFonts w:hint="eastAsia" w:ascii="仿宋" w:hAnsi="仿宋" w:eastAsia="仿宋" w:cs="仿宋"/>
                <w:kern w:val="0"/>
                <w:sz w:val="24"/>
                <w:szCs w:val="24"/>
              </w:rPr>
            </w:pPr>
            <w:r>
              <w:rPr>
                <w:rFonts w:hint="eastAsia" w:ascii="仿宋" w:hAnsi="仿宋" w:eastAsia="仿宋" w:cs="仿宋"/>
                <w:kern w:val="0"/>
                <w:sz w:val="24"/>
                <w:szCs w:val="24"/>
              </w:rPr>
              <w:t>2、第一时间配合公安机关做好案件协查工作，同时为保证公安机关及时开展指挥调度做好相关的网络服务，积极配合开展各项专项整治行动和宣传教育活动。</w:t>
            </w:r>
          </w:p>
        </w:tc>
      </w:tr>
    </w:tbl>
    <w:p w14:paraId="3BF56116">
      <w:pPr>
        <w:pStyle w:val="28"/>
        <w:rPr>
          <w:rFonts w:hint="eastAsia" w:ascii="仿宋" w:hAnsi="仿宋" w:eastAsia="仿宋" w:cs="仿宋"/>
          <w:b/>
          <w:sz w:val="24"/>
          <w:szCs w:val="24"/>
        </w:rPr>
      </w:pPr>
    </w:p>
    <w:p w14:paraId="7159ABBD">
      <w:pPr>
        <w:pStyle w:val="28"/>
        <w:rPr>
          <w:rFonts w:hint="eastAsia" w:ascii="仿宋" w:hAnsi="仿宋" w:eastAsia="仿宋" w:cs="仿宋"/>
          <w:b/>
          <w:sz w:val="24"/>
          <w:szCs w:val="24"/>
        </w:rPr>
      </w:pPr>
    </w:p>
    <w:p w14:paraId="4F9A514C">
      <w:pPr>
        <w:pStyle w:val="10"/>
        <w:spacing w:line="480" w:lineRule="auto"/>
        <w:ind w:left="0" w:leftChars="0"/>
        <w:rPr>
          <w:rFonts w:hint="eastAsia" w:ascii="仿宋" w:hAnsi="仿宋" w:eastAsia="仿宋" w:cs="仿宋"/>
          <w:b/>
          <w:bCs/>
          <w:sz w:val="24"/>
          <w:szCs w:val="24"/>
        </w:rPr>
      </w:pPr>
      <w:r>
        <w:rPr>
          <w:rFonts w:hint="eastAsia" w:ascii="仿宋" w:hAnsi="仿宋" w:eastAsia="仿宋" w:cs="仿宋"/>
          <w:b/>
          <w:sz w:val="24"/>
          <w:szCs w:val="24"/>
        </w:rPr>
        <w:t>五、项目服务要求</w:t>
      </w:r>
    </w:p>
    <w:p w14:paraId="6E2DB54F">
      <w:pPr>
        <w:spacing w:line="360" w:lineRule="auto"/>
        <w:ind w:firstLine="480" w:firstLineChars="200"/>
        <w:rPr>
          <w:rFonts w:hint="eastAsia" w:ascii="仿宋" w:hAnsi="仿宋" w:eastAsia="仿宋" w:cs="仿宋"/>
          <w:bCs/>
          <w:color w:val="000000"/>
          <w:sz w:val="24"/>
          <w:szCs w:val="24"/>
        </w:rPr>
      </w:pPr>
      <w:r>
        <w:rPr>
          <w:rFonts w:hint="eastAsia" w:ascii="仿宋" w:hAnsi="仿宋" w:eastAsia="仿宋" w:cs="仿宋"/>
          <w:sz w:val="24"/>
          <w:szCs w:val="24"/>
          <w:lang w:val="en-US" w:eastAsia="zh-CN"/>
        </w:rPr>
        <w:t>*</w:t>
      </w:r>
      <w:r>
        <w:rPr>
          <w:rFonts w:hint="eastAsia" w:ascii="仿宋" w:hAnsi="仿宋" w:eastAsia="仿宋" w:cs="仿宋"/>
          <w:bCs/>
          <w:color w:val="000000"/>
          <w:sz w:val="24"/>
          <w:szCs w:val="24"/>
        </w:rPr>
        <w:t>（一）拟定为采购方提</w:t>
      </w:r>
      <w:r>
        <w:rPr>
          <w:rFonts w:hint="eastAsia" w:ascii="仿宋" w:hAnsi="仿宋" w:eastAsia="仿宋" w:cs="仿宋"/>
          <w:bCs/>
          <w:color w:val="000000"/>
          <w:sz w:val="24"/>
          <w:szCs w:val="24"/>
          <w:highlight w:val="none"/>
        </w:rPr>
        <w:t>供357套移动警务</w:t>
      </w:r>
      <w:r>
        <w:rPr>
          <w:rFonts w:hint="eastAsia" w:ascii="仿宋" w:hAnsi="仿宋" w:eastAsia="仿宋" w:cs="仿宋"/>
          <w:bCs/>
          <w:color w:val="000000"/>
          <w:sz w:val="24"/>
          <w:szCs w:val="24"/>
          <w:highlight w:val="none"/>
          <w:lang w:val="en-US" w:eastAsia="zh-CN"/>
        </w:rPr>
        <w:t>服务</w:t>
      </w:r>
      <w:r>
        <w:rPr>
          <w:rFonts w:hint="eastAsia" w:ascii="仿宋" w:hAnsi="仿宋" w:eastAsia="仿宋" w:cs="仿宋"/>
          <w:bCs/>
          <w:color w:val="000000"/>
          <w:sz w:val="24"/>
          <w:szCs w:val="24"/>
          <w:highlight w:val="none"/>
        </w:rPr>
        <w:t>（最</w:t>
      </w:r>
      <w:r>
        <w:rPr>
          <w:rFonts w:hint="eastAsia" w:ascii="仿宋" w:hAnsi="仿宋" w:eastAsia="仿宋" w:cs="仿宋"/>
          <w:bCs/>
          <w:color w:val="000000"/>
          <w:sz w:val="24"/>
          <w:szCs w:val="24"/>
        </w:rPr>
        <w:t>终</w:t>
      </w:r>
      <w:r>
        <w:rPr>
          <w:rFonts w:hint="eastAsia" w:ascii="仿宋" w:hAnsi="仿宋" w:eastAsia="仿宋" w:cs="仿宋"/>
          <w:bCs/>
          <w:color w:val="000000"/>
          <w:sz w:val="24"/>
          <w:szCs w:val="24"/>
          <w:lang w:val="en-US" w:eastAsia="zh-CN"/>
        </w:rPr>
        <w:t>服务量</w:t>
      </w:r>
      <w:r>
        <w:rPr>
          <w:rFonts w:hint="eastAsia" w:ascii="仿宋" w:hAnsi="仿宋" w:eastAsia="仿宋" w:cs="仿宋"/>
          <w:bCs/>
          <w:color w:val="000000"/>
          <w:sz w:val="24"/>
          <w:szCs w:val="24"/>
        </w:rPr>
        <w:t>为每月实际使用数量为准），</w:t>
      </w:r>
      <w:r>
        <w:rPr>
          <w:rFonts w:hint="eastAsia" w:ascii="仿宋" w:hAnsi="仿宋" w:eastAsia="仿宋" w:cs="仿宋"/>
          <w:bCs/>
          <w:color w:val="000000"/>
          <w:sz w:val="24"/>
          <w:szCs w:val="24"/>
          <w:lang w:val="en-US" w:eastAsia="zh-CN"/>
        </w:rPr>
        <w:t>并提供相应的配套服务</w:t>
      </w:r>
      <w:r>
        <w:rPr>
          <w:rFonts w:hint="eastAsia" w:ascii="仿宋" w:hAnsi="仿宋" w:eastAsia="仿宋" w:cs="仿宋"/>
          <w:bCs/>
          <w:color w:val="000000"/>
          <w:sz w:val="24"/>
          <w:szCs w:val="24"/>
        </w:rPr>
        <w:t>，并到采购方指定地点</w:t>
      </w:r>
      <w:r>
        <w:rPr>
          <w:rFonts w:hint="eastAsia" w:ascii="仿宋" w:hAnsi="仿宋" w:eastAsia="仿宋" w:cs="仿宋"/>
          <w:bCs/>
          <w:color w:val="000000"/>
          <w:sz w:val="24"/>
          <w:szCs w:val="24"/>
          <w:lang w:val="en-US" w:eastAsia="zh-CN"/>
        </w:rPr>
        <w:t>交付</w:t>
      </w:r>
      <w:r>
        <w:rPr>
          <w:rFonts w:hint="eastAsia" w:ascii="仿宋" w:hAnsi="仿宋" w:eastAsia="仿宋" w:cs="仿宋"/>
          <w:bCs/>
          <w:color w:val="000000"/>
          <w:sz w:val="24"/>
          <w:szCs w:val="24"/>
        </w:rPr>
        <w:t>。</w:t>
      </w:r>
    </w:p>
    <w:p w14:paraId="6A919CB2">
      <w:pPr>
        <w:pStyle w:val="28"/>
        <w:spacing w:line="360" w:lineRule="auto"/>
        <w:ind w:firstLine="520" w:firstLineChars="200"/>
        <w:rPr>
          <w:rFonts w:hint="eastAsia" w:ascii="仿宋" w:hAnsi="仿宋" w:eastAsia="仿宋" w:cs="仿宋"/>
          <w:color w:val="000000"/>
          <w:spacing w:val="0"/>
          <w:kern w:val="2"/>
          <w:sz w:val="24"/>
          <w:szCs w:val="24"/>
        </w:rPr>
      </w:pPr>
      <w:r>
        <w:rPr>
          <w:rFonts w:hint="eastAsia" w:ascii="仿宋" w:hAnsi="仿宋" w:eastAsia="仿宋" w:cs="仿宋"/>
          <w:sz w:val="24"/>
          <w:szCs w:val="24"/>
          <w:lang w:val="en-US" w:eastAsia="zh-CN"/>
        </w:rPr>
        <w:t>*</w:t>
      </w:r>
      <w:r>
        <w:rPr>
          <w:rFonts w:hint="eastAsia" w:ascii="仿宋" w:hAnsi="仿宋" w:eastAsia="仿宋" w:cs="仿宋"/>
          <w:color w:val="000000"/>
          <w:spacing w:val="0"/>
          <w:kern w:val="2"/>
          <w:sz w:val="24"/>
          <w:szCs w:val="24"/>
        </w:rPr>
        <w:t>（二）移动警务</w:t>
      </w:r>
      <w:r>
        <w:rPr>
          <w:rFonts w:hint="eastAsia" w:ascii="仿宋" w:hAnsi="仿宋" w:eastAsia="仿宋" w:cs="仿宋"/>
          <w:color w:val="000000"/>
          <w:spacing w:val="0"/>
          <w:kern w:val="2"/>
          <w:sz w:val="24"/>
          <w:szCs w:val="24"/>
          <w:lang w:val="en-US" w:eastAsia="zh-CN"/>
        </w:rPr>
        <w:t>服务需能对</w:t>
      </w:r>
      <w:r>
        <w:rPr>
          <w:rFonts w:hint="eastAsia" w:ascii="仿宋" w:hAnsi="仿宋" w:eastAsia="仿宋" w:cs="仿宋"/>
          <w:color w:val="000000"/>
          <w:spacing w:val="0"/>
          <w:kern w:val="2"/>
          <w:sz w:val="24"/>
          <w:szCs w:val="24"/>
        </w:rPr>
        <w:t>接入省公安厅VPN接口、搭建边界传输通道；</w:t>
      </w:r>
    </w:p>
    <w:p w14:paraId="72712220">
      <w:pPr>
        <w:pStyle w:val="28"/>
        <w:numPr>
          <w:ilvl w:val="0"/>
          <w:numId w:val="0"/>
        </w:numPr>
        <w:spacing w:line="360" w:lineRule="auto"/>
        <w:ind w:firstLine="480" w:firstLineChars="200"/>
        <w:rPr>
          <w:rFonts w:hint="eastAsia" w:ascii="仿宋" w:hAnsi="仿宋" w:eastAsia="仿宋" w:cs="仿宋"/>
          <w:color w:val="auto"/>
          <w:spacing w:val="0"/>
          <w:kern w:val="2"/>
          <w:sz w:val="24"/>
          <w:szCs w:val="24"/>
          <w:highlight w:val="yellow"/>
        </w:rPr>
      </w:pPr>
      <w:r>
        <w:rPr>
          <w:rFonts w:hint="eastAsia" w:ascii="仿宋" w:hAnsi="仿宋" w:eastAsia="仿宋" w:cs="仿宋"/>
          <w:color w:val="auto"/>
          <w:spacing w:val="0"/>
          <w:kern w:val="2"/>
          <w:sz w:val="24"/>
          <w:szCs w:val="24"/>
        </w:rPr>
        <w:t>（</w:t>
      </w:r>
      <w:r>
        <w:rPr>
          <w:rFonts w:hint="eastAsia" w:ascii="仿宋" w:hAnsi="仿宋" w:eastAsia="仿宋" w:cs="仿宋"/>
          <w:color w:val="auto"/>
          <w:spacing w:val="0"/>
          <w:kern w:val="2"/>
          <w:sz w:val="24"/>
          <w:szCs w:val="24"/>
          <w:lang w:val="en-US" w:eastAsia="zh-CN"/>
        </w:rPr>
        <w:t>三</w:t>
      </w:r>
      <w:r>
        <w:rPr>
          <w:rFonts w:hint="eastAsia" w:ascii="仿宋" w:hAnsi="仿宋" w:eastAsia="仿宋" w:cs="仿宋"/>
          <w:color w:val="auto"/>
          <w:spacing w:val="0"/>
          <w:kern w:val="2"/>
          <w:sz w:val="24"/>
          <w:szCs w:val="24"/>
        </w:rPr>
        <w:t>）</w:t>
      </w:r>
      <w:r>
        <w:rPr>
          <w:rFonts w:hint="eastAsia" w:ascii="仿宋" w:hAnsi="仿宋" w:eastAsia="仿宋" w:cs="仿宋"/>
          <w:color w:val="auto"/>
          <w:spacing w:val="0"/>
          <w:kern w:val="2"/>
          <w:sz w:val="24"/>
          <w:szCs w:val="24"/>
          <w:highlight w:val="none"/>
        </w:rPr>
        <w:t>移动警务</w:t>
      </w:r>
      <w:r>
        <w:rPr>
          <w:rFonts w:hint="eastAsia" w:ascii="仿宋" w:hAnsi="仿宋" w:eastAsia="仿宋" w:cs="仿宋"/>
          <w:color w:val="auto"/>
          <w:spacing w:val="0"/>
          <w:kern w:val="2"/>
          <w:sz w:val="24"/>
          <w:szCs w:val="24"/>
          <w:highlight w:val="none"/>
          <w:lang w:val="en-US" w:eastAsia="zh-CN"/>
        </w:rPr>
        <w:t>服务</w:t>
      </w:r>
      <w:r>
        <w:rPr>
          <w:rFonts w:hint="eastAsia" w:ascii="仿宋" w:hAnsi="仿宋" w:eastAsia="仿宋" w:cs="仿宋"/>
          <w:color w:val="auto"/>
          <w:spacing w:val="0"/>
          <w:kern w:val="2"/>
          <w:sz w:val="24"/>
          <w:szCs w:val="24"/>
          <w:highlight w:val="none"/>
        </w:rPr>
        <w:t>使用服务数量增减情况，根据民警实际增减情况，接采购方通知后投标人增加或减少移动警务服务费，实际使用人员</w:t>
      </w:r>
      <w:r>
        <w:rPr>
          <w:rFonts w:hint="eastAsia" w:ascii="仿宋" w:hAnsi="仿宋" w:eastAsia="仿宋" w:cs="仿宋"/>
          <w:color w:val="auto"/>
          <w:spacing w:val="0"/>
          <w:kern w:val="2"/>
          <w:sz w:val="24"/>
          <w:szCs w:val="24"/>
        </w:rPr>
        <w:t>可根据采购方增减情况进行替换，投标人应以实际使用人员数量提供移动警务服务，按实收取使用人员移动警务使用服务费。因退休、离职</w:t>
      </w:r>
      <w:r>
        <w:rPr>
          <w:rFonts w:hint="eastAsia" w:ascii="仿宋" w:hAnsi="仿宋" w:eastAsia="仿宋" w:cs="仿宋"/>
          <w:color w:val="auto"/>
          <w:spacing w:val="0"/>
          <w:kern w:val="2"/>
          <w:sz w:val="24"/>
          <w:szCs w:val="24"/>
          <w:highlight w:val="none"/>
        </w:rPr>
        <w:t>等原因和新增人员未配发移动警务终端的，使用服务费不强制保底和清零，配发终端的使用人员中途离职后</w:t>
      </w:r>
      <w:r>
        <w:rPr>
          <w:rFonts w:hint="eastAsia" w:ascii="仿宋" w:hAnsi="仿宋" w:eastAsia="仿宋" w:cs="仿宋"/>
          <w:color w:val="auto"/>
          <w:spacing w:val="0"/>
          <w:kern w:val="2"/>
          <w:sz w:val="24"/>
          <w:szCs w:val="24"/>
          <w:highlight w:val="none"/>
          <w:lang w:eastAsia="zh-CN"/>
        </w:rPr>
        <w:t>，</w:t>
      </w:r>
      <w:r>
        <w:rPr>
          <w:rFonts w:hint="eastAsia" w:ascii="仿宋" w:hAnsi="仿宋" w:eastAsia="仿宋" w:cs="仿宋"/>
          <w:color w:val="auto"/>
          <w:spacing w:val="0"/>
          <w:kern w:val="2"/>
          <w:sz w:val="24"/>
          <w:szCs w:val="24"/>
          <w:highlight w:val="none"/>
          <w:lang w:val="en-US" w:eastAsia="zh-CN"/>
        </w:rPr>
        <w:t>投标人按甲方意愿无条件将服务转嫁给采购方指定人员，并为离岗终端提供刷机脱敏服务。</w:t>
      </w:r>
    </w:p>
    <w:p w14:paraId="79372AD8">
      <w:pPr>
        <w:pStyle w:val="28"/>
        <w:spacing w:line="360" w:lineRule="auto"/>
        <w:ind w:firstLine="520" w:firstLineChars="200"/>
        <w:rPr>
          <w:rFonts w:hint="eastAsia" w:ascii="仿宋" w:hAnsi="仿宋" w:eastAsia="仿宋" w:cs="仿宋"/>
          <w:color w:val="000000"/>
          <w:spacing w:val="0"/>
          <w:kern w:val="2"/>
          <w:sz w:val="24"/>
          <w:szCs w:val="24"/>
        </w:rPr>
      </w:pPr>
      <w:r>
        <w:rPr>
          <w:rFonts w:hint="eastAsia" w:ascii="仿宋" w:hAnsi="仿宋" w:eastAsia="仿宋" w:cs="仿宋"/>
          <w:sz w:val="24"/>
          <w:szCs w:val="24"/>
          <w:lang w:val="en-US" w:eastAsia="zh-CN"/>
        </w:rPr>
        <w:t>*</w:t>
      </w:r>
      <w:r>
        <w:rPr>
          <w:rFonts w:hint="eastAsia" w:ascii="仿宋" w:hAnsi="仿宋" w:eastAsia="仿宋" w:cs="仿宋"/>
          <w:color w:val="000000"/>
          <w:spacing w:val="0"/>
          <w:kern w:val="2"/>
          <w:sz w:val="24"/>
          <w:szCs w:val="24"/>
        </w:rPr>
        <w:t>（</w:t>
      </w:r>
      <w:r>
        <w:rPr>
          <w:rFonts w:hint="eastAsia" w:ascii="仿宋" w:hAnsi="仿宋" w:eastAsia="仿宋" w:cs="仿宋"/>
          <w:color w:val="000000"/>
          <w:spacing w:val="0"/>
          <w:kern w:val="2"/>
          <w:sz w:val="24"/>
          <w:szCs w:val="24"/>
          <w:lang w:val="en-US" w:eastAsia="zh-CN"/>
        </w:rPr>
        <w:t>四</w:t>
      </w:r>
      <w:r>
        <w:rPr>
          <w:rFonts w:hint="eastAsia" w:ascii="仿宋" w:hAnsi="仿宋" w:eastAsia="仿宋" w:cs="仿宋"/>
          <w:color w:val="000000"/>
          <w:spacing w:val="0"/>
          <w:kern w:val="2"/>
          <w:sz w:val="24"/>
          <w:szCs w:val="24"/>
        </w:rPr>
        <w:t>）移动警务使用服务费本人及民警之间可以相互捆绑使用，服务期到期后，移动警务使用服务费可以清零，超出部分由使用人员个人承担。</w:t>
      </w:r>
    </w:p>
    <w:p w14:paraId="54739F2C">
      <w:pPr>
        <w:pStyle w:val="28"/>
        <w:spacing w:line="360" w:lineRule="auto"/>
        <w:ind w:firstLine="520" w:firstLineChars="200"/>
        <w:rPr>
          <w:rFonts w:hint="eastAsia" w:ascii="仿宋" w:hAnsi="仿宋" w:eastAsia="仿宋" w:cs="仿宋"/>
          <w:color w:val="000000"/>
          <w:spacing w:val="0"/>
          <w:kern w:val="2"/>
          <w:sz w:val="24"/>
          <w:szCs w:val="24"/>
        </w:rPr>
      </w:pPr>
      <w:r>
        <w:rPr>
          <w:rFonts w:hint="eastAsia" w:ascii="仿宋" w:hAnsi="仿宋" w:eastAsia="仿宋" w:cs="仿宋"/>
          <w:sz w:val="24"/>
          <w:szCs w:val="24"/>
          <w:lang w:val="en-US" w:eastAsia="zh-CN"/>
        </w:rPr>
        <w:t>*</w:t>
      </w:r>
      <w:r>
        <w:rPr>
          <w:rFonts w:hint="eastAsia" w:ascii="仿宋" w:hAnsi="仿宋" w:eastAsia="仿宋" w:cs="仿宋"/>
          <w:color w:val="000000"/>
          <w:spacing w:val="0"/>
          <w:kern w:val="2"/>
          <w:sz w:val="24"/>
          <w:szCs w:val="24"/>
        </w:rPr>
        <w:t>（</w:t>
      </w:r>
      <w:r>
        <w:rPr>
          <w:rFonts w:hint="eastAsia" w:ascii="仿宋" w:hAnsi="仿宋" w:eastAsia="仿宋" w:cs="仿宋"/>
          <w:color w:val="000000"/>
          <w:spacing w:val="0"/>
          <w:kern w:val="2"/>
          <w:sz w:val="24"/>
          <w:szCs w:val="24"/>
          <w:lang w:val="en-US" w:eastAsia="zh-CN"/>
        </w:rPr>
        <w:t>五</w:t>
      </w:r>
      <w:r>
        <w:rPr>
          <w:rFonts w:hint="eastAsia" w:ascii="仿宋" w:hAnsi="仿宋" w:eastAsia="仿宋" w:cs="仿宋"/>
          <w:color w:val="000000"/>
          <w:spacing w:val="0"/>
          <w:kern w:val="2"/>
          <w:sz w:val="24"/>
          <w:szCs w:val="24"/>
        </w:rPr>
        <w:t>）保密承诺：移动警务</w:t>
      </w:r>
      <w:r>
        <w:rPr>
          <w:rFonts w:hint="eastAsia" w:ascii="仿宋" w:hAnsi="仿宋" w:eastAsia="仿宋" w:cs="仿宋"/>
          <w:color w:val="000000"/>
          <w:spacing w:val="0"/>
          <w:kern w:val="2"/>
          <w:sz w:val="24"/>
          <w:szCs w:val="24"/>
          <w:lang w:val="en-US" w:eastAsia="zh-CN"/>
        </w:rPr>
        <w:t>服务</w:t>
      </w:r>
      <w:r>
        <w:rPr>
          <w:rFonts w:hint="eastAsia" w:ascii="仿宋" w:hAnsi="仿宋" w:eastAsia="仿宋" w:cs="仿宋"/>
          <w:color w:val="000000"/>
          <w:spacing w:val="0"/>
          <w:kern w:val="2"/>
          <w:sz w:val="24"/>
          <w:szCs w:val="24"/>
        </w:rPr>
        <w:t>运营商确定后，按照公安部信息化合作企业相关要求落实保密主体责任。同时为确保公安信息保密安全，合约期满后，对所有使用的移动警务终端进行刷机脱密处理，将全部终端手机操作系统刷机成对应型号的普通手机单系统（解除工作域系统部分），对于中途退休或离职的使用人员终端，在离职期内完成刷机脱密处理工作。</w:t>
      </w:r>
    </w:p>
    <w:p w14:paraId="72AE3AD1">
      <w:pPr>
        <w:pStyle w:val="28"/>
        <w:spacing w:line="360" w:lineRule="auto"/>
        <w:ind w:firstLine="520" w:firstLineChars="200"/>
        <w:rPr>
          <w:rFonts w:hint="eastAsia" w:ascii="仿宋" w:hAnsi="仿宋" w:eastAsia="仿宋" w:cs="仿宋"/>
          <w:color w:val="000000"/>
          <w:spacing w:val="0"/>
          <w:kern w:val="2"/>
          <w:sz w:val="24"/>
          <w:szCs w:val="24"/>
        </w:rPr>
      </w:pPr>
      <w:r>
        <w:rPr>
          <w:rFonts w:hint="eastAsia" w:ascii="仿宋" w:hAnsi="仿宋" w:eastAsia="仿宋" w:cs="仿宋"/>
          <w:sz w:val="24"/>
          <w:szCs w:val="24"/>
          <w:lang w:val="en-US" w:eastAsia="zh-CN"/>
        </w:rPr>
        <w:t>*</w:t>
      </w:r>
      <w:r>
        <w:rPr>
          <w:rFonts w:hint="eastAsia" w:ascii="仿宋" w:hAnsi="仿宋" w:eastAsia="仿宋" w:cs="仿宋"/>
          <w:color w:val="000000"/>
          <w:spacing w:val="0"/>
          <w:kern w:val="2"/>
          <w:sz w:val="24"/>
          <w:szCs w:val="24"/>
        </w:rPr>
        <w:t>（</w:t>
      </w:r>
      <w:r>
        <w:rPr>
          <w:rFonts w:hint="eastAsia" w:ascii="仿宋" w:hAnsi="仿宋" w:eastAsia="仿宋" w:cs="仿宋"/>
          <w:color w:val="000000"/>
          <w:spacing w:val="0"/>
          <w:kern w:val="2"/>
          <w:sz w:val="24"/>
          <w:szCs w:val="24"/>
          <w:lang w:val="en-US" w:eastAsia="zh-CN"/>
        </w:rPr>
        <w:t>六</w:t>
      </w:r>
      <w:r>
        <w:rPr>
          <w:rFonts w:hint="eastAsia" w:ascii="仿宋" w:hAnsi="仿宋" w:eastAsia="仿宋" w:cs="仿宋"/>
          <w:color w:val="000000"/>
          <w:spacing w:val="0"/>
          <w:kern w:val="2"/>
          <w:sz w:val="24"/>
          <w:szCs w:val="24"/>
        </w:rPr>
        <w:t>）为便于上下工作对接及警务活动的开展，实现与各警务系统的无缝对接，SIM卡对应的运营商号码需在中标后一周内实现携号转网。</w:t>
      </w:r>
    </w:p>
    <w:p w14:paraId="211349FB">
      <w:pPr>
        <w:pStyle w:val="10"/>
        <w:spacing w:line="480" w:lineRule="auto"/>
        <w:ind w:left="0" w:leftChars="0"/>
        <w:rPr>
          <w:rFonts w:hint="eastAsia" w:ascii="仿宋" w:hAnsi="仿宋" w:eastAsia="仿宋" w:cs="仿宋"/>
          <w:b/>
          <w:bCs/>
          <w:sz w:val="24"/>
          <w:szCs w:val="24"/>
        </w:rPr>
      </w:pPr>
      <w:r>
        <w:rPr>
          <w:rFonts w:hint="eastAsia" w:ascii="仿宋" w:hAnsi="仿宋" w:eastAsia="仿宋" w:cs="仿宋"/>
          <w:b/>
          <w:bCs/>
          <w:sz w:val="24"/>
          <w:szCs w:val="24"/>
        </w:rPr>
        <w:t>六、其他补充说明</w:t>
      </w:r>
    </w:p>
    <w:p w14:paraId="7C09E4F1">
      <w:pPr>
        <w:pStyle w:val="10"/>
        <w:spacing w:line="500" w:lineRule="exact"/>
        <w:ind w:left="0" w:leftChars="0" w:firstLine="464" w:firstLineChars="200"/>
        <w:rPr>
          <w:rFonts w:hint="eastAsia" w:ascii="仿宋" w:hAnsi="仿宋" w:eastAsia="仿宋" w:cs="仿宋"/>
          <w:sz w:val="24"/>
          <w:szCs w:val="24"/>
        </w:rPr>
      </w:pPr>
      <w:r>
        <w:rPr>
          <w:rFonts w:hint="eastAsia" w:ascii="仿宋" w:hAnsi="仿宋" w:eastAsia="仿宋" w:cs="仿宋"/>
          <w:sz w:val="24"/>
          <w:szCs w:val="24"/>
        </w:rPr>
        <w:t>（一）根据县公安局</w:t>
      </w:r>
      <w:r>
        <w:rPr>
          <w:rFonts w:hint="eastAsia" w:ascii="仿宋" w:hAnsi="仿宋" w:eastAsia="仿宋" w:cs="仿宋"/>
          <w:sz w:val="24"/>
          <w:szCs w:val="24"/>
          <w:lang w:val="en-US" w:eastAsia="zh-CN"/>
        </w:rPr>
        <w:t>参与服务的全量号码</w:t>
      </w:r>
      <w:r>
        <w:rPr>
          <w:rFonts w:hint="eastAsia" w:ascii="仿宋" w:hAnsi="仿宋" w:eastAsia="仿宋" w:cs="仿宋"/>
          <w:sz w:val="24"/>
          <w:szCs w:val="24"/>
        </w:rPr>
        <w:t>实行“红名单”管理，确保重要岗位人员的通信畅通。</w:t>
      </w:r>
    </w:p>
    <w:p w14:paraId="22A0EBB0">
      <w:pPr>
        <w:pStyle w:val="10"/>
        <w:spacing w:line="500" w:lineRule="exact"/>
        <w:ind w:left="0" w:leftChars="0" w:firstLine="464" w:firstLineChars="200"/>
        <w:rPr>
          <w:rFonts w:hint="eastAsia" w:ascii="仿宋" w:hAnsi="仿宋" w:eastAsia="仿宋" w:cs="仿宋"/>
          <w:sz w:val="24"/>
          <w:szCs w:val="24"/>
        </w:rPr>
      </w:pPr>
      <w:r>
        <w:rPr>
          <w:rFonts w:hint="eastAsia" w:ascii="仿宋" w:hAnsi="仿宋" w:eastAsia="仿宋" w:cs="仿宋"/>
          <w:sz w:val="24"/>
          <w:szCs w:val="24"/>
        </w:rPr>
        <w:t>（二）除约定的网络服务内容外，如因个人订购的其他业务所产生的费用由个人进行支付，按月提供明细帐单给个人进行核对。</w:t>
      </w:r>
    </w:p>
    <w:p w14:paraId="127E756A">
      <w:pPr>
        <w:pStyle w:val="10"/>
        <w:spacing w:line="500" w:lineRule="exact"/>
        <w:ind w:left="0" w:leftChars="0" w:firstLine="464" w:firstLineChars="200"/>
        <w:rPr>
          <w:rFonts w:hint="eastAsia" w:ascii="仿宋" w:hAnsi="仿宋" w:eastAsia="仿宋" w:cs="仿宋"/>
          <w:sz w:val="24"/>
          <w:szCs w:val="24"/>
        </w:rPr>
      </w:pPr>
      <w:r>
        <w:rPr>
          <w:rFonts w:hint="eastAsia" w:ascii="仿宋" w:hAnsi="仿宋" w:eastAsia="仿宋" w:cs="仿宋"/>
          <w:sz w:val="24"/>
          <w:szCs w:val="24"/>
        </w:rPr>
        <w:t>（三）服务期间，加强移动警务</w:t>
      </w:r>
      <w:r>
        <w:rPr>
          <w:rFonts w:hint="eastAsia" w:ascii="仿宋" w:hAnsi="仿宋" w:eastAsia="仿宋" w:cs="仿宋"/>
          <w:sz w:val="24"/>
          <w:szCs w:val="24"/>
          <w:lang w:val="en-US" w:eastAsia="zh-CN"/>
        </w:rPr>
        <w:t>服务</w:t>
      </w:r>
      <w:r>
        <w:rPr>
          <w:rFonts w:hint="eastAsia" w:ascii="仿宋" w:hAnsi="仿宋" w:eastAsia="仿宋" w:cs="仿宋"/>
          <w:sz w:val="24"/>
          <w:szCs w:val="24"/>
        </w:rPr>
        <w:t>使用售后服务，中标方须指定一名售后</w:t>
      </w:r>
      <w:r>
        <w:rPr>
          <w:rFonts w:hint="eastAsia" w:ascii="仿宋" w:hAnsi="仿宋" w:eastAsia="仿宋" w:cs="仿宋"/>
          <w:sz w:val="24"/>
          <w:szCs w:val="24"/>
          <w:lang w:val="en-US" w:eastAsia="zh-CN"/>
        </w:rPr>
        <w:t>服务</w:t>
      </w:r>
      <w:r>
        <w:rPr>
          <w:rFonts w:hint="eastAsia" w:ascii="仿宋" w:hAnsi="仿宋" w:eastAsia="仿宋" w:cs="仿宋"/>
          <w:sz w:val="24"/>
          <w:szCs w:val="24"/>
        </w:rPr>
        <w:t>负责人和</w:t>
      </w:r>
      <w:r>
        <w:rPr>
          <w:rFonts w:hint="eastAsia" w:ascii="仿宋" w:hAnsi="仿宋" w:eastAsia="仿宋" w:cs="仿宋"/>
          <w:sz w:val="24"/>
          <w:szCs w:val="24"/>
          <w:lang w:val="en-US" w:eastAsia="zh-CN"/>
        </w:rPr>
        <w:t>对应的服务机构</w:t>
      </w:r>
      <w:r>
        <w:rPr>
          <w:rFonts w:hint="eastAsia" w:ascii="仿宋" w:hAnsi="仿宋" w:eastAsia="仿宋" w:cs="仿宋"/>
          <w:sz w:val="24"/>
          <w:szCs w:val="24"/>
        </w:rPr>
        <w:t>，并按照</w:t>
      </w:r>
      <w:r>
        <w:rPr>
          <w:rFonts w:hint="eastAsia" w:ascii="仿宋" w:hAnsi="仿宋" w:eastAsia="仿宋" w:cs="仿宋"/>
          <w:sz w:val="24"/>
          <w:szCs w:val="24"/>
          <w:lang w:val="en-US" w:eastAsia="zh-CN"/>
        </w:rPr>
        <w:t>服务</w:t>
      </w:r>
      <w:r>
        <w:rPr>
          <w:rFonts w:hint="eastAsia" w:ascii="仿宋" w:hAnsi="仿宋" w:eastAsia="仿宋" w:cs="仿宋"/>
          <w:sz w:val="24"/>
          <w:szCs w:val="24"/>
        </w:rPr>
        <w:t>质量</w:t>
      </w:r>
      <w:r>
        <w:rPr>
          <w:rFonts w:hint="eastAsia" w:ascii="仿宋" w:hAnsi="仿宋" w:eastAsia="仿宋" w:cs="仿宋"/>
          <w:sz w:val="24"/>
          <w:szCs w:val="24"/>
          <w:lang w:val="en-US" w:eastAsia="zh-CN"/>
        </w:rPr>
        <w:t>要求提供</w:t>
      </w:r>
      <w:r>
        <w:rPr>
          <w:rFonts w:hint="eastAsia" w:ascii="仿宋" w:hAnsi="仿宋" w:eastAsia="仿宋" w:cs="仿宋"/>
          <w:sz w:val="24"/>
          <w:szCs w:val="24"/>
        </w:rPr>
        <w:t>优质的售后</w:t>
      </w: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具体以合同约定为准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0070395C">
      <w:pPr>
        <w:pStyle w:val="10"/>
        <w:spacing w:line="500" w:lineRule="exact"/>
        <w:ind w:left="0" w:leftChars="0" w:firstLine="464" w:firstLineChars="200"/>
        <w:rPr>
          <w:rFonts w:hint="eastAsia" w:ascii="仿宋" w:hAnsi="仿宋" w:eastAsia="仿宋" w:cs="仿宋"/>
          <w:sz w:val="24"/>
          <w:szCs w:val="24"/>
        </w:rPr>
      </w:pPr>
    </w:p>
    <w:p w14:paraId="186B1902">
      <w:pPr>
        <w:pStyle w:val="10"/>
        <w:spacing w:line="480" w:lineRule="auto"/>
        <w:ind w:left="0" w:leftChars="0"/>
        <w:rPr>
          <w:rFonts w:hint="eastAsia" w:ascii="仿宋" w:hAnsi="仿宋" w:eastAsia="仿宋" w:cs="仿宋"/>
          <w:b/>
          <w:bCs/>
          <w:sz w:val="24"/>
          <w:szCs w:val="24"/>
        </w:rPr>
      </w:pPr>
      <w:r>
        <w:rPr>
          <w:rFonts w:hint="eastAsia" w:ascii="仿宋" w:hAnsi="仿宋" w:eastAsia="仿宋" w:cs="仿宋"/>
          <w:b/>
          <w:bCs/>
          <w:sz w:val="24"/>
          <w:szCs w:val="24"/>
        </w:rPr>
        <w:t>七、付款方式</w:t>
      </w:r>
    </w:p>
    <w:p w14:paraId="5A421BF2">
      <w:pPr>
        <w:keepNext w:val="0"/>
        <w:keepLines w:val="0"/>
        <w:pageBreakBefore w:val="0"/>
        <w:widowControl w:val="0"/>
        <w:numPr>
          <w:ilvl w:val="0"/>
          <w:numId w:val="0"/>
        </w:numPr>
        <w:shd w:val="clear"/>
        <w:kinsoku/>
        <w:wordWrap/>
        <w:overflowPunct/>
        <w:topLinePunct w:val="0"/>
        <w:autoSpaceDE/>
        <w:autoSpaceDN/>
        <w:bidi w:val="0"/>
        <w:adjustRightInd/>
        <w:snapToGrid/>
        <w:spacing w:after="157" w:afterLines="50" w:line="360" w:lineRule="auto"/>
        <w:ind w:leftChars="200"/>
        <w:contextualSpacing/>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lang w:val="en-US" w:eastAsia="zh-CN"/>
        </w:rPr>
        <w:t>*</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1、付款金额按合同签订时采购方实际使用人数结算。在资金结算过程中，因非人为原因</w:t>
      </w:r>
      <w:r>
        <w:rPr>
          <w:rFonts w:hint="eastAsia" w:ascii="仿宋" w:hAnsi="仿宋" w:eastAsia="仿宋" w:cs="仿宋"/>
          <w:b w:val="0"/>
          <w:bCs/>
          <w:color w:val="000000" w:themeColor="text1"/>
          <w:kern w:val="0"/>
          <w:sz w:val="24"/>
          <w:szCs w:val="24"/>
          <w:lang w:bidi="ar"/>
          <w14:textFill>
            <w14:solidFill>
              <w14:schemeClr w14:val="tx1"/>
            </w14:solidFill>
          </w14:textFill>
        </w:rPr>
        <w:t>未</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能</w:t>
      </w:r>
      <w:r>
        <w:rPr>
          <w:rFonts w:hint="eastAsia" w:ascii="仿宋" w:hAnsi="仿宋" w:eastAsia="仿宋" w:cs="仿宋"/>
          <w:b w:val="0"/>
          <w:bCs/>
          <w:color w:val="000000" w:themeColor="text1"/>
          <w:kern w:val="0"/>
          <w:sz w:val="24"/>
          <w:szCs w:val="24"/>
          <w:lang w:bidi="ar"/>
          <w14:textFill>
            <w14:solidFill>
              <w14:schemeClr w14:val="tx1"/>
            </w14:solidFill>
          </w14:textFill>
        </w:rPr>
        <w:t>及时</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支付服务费用，</w:t>
      </w:r>
      <w:r>
        <w:rPr>
          <w:rFonts w:hint="eastAsia" w:ascii="仿宋" w:hAnsi="仿宋" w:eastAsia="仿宋" w:cs="仿宋"/>
          <w:b w:val="0"/>
          <w:bCs/>
          <w:color w:val="000000" w:themeColor="text1"/>
          <w:kern w:val="0"/>
          <w:sz w:val="24"/>
          <w:szCs w:val="24"/>
          <w:lang w:bidi="ar"/>
          <w14:textFill>
            <w14:solidFill>
              <w14:schemeClr w14:val="tx1"/>
            </w14:solidFill>
          </w14:textFill>
        </w:rPr>
        <w:t>供应商</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不能因此</w:t>
      </w:r>
      <w:r>
        <w:rPr>
          <w:rFonts w:hint="eastAsia" w:ascii="仿宋" w:hAnsi="仿宋" w:eastAsia="仿宋" w:cs="仿宋"/>
          <w:b w:val="0"/>
          <w:bCs/>
          <w:color w:val="000000" w:themeColor="text1"/>
          <w:kern w:val="0"/>
          <w:sz w:val="24"/>
          <w:szCs w:val="24"/>
          <w:lang w:bidi="ar"/>
          <w14:textFill>
            <w14:solidFill>
              <w14:schemeClr w14:val="tx1"/>
            </w14:solidFill>
          </w14:textFill>
        </w:rPr>
        <w:t>中断或停止服务</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提供承诺</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。合同签订后，采购方预付50%服务费用</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采购方在签订</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合同</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时</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具体约定</w:t>
      </w:r>
      <w:r>
        <w:rPr>
          <w:rFonts w:hint="eastAsia" w:ascii="仿宋" w:hAnsi="仿宋" w:eastAsia="仿宋" w:cs="仿宋"/>
          <w:b w:val="0"/>
          <w:bCs/>
          <w:color w:val="000000" w:themeColor="text1"/>
          <w:kern w:val="0"/>
          <w:sz w:val="24"/>
          <w:szCs w:val="24"/>
          <w:lang w:bidi="ar"/>
          <w14:textFill>
            <w14:solidFill>
              <w14:schemeClr w14:val="tx1"/>
            </w14:solidFill>
          </w14:textFill>
        </w:rPr>
        <w:t>绩效</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考核</w:t>
      </w:r>
      <w:r>
        <w:rPr>
          <w:rFonts w:hint="eastAsia" w:ascii="仿宋" w:hAnsi="仿宋" w:eastAsia="仿宋" w:cs="仿宋"/>
          <w:b w:val="0"/>
          <w:bCs/>
          <w:color w:val="000000" w:themeColor="text1"/>
          <w:kern w:val="0"/>
          <w:sz w:val="24"/>
          <w:szCs w:val="24"/>
          <w:lang w:bidi="ar"/>
          <w14:textFill>
            <w14:solidFill>
              <w14:schemeClr w14:val="tx1"/>
            </w14:solidFill>
          </w14:textFill>
        </w:rPr>
        <w:t>标准</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；供应商</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经采购方对当年绩效考核</w:t>
      </w:r>
      <w:r>
        <w:rPr>
          <w:rFonts w:hint="eastAsia" w:ascii="仿宋" w:hAnsi="仿宋" w:eastAsia="仿宋" w:cs="仿宋"/>
          <w:b w:val="0"/>
          <w:bCs/>
          <w:color w:val="000000" w:themeColor="text1"/>
          <w:kern w:val="0"/>
          <w:sz w:val="24"/>
          <w:szCs w:val="24"/>
          <w:lang w:bidi="ar"/>
          <w14:textFill>
            <w14:solidFill>
              <w14:schemeClr w14:val="tx1"/>
            </w14:solidFill>
          </w14:textFill>
        </w:rPr>
        <w:t>合格后</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具体考核方案以合同约定为准</w:t>
      </w:r>
      <w:r>
        <w:rPr>
          <w:rFonts w:hint="eastAsia" w:ascii="仿宋" w:hAnsi="仿宋" w:eastAsia="仿宋" w:cs="仿宋"/>
          <w:b w:val="0"/>
          <w:bCs/>
          <w:color w:val="000000" w:themeColor="text1"/>
          <w:kern w:val="0"/>
          <w:sz w:val="24"/>
          <w:szCs w:val="24"/>
          <w:lang w:eastAsia="zh-CN" w:bidi="ar"/>
          <w14:textFill>
            <w14:solidFill>
              <w14:schemeClr w14:val="tx1"/>
            </w14:solidFill>
          </w14:textFill>
        </w:rPr>
        <w:t>），</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支付</w:t>
      </w:r>
      <w:r>
        <w:rPr>
          <w:rFonts w:hint="eastAsia" w:ascii="仿宋" w:hAnsi="仿宋" w:eastAsia="仿宋" w:cs="仿宋"/>
          <w:b w:val="0"/>
          <w:bCs/>
          <w:color w:val="000000" w:themeColor="text1"/>
          <w:kern w:val="0"/>
          <w:sz w:val="24"/>
          <w:szCs w:val="24"/>
          <w:lang w:bidi="ar"/>
          <w14:textFill>
            <w14:solidFill>
              <w14:schemeClr w14:val="tx1"/>
            </w14:solidFill>
          </w14:textFill>
        </w:rPr>
        <w:t>次年</w:t>
      </w:r>
      <w:r>
        <w:rPr>
          <w:rFonts w:hint="eastAsia" w:ascii="仿宋" w:hAnsi="仿宋" w:eastAsia="仿宋" w:cs="仿宋"/>
          <w:b w:val="0"/>
          <w:bCs/>
          <w:color w:val="000000" w:themeColor="text1"/>
          <w:kern w:val="0"/>
          <w:sz w:val="24"/>
          <w:szCs w:val="24"/>
          <w:lang w:val="en-US" w:eastAsia="zh-CN" w:bidi="ar"/>
          <w14:textFill>
            <w14:solidFill>
              <w14:schemeClr w14:val="tx1"/>
            </w14:solidFill>
          </w14:textFill>
        </w:rPr>
        <w:t>服务费用。</w:t>
      </w:r>
    </w:p>
    <w:p w14:paraId="4552CFC8">
      <w:pPr>
        <w:pStyle w:val="10"/>
        <w:spacing w:line="480" w:lineRule="auto"/>
        <w:ind w:left="0" w:leftChars="0"/>
        <w:rPr>
          <w:rFonts w:hint="eastAsia" w:ascii="仿宋" w:hAnsi="仿宋" w:eastAsia="仿宋" w:cs="仿宋"/>
          <w:b/>
          <w:bCs/>
          <w:sz w:val="24"/>
          <w:szCs w:val="24"/>
        </w:rPr>
      </w:pPr>
      <w:r>
        <w:rPr>
          <w:rFonts w:hint="eastAsia" w:ascii="仿宋" w:hAnsi="仿宋" w:eastAsia="仿宋" w:cs="仿宋"/>
          <w:b/>
          <w:bCs/>
          <w:sz w:val="24"/>
          <w:szCs w:val="24"/>
        </w:rPr>
        <w:t>八、验收方式</w:t>
      </w:r>
    </w:p>
    <w:p w14:paraId="14FA0400">
      <w:pPr>
        <w:pStyle w:val="10"/>
        <w:spacing w:line="500" w:lineRule="exact"/>
        <w:ind w:left="0" w:leftChars="0" w:firstLine="464" w:firstLineChars="200"/>
        <w:rPr>
          <w:rFonts w:hint="eastAsia" w:ascii="仿宋" w:hAnsi="仿宋" w:eastAsia="仿宋" w:cs="仿宋"/>
          <w:sz w:val="24"/>
          <w:szCs w:val="24"/>
        </w:rPr>
      </w:pPr>
      <w:r>
        <w:rPr>
          <w:rFonts w:hint="eastAsia" w:ascii="仿宋" w:hAnsi="仿宋" w:eastAsia="仿宋" w:cs="仿宋"/>
          <w:sz w:val="24"/>
          <w:szCs w:val="24"/>
        </w:rPr>
        <w:t>验收由采购方组织，视情况邀请第三方熟悉该业务的专业技术人员参与验收，出具验收意见。</w:t>
      </w:r>
    </w:p>
    <w:p w14:paraId="4BB4B22E">
      <w:pPr>
        <w:rPr>
          <w:rFonts w:hint="eastAsia" w:ascii="宋体" w:hAnsi="宋体"/>
          <w:sz w:val="24"/>
          <w:szCs w:val="24"/>
        </w:rPr>
      </w:pPr>
    </w:p>
    <w:p w14:paraId="23A3261C">
      <w:pPr>
        <w:shd w:val="clear"/>
        <w:rPr>
          <w:rFonts w:hint="eastAsia" w:ascii="仿宋" w:hAnsi="仿宋" w:eastAsia="仿宋" w:cs="仿宋"/>
          <w:color w:val="auto"/>
          <w:highlight w:val="none"/>
          <w:lang w:eastAsia="zh-CN"/>
        </w:rPr>
      </w:pPr>
    </w:p>
    <w:p w14:paraId="0716C9CA">
      <w:pPr>
        <w:rPr>
          <w:rFonts w:hint="eastAsia" w:ascii="仿宋" w:hAnsi="仿宋" w:eastAsia="仿宋" w:cs="仿宋"/>
          <w:color w:val="auto"/>
          <w:highlight w:val="none"/>
          <w:lang w:eastAsia="zh-CN"/>
        </w:rPr>
      </w:pPr>
      <w:bookmarkStart w:id="740" w:name="_Toc23056"/>
      <w:r>
        <w:rPr>
          <w:rFonts w:hint="eastAsia" w:ascii="仿宋" w:hAnsi="仿宋" w:eastAsia="仿宋" w:cs="仿宋"/>
          <w:color w:val="auto"/>
          <w:highlight w:val="none"/>
          <w:lang w:eastAsia="zh-CN"/>
        </w:rPr>
        <w:br w:type="page"/>
      </w:r>
    </w:p>
    <w:p w14:paraId="48D643C4">
      <w:pPr>
        <w:pStyle w:val="3"/>
        <w:shd w:val="clear"/>
        <w:outlineLvl w:val="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第六章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评标办法</w:t>
      </w:r>
      <w:bookmarkEnd w:id="642"/>
      <w:bookmarkEnd w:id="735"/>
      <w:bookmarkEnd w:id="736"/>
      <w:bookmarkEnd w:id="737"/>
      <w:bookmarkEnd w:id="738"/>
      <w:bookmarkEnd w:id="740"/>
    </w:p>
    <w:p w14:paraId="490DB5A0">
      <w:pPr>
        <w:shd w:val="clear"/>
        <w:bidi w:val="0"/>
        <w:jc w:val="center"/>
        <w:rPr>
          <w:rFonts w:hint="eastAsia"/>
          <w:color w:val="auto"/>
          <w:sz w:val="24"/>
          <w:szCs w:val="22"/>
          <w:highlight w:val="none"/>
        </w:rPr>
      </w:pPr>
      <w:bookmarkStart w:id="741" w:name="_Toc11454497"/>
      <w:bookmarkStart w:id="742" w:name="_Toc1740"/>
      <w:bookmarkStart w:id="743" w:name="_Toc43719848"/>
      <w:bookmarkStart w:id="744" w:name="_Toc1551"/>
      <w:bookmarkStart w:id="745" w:name="_Toc1781"/>
      <w:bookmarkStart w:id="746" w:name="_Toc213141119"/>
      <w:bookmarkStart w:id="747" w:name="_Toc26394"/>
      <w:bookmarkStart w:id="748" w:name="_Toc42455032"/>
      <w:bookmarkStart w:id="749" w:name="_Toc4629729"/>
      <w:bookmarkStart w:id="750" w:name="_Toc10305053"/>
      <w:bookmarkStart w:id="751" w:name="_Toc427081174"/>
      <w:bookmarkStart w:id="752" w:name="_Toc2349844"/>
      <w:r>
        <w:rPr>
          <w:rFonts w:hint="eastAsia"/>
          <w:color w:val="auto"/>
          <w:sz w:val="24"/>
          <w:szCs w:val="22"/>
          <w:highlight w:val="none"/>
        </w:rPr>
        <w:t>评标办法前附表</w:t>
      </w:r>
      <w:bookmarkEnd w:id="741"/>
      <w:bookmarkEnd w:id="742"/>
      <w:bookmarkEnd w:id="743"/>
      <w:bookmarkEnd w:id="744"/>
      <w:bookmarkEnd w:id="745"/>
      <w:bookmarkEnd w:id="746"/>
      <w:bookmarkEnd w:id="747"/>
      <w:bookmarkEnd w:id="748"/>
    </w:p>
    <w:tbl>
      <w:tblPr>
        <w:tblStyle w:val="22"/>
        <w:tblW w:w="1013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4"/>
        <w:gridCol w:w="837"/>
        <w:gridCol w:w="1894"/>
        <w:gridCol w:w="6523"/>
      </w:tblGrid>
      <w:tr w14:paraId="14C0AF1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2" w:hRule="exact"/>
          <w:tblHeader/>
          <w:jc w:val="center"/>
        </w:trPr>
        <w:tc>
          <w:tcPr>
            <w:tcW w:w="1721"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14:paraId="2EBE6C4B">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1894" w:type="dxa"/>
            <w:tcBorders>
              <w:top w:val="thinThickSmallGap" w:color="auto" w:sz="12" w:space="0"/>
              <w:left w:val="single" w:color="auto" w:sz="4" w:space="0"/>
              <w:bottom w:val="single" w:color="auto" w:sz="4" w:space="0"/>
              <w:right w:val="single" w:color="auto" w:sz="4" w:space="0"/>
            </w:tcBorders>
            <w:shd w:val="clear" w:color="auto" w:fill="auto"/>
            <w:vAlign w:val="center"/>
          </w:tcPr>
          <w:p w14:paraId="42A47291">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6523"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14:paraId="11300F67">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14:paraId="10EA5EB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83" w:hRule="exact"/>
          <w:jc w:val="center"/>
        </w:trPr>
        <w:tc>
          <w:tcPr>
            <w:tcW w:w="884" w:type="dxa"/>
            <w:tcBorders>
              <w:top w:val="single" w:color="auto" w:sz="4" w:space="0"/>
              <w:left w:val="thinThickSmallGap" w:color="auto" w:sz="12" w:space="0"/>
              <w:right w:val="single" w:color="auto" w:sz="4" w:space="0"/>
            </w:tcBorders>
            <w:shd w:val="clear" w:color="auto" w:fill="auto"/>
            <w:vAlign w:val="center"/>
          </w:tcPr>
          <w:p w14:paraId="123B0718">
            <w:pPr>
              <w:shd w:val="clear"/>
              <w:spacing w:beforeAutospacing="1" w:afterAutospacing="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w:t>
            </w:r>
          </w:p>
        </w:tc>
        <w:tc>
          <w:tcPr>
            <w:tcW w:w="837" w:type="dxa"/>
            <w:tcBorders>
              <w:top w:val="single" w:color="auto" w:sz="4" w:space="0"/>
              <w:left w:val="single" w:color="auto" w:sz="4" w:space="0"/>
              <w:right w:val="single" w:color="auto" w:sz="4" w:space="0"/>
            </w:tcBorders>
            <w:shd w:val="clear" w:color="auto" w:fill="auto"/>
            <w:vAlign w:val="center"/>
          </w:tcPr>
          <w:p w14:paraId="798859DC">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w:t>
            </w:r>
          </w:p>
          <w:p w14:paraId="0DE61C4C">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w:t>
            </w:r>
          </w:p>
          <w:p w14:paraId="37E9F4A2">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标准</w:t>
            </w:r>
          </w:p>
        </w:tc>
        <w:tc>
          <w:tcPr>
            <w:tcW w:w="1894" w:type="dxa"/>
            <w:tcBorders>
              <w:top w:val="single" w:color="auto" w:sz="4" w:space="0"/>
              <w:left w:val="single" w:color="auto" w:sz="4" w:space="0"/>
              <w:right w:val="single" w:color="auto" w:sz="4" w:space="0"/>
            </w:tcBorders>
            <w:shd w:val="clear" w:color="auto" w:fill="auto"/>
            <w:vAlign w:val="center"/>
          </w:tcPr>
          <w:p w14:paraId="41AC0905">
            <w:pPr>
              <w:shd w:val="clear"/>
              <w:spacing w:beforeAutospacing="1" w:afterAutospacing="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资格条件</w:t>
            </w:r>
          </w:p>
        </w:tc>
        <w:tc>
          <w:tcPr>
            <w:tcW w:w="6523"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14:paraId="75C8A769">
            <w:pPr>
              <w:shd w:val="clear"/>
              <w:spacing w:beforeAutospacing="1" w:afterAutospacing="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满足第二章“投标人须知”第</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.1项规定并满足招标文件第四章投标文件格式中“资格证明文件”规定的格式及内容。</w:t>
            </w:r>
          </w:p>
        </w:tc>
      </w:tr>
    </w:tbl>
    <w:p w14:paraId="16DE6E0B">
      <w:pPr>
        <w:shd w:val="clear"/>
        <w:rPr>
          <w:rFonts w:hint="eastAsia" w:ascii="仿宋" w:hAnsi="仿宋" w:eastAsia="仿宋" w:cs="仿宋"/>
          <w:color w:val="auto"/>
          <w:highlight w:val="none"/>
        </w:rPr>
      </w:pPr>
    </w:p>
    <w:tbl>
      <w:tblPr>
        <w:tblStyle w:val="22"/>
        <w:tblW w:w="1013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4"/>
        <w:gridCol w:w="837"/>
        <w:gridCol w:w="2023"/>
        <w:gridCol w:w="6394"/>
      </w:tblGrid>
      <w:tr w14:paraId="0D5E5B2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2" w:hRule="exact"/>
          <w:tblHeader/>
          <w:jc w:val="center"/>
        </w:trPr>
        <w:tc>
          <w:tcPr>
            <w:tcW w:w="1721"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14:paraId="4F01BE32">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2023" w:type="dxa"/>
            <w:tcBorders>
              <w:top w:val="thinThickSmallGap" w:color="auto" w:sz="12" w:space="0"/>
              <w:left w:val="single" w:color="auto" w:sz="4" w:space="0"/>
              <w:bottom w:val="single" w:color="auto" w:sz="4" w:space="0"/>
              <w:right w:val="single" w:color="auto" w:sz="4" w:space="0"/>
            </w:tcBorders>
            <w:shd w:val="clear" w:color="auto" w:fill="auto"/>
            <w:vAlign w:val="center"/>
          </w:tcPr>
          <w:p w14:paraId="48252025">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6394"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14:paraId="16331D70">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14:paraId="33EBC1E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830" w:hRule="exact"/>
          <w:jc w:val="center"/>
        </w:trPr>
        <w:tc>
          <w:tcPr>
            <w:tcW w:w="884" w:type="dxa"/>
            <w:vMerge w:val="restart"/>
            <w:tcBorders>
              <w:top w:val="single" w:color="auto" w:sz="4" w:space="0"/>
              <w:left w:val="thinThickSmallGap" w:color="auto" w:sz="12" w:space="0"/>
              <w:right w:val="single" w:color="auto" w:sz="4" w:space="0"/>
            </w:tcBorders>
            <w:shd w:val="clear" w:color="auto" w:fill="auto"/>
            <w:vAlign w:val="center"/>
          </w:tcPr>
          <w:p w14:paraId="68678039">
            <w:pPr>
              <w:shd w:val="clear"/>
              <w:spacing w:beforeAutospacing="1" w:afterAutospacing="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p>
        </w:tc>
        <w:tc>
          <w:tcPr>
            <w:tcW w:w="837" w:type="dxa"/>
            <w:vMerge w:val="restart"/>
            <w:tcBorders>
              <w:top w:val="single" w:color="auto" w:sz="4" w:space="0"/>
              <w:left w:val="single" w:color="auto" w:sz="4" w:space="0"/>
              <w:right w:val="single" w:color="auto" w:sz="4" w:space="0"/>
            </w:tcBorders>
            <w:shd w:val="clear" w:color="auto" w:fill="auto"/>
            <w:vAlign w:val="center"/>
          </w:tcPr>
          <w:p w14:paraId="7DD1A32D">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w:t>
            </w:r>
          </w:p>
          <w:p w14:paraId="1E9FC082">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w:t>
            </w:r>
          </w:p>
          <w:p w14:paraId="56D7A8C2">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标准</w:t>
            </w: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6E28150D">
            <w:pPr>
              <w:shd w:val="clear"/>
              <w:spacing w:beforeAutospacing="1" w:afterAutospacing="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开标一览表</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4D4767E1">
            <w:pPr>
              <w:shd w:val="clear"/>
              <w:spacing w:beforeAutospacing="1" w:afterAutospacing="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报价未超过采购预算</w:t>
            </w:r>
            <w:r>
              <w:rPr>
                <w:rFonts w:hint="eastAsia" w:ascii="仿宋" w:hAnsi="仿宋" w:eastAsia="仿宋" w:cs="仿宋"/>
                <w:color w:val="auto"/>
                <w:sz w:val="24"/>
                <w:szCs w:val="24"/>
                <w:highlight w:val="none"/>
                <w:lang w:val="en-US" w:eastAsia="zh-CN"/>
              </w:rPr>
              <w:t>限价并符合招标文件要求</w:t>
            </w:r>
            <w:r>
              <w:rPr>
                <w:rFonts w:hint="eastAsia" w:ascii="仿宋" w:hAnsi="仿宋" w:eastAsia="仿宋" w:cs="仿宋"/>
                <w:color w:val="auto"/>
                <w:sz w:val="24"/>
                <w:szCs w:val="24"/>
                <w:highlight w:val="none"/>
              </w:rPr>
              <w:t>。</w:t>
            </w:r>
          </w:p>
        </w:tc>
      </w:tr>
      <w:tr w14:paraId="3E20ADB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757" w:hRule="exact"/>
          <w:jc w:val="center"/>
        </w:trPr>
        <w:tc>
          <w:tcPr>
            <w:tcW w:w="884" w:type="dxa"/>
            <w:vMerge w:val="continue"/>
            <w:tcBorders>
              <w:left w:val="thinThickSmallGap" w:color="auto" w:sz="12" w:space="0"/>
              <w:right w:val="single" w:color="auto" w:sz="4" w:space="0"/>
            </w:tcBorders>
            <w:shd w:val="clear" w:color="auto" w:fill="auto"/>
            <w:vAlign w:val="center"/>
          </w:tcPr>
          <w:p w14:paraId="3073FD9B">
            <w:pPr>
              <w:shd w:val="clear"/>
              <w:rPr>
                <w:rFonts w:hint="eastAsia" w:ascii="仿宋" w:hAnsi="仿宋" w:eastAsia="仿宋" w:cs="仿宋"/>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5CACE316">
            <w:pPr>
              <w:shd w:val="clear"/>
              <w:rPr>
                <w:rFonts w:hint="eastAsia" w:ascii="仿宋" w:hAnsi="仿宋" w:eastAsia="仿宋" w:cs="仿宋"/>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41A3F7E6">
            <w:pPr>
              <w:shd w:val="clea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投标文件签署</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67D7B248">
            <w:pPr>
              <w:shd w:val="clear"/>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符合招标文件规定的格式及内容，有法定代表人或其委托代理人电子签章</w:t>
            </w:r>
            <w:r>
              <w:rPr>
                <w:rFonts w:hint="eastAsia" w:ascii="仿宋" w:hAnsi="仿宋" w:eastAsia="仿宋" w:cs="仿宋"/>
                <w:color w:val="auto"/>
                <w:sz w:val="24"/>
                <w:szCs w:val="24"/>
                <w:highlight w:val="none"/>
                <w:lang w:val="en-US" w:eastAsia="zh-CN"/>
              </w:rPr>
              <w:t>或签字</w:t>
            </w:r>
            <w:r>
              <w:rPr>
                <w:rFonts w:hint="eastAsia" w:ascii="仿宋" w:hAnsi="仿宋" w:eastAsia="仿宋" w:cs="仿宋"/>
                <w:color w:val="auto"/>
                <w:sz w:val="24"/>
                <w:szCs w:val="24"/>
                <w:highlight w:val="none"/>
              </w:rPr>
              <w:t>，并</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单位</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p>
        </w:tc>
      </w:tr>
      <w:tr w14:paraId="64B1585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14:paraId="506816E2">
            <w:pPr>
              <w:shd w:val="clear"/>
              <w:rPr>
                <w:rFonts w:hint="eastAsia" w:ascii="仿宋" w:hAnsi="仿宋" w:eastAsia="仿宋" w:cs="仿宋"/>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401AF212">
            <w:pPr>
              <w:shd w:val="clear"/>
              <w:rPr>
                <w:rFonts w:hint="eastAsia" w:ascii="仿宋" w:hAnsi="仿宋" w:eastAsia="仿宋" w:cs="仿宋"/>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0059D167">
            <w:pPr>
              <w:shd w:val="clea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授权书</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69FDE19D">
            <w:pPr>
              <w:shd w:val="clear"/>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委托代理人投标，有</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授权书。</w:t>
            </w:r>
          </w:p>
        </w:tc>
      </w:tr>
      <w:tr w14:paraId="203F366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14:paraId="10E5C528">
            <w:pPr>
              <w:shd w:val="clear"/>
              <w:rPr>
                <w:rFonts w:hint="eastAsia" w:ascii="仿宋" w:hAnsi="仿宋" w:eastAsia="仿宋" w:cs="仿宋"/>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6470820C">
            <w:pPr>
              <w:shd w:val="clear"/>
              <w:rPr>
                <w:rFonts w:hint="eastAsia" w:ascii="仿宋" w:hAnsi="仿宋" w:eastAsia="仿宋" w:cs="仿宋"/>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47E7A26B">
            <w:pPr>
              <w:shd w:val="clea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77AC339C">
            <w:pPr>
              <w:shd w:val="clear"/>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符合招标文件第二章“投标人须知前附表”第17.1款规定</w:t>
            </w:r>
          </w:p>
        </w:tc>
      </w:tr>
      <w:tr w14:paraId="3BA1C3B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14:paraId="171DBD5B">
            <w:pPr>
              <w:shd w:val="clear"/>
              <w:rPr>
                <w:rFonts w:hint="eastAsia" w:ascii="仿宋" w:hAnsi="仿宋" w:eastAsia="仿宋" w:cs="仿宋"/>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0D761D69">
            <w:pPr>
              <w:shd w:val="clear"/>
              <w:rPr>
                <w:rFonts w:hint="eastAsia" w:ascii="仿宋" w:hAnsi="仿宋" w:eastAsia="仿宋" w:cs="仿宋"/>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48E012A7">
            <w:pPr>
              <w:shd w:val="clea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eastAsia="zh-CN"/>
              </w:rPr>
              <w:t>保证金</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2A4BC96D">
            <w:pPr>
              <w:shd w:val="clear"/>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符合招标文件第二章“投标人须知前附表”第1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.1款规定</w:t>
            </w:r>
          </w:p>
        </w:tc>
      </w:tr>
      <w:tr w14:paraId="6D4B9C0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42" w:hRule="exact"/>
          <w:jc w:val="center"/>
        </w:trPr>
        <w:tc>
          <w:tcPr>
            <w:tcW w:w="884" w:type="dxa"/>
            <w:vMerge w:val="continue"/>
            <w:tcBorders>
              <w:left w:val="thinThickSmallGap" w:color="auto" w:sz="12" w:space="0"/>
              <w:right w:val="single" w:color="auto" w:sz="4" w:space="0"/>
            </w:tcBorders>
            <w:shd w:val="clear" w:color="auto" w:fill="auto"/>
            <w:vAlign w:val="center"/>
          </w:tcPr>
          <w:p w14:paraId="13F24A96">
            <w:pPr>
              <w:shd w:val="clear"/>
              <w:rPr>
                <w:rFonts w:hint="eastAsia" w:ascii="仿宋" w:hAnsi="仿宋" w:eastAsia="仿宋" w:cs="仿宋"/>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27BDE4FC">
            <w:pPr>
              <w:shd w:val="clear"/>
              <w:rPr>
                <w:rFonts w:hint="eastAsia" w:ascii="仿宋" w:hAnsi="仿宋" w:eastAsia="仿宋" w:cs="仿宋"/>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0797365B">
            <w:pPr>
              <w:shd w:val="clea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报价</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2845AF7B">
            <w:pPr>
              <w:shd w:val="clear"/>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只有一个有效报价（即一个有效</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案），未出现多个报价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招标文件规定的除外</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tc>
      </w:tr>
      <w:tr w14:paraId="064F5FB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751" w:hRule="exact"/>
          <w:jc w:val="center"/>
        </w:trPr>
        <w:tc>
          <w:tcPr>
            <w:tcW w:w="884" w:type="dxa"/>
            <w:vMerge w:val="continue"/>
            <w:tcBorders>
              <w:left w:val="thinThickSmallGap" w:color="auto" w:sz="12" w:space="0"/>
              <w:right w:val="single" w:color="auto" w:sz="4" w:space="0"/>
            </w:tcBorders>
            <w:shd w:val="clear" w:color="auto" w:fill="auto"/>
            <w:vAlign w:val="center"/>
          </w:tcPr>
          <w:p w14:paraId="39E062A4">
            <w:pPr>
              <w:shd w:val="clear"/>
              <w:rPr>
                <w:rFonts w:hint="eastAsia" w:ascii="仿宋" w:hAnsi="仿宋" w:eastAsia="仿宋" w:cs="仿宋"/>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37BD021A">
            <w:pPr>
              <w:shd w:val="clear"/>
              <w:rPr>
                <w:rFonts w:hint="eastAsia" w:ascii="仿宋" w:hAnsi="仿宋" w:eastAsia="仿宋" w:cs="仿宋"/>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6D3592E5">
            <w:pPr>
              <w:shd w:val="clea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采购人不能接受的条款</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1371FE55">
            <w:pPr>
              <w:shd w:val="clear"/>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投标文件没有采购人不能接受的条件。</w:t>
            </w:r>
          </w:p>
        </w:tc>
      </w:tr>
      <w:tr w14:paraId="35378AB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202" w:hRule="exact"/>
          <w:jc w:val="center"/>
        </w:trPr>
        <w:tc>
          <w:tcPr>
            <w:tcW w:w="884" w:type="dxa"/>
            <w:vMerge w:val="continue"/>
            <w:tcBorders>
              <w:left w:val="thinThickSmallGap" w:color="auto" w:sz="12" w:space="0"/>
              <w:right w:val="single" w:color="auto" w:sz="4" w:space="0"/>
            </w:tcBorders>
            <w:shd w:val="clear" w:color="auto" w:fill="auto"/>
            <w:vAlign w:val="center"/>
          </w:tcPr>
          <w:p w14:paraId="57238AE5">
            <w:pPr>
              <w:shd w:val="clear"/>
              <w:rPr>
                <w:rFonts w:hint="eastAsia" w:ascii="仿宋" w:hAnsi="仿宋" w:eastAsia="仿宋" w:cs="仿宋"/>
                <w:color w:val="auto"/>
                <w:sz w:val="24"/>
                <w:szCs w:val="24"/>
                <w:highlight w:val="none"/>
              </w:rPr>
            </w:pPr>
          </w:p>
        </w:tc>
        <w:tc>
          <w:tcPr>
            <w:tcW w:w="837" w:type="dxa"/>
            <w:vMerge w:val="continue"/>
            <w:tcBorders>
              <w:left w:val="single" w:color="auto" w:sz="4" w:space="0"/>
              <w:right w:val="single" w:color="auto" w:sz="4" w:space="0"/>
            </w:tcBorders>
            <w:shd w:val="clear" w:color="auto" w:fill="auto"/>
            <w:vAlign w:val="center"/>
          </w:tcPr>
          <w:p w14:paraId="52CFF3E3">
            <w:pPr>
              <w:shd w:val="clear"/>
              <w:rPr>
                <w:rFonts w:hint="eastAsia" w:ascii="仿宋" w:hAnsi="仿宋" w:eastAsia="仿宋" w:cs="仿宋"/>
                <w:color w:val="auto"/>
                <w:sz w:val="24"/>
                <w:szCs w:val="24"/>
                <w:highlight w:val="none"/>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14:paraId="708B435C">
            <w:pPr>
              <w:shd w:val="clea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投标人具备参加政府采购活动条件承诺书</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3F0E05D7">
            <w:pPr>
              <w:shd w:val="clear"/>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投标文件附有投标人具备参加政府采购活动条件承诺书。</w:t>
            </w:r>
          </w:p>
        </w:tc>
      </w:tr>
      <w:tr w14:paraId="60855CC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857" w:hRule="exact"/>
          <w:jc w:val="center"/>
        </w:trPr>
        <w:tc>
          <w:tcPr>
            <w:tcW w:w="884" w:type="dxa"/>
            <w:vMerge w:val="continue"/>
            <w:tcBorders>
              <w:left w:val="thinThickSmallGap" w:color="auto" w:sz="12" w:space="0"/>
              <w:bottom w:val="thickThinSmallGap" w:color="auto" w:sz="12" w:space="0"/>
              <w:right w:val="single" w:color="auto" w:sz="4" w:space="0"/>
            </w:tcBorders>
            <w:shd w:val="clear" w:color="auto" w:fill="auto"/>
            <w:vAlign w:val="center"/>
          </w:tcPr>
          <w:p w14:paraId="495EB72C">
            <w:pPr>
              <w:shd w:val="clear"/>
              <w:rPr>
                <w:rFonts w:hint="eastAsia" w:ascii="仿宋" w:hAnsi="仿宋" w:eastAsia="仿宋" w:cs="仿宋"/>
                <w:color w:val="auto"/>
                <w:sz w:val="24"/>
                <w:szCs w:val="24"/>
                <w:highlight w:val="none"/>
              </w:rPr>
            </w:pPr>
          </w:p>
        </w:tc>
        <w:tc>
          <w:tcPr>
            <w:tcW w:w="837" w:type="dxa"/>
            <w:vMerge w:val="continue"/>
            <w:tcBorders>
              <w:left w:val="single" w:color="auto" w:sz="4" w:space="0"/>
              <w:bottom w:val="thickThinSmallGap" w:color="auto" w:sz="12" w:space="0"/>
              <w:right w:val="single" w:color="auto" w:sz="4" w:space="0"/>
            </w:tcBorders>
            <w:shd w:val="clear" w:color="auto" w:fill="auto"/>
            <w:vAlign w:val="center"/>
          </w:tcPr>
          <w:p w14:paraId="652E7A69">
            <w:pPr>
              <w:shd w:val="clear"/>
              <w:rPr>
                <w:rFonts w:hint="eastAsia" w:ascii="仿宋" w:hAnsi="仿宋" w:eastAsia="仿宋" w:cs="仿宋"/>
                <w:color w:val="auto"/>
                <w:sz w:val="24"/>
                <w:szCs w:val="24"/>
                <w:highlight w:val="none"/>
              </w:rPr>
            </w:pPr>
          </w:p>
        </w:tc>
        <w:tc>
          <w:tcPr>
            <w:tcW w:w="2023" w:type="dxa"/>
            <w:tcBorders>
              <w:top w:val="single" w:color="auto" w:sz="4" w:space="0"/>
              <w:left w:val="single" w:color="auto" w:sz="4" w:space="0"/>
              <w:bottom w:val="thickThinSmallGap" w:color="auto" w:sz="12" w:space="0"/>
              <w:right w:val="single" w:color="auto" w:sz="4" w:space="0"/>
            </w:tcBorders>
            <w:shd w:val="clear" w:color="auto" w:fill="auto"/>
            <w:vAlign w:val="center"/>
          </w:tcPr>
          <w:p w14:paraId="28C4CE79">
            <w:pPr>
              <w:shd w:val="clear"/>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其他实质性要求</w:t>
            </w:r>
          </w:p>
        </w:tc>
        <w:tc>
          <w:tcPr>
            <w:tcW w:w="6394"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14:paraId="676F374A">
            <w:pPr>
              <w:shd w:val="clear"/>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未出现不符合</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和招标文件中规定的其他实质性要求。</w:t>
            </w:r>
          </w:p>
        </w:tc>
      </w:tr>
    </w:tbl>
    <w:p w14:paraId="20C0AB22">
      <w:pPr>
        <w:shd w:val="clear"/>
        <w:rPr>
          <w:rFonts w:hint="eastAsia" w:ascii="仿宋" w:hAnsi="仿宋" w:eastAsia="仿宋" w:cs="仿宋"/>
          <w:color w:val="auto"/>
          <w:highlight w:val="none"/>
        </w:rPr>
      </w:pPr>
    </w:p>
    <w:p w14:paraId="7754063E">
      <w:pPr>
        <w:shd w:val="clear"/>
        <w:rPr>
          <w:rFonts w:hint="eastAsia" w:ascii="仿宋" w:hAnsi="仿宋" w:eastAsia="仿宋" w:cs="仿宋"/>
          <w:vanish/>
          <w:color w:val="auto"/>
          <w:highlight w:val="none"/>
        </w:rPr>
      </w:pPr>
      <w:r>
        <w:rPr>
          <w:rFonts w:hint="eastAsia" w:ascii="仿宋" w:hAnsi="仿宋" w:eastAsia="仿宋" w:cs="仿宋"/>
          <w:vanish/>
          <w:color w:val="auto"/>
          <w:highlight w:val="none"/>
        </w:rPr>
        <w:br w:type="page"/>
      </w:r>
    </w:p>
    <w:tbl>
      <w:tblPr>
        <w:tblStyle w:val="22"/>
        <w:tblW w:w="102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
      <w:tblGrid>
        <w:gridCol w:w="906"/>
        <w:gridCol w:w="1603"/>
        <w:gridCol w:w="7696"/>
      </w:tblGrid>
      <w:tr w14:paraId="7EF80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787" w:hRule="atLeast"/>
          <w:jc w:val="center"/>
        </w:trPr>
        <w:tc>
          <w:tcPr>
            <w:tcW w:w="906" w:type="dxa"/>
            <w:shd w:val="clear" w:color="auto" w:fill="FFFFFF" w:themeFill="background1"/>
            <w:vAlign w:val="center"/>
          </w:tcPr>
          <w:p w14:paraId="55441D5A">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1603" w:type="dxa"/>
            <w:shd w:val="clear" w:color="auto" w:fill="FFFFFF" w:themeFill="background1"/>
            <w:vAlign w:val="center"/>
          </w:tcPr>
          <w:p w14:paraId="70AA54C5">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评分因素</w:t>
            </w:r>
          </w:p>
        </w:tc>
        <w:tc>
          <w:tcPr>
            <w:tcW w:w="7696" w:type="dxa"/>
            <w:shd w:val="clear" w:color="auto" w:fill="FFFFFF" w:themeFill="background1"/>
            <w:vAlign w:val="center"/>
          </w:tcPr>
          <w:p w14:paraId="25C6CE62">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评分标准</w:t>
            </w:r>
          </w:p>
        </w:tc>
      </w:tr>
      <w:tr w14:paraId="7F1D0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1455" w:hRule="atLeast"/>
          <w:jc w:val="center"/>
        </w:trPr>
        <w:tc>
          <w:tcPr>
            <w:tcW w:w="906" w:type="dxa"/>
            <w:tcBorders>
              <w:right w:val="single" w:color="auto" w:sz="4" w:space="0"/>
            </w:tcBorders>
            <w:shd w:val="clear" w:color="auto" w:fill="FFFFFF" w:themeFill="background1"/>
            <w:vAlign w:val="center"/>
          </w:tcPr>
          <w:p w14:paraId="2DE618D7">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2.1.3</w:t>
            </w:r>
          </w:p>
        </w:tc>
        <w:tc>
          <w:tcPr>
            <w:tcW w:w="1603" w:type="dxa"/>
            <w:tcBorders>
              <w:left w:val="single" w:color="auto" w:sz="4" w:space="0"/>
              <w:bottom w:val="single" w:color="auto" w:sz="4" w:space="0"/>
            </w:tcBorders>
            <w:shd w:val="clear" w:color="auto" w:fill="FFFFFF" w:themeFill="background1"/>
            <w:vAlign w:val="center"/>
          </w:tcPr>
          <w:p w14:paraId="3902ACD9">
            <w:pPr>
              <w:shd w:val="clear"/>
              <w:adjustRightInd w:val="0"/>
              <w:snapToGrid w:val="0"/>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评分因素权重</w:t>
            </w:r>
          </w:p>
        </w:tc>
        <w:tc>
          <w:tcPr>
            <w:tcW w:w="7696" w:type="dxa"/>
            <w:shd w:val="clear" w:color="auto" w:fill="FFFFFF" w:themeFill="background1"/>
            <w:vAlign w:val="center"/>
          </w:tcPr>
          <w:p w14:paraId="3024424F">
            <w:pPr>
              <w:shd w:val="clear"/>
              <w:adjustRightInd w:val="0"/>
              <w:snapToGrid w:val="0"/>
              <w:spacing w:line="44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报价部分F1：10分，</w:t>
            </w:r>
            <w:r>
              <w:rPr>
                <w:rFonts w:hint="eastAsia" w:ascii="仿宋" w:hAnsi="仿宋" w:eastAsia="仿宋" w:cs="仿宋"/>
                <w:color w:val="000000" w:themeColor="text1"/>
                <w:sz w:val="24"/>
                <w:szCs w:val="24"/>
                <w:highlight w:val="none"/>
                <w14:textFill>
                  <w14:solidFill>
                    <w14:schemeClr w14:val="tx1"/>
                  </w14:solidFill>
                </w14:textFill>
              </w:rPr>
              <w:t>权重A1为1</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FFD68FD">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技术部分F2：</w:t>
            </w:r>
            <w:r>
              <w:rPr>
                <w:rFonts w:hint="eastAsia" w:ascii="仿宋" w:hAnsi="仿宋" w:eastAsia="仿宋" w:cs="仿宋"/>
                <w:color w:val="000000" w:themeColor="text1"/>
                <w:sz w:val="24"/>
                <w:szCs w:val="24"/>
                <w:highlight w:val="none"/>
                <w:lang w:val="en-US" w:eastAsia="zh-CN"/>
                <w14:textFill>
                  <w14:solidFill>
                    <w14:schemeClr w14:val="tx1"/>
                  </w14:solidFill>
                </w14:textFill>
              </w:rPr>
              <w:t>81</w:t>
            </w:r>
            <w:r>
              <w:rPr>
                <w:rFonts w:hint="eastAsia" w:ascii="仿宋" w:hAnsi="仿宋" w:eastAsia="仿宋" w:cs="仿宋"/>
                <w:color w:val="000000" w:themeColor="text1"/>
                <w:sz w:val="24"/>
                <w:szCs w:val="24"/>
                <w:highlight w:val="none"/>
                <w14:textFill>
                  <w14:solidFill>
                    <w14:schemeClr w14:val="tx1"/>
                  </w14:solidFill>
                </w14:textFill>
              </w:rPr>
              <w:t>分，权重A2为1。</w:t>
            </w:r>
          </w:p>
          <w:p w14:paraId="4217354E">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商务</w:t>
            </w:r>
            <w:r>
              <w:rPr>
                <w:rFonts w:hint="eastAsia" w:ascii="仿宋" w:hAnsi="仿宋" w:eastAsia="仿宋" w:cs="仿宋"/>
                <w:color w:val="000000" w:themeColor="text1"/>
                <w:sz w:val="24"/>
                <w:szCs w:val="24"/>
                <w:highlight w:val="none"/>
                <w14:textFill>
                  <w14:solidFill>
                    <w14:schemeClr w14:val="tx1"/>
                  </w14:solidFill>
                </w14:textFill>
              </w:rPr>
              <w:t>部分F</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分，权重A</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为1。</w:t>
            </w:r>
          </w:p>
        </w:tc>
      </w:tr>
      <w:tr w14:paraId="38C90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1878" w:hRule="atLeast"/>
          <w:jc w:val="center"/>
        </w:trPr>
        <w:tc>
          <w:tcPr>
            <w:tcW w:w="906" w:type="dxa"/>
            <w:tcBorders>
              <w:right w:val="single" w:color="auto" w:sz="4" w:space="0"/>
            </w:tcBorders>
            <w:shd w:val="clear" w:color="auto" w:fill="FFFFFF" w:themeFill="background1"/>
            <w:vAlign w:val="center"/>
          </w:tcPr>
          <w:p w14:paraId="45F7DFDD">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2.1.4</w:t>
            </w:r>
          </w:p>
        </w:tc>
        <w:tc>
          <w:tcPr>
            <w:tcW w:w="1603" w:type="dxa"/>
            <w:tcBorders>
              <w:top w:val="single" w:color="auto" w:sz="4" w:space="0"/>
              <w:left w:val="single" w:color="auto" w:sz="4" w:space="0"/>
            </w:tcBorders>
            <w:shd w:val="clear" w:color="auto" w:fill="FFFFFF" w:themeFill="background1"/>
            <w:vAlign w:val="center"/>
          </w:tcPr>
          <w:p w14:paraId="7C293871">
            <w:pPr>
              <w:shd w:val="clear"/>
              <w:adjustRightInd w:val="0"/>
              <w:snapToGrid w:val="0"/>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评标总得分计算公式</w:t>
            </w:r>
          </w:p>
        </w:tc>
        <w:tc>
          <w:tcPr>
            <w:tcW w:w="7696" w:type="dxa"/>
            <w:shd w:val="clear" w:color="auto" w:fill="FFFFFF" w:themeFill="background1"/>
            <w:vAlign w:val="center"/>
          </w:tcPr>
          <w:p w14:paraId="61677D07">
            <w:pPr>
              <w:shd w:val="clear"/>
              <w:adjustRightInd w:val="0"/>
              <w:snapToGrid w:val="0"/>
              <w:spacing w:line="44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投标人的评标总得分＝F1×A1＋F2×A2＋F</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×A</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p w14:paraId="2144BA34">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其中：①F1、F2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F3</w:t>
            </w:r>
            <w:r>
              <w:rPr>
                <w:rFonts w:hint="eastAsia" w:ascii="仿宋" w:hAnsi="仿宋" w:eastAsia="仿宋" w:cs="仿宋"/>
                <w:color w:val="000000" w:themeColor="text1"/>
                <w:sz w:val="24"/>
                <w:szCs w:val="24"/>
                <w:highlight w:val="none"/>
                <w14:textFill>
                  <w14:solidFill>
                    <w14:schemeClr w14:val="tx1"/>
                  </w14:solidFill>
                </w14:textFill>
              </w:rPr>
              <w:t>分别为</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报价部分、技术部分</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商务</w:t>
            </w:r>
            <w:r>
              <w:rPr>
                <w:rFonts w:hint="eastAsia" w:ascii="仿宋" w:hAnsi="仿宋" w:eastAsia="仿宋" w:cs="仿宋"/>
                <w:color w:val="000000" w:themeColor="text1"/>
                <w:sz w:val="24"/>
                <w:szCs w:val="24"/>
                <w:highlight w:val="none"/>
                <w14:textFill>
                  <w14:solidFill>
                    <w14:schemeClr w14:val="tx1"/>
                  </w14:solidFill>
                </w14:textFill>
              </w:rPr>
              <w:t>部分</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项评分因素的汇总得分；</w:t>
            </w:r>
          </w:p>
          <w:p w14:paraId="1782AA1A">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②A1、A2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A3</w:t>
            </w:r>
            <w:r>
              <w:rPr>
                <w:rFonts w:hint="eastAsia" w:ascii="仿宋" w:hAnsi="仿宋" w:eastAsia="仿宋" w:cs="仿宋"/>
                <w:color w:val="000000" w:themeColor="text1"/>
                <w:sz w:val="24"/>
                <w:szCs w:val="24"/>
                <w:highlight w:val="none"/>
                <w14:textFill>
                  <w14:solidFill>
                    <w14:schemeClr w14:val="tx1"/>
                  </w14:solidFill>
                </w14:textFill>
              </w:rPr>
              <w:t>分别为</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项评分因素所占的权重；</w:t>
            </w:r>
          </w:p>
        </w:tc>
      </w:tr>
      <w:tr w14:paraId="78F8D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05" w:hRule="atLeast"/>
          <w:jc w:val="center"/>
        </w:trPr>
        <w:tc>
          <w:tcPr>
            <w:tcW w:w="906" w:type="dxa"/>
            <w:tcBorders>
              <w:right w:val="single" w:color="auto" w:sz="4" w:space="0"/>
            </w:tcBorders>
            <w:shd w:val="clear" w:color="auto" w:fill="FFFFFF" w:themeFill="background1"/>
            <w:vAlign w:val="center"/>
          </w:tcPr>
          <w:p w14:paraId="715CA516">
            <w:pPr>
              <w:shd w:val="clear"/>
              <w:adjustRightInd w:val="0"/>
              <w:snapToGrid w:val="0"/>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2.1.5</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w:t>
            </w:r>
            <w:r>
              <w:rPr>
                <w:rFonts w:hint="eastAsia" w:ascii="仿宋" w:hAnsi="仿宋" w:eastAsia="仿宋" w:cs="仿宋"/>
                <w:color w:val="000000" w:themeColor="text1"/>
                <w:sz w:val="24"/>
                <w:szCs w:val="24"/>
                <w:highlight w:val="none"/>
                <w14:textFill>
                  <w14:solidFill>
                    <w14:schemeClr w14:val="tx1"/>
                  </w14:solidFill>
                </w14:textFill>
              </w:rPr>
              <w:t>部分F1</w:t>
            </w:r>
          </w:p>
        </w:tc>
        <w:tc>
          <w:tcPr>
            <w:tcW w:w="1603" w:type="dxa"/>
            <w:tcBorders>
              <w:left w:val="single" w:color="auto" w:sz="4" w:space="0"/>
            </w:tcBorders>
            <w:shd w:val="clear" w:color="auto" w:fill="FFFFFF" w:themeFill="background1"/>
            <w:vAlign w:val="center"/>
          </w:tcPr>
          <w:p w14:paraId="669A701A">
            <w:pPr>
              <w:shd w:val="clear"/>
              <w:adjustRightInd w:val="0"/>
              <w:snapToGrid w:val="0"/>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投标报价评审</w:t>
            </w:r>
            <w:r>
              <w:rPr>
                <w:rFonts w:hint="eastAsia" w:ascii="仿宋" w:hAnsi="仿宋" w:eastAsia="仿宋" w:cs="仿宋"/>
                <w:color w:val="000000" w:themeColor="text1"/>
                <w:sz w:val="24"/>
                <w:szCs w:val="24"/>
                <w:highlight w:val="none"/>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696" w:type="dxa"/>
            <w:shd w:val="clear" w:color="auto" w:fill="FFFFFF" w:themeFill="background1"/>
            <w:vAlign w:val="center"/>
          </w:tcPr>
          <w:p w14:paraId="5A97CBB2">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报价评分采用低价优先法计算，即满足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报价</w:t>
            </w:r>
            <w:r>
              <w:rPr>
                <w:rFonts w:hint="eastAsia" w:ascii="仿宋" w:hAnsi="仿宋" w:eastAsia="仿宋" w:cs="仿宋"/>
                <w:color w:val="000000" w:themeColor="text1"/>
                <w:sz w:val="24"/>
                <w:szCs w:val="24"/>
                <w:highlight w:val="none"/>
                <w14:textFill>
                  <w14:solidFill>
                    <w14:schemeClr w14:val="tx1"/>
                  </w14:solidFill>
                </w14:textFill>
              </w:rPr>
              <w:t>文件要求且最后报价最低的供应商的价格为基准价，其报价分为满分。其他供应商的报价分统一按照下列公式计算：</w:t>
            </w:r>
          </w:p>
          <w:p w14:paraId="66291144">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1.评标基准价：满足招标文件要求且</w:t>
            </w:r>
            <w:r>
              <w:rPr>
                <w:rFonts w:hint="eastAsia" w:ascii="仿宋" w:hAnsi="仿宋" w:eastAsia="仿宋" w:cs="仿宋"/>
                <w:color w:val="000000" w:themeColor="text1"/>
                <w:sz w:val="24"/>
                <w:szCs w:val="24"/>
                <w:highlight w:val="none"/>
                <w:lang w:eastAsia="zh-CN"/>
                <w14:textFill>
                  <w14:solidFill>
                    <w14:schemeClr w14:val="tx1"/>
                  </w14:solidFill>
                </w14:textFill>
              </w:rPr>
              <w:t>投标报价</w:t>
            </w:r>
            <w:r>
              <w:rPr>
                <w:rFonts w:hint="eastAsia" w:ascii="仿宋" w:hAnsi="仿宋" w:eastAsia="仿宋" w:cs="仿宋"/>
                <w:color w:val="000000" w:themeColor="text1"/>
                <w:sz w:val="24"/>
                <w:szCs w:val="24"/>
                <w:highlight w:val="none"/>
                <w14:textFill>
                  <w14:solidFill>
                    <w14:schemeClr w14:val="tx1"/>
                  </w14:solidFill>
                </w14:textFill>
              </w:rPr>
              <w:t>最低的有效投标报价；</w:t>
            </w:r>
          </w:p>
          <w:p w14:paraId="27673724">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2.得分计算：满足招标文件要求且投标报价最低的有效投标报价，其报价分为满分。其他投标人的报价得分统一按照下列公式计算：</w:t>
            </w:r>
          </w:p>
          <w:p w14:paraId="05249E78">
            <w:pPr>
              <w:shd w:val="clear"/>
              <w:adjustRightInd w:val="0"/>
              <w:snapToGrid w:val="0"/>
              <w:spacing w:line="44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即：F1=[C/（B1，B2，…，Bn）]×</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p w14:paraId="0197CF3B">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注：C为评标基准价，即经初步审查合格且投标报价的有效投标报价；</w:t>
            </w:r>
          </w:p>
          <w:p w14:paraId="145F6A65">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B1，B2，…，Bn为第n个经初步审查合格的有效投标报价。</w:t>
            </w:r>
          </w:p>
          <w:p w14:paraId="44F2BD27">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注：本项目针对小型和微型企业产品或残疾人福利性单位产品的价格给予</w:t>
            </w:r>
            <w:r>
              <w:rPr>
                <w:rFonts w:hint="eastAsia" w:ascii="仿宋" w:hAnsi="仿宋" w:eastAsia="仿宋" w:cs="仿宋"/>
                <w:color w:val="000000" w:themeColor="text1"/>
                <w:sz w:val="24"/>
                <w:szCs w:val="24"/>
                <w:highlight w:val="none"/>
                <w:lang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的扣除，用扣除后的价格参与评审，残疾人福利性单位属于小型、微型企业的，不重复享受政策。（监狱企业视同小型或微型企业）。</w:t>
            </w:r>
          </w:p>
        </w:tc>
      </w:tr>
      <w:tr w14:paraId="22977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674" w:hRule="atLeast"/>
          <w:jc w:val="center"/>
        </w:trPr>
        <w:tc>
          <w:tcPr>
            <w:tcW w:w="906" w:type="dxa"/>
            <w:vMerge w:val="restart"/>
            <w:shd w:val="clear" w:color="auto" w:fill="FFFFFF" w:themeFill="background1"/>
            <w:vAlign w:val="center"/>
          </w:tcPr>
          <w:p w14:paraId="4B55D1A0">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7DF62CA4">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417ED360">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7539C6BE">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43CEA7D1">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036815CE">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1B8B3750">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4CC841C8">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2FE8F22C">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6195BBE8">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098CBE7E">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2642A473">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78EF6125">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1CBF38D4">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60A34D42">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5A761B0A">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37113C56">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49E89CE1">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69EC030E">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7C5893F2">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72EE5AE1">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0B34F7CA">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2FBB5ADC">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p w14:paraId="208E5F38">
            <w:pPr>
              <w:shd w:val="clear"/>
              <w:adjustRightInd w:val="0"/>
              <w:snapToGrid w:val="0"/>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2.1.6技术部分F2</w:t>
            </w:r>
          </w:p>
        </w:tc>
        <w:tc>
          <w:tcPr>
            <w:tcW w:w="1603" w:type="dxa"/>
            <w:tcBorders>
              <w:bottom w:val="single" w:color="auto" w:sz="4" w:space="0"/>
            </w:tcBorders>
            <w:shd w:val="clear" w:color="auto" w:fill="FFFFFF" w:themeFill="background1"/>
            <w:vAlign w:val="center"/>
          </w:tcPr>
          <w:p w14:paraId="2B93B82B">
            <w:pPr>
              <w:shd w:val="clear"/>
              <w:adjustRightInd w:val="0"/>
              <w:snapToGrid w:val="0"/>
              <w:spacing w:line="4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bCs/>
                <w:sz w:val="24"/>
                <w:szCs w:val="24"/>
              </w:rPr>
              <w:t>设备参数响应</w:t>
            </w:r>
            <w:r>
              <w:rPr>
                <w:rFonts w:hint="eastAsia" w:ascii="仿宋" w:hAnsi="仿宋" w:eastAsia="仿宋" w:cs="仿宋"/>
                <w:bCs/>
                <w:sz w:val="24"/>
                <w:szCs w:val="24"/>
                <w:lang w:val="en-US" w:eastAsia="zh-CN"/>
              </w:rPr>
              <w:t>评审</w:t>
            </w:r>
            <w:r>
              <w:rPr>
                <w:rFonts w:hint="eastAsia" w:ascii="仿宋" w:hAnsi="仿宋" w:eastAsia="仿宋" w:cs="仿宋"/>
                <w:bCs/>
                <w:sz w:val="24"/>
                <w:szCs w:val="24"/>
              </w:rPr>
              <w:t>（满分1</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w:t>
            </w:r>
          </w:p>
          <w:p w14:paraId="08A64F54">
            <w:pPr>
              <w:shd w:val="clear"/>
              <w:adjustRightInd w:val="0"/>
              <w:snapToGrid w:val="0"/>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696" w:type="dxa"/>
            <w:tcBorders>
              <w:bottom w:val="single" w:color="auto" w:sz="4" w:space="0"/>
            </w:tcBorders>
            <w:shd w:val="clear" w:color="auto" w:fill="FFFFFF" w:themeFill="background1"/>
            <w:vAlign w:val="center"/>
          </w:tcPr>
          <w:p w14:paraId="4E14F771">
            <w:pPr>
              <w:spacing w:line="360" w:lineRule="auto"/>
              <w:rPr>
                <w:rFonts w:hint="eastAsia" w:ascii="仿宋" w:hAnsi="仿宋" w:eastAsia="仿宋" w:cs="仿宋"/>
                <w:sz w:val="24"/>
                <w:szCs w:val="24"/>
              </w:rPr>
            </w:pPr>
            <w:r>
              <w:rPr>
                <w:rFonts w:hint="eastAsia" w:ascii="仿宋" w:hAnsi="仿宋" w:eastAsia="仿宋" w:cs="仿宋"/>
                <w:sz w:val="24"/>
                <w:szCs w:val="24"/>
              </w:rPr>
              <w:t>根据招标文件第五章《采购需求及技术要求》中的</w:t>
            </w:r>
            <w:r>
              <w:rPr>
                <w:rFonts w:hint="eastAsia" w:ascii="仿宋" w:hAnsi="仿宋" w:eastAsia="仿宋" w:cs="仿宋"/>
                <w:sz w:val="24"/>
                <w:szCs w:val="24"/>
                <w:lang w:val="zh-CN"/>
              </w:rPr>
              <w:t>采购明细及要求</w:t>
            </w:r>
            <w:r>
              <w:rPr>
                <w:rFonts w:hint="eastAsia" w:ascii="仿宋" w:hAnsi="仿宋" w:eastAsia="仿宋" w:cs="仿宋"/>
                <w:sz w:val="24"/>
                <w:szCs w:val="24"/>
              </w:rPr>
              <w:t>，</w:t>
            </w:r>
          </w:p>
          <w:p w14:paraId="15658A56">
            <w:pPr>
              <w:spacing w:line="360" w:lineRule="auto"/>
              <w:rPr>
                <w:rFonts w:hint="eastAsia" w:ascii="仿宋" w:hAnsi="仿宋" w:eastAsia="仿宋" w:cs="仿宋"/>
                <w:sz w:val="24"/>
                <w:szCs w:val="24"/>
              </w:rPr>
            </w:pPr>
            <w:r>
              <w:rPr>
                <w:rFonts w:hint="eastAsia" w:ascii="仿宋" w:hAnsi="仿宋" w:eastAsia="仿宋" w:cs="仿宋"/>
                <w:sz w:val="24"/>
                <w:szCs w:val="24"/>
              </w:rPr>
              <w:t>带</w:t>
            </w:r>
            <w:r>
              <w:rPr>
                <w:rFonts w:hint="eastAsia" w:ascii="仿宋" w:hAnsi="仿宋" w:eastAsia="仿宋" w:cs="仿宋"/>
                <w:sz w:val="24"/>
                <w:szCs w:val="24"/>
                <w:lang w:val="en-US" w:eastAsia="zh-CN"/>
              </w:rPr>
              <w:t>*</w:t>
            </w:r>
            <w:r>
              <w:rPr>
                <w:rFonts w:hint="eastAsia" w:ascii="仿宋" w:hAnsi="仿宋" w:eastAsia="仿宋" w:cs="仿宋"/>
                <w:sz w:val="24"/>
                <w:szCs w:val="24"/>
              </w:rPr>
              <w:t>技术参数每有1项满足或优于招标文件要求的，得0.5分，最多得</w:t>
            </w:r>
            <w:r>
              <w:rPr>
                <w:rFonts w:hint="eastAsia" w:ascii="仿宋" w:hAnsi="仿宋" w:eastAsia="仿宋" w:cs="仿宋"/>
                <w:sz w:val="24"/>
                <w:szCs w:val="24"/>
                <w:lang w:val="en-US" w:eastAsia="zh-CN"/>
              </w:rPr>
              <w:t>8</w:t>
            </w:r>
            <w:r>
              <w:rPr>
                <w:rFonts w:hint="eastAsia" w:ascii="仿宋" w:hAnsi="仿宋" w:eastAsia="仿宋" w:cs="仿宋"/>
                <w:sz w:val="24"/>
                <w:szCs w:val="24"/>
              </w:rPr>
              <w:t>分。</w:t>
            </w:r>
          </w:p>
          <w:p w14:paraId="7378C860">
            <w:pPr>
              <w:spacing w:line="360" w:lineRule="auto"/>
              <w:rPr>
                <w:rFonts w:hint="eastAsia" w:ascii="仿宋" w:hAnsi="仿宋" w:eastAsia="仿宋" w:cs="仿宋"/>
                <w:sz w:val="24"/>
                <w:szCs w:val="24"/>
              </w:rPr>
            </w:pPr>
            <w:r>
              <w:rPr>
                <w:rFonts w:hint="eastAsia" w:ascii="仿宋" w:hAnsi="仿宋" w:eastAsia="仿宋" w:cs="仿宋"/>
                <w:sz w:val="24"/>
                <w:szCs w:val="24"/>
              </w:rPr>
              <w:t>带△技术参数每有1项满足或优于招标文件要求的，得1分，最多得2分。</w:t>
            </w:r>
          </w:p>
          <w:p w14:paraId="7BAC017C">
            <w:pPr>
              <w:spacing w:line="360" w:lineRule="auto"/>
              <w:rPr>
                <w:rFonts w:hint="eastAsia" w:ascii="仿宋" w:hAnsi="仿宋" w:eastAsia="仿宋" w:cs="仿宋"/>
                <w:sz w:val="24"/>
                <w:szCs w:val="24"/>
              </w:rPr>
            </w:pPr>
            <w:r>
              <w:rPr>
                <w:rFonts w:hint="eastAsia" w:ascii="仿宋" w:hAnsi="仿宋" w:eastAsia="仿宋" w:cs="仿宋"/>
                <w:sz w:val="24"/>
                <w:szCs w:val="24"/>
              </w:rPr>
              <w:t>带▲技术参数采用自主研发操作系统得3分，采用≥Android12得1分。</w:t>
            </w:r>
          </w:p>
          <w:p w14:paraId="324F5590">
            <w:pPr>
              <w:shd w:val="clear"/>
              <w:adjustRightInd w:val="0"/>
              <w:snapToGrid w:val="0"/>
              <w:spacing w:line="44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rPr>
              <w:t>注：投标文件中必须提供最新技术支持资料支持技术规格偏离表应答（技术支持资料包括投标产品技术白皮书/检测报告/图纸/印刷宣传彩页/性能参数说明等，不接受非生产制造商自行印刷、打印或者手写的技术支持资料。凡不符合上述要求的，视为无效技术支持资料）；若投标文件中技术支持资料参数与技术规格偏离表应答不符或无支持资料应答，而供应商又未在投标文件中作出说明和解释的，视为不满足该条技术参数要求。</w:t>
            </w:r>
          </w:p>
        </w:tc>
      </w:tr>
      <w:tr w14:paraId="30D78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890" w:hRule="atLeast"/>
          <w:jc w:val="center"/>
        </w:trPr>
        <w:tc>
          <w:tcPr>
            <w:tcW w:w="906" w:type="dxa"/>
            <w:vMerge w:val="continue"/>
            <w:shd w:val="clear" w:color="auto" w:fill="FFFFFF" w:themeFill="background1"/>
            <w:vAlign w:val="center"/>
          </w:tcPr>
          <w:p w14:paraId="18433129">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tc>
        <w:tc>
          <w:tcPr>
            <w:tcW w:w="1603" w:type="dxa"/>
            <w:tcBorders>
              <w:bottom w:val="single" w:color="auto" w:sz="4" w:space="0"/>
            </w:tcBorders>
            <w:shd w:val="clear" w:color="auto" w:fill="FFFFFF" w:themeFill="background1"/>
            <w:vAlign w:val="center"/>
          </w:tcPr>
          <w:p w14:paraId="6593D79C">
            <w:pPr>
              <w:shd w:val="clear"/>
              <w:adjustRightInd w:val="0"/>
              <w:snapToGrid w:val="0"/>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sz w:val="24"/>
                <w:szCs w:val="24"/>
                <w:lang w:val="en-US" w:eastAsia="zh-CN"/>
              </w:rPr>
              <w:t>2、</w:t>
            </w:r>
            <w:r>
              <w:rPr>
                <w:rFonts w:hint="eastAsia" w:ascii="仿宋" w:hAnsi="仿宋" w:eastAsia="仿宋" w:cs="仿宋"/>
                <w:bCs/>
                <w:sz w:val="24"/>
                <w:szCs w:val="24"/>
              </w:rPr>
              <w:t>服务方案</w:t>
            </w:r>
            <w:r>
              <w:rPr>
                <w:rFonts w:hint="eastAsia" w:ascii="仿宋" w:hAnsi="仿宋" w:eastAsia="仿宋" w:cs="仿宋"/>
                <w:bCs/>
                <w:sz w:val="24"/>
                <w:szCs w:val="24"/>
                <w:lang w:val="en-US" w:eastAsia="zh-CN"/>
              </w:rPr>
              <w:t>评审</w:t>
            </w:r>
            <w:r>
              <w:rPr>
                <w:rFonts w:hint="eastAsia" w:ascii="仿宋" w:hAnsi="仿宋" w:eastAsia="仿宋" w:cs="仿宋"/>
                <w:bCs/>
                <w:sz w:val="24"/>
                <w:szCs w:val="24"/>
              </w:rPr>
              <w:t>（满分24分）</w:t>
            </w:r>
          </w:p>
        </w:tc>
        <w:tc>
          <w:tcPr>
            <w:tcW w:w="7696" w:type="dxa"/>
            <w:tcBorders>
              <w:bottom w:val="single" w:color="auto" w:sz="4" w:space="0"/>
            </w:tcBorders>
            <w:shd w:val="clear" w:color="auto" w:fill="FFFFFF" w:themeFill="background1"/>
            <w:vAlign w:val="center"/>
          </w:tcPr>
          <w:p w14:paraId="2765BB87">
            <w:pPr>
              <w:spacing w:line="360" w:lineRule="auto"/>
              <w:rPr>
                <w:rFonts w:hint="eastAsia" w:ascii="仿宋" w:hAnsi="仿宋" w:eastAsia="仿宋" w:cs="仿宋"/>
                <w:sz w:val="24"/>
                <w:szCs w:val="24"/>
              </w:rPr>
            </w:pPr>
            <w:r>
              <w:rPr>
                <w:rFonts w:hint="eastAsia" w:ascii="仿宋" w:hAnsi="仿宋" w:eastAsia="仿宋" w:cs="仿宋"/>
                <w:sz w:val="24"/>
                <w:szCs w:val="24"/>
              </w:rPr>
              <w:t>服务方案内容对项目的服务需求有深入了解，就</w:t>
            </w:r>
            <w:r>
              <w:rPr>
                <w:rFonts w:hint="eastAsia" w:ascii="仿宋" w:hAnsi="仿宋" w:eastAsia="仿宋" w:cs="仿宋"/>
                <w:b/>
                <w:bCs/>
                <w:sz w:val="24"/>
                <w:szCs w:val="24"/>
              </w:rPr>
              <w:t>服务内容、项目计划、项目实施方案、项目理解</w:t>
            </w:r>
            <w:r>
              <w:rPr>
                <w:rFonts w:hint="eastAsia" w:ascii="仿宋" w:hAnsi="仿宋" w:eastAsia="仿宋" w:cs="仿宋"/>
                <w:sz w:val="24"/>
                <w:szCs w:val="24"/>
              </w:rPr>
              <w:t>内容，提供对应的内容没有不完整或没有缺陷或没有与项目不匹配的得24分，以上内容每缺少一项方案内容的扣6分，每一项方案内容每有1处不完整或有缺陷或与项目不匹配的扣1分，每一项方案最多扣6分，扣完为止。</w:t>
            </w:r>
          </w:p>
          <w:p w14:paraId="262FB39F">
            <w:pPr>
              <w:pStyle w:val="2"/>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注：内容不完整或有缺陷或与项目不匹配是指非专门针对本项目或不适用项目特性的情形、内容不明确、表述不清晰或不完善或过于简陋、缺少关键节点说明或说明不详细、套用其他项目方案、内容前后矛盾、涉及的规范及标准错误、不利于项目实施、不可能实现的情形等任意一种情形。</w:t>
            </w:r>
          </w:p>
          <w:p w14:paraId="2EEBD25B">
            <w:pPr>
              <w:rPr>
                <w:rFonts w:hint="eastAsia" w:ascii="仿宋" w:hAnsi="仿宋" w:eastAsia="仿宋" w:cs="仿宋"/>
                <w:sz w:val="24"/>
                <w:szCs w:val="24"/>
                <w:lang w:val="en-US" w:eastAsia="zh-CN"/>
              </w:rPr>
            </w:pPr>
          </w:p>
        </w:tc>
      </w:tr>
      <w:tr w14:paraId="57F90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5145" w:hRule="atLeast"/>
          <w:jc w:val="center"/>
        </w:trPr>
        <w:tc>
          <w:tcPr>
            <w:tcW w:w="906" w:type="dxa"/>
            <w:vMerge w:val="continue"/>
            <w:shd w:val="clear" w:color="auto" w:fill="FFFFFF" w:themeFill="background1"/>
            <w:vAlign w:val="center"/>
          </w:tcPr>
          <w:p w14:paraId="66359215">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tc>
        <w:tc>
          <w:tcPr>
            <w:tcW w:w="1603" w:type="dxa"/>
            <w:tcBorders>
              <w:bottom w:val="single" w:color="auto" w:sz="4" w:space="0"/>
            </w:tcBorders>
            <w:shd w:val="clear" w:color="auto" w:fill="FFFFFF" w:themeFill="background1"/>
            <w:vAlign w:val="center"/>
          </w:tcPr>
          <w:p w14:paraId="6B58FC60">
            <w:pPr>
              <w:shd w:val="clear"/>
              <w:adjustRightInd w:val="0"/>
              <w:snapToGrid w:val="0"/>
              <w:spacing w:line="4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3、售后</w:t>
            </w:r>
            <w:r>
              <w:rPr>
                <w:rFonts w:hint="eastAsia" w:ascii="仿宋" w:hAnsi="仿宋" w:eastAsia="仿宋" w:cs="仿宋"/>
                <w:bCs/>
                <w:sz w:val="24"/>
                <w:szCs w:val="24"/>
              </w:rPr>
              <w:t>服务能力</w:t>
            </w:r>
            <w:r>
              <w:rPr>
                <w:rFonts w:hint="eastAsia" w:ascii="仿宋" w:hAnsi="仿宋" w:eastAsia="仿宋" w:cs="仿宋"/>
                <w:bCs/>
                <w:sz w:val="24"/>
                <w:szCs w:val="24"/>
                <w:lang w:val="en-US" w:eastAsia="zh-CN"/>
              </w:rPr>
              <w:t>评审</w:t>
            </w:r>
            <w:r>
              <w:rPr>
                <w:rFonts w:hint="eastAsia" w:ascii="仿宋" w:hAnsi="仿宋" w:eastAsia="仿宋" w:cs="仿宋"/>
                <w:bCs/>
                <w:sz w:val="24"/>
                <w:szCs w:val="24"/>
              </w:rPr>
              <w:t>（满</w:t>
            </w:r>
            <w:r>
              <w:rPr>
                <w:rFonts w:hint="eastAsia" w:ascii="仿宋" w:hAnsi="仿宋" w:eastAsia="仿宋" w:cs="仿宋"/>
                <w:bCs/>
                <w:sz w:val="24"/>
                <w:szCs w:val="24"/>
                <w:highlight w:val="none"/>
              </w:rPr>
              <w:t>分1</w:t>
            </w:r>
            <w:r>
              <w:rPr>
                <w:rFonts w:hint="eastAsia" w:ascii="仿宋" w:hAnsi="仿宋" w:eastAsia="仿宋" w:cs="仿宋"/>
                <w:bCs/>
                <w:sz w:val="24"/>
                <w:szCs w:val="24"/>
                <w:highlight w:val="none"/>
                <w:lang w:val="en-US" w:eastAsia="zh-CN"/>
              </w:rPr>
              <w:t>5</w:t>
            </w:r>
            <w:r>
              <w:rPr>
                <w:rFonts w:hint="eastAsia" w:ascii="仿宋" w:hAnsi="仿宋" w:eastAsia="仿宋" w:cs="仿宋"/>
                <w:bCs/>
                <w:sz w:val="24"/>
                <w:szCs w:val="24"/>
                <w:highlight w:val="none"/>
              </w:rPr>
              <w:t>分）</w:t>
            </w:r>
          </w:p>
          <w:p w14:paraId="0C27DF76">
            <w:pPr>
              <w:shd w:val="clear"/>
              <w:adjustRightInd w:val="0"/>
              <w:snapToGrid w:val="0"/>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7696" w:type="dxa"/>
            <w:tcBorders>
              <w:bottom w:val="single" w:color="auto" w:sz="4" w:space="0"/>
            </w:tcBorders>
            <w:shd w:val="clear" w:color="auto" w:fill="FFFFFF" w:themeFill="background1"/>
            <w:vAlign w:val="center"/>
          </w:tcPr>
          <w:p w14:paraId="07EECE22">
            <w:pPr>
              <w:spacing w:line="420" w:lineRule="exact"/>
              <w:rPr>
                <w:rFonts w:hint="eastAsia" w:ascii="仿宋" w:hAnsi="仿宋" w:eastAsia="仿宋" w:cs="仿宋"/>
                <w:sz w:val="24"/>
                <w:szCs w:val="24"/>
              </w:rPr>
            </w:pPr>
            <w:r>
              <w:rPr>
                <w:rFonts w:hint="eastAsia" w:ascii="仿宋" w:hAnsi="仿宋" w:eastAsia="仿宋" w:cs="仿宋"/>
                <w:sz w:val="24"/>
                <w:szCs w:val="24"/>
              </w:rPr>
              <w:t>根据以下3个方面进行综合评审：①</w:t>
            </w:r>
            <w:r>
              <w:rPr>
                <w:rFonts w:hint="eastAsia" w:ascii="仿宋" w:hAnsi="仿宋" w:eastAsia="仿宋" w:cs="仿宋"/>
                <w:sz w:val="24"/>
                <w:szCs w:val="24"/>
                <w:lang w:val="en-US" w:eastAsia="zh-CN"/>
              </w:rPr>
              <w:t>售后</w:t>
            </w:r>
            <w:r>
              <w:rPr>
                <w:rFonts w:hint="eastAsia" w:ascii="仿宋" w:hAnsi="仿宋" w:eastAsia="仿宋" w:cs="仿宋"/>
                <w:sz w:val="24"/>
                <w:szCs w:val="24"/>
              </w:rPr>
              <w:t>服务承诺的内容是否全面、具体、合理可行，是否有具体的处罚措施，是否具有很强的可信度；②保修期限、维修政策承诺情况；③故障响应时间、到达现场时间、处理并解决问题的快慢；</w:t>
            </w:r>
          </w:p>
          <w:p w14:paraId="63384FF3">
            <w:pPr>
              <w:spacing w:line="360" w:lineRule="auto"/>
              <w:rPr>
                <w:rFonts w:hint="eastAsia" w:ascii="仿宋" w:hAnsi="仿宋" w:eastAsia="仿宋" w:cs="仿宋"/>
                <w:sz w:val="24"/>
                <w:szCs w:val="24"/>
              </w:rPr>
            </w:pPr>
            <w:r>
              <w:rPr>
                <w:rFonts w:hint="eastAsia" w:ascii="仿宋" w:hAnsi="仿宋" w:eastAsia="仿宋" w:cs="仿宋"/>
                <w:sz w:val="24"/>
                <w:szCs w:val="24"/>
              </w:rPr>
              <w:t>提供对应的内容完整</w:t>
            </w:r>
            <w:r>
              <w:rPr>
                <w:rFonts w:hint="eastAsia" w:ascii="仿宋" w:hAnsi="仿宋" w:eastAsia="仿宋" w:cs="仿宋"/>
                <w:sz w:val="24"/>
                <w:szCs w:val="24"/>
                <w:lang w:val="en-US" w:eastAsia="zh-CN"/>
              </w:rPr>
              <w:t>全面</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承诺具体可行、</w:t>
            </w:r>
            <w:r>
              <w:rPr>
                <w:rFonts w:hint="eastAsia" w:ascii="仿宋" w:hAnsi="仿宋" w:eastAsia="仿宋" w:cs="仿宋"/>
                <w:sz w:val="24"/>
                <w:szCs w:val="24"/>
              </w:rPr>
              <w:t>没有缺陷或没有与项目不匹配的得1</w:t>
            </w:r>
            <w:r>
              <w:rPr>
                <w:rFonts w:hint="eastAsia" w:ascii="仿宋" w:hAnsi="仿宋" w:eastAsia="仿宋" w:cs="仿宋"/>
                <w:sz w:val="24"/>
                <w:szCs w:val="24"/>
                <w:lang w:val="en-US" w:eastAsia="zh-CN"/>
              </w:rPr>
              <w:t>5</w:t>
            </w:r>
            <w:r>
              <w:rPr>
                <w:rFonts w:hint="eastAsia" w:ascii="仿宋" w:hAnsi="仿宋" w:eastAsia="仿宋" w:cs="仿宋"/>
                <w:sz w:val="24"/>
                <w:szCs w:val="24"/>
              </w:rPr>
              <w:t>分，以上内容每缺少一项方案内容的扣</w:t>
            </w:r>
            <w:r>
              <w:rPr>
                <w:rFonts w:hint="eastAsia" w:ascii="仿宋" w:hAnsi="仿宋" w:eastAsia="仿宋" w:cs="仿宋"/>
                <w:sz w:val="24"/>
                <w:szCs w:val="24"/>
                <w:lang w:val="en-US" w:eastAsia="zh-CN"/>
              </w:rPr>
              <w:t>5</w:t>
            </w:r>
            <w:r>
              <w:rPr>
                <w:rFonts w:hint="eastAsia" w:ascii="仿宋" w:hAnsi="仿宋" w:eastAsia="仿宋" w:cs="仿宋"/>
                <w:sz w:val="24"/>
                <w:szCs w:val="24"/>
              </w:rPr>
              <w:t>分，每一项方案内容每有1处不完整或有缺陷或与项目不匹配的扣1分，每一项方案最多扣</w:t>
            </w:r>
            <w:r>
              <w:rPr>
                <w:rFonts w:hint="eastAsia" w:ascii="仿宋" w:hAnsi="仿宋" w:eastAsia="仿宋" w:cs="仿宋"/>
                <w:sz w:val="24"/>
                <w:szCs w:val="24"/>
                <w:lang w:val="en-US" w:eastAsia="zh-CN"/>
              </w:rPr>
              <w:t>5</w:t>
            </w:r>
            <w:r>
              <w:rPr>
                <w:rFonts w:hint="eastAsia" w:ascii="仿宋" w:hAnsi="仿宋" w:eastAsia="仿宋" w:cs="仿宋"/>
                <w:sz w:val="24"/>
                <w:szCs w:val="24"/>
              </w:rPr>
              <w:t>分，扣完为止。</w:t>
            </w:r>
          </w:p>
          <w:p w14:paraId="5BF7E27D">
            <w:pPr>
              <w:shd w:val="clear"/>
              <w:adjustRightInd w:val="0"/>
              <w:snapToGrid w:val="0"/>
              <w:spacing w:line="44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rPr>
              <w:t>注：内容不完整或有缺陷或与项目不匹配是指非专门针对本项目或不适用项目特性的情形、内容不明确、表述不清晰或不完善或过于简陋、缺少关键节点说明或说明不详细、套用其他项目方案、内容前后矛盾、涉及的规范及标准错误、不利于项目实施、不可能实现的情形等任意一种情形。</w:t>
            </w:r>
          </w:p>
        </w:tc>
      </w:tr>
      <w:tr w14:paraId="6AA62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3420" w:hRule="atLeast"/>
          <w:jc w:val="center"/>
        </w:trPr>
        <w:tc>
          <w:tcPr>
            <w:tcW w:w="906" w:type="dxa"/>
            <w:vMerge w:val="continue"/>
            <w:shd w:val="clear" w:color="auto" w:fill="FFFFFF" w:themeFill="background1"/>
            <w:vAlign w:val="center"/>
          </w:tcPr>
          <w:p w14:paraId="76581545">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tc>
        <w:tc>
          <w:tcPr>
            <w:tcW w:w="1603" w:type="dxa"/>
            <w:tcBorders>
              <w:bottom w:val="single" w:color="auto" w:sz="4" w:space="0"/>
            </w:tcBorders>
            <w:shd w:val="clear" w:color="auto" w:fill="FFFFFF" w:themeFill="background1"/>
            <w:vAlign w:val="center"/>
          </w:tcPr>
          <w:p w14:paraId="467B1DD9">
            <w:pPr>
              <w:shd w:val="clear"/>
              <w:adjustRightInd w:val="0"/>
              <w:snapToGrid w:val="0"/>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bCs/>
                <w:sz w:val="24"/>
                <w:szCs w:val="24"/>
              </w:rPr>
              <w:t>应急处置方案评审（满分8分）</w:t>
            </w:r>
          </w:p>
        </w:tc>
        <w:tc>
          <w:tcPr>
            <w:tcW w:w="7696" w:type="dxa"/>
            <w:tcBorders>
              <w:bottom w:val="single" w:color="auto" w:sz="4" w:space="0"/>
            </w:tcBorders>
            <w:shd w:val="clear" w:color="auto" w:fill="FFFFFF" w:themeFill="background1"/>
            <w:vAlign w:val="center"/>
          </w:tcPr>
          <w:p w14:paraId="077B8141">
            <w:pPr>
              <w:spacing w:line="360" w:lineRule="auto"/>
              <w:rPr>
                <w:rFonts w:hint="eastAsia" w:ascii="仿宋" w:hAnsi="仿宋" w:eastAsia="仿宋" w:cs="仿宋"/>
                <w:sz w:val="24"/>
                <w:szCs w:val="24"/>
              </w:rPr>
            </w:pPr>
            <w:r>
              <w:rPr>
                <w:rFonts w:hint="eastAsia" w:ascii="仿宋" w:hAnsi="仿宋" w:eastAsia="仿宋" w:cs="仿宋"/>
                <w:sz w:val="24"/>
                <w:szCs w:val="24"/>
              </w:rPr>
              <w:t>应急处置方案内容全面、详细完整、针对性强的得8分，内容存在粗略缺陷、条理不清楚、思路不清晰不合理、针对性差、不完整、无可行性、无措施的每项扣2分，扣完为止。</w:t>
            </w:r>
          </w:p>
          <w:p w14:paraId="3BA8C332">
            <w:pPr>
              <w:shd w:val="clear"/>
              <w:adjustRightInd w:val="0"/>
              <w:snapToGrid w:val="0"/>
              <w:spacing w:line="440" w:lineRule="exact"/>
              <w:jc w:val="left"/>
              <w:rPr>
                <w:rFonts w:hint="eastAsia" w:ascii="仿宋" w:hAnsi="仿宋" w:eastAsia="仿宋" w:cs="仿宋"/>
                <w:sz w:val="24"/>
                <w:szCs w:val="24"/>
                <w:lang w:val="en-US" w:eastAsia="zh-CN"/>
              </w:rPr>
            </w:pPr>
            <w:r>
              <w:rPr>
                <w:rFonts w:hint="eastAsia" w:ascii="仿宋" w:hAnsi="仿宋" w:eastAsia="仿宋" w:cs="仿宋"/>
                <w:sz w:val="24"/>
                <w:szCs w:val="24"/>
              </w:rPr>
              <w:t>注：内容不完整或有缺陷或与项目不匹配是指非专门针对本项目或不适用项目特性的情形、内容不明确、表述不清晰或不完善或过于简陋、缺少关键节点说明或说明不详细、套用其他项目方案、内容前后矛盾、涉及的规范及标准错误、不利于项目实施、不可能实现的情形等任意一种情形。</w:t>
            </w:r>
          </w:p>
        </w:tc>
      </w:tr>
      <w:tr w14:paraId="714F6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90" w:hRule="atLeast"/>
          <w:jc w:val="center"/>
        </w:trPr>
        <w:tc>
          <w:tcPr>
            <w:tcW w:w="906" w:type="dxa"/>
            <w:vMerge w:val="continue"/>
            <w:shd w:val="clear" w:color="auto" w:fill="FFFFFF" w:themeFill="background1"/>
            <w:vAlign w:val="center"/>
          </w:tcPr>
          <w:p w14:paraId="6788E2F2">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tc>
        <w:tc>
          <w:tcPr>
            <w:tcW w:w="1603" w:type="dxa"/>
            <w:tcBorders>
              <w:bottom w:val="single" w:color="auto" w:sz="4" w:space="0"/>
            </w:tcBorders>
            <w:shd w:val="clear" w:color="auto" w:fill="FFFFFF" w:themeFill="background1"/>
            <w:vAlign w:val="center"/>
          </w:tcPr>
          <w:p w14:paraId="2CD8EB4A">
            <w:pPr>
              <w:shd w:val="clear"/>
              <w:adjustRightInd w:val="0"/>
              <w:snapToGrid w:val="0"/>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bCs/>
                <w:sz w:val="24"/>
                <w:szCs w:val="24"/>
              </w:rPr>
              <w:t>培训方案评审（满分1</w:t>
            </w:r>
            <w:r>
              <w:rPr>
                <w:rFonts w:hint="eastAsia" w:ascii="仿宋" w:hAnsi="仿宋" w:eastAsia="仿宋" w:cs="仿宋"/>
                <w:bCs/>
                <w:sz w:val="24"/>
                <w:szCs w:val="24"/>
                <w:lang w:val="en-US" w:eastAsia="zh-CN"/>
              </w:rPr>
              <w:t>0</w:t>
            </w:r>
            <w:r>
              <w:rPr>
                <w:rFonts w:hint="eastAsia" w:ascii="仿宋" w:hAnsi="仿宋" w:eastAsia="仿宋" w:cs="仿宋"/>
                <w:bCs/>
                <w:sz w:val="24"/>
                <w:szCs w:val="24"/>
              </w:rPr>
              <w:t>分）</w:t>
            </w:r>
          </w:p>
        </w:tc>
        <w:tc>
          <w:tcPr>
            <w:tcW w:w="7696" w:type="dxa"/>
            <w:tcBorders>
              <w:bottom w:val="single" w:color="auto" w:sz="4" w:space="0"/>
            </w:tcBorders>
            <w:shd w:val="clear" w:color="auto" w:fill="FFFFFF" w:themeFill="background1"/>
            <w:vAlign w:val="center"/>
          </w:tcPr>
          <w:p w14:paraId="1DBE74A0">
            <w:pPr>
              <w:widowControl/>
              <w:spacing w:line="360" w:lineRule="auto"/>
              <w:jc w:val="left"/>
              <w:rPr>
                <w:rFonts w:hint="eastAsia" w:ascii="仿宋" w:hAnsi="仿宋" w:eastAsia="仿宋" w:cs="仿宋"/>
                <w:sz w:val="24"/>
                <w:szCs w:val="24"/>
              </w:rPr>
            </w:pPr>
            <w:r>
              <w:rPr>
                <w:rFonts w:hint="eastAsia" w:ascii="仿宋" w:hAnsi="仿宋" w:eastAsia="仿宋" w:cs="仿宋"/>
                <w:sz w:val="24"/>
                <w:szCs w:val="24"/>
              </w:rPr>
              <w:t>第一档：培训方案详细，有明确具体的培训计划、培训内容,有完善保障措施，针对性强的，得</w:t>
            </w:r>
            <w:r>
              <w:rPr>
                <w:rFonts w:hint="eastAsia" w:ascii="仿宋" w:hAnsi="仿宋" w:eastAsia="仿宋" w:cs="仿宋"/>
                <w:sz w:val="24"/>
                <w:szCs w:val="24"/>
                <w:lang w:val="en-US" w:eastAsia="zh-CN"/>
              </w:rPr>
              <w:t>7</w:t>
            </w:r>
            <w:r>
              <w:rPr>
                <w:rFonts w:hint="eastAsia" w:ascii="仿宋" w:hAnsi="仿宋" w:eastAsia="仿宋" w:cs="仿宋"/>
                <w:sz w:val="24"/>
                <w:szCs w:val="24"/>
              </w:rPr>
              <w:t>-1</w:t>
            </w:r>
            <w:r>
              <w:rPr>
                <w:rFonts w:hint="eastAsia" w:ascii="仿宋" w:hAnsi="仿宋" w:eastAsia="仿宋" w:cs="仿宋"/>
                <w:sz w:val="24"/>
                <w:szCs w:val="24"/>
                <w:lang w:val="en-US" w:eastAsia="zh-CN"/>
              </w:rPr>
              <w:t>0</w:t>
            </w:r>
            <w:r>
              <w:rPr>
                <w:rFonts w:hint="eastAsia" w:ascii="仿宋" w:hAnsi="仿宋" w:eastAsia="仿宋" w:cs="仿宋"/>
                <w:sz w:val="24"/>
                <w:szCs w:val="24"/>
              </w:rPr>
              <w:t>分；</w:t>
            </w:r>
          </w:p>
          <w:p w14:paraId="2E8CEA67">
            <w:pPr>
              <w:widowControl/>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第二档：有培训方案，有具体的培训计划、培训内容，有保障措施，针对性一般的，得 </w:t>
            </w:r>
            <w:r>
              <w:rPr>
                <w:rFonts w:hint="eastAsia" w:ascii="仿宋" w:hAnsi="仿宋" w:eastAsia="仿宋" w:cs="仿宋"/>
                <w:sz w:val="24"/>
                <w:szCs w:val="24"/>
                <w:lang w:val="en-US" w:eastAsia="zh-CN"/>
              </w:rPr>
              <w:t>4</w:t>
            </w: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 xml:space="preserve"> 分；</w:t>
            </w:r>
          </w:p>
          <w:p w14:paraId="6F0947CF">
            <w:pPr>
              <w:widowControl/>
              <w:spacing w:line="360" w:lineRule="auto"/>
              <w:jc w:val="left"/>
              <w:rPr>
                <w:rFonts w:hint="eastAsia" w:ascii="仿宋" w:hAnsi="仿宋" w:eastAsia="仿宋" w:cs="仿宋"/>
                <w:sz w:val="24"/>
                <w:szCs w:val="24"/>
              </w:rPr>
            </w:pPr>
            <w:r>
              <w:rPr>
                <w:rFonts w:hint="eastAsia" w:ascii="仿宋" w:hAnsi="仿宋" w:eastAsia="仿宋" w:cs="仿宋"/>
                <w:sz w:val="24"/>
                <w:szCs w:val="24"/>
              </w:rPr>
              <w:t>第三档：有培训方案，有培训计划、培训内容、有保障措施，针对性差的，得 1-</w:t>
            </w: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 分。 </w:t>
            </w:r>
          </w:p>
          <w:p w14:paraId="40B6B584">
            <w:pPr>
              <w:shd w:val="clear"/>
              <w:adjustRightInd w:val="0"/>
              <w:snapToGrid w:val="0"/>
              <w:spacing w:line="44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rPr>
              <w:t>第四档：投标人未提供培训方案的，不得分。</w:t>
            </w:r>
          </w:p>
        </w:tc>
      </w:tr>
      <w:tr w14:paraId="21CD2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890" w:hRule="atLeast"/>
          <w:jc w:val="center"/>
        </w:trPr>
        <w:tc>
          <w:tcPr>
            <w:tcW w:w="906" w:type="dxa"/>
            <w:vMerge w:val="continue"/>
            <w:shd w:val="clear" w:color="auto" w:fill="FFFFFF" w:themeFill="background1"/>
            <w:vAlign w:val="center"/>
          </w:tcPr>
          <w:p w14:paraId="563C1DB1">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tc>
        <w:tc>
          <w:tcPr>
            <w:tcW w:w="1603" w:type="dxa"/>
            <w:tcBorders>
              <w:bottom w:val="single" w:color="auto" w:sz="4" w:space="0"/>
            </w:tcBorders>
            <w:shd w:val="clear" w:color="auto" w:fill="FFFFFF" w:themeFill="background1"/>
            <w:vAlign w:val="center"/>
          </w:tcPr>
          <w:p w14:paraId="293516F9">
            <w:pPr>
              <w:shd w:val="clear"/>
              <w:adjustRightInd w:val="0"/>
              <w:snapToGrid w:val="0"/>
              <w:spacing w:line="4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spacing w:val="-8"/>
                <w:sz w:val="24"/>
                <w:szCs w:val="24"/>
              </w:rPr>
              <w:t>网络覆盖情况评审（</w:t>
            </w:r>
            <w:r>
              <w:rPr>
                <w:rFonts w:hint="eastAsia" w:ascii="仿宋" w:hAnsi="仿宋" w:eastAsia="仿宋" w:cs="仿宋"/>
                <w:bCs/>
                <w:sz w:val="24"/>
                <w:szCs w:val="24"/>
              </w:rPr>
              <w:t>满分</w:t>
            </w:r>
            <w:r>
              <w:rPr>
                <w:rFonts w:hint="eastAsia" w:ascii="仿宋" w:hAnsi="仿宋" w:eastAsia="仿宋" w:cs="仿宋"/>
                <w:bCs/>
                <w:sz w:val="24"/>
                <w:szCs w:val="24"/>
                <w:lang w:val="en-US" w:eastAsia="zh-CN"/>
              </w:rPr>
              <w:t>6</w:t>
            </w:r>
            <w:r>
              <w:rPr>
                <w:rFonts w:hint="eastAsia" w:ascii="仿宋" w:hAnsi="仿宋" w:eastAsia="仿宋" w:cs="仿宋"/>
                <w:spacing w:val="-8"/>
                <w:sz w:val="24"/>
                <w:szCs w:val="24"/>
                <w:highlight w:val="none"/>
              </w:rPr>
              <w:t>分）</w:t>
            </w:r>
          </w:p>
          <w:p w14:paraId="4498484F">
            <w:pPr>
              <w:shd w:val="clear"/>
              <w:adjustRightInd w:val="0"/>
              <w:snapToGrid w:val="0"/>
              <w:spacing w:line="44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p>
        </w:tc>
        <w:tc>
          <w:tcPr>
            <w:tcW w:w="7696" w:type="dxa"/>
            <w:tcBorders>
              <w:bottom w:val="single" w:color="auto" w:sz="4" w:space="0"/>
            </w:tcBorders>
            <w:shd w:val="clear" w:color="auto" w:fill="FFFFFF" w:themeFill="background1"/>
            <w:vAlign w:val="center"/>
          </w:tcPr>
          <w:p w14:paraId="09A01B33">
            <w:pPr>
              <w:shd w:val="clear"/>
              <w:adjustRightInd w:val="0"/>
              <w:snapToGrid w:val="0"/>
              <w:spacing w:line="440" w:lineRule="exact"/>
              <w:jc w:val="left"/>
              <w:rPr>
                <w:rFonts w:hint="eastAsia" w:ascii="仿宋" w:hAnsi="仿宋" w:eastAsia="仿宋" w:cs="仿宋"/>
                <w:sz w:val="24"/>
                <w:szCs w:val="24"/>
              </w:rPr>
            </w:pPr>
            <w:r>
              <w:rPr>
                <w:rFonts w:hint="eastAsia" w:ascii="仿宋" w:hAnsi="仿宋" w:eastAsia="仿宋" w:cs="仿宋"/>
                <w:sz w:val="24"/>
                <w:szCs w:val="24"/>
              </w:rPr>
              <w:t>投标人选择的运营商在所在县（区）、乡镇（街道）4G/5G基站分布、网络覆盖情况及运维能力综合评价（通过基站数量、各乡镇及派出所网络覆盖质量、其它网络质量证明材料），</w:t>
            </w:r>
            <w:r>
              <w:rPr>
                <w:rFonts w:hint="eastAsia" w:ascii="仿宋" w:hAnsi="仿宋" w:eastAsia="仿宋" w:cs="仿宋"/>
                <w:sz w:val="24"/>
                <w:szCs w:val="24"/>
                <w:lang w:val="en-US" w:eastAsia="zh-CN"/>
              </w:rPr>
              <w:t>综合</w:t>
            </w:r>
            <w:r>
              <w:rPr>
                <w:rFonts w:hint="eastAsia" w:ascii="仿宋" w:hAnsi="仿宋" w:eastAsia="仿宋" w:cs="仿宋"/>
                <w:sz w:val="24"/>
                <w:szCs w:val="24"/>
              </w:rPr>
              <w:t>排名第一(</w:t>
            </w:r>
            <w:r>
              <w:rPr>
                <w:rFonts w:hint="eastAsia" w:ascii="仿宋" w:hAnsi="仿宋" w:eastAsia="仿宋" w:cs="仿宋"/>
                <w:sz w:val="24"/>
                <w:szCs w:val="24"/>
                <w:lang w:val="en-US" w:eastAsia="zh-CN"/>
              </w:rPr>
              <w:t>6</w:t>
            </w:r>
            <w:r>
              <w:rPr>
                <w:rFonts w:hint="eastAsia" w:ascii="仿宋" w:hAnsi="仿宋" w:eastAsia="仿宋" w:cs="仿宋"/>
                <w:sz w:val="24"/>
                <w:szCs w:val="24"/>
              </w:rPr>
              <w:t>分)，排名第二(</w:t>
            </w:r>
            <w:r>
              <w:rPr>
                <w:rFonts w:hint="eastAsia" w:ascii="仿宋" w:hAnsi="仿宋" w:eastAsia="仿宋" w:cs="仿宋"/>
                <w:sz w:val="24"/>
                <w:szCs w:val="24"/>
                <w:lang w:val="en-US" w:eastAsia="zh-CN"/>
              </w:rPr>
              <w:t>3</w:t>
            </w:r>
            <w:r>
              <w:rPr>
                <w:rFonts w:hint="eastAsia" w:ascii="仿宋" w:hAnsi="仿宋" w:eastAsia="仿宋" w:cs="仿宋"/>
                <w:sz w:val="24"/>
                <w:szCs w:val="24"/>
              </w:rPr>
              <w:t>分)，排名第三（</w:t>
            </w:r>
            <w:r>
              <w:rPr>
                <w:rFonts w:hint="eastAsia" w:ascii="仿宋" w:hAnsi="仿宋" w:eastAsia="仿宋" w:cs="仿宋"/>
                <w:sz w:val="24"/>
                <w:szCs w:val="24"/>
                <w:lang w:val="en-US" w:eastAsia="zh-CN"/>
              </w:rPr>
              <w:t>1</w:t>
            </w:r>
            <w:r>
              <w:rPr>
                <w:rFonts w:hint="eastAsia" w:ascii="仿宋" w:hAnsi="仿宋" w:eastAsia="仿宋" w:cs="仿宋"/>
                <w:sz w:val="24"/>
                <w:szCs w:val="24"/>
              </w:rPr>
              <w:t>分）之后排名不得分。</w:t>
            </w:r>
          </w:p>
          <w:p w14:paraId="78264378">
            <w:pPr>
              <w:shd w:val="clear"/>
              <w:adjustRightInd w:val="0"/>
              <w:snapToGrid w:val="0"/>
              <w:spacing w:line="44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rPr>
              <w:t>（</w:t>
            </w:r>
            <w:r>
              <w:rPr>
                <w:rFonts w:hint="eastAsia" w:ascii="仿宋" w:hAnsi="仿宋" w:eastAsia="仿宋" w:cs="仿宋"/>
                <w:b/>
                <w:bCs/>
                <w:sz w:val="24"/>
                <w:szCs w:val="24"/>
              </w:rPr>
              <w:t>提供项目实施区域内网络覆盖相关证明材料等</w:t>
            </w:r>
            <w:r>
              <w:rPr>
                <w:rFonts w:hint="eastAsia" w:ascii="仿宋" w:hAnsi="仿宋" w:eastAsia="仿宋" w:cs="仿宋"/>
                <w:sz w:val="24"/>
                <w:szCs w:val="24"/>
              </w:rPr>
              <w:t>)</w:t>
            </w:r>
          </w:p>
        </w:tc>
      </w:tr>
      <w:tr w14:paraId="5F0EB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3320" w:hRule="atLeast"/>
          <w:jc w:val="center"/>
        </w:trPr>
        <w:tc>
          <w:tcPr>
            <w:tcW w:w="906" w:type="dxa"/>
            <w:vMerge w:val="continue"/>
            <w:shd w:val="clear" w:color="auto" w:fill="FFFFFF" w:themeFill="background1"/>
            <w:vAlign w:val="center"/>
          </w:tcPr>
          <w:p w14:paraId="4FD03499">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tc>
        <w:tc>
          <w:tcPr>
            <w:tcW w:w="1603" w:type="dxa"/>
            <w:tcBorders>
              <w:bottom w:val="single" w:color="auto" w:sz="4" w:space="0"/>
            </w:tcBorders>
            <w:shd w:val="clear" w:color="auto" w:fill="FFFFFF" w:themeFill="background1"/>
            <w:vAlign w:val="center"/>
          </w:tcPr>
          <w:p w14:paraId="38DC1C87">
            <w:pPr>
              <w:shd w:val="clear"/>
              <w:adjustRightInd w:val="0"/>
              <w:snapToGrid w:val="0"/>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 w:val="0"/>
                <w:bCs w:val="0"/>
                <w:sz w:val="24"/>
                <w:szCs w:val="24"/>
              </w:rPr>
              <w:t>保密制度方案评审（满分5分）</w:t>
            </w:r>
          </w:p>
          <w:p w14:paraId="54F5ECAB">
            <w:pPr>
              <w:shd w:val="clear"/>
              <w:adjustRightInd w:val="0"/>
              <w:snapToGrid w:val="0"/>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7696" w:type="dxa"/>
            <w:tcBorders>
              <w:bottom w:val="single" w:color="auto" w:sz="4" w:space="0"/>
            </w:tcBorders>
            <w:shd w:val="clear" w:color="auto" w:fill="FFFFFF" w:themeFill="background1"/>
            <w:vAlign w:val="center"/>
          </w:tcPr>
          <w:p w14:paraId="3EEB105D">
            <w:pPr>
              <w:spacing w:line="360" w:lineRule="auto"/>
              <w:jc w:val="left"/>
              <w:rPr>
                <w:rFonts w:hint="eastAsia" w:ascii="仿宋" w:hAnsi="仿宋" w:eastAsia="仿宋" w:cs="仿宋"/>
                <w:sz w:val="24"/>
                <w:szCs w:val="24"/>
              </w:rPr>
            </w:pPr>
            <w:r>
              <w:rPr>
                <w:rFonts w:hint="eastAsia" w:ascii="仿宋" w:hAnsi="仿宋" w:eastAsia="仿宋" w:cs="仿宋"/>
                <w:sz w:val="24"/>
                <w:szCs w:val="24"/>
              </w:rPr>
              <w:t>保密制度方案内容全面、科学、可行的得5分，内容存在粗略缺陷、条理不清楚、思路不清晰不合理、针对性差、不完整、无可行性的每项扣1分，扣完为止。</w:t>
            </w:r>
          </w:p>
          <w:p w14:paraId="54B14BEA">
            <w:pPr>
              <w:shd w:val="clear"/>
              <w:adjustRightInd w:val="0"/>
              <w:snapToGrid w:val="0"/>
              <w:spacing w:line="44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sz w:val="24"/>
                <w:szCs w:val="24"/>
              </w:rPr>
              <w:t>注：内容不完整或有缺陷或与项目不匹配是指非专门针对本项目或不适用项目特性的情形、内容不明确、表述不清晰或不完善或过于简陋、缺少关键节点说明或说明不详细、套用其他项目方案、内容前后矛盾、涉及的规范及标准错误、不利于项目实施、不可能实现的情形等任意一种情形。</w:t>
            </w:r>
          </w:p>
        </w:tc>
      </w:tr>
      <w:tr w14:paraId="13A90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40" w:hRule="atLeast"/>
          <w:jc w:val="center"/>
        </w:trPr>
        <w:tc>
          <w:tcPr>
            <w:tcW w:w="906" w:type="dxa"/>
            <w:vMerge w:val="restart"/>
            <w:shd w:val="clear" w:color="auto" w:fill="FFFFFF" w:themeFill="background1"/>
            <w:vAlign w:val="center"/>
          </w:tcPr>
          <w:p w14:paraId="0578ABA3">
            <w:pPr>
              <w:shd w:val="clear"/>
              <w:adjustRightInd w:val="0"/>
              <w:snapToGrid w:val="0"/>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w:t>
            </w:r>
            <w:r>
              <w:rPr>
                <w:rFonts w:hint="eastAsia" w:ascii="仿宋" w:hAnsi="仿宋" w:eastAsia="仿宋" w:cs="仿宋"/>
                <w:color w:val="000000" w:themeColor="text1"/>
                <w:sz w:val="24"/>
                <w:szCs w:val="24"/>
                <w:highlight w:val="none"/>
                <w:lang w:val="en-US" w:eastAsia="zh-CN"/>
                <w14:textFill>
                  <w14:solidFill>
                    <w14:schemeClr w14:val="tx1"/>
                  </w14:solidFill>
                </w14:textFill>
              </w:rPr>
              <w:t>7商务</w:t>
            </w:r>
            <w:r>
              <w:rPr>
                <w:rFonts w:hint="eastAsia" w:ascii="仿宋" w:hAnsi="仿宋" w:eastAsia="仿宋" w:cs="仿宋"/>
                <w:color w:val="000000" w:themeColor="text1"/>
                <w:sz w:val="24"/>
                <w:szCs w:val="24"/>
                <w:highlight w:val="none"/>
                <w14:textFill>
                  <w14:solidFill>
                    <w14:schemeClr w14:val="tx1"/>
                  </w14:solidFill>
                </w14:textFill>
              </w:rPr>
              <w:t>部分F</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603" w:type="dxa"/>
            <w:tcBorders>
              <w:top w:val="single" w:color="auto" w:sz="4" w:space="0"/>
              <w:bottom w:val="single" w:color="auto" w:sz="4" w:space="0"/>
            </w:tcBorders>
            <w:shd w:val="clear" w:color="auto" w:fill="FFFFFF" w:themeFill="background1"/>
            <w:vAlign w:val="center"/>
          </w:tcPr>
          <w:p w14:paraId="16046A77">
            <w:pPr>
              <w:shd w:val="clear"/>
              <w:adjustRightInd w:val="0"/>
              <w:snapToGrid w:val="0"/>
              <w:spacing w:line="4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1、类似</w:t>
            </w:r>
            <w:r>
              <w:rPr>
                <w:rFonts w:hint="eastAsia" w:ascii="仿宋" w:hAnsi="仿宋" w:eastAsia="仿宋" w:cs="仿宋"/>
                <w:color w:val="000000" w:themeColor="text1"/>
                <w:sz w:val="24"/>
                <w:szCs w:val="24"/>
                <w:highlight w:val="none"/>
                <w:lang w:eastAsia="zh-CN"/>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0A1F5D67">
            <w:pPr>
              <w:shd w:val="clear"/>
              <w:adjustRightInd w:val="0"/>
              <w:snapToGrid w:val="0"/>
              <w:spacing w:line="4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p>
        </w:tc>
        <w:tc>
          <w:tcPr>
            <w:tcW w:w="7696" w:type="dxa"/>
            <w:tcBorders>
              <w:top w:val="single" w:color="auto" w:sz="4" w:space="0"/>
              <w:bottom w:val="single" w:color="auto" w:sz="4" w:space="0"/>
            </w:tcBorders>
            <w:shd w:val="clear" w:color="auto" w:fill="FFFFFF" w:themeFill="background1"/>
            <w:vAlign w:val="center"/>
          </w:tcPr>
          <w:p w14:paraId="6DE46433">
            <w:pPr>
              <w:shd w:val="clear"/>
              <w:adjustRightInd w:val="0"/>
              <w:snapToGrid w:val="0"/>
              <w:spacing w:line="44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供应商提供20</w:t>
            </w:r>
            <w:r>
              <w:rPr>
                <w:rFonts w:hint="eastAsia" w:ascii="仿宋" w:hAnsi="仿宋" w:eastAsia="仿宋" w:cs="仿宋"/>
                <w:color w:val="000000" w:themeColor="text1"/>
                <w:sz w:val="24"/>
                <w:szCs w:val="24"/>
                <w:highlight w:val="none"/>
                <w:lang w:val="en-US" w:eastAsia="zh-CN"/>
                <w14:textFill>
                  <w14:solidFill>
                    <w14:schemeClr w14:val="tx1"/>
                  </w14:solidFill>
                </w14:textFill>
              </w:rPr>
              <w:t>21</w:t>
            </w:r>
            <w:r>
              <w:rPr>
                <w:rFonts w:hint="eastAsia" w:ascii="仿宋" w:hAnsi="仿宋" w:eastAsia="仿宋" w:cs="仿宋"/>
                <w:color w:val="000000" w:themeColor="text1"/>
                <w:sz w:val="24"/>
                <w:szCs w:val="24"/>
                <w:highlight w:val="none"/>
                <w:lang w:eastAsia="zh-CN"/>
                <w14:textFill>
                  <w14:solidFill>
                    <w14:schemeClr w14:val="tx1"/>
                  </w14:solidFill>
                </w14:textFill>
              </w:rPr>
              <w:t>年至今类似项目业绩，每提供一个得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0089C646">
            <w:pPr>
              <w:shd w:val="clear"/>
              <w:adjustRightInd w:val="0"/>
              <w:snapToGrid w:val="0"/>
              <w:spacing w:line="44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注：响应文件中须提供业绩列表及相对应的业绩证明材料，业绩证明材料为中标通知书或合同（合同首页、标的及金额所在页及合同签字盖章页的扫描件）并加盖供应商公章；无证明材料或证明材料不明确、无法体现业绩内容的，该项不得分</w:t>
            </w:r>
            <w:r>
              <w:rPr>
                <w:rFonts w:hint="eastAsia" w:ascii="仿宋" w:hAnsi="仿宋" w:eastAsia="仿宋" w:cs="仿宋"/>
                <w:color w:val="000000" w:themeColor="text1"/>
                <w:sz w:val="24"/>
                <w:szCs w:val="24"/>
                <w:highlight w:val="none"/>
                <w:lang w:val="zh-CN" w:eastAsia="zh-CN"/>
                <w14:textFill>
                  <w14:solidFill>
                    <w14:schemeClr w14:val="tx1"/>
                  </w14:solidFill>
                </w14:textFill>
              </w:rPr>
              <w:t>。</w:t>
            </w:r>
          </w:p>
        </w:tc>
      </w:tr>
      <w:tr w14:paraId="5A12A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1505" w:hRule="atLeast"/>
          <w:jc w:val="center"/>
        </w:trPr>
        <w:tc>
          <w:tcPr>
            <w:tcW w:w="906" w:type="dxa"/>
            <w:vMerge w:val="continue"/>
            <w:shd w:val="clear" w:color="auto" w:fill="FFFFFF" w:themeFill="background1"/>
            <w:vAlign w:val="center"/>
          </w:tcPr>
          <w:p w14:paraId="64232D15">
            <w:pPr>
              <w:shd w:val="clear"/>
              <w:adjustRightInd w:val="0"/>
              <w:snapToGrid w:val="0"/>
              <w:spacing w:line="440" w:lineRule="exact"/>
              <w:jc w:val="left"/>
              <w:rPr>
                <w:rFonts w:hint="eastAsia" w:ascii="仿宋" w:hAnsi="仿宋" w:eastAsia="仿宋" w:cs="仿宋"/>
                <w:color w:val="000000" w:themeColor="text1"/>
                <w:sz w:val="24"/>
                <w:szCs w:val="24"/>
                <w:highlight w:val="none"/>
                <w14:textFill>
                  <w14:solidFill>
                    <w14:schemeClr w14:val="tx1"/>
                  </w14:solidFill>
                </w14:textFill>
              </w:rPr>
            </w:pPr>
          </w:p>
        </w:tc>
        <w:tc>
          <w:tcPr>
            <w:tcW w:w="1603" w:type="dxa"/>
            <w:tcBorders>
              <w:top w:val="single" w:color="auto" w:sz="4" w:space="0"/>
              <w:bottom w:val="single" w:color="auto" w:sz="4" w:space="0"/>
            </w:tcBorders>
            <w:shd w:val="clear" w:color="auto" w:fill="FFFFFF" w:themeFill="background1"/>
            <w:vAlign w:val="center"/>
          </w:tcPr>
          <w:p w14:paraId="35C91F6E">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2、其他要求</w:t>
            </w:r>
            <w:r>
              <w:rPr>
                <w:rFonts w:hint="eastAsia" w:ascii="仿宋" w:hAnsi="仿宋" w:eastAsia="仿宋" w:cs="仿宋"/>
                <w:bCs/>
                <w:sz w:val="24"/>
                <w:szCs w:val="24"/>
              </w:rPr>
              <w:t>(满分4分)</w:t>
            </w:r>
          </w:p>
          <w:p w14:paraId="26CCB3AD">
            <w:pPr>
              <w:shd w:val="clear"/>
              <w:adjustRightInd w:val="0"/>
              <w:snapToGrid w:val="0"/>
              <w:spacing w:line="44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p>
        </w:tc>
        <w:tc>
          <w:tcPr>
            <w:tcW w:w="7696" w:type="dxa"/>
            <w:tcBorders>
              <w:top w:val="single" w:color="auto" w:sz="4" w:space="0"/>
              <w:bottom w:val="single" w:color="auto" w:sz="4" w:space="0"/>
            </w:tcBorders>
            <w:shd w:val="clear" w:color="auto" w:fill="FFFFFF" w:themeFill="background1"/>
            <w:vAlign w:val="center"/>
          </w:tcPr>
          <w:p w14:paraId="1750E55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供应商提供有效的《基础电信业务经营许可证》，提供扫描件并加盖供应商公章的，得1分，未提供或者不符合要求的不得分。</w:t>
            </w:r>
          </w:p>
          <w:p w14:paraId="11840F75">
            <w:pPr>
              <w:shd w:val="clear"/>
              <w:adjustRightInd w:val="0"/>
              <w:snapToGrid w:val="0"/>
              <w:spacing w:line="44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供应商提供有效的业务领域为运行维护的《ITSS信息技术服务标准符合性证书》，提供扫描件并加盖供应商公章的，一级得3分，二级得2分，三级得1分，未提供或者不符合要求的不得分。</w:t>
            </w:r>
          </w:p>
        </w:tc>
      </w:tr>
    </w:tbl>
    <w:p w14:paraId="7F6A9196">
      <w:pPr>
        <w:shd w:val="clea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bookmarkEnd w:id="749"/>
    <w:bookmarkEnd w:id="750"/>
    <w:bookmarkEnd w:id="751"/>
    <w:bookmarkEnd w:id="752"/>
    <w:p w14:paraId="300D0052">
      <w:pPr>
        <w:pStyle w:val="4"/>
        <w:shd w:val="clear"/>
        <w:spacing w:before="240" w:after="240" w:line="360" w:lineRule="auto"/>
        <w:ind w:firstLine="602"/>
        <w:outlineLvl w:val="1"/>
        <w:rPr>
          <w:rFonts w:hint="eastAsia" w:ascii="仿宋" w:hAnsi="仿宋" w:eastAsia="仿宋" w:cs="仿宋"/>
          <w:color w:val="auto"/>
          <w:sz w:val="30"/>
          <w:szCs w:val="30"/>
          <w:highlight w:val="none"/>
        </w:rPr>
      </w:pPr>
      <w:bookmarkStart w:id="753" w:name="_Toc17107"/>
      <w:bookmarkStart w:id="754" w:name="_Toc8144"/>
      <w:bookmarkStart w:id="755" w:name="_Toc2722"/>
      <w:r>
        <w:rPr>
          <w:rFonts w:hint="eastAsia" w:ascii="仿宋" w:hAnsi="仿宋" w:eastAsia="仿宋" w:cs="仿宋"/>
          <w:color w:val="auto"/>
          <w:sz w:val="30"/>
          <w:szCs w:val="30"/>
          <w:highlight w:val="none"/>
        </w:rPr>
        <w:t>一、评标方法</w:t>
      </w:r>
      <w:bookmarkEnd w:id="753"/>
      <w:bookmarkEnd w:id="754"/>
      <w:bookmarkEnd w:id="755"/>
    </w:p>
    <w:p w14:paraId="1A20AB8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根据《中华人民共和国政府采购法》、《中华人民共和国招投标法》、</w:t>
      </w:r>
      <w:r>
        <w:rPr>
          <w:rFonts w:hint="eastAsia" w:ascii="仿宋" w:hAnsi="仿宋" w:eastAsia="仿宋" w:cs="仿宋"/>
          <w:color w:val="auto"/>
          <w:kern w:val="0"/>
          <w:sz w:val="24"/>
          <w:highlight w:val="none"/>
        </w:rPr>
        <w:t>《中华人民共和国政府采购法实施条例》、</w:t>
      </w:r>
      <w:r>
        <w:rPr>
          <w:rFonts w:hint="eastAsia" w:ascii="仿宋" w:hAnsi="仿宋" w:eastAsia="仿宋" w:cs="仿宋"/>
          <w:color w:val="auto"/>
          <w:sz w:val="24"/>
          <w:highlight w:val="none"/>
        </w:rPr>
        <w:t>《政府采购货物和服务招投标管理办法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财政部令87号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》等有关规定等有关法律法规，结合本项目实际情况制定本办法。</w:t>
      </w:r>
    </w:p>
    <w:p w14:paraId="3409C511">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本次采购所采用的评标方法为“综合评分法”，即在最大限度地满足招标文件实质性要求前提下，按照招标文件中规定的各项因素进行综合评审后，以评标总得分的排序推荐中标</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，拟选定一名中标</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的评标方法。</w:t>
      </w:r>
    </w:p>
    <w:p w14:paraId="0CD249C7">
      <w:pPr>
        <w:shd w:val="clear"/>
        <w:spacing w:line="360" w:lineRule="auto"/>
        <w:ind w:firstLine="480" w:firstLineChars="200"/>
        <w:rPr>
          <w:rFonts w:hint="eastAsia" w:ascii="仿宋" w:hAnsi="仿宋" w:eastAsia="仿宋" w:cs="仿宋"/>
          <w:color w:val="auto"/>
          <w:sz w:val="24"/>
          <w:szCs w:val="22"/>
          <w:highlight w:val="none"/>
        </w:rPr>
      </w:pPr>
      <w:bookmarkStart w:id="756" w:name="_Toc391301904"/>
      <w:bookmarkStart w:id="757" w:name="_Toc364392660"/>
      <w:bookmarkStart w:id="758" w:name="_Toc396313203"/>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关于中小企业：</w:t>
      </w:r>
    </w:p>
    <w:p w14:paraId="3C34321F">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.1根据《政府采购促进中小企业发展管理办法》、《关于进一步加大政府采购支持中小企业力度的通知》（财库〔2022〕19号），</w:t>
      </w:r>
      <w:r>
        <w:rPr>
          <w:rFonts w:hint="eastAsia" w:ascii="仿宋" w:hAnsi="仿宋" w:eastAsia="仿宋" w:cs="仿宋"/>
          <w:color w:val="auto"/>
          <w:sz w:val="24"/>
          <w:szCs w:val="22"/>
          <w:highlight w:val="none"/>
          <w:lang w:val="en-US" w:eastAsia="zh-CN"/>
        </w:rPr>
        <w:t>本项目非专门面向中小微企业采购项目，残疾人福利性单位及监狱企业等同于中小微企业</w:t>
      </w:r>
      <w:r>
        <w:rPr>
          <w:rFonts w:hint="eastAsia" w:ascii="仿宋" w:hAnsi="仿宋" w:eastAsia="仿宋" w:cs="仿宋"/>
          <w:color w:val="auto"/>
          <w:sz w:val="24"/>
          <w:szCs w:val="22"/>
          <w:highlight w:val="none"/>
        </w:rPr>
        <w:t>。</w:t>
      </w:r>
    </w:p>
    <w:p w14:paraId="055A9000">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.2在政府采购活动中，</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提供服务符合下列情形的，享受中小企业扶持政策：</w:t>
      </w:r>
    </w:p>
    <w:p w14:paraId="22AB9E77">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在服务采购项目中，服务由中小企业承接，即提供服务的人员为中小企业依照《中华人民共和国民法典》订立劳动合同的从业人员。</w:t>
      </w:r>
    </w:p>
    <w:p w14:paraId="07153FFE">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.3中小企业参加政府采购活动，应当出具文件中规定的《中小企业声明函》，否则不得享受相关中小企业扶持政策。</w:t>
      </w:r>
    </w:p>
    <w:p w14:paraId="0DF03234">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.4依据规定享受扶持政策获得政府采购合同</w:t>
      </w:r>
      <w:r>
        <w:rPr>
          <w:rFonts w:hint="eastAsia" w:ascii="仿宋" w:hAnsi="仿宋" w:eastAsia="仿宋" w:cs="仿宋"/>
          <w:color w:val="auto"/>
          <w:sz w:val="24"/>
          <w:highlight w:val="none"/>
        </w:rPr>
        <w:t>的，小微企业不得将合同分包给大中型企业，中型企业不得将合同分包给大型企业。</w:t>
      </w:r>
    </w:p>
    <w:p w14:paraId="6BF4F9E3">
      <w:pPr>
        <w:shd w:val="clear"/>
        <w:spacing w:line="360" w:lineRule="auto"/>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1.1.5本项目政府采购合同不允许分包。</w:t>
      </w:r>
    </w:p>
    <w:p w14:paraId="18A17750">
      <w:pPr>
        <w:pStyle w:val="35"/>
        <w:shd w:val="clea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.6大中小企业划分标准</w:t>
      </w:r>
    </w:p>
    <w:p w14:paraId="34E2B50A">
      <w:pPr>
        <w:widowControl/>
        <w:shd w:val="clear"/>
        <w:spacing w:line="360" w:lineRule="auto"/>
        <w:ind w:firstLine="482"/>
        <w:jc w:val="center"/>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统计上大中小微型企业划分标准</w:t>
      </w:r>
    </w:p>
    <w:tbl>
      <w:tblPr>
        <w:tblStyle w:val="22"/>
        <w:tblW w:w="88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61"/>
        <w:gridCol w:w="1418"/>
        <w:gridCol w:w="708"/>
        <w:gridCol w:w="1298"/>
        <w:gridCol w:w="1490"/>
        <w:gridCol w:w="1398"/>
        <w:gridCol w:w="1312"/>
      </w:tblGrid>
      <w:tr w14:paraId="21BC0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Align w:val="center"/>
          </w:tcPr>
          <w:p w14:paraId="0242BBFE">
            <w:pPr>
              <w:widowControl/>
              <w:shd w:val="clea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行业名称</w:t>
            </w:r>
          </w:p>
        </w:tc>
        <w:tc>
          <w:tcPr>
            <w:tcW w:w="1418" w:type="dxa"/>
            <w:vAlign w:val="center"/>
          </w:tcPr>
          <w:p w14:paraId="7D83E249">
            <w:pPr>
              <w:widowControl/>
              <w:shd w:val="clea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指标名称</w:t>
            </w:r>
          </w:p>
        </w:tc>
        <w:tc>
          <w:tcPr>
            <w:tcW w:w="708" w:type="dxa"/>
            <w:vAlign w:val="center"/>
          </w:tcPr>
          <w:p w14:paraId="3540F53E">
            <w:pPr>
              <w:widowControl/>
              <w:shd w:val="clea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计量单位</w:t>
            </w:r>
          </w:p>
        </w:tc>
        <w:tc>
          <w:tcPr>
            <w:tcW w:w="1298" w:type="dxa"/>
            <w:vAlign w:val="center"/>
          </w:tcPr>
          <w:p w14:paraId="4FD5496D">
            <w:pPr>
              <w:widowControl/>
              <w:shd w:val="clea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大型</w:t>
            </w:r>
          </w:p>
        </w:tc>
        <w:tc>
          <w:tcPr>
            <w:tcW w:w="1490" w:type="dxa"/>
            <w:vAlign w:val="center"/>
          </w:tcPr>
          <w:p w14:paraId="27DA259B">
            <w:pPr>
              <w:widowControl/>
              <w:shd w:val="clea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中型</w:t>
            </w:r>
          </w:p>
        </w:tc>
        <w:tc>
          <w:tcPr>
            <w:tcW w:w="1398" w:type="dxa"/>
            <w:vAlign w:val="center"/>
          </w:tcPr>
          <w:p w14:paraId="28A1A5A1">
            <w:pPr>
              <w:widowControl/>
              <w:shd w:val="clea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小型</w:t>
            </w:r>
          </w:p>
        </w:tc>
        <w:tc>
          <w:tcPr>
            <w:tcW w:w="1312" w:type="dxa"/>
            <w:vAlign w:val="center"/>
          </w:tcPr>
          <w:p w14:paraId="6892FAB4">
            <w:pPr>
              <w:widowControl/>
              <w:shd w:val="clea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微型</w:t>
            </w:r>
          </w:p>
        </w:tc>
      </w:tr>
      <w:tr w14:paraId="31234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1261" w:type="dxa"/>
            <w:vAlign w:val="center"/>
          </w:tcPr>
          <w:p w14:paraId="0584C2D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农、林、牧、渔业</w:t>
            </w:r>
          </w:p>
        </w:tc>
        <w:tc>
          <w:tcPr>
            <w:tcW w:w="1418" w:type="dxa"/>
            <w:vAlign w:val="center"/>
          </w:tcPr>
          <w:p w14:paraId="7B47392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614D220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5494E75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Y≥20000</w:t>
            </w:r>
          </w:p>
        </w:tc>
        <w:tc>
          <w:tcPr>
            <w:tcW w:w="1490" w:type="dxa"/>
            <w:vAlign w:val="center"/>
          </w:tcPr>
          <w:p w14:paraId="46ADA85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500≤Y＜20000</w:t>
            </w:r>
          </w:p>
        </w:tc>
        <w:tc>
          <w:tcPr>
            <w:tcW w:w="1398" w:type="dxa"/>
            <w:vAlign w:val="center"/>
          </w:tcPr>
          <w:p w14:paraId="1FC0878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50≤Y＜500</w:t>
            </w:r>
          </w:p>
        </w:tc>
        <w:tc>
          <w:tcPr>
            <w:tcW w:w="1312" w:type="dxa"/>
            <w:vAlign w:val="center"/>
          </w:tcPr>
          <w:p w14:paraId="04343DA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Y＜50</w:t>
            </w:r>
          </w:p>
        </w:tc>
      </w:tr>
      <w:tr w14:paraId="1FCE8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48BBFEE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工业</w:t>
            </w:r>
            <w:r>
              <w:rPr>
                <w:rFonts w:hint="eastAsia" w:ascii="仿宋" w:hAnsi="仿宋" w:eastAsia="仿宋" w:cs="仿宋"/>
                <w:color w:val="auto"/>
                <w:kern w:val="0"/>
                <w:szCs w:val="21"/>
                <w:highlight w:val="none"/>
              </w:rPr>
              <w:t>*</w:t>
            </w:r>
          </w:p>
        </w:tc>
        <w:tc>
          <w:tcPr>
            <w:tcW w:w="1418" w:type="dxa"/>
            <w:vAlign w:val="center"/>
          </w:tcPr>
          <w:p w14:paraId="5C4602B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0B35097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78BD400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X≥1000</w:t>
            </w:r>
          </w:p>
        </w:tc>
        <w:tc>
          <w:tcPr>
            <w:tcW w:w="1490" w:type="dxa"/>
            <w:vAlign w:val="center"/>
          </w:tcPr>
          <w:p w14:paraId="2EE0FE5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300≤X＜1000</w:t>
            </w:r>
          </w:p>
        </w:tc>
        <w:tc>
          <w:tcPr>
            <w:tcW w:w="1398" w:type="dxa"/>
            <w:vAlign w:val="center"/>
          </w:tcPr>
          <w:p w14:paraId="6F1044A6">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20≤X＜300</w:t>
            </w:r>
          </w:p>
        </w:tc>
        <w:tc>
          <w:tcPr>
            <w:tcW w:w="1312" w:type="dxa"/>
            <w:vAlign w:val="center"/>
          </w:tcPr>
          <w:p w14:paraId="3DAA367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X＜20</w:t>
            </w:r>
          </w:p>
        </w:tc>
      </w:tr>
      <w:tr w14:paraId="4E0A4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158D2E77">
            <w:pPr>
              <w:widowControl/>
              <w:shd w:val="clear"/>
              <w:rPr>
                <w:rFonts w:hint="eastAsia" w:ascii="仿宋" w:hAnsi="仿宋" w:eastAsia="仿宋" w:cs="仿宋"/>
                <w:color w:val="auto"/>
                <w:kern w:val="0"/>
                <w:szCs w:val="21"/>
                <w:highlight w:val="none"/>
              </w:rPr>
            </w:pPr>
          </w:p>
        </w:tc>
        <w:tc>
          <w:tcPr>
            <w:tcW w:w="1418" w:type="dxa"/>
            <w:vAlign w:val="center"/>
          </w:tcPr>
          <w:p w14:paraId="11BA858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50BE956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54BB5AD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Y≥40000</w:t>
            </w:r>
          </w:p>
        </w:tc>
        <w:tc>
          <w:tcPr>
            <w:tcW w:w="1490" w:type="dxa"/>
            <w:vAlign w:val="center"/>
          </w:tcPr>
          <w:p w14:paraId="12957AE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2000≤Y＜40000</w:t>
            </w:r>
          </w:p>
        </w:tc>
        <w:tc>
          <w:tcPr>
            <w:tcW w:w="1398" w:type="dxa"/>
            <w:vAlign w:val="center"/>
          </w:tcPr>
          <w:p w14:paraId="3ADF85E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300≤Y＜2000</w:t>
            </w:r>
          </w:p>
        </w:tc>
        <w:tc>
          <w:tcPr>
            <w:tcW w:w="1312" w:type="dxa"/>
            <w:vAlign w:val="center"/>
          </w:tcPr>
          <w:p w14:paraId="28FC689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Y＜300</w:t>
            </w:r>
          </w:p>
        </w:tc>
      </w:tr>
      <w:tr w14:paraId="6D9F6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7CD54F1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建筑业</w:t>
            </w:r>
          </w:p>
        </w:tc>
        <w:tc>
          <w:tcPr>
            <w:tcW w:w="1418" w:type="dxa"/>
            <w:vAlign w:val="center"/>
          </w:tcPr>
          <w:p w14:paraId="25D444A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5BE1252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0547216E">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Y≥80000</w:t>
            </w:r>
          </w:p>
        </w:tc>
        <w:tc>
          <w:tcPr>
            <w:tcW w:w="1490" w:type="dxa"/>
            <w:vAlign w:val="center"/>
          </w:tcPr>
          <w:p w14:paraId="66DADE3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6000≤Y＜80000</w:t>
            </w:r>
          </w:p>
        </w:tc>
        <w:tc>
          <w:tcPr>
            <w:tcW w:w="1398" w:type="dxa"/>
            <w:vAlign w:val="center"/>
          </w:tcPr>
          <w:p w14:paraId="73414F6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300≤Y＜6000</w:t>
            </w:r>
          </w:p>
        </w:tc>
        <w:tc>
          <w:tcPr>
            <w:tcW w:w="1312" w:type="dxa"/>
            <w:vAlign w:val="center"/>
          </w:tcPr>
          <w:p w14:paraId="5BB6C97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Y＜300</w:t>
            </w:r>
          </w:p>
        </w:tc>
      </w:tr>
      <w:tr w14:paraId="2B5C1E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229BA845">
            <w:pPr>
              <w:widowControl/>
              <w:shd w:val="clear"/>
              <w:rPr>
                <w:rFonts w:hint="eastAsia" w:ascii="仿宋" w:hAnsi="仿宋" w:eastAsia="仿宋" w:cs="仿宋"/>
                <w:color w:val="auto"/>
                <w:kern w:val="0"/>
                <w:szCs w:val="21"/>
                <w:highlight w:val="none"/>
              </w:rPr>
            </w:pPr>
          </w:p>
        </w:tc>
        <w:tc>
          <w:tcPr>
            <w:tcW w:w="1418" w:type="dxa"/>
            <w:vAlign w:val="center"/>
          </w:tcPr>
          <w:p w14:paraId="07BA5D8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资产总额(Z)</w:t>
            </w:r>
          </w:p>
        </w:tc>
        <w:tc>
          <w:tcPr>
            <w:tcW w:w="708" w:type="dxa"/>
            <w:vAlign w:val="center"/>
          </w:tcPr>
          <w:p w14:paraId="56CC1F4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42DA8DD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Z≥80000</w:t>
            </w:r>
          </w:p>
        </w:tc>
        <w:tc>
          <w:tcPr>
            <w:tcW w:w="1490" w:type="dxa"/>
            <w:vAlign w:val="center"/>
          </w:tcPr>
          <w:p w14:paraId="05BBD0F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5000≤Z＜80000</w:t>
            </w:r>
          </w:p>
        </w:tc>
        <w:tc>
          <w:tcPr>
            <w:tcW w:w="1398" w:type="dxa"/>
            <w:vAlign w:val="center"/>
          </w:tcPr>
          <w:p w14:paraId="09BC1BA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300≤Z＜5000</w:t>
            </w:r>
          </w:p>
        </w:tc>
        <w:tc>
          <w:tcPr>
            <w:tcW w:w="1312" w:type="dxa"/>
            <w:vAlign w:val="center"/>
          </w:tcPr>
          <w:p w14:paraId="69AFD25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Z＜300</w:t>
            </w:r>
          </w:p>
        </w:tc>
      </w:tr>
      <w:tr w14:paraId="21BEF6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117A062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批发业</w:t>
            </w:r>
          </w:p>
        </w:tc>
        <w:tc>
          <w:tcPr>
            <w:tcW w:w="1418" w:type="dxa"/>
            <w:vAlign w:val="center"/>
          </w:tcPr>
          <w:p w14:paraId="4D255E3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6387D87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4287773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X≥200</w:t>
            </w:r>
          </w:p>
        </w:tc>
        <w:tc>
          <w:tcPr>
            <w:tcW w:w="1490" w:type="dxa"/>
            <w:vAlign w:val="center"/>
          </w:tcPr>
          <w:p w14:paraId="31B9058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20≤X＜200</w:t>
            </w:r>
          </w:p>
        </w:tc>
        <w:tc>
          <w:tcPr>
            <w:tcW w:w="1398" w:type="dxa"/>
            <w:vAlign w:val="center"/>
          </w:tcPr>
          <w:p w14:paraId="5F3AE26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5≤X＜20</w:t>
            </w:r>
          </w:p>
        </w:tc>
        <w:tc>
          <w:tcPr>
            <w:tcW w:w="1312" w:type="dxa"/>
            <w:vAlign w:val="center"/>
          </w:tcPr>
          <w:p w14:paraId="591BD39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X＜5</w:t>
            </w:r>
          </w:p>
        </w:tc>
      </w:tr>
      <w:tr w14:paraId="185B4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19B1DDCE">
            <w:pPr>
              <w:widowControl/>
              <w:shd w:val="clear"/>
              <w:rPr>
                <w:rFonts w:hint="eastAsia" w:ascii="仿宋" w:hAnsi="仿宋" w:eastAsia="仿宋" w:cs="仿宋"/>
                <w:color w:val="auto"/>
                <w:kern w:val="0"/>
                <w:szCs w:val="21"/>
                <w:highlight w:val="none"/>
              </w:rPr>
            </w:pPr>
          </w:p>
        </w:tc>
        <w:tc>
          <w:tcPr>
            <w:tcW w:w="1418" w:type="dxa"/>
            <w:vAlign w:val="center"/>
          </w:tcPr>
          <w:p w14:paraId="5C4951AE">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4E53F27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03BE165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Y≥40000</w:t>
            </w:r>
          </w:p>
        </w:tc>
        <w:tc>
          <w:tcPr>
            <w:tcW w:w="1490" w:type="dxa"/>
            <w:vAlign w:val="center"/>
          </w:tcPr>
          <w:p w14:paraId="55BD90E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5000≤Y＜40000</w:t>
            </w:r>
          </w:p>
        </w:tc>
        <w:tc>
          <w:tcPr>
            <w:tcW w:w="1398" w:type="dxa"/>
            <w:vAlign w:val="center"/>
          </w:tcPr>
          <w:p w14:paraId="2532728E">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1000≤Y＜5000</w:t>
            </w:r>
          </w:p>
        </w:tc>
        <w:tc>
          <w:tcPr>
            <w:tcW w:w="1312" w:type="dxa"/>
            <w:vAlign w:val="center"/>
          </w:tcPr>
          <w:p w14:paraId="6D1974C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Y＜1000</w:t>
            </w:r>
          </w:p>
        </w:tc>
      </w:tr>
      <w:tr w14:paraId="601307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0EE7529E">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零售业</w:t>
            </w:r>
          </w:p>
        </w:tc>
        <w:tc>
          <w:tcPr>
            <w:tcW w:w="1418" w:type="dxa"/>
            <w:vAlign w:val="center"/>
          </w:tcPr>
          <w:p w14:paraId="534762C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584EFE1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76CDD7F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X≥300</w:t>
            </w:r>
          </w:p>
        </w:tc>
        <w:tc>
          <w:tcPr>
            <w:tcW w:w="1490" w:type="dxa"/>
            <w:vAlign w:val="center"/>
          </w:tcPr>
          <w:p w14:paraId="2149061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50≤X＜300</w:t>
            </w:r>
          </w:p>
        </w:tc>
        <w:tc>
          <w:tcPr>
            <w:tcW w:w="1398" w:type="dxa"/>
            <w:vAlign w:val="center"/>
          </w:tcPr>
          <w:p w14:paraId="5D537C46">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10≤X＜50</w:t>
            </w:r>
          </w:p>
        </w:tc>
        <w:tc>
          <w:tcPr>
            <w:tcW w:w="1312" w:type="dxa"/>
            <w:vAlign w:val="center"/>
          </w:tcPr>
          <w:p w14:paraId="18DB44E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w:t>
            </w:r>
          </w:p>
        </w:tc>
      </w:tr>
      <w:tr w14:paraId="4CEA34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375A6A02">
            <w:pPr>
              <w:widowControl/>
              <w:shd w:val="clear"/>
              <w:rPr>
                <w:rFonts w:hint="eastAsia" w:ascii="仿宋" w:hAnsi="仿宋" w:eastAsia="仿宋" w:cs="仿宋"/>
                <w:color w:val="auto"/>
                <w:kern w:val="0"/>
                <w:szCs w:val="21"/>
                <w:highlight w:val="none"/>
              </w:rPr>
            </w:pPr>
          </w:p>
        </w:tc>
        <w:tc>
          <w:tcPr>
            <w:tcW w:w="1418" w:type="dxa"/>
            <w:vAlign w:val="center"/>
          </w:tcPr>
          <w:p w14:paraId="5B3D4C1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1D90524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6722AAA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Y≥20000</w:t>
            </w:r>
          </w:p>
        </w:tc>
        <w:tc>
          <w:tcPr>
            <w:tcW w:w="1490" w:type="dxa"/>
            <w:vAlign w:val="center"/>
          </w:tcPr>
          <w:p w14:paraId="3B9C28D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500≤Y＜20000</w:t>
            </w:r>
          </w:p>
        </w:tc>
        <w:tc>
          <w:tcPr>
            <w:tcW w:w="1398" w:type="dxa"/>
            <w:vAlign w:val="center"/>
          </w:tcPr>
          <w:p w14:paraId="3F43F172">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100≤Y＜500</w:t>
            </w:r>
          </w:p>
        </w:tc>
        <w:tc>
          <w:tcPr>
            <w:tcW w:w="1312" w:type="dxa"/>
            <w:vAlign w:val="center"/>
          </w:tcPr>
          <w:p w14:paraId="5C1A217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w:t>
            </w:r>
          </w:p>
        </w:tc>
      </w:tr>
      <w:tr w14:paraId="2F6786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3E016C9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交通运输业*</w:t>
            </w:r>
          </w:p>
        </w:tc>
        <w:tc>
          <w:tcPr>
            <w:tcW w:w="1418" w:type="dxa"/>
            <w:vAlign w:val="center"/>
          </w:tcPr>
          <w:p w14:paraId="1A8D50D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2CC7FEC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7499B23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X≥1000</w:t>
            </w:r>
          </w:p>
        </w:tc>
        <w:tc>
          <w:tcPr>
            <w:tcW w:w="1490" w:type="dxa"/>
            <w:vAlign w:val="center"/>
          </w:tcPr>
          <w:p w14:paraId="45A3DA9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300≤X＜1000</w:t>
            </w:r>
          </w:p>
        </w:tc>
        <w:tc>
          <w:tcPr>
            <w:tcW w:w="1398" w:type="dxa"/>
            <w:vAlign w:val="center"/>
          </w:tcPr>
          <w:p w14:paraId="22719F4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20≤X＜300</w:t>
            </w:r>
          </w:p>
        </w:tc>
        <w:tc>
          <w:tcPr>
            <w:tcW w:w="1312" w:type="dxa"/>
            <w:vAlign w:val="center"/>
          </w:tcPr>
          <w:p w14:paraId="61F4DAE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X＜20</w:t>
            </w:r>
          </w:p>
        </w:tc>
      </w:tr>
      <w:tr w14:paraId="60825B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091B584C">
            <w:pPr>
              <w:widowControl/>
              <w:shd w:val="clear"/>
              <w:rPr>
                <w:rFonts w:hint="eastAsia" w:ascii="仿宋" w:hAnsi="仿宋" w:eastAsia="仿宋" w:cs="仿宋"/>
                <w:color w:val="auto"/>
                <w:kern w:val="0"/>
                <w:szCs w:val="21"/>
                <w:highlight w:val="none"/>
              </w:rPr>
            </w:pPr>
          </w:p>
        </w:tc>
        <w:tc>
          <w:tcPr>
            <w:tcW w:w="1418" w:type="dxa"/>
            <w:vAlign w:val="center"/>
          </w:tcPr>
          <w:p w14:paraId="5D2E6A16">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477E3D8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027071A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Y≥30000</w:t>
            </w:r>
          </w:p>
        </w:tc>
        <w:tc>
          <w:tcPr>
            <w:tcW w:w="1490" w:type="dxa"/>
            <w:vAlign w:val="center"/>
          </w:tcPr>
          <w:p w14:paraId="64D6A19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3000≤Y＜30000</w:t>
            </w:r>
          </w:p>
        </w:tc>
        <w:tc>
          <w:tcPr>
            <w:tcW w:w="1398" w:type="dxa"/>
            <w:vAlign w:val="center"/>
          </w:tcPr>
          <w:p w14:paraId="6879514E">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200≤Y＜3000</w:t>
            </w:r>
          </w:p>
        </w:tc>
        <w:tc>
          <w:tcPr>
            <w:tcW w:w="1312" w:type="dxa"/>
            <w:vAlign w:val="center"/>
          </w:tcPr>
          <w:p w14:paraId="679939A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Y＜200</w:t>
            </w:r>
          </w:p>
        </w:tc>
      </w:tr>
      <w:tr w14:paraId="78733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1BB3DAE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仓储业*</w:t>
            </w:r>
          </w:p>
        </w:tc>
        <w:tc>
          <w:tcPr>
            <w:tcW w:w="1418" w:type="dxa"/>
            <w:vAlign w:val="center"/>
          </w:tcPr>
          <w:p w14:paraId="1AFB0D3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500509AE">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4801B12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X≥200</w:t>
            </w:r>
          </w:p>
        </w:tc>
        <w:tc>
          <w:tcPr>
            <w:tcW w:w="1490" w:type="dxa"/>
            <w:vAlign w:val="center"/>
          </w:tcPr>
          <w:p w14:paraId="46E1EA8E">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100≤X＜200</w:t>
            </w:r>
          </w:p>
        </w:tc>
        <w:tc>
          <w:tcPr>
            <w:tcW w:w="1398" w:type="dxa"/>
            <w:vAlign w:val="center"/>
          </w:tcPr>
          <w:p w14:paraId="72FEBFA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20≤X＜100</w:t>
            </w:r>
          </w:p>
        </w:tc>
        <w:tc>
          <w:tcPr>
            <w:tcW w:w="1312" w:type="dxa"/>
            <w:vAlign w:val="center"/>
          </w:tcPr>
          <w:p w14:paraId="2E55A66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X＜20</w:t>
            </w:r>
          </w:p>
        </w:tc>
      </w:tr>
      <w:tr w14:paraId="550D7A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31E5B86F">
            <w:pPr>
              <w:widowControl/>
              <w:shd w:val="clear"/>
              <w:rPr>
                <w:rFonts w:hint="eastAsia" w:ascii="仿宋" w:hAnsi="仿宋" w:eastAsia="仿宋" w:cs="仿宋"/>
                <w:color w:val="auto"/>
                <w:kern w:val="0"/>
                <w:szCs w:val="21"/>
                <w:highlight w:val="none"/>
              </w:rPr>
            </w:pPr>
          </w:p>
        </w:tc>
        <w:tc>
          <w:tcPr>
            <w:tcW w:w="1418" w:type="dxa"/>
            <w:vAlign w:val="center"/>
          </w:tcPr>
          <w:p w14:paraId="089F94D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234A6EC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4AC6541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Y≥30000</w:t>
            </w:r>
          </w:p>
        </w:tc>
        <w:tc>
          <w:tcPr>
            <w:tcW w:w="1490" w:type="dxa"/>
            <w:vAlign w:val="center"/>
          </w:tcPr>
          <w:p w14:paraId="7BEF889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1000≤Y＜30000</w:t>
            </w:r>
          </w:p>
        </w:tc>
        <w:tc>
          <w:tcPr>
            <w:tcW w:w="1398" w:type="dxa"/>
            <w:vAlign w:val="center"/>
          </w:tcPr>
          <w:p w14:paraId="47F3DDC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100≤Y＜1000</w:t>
            </w:r>
          </w:p>
        </w:tc>
        <w:tc>
          <w:tcPr>
            <w:tcW w:w="1312" w:type="dxa"/>
            <w:vAlign w:val="center"/>
          </w:tcPr>
          <w:p w14:paraId="745F73A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w:t>
            </w:r>
          </w:p>
        </w:tc>
      </w:tr>
      <w:tr w14:paraId="53AF3B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388AF95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邮政业</w:t>
            </w:r>
          </w:p>
        </w:tc>
        <w:tc>
          <w:tcPr>
            <w:tcW w:w="1418" w:type="dxa"/>
            <w:vAlign w:val="center"/>
          </w:tcPr>
          <w:p w14:paraId="0A5040F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5868ED0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5C499A8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X≥1000</w:t>
            </w:r>
          </w:p>
        </w:tc>
        <w:tc>
          <w:tcPr>
            <w:tcW w:w="1490" w:type="dxa"/>
            <w:vAlign w:val="center"/>
          </w:tcPr>
          <w:p w14:paraId="706CC15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300≤X＜1000</w:t>
            </w:r>
          </w:p>
        </w:tc>
        <w:tc>
          <w:tcPr>
            <w:tcW w:w="1398" w:type="dxa"/>
            <w:vAlign w:val="center"/>
          </w:tcPr>
          <w:p w14:paraId="655EE2B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20≤X＜300</w:t>
            </w:r>
          </w:p>
        </w:tc>
        <w:tc>
          <w:tcPr>
            <w:tcW w:w="1312" w:type="dxa"/>
            <w:vAlign w:val="center"/>
          </w:tcPr>
          <w:p w14:paraId="11A3804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X＜20</w:t>
            </w:r>
          </w:p>
        </w:tc>
      </w:tr>
      <w:tr w14:paraId="10AF2F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1EA19E24">
            <w:pPr>
              <w:widowControl/>
              <w:shd w:val="clear"/>
              <w:rPr>
                <w:rFonts w:hint="eastAsia" w:ascii="仿宋" w:hAnsi="仿宋" w:eastAsia="仿宋" w:cs="仿宋"/>
                <w:color w:val="auto"/>
                <w:kern w:val="0"/>
                <w:szCs w:val="21"/>
                <w:highlight w:val="none"/>
              </w:rPr>
            </w:pPr>
          </w:p>
        </w:tc>
        <w:tc>
          <w:tcPr>
            <w:tcW w:w="1418" w:type="dxa"/>
            <w:vAlign w:val="center"/>
          </w:tcPr>
          <w:p w14:paraId="607AB30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6726B79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325BC8C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Y≥30000</w:t>
            </w:r>
          </w:p>
        </w:tc>
        <w:tc>
          <w:tcPr>
            <w:tcW w:w="1490" w:type="dxa"/>
            <w:vAlign w:val="center"/>
          </w:tcPr>
          <w:p w14:paraId="1A594AF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2000≤Y＜30000</w:t>
            </w:r>
          </w:p>
        </w:tc>
        <w:tc>
          <w:tcPr>
            <w:tcW w:w="1398" w:type="dxa"/>
            <w:vAlign w:val="center"/>
          </w:tcPr>
          <w:p w14:paraId="2C113D86">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100≤Y＜2000</w:t>
            </w:r>
          </w:p>
        </w:tc>
        <w:tc>
          <w:tcPr>
            <w:tcW w:w="1312" w:type="dxa"/>
            <w:vAlign w:val="center"/>
          </w:tcPr>
          <w:p w14:paraId="58135E6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w:t>
            </w:r>
          </w:p>
        </w:tc>
      </w:tr>
      <w:tr w14:paraId="08402E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6D775BE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住宿业</w:t>
            </w:r>
          </w:p>
        </w:tc>
        <w:tc>
          <w:tcPr>
            <w:tcW w:w="1418" w:type="dxa"/>
            <w:vAlign w:val="center"/>
          </w:tcPr>
          <w:p w14:paraId="38888B7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295653B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7E330AD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X≥300</w:t>
            </w:r>
          </w:p>
        </w:tc>
        <w:tc>
          <w:tcPr>
            <w:tcW w:w="1490" w:type="dxa"/>
            <w:vAlign w:val="center"/>
          </w:tcPr>
          <w:p w14:paraId="079DBAA1">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100≤X＜300</w:t>
            </w:r>
          </w:p>
        </w:tc>
        <w:tc>
          <w:tcPr>
            <w:tcW w:w="1398" w:type="dxa"/>
            <w:vAlign w:val="center"/>
          </w:tcPr>
          <w:p w14:paraId="6B65D42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10≤X＜100</w:t>
            </w:r>
          </w:p>
        </w:tc>
        <w:tc>
          <w:tcPr>
            <w:tcW w:w="1312" w:type="dxa"/>
            <w:vAlign w:val="center"/>
          </w:tcPr>
          <w:p w14:paraId="72615A3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w:t>
            </w:r>
          </w:p>
        </w:tc>
      </w:tr>
      <w:tr w14:paraId="2D23F4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0994B6B9">
            <w:pPr>
              <w:widowControl/>
              <w:shd w:val="clear"/>
              <w:rPr>
                <w:rFonts w:hint="eastAsia" w:ascii="仿宋" w:hAnsi="仿宋" w:eastAsia="仿宋" w:cs="仿宋"/>
                <w:color w:val="auto"/>
                <w:kern w:val="0"/>
                <w:szCs w:val="21"/>
                <w:highlight w:val="none"/>
              </w:rPr>
            </w:pPr>
          </w:p>
        </w:tc>
        <w:tc>
          <w:tcPr>
            <w:tcW w:w="1418" w:type="dxa"/>
            <w:vAlign w:val="center"/>
          </w:tcPr>
          <w:p w14:paraId="33A1DF5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4962567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68B1FD5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Y≥10000</w:t>
            </w:r>
          </w:p>
        </w:tc>
        <w:tc>
          <w:tcPr>
            <w:tcW w:w="1490" w:type="dxa"/>
            <w:vAlign w:val="center"/>
          </w:tcPr>
          <w:p w14:paraId="2AA5A34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2000≤Y＜10000</w:t>
            </w:r>
          </w:p>
        </w:tc>
        <w:tc>
          <w:tcPr>
            <w:tcW w:w="1398" w:type="dxa"/>
            <w:vAlign w:val="center"/>
          </w:tcPr>
          <w:p w14:paraId="19BFA26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100≤Y＜2000</w:t>
            </w:r>
          </w:p>
        </w:tc>
        <w:tc>
          <w:tcPr>
            <w:tcW w:w="1312" w:type="dxa"/>
            <w:vAlign w:val="center"/>
          </w:tcPr>
          <w:p w14:paraId="6F7CFE5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w:t>
            </w:r>
          </w:p>
        </w:tc>
      </w:tr>
      <w:tr w14:paraId="4BB958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0F6DFCE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餐饮业</w:t>
            </w:r>
          </w:p>
        </w:tc>
        <w:tc>
          <w:tcPr>
            <w:tcW w:w="1418" w:type="dxa"/>
            <w:vAlign w:val="center"/>
          </w:tcPr>
          <w:p w14:paraId="72AA4EE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2F9FE72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607C1B3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X≥300</w:t>
            </w:r>
          </w:p>
        </w:tc>
        <w:tc>
          <w:tcPr>
            <w:tcW w:w="1490" w:type="dxa"/>
            <w:vAlign w:val="center"/>
          </w:tcPr>
          <w:p w14:paraId="44BDEDE4">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100≤X＜300</w:t>
            </w:r>
          </w:p>
        </w:tc>
        <w:tc>
          <w:tcPr>
            <w:tcW w:w="1398" w:type="dxa"/>
            <w:vAlign w:val="center"/>
          </w:tcPr>
          <w:p w14:paraId="3172AF4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10≤X＜100</w:t>
            </w:r>
          </w:p>
        </w:tc>
        <w:tc>
          <w:tcPr>
            <w:tcW w:w="1312" w:type="dxa"/>
            <w:vAlign w:val="center"/>
          </w:tcPr>
          <w:p w14:paraId="5F2C77F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w:t>
            </w:r>
          </w:p>
        </w:tc>
      </w:tr>
      <w:tr w14:paraId="7F3298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0CFFA238">
            <w:pPr>
              <w:widowControl/>
              <w:shd w:val="clear"/>
              <w:rPr>
                <w:rFonts w:hint="eastAsia" w:ascii="仿宋" w:hAnsi="仿宋" w:eastAsia="仿宋" w:cs="仿宋"/>
                <w:color w:val="auto"/>
                <w:kern w:val="0"/>
                <w:szCs w:val="21"/>
                <w:highlight w:val="none"/>
              </w:rPr>
            </w:pPr>
          </w:p>
        </w:tc>
        <w:tc>
          <w:tcPr>
            <w:tcW w:w="1418" w:type="dxa"/>
            <w:vAlign w:val="center"/>
          </w:tcPr>
          <w:p w14:paraId="27F6DC5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532ABEA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07256B7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Y≥10000</w:t>
            </w:r>
          </w:p>
        </w:tc>
        <w:tc>
          <w:tcPr>
            <w:tcW w:w="1490" w:type="dxa"/>
            <w:vAlign w:val="center"/>
          </w:tcPr>
          <w:p w14:paraId="7FC62F1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2000≤Y＜10000</w:t>
            </w:r>
          </w:p>
        </w:tc>
        <w:tc>
          <w:tcPr>
            <w:tcW w:w="1398" w:type="dxa"/>
            <w:vAlign w:val="center"/>
          </w:tcPr>
          <w:p w14:paraId="248832D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100≤Y＜2000</w:t>
            </w:r>
          </w:p>
        </w:tc>
        <w:tc>
          <w:tcPr>
            <w:tcW w:w="1312" w:type="dxa"/>
            <w:vAlign w:val="center"/>
          </w:tcPr>
          <w:p w14:paraId="7464FAD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w:t>
            </w:r>
          </w:p>
        </w:tc>
      </w:tr>
      <w:tr w14:paraId="3FFF51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1913C12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信息传输业*</w:t>
            </w:r>
          </w:p>
        </w:tc>
        <w:tc>
          <w:tcPr>
            <w:tcW w:w="1418" w:type="dxa"/>
            <w:vAlign w:val="center"/>
          </w:tcPr>
          <w:p w14:paraId="64001B7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4EE220F8">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20D991B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X≥2000</w:t>
            </w:r>
          </w:p>
        </w:tc>
        <w:tc>
          <w:tcPr>
            <w:tcW w:w="1490" w:type="dxa"/>
            <w:vAlign w:val="center"/>
          </w:tcPr>
          <w:p w14:paraId="3991B3B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100≤X＜2000</w:t>
            </w:r>
          </w:p>
        </w:tc>
        <w:tc>
          <w:tcPr>
            <w:tcW w:w="1398" w:type="dxa"/>
            <w:vAlign w:val="center"/>
          </w:tcPr>
          <w:p w14:paraId="233424F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10≤X＜100</w:t>
            </w:r>
          </w:p>
        </w:tc>
        <w:tc>
          <w:tcPr>
            <w:tcW w:w="1312" w:type="dxa"/>
            <w:vAlign w:val="center"/>
          </w:tcPr>
          <w:p w14:paraId="6E0EC33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w:t>
            </w:r>
          </w:p>
        </w:tc>
      </w:tr>
      <w:tr w14:paraId="7B0F2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15EBD054">
            <w:pPr>
              <w:widowControl/>
              <w:shd w:val="clear"/>
              <w:rPr>
                <w:rFonts w:hint="eastAsia" w:ascii="仿宋" w:hAnsi="仿宋" w:eastAsia="仿宋" w:cs="仿宋"/>
                <w:color w:val="auto"/>
                <w:kern w:val="0"/>
                <w:szCs w:val="21"/>
                <w:highlight w:val="none"/>
              </w:rPr>
            </w:pPr>
          </w:p>
        </w:tc>
        <w:tc>
          <w:tcPr>
            <w:tcW w:w="1418" w:type="dxa"/>
            <w:vAlign w:val="center"/>
          </w:tcPr>
          <w:p w14:paraId="7EA795C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2FCF015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2707C9A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Y≥100000</w:t>
            </w:r>
          </w:p>
        </w:tc>
        <w:tc>
          <w:tcPr>
            <w:tcW w:w="1490" w:type="dxa"/>
            <w:vAlign w:val="center"/>
          </w:tcPr>
          <w:p w14:paraId="16B9BA6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1000≤Y＜100000</w:t>
            </w:r>
          </w:p>
        </w:tc>
        <w:tc>
          <w:tcPr>
            <w:tcW w:w="1398" w:type="dxa"/>
            <w:vAlign w:val="center"/>
          </w:tcPr>
          <w:p w14:paraId="7710B3D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100≤Y＜1000</w:t>
            </w:r>
          </w:p>
        </w:tc>
        <w:tc>
          <w:tcPr>
            <w:tcW w:w="1312" w:type="dxa"/>
            <w:vAlign w:val="center"/>
          </w:tcPr>
          <w:p w14:paraId="59A8EC5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w:t>
            </w:r>
          </w:p>
        </w:tc>
      </w:tr>
      <w:tr w14:paraId="3BDE4B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3A2BA053">
            <w:pPr>
              <w:widowControl/>
              <w:shd w:val="clear"/>
              <w:rPr>
                <w:rFonts w:hint="eastAsia" w:ascii="仿宋" w:hAnsi="仿宋" w:eastAsia="仿宋" w:cs="仿宋"/>
                <w:color w:val="auto"/>
                <w:spacing w:val="-12"/>
                <w:kern w:val="0"/>
                <w:szCs w:val="21"/>
                <w:highlight w:val="none"/>
              </w:rPr>
            </w:pPr>
            <w:r>
              <w:rPr>
                <w:rFonts w:hint="eastAsia" w:ascii="仿宋" w:hAnsi="仿宋" w:eastAsia="仿宋" w:cs="仿宋"/>
                <w:color w:val="auto"/>
                <w:spacing w:val="-12"/>
                <w:kern w:val="0"/>
                <w:szCs w:val="21"/>
                <w:highlight w:val="none"/>
              </w:rPr>
              <w:t>软件和信息技术服</w:t>
            </w:r>
            <w:r>
              <w:rPr>
                <w:rFonts w:hint="eastAsia" w:ascii="仿宋" w:hAnsi="仿宋" w:eastAsia="仿宋" w:cs="仿宋"/>
                <w:color w:val="auto"/>
                <w:kern w:val="0"/>
                <w:szCs w:val="21"/>
                <w:highlight w:val="none"/>
              </w:rPr>
              <w:t>务业</w:t>
            </w:r>
          </w:p>
        </w:tc>
        <w:tc>
          <w:tcPr>
            <w:tcW w:w="1418" w:type="dxa"/>
            <w:vAlign w:val="center"/>
          </w:tcPr>
          <w:p w14:paraId="499B873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170D0E4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0912300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X≥300</w:t>
            </w:r>
          </w:p>
        </w:tc>
        <w:tc>
          <w:tcPr>
            <w:tcW w:w="1490" w:type="dxa"/>
            <w:vAlign w:val="center"/>
          </w:tcPr>
          <w:p w14:paraId="3270632C">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100≤X＜300</w:t>
            </w:r>
          </w:p>
        </w:tc>
        <w:tc>
          <w:tcPr>
            <w:tcW w:w="1398" w:type="dxa"/>
            <w:vAlign w:val="center"/>
          </w:tcPr>
          <w:p w14:paraId="3B99070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10≤X＜100</w:t>
            </w:r>
          </w:p>
        </w:tc>
        <w:tc>
          <w:tcPr>
            <w:tcW w:w="1312" w:type="dxa"/>
            <w:vAlign w:val="center"/>
          </w:tcPr>
          <w:p w14:paraId="0F32371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w:t>
            </w:r>
          </w:p>
        </w:tc>
      </w:tr>
      <w:tr w14:paraId="58092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7932EBE6">
            <w:pPr>
              <w:widowControl/>
              <w:shd w:val="clear"/>
              <w:rPr>
                <w:rFonts w:hint="eastAsia" w:ascii="仿宋" w:hAnsi="仿宋" w:eastAsia="仿宋" w:cs="仿宋"/>
                <w:color w:val="auto"/>
                <w:spacing w:val="-12"/>
                <w:kern w:val="0"/>
                <w:szCs w:val="21"/>
                <w:highlight w:val="none"/>
              </w:rPr>
            </w:pPr>
          </w:p>
        </w:tc>
        <w:tc>
          <w:tcPr>
            <w:tcW w:w="1418" w:type="dxa"/>
            <w:vAlign w:val="center"/>
          </w:tcPr>
          <w:p w14:paraId="0333B40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0873372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4B35CE00">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Y≥10000</w:t>
            </w:r>
          </w:p>
        </w:tc>
        <w:tc>
          <w:tcPr>
            <w:tcW w:w="1490" w:type="dxa"/>
            <w:vAlign w:val="center"/>
          </w:tcPr>
          <w:p w14:paraId="15D687A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1000≤Y＜10000</w:t>
            </w:r>
          </w:p>
        </w:tc>
        <w:tc>
          <w:tcPr>
            <w:tcW w:w="1398" w:type="dxa"/>
            <w:vAlign w:val="center"/>
          </w:tcPr>
          <w:p w14:paraId="3985EDDC">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50≤Y＜1000</w:t>
            </w:r>
          </w:p>
        </w:tc>
        <w:tc>
          <w:tcPr>
            <w:tcW w:w="1312" w:type="dxa"/>
            <w:vAlign w:val="center"/>
          </w:tcPr>
          <w:p w14:paraId="200ADC16">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Y＜50</w:t>
            </w:r>
          </w:p>
        </w:tc>
      </w:tr>
      <w:tr w14:paraId="369BA4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013AF41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房地产开发经营</w:t>
            </w:r>
          </w:p>
        </w:tc>
        <w:tc>
          <w:tcPr>
            <w:tcW w:w="1418" w:type="dxa"/>
            <w:vAlign w:val="center"/>
          </w:tcPr>
          <w:p w14:paraId="21F5363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68695D1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31BE1B8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Y≥200000</w:t>
            </w:r>
          </w:p>
        </w:tc>
        <w:tc>
          <w:tcPr>
            <w:tcW w:w="1490" w:type="dxa"/>
            <w:vAlign w:val="center"/>
          </w:tcPr>
          <w:p w14:paraId="21050F96">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1000≤Y＜200000</w:t>
            </w:r>
          </w:p>
        </w:tc>
        <w:tc>
          <w:tcPr>
            <w:tcW w:w="1398" w:type="dxa"/>
            <w:vAlign w:val="center"/>
          </w:tcPr>
          <w:p w14:paraId="7D4EAD0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100≤Y＜1000</w:t>
            </w:r>
          </w:p>
        </w:tc>
        <w:tc>
          <w:tcPr>
            <w:tcW w:w="1312" w:type="dxa"/>
            <w:vAlign w:val="center"/>
          </w:tcPr>
          <w:p w14:paraId="6D7A336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Y＜100</w:t>
            </w:r>
          </w:p>
        </w:tc>
      </w:tr>
      <w:tr w14:paraId="0BAD9A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38D770B5">
            <w:pPr>
              <w:widowControl/>
              <w:shd w:val="clear"/>
              <w:rPr>
                <w:rFonts w:hint="eastAsia" w:ascii="仿宋" w:hAnsi="仿宋" w:eastAsia="仿宋" w:cs="仿宋"/>
                <w:color w:val="auto"/>
                <w:kern w:val="0"/>
                <w:szCs w:val="21"/>
                <w:highlight w:val="none"/>
              </w:rPr>
            </w:pPr>
          </w:p>
        </w:tc>
        <w:tc>
          <w:tcPr>
            <w:tcW w:w="1418" w:type="dxa"/>
            <w:vAlign w:val="center"/>
          </w:tcPr>
          <w:p w14:paraId="52B7E9B3">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资产总额(Z)</w:t>
            </w:r>
          </w:p>
        </w:tc>
        <w:tc>
          <w:tcPr>
            <w:tcW w:w="708" w:type="dxa"/>
            <w:vAlign w:val="center"/>
          </w:tcPr>
          <w:p w14:paraId="390C579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6E77168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Z≥10000</w:t>
            </w:r>
          </w:p>
        </w:tc>
        <w:tc>
          <w:tcPr>
            <w:tcW w:w="1490" w:type="dxa"/>
            <w:vAlign w:val="center"/>
          </w:tcPr>
          <w:p w14:paraId="68B4FC3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5000≤Z＜10000</w:t>
            </w:r>
          </w:p>
        </w:tc>
        <w:tc>
          <w:tcPr>
            <w:tcW w:w="1398" w:type="dxa"/>
            <w:vAlign w:val="center"/>
          </w:tcPr>
          <w:p w14:paraId="6177F067">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2000≤Z＜5000</w:t>
            </w:r>
          </w:p>
        </w:tc>
        <w:tc>
          <w:tcPr>
            <w:tcW w:w="1312" w:type="dxa"/>
            <w:vAlign w:val="center"/>
          </w:tcPr>
          <w:p w14:paraId="7831165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Z＜2000</w:t>
            </w:r>
          </w:p>
        </w:tc>
      </w:tr>
      <w:tr w14:paraId="1B76A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3BCA911B">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物业管理</w:t>
            </w:r>
          </w:p>
        </w:tc>
        <w:tc>
          <w:tcPr>
            <w:tcW w:w="1418" w:type="dxa"/>
            <w:vAlign w:val="center"/>
          </w:tcPr>
          <w:p w14:paraId="464BD68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5A90C9E4">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08A7D36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X≥1000</w:t>
            </w:r>
          </w:p>
        </w:tc>
        <w:tc>
          <w:tcPr>
            <w:tcW w:w="1490" w:type="dxa"/>
            <w:vAlign w:val="center"/>
          </w:tcPr>
          <w:p w14:paraId="144DD25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300≤X＜1000</w:t>
            </w:r>
          </w:p>
        </w:tc>
        <w:tc>
          <w:tcPr>
            <w:tcW w:w="1398" w:type="dxa"/>
            <w:vAlign w:val="center"/>
          </w:tcPr>
          <w:p w14:paraId="414D80A2">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100≤X＜300</w:t>
            </w:r>
          </w:p>
        </w:tc>
        <w:tc>
          <w:tcPr>
            <w:tcW w:w="1312" w:type="dxa"/>
            <w:vAlign w:val="center"/>
          </w:tcPr>
          <w:p w14:paraId="3E132D6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X＜100</w:t>
            </w:r>
          </w:p>
        </w:tc>
      </w:tr>
      <w:tr w14:paraId="4F1022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757BAC0D">
            <w:pPr>
              <w:widowControl/>
              <w:shd w:val="clear"/>
              <w:rPr>
                <w:rFonts w:hint="eastAsia" w:ascii="仿宋" w:hAnsi="仿宋" w:eastAsia="仿宋" w:cs="仿宋"/>
                <w:color w:val="auto"/>
                <w:kern w:val="0"/>
                <w:szCs w:val="21"/>
                <w:highlight w:val="none"/>
              </w:rPr>
            </w:pPr>
          </w:p>
        </w:tc>
        <w:tc>
          <w:tcPr>
            <w:tcW w:w="1418" w:type="dxa"/>
            <w:vAlign w:val="center"/>
          </w:tcPr>
          <w:p w14:paraId="069985E6">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营业收入(Y)</w:t>
            </w:r>
          </w:p>
        </w:tc>
        <w:tc>
          <w:tcPr>
            <w:tcW w:w="708" w:type="dxa"/>
            <w:vAlign w:val="center"/>
          </w:tcPr>
          <w:p w14:paraId="63299DD1">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124DA84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Y≥5000</w:t>
            </w:r>
          </w:p>
        </w:tc>
        <w:tc>
          <w:tcPr>
            <w:tcW w:w="1490" w:type="dxa"/>
            <w:vAlign w:val="center"/>
          </w:tcPr>
          <w:p w14:paraId="4711C6CD">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1000≤Y＜5000</w:t>
            </w:r>
          </w:p>
        </w:tc>
        <w:tc>
          <w:tcPr>
            <w:tcW w:w="1398" w:type="dxa"/>
            <w:vAlign w:val="center"/>
          </w:tcPr>
          <w:p w14:paraId="3A8106D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500≤Y＜1000</w:t>
            </w:r>
          </w:p>
        </w:tc>
        <w:tc>
          <w:tcPr>
            <w:tcW w:w="1312" w:type="dxa"/>
            <w:vAlign w:val="center"/>
          </w:tcPr>
          <w:p w14:paraId="619A4B7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Y＜500</w:t>
            </w:r>
          </w:p>
        </w:tc>
      </w:tr>
      <w:tr w14:paraId="29F182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restart"/>
            <w:vAlign w:val="center"/>
          </w:tcPr>
          <w:p w14:paraId="36AE415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租赁和商务服务业</w:t>
            </w:r>
          </w:p>
        </w:tc>
        <w:tc>
          <w:tcPr>
            <w:tcW w:w="1418" w:type="dxa"/>
            <w:vAlign w:val="center"/>
          </w:tcPr>
          <w:p w14:paraId="3E187BC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404E3CE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4CE50916">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X≥300</w:t>
            </w:r>
          </w:p>
        </w:tc>
        <w:tc>
          <w:tcPr>
            <w:tcW w:w="1490" w:type="dxa"/>
            <w:vAlign w:val="center"/>
          </w:tcPr>
          <w:p w14:paraId="7EE12891">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100≤X＜300</w:t>
            </w:r>
          </w:p>
        </w:tc>
        <w:tc>
          <w:tcPr>
            <w:tcW w:w="1398" w:type="dxa"/>
            <w:vAlign w:val="center"/>
          </w:tcPr>
          <w:p w14:paraId="54AA568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10≤X＜100</w:t>
            </w:r>
          </w:p>
        </w:tc>
        <w:tc>
          <w:tcPr>
            <w:tcW w:w="1312" w:type="dxa"/>
            <w:vAlign w:val="center"/>
          </w:tcPr>
          <w:p w14:paraId="6F21D4B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w:t>
            </w:r>
          </w:p>
        </w:tc>
      </w:tr>
      <w:tr w14:paraId="2C5625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Merge w:val="continue"/>
            <w:vAlign w:val="center"/>
          </w:tcPr>
          <w:p w14:paraId="7D55BB23">
            <w:pPr>
              <w:widowControl/>
              <w:shd w:val="clear"/>
              <w:rPr>
                <w:rFonts w:hint="eastAsia" w:ascii="仿宋" w:hAnsi="仿宋" w:eastAsia="仿宋" w:cs="仿宋"/>
                <w:color w:val="auto"/>
                <w:kern w:val="0"/>
                <w:szCs w:val="21"/>
                <w:highlight w:val="none"/>
              </w:rPr>
            </w:pPr>
          </w:p>
        </w:tc>
        <w:tc>
          <w:tcPr>
            <w:tcW w:w="1418" w:type="dxa"/>
            <w:vAlign w:val="center"/>
          </w:tcPr>
          <w:p w14:paraId="19A95A8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资产总额(Z)</w:t>
            </w:r>
          </w:p>
        </w:tc>
        <w:tc>
          <w:tcPr>
            <w:tcW w:w="708" w:type="dxa"/>
            <w:vAlign w:val="center"/>
          </w:tcPr>
          <w:p w14:paraId="60610F3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万元</w:t>
            </w:r>
          </w:p>
        </w:tc>
        <w:tc>
          <w:tcPr>
            <w:tcW w:w="1298" w:type="dxa"/>
            <w:vAlign w:val="center"/>
          </w:tcPr>
          <w:p w14:paraId="49D6D39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Z≥120000</w:t>
            </w:r>
          </w:p>
        </w:tc>
        <w:tc>
          <w:tcPr>
            <w:tcW w:w="1490" w:type="dxa"/>
            <w:vAlign w:val="center"/>
          </w:tcPr>
          <w:p w14:paraId="304D7587">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8000≤Z＜120000</w:t>
            </w:r>
          </w:p>
        </w:tc>
        <w:tc>
          <w:tcPr>
            <w:tcW w:w="1398" w:type="dxa"/>
            <w:vAlign w:val="center"/>
          </w:tcPr>
          <w:p w14:paraId="5B4174FF">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100≤Z＜8000</w:t>
            </w:r>
          </w:p>
        </w:tc>
        <w:tc>
          <w:tcPr>
            <w:tcW w:w="1312" w:type="dxa"/>
            <w:vAlign w:val="center"/>
          </w:tcPr>
          <w:p w14:paraId="2166E26D">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Z＜100</w:t>
            </w:r>
          </w:p>
        </w:tc>
      </w:tr>
      <w:tr w14:paraId="128EE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1261" w:type="dxa"/>
            <w:vAlign w:val="center"/>
          </w:tcPr>
          <w:p w14:paraId="7FF0267A">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其他未列明行业*</w:t>
            </w:r>
          </w:p>
        </w:tc>
        <w:tc>
          <w:tcPr>
            <w:tcW w:w="1418" w:type="dxa"/>
            <w:vAlign w:val="center"/>
          </w:tcPr>
          <w:p w14:paraId="44DC69A9">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从业人员(X)</w:t>
            </w:r>
          </w:p>
        </w:tc>
        <w:tc>
          <w:tcPr>
            <w:tcW w:w="708" w:type="dxa"/>
            <w:vAlign w:val="center"/>
          </w:tcPr>
          <w:p w14:paraId="6E7D1025">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人</w:t>
            </w:r>
          </w:p>
        </w:tc>
        <w:tc>
          <w:tcPr>
            <w:tcW w:w="1298" w:type="dxa"/>
            <w:vAlign w:val="center"/>
          </w:tcPr>
          <w:p w14:paraId="052C0CC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X≥300</w:t>
            </w:r>
          </w:p>
        </w:tc>
        <w:tc>
          <w:tcPr>
            <w:tcW w:w="1490" w:type="dxa"/>
            <w:vAlign w:val="center"/>
          </w:tcPr>
          <w:p w14:paraId="4D256805">
            <w:pPr>
              <w:widowControl/>
              <w:shd w:val="clea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100≤X＜300</w:t>
            </w:r>
          </w:p>
        </w:tc>
        <w:tc>
          <w:tcPr>
            <w:tcW w:w="1398" w:type="dxa"/>
            <w:vAlign w:val="center"/>
          </w:tcPr>
          <w:p w14:paraId="3B229EA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10≤X＜100</w:t>
            </w:r>
          </w:p>
        </w:tc>
        <w:tc>
          <w:tcPr>
            <w:tcW w:w="1312" w:type="dxa"/>
            <w:vAlign w:val="center"/>
          </w:tcPr>
          <w:p w14:paraId="55CC5282">
            <w:pPr>
              <w:widowControl/>
              <w:shd w:val="clea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X＜10</w:t>
            </w:r>
          </w:p>
        </w:tc>
      </w:tr>
    </w:tbl>
    <w:p w14:paraId="5491CC81">
      <w:pPr>
        <w:shd w:val="clear"/>
        <w:spacing w:line="360" w:lineRule="auto"/>
        <w:ind w:firstLine="514"/>
        <w:rPr>
          <w:rFonts w:hint="eastAsia" w:ascii="仿宋" w:hAnsi="仿宋" w:eastAsia="仿宋" w:cs="仿宋"/>
          <w:b/>
          <w:color w:val="auto"/>
          <w:spacing w:val="8"/>
          <w:kern w:val="0"/>
          <w:sz w:val="24"/>
          <w:highlight w:val="none"/>
        </w:rPr>
      </w:pPr>
      <w:r>
        <w:rPr>
          <w:rFonts w:hint="eastAsia" w:ascii="仿宋" w:hAnsi="仿宋" w:eastAsia="仿宋" w:cs="仿宋"/>
          <w:b/>
          <w:color w:val="auto"/>
          <w:spacing w:val="8"/>
          <w:kern w:val="0"/>
          <w:sz w:val="24"/>
          <w:highlight w:val="none"/>
        </w:rPr>
        <w:t>说明：</w:t>
      </w:r>
    </w:p>
    <w:p w14:paraId="4ECA14E4">
      <w:pPr>
        <w:pStyle w:val="35"/>
        <w:shd w:val="clea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（1）大型、中型和小型企业须同时满足所列指标的下限，否则下划一档；微型企业只须满足所列指标中的一项即可。</w:t>
      </w:r>
    </w:p>
    <w:p w14:paraId="0D6AED7F">
      <w:pPr>
        <w:pStyle w:val="35"/>
        <w:shd w:val="clea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（2）附表中各行业的范围以《国民经济行业分类》（GB/T4754-2017）为准。带*的项为行业组合类别，其中，</w:t>
      </w:r>
      <w:r>
        <w:rPr>
          <w:rFonts w:hint="eastAsia" w:ascii="仿宋" w:hAnsi="仿宋" w:eastAsia="仿宋" w:cs="仿宋"/>
          <w:color w:val="auto"/>
          <w:sz w:val="24"/>
          <w:highlight w:val="none"/>
          <w:lang w:val="en-US" w:eastAsia="zh-CN"/>
        </w:rPr>
        <w:t>工业</w:t>
      </w:r>
      <w:r>
        <w:rPr>
          <w:rFonts w:hint="eastAsia" w:ascii="仿宋" w:hAnsi="仿宋" w:eastAsia="仿宋" w:cs="仿宋"/>
          <w:color w:val="auto"/>
          <w:sz w:val="24"/>
          <w:highlight w:val="none"/>
        </w:rPr>
        <w:t>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B6FC974">
      <w:pPr>
        <w:pStyle w:val="35"/>
        <w:shd w:val="clea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（3）企业划分指标以现行统计制度为准。</w:t>
      </w:r>
    </w:p>
    <w:p w14:paraId="57E8FD98">
      <w:pPr>
        <w:pStyle w:val="35"/>
        <w:shd w:val="clea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1）从业人员，是指期末从业人员数，没有期末从业人员数的，采用全年平均人员数代替。</w:t>
      </w:r>
    </w:p>
    <w:p w14:paraId="0068EE22">
      <w:pPr>
        <w:pStyle w:val="35"/>
        <w:shd w:val="clea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2）营业收入，</w:t>
      </w:r>
      <w:r>
        <w:rPr>
          <w:rFonts w:hint="eastAsia" w:ascii="仿宋" w:hAnsi="仿宋" w:eastAsia="仿宋" w:cs="仿宋"/>
          <w:color w:val="auto"/>
          <w:sz w:val="24"/>
          <w:highlight w:val="none"/>
          <w:lang w:val="en-US" w:eastAsia="zh-CN"/>
        </w:rPr>
        <w:t>工业</w:t>
      </w:r>
      <w:r>
        <w:rPr>
          <w:rFonts w:hint="eastAsia" w:ascii="仿宋" w:hAnsi="仿宋" w:eastAsia="仿宋" w:cs="仿宋"/>
          <w:color w:val="auto"/>
          <w:sz w:val="24"/>
          <w:highlight w:val="none"/>
        </w:rPr>
        <w:t>、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123CE15C">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3）资产总额，采用资产总计代替。</w:t>
      </w:r>
    </w:p>
    <w:p w14:paraId="18AF44ED">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关于监狱企业：</w:t>
      </w:r>
    </w:p>
    <w:p w14:paraId="5FF68C04">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EAF8503">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关于残疾人福利性单位：</w:t>
      </w:r>
    </w:p>
    <w:p w14:paraId="2465A5DA">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.1根据《三部门联合发布关于促进残疾人就业政府采购政策的通知》（财库〔2017〕141号）的规定，享受政府采购支持政策的残疾人福利性单位应当同时满足以下条件：</w:t>
      </w:r>
    </w:p>
    <w:p w14:paraId="06A88FD3">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（一）安置的残疾人占本单位在职职工人数的比例不低于25%（含25%），并且安置的残疾人人数不少于10人（含10人）；</w:t>
      </w:r>
    </w:p>
    <w:p w14:paraId="6A42135D">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（二）依法与安置的每位残疾人签订了一年以上（含一年）的劳动合同或服务协议；</w:t>
      </w:r>
    </w:p>
    <w:p w14:paraId="04D40440">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（三）为安置的每位残疾人按月足额缴纳了基本养老保险、基本医疗保险、失业保险、工伤保险和生育保险等社会保险费；</w:t>
      </w:r>
    </w:p>
    <w:p w14:paraId="1693894D">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（四）通过银行等金融机构向安置的每位残疾人，按月支付了不低于单位所在区县适用的经省级人民政府批准的月最低工资标准的工资；</w:t>
      </w:r>
    </w:p>
    <w:p w14:paraId="2D87FB58">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（五）提供本单位制造的货物、承担的工程或者服务（以下简称产品），或者提供其他残疾人福利性单位制造的货物（不包括使用非残疾人福利性单位注册商标的货物）。</w:t>
      </w:r>
    </w:p>
    <w:p w14:paraId="2FE00F4C">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B48D21A">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2符合条件的残疾人福利性单位在参加政府采购活动时，应当按《三部门联合发布关于促进残疾人就业政府采购政策的通知》（财库〔2017〕141号）提供规定的《残疾人福利性单位声明函》，并对声明的真实性负责。</w:t>
      </w:r>
    </w:p>
    <w:p w14:paraId="47D57F02">
      <w:pPr>
        <w:pStyle w:val="4"/>
        <w:shd w:val="clear"/>
        <w:spacing w:before="240" w:after="240" w:line="360" w:lineRule="auto"/>
        <w:ind w:firstLine="602"/>
        <w:jc w:val="center"/>
        <w:outlineLvl w:val="1"/>
        <w:rPr>
          <w:rFonts w:hint="eastAsia" w:ascii="仿宋" w:hAnsi="仿宋" w:eastAsia="仿宋" w:cs="仿宋"/>
          <w:color w:val="auto"/>
          <w:sz w:val="30"/>
          <w:szCs w:val="30"/>
          <w:highlight w:val="none"/>
        </w:rPr>
      </w:pPr>
      <w:bookmarkStart w:id="759" w:name="_Toc6691"/>
      <w:bookmarkStart w:id="760" w:name="_Toc54878356"/>
      <w:bookmarkStart w:id="761" w:name="_Toc10237"/>
      <w:bookmarkStart w:id="762" w:name="_Toc24313"/>
      <w:r>
        <w:rPr>
          <w:rFonts w:hint="eastAsia" w:ascii="仿宋" w:hAnsi="仿宋" w:eastAsia="仿宋" w:cs="仿宋"/>
          <w:color w:val="auto"/>
          <w:sz w:val="30"/>
          <w:szCs w:val="30"/>
          <w:highlight w:val="none"/>
        </w:rPr>
        <w:t>二、评标委员会</w:t>
      </w:r>
      <w:bookmarkEnd w:id="756"/>
      <w:bookmarkEnd w:id="757"/>
      <w:bookmarkEnd w:id="758"/>
      <w:bookmarkEnd w:id="759"/>
      <w:bookmarkEnd w:id="760"/>
      <w:bookmarkEnd w:id="761"/>
      <w:bookmarkEnd w:id="762"/>
    </w:p>
    <w:p w14:paraId="6BAAC575">
      <w:pPr>
        <w:pStyle w:val="36"/>
        <w:shd w:val="clea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2.1评标委员会由有关技术、经济等方面的专家组成，成员人数应当为</w:t>
      </w:r>
      <w:r>
        <w:rPr>
          <w:rFonts w:hint="eastAsia" w:ascii="仿宋" w:hAnsi="仿宋" w:eastAsia="仿宋" w:cs="仿宋"/>
          <w:color w:val="auto"/>
          <w:sz w:val="24"/>
          <w:szCs w:val="24"/>
          <w:highlight w:val="none"/>
          <w:lang w:val="en-US" w:eastAsia="zh-CN"/>
        </w:rPr>
        <w:t>5人及以上单数</w:t>
      </w:r>
      <w:r>
        <w:rPr>
          <w:rFonts w:hint="eastAsia" w:ascii="仿宋" w:hAnsi="仿宋" w:eastAsia="仿宋" w:cs="仿宋"/>
          <w:color w:val="auto"/>
          <w:sz w:val="24"/>
          <w:szCs w:val="24"/>
          <w:highlight w:val="none"/>
        </w:rPr>
        <w:t>。</w:t>
      </w:r>
    </w:p>
    <w:p w14:paraId="766D8ACC">
      <w:pPr>
        <w:pStyle w:val="36"/>
        <w:shd w:val="clea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招标采购单位就招标文件征询过意见的专家，不得再作为评标专家参加评标。评标专家应当熟悉政府采购、招标投标的相关政策法规，熟悉市场行情，有良好的职业道德，遵守招标纪律，从事相关领域工作满八年并具有高级职称或者具有同等专业水平。</w:t>
      </w:r>
    </w:p>
    <w:p w14:paraId="42F83B3D">
      <w:pPr>
        <w:pStyle w:val="4"/>
        <w:shd w:val="clear"/>
        <w:spacing w:before="240" w:after="240" w:line="360" w:lineRule="auto"/>
        <w:ind w:firstLine="602"/>
        <w:jc w:val="center"/>
        <w:outlineLvl w:val="1"/>
        <w:rPr>
          <w:rFonts w:hint="eastAsia" w:ascii="仿宋" w:hAnsi="仿宋" w:eastAsia="仿宋" w:cs="仿宋"/>
          <w:color w:val="auto"/>
          <w:sz w:val="30"/>
          <w:szCs w:val="30"/>
          <w:highlight w:val="none"/>
        </w:rPr>
      </w:pPr>
      <w:bookmarkStart w:id="763" w:name="_Toc217"/>
      <w:bookmarkStart w:id="764" w:name="_Toc364392661"/>
      <w:bookmarkStart w:id="765" w:name="_Toc396313204"/>
      <w:bookmarkStart w:id="766" w:name="_Toc391301905"/>
      <w:bookmarkStart w:id="767" w:name="_Toc54878357"/>
      <w:bookmarkStart w:id="768" w:name="_Toc21613"/>
      <w:bookmarkStart w:id="769" w:name="_Toc13555"/>
      <w:r>
        <w:rPr>
          <w:rFonts w:hint="eastAsia" w:ascii="仿宋" w:hAnsi="仿宋" w:eastAsia="仿宋" w:cs="仿宋"/>
          <w:color w:val="auto"/>
          <w:sz w:val="30"/>
          <w:szCs w:val="30"/>
          <w:highlight w:val="none"/>
        </w:rPr>
        <w:t>三、评标原则</w:t>
      </w:r>
      <w:bookmarkEnd w:id="763"/>
      <w:bookmarkEnd w:id="764"/>
      <w:bookmarkEnd w:id="765"/>
      <w:bookmarkEnd w:id="766"/>
      <w:bookmarkEnd w:id="767"/>
      <w:bookmarkEnd w:id="768"/>
      <w:bookmarkEnd w:id="769"/>
    </w:p>
    <w:p w14:paraId="5483BB3A">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3.1评标遵循“公平、公正、科学、择优、保密”的原则。</w:t>
      </w:r>
    </w:p>
    <w:p w14:paraId="7F16B2D9">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3.2只对有效投标文件进行评审，投标文件以外的资料信息不作为评标的依据和参考。</w:t>
      </w:r>
    </w:p>
    <w:p w14:paraId="010418CD">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3.3询标只针对投标文件中的疑问和问题，投标人澄清问题不允许超出要求的范围或修改投标文件的实质性内容。</w:t>
      </w:r>
    </w:p>
    <w:p w14:paraId="1C3EB421">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3.4评标委员会专家对所有投标文件一一进行独立审核和评价，客观公正的对每个投标文件进行独立打分。</w:t>
      </w:r>
    </w:p>
    <w:p w14:paraId="7010BA21">
      <w:pPr>
        <w:pStyle w:val="4"/>
        <w:shd w:val="clear"/>
        <w:spacing w:before="240" w:after="240" w:line="360" w:lineRule="auto"/>
        <w:ind w:firstLine="602"/>
        <w:jc w:val="center"/>
        <w:outlineLvl w:val="1"/>
        <w:rPr>
          <w:rFonts w:hint="eastAsia" w:ascii="仿宋" w:hAnsi="仿宋" w:eastAsia="仿宋" w:cs="仿宋"/>
          <w:color w:val="auto"/>
          <w:sz w:val="30"/>
          <w:szCs w:val="30"/>
          <w:highlight w:val="none"/>
        </w:rPr>
      </w:pPr>
      <w:bookmarkStart w:id="770" w:name="_Toc27289"/>
      <w:bookmarkStart w:id="771" w:name="_Toc364392662"/>
      <w:bookmarkStart w:id="772" w:name="_Toc391301906"/>
      <w:bookmarkStart w:id="773" w:name="_Toc54878358"/>
      <w:bookmarkStart w:id="774" w:name="_Toc8335"/>
      <w:bookmarkStart w:id="775" w:name="_Toc396313205"/>
      <w:bookmarkStart w:id="776" w:name="_Toc18409"/>
      <w:r>
        <w:rPr>
          <w:rFonts w:hint="eastAsia" w:ascii="仿宋" w:hAnsi="仿宋" w:eastAsia="仿宋" w:cs="仿宋"/>
          <w:color w:val="auto"/>
          <w:sz w:val="30"/>
          <w:szCs w:val="30"/>
          <w:highlight w:val="none"/>
        </w:rPr>
        <w:t>四、评标纪律</w:t>
      </w:r>
      <w:bookmarkEnd w:id="770"/>
      <w:bookmarkEnd w:id="771"/>
      <w:bookmarkEnd w:id="772"/>
      <w:bookmarkEnd w:id="773"/>
      <w:bookmarkEnd w:id="774"/>
      <w:bookmarkEnd w:id="775"/>
      <w:bookmarkEnd w:id="776"/>
    </w:p>
    <w:p w14:paraId="3686C730">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4.1评标委员会的成员应严格自律,自觉接受有关部门的监督。</w:t>
      </w:r>
    </w:p>
    <w:p w14:paraId="26EFC7D1">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4.2评标过程中，评标委员会成员不得擅离职守，影响评标程序正常进行。</w:t>
      </w:r>
    </w:p>
    <w:p w14:paraId="5EFEB9F0">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4.3评标委员会的成员不得与投标人、其他利害关系人私下接触，不得向投标人、其他利害关系人泄露对投标文件的评审、比较、中标候选人的推荐以及与评标有关</w:t>
      </w:r>
      <w:r>
        <w:rPr>
          <w:rFonts w:hint="eastAsia" w:ascii="仿宋" w:hAnsi="仿宋" w:eastAsia="仿宋" w:cs="仿宋"/>
          <w:color w:val="auto"/>
          <w:sz w:val="24"/>
          <w:highlight w:val="none"/>
          <w:lang w:eastAsia="zh-CN"/>
        </w:rPr>
        <w:t>的其他</w:t>
      </w:r>
      <w:r>
        <w:rPr>
          <w:rFonts w:hint="eastAsia" w:ascii="仿宋" w:hAnsi="仿宋" w:eastAsia="仿宋" w:cs="仿宋"/>
          <w:color w:val="auto"/>
          <w:sz w:val="24"/>
          <w:highlight w:val="none"/>
        </w:rPr>
        <w:t>情况。</w:t>
      </w:r>
    </w:p>
    <w:p w14:paraId="5341797D">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4.4评标委员会如有需询问、澄清的问题由专职联络员负责联系负责转告。</w:t>
      </w:r>
    </w:p>
    <w:p w14:paraId="710D74FF">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4.5不允许任何人把投标文件及其汇总材料带出评标会场（已经公开的价格等资料除外），所有资料不得复制，完成评标后所有材料如数交还。</w:t>
      </w:r>
    </w:p>
    <w:p w14:paraId="53983BF6">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4.6违反上述规定对评标造成不良影响的，后果由责任者承担。</w:t>
      </w:r>
    </w:p>
    <w:p w14:paraId="67F62FE3">
      <w:pPr>
        <w:pStyle w:val="4"/>
        <w:shd w:val="clear"/>
        <w:spacing w:before="240" w:after="240" w:line="360" w:lineRule="auto"/>
        <w:ind w:firstLine="602"/>
        <w:jc w:val="center"/>
        <w:outlineLvl w:val="1"/>
        <w:rPr>
          <w:rFonts w:hint="eastAsia" w:ascii="仿宋" w:hAnsi="仿宋" w:eastAsia="仿宋" w:cs="仿宋"/>
          <w:color w:val="auto"/>
          <w:sz w:val="30"/>
          <w:szCs w:val="30"/>
          <w:highlight w:val="none"/>
        </w:rPr>
      </w:pPr>
      <w:bookmarkStart w:id="777" w:name="_Toc391301908"/>
      <w:bookmarkStart w:id="778" w:name="_Toc396313207"/>
      <w:bookmarkStart w:id="779" w:name="_Toc54878360"/>
      <w:bookmarkStart w:id="780" w:name="_Toc364392664"/>
      <w:bookmarkStart w:id="781" w:name="_Toc4219"/>
      <w:bookmarkStart w:id="782" w:name="_Toc3353"/>
      <w:bookmarkStart w:id="783" w:name="_Toc22556"/>
      <w:bookmarkStart w:id="784" w:name="_Toc29318"/>
      <w:r>
        <w:rPr>
          <w:rFonts w:hint="eastAsia" w:ascii="仿宋" w:hAnsi="仿宋" w:eastAsia="仿宋" w:cs="仿宋"/>
          <w:color w:val="auto"/>
          <w:sz w:val="30"/>
          <w:szCs w:val="30"/>
          <w:highlight w:val="none"/>
        </w:rPr>
        <w:t>五、评标程序</w:t>
      </w:r>
      <w:bookmarkEnd w:id="777"/>
      <w:bookmarkEnd w:id="778"/>
      <w:bookmarkEnd w:id="779"/>
      <w:bookmarkEnd w:id="780"/>
      <w:r>
        <w:rPr>
          <w:rFonts w:hint="eastAsia" w:ascii="仿宋" w:hAnsi="仿宋" w:eastAsia="仿宋" w:cs="仿宋"/>
          <w:color w:val="auto"/>
          <w:sz w:val="30"/>
          <w:szCs w:val="30"/>
          <w:highlight w:val="none"/>
        </w:rPr>
        <w:t>和标准</w:t>
      </w:r>
      <w:bookmarkEnd w:id="781"/>
      <w:bookmarkEnd w:id="782"/>
      <w:bookmarkEnd w:id="783"/>
      <w:bookmarkEnd w:id="784"/>
    </w:p>
    <w:p w14:paraId="6EFE61F0">
      <w:pPr>
        <w:shd w:val="clear"/>
        <w:spacing w:line="360" w:lineRule="auto"/>
        <w:ind w:firstLine="480" w:firstLineChars="200"/>
        <w:rPr>
          <w:rFonts w:hint="eastAsia" w:ascii="仿宋" w:hAnsi="仿宋" w:eastAsia="仿宋" w:cs="仿宋"/>
          <w:color w:val="auto"/>
          <w:sz w:val="24"/>
          <w:szCs w:val="22"/>
          <w:highlight w:val="none"/>
        </w:rPr>
      </w:pPr>
      <w:bookmarkStart w:id="785" w:name="_Toc396313209"/>
      <w:bookmarkStart w:id="786" w:name="_Toc364392665"/>
      <w:bookmarkStart w:id="787" w:name="_Toc391301910"/>
      <w:r>
        <w:rPr>
          <w:rFonts w:hint="eastAsia" w:ascii="仿宋" w:hAnsi="仿宋" w:eastAsia="仿宋" w:cs="仿宋"/>
          <w:color w:val="auto"/>
          <w:sz w:val="24"/>
          <w:szCs w:val="22"/>
          <w:highlight w:val="none"/>
        </w:rPr>
        <w:t>5.1资格审查、符合性审查</w:t>
      </w:r>
    </w:p>
    <w:p w14:paraId="490FA02B">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5.1.1资格审查：采购人或者采购代理机构依据法律法规和招标文件的规定，对投标文件中的资格证明文件进行审查（具体详见《评标方法前附表》），有一项不符合的，该投标文件按无效投标处理。</w:t>
      </w:r>
    </w:p>
    <w:p w14:paraId="6735C307">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5.1.2符合性审查：评标委员会依据招标文件的规定，对符合资格的投标人的投标文件进行符合性审查（具体详见《评标方法前附表》），有一项不符合的，该投标文件按无效投标处理。</w:t>
      </w:r>
    </w:p>
    <w:p w14:paraId="20C53D25">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5.1.3符合本章第5.1.1、5.1.2项规定的投标文件视为符合招标文件的商务、技术等实质性要求评审，可以进行技术和商务评估，综合比较与评价。</w:t>
      </w:r>
    </w:p>
    <w:p w14:paraId="618A9B60">
      <w:pPr>
        <w:shd w:val="clear"/>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5.1.4在评审过程中，若提供相同品牌产品且通过资格审查、符合性审查的不同投标人参加同一合同项下投标的，按一家投标人计算，评审后得分最高的同品牌投标人获得中标人推荐资格，评审得分相同的，</w:t>
      </w:r>
      <w:r>
        <w:rPr>
          <w:rFonts w:hint="eastAsia" w:ascii="仿宋" w:hAnsi="仿宋" w:eastAsia="仿宋" w:cs="仿宋"/>
          <w:color w:val="auto"/>
          <w:sz w:val="24"/>
          <w:highlight w:val="none"/>
          <w:lang w:eastAsia="zh-CN"/>
        </w:rPr>
        <w:t>按照技术指标优劣顺序推荐</w:t>
      </w:r>
      <w:r>
        <w:rPr>
          <w:rFonts w:hint="eastAsia" w:ascii="仿宋" w:hAnsi="仿宋" w:eastAsia="仿宋" w:cs="仿宋"/>
          <w:color w:val="auto"/>
          <w:sz w:val="24"/>
          <w:highlight w:val="none"/>
        </w:rPr>
        <w:t>中标候选人排列；评标总得分相等且</w:t>
      </w:r>
      <w:r>
        <w:rPr>
          <w:rFonts w:hint="eastAsia" w:ascii="仿宋" w:hAnsi="仿宋" w:eastAsia="仿宋" w:cs="仿宋"/>
          <w:color w:val="auto"/>
          <w:sz w:val="24"/>
          <w:highlight w:val="none"/>
          <w:lang w:val="en-US" w:eastAsia="zh-CN"/>
        </w:rPr>
        <w:t>技术</w:t>
      </w:r>
      <w:r>
        <w:rPr>
          <w:rFonts w:hint="eastAsia" w:ascii="仿宋" w:hAnsi="仿宋" w:eastAsia="仿宋" w:cs="仿宋"/>
          <w:color w:val="auto"/>
          <w:sz w:val="24"/>
          <w:highlight w:val="none"/>
        </w:rPr>
        <w:t>部分评审得分相同时，</w:t>
      </w:r>
      <w:r>
        <w:rPr>
          <w:rFonts w:hint="eastAsia" w:ascii="仿宋" w:hAnsi="仿宋" w:eastAsia="仿宋" w:cs="仿宋"/>
          <w:color w:val="auto"/>
          <w:sz w:val="24"/>
          <w:highlight w:val="none"/>
          <w:lang w:val="en-US" w:eastAsia="zh-CN"/>
        </w:rPr>
        <w:t>按照商务指标</w:t>
      </w:r>
      <w:r>
        <w:rPr>
          <w:rFonts w:hint="eastAsia" w:ascii="仿宋" w:hAnsi="仿宋" w:eastAsia="仿宋" w:cs="仿宋"/>
          <w:color w:val="auto"/>
          <w:sz w:val="24"/>
          <w:highlight w:val="none"/>
          <w:lang w:eastAsia="zh-CN"/>
        </w:rPr>
        <w:t>优劣顺序</w:t>
      </w:r>
      <w:r>
        <w:rPr>
          <w:rFonts w:hint="eastAsia" w:ascii="仿宋" w:hAnsi="仿宋" w:eastAsia="仿宋" w:cs="仿宋"/>
          <w:color w:val="auto"/>
          <w:sz w:val="24"/>
          <w:highlight w:val="none"/>
        </w:rPr>
        <w:t>推荐排序。若以上顺序排列相等，则评标委员会采取举手表决的方式推荐</w:t>
      </w:r>
      <w:r>
        <w:rPr>
          <w:rFonts w:hint="eastAsia" w:ascii="仿宋" w:hAnsi="仿宋" w:eastAsia="仿宋" w:cs="仿宋"/>
          <w:color w:val="auto"/>
          <w:sz w:val="24"/>
          <w:highlight w:val="none"/>
          <w:lang w:val="en-US" w:eastAsia="zh-CN"/>
        </w:rPr>
        <w:t>中标</w:t>
      </w:r>
      <w:r>
        <w:rPr>
          <w:rFonts w:hint="eastAsia" w:ascii="仿宋" w:hAnsi="仿宋" w:eastAsia="仿宋" w:cs="仿宋"/>
          <w:color w:val="auto"/>
          <w:sz w:val="24"/>
          <w:highlight w:val="none"/>
        </w:rPr>
        <w:t>候选人。</w:t>
      </w:r>
    </w:p>
    <w:p w14:paraId="05BF2843">
      <w:pPr>
        <w:shd w:val="clea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5.1.5若单个项目包为非单一产品采购项目，对于采购文件第五章规定核心产品，多家投标人提供的核心产品品牌有一项品牌相同的，按5.1.4款规定处理，标注★的产品为核心产品。</w:t>
      </w:r>
    </w:p>
    <w:p w14:paraId="07F00778">
      <w:pPr>
        <w:shd w:val="clear"/>
        <w:spacing w:line="360" w:lineRule="auto"/>
        <w:ind w:firstLine="480" w:firstLineChars="200"/>
        <w:rPr>
          <w:rFonts w:hint="eastAsia" w:ascii="仿宋" w:hAnsi="仿宋" w:eastAsia="仿宋" w:cs="仿宋"/>
          <w:color w:val="auto"/>
          <w:sz w:val="24"/>
          <w:szCs w:val="22"/>
          <w:highlight w:val="none"/>
        </w:rPr>
      </w:pPr>
      <w:bookmarkStart w:id="788" w:name="_Toc321836408"/>
      <w:bookmarkStart w:id="789" w:name="_Toc489197879"/>
      <w:bookmarkStart w:id="790" w:name="_Toc778"/>
      <w:bookmarkStart w:id="791" w:name="_Toc528186516"/>
      <w:bookmarkStart w:id="792" w:name="_Toc489145775"/>
      <w:bookmarkStart w:id="793" w:name="_Toc9004"/>
      <w:bookmarkStart w:id="794" w:name="_Toc9420"/>
      <w:r>
        <w:rPr>
          <w:rFonts w:hint="eastAsia" w:ascii="仿宋" w:hAnsi="仿宋" w:eastAsia="仿宋" w:cs="仿宋"/>
          <w:color w:val="auto"/>
          <w:sz w:val="24"/>
          <w:szCs w:val="22"/>
          <w:highlight w:val="none"/>
        </w:rPr>
        <w:t>5.2分值构成与评分标准</w:t>
      </w:r>
      <w:bookmarkEnd w:id="788"/>
      <w:bookmarkEnd w:id="789"/>
      <w:bookmarkEnd w:id="790"/>
      <w:bookmarkEnd w:id="791"/>
      <w:bookmarkEnd w:id="792"/>
      <w:bookmarkEnd w:id="793"/>
      <w:bookmarkEnd w:id="794"/>
    </w:p>
    <w:p w14:paraId="7825FF1E">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5.2.1分值构成</w:t>
      </w:r>
    </w:p>
    <w:p w14:paraId="3C453AB5">
      <w:pPr>
        <w:shd w:val="clear"/>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（1）商务部分：详见《评标方法前附表》；</w:t>
      </w:r>
    </w:p>
    <w:p w14:paraId="7A5B4018">
      <w:pPr>
        <w:shd w:val="clear"/>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（2）技术部分：详见《评标方法前附表》。</w:t>
      </w:r>
    </w:p>
    <w:p w14:paraId="0F6E11E8">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5.2.2评标基准价计算方法：详见《评标方法前附表》。</w:t>
      </w:r>
    </w:p>
    <w:p w14:paraId="3989E346">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5.2.3评分标准</w:t>
      </w:r>
    </w:p>
    <w:p w14:paraId="7E84225F">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按招标文件中规定的评标方法和标准，对满足招标文件实质性要求评审的投标文件进行技术和商务评估，综合比较与评价。</w:t>
      </w:r>
    </w:p>
    <w:p w14:paraId="0048B581">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商务</w:t>
      </w:r>
      <w:r>
        <w:rPr>
          <w:rFonts w:hint="eastAsia" w:ascii="仿宋" w:hAnsi="仿宋" w:eastAsia="仿宋" w:cs="仿宋"/>
          <w:color w:val="auto"/>
          <w:sz w:val="24"/>
          <w:szCs w:val="22"/>
          <w:highlight w:val="none"/>
        </w:rPr>
        <w:t>部分评分标准：详见《评标方法前附表》；</w:t>
      </w:r>
    </w:p>
    <w:p w14:paraId="31541B4B">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技术部分评分标准：详见《评标方法前附表》。</w:t>
      </w:r>
    </w:p>
    <w:p w14:paraId="71F3F152">
      <w:pPr>
        <w:shd w:val="clear"/>
        <w:spacing w:line="360" w:lineRule="auto"/>
        <w:ind w:firstLine="480" w:firstLineChars="200"/>
        <w:rPr>
          <w:rFonts w:hint="eastAsia" w:ascii="仿宋" w:hAnsi="仿宋" w:eastAsia="仿宋" w:cs="仿宋"/>
          <w:color w:val="auto"/>
          <w:sz w:val="24"/>
          <w:szCs w:val="22"/>
          <w:highlight w:val="none"/>
        </w:rPr>
      </w:pPr>
      <w:bookmarkStart w:id="795" w:name="_Toc489145776"/>
      <w:bookmarkStart w:id="796" w:name="_Toc321836409"/>
      <w:bookmarkStart w:id="797" w:name="_Toc489197880"/>
      <w:bookmarkStart w:id="798" w:name="_Toc7486"/>
      <w:bookmarkStart w:id="799" w:name="_Toc7817"/>
      <w:bookmarkStart w:id="800" w:name="_Toc26720"/>
      <w:bookmarkStart w:id="801" w:name="_Toc528186517"/>
      <w:r>
        <w:rPr>
          <w:rFonts w:hint="eastAsia" w:ascii="仿宋" w:hAnsi="仿宋" w:eastAsia="仿宋" w:cs="仿宋"/>
          <w:color w:val="auto"/>
          <w:sz w:val="24"/>
          <w:szCs w:val="22"/>
          <w:highlight w:val="none"/>
        </w:rPr>
        <w:t>5.3</w:t>
      </w:r>
      <w:bookmarkEnd w:id="795"/>
      <w:bookmarkEnd w:id="796"/>
      <w:bookmarkEnd w:id="797"/>
      <w:r>
        <w:rPr>
          <w:rFonts w:hint="eastAsia" w:ascii="仿宋" w:hAnsi="仿宋" w:eastAsia="仿宋" w:cs="仿宋"/>
          <w:color w:val="auto"/>
          <w:sz w:val="24"/>
          <w:szCs w:val="22"/>
          <w:highlight w:val="none"/>
        </w:rPr>
        <w:t>综合比较与评价</w:t>
      </w:r>
      <w:bookmarkEnd w:id="798"/>
      <w:bookmarkEnd w:id="799"/>
      <w:bookmarkEnd w:id="800"/>
      <w:bookmarkEnd w:id="801"/>
    </w:p>
    <w:p w14:paraId="632D8A85">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5.3.1评标委员会按本章5.2.3规定的评分标准进行打分，并计算出投标人的评标总得分。对投标人的价格分等客观评分项的评分应当一致，对其他需要借助专业知识评判的主观评分项，应当严格按照评分细则公正评分。</w:t>
      </w:r>
    </w:p>
    <w:p w14:paraId="0E37777F">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（1）按本章《评标方法前附表》的规定对投标报价计算出得分F1（保留小数点后两位，小数点后第三位“四舍五入”）；</w:t>
      </w:r>
    </w:p>
    <w:p w14:paraId="15585E46">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按本章《评标方法前附表》的规定对技术部分评分，得分F2；</w:t>
      </w:r>
    </w:p>
    <w:p w14:paraId="6E5529A4">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）按本章《评标方法前附表》的规定对</w:t>
      </w:r>
      <w:r>
        <w:rPr>
          <w:rFonts w:hint="eastAsia" w:ascii="仿宋" w:hAnsi="仿宋" w:eastAsia="仿宋" w:cs="仿宋"/>
          <w:color w:val="auto"/>
          <w:sz w:val="24"/>
          <w:szCs w:val="22"/>
          <w:highlight w:val="none"/>
          <w:lang w:val="en-US" w:eastAsia="zh-CN"/>
        </w:rPr>
        <w:t>商务</w:t>
      </w:r>
      <w:r>
        <w:rPr>
          <w:rFonts w:hint="eastAsia" w:ascii="仿宋" w:hAnsi="仿宋" w:eastAsia="仿宋" w:cs="仿宋"/>
          <w:color w:val="auto"/>
          <w:sz w:val="24"/>
          <w:szCs w:val="22"/>
          <w:highlight w:val="none"/>
        </w:rPr>
        <w:t>部分评分，得分F</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w:t>
      </w:r>
    </w:p>
    <w:p w14:paraId="74E9296F">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）按本章《评标方法前附表》的规定计算评标总得分。</w:t>
      </w:r>
    </w:p>
    <w:p w14:paraId="39A418AB">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5.3.2</w:t>
      </w:r>
      <w:r>
        <w:rPr>
          <w:rFonts w:hint="eastAsia" w:ascii="仿宋" w:hAnsi="仿宋" w:eastAsia="仿宋" w:cs="仿宋"/>
          <w:color w:val="auto"/>
          <w:sz w:val="24"/>
          <w:szCs w:val="22"/>
          <w:highlight w:val="none"/>
          <w:lang w:val="en-US" w:eastAsia="zh-CN"/>
        </w:rPr>
        <w:t>报价</w:t>
      </w:r>
      <w:r>
        <w:rPr>
          <w:rFonts w:hint="eastAsia" w:ascii="仿宋" w:hAnsi="仿宋" w:eastAsia="仿宋" w:cs="仿宋"/>
          <w:color w:val="auto"/>
          <w:sz w:val="24"/>
          <w:szCs w:val="22"/>
          <w:highlight w:val="none"/>
        </w:rPr>
        <w:t>部分（F</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技术部分（F2）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商务</w:t>
      </w:r>
      <w:r>
        <w:rPr>
          <w:rFonts w:hint="eastAsia" w:ascii="仿宋" w:hAnsi="仿宋" w:eastAsia="仿宋" w:cs="仿宋"/>
          <w:color w:val="auto"/>
          <w:sz w:val="24"/>
          <w:szCs w:val="22"/>
          <w:highlight w:val="none"/>
        </w:rPr>
        <w:t>部分（F</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）得分由评标委员会成员独立评分，投标人各项评分因素得分为该项因素各评委评分的算术平均值（保留小数点后两位），小数点后第三位“四舍五入”。</w:t>
      </w:r>
    </w:p>
    <w:p w14:paraId="2D23205E">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77633A3F">
      <w:pPr>
        <w:shd w:val="clear"/>
        <w:spacing w:line="360" w:lineRule="auto"/>
        <w:ind w:firstLine="480" w:firstLineChars="200"/>
        <w:rPr>
          <w:rFonts w:hint="eastAsia" w:ascii="仿宋" w:hAnsi="仿宋" w:eastAsia="仿宋" w:cs="仿宋"/>
          <w:color w:val="auto"/>
          <w:sz w:val="24"/>
          <w:szCs w:val="22"/>
          <w:highlight w:val="none"/>
        </w:rPr>
      </w:pPr>
      <w:bookmarkStart w:id="802" w:name="_Toc21642"/>
      <w:bookmarkStart w:id="803" w:name="_Toc528186518"/>
      <w:bookmarkStart w:id="804" w:name="_Toc489197881"/>
      <w:bookmarkStart w:id="805" w:name="_Toc321836412"/>
      <w:bookmarkStart w:id="806" w:name="_Toc489145777"/>
      <w:bookmarkStart w:id="807" w:name="_Toc1893"/>
      <w:bookmarkStart w:id="808" w:name="_Toc31390"/>
      <w:r>
        <w:rPr>
          <w:rFonts w:hint="eastAsia" w:ascii="仿宋" w:hAnsi="仿宋" w:eastAsia="仿宋" w:cs="仿宋"/>
          <w:color w:val="auto"/>
          <w:sz w:val="24"/>
          <w:szCs w:val="22"/>
          <w:highlight w:val="none"/>
        </w:rPr>
        <w:t>5.4投标文件的澄清</w:t>
      </w:r>
      <w:bookmarkEnd w:id="802"/>
      <w:bookmarkEnd w:id="803"/>
      <w:bookmarkEnd w:id="804"/>
      <w:bookmarkEnd w:id="805"/>
      <w:bookmarkEnd w:id="806"/>
      <w:bookmarkEnd w:id="807"/>
      <w:bookmarkEnd w:id="808"/>
    </w:p>
    <w:p w14:paraId="08EF3056">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auto"/>
          <w:sz w:val="24"/>
          <w:szCs w:val="22"/>
          <w:highlight w:val="none"/>
          <w:lang w:eastAsia="zh-CN"/>
        </w:rPr>
        <w:t>法定代表人（负责人）</w:t>
      </w:r>
      <w:r>
        <w:rPr>
          <w:rFonts w:hint="eastAsia" w:ascii="仿宋" w:hAnsi="仿宋" w:eastAsia="仿宋" w:cs="仿宋"/>
          <w:color w:val="auto"/>
          <w:sz w:val="24"/>
          <w:szCs w:val="22"/>
          <w:highlight w:val="none"/>
        </w:rPr>
        <w:t>或其授权的代表签字。投标人的澄清、说明或者补正不得超出投标文件的范围或者改变投标文件的实质性内容。</w:t>
      </w:r>
    </w:p>
    <w:p w14:paraId="3BADBDC4">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5.4.2评标委员会不接受投标人主动提出的澄清、说明或者补正。</w:t>
      </w:r>
    </w:p>
    <w:p w14:paraId="2872E04D">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5.4.3评标委员会对投标人提交的澄清、说明或者补正有疑问的，可以要求投标人进一步澄清、说明或者补正。</w:t>
      </w:r>
    </w:p>
    <w:p w14:paraId="17D5EE57">
      <w:pPr>
        <w:shd w:val="clear"/>
        <w:spacing w:line="360" w:lineRule="auto"/>
        <w:ind w:firstLine="480" w:firstLineChars="200"/>
        <w:rPr>
          <w:rFonts w:hint="eastAsia" w:ascii="仿宋" w:hAnsi="仿宋" w:eastAsia="仿宋" w:cs="仿宋"/>
          <w:color w:val="auto"/>
          <w:sz w:val="24"/>
          <w:szCs w:val="22"/>
          <w:highlight w:val="none"/>
        </w:rPr>
      </w:pPr>
      <w:bookmarkStart w:id="809" w:name="_Toc528186519"/>
      <w:bookmarkStart w:id="810" w:name="_Toc489145778"/>
      <w:bookmarkStart w:id="811" w:name="_Toc13737"/>
      <w:bookmarkStart w:id="812" w:name="_Toc12088"/>
      <w:bookmarkStart w:id="813" w:name="_Toc489197882"/>
      <w:bookmarkStart w:id="814" w:name="_Toc18892"/>
      <w:bookmarkStart w:id="815" w:name="_Toc321836413"/>
      <w:r>
        <w:rPr>
          <w:rFonts w:hint="eastAsia" w:ascii="仿宋" w:hAnsi="仿宋" w:eastAsia="仿宋" w:cs="仿宋"/>
          <w:color w:val="auto"/>
          <w:sz w:val="24"/>
          <w:szCs w:val="22"/>
          <w:highlight w:val="none"/>
        </w:rPr>
        <w:t>5.5评标结果</w:t>
      </w:r>
      <w:bookmarkEnd w:id="809"/>
      <w:bookmarkEnd w:id="810"/>
      <w:bookmarkEnd w:id="811"/>
      <w:bookmarkEnd w:id="812"/>
      <w:bookmarkEnd w:id="813"/>
      <w:bookmarkEnd w:id="814"/>
      <w:bookmarkEnd w:id="815"/>
    </w:p>
    <w:p w14:paraId="0D431A8D">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5.5.1本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高顺序排列</w:t>
      </w:r>
      <w:r>
        <w:rPr>
          <w:rFonts w:hint="eastAsia" w:ascii="仿宋" w:hAnsi="仿宋" w:eastAsia="仿宋" w:cs="仿宋"/>
          <w:color w:val="auto"/>
          <w:sz w:val="24"/>
          <w:szCs w:val="22"/>
          <w:highlight w:val="none"/>
          <w:lang w:eastAsia="zh-CN"/>
        </w:rPr>
        <w:t>，评审得分且</w:t>
      </w:r>
      <w:r>
        <w:rPr>
          <w:rFonts w:hint="eastAsia" w:ascii="仿宋" w:hAnsi="仿宋" w:eastAsia="仿宋" w:cs="仿宋"/>
          <w:color w:val="auto"/>
          <w:sz w:val="24"/>
          <w:szCs w:val="22"/>
          <w:highlight w:val="none"/>
          <w:lang w:val="en-US" w:eastAsia="zh-CN"/>
        </w:rPr>
        <w:t>投标</w:t>
      </w:r>
      <w:r>
        <w:rPr>
          <w:rFonts w:hint="eastAsia" w:ascii="仿宋" w:hAnsi="仿宋" w:eastAsia="仿宋" w:cs="仿宋"/>
          <w:color w:val="auto"/>
          <w:sz w:val="24"/>
          <w:szCs w:val="22"/>
          <w:highlight w:val="none"/>
          <w:lang w:eastAsia="zh-CN"/>
        </w:rPr>
        <w:t>报价相同</w:t>
      </w:r>
      <w:r>
        <w:rPr>
          <w:rFonts w:hint="eastAsia" w:ascii="仿宋" w:hAnsi="仿宋" w:eastAsia="仿宋" w:cs="仿宋"/>
          <w:color w:val="auto"/>
          <w:sz w:val="24"/>
          <w:szCs w:val="22"/>
          <w:highlight w:val="none"/>
          <w:lang w:val="en-US" w:eastAsia="zh-CN"/>
        </w:rPr>
        <w:t>时</w:t>
      </w:r>
      <w:r>
        <w:rPr>
          <w:rFonts w:hint="eastAsia" w:ascii="仿宋" w:hAnsi="仿宋" w:eastAsia="仿宋" w:cs="仿宋"/>
          <w:color w:val="auto"/>
          <w:sz w:val="24"/>
          <w:szCs w:val="22"/>
          <w:highlight w:val="none"/>
          <w:lang w:eastAsia="zh-CN"/>
        </w:rPr>
        <w:t>，按照评审因素的量化指标优劣顺序推荐</w:t>
      </w:r>
      <w:r>
        <w:rPr>
          <w:rFonts w:hint="eastAsia" w:ascii="仿宋" w:hAnsi="仿宋" w:eastAsia="仿宋" w:cs="仿宋"/>
          <w:color w:val="auto"/>
          <w:sz w:val="24"/>
          <w:szCs w:val="22"/>
          <w:highlight w:val="none"/>
        </w:rPr>
        <w:t>中标候选人排列；若以上政府采购政策的顺序排列相等，则评标委员会采取举手表决的方式推荐</w:t>
      </w:r>
      <w:r>
        <w:rPr>
          <w:rFonts w:hint="eastAsia" w:ascii="仿宋" w:hAnsi="仿宋" w:eastAsia="仿宋" w:cs="仿宋"/>
          <w:color w:val="auto"/>
          <w:sz w:val="24"/>
          <w:szCs w:val="22"/>
          <w:highlight w:val="none"/>
          <w:lang w:val="en-US" w:eastAsia="zh-CN"/>
        </w:rPr>
        <w:t>中标</w:t>
      </w:r>
      <w:r>
        <w:rPr>
          <w:rFonts w:hint="eastAsia" w:ascii="仿宋" w:hAnsi="仿宋" w:eastAsia="仿宋" w:cs="仿宋"/>
          <w:color w:val="auto"/>
          <w:sz w:val="24"/>
          <w:szCs w:val="22"/>
          <w:highlight w:val="none"/>
        </w:rPr>
        <w:t>候选人。</w:t>
      </w:r>
    </w:p>
    <w:p w14:paraId="3070B0A1">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5.5.2采购人根据评标委员会提出的书面评标报告和推荐的中标候选人名单，确定中标人。</w:t>
      </w:r>
    </w:p>
    <w:p w14:paraId="775AAE25">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5</w:t>
      </w:r>
      <w:r>
        <w:rPr>
          <w:rFonts w:hint="eastAsia" w:ascii="仿宋" w:hAnsi="仿宋" w:eastAsia="仿宋" w:cs="仿宋"/>
          <w:color w:val="auto"/>
          <w:sz w:val="24"/>
          <w:szCs w:val="22"/>
          <w:highlight w:val="none"/>
        </w:rPr>
        <w:t>.5.3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bookmarkEnd w:id="785"/>
      <w:bookmarkEnd w:id="786"/>
      <w:bookmarkEnd w:id="787"/>
    </w:p>
    <w:sectPr>
      <w:headerReference r:id="rId8" w:type="default"/>
      <w:pgSz w:w="11906" w:h="16838"/>
      <w:pgMar w:top="1440" w:right="1080" w:bottom="1440" w:left="1080" w:header="794" w:footer="794"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tim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56DBC">
    <w:pPr>
      <w:pStyle w:val="14"/>
    </w:pPr>
    <w:r>
      <w:rPr>
        <w:rFonts w:ascii="仿宋_GB2312" w:eastAsia="仿宋_GB2312"/>
        <w:b/>
        <w:bCs/>
        <w:color w:val="000000"/>
        <w:sz w:val="21"/>
        <w:szCs w:val="21"/>
      </w:rPr>
      <w:drawing>
        <wp:inline distT="0" distB="0" distL="114300" distR="114300">
          <wp:extent cx="419100" cy="360680"/>
          <wp:effectExtent l="0" t="0" r="7620" b="5080"/>
          <wp:docPr id="5" name="图片 4" descr="C:/Users/puhej/Desktop/微信图片_20240523113246.png微信图片_2024052311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C:/Users/puhej/Desktop/微信图片_20240523113246.png微信图片_20240523113246"/>
                  <pic:cNvPicPr>
                    <a:picLocks noChangeAspect="1"/>
                  </pic:cNvPicPr>
                </pic:nvPicPr>
                <pic:blipFill>
                  <a:blip r:embed="rId1"/>
                  <a:stretch>
                    <a:fillRect/>
                  </a:stretch>
                </pic:blipFill>
                <pic:spPr>
                  <a:xfrm>
                    <a:off x="0" y="0"/>
                    <a:ext cx="419100" cy="360680"/>
                  </a:xfrm>
                  <a:prstGeom prst="rect">
                    <a:avLst/>
                  </a:prstGeom>
                  <a:noFill/>
                  <a:ln>
                    <a:noFill/>
                  </a:ln>
                </pic:spPr>
              </pic:pic>
            </a:graphicData>
          </a:graphic>
        </wp:inline>
      </w:drawing>
    </w:r>
    <w:r>
      <w:rPr>
        <w:rFonts w:hint="eastAsia" w:ascii="仿宋" w:hAnsi="仿宋" w:eastAsia="仿宋" w:cs="仿宋"/>
        <w:color w:val="auto"/>
        <w:sz w:val="21"/>
        <w:szCs w:val="21"/>
        <w:highlight w:val="none"/>
        <w:lang w:eastAsia="zh-CN"/>
      </w:rPr>
      <w:t>丽江恒邦项目管理有限公司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FD7AC">
    <w:pPr>
      <w:pStyle w:val="14"/>
    </w:pPr>
    <w:r>
      <w:rPr>
        <w:rFonts w:ascii="仿宋_GB2312" w:eastAsia="仿宋_GB2312"/>
        <w:b/>
        <w:bCs/>
        <w:color w:val="000000"/>
        <w:sz w:val="21"/>
        <w:szCs w:val="21"/>
      </w:rPr>
      <w:drawing>
        <wp:inline distT="0" distB="0" distL="114300" distR="114300">
          <wp:extent cx="419100" cy="360680"/>
          <wp:effectExtent l="0" t="0" r="7620" b="5080"/>
          <wp:docPr id="6" name="图片 5" descr="C:/Users/puhej/Desktop/微信图片_20240523113246.png微信图片_2024052311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C:/Users/puhej/Desktop/微信图片_20240523113246.png微信图片_20240523113246"/>
                  <pic:cNvPicPr>
                    <a:picLocks noChangeAspect="1"/>
                  </pic:cNvPicPr>
                </pic:nvPicPr>
                <pic:blipFill>
                  <a:blip r:embed="rId1"/>
                  <a:stretch>
                    <a:fillRect/>
                  </a:stretch>
                </pic:blipFill>
                <pic:spPr>
                  <a:xfrm>
                    <a:off x="0" y="0"/>
                    <a:ext cx="419100" cy="360680"/>
                  </a:xfrm>
                  <a:prstGeom prst="rect">
                    <a:avLst/>
                  </a:prstGeom>
                  <a:noFill/>
                  <a:ln>
                    <a:noFill/>
                  </a:ln>
                </pic:spPr>
              </pic:pic>
            </a:graphicData>
          </a:graphic>
        </wp:inline>
      </w:drawing>
    </w:r>
    <w:r>
      <w:rPr>
        <w:rFonts w:hint="eastAsia" w:ascii="仿宋" w:hAnsi="仿宋" w:eastAsia="仿宋" w:cs="仿宋"/>
        <w:color w:val="auto"/>
        <w:sz w:val="21"/>
        <w:szCs w:val="21"/>
        <w:highlight w:val="none"/>
        <w:lang w:eastAsia="zh-CN"/>
      </w:rPr>
      <w:t>丽江恒邦项目管理有限公司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46563">
    <w:pPr>
      <w:pStyle w:val="14"/>
    </w:pPr>
    <w:r>
      <w:rPr>
        <w:rFonts w:ascii="仿宋_GB2312" w:eastAsia="仿宋_GB2312"/>
        <w:b/>
        <w:bCs/>
        <w:color w:val="000000"/>
        <w:sz w:val="21"/>
        <w:szCs w:val="21"/>
      </w:rPr>
      <w:drawing>
        <wp:inline distT="0" distB="0" distL="114300" distR="114300">
          <wp:extent cx="419100" cy="360680"/>
          <wp:effectExtent l="0" t="0" r="7620" b="5080"/>
          <wp:docPr id="4" name="图片 3" descr="C:/Users/puhej/Desktop/微信图片_20240523113246.png微信图片_2024052311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Users/puhej/Desktop/微信图片_20240523113246.png微信图片_20240523113246"/>
                  <pic:cNvPicPr>
                    <a:picLocks noChangeAspect="1"/>
                  </pic:cNvPicPr>
                </pic:nvPicPr>
                <pic:blipFill>
                  <a:blip r:embed="rId1"/>
                  <a:stretch>
                    <a:fillRect/>
                  </a:stretch>
                </pic:blipFill>
                <pic:spPr>
                  <a:xfrm>
                    <a:off x="0" y="0"/>
                    <a:ext cx="419100" cy="360680"/>
                  </a:xfrm>
                  <a:prstGeom prst="rect">
                    <a:avLst/>
                  </a:prstGeom>
                  <a:noFill/>
                  <a:ln>
                    <a:noFill/>
                  </a:ln>
                </pic:spPr>
              </pic:pic>
            </a:graphicData>
          </a:graphic>
        </wp:inline>
      </w:drawing>
    </w:r>
    <w:r>
      <w:rPr>
        <w:rFonts w:hint="eastAsia" w:ascii="仿宋" w:hAnsi="仿宋" w:eastAsia="仿宋" w:cs="仿宋"/>
        <w:color w:val="auto"/>
        <w:sz w:val="21"/>
        <w:szCs w:val="21"/>
        <w:highlight w:val="none"/>
        <w:lang w:eastAsia="zh-CN"/>
      </w:rPr>
      <w:t>丽江恒邦项目管理有限公司</w: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5F6E5">
                          <w:pPr>
                            <w:pStyle w:val="14"/>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w:t>
                          </w:r>
                          <w:r>
                            <w:rPr>
                              <w:sz w:val="21"/>
                              <w:szCs w:val="21"/>
                            </w:rPr>
                            <w:fldChar w:fldCharType="end"/>
                          </w:r>
                          <w:r>
                            <w:rPr>
                              <w:sz w:val="21"/>
                              <w:szCs w:val="21"/>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5B5F6E5">
                    <w:pPr>
                      <w:pStyle w:val="14"/>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w:t>
                    </w:r>
                    <w:r>
                      <w:rPr>
                        <w:sz w:val="21"/>
                        <w:szCs w:val="21"/>
                      </w:rPr>
                      <w:fldChar w:fldCharType="end"/>
                    </w:r>
                    <w:r>
                      <w:rPr>
                        <w:sz w:val="21"/>
                        <w:szCs w:val="21"/>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F09A5">
    <w:pPr>
      <w:pStyle w:val="14"/>
    </w:pPr>
    <w:r>
      <w:rPr>
        <w:rFonts w:ascii="仿宋_GB2312" w:eastAsia="仿宋_GB2312"/>
        <w:b/>
        <w:bCs/>
        <w:color w:val="000000"/>
        <w:sz w:val="21"/>
        <w:szCs w:val="21"/>
      </w:rPr>
      <w:drawing>
        <wp:inline distT="0" distB="0" distL="114300" distR="114300">
          <wp:extent cx="419100" cy="360680"/>
          <wp:effectExtent l="0" t="0" r="7620" b="5080"/>
          <wp:docPr id="2" name="图片 3" descr="C:/Users/puhej/Desktop/微信图片_20240523113246.png微信图片_2024052311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C:/Users/puhej/Desktop/微信图片_20240523113246.png微信图片_20240523113246"/>
                  <pic:cNvPicPr>
                    <a:picLocks noChangeAspect="1"/>
                  </pic:cNvPicPr>
                </pic:nvPicPr>
                <pic:blipFill>
                  <a:blip r:embed="rId1"/>
                  <a:stretch>
                    <a:fillRect/>
                  </a:stretch>
                </pic:blipFill>
                <pic:spPr>
                  <a:xfrm>
                    <a:off x="0" y="0"/>
                    <a:ext cx="419100" cy="360680"/>
                  </a:xfrm>
                  <a:prstGeom prst="rect">
                    <a:avLst/>
                  </a:prstGeom>
                  <a:noFill/>
                  <a:ln>
                    <a:noFill/>
                  </a:ln>
                </pic:spPr>
              </pic:pic>
            </a:graphicData>
          </a:graphic>
        </wp:inline>
      </w:drawing>
    </w:r>
    <w:r>
      <w:rPr>
        <w:rFonts w:hint="eastAsia" w:ascii="仿宋" w:hAnsi="仿宋" w:eastAsia="仿宋" w:cs="仿宋"/>
        <w:color w:val="auto"/>
        <w:sz w:val="21"/>
        <w:szCs w:val="21"/>
        <w:highlight w:val="none"/>
        <w:lang w:eastAsia="zh-CN"/>
      </w:rPr>
      <w:t>丽江恒邦项目管理有限公司</w: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4D0C8">
                          <w:pPr>
                            <w:pStyle w:val="14"/>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w:t>
                          </w:r>
                          <w:r>
                            <w:rPr>
                              <w:sz w:val="21"/>
                              <w:szCs w:val="21"/>
                            </w:rPr>
                            <w:fldChar w:fldCharType="end"/>
                          </w:r>
                          <w:r>
                            <w:rPr>
                              <w:sz w:val="21"/>
                              <w:szCs w:val="21"/>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BE4D0C8">
                    <w:pPr>
                      <w:pStyle w:val="14"/>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w:t>
                    </w:r>
                    <w:r>
                      <w:rPr>
                        <w:sz w:val="21"/>
                        <w:szCs w:val="21"/>
                      </w:rPr>
                      <w:fldChar w:fldCharType="end"/>
                    </w:r>
                    <w:r>
                      <w:rPr>
                        <w:sz w:val="21"/>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0E0A">
    <w:pPr>
      <w:pStyle w:val="15"/>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pPr>
    <w:r>
      <w:rPr>
        <w:rFonts w:hint="eastAsia" w:ascii="仿宋" w:hAnsi="仿宋" w:eastAsia="仿宋"/>
        <w:sz w:val="21"/>
        <w:szCs w:val="21"/>
        <w:lang w:eastAsia="zh-CN"/>
      </w:rPr>
      <w:t>玉龙县公安局移动警务服务采购项目（二次）</w:t>
    </w:r>
    <w:r>
      <w:rPr>
        <w:rFonts w:hint="eastAsia" w:ascii="仿宋" w:hAnsi="仿宋" w:eastAsia="仿宋"/>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AFB65">
    <w:pPr>
      <w:pStyle w:val="15"/>
      <w:pBdr>
        <w:bottom w:val="single" w:color="auto" w:sz="4" w:space="1"/>
      </w:pBdr>
    </w:pPr>
    <w:r>
      <w:rPr>
        <w:rFonts w:hint="eastAsia" w:ascii="仿宋" w:hAnsi="仿宋" w:eastAsia="仿宋"/>
        <w:sz w:val="21"/>
        <w:szCs w:val="21"/>
        <w:lang w:eastAsia="zh-CN"/>
      </w:rPr>
      <w:t>玉龙县公安局移动警务服务采购项目（二次）</w:t>
    </w:r>
    <w:r>
      <w:rPr>
        <w:rFonts w:hint="eastAsia" w:ascii="仿宋" w:hAnsi="仿宋" w:eastAsia="仿宋"/>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4616E2"/>
    <w:multiLevelType w:val="singleLevel"/>
    <w:tmpl w:val="EB4616E2"/>
    <w:lvl w:ilvl="0" w:tentative="0">
      <w:start w:val="20"/>
      <w:numFmt w:val="decimal"/>
      <w:suff w:val="space"/>
      <w:lvlText w:val="%1."/>
      <w:lvlJc w:val="left"/>
    </w:lvl>
  </w:abstractNum>
  <w:abstractNum w:abstractNumId="1">
    <w:nsid w:val="F39363D0"/>
    <w:multiLevelType w:val="singleLevel"/>
    <w:tmpl w:val="F39363D0"/>
    <w:lvl w:ilvl="0" w:tentative="0">
      <w:start w:val="3"/>
      <w:numFmt w:val="chineseCounting"/>
      <w:lvlText w:val="第%1条"/>
      <w:lvlJc w:val="left"/>
      <w:rPr>
        <w:rFonts w:hint="eastAsia"/>
      </w:rPr>
    </w:lvl>
  </w:abstractNum>
  <w:abstractNum w:abstractNumId="2">
    <w:nsid w:val="FECF9E67"/>
    <w:multiLevelType w:val="singleLevel"/>
    <w:tmpl w:val="FECF9E67"/>
    <w:lvl w:ilvl="0" w:tentative="0">
      <w:start w:val="1"/>
      <w:numFmt w:val="decimal"/>
      <w:lvlText w:val="%1."/>
      <w:lvlJc w:val="left"/>
      <w:pPr>
        <w:ind w:left="0" w:leftChars="0" w:firstLine="0" w:firstLineChars="0"/>
      </w:pPr>
      <w:rPr>
        <w:rFonts w:hint="default"/>
      </w:rPr>
    </w:lvl>
  </w:abstractNum>
  <w:abstractNum w:abstractNumId="3">
    <w:nsid w:val="5B2008A7"/>
    <w:multiLevelType w:val="singleLevel"/>
    <w:tmpl w:val="5B2008A7"/>
    <w:lvl w:ilvl="0" w:tentative="0">
      <w:start w:val="3"/>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E0ZTBiOGU0YmU5NWE1MTdiMzY2ZTY0ZTU1ODA1MWMifQ=="/>
    <w:docVar w:name="KSO_WPS_MARK_KEY" w:val="f780f1e9-e516-4c82-a0fb-fc900df4809e"/>
  </w:docVars>
  <w:rsids>
    <w:rsidRoot w:val="2965041B"/>
    <w:rsid w:val="0026130D"/>
    <w:rsid w:val="002B53C4"/>
    <w:rsid w:val="00382DEE"/>
    <w:rsid w:val="0053164E"/>
    <w:rsid w:val="00890AD2"/>
    <w:rsid w:val="009D0EA3"/>
    <w:rsid w:val="00BA3803"/>
    <w:rsid w:val="00D24EE8"/>
    <w:rsid w:val="00EB1C0E"/>
    <w:rsid w:val="00FF778E"/>
    <w:rsid w:val="013B3346"/>
    <w:rsid w:val="013E4434"/>
    <w:rsid w:val="014D4677"/>
    <w:rsid w:val="01517DD9"/>
    <w:rsid w:val="02076F1C"/>
    <w:rsid w:val="021A6C4F"/>
    <w:rsid w:val="021F6013"/>
    <w:rsid w:val="0236391E"/>
    <w:rsid w:val="024932DD"/>
    <w:rsid w:val="02532161"/>
    <w:rsid w:val="02555ED9"/>
    <w:rsid w:val="02571C51"/>
    <w:rsid w:val="0272107A"/>
    <w:rsid w:val="027D0F8C"/>
    <w:rsid w:val="029A7D90"/>
    <w:rsid w:val="02B01361"/>
    <w:rsid w:val="02B07274"/>
    <w:rsid w:val="02BE3A7E"/>
    <w:rsid w:val="02CB3234"/>
    <w:rsid w:val="02DD1C8B"/>
    <w:rsid w:val="02F23728"/>
    <w:rsid w:val="030E7E36"/>
    <w:rsid w:val="030F6088"/>
    <w:rsid w:val="031E276F"/>
    <w:rsid w:val="03344399"/>
    <w:rsid w:val="03561F09"/>
    <w:rsid w:val="039577EB"/>
    <w:rsid w:val="03B31109"/>
    <w:rsid w:val="03B7227C"/>
    <w:rsid w:val="03BB7FBE"/>
    <w:rsid w:val="03BD3D36"/>
    <w:rsid w:val="03CF75C5"/>
    <w:rsid w:val="040E4592"/>
    <w:rsid w:val="044004C3"/>
    <w:rsid w:val="04406715"/>
    <w:rsid w:val="045A3333"/>
    <w:rsid w:val="046155F5"/>
    <w:rsid w:val="046248DD"/>
    <w:rsid w:val="04695C6C"/>
    <w:rsid w:val="04AE7B23"/>
    <w:rsid w:val="04B62533"/>
    <w:rsid w:val="04B862AB"/>
    <w:rsid w:val="04BE5FB8"/>
    <w:rsid w:val="04C335CE"/>
    <w:rsid w:val="04C64E6C"/>
    <w:rsid w:val="04E23328"/>
    <w:rsid w:val="0505362C"/>
    <w:rsid w:val="05270289"/>
    <w:rsid w:val="052E656D"/>
    <w:rsid w:val="05674D79"/>
    <w:rsid w:val="056C5A14"/>
    <w:rsid w:val="05777F14"/>
    <w:rsid w:val="057817B9"/>
    <w:rsid w:val="058368B9"/>
    <w:rsid w:val="059705B7"/>
    <w:rsid w:val="059E36F3"/>
    <w:rsid w:val="05C3315A"/>
    <w:rsid w:val="05CF7D50"/>
    <w:rsid w:val="05D2339D"/>
    <w:rsid w:val="0620235A"/>
    <w:rsid w:val="062C51A3"/>
    <w:rsid w:val="06400C4E"/>
    <w:rsid w:val="06451DC1"/>
    <w:rsid w:val="066F6E3E"/>
    <w:rsid w:val="067130A6"/>
    <w:rsid w:val="06B44BE6"/>
    <w:rsid w:val="06BD123E"/>
    <w:rsid w:val="06D10F0F"/>
    <w:rsid w:val="06F55595"/>
    <w:rsid w:val="06F7130D"/>
    <w:rsid w:val="07035F04"/>
    <w:rsid w:val="07047ECE"/>
    <w:rsid w:val="0717375D"/>
    <w:rsid w:val="072B7D8D"/>
    <w:rsid w:val="07300CC3"/>
    <w:rsid w:val="07476A99"/>
    <w:rsid w:val="07591ED4"/>
    <w:rsid w:val="075C5614"/>
    <w:rsid w:val="077B4A04"/>
    <w:rsid w:val="07A368AE"/>
    <w:rsid w:val="07AD5E6F"/>
    <w:rsid w:val="07B54D24"/>
    <w:rsid w:val="07BC60B3"/>
    <w:rsid w:val="07CD6512"/>
    <w:rsid w:val="0805361E"/>
    <w:rsid w:val="08404F36"/>
    <w:rsid w:val="08766BA9"/>
    <w:rsid w:val="089B03BE"/>
    <w:rsid w:val="08A454C4"/>
    <w:rsid w:val="08C21666"/>
    <w:rsid w:val="08CB0AF4"/>
    <w:rsid w:val="092214AB"/>
    <w:rsid w:val="09271286"/>
    <w:rsid w:val="09336848"/>
    <w:rsid w:val="094C3466"/>
    <w:rsid w:val="09584E45"/>
    <w:rsid w:val="09776735"/>
    <w:rsid w:val="098D5F59"/>
    <w:rsid w:val="099C619C"/>
    <w:rsid w:val="09A069C1"/>
    <w:rsid w:val="09A6526C"/>
    <w:rsid w:val="09D932FA"/>
    <w:rsid w:val="09DC0C8E"/>
    <w:rsid w:val="09DC2A3C"/>
    <w:rsid w:val="09E05744"/>
    <w:rsid w:val="0A033820"/>
    <w:rsid w:val="0A0E2F2B"/>
    <w:rsid w:val="0A0F4BBF"/>
    <w:rsid w:val="0A110938"/>
    <w:rsid w:val="0A193C90"/>
    <w:rsid w:val="0A282630"/>
    <w:rsid w:val="0A344626"/>
    <w:rsid w:val="0A434869"/>
    <w:rsid w:val="0A5D2412"/>
    <w:rsid w:val="0A717628"/>
    <w:rsid w:val="0A7B4003"/>
    <w:rsid w:val="0A8D2760"/>
    <w:rsid w:val="0A9922EB"/>
    <w:rsid w:val="0AB85257"/>
    <w:rsid w:val="0AFC15E8"/>
    <w:rsid w:val="0B027575"/>
    <w:rsid w:val="0B093D05"/>
    <w:rsid w:val="0B224DC6"/>
    <w:rsid w:val="0B2D79F3"/>
    <w:rsid w:val="0B354AFA"/>
    <w:rsid w:val="0B3E570C"/>
    <w:rsid w:val="0B697892"/>
    <w:rsid w:val="0B712872"/>
    <w:rsid w:val="0B862024"/>
    <w:rsid w:val="0B865355"/>
    <w:rsid w:val="0B8C403C"/>
    <w:rsid w:val="0B8D5306"/>
    <w:rsid w:val="0B915894"/>
    <w:rsid w:val="0BDE6F3F"/>
    <w:rsid w:val="0BF64289"/>
    <w:rsid w:val="0BF91683"/>
    <w:rsid w:val="0C085D6A"/>
    <w:rsid w:val="0C0F0EA7"/>
    <w:rsid w:val="0C1E10EA"/>
    <w:rsid w:val="0C286919"/>
    <w:rsid w:val="0C801DA5"/>
    <w:rsid w:val="0C8C24F7"/>
    <w:rsid w:val="0C9D4705"/>
    <w:rsid w:val="0CCC4FEA"/>
    <w:rsid w:val="0CD12600"/>
    <w:rsid w:val="0CFF7B5C"/>
    <w:rsid w:val="0D077DD0"/>
    <w:rsid w:val="0D2546FA"/>
    <w:rsid w:val="0D3D37F2"/>
    <w:rsid w:val="0D427BBE"/>
    <w:rsid w:val="0D643474"/>
    <w:rsid w:val="0D671DC3"/>
    <w:rsid w:val="0D7C07BE"/>
    <w:rsid w:val="0D913B3D"/>
    <w:rsid w:val="0DA10224"/>
    <w:rsid w:val="0DB52D2F"/>
    <w:rsid w:val="0DC161D1"/>
    <w:rsid w:val="0DF0237B"/>
    <w:rsid w:val="0E1053AA"/>
    <w:rsid w:val="0E181B41"/>
    <w:rsid w:val="0E1A1D85"/>
    <w:rsid w:val="0E4806A0"/>
    <w:rsid w:val="0E4B1F3E"/>
    <w:rsid w:val="0E9B1118"/>
    <w:rsid w:val="0EA77ABC"/>
    <w:rsid w:val="0EAD1D01"/>
    <w:rsid w:val="0ED10695"/>
    <w:rsid w:val="0ED32660"/>
    <w:rsid w:val="0EDF08E9"/>
    <w:rsid w:val="0F1A64E0"/>
    <w:rsid w:val="0F264E85"/>
    <w:rsid w:val="0F2B249C"/>
    <w:rsid w:val="0F3375A2"/>
    <w:rsid w:val="0F362BEE"/>
    <w:rsid w:val="0FC420C5"/>
    <w:rsid w:val="0FD03043"/>
    <w:rsid w:val="0FD90470"/>
    <w:rsid w:val="0FE9036A"/>
    <w:rsid w:val="0FFA2BFC"/>
    <w:rsid w:val="0FFD0285"/>
    <w:rsid w:val="10016353"/>
    <w:rsid w:val="1021389E"/>
    <w:rsid w:val="102E38C6"/>
    <w:rsid w:val="104F3F68"/>
    <w:rsid w:val="10675755"/>
    <w:rsid w:val="106D2640"/>
    <w:rsid w:val="10795489"/>
    <w:rsid w:val="10831E63"/>
    <w:rsid w:val="10A5627E"/>
    <w:rsid w:val="10AA61E9"/>
    <w:rsid w:val="10D014EE"/>
    <w:rsid w:val="10D55478"/>
    <w:rsid w:val="10E5667A"/>
    <w:rsid w:val="110255F2"/>
    <w:rsid w:val="11032FA4"/>
    <w:rsid w:val="11091323"/>
    <w:rsid w:val="11203B56"/>
    <w:rsid w:val="11365128"/>
    <w:rsid w:val="11623465"/>
    <w:rsid w:val="1173012A"/>
    <w:rsid w:val="11786165"/>
    <w:rsid w:val="117D2D56"/>
    <w:rsid w:val="1186119F"/>
    <w:rsid w:val="11957A07"/>
    <w:rsid w:val="119D0D03"/>
    <w:rsid w:val="11AE7F4C"/>
    <w:rsid w:val="11B06C88"/>
    <w:rsid w:val="11BB73DB"/>
    <w:rsid w:val="11BD3FCC"/>
    <w:rsid w:val="11C73FD2"/>
    <w:rsid w:val="11DF756D"/>
    <w:rsid w:val="12137217"/>
    <w:rsid w:val="121D69E7"/>
    <w:rsid w:val="121E47C0"/>
    <w:rsid w:val="1223551F"/>
    <w:rsid w:val="123F2136"/>
    <w:rsid w:val="128A0E55"/>
    <w:rsid w:val="13051255"/>
    <w:rsid w:val="13117BFA"/>
    <w:rsid w:val="132A0CBC"/>
    <w:rsid w:val="134F0723"/>
    <w:rsid w:val="13531FC1"/>
    <w:rsid w:val="135B2C24"/>
    <w:rsid w:val="135D699C"/>
    <w:rsid w:val="13622FB1"/>
    <w:rsid w:val="139331A2"/>
    <w:rsid w:val="13A75E69"/>
    <w:rsid w:val="13B660AC"/>
    <w:rsid w:val="13C06F2A"/>
    <w:rsid w:val="13CC58CF"/>
    <w:rsid w:val="13D174A0"/>
    <w:rsid w:val="13E70D0D"/>
    <w:rsid w:val="141F00F5"/>
    <w:rsid w:val="143771ED"/>
    <w:rsid w:val="14430096"/>
    <w:rsid w:val="145A2EDB"/>
    <w:rsid w:val="147072F3"/>
    <w:rsid w:val="14870EDB"/>
    <w:rsid w:val="14A423A8"/>
    <w:rsid w:val="14AF76CB"/>
    <w:rsid w:val="14DD25F2"/>
    <w:rsid w:val="14F96B98"/>
    <w:rsid w:val="15051099"/>
    <w:rsid w:val="150C0679"/>
    <w:rsid w:val="15877D00"/>
    <w:rsid w:val="158B06B4"/>
    <w:rsid w:val="15A432F9"/>
    <w:rsid w:val="15D53161"/>
    <w:rsid w:val="15DE4AFA"/>
    <w:rsid w:val="15F13669"/>
    <w:rsid w:val="15F335E7"/>
    <w:rsid w:val="15F829AC"/>
    <w:rsid w:val="15FC62BD"/>
    <w:rsid w:val="15FD6214"/>
    <w:rsid w:val="1629525B"/>
    <w:rsid w:val="16571DC8"/>
    <w:rsid w:val="165D4F05"/>
    <w:rsid w:val="16776C5C"/>
    <w:rsid w:val="16AE750E"/>
    <w:rsid w:val="16C17241"/>
    <w:rsid w:val="16EA49EA"/>
    <w:rsid w:val="16F66FFC"/>
    <w:rsid w:val="17033CFE"/>
    <w:rsid w:val="17045380"/>
    <w:rsid w:val="170A508C"/>
    <w:rsid w:val="1719707D"/>
    <w:rsid w:val="171B2DF6"/>
    <w:rsid w:val="171C4DC0"/>
    <w:rsid w:val="17325AD3"/>
    <w:rsid w:val="175E7186"/>
    <w:rsid w:val="17667DE9"/>
    <w:rsid w:val="176A49FC"/>
    <w:rsid w:val="176E561B"/>
    <w:rsid w:val="1772678E"/>
    <w:rsid w:val="179C0591"/>
    <w:rsid w:val="17A56B63"/>
    <w:rsid w:val="17AD77C6"/>
    <w:rsid w:val="17C4348D"/>
    <w:rsid w:val="17C63699"/>
    <w:rsid w:val="17CA481C"/>
    <w:rsid w:val="17D905BB"/>
    <w:rsid w:val="17DF02C7"/>
    <w:rsid w:val="17E05DED"/>
    <w:rsid w:val="17F20338"/>
    <w:rsid w:val="17FF3E14"/>
    <w:rsid w:val="18001FEB"/>
    <w:rsid w:val="182E6B59"/>
    <w:rsid w:val="184E2D57"/>
    <w:rsid w:val="187E09AC"/>
    <w:rsid w:val="189C1059"/>
    <w:rsid w:val="18DA283C"/>
    <w:rsid w:val="18E15979"/>
    <w:rsid w:val="18ED6A14"/>
    <w:rsid w:val="18EE0096"/>
    <w:rsid w:val="18FF0BDA"/>
    <w:rsid w:val="19107607"/>
    <w:rsid w:val="191C4C03"/>
    <w:rsid w:val="191F46F3"/>
    <w:rsid w:val="1921412C"/>
    <w:rsid w:val="19263CD4"/>
    <w:rsid w:val="19461C80"/>
    <w:rsid w:val="19612595"/>
    <w:rsid w:val="197607B7"/>
    <w:rsid w:val="197762DD"/>
    <w:rsid w:val="199876B2"/>
    <w:rsid w:val="19A30008"/>
    <w:rsid w:val="19C808E7"/>
    <w:rsid w:val="19F811CC"/>
    <w:rsid w:val="1A18361C"/>
    <w:rsid w:val="1A1C6D10"/>
    <w:rsid w:val="1A1F0E4F"/>
    <w:rsid w:val="1A283EAB"/>
    <w:rsid w:val="1A450189"/>
    <w:rsid w:val="1A4D7795"/>
    <w:rsid w:val="1A502B13"/>
    <w:rsid w:val="1A5328A6"/>
    <w:rsid w:val="1A8C18A1"/>
    <w:rsid w:val="1A974E89"/>
    <w:rsid w:val="1AA80E44"/>
    <w:rsid w:val="1AB8095B"/>
    <w:rsid w:val="1AD27C6F"/>
    <w:rsid w:val="1AE34E1B"/>
    <w:rsid w:val="1AEE56B5"/>
    <w:rsid w:val="1B061954"/>
    <w:rsid w:val="1B065B6B"/>
    <w:rsid w:val="1B3D0F0A"/>
    <w:rsid w:val="1B60171F"/>
    <w:rsid w:val="1B612DA1"/>
    <w:rsid w:val="1B656D35"/>
    <w:rsid w:val="1B8D003A"/>
    <w:rsid w:val="1BBE01F3"/>
    <w:rsid w:val="1BD925B1"/>
    <w:rsid w:val="1BE74617"/>
    <w:rsid w:val="1BF754B3"/>
    <w:rsid w:val="1C163B8C"/>
    <w:rsid w:val="1C331870"/>
    <w:rsid w:val="1C420E24"/>
    <w:rsid w:val="1C4F16AA"/>
    <w:rsid w:val="1CAB69CA"/>
    <w:rsid w:val="1CB6536F"/>
    <w:rsid w:val="1D097B94"/>
    <w:rsid w:val="1D3270D2"/>
    <w:rsid w:val="1D33076D"/>
    <w:rsid w:val="1D6F3E9B"/>
    <w:rsid w:val="1D7325E0"/>
    <w:rsid w:val="1D8B2357"/>
    <w:rsid w:val="1D8C15EC"/>
    <w:rsid w:val="1D8C2A69"/>
    <w:rsid w:val="1D927B8A"/>
    <w:rsid w:val="1DAA6C81"/>
    <w:rsid w:val="1DC53ABB"/>
    <w:rsid w:val="1DEC54EC"/>
    <w:rsid w:val="1E0C3498"/>
    <w:rsid w:val="1E42335E"/>
    <w:rsid w:val="1E4A2212"/>
    <w:rsid w:val="1E5170FD"/>
    <w:rsid w:val="1E6E4153"/>
    <w:rsid w:val="1E82375A"/>
    <w:rsid w:val="1EB37344"/>
    <w:rsid w:val="1EDF295B"/>
    <w:rsid w:val="1F066139"/>
    <w:rsid w:val="1F071B64"/>
    <w:rsid w:val="1F0B19A2"/>
    <w:rsid w:val="1F332CA6"/>
    <w:rsid w:val="1F75506D"/>
    <w:rsid w:val="1F775289"/>
    <w:rsid w:val="1F7F29E0"/>
    <w:rsid w:val="1F84433B"/>
    <w:rsid w:val="1F996FAD"/>
    <w:rsid w:val="20356C50"/>
    <w:rsid w:val="206C0909"/>
    <w:rsid w:val="20D14525"/>
    <w:rsid w:val="20D3029D"/>
    <w:rsid w:val="20D9162C"/>
    <w:rsid w:val="20E26732"/>
    <w:rsid w:val="210411A8"/>
    <w:rsid w:val="21130FE1"/>
    <w:rsid w:val="21260D15"/>
    <w:rsid w:val="216058A9"/>
    <w:rsid w:val="216E7FC6"/>
    <w:rsid w:val="21875773"/>
    <w:rsid w:val="2188552B"/>
    <w:rsid w:val="218F68ED"/>
    <w:rsid w:val="21902632"/>
    <w:rsid w:val="21933ED0"/>
    <w:rsid w:val="21AE2AB8"/>
    <w:rsid w:val="21B300CF"/>
    <w:rsid w:val="21DF0EC4"/>
    <w:rsid w:val="21F04E7F"/>
    <w:rsid w:val="21F84C78"/>
    <w:rsid w:val="22031056"/>
    <w:rsid w:val="22240B31"/>
    <w:rsid w:val="2237485C"/>
    <w:rsid w:val="22477195"/>
    <w:rsid w:val="224F429B"/>
    <w:rsid w:val="22602004"/>
    <w:rsid w:val="22665141"/>
    <w:rsid w:val="226715E5"/>
    <w:rsid w:val="22837AA1"/>
    <w:rsid w:val="22AB7D95"/>
    <w:rsid w:val="22CD41A4"/>
    <w:rsid w:val="22DB168B"/>
    <w:rsid w:val="22DD18A7"/>
    <w:rsid w:val="22EE5862"/>
    <w:rsid w:val="22F17100"/>
    <w:rsid w:val="22FA79DC"/>
    <w:rsid w:val="231D6147"/>
    <w:rsid w:val="2338088B"/>
    <w:rsid w:val="23582CDC"/>
    <w:rsid w:val="236F6BEA"/>
    <w:rsid w:val="237044C9"/>
    <w:rsid w:val="238166D6"/>
    <w:rsid w:val="238910E7"/>
    <w:rsid w:val="23931F66"/>
    <w:rsid w:val="239A32F4"/>
    <w:rsid w:val="23A32927"/>
    <w:rsid w:val="23A979DB"/>
    <w:rsid w:val="23AB5501"/>
    <w:rsid w:val="23C640E9"/>
    <w:rsid w:val="23D42CAA"/>
    <w:rsid w:val="23EA2E52"/>
    <w:rsid w:val="23F70073"/>
    <w:rsid w:val="241414BE"/>
    <w:rsid w:val="24193A07"/>
    <w:rsid w:val="242B219E"/>
    <w:rsid w:val="242B4894"/>
    <w:rsid w:val="24507E57"/>
    <w:rsid w:val="245931AF"/>
    <w:rsid w:val="24681644"/>
    <w:rsid w:val="24773635"/>
    <w:rsid w:val="248D4C07"/>
    <w:rsid w:val="24A81011"/>
    <w:rsid w:val="24A85EE5"/>
    <w:rsid w:val="24A93B72"/>
    <w:rsid w:val="24BD775E"/>
    <w:rsid w:val="24EA7087"/>
    <w:rsid w:val="254774AC"/>
    <w:rsid w:val="254F3141"/>
    <w:rsid w:val="256736AA"/>
    <w:rsid w:val="2577102D"/>
    <w:rsid w:val="257850F0"/>
    <w:rsid w:val="25910727"/>
    <w:rsid w:val="25E66CC5"/>
    <w:rsid w:val="25F0544D"/>
    <w:rsid w:val="26062EC3"/>
    <w:rsid w:val="263317DE"/>
    <w:rsid w:val="265B1A63"/>
    <w:rsid w:val="26681488"/>
    <w:rsid w:val="26887D7C"/>
    <w:rsid w:val="26A12BEB"/>
    <w:rsid w:val="26B8757A"/>
    <w:rsid w:val="26D21F2C"/>
    <w:rsid w:val="26D227E7"/>
    <w:rsid w:val="271E621D"/>
    <w:rsid w:val="27441EF5"/>
    <w:rsid w:val="27502672"/>
    <w:rsid w:val="276500BD"/>
    <w:rsid w:val="276E51C4"/>
    <w:rsid w:val="27806CA5"/>
    <w:rsid w:val="279A2D3E"/>
    <w:rsid w:val="279A7D67"/>
    <w:rsid w:val="27AC7537"/>
    <w:rsid w:val="27C13545"/>
    <w:rsid w:val="27C64C5F"/>
    <w:rsid w:val="281C077C"/>
    <w:rsid w:val="2824067B"/>
    <w:rsid w:val="283A32F8"/>
    <w:rsid w:val="28700AC7"/>
    <w:rsid w:val="287560DE"/>
    <w:rsid w:val="2899001E"/>
    <w:rsid w:val="28B9246E"/>
    <w:rsid w:val="28C3509B"/>
    <w:rsid w:val="28CD1A76"/>
    <w:rsid w:val="28EB63A0"/>
    <w:rsid w:val="290A2CCA"/>
    <w:rsid w:val="29114058"/>
    <w:rsid w:val="291476A5"/>
    <w:rsid w:val="292E12A7"/>
    <w:rsid w:val="295B1778"/>
    <w:rsid w:val="2965041B"/>
    <w:rsid w:val="297B7531"/>
    <w:rsid w:val="299F194F"/>
    <w:rsid w:val="29A924E3"/>
    <w:rsid w:val="29AF561F"/>
    <w:rsid w:val="29E61F6E"/>
    <w:rsid w:val="2A027E45"/>
    <w:rsid w:val="2A0E2346"/>
    <w:rsid w:val="2A0E4A9A"/>
    <w:rsid w:val="2A3873C3"/>
    <w:rsid w:val="2A612DBE"/>
    <w:rsid w:val="2A6308E4"/>
    <w:rsid w:val="2A7C241A"/>
    <w:rsid w:val="2A905451"/>
    <w:rsid w:val="2AA36F32"/>
    <w:rsid w:val="2AC132F2"/>
    <w:rsid w:val="2AC5334C"/>
    <w:rsid w:val="2AD264A7"/>
    <w:rsid w:val="2AE5579D"/>
    <w:rsid w:val="2B12230A"/>
    <w:rsid w:val="2B177920"/>
    <w:rsid w:val="2B430715"/>
    <w:rsid w:val="2B6761B2"/>
    <w:rsid w:val="2B7E0BDE"/>
    <w:rsid w:val="2B8054C5"/>
    <w:rsid w:val="2B9F3B9D"/>
    <w:rsid w:val="2BBD2276"/>
    <w:rsid w:val="2BE228AE"/>
    <w:rsid w:val="2BEE4841"/>
    <w:rsid w:val="2BF35C97"/>
    <w:rsid w:val="2C1874AC"/>
    <w:rsid w:val="2C1E6C8A"/>
    <w:rsid w:val="2C22657D"/>
    <w:rsid w:val="2C2C11A9"/>
    <w:rsid w:val="2C7212B2"/>
    <w:rsid w:val="2C730B86"/>
    <w:rsid w:val="2C8121F8"/>
    <w:rsid w:val="2C9254B0"/>
    <w:rsid w:val="2C932FD6"/>
    <w:rsid w:val="2C972AC7"/>
    <w:rsid w:val="2CB76CC5"/>
    <w:rsid w:val="2CCA05B8"/>
    <w:rsid w:val="2CCA2E9C"/>
    <w:rsid w:val="2CDC2BCF"/>
    <w:rsid w:val="2CF47F19"/>
    <w:rsid w:val="2D075258"/>
    <w:rsid w:val="2D090A00"/>
    <w:rsid w:val="2D1C121E"/>
    <w:rsid w:val="2D2105E2"/>
    <w:rsid w:val="2D216834"/>
    <w:rsid w:val="2D297497"/>
    <w:rsid w:val="2D595FCE"/>
    <w:rsid w:val="2D8D7A26"/>
    <w:rsid w:val="2D984D48"/>
    <w:rsid w:val="2DA52FC1"/>
    <w:rsid w:val="2DAC3172"/>
    <w:rsid w:val="2DD372C5"/>
    <w:rsid w:val="2DF83A39"/>
    <w:rsid w:val="2E085DBE"/>
    <w:rsid w:val="2E1B21AB"/>
    <w:rsid w:val="2E1B7727"/>
    <w:rsid w:val="2E344345"/>
    <w:rsid w:val="2E5549E7"/>
    <w:rsid w:val="2E625356"/>
    <w:rsid w:val="2E840E29"/>
    <w:rsid w:val="2E9E23F9"/>
    <w:rsid w:val="2EBA484A"/>
    <w:rsid w:val="2ED00512"/>
    <w:rsid w:val="2EDF0755"/>
    <w:rsid w:val="2EE87529"/>
    <w:rsid w:val="2EEC5B83"/>
    <w:rsid w:val="2F05640D"/>
    <w:rsid w:val="2F2375DA"/>
    <w:rsid w:val="2F2D7712"/>
    <w:rsid w:val="2F3565C7"/>
    <w:rsid w:val="2F522CD5"/>
    <w:rsid w:val="2F527179"/>
    <w:rsid w:val="2F894402"/>
    <w:rsid w:val="2F9477B2"/>
    <w:rsid w:val="30204B81"/>
    <w:rsid w:val="302E3742"/>
    <w:rsid w:val="30375F53"/>
    <w:rsid w:val="303A20E7"/>
    <w:rsid w:val="306574C7"/>
    <w:rsid w:val="30703D5A"/>
    <w:rsid w:val="307B5A05"/>
    <w:rsid w:val="308C0468"/>
    <w:rsid w:val="30A05CC2"/>
    <w:rsid w:val="30C419B0"/>
    <w:rsid w:val="30F304E8"/>
    <w:rsid w:val="30F46739"/>
    <w:rsid w:val="31232BD1"/>
    <w:rsid w:val="313D57BE"/>
    <w:rsid w:val="315C42DF"/>
    <w:rsid w:val="315C608D"/>
    <w:rsid w:val="31736204"/>
    <w:rsid w:val="31921AAF"/>
    <w:rsid w:val="31992E3D"/>
    <w:rsid w:val="319C46DB"/>
    <w:rsid w:val="31A517E2"/>
    <w:rsid w:val="31AB491E"/>
    <w:rsid w:val="31E0281A"/>
    <w:rsid w:val="321C75CA"/>
    <w:rsid w:val="324C0F72"/>
    <w:rsid w:val="326C69BF"/>
    <w:rsid w:val="328A7949"/>
    <w:rsid w:val="32901916"/>
    <w:rsid w:val="32A001FB"/>
    <w:rsid w:val="32B51EF8"/>
    <w:rsid w:val="33006AF1"/>
    <w:rsid w:val="331210F9"/>
    <w:rsid w:val="3321133C"/>
    <w:rsid w:val="336F170D"/>
    <w:rsid w:val="3371420F"/>
    <w:rsid w:val="33745430"/>
    <w:rsid w:val="34036C94"/>
    <w:rsid w:val="3411315F"/>
    <w:rsid w:val="34125129"/>
    <w:rsid w:val="341E3ACD"/>
    <w:rsid w:val="34232E92"/>
    <w:rsid w:val="342509B8"/>
    <w:rsid w:val="342D3D10"/>
    <w:rsid w:val="34311A53"/>
    <w:rsid w:val="343F58DB"/>
    <w:rsid w:val="34441786"/>
    <w:rsid w:val="345C21CD"/>
    <w:rsid w:val="346A0AC1"/>
    <w:rsid w:val="34A246FE"/>
    <w:rsid w:val="34B221CE"/>
    <w:rsid w:val="34C208FD"/>
    <w:rsid w:val="34CC3529"/>
    <w:rsid w:val="34CC52D7"/>
    <w:rsid w:val="34FD24DB"/>
    <w:rsid w:val="35092088"/>
    <w:rsid w:val="35260E8C"/>
    <w:rsid w:val="352D6701"/>
    <w:rsid w:val="353F3CFB"/>
    <w:rsid w:val="354632DC"/>
    <w:rsid w:val="35A76A32"/>
    <w:rsid w:val="35CF32D1"/>
    <w:rsid w:val="360311CD"/>
    <w:rsid w:val="36034D29"/>
    <w:rsid w:val="362058DB"/>
    <w:rsid w:val="36392E40"/>
    <w:rsid w:val="36462E68"/>
    <w:rsid w:val="36603F29"/>
    <w:rsid w:val="36BB1AA7"/>
    <w:rsid w:val="36BD5820"/>
    <w:rsid w:val="36C02010"/>
    <w:rsid w:val="36CE5337"/>
    <w:rsid w:val="36D729EB"/>
    <w:rsid w:val="36F76F6F"/>
    <w:rsid w:val="36FA437E"/>
    <w:rsid w:val="36FC2AF0"/>
    <w:rsid w:val="3702379D"/>
    <w:rsid w:val="370276D6"/>
    <w:rsid w:val="37227431"/>
    <w:rsid w:val="3756532C"/>
    <w:rsid w:val="377A2C8B"/>
    <w:rsid w:val="377C4D93"/>
    <w:rsid w:val="37AD7642"/>
    <w:rsid w:val="37AF05B0"/>
    <w:rsid w:val="37C8447C"/>
    <w:rsid w:val="37D90437"/>
    <w:rsid w:val="37E312B6"/>
    <w:rsid w:val="380F5C07"/>
    <w:rsid w:val="381C04CE"/>
    <w:rsid w:val="3829515C"/>
    <w:rsid w:val="388F0AF6"/>
    <w:rsid w:val="3894610C"/>
    <w:rsid w:val="389B6D46"/>
    <w:rsid w:val="38B5507E"/>
    <w:rsid w:val="38C05153"/>
    <w:rsid w:val="39186D3D"/>
    <w:rsid w:val="39510E50"/>
    <w:rsid w:val="396226AE"/>
    <w:rsid w:val="397228F1"/>
    <w:rsid w:val="39A20CFD"/>
    <w:rsid w:val="39D4535A"/>
    <w:rsid w:val="3A2B6F44"/>
    <w:rsid w:val="3A443B62"/>
    <w:rsid w:val="3A632D14"/>
    <w:rsid w:val="3A6D130B"/>
    <w:rsid w:val="3A6F5083"/>
    <w:rsid w:val="3A9C574C"/>
    <w:rsid w:val="3AA009A1"/>
    <w:rsid w:val="3AAA1C17"/>
    <w:rsid w:val="3AAF722D"/>
    <w:rsid w:val="3AC3717D"/>
    <w:rsid w:val="3AFD61EB"/>
    <w:rsid w:val="3B021A53"/>
    <w:rsid w:val="3B037579"/>
    <w:rsid w:val="3B20012B"/>
    <w:rsid w:val="3B2E0A9A"/>
    <w:rsid w:val="3B4C7172"/>
    <w:rsid w:val="3B514788"/>
    <w:rsid w:val="3B535A77"/>
    <w:rsid w:val="3B567FF1"/>
    <w:rsid w:val="3B732951"/>
    <w:rsid w:val="3B762441"/>
    <w:rsid w:val="3B8C756F"/>
    <w:rsid w:val="3B8D494B"/>
    <w:rsid w:val="3BC82BB4"/>
    <w:rsid w:val="3BE13D5E"/>
    <w:rsid w:val="3C047A4D"/>
    <w:rsid w:val="3C1A7270"/>
    <w:rsid w:val="3C2052F0"/>
    <w:rsid w:val="3C90308E"/>
    <w:rsid w:val="3C917532"/>
    <w:rsid w:val="3CB7061B"/>
    <w:rsid w:val="3CDA5C7C"/>
    <w:rsid w:val="3CDD2778"/>
    <w:rsid w:val="3CDE204C"/>
    <w:rsid w:val="3CE31410"/>
    <w:rsid w:val="3D1B32A0"/>
    <w:rsid w:val="3D1B504E"/>
    <w:rsid w:val="3D1D0DC6"/>
    <w:rsid w:val="3D2560BC"/>
    <w:rsid w:val="3D793B23"/>
    <w:rsid w:val="3D9F7A2D"/>
    <w:rsid w:val="3DD75419"/>
    <w:rsid w:val="3E0E4BB3"/>
    <w:rsid w:val="3E171CB9"/>
    <w:rsid w:val="3E1978B4"/>
    <w:rsid w:val="3E587BDC"/>
    <w:rsid w:val="3E5E1696"/>
    <w:rsid w:val="3E8409D1"/>
    <w:rsid w:val="3EA177D5"/>
    <w:rsid w:val="3EA6303D"/>
    <w:rsid w:val="3EDC080D"/>
    <w:rsid w:val="3F11371C"/>
    <w:rsid w:val="3F1C7AF8"/>
    <w:rsid w:val="3F2A1578"/>
    <w:rsid w:val="3F423D44"/>
    <w:rsid w:val="3F4C14EF"/>
    <w:rsid w:val="3F6C393F"/>
    <w:rsid w:val="3F9609BC"/>
    <w:rsid w:val="3FA72BC9"/>
    <w:rsid w:val="3FAA26B9"/>
    <w:rsid w:val="3FB01FB9"/>
    <w:rsid w:val="3FBB48C6"/>
    <w:rsid w:val="3FC45529"/>
    <w:rsid w:val="3FC96FE3"/>
    <w:rsid w:val="3FDB2873"/>
    <w:rsid w:val="3FE52B1E"/>
    <w:rsid w:val="3FE77469"/>
    <w:rsid w:val="400022D9"/>
    <w:rsid w:val="401F09B1"/>
    <w:rsid w:val="40752CC7"/>
    <w:rsid w:val="40784565"/>
    <w:rsid w:val="408353E4"/>
    <w:rsid w:val="40A11D0E"/>
    <w:rsid w:val="40C94DC1"/>
    <w:rsid w:val="40F0234E"/>
    <w:rsid w:val="41110C42"/>
    <w:rsid w:val="41285F8B"/>
    <w:rsid w:val="413C6FDE"/>
    <w:rsid w:val="41662610"/>
    <w:rsid w:val="417E5BAB"/>
    <w:rsid w:val="41872CB2"/>
    <w:rsid w:val="419158DF"/>
    <w:rsid w:val="41AA074E"/>
    <w:rsid w:val="41CA0DF1"/>
    <w:rsid w:val="41CE18ED"/>
    <w:rsid w:val="41F63994"/>
    <w:rsid w:val="42213106"/>
    <w:rsid w:val="424741EF"/>
    <w:rsid w:val="426172AC"/>
    <w:rsid w:val="426B6130"/>
    <w:rsid w:val="426D287D"/>
    <w:rsid w:val="427174BE"/>
    <w:rsid w:val="4277744D"/>
    <w:rsid w:val="428B67D2"/>
    <w:rsid w:val="42AB2355"/>
    <w:rsid w:val="42AB6E74"/>
    <w:rsid w:val="42E661CE"/>
    <w:rsid w:val="42F223AD"/>
    <w:rsid w:val="43036368"/>
    <w:rsid w:val="431042B4"/>
    <w:rsid w:val="431247FD"/>
    <w:rsid w:val="431C1B20"/>
    <w:rsid w:val="431F6F1A"/>
    <w:rsid w:val="432D7889"/>
    <w:rsid w:val="43307340"/>
    <w:rsid w:val="43317379"/>
    <w:rsid w:val="434F77FF"/>
    <w:rsid w:val="435B2648"/>
    <w:rsid w:val="43622373"/>
    <w:rsid w:val="4378254D"/>
    <w:rsid w:val="438D20D6"/>
    <w:rsid w:val="43BB4E95"/>
    <w:rsid w:val="43D146B8"/>
    <w:rsid w:val="44354C47"/>
    <w:rsid w:val="447065F1"/>
    <w:rsid w:val="44784B34"/>
    <w:rsid w:val="447B63D2"/>
    <w:rsid w:val="44801C3A"/>
    <w:rsid w:val="44A21BB1"/>
    <w:rsid w:val="44BD69EB"/>
    <w:rsid w:val="44C1472D"/>
    <w:rsid w:val="44C9538F"/>
    <w:rsid w:val="44E623E5"/>
    <w:rsid w:val="453C2005"/>
    <w:rsid w:val="456652D4"/>
    <w:rsid w:val="456B6447"/>
    <w:rsid w:val="458F482B"/>
    <w:rsid w:val="45941E41"/>
    <w:rsid w:val="45F66658"/>
    <w:rsid w:val="46082FBF"/>
    <w:rsid w:val="461868B6"/>
    <w:rsid w:val="461940F5"/>
    <w:rsid w:val="46195EA3"/>
    <w:rsid w:val="46280371"/>
    <w:rsid w:val="463D6035"/>
    <w:rsid w:val="466B0DF4"/>
    <w:rsid w:val="46747AF7"/>
    <w:rsid w:val="467F21AA"/>
    <w:rsid w:val="46844CBA"/>
    <w:rsid w:val="469F0A9E"/>
    <w:rsid w:val="46B03AF2"/>
    <w:rsid w:val="46D60C7C"/>
    <w:rsid w:val="46D83FB0"/>
    <w:rsid w:val="47120473"/>
    <w:rsid w:val="471E5E67"/>
    <w:rsid w:val="473F0A29"/>
    <w:rsid w:val="47413903"/>
    <w:rsid w:val="4746716B"/>
    <w:rsid w:val="475A49C5"/>
    <w:rsid w:val="475C75A3"/>
    <w:rsid w:val="475D57C3"/>
    <w:rsid w:val="47665118"/>
    <w:rsid w:val="47D26C51"/>
    <w:rsid w:val="47EA3F9B"/>
    <w:rsid w:val="47F60B91"/>
    <w:rsid w:val="47FB61A8"/>
    <w:rsid w:val="481334F1"/>
    <w:rsid w:val="48455675"/>
    <w:rsid w:val="485D651B"/>
    <w:rsid w:val="485E2293"/>
    <w:rsid w:val="486A50DB"/>
    <w:rsid w:val="486D24D6"/>
    <w:rsid w:val="48872786"/>
    <w:rsid w:val="48BA1BBF"/>
    <w:rsid w:val="48C12F4D"/>
    <w:rsid w:val="48D10CB7"/>
    <w:rsid w:val="48FA1FBB"/>
    <w:rsid w:val="49020212"/>
    <w:rsid w:val="490E1F0B"/>
    <w:rsid w:val="49107A31"/>
    <w:rsid w:val="4929464F"/>
    <w:rsid w:val="49385575"/>
    <w:rsid w:val="49520049"/>
    <w:rsid w:val="498E0956"/>
    <w:rsid w:val="49AF724A"/>
    <w:rsid w:val="49CD76D0"/>
    <w:rsid w:val="49DC3DB7"/>
    <w:rsid w:val="49EC3FFA"/>
    <w:rsid w:val="49FE5B49"/>
    <w:rsid w:val="4A315EB1"/>
    <w:rsid w:val="4A58168F"/>
    <w:rsid w:val="4A5E2A1E"/>
    <w:rsid w:val="4A9E2E1A"/>
    <w:rsid w:val="4AB443EC"/>
    <w:rsid w:val="4ADB5E1D"/>
    <w:rsid w:val="4AFA62A3"/>
    <w:rsid w:val="4B0233A9"/>
    <w:rsid w:val="4B391D0B"/>
    <w:rsid w:val="4B4B4D50"/>
    <w:rsid w:val="4BB26449"/>
    <w:rsid w:val="4BB77B57"/>
    <w:rsid w:val="4BC92119"/>
    <w:rsid w:val="4BD5286C"/>
    <w:rsid w:val="4BF002D9"/>
    <w:rsid w:val="4BF53591"/>
    <w:rsid w:val="4C147838"/>
    <w:rsid w:val="4C237A7B"/>
    <w:rsid w:val="4C2F4672"/>
    <w:rsid w:val="4C4C5224"/>
    <w:rsid w:val="4C575977"/>
    <w:rsid w:val="4C5E6D05"/>
    <w:rsid w:val="4C6954AC"/>
    <w:rsid w:val="4C765DFD"/>
    <w:rsid w:val="4C766E73"/>
    <w:rsid w:val="4C9E35A6"/>
    <w:rsid w:val="4CA51357"/>
    <w:rsid w:val="4CAA1F4A"/>
    <w:rsid w:val="4CC97CA4"/>
    <w:rsid w:val="4CCF375F"/>
    <w:rsid w:val="4CCF550D"/>
    <w:rsid w:val="4CD11285"/>
    <w:rsid w:val="4CF258F8"/>
    <w:rsid w:val="4CFB4554"/>
    <w:rsid w:val="4D072FE9"/>
    <w:rsid w:val="4D333CEE"/>
    <w:rsid w:val="4D453A21"/>
    <w:rsid w:val="4D587BF8"/>
    <w:rsid w:val="4D693BB4"/>
    <w:rsid w:val="4D722A68"/>
    <w:rsid w:val="4D73058E"/>
    <w:rsid w:val="4D8C1650"/>
    <w:rsid w:val="4D9234B4"/>
    <w:rsid w:val="4D987FF5"/>
    <w:rsid w:val="4DAE7818"/>
    <w:rsid w:val="4DBE3EFF"/>
    <w:rsid w:val="4DC354CC"/>
    <w:rsid w:val="4DC4528E"/>
    <w:rsid w:val="4DC86B2C"/>
    <w:rsid w:val="4DDA6AF1"/>
    <w:rsid w:val="4DED20EF"/>
    <w:rsid w:val="4E2A50F1"/>
    <w:rsid w:val="4E45017D"/>
    <w:rsid w:val="4E467A51"/>
    <w:rsid w:val="4E9B1B4B"/>
    <w:rsid w:val="4EC310A1"/>
    <w:rsid w:val="4EDE5EDB"/>
    <w:rsid w:val="4EE23C1E"/>
    <w:rsid w:val="4EEC684A"/>
    <w:rsid w:val="4EF030CF"/>
    <w:rsid w:val="4EF43450"/>
    <w:rsid w:val="4F027E1C"/>
    <w:rsid w:val="4F251D5C"/>
    <w:rsid w:val="4F444F56"/>
    <w:rsid w:val="4F473A81"/>
    <w:rsid w:val="4F4A531F"/>
    <w:rsid w:val="4F5471B3"/>
    <w:rsid w:val="4F611C1E"/>
    <w:rsid w:val="4F6765DE"/>
    <w:rsid w:val="4FA64C4B"/>
    <w:rsid w:val="4FB54E8E"/>
    <w:rsid w:val="4FDA66A3"/>
    <w:rsid w:val="4FE33865"/>
    <w:rsid w:val="4FF66A1B"/>
    <w:rsid w:val="4FF754A7"/>
    <w:rsid w:val="50041972"/>
    <w:rsid w:val="502F4C40"/>
    <w:rsid w:val="503E4E84"/>
    <w:rsid w:val="50506965"/>
    <w:rsid w:val="50545FFA"/>
    <w:rsid w:val="505614E8"/>
    <w:rsid w:val="506B393F"/>
    <w:rsid w:val="50722D7F"/>
    <w:rsid w:val="508C042C"/>
    <w:rsid w:val="50950AEC"/>
    <w:rsid w:val="50B527C7"/>
    <w:rsid w:val="50FD4D3F"/>
    <w:rsid w:val="51121E6C"/>
    <w:rsid w:val="511D0F3D"/>
    <w:rsid w:val="51622D02"/>
    <w:rsid w:val="51730B5D"/>
    <w:rsid w:val="518B234A"/>
    <w:rsid w:val="5190604A"/>
    <w:rsid w:val="51B54527"/>
    <w:rsid w:val="51C8534D"/>
    <w:rsid w:val="51D07D5D"/>
    <w:rsid w:val="51D95B48"/>
    <w:rsid w:val="51EE6435"/>
    <w:rsid w:val="51FF0643"/>
    <w:rsid w:val="522D3402"/>
    <w:rsid w:val="523A78CD"/>
    <w:rsid w:val="524076F7"/>
    <w:rsid w:val="52466271"/>
    <w:rsid w:val="524F15CA"/>
    <w:rsid w:val="52691264"/>
    <w:rsid w:val="528079D5"/>
    <w:rsid w:val="529A036B"/>
    <w:rsid w:val="52A26034"/>
    <w:rsid w:val="52BB6C5F"/>
    <w:rsid w:val="52F42171"/>
    <w:rsid w:val="53081779"/>
    <w:rsid w:val="531243A6"/>
    <w:rsid w:val="533662E6"/>
    <w:rsid w:val="536410A5"/>
    <w:rsid w:val="539A6A46"/>
    <w:rsid w:val="53B11E10"/>
    <w:rsid w:val="53C02053"/>
    <w:rsid w:val="53C90F08"/>
    <w:rsid w:val="53CA0019"/>
    <w:rsid w:val="53DD2C05"/>
    <w:rsid w:val="53FF0DCE"/>
    <w:rsid w:val="54295E4B"/>
    <w:rsid w:val="54473D67"/>
    <w:rsid w:val="545A20CE"/>
    <w:rsid w:val="54752E3E"/>
    <w:rsid w:val="54770037"/>
    <w:rsid w:val="54817A35"/>
    <w:rsid w:val="548A4B3B"/>
    <w:rsid w:val="549E2395"/>
    <w:rsid w:val="54A13C33"/>
    <w:rsid w:val="54B73456"/>
    <w:rsid w:val="54CB6F02"/>
    <w:rsid w:val="54E104D3"/>
    <w:rsid w:val="54FE4BE1"/>
    <w:rsid w:val="550F5041"/>
    <w:rsid w:val="55230AEC"/>
    <w:rsid w:val="5531145B"/>
    <w:rsid w:val="554A082F"/>
    <w:rsid w:val="5555355C"/>
    <w:rsid w:val="5557778C"/>
    <w:rsid w:val="556829A3"/>
    <w:rsid w:val="55D83684"/>
    <w:rsid w:val="55F06C20"/>
    <w:rsid w:val="56044479"/>
    <w:rsid w:val="560B1CAC"/>
    <w:rsid w:val="56101070"/>
    <w:rsid w:val="562C1C22"/>
    <w:rsid w:val="56350AD7"/>
    <w:rsid w:val="56544746"/>
    <w:rsid w:val="56982E14"/>
    <w:rsid w:val="56A90FBA"/>
    <w:rsid w:val="56B04601"/>
    <w:rsid w:val="56B37C4E"/>
    <w:rsid w:val="56D75305"/>
    <w:rsid w:val="56D77DE0"/>
    <w:rsid w:val="56E147BB"/>
    <w:rsid w:val="56E30533"/>
    <w:rsid w:val="56FC33A3"/>
    <w:rsid w:val="570404A9"/>
    <w:rsid w:val="571132F2"/>
    <w:rsid w:val="57786473"/>
    <w:rsid w:val="57B245FD"/>
    <w:rsid w:val="57B91294"/>
    <w:rsid w:val="57B95737"/>
    <w:rsid w:val="57BB14B0"/>
    <w:rsid w:val="57C93BCD"/>
    <w:rsid w:val="57D165DD"/>
    <w:rsid w:val="57D305A7"/>
    <w:rsid w:val="58144523"/>
    <w:rsid w:val="58226E39"/>
    <w:rsid w:val="5829466B"/>
    <w:rsid w:val="582B03E3"/>
    <w:rsid w:val="58670D41"/>
    <w:rsid w:val="587753D7"/>
    <w:rsid w:val="58890AB9"/>
    <w:rsid w:val="58A43CF2"/>
    <w:rsid w:val="58B77EC9"/>
    <w:rsid w:val="58EB7B73"/>
    <w:rsid w:val="58ED5699"/>
    <w:rsid w:val="58F83C51"/>
    <w:rsid w:val="58F9403E"/>
    <w:rsid w:val="590C2CFC"/>
    <w:rsid w:val="590F1AB3"/>
    <w:rsid w:val="590F2A47"/>
    <w:rsid w:val="596F60AE"/>
    <w:rsid w:val="597C07CB"/>
    <w:rsid w:val="59975605"/>
    <w:rsid w:val="59BE5287"/>
    <w:rsid w:val="59D86349"/>
    <w:rsid w:val="59E20F76"/>
    <w:rsid w:val="59E36A9C"/>
    <w:rsid w:val="5A317807"/>
    <w:rsid w:val="5A33532D"/>
    <w:rsid w:val="5A4237C2"/>
    <w:rsid w:val="5A5825AC"/>
    <w:rsid w:val="5A755946"/>
    <w:rsid w:val="5A8D7133"/>
    <w:rsid w:val="5AA93841"/>
    <w:rsid w:val="5ACC12DE"/>
    <w:rsid w:val="5AD10273"/>
    <w:rsid w:val="5AE900E2"/>
    <w:rsid w:val="5AEE394A"/>
    <w:rsid w:val="5AFF16B3"/>
    <w:rsid w:val="5B022F52"/>
    <w:rsid w:val="5B051627"/>
    <w:rsid w:val="5B101B12"/>
    <w:rsid w:val="5B4E6197"/>
    <w:rsid w:val="5B615ECA"/>
    <w:rsid w:val="5B8322E4"/>
    <w:rsid w:val="5B84769B"/>
    <w:rsid w:val="5B9E4C01"/>
    <w:rsid w:val="5BA83AF9"/>
    <w:rsid w:val="5BB93F58"/>
    <w:rsid w:val="5BCA7F13"/>
    <w:rsid w:val="5BD112A2"/>
    <w:rsid w:val="5BD14DFE"/>
    <w:rsid w:val="5BE74621"/>
    <w:rsid w:val="5BF30806"/>
    <w:rsid w:val="5C1F025F"/>
    <w:rsid w:val="5C4C0928"/>
    <w:rsid w:val="5C583771"/>
    <w:rsid w:val="5C5B6FE7"/>
    <w:rsid w:val="5C7259BF"/>
    <w:rsid w:val="5C855BE8"/>
    <w:rsid w:val="5C962E7E"/>
    <w:rsid w:val="5C9A5B38"/>
    <w:rsid w:val="5CB47EE9"/>
    <w:rsid w:val="5CCE3A33"/>
    <w:rsid w:val="5CFA4828"/>
    <w:rsid w:val="5D1A0A26"/>
    <w:rsid w:val="5D327B1E"/>
    <w:rsid w:val="5D437F7D"/>
    <w:rsid w:val="5D697CB0"/>
    <w:rsid w:val="5DF50B4C"/>
    <w:rsid w:val="5E2A5031"/>
    <w:rsid w:val="5E473A9D"/>
    <w:rsid w:val="5E702B14"/>
    <w:rsid w:val="5EC96260"/>
    <w:rsid w:val="5EE66E12"/>
    <w:rsid w:val="5EF331BB"/>
    <w:rsid w:val="5EFB03E4"/>
    <w:rsid w:val="5F1F0576"/>
    <w:rsid w:val="5F275C63"/>
    <w:rsid w:val="5F2C67EF"/>
    <w:rsid w:val="5F795ED8"/>
    <w:rsid w:val="5F840C68"/>
    <w:rsid w:val="5FB011CE"/>
    <w:rsid w:val="5FE175D9"/>
    <w:rsid w:val="5FE33352"/>
    <w:rsid w:val="5FFE1F39"/>
    <w:rsid w:val="60031C46"/>
    <w:rsid w:val="60145C01"/>
    <w:rsid w:val="602C2F4B"/>
    <w:rsid w:val="603242D9"/>
    <w:rsid w:val="603911C4"/>
    <w:rsid w:val="605B738C"/>
    <w:rsid w:val="607B7A2E"/>
    <w:rsid w:val="608A5EC3"/>
    <w:rsid w:val="60C34F31"/>
    <w:rsid w:val="60C63C94"/>
    <w:rsid w:val="60CC428A"/>
    <w:rsid w:val="60D46627"/>
    <w:rsid w:val="60EC092C"/>
    <w:rsid w:val="60F63558"/>
    <w:rsid w:val="6109503A"/>
    <w:rsid w:val="611063C8"/>
    <w:rsid w:val="611E1ECB"/>
    <w:rsid w:val="612C0D28"/>
    <w:rsid w:val="61646714"/>
    <w:rsid w:val="616D7E8C"/>
    <w:rsid w:val="617250F2"/>
    <w:rsid w:val="618172C6"/>
    <w:rsid w:val="61923281"/>
    <w:rsid w:val="619D5782"/>
    <w:rsid w:val="61A84853"/>
    <w:rsid w:val="61B01959"/>
    <w:rsid w:val="620F2F9B"/>
    <w:rsid w:val="621243C2"/>
    <w:rsid w:val="623C4F9B"/>
    <w:rsid w:val="624520A2"/>
    <w:rsid w:val="62540537"/>
    <w:rsid w:val="62AE5E99"/>
    <w:rsid w:val="62B62F9F"/>
    <w:rsid w:val="62CA37C4"/>
    <w:rsid w:val="62CC27C3"/>
    <w:rsid w:val="62E21FE6"/>
    <w:rsid w:val="62F7660C"/>
    <w:rsid w:val="630737FB"/>
    <w:rsid w:val="630E06AB"/>
    <w:rsid w:val="6329551F"/>
    <w:rsid w:val="633C2D1C"/>
    <w:rsid w:val="636C365E"/>
    <w:rsid w:val="63770981"/>
    <w:rsid w:val="63925F00"/>
    <w:rsid w:val="63B76FCF"/>
    <w:rsid w:val="6401649C"/>
    <w:rsid w:val="64052A78"/>
    <w:rsid w:val="64263991"/>
    <w:rsid w:val="644C3BBB"/>
    <w:rsid w:val="64691DA1"/>
    <w:rsid w:val="64963088"/>
    <w:rsid w:val="64A31301"/>
    <w:rsid w:val="64B17EC2"/>
    <w:rsid w:val="64D67929"/>
    <w:rsid w:val="64FD6C64"/>
    <w:rsid w:val="65155CF9"/>
    <w:rsid w:val="65181CEF"/>
    <w:rsid w:val="65206DF6"/>
    <w:rsid w:val="652B1B64"/>
    <w:rsid w:val="6548383B"/>
    <w:rsid w:val="65556197"/>
    <w:rsid w:val="656211BC"/>
    <w:rsid w:val="657D5FF6"/>
    <w:rsid w:val="65815AE7"/>
    <w:rsid w:val="65834B32"/>
    <w:rsid w:val="65905D2A"/>
    <w:rsid w:val="659D42C2"/>
    <w:rsid w:val="659F41BF"/>
    <w:rsid w:val="65ED4032"/>
    <w:rsid w:val="65F00576"/>
    <w:rsid w:val="65FA31A3"/>
    <w:rsid w:val="65FC1361"/>
    <w:rsid w:val="66290DEA"/>
    <w:rsid w:val="662C4B1F"/>
    <w:rsid w:val="662D3578"/>
    <w:rsid w:val="663C37BC"/>
    <w:rsid w:val="665705F5"/>
    <w:rsid w:val="668F5FE1"/>
    <w:rsid w:val="669058B5"/>
    <w:rsid w:val="66995E3B"/>
    <w:rsid w:val="66BB6DD6"/>
    <w:rsid w:val="66C85EA4"/>
    <w:rsid w:val="66E67651"/>
    <w:rsid w:val="66F10A4A"/>
    <w:rsid w:val="66F916AD"/>
    <w:rsid w:val="67136C12"/>
    <w:rsid w:val="67277FC8"/>
    <w:rsid w:val="67444738"/>
    <w:rsid w:val="674C3ED2"/>
    <w:rsid w:val="674F58BE"/>
    <w:rsid w:val="676236F6"/>
    <w:rsid w:val="676A6106"/>
    <w:rsid w:val="67782C76"/>
    <w:rsid w:val="678C03A6"/>
    <w:rsid w:val="6793565D"/>
    <w:rsid w:val="67AB6E4B"/>
    <w:rsid w:val="67AC2BC3"/>
    <w:rsid w:val="67C5345F"/>
    <w:rsid w:val="67CF6087"/>
    <w:rsid w:val="67E72695"/>
    <w:rsid w:val="67F65BEC"/>
    <w:rsid w:val="682B7F8C"/>
    <w:rsid w:val="6832131A"/>
    <w:rsid w:val="683F3A37"/>
    <w:rsid w:val="6844104D"/>
    <w:rsid w:val="6850354E"/>
    <w:rsid w:val="685C0145"/>
    <w:rsid w:val="686E1C26"/>
    <w:rsid w:val="687144DA"/>
    <w:rsid w:val="688651C2"/>
    <w:rsid w:val="68913282"/>
    <w:rsid w:val="689773CF"/>
    <w:rsid w:val="68B326AB"/>
    <w:rsid w:val="68C87588"/>
    <w:rsid w:val="68CA3301"/>
    <w:rsid w:val="68DE0B5A"/>
    <w:rsid w:val="68ED3493"/>
    <w:rsid w:val="68EF720B"/>
    <w:rsid w:val="68F71C1C"/>
    <w:rsid w:val="69004F74"/>
    <w:rsid w:val="69221BB5"/>
    <w:rsid w:val="69653029"/>
    <w:rsid w:val="69670B4F"/>
    <w:rsid w:val="697033BA"/>
    <w:rsid w:val="69731BEA"/>
    <w:rsid w:val="69946898"/>
    <w:rsid w:val="69A32D6E"/>
    <w:rsid w:val="69BF098B"/>
    <w:rsid w:val="69CA13F4"/>
    <w:rsid w:val="6A3C1FDC"/>
    <w:rsid w:val="6A4175F2"/>
    <w:rsid w:val="6A4C5F97"/>
    <w:rsid w:val="6A5D01A4"/>
    <w:rsid w:val="6A640588"/>
    <w:rsid w:val="6A7379C8"/>
    <w:rsid w:val="6A9E67F3"/>
    <w:rsid w:val="6B15282D"/>
    <w:rsid w:val="6B1E4416"/>
    <w:rsid w:val="6B3C7DBA"/>
    <w:rsid w:val="6B447492"/>
    <w:rsid w:val="6B5415A7"/>
    <w:rsid w:val="6B7E4D97"/>
    <w:rsid w:val="6B8457AA"/>
    <w:rsid w:val="6B87372B"/>
    <w:rsid w:val="6B9145AA"/>
    <w:rsid w:val="6B9178BA"/>
    <w:rsid w:val="6BC71D79"/>
    <w:rsid w:val="6C0C1E82"/>
    <w:rsid w:val="6C2B2308"/>
    <w:rsid w:val="6C2C42D2"/>
    <w:rsid w:val="6C557385"/>
    <w:rsid w:val="6C68355C"/>
    <w:rsid w:val="6C77554D"/>
    <w:rsid w:val="6CC22541"/>
    <w:rsid w:val="6CDC1854"/>
    <w:rsid w:val="6CE609B5"/>
    <w:rsid w:val="6CF44DF0"/>
    <w:rsid w:val="6CF7043C"/>
    <w:rsid w:val="6D3E42BD"/>
    <w:rsid w:val="6D405882"/>
    <w:rsid w:val="6D464F20"/>
    <w:rsid w:val="6D4653C0"/>
    <w:rsid w:val="6D604233"/>
    <w:rsid w:val="6D8343C6"/>
    <w:rsid w:val="6D88378A"/>
    <w:rsid w:val="6DA22A9E"/>
    <w:rsid w:val="6DC81DD9"/>
    <w:rsid w:val="6DE2733E"/>
    <w:rsid w:val="6E041063"/>
    <w:rsid w:val="6E0C7F17"/>
    <w:rsid w:val="6E1119D2"/>
    <w:rsid w:val="6E296D1B"/>
    <w:rsid w:val="6E69446F"/>
    <w:rsid w:val="6E6C6C08"/>
    <w:rsid w:val="6E89072E"/>
    <w:rsid w:val="6E900B48"/>
    <w:rsid w:val="6E92351E"/>
    <w:rsid w:val="6EAB5982"/>
    <w:rsid w:val="6EB30857"/>
    <w:rsid w:val="6ED529FF"/>
    <w:rsid w:val="6EFD5AB2"/>
    <w:rsid w:val="6F152DFC"/>
    <w:rsid w:val="6F176B74"/>
    <w:rsid w:val="6F4C34C5"/>
    <w:rsid w:val="6F4D3219"/>
    <w:rsid w:val="6F581D07"/>
    <w:rsid w:val="6F5A6D67"/>
    <w:rsid w:val="6F6124E5"/>
    <w:rsid w:val="6F6F69B0"/>
    <w:rsid w:val="6F933CEC"/>
    <w:rsid w:val="6F9957DB"/>
    <w:rsid w:val="6F9D176F"/>
    <w:rsid w:val="6F9E54E7"/>
    <w:rsid w:val="6FBF5CA9"/>
    <w:rsid w:val="6FD74555"/>
    <w:rsid w:val="70090C45"/>
    <w:rsid w:val="70390D6C"/>
    <w:rsid w:val="703A5210"/>
    <w:rsid w:val="703D085C"/>
    <w:rsid w:val="703E6382"/>
    <w:rsid w:val="70425E72"/>
    <w:rsid w:val="70741DA4"/>
    <w:rsid w:val="70761F2B"/>
    <w:rsid w:val="707E0A39"/>
    <w:rsid w:val="708D4F68"/>
    <w:rsid w:val="709C7DE3"/>
    <w:rsid w:val="70BD7BEF"/>
    <w:rsid w:val="70C90342"/>
    <w:rsid w:val="70D171F6"/>
    <w:rsid w:val="70DA21C9"/>
    <w:rsid w:val="70DD5B9B"/>
    <w:rsid w:val="70E4517B"/>
    <w:rsid w:val="70F84783"/>
    <w:rsid w:val="71200227"/>
    <w:rsid w:val="712437CA"/>
    <w:rsid w:val="713F52BD"/>
    <w:rsid w:val="716B3937"/>
    <w:rsid w:val="718B55F7"/>
    <w:rsid w:val="719B7F30"/>
    <w:rsid w:val="719C49BA"/>
    <w:rsid w:val="71AA3CCF"/>
    <w:rsid w:val="71BB4C59"/>
    <w:rsid w:val="71C034F3"/>
    <w:rsid w:val="71E73175"/>
    <w:rsid w:val="71EC253A"/>
    <w:rsid w:val="7203698B"/>
    <w:rsid w:val="72850298"/>
    <w:rsid w:val="72A83D30"/>
    <w:rsid w:val="72AE3C93"/>
    <w:rsid w:val="72FF44EF"/>
    <w:rsid w:val="73117D7E"/>
    <w:rsid w:val="7365088F"/>
    <w:rsid w:val="73722F12"/>
    <w:rsid w:val="73FB2F08"/>
    <w:rsid w:val="740A314B"/>
    <w:rsid w:val="740C6EC3"/>
    <w:rsid w:val="744114FF"/>
    <w:rsid w:val="74827185"/>
    <w:rsid w:val="74BD1F6B"/>
    <w:rsid w:val="74CA6436"/>
    <w:rsid w:val="74CD142F"/>
    <w:rsid w:val="74DD0860"/>
    <w:rsid w:val="74EB1353"/>
    <w:rsid w:val="74EE5F56"/>
    <w:rsid w:val="74FB2A94"/>
    <w:rsid w:val="750B717B"/>
    <w:rsid w:val="75311D17"/>
    <w:rsid w:val="753C0A3B"/>
    <w:rsid w:val="75410DEE"/>
    <w:rsid w:val="755F74C6"/>
    <w:rsid w:val="75736ACE"/>
    <w:rsid w:val="75790588"/>
    <w:rsid w:val="759A0C4C"/>
    <w:rsid w:val="75AA0341"/>
    <w:rsid w:val="75DC4673"/>
    <w:rsid w:val="75E8126A"/>
    <w:rsid w:val="75F776FF"/>
    <w:rsid w:val="760254A8"/>
    <w:rsid w:val="76040FE2"/>
    <w:rsid w:val="76116A13"/>
    <w:rsid w:val="764D731F"/>
    <w:rsid w:val="764F3097"/>
    <w:rsid w:val="766A1C7F"/>
    <w:rsid w:val="76A5715B"/>
    <w:rsid w:val="76C159E1"/>
    <w:rsid w:val="76C3583F"/>
    <w:rsid w:val="76F222A2"/>
    <w:rsid w:val="76F51E90"/>
    <w:rsid w:val="77253DF8"/>
    <w:rsid w:val="77356731"/>
    <w:rsid w:val="77630CFB"/>
    <w:rsid w:val="77756B2D"/>
    <w:rsid w:val="778A2609"/>
    <w:rsid w:val="77AD6BD4"/>
    <w:rsid w:val="77CD73FD"/>
    <w:rsid w:val="77D45F4A"/>
    <w:rsid w:val="77D93560"/>
    <w:rsid w:val="77DD64C0"/>
    <w:rsid w:val="78112CFA"/>
    <w:rsid w:val="7839698E"/>
    <w:rsid w:val="784C0DFA"/>
    <w:rsid w:val="7851759A"/>
    <w:rsid w:val="78524E73"/>
    <w:rsid w:val="7879264D"/>
    <w:rsid w:val="788F00C3"/>
    <w:rsid w:val="78961451"/>
    <w:rsid w:val="7897154B"/>
    <w:rsid w:val="78995758"/>
    <w:rsid w:val="78A05E2C"/>
    <w:rsid w:val="78A17892"/>
    <w:rsid w:val="78AE1298"/>
    <w:rsid w:val="78CA1E86"/>
    <w:rsid w:val="79030169"/>
    <w:rsid w:val="7907689F"/>
    <w:rsid w:val="792627D5"/>
    <w:rsid w:val="79492020"/>
    <w:rsid w:val="794C1B10"/>
    <w:rsid w:val="794E7636"/>
    <w:rsid w:val="79661F4A"/>
    <w:rsid w:val="79856DD0"/>
    <w:rsid w:val="79B55907"/>
    <w:rsid w:val="79E65AC0"/>
    <w:rsid w:val="7A146AD1"/>
    <w:rsid w:val="7A2B7977"/>
    <w:rsid w:val="7A351AB3"/>
    <w:rsid w:val="7A37456E"/>
    <w:rsid w:val="7A4F7B0A"/>
    <w:rsid w:val="7A6B246A"/>
    <w:rsid w:val="7A6B2B13"/>
    <w:rsid w:val="7A8F7F06"/>
    <w:rsid w:val="7AB14AA0"/>
    <w:rsid w:val="7AB43E11"/>
    <w:rsid w:val="7ABD0F17"/>
    <w:rsid w:val="7AD24D3F"/>
    <w:rsid w:val="7AD853DF"/>
    <w:rsid w:val="7AF366E7"/>
    <w:rsid w:val="7B187EFC"/>
    <w:rsid w:val="7B407452"/>
    <w:rsid w:val="7B4E1B6F"/>
    <w:rsid w:val="7B624EDE"/>
    <w:rsid w:val="7BAB0D70"/>
    <w:rsid w:val="7BB3231A"/>
    <w:rsid w:val="7BB32F79"/>
    <w:rsid w:val="7BC736D0"/>
    <w:rsid w:val="7BCE4A5E"/>
    <w:rsid w:val="7BE44282"/>
    <w:rsid w:val="7BEE5100"/>
    <w:rsid w:val="7C0861C2"/>
    <w:rsid w:val="7C1E59E5"/>
    <w:rsid w:val="7C30396B"/>
    <w:rsid w:val="7C38637B"/>
    <w:rsid w:val="7C3C5E6C"/>
    <w:rsid w:val="7C594C70"/>
    <w:rsid w:val="7C835849"/>
    <w:rsid w:val="7C8F68E3"/>
    <w:rsid w:val="7C9537CE"/>
    <w:rsid w:val="7CE24C65"/>
    <w:rsid w:val="7CE704CD"/>
    <w:rsid w:val="7CFE75C5"/>
    <w:rsid w:val="7D034BDB"/>
    <w:rsid w:val="7D0C6AC1"/>
    <w:rsid w:val="7D144CEB"/>
    <w:rsid w:val="7D364FB1"/>
    <w:rsid w:val="7D47153F"/>
    <w:rsid w:val="7D472D1A"/>
    <w:rsid w:val="7D4B32FE"/>
    <w:rsid w:val="7DB54128"/>
    <w:rsid w:val="7DBA1023"/>
    <w:rsid w:val="7DDE662A"/>
    <w:rsid w:val="7DE22A43"/>
    <w:rsid w:val="7DEA4049"/>
    <w:rsid w:val="7E327526"/>
    <w:rsid w:val="7E4731C0"/>
    <w:rsid w:val="7E521BF9"/>
    <w:rsid w:val="7E53749D"/>
    <w:rsid w:val="7E5F4093"/>
    <w:rsid w:val="7E6108ED"/>
    <w:rsid w:val="7E8F4979"/>
    <w:rsid w:val="7EB51F05"/>
    <w:rsid w:val="7ED76320"/>
    <w:rsid w:val="7EF86055"/>
    <w:rsid w:val="7EFB3DBC"/>
    <w:rsid w:val="7F0569E9"/>
    <w:rsid w:val="7F136DA3"/>
    <w:rsid w:val="7F45772D"/>
    <w:rsid w:val="7F573E95"/>
    <w:rsid w:val="7F5931D8"/>
    <w:rsid w:val="7F623E3B"/>
    <w:rsid w:val="7F875650"/>
    <w:rsid w:val="7F8F402B"/>
    <w:rsid w:val="7F923FF5"/>
    <w:rsid w:val="7F9C1256"/>
    <w:rsid w:val="7F9D1317"/>
    <w:rsid w:val="7F9E5410"/>
    <w:rsid w:val="7FAD404C"/>
    <w:rsid w:val="7FC40652"/>
    <w:rsid w:val="7FE40CF4"/>
    <w:rsid w:val="7FEE21DF"/>
    <w:rsid w:val="7FF84478"/>
    <w:rsid w:val="7FFC04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1"/>
    <w:basedOn w:val="1"/>
    <w:next w:val="1"/>
    <w:link w:val="29"/>
    <w:qFormat/>
    <w:uiPriority w:val="0"/>
    <w:pPr>
      <w:keepNext/>
      <w:adjustRightInd w:val="0"/>
      <w:jc w:val="center"/>
      <w:outlineLvl w:val="0"/>
    </w:pPr>
    <w:rPr>
      <w:rFonts w:ascii="仿宋_GB2312" w:hAnsi="仿宋_GB2312" w:eastAsia="黑体" w:cs="Times New Roman"/>
      <w:b/>
      <w:bCs/>
      <w:color w:val="000000"/>
      <w:sz w:val="44"/>
      <w:szCs w:val="20"/>
    </w:rPr>
  </w:style>
  <w:style w:type="paragraph" w:styleId="4">
    <w:name w:val="heading 2"/>
    <w:basedOn w:val="1"/>
    <w:next w:val="1"/>
    <w:qFormat/>
    <w:uiPriority w:val="0"/>
    <w:pPr>
      <w:keepNext/>
      <w:keepLines/>
      <w:spacing w:line="560" w:lineRule="exact"/>
      <w:ind w:firstLine="200" w:firstLineChars="200"/>
      <w:outlineLvl w:val="1"/>
    </w:pPr>
    <w:rPr>
      <w:rFonts w:ascii="仿宋_GB2312" w:hAnsi="宋体" w:eastAsia="楷体_GB2312"/>
      <w:b/>
      <w:sz w:val="32"/>
      <w:szCs w:val="24"/>
    </w:rPr>
  </w:style>
  <w:style w:type="paragraph" w:styleId="5">
    <w:name w:val="heading 3"/>
    <w:basedOn w:val="1"/>
    <w:next w:val="6"/>
    <w:qFormat/>
    <w:uiPriority w:val="0"/>
    <w:pPr>
      <w:keepNext/>
      <w:keepLines/>
      <w:spacing w:line="440" w:lineRule="exact"/>
      <w:ind w:firstLine="510"/>
      <w:outlineLvl w:val="2"/>
    </w:pPr>
    <w:rPr>
      <w:rFonts w:eastAsia="楷体_GB2312"/>
      <w:sz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0"/>
    <w:pPr>
      <w:spacing w:before="120"/>
    </w:pPr>
    <w:rPr>
      <w:rFonts w:ascii="Arial" w:hAnsi="Arial" w:cs="Arial"/>
      <w:sz w:val="24"/>
    </w:rPr>
  </w:style>
  <w:style w:type="paragraph" w:styleId="6">
    <w:name w:val="Normal Indent"/>
    <w:basedOn w:val="1"/>
    <w:next w:val="1"/>
    <w:qFormat/>
    <w:uiPriority w:val="0"/>
    <w:pPr>
      <w:spacing w:before="240" w:after="60"/>
      <w:jc w:val="center"/>
      <w:outlineLvl w:val="0"/>
    </w:pPr>
    <w:rPr>
      <w:rFonts w:ascii="Cambria" w:hAnsi="Cambria"/>
      <w:b/>
      <w:bCs/>
      <w:sz w:val="32"/>
      <w:szCs w:val="32"/>
    </w:rPr>
  </w:style>
  <w:style w:type="paragraph" w:styleId="7">
    <w:name w:val="Document Map"/>
    <w:basedOn w:val="1"/>
    <w:unhideWhenUsed/>
    <w:qFormat/>
    <w:uiPriority w:val="99"/>
    <w:rPr>
      <w:rFonts w:ascii="宋体"/>
      <w:sz w:val="18"/>
      <w:szCs w:val="18"/>
    </w:rPr>
  </w:style>
  <w:style w:type="paragraph" w:styleId="8">
    <w:name w:val="annotation text"/>
    <w:basedOn w:val="1"/>
    <w:qFormat/>
    <w:uiPriority w:val="0"/>
    <w:pPr>
      <w:jc w:val="left"/>
    </w:pPr>
  </w:style>
  <w:style w:type="paragraph" w:styleId="9">
    <w:name w:val="Body Text"/>
    <w:basedOn w:val="1"/>
    <w:unhideWhenUsed/>
    <w:qFormat/>
    <w:uiPriority w:val="99"/>
    <w:pPr>
      <w:adjustRightInd w:val="0"/>
      <w:spacing w:line="440" w:lineRule="exact"/>
    </w:pPr>
    <w:rPr>
      <w:rFonts w:ascii="宋体" w:hAnsi="宋体"/>
      <w:bCs/>
      <w:color w:val="000000"/>
      <w:sz w:val="24"/>
    </w:rPr>
  </w:style>
  <w:style w:type="paragraph" w:styleId="10">
    <w:name w:val="Body Text Indent"/>
    <w:basedOn w:val="1"/>
    <w:qFormat/>
    <w:uiPriority w:val="0"/>
    <w:pPr>
      <w:spacing w:line="200" w:lineRule="exact"/>
      <w:ind w:firstLine="301"/>
    </w:pPr>
    <w:rPr>
      <w:rFonts w:ascii="宋体" w:cs="宋体"/>
      <w:spacing w:val="-4"/>
      <w:sz w:val="18"/>
      <w:szCs w:val="18"/>
    </w:rPr>
  </w:style>
  <w:style w:type="paragraph" w:styleId="11">
    <w:name w:val="Block Text"/>
    <w:basedOn w:val="1"/>
    <w:qFormat/>
    <w:uiPriority w:val="0"/>
    <w:pPr>
      <w:widowControl/>
      <w:spacing w:line="360" w:lineRule="auto"/>
      <w:ind w:left="3828" w:right="1410" w:hanging="258"/>
    </w:pPr>
    <w:rPr>
      <w:rFonts w:ascii="Arial" w:hAnsi="Arial" w:eastAsia="幼圆"/>
      <w:b/>
      <w:kern w:val="0"/>
      <w:sz w:val="32"/>
    </w:rPr>
  </w:style>
  <w:style w:type="paragraph" w:styleId="12">
    <w:name w:val="Plain Text"/>
    <w:basedOn w:val="1"/>
    <w:next w:val="1"/>
    <w:unhideWhenUsed/>
    <w:qFormat/>
    <w:uiPriority w:val="0"/>
    <w:rPr>
      <w:rFonts w:ascii="宋体" w:hAnsi="Courier New"/>
    </w:rPr>
  </w:style>
  <w:style w:type="paragraph" w:styleId="13">
    <w:name w:val="Date"/>
    <w:basedOn w:val="1"/>
    <w:next w:val="1"/>
    <w:unhideWhenUsed/>
    <w:qFormat/>
    <w:uiPriority w:val="0"/>
    <w:pPr>
      <w:ind w:left="100" w:leftChars="2500"/>
    </w:pPr>
    <w:rPr>
      <w:rFonts w:eastAsia="楷体_GB2312"/>
      <w:sz w:val="48"/>
      <w:szCs w:val="24"/>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spacing w:before="120" w:after="120"/>
      <w:jc w:val="left"/>
    </w:pPr>
    <w:rPr>
      <w:b/>
      <w:bCs/>
      <w:caps/>
      <w:sz w:val="20"/>
    </w:rPr>
  </w:style>
  <w:style w:type="paragraph" w:styleId="17">
    <w:name w:val="Subtitle"/>
    <w:basedOn w:val="1"/>
    <w:next w:val="1"/>
    <w:qFormat/>
    <w:uiPriority w:val="0"/>
    <w:pPr>
      <w:adjustRightInd w:val="0"/>
      <w:spacing w:after="60" w:line="360" w:lineRule="atLeast"/>
      <w:jc w:val="center"/>
      <w:textAlignment w:val="baseline"/>
    </w:pPr>
    <w:rPr>
      <w:rFonts w:ascii="Arial" w:hAnsi="Arial" w:eastAsia="黑体"/>
      <w:i/>
      <w:kern w:val="0"/>
      <w:sz w:val="24"/>
    </w:rPr>
  </w:style>
  <w:style w:type="paragraph" w:styleId="18">
    <w:name w:val="toc 2"/>
    <w:basedOn w:val="1"/>
    <w:next w:val="1"/>
    <w:unhideWhenUsed/>
    <w:qFormat/>
    <w:uiPriority w:val="39"/>
    <w:pPr>
      <w:ind w:left="210"/>
      <w:jc w:val="left"/>
    </w:pPr>
    <w:rPr>
      <w:smallCaps/>
      <w:sz w:val="20"/>
    </w:rPr>
  </w:style>
  <w:style w:type="paragraph" w:styleId="1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0">
    <w:name w:val="Body Text First Indent"/>
    <w:basedOn w:val="9"/>
    <w:unhideWhenUsed/>
    <w:qFormat/>
    <w:uiPriority w:val="99"/>
    <w:pPr>
      <w:ind w:firstLine="420" w:firstLineChars="100"/>
    </w:pPr>
  </w:style>
  <w:style w:type="paragraph" w:styleId="21">
    <w:name w:val="Body Text First Indent 2"/>
    <w:basedOn w:val="10"/>
    <w:next w:val="20"/>
    <w:qFormat/>
    <w:uiPriority w:val="0"/>
    <w:pPr>
      <w:spacing w:after="120"/>
      <w:ind w:left="420" w:leftChars="200" w:firstLine="420"/>
    </w:pPr>
    <w:rPr>
      <w:rFonts w:hAnsi="宋体"/>
      <w:sz w:val="21"/>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0"/>
    <w:rPr>
      <w:rFonts w:ascii="Tahoma" w:hAnsi="Tahoma"/>
      <w:b/>
      <w:bCs/>
      <w:sz w:val="24"/>
    </w:rPr>
  </w:style>
  <w:style w:type="character" w:styleId="26">
    <w:name w:val="page number"/>
    <w:basedOn w:val="24"/>
    <w:qFormat/>
    <w:uiPriority w:val="99"/>
  </w:style>
  <w:style w:type="character" w:styleId="27">
    <w:name w:val="Hyperlink"/>
    <w:qFormat/>
    <w:uiPriority w:val="99"/>
    <w:rPr>
      <w:color w:val="333333"/>
      <w:u w:val="none"/>
    </w:rPr>
  </w:style>
  <w:style w:type="paragraph" w:customStyle="1" w:styleId="28">
    <w:name w:val="表格文字"/>
    <w:basedOn w:val="1"/>
    <w:qFormat/>
    <w:uiPriority w:val="0"/>
    <w:pPr>
      <w:spacing w:before="25" w:after="25"/>
      <w:jc w:val="left"/>
    </w:pPr>
    <w:rPr>
      <w:bCs/>
      <w:spacing w:val="10"/>
      <w:kern w:val="0"/>
      <w:sz w:val="24"/>
    </w:rPr>
  </w:style>
  <w:style w:type="character" w:customStyle="1" w:styleId="29">
    <w:name w:val="标题 1 Char"/>
    <w:link w:val="3"/>
    <w:qFormat/>
    <w:uiPriority w:val="0"/>
    <w:rPr>
      <w:rFonts w:ascii="仿宋_GB2312" w:hAnsi="仿宋_GB2312" w:eastAsia="黑体" w:cs="Times New Roman"/>
      <w:b/>
      <w:bCs/>
      <w:color w:val="000000"/>
      <w:sz w:val="44"/>
      <w:szCs w:val="20"/>
    </w:rPr>
  </w:style>
  <w:style w:type="paragraph" w:customStyle="1" w:styleId="30">
    <w:name w:val="p2"/>
    <w:basedOn w:val="1"/>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bidi="ar"/>
    </w:rPr>
  </w:style>
  <w:style w:type="paragraph" w:customStyle="1" w:styleId="31">
    <w:name w:val="*正文"/>
    <w:basedOn w:val="1"/>
    <w:qFormat/>
    <w:uiPriority w:val="0"/>
    <w:pPr>
      <w:widowControl/>
      <w:spacing w:line="360" w:lineRule="auto"/>
      <w:ind w:firstLine="200" w:firstLineChars="200"/>
      <w:contextualSpacing/>
    </w:pPr>
    <w:rPr>
      <w:rFonts w:ascii="time" w:hAnsi="time"/>
      <w:kern w:val="0"/>
      <w:sz w:val="24"/>
      <w:szCs w:val="24"/>
      <w:lang w:bidi="en-US"/>
    </w:rPr>
  </w:style>
  <w:style w:type="paragraph" w:customStyle="1" w:styleId="32">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4">
    <w:name w:val="正文文本 (2)1"/>
    <w:basedOn w:val="1"/>
    <w:qFormat/>
    <w:uiPriority w:val="99"/>
    <w:pPr>
      <w:shd w:val="clear" w:color="auto" w:fill="FFFFFF"/>
      <w:spacing w:line="240" w:lineRule="atLeast"/>
      <w:ind w:hanging="140"/>
      <w:jc w:val="left"/>
    </w:pPr>
    <w:rPr>
      <w:rFonts w:ascii="宋体" w:hAnsi="宋体"/>
      <w:kern w:val="0"/>
      <w:sz w:val="22"/>
      <w:szCs w:val="22"/>
    </w:rPr>
  </w:style>
  <w:style w:type="paragraph" w:customStyle="1" w:styleId="35">
    <w:name w:val="05正文"/>
    <w:basedOn w:val="1"/>
    <w:qFormat/>
    <w:uiPriority w:val="0"/>
    <w:pPr>
      <w:jc w:val="left"/>
    </w:pPr>
    <w:rPr>
      <w:rFonts w:ascii="宋体" w:hAnsi="Calibri"/>
      <w:szCs w:val="24"/>
    </w:rPr>
  </w:style>
  <w:style w:type="paragraph" w:customStyle="1" w:styleId="36">
    <w:name w:val="列出段落2"/>
    <w:basedOn w:val="1"/>
    <w:qFormat/>
    <w:uiPriority w:val="0"/>
    <w:pPr>
      <w:ind w:firstLine="420" w:firstLineChars="200"/>
    </w:pPr>
    <w:rPr>
      <w:szCs w:val="22"/>
    </w:rPr>
  </w:style>
  <w:style w:type="character" w:customStyle="1" w:styleId="37">
    <w:name w:val="fontstyle01"/>
    <w:basedOn w:val="24"/>
    <w:qFormat/>
    <w:uiPriority w:val="0"/>
    <w:rPr>
      <w:rFonts w:hint="eastAsia" w:ascii="微软雅黑" w:hAnsi="微软雅黑" w:eastAsia="微软雅黑"/>
      <w:color w:val="000000"/>
      <w:sz w:val="24"/>
      <w:szCs w:val="24"/>
    </w:rPr>
  </w:style>
  <w:style w:type="character" w:customStyle="1" w:styleId="38">
    <w:name w:val="font41"/>
    <w:basedOn w:val="24"/>
    <w:qFormat/>
    <w:uiPriority w:val="0"/>
    <w:rPr>
      <w:rFonts w:ascii="Arial" w:hAnsi="Arial" w:cs="Arial"/>
      <w:color w:val="000000"/>
      <w:sz w:val="20"/>
      <w:szCs w:val="20"/>
      <w:u w:val="none"/>
    </w:rPr>
  </w:style>
  <w:style w:type="character" w:customStyle="1" w:styleId="39">
    <w:name w:val="font11"/>
    <w:basedOn w:val="24"/>
    <w:qFormat/>
    <w:uiPriority w:val="0"/>
    <w:rPr>
      <w:rFonts w:hint="eastAsia" w:ascii="宋体" w:hAnsi="宋体" w:eastAsia="宋体" w:cs="宋体"/>
      <w:color w:val="000000"/>
      <w:sz w:val="21"/>
      <w:szCs w:val="21"/>
      <w:u w:val="none"/>
    </w:rPr>
  </w:style>
  <w:style w:type="character" w:customStyle="1" w:styleId="40">
    <w:name w:val="font21"/>
    <w:basedOn w:val="24"/>
    <w:qFormat/>
    <w:uiPriority w:val="0"/>
    <w:rPr>
      <w:rFonts w:ascii="宋体" w:hAnsi="宋体" w:eastAsia="宋体" w:cs="宋体"/>
      <w:color w:val="000000"/>
      <w:sz w:val="20"/>
      <w:szCs w:val="20"/>
      <w:u w:val="none"/>
    </w:rPr>
  </w:style>
  <w:style w:type="character" w:customStyle="1" w:styleId="41">
    <w:name w:val="font91"/>
    <w:basedOn w:val="24"/>
    <w:qFormat/>
    <w:uiPriority w:val="0"/>
    <w:rPr>
      <w:rFonts w:hint="default" w:ascii="Arial" w:hAnsi="Arial" w:cs="Arial"/>
      <w:color w:val="000000"/>
      <w:sz w:val="20"/>
      <w:szCs w:val="20"/>
      <w:u w:val="none"/>
    </w:rPr>
  </w:style>
  <w:style w:type="character" w:customStyle="1" w:styleId="42">
    <w:name w:val="font71"/>
    <w:basedOn w:val="24"/>
    <w:qFormat/>
    <w:uiPriority w:val="0"/>
    <w:rPr>
      <w:rFonts w:ascii="宋体" w:hAnsi="宋体" w:eastAsia="宋体" w:cs="宋体"/>
      <w:color w:val="000000"/>
      <w:sz w:val="20"/>
      <w:szCs w:val="20"/>
      <w:u w:val="none"/>
    </w:rPr>
  </w:style>
  <w:style w:type="paragraph" w:customStyle="1" w:styleId="43">
    <w:name w:val="Heading 5_0"/>
    <w:basedOn w:val="1"/>
    <w:qFormat/>
    <w:uiPriority w:val="99"/>
    <w:pPr>
      <w:spacing w:before="148"/>
      <w:ind w:left="538"/>
      <w:outlineLvl w:val="5"/>
    </w:pPr>
    <w:rPr>
      <w:rFonts w:ascii="宋体" w:hAnsi="宋体" w:cs="宋体"/>
      <w:b/>
      <w:bCs/>
    </w:rPr>
  </w:style>
  <w:style w:type="paragraph" w:customStyle="1" w:styleId="44">
    <w:name w:val="Table Paragraph"/>
    <w:basedOn w:val="1"/>
    <w:qFormat/>
    <w:uiPriority w:val="99"/>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丽江市直属党政机关单位</Company>
  <Pages>69</Pages>
  <Words>20667</Words>
  <Characters>21982</Characters>
  <Lines>0</Lines>
  <Paragraphs>0</Paragraphs>
  <TotalTime>59</TotalTime>
  <ScaleCrop>false</ScaleCrop>
  <LinksUpToDate>false</LinksUpToDate>
  <CharactersWithSpaces>23013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2024-03-25T02:53:00Z</dcterms:created>
  <dc:creator>xxx</dc:creator>
  <cp:lastModifiedBy>冉子</cp:lastModifiedBy>
  <cp:lastPrinted>2024-06-17T07:35:00Z</cp:lastPrinted>
  <dcterms:modified xsi:type="dcterms:W3CDTF">2024-11-18T09:10:17Z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994BF6A682B840B386A227D8395C5DB8_13</vt:lpwstr>
  </property>
</Properties>
</file>