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55A57">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14:paraId="7079E121">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14:paraId="256025CA">
      <w:pPr>
        <w:adjustRightInd w:val="0"/>
        <w:snapToGrid w:val="0"/>
        <w:jc w:val="center"/>
        <w:rPr>
          <w:rFonts w:hint="eastAsia"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6562F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18816DE3">
            <w:pPr>
              <w:jc w:val="center"/>
              <w:rPr>
                <w:rFonts w:ascii="宋体" w:hAnsi="Bookman Old Style"/>
                <w:sz w:val="24"/>
              </w:rPr>
            </w:pPr>
            <w:r>
              <w:rPr>
                <w:rFonts w:hint="eastAsia" w:ascii="宋体" w:hAnsi="Bookman Old Style"/>
                <w:sz w:val="24"/>
              </w:rPr>
              <w:t>包号</w:t>
            </w:r>
          </w:p>
        </w:tc>
        <w:tc>
          <w:tcPr>
            <w:tcW w:w="2640" w:type="dxa"/>
            <w:noWrap w:val="0"/>
            <w:vAlign w:val="center"/>
          </w:tcPr>
          <w:p w14:paraId="34252A68">
            <w:pPr>
              <w:jc w:val="center"/>
              <w:rPr>
                <w:rFonts w:ascii="宋体" w:hAnsi="Bookman Old Style"/>
                <w:sz w:val="24"/>
              </w:rPr>
            </w:pPr>
            <w:r>
              <w:rPr>
                <w:rFonts w:hint="eastAsia" w:ascii="宋体" w:hAnsi="Bookman Old Style"/>
                <w:sz w:val="24"/>
              </w:rPr>
              <w:t>货物名称</w:t>
            </w:r>
          </w:p>
        </w:tc>
        <w:tc>
          <w:tcPr>
            <w:tcW w:w="635" w:type="dxa"/>
            <w:noWrap w:val="0"/>
            <w:vAlign w:val="center"/>
          </w:tcPr>
          <w:p w14:paraId="71931290">
            <w:pPr>
              <w:jc w:val="center"/>
              <w:rPr>
                <w:sz w:val="24"/>
              </w:rPr>
            </w:pPr>
            <w:r>
              <w:rPr>
                <w:sz w:val="24"/>
              </w:rPr>
              <w:t>数量</w:t>
            </w:r>
          </w:p>
          <w:p w14:paraId="7242335C">
            <w:pPr>
              <w:jc w:val="center"/>
              <w:rPr>
                <w:rFonts w:ascii="宋体" w:hAnsi="Bookman Old Style"/>
                <w:sz w:val="24"/>
              </w:rPr>
            </w:pPr>
            <w:r>
              <w:rPr>
                <w:sz w:val="24"/>
              </w:rPr>
              <w:t>（台/套）</w:t>
            </w:r>
          </w:p>
        </w:tc>
        <w:tc>
          <w:tcPr>
            <w:tcW w:w="1320" w:type="dxa"/>
            <w:noWrap w:val="0"/>
            <w:vAlign w:val="center"/>
          </w:tcPr>
          <w:p w14:paraId="6652260E">
            <w:pPr>
              <w:jc w:val="center"/>
              <w:rPr>
                <w:rFonts w:ascii="宋体" w:hAnsi="Bookman Old Style"/>
                <w:sz w:val="24"/>
              </w:rPr>
            </w:pPr>
            <w:r>
              <w:rPr>
                <w:sz w:val="24"/>
              </w:rPr>
              <w:t>交货期</w:t>
            </w:r>
          </w:p>
        </w:tc>
        <w:tc>
          <w:tcPr>
            <w:tcW w:w="1765" w:type="dxa"/>
            <w:noWrap w:val="0"/>
            <w:vAlign w:val="center"/>
          </w:tcPr>
          <w:p w14:paraId="0F1996E0">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14:paraId="6A57C810">
            <w:pPr>
              <w:jc w:val="center"/>
              <w:rPr>
                <w:rFonts w:ascii="宋体" w:hAnsi="Bookman Old Style"/>
                <w:sz w:val="24"/>
                <w:shd w:val="pct10" w:color="auto" w:fill="FFFFFF"/>
              </w:rPr>
            </w:pPr>
            <w:r>
              <w:rPr>
                <w:rFonts w:hint="eastAsia" w:ascii="宋体" w:hAnsi="Bookman Old Style"/>
                <w:sz w:val="24"/>
              </w:rPr>
              <w:t>项目现场（交货地点）</w:t>
            </w:r>
          </w:p>
        </w:tc>
      </w:tr>
      <w:tr w14:paraId="0AC22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7A20A581">
            <w:pPr>
              <w:jc w:val="center"/>
              <w:rPr>
                <w:rFonts w:hint="eastAsia" w:ascii="宋体"/>
                <w:sz w:val="24"/>
              </w:rPr>
            </w:pPr>
            <w:r>
              <w:rPr>
                <w:rFonts w:hint="eastAsia" w:ascii="宋体"/>
                <w:sz w:val="24"/>
              </w:rPr>
              <w:t>1</w:t>
            </w:r>
          </w:p>
        </w:tc>
        <w:tc>
          <w:tcPr>
            <w:tcW w:w="2640" w:type="dxa"/>
            <w:noWrap w:val="0"/>
            <w:vAlign w:val="center"/>
          </w:tcPr>
          <w:p w14:paraId="590A967D">
            <w:pPr>
              <w:jc w:val="center"/>
              <w:rPr>
                <w:rFonts w:hint="eastAsia" w:ascii="宋体" w:hAnsi="Bookman Old Style"/>
                <w:sz w:val="24"/>
              </w:rPr>
            </w:pPr>
            <w:r>
              <w:rPr>
                <w:rFonts w:hint="eastAsia" w:ascii="宋体" w:hAnsi="Bookman Old Style"/>
                <w:sz w:val="24"/>
              </w:rPr>
              <w:t>超高效液相色谱-三重四极杆高灵敏度质谱联用仪</w:t>
            </w:r>
          </w:p>
        </w:tc>
        <w:tc>
          <w:tcPr>
            <w:tcW w:w="635" w:type="dxa"/>
            <w:noWrap w:val="0"/>
            <w:vAlign w:val="center"/>
          </w:tcPr>
          <w:p w14:paraId="0E7608D9">
            <w:pPr>
              <w:jc w:val="center"/>
              <w:rPr>
                <w:rFonts w:ascii="宋体" w:hAnsi="Bookman Old Style"/>
                <w:sz w:val="24"/>
              </w:rPr>
            </w:pPr>
            <w:r>
              <w:rPr>
                <w:sz w:val="24"/>
              </w:rPr>
              <w:t>1</w:t>
            </w:r>
          </w:p>
        </w:tc>
        <w:tc>
          <w:tcPr>
            <w:tcW w:w="1320" w:type="dxa"/>
            <w:noWrap w:val="0"/>
            <w:vAlign w:val="center"/>
          </w:tcPr>
          <w:p w14:paraId="0C92EBFC">
            <w:pPr>
              <w:jc w:val="center"/>
              <w:rPr>
                <w:rFonts w:hint="eastAsia" w:ascii="宋体" w:hAnsi="Bookman Old Style"/>
                <w:sz w:val="24"/>
              </w:rPr>
            </w:pPr>
            <w:r>
              <w:rPr>
                <w:rFonts w:hint="eastAsia"/>
                <w:sz w:val="24"/>
              </w:rPr>
              <w:t>签订合同后3个月内交付</w:t>
            </w:r>
          </w:p>
        </w:tc>
        <w:tc>
          <w:tcPr>
            <w:tcW w:w="1765" w:type="dxa"/>
            <w:noWrap w:val="0"/>
            <w:vAlign w:val="center"/>
          </w:tcPr>
          <w:p w14:paraId="018D7308">
            <w:pPr>
              <w:jc w:val="center"/>
              <w:rPr>
                <w:sz w:val="24"/>
              </w:rPr>
            </w:pPr>
            <w:r>
              <w:rPr>
                <w:rFonts w:hint="eastAsia"/>
                <w:sz w:val="24"/>
              </w:rPr>
              <w:t>北京</w:t>
            </w:r>
          </w:p>
        </w:tc>
        <w:tc>
          <w:tcPr>
            <w:tcW w:w="2520" w:type="dxa"/>
            <w:noWrap w:val="0"/>
            <w:vAlign w:val="center"/>
          </w:tcPr>
          <w:p w14:paraId="2F87287A">
            <w:pPr>
              <w:jc w:val="center"/>
              <w:rPr>
                <w:rFonts w:hint="eastAsia" w:ascii="宋体" w:hAnsi="Bookman Old Style"/>
                <w:sz w:val="24"/>
              </w:rPr>
            </w:pPr>
            <w:r>
              <w:rPr>
                <w:rFonts w:hint="eastAsia"/>
                <w:sz w:val="24"/>
              </w:rPr>
              <w:t>中国科学院大学</w:t>
            </w:r>
          </w:p>
        </w:tc>
      </w:tr>
    </w:tbl>
    <w:p w14:paraId="4EDAA583">
      <w:pPr>
        <w:adjustRightInd w:val="0"/>
        <w:snapToGrid w:val="0"/>
        <w:rPr>
          <w:rFonts w:hint="eastAsia" w:ascii="宋体" w:hAnsi="宋体"/>
          <w:b/>
          <w:sz w:val="30"/>
          <w:szCs w:val="30"/>
        </w:rPr>
      </w:pPr>
    </w:p>
    <w:p w14:paraId="23D3D1D6">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5AE5CBCB">
      <w:pPr>
        <w:adjustRightInd w:val="0"/>
        <w:snapToGrid w:val="0"/>
        <w:rPr>
          <w:rFonts w:hint="eastAsia" w:ascii="宋体" w:hAnsi="宋体"/>
          <w:szCs w:val="21"/>
        </w:rPr>
      </w:pPr>
    </w:p>
    <w:p w14:paraId="227AD489">
      <w:pPr>
        <w:adjustRightInd w:val="0"/>
        <w:snapToGrid w:val="0"/>
        <w:rPr>
          <w:rFonts w:hint="eastAsia" w:ascii="宋体" w:hAnsi="宋体"/>
          <w:szCs w:val="21"/>
        </w:rPr>
      </w:pPr>
    </w:p>
    <w:p w14:paraId="08A67AA9">
      <w:pPr>
        <w:adjustRightInd w:val="0"/>
        <w:snapToGrid w:val="0"/>
        <w:rPr>
          <w:rFonts w:hint="eastAsia" w:ascii="宋体" w:hAnsi="宋体"/>
          <w:szCs w:val="21"/>
        </w:rPr>
      </w:pPr>
    </w:p>
    <w:p w14:paraId="44EFD1E4">
      <w:pPr>
        <w:adjustRightInd w:val="0"/>
        <w:snapToGrid w:val="0"/>
        <w:rPr>
          <w:rFonts w:hint="eastAsia" w:ascii="宋体" w:hAnsi="宋体"/>
          <w:szCs w:val="21"/>
        </w:rPr>
      </w:pPr>
    </w:p>
    <w:p w14:paraId="51325201">
      <w:pPr>
        <w:adjustRightInd w:val="0"/>
        <w:snapToGrid w:val="0"/>
        <w:rPr>
          <w:rFonts w:hint="eastAsia" w:ascii="宋体" w:hAnsi="宋体"/>
          <w:szCs w:val="21"/>
        </w:rPr>
      </w:pPr>
    </w:p>
    <w:p w14:paraId="20D93290">
      <w:pPr>
        <w:adjustRightInd w:val="0"/>
        <w:snapToGrid w:val="0"/>
        <w:rPr>
          <w:rFonts w:hint="eastAsia" w:ascii="宋体" w:hAnsi="宋体"/>
          <w:szCs w:val="21"/>
        </w:rPr>
      </w:pPr>
    </w:p>
    <w:p w14:paraId="5B9FEF5F">
      <w:pPr>
        <w:adjustRightInd w:val="0"/>
        <w:snapToGrid w:val="0"/>
        <w:rPr>
          <w:rFonts w:hint="eastAsia" w:ascii="宋体" w:hAnsi="宋体"/>
          <w:szCs w:val="21"/>
        </w:rPr>
      </w:pPr>
    </w:p>
    <w:p w14:paraId="3D53E20C">
      <w:pPr>
        <w:adjustRightInd w:val="0"/>
        <w:snapToGrid w:val="0"/>
        <w:rPr>
          <w:rFonts w:hint="eastAsia" w:ascii="宋体" w:hAnsi="宋体"/>
          <w:szCs w:val="21"/>
        </w:rPr>
      </w:pPr>
    </w:p>
    <w:p w14:paraId="40D79537">
      <w:pPr>
        <w:adjustRightInd w:val="0"/>
        <w:snapToGrid w:val="0"/>
        <w:rPr>
          <w:rFonts w:hint="eastAsia" w:ascii="宋体" w:hAnsi="宋体"/>
          <w:szCs w:val="21"/>
        </w:rPr>
      </w:pPr>
    </w:p>
    <w:p w14:paraId="68991628">
      <w:pPr>
        <w:adjustRightInd w:val="0"/>
        <w:snapToGrid w:val="0"/>
        <w:rPr>
          <w:rFonts w:hint="eastAsia" w:ascii="宋体" w:hAnsi="宋体"/>
          <w:szCs w:val="21"/>
        </w:rPr>
      </w:pPr>
    </w:p>
    <w:p w14:paraId="2ADCCCAE">
      <w:pPr>
        <w:adjustRightInd w:val="0"/>
        <w:snapToGrid w:val="0"/>
        <w:rPr>
          <w:rFonts w:hint="eastAsia" w:ascii="宋体" w:hAnsi="宋体"/>
          <w:szCs w:val="21"/>
        </w:rPr>
      </w:pPr>
    </w:p>
    <w:p w14:paraId="55C72EB7">
      <w:pPr>
        <w:adjustRightInd w:val="0"/>
        <w:snapToGrid w:val="0"/>
        <w:rPr>
          <w:rFonts w:hint="eastAsia" w:ascii="宋体" w:hAnsi="宋体"/>
          <w:szCs w:val="21"/>
        </w:rPr>
      </w:pPr>
    </w:p>
    <w:p w14:paraId="19162A7E">
      <w:pPr>
        <w:adjustRightInd w:val="0"/>
        <w:snapToGrid w:val="0"/>
        <w:rPr>
          <w:rFonts w:hint="eastAsia" w:ascii="宋体" w:hAnsi="宋体"/>
          <w:b/>
          <w:sz w:val="30"/>
          <w:szCs w:val="30"/>
        </w:rPr>
      </w:pPr>
      <w:r>
        <w:rPr>
          <w:rFonts w:ascii="宋体" w:hAnsi="宋体"/>
          <w:b/>
          <w:sz w:val="30"/>
          <w:szCs w:val="30"/>
        </w:rPr>
        <w:br w:type="page"/>
      </w:r>
    </w:p>
    <w:p w14:paraId="6B0F862B">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14:paraId="49531375">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14:paraId="5040B908">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1AAE4D28">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BDD72BB">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06EB5FDA">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4F3F0FF3">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14:paraId="7FA6FF0F">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4CA52136">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00FD4D49">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4888EFDA">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D46B200">
      <w:pPr>
        <w:spacing w:line="360" w:lineRule="auto"/>
        <w:ind w:left="554" w:hanging="554" w:hangingChars="231"/>
        <w:rPr>
          <w:rFonts w:ascii="宋体" w:hAnsi="宋体"/>
          <w:color w:val="FF0000"/>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167BF10D">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14:paraId="7F558ED8">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2EAF4ABA">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6376B9FA">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4677CF36">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39267FC1">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119FC20A">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14:paraId="16BF1B69">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663A7DD3">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A8E3B5B">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1353D776">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3BEBD057">
      <w:pPr>
        <w:pStyle w:val="2"/>
        <w:spacing w:before="156" w:beforeLines="50"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14:paraId="10892E3E">
      <w:pPr>
        <w:pStyle w:val="2"/>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14:paraId="41B90AE2">
      <w:pPr>
        <w:spacing w:after="156" w:afterLines="50"/>
        <w:ind w:left="601" w:hanging="601"/>
        <w:rPr>
          <w:b/>
          <w:sz w:val="28"/>
        </w:rPr>
      </w:pPr>
      <w:r>
        <w:rPr>
          <w:rFonts w:ascii="宋体" w:hAnsi="宋体"/>
          <w:b/>
          <w:sz w:val="28"/>
        </w:rPr>
        <w:br w:type="page"/>
      </w:r>
      <w:r>
        <w:rPr>
          <w:rFonts w:hint="eastAsia" w:ascii="宋体" w:hAnsi="宋体"/>
          <w:b/>
          <w:sz w:val="28"/>
        </w:rPr>
        <w:t>三、具体技术规格</w:t>
      </w:r>
    </w:p>
    <w:p w14:paraId="136FA852">
      <w:pPr>
        <w:jc w:val="center"/>
        <w:rPr>
          <w:rFonts w:hint="eastAsia"/>
          <w:b/>
          <w:sz w:val="24"/>
        </w:rPr>
      </w:pPr>
      <w:r>
        <w:rPr>
          <w:rFonts w:hint="eastAsia"/>
          <w:b/>
          <w:sz w:val="24"/>
        </w:rPr>
        <w:t>采购货物名称：超高效液相色谱-三重四极杆高灵敏度质谱联用仪购置项目</w:t>
      </w:r>
    </w:p>
    <w:p w14:paraId="224FEB49">
      <w:pPr>
        <w:rPr>
          <w:rFonts w:hint="eastAsia"/>
          <w:b/>
          <w:sz w:val="24"/>
        </w:rPr>
      </w:pPr>
    </w:p>
    <w:p w14:paraId="11106C33">
      <w:pPr>
        <w:numPr>
          <w:ilvl w:val="0"/>
          <w:numId w:val="2"/>
        </w:numPr>
        <w:rPr>
          <w:rFonts w:hint="eastAsia"/>
          <w:b/>
          <w:sz w:val="24"/>
        </w:rPr>
      </w:pPr>
      <w:r>
        <w:rPr>
          <w:rFonts w:hint="eastAsia"/>
          <w:b/>
          <w:sz w:val="24"/>
        </w:rPr>
        <w:t>技术要求：</w:t>
      </w:r>
    </w:p>
    <w:p w14:paraId="4432E31E">
      <w:pPr>
        <w:rPr>
          <w:b/>
          <w:sz w:val="24"/>
        </w:rPr>
      </w:pPr>
    </w:p>
    <w:p w14:paraId="7E4C903F">
      <w:pPr>
        <w:numPr>
          <w:ilvl w:val="0"/>
          <w:numId w:val="3"/>
        </w:numPr>
        <w:spacing w:line="360" w:lineRule="auto"/>
        <w:rPr>
          <w:rFonts w:hint="eastAsia"/>
          <w:b/>
          <w:sz w:val="24"/>
        </w:rPr>
      </w:pPr>
      <w:r>
        <w:rPr>
          <w:rFonts w:hint="eastAsia"/>
          <w:b/>
          <w:sz w:val="24"/>
        </w:rPr>
        <w:t>工作条件：</w:t>
      </w:r>
    </w:p>
    <w:p w14:paraId="4F45F1C2">
      <w:pPr>
        <w:spacing w:line="360" w:lineRule="auto"/>
        <w:rPr>
          <w:sz w:val="24"/>
        </w:rPr>
      </w:pPr>
      <w:r>
        <w:rPr>
          <w:sz w:val="24"/>
        </w:rPr>
        <w:t>1.1工作电压：220 ± 5% V</w:t>
      </w:r>
    </w:p>
    <w:p w14:paraId="40DB73AC">
      <w:pPr>
        <w:spacing w:line="360" w:lineRule="auto"/>
        <w:rPr>
          <w:sz w:val="24"/>
        </w:rPr>
      </w:pPr>
      <w:r>
        <w:rPr>
          <w:sz w:val="24"/>
        </w:rPr>
        <w:t xml:space="preserve">1.2操作温度：15 – 27 </w:t>
      </w:r>
      <w:r>
        <w:rPr>
          <w:rFonts w:hint="eastAsia"/>
          <w:sz w:val="24"/>
        </w:rPr>
        <w:t>℃</w:t>
      </w:r>
    </w:p>
    <w:p w14:paraId="4870F76A">
      <w:pPr>
        <w:spacing w:line="360" w:lineRule="auto"/>
        <w:rPr>
          <w:rFonts w:hint="eastAsia"/>
          <w:sz w:val="24"/>
        </w:rPr>
      </w:pPr>
      <w:r>
        <w:rPr>
          <w:sz w:val="24"/>
        </w:rPr>
        <w:t>1.3湿度：&lt; 85 %</w:t>
      </w:r>
    </w:p>
    <w:p w14:paraId="12D36AAA">
      <w:pPr>
        <w:numPr>
          <w:ilvl w:val="0"/>
          <w:numId w:val="3"/>
        </w:numPr>
        <w:spacing w:line="360" w:lineRule="auto"/>
        <w:rPr>
          <w:rFonts w:hint="eastAsia"/>
          <w:b/>
          <w:sz w:val="24"/>
        </w:rPr>
      </w:pPr>
      <w:r>
        <w:rPr>
          <w:rFonts w:hint="eastAsia"/>
          <w:b/>
          <w:sz w:val="24"/>
        </w:rPr>
        <w:t>设备用途：</w:t>
      </w:r>
    </w:p>
    <w:p w14:paraId="08E35D69">
      <w:pPr>
        <w:spacing w:line="360" w:lineRule="auto"/>
        <w:rPr>
          <w:rFonts w:hint="eastAsia"/>
          <w:sz w:val="24"/>
        </w:rPr>
      </w:pPr>
      <w:r>
        <w:rPr>
          <w:rFonts w:hint="eastAsia" w:ascii="宋体" w:hAnsi="宋体"/>
          <w:sz w:val="24"/>
        </w:rPr>
        <w:t xml:space="preserve">    </w:t>
      </w:r>
      <w:r>
        <w:rPr>
          <w:rFonts w:hint="eastAsia"/>
          <w:sz w:val="24"/>
        </w:rPr>
        <w:t>超高效液相色谱-三重四极杆高灵敏度质谱联用</w:t>
      </w:r>
      <w:r>
        <w:rPr>
          <w:sz w:val="24"/>
        </w:rPr>
        <w:t>仪</w:t>
      </w:r>
      <w:r>
        <w:rPr>
          <w:rFonts w:hint="eastAsia"/>
          <w:sz w:val="24"/>
        </w:rPr>
        <w:t>，</w:t>
      </w:r>
      <w:r>
        <w:rPr>
          <w:sz w:val="24"/>
        </w:rPr>
        <w:t>能对目标化合物进行高灵敏度、高选择性的筛查和对痕量化合物的准确定量</w:t>
      </w:r>
      <w:r>
        <w:rPr>
          <w:rFonts w:hint="eastAsia"/>
          <w:sz w:val="24"/>
        </w:rPr>
        <w:t>。</w:t>
      </w:r>
    </w:p>
    <w:p w14:paraId="410E966C">
      <w:pPr>
        <w:spacing w:line="360" w:lineRule="auto"/>
        <w:rPr>
          <w:rFonts w:hint="eastAsia"/>
          <w:b/>
          <w:sz w:val="24"/>
        </w:rPr>
      </w:pPr>
      <w:r>
        <w:rPr>
          <w:rFonts w:hint="eastAsia"/>
          <w:b/>
          <w:sz w:val="24"/>
        </w:rPr>
        <w:t>3.技术规格：</w:t>
      </w:r>
    </w:p>
    <w:p w14:paraId="1840AE72">
      <w:pPr>
        <w:spacing w:line="360" w:lineRule="auto"/>
        <w:jc w:val="left"/>
        <w:rPr>
          <w:b/>
          <w:bCs/>
          <w:sz w:val="24"/>
        </w:rPr>
      </w:pPr>
      <w:r>
        <w:rPr>
          <w:rFonts w:hint="eastAsia"/>
          <w:b/>
          <w:bCs/>
          <w:sz w:val="24"/>
        </w:rPr>
        <w:t>3</w:t>
      </w:r>
      <w:r>
        <w:rPr>
          <w:b/>
          <w:bCs/>
          <w:sz w:val="24"/>
        </w:rPr>
        <w:t>.1</w:t>
      </w:r>
      <w:r>
        <w:rPr>
          <w:rFonts w:hint="eastAsia"/>
          <w:b/>
          <w:bCs/>
          <w:sz w:val="24"/>
        </w:rPr>
        <w:t>超高效液相色谱</w:t>
      </w:r>
    </w:p>
    <w:p w14:paraId="5DE75835">
      <w:pPr>
        <w:spacing w:line="360" w:lineRule="auto"/>
        <w:jc w:val="left"/>
        <w:rPr>
          <w:sz w:val="24"/>
        </w:rPr>
      </w:pPr>
      <w:r>
        <w:rPr>
          <w:rFonts w:hint="eastAsia"/>
          <w:sz w:val="24"/>
        </w:rPr>
        <w:t>3</w:t>
      </w:r>
      <w:r>
        <w:rPr>
          <w:sz w:val="24"/>
        </w:rPr>
        <w:t>.1.1</w:t>
      </w:r>
      <w:r>
        <w:rPr>
          <w:rFonts w:hint="eastAsia"/>
          <w:sz w:val="24"/>
        </w:rPr>
        <w:t>超</w:t>
      </w:r>
      <w:r>
        <w:rPr>
          <w:sz w:val="24"/>
        </w:rPr>
        <w:t>高压二元梯度泵</w:t>
      </w:r>
    </w:p>
    <w:p w14:paraId="12CE37FC">
      <w:pPr>
        <w:spacing w:line="360" w:lineRule="auto"/>
        <w:jc w:val="left"/>
        <w:rPr>
          <w:sz w:val="24"/>
        </w:rPr>
      </w:pPr>
      <w:r>
        <w:rPr>
          <w:rFonts w:hint="eastAsia"/>
          <w:sz w:val="24"/>
        </w:rPr>
        <w:t>3</w:t>
      </w:r>
      <w:r>
        <w:rPr>
          <w:sz w:val="24"/>
        </w:rPr>
        <w:t>.1.1.1串联双柱塞往复泵，每个泵头</w:t>
      </w:r>
      <w:r>
        <w:rPr>
          <w:rFonts w:hint="eastAsia"/>
          <w:sz w:val="24"/>
        </w:rPr>
        <w:t>具</w:t>
      </w:r>
      <w:r>
        <w:rPr>
          <w:sz w:val="24"/>
        </w:rPr>
        <w:t>有独立马达驱动；可自主设置溶剂压缩因子；</w:t>
      </w:r>
    </w:p>
    <w:p w14:paraId="38094937">
      <w:pPr>
        <w:spacing w:line="360" w:lineRule="auto"/>
        <w:jc w:val="left"/>
        <w:rPr>
          <w:sz w:val="24"/>
        </w:rPr>
      </w:pPr>
      <w:r>
        <w:rPr>
          <w:rFonts w:hint="eastAsia"/>
          <w:sz w:val="24"/>
        </w:rPr>
        <w:t>3</w:t>
      </w:r>
      <w:r>
        <w:rPr>
          <w:sz w:val="24"/>
        </w:rPr>
        <w:t>.1.1.2为保证仪器寿命，以及长期使用后的性能，要求溶剂泵传动装置采用金属滚珠螺杆，而非皮带轮设计；</w:t>
      </w:r>
    </w:p>
    <w:p w14:paraId="7858DFCF">
      <w:pPr>
        <w:spacing w:line="360" w:lineRule="auto"/>
        <w:jc w:val="left"/>
        <w:rPr>
          <w:sz w:val="24"/>
        </w:rPr>
      </w:pPr>
      <w:r>
        <w:rPr>
          <w:rFonts w:ascii="仿宋" w:hAnsi="仿宋" w:eastAsia="仿宋" w:cs="Segoe UI Symbol"/>
          <w:sz w:val="24"/>
        </w:rPr>
        <w:t>★</w:t>
      </w:r>
      <w:r>
        <w:rPr>
          <w:rFonts w:hint="eastAsia"/>
          <w:sz w:val="24"/>
        </w:rPr>
        <w:t>3</w:t>
      </w:r>
      <w:r>
        <w:rPr>
          <w:sz w:val="24"/>
        </w:rPr>
        <w:t>.1.1.3流量范围：0.001mL/min–4.0mL/min，递增率0.001mL/min；</w:t>
      </w:r>
      <w:r>
        <w:rPr>
          <w:rFonts w:hint="eastAsia"/>
          <w:sz w:val="24"/>
        </w:rPr>
        <w:t>流量精度：≤0.070%RSD</w:t>
      </w:r>
    </w:p>
    <w:p w14:paraId="4A32D701">
      <w:pPr>
        <w:spacing w:line="360" w:lineRule="auto"/>
        <w:jc w:val="left"/>
        <w:rPr>
          <w:sz w:val="24"/>
        </w:rPr>
      </w:pPr>
      <w:r>
        <w:rPr>
          <w:rFonts w:hint="eastAsia"/>
          <w:sz w:val="24"/>
        </w:rPr>
        <w:t>3</w:t>
      </w:r>
      <w:r>
        <w:rPr>
          <w:sz w:val="24"/>
        </w:rPr>
        <w:t>.1.1.4压力范围：≥1200bar；</w:t>
      </w:r>
    </w:p>
    <w:p w14:paraId="5FFF44A2">
      <w:pPr>
        <w:spacing w:line="360" w:lineRule="auto"/>
        <w:jc w:val="left"/>
        <w:rPr>
          <w:sz w:val="24"/>
        </w:rPr>
      </w:pPr>
      <w:r>
        <w:rPr>
          <w:rFonts w:hint="eastAsia"/>
          <w:sz w:val="24"/>
        </w:rPr>
        <w:t>3</w:t>
      </w:r>
      <w:r>
        <w:rPr>
          <w:sz w:val="24"/>
        </w:rPr>
        <w:t>.1.1.5延迟体积：&lt; 45 µL；</w:t>
      </w:r>
    </w:p>
    <w:p w14:paraId="4630B95A">
      <w:pPr>
        <w:spacing w:line="360" w:lineRule="auto"/>
        <w:jc w:val="left"/>
        <w:rPr>
          <w:rFonts w:hint="eastAsia"/>
          <w:sz w:val="24"/>
        </w:rPr>
      </w:pPr>
      <w:r>
        <w:rPr>
          <w:rFonts w:ascii="仿宋" w:hAnsi="仿宋" w:eastAsia="仿宋" w:cs="Segoe UI Symbol"/>
          <w:sz w:val="24"/>
        </w:rPr>
        <w:t>★</w:t>
      </w:r>
      <w:r>
        <w:rPr>
          <w:rFonts w:hint="eastAsia"/>
          <w:sz w:val="24"/>
        </w:rPr>
        <w:t>3.1.1.6混合准确度：±0.4%；</w:t>
      </w:r>
    </w:p>
    <w:p w14:paraId="75F39BB4">
      <w:pPr>
        <w:spacing w:line="360" w:lineRule="auto"/>
        <w:jc w:val="left"/>
        <w:rPr>
          <w:sz w:val="24"/>
        </w:rPr>
      </w:pPr>
      <w:r>
        <w:rPr>
          <w:rFonts w:hint="eastAsia"/>
          <w:sz w:val="24"/>
        </w:rPr>
        <w:t>3</w:t>
      </w:r>
      <w:r>
        <w:rPr>
          <w:sz w:val="24"/>
        </w:rPr>
        <w:t>.1.2自动进样器：</w:t>
      </w:r>
    </w:p>
    <w:p w14:paraId="7385B0E6">
      <w:pPr>
        <w:spacing w:line="360" w:lineRule="auto"/>
        <w:ind w:left="360"/>
        <w:jc w:val="left"/>
        <w:rPr>
          <w:sz w:val="24"/>
        </w:rPr>
      </w:pPr>
      <w:r>
        <w:rPr>
          <w:sz w:val="24"/>
        </w:rPr>
        <w:t>#</w:t>
      </w:r>
      <w:r>
        <w:rPr>
          <w:rFonts w:hint="eastAsia"/>
          <w:sz w:val="24"/>
        </w:rPr>
        <w:t>3</w:t>
      </w:r>
      <w:r>
        <w:rPr>
          <w:sz w:val="24"/>
        </w:rPr>
        <w:t>.1.2.1样品容量：≥106位2mL样品瓶；</w:t>
      </w:r>
    </w:p>
    <w:p w14:paraId="62987402">
      <w:pPr>
        <w:spacing w:line="360" w:lineRule="auto"/>
        <w:ind w:left="360"/>
        <w:jc w:val="left"/>
        <w:rPr>
          <w:sz w:val="24"/>
        </w:rPr>
      </w:pPr>
      <w:r>
        <w:rPr>
          <w:rFonts w:hint="eastAsia"/>
          <w:sz w:val="24"/>
        </w:rPr>
        <w:t>3</w:t>
      </w:r>
      <w:r>
        <w:rPr>
          <w:sz w:val="24"/>
        </w:rPr>
        <w:t>.1.2.2压力范围：≥1200bar；</w:t>
      </w:r>
    </w:p>
    <w:p w14:paraId="52404A49">
      <w:pPr>
        <w:spacing w:line="360" w:lineRule="auto"/>
        <w:ind w:left="360"/>
        <w:jc w:val="left"/>
        <w:rPr>
          <w:sz w:val="24"/>
        </w:rPr>
      </w:pPr>
      <w:r>
        <w:rPr>
          <w:rFonts w:hint="eastAsia"/>
          <w:sz w:val="24"/>
        </w:rPr>
        <w:t>3</w:t>
      </w:r>
      <w:r>
        <w:rPr>
          <w:sz w:val="24"/>
        </w:rPr>
        <w:t>.1.2.3 进样范围：0.1–20 μL，以0.1 μL步进；</w:t>
      </w:r>
    </w:p>
    <w:p w14:paraId="376A81A2">
      <w:pPr>
        <w:spacing w:line="360" w:lineRule="auto"/>
        <w:ind w:left="360"/>
        <w:jc w:val="left"/>
        <w:rPr>
          <w:sz w:val="24"/>
        </w:rPr>
      </w:pPr>
      <w:r>
        <w:rPr>
          <w:rFonts w:hint="eastAsia"/>
          <w:sz w:val="24"/>
        </w:rPr>
        <w:t>3</w:t>
      </w:r>
      <w:r>
        <w:rPr>
          <w:sz w:val="24"/>
        </w:rPr>
        <w:t>.1.2.4 交叉污染度：&lt;0.003%（以氯己定为测试对象，而非咖啡因）；</w:t>
      </w:r>
    </w:p>
    <w:p w14:paraId="59925DF4">
      <w:pPr>
        <w:spacing w:line="360" w:lineRule="auto"/>
        <w:ind w:left="360"/>
        <w:jc w:val="left"/>
        <w:rPr>
          <w:sz w:val="24"/>
        </w:rPr>
      </w:pPr>
      <w:r>
        <w:rPr>
          <w:rFonts w:hint="eastAsia"/>
          <w:sz w:val="24"/>
        </w:rPr>
        <w:t>3</w:t>
      </w:r>
      <w:r>
        <w:rPr>
          <w:sz w:val="24"/>
        </w:rPr>
        <w:t>.1.2.5 温度控制范围：4℃～40℃；</w:t>
      </w:r>
      <w:r>
        <w:rPr>
          <w:rFonts w:hint="eastAsia"/>
          <w:sz w:val="24"/>
        </w:rPr>
        <w:t>分辨率：1℃；控制精度：1℃。</w:t>
      </w:r>
    </w:p>
    <w:p w14:paraId="3182F23A">
      <w:pPr>
        <w:spacing w:line="360" w:lineRule="auto"/>
        <w:ind w:left="360"/>
        <w:jc w:val="left"/>
        <w:rPr>
          <w:sz w:val="24"/>
        </w:rPr>
      </w:pPr>
      <w:r>
        <w:rPr>
          <w:rFonts w:hint="eastAsia"/>
          <w:sz w:val="24"/>
        </w:rPr>
        <w:t>3</w:t>
      </w:r>
      <w:r>
        <w:rPr>
          <w:sz w:val="24"/>
        </w:rPr>
        <w:t>.1.3智能化温控柱箱</w:t>
      </w:r>
    </w:p>
    <w:p w14:paraId="36F961F3">
      <w:pPr>
        <w:spacing w:line="360" w:lineRule="auto"/>
        <w:ind w:left="360"/>
        <w:jc w:val="left"/>
        <w:rPr>
          <w:sz w:val="24"/>
        </w:rPr>
      </w:pPr>
      <w:r>
        <w:rPr>
          <w:sz w:val="24"/>
        </w:rPr>
        <w:t>#</w:t>
      </w:r>
      <w:r>
        <w:rPr>
          <w:rFonts w:hint="eastAsia"/>
          <w:sz w:val="24"/>
        </w:rPr>
        <w:t>3</w:t>
      </w:r>
      <w:r>
        <w:rPr>
          <w:sz w:val="24"/>
        </w:rPr>
        <w:t>.1.3.1静态控温型柱温箱，不接受强制风冷柱温箱。控温范围：4℃～100℃或更宽（提供产品技术白皮书或官网截图或检测报告作为证明材料）</w:t>
      </w:r>
      <w:r>
        <w:rPr>
          <w:rFonts w:hint="eastAsia"/>
          <w:sz w:val="24"/>
        </w:rPr>
        <w:t>；控温精度：0.05 ℃，温度准确度：± 0.5 ℃</w:t>
      </w:r>
    </w:p>
    <w:p w14:paraId="0CC1DE48">
      <w:pPr>
        <w:spacing w:line="360" w:lineRule="auto"/>
        <w:ind w:left="360"/>
        <w:jc w:val="left"/>
        <w:rPr>
          <w:sz w:val="24"/>
        </w:rPr>
      </w:pPr>
      <w:r>
        <w:rPr>
          <w:sz w:val="24"/>
        </w:rPr>
        <w:t>#</w:t>
      </w:r>
      <w:r>
        <w:rPr>
          <w:rFonts w:hint="eastAsia"/>
          <w:sz w:val="24"/>
        </w:rPr>
        <w:t>3</w:t>
      </w:r>
      <w:r>
        <w:rPr>
          <w:sz w:val="24"/>
        </w:rPr>
        <w:t>.1.3.</w:t>
      </w:r>
      <w:r>
        <w:rPr>
          <w:rFonts w:hint="eastAsia"/>
          <w:sz w:val="24"/>
        </w:rPr>
        <w:t>2</w:t>
      </w:r>
      <w:r>
        <w:rPr>
          <w:sz w:val="24"/>
        </w:rPr>
        <w:t xml:space="preserve"> 柱容量：≥3根30cm色谱柱或6根10cm色谱柱。</w:t>
      </w:r>
    </w:p>
    <w:p w14:paraId="1F4EC254">
      <w:pPr>
        <w:spacing w:line="360" w:lineRule="auto"/>
        <w:ind w:left="360"/>
        <w:jc w:val="left"/>
        <w:rPr>
          <w:rFonts w:hint="eastAsia"/>
          <w:sz w:val="24"/>
        </w:rPr>
      </w:pPr>
      <w:r>
        <w:rPr>
          <w:rFonts w:hint="eastAsia"/>
          <w:sz w:val="24"/>
        </w:rPr>
        <w:t>3</w:t>
      </w:r>
      <w:r>
        <w:rPr>
          <w:sz w:val="24"/>
        </w:rPr>
        <w:t>.</w:t>
      </w:r>
      <w:r>
        <w:rPr>
          <w:rFonts w:hint="eastAsia"/>
          <w:sz w:val="24"/>
        </w:rPr>
        <w:t>2</w:t>
      </w:r>
      <w:r>
        <w:rPr>
          <w:sz w:val="24"/>
        </w:rPr>
        <w:t>三重串联四极杆质谱仪</w:t>
      </w:r>
    </w:p>
    <w:p w14:paraId="6CC0D7E8">
      <w:pPr>
        <w:spacing w:line="360" w:lineRule="auto"/>
        <w:ind w:left="360"/>
        <w:jc w:val="left"/>
        <w:rPr>
          <w:rFonts w:hint="eastAsia" w:eastAsia="宋体"/>
          <w:sz w:val="24"/>
          <w:lang w:val="en-US" w:eastAsia="zh-CN"/>
        </w:rPr>
      </w:pPr>
      <w:r>
        <w:rPr>
          <w:rFonts w:ascii="仿宋" w:hAnsi="仿宋" w:eastAsia="仿宋" w:cs="Segoe UI Symbol"/>
          <w:sz w:val="24"/>
        </w:rPr>
        <w:t>★</w:t>
      </w:r>
      <w:r>
        <w:rPr>
          <w:rFonts w:hint="eastAsia"/>
          <w:sz w:val="24"/>
        </w:rPr>
        <w:t>3.2</w:t>
      </w:r>
      <w:r>
        <w:rPr>
          <w:sz w:val="24"/>
        </w:rPr>
        <w:t>.1离子源： 配备独立的ESI源</w:t>
      </w:r>
      <w:r>
        <w:rPr>
          <w:rFonts w:hint="eastAsia"/>
          <w:sz w:val="24"/>
        </w:rPr>
        <w:t>和独立的APCI源，不接受复合离子源</w:t>
      </w:r>
      <w:r>
        <w:rPr>
          <w:sz w:val="24"/>
        </w:rPr>
        <w:t>。为提高仪器的抗污染能力，要求离子源喷雾针垂直于质谱入口，并具有反吹氮气</w:t>
      </w:r>
      <w:r>
        <w:rPr>
          <w:rFonts w:hint="eastAsia"/>
          <w:sz w:val="24"/>
          <w:lang w:val="en-US" w:eastAsia="zh-CN"/>
        </w:rPr>
        <w:t>功能。</w:t>
      </w:r>
    </w:p>
    <w:p w14:paraId="388DB8ED">
      <w:pPr>
        <w:spacing w:line="360" w:lineRule="auto"/>
        <w:ind w:left="360"/>
        <w:jc w:val="left"/>
        <w:rPr>
          <w:rFonts w:hint="eastAsia" w:eastAsia="宋体"/>
          <w:sz w:val="24"/>
          <w:lang w:eastAsia="zh-CN"/>
        </w:rPr>
      </w:pPr>
      <w:r>
        <w:rPr>
          <w:sz w:val="24"/>
        </w:rPr>
        <w:t>#</w:t>
      </w:r>
      <w:r>
        <w:rPr>
          <w:rFonts w:hint="eastAsia"/>
          <w:sz w:val="24"/>
        </w:rPr>
        <w:t>3</w:t>
      </w:r>
      <w:r>
        <w:rPr>
          <w:sz w:val="24"/>
        </w:rPr>
        <w:t>.</w:t>
      </w:r>
      <w:r>
        <w:rPr>
          <w:rFonts w:hint="eastAsia"/>
          <w:sz w:val="24"/>
        </w:rPr>
        <w:t>2</w:t>
      </w:r>
      <w:r>
        <w:rPr>
          <w:sz w:val="24"/>
        </w:rPr>
        <w:t>.2 四极杆质量分析器：</w:t>
      </w:r>
      <w:r>
        <w:rPr>
          <w:rFonts w:hint="eastAsia"/>
          <w:sz w:val="24"/>
        </w:rPr>
        <w:t>四级杆质量分析器为</w:t>
      </w:r>
      <w:r>
        <w:rPr>
          <w:sz w:val="24"/>
        </w:rPr>
        <w:t>双曲面</w:t>
      </w:r>
      <w:r>
        <w:rPr>
          <w:rFonts w:hint="eastAsia"/>
          <w:sz w:val="24"/>
        </w:rPr>
        <w:t>结构</w:t>
      </w:r>
      <w:r>
        <w:rPr>
          <w:rFonts w:hint="eastAsia"/>
          <w:sz w:val="24"/>
          <w:lang w:eastAsia="zh-CN"/>
        </w:rPr>
        <w:t>，</w:t>
      </w:r>
      <w:r>
        <w:rPr>
          <w:sz w:val="24"/>
        </w:rPr>
        <w:t>可加热控温至90℃以上</w:t>
      </w:r>
      <w:r>
        <w:rPr>
          <w:rFonts w:hint="eastAsia"/>
          <w:sz w:val="24"/>
          <w:lang w:eastAsia="zh-CN"/>
        </w:rPr>
        <w:t>。</w:t>
      </w:r>
    </w:p>
    <w:p w14:paraId="20403C06">
      <w:pPr>
        <w:spacing w:line="360" w:lineRule="auto"/>
        <w:ind w:left="360"/>
        <w:jc w:val="left"/>
        <w:rPr>
          <w:sz w:val="24"/>
        </w:rPr>
      </w:pPr>
      <w:r>
        <w:rPr>
          <w:rFonts w:hint="eastAsia"/>
          <w:sz w:val="24"/>
        </w:rPr>
        <w:t>3</w:t>
      </w:r>
      <w:r>
        <w:rPr>
          <w:sz w:val="24"/>
        </w:rPr>
        <w:t>.</w:t>
      </w:r>
      <w:r>
        <w:rPr>
          <w:rFonts w:hint="eastAsia"/>
          <w:sz w:val="24"/>
        </w:rPr>
        <w:t>2</w:t>
      </w:r>
      <w:r>
        <w:rPr>
          <w:sz w:val="24"/>
        </w:rPr>
        <w:t>.3 碰撞反应池：</w:t>
      </w:r>
      <w:r>
        <w:rPr>
          <w:rFonts w:hint="eastAsia"/>
          <w:sz w:val="24"/>
        </w:rPr>
        <w:t>碰撞反应池为</w:t>
      </w:r>
      <w:r>
        <w:rPr>
          <w:sz w:val="24"/>
        </w:rPr>
        <w:t>90度弯曲</w:t>
      </w:r>
      <w:r>
        <w:rPr>
          <w:rFonts w:hint="eastAsia"/>
          <w:sz w:val="24"/>
        </w:rPr>
        <w:t>结构</w:t>
      </w:r>
      <w:r>
        <w:rPr>
          <w:rFonts w:hint="eastAsia"/>
          <w:sz w:val="24"/>
          <w:lang w:eastAsia="zh-CN"/>
        </w:rPr>
        <w:t>，</w:t>
      </w:r>
      <w:r>
        <w:rPr>
          <w:sz w:val="24"/>
        </w:rPr>
        <w:t>能够有效消除中性碎片粒子干扰，无记忆效应</w:t>
      </w:r>
      <w:r>
        <w:rPr>
          <w:rFonts w:hint="eastAsia"/>
          <w:sz w:val="24"/>
        </w:rPr>
        <w:t>。并且</w:t>
      </w:r>
      <w:r>
        <w:rPr>
          <w:sz w:val="24"/>
        </w:rPr>
        <w:t>碰撞气采用氮气，无需额外氩气；</w:t>
      </w:r>
    </w:p>
    <w:p w14:paraId="20897571">
      <w:pPr>
        <w:spacing w:line="360" w:lineRule="auto"/>
        <w:ind w:left="360"/>
        <w:jc w:val="left"/>
        <w:rPr>
          <w:sz w:val="24"/>
        </w:rPr>
      </w:pPr>
      <w:r>
        <w:rPr>
          <w:sz w:val="24"/>
        </w:rPr>
        <w:t>#</w:t>
      </w:r>
      <w:r>
        <w:rPr>
          <w:rFonts w:hint="eastAsia"/>
          <w:sz w:val="24"/>
        </w:rPr>
        <w:t>3</w:t>
      </w:r>
      <w:r>
        <w:rPr>
          <w:sz w:val="24"/>
        </w:rPr>
        <w:t>.</w:t>
      </w:r>
      <w:r>
        <w:rPr>
          <w:rFonts w:hint="eastAsia"/>
          <w:sz w:val="24"/>
        </w:rPr>
        <w:t xml:space="preserve"> 2</w:t>
      </w:r>
      <w:r>
        <w:rPr>
          <w:sz w:val="24"/>
        </w:rPr>
        <w:t>.4 检测器：为保证正负离子模式的长期灵敏度性能，要求采用电子倍增器而非光电倍增器；</w:t>
      </w:r>
    </w:p>
    <w:p w14:paraId="6C9081AD">
      <w:pPr>
        <w:spacing w:line="360" w:lineRule="auto"/>
        <w:ind w:left="360"/>
        <w:jc w:val="left"/>
        <w:rPr>
          <w:sz w:val="24"/>
        </w:rPr>
      </w:pPr>
      <w:r>
        <w:rPr>
          <w:rFonts w:hint="eastAsia"/>
          <w:sz w:val="24"/>
        </w:rPr>
        <w:t>3</w:t>
      </w:r>
      <w:r>
        <w:rPr>
          <w:sz w:val="24"/>
        </w:rPr>
        <w:t>.</w:t>
      </w:r>
      <w:r>
        <w:rPr>
          <w:rFonts w:hint="eastAsia"/>
          <w:sz w:val="24"/>
        </w:rPr>
        <w:t>2</w:t>
      </w:r>
      <w:r>
        <w:rPr>
          <w:sz w:val="24"/>
        </w:rPr>
        <w:t>.5真空系统：带有差动抽气真空系统，由2个独立的分子涡轮泵和大抽速的前级机械泵组成，具有自动断电保护功能；</w:t>
      </w:r>
    </w:p>
    <w:p w14:paraId="28AC7A3B">
      <w:pPr>
        <w:spacing w:line="360" w:lineRule="auto"/>
        <w:ind w:left="360"/>
        <w:jc w:val="left"/>
        <w:rPr>
          <w:sz w:val="24"/>
        </w:rPr>
      </w:pPr>
      <w:r>
        <w:rPr>
          <w:rFonts w:hint="eastAsia"/>
          <w:sz w:val="24"/>
        </w:rPr>
        <w:t>3</w:t>
      </w:r>
      <w:r>
        <w:rPr>
          <w:sz w:val="24"/>
        </w:rPr>
        <w:t>.</w:t>
      </w:r>
      <w:r>
        <w:rPr>
          <w:rFonts w:hint="eastAsia"/>
          <w:sz w:val="24"/>
        </w:rPr>
        <w:t>2</w:t>
      </w:r>
      <w:r>
        <w:rPr>
          <w:sz w:val="24"/>
        </w:rPr>
        <w:t>.6 调谐系统：仪器内置传输泵系统以及切换阀，可通过软件进行控制，实现自动调谐校正，无需通过外置蠕动泵等方式完成；</w:t>
      </w:r>
    </w:p>
    <w:p w14:paraId="3C0811BB">
      <w:pPr>
        <w:spacing w:line="360" w:lineRule="auto"/>
        <w:ind w:left="360"/>
        <w:jc w:val="left"/>
        <w:rPr>
          <w:sz w:val="24"/>
        </w:rPr>
      </w:pPr>
      <w:r>
        <w:rPr>
          <w:rFonts w:hint="eastAsia"/>
          <w:sz w:val="24"/>
        </w:rPr>
        <w:t>3</w:t>
      </w:r>
      <w:r>
        <w:rPr>
          <w:sz w:val="24"/>
        </w:rPr>
        <w:t>.</w:t>
      </w:r>
      <w:r>
        <w:rPr>
          <w:rFonts w:hint="eastAsia"/>
          <w:sz w:val="24"/>
        </w:rPr>
        <w:t>2</w:t>
      </w:r>
      <w:r>
        <w:rPr>
          <w:sz w:val="24"/>
        </w:rPr>
        <w:t>.7扫描方式：全扫描、子离子扫描、母离子扫描、中性丢失扫描、多反应监测扫描（MRM）、选择性离子监测、动态多反应监测扫描、触发多反应监测扫描等；</w:t>
      </w:r>
    </w:p>
    <w:p w14:paraId="7E5D18DA">
      <w:pPr>
        <w:spacing w:line="360" w:lineRule="auto"/>
        <w:ind w:left="360"/>
        <w:jc w:val="left"/>
        <w:rPr>
          <w:rFonts w:hint="eastAsia"/>
          <w:sz w:val="24"/>
        </w:rPr>
      </w:pPr>
      <w:r>
        <w:rPr>
          <w:rFonts w:ascii="仿宋" w:hAnsi="仿宋" w:eastAsia="仿宋" w:cs="Segoe UI Symbol"/>
          <w:sz w:val="24"/>
        </w:rPr>
        <w:t>★</w:t>
      </w:r>
      <w:r>
        <w:rPr>
          <w:rFonts w:hint="eastAsia"/>
          <w:sz w:val="24"/>
        </w:rPr>
        <w:t>3</w:t>
      </w:r>
      <w:r>
        <w:rPr>
          <w:sz w:val="24"/>
        </w:rPr>
        <w:t>.</w:t>
      </w:r>
      <w:r>
        <w:rPr>
          <w:rFonts w:hint="eastAsia"/>
          <w:sz w:val="24"/>
        </w:rPr>
        <w:t>2</w:t>
      </w:r>
      <w:r>
        <w:rPr>
          <w:sz w:val="24"/>
        </w:rPr>
        <w:t>.8 质量范围：</w:t>
      </w:r>
      <w:r>
        <w:rPr>
          <w:rFonts w:hint="eastAsia"/>
          <w:sz w:val="24"/>
        </w:rPr>
        <w:t>软件</w:t>
      </w:r>
      <w:r>
        <w:rPr>
          <w:sz w:val="24"/>
        </w:rPr>
        <w:t>可设置</w:t>
      </w:r>
      <w:r>
        <w:rPr>
          <w:rFonts w:hint="eastAsia"/>
          <w:sz w:val="24"/>
        </w:rPr>
        <w:t>范围5-</w:t>
      </w:r>
      <w:r>
        <w:rPr>
          <w:sz w:val="24"/>
        </w:rPr>
        <w:t xml:space="preserve"> 2150</w:t>
      </w:r>
      <w:r>
        <w:rPr>
          <w:rFonts w:hint="eastAsia"/>
          <w:sz w:val="24"/>
        </w:rPr>
        <w:t>amu；质量分辨率：0.4amu</w:t>
      </w:r>
    </w:p>
    <w:p w14:paraId="56C12A35">
      <w:pPr>
        <w:spacing w:line="360" w:lineRule="auto"/>
        <w:ind w:left="360"/>
        <w:jc w:val="left"/>
        <w:rPr>
          <w:sz w:val="24"/>
        </w:rPr>
      </w:pPr>
      <w:r>
        <w:rPr>
          <w:rFonts w:hint="eastAsia"/>
          <w:sz w:val="24"/>
        </w:rPr>
        <w:t>质量准确度：± 0.1amu；质量轴稳定性：＜0.1 amu/24hr</w:t>
      </w:r>
    </w:p>
    <w:p w14:paraId="7D75D7C1">
      <w:pPr>
        <w:spacing w:line="360" w:lineRule="auto"/>
        <w:ind w:left="360"/>
        <w:jc w:val="left"/>
        <w:rPr>
          <w:sz w:val="24"/>
        </w:rPr>
      </w:pPr>
      <w:r>
        <w:rPr>
          <w:rFonts w:hint="eastAsia"/>
          <w:sz w:val="24"/>
        </w:rPr>
        <w:t>3</w:t>
      </w:r>
      <w:r>
        <w:rPr>
          <w:sz w:val="24"/>
        </w:rPr>
        <w:t>.</w:t>
      </w:r>
      <w:r>
        <w:rPr>
          <w:rFonts w:hint="eastAsia"/>
          <w:sz w:val="24"/>
        </w:rPr>
        <w:t>2</w:t>
      </w:r>
      <w:r>
        <w:rPr>
          <w:sz w:val="24"/>
        </w:rPr>
        <w:t>.</w:t>
      </w:r>
      <w:r>
        <w:rPr>
          <w:rFonts w:hint="eastAsia"/>
          <w:sz w:val="24"/>
        </w:rPr>
        <w:t>9</w:t>
      </w:r>
      <w:r>
        <w:rPr>
          <w:sz w:val="24"/>
        </w:rPr>
        <w:t>最大扫描速率：≥18,000amu/s</w:t>
      </w:r>
    </w:p>
    <w:p w14:paraId="464114A2">
      <w:pPr>
        <w:spacing w:line="360" w:lineRule="auto"/>
        <w:ind w:left="360"/>
        <w:jc w:val="left"/>
        <w:rPr>
          <w:sz w:val="24"/>
        </w:rPr>
      </w:pPr>
      <w:r>
        <w:rPr>
          <w:rFonts w:ascii="仿宋" w:hAnsi="仿宋" w:eastAsia="仿宋" w:cs="Segoe UI Symbol"/>
          <w:sz w:val="24"/>
        </w:rPr>
        <w:t>★</w:t>
      </w:r>
      <w:r>
        <w:rPr>
          <w:rFonts w:hint="eastAsia"/>
          <w:sz w:val="24"/>
        </w:rPr>
        <w:t>3</w:t>
      </w:r>
      <w:r>
        <w:rPr>
          <w:sz w:val="24"/>
        </w:rPr>
        <w:t>.</w:t>
      </w:r>
      <w:r>
        <w:rPr>
          <w:rFonts w:hint="eastAsia"/>
          <w:sz w:val="24"/>
        </w:rPr>
        <w:t>2</w:t>
      </w:r>
      <w:r>
        <w:rPr>
          <w:sz w:val="24"/>
        </w:rPr>
        <w:t>.</w:t>
      </w:r>
      <w:r>
        <w:rPr>
          <w:rFonts w:hint="eastAsia"/>
          <w:sz w:val="24"/>
        </w:rPr>
        <w:t>10</w:t>
      </w:r>
      <w:r>
        <w:rPr>
          <w:sz w:val="24"/>
        </w:rPr>
        <w:t xml:space="preserve">灵敏度：ESI正离子模式，液质联用柱上进样1pg 利血平，检测离子对 m/z 609-&gt;195，信噪比≥800,000:1，连续进样10次，峰面积RSD≤2%；柱上进样10 fg 利血平，检测离子对 m/z 609-&gt;195，连续进样10针，峰面积的重复性≤10%，仪器检出限（IDL）&lt; </w:t>
      </w:r>
      <w:r>
        <w:rPr>
          <w:rFonts w:hint="eastAsia"/>
          <w:sz w:val="24"/>
        </w:rPr>
        <w:t>3</w:t>
      </w:r>
      <w:r>
        <w:rPr>
          <w:sz w:val="24"/>
        </w:rPr>
        <w:t xml:space="preserve">fg； ESI负离子模式，液质联用柱上进样1pg 氯霉素，检测离子对 m/z 321&gt;152，信噪比≥800,000:1，连续进样10次，峰面积RSD≤2%；柱上进样10 fg 氯霉素，检测离子对 m/z 321&gt;152，连续进样10针，峰面积的重复性≤10%，仪器检出限（IDL）&lt; </w:t>
      </w:r>
      <w:r>
        <w:rPr>
          <w:rFonts w:hint="eastAsia"/>
          <w:sz w:val="24"/>
        </w:rPr>
        <w:t>3</w:t>
      </w:r>
      <w:r>
        <w:rPr>
          <w:sz w:val="24"/>
        </w:rPr>
        <w:t>fg；</w:t>
      </w:r>
    </w:p>
    <w:p w14:paraId="1863C52F">
      <w:pPr>
        <w:spacing w:line="360" w:lineRule="auto"/>
        <w:ind w:left="360"/>
        <w:jc w:val="left"/>
        <w:rPr>
          <w:sz w:val="24"/>
        </w:rPr>
      </w:pPr>
      <w:r>
        <w:rPr>
          <w:rFonts w:hint="eastAsia"/>
          <w:sz w:val="24"/>
        </w:rPr>
        <w:t>3</w:t>
      </w:r>
      <w:r>
        <w:rPr>
          <w:sz w:val="24"/>
        </w:rPr>
        <w:t>.</w:t>
      </w:r>
      <w:r>
        <w:rPr>
          <w:rFonts w:hint="eastAsia"/>
          <w:sz w:val="24"/>
        </w:rPr>
        <w:t xml:space="preserve"> 2.11</w:t>
      </w:r>
      <w:r>
        <w:rPr>
          <w:sz w:val="24"/>
        </w:rPr>
        <w:t>动态范围：&gt; 4×10</w:t>
      </w:r>
      <w:r>
        <w:rPr>
          <w:sz w:val="24"/>
          <w:vertAlign w:val="superscript"/>
        </w:rPr>
        <w:t>6</w:t>
      </w:r>
      <w:r>
        <w:rPr>
          <w:sz w:val="24"/>
        </w:rPr>
        <w:t xml:space="preserve"> ；</w:t>
      </w:r>
    </w:p>
    <w:p w14:paraId="2B703395">
      <w:pPr>
        <w:spacing w:line="360" w:lineRule="auto"/>
        <w:ind w:left="360"/>
        <w:jc w:val="left"/>
        <w:rPr>
          <w:sz w:val="24"/>
        </w:rPr>
      </w:pPr>
      <w:r>
        <w:rPr>
          <w:sz w:val="24"/>
        </w:rPr>
        <w:t xml:space="preserve"># </w:t>
      </w:r>
      <w:r>
        <w:rPr>
          <w:rFonts w:hint="eastAsia"/>
          <w:sz w:val="24"/>
        </w:rPr>
        <w:t>3</w:t>
      </w:r>
      <w:r>
        <w:rPr>
          <w:sz w:val="24"/>
        </w:rPr>
        <w:t>.</w:t>
      </w:r>
      <w:r>
        <w:rPr>
          <w:rFonts w:hint="eastAsia"/>
          <w:sz w:val="24"/>
        </w:rPr>
        <w:t>2</w:t>
      </w:r>
      <w:r>
        <w:rPr>
          <w:sz w:val="24"/>
        </w:rPr>
        <w:t>.</w:t>
      </w:r>
      <w:r>
        <w:rPr>
          <w:rFonts w:hint="eastAsia"/>
          <w:sz w:val="24"/>
        </w:rPr>
        <w:t xml:space="preserve">12 </w:t>
      </w:r>
      <w:r>
        <w:rPr>
          <w:sz w:val="24"/>
        </w:rPr>
        <w:t>MRM最小驻留时间：&lt;0.6ms；</w:t>
      </w:r>
    </w:p>
    <w:p w14:paraId="4007CB1D">
      <w:pPr>
        <w:spacing w:line="360" w:lineRule="auto"/>
        <w:ind w:left="360"/>
        <w:jc w:val="left"/>
        <w:rPr>
          <w:sz w:val="24"/>
        </w:rPr>
      </w:pPr>
      <w:r>
        <w:rPr>
          <w:rFonts w:hint="eastAsia"/>
          <w:sz w:val="24"/>
        </w:rPr>
        <w:t>3</w:t>
      </w:r>
      <w:r>
        <w:rPr>
          <w:sz w:val="24"/>
        </w:rPr>
        <w:t>.</w:t>
      </w:r>
      <w:r>
        <w:rPr>
          <w:rFonts w:hint="eastAsia"/>
          <w:sz w:val="24"/>
        </w:rPr>
        <w:t>2</w:t>
      </w:r>
      <w:r>
        <w:rPr>
          <w:sz w:val="24"/>
        </w:rPr>
        <w:t>.</w:t>
      </w:r>
      <w:r>
        <w:rPr>
          <w:rFonts w:hint="eastAsia"/>
          <w:sz w:val="24"/>
        </w:rPr>
        <w:t>13</w:t>
      </w:r>
      <w:r>
        <w:rPr>
          <w:sz w:val="24"/>
        </w:rPr>
        <w:t>仪器控制软件：所有液相单元和质谱由同一软件控制。可以实现数据采集，数据分析，液相和质谱同步控制，在线监测，反馈显示和序列采集。</w:t>
      </w:r>
    </w:p>
    <w:p w14:paraId="3FB12647">
      <w:pPr>
        <w:spacing w:line="360" w:lineRule="auto"/>
        <w:ind w:left="360"/>
        <w:jc w:val="left"/>
        <w:rPr>
          <w:sz w:val="24"/>
        </w:rPr>
      </w:pPr>
      <w:r>
        <w:rPr>
          <w:rFonts w:hint="eastAsia"/>
          <w:sz w:val="24"/>
        </w:rPr>
        <w:t>3</w:t>
      </w:r>
      <w:r>
        <w:rPr>
          <w:sz w:val="24"/>
        </w:rPr>
        <w:t>.</w:t>
      </w:r>
      <w:r>
        <w:rPr>
          <w:rFonts w:hint="eastAsia"/>
          <w:sz w:val="24"/>
        </w:rPr>
        <w:t>2</w:t>
      </w:r>
      <w:r>
        <w:rPr>
          <w:sz w:val="24"/>
        </w:rPr>
        <w:t>.</w:t>
      </w:r>
      <w:r>
        <w:rPr>
          <w:rFonts w:hint="eastAsia"/>
          <w:sz w:val="24"/>
        </w:rPr>
        <w:t>14</w:t>
      </w:r>
      <w:r>
        <w:rPr>
          <w:sz w:val="24"/>
        </w:rPr>
        <w:t>自动方法优化软件：采用自动进样器流动注射功能，自动优化每个目标化合物的质谱参数，如最佳碰撞电压，MS/MS的碰撞能量，不需要注射泵，直接液相联机柱上进样即可MRM自动优化；</w:t>
      </w:r>
    </w:p>
    <w:p w14:paraId="14D9AE40">
      <w:pPr>
        <w:spacing w:line="360" w:lineRule="auto"/>
        <w:ind w:left="360"/>
        <w:jc w:val="left"/>
        <w:rPr>
          <w:sz w:val="24"/>
        </w:rPr>
      </w:pPr>
      <w:r>
        <w:rPr>
          <w:rFonts w:hint="eastAsia"/>
          <w:sz w:val="24"/>
        </w:rPr>
        <w:t>3</w:t>
      </w:r>
      <w:r>
        <w:rPr>
          <w:sz w:val="24"/>
        </w:rPr>
        <w:t>.</w:t>
      </w:r>
      <w:r>
        <w:rPr>
          <w:rFonts w:hint="eastAsia"/>
          <w:sz w:val="24"/>
        </w:rPr>
        <w:t>2</w:t>
      </w:r>
      <w:r>
        <w:rPr>
          <w:sz w:val="24"/>
        </w:rPr>
        <w:t>.</w:t>
      </w:r>
      <w:r>
        <w:rPr>
          <w:rFonts w:hint="eastAsia"/>
          <w:sz w:val="24"/>
        </w:rPr>
        <w:t>15</w:t>
      </w:r>
      <w:r>
        <w:rPr>
          <w:sz w:val="24"/>
        </w:rPr>
        <w:t>离子源参数自动优化软件：采用自动进样器流动</w:t>
      </w:r>
      <w:r>
        <w:rPr>
          <w:rFonts w:hint="eastAsia"/>
          <w:sz w:val="24"/>
        </w:rPr>
        <w:t>注</w:t>
      </w:r>
      <w:r>
        <w:rPr>
          <w:sz w:val="24"/>
        </w:rPr>
        <w:t>射功能，自动优化离子源温度，气流压力和速度；</w:t>
      </w:r>
    </w:p>
    <w:p w14:paraId="3529ADB1">
      <w:pPr>
        <w:spacing w:line="360" w:lineRule="auto"/>
        <w:ind w:left="360"/>
        <w:jc w:val="left"/>
        <w:rPr>
          <w:sz w:val="24"/>
        </w:rPr>
      </w:pPr>
      <w:r>
        <w:rPr>
          <w:rFonts w:hint="eastAsia"/>
          <w:sz w:val="24"/>
        </w:rPr>
        <w:t>3</w:t>
      </w:r>
      <w:r>
        <w:rPr>
          <w:sz w:val="24"/>
        </w:rPr>
        <w:t>.</w:t>
      </w:r>
      <w:r>
        <w:rPr>
          <w:rFonts w:hint="eastAsia"/>
          <w:sz w:val="24"/>
        </w:rPr>
        <w:t>2</w:t>
      </w:r>
      <w:r>
        <w:rPr>
          <w:sz w:val="24"/>
        </w:rPr>
        <w:t>.</w:t>
      </w:r>
      <w:r>
        <w:rPr>
          <w:rFonts w:hint="eastAsia"/>
          <w:sz w:val="24"/>
        </w:rPr>
        <w:t>16</w:t>
      </w:r>
      <w:r>
        <w:rPr>
          <w:sz w:val="24"/>
        </w:rPr>
        <w:t>质谱控制软件和数据分析软件支持中文界面；</w:t>
      </w:r>
    </w:p>
    <w:p w14:paraId="2240DE91">
      <w:pPr>
        <w:spacing w:line="360" w:lineRule="auto"/>
        <w:ind w:left="360"/>
        <w:jc w:val="left"/>
        <w:rPr>
          <w:sz w:val="24"/>
        </w:rPr>
      </w:pPr>
      <w:r>
        <w:rPr>
          <w:sz w:val="24"/>
        </w:rPr>
        <w:t>#</w:t>
      </w:r>
      <w:r>
        <w:rPr>
          <w:rFonts w:hint="eastAsia"/>
          <w:sz w:val="24"/>
        </w:rPr>
        <w:t>3</w:t>
      </w:r>
      <w:r>
        <w:rPr>
          <w:sz w:val="24"/>
        </w:rPr>
        <w:t>.</w:t>
      </w:r>
      <w:r>
        <w:rPr>
          <w:rFonts w:hint="eastAsia"/>
          <w:sz w:val="24"/>
        </w:rPr>
        <w:t>2</w:t>
      </w:r>
      <w:r>
        <w:rPr>
          <w:sz w:val="24"/>
        </w:rPr>
        <w:t>.</w:t>
      </w:r>
      <w:r>
        <w:rPr>
          <w:rFonts w:hint="eastAsia"/>
          <w:sz w:val="24"/>
        </w:rPr>
        <w:t>17</w:t>
      </w:r>
      <w:r>
        <w:rPr>
          <w:sz w:val="24"/>
        </w:rPr>
        <w:t>智能反馈功能：结合预设的判定标准（如交叉污染、线性范围等），仪器可以根据当前样品的检测结果进行自动判定。当检测结果超出所设定的判定标准时（如交叉污染过高，或检测值超出线性范围等），仪器会自动在同一序列中重新进样，直至分析结果符合所预设的判定标准；</w:t>
      </w:r>
    </w:p>
    <w:p w14:paraId="1160411B">
      <w:pPr>
        <w:spacing w:line="360" w:lineRule="auto"/>
        <w:ind w:left="360"/>
        <w:jc w:val="left"/>
        <w:rPr>
          <w:sz w:val="24"/>
        </w:rPr>
      </w:pPr>
      <w:r>
        <w:rPr>
          <w:rFonts w:hint="eastAsia"/>
          <w:sz w:val="24"/>
        </w:rPr>
        <w:t>3</w:t>
      </w:r>
      <w:r>
        <w:rPr>
          <w:sz w:val="24"/>
        </w:rPr>
        <w:t>.</w:t>
      </w:r>
      <w:r>
        <w:rPr>
          <w:rFonts w:hint="eastAsia"/>
          <w:sz w:val="24"/>
        </w:rPr>
        <w:t>2</w:t>
      </w:r>
      <w:r>
        <w:rPr>
          <w:sz w:val="24"/>
        </w:rPr>
        <w:t>.</w:t>
      </w:r>
      <w:r>
        <w:rPr>
          <w:rFonts w:hint="eastAsia"/>
          <w:sz w:val="24"/>
        </w:rPr>
        <w:t>18</w:t>
      </w:r>
      <w:r>
        <w:rPr>
          <w:sz w:val="24"/>
        </w:rPr>
        <w:t>氮气发生器输出压力≥100psi氮气流速范围 0-34L/min，最高纯度可达99.5％；</w:t>
      </w:r>
    </w:p>
    <w:p w14:paraId="6E6588C7">
      <w:pPr>
        <w:spacing w:line="360" w:lineRule="auto"/>
        <w:ind w:left="360"/>
        <w:rPr>
          <w:sz w:val="24"/>
        </w:rPr>
      </w:pPr>
      <w:r>
        <w:rPr>
          <w:sz w:val="24"/>
        </w:rPr>
        <w:t>#</w:t>
      </w:r>
      <w:r>
        <w:rPr>
          <w:rFonts w:hint="eastAsia"/>
          <w:sz w:val="24"/>
        </w:rPr>
        <w:t>3</w:t>
      </w:r>
      <w:r>
        <w:rPr>
          <w:sz w:val="24"/>
        </w:rPr>
        <w:t>.</w:t>
      </w:r>
      <w:r>
        <w:rPr>
          <w:rFonts w:hint="eastAsia"/>
          <w:sz w:val="24"/>
        </w:rPr>
        <w:t>2</w:t>
      </w:r>
      <w:r>
        <w:rPr>
          <w:sz w:val="24"/>
        </w:rPr>
        <w:t>.</w:t>
      </w:r>
      <w:r>
        <w:rPr>
          <w:rFonts w:hint="eastAsia"/>
          <w:sz w:val="24"/>
        </w:rPr>
        <w:t>19具有色谱联机扩展能力，LC-MS软件可以扩展直接控制同品牌的超临界色谱、毛细管电泳2种设备，并由同一版本软件控制</w:t>
      </w:r>
      <w:r>
        <w:rPr>
          <w:sz w:val="24"/>
        </w:rPr>
        <w:t>。</w:t>
      </w:r>
    </w:p>
    <w:p w14:paraId="6E0278AA">
      <w:pPr>
        <w:tabs>
          <w:tab w:val="left" w:pos="360"/>
        </w:tabs>
        <w:spacing w:line="360" w:lineRule="auto"/>
        <w:rPr>
          <w:rFonts w:hint="eastAsia"/>
          <w:b/>
          <w:sz w:val="24"/>
        </w:rPr>
      </w:pPr>
      <w:r>
        <w:rPr>
          <w:rFonts w:hint="eastAsia"/>
          <w:b/>
          <w:sz w:val="24"/>
        </w:rPr>
        <w:t>4产品配置要求</w:t>
      </w:r>
    </w:p>
    <w:p w14:paraId="3F8834E5">
      <w:pPr>
        <w:spacing w:line="360" w:lineRule="auto"/>
        <w:rPr>
          <w:rFonts w:hint="eastAsia"/>
          <w:sz w:val="24"/>
        </w:rPr>
      </w:pPr>
      <w:r>
        <w:rPr>
          <w:rFonts w:hint="eastAsia"/>
          <w:sz w:val="24"/>
        </w:rPr>
        <w:t>4.1超高效液相色谱，包括超高压</w:t>
      </w:r>
      <w:r>
        <w:rPr>
          <w:sz w:val="24"/>
        </w:rPr>
        <w:t>二元梯度泵，自动进样器，独立柱温箱</w:t>
      </w:r>
      <w:r>
        <w:rPr>
          <w:rFonts w:hint="eastAsia"/>
          <w:sz w:val="24"/>
        </w:rPr>
        <w:t>各1套；</w:t>
      </w:r>
    </w:p>
    <w:p w14:paraId="553ADF7C">
      <w:pPr>
        <w:spacing w:line="360" w:lineRule="auto"/>
        <w:rPr>
          <w:sz w:val="24"/>
        </w:rPr>
      </w:pPr>
      <w:r>
        <w:rPr>
          <w:rFonts w:hint="eastAsia"/>
          <w:sz w:val="24"/>
        </w:rPr>
        <w:t>4.2</w:t>
      </w:r>
      <w:r>
        <w:rPr>
          <w:sz w:val="24"/>
        </w:rPr>
        <w:t>三重串联四极杆质</w:t>
      </w:r>
      <w:r>
        <w:rPr>
          <w:rFonts w:hint="eastAsia"/>
          <w:sz w:val="24"/>
        </w:rPr>
        <w:t>谱仪（含独立的ESI源和独立的APCI源）1套；</w:t>
      </w:r>
    </w:p>
    <w:p w14:paraId="043921C6">
      <w:pPr>
        <w:spacing w:line="360" w:lineRule="auto"/>
        <w:rPr>
          <w:sz w:val="24"/>
        </w:rPr>
      </w:pPr>
      <w:r>
        <w:rPr>
          <w:rFonts w:hint="eastAsia"/>
          <w:sz w:val="24"/>
        </w:rPr>
        <w:t>4.3电脑工作站（Win11,CPU四核，单主频不低于8G内存、500G硬盘或以上）和仪器控制</w:t>
      </w:r>
      <w:r>
        <w:rPr>
          <w:rFonts w:hint="eastAsia"/>
          <w:sz w:val="24"/>
          <w:lang w:val="en-US" w:eastAsia="zh-CN"/>
        </w:rPr>
        <w:t>与</w:t>
      </w:r>
      <w:r>
        <w:rPr>
          <w:rFonts w:hint="eastAsia"/>
          <w:sz w:val="24"/>
        </w:rPr>
        <w:t>数据处理软件各1套；</w:t>
      </w:r>
    </w:p>
    <w:p w14:paraId="3DDB9312">
      <w:pPr>
        <w:spacing w:line="360" w:lineRule="auto"/>
        <w:rPr>
          <w:sz w:val="24"/>
        </w:rPr>
      </w:pPr>
      <w:r>
        <w:rPr>
          <w:rFonts w:hint="eastAsia"/>
          <w:sz w:val="24"/>
        </w:rPr>
        <w:t>4.4</w:t>
      </w:r>
      <w:r>
        <w:rPr>
          <w:sz w:val="24"/>
        </w:rPr>
        <w:t>消耗品：C18 2.1x50mm，粒径&lt;2 um色谱柱1根；样品瓶（含瓶、盖和垫） 100/包；在线过滤器1只；在线过滤器滤芯，5个； Peek接头，10个；ESI调谐标样100mL；1/8英寸铜管接头1个；机械泵真空泵油1L等；</w:t>
      </w:r>
    </w:p>
    <w:p w14:paraId="6AD75C51">
      <w:pPr>
        <w:spacing w:line="360" w:lineRule="auto"/>
        <w:rPr>
          <w:sz w:val="24"/>
        </w:rPr>
      </w:pPr>
      <w:r>
        <w:rPr>
          <w:rFonts w:hint="eastAsia"/>
          <w:sz w:val="24"/>
        </w:rPr>
        <w:t>4.5</w:t>
      </w:r>
      <w:r>
        <w:rPr>
          <w:sz w:val="24"/>
        </w:rPr>
        <w:t>辅助设备：10KVA UPS</w:t>
      </w:r>
      <w:r>
        <w:rPr>
          <w:rFonts w:hint="eastAsia"/>
          <w:sz w:val="24"/>
        </w:rPr>
        <w:t>延时1小时</w:t>
      </w:r>
      <w:r>
        <w:rPr>
          <w:sz w:val="24"/>
        </w:rPr>
        <w:t>不间断电源、进口氮气发生器1套</w:t>
      </w:r>
      <w:r>
        <w:rPr>
          <w:rFonts w:hint="eastAsia"/>
          <w:sz w:val="24"/>
        </w:rPr>
        <w:t>；</w:t>
      </w:r>
    </w:p>
    <w:p w14:paraId="44D733F0">
      <w:pPr>
        <w:spacing w:line="360" w:lineRule="auto"/>
        <w:rPr>
          <w:rFonts w:hint="eastAsia"/>
          <w:b/>
          <w:sz w:val="24"/>
        </w:rPr>
      </w:pPr>
      <w:r>
        <w:rPr>
          <w:rFonts w:hint="eastAsia"/>
          <w:b/>
          <w:sz w:val="24"/>
        </w:rPr>
        <w:t>（二）质保及售后服务：</w:t>
      </w:r>
    </w:p>
    <w:p w14:paraId="765F4501">
      <w:pPr>
        <w:spacing w:line="360" w:lineRule="auto"/>
        <w:rPr>
          <w:rFonts w:hint="eastAsia"/>
          <w:sz w:val="24"/>
        </w:rPr>
      </w:pPr>
      <w:r>
        <w:rPr>
          <w:rFonts w:hint="eastAsia"/>
          <w:sz w:val="24"/>
        </w:rPr>
        <w:t>1.1 设备安装调试</w:t>
      </w:r>
    </w:p>
    <w:p w14:paraId="0D650537">
      <w:pPr>
        <w:pStyle w:val="7"/>
        <w:spacing w:line="440" w:lineRule="exact"/>
        <w:ind w:firstLine="480" w:firstLineChars="200"/>
        <w:rPr>
          <w:rFonts w:hint="eastAsia" w:ascii="华文楷体" w:hAnsi="华文楷体" w:eastAsia="华文楷体"/>
        </w:rPr>
      </w:pPr>
      <w:r>
        <w:rPr>
          <w:rFonts w:hint="eastAsia" w:ascii="华文楷体" w:hAnsi="华文楷体" w:eastAsia="华文楷体"/>
        </w:rPr>
        <w:t>仪器到达最终用户现场并完成场地准备，供货方在接到用户通知后一周内，安排有经验的工程技术人员到用户现场安装、调试。供货方和最终用户按投标的技术参数和性能描述为标准进行验收，仪器的安装调试需在接到用户通知后</w:t>
      </w:r>
      <w:r>
        <w:rPr>
          <w:rFonts w:ascii="华文楷体" w:hAnsi="华文楷体" w:eastAsia="华文楷体"/>
        </w:rPr>
        <w:t>10</w:t>
      </w:r>
      <w:r>
        <w:rPr>
          <w:rFonts w:hint="eastAsia" w:ascii="华文楷体" w:hAnsi="华文楷体" w:eastAsia="华文楷体"/>
        </w:rPr>
        <w:t>日内完成。</w:t>
      </w:r>
    </w:p>
    <w:p w14:paraId="5A89A0BE">
      <w:pPr>
        <w:spacing w:line="360" w:lineRule="auto"/>
        <w:rPr>
          <w:rFonts w:hint="eastAsia"/>
          <w:sz w:val="24"/>
        </w:rPr>
      </w:pPr>
      <w:r>
        <w:rPr>
          <w:rFonts w:hint="eastAsia"/>
          <w:sz w:val="24"/>
        </w:rPr>
        <w:t xml:space="preserve">1.2 技术培训 </w:t>
      </w:r>
    </w:p>
    <w:p w14:paraId="39F8EDCD">
      <w:pPr>
        <w:spacing w:line="360" w:lineRule="auto"/>
        <w:rPr>
          <w:rFonts w:hint="eastAsia"/>
          <w:sz w:val="24"/>
        </w:rPr>
      </w:pPr>
      <w:r>
        <w:rPr>
          <w:rFonts w:hint="eastAsia"/>
          <w:sz w:val="24"/>
        </w:rPr>
        <w:t xml:space="preserve">   安装验收期间，须由制造厂家工程师在用户所在地对用户进行仪器操作和日常维护的现场培训，包括仪器原理、使用方法和维护方法等。</w:t>
      </w:r>
    </w:p>
    <w:p w14:paraId="3CC6E814">
      <w:pPr>
        <w:spacing w:line="360" w:lineRule="auto"/>
        <w:rPr>
          <w:rFonts w:hint="eastAsia"/>
          <w:sz w:val="24"/>
        </w:rPr>
      </w:pPr>
      <w:r>
        <w:rPr>
          <w:rFonts w:hint="eastAsia"/>
          <w:sz w:val="24"/>
        </w:rPr>
        <w:t>1.3 质保期</w:t>
      </w:r>
    </w:p>
    <w:p w14:paraId="0D3C2C49">
      <w:pPr>
        <w:spacing w:line="360" w:lineRule="auto"/>
        <w:rPr>
          <w:rFonts w:hint="eastAsia"/>
          <w:sz w:val="24"/>
        </w:rPr>
      </w:pPr>
      <w:r>
        <w:rPr>
          <w:rFonts w:hint="eastAsia"/>
          <w:sz w:val="24"/>
        </w:rPr>
        <w:t xml:space="preserve">   质量保证期为验收合格后 1 年。</w:t>
      </w:r>
    </w:p>
    <w:p w14:paraId="1751A78F">
      <w:pPr>
        <w:spacing w:line="360" w:lineRule="auto"/>
        <w:rPr>
          <w:rFonts w:hint="eastAsia"/>
          <w:sz w:val="24"/>
        </w:rPr>
      </w:pPr>
      <w:r>
        <w:rPr>
          <w:rFonts w:hint="eastAsia"/>
          <w:sz w:val="24"/>
        </w:rPr>
        <w:t>1.4 维修响应时间</w:t>
      </w:r>
    </w:p>
    <w:p w14:paraId="171A3024">
      <w:pPr>
        <w:spacing w:line="360" w:lineRule="auto"/>
        <w:rPr>
          <w:rFonts w:hint="eastAsia"/>
          <w:sz w:val="24"/>
        </w:rPr>
      </w:pPr>
      <w:r>
        <w:rPr>
          <w:rFonts w:hint="eastAsia"/>
          <w:sz w:val="24"/>
        </w:rPr>
        <w:t>在质保期内或质保期外，接到用户关于设备发生故障的通知后24小时内应答，应答后三个工作日内抵达现场维修。</w:t>
      </w:r>
    </w:p>
    <w:p w14:paraId="721E0DB6">
      <w:pPr>
        <w:spacing w:line="360" w:lineRule="auto"/>
        <w:rPr>
          <w:rFonts w:hint="eastAsia"/>
          <w:b/>
          <w:sz w:val="24"/>
        </w:rPr>
      </w:pPr>
      <w:r>
        <w:rPr>
          <w:rFonts w:hint="eastAsia"/>
          <w:b/>
          <w:sz w:val="24"/>
        </w:rPr>
        <w:t>（三） 订货数量：</w:t>
      </w:r>
    </w:p>
    <w:p w14:paraId="35FE2BCF">
      <w:pPr>
        <w:spacing w:line="360" w:lineRule="auto"/>
        <w:ind w:firstLine="240" w:firstLineChars="100"/>
        <w:rPr>
          <w:rFonts w:ascii="华文楷体" w:hAnsi="华文楷体" w:eastAsia="华文楷体"/>
          <w:sz w:val="24"/>
          <w:szCs w:val="20"/>
        </w:rPr>
      </w:pPr>
      <w:r>
        <w:rPr>
          <w:rFonts w:hint="eastAsia"/>
          <w:sz w:val="24"/>
        </w:rPr>
        <w:t xml:space="preserve"> </w:t>
      </w:r>
      <w:r>
        <w:rPr>
          <w:rFonts w:hint="eastAsia" w:ascii="华文楷体" w:hAnsi="华文楷体" w:eastAsia="华文楷体"/>
          <w:sz w:val="24"/>
          <w:szCs w:val="20"/>
        </w:rPr>
        <w:t>超高效液相色谱-三重四极杆高灵敏度质谱联用仪1套</w:t>
      </w:r>
    </w:p>
    <w:p w14:paraId="5CD9B1AC">
      <w:pPr>
        <w:spacing w:line="360" w:lineRule="auto"/>
        <w:ind w:firstLine="241" w:firstLineChars="100"/>
        <w:rPr>
          <w:rFonts w:hint="eastAsia" w:ascii="华文楷体" w:hAnsi="华文楷体" w:eastAsia="华文楷体"/>
          <w:sz w:val="24"/>
          <w:szCs w:val="20"/>
        </w:rPr>
      </w:pPr>
      <w:r>
        <w:rPr>
          <w:rFonts w:hint="eastAsia"/>
          <w:b/>
          <w:sz w:val="24"/>
        </w:rPr>
        <w:t>（四）交货日期：</w:t>
      </w:r>
    </w:p>
    <w:p w14:paraId="6C9B18B9">
      <w:pPr>
        <w:spacing w:line="360" w:lineRule="auto"/>
        <w:rPr>
          <w:sz w:val="24"/>
        </w:rPr>
      </w:pPr>
      <w:r>
        <w:rPr>
          <w:rFonts w:hint="eastAsia" w:ascii="华文楷体" w:hAnsi="华文楷体" w:eastAsia="华文楷体"/>
          <w:sz w:val="24"/>
        </w:rPr>
        <w:t xml:space="preserve">     合同签订后3个月内，运送至用户指定地点。</w:t>
      </w:r>
    </w:p>
    <w:p w14:paraId="7431113D">
      <w:pPr>
        <w:spacing w:line="360" w:lineRule="auto"/>
        <w:rPr>
          <w:rFonts w:hint="eastAsia"/>
          <w:b/>
          <w:sz w:val="24"/>
        </w:rPr>
      </w:pPr>
      <w:r>
        <w:rPr>
          <w:rFonts w:hint="eastAsia"/>
          <w:b/>
          <w:sz w:val="24"/>
        </w:rPr>
        <w:t>（五）执行的相关标准</w:t>
      </w:r>
    </w:p>
    <w:p w14:paraId="523E0C67">
      <w:pPr>
        <w:spacing w:line="360" w:lineRule="auto"/>
        <w:rPr>
          <w:rFonts w:hint="eastAsia" w:ascii="inherit" w:hAnsi="inherit" w:cs="宋体"/>
          <w:kern w:val="0"/>
          <w:sz w:val="24"/>
        </w:rPr>
      </w:pPr>
      <w:r>
        <w:rPr>
          <w:rFonts w:hint="eastAsia" w:ascii="inherit" w:hAnsi="inherit" w:cs="宋体"/>
          <w:kern w:val="0"/>
          <w:sz w:val="24"/>
        </w:rPr>
        <w:t xml:space="preserve">    无</w:t>
      </w:r>
    </w:p>
    <w:p w14:paraId="19C80A54">
      <w:pPr>
        <w:autoSpaceDE w:val="0"/>
        <w:autoSpaceDN w:val="0"/>
        <w:adjustRightInd w:val="0"/>
        <w:spacing w:line="360" w:lineRule="auto"/>
        <w:ind w:firstLine="241" w:firstLineChars="100"/>
        <w:rPr>
          <w:rFonts w:hint="eastAsia" w:ascii="宋体" w:hAnsi="宋体" w:cs="宋体"/>
          <w:b/>
          <w:sz w:val="24"/>
        </w:rPr>
      </w:pPr>
      <w:r>
        <w:rPr>
          <w:rFonts w:hint="eastAsia" w:ascii="宋体" w:hAnsi="宋体" w:cs="宋体"/>
          <w:b/>
          <w:sz w:val="24"/>
        </w:rPr>
        <w:t>六、验收标准</w:t>
      </w:r>
    </w:p>
    <w:p w14:paraId="000AF225">
      <w:pPr>
        <w:pStyle w:val="7"/>
        <w:spacing w:before="156" w:beforeLines="50" w:line="360" w:lineRule="auto"/>
        <w:ind w:firstLine="480" w:firstLineChars="200"/>
        <w:rPr>
          <w:rFonts w:hint="eastAsia" w:hAnsi="宋体" w:cs="宋体"/>
          <w:szCs w:val="24"/>
        </w:rPr>
      </w:pPr>
      <w:r>
        <w:rPr>
          <w:rFonts w:hint="eastAsia" w:hAnsi="宋体" w:cs="宋体"/>
          <w:szCs w:val="24"/>
        </w:rPr>
        <w:t>1. 仪器设备运抵安装现场后，买方将与卖方共同开箱验收，如卖方届时不派人参加，则验收结果应以买方的验收报告为最终验收结果。验收时发现短缺、破损, 买方有权要求卖方负责更换。</w:t>
      </w:r>
    </w:p>
    <w:p w14:paraId="323D22BF">
      <w:pPr>
        <w:spacing w:line="360" w:lineRule="auto"/>
        <w:ind w:firstLine="484" w:firstLineChars="202"/>
        <w:rPr>
          <w:rFonts w:hint="eastAsia" w:ascii="宋体" w:hAnsi="宋体" w:cs="宋体"/>
          <w:sz w:val="24"/>
        </w:rPr>
      </w:pPr>
      <w:r>
        <w:rPr>
          <w:rFonts w:hint="eastAsia" w:ascii="宋体" w:hAnsi="宋体" w:cs="宋体"/>
          <w:sz w:val="24"/>
        </w:rPr>
        <w:t>2. 验收标准以中标人提供的投标文件中所列的指标为准。任何虚假指标响应一经发现，卖方必须承担由此给买方带来的一切经济损失和其它相关责任。</w:t>
      </w:r>
    </w:p>
    <w:p w14:paraId="6CB00B11">
      <w:pPr>
        <w:spacing w:line="360" w:lineRule="auto"/>
        <w:ind w:left="554" w:hanging="554" w:hangingChars="231"/>
        <w:rPr>
          <w:rFonts w:hint="eastAsia" w:ascii="宋体" w:hAnsi="宋体"/>
          <w:sz w:val="24"/>
        </w:rPr>
      </w:pPr>
      <w:r>
        <w:rPr>
          <w:rFonts w:hint="eastAsia" w:ascii="宋体" w:hAnsi="宋体" w:cs="宋体"/>
          <w:sz w:val="24"/>
        </w:rPr>
        <w:t>3. 验收由采购人、中标人及相关人员依国家有关标准、合同及有关附件要求进行，验收完毕由采购人及中标人在验收报告上签名。</w:t>
      </w:r>
    </w:p>
    <w:p w14:paraId="469A637A">
      <w:pPr>
        <w:widowControl/>
        <w:spacing w:line="360" w:lineRule="auto"/>
        <w:ind w:left="554" w:hanging="554" w:hangingChars="231"/>
        <w:rPr>
          <w:rFonts w:hint="eastAsia" w:ascii="宋体" w:hAnsi="宋体"/>
          <w:sz w:val="24"/>
        </w:rPr>
      </w:pPr>
    </w:p>
    <w:p w14:paraId="06DB53B4">
      <w:bookmarkStart w:id="0" w:name="_GoBack"/>
      <w:bookmarkEnd w:id="0"/>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华文楷体">
    <w:altName w:val="宋体"/>
    <w:panose1 w:val="02010600040101010101"/>
    <w:charset w:val="86"/>
    <w:family w:val="auto"/>
    <w:pitch w:val="default"/>
    <w:sig w:usb0="00000000" w:usb1="00000000" w:usb2="00000010" w:usb3="00000000" w:csb0="0004009F" w:csb1="00000000"/>
  </w:font>
  <w:font w:name="inherit">
    <w:altName w:val="Times New Roman"/>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E1E52">
    <w:pPr>
      <w:pStyle w:val="3"/>
      <w:jc w:val="center"/>
    </w:pPr>
    <w:r>
      <w:fldChar w:fldCharType="begin"/>
    </w:r>
    <w:r>
      <w:instrText xml:space="preserve">PAGE   \* MERGEFORMAT</w:instrText>
    </w:r>
    <w:r>
      <w:fldChar w:fldCharType="separate"/>
    </w:r>
    <w:r>
      <w:rPr>
        <w:lang w:val="zh-CN"/>
      </w:rP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DE3D9">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A6607">
    <w:pPr>
      <w:pStyle w:val="4"/>
      <w:jc w:val="both"/>
    </w:pPr>
    <w:r>
      <w:rPr>
        <w:rFonts w:hint="eastAsia"/>
        <w:i/>
      </w:rPr>
      <w:t>中国科学院大学-资环学院-超高效液相色谱-三重串联四极杆高灵敏度质谱联用仪设备采购项目招标文件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4Mzk0ZmQwMzE2NTQxZmI2OGIzYzVkODhlMWM3Y2IifQ=="/>
  </w:docVars>
  <w:rsids>
    <w:rsidRoot w:val="74A05BA1"/>
    <w:rsid w:val="74A05B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uiPriority w:val="0"/>
    <w:rPr>
      <w:rFonts w:ascii="宋体" w:hAnsi="Courier New"/>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Plain Text1"/>
    <w:basedOn w:val="1"/>
    <w:qFormat/>
    <w:uiPriority w:val="99"/>
    <w:pPr>
      <w:adjustRightInd w:val="0"/>
      <w:jc w:val="left"/>
    </w:pPr>
    <w:rPr>
      <w:rFonts w:ascii="宋体" w:hAnsi="Courier New"/>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2024-11-14T08:10:00Z</dcterms:created>
  <dc:creator>东方招标 李媛</dc:creator>
  <cp:lastModifiedBy>东方招标 李媛</cp:lastModifiedBy>
  <dcterms:modified xsi:type="dcterms:W3CDTF">2024-11-14T08:11:12Z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DFA70D509EB84CF9B8A92FA33BBF9579_11</vt:lpwstr>
  </property>
</Properties>
</file>