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版本号：N510001202500139920250711002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（工程类）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大学城校区多功能教室、阅读室及其它配套设施装修改造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N5100012025001399</w:t>
      </w:r>
    </w:p>
    <w:p>
      <w:pPr>
        <w:pStyle w:val="null3"/>
        <w:jc w:val="center"/>
        <w:outlineLvl w:val="2"/>
      </w:pPr>
      <w:r>
        <w:rPr>
          <w:rFonts w:ascii="仿宋_GB2312" w:hAnsi="仿宋_GB2312" w:cs="仿宋_GB2312" w:eastAsia="仿宋_GB2312"/>
          <w:sz w:val="28"/>
          <w:b/>
        </w:rPr>
        <w:t>四川理工技师学院</w:t>
      </w:r>
    </w:p>
    <w:p>
      <w:pPr>
        <w:pStyle w:val="null3"/>
        <w:jc w:val="center"/>
        <w:outlineLvl w:val="2"/>
      </w:pPr>
      <w:r>
        <w:rPr>
          <w:rFonts w:ascii="仿宋_GB2312" w:hAnsi="仿宋_GB2312" w:cs="仿宋_GB2312" w:eastAsia="仿宋_GB2312"/>
          <w:sz w:val="28"/>
          <w:b/>
        </w:rPr>
        <w:t>四川省政府采购中心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四川省政府采购中心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四川理工技师学院</w:t>
      </w:r>
      <w:r>
        <w:rPr>
          <w:rFonts w:ascii="仿宋_GB2312" w:hAnsi="仿宋_GB2312" w:cs="仿宋_GB2312" w:eastAsia="仿宋_GB2312"/>
        </w:rPr>
        <w:t xml:space="preserve"> 委托，拟对 </w:t>
      </w:r>
      <w:r>
        <w:rPr>
          <w:rFonts w:ascii="仿宋_GB2312" w:hAnsi="仿宋_GB2312" w:cs="仿宋_GB2312" w:eastAsia="仿宋_GB2312"/>
        </w:rPr>
        <w:t>大学城校区多功能教室、阅读室及其它配套设施装修改造</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N5100012025001399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大学城校区多功能教室、阅读室及其它配套设施装修改造</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将大学城校区三个大教室（112、211、311）分别改造成1间阅读室和2间多功能教室，为全校教职员工提供更好的学习、教学、学术交流的场所；对实训楼多功能厅进行修缮改造，处理好屋面漏水及因漏水造成的损坏部位；对相关联的卫生间进行修缮改造。</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本项目以供应商库随机抽取方式邀请供应商参加磋商。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采购包1：专门面向小微企业采购。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rFonts w:ascii="仿宋_GB2312" w:hAnsi="仿宋_GB2312" w:cs="仿宋_GB2312" w:eastAsia="仿宋_GB2312"/>
        </w:rPr>
        <w:t>2、注册地不在四川省行政区域内的省外供应商须提供在有效期内的四川省住房和城乡建设厅登记或录入的入川信息材料（或承诺成交后、签订合同前完成入川登记或录入）（描述：供应商应在响应文件中提供“在政府采购合同签订前向采购人提交在有效期内的四川省住房和城乡建设厅官网已公开的入川信息网页截图”的承诺或在响应文件中提供有效期内的四川省住房和城乡建设厅官网已公开的入川信息网页截图。（上述两种方式二选一即可）。供应商需在交易系统中按要求上传相应证明文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四川理工技师学院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成都市温江区柳城镇南熏大道4段355号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611130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赵继英</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028-82669048</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四川省政府采购中心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四川省成都市青羊区顺城大街222号或鼓楼南街101号（丰德成达中心10层）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文件编制：028-86139138；开、评标：028-61323020（15）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采购包1：2,160,000.00元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保函/保险</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1.平台系统故障认定以四川政府采购网发布的系统运维通知内容为准；</w:t>
            </w:r>
          </w:p>
          <w:p>
            <w:pPr>
              <w:pStyle w:val="null3"/>
              <w:jc w:val="left"/>
            </w:pPr>
            <w:r>
              <w:rPr>
                <w:rFonts w:ascii="仿宋_GB2312" w:hAnsi="仿宋_GB2312" w:cs="仿宋_GB2312" w:eastAsia="仿宋_GB2312"/>
              </w:rPr>
              <w:t>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四川理工技师学院</w:t>
      </w:r>
      <w:r>
        <w:rPr>
          <w:rFonts w:ascii="仿宋_GB2312" w:hAnsi="仿宋_GB2312" w:cs="仿宋_GB2312" w:eastAsia="仿宋_GB2312"/>
        </w:rPr>
        <w:t xml:space="preserve"> 和 </w:t>
      </w:r>
      <w:r>
        <w:rPr>
          <w:rFonts w:ascii="仿宋_GB2312" w:hAnsi="仿宋_GB2312" w:cs="仿宋_GB2312" w:eastAsia="仿宋_GB2312"/>
        </w:rPr>
        <w:t>四川省政府采购中心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四川理工技师学院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四川省政府采购中心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在交易系统发送更正信息，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三、供应商应当及时查看更正信息，并根据更正信息要求，下载更正后的磋商文件，进行响应文件编制。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磋商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磋商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（四）磋商文件已明确各单位工程规费金额并要求按此金额填报而供应商填报错误或未填报的，或供应商未按相关计价规定计取规费的；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（五）磋商文件若已明确创优质工程奖补偿奖励费金额并要求按此金额填报而供应商填报错误或未填报的；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四、按照磋商文件第五章磋商办法规定进行价格修正的，修正后的报价经供应商加盖电子印章确认后产生约束力。未在规定时间内确认的，视同供应商不确认，作无效响应处理。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供应商申请验收后，由采购人组织验收小组在规定的时间内进行验收，验收后出具验收报告</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按照采购文件的质量要求和技术指标、供应商的响应文件及承诺与合同约定标准进行验收。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按照采购文件商务要求及供应商响应商务要求内容进行验收。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本项目采购人将严格按照政府采购相关法律法规、《财政部关于进一步加强政府采购需求和履约验收管理的指导意见》（财库〔2016〕205号）以及《政府采购需求管理办法》（财库〔2021〕22号）的要求进行验收。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四川理工技师学院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联系人：赵继英</w:t>
      </w:r>
    </w:p>
    <w:p>
      <w:pPr>
        <w:pStyle w:val="null3"/>
        <w:jc w:val="left"/>
      </w:pPr>
      <w:r>
        <w:rPr>
          <w:rFonts w:ascii="仿宋_GB2312" w:hAnsi="仿宋_GB2312" w:cs="仿宋_GB2312" w:eastAsia="仿宋_GB2312"/>
        </w:rPr>
        <w:t>联系电话：028-82669048</w:t>
      </w:r>
    </w:p>
    <w:p>
      <w:pPr>
        <w:pStyle w:val="null3"/>
        <w:jc w:val="left"/>
      </w:pPr>
      <w:r>
        <w:rPr>
          <w:rFonts w:ascii="仿宋_GB2312" w:hAnsi="仿宋_GB2312" w:cs="仿宋_GB2312" w:eastAsia="仿宋_GB2312"/>
        </w:rPr>
        <w:t>地址： 成都市温江区柳城镇南熏大道4段355号</w:t>
      </w:r>
    </w:p>
    <w:p>
      <w:pPr>
        <w:pStyle w:val="null3"/>
        <w:jc w:val="left"/>
      </w:pPr>
      <w:r>
        <w:rPr>
          <w:rFonts w:ascii="仿宋_GB2312" w:hAnsi="仿宋_GB2312" w:cs="仿宋_GB2312" w:eastAsia="仿宋_GB2312"/>
        </w:rPr>
        <w:t>邮编：611130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联系人：邹老师</w:t>
      </w:r>
    </w:p>
    <w:p>
      <w:pPr>
        <w:pStyle w:val="null3"/>
        <w:jc w:val="left"/>
      </w:pPr>
      <w:r>
        <w:rPr>
          <w:rFonts w:ascii="仿宋_GB2312" w:hAnsi="仿宋_GB2312" w:cs="仿宋_GB2312" w:eastAsia="仿宋_GB2312"/>
        </w:rPr>
        <w:t>联系电话：028-86007328</w:t>
      </w:r>
    </w:p>
    <w:p>
      <w:pPr>
        <w:pStyle w:val="null3"/>
        <w:jc w:val="left"/>
      </w:pPr>
      <w:r>
        <w:rPr>
          <w:rFonts w:ascii="仿宋_GB2312" w:hAnsi="仿宋_GB2312" w:cs="仿宋_GB2312" w:eastAsia="仿宋_GB2312"/>
        </w:rPr>
        <w:t>地址：四川省成都市青羊区顺城大街222号或鼓楼南街101号（丰德成达中心10层）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2,160,000.00</w:t>
      </w:r>
    </w:p>
    <w:p>
      <w:pPr>
        <w:pStyle w:val="null3"/>
        <w:jc w:val="left"/>
      </w:pPr>
      <w:r>
        <w:rPr>
          <w:rFonts w:ascii="仿宋_GB2312" w:hAnsi="仿宋_GB2312" w:cs="仿宋_GB2312" w:eastAsia="仿宋_GB2312"/>
        </w:rPr>
        <w:t>采购包最高限价（元）: 2,159,819.68</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B07000000 装修工程</w:t>
            </w:r>
          </w:p>
        </w:tc>
        <w:tc>
          <w:tcPr>
            <w:tcW w:type="dxa" w:w="821"/>
          </w:tcPr>
          <w:p>
            <w:pPr>
              <w:pStyle w:val="null3"/>
              <w:jc w:val="left"/>
            </w:pPr>
            <w:r>
              <w:rPr>
                <w:rFonts w:ascii="仿宋_GB2312" w:hAnsi="仿宋_GB2312" w:cs="仿宋_GB2312" w:eastAsia="仿宋_GB2312"/>
              </w:rPr>
              <w:t>大学城校区多功能教室、阅读室及其它配套设施装修改造</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2,159,819.68</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大学城校区多功能教室、阅读室及其它配套设施装修改造</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2,159,819.68</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B07000000 装修工程</w:t>
            </w:r>
          </w:p>
        </w:tc>
        <w:tc>
          <w:tcPr>
            <w:tcW w:type="dxa" w:w="2492"/>
          </w:tcPr>
          <w:p>
            <w:pPr>
              <w:pStyle w:val="null3"/>
              <w:jc w:val="left"/>
            </w:pPr>
            <w:r>
              <w:rPr>
                <w:rFonts w:ascii="仿宋_GB2312" w:hAnsi="仿宋_GB2312" w:cs="仿宋_GB2312" w:eastAsia="仿宋_GB2312"/>
              </w:rPr>
              <w:t>大学城校区多功能教室、阅读室及其它配套设施装修改造</w:t>
            </w:r>
          </w:p>
        </w:tc>
        <w:tc>
          <w:tcPr>
            <w:tcW w:type="dxa" w:w="2492"/>
          </w:tcPr>
          <w:p>
            <w:pPr>
              <w:pStyle w:val="null3"/>
              <w:jc w:val="left"/>
            </w:pPr>
            <w:r>
              <w:rPr>
                <w:rFonts w:ascii="仿宋_GB2312" w:hAnsi="仿宋_GB2312" w:cs="仿宋_GB2312" w:eastAsia="仿宋_GB2312"/>
              </w:rPr>
              <w:t>蹲便器、小便器、水嘴</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B07000000 装修工程</w:t>
            </w:r>
          </w:p>
        </w:tc>
        <w:tc>
          <w:tcPr>
            <w:tcW w:type="dxa" w:w="2492"/>
          </w:tcPr>
          <w:p>
            <w:pPr>
              <w:pStyle w:val="null3"/>
              <w:jc w:val="left"/>
            </w:pPr>
            <w:r>
              <w:rPr>
                <w:rFonts w:ascii="仿宋_GB2312" w:hAnsi="仿宋_GB2312" w:cs="仿宋_GB2312" w:eastAsia="仿宋_GB2312"/>
              </w:rPr>
              <w:t>大学城校区多功能教室、阅读室及其它配套设施装修改造</w:t>
            </w:r>
          </w:p>
        </w:tc>
        <w:tc>
          <w:tcPr>
            <w:tcW w:type="dxa" w:w="2492"/>
          </w:tcPr>
          <w:p>
            <w:pPr>
              <w:pStyle w:val="null3"/>
              <w:jc w:val="left"/>
            </w:pPr>
            <w:r>
              <w:rPr>
                <w:rFonts w:ascii="仿宋_GB2312" w:hAnsi="仿宋_GB2312" w:cs="仿宋_GB2312" w:eastAsia="仿宋_GB2312"/>
              </w:rPr>
              <w:t>LED筒灯、便池冲水阀</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B07000000 装修工程</w:t>
            </w:r>
          </w:p>
        </w:tc>
        <w:tc>
          <w:tcPr>
            <w:tcW w:type="dxa" w:w="2492"/>
          </w:tcPr>
          <w:p>
            <w:pPr>
              <w:pStyle w:val="null3"/>
              <w:jc w:val="left"/>
            </w:pPr>
            <w:r>
              <w:rPr>
                <w:rFonts w:ascii="仿宋_GB2312" w:hAnsi="仿宋_GB2312" w:cs="仿宋_GB2312" w:eastAsia="仿宋_GB2312"/>
              </w:rPr>
              <w:t>大学城校区多功能教室、阅读室及其它配套设施装修改造</w:t>
            </w:r>
          </w:p>
        </w:tc>
        <w:tc>
          <w:tcPr>
            <w:tcW w:type="dxa" w:w="2492"/>
          </w:tcPr>
          <w:p>
            <w:pPr>
              <w:pStyle w:val="null3"/>
              <w:jc w:val="left"/>
            </w:pPr>
            <w:r>
              <w:rPr>
                <w:rFonts w:ascii="仿宋_GB2312" w:hAnsi="仿宋_GB2312" w:cs="仿宋_GB2312" w:eastAsia="仿宋_GB2312"/>
              </w:rPr>
              <w:t>室内照明灯具、定制家具（椅凳、沙发、木质柜、木质架、卡座桌、条桌、讲台、主席台、主席椅、礼堂椅）人造板、水泥、石膏板、地砖、墙砖、聚合物水泥(JS)涂膜防水、SBS火烤防水、PVC复合卷材地胶、窗帘、地毯、内墙涂料、木门及门槛、防火门、窗</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标的名称：大学城校区多功能教室、阅读室及其它配套设施装修改造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sz w:val="21"/>
                <w:color w:val="000000"/>
              </w:rPr>
              <w:t>1.满足设计图纸和招标工程量清单的要求；</w:t>
            </w:r>
          </w:p>
          <w:p>
            <w:pPr>
              <w:pStyle w:val="null3"/>
              <w:jc w:val="left"/>
            </w:pPr>
            <w:r>
              <w:rPr>
                <w:rFonts w:ascii="仿宋_GB2312" w:hAnsi="仿宋_GB2312" w:cs="仿宋_GB2312" w:eastAsia="仿宋_GB2312"/>
                <w:sz w:val="21"/>
                <w:color w:val="000000"/>
              </w:rPr>
              <w:t>2.供应商对本项目的施工，必须达到国家及行业现行技术规范标准，符合国家及行业验收合格标准: 《建筑工程施工质量验收统一标准（GB50300-2013）》、《民用建筑设计统一标准》（GB50352--2019）、《建筑设计防火规范》（GB50016-2014）（2018年版）、《建筑内部装修设计防火规范》（GB50222-2017）、《建筑装饰装修工程质量验收标准》（GB50210-2018）、《室内设计资料集》、《室内装饰工程手册》、《建筑标准设计图》、《民用建筑工程室内环境污染控制规范》（GB50325-2020）。</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jc w:val="left"/>
            </w:pPr>
            <w:r>
              <w:rPr>
                <w:rFonts w:ascii="仿宋_GB2312" w:hAnsi="仿宋_GB2312" w:cs="仿宋_GB2312" w:eastAsia="仿宋_GB2312"/>
                <w:sz w:val="21"/>
                <w:color w:val="000000"/>
              </w:rPr>
              <w:t>1.缺陷责任期： 自竣工验收合格之日起24个月。</w:t>
            </w:r>
          </w:p>
          <w:p>
            <w:pPr>
              <w:pStyle w:val="null3"/>
              <w:jc w:val="left"/>
            </w:pPr>
            <w:r>
              <w:rPr>
                <w:rFonts w:ascii="仿宋_GB2312" w:hAnsi="仿宋_GB2312" w:cs="仿宋_GB2312" w:eastAsia="仿宋_GB2312"/>
                <w:sz w:val="21"/>
                <w:color w:val="000000"/>
              </w:rPr>
              <w:t xml:space="preserve">2.质量保修期：根据《建设工程质量管理条例》及有关规定执行。         </w:t>
            </w:r>
          </w:p>
          <w:p>
            <w:pPr>
              <w:pStyle w:val="null3"/>
              <w:jc w:val="left"/>
            </w:pPr>
            <w:r>
              <w:rPr>
                <w:rFonts w:ascii="仿宋_GB2312" w:hAnsi="仿宋_GB2312" w:cs="仿宋_GB2312" w:eastAsia="仿宋_GB2312"/>
                <w:sz w:val="21"/>
                <w:color w:val="000000"/>
              </w:rPr>
              <w:t xml:space="preserve">3.质量保修期自工程竣工验收合格之日起计算。                         </w:t>
            </w:r>
          </w:p>
          <w:p>
            <w:pPr>
              <w:pStyle w:val="null3"/>
              <w:jc w:val="left"/>
            </w:pPr>
            <w:r>
              <w:rPr>
                <w:rFonts w:ascii="仿宋_GB2312" w:hAnsi="仿宋_GB2312" w:cs="仿宋_GB2312" w:eastAsia="仿宋_GB2312"/>
                <w:sz w:val="21"/>
                <w:color w:val="000000"/>
              </w:rPr>
              <w:t>4.缺陷责任期内、保修期内按国家法律规定和合同约定对本项目维修维护。</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合同管理安排</w:t>
            </w:r>
          </w:p>
        </w:tc>
        <w:tc>
          <w:tcPr>
            <w:tcW w:type="dxa" w:w="5814"/>
          </w:tcPr>
          <w:p>
            <w:pPr>
              <w:pStyle w:val="null3"/>
              <w:jc w:val="left"/>
            </w:pPr>
            <w:r>
              <w:rPr>
                <w:rFonts w:ascii="仿宋_GB2312" w:hAnsi="仿宋_GB2312" w:cs="仿宋_GB2312" w:eastAsia="仿宋_GB2312"/>
              </w:rPr>
              <w:t>1）合同类型：建设工程合同</w:t>
            </w:r>
          </w:p>
          <w:p>
            <w:pPr>
              <w:pStyle w:val="null3"/>
              <w:jc w:val="left"/>
            </w:pPr>
            <w:r>
              <w:rPr>
                <w:rFonts w:ascii="仿宋_GB2312" w:hAnsi="仿宋_GB2312" w:cs="仿宋_GB2312" w:eastAsia="仿宋_GB2312"/>
              </w:rPr>
              <w:t>2）合同定价方式：固定总价</w:t>
            </w:r>
          </w:p>
          <w:p>
            <w:pPr>
              <w:pStyle w:val="null3"/>
              <w:jc w:val="left"/>
            </w:pPr>
            <w:r>
              <w:rPr>
                <w:rFonts w:ascii="仿宋_GB2312" w:hAnsi="仿宋_GB2312" w:cs="仿宋_GB2312" w:eastAsia="仿宋_GB2312"/>
              </w:rPr>
              <w:t xml:space="preserve"> </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自合同签订之日起75日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四川理工技师学院大学城校区（成都市温江区南熏大道4段355号）、四川理工技师学院学府校区（成都市温江区芳邻路8号）</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1、采购方在本合同签订生效之日起，接到供应商通知和票据凭证资料，达到付款条件起10日内，据实情况说明为支付合同总金额的 50 %</w:t>
            </w:r>
          </w:p>
          <w:p>
            <w:pPr>
              <w:pStyle w:val="null3"/>
              <w:jc w:val="left"/>
            </w:pPr>
            <w:r>
              <w:rPr>
                <w:rFonts w:ascii="仿宋_GB2312" w:hAnsi="仿宋_GB2312" w:cs="仿宋_GB2312" w:eastAsia="仿宋_GB2312"/>
              </w:rPr>
              <w:t>2、工程全部施工完毕并验收合格之日起，采购方接到 供应商通知与票据凭证资料，达到付款条件起15日内，据实情况说明为支付合同总金额的50%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供应商申请验收后，采购人按照采购文件的要求、成交供应商的响应文件和承诺、合同相关约定以及国家和行业有关标准进行验收，由采购人组织验收小组在规定的时间内进行验收，验收后出具验收报告。其他未尽事宜按照《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供应商应妥善保护采购人提供的设备及现场堆放的家具、陈设和工程成品，如造成损失，应照价赔偿。(二)未经采购人同意，供应商擅自拆改原建筑物结构或设备管线，供应商应恢复原状。由此发生的损失或事故(包括罚款)，由供应商负责并承担损失。(三)因一方原因，合同无法继续履行时，应通知对方，办理合同终止协议，并由责任方赔偿由此造成的经济损失。(四)未得采购人书面同意，供应商任何时候不得将本合同转让与第三方，也不得将本合同项下的工程进行任何形式的分包或 转包，否则构成供应商违约。采购人有权终止合同，供应商除赔偿给采购人造成的全部损失外，还应全部退还采购人已支付的款项，并支付工程款总额的10%作为违约金。(五)发生其他违约情形，供应商承担合同暂定总价款10%的违约金，并赔偿对方因该违约行为而受到的损失。(六)采购人解除合同或供应商解除合同的，采购人有权继续使用供应商已提交的相应成果及资料，并不构成采购人违约。(七)供应商同意采购人在应支付的费用中扣除供应商应支付的违约金。(八)供应商应在采购人发出解除合同通知后，应在采购人指定期限内撤出全部临建、施工人员、机械设备和剩余材料(除收尾工程所需的以外)，并将所有承包范围内的工程清理干净;供应商逾期未能撤走其遗留施工现场的机具的，视为供应商已放弃所有权，采购人有权自行予以处置。供应商退场后，采购人将按照供应商已完成并经采购人验收合格的实际工程量办理结算，其他费用采购人将不再考虑。(九)本合同所约定的违约金，考虑了商誉、社会影响、时间成本、处理违约事件所耗费人力资源等综合要素所造成的损失。该等损失的综合要素虽难以精确量化，但各方诚信认可其在商业行为中确实存在，为避免届时难以精确衡量，故在此事先约定以违约金方式，尽量弥补损失，同时本合同所约定的违约金具有惩罚性违约金性质。在充分理解和认可上述原则的基础上，故双方事后均不再以“违约金过分高于损失”等为由作为抗辩要求调低违约金，收取违约金的一方亦无需举证具体损失。本合同约定的违约金不足以弥补因一方违约而导致对方损失的，受损害方有权要求对方继续承担赔偿责任直至补偿全部合理损失。(十)因供应商原因造成工期延误，逾期竣工违约金的计算方法为:每延误一天扣除合同金额的3%.因供应商原因造成工期延误，逾期竣工违约金的上限:签约合同价款10%。(十一)因供应商过错造成人身损害和财产损失的,供应商应当承担相关法律责任。</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工程变更（含漏项、漏量） 施工过程中，发现工程量清单存在漏项工程的，暂列金额不足以解决的部分采购人不予实施。</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1.《施工方案与技术措施》要求包括以下要素： ①项目管理组织机构及管理人员职责分工； ②各个分部分项工程完整的施工工艺； ③供应商制定有针对本项目的施工安排 ④本项目施工前的准备工作计划； 2.《工程进度计划与措施》包括以下要素： ①施工进度计划安排的横道图或网络图； ②主要设备、材料的进场计划； ③进度控制原则、进度控制流程； ④根据踏勘情况反映出的本项目施工难点作出有针对性的解决措施； 3.《质量管理体系与措施》包括以下要素： ①项目整体质量目标； ②项目质量管理的组织机构以及分工、职责和管理制度； ③技术保障和资源保障措施； ④质量全过程检查制度及质量事故的处理规定； 4.《安全管理体系与措施》包括以下要素： ①项目重要危险源分析以及项目安全管理目标； ②安全管理组织机构以及分工、职责； ③安全生产管理制度和职工安全教育培训制度； ④施工安全、消防安全、安保安全的保证措施、现场安全检查制度及安全事故的处理规定； 5.《环境保护管理体系与措施》包括以下要素： ①项目文明施工与环境管理目标； ②噪音控制措施、扬尘控制措施； ③供应商制定有针对本项目所在环境的污染物处理及排放措施； ④供应商制定有环境保护管理体系及现场文明施工措施； ⑤项目文明施工与现场环境检查制度及环境事故的处理规定； 6.技术负责人具有建筑工程相关专业中级及以上职称，项目组配备施工员、材料员、资料员、质量员； 7.2022年1月1日(含)以来具有类似维修改造工程或装饰装修工程施工业绩。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ind w:firstLine="480"/>
        <w:jc w:val="left"/>
      </w:pPr>
      <w:r>
        <w:rPr>
          <w:rFonts w:ascii="仿宋_GB2312" w:hAnsi="仿宋_GB2312" w:cs="仿宋_GB2312" w:eastAsia="仿宋_GB2312"/>
        </w:rPr>
        <w:t>注：工程量清单不属于磋商过程中可以实质性变动的内容。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 xml:space="preserve"> 七、磋商文件规定的供应商资格条件与随机抽取设置的或邀请书中载明的供应商资格条件不一致的；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八、磋商文件有违反国家其他有关强制性规定的情形。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关于财务会计制度的证明材料｛注：供应商根据自身情况选择提供其中任意一项：（1）可提供近两年（2023年或2024年）任一年度经审计的财务报告（包含审计报告和审计报告中所涉及的财务报表和报表附注）。（2）可提供近两年（2023年或2024年）任一年度供应商完整的全套财务报表（应当包括资产负债表、利润表、现金流量表）。（3）可提供截至投标文件提交截止日一年内银行出具的资信证明。（4）供应商注册时间截至投标文件提交截止日不足一年的，也可提供在工商管理部门备案的公司章程。</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br/>
              <w:t>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建筑工程二级建造师及以上建造师注册证书原件扫描件；</w:t>
              <w:br/>
              <w:t>供应商应当提供项目负责人的行业主管部门颁发的且在有效期内的房屋建筑和市政基础设施工程安全生产考核合格证书 (B 证)原件扫描件；</w:t>
              <w:br/>
              <w:t>供应商需在使用投标(响应)客户端编制响应文件时，按要求上传相应证明材料，填写《投标（响应）函》完成承诺，并进行电子签章。</w:t>
              <w:br/>
              <w:t>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rFonts w:ascii="仿宋_GB2312" w:hAnsi="仿宋_GB2312" w:cs="仿宋_GB2312" w:eastAsia="仿宋_GB2312"/>
              </w:rPr>
              <w:t>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本采购包属于专门面向小微企业采购。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rFonts w:ascii="仿宋_GB2312" w:hAnsi="仿宋_GB2312" w:cs="仿宋_GB2312" w:eastAsia="仿宋_GB2312"/>
              </w:rPr>
              <w:t>投标（响应）函,企业资质信息表</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注册地不在四川省行政区域内的省外供应商须提供在有效期内的四川省住房和城乡建设厅登记或录入的入川信息材料（或承诺成交后、签订合同前完成入川登记或录入）</w:t>
            </w:r>
          </w:p>
        </w:tc>
        <w:tc>
          <w:tcPr>
            <w:tcW w:type="dxa" w:w="3322"/>
          </w:tcPr>
          <w:p>
            <w:pPr>
              <w:pStyle w:val="null3"/>
              <w:jc w:val="left"/>
            </w:pPr>
            <w:r>
              <w:rPr>
                <w:rFonts w:ascii="仿宋_GB2312" w:hAnsi="仿宋_GB2312" w:cs="仿宋_GB2312" w:eastAsia="仿宋_GB2312"/>
              </w:rPr>
              <w:t>供应商应在响应文件中提供“在政府采购合同签订前向采购人提交在有效期内的四川省住房和城乡建设厅官网已公开的入川信息网页截图”的承诺或在响应文件中提供有效期内的四川省住房和城乡建设厅官网已公开的入川信息网页截图。（上述两种方式二选一即可）。供应商需在交易系统中按要求上传相应证明文件并进行电子签章。</w:t>
            </w:r>
          </w:p>
        </w:tc>
        <w:tc>
          <w:tcPr>
            <w:tcW w:type="dxa" w:w="1910"/>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二、磋商小组应对供应商已标价工程量清单进行算术性复核，如果出现下列不一致的，按以下原则进行修正：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第三章技术、服务及其他要求中带“★”的实质性要求</w:t>
            </w:r>
          </w:p>
        </w:tc>
        <w:tc>
          <w:tcPr>
            <w:tcW w:type="dxa" w:w="3322"/>
          </w:tcPr>
          <w:p>
            <w:pPr>
              <w:pStyle w:val="null3"/>
              <w:jc w:val="left"/>
            </w:pPr>
            <w:r>
              <w:rPr>
                <w:rFonts w:ascii="仿宋_GB2312" w:hAnsi="仿宋_GB2312" w:cs="仿宋_GB2312" w:eastAsia="仿宋_GB2312"/>
              </w:rPr>
              <w:t>供应商须针对采购文件的要求进行响应或提供相关证明材料</w:t>
            </w:r>
          </w:p>
        </w:tc>
        <w:tc>
          <w:tcPr>
            <w:tcW w:type="dxa" w:w="1910"/>
          </w:tcPr>
          <w:p>
            <w:pPr>
              <w:pStyle w:val="null3"/>
              <w:jc w:val="left"/>
            </w:pPr>
            <w:r>
              <w:rPr>
                <w:rFonts w:ascii="仿宋_GB2312" w:hAnsi="仿宋_GB2312" w:cs="仿宋_GB2312" w:eastAsia="仿宋_GB2312"/>
              </w:rPr>
              <w:t>已标价工程量清单,强制、优先采购产品承诺函,供应商应提交的相关证明材料,其他证明材料.docx,技术、服务及商务要求应答表.docx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磋商小组认为供应商响应报价明显低于其他通过符合性审查供应商的响应报价，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注：供应商报价低于最高限价85%或者低于其他有效供应商报价算术平均价90%的，磋商小组可以认为该供应商“报价明显低于其他实质性响应的供应商报价”。）</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施工方案和技术措施</w:t>
      </w:r>
      <w:r>
        <w:rPr>
          <w:rFonts w:ascii="仿宋_GB2312" w:hAnsi="仿宋_GB2312" w:cs="仿宋_GB2312" w:eastAsia="仿宋_GB2312"/>
        </w:rPr>
        <w:t xml:space="preserve"> ，按照技术指标得分确定优劣）顺序排列；评审得分且最后报价且技术指标得分均相同的，按供应商承诺提供的优先采购产品认证证书数量由多到少顺序排列；评审得分且最后报价且技术指标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outlineLvl w:val="3"/>
      </w:pPr>
      <w:r>
        <w:rPr>
          <w:rFonts w:ascii="仿宋_GB2312" w:hAnsi="仿宋_GB2312" w:cs="仿宋_GB2312" w:eastAsia="仿宋_GB2312"/>
          <w:sz w:val="24"/>
          <w:b/>
        </w:rPr>
        <w:t>评分标准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施工方案和技术措施</w:t>
            </w:r>
          </w:p>
        </w:tc>
        <w:tc>
          <w:tcPr>
            <w:tcW w:type="dxa" w:w="2575"/>
          </w:tcPr>
          <w:p>
            <w:pPr>
              <w:pStyle w:val="null3"/>
              <w:jc w:val="left"/>
            </w:pPr>
            <w:r>
              <w:rPr>
                <w:rFonts w:ascii="仿宋_GB2312" w:hAnsi="仿宋_GB2312" w:cs="仿宋_GB2312" w:eastAsia="仿宋_GB2312"/>
              </w:rPr>
              <w:t>根据供应商施工方案满足本工程进度 及管理需要，技术措施满足本项目的 实际特点，满足现行国家施工质量验 收规范。 磋商小组根据以下评分标 准进行评审： 《施工方案与技术措 施》要求包括以下要素： ①项目管理组织机构及管理人员职责 分工； ②各个分部分项工程完整的 施工工艺； ③供应商制定有针对本 项目的施工安排 ④本项目施工前的 准备工作计划；说明：以上4点包含的 内容完全满足磋商文件要求的得12分 ，每缺少一项扣3分，每有一处内容 有缺陷扣1分，直到该项3分扣完为止。 (缺陷是指项目名称、实施地点、 进度计划超期、涉及的规范、标准、 套用其他方案与本项目采购需求不一致）</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技术、服务及商务要求应答表.docx</w:t>
            </w:r>
          </w:p>
          <w:p>
            <w:pPr>
              <w:pStyle w:val="null3"/>
              <w:jc w:val="left"/>
            </w:pPr>
            <w:r>
              <w:rPr>
                <w:rFonts w:ascii="仿宋_GB2312" w:hAnsi="仿宋_GB2312" w:cs="仿宋_GB2312" w:eastAsia="仿宋_GB2312"/>
              </w:rPr>
              <w:t>其他证明材料.docx</w:t>
            </w:r>
          </w:p>
        </w:tc>
      </w:tr>
      <w:tr>
        <w:tc>
          <w:tcPr>
            <w:tcW w:type="dxa" w:w="831"/>
            <w:vMerge/>
          </w:tcPr>
          <w:p/>
        </w:tc>
        <w:tc>
          <w:tcPr>
            <w:tcW w:type="dxa" w:w="1661"/>
          </w:tcPr>
          <w:p>
            <w:pPr>
              <w:pStyle w:val="null3"/>
              <w:jc w:val="left"/>
            </w:pPr>
            <w:r>
              <w:rPr>
                <w:rFonts w:ascii="仿宋_GB2312" w:hAnsi="仿宋_GB2312" w:cs="仿宋_GB2312" w:eastAsia="仿宋_GB2312"/>
              </w:rPr>
              <w:t>工期及进度计划和措施</w:t>
            </w:r>
          </w:p>
        </w:tc>
        <w:tc>
          <w:tcPr>
            <w:tcW w:type="dxa" w:w="2575"/>
          </w:tcPr>
          <w:p>
            <w:pPr>
              <w:pStyle w:val="null3"/>
              <w:jc w:val="left"/>
            </w:pPr>
            <w:r>
              <w:rPr>
                <w:rFonts w:ascii="仿宋_GB2312" w:hAnsi="仿宋_GB2312" w:cs="仿宋_GB2312" w:eastAsia="仿宋_GB2312"/>
              </w:rPr>
              <w:t>基本要求：工程进度计划符合采购文件要求，关键路径准确、清晰，逻辑关系正确，措施能有效保证计划的实施。磋商小组根据以下评分标准进行评审：《工程进度计划与措施》包括以下要素： ①施工进度计划安排的横道图或网络图； ②主要设备、材料的进场计划； ③进度控制原则、进度控制流程； ④根据踏勘情况反映出的本项目施工难点作出有针对性的解决措施。 说明：以上4点包含的内容完全满足磋商文件要求的得12分 ，每缺少一项扣3分，每有一处内容有缺陷扣1分，直到该项3分扣完为止 (缺陷是指项目名称、实施地点、 进度计划超期、涉及的规范、标准、套用其他方案与本项目采购需求不一致。）</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技术、服务及商务要求应答表.docx</w:t>
            </w:r>
          </w:p>
          <w:p>
            <w:pPr>
              <w:pStyle w:val="null3"/>
              <w:jc w:val="left"/>
            </w:pPr>
            <w:r>
              <w:rPr>
                <w:rFonts w:ascii="仿宋_GB2312" w:hAnsi="仿宋_GB2312" w:cs="仿宋_GB2312" w:eastAsia="仿宋_GB2312"/>
              </w:rPr>
              <w:t>其他证明材料.docx</w:t>
            </w:r>
          </w:p>
        </w:tc>
      </w:tr>
      <w:tr>
        <w:tc>
          <w:tcPr>
            <w:tcW w:type="dxa" w:w="831"/>
            <w:vMerge/>
          </w:tcPr>
          <w:p/>
        </w:tc>
        <w:tc>
          <w:tcPr>
            <w:tcW w:type="dxa" w:w="1661"/>
          </w:tcPr>
          <w:p>
            <w:pPr>
              <w:pStyle w:val="null3"/>
              <w:jc w:val="left"/>
            </w:pPr>
            <w:r>
              <w:rPr>
                <w:rFonts w:ascii="仿宋_GB2312" w:hAnsi="仿宋_GB2312" w:cs="仿宋_GB2312" w:eastAsia="仿宋_GB2312"/>
              </w:rPr>
              <w:t>质量管理体系和措施</w:t>
            </w:r>
          </w:p>
        </w:tc>
        <w:tc>
          <w:tcPr>
            <w:tcW w:type="dxa" w:w="2575"/>
          </w:tcPr>
          <w:p>
            <w:pPr>
              <w:pStyle w:val="null3"/>
              <w:jc w:val="left"/>
            </w:pPr>
            <w:r>
              <w:rPr>
                <w:rFonts w:ascii="仿宋_GB2312" w:hAnsi="仿宋_GB2312" w:cs="仿宋_GB2312" w:eastAsia="仿宋_GB2312"/>
              </w:rPr>
              <w:t>基本要求：质量管理体系健全，措施 对实现质量目标有针对性。 磋商小组根据以下评分标准进行评审： 《 质量管理体系与措施》包括以下要素： ①项目整体质量目标； ②项目质量管理的组织机构以及分工 、职责和管理制度； ③技术保障和 资源保障措施； ④质量全过程检查 制度及质量事故的处理规定。 说明：以上4点包含的内容完全满足磋商文件要求的得12分 ，每缺少一项扣3分，每有一处内容有缺陷扣1分，直到该项3分扣完为止 (缺陷是指项目名称、实施地点、 进度计划 超期、涉及的规范、标准、套用其他方案与本项目采购需求不一致。）</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技术、服务及商务要求应答表.docx</w:t>
            </w:r>
          </w:p>
          <w:p>
            <w:pPr>
              <w:pStyle w:val="null3"/>
              <w:jc w:val="left"/>
            </w:pPr>
            <w:r>
              <w:rPr>
                <w:rFonts w:ascii="仿宋_GB2312" w:hAnsi="仿宋_GB2312" w:cs="仿宋_GB2312" w:eastAsia="仿宋_GB2312"/>
              </w:rPr>
              <w:t>其他证明材料.docx</w:t>
            </w:r>
          </w:p>
        </w:tc>
      </w:tr>
      <w:tr>
        <w:tc>
          <w:tcPr>
            <w:tcW w:type="dxa" w:w="831"/>
            <w:vMerge/>
          </w:tcPr>
          <w:p/>
        </w:tc>
        <w:tc>
          <w:tcPr>
            <w:tcW w:type="dxa" w:w="1661"/>
          </w:tcPr>
          <w:p>
            <w:pPr>
              <w:pStyle w:val="null3"/>
              <w:jc w:val="left"/>
            </w:pPr>
            <w:r>
              <w:rPr>
                <w:rFonts w:ascii="仿宋_GB2312" w:hAnsi="仿宋_GB2312" w:cs="仿宋_GB2312" w:eastAsia="仿宋_GB2312"/>
              </w:rPr>
              <w:t>安全管理体系和措施</w:t>
            </w:r>
          </w:p>
        </w:tc>
        <w:tc>
          <w:tcPr>
            <w:tcW w:type="dxa" w:w="2575"/>
          </w:tcPr>
          <w:p>
            <w:pPr>
              <w:pStyle w:val="null3"/>
              <w:jc w:val="left"/>
            </w:pPr>
            <w:r>
              <w:rPr>
                <w:rFonts w:ascii="仿宋_GB2312" w:hAnsi="仿宋_GB2312" w:cs="仿宋_GB2312" w:eastAsia="仿宋_GB2312"/>
              </w:rPr>
              <w:t>基本要求：安全管理体系、安全教育及培训计划健全、安全防护符合国家 及地方安全管理规定。 磋商小组根据以下评分标准进行评审：《安全管理体系与措施》包括以下要素： ①项目重要危险源分析以及项 目安全管理目标； ②安全管理组织 机构以及分工、职责； ③安全生产 管理制度和职工安全教育培训制度； ④施工安全、消防安全、安保安全的保证措施、现场安全检查制度及安全事故的处理规定(针对校园人群安全管理体系及措施)。 说明：以上4点包含的内容完全满足磋商文件要求的得12分 ，每缺少一项扣3分，每有一处内容有缺陷扣1分，直到该项3分扣完为止 (缺陷是指项目名称、实施地点、 进度计划超期、涉及的规范、标准、套用其他方案与本项目采购需求不一致。）</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技术、服务及商务要求应答表.docx</w:t>
            </w:r>
          </w:p>
          <w:p>
            <w:pPr>
              <w:pStyle w:val="null3"/>
              <w:jc w:val="left"/>
            </w:pPr>
            <w:r>
              <w:rPr>
                <w:rFonts w:ascii="仿宋_GB2312" w:hAnsi="仿宋_GB2312" w:cs="仿宋_GB2312" w:eastAsia="仿宋_GB2312"/>
              </w:rPr>
              <w:t>其他证明材料.docx</w:t>
            </w:r>
          </w:p>
        </w:tc>
      </w:tr>
      <w:tr>
        <w:tc>
          <w:tcPr>
            <w:tcW w:type="dxa" w:w="831"/>
            <w:vMerge/>
          </w:tcPr>
          <w:p/>
        </w:tc>
        <w:tc>
          <w:tcPr>
            <w:tcW w:type="dxa" w:w="1661"/>
          </w:tcPr>
          <w:p>
            <w:pPr>
              <w:pStyle w:val="null3"/>
              <w:jc w:val="left"/>
            </w:pPr>
            <w:r>
              <w:rPr>
                <w:rFonts w:ascii="仿宋_GB2312" w:hAnsi="仿宋_GB2312" w:cs="仿宋_GB2312" w:eastAsia="仿宋_GB2312"/>
              </w:rPr>
              <w:t>环境、卫生、治安综合治理措施</w:t>
            </w:r>
          </w:p>
        </w:tc>
        <w:tc>
          <w:tcPr>
            <w:tcW w:type="dxa" w:w="2575"/>
          </w:tcPr>
          <w:p>
            <w:pPr>
              <w:pStyle w:val="null3"/>
              <w:jc w:val="left"/>
            </w:pPr>
            <w:r>
              <w:rPr>
                <w:rFonts w:ascii="仿宋_GB2312" w:hAnsi="仿宋_GB2312" w:cs="仿宋_GB2312" w:eastAsia="仿宋_GB2312"/>
              </w:rPr>
              <w:t>基本要求：环境保护管理体系健全、 污染物处理及排放符合国家及地方环 境保护标准，技术及管理措施到位。 磋商小组根据以下评分标准进行评审 ： 《环境保护管理体系与措施》包 括以下要素： ①项目文明 施工与环境管理目标； ②噪音控制 措施、扬尘控制措施； ③供应商制 定有针对本项目所在环境的污染物处 理及排放措施； ④供应商制定有环 境保护管理体系及现场文明施工措施 ； ⑤项目文明施工与现场环境检查 制度及环境事故的处理规定。 说明：以上4点包含的内容完全满足磋商文件要求的得15分 ，每缺少一项扣3分，每有一处内容有缺陷扣1分，直到该项3分扣完为止 (缺陷是指项目名称、实施地点、 进度计划超期、涉及的规范、标准、套用其他方案与本项目采购需求不一致。）</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技术、服务及商务要求应答表.docx</w:t>
            </w:r>
          </w:p>
          <w:p>
            <w:pPr>
              <w:pStyle w:val="null3"/>
              <w:jc w:val="left"/>
            </w:pPr>
            <w:r>
              <w:rPr>
                <w:rFonts w:ascii="仿宋_GB2312" w:hAnsi="仿宋_GB2312" w:cs="仿宋_GB2312" w:eastAsia="仿宋_GB2312"/>
              </w:rPr>
              <w:t>其他证明材料.docx</w:t>
            </w:r>
          </w:p>
        </w:tc>
      </w:tr>
      <w:tr>
        <w:tc>
          <w:tcPr>
            <w:tcW w:type="dxa" w:w="831"/>
            <w:vMerge/>
          </w:tcPr>
          <w:p/>
        </w:tc>
        <w:tc>
          <w:tcPr>
            <w:tcW w:type="dxa" w:w="1661"/>
          </w:tcPr>
          <w:p>
            <w:pPr>
              <w:pStyle w:val="null3"/>
              <w:jc w:val="left"/>
            </w:pPr>
            <w:r>
              <w:rPr>
                <w:rFonts w:ascii="仿宋_GB2312" w:hAnsi="仿宋_GB2312" w:cs="仿宋_GB2312" w:eastAsia="仿宋_GB2312"/>
              </w:rPr>
              <w:t>组织机构及人员配置 人员</w:t>
            </w:r>
          </w:p>
        </w:tc>
        <w:tc>
          <w:tcPr>
            <w:tcW w:type="dxa" w:w="2575"/>
          </w:tcPr>
          <w:p>
            <w:pPr>
              <w:pStyle w:val="null3"/>
              <w:jc w:val="left"/>
            </w:pPr>
            <w:r>
              <w:rPr>
                <w:rFonts w:ascii="仿宋_GB2312" w:hAnsi="仿宋_GB2312" w:cs="仿宋_GB2312" w:eastAsia="仿宋_GB2312"/>
              </w:rPr>
              <w:t>技术负责人：技术负责人具有建筑工程相关专业中级及以上职称得2分，本项最高得2分。 项目组成员：配备施工员、材料员、资料员、质量员、安全员、造价员，以上人员须附住房和城乡建设领域颁发的人员岗位合格证书，每人得1分，本项最高得6分。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技术、服务及商务要求应答表.docx</w:t>
            </w:r>
          </w:p>
          <w:p>
            <w:pPr>
              <w:pStyle w:val="null3"/>
              <w:jc w:val="left"/>
            </w:pPr>
            <w:r>
              <w:rPr>
                <w:rFonts w:ascii="仿宋_GB2312" w:hAnsi="仿宋_GB2312" w:cs="仿宋_GB2312" w:eastAsia="仿宋_GB2312"/>
              </w:rPr>
              <w:t>其他证明材料.docx</w:t>
            </w:r>
          </w:p>
        </w:tc>
      </w:tr>
      <w:tr>
        <w:tc>
          <w:tcPr>
            <w:tcW w:type="dxa" w:w="831"/>
            <w:vMerge/>
          </w:tcPr>
          <w:p/>
        </w:tc>
        <w:tc>
          <w:tcPr>
            <w:tcW w:type="dxa" w:w="1661"/>
          </w:tcPr>
          <w:p>
            <w:pPr>
              <w:pStyle w:val="null3"/>
              <w:jc w:val="left"/>
            </w:pPr>
            <w:r>
              <w:rPr>
                <w:rFonts w:ascii="仿宋_GB2312" w:hAnsi="仿宋_GB2312" w:cs="仿宋_GB2312" w:eastAsia="仿宋_GB2312"/>
              </w:rPr>
              <w:t>类似项目业绩</w:t>
            </w:r>
          </w:p>
        </w:tc>
        <w:tc>
          <w:tcPr>
            <w:tcW w:type="dxa" w:w="2575"/>
          </w:tcPr>
          <w:p>
            <w:pPr>
              <w:pStyle w:val="null3"/>
              <w:jc w:val="left"/>
            </w:pPr>
            <w:r>
              <w:rPr>
                <w:rFonts w:ascii="仿宋_GB2312" w:hAnsi="仿宋_GB2312" w:cs="仿宋_GB2312" w:eastAsia="仿宋_GB2312"/>
              </w:rPr>
              <w:t>2022年1月1日(含)以来具有1个已完成的类似业绩得3分，每增加一个加2分， 本项满分7分。 类似业绩指：维修改造工程或装饰装修工程施工。 注： 已完成业绩须提供合同协议书和竣工验收报告；类似项目业绩时间以竣工验收证明材料上的竣工时间为准。</w:t>
            </w:r>
          </w:p>
        </w:tc>
        <w:tc>
          <w:tcPr>
            <w:tcW w:type="dxa" w:w="831"/>
          </w:tcPr>
          <w:p>
            <w:pPr>
              <w:pStyle w:val="null3"/>
              <w:jc w:val="center"/>
            </w:pPr>
            <w:r>
              <w:rPr>
                <w:rFonts w:ascii="仿宋_GB2312" w:hAnsi="仿宋_GB2312" w:cs="仿宋_GB2312" w:eastAsia="仿宋_GB2312"/>
              </w:rPr>
              <w:t>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其他证明材料.docx</w:t>
            </w:r>
          </w:p>
          <w:p>
            <w:pPr>
              <w:pStyle w:val="null3"/>
              <w:jc w:val="left"/>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jc w:val="left"/>
            </w:pPr>
            <w:r>
              <w:rPr>
                <w:rFonts w:ascii="仿宋_GB2312" w:hAnsi="仿宋_GB2312" w:cs="仿宋_GB2312" w:eastAsia="仿宋_GB2312"/>
              </w:rPr>
              <w:t>优先采购节能、环境 标志产品</w:t>
            </w:r>
          </w:p>
        </w:tc>
        <w:tc>
          <w:tcPr>
            <w:tcW w:type="dxa" w:w="2575"/>
          </w:tcPr>
          <w:p>
            <w:pPr>
              <w:pStyle w:val="null3"/>
              <w:jc w:val="left"/>
            </w:pPr>
            <w:r>
              <w:rPr>
                <w:rFonts w:ascii="仿宋_GB2312" w:hAnsi="仿宋_GB2312" w:cs="仿宋_GB2312" w:eastAsia="仿宋_GB2312"/>
              </w:rPr>
              <w:t>供应商所响应的产品中每有一项属于节能产品政府采购品目清单中优先采购范围的或属于环境标志产品政府采购品目清单中优先采购范围的得0.2分。本项最高得2分。 说明：1.可重复计分(是指某产品既是节能产品、又是环境标志产品，可按照要求计两次分)； 2.本项目采购的产品中属于节能产品政府采购品目清单中强制采购范围的，不属于本项评分范围。 3.供应商所响应的产品属于节能产品或环境标志产品政府采购品目清单中优先采购范围的，评审时以其提供的强制、优先采购产品承诺函中承诺提供的节能、环境标志产品数量计分。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强制、优先采购产品承诺函</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已标价工程量清单</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一、评审结束后，代理机构在评审结束之日起2个工作日内将磋商报告及有关资料送交采购人。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详见附件：技术、服务及商务要求应答表.docx</w:t>
      </w:r>
    </w:p>
    <w:p>
      <w:pPr>
        <w:pStyle w:val="null3"/>
        <w:ind w:firstLine="960"/>
        <w:jc w:val="left"/>
      </w:pPr>
      <w:r>
        <w:rPr>
          <w:rFonts w:ascii="仿宋_GB2312" w:hAnsi="仿宋_GB2312" w:cs="仿宋_GB2312" w:eastAsia="仿宋_GB2312"/>
        </w:rPr>
        <w:t>详见附件：其他证明材料.docx</w:t>
      </w:r>
    </w:p>
    <w:p>
      <w:pPr>
        <w:pStyle w:val="null3"/>
        <w:ind w:firstLine="960"/>
        <w:jc w:val="left"/>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（工程类）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根据《中华人民共和国政府采购法》、《中华人民共和国民法典》、《中华人民共和国建筑法》及</w:t>
      </w:r>
      <w:r>
        <w:rPr>
          <w:rFonts w:ascii="仿宋_GB2312" w:hAnsi="仿宋_GB2312" w:cs="仿宋_GB2312" w:eastAsia="仿宋_GB2312"/>
        </w:rPr>
        <w:t>________</w:t>
      </w:r>
      <w:r>
        <w:rPr>
          <w:rFonts w:ascii="仿宋_GB2312" w:hAnsi="仿宋_GB2312" w:cs="仿宋_GB2312" w:eastAsia="仿宋_GB2312"/>
        </w:rPr>
        <w:t>采购项目（项目编号：</w:t>
      </w:r>
      <w:r>
        <w:rPr>
          <w:rFonts w:ascii="仿宋_GB2312" w:hAnsi="仿宋_GB2312" w:cs="仿宋_GB2312" w:eastAsia="仿宋_GB2312"/>
        </w:rPr>
        <w:t>________</w:t>
      </w:r>
      <w:r>
        <w:rPr>
          <w:rFonts w:ascii="仿宋_GB2312" w:hAnsi="仿宋_GB2312" w:cs="仿宋_GB2312" w:eastAsia="仿宋_GB2312"/>
        </w:rPr>
        <w:t>）的</w:t>
      </w:r>
      <w:r>
        <w:rPr>
          <w:rFonts w:ascii="仿宋_GB2312" w:hAnsi="仿宋_GB2312" w:cs="仿宋_GB2312" w:eastAsia="仿宋_GB2312"/>
        </w:rPr>
        <w:t>《磋商文件》</w:t>
      </w:r>
      <w:r>
        <w:rPr>
          <w:rFonts w:ascii="仿宋_GB2312" w:hAnsi="仿宋_GB2312" w:cs="仿宋_GB2312" w:eastAsia="仿宋_GB2312"/>
        </w:rPr>
        <w:t>、乙方的响应文件及成交通知书，甲、乙双方同意签订本合同。</w:t>
      </w:r>
    </w:p>
    <w:p>
      <w:pPr>
        <w:pStyle w:val="null3"/>
        <w:jc w:val="left"/>
        <w:outlineLvl w:val="2"/>
      </w:pPr>
      <w:r>
        <w:rPr>
          <w:rFonts w:ascii="仿宋_GB2312" w:hAnsi="仿宋_GB2312" w:cs="仿宋_GB2312" w:eastAsia="仿宋_GB2312"/>
          <w:sz w:val="28"/>
          <w:b/>
        </w:rPr>
        <w:t xml:space="preserve"> 一、工程概况</w:t>
      </w:r>
    </w:p>
    <w:p>
      <w:pPr>
        <w:pStyle w:val="null3"/>
        <w:jc w:val="left"/>
      </w:pPr>
      <w:r>
        <w:rPr>
          <w:rFonts w:ascii="仿宋_GB2312" w:hAnsi="仿宋_GB2312" w:cs="仿宋_GB2312" w:eastAsia="仿宋_GB2312"/>
        </w:rPr>
        <w:t xml:space="preserve"> 1.工程名称：</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2.工程地点：</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3.项目编号：</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4.工程内容、规模及承包范围</w:t>
      </w:r>
    </w:p>
    <w:p>
      <w:pPr>
        <w:pStyle w:val="null3"/>
        <w:jc w:val="left"/>
      </w:pPr>
      <w:r>
        <w:br/>
      </w:r>
    </w:p>
    <w:p>
      <w:pPr>
        <w:pStyle w:val="null3"/>
        <w:jc w:val="left"/>
        <w:outlineLvl w:val="2"/>
      </w:pPr>
      <w:r>
        <w:rPr>
          <w:rFonts w:ascii="仿宋_GB2312" w:hAnsi="仿宋_GB2312" w:cs="仿宋_GB2312" w:eastAsia="仿宋_GB2312"/>
          <w:sz w:val="28"/>
          <w:b/>
        </w:rPr>
        <w:t xml:space="preserve"> 二、合同工期</w:t>
      </w:r>
    </w:p>
    <w:p>
      <w:pPr>
        <w:pStyle w:val="null3"/>
        <w:jc w:val="left"/>
      </w:pPr>
      <w:r>
        <w:rPr>
          <w:rFonts w:ascii="仿宋_GB2312" w:hAnsi="仿宋_GB2312" w:cs="仿宋_GB2312" w:eastAsia="仿宋_GB2312"/>
        </w:rPr>
        <w:t>计划开工日期：年 月 日</w:t>
      </w:r>
    </w:p>
    <w:p>
      <w:pPr>
        <w:pStyle w:val="null3"/>
        <w:jc w:val="left"/>
      </w:pPr>
      <w:r>
        <w:rPr>
          <w:rFonts w:ascii="仿宋_GB2312" w:hAnsi="仿宋_GB2312" w:cs="仿宋_GB2312" w:eastAsia="仿宋_GB2312"/>
        </w:rPr>
        <w:t>计划竣工日期：年 月 日</w:t>
      </w:r>
    </w:p>
    <w:p>
      <w:pPr>
        <w:pStyle w:val="null3"/>
        <w:jc w:val="left"/>
      </w:pPr>
      <w:r>
        <w:rPr>
          <w:rFonts w:ascii="仿宋_GB2312" w:hAnsi="仿宋_GB2312" w:cs="仿宋_GB2312" w:eastAsia="仿宋_GB2312"/>
        </w:rPr>
        <w:t>工期总日历天数： 天。工期总日历天数与根据前述计划开竣工日期计算的工期天数不一致的，以工期总日历天数为准</w:t>
      </w:r>
    </w:p>
    <w:p>
      <w:pPr>
        <w:pStyle w:val="null3"/>
        <w:jc w:val="left"/>
        <w:outlineLvl w:val="2"/>
      </w:pPr>
      <w:r>
        <w:rPr>
          <w:rFonts w:ascii="仿宋_GB2312" w:hAnsi="仿宋_GB2312" w:cs="仿宋_GB2312" w:eastAsia="仿宋_GB2312"/>
          <w:sz w:val="28"/>
          <w:b/>
        </w:rPr>
        <w:t xml:space="preserve"> 三、质量标准和规范</w:t>
      </w:r>
    </w:p>
    <w:p>
      <w:pPr>
        <w:pStyle w:val="null3"/>
        <w:jc w:val="left"/>
      </w:pPr>
      <w:r>
        <w:rPr>
          <w:rFonts w:ascii="仿宋_GB2312" w:hAnsi="仿宋_GB2312" w:cs="仿宋_GB2312" w:eastAsia="仿宋_GB2312"/>
        </w:rPr>
        <w:t>1.该工程质量符合标准：</w:t>
      </w:r>
    </w:p>
    <w:p>
      <w:pPr>
        <w:pStyle w:val="null3"/>
        <w:jc w:val="left"/>
      </w:pPr>
      <w:r>
        <w:rPr>
          <w:rFonts w:ascii="仿宋_GB2312" w:hAnsi="仿宋_GB2312" w:cs="仿宋_GB2312" w:eastAsia="仿宋_GB2312"/>
        </w:rPr>
        <w:t>2.采购人对工程的技术标准和功能要求的特殊要求：</w:t>
      </w:r>
    </w:p>
    <w:p>
      <w:pPr>
        <w:pStyle w:val="null3"/>
        <w:jc w:val="left"/>
        <w:outlineLvl w:val="2"/>
      </w:pPr>
      <w:r>
        <w:rPr>
          <w:rFonts w:ascii="仿宋_GB2312" w:hAnsi="仿宋_GB2312" w:cs="仿宋_GB2312" w:eastAsia="仿宋_GB2312"/>
          <w:sz w:val="28"/>
          <w:b/>
        </w:rPr>
        <w:t xml:space="preserve"> 四、签约合同价与合同价格形式</w:t>
      </w:r>
    </w:p>
    <w:p>
      <w:pPr>
        <w:pStyle w:val="null3"/>
        <w:jc w:val="left"/>
      </w:pPr>
      <w:r>
        <w:rPr>
          <w:rFonts w:ascii="仿宋_GB2312" w:hAnsi="仿宋_GB2312" w:cs="仿宋_GB2312" w:eastAsia="仿宋_GB2312"/>
        </w:rPr>
        <w:t>1.签约合同价为人民币（大写）</w:t>
      </w:r>
      <w:r>
        <w:rPr>
          <w:rFonts w:ascii="仿宋_GB2312" w:hAnsi="仿宋_GB2312" w:cs="仿宋_GB2312" w:eastAsia="仿宋_GB2312"/>
        </w:rPr>
        <w:t>________</w:t>
      </w:r>
      <w:r>
        <w:rPr>
          <w:rFonts w:ascii="仿宋_GB2312" w:hAnsi="仿宋_GB2312" w:cs="仿宋_GB2312" w:eastAsia="仿宋_GB2312"/>
        </w:rPr>
        <w:t>（小写金额：</w:t>
      </w:r>
      <w:r>
        <w:rPr>
          <w:rFonts w:ascii="仿宋_GB2312" w:hAnsi="仿宋_GB2312" w:cs="仿宋_GB2312" w:eastAsia="仿宋_GB2312"/>
        </w:rPr>
        <w:t>________</w:t>
      </w:r>
      <w:r>
        <w:rPr>
          <w:rFonts w:ascii="仿宋_GB2312" w:hAnsi="仿宋_GB2312" w:cs="仿宋_GB2312" w:eastAsia="仿宋_GB2312"/>
        </w:rPr>
        <w:t>元）；</w:t>
      </w:r>
    </w:p>
    <w:p>
      <w:pPr>
        <w:pStyle w:val="null3"/>
        <w:jc w:val="left"/>
      </w:pPr>
      <w:r>
        <w:rPr>
          <w:rFonts w:ascii="仿宋_GB2312" w:hAnsi="仿宋_GB2312" w:cs="仿宋_GB2312" w:eastAsia="仿宋_GB2312"/>
        </w:rPr>
        <w:t>其中：</w:t>
      </w:r>
    </w:p>
    <w:p>
      <w:pPr>
        <w:pStyle w:val="null3"/>
        <w:jc w:val="left"/>
      </w:pPr>
      <w:r>
        <w:rPr>
          <w:rFonts w:ascii="仿宋_GB2312" w:hAnsi="仿宋_GB2312" w:cs="仿宋_GB2312" w:eastAsia="仿宋_GB2312"/>
        </w:rPr>
        <w:t>（1）安全文明施工费：</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（3）专业工程暂估价金额：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（4）暂列金额：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2.合同定价方式：</w:t>
      </w:r>
    </w:p>
    <w:p>
      <w:pPr>
        <w:pStyle w:val="null3"/>
        <w:jc w:val="left"/>
      </w:pPr>
      <w:r>
        <w:rPr>
          <w:rFonts w:ascii="仿宋_GB2312" w:hAnsi="仿宋_GB2312" w:cs="仿宋_GB2312" w:eastAsia="仿宋_GB2312"/>
        </w:rPr>
        <w:t>3.付款进度安排及资金支付方式：</w:t>
      </w:r>
    </w:p>
    <w:p>
      <w:pPr>
        <w:pStyle w:val="null3"/>
        <w:jc w:val="left"/>
      </w:pPr>
      <w:r>
        <w:br/>
      </w:r>
    </w:p>
    <w:p>
      <w:pPr>
        <w:pStyle w:val="null3"/>
        <w:jc w:val="left"/>
        <w:outlineLvl w:val="2"/>
      </w:pPr>
      <w:r>
        <w:rPr>
          <w:rFonts w:ascii="仿宋_GB2312" w:hAnsi="仿宋_GB2312" w:cs="仿宋_GB2312" w:eastAsia="仿宋_GB2312"/>
          <w:sz w:val="28"/>
          <w:b/>
        </w:rPr>
        <w:t xml:space="preserve"> 五、项目经理</w:t>
      </w:r>
    </w:p>
    <w:p>
      <w:pPr>
        <w:pStyle w:val="null3"/>
        <w:jc w:val="left"/>
      </w:pPr>
      <w:r>
        <w:rPr>
          <w:rFonts w:ascii="仿宋_GB2312" w:hAnsi="仿宋_GB2312" w:cs="仿宋_GB2312" w:eastAsia="仿宋_GB2312"/>
        </w:rPr>
        <w:t>姓名：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 xml:space="preserve"> 六、合同文件构成</w:t>
      </w:r>
    </w:p>
    <w:p>
      <w:pPr>
        <w:pStyle w:val="null3"/>
        <w:jc w:val="left"/>
      </w:pPr>
      <w:r>
        <w:rPr>
          <w:rFonts w:ascii="仿宋_GB2312" w:hAnsi="仿宋_GB2312" w:cs="仿宋_GB2312" w:eastAsia="仿宋_GB2312"/>
        </w:rPr>
        <w:t>本协议书与下列文件一起构成合同文件：</w:t>
      </w:r>
    </w:p>
    <w:p>
      <w:pPr>
        <w:pStyle w:val="null3"/>
        <w:jc w:val="left"/>
      </w:pPr>
      <w:r>
        <w:rPr>
          <w:rFonts w:ascii="仿宋_GB2312" w:hAnsi="仿宋_GB2312" w:cs="仿宋_GB2312" w:eastAsia="仿宋_GB2312"/>
        </w:rPr>
        <w:t>（1）中标(成交)通知书；</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（3）通用合同条款；</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（6）暂列金额：</w:t>
      </w:r>
    </w:p>
    <w:p>
      <w:pPr>
        <w:pStyle w:val="null3"/>
        <w:jc w:val="left"/>
      </w:pPr>
      <w:r>
        <w:rPr>
          <w:rFonts w:ascii="仿宋_GB2312" w:hAnsi="仿宋_GB2312" w:cs="仿宋_GB2312" w:eastAsia="仿宋_GB2312"/>
        </w:rPr>
        <w:t>（7）评审报告；</w:t>
      </w:r>
    </w:p>
    <w:p>
      <w:pPr>
        <w:pStyle w:val="null3"/>
        <w:jc w:val="left"/>
      </w:pPr>
      <w:r>
        <w:rPr>
          <w:rFonts w:ascii="仿宋_GB2312" w:hAnsi="仿宋_GB2312" w:cs="仿宋_GB2312" w:eastAsia="仿宋_GB2312"/>
        </w:rPr>
        <w:t>（8）技术标准和要求；</w:t>
      </w:r>
    </w:p>
    <w:p>
      <w:pPr>
        <w:pStyle w:val="null3"/>
        <w:jc w:val="left"/>
      </w:pPr>
      <w:r>
        <w:rPr>
          <w:rFonts w:ascii="仿宋_GB2312" w:hAnsi="仿宋_GB2312" w:cs="仿宋_GB2312" w:eastAsia="仿宋_GB2312"/>
        </w:rPr>
        <w:t>（9）图纸；</w:t>
      </w:r>
    </w:p>
    <w:p>
      <w:pPr>
        <w:pStyle w:val="null3"/>
        <w:jc w:val="left"/>
      </w:pPr>
      <w:r>
        <w:rPr>
          <w:rFonts w:ascii="仿宋_GB2312" w:hAnsi="仿宋_GB2312" w:cs="仿宋_GB2312" w:eastAsia="仿宋_GB2312"/>
        </w:rPr>
        <w:t>（10）已标价工程量清单或预算书；</w:t>
      </w:r>
    </w:p>
    <w:p>
      <w:pPr>
        <w:pStyle w:val="null3"/>
        <w:jc w:val="left"/>
      </w:pPr>
      <w:r>
        <w:rPr>
          <w:rFonts w:ascii="仿宋_GB2312" w:hAnsi="仿宋_GB2312" w:cs="仿宋_GB2312" w:eastAsia="仿宋_GB2312"/>
        </w:rPr>
        <w:t>（11）其他合同文件。</w:t>
      </w:r>
    </w:p>
    <w:p>
      <w:pPr>
        <w:pStyle w:val="null3"/>
        <w:jc w:val="left"/>
      </w:pPr>
      <w:r>
        <w:rPr>
          <w:rFonts w:ascii="仿宋_GB2312" w:hAnsi="仿宋_GB2312" w:cs="仿宋_GB2312" w:eastAsia="仿宋_GB2312"/>
        </w:rPr>
        <w:t>在合同订立及履行过程中形成的与合同有关的文件均构成合同文件组成部分。</w:t>
      </w:r>
    </w:p>
    <w:p>
      <w:pPr>
        <w:pStyle w:val="null3"/>
        <w:jc w:val="left"/>
      </w:pPr>
      <w:r>
        <w:rPr>
          <w:rFonts w:ascii="仿宋_GB2312" w:hAnsi="仿宋_GB2312" w:cs="仿宋_GB2312" w:eastAsia="仿宋_GB2312"/>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rFonts w:ascii="仿宋_GB2312" w:hAnsi="仿宋_GB2312" w:cs="仿宋_GB2312" w:eastAsia="仿宋_GB2312"/>
          <w:sz w:val="28"/>
          <w:b/>
        </w:rPr>
        <w:t xml:space="preserve"> 七、承诺</w:t>
      </w:r>
    </w:p>
    <w:p>
      <w:pPr>
        <w:pStyle w:val="null3"/>
        <w:jc w:val="left"/>
      </w:pPr>
      <w:r>
        <w:rPr>
          <w:rFonts w:ascii="仿宋_GB2312" w:hAnsi="仿宋_GB2312" w:cs="仿宋_GB2312" w:eastAsia="仿宋_GB2312"/>
        </w:rPr>
        <w:t>1.甲方承诺按照法律规定履行项目审批手续、筹集工程建设资金并按照合同约定的期限和方式支付合同价款。</w:t>
      </w:r>
    </w:p>
    <w:p>
      <w:pPr>
        <w:pStyle w:val="null3"/>
        <w:jc w:val="left"/>
      </w:pPr>
      <w:r>
        <w:rPr>
          <w:rFonts w:ascii="仿宋_GB2312" w:hAnsi="仿宋_GB2312" w:cs="仿宋_GB2312" w:eastAsia="仿宋_GB2312"/>
        </w:rPr>
        <w:t>2.乙方承诺按照法律规定及合同约定组织完成工程施工，确保工程质量和安全，不进行转包及违法分包，并在缺陷责任期及保修期内承担相应的工程维修责任。</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 xml:space="preserve"> 八、验收、交付标准和方法</w:t>
      </w:r>
    </w:p>
    <w:p>
      <w:pPr>
        <w:pStyle w:val="null3"/>
        <w:jc w:val="left"/>
      </w:pPr>
      <w:r>
        <w:br/>
      </w:r>
    </w:p>
    <w:p>
      <w:pPr>
        <w:pStyle w:val="null3"/>
        <w:jc w:val="left"/>
        <w:outlineLvl w:val="2"/>
      </w:pPr>
      <w:r>
        <w:rPr>
          <w:rFonts w:ascii="仿宋_GB2312" w:hAnsi="仿宋_GB2312" w:cs="仿宋_GB2312" w:eastAsia="仿宋_GB2312"/>
          <w:sz w:val="28"/>
          <w:b/>
        </w:rPr>
        <w:t xml:space="preserve"> 九、质量保修范围和保修期</w:t>
      </w:r>
    </w:p>
    <w:p>
      <w:pPr>
        <w:pStyle w:val="null3"/>
        <w:jc w:val="left"/>
      </w:pPr>
      <w:r>
        <w:br/>
      </w:r>
    </w:p>
    <w:p>
      <w:pPr>
        <w:pStyle w:val="null3"/>
        <w:jc w:val="left"/>
        <w:outlineLvl w:val="2"/>
      </w:pPr>
      <w:r>
        <w:rPr>
          <w:rFonts w:ascii="仿宋_GB2312" w:hAnsi="仿宋_GB2312" w:cs="仿宋_GB2312" w:eastAsia="仿宋_GB2312"/>
          <w:sz w:val="28"/>
          <w:b/>
        </w:rPr>
        <w:t xml:space="preserve"> 十、违约责任</w:t>
      </w:r>
    </w:p>
    <w:p>
      <w:pPr>
        <w:pStyle w:val="null3"/>
        <w:jc w:val="left"/>
      </w:pPr>
      <w:r>
        <w:br/>
      </w:r>
    </w:p>
    <w:p>
      <w:pPr>
        <w:pStyle w:val="null3"/>
        <w:jc w:val="left"/>
        <w:outlineLvl w:val="2"/>
      </w:pPr>
      <w:r>
        <w:rPr>
          <w:rFonts w:ascii="仿宋_GB2312" w:hAnsi="仿宋_GB2312" w:cs="仿宋_GB2312" w:eastAsia="仿宋_GB2312"/>
          <w:sz w:val="28"/>
          <w:b/>
        </w:rPr>
        <w:t xml:space="preserve"> 十一、解决争议的方法</w:t>
      </w:r>
    </w:p>
    <w:p>
      <w:pPr>
        <w:pStyle w:val="null3"/>
        <w:jc w:val="left"/>
      </w:pPr>
      <w:r>
        <w:br/>
      </w:r>
    </w:p>
    <w:p>
      <w:pPr>
        <w:pStyle w:val="null3"/>
        <w:jc w:val="left"/>
        <w:outlineLvl w:val="2"/>
      </w:pPr>
      <w:r>
        <w:rPr>
          <w:rFonts w:ascii="仿宋_GB2312" w:hAnsi="仿宋_GB2312" w:cs="仿宋_GB2312" w:eastAsia="仿宋_GB2312"/>
          <w:sz w:val="28"/>
          <w:b/>
        </w:rPr>
        <w:t xml:space="preserve"> 十二、签订时间</w:t>
      </w:r>
    </w:p>
    <w:p>
      <w:pPr>
        <w:pStyle w:val="null3"/>
        <w:jc w:val="left"/>
      </w:pPr>
      <w:r>
        <w:rPr>
          <w:rFonts w:ascii="仿宋_GB2312" w:hAnsi="仿宋_GB2312" w:cs="仿宋_GB2312" w:eastAsia="仿宋_GB2312"/>
        </w:rPr>
        <w:t>本合同于</w:t>
      </w:r>
      <w:r>
        <w:rPr>
          <w:rFonts w:ascii="仿宋_GB2312" w:hAnsi="仿宋_GB2312" w:cs="仿宋_GB2312" w:eastAsia="仿宋_GB2312"/>
        </w:rPr>
        <w:t>20___年___月___日</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十三、签订地点</w:t>
      </w:r>
    </w:p>
    <w:p>
      <w:pPr>
        <w:pStyle w:val="null3"/>
        <w:jc w:val="left"/>
      </w:pPr>
      <w:r>
        <w:rPr>
          <w:rFonts w:ascii="仿宋_GB2312" w:hAnsi="仿宋_GB2312" w:cs="仿宋_GB2312" w:eastAsia="仿宋_GB2312"/>
        </w:rPr>
        <w:t>本合同在</w:t>
      </w:r>
      <w:r>
        <w:rPr>
          <w:rFonts w:ascii="仿宋_GB2312" w:hAnsi="仿宋_GB2312" w:cs="仿宋_GB2312" w:eastAsia="仿宋_GB2312"/>
        </w:rPr>
        <w:t>_________</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十四、补充协议</w:t>
      </w:r>
    </w:p>
    <w:p>
      <w:pPr>
        <w:pStyle w:val="null3"/>
        <w:jc w:val="left"/>
      </w:pPr>
      <w:r>
        <w:rPr>
          <w:rFonts w:ascii="仿宋_GB2312" w:hAnsi="仿宋_GB2312" w:cs="仿宋_GB2312" w:eastAsia="仿宋_GB2312"/>
        </w:rPr>
        <w:t>合同未尽事宜，合同当事人另行签订补充协议，补充协议是合同的组成部分。</w:t>
      </w:r>
    </w:p>
    <w:p>
      <w:pPr>
        <w:pStyle w:val="null3"/>
        <w:jc w:val="left"/>
        <w:outlineLvl w:val="2"/>
      </w:pPr>
      <w:r>
        <w:rPr>
          <w:rFonts w:ascii="仿宋_GB2312" w:hAnsi="仿宋_GB2312" w:cs="仿宋_GB2312" w:eastAsia="仿宋_GB2312"/>
          <w:sz w:val="28"/>
          <w:b/>
        </w:rPr>
        <w:t xml:space="preserve"> 十五、合同生效</w:t>
      </w:r>
    </w:p>
    <w:p>
      <w:pPr>
        <w:pStyle w:val="null3"/>
        <w:jc w:val="left"/>
      </w:pPr>
      <w:r>
        <w:rPr>
          <w:rFonts w:ascii="仿宋_GB2312" w:hAnsi="仿宋_GB2312" w:cs="仿宋_GB2312" w:eastAsia="仿宋_GB2312"/>
        </w:rPr>
        <w:t>本合同自_______生效。</w:t>
      </w:r>
    </w:p>
    <w:p>
      <w:pPr>
        <w:pStyle w:val="null3"/>
        <w:jc w:val="left"/>
        <w:outlineLvl w:val="2"/>
      </w:pPr>
      <w:r>
        <w:rPr>
          <w:rFonts w:ascii="仿宋_GB2312" w:hAnsi="仿宋_GB2312" w:cs="仿宋_GB2312" w:eastAsia="仿宋_GB2312"/>
          <w:sz w:val="28"/>
          <w:b/>
        </w:rPr>
        <w:t xml:space="preserve"> 十六、合同份数</w:t>
      </w:r>
    </w:p>
    <w:p>
      <w:pPr>
        <w:pStyle w:val="null3"/>
        <w:jc w:val="left"/>
      </w:pPr>
      <w:r>
        <w:rPr>
          <w:rFonts w:ascii="仿宋_GB2312" w:hAnsi="仿宋_GB2312" w:cs="仿宋_GB2312" w:eastAsia="仿宋_GB2312"/>
        </w:rPr>
        <w:t>本合同一式___份，均具有同等法律效力，甲方执___份，乙方执___份。</w:t>
      </w: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