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C17035">
      <w:pPr>
        <w:pStyle w:val="16"/>
        <w:jc w:val="center"/>
        <w:rPr>
          <w:rFonts w:hAnsi="宋体"/>
          <w:bCs/>
          <w:color w:val="auto"/>
          <w:sz w:val="48"/>
          <w:highlight w:val="none"/>
        </w:rPr>
      </w:pPr>
    </w:p>
    <w:p w14:paraId="631310BF">
      <w:pPr>
        <w:pStyle w:val="16"/>
        <w:jc w:val="center"/>
        <w:rPr>
          <w:rFonts w:hAnsi="宋体"/>
          <w:bCs/>
          <w:color w:val="auto"/>
          <w:sz w:val="72"/>
          <w:highlight w:val="none"/>
        </w:rPr>
      </w:pPr>
    </w:p>
    <w:p w14:paraId="7118A0B4">
      <w:pPr>
        <w:pStyle w:val="16"/>
        <w:autoSpaceDE w:val="0"/>
        <w:autoSpaceDN w:val="0"/>
        <w:adjustRightInd w:val="0"/>
        <w:spacing w:line="360" w:lineRule="auto"/>
        <w:jc w:val="center"/>
        <w:rPr>
          <w:rFonts w:hint="eastAsia" w:hAnsi="宋体"/>
          <w:b/>
          <w:bCs/>
          <w:color w:val="auto"/>
          <w:kern w:val="0"/>
          <w:sz w:val="84"/>
          <w:szCs w:val="84"/>
          <w:highlight w:val="none"/>
        </w:rPr>
      </w:pPr>
      <w:r>
        <w:rPr>
          <w:rFonts w:hint="eastAsia" w:hAnsi="宋体"/>
          <w:b/>
          <w:bCs/>
          <w:color w:val="auto"/>
          <w:sz w:val="72"/>
          <w:szCs w:val="72"/>
          <w:highlight w:val="none"/>
          <w:lang w:eastAsia="zh-CN"/>
        </w:rPr>
        <w:t>2025年防爆安检设备租赁</w:t>
      </w:r>
    </w:p>
    <w:p w14:paraId="4481907C">
      <w:pPr>
        <w:pStyle w:val="16"/>
        <w:autoSpaceDE w:val="0"/>
        <w:autoSpaceDN w:val="0"/>
        <w:adjustRightInd w:val="0"/>
        <w:spacing w:line="360" w:lineRule="auto"/>
        <w:jc w:val="center"/>
        <w:rPr>
          <w:rFonts w:hint="eastAsia" w:hAnsi="宋体"/>
          <w:b/>
          <w:bCs/>
          <w:color w:val="auto"/>
          <w:kern w:val="0"/>
          <w:sz w:val="84"/>
          <w:szCs w:val="84"/>
          <w:highlight w:val="none"/>
        </w:rPr>
      </w:pPr>
    </w:p>
    <w:p w14:paraId="1414AB9B">
      <w:pPr>
        <w:pStyle w:val="16"/>
        <w:autoSpaceDE w:val="0"/>
        <w:autoSpaceDN w:val="0"/>
        <w:adjustRightInd w:val="0"/>
        <w:spacing w:line="360" w:lineRule="auto"/>
        <w:jc w:val="center"/>
        <w:rPr>
          <w:rFonts w:hint="eastAsia" w:hAnsi="宋体"/>
          <w:b/>
          <w:bCs/>
          <w:color w:val="auto"/>
          <w:kern w:val="0"/>
          <w:sz w:val="84"/>
          <w:szCs w:val="84"/>
          <w:highlight w:val="none"/>
        </w:rPr>
      </w:pPr>
    </w:p>
    <w:p w14:paraId="5AA2C8DC">
      <w:pPr>
        <w:pStyle w:val="16"/>
        <w:autoSpaceDE w:val="0"/>
        <w:autoSpaceDN w:val="0"/>
        <w:adjustRightInd w:val="0"/>
        <w:spacing w:line="360" w:lineRule="auto"/>
        <w:jc w:val="center"/>
        <w:rPr>
          <w:rFonts w:hAnsi="宋体"/>
          <w:b/>
          <w:bCs/>
          <w:color w:val="auto"/>
          <w:kern w:val="0"/>
          <w:sz w:val="84"/>
          <w:szCs w:val="84"/>
          <w:highlight w:val="none"/>
        </w:rPr>
      </w:pPr>
      <w:r>
        <w:rPr>
          <w:rFonts w:hint="eastAsia" w:hAnsi="宋体"/>
          <w:b/>
          <w:bCs/>
          <w:color w:val="auto"/>
          <w:kern w:val="0"/>
          <w:sz w:val="84"/>
          <w:szCs w:val="84"/>
          <w:highlight w:val="none"/>
        </w:rPr>
        <w:t>招 标 文 件</w:t>
      </w:r>
    </w:p>
    <w:p w14:paraId="73832C90">
      <w:pPr>
        <w:pStyle w:val="16"/>
        <w:autoSpaceDE w:val="0"/>
        <w:autoSpaceDN w:val="0"/>
        <w:adjustRightInd w:val="0"/>
        <w:spacing w:line="360" w:lineRule="auto"/>
        <w:jc w:val="center"/>
        <w:rPr>
          <w:rFonts w:hAnsi="宋体"/>
          <w:b/>
          <w:bCs/>
          <w:color w:val="auto"/>
          <w:kern w:val="0"/>
          <w:sz w:val="32"/>
          <w:szCs w:val="32"/>
          <w:highlight w:val="none"/>
        </w:rPr>
      </w:pPr>
    </w:p>
    <w:p w14:paraId="48142798">
      <w:pPr>
        <w:pStyle w:val="16"/>
        <w:autoSpaceDE w:val="0"/>
        <w:autoSpaceDN w:val="0"/>
        <w:adjustRightInd w:val="0"/>
        <w:spacing w:line="360" w:lineRule="auto"/>
        <w:jc w:val="center"/>
        <w:rPr>
          <w:rFonts w:hint="eastAsia" w:hAnsi="宋体" w:eastAsia="宋体"/>
          <w:b/>
          <w:bCs/>
          <w:color w:val="auto"/>
          <w:kern w:val="0"/>
          <w:sz w:val="32"/>
          <w:szCs w:val="32"/>
          <w:highlight w:val="none"/>
          <w:lang w:eastAsia="zh-CN"/>
        </w:rPr>
      </w:pPr>
      <w:r>
        <w:rPr>
          <w:rFonts w:hint="eastAsia" w:hAnsi="宋体"/>
          <w:b/>
          <w:bCs/>
          <w:color w:val="auto"/>
          <w:kern w:val="0"/>
          <w:sz w:val="32"/>
          <w:szCs w:val="32"/>
          <w:highlight w:val="none"/>
        </w:rPr>
        <w:t>项目编号：</w:t>
      </w:r>
      <w:r>
        <w:rPr>
          <w:rFonts w:hint="eastAsia" w:hAnsi="宋体"/>
          <w:b/>
          <w:bCs/>
          <w:color w:val="auto"/>
          <w:kern w:val="0"/>
          <w:sz w:val="32"/>
          <w:szCs w:val="32"/>
          <w:highlight w:val="none"/>
          <w:lang w:eastAsia="zh-CN"/>
        </w:rPr>
        <w:t>KMZC2025-G3-02851-RWZX-0081</w:t>
      </w:r>
    </w:p>
    <w:p w14:paraId="3E53497D">
      <w:pPr>
        <w:pStyle w:val="16"/>
        <w:rPr>
          <w:rFonts w:hAnsi="宋体"/>
          <w:color w:val="auto"/>
          <w:highlight w:val="none"/>
        </w:rPr>
      </w:pPr>
    </w:p>
    <w:p w14:paraId="7E6322A9">
      <w:pPr>
        <w:pStyle w:val="16"/>
        <w:rPr>
          <w:rFonts w:hAnsi="宋体"/>
          <w:color w:val="auto"/>
          <w:highlight w:val="none"/>
        </w:rPr>
      </w:pPr>
    </w:p>
    <w:p w14:paraId="2D1BF498">
      <w:pPr>
        <w:pStyle w:val="16"/>
        <w:rPr>
          <w:rFonts w:hAnsi="宋体"/>
          <w:color w:val="auto"/>
          <w:highlight w:val="none"/>
        </w:rPr>
      </w:pPr>
    </w:p>
    <w:p w14:paraId="100072F0">
      <w:pPr>
        <w:pStyle w:val="16"/>
        <w:rPr>
          <w:rFonts w:hAnsi="宋体"/>
          <w:color w:val="auto"/>
          <w:highlight w:val="none"/>
        </w:rPr>
      </w:pPr>
    </w:p>
    <w:p w14:paraId="29599619">
      <w:pPr>
        <w:pStyle w:val="16"/>
        <w:rPr>
          <w:rFonts w:hAnsi="宋体"/>
          <w:bCs/>
          <w:color w:val="auto"/>
          <w:sz w:val="36"/>
          <w:szCs w:val="36"/>
          <w:highlight w:val="none"/>
        </w:rPr>
      </w:pPr>
    </w:p>
    <w:p w14:paraId="322F58A6">
      <w:pPr>
        <w:pStyle w:val="16"/>
        <w:rPr>
          <w:rFonts w:hAnsi="宋体"/>
          <w:bCs/>
          <w:color w:val="auto"/>
          <w:sz w:val="36"/>
          <w:szCs w:val="36"/>
          <w:highlight w:val="none"/>
        </w:rPr>
      </w:pPr>
    </w:p>
    <w:p w14:paraId="56DEDB5E">
      <w:pPr>
        <w:pStyle w:val="16"/>
        <w:rPr>
          <w:rFonts w:hAnsi="宋体"/>
          <w:bCs/>
          <w:color w:val="auto"/>
          <w:sz w:val="32"/>
          <w:highlight w:val="none"/>
        </w:rPr>
      </w:pPr>
    </w:p>
    <w:p w14:paraId="1167887D">
      <w:pPr>
        <w:pStyle w:val="16"/>
        <w:jc w:val="center"/>
        <w:rPr>
          <w:rFonts w:hint="eastAsia" w:hAnsi="宋体" w:eastAsia="宋体"/>
          <w:b/>
          <w:bCs/>
          <w:color w:val="auto"/>
          <w:sz w:val="32"/>
          <w:highlight w:val="none"/>
          <w:lang w:eastAsia="zh-CN"/>
        </w:rPr>
      </w:pPr>
      <w:r>
        <w:rPr>
          <w:rFonts w:hint="eastAsia" w:hAnsi="宋体"/>
          <w:b/>
          <w:bCs/>
          <w:color w:val="auto"/>
          <w:sz w:val="32"/>
          <w:highlight w:val="none"/>
        </w:rPr>
        <w:t xml:space="preserve">采  购  </w:t>
      </w:r>
      <w:r>
        <w:rPr>
          <w:rFonts w:hAnsi="宋体"/>
          <w:b/>
          <w:bCs/>
          <w:color w:val="auto"/>
          <w:sz w:val="32"/>
          <w:highlight w:val="none"/>
        </w:rPr>
        <w:t>人</w:t>
      </w:r>
      <w:r>
        <w:rPr>
          <w:rFonts w:hint="eastAsia" w:hAnsi="宋体"/>
          <w:b/>
          <w:bCs/>
          <w:color w:val="auto"/>
          <w:sz w:val="32"/>
          <w:highlight w:val="none"/>
        </w:rPr>
        <w:t>：</w:t>
      </w:r>
      <w:r>
        <w:rPr>
          <w:rFonts w:hint="eastAsia" w:hAnsi="宋体"/>
          <w:b/>
          <w:bCs/>
          <w:color w:val="auto"/>
          <w:sz w:val="32"/>
          <w:szCs w:val="32"/>
          <w:highlight w:val="none"/>
          <w:lang w:eastAsia="zh-CN"/>
        </w:rPr>
        <w:t>昆明市公安局</w:t>
      </w:r>
    </w:p>
    <w:p w14:paraId="357F17C2">
      <w:pPr>
        <w:pStyle w:val="16"/>
        <w:jc w:val="center"/>
        <w:rPr>
          <w:rFonts w:hint="eastAsia" w:hAnsi="宋体" w:eastAsia="宋体"/>
          <w:b/>
          <w:bCs/>
          <w:color w:val="auto"/>
          <w:sz w:val="32"/>
          <w:highlight w:val="none"/>
          <w:lang w:eastAsia="zh-CN"/>
        </w:rPr>
      </w:pPr>
      <w:r>
        <w:rPr>
          <w:rFonts w:hint="eastAsia" w:hAnsi="宋体"/>
          <w:b/>
          <w:bCs/>
          <w:color w:val="auto"/>
          <w:sz w:val="32"/>
          <w:highlight w:val="none"/>
        </w:rPr>
        <w:t>采购代理机构：</w:t>
      </w:r>
      <w:r>
        <w:rPr>
          <w:rFonts w:hint="eastAsia" w:hAnsi="宋体"/>
          <w:b/>
          <w:bCs/>
          <w:color w:val="auto"/>
          <w:sz w:val="32"/>
          <w:highlight w:val="none"/>
          <w:lang w:eastAsia="zh-CN"/>
        </w:rPr>
        <w:t>云南闰威咨询有限公司</w:t>
      </w:r>
    </w:p>
    <w:p w14:paraId="7568BB4E">
      <w:pPr>
        <w:pStyle w:val="16"/>
        <w:jc w:val="center"/>
        <w:rPr>
          <w:rFonts w:hAnsi="宋体"/>
          <w:b/>
          <w:bCs/>
          <w:color w:val="auto"/>
          <w:sz w:val="32"/>
          <w:highlight w:val="none"/>
        </w:rPr>
        <w:sectPr>
          <w:headerReference r:id="rId4" w:type="first"/>
          <w:footerReference r:id="rId7" w:type="first"/>
          <w:headerReference r:id="rId3" w:type="default"/>
          <w:footerReference r:id="rId5" w:type="default"/>
          <w:footerReference r:id="rId6" w:type="even"/>
          <w:pgSz w:w="11906" w:h="16838"/>
          <w:pgMar w:top="987" w:right="1134" w:bottom="822" w:left="1134" w:header="720" w:footer="720" w:gutter="0"/>
          <w:pgBorders>
            <w:top w:val="none" w:sz="0" w:space="0"/>
            <w:left w:val="none" w:sz="0" w:space="0"/>
            <w:bottom w:val="none" w:sz="0" w:space="0"/>
            <w:right w:val="none" w:sz="0" w:space="0"/>
          </w:pgBorders>
          <w:cols w:space="720" w:num="1"/>
          <w:titlePg/>
          <w:docGrid w:type="lines" w:linePitch="331" w:charSpace="0"/>
        </w:sectPr>
      </w:pPr>
      <w:r>
        <w:rPr>
          <w:rFonts w:hint="eastAsia" w:hAnsi="宋体"/>
          <w:b/>
          <w:bCs/>
          <w:color w:val="auto"/>
          <w:sz w:val="32"/>
          <w:highlight w:val="none"/>
        </w:rPr>
        <w:t>二○二</w:t>
      </w:r>
      <w:r>
        <w:rPr>
          <w:rFonts w:hint="eastAsia" w:hAnsi="宋体"/>
          <w:b/>
          <w:bCs/>
          <w:color w:val="auto"/>
          <w:sz w:val="32"/>
          <w:highlight w:val="none"/>
          <w:lang w:val="en-US" w:eastAsia="zh-CN"/>
        </w:rPr>
        <w:t>五</w:t>
      </w:r>
      <w:r>
        <w:rPr>
          <w:rFonts w:hint="eastAsia" w:hAnsi="宋体"/>
          <w:b/>
          <w:bCs/>
          <w:color w:val="auto"/>
          <w:sz w:val="32"/>
          <w:highlight w:val="none"/>
        </w:rPr>
        <w:t>年</w:t>
      </w:r>
      <w:r>
        <w:rPr>
          <w:rFonts w:hint="eastAsia" w:hAnsi="宋体"/>
          <w:b/>
          <w:bCs/>
          <w:color w:val="auto"/>
          <w:sz w:val="32"/>
          <w:highlight w:val="none"/>
          <w:lang w:val="en-US" w:eastAsia="zh-CN"/>
        </w:rPr>
        <w:t>十</w:t>
      </w:r>
      <w:r>
        <w:rPr>
          <w:rFonts w:hint="eastAsia" w:hAnsi="宋体"/>
          <w:b/>
          <w:bCs/>
          <w:color w:val="auto"/>
          <w:sz w:val="32"/>
          <w:highlight w:val="none"/>
        </w:rPr>
        <w:t>月</w:t>
      </w:r>
    </w:p>
    <w:p w14:paraId="0F4AFD78">
      <w:pPr>
        <w:rPr>
          <w:color w:val="auto"/>
          <w:highlight w:val="none"/>
        </w:rPr>
      </w:pPr>
    </w:p>
    <w:p w14:paraId="173F0078">
      <w:pPr>
        <w:rPr>
          <w:rFonts w:ascii="宋体" w:hAnsi="宋体"/>
          <w:b/>
          <w:color w:val="auto"/>
          <w:sz w:val="24"/>
          <w:highlight w:val="none"/>
        </w:rPr>
      </w:pPr>
    </w:p>
    <w:p w14:paraId="6074E310">
      <w:pPr>
        <w:rPr>
          <w:color w:val="auto"/>
          <w:highlight w:val="none"/>
        </w:rPr>
      </w:pPr>
    </w:p>
    <w:p w14:paraId="598B01EE">
      <w:pPr>
        <w:pStyle w:val="16"/>
        <w:spacing w:line="400" w:lineRule="exact"/>
        <w:jc w:val="center"/>
        <w:rPr>
          <w:rFonts w:hAnsi="宋体"/>
          <w:b/>
          <w:color w:val="auto"/>
          <w:sz w:val="32"/>
          <w:szCs w:val="32"/>
          <w:highlight w:val="none"/>
        </w:rPr>
      </w:pPr>
      <w:r>
        <w:rPr>
          <w:rFonts w:hint="eastAsia" w:hAnsi="宋体"/>
          <w:b/>
          <w:color w:val="auto"/>
          <w:sz w:val="32"/>
          <w:szCs w:val="32"/>
          <w:highlight w:val="none"/>
        </w:rPr>
        <w:t>目     录</w:t>
      </w:r>
    </w:p>
    <w:p w14:paraId="424EC567">
      <w:pPr>
        <w:pStyle w:val="16"/>
        <w:spacing w:line="400" w:lineRule="exact"/>
        <w:jc w:val="center"/>
        <w:rPr>
          <w:rFonts w:hAnsi="宋体"/>
          <w:color w:val="auto"/>
          <w:sz w:val="32"/>
          <w:szCs w:val="32"/>
          <w:highlight w:val="none"/>
        </w:rPr>
      </w:pPr>
    </w:p>
    <w:p w14:paraId="4FC27513">
      <w:pPr>
        <w:pStyle w:val="23"/>
        <w:spacing w:line="360" w:lineRule="auto"/>
        <w:ind w:firstLine="156"/>
        <w:rPr>
          <w:rFonts w:ascii="宋体" w:hAnsi="宋体"/>
          <w:color w:val="auto"/>
          <w:sz w:val="21"/>
          <w:szCs w:val="21"/>
          <w:highlight w:val="none"/>
        </w:rPr>
      </w:pPr>
      <w:r>
        <w:rPr>
          <w:rFonts w:ascii="宋体" w:hAnsi="宋体"/>
          <w:bCs w:val="0"/>
          <w:caps w:val="0"/>
          <w:smallCaps/>
          <w:color w:val="auto"/>
          <w:sz w:val="21"/>
          <w:szCs w:val="21"/>
          <w:highlight w:val="none"/>
        </w:rPr>
        <w:fldChar w:fldCharType="begin"/>
      </w:r>
      <w:r>
        <w:rPr>
          <w:rFonts w:ascii="宋体" w:hAnsi="宋体"/>
          <w:bCs w:val="0"/>
          <w:caps w:val="0"/>
          <w:smallCaps/>
          <w:color w:val="auto"/>
          <w:sz w:val="21"/>
          <w:szCs w:val="21"/>
          <w:highlight w:val="none"/>
        </w:rPr>
        <w:instrText xml:space="preserve"> TOC \o "1-2" \h \z \u </w:instrText>
      </w:r>
      <w:r>
        <w:rPr>
          <w:rFonts w:ascii="宋体" w:hAnsi="宋体"/>
          <w:bCs w:val="0"/>
          <w:caps w:val="0"/>
          <w:smallCaps/>
          <w:color w:val="auto"/>
          <w:sz w:val="21"/>
          <w:szCs w:val="21"/>
          <w:highlight w:val="none"/>
        </w:rPr>
        <w:fldChar w:fldCharType="separate"/>
      </w:r>
      <w:r>
        <w:rPr>
          <w:color w:val="auto"/>
          <w:highlight w:val="none"/>
        </w:rPr>
        <w:fldChar w:fldCharType="begin"/>
      </w:r>
      <w:r>
        <w:rPr>
          <w:color w:val="auto"/>
          <w:highlight w:val="none"/>
        </w:rPr>
        <w:instrText xml:space="preserve"> HYPERLINK \l "_Toc71666326" </w:instrText>
      </w:r>
      <w:r>
        <w:rPr>
          <w:color w:val="auto"/>
          <w:highlight w:val="none"/>
        </w:rPr>
        <w:fldChar w:fldCharType="separate"/>
      </w:r>
      <w:r>
        <w:rPr>
          <w:rStyle w:val="39"/>
          <w:rFonts w:hint="eastAsia" w:ascii="宋体" w:hAnsi="宋体"/>
          <w:color w:val="auto"/>
          <w:sz w:val="21"/>
          <w:szCs w:val="21"/>
          <w:highlight w:val="none"/>
        </w:rPr>
        <w:t>第一章 招标公告</w:t>
      </w:r>
      <w:r>
        <w:rPr>
          <w:rFonts w:hint="eastAsia" w:ascii="宋体" w:hAnsi="宋体"/>
          <w:color w:val="auto"/>
          <w:sz w:val="21"/>
          <w:szCs w:val="21"/>
          <w:highlight w:val="none"/>
        </w:rPr>
        <w:tab/>
      </w:r>
      <w:r>
        <w:rPr>
          <w:rFonts w:hint="eastAsia" w:ascii="宋体" w:hAnsi="宋体"/>
          <w:color w:val="auto"/>
          <w:sz w:val="21"/>
          <w:szCs w:val="21"/>
          <w:highlight w:val="none"/>
        </w:rPr>
        <w:fldChar w:fldCharType="begin"/>
      </w:r>
      <w:r>
        <w:rPr>
          <w:rFonts w:hint="eastAsia" w:ascii="宋体" w:hAnsi="宋体"/>
          <w:color w:val="auto"/>
          <w:sz w:val="21"/>
          <w:szCs w:val="21"/>
          <w:highlight w:val="none"/>
        </w:rPr>
        <w:instrText xml:space="preserve"> </w:instrText>
      </w:r>
      <w:r>
        <w:rPr>
          <w:rFonts w:ascii="宋体" w:hAnsi="宋体"/>
          <w:color w:val="auto"/>
          <w:sz w:val="21"/>
          <w:szCs w:val="21"/>
          <w:highlight w:val="none"/>
        </w:rPr>
        <w:instrText xml:space="preserve">PAGEREF _Toc71666326 \h</w:instrText>
      </w:r>
      <w:r>
        <w:rPr>
          <w:rFonts w:hint="eastAsia" w:ascii="宋体" w:hAnsi="宋体"/>
          <w:color w:val="auto"/>
          <w:sz w:val="21"/>
          <w:szCs w:val="21"/>
          <w:highlight w:val="none"/>
        </w:rPr>
        <w:instrText xml:space="preserve"> </w:instrText>
      </w:r>
      <w:r>
        <w:rPr>
          <w:rFonts w:hint="eastAsia" w:ascii="宋体" w:hAnsi="宋体"/>
          <w:color w:val="auto"/>
          <w:sz w:val="21"/>
          <w:szCs w:val="21"/>
          <w:highlight w:val="none"/>
        </w:rPr>
        <w:fldChar w:fldCharType="separate"/>
      </w:r>
      <w:r>
        <w:rPr>
          <w:rFonts w:ascii="宋体" w:hAnsi="宋体"/>
          <w:color w:val="auto"/>
          <w:sz w:val="21"/>
          <w:szCs w:val="21"/>
          <w:highlight w:val="none"/>
        </w:rPr>
        <w:t>1</w:t>
      </w:r>
      <w:r>
        <w:rPr>
          <w:rFonts w:hint="eastAsia" w:ascii="宋体" w:hAnsi="宋体"/>
          <w:color w:val="auto"/>
          <w:sz w:val="21"/>
          <w:szCs w:val="21"/>
          <w:highlight w:val="none"/>
        </w:rPr>
        <w:fldChar w:fldCharType="end"/>
      </w:r>
      <w:r>
        <w:rPr>
          <w:rFonts w:hint="eastAsia" w:ascii="宋体" w:hAnsi="宋体"/>
          <w:color w:val="auto"/>
          <w:sz w:val="21"/>
          <w:szCs w:val="21"/>
          <w:highlight w:val="none"/>
        </w:rPr>
        <w:fldChar w:fldCharType="end"/>
      </w:r>
    </w:p>
    <w:p w14:paraId="65D4D2FE">
      <w:pPr>
        <w:pStyle w:val="23"/>
        <w:spacing w:line="360" w:lineRule="auto"/>
        <w:ind w:firstLine="149"/>
        <w:rPr>
          <w:rFonts w:ascii="宋体" w:hAnsi="宋体"/>
          <w:b w:val="0"/>
          <w:bCs w:val="0"/>
          <w:caps w:val="0"/>
          <w:color w:val="auto"/>
          <w:sz w:val="21"/>
          <w:szCs w:val="21"/>
          <w:highlight w:val="none"/>
        </w:rPr>
      </w:pPr>
      <w:r>
        <w:rPr>
          <w:color w:val="auto"/>
          <w:highlight w:val="none"/>
        </w:rPr>
        <w:fldChar w:fldCharType="begin"/>
      </w:r>
      <w:r>
        <w:rPr>
          <w:color w:val="auto"/>
          <w:highlight w:val="none"/>
        </w:rPr>
        <w:instrText xml:space="preserve"> HYPERLINK \l "_Toc71666334" </w:instrText>
      </w:r>
      <w:r>
        <w:rPr>
          <w:color w:val="auto"/>
          <w:highlight w:val="none"/>
        </w:rPr>
        <w:fldChar w:fldCharType="separate"/>
      </w:r>
      <w:r>
        <w:rPr>
          <w:rStyle w:val="39"/>
          <w:rFonts w:hint="eastAsia" w:ascii="宋体" w:hAnsi="宋体"/>
          <w:color w:val="auto"/>
          <w:kern w:val="44"/>
          <w:sz w:val="21"/>
          <w:szCs w:val="21"/>
          <w:highlight w:val="none"/>
        </w:rPr>
        <w:t>第二章 投标人须知</w:t>
      </w:r>
      <w:r>
        <w:rPr>
          <w:rFonts w:hint="eastAsia" w:ascii="宋体" w:hAnsi="宋体"/>
          <w:color w:val="auto"/>
          <w:sz w:val="21"/>
          <w:szCs w:val="21"/>
          <w:highlight w:val="none"/>
        </w:rPr>
        <w:tab/>
      </w:r>
      <w:r>
        <w:rPr>
          <w:rFonts w:hint="eastAsia" w:ascii="宋体" w:hAnsi="宋体"/>
          <w:color w:val="auto"/>
          <w:sz w:val="21"/>
          <w:szCs w:val="21"/>
          <w:highlight w:val="none"/>
        </w:rPr>
        <w:fldChar w:fldCharType="begin"/>
      </w:r>
      <w:r>
        <w:rPr>
          <w:rFonts w:hint="eastAsia" w:ascii="宋体" w:hAnsi="宋体"/>
          <w:color w:val="auto"/>
          <w:sz w:val="21"/>
          <w:szCs w:val="21"/>
          <w:highlight w:val="none"/>
        </w:rPr>
        <w:instrText xml:space="preserve"> </w:instrText>
      </w:r>
      <w:r>
        <w:rPr>
          <w:rFonts w:ascii="宋体" w:hAnsi="宋体"/>
          <w:color w:val="auto"/>
          <w:sz w:val="21"/>
          <w:szCs w:val="21"/>
          <w:highlight w:val="none"/>
        </w:rPr>
        <w:instrText xml:space="preserve">PAGEREF _Toc71666334 \h</w:instrText>
      </w:r>
      <w:r>
        <w:rPr>
          <w:rFonts w:hint="eastAsia" w:ascii="宋体" w:hAnsi="宋体"/>
          <w:color w:val="auto"/>
          <w:sz w:val="21"/>
          <w:szCs w:val="21"/>
          <w:highlight w:val="none"/>
        </w:rPr>
        <w:instrText xml:space="preserve"> </w:instrText>
      </w:r>
      <w:r>
        <w:rPr>
          <w:rFonts w:hint="eastAsia" w:ascii="宋体" w:hAnsi="宋体"/>
          <w:color w:val="auto"/>
          <w:sz w:val="21"/>
          <w:szCs w:val="21"/>
          <w:highlight w:val="none"/>
        </w:rPr>
        <w:fldChar w:fldCharType="separate"/>
      </w:r>
      <w:r>
        <w:rPr>
          <w:rFonts w:ascii="宋体" w:hAnsi="宋体"/>
          <w:color w:val="auto"/>
          <w:sz w:val="21"/>
          <w:szCs w:val="21"/>
          <w:highlight w:val="none"/>
        </w:rPr>
        <w:t>5</w:t>
      </w:r>
      <w:r>
        <w:rPr>
          <w:rFonts w:hint="eastAsia" w:ascii="宋体" w:hAnsi="宋体"/>
          <w:color w:val="auto"/>
          <w:sz w:val="21"/>
          <w:szCs w:val="21"/>
          <w:highlight w:val="none"/>
        </w:rPr>
        <w:fldChar w:fldCharType="end"/>
      </w:r>
      <w:r>
        <w:rPr>
          <w:rFonts w:hint="eastAsia" w:ascii="宋体" w:hAnsi="宋体"/>
          <w:color w:val="auto"/>
          <w:sz w:val="21"/>
          <w:szCs w:val="21"/>
          <w:highlight w:val="none"/>
        </w:rPr>
        <w:fldChar w:fldCharType="end"/>
      </w:r>
    </w:p>
    <w:p w14:paraId="03CB31D9">
      <w:pPr>
        <w:pStyle w:val="25"/>
        <w:spacing w:line="360" w:lineRule="auto"/>
        <w:rPr>
          <w:rFonts w:ascii="宋体" w:hAnsi="宋体"/>
          <w:smallCaps w:val="0"/>
          <w:color w:val="auto"/>
          <w:sz w:val="21"/>
          <w:szCs w:val="21"/>
          <w:highlight w:val="none"/>
        </w:rPr>
      </w:pPr>
      <w:r>
        <w:rPr>
          <w:color w:val="auto"/>
          <w:highlight w:val="none"/>
        </w:rPr>
        <w:fldChar w:fldCharType="begin"/>
      </w:r>
      <w:r>
        <w:rPr>
          <w:color w:val="auto"/>
          <w:highlight w:val="none"/>
        </w:rPr>
        <w:instrText xml:space="preserve"> HYPERLINK \l "_Toc71666335" </w:instrText>
      </w:r>
      <w:r>
        <w:rPr>
          <w:color w:val="auto"/>
          <w:highlight w:val="none"/>
        </w:rPr>
        <w:fldChar w:fldCharType="separate"/>
      </w:r>
      <w:r>
        <w:rPr>
          <w:rStyle w:val="39"/>
          <w:rFonts w:hint="eastAsia" w:ascii="宋体" w:hAnsi="宋体"/>
          <w:color w:val="auto"/>
          <w:sz w:val="21"/>
          <w:szCs w:val="21"/>
          <w:highlight w:val="none"/>
        </w:rPr>
        <w:t>投标人须知前附表</w:t>
      </w:r>
      <w:r>
        <w:rPr>
          <w:rFonts w:hint="eastAsia" w:ascii="宋体" w:hAnsi="宋体"/>
          <w:color w:val="auto"/>
          <w:sz w:val="21"/>
          <w:szCs w:val="21"/>
          <w:highlight w:val="none"/>
        </w:rPr>
        <w:tab/>
      </w:r>
      <w:r>
        <w:rPr>
          <w:rFonts w:hint="eastAsia" w:ascii="宋体" w:hAnsi="宋体"/>
          <w:color w:val="auto"/>
          <w:sz w:val="21"/>
          <w:szCs w:val="21"/>
          <w:highlight w:val="none"/>
        </w:rPr>
        <w:fldChar w:fldCharType="begin"/>
      </w:r>
      <w:r>
        <w:rPr>
          <w:rFonts w:hint="eastAsia" w:ascii="宋体" w:hAnsi="宋体"/>
          <w:color w:val="auto"/>
          <w:sz w:val="21"/>
          <w:szCs w:val="21"/>
          <w:highlight w:val="none"/>
        </w:rPr>
        <w:instrText xml:space="preserve"> </w:instrText>
      </w:r>
      <w:r>
        <w:rPr>
          <w:rFonts w:ascii="宋体" w:hAnsi="宋体"/>
          <w:color w:val="auto"/>
          <w:sz w:val="21"/>
          <w:szCs w:val="21"/>
          <w:highlight w:val="none"/>
        </w:rPr>
        <w:instrText xml:space="preserve">PAGEREF _Toc71666335 \h</w:instrText>
      </w:r>
      <w:r>
        <w:rPr>
          <w:rFonts w:hint="eastAsia" w:ascii="宋体" w:hAnsi="宋体"/>
          <w:color w:val="auto"/>
          <w:sz w:val="21"/>
          <w:szCs w:val="21"/>
          <w:highlight w:val="none"/>
        </w:rPr>
        <w:instrText xml:space="preserve"> </w:instrText>
      </w:r>
      <w:r>
        <w:rPr>
          <w:rFonts w:hint="eastAsia" w:ascii="宋体" w:hAnsi="宋体"/>
          <w:color w:val="auto"/>
          <w:sz w:val="21"/>
          <w:szCs w:val="21"/>
          <w:highlight w:val="none"/>
        </w:rPr>
        <w:fldChar w:fldCharType="separate"/>
      </w:r>
      <w:r>
        <w:rPr>
          <w:rFonts w:ascii="宋体" w:hAnsi="宋体"/>
          <w:color w:val="auto"/>
          <w:sz w:val="21"/>
          <w:szCs w:val="21"/>
          <w:highlight w:val="none"/>
        </w:rPr>
        <w:t>5</w:t>
      </w:r>
      <w:r>
        <w:rPr>
          <w:rFonts w:hint="eastAsia" w:ascii="宋体" w:hAnsi="宋体"/>
          <w:color w:val="auto"/>
          <w:sz w:val="21"/>
          <w:szCs w:val="21"/>
          <w:highlight w:val="none"/>
        </w:rPr>
        <w:fldChar w:fldCharType="end"/>
      </w:r>
      <w:r>
        <w:rPr>
          <w:rFonts w:hint="eastAsia" w:ascii="宋体" w:hAnsi="宋体"/>
          <w:color w:val="auto"/>
          <w:sz w:val="21"/>
          <w:szCs w:val="21"/>
          <w:highlight w:val="none"/>
        </w:rPr>
        <w:fldChar w:fldCharType="end"/>
      </w:r>
    </w:p>
    <w:p w14:paraId="612B4F9D">
      <w:pPr>
        <w:pStyle w:val="23"/>
        <w:spacing w:line="360" w:lineRule="auto"/>
        <w:ind w:firstLine="149"/>
        <w:rPr>
          <w:rFonts w:ascii="宋体" w:hAnsi="宋体"/>
          <w:b w:val="0"/>
          <w:bCs w:val="0"/>
          <w:caps w:val="0"/>
          <w:color w:val="auto"/>
          <w:sz w:val="21"/>
          <w:szCs w:val="21"/>
          <w:highlight w:val="none"/>
        </w:rPr>
      </w:pPr>
      <w:r>
        <w:rPr>
          <w:color w:val="auto"/>
          <w:highlight w:val="none"/>
        </w:rPr>
        <w:fldChar w:fldCharType="begin"/>
      </w:r>
      <w:r>
        <w:rPr>
          <w:color w:val="auto"/>
          <w:highlight w:val="none"/>
        </w:rPr>
        <w:instrText xml:space="preserve"> HYPERLINK \l "_Toc71666343" </w:instrText>
      </w:r>
      <w:r>
        <w:rPr>
          <w:color w:val="auto"/>
          <w:highlight w:val="none"/>
        </w:rPr>
        <w:fldChar w:fldCharType="separate"/>
      </w:r>
      <w:r>
        <w:rPr>
          <w:rStyle w:val="39"/>
          <w:rFonts w:hint="eastAsia" w:ascii="宋体" w:hAnsi="宋体"/>
          <w:color w:val="auto"/>
          <w:kern w:val="44"/>
          <w:sz w:val="21"/>
          <w:szCs w:val="21"/>
          <w:highlight w:val="none"/>
        </w:rPr>
        <w:t>第三章 合同书样式及主要条款</w:t>
      </w:r>
      <w:r>
        <w:rPr>
          <w:rFonts w:hint="eastAsia" w:ascii="宋体" w:hAnsi="宋体"/>
          <w:color w:val="auto"/>
          <w:sz w:val="21"/>
          <w:szCs w:val="21"/>
          <w:highlight w:val="none"/>
        </w:rPr>
        <w:tab/>
      </w:r>
      <w:r>
        <w:rPr>
          <w:rFonts w:hint="eastAsia" w:ascii="宋体" w:hAnsi="宋体"/>
          <w:color w:val="auto"/>
          <w:sz w:val="21"/>
          <w:szCs w:val="21"/>
          <w:highlight w:val="none"/>
        </w:rPr>
        <w:fldChar w:fldCharType="begin"/>
      </w:r>
      <w:r>
        <w:rPr>
          <w:rFonts w:hint="eastAsia" w:ascii="宋体" w:hAnsi="宋体"/>
          <w:color w:val="auto"/>
          <w:sz w:val="21"/>
          <w:szCs w:val="21"/>
          <w:highlight w:val="none"/>
        </w:rPr>
        <w:instrText xml:space="preserve"> </w:instrText>
      </w:r>
      <w:r>
        <w:rPr>
          <w:rFonts w:ascii="宋体" w:hAnsi="宋体"/>
          <w:color w:val="auto"/>
          <w:sz w:val="21"/>
          <w:szCs w:val="21"/>
          <w:highlight w:val="none"/>
        </w:rPr>
        <w:instrText xml:space="preserve">PAGEREF _Toc71666343 \h</w:instrText>
      </w:r>
      <w:r>
        <w:rPr>
          <w:rFonts w:hint="eastAsia" w:ascii="宋体" w:hAnsi="宋体"/>
          <w:color w:val="auto"/>
          <w:sz w:val="21"/>
          <w:szCs w:val="21"/>
          <w:highlight w:val="none"/>
        </w:rPr>
        <w:instrText xml:space="preserve"> </w:instrText>
      </w:r>
      <w:r>
        <w:rPr>
          <w:rFonts w:hint="eastAsia" w:ascii="宋体" w:hAnsi="宋体"/>
          <w:color w:val="auto"/>
          <w:sz w:val="21"/>
          <w:szCs w:val="21"/>
          <w:highlight w:val="none"/>
        </w:rPr>
        <w:fldChar w:fldCharType="separate"/>
      </w:r>
      <w:r>
        <w:rPr>
          <w:rFonts w:ascii="宋体" w:hAnsi="宋体"/>
          <w:color w:val="auto"/>
          <w:sz w:val="21"/>
          <w:szCs w:val="21"/>
          <w:highlight w:val="none"/>
        </w:rPr>
        <w:t>18</w:t>
      </w:r>
      <w:r>
        <w:rPr>
          <w:rFonts w:hint="eastAsia" w:ascii="宋体" w:hAnsi="宋体"/>
          <w:color w:val="auto"/>
          <w:sz w:val="21"/>
          <w:szCs w:val="21"/>
          <w:highlight w:val="none"/>
        </w:rPr>
        <w:fldChar w:fldCharType="end"/>
      </w:r>
      <w:r>
        <w:rPr>
          <w:rFonts w:hint="eastAsia" w:ascii="宋体" w:hAnsi="宋体"/>
          <w:color w:val="auto"/>
          <w:sz w:val="21"/>
          <w:szCs w:val="21"/>
          <w:highlight w:val="none"/>
        </w:rPr>
        <w:fldChar w:fldCharType="end"/>
      </w:r>
    </w:p>
    <w:p w14:paraId="04347C3A">
      <w:pPr>
        <w:pStyle w:val="25"/>
        <w:spacing w:line="360" w:lineRule="auto"/>
        <w:rPr>
          <w:rFonts w:ascii="宋体" w:hAnsi="宋体"/>
          <w:smallCaps w:val="0"/>
          <w:color w:val="auto"/>
          <w:sz w:val="21"/>
          <w:szCs w:val="21"/>
          <w:highlight w:val="none"/>
        </w:rPr>
      </w:pPr>
      <w:r>
        <w:rPr>
          <w:color w:val="auto"/>
          <w:highlight w:val="none"/>
        </w:rPr>
        <w:fldChar w:fldCharType="begin"/>
      </w:r>
      <w:r>
        <w:rPr>
          <w:color w:val="auto"/>
          <w:highlight w:val="none"/>
        </w:rPr>
        <w:instrText xml:space="preserve"> HYPERLINK \l "_Toc71666344" </w:instrText>
      </w:r>
      <w:r>
        <w:rPr>
          <w:color w:val="auto"/>
          <w:highlight w:val="none"/>
        </w:rPr>
        <w:fldChar w:fldCharType="separate"/>
      </w:r>
      <w:r>
        <w:rPr>
          <w:rStyle w:val="39"/>
          <w:rFonts w:hint="eastAsia" w:ascii="宋体" w:hAnsi="宋体"/>
          <w:color w:val="auto"/>
          <w:sz w:val="21"/>
          <w:szCs w:val="21"/>
          <w:highlight w:val="none"/>
        </w:rPr>
        <w:t>合同条款前附表</w:t>
      </w:r>
      <w:r>
        <w:rPr>
          <w:rFonts w:hint="eastAsia" w:ascii="宋体" w:hAnsi="宋体"/>
          <w:color w:val="auto"/>
          <w:sz w:val="21"/>
          <w:szCs w:val="21"/>
          <w:highlight w:val="none"/>
        </w:rPr>
        <w:tab/>
      </w:r>
      <w:r>
        <w:rPr>
          <w:rFonts w:hint="eastAsia" w:ascii="宋体" w:hAnsi="宋体"/>
          <w:color w:val="auto"/>
          <w:sz w:val="21"/>
          <w:szCs w:val="21"/>
          <w:highlight w:val="none"/>
        </w:rPr>
        <w:fldChar w:fldCharType="begin"/>
      </w:r>
      <w:r>
        <w:rPr>
          <w:rFonts w:hint="eastAsia" w:ascii="宋体" w:hAnsi="宋体"/>
          <w:color w:val="auto"/>
          <w:sz w:val="21"/>
          <w:szCs w:val="21"/>
          <w:highlight w:val="none"/>
        </w:rPr>
        <w:instrText xml:space="preserve"> </w:instrText>
      </w:r>
      <w:r>
        <w:rPr>
          <w:rFonts w:ascii="宋体" w:hAnsi="宋体"/>
          <w:color w:val="auto"/>
          <w:sz w:val="21"/>
          <w:szCs w:val="21"/>
          <w:highlight w:val="none"/>
        </w:rPr>
        <w:instrText xml:space="preserve">PAGEREF _Toc71666344 \h</w:instrText>
      </w:r>
      <w:r>
        <w:rPr>
          <w:rFonts w:hint="eastAsia" w:ascii="宋体" w:hAnsi="宋体"/>
          <w:color w:val="auto"/>
          <w:sz w:val="21"/>
          <w:szCs w:val="21"/>
          <w:highlight w:val="none"/>
        </w:rPr>
        <w:instrText xml:space="preserve"> </w:instrText>
      </w:r>
      <w:r>
        <w:rPr>
          <w:rFonts w:hint="eastAsia" w:ascii="宋体" w:hAnsi="宋体"/>
          <w:color w:val="auto"/>
          <w:sz w:val="21"/>
          <w:szCs w:val="21"/>
          <w:highlight w:val="none"/>
        </w:rPr>
        <w:fldChar w:fldCharType="separate"/>
      </w:r>
      <w:r>
        <w:rPr>
          <w:rFonts w:ascii="宋体" w:hAnsi="宋体"/>
          <w:color w:val="auto"/>
          <w:sz w:val="21"/>
          <w:szCs w:val="21"/>
          <w:highlight w:val="none"/>
        </w:rPr>
        <w:t>18</w:t>
      </w:r>
      <w:r>
        <w:rPr>
          <w:rFonts w:hint="eastAsia" w:ascii="宋体" w:hAnsi="宋体"/>
          <w:color w:val="auto"/>
          <w:sz w:val="21"/>
          <w:szCs w:val="21"/>
          <w:highlight w:val="none"/>
        </w:rPr>
        <w:fldChar w:fldCharType="end"/>
      </w:r>
      <w:r>
        <w:rPr>
          <w:rFonts w:hint="eastAsia" w:ascii="宋体" w:hAnsi="宋体"/>
          <w:color w:val="auto"/>
          <w:sz w:val="21"/>
          <w:szCs w:val="21"/>
          <w:highlight w:val="none"/>
        </w:rPr>
        <w:fldChar w:fldCharType="end"/>
      </w:r>
    </w:p>
    <w:p w14:paraId="0F743D11">
      <w:pPr>
        <w:pStyle w:val="23"/>
        <w:spacing w:line="360" w:lineRule="auto"/>
        <w:ind w:firstLine="149"/>
        <w:rPr>
          <w:rFonts w:ascii="宋体" w:hAnsi="宋体"/>
          <w:b w:val="0"/>
          <w:bCs w:val="0"/>
          <w:caps w:val="0"/>
          <w:color w:val="auto"/>
          <w:sz w:val="21"/>
          <w:szCs w:val="21"/>
          <w:highlight w:val="none"/>
        </w:rPr>
      </w:pPr>
      <w:r>
        <w:rPr>
          <w:color w:val="auto"/>
          <w:highlight w:val="none"/>
        </w:rPr>
        <w:fldChar w:fldCharType="begin"/>
      </w:r>
      <w:r>
        <w:rPr>
          <w:color w:val="auto"/>
          <w:highlight w:val="none"/>
        </w:rPr>
        <w:instrText xml:space="preserve"> HYPERLINK \l "_Toc71666345" </w:instrText>
      </w:r>
      <w:r>
        <w:rPr>
          <w:color w:val="auto"/>
          <w:highlight w:val="none"/>
        </w:rPr>
        <w:fldChar w:fldCharType="separate"/>
      </w:r>
      <w:r>
        <w:rPr>
          <w:rStyle w:val="39"/>
          <w:rFonts w:hint="eastAsia" w:ascii="宋体" w:hAnsi="宋体"/>
          <w:color w:val="auto"/>
          <w:kern w:val="44"/>
          <w:sz w:val="21"/>
          <w:szCs w:val="21"/>
          <w:highlight w:val="none"/>
        </w:rPr>
        <w:t>第四章  投标文件格式</w:t>
      </w:r>
      <w:r>
        <w:rPr>
          <w:rFonts w:hint="eastAsia" w:ascii="宋体" w:hAnsi="宋体"/>
          <w:color w:val="auto"/>
          <w:sz w:val="21"/>
          <w:szCs w:val="21"/>
          <w:highlight w:val="none"/>
        </w:rPr>
        <w:tab/>
      </w:r>
      <w:r>
        <w:rPr>
          <w:rFonts w:hint="eastAsia" w:ascii="宋体" w:hAnsi="宋体"/>
          <w:color w:val="auto"/>
          <w:sz w:val="21"/>
          <w:szCs w:val="21"/>
          <w:highlight w:val="none"/>
        </w:rPr>
        <w:fldChar w:fldCharType="begin"/>
      </w:r>
      <w:r>
        <w:rPr>
          <w:rFonts w:hint="eastAsia" w:ascii="宋体" w:hAnsi="宋体"/>
          <w:color w:val="auto"/>
          <w:sz w:val="21"/>
          <w:szCs w:val="21"/>
          <w:highlight w:val="none"/>
        </w:rPr>
        <w:instrText xml:space="preserve"> </w:instrText>
      </w:r>
      <w:r>
        <w:rPr>
          <w:rFonts w:ascii="宋体" w:hAnsi="宋体"/>
          <w:color w:val="auto"/>
          <w:sz w:val="21"/>
          <w:szCs w:val="21"/>
          <w:highlight w:val="none"/>
        </w:rPr>
        <w:instrText xml:space="preserve">PAGEREF _Toc71666345 \h</w:instrText>
      </w:r>
      <w:r>
        <w:rPr>
          <w:rFonts w:hint="eastAsia" w:ascii="宋体" w:hAnsi="宋体"/>
          <w:color w:val="auto"/>
          <w:sz w:val="21"/>
          <w:szCs w:val="21"/>
          <w:highlight w:val="none"/>
        </w:rPr>
        <w:instrText xml:space="preserve"> </w:instrText>
      </w:r>
      <w:r>
        <w:rPr>
          <w:rFonts w:hint="eastAsia" w:ascii="宋体" w:hAnsi="宋体"/>
          <w:color w:val="auto"/>
          <w:sz w:val="21"/>
          <w:szCs w:val="21"/>
          <w:highlight w:val="none"/>
        </w:rPr>
        <w:fldChar w:fldCharType="separate"/>
      </w:r>
      <w:r>
        <w:rPr>
          <w:rFonts w:ascii="宋体" w:hAnsi="宋体"/>
          <w:color w:val="auto"/>
          <w:sz w:val="21"/>
          <w:szCs w:val="21"/>
          <w:highlight w:val="none"/>
        </w:rPr>
        <w:t>24</w:t>
      </w:r>
      <w:r>
        <w:rPr>
          <w:rFonts w:hint="eastAsia" w:ascii="宋体" w:hAnsi="宋体"/>
          <w:color w:val="auto"/>
          <w:sz w:val="21"/>
          <w:szCs w:val="21"/>
          <w:highlight w:val="none"/>
        </w:rPr>
        <w:fldChar w:fldCharType="end"/>
      </w:r>
      <w:r>
        <w:rPr>
          <w:rFonts w:hint="eastAsia" w:ascii="宋体" w:hAnsi="宋体"/>
          <w:color w:val="auto"/>
          <w:sz w:val="21"/>
          <w:szCs w:val="21"/>
          <w:highlight w:val="none"/>
        </w:rPr>
        <w:fldChar w:fldCharType="end"/>
      </w:r>
    </w:p>
    <w:p w14:paraId="314BDE6E">
      <w:pPr>
        <w:pStyle w:val="25"/>
        <w:spacing w:line="360" w:lineRule="auto"/>
        <w:rPr>
          <w:rFonts w:ascii="宋体" w:hAnsi="宋体"/>
          <w:smallCaps w:val="0"/>
          <w:color w:val="auto"/>
          <w:sz w:val="21"/>
          <w:szCs w:val="21"/>
          <w:highlight w:val="none"/>
        </w:rPr>
      </w:pPr>
      <w:r>
        <w:rPr>
          <w:color w:val="auto"/>
          <w:highlight w:val="none"/>
        </w:rPr>
        <w:fldChar w:fldCharType="begin"/>
      </w:r>
      <w:r>
        <w:rPr>
          <w:color w:val="auto"/>
          <w:highlight w:val="none"/>
        </w:rPr>
        <w:instrText xml:space="preserve"> HYPERLINK \l "_Toc71666346" </w:instrText>
      </w:r>
      <w:r>
        <w:rPr>
          <w:color w:val="auto"/>
          <w:highlight w:val="none"/>
        </w:rPr>
        <w:fldChar w:fldCharType="separate"/>
      </w:r>
      <w:r>
        <w:rPr>
          <w:rStyle w:val="39"/>
          <w:rFonts w:hint="eastAsia" w:ascii="宋体" w:hAnsi="宋体"/>
          <w:color w:val="auto"/>
          <w:sz w:val="21"/>
          <w:szCs w:val="21"/>
          <w:highlight w:val="none"/>
        </w:rPr>
        <w:t>开标一览表</w:t>
      </w:r>
      <w:r>
        <w:rPr>
          <w:rFonts w:hint="eastAsia" w:ascii="宋体" w:hAnsi="宋体"/>
          <w:color w:val="auto"/>
          <w:sz w:val="21"/>
          <w:szCs w:val="21"/>
          <w:highlight w:val="none"/>
        </w:rPr>
        <w:tab/>
      </w:r>
      <w:r>
        <w:rPr>
          <w:rFonts w:hint="eastAsia" w:ascii="宋体" w:hAnsi="宋体"/>
          <w:color w:val="auto"/>
          <w:sz w:val="21"/>
          <w:szCs w:val="21"/>
          <w:highlight w:val="none"/>
        </w:rPr>
        <w:fldChar w:fldCharType="begin"/>
      </w:r>
      <w:r>
        <w:rPr>
          <w:rFonts w:hint="eastAsia" w:ascii="宋体" w:hAnsi="宋体"/>
          <w:color w:val="auto"/>
          <w:sz w:val="21"/>
          <w:szCs w:val="21"/>
          <w:highlight w:val="none"/>
        </w:rPr>
        <w:instrText xml:space="preserve"> </w:instrText>
      </w:r>
      <w:r>
        <w:rPr>
          <w:rFonts w:ascii="宋体" w:hAnsi="宋体"/>
          <w:color w:val="auto"/>
          <w:sz w:val="21"/>
          <w:szCs w:val="21"/>
          <w:highlight w:val="none"/>
        </w:rPr>
        <w:instrText xml:space="preserve">PAGEREF _Toc71666346 \h</w:instrText>
      </w:r>
      <w:r>
        <w:rPr>
          <w:rFonts w:hint="eastAsia" w:ascii="宋体" w:hAnsi="宋体"/>
          <w:color w:val="auto"/>
          <w:sz w:val="21"/>
          <w:szCs w:val="21"/>
          <w:highlight w:val="none"/>
        </w:rPr>
        <w:instrText xml:space="preserve"> </w:instrText>
      </w:r>
      <w:r>
        <w:rPr>
          <w:rFonts w:hint="eastAsia" w:ascii="宋体" w:hAnsi="宋体"/>
          <w:color w:val="auto"/>
          <w:sz w:val="21"/>
          <w:szCs w:val="21"/>
          <w:highlight w:val="none"/>
        </w:rPr>
        <w:fldChar w:fldCharType="separate"/>
      </w:r>
      <w:r>
        <w:rPr>
          <w:rFonts w:ascii="宋体" w:hAnsi="宋体"/>
          <w:color w:val="auto"/>
          <w:sz w:val="21"/>
          <w:szCs w:val="21"/>
          <w:highlight w:val="none"/>
        </w:rPr>
        <w:t>26</w:t>
      </w:r>
      <w:r>
        <w:rPr>
          <w:rFonts w:hint="eastAsia" w:ascii="宋体" w:hAnsi="宋体"/>
          <w:color w:val="auto"/>
          <w:sz w:val="21"/>
          <w:szCs w:val="21"/>
          <w:highlight w:val="none"/>
        </w:rPr>
        <w:fldChar w:fldCharType="end"/>
      </w:r>
      <w:r>
        <w:rPr>
          <w:rFonts w:hint="eastAsia" w:ascii="宋体" w:hAnsi="宋体"/>
          <w:color w:val="auto"/>
          <w:sz w:val="21"/>
          <w:szCs w:val="21"/>
          <w:highlight w:val="none"/>
        </w:rPr>
        <w:fldChar w:fldCharType="end"/>
      </w:r>
    </w:p>
    <w:p w14:paraId="71DDEC28">
      <w:pPr>
        <w:pStyle w:val="25"/>
        <w:spacing w:line="360" w:lineRule="auto"/>
        <w:rPr>
          <w:rFonts w:ascii="宋体" w:hAnsi="宋体"/>
          <w:smallCaps w:val="0"/>
          <w:color w:val="auto"/>
          <w:sz w:val="21"/>
          <w:szCs w:val="21"/>
          <w:highlight w:val="none"/>
        </w:rPr>
      </w:pPr>
      <w:r>
        <w:rPr>
          <w:color w:val="auto"/>
          <w:highlight w:val="none"/>
        </w:rPr>
        <w:fldChar w:fldCharType="begin"/>
      </w:r>
      <w:r>
        <w:rPr>
          <w:color w:val="auto"/>
          <w:highlight w:val="none"/>
        </w:rPr>
        <w:instrText xml:space="preserve"> HYPERLINK \l "_Toc71666347" </w:instrText>
      </w:r>
      <w:r>
        <w:rPr>
          <w:color w:val="auto"/>
          <w:highlight w:val="none"/>
        </w:rPr>
        <w:fldChar w:fldCharType="separate"/>
      </w:r>
      <w:r>
        <w:rPr>
          <w:rStyle w:val="39"/>
          <w:rFonts w:hint="eastAsia" w:ascii="宋体" w:hAnsi="宋体"/>
          <w:color w:val="auto"/>
          <w:sz w:val="21"/>
          <w:szCs w:val="21"/>
          <w:highlight w:val="none"/>
        </w:rPr>
        <w:t>一、资格证明文件</w:t>
      </w:r>
      <w:r>
        <w:rPr>
          <w:rFonts w:hint="eastAsia" w:ascii="宋体" w:hAnsi="宋体"/>
          <w:color w:val="auto"/>
          <w:sz w:val="21"/>
          <w:szCs w:val="21"/>
          <w:highlight w:val="none"/>
        </w:rPr>
        <w:tab/>
      </w:r>
      <w:r>
        <w:rPr>
          <w:rFonts w:hint="eastAsia" w:ascii="宋体" w:hAnsi="宋体"/>
          <w:color w:val="auto"/>
          <w:sz w:val="21"/>
          <w:szCs w:val="21"/>
          <w:highlight w:val="none"/>
        </w:rPr>
        <w:fldChar w:fldCharType="begin"/>
      </w:r>
      <w:r>
        <w:rPr>
          <w:rFonts w:hint="eastAsia" w:ascii="宋体" w:hAnsi="宋体"/>
          <w:color w:val="auto"/>
          <w:sz w:val="21"/>
          <w:szCs w:val="21"/>
          <w:highlight w:val="none"/>
        </w:rPr>
        <w:instrText xml:space="preserve"> </w:instrText>
      </w:r>
      <w:r>
        <w:rPr>
          <w:rFonts w:ascii="宋体" w:hAnsi="宋体"/>
          <w:color w:val="auto"/>
          <w:sz w:val="21"/>
          <w:szCs w:val="21"/>
          <w:highlight w:val="none"/>
        </w:rPr>
        <w:instrText xml:space="preserve">PAGEREF _Toc71666347 \h</w:instrText>
      </w:r>
      <w:r>
        <w:rPr>
          <w:rFonts w:hint="eastAsia" w:ascii="宋体" w:hAnsi="宋体"/>
          <w:color w:val="auto"/>
          <w:sz w:val="21"/>
          <w:szCs w:val="21"/>
          <w:highlight w:val="none"/>
        </w:rPr>
        <w:instrText xml:space="preserve"> </w:instrText>
      </w:r>
      <w:r>
        <w:rPr>
          <w:rFonts w:hint="eastAsia" w:ascii="宋体" w:hAnsi="宋体"/>
          <w:color w:val="auto"/>
          <w:sz w:val="21"/>
          <w:szCs w:val="21"/>
          <w:highlight w:val="none"/>
        </w:rPr>
        <w:fldChar w:fldCharType="separate"/>
      </w:r>
      <w:r>
        <w:rPr>
          <w:rFonts w:ascii="宋体" w:hAnsi="宋体"/>
          <w:color w:val="auto"/>
          <w:sz w:val="21"/>
          <w:szCs w:val="21"/>
          <w:highlight w:val="none"/>
        </w:rPr>
        <w:t>27</w:t>
      </w:r>
      <w:r>
        <w:rPr>
          <w:rFonts w:hint="eastAsia" w:ascii="宋体" w:hAnsi="宋体"/>
          <w:color w:val="auto"/>
          <w:sz w:val="21"/>
          <w:szCs w:val="21"/>
          <w:highlight w:val="none"/>
        </w:rPr>
        <w:fldChar w:fldCharType="end"/>
      </w:r>
      <w:r>
        <w:rPr>
          <w:rFonts w:hint="eastAsia" w:ascii="宋体" w:hAnsi="宋体"/>
          <w:color w:val="auto"/>
          <w:sz w:val="21"/>
          <w:szCs w:val="21"/>
          <w:highlight w:val="none"/>
        </w:rPr>
        <w:fldChar w:fldCharType="end"/>
      </w:r>
    </w:p>
    <w:p w14:paraId="56BEEA9B">
      <w:pPr>
        <w:pStyle w:val="25"/>
        <w:spacing w:line="360" w:lineRule="auto"/>
        <w:rPr>
          <w:rFonts w:ascii="宋体" w:hAnsi="宋体"/>
          <w:smallCaps w:val="0"/>
          <w:color w:val="auto"/>
          <w:sz w:val="21"/>
          <w:szCs w:val="21"/>
          <w:highlight w:val="none"/>
        </w:rPr>
      </w:pPr>
      <w:r>
        <w:rPr>
          <w:color w:val="auto"/>
          <w:highlight w:val="none"/>
        </w:rPr>
        <w:fldChar w:fldCharType="begin"/>
      </w:r>
      <w:r>
        <w:rPr>
          <w:color w:val="auto"/>
          <w:highlight w:val="none"/>
        </w:rPr>
        <w:instrText xml:space="preserve"> HYPERLINK \l "_Toc71666348" </w:instrText>
      </w:r>
      <w:r>
        <w:rPr>
          <w:color w:val="auto"/>
          <w:highlight w:val="none"/>
        </w:rPr>
        <w:fldChar w:fldCharType="separate"/>
      </w:r>
      <w:r>
        <w:rPr>
          <w:rStyle w:val="39"/>
          <w:rFonts w:hint="eastAsia" w:ascii="宋体" w:hAnsi="宋体"/>
          <w:color w:val="auto"/>
          <w:sz w:val="21"/>
          <w:szCs w:val="21"/>
          <w:highlight w:val="none"/>
        </w:rPr>
        <w:t>二、商务部分</w:t>
      </w:r>
      <w:r>
        <w:rPr>
          <w:rFonts w:hint="eastAsia" w:ascii="宋体" w:hAnsi="宋体"/>
          <w:color w:val="auto"/>
          <w:sz w:val="21"/>
          <w:szCs w:val="21"/>
          <w:highlight w:val="none"/>
        </w:rPr>
        <w:tab/>
      </w:r>
      <w:bookmarkStart w:id="176" w:name="_GoBack"/>
      <w:bookmarkEnd w:id="176"/>
      <w:r>
        <w:rPr>
          <w:rFonts w:hint="eastAsia" w:ascii="宋体" w:hAnsi="宋体"/>
          <w:color w:val="auto"/>
          <w:sz w:val="21"/>
          <w:szCs w:val="21"/>
          <w:highlight w:val="none"/>
        </w:rPr>
        <w:fldChar w:fldCharType="begin"/>
      </w:r>
      <w:r>
        <w:rPr>
          <w:rFonts w:hint="eastAsia" w:ascii="宋体" w:hAnsi="宋体"/>
          <w:color w:val="auto"/>
          <w:sz w:val="21"/>
          <w:szCs w:val="21"/>
          <w:highlight w:val="none"/>
        </w:rPr>
        <w:instrText xml:space="preserve"> </w:instrText>
      </w:r>
      <w:r>
        <w:rPr>
          <w:rFonts w:ascii="宋体" w:hAnsi="宋体"/>
          <w:color w:val="auto"/>
          <w:sz w:val="21"/>
          <w:szCs w:val="21"/>
          <w:highlight w:val="none"/>
        </w:rPr>
        <w:instrText xml:space="preserve">PAGEREF _Toc71666348 \h</w:instrText>
      </w:r>
      <w:r>
        <w:rPr>
          <w:rFonts w:hint="eastAsia" w:ascii="宋体" w:hAnsi="宋体"/>
          <w:color w:val="auto"/>
          <w:sz w:val="21"/>
          <w:szCs w:val="21"/>
          <w:highlight w:val="none"/>
        </w:rPr>
        <w:instrText xml:space="preserve"> </w:instrText>
      </w:r>
      <w:r>
        <w:rPr>
          <w:rFonts w:hint="eastAsia" w:ascii="宋体" w:hAnsi="宋体"/>
          <w:color w:val="auto"/>
          <w:sz w:val="21"/>
          <w:szCs w:val="21"/>
          <w:highlight w:val="none"/>
        </w:rPr>
        <w:fldChar w:fldCharType="separate"/>
      </w:r>
      <w:r>
        <w:rPr>
          <w:rFonts w:ascii="宋体" w:hAnsi="宋体"/>
          <w:color w:val="auto"/>
          <w:sz w:val="21"/>
          <w:szCs w:val="21"/>
          <w:highlight w:val="none"/>
        </w:rPr>
        <w:t>35</w:t>
      </w:r>
      <w:r>
        <w:rPr>
          <w:rFonts w:hint="eastAsia" w:ascii="宋体" w:hAnsi="宋体"/>
          <w:color w:val="auto"/>
          <w:sz w:val="21"/>
          <w:szCs w:val="21"/>
          <w:highlight w:val="none"/>
        </w:rPr>
        <w:fldChar w:fldCharType="end"/>
      </w:r>
      <w:r>
        <w:rPr>
          <w:rFonts w:hint="eastAsia" w:ascii="宋体" w:hAnsi="宋体"/>
          <w:color w:val="auto"/>
          <w:sz w:val="21"/>
          <w:szCs w:val="21"/>
          <w:highlight w:val="none"/>
        </w:rPr>
        <w:fldChar w:fldCharType="end"/>
      </w:r>
    </w:p>
    <w:p w14:paraId="4F4971B3">
      <w:pPr>
        <w:pStyle w:val="25"/>
        <w:spacing w:line="360" w:lineRule="auto"/>
        <w:rPr>
          <w:rFonts w:ascii="宋体" w:hAnsi="宋体"/>
          <w:smallCaps w:val="0"/>
          <w:color w:val="auto"/>
          <w:sz w:val="21"/>
          <w:szCs w:val="21"/>
          <w:highlight w:val="none"/>
        </w:rPr>
      </w:pPr>
      <w:r>
        <w:rPr>
          <w:color w:val="auto"/>
          <w:highlight w:val="none"/>
        </w:rPr>
        <w:fldChar w:fldCharType="begin"/>
      </w:r>
      <w:r>
        <w:rPr>
          <w:color w:val="auto"/>
          <w:highlight w:val="none"/>
        </w:rPr>
        <w:instrText xml:space="preserve"> HYPERLINK \l "_Toc71666349" </w:instrText>
      </w:r>
      <w:r>
        <w:rPr>
          <w:color w:val="auto"/>
          <w:highlight w:val="none"/>
        </w:rPr>
        <w:fldChar w:fldCharType="separate"/>
      </w:r>
      <w:r>
        <w:rPr>
          <w:rStyle w:val="39"/>
          <w:rFonts w:hint="eastAsia" w:ascii="宋体" w:hAnsi="宋体"/>
          <w:color w:val="auto"/>
          <w:sz w:val="21"/>
          <w:szCs w:val="21"/>
          <w:highlight w:val="none"/>
        </w:rPr>
        <w:t>三、技术部分</w:t>
      </w:r>
      <w:r>
        <w:rPr>
          <w:rFonts w:hint="eastAsia" w:ascii="宋体" w:hAnsi="宋体"/>
          <w:color w:val="auto"/>
          <w:sz w:val="21"/>
          <w:szCs w:val="21"/>
          <w:highlight w:val="none"/>
        </w:rPr>
        <w:tab/>
      </w:r>
      <w:r>
        <w:rPr>
          <w:rFonts w:hint="eastAsia" w:ascii="宋体" w:hAnsi="宋体"/>
          <w:color w:val="auto"/>
          <w:sz w:val="21"/>
          <w:szCs w:val="21"/>
          <w:highlight w:val="none"/>
        </w:rPr>
        <w:fldChar w:fldCharType="begin"/>
      </w:r>
      <w:r>
        <w:rPr>
          <w:rFonts w:hint="eastAsia" w:ascii="宋体" w:hAnsi="宋体"/>
          <w:color w:val="auto"/>
          <w:sz w:val="21"/>
          <w:szCs w:val="21"/>
          <w:highlight w:val="none"/>
        </w:rPr>
        <w:instrText xml:space="preserve"> </w:instrText>
      </w:r>
      <w:r>
        <w:rPr>
          <w:rFonts w:ascii="宋体" w:hAnsi="宋体"/>
          <w:color w:val="auto"/>
          <w:sz w:val="21"/>
          <w:szCs w:val="21"/>
          <w:highlight w:val="none"/>
        </w:rPr>
        <w:instrText xml:space="preserve">PAGEREF _Toc71666349 \h</w:instrText>
      </w:r>
      <w:r>
        <w:rPr>
          <w:rFonts w:hint="eastAsia" w:ascii="宋体" w:hAnsi="宋体"/>
          <w:color w:val="auto"/>
          <w:sz w:val="21"/>
          <w:szCs w:val="21"/>
          <w:highlight w:val="none"/>
        </w:rPr>
        <w:instrText xml:space="preserve"> </w:instrText>
      </w:r>
      <w:r>
        <w:rPr>
          <w:rFonts w:hint="eastAsia" w:ascii="宋体" w:hAnsi="宋体"/>
          <w:color w:val="auto"/>
          <w:sz w:val="21"/>
          <w:szCs w:val="21"/>
          <w:highlight w:val="none"/>
        </w:rPr>
        <w:fldChar w:fldCharType="separate"/>
      </w:r>
      <w:r>
        <w:rPr>
          <w:rFonts w:ascii="宋体" w:hAnsi="宋体"/>
          <w:color w:val="auto"/>
          <w:sz w:val="21"/>
          <w:szCs w:val="21"/>
          <w:highlight w:val="none"/>
        </w:rPr>
        <w:t>52</w:t>
      </w:r>
      <w:r>
        <w:rPr>
          <w:rFonts w:hint="eastAsia" w:ascii="宋体" w:hAnsi="宋体"/>
          <w:color w:val="auto"/>
          <w:sz w:val="21"/>
          <w:szCs w:val="21"/>
          <w:highlight w:val="none"/>
        </w:rPr>
        <w:fldChar w:fldCharType="end"/>
      </w:r>
      <w:r>
        <w:rPr>
          <w:rFonts w:hint="eastAsia" w:ascii="宋体" w:hAnsi="宋体"/>
          <w:color w:val="auto"/>
          <w:sz w:val="21"/>
          <w:szCs w:val="21"/>
          <w:highlight w:val="none"/>
        </w:rPr>
        <w:fldChar w:fldCharType="end"/>
      </w:r>
    </w:p>
    <w:p w14:paraId="0512B1B5">
      <w:pPr>
        <w:pStyle w:val="23"/>
        <w:spacing w:line="360" w:lineRule="auto"/>
        <w:ind w:firstLine="149"/>
        <w:rPr>
          <w:rFonts w:hint="eastAsia" w:ascii="宋体" w:hAnsi="宋体" w:eastAsia="宋体"/>
          <w:b w:val="0"/>
          <w:bCs w:val="0"/>
          <w:caps w:val="0"/>
          <w:color w:val="auto"/>
          <w:sz w:val="21"/>
          <w:szCs w:val="21"/>
          <w:highlight w:val="none"/>
          <w:lang w:eastAsia="zh-CN"/>
        </w:rPr>
      </w:pPr>
      <w:r>
        <w:rPr>
          <w:color w:val="auto"/>
          <w:highlight w:val="none"/>
        </w:rPr>
        <w:fldChar w:fldCharType="begin"/>
      </w:r>
      <w:r>
        <w:rPr>
          <w:color w:val="auto"/>
          <w:highlight w:val="none"/>
        </w:rPr>
        <w:instrText xml:space="preserve"> HYPERLINK \l "_Toc71666350" </w:instrText>
      </w:r>
      <w:r>
        <w:rPr>
          <w:color w:val="auto"/>
          <w:highlight w:val="none"/>
        </w:rPr>
        <w:fldChar w:fldCharType="separate"/>
      </w:r>
      <w:r>
        <w:rPr>
          <w:rStyle w:val="39"/>
          <w:rFonts w:hint="eastAsia" w:ascii="宋体" w:hAnsi="宋体"/>
          <w:color w:val="auto"/>
          <w:kern w:val="44"/>
          <w:sz w:val="21"/>
          <w:szCs w:val="21"/>
          <w:highlight w:val="none"/>
        </w:rPr>
        <w:t xml:space="preserve">第五章  </w:t>
      </w:r>
      <w:r>
        <w:rPr>
          <w:rStyle w:val="39"/>
          <w:rFonts w:hint="eastAsia" w:ascii="宋体" w:hAnsi="宋体"/>
          <w:color w:val="auto"/>
          <w:kern w:val="44"/>
          <w:sz w:val="21"/>
          <w:szCs w:val="21"/>
          <w:highlight w:val="none"/>
          <w:lang w:eastAsia="zh-CN"/>
        </w:rPr>
        <w:t>采购需求</w:t>
      </w:r>
      <w:r>
        <w:rPr>
          <w:rFonts w:hint="eastAsia" w:ascii="宋体" w:hAnsi="宋体"/>
          <w:color w:val="auto"/>
          <w:sz w:val="21"/>
          <w:szCs w:val="21"/>
          <w:highlight w:val="none"/>
        </w:rPr>
        <w:tab/>
      </w:r>
      <w:r>
        <w:rPr>
          <w:rFonts w:hint="eastAsia" w:ascii="宋体" w:hAnsi="宋体"/>
          <w:color w:val="auto"/>
          <w:sz w:val="21"/>
          <w:szCs w:val="21"/>
          <w:highlight w:val="none"/>
        </w:rPr>
        <w:fldChar w:fldCharType="end"/>
      </w:r>
      <w:r>
        <w:rPr>
          <w:rFonts w:hint="eastAsia" w:ascii="宋体" w:hAnsi="宋体"/>
          <w:color w:val="auto"/>
          <w:sz w:val="21"/>
          <w:szCs w:val="21"/>
          <w:highlight w:val="none"/>
        </w:rPr>
        <w:t>5</w:t>
      </w:r>
      <w:r>
        <w:rPr>
          <w:rFonts w:hint="eastAsia" w:ascii="宋体" w:hAnsi="宋体"/>
          <w:color w:val="auto"/>
          <w:sz w:val="21"/>
          <w:szCs w:val="21"/>
          <w:highlight w:val="none"/>
          <w:lang w:val="en-US" w:eastAsia="zh-CN"/>
        </w:rPr>
        <w:t>8</w:t>
      </w:r>
    </w:p>
    <w:p w14:paraId="0BB11A17">
      <w:pPr>
        <w:pStyle w:val="23"/>
        <w:spacing w:line="360" w:lineRule="auto"/>
        <w:ind w:firstLine="149"/>
        <w:rPr>
          <w:rFonts w:hint="eastAsia" w:ascii="宋体" w:hAnsi="宋体" w:eastAsia="宋体"/>
          <w:b w:val="0"/>
          <w:bCs w:val="0"/>
          <w:caps w:val="0"/>
          <w:color w:val="auto"/>
          <w:sz w:val="21"/>
          <w:szCs w:val="21"/>
          <w:highlight w:val="none"/>
          <w:lang w:val="en-US" w:eastAsia="zh-CN"/>
        </w:rPr>
      </w:pPr>
      <w:r>
        <w:rPr>
          <w:color w:val="auto"/>
          <w:highlight w:val="none"/>
        </w:rPr>
        <w:fldChar w:fldCharType="begin"/>
      </w:r>
      <w:r>
        <w:rPr>
          <w:color w:val="auto"/>
          <w:highlight w:val="none"/>
        </w:rPr>
        <w:instrText xml:space="preserve"> HYPERLINK \l "_Toc71666351" </w:instrText>
      </w:r>
      <w:r>
        <w:rPr>
          <w:color w:val="auto"/>
          <w:highlight w:val="none"/>
        </w:rPr>
        <w:fldChar w:fldCharType="separate"/>
      </w:r>
      <w:r>
        <w:rPr>
          <w:rStyle w:val="39"/>
          <w:rFonts w:hint="eastAsia" w:ascii="宋体" w:hAnsi="宋体"/>
          <w:color w:val="auto"/>
          <w:kern w:val="44"/>
          <w:sz w:val="21"/>
          <w:szCs w:val="21"/>
          <w:highlight w:val="none"/>
        </w:rPr>
        <w:t>第六章 资格评审标准</w:t>
      </w:r>
      <w:r>
        <w:rPr>
          <w:rFonts w:hint="eastAsia" w:ascii="宋体" w:hAnsi="宋体"/>
          <w:color w:val="auto"/>
          <w:sz w:val="21"/>
          <w:szCs w:val="21"/>
          <w:highlight w:val="none"/>
        </w:rPr>
        <w:tab/>
      </w:r>
      <w:r>
        <w:rPr>
          <w:rFonts w:hint="eastAsia" w:ascii="宋体" w:hAnsi="宋体"/>
          <w:color w:val="auto"/>
          <w:sz w:val="21"/>
          <w:szCs w:val="21"/>
          <w:highlight w:val="none"/>
          <w:lang w:val="en-US" w:eastAsia="zh-CN"/>
        </w:rPr>
        <w:t>7</w:t>
      </w:r>
      <w:r>
        <w:rPr>
          <w:rFonts w:hint="eastAsia" w:ascii="宋体" w:hAnsi="宋体"/>
          <w:color w:val="auto"/>
          <w:sz w:val="21"/>
          <w:szCs w:val="21"/>
          <w:highlight w:val="none"/>
        </w:rPr>
        <w:fldChar w:fldCharType="end"/>
      </w:r>
      <w:r>
        <w:rPr>
          <w:rFonts w:hint="eastAsia" w:ascii="宋体" w:hAnsi="宋体"/>
          <w:color w:val="auto"/>
          <w:sz w:val="21"/>
          <w:szCs w:val="21"/>
          <w:highlight w:val="none"/>
          <w:lang w:val="en-US" w:eastAsia="zh-CN"/>
        </w:rPr>
        <w:t>4</w:t>
      </w:r>
    </w:p>
    <w:p w14:paraId="5609574F">
      <w:pPr>
        <w:pStyle w:val="23"/>
        <w:spacing w:line="360" w:lineRule="auto"/>
        <w:ind w:firstLine="149"/>
        <w:rPr>
          <w:rFonts w:ascii="宋体" w:hAnsi="宋体"/>
          <w:b w:val="0"/>
          <w:bCs w:val="0"/>
          <w:caps w:val="0"/>
          <w:color w:val="auto"/>
          <w:sz w:val="21"/>
          <w:szCs w:val="21"/>
          <w:highlight w:val="none"/>
        </w:rPr>
      </w:pPr>
      <w:r>
        <w:rPr>
          <w:color w:val="auto"/>
          <w:highlight w:val="none"/>
        </w:rPr>
        <w:fldChar w:fldCharType="begin"/>
      </w:r>
      <w:r>
        <w:rPr>
          <w:color w:val="auto"/>
          <w:highlight w:val="none"/>
        </w:rPr>
        <w:instrText xml:space="preserve"> HYPERLINK \l "_Toc71666355" </w:instrText>
      </w:r>
      <w:r>
        <w:rPr>
          <w:color w:val="auto"/>
          <w:highlight w:val="none"/>
        </w:rPr>
        <w:fldChar w:fldCharType="separate"/>
      </w:r>
      <w:r>
        <w:rPr>
          <w:rStyle w:val="39"/>
          <w:rFonts w:hint="eastAsia" w:ascii="宋体" w:hAnsi="宋体"/>
          <w:color w:val="auto"/>
          <w:kern w:val="44"/>
          <w:sz w:val="21"/>
          <w:szCs w:val="21"/>
          <w:highlight w:val="none"/>
        </w:rPr>
        <w:t>第七章 评标方法（综合评分法）</w:t>
      </w:r>
      <w:r>
        <w:rPr>
          <w:rFonts w:hint="eastAsia" w:ascii="宋体" w:hAnsi="宋体"/>
          <w:color w:val="auto"/>
          <w:sz w:val="21"/>
          <w:szCs w:val="21"/>
          <w:highlight w:val="none"/>
        </w:rPr>
        <w:tab/>
      </w:r>
      <w:r>
        <w:rPr>
          <w:rFonts w:hint="eastAsia" w:ascii="宋体" w:hAnsi="宋体"/>
          <w:color w:val="auto"/>
          <w:sz w:val="21"/>
          <w:szCs w:val="21"/>
          <w:highlight w:val="none"/>
        </w:rPr>
        <w:fldChar w:fldCharType="begin"/>
      </w:r>
      <w:r>
        <w:rPr>
          <w:rFonts w:hint="eastAsia" w:ascii="宋体" w:hAnsi="宋体"/>
          <w:color w:val="auto"/>
          <w:sz w:val="21"/>
          <w:szCs w:val="21"/>
          <w:highlight w:val="none"/>
        </w:rPr>
        <w:instrText xml:space="preserve"> </w:instrText>
      </w:r>
      <w:r>
        <w:rPr>
          <w:rFonts w:ascii="宋体" w:hAnsi="宋体"/>
          <w:color w:val="auto"/>
          <w:sz w:val="21"/>
          <w:szCs w:val="21"/>
          <w:highlight w:val="none"/>
        </w:rPr>
        <w:instrText xml:space="preserve">PAGEREF _Toc71666355 \h</w:instrText>
      </w:r>
      <w:r>
        <w:rPr>
          <w:rFonts w:hint="eastAsia" w:ascii="宋体" w:hAnsi="宋体"/>
          <w:color w:val="auto"/>
          <w:sz w:val="21"/>
          <w:szCs w:val="21"/>
          <w:highlight w:val="none"/>
        </w:rPr>
        <w:instrText xml:space="preserve"> </w:instrText>
      </w:r>
      <w:r>
        <w:rPr>
          <w:rFonts w:hint="eastAsia" w:ascii="宋体" w:hAnsi="宋体"/>
          <w:color w:val="auto"/>
          <w:sz w:val="21"/>
          <w:szCs w:val="21"/>
          <w:highlight w:val="none"/>
        </w:rPr>
        <w:fldChar w:fldCharType="separate"/>
      </w:r>
      <w:r>
        <w:rPr>
          <w:rFonts w:ascii="宋体" w:hAnsi="宋体"/>
          <w:color w:val="auto"/>
          <w:sz w:val="21"/>
          <w:szCs w:val="21"/>
          <w:highlight w:val="none"/>
        </w:rPr>
        <w:t>76</w:t>
      </w:r>
      <w:r>
        <w:rPr>
          <w:rFonts w:hint="eastAsia" w:ascii="宋体" w:hAnsi="宋体"/>
          <w:color w:val="auto"/>
          <w:sz w:val="21"/>
          <w:szCs w:val="21"/>
          <w:highlight w:val="none"/>
        </w:rPr>
        <w:fldChar w:fldCharType="end"/>
      </w:r>
      <w:r>
        <w:rPr>
          <w:rFonts w:hint="eastAsia" w:ascii="宋体" w:hAnsi="宋体"/>
          <w:color w:val="auto"/>
          <w:sz w:val="21"/>
          <w:szCs w:val="21"/>
          <w:highlight w:val="none"/>
        </w:rPr>
        <w:fldChar w:fldCharType="end"/>
      </w:r>
    </w:p>
    <w:p w14:paraId="5E26B8A7">
      <w:pPr>
        <w:pStyle w:val="25"/>
        <w:spacing w:line="360" w:lineRule="auto"/>
        <w:rPr>
          <w:rFonts w:ascii="宋体" w:hAnsi="宋体"/>
          <w:color w:val="auto"/>
          <w:sz w:val="21"/>
          <w:szCs w:val="21"/>
          <w:highlight w:val="none"/>
        </w:rPr>
        <w:sectPr>
          <w:footerReference r:id="rId8" w:type="default"/>
          <w:pgSz w:w="11906" w:h="16838"/>
          <w:pgMar w:top="987" w:right="1134" w:bottom="822" w:left="1134" w:header="720" w:footer="720" w:gutter="0"/>
          <w:pgBorders>
            <w:top w:val="none" w:sz="0" w:space="0"/>
            <w:left w:val="none" w:sz="0" w:space="0"/>
            <w:bottom w:val="none" w:sz="0" w:space="0"/>
            <w:right w:val="none" w:sz="0" w:space="0"/>
          </w:pgBorders>
          <w:pgNumType w:start="1"/>
          <w:cols w:space="720" w:num="1"/>
          <w:docGrid w:type="lines" w:linePitch="331" w:charSpace="0"/>
        </w:sectPr>
      </w:pPr>
      <w:r>
        <w:rPr>
          <w:rFonts w:ascii="宋体" w:hAnsi="宋体"/>
          <w:bCs/>
          <w:caps/>
          <w:smallCaps w:val="0"/>
          <w:color w:val="auto"/>
          <w:sz w:val="21"/>
          <w:szCs w:val="21"/>
          <w:highlight w:val="none"/>
        </w:rPr>
        <w:fldChar w:fldCharType="end"/>
      </w:r>
    </w:p>
    <w:p w14:paraId="1122B7FD">
      <w:pPr>
        <w:pStyle w:val="3"/>
        <w:numPr>
          <w:ilvl w:val="0"/>
          <w:numId w:val="0"/>
        </w:numPr>
        <w:jc w:val="center"/>
        <w:rPr>
          <w:rFonts w:ascii="宋体" w:hAnsi="宋体" w:eastAsia="宋体"/>
          <w:color w:val="auto"/>
          <w:sz w:val="36"/>
          <w:highlight w:val="none"/>
        </w:rPr>
      </w:pPr>
      <w:bookmarkStart w:id="0" w:name="_Toc71666326"/>
      <w:bookmarkStart w:id="1" w:name="OLE_LINK2"/>
      <w:r>
        <w:rPr>
          <w:rFonts w:hint="eastAsia" w:ascii="宋体" w:hAnsi="宋体" w:eastAsia="宋体"/>
          <w:color w:val="auto"/>
          <w:sz w:val="36"/>
          <w:highlight w:val="none"/>
        </w:rPr>
        <w:t>第一章 招标公告</w:t>
      </w:r>
      <w:bookmarkEnd w:id="0"/>
    </w:p>
    <w:bookmarkEnd w:id="1"/>
    <w:p w14:paraId="18BF16E5">
      <w:pPr>
        <w:pBdr>
          <w:top w:val="single" w:color="auto" w:sz="4" w:space="1"/>
          <w:left w:val="single" w:color="auto" w:sz="4" w:space="4"/>
          <w:bottom w:val="single" w:color="auto" w:sz="4" w:space="1"/>
          <w:right w:val="single" w:color="auto" w:sz="4" w:space="4"/>
        </w:pBdr>
        <w:spacing w:line="360" w:lineRule="auto"/>
        <w:ind w:firstLine="420" w:firstLineChars="200"/>
        <w:rPr>
          <w:rFonts w:ascii="宋体" w:hAnsi="宋体"/>
          <w:color w:val="auto"/>
          <w:szCs w:val="21"/>
          <w:highlight w:val="none"/>
        </w:rPr>
      </w:pPr>
      <w:bookmarkStart w:id="2" w:name="OLE_LINK3"/>
      <w:r>
        <w:rPr>
          <w:rFonts w:hint="eastAsia" w:ascii="宋体" w:hAnsi="宋体"/>
          <w:color w:val="auto"/>
          <w:szCs w:val="21"/>
          <w:highlight w:val="none"/>
        </w:rPr>
        <w:t>项目概况</w:t>
      </w:r>
    </w:p>
    <w:p w14:paraId="115410CF">
      <w:pPr>
        <w:pBdr>
          <w:top w:val="single" w:color="auto" w:sz="4" w:space="1"/>
          <w:left w:val="single" w:color="auto" w:sz="4" w:space="4"/>
          <w:bottom w:val="single" w:color="auto" w:sz="4" w:space="1"/>
          <w:right w:val="single" w:color="auto" w:sz="4" w:space="4"/>
        </w:pBdr>
        <w:spacing w:line="360" w:lineRule="auto"/>
        <w:ind w:firstLine="420" w:firstLineChars="200"/>
        <w:rPr>
          <w:rFonts w:ascii="宋体" w:hAnsi="宋体"/>
          <w:color w:val="auto"/>
          <w:szCs w:val="21"/>
          <w:highlight w:val="none"/>
        </w:rPr>
      </w:pPr>
      <w:r>
        <w:rPr>
          <w:rFonts w:hint="eastAsia" w:ascii="宋体" w:hAnsi="宋体"/>
          <w:color w:val="auto"/>
          <w:szCs w:val="21"/>
          <w:highlight w:val="none"/>
          <w:u w:val="single"/>
          <w:shd w:val="clear" w:color="auto" w:fill="FFFFFF"/>
          <w:lang w:eastAsia="zh-CN"/>
        </w:rPr>
        <w:t>2025年防爆安检设备租赁</w:t>
      </w:r>
      <w:r>
        <w:rPr>
          <w:rFonts w:hint="eastAsia" w:ascii="宋体" w:hAnsi="宋体"/>
          <w:color w:val="auto"/>
          <w:szCs w:val="21"/>
          <w:highlight w:val="none"/>
        </w:rPr>
        <w:t>招标项目的潜在投标人应在</w:t>
      </w:r>
      <w:r>
        <w:rPr>
          <w:rFonts w:hint="eastAsia" w:ascii="宋体" w:hAnsi="宋体"/>
          <w:b/>
          <w:bCs/>
          <w:color w:val="auto"/>
          <w:szCs w:val="21"/>
          <w:highlight w:val="none"/>
          <w:u w:val="single"/>
        </w:rPr>
        <w:t>政采云平台https://www.zcygov.cn获取采购文件</w:t>
      </w:r>
      <w:r>
        <w:rPr>
          <w:color w:val="auto"/>
          <w:highlight w:val="none"/>
        </w:rPr>
        <w:fldChar w:fldCharType="begin"/>
      </w:r>
      <w:r>
        <w:rPr>
          <w:color w:val="auto"/>
          <w:highlight w:val="none"/>
        </w:rPr>
        <w:instrText xml:space="preserve"> HYPERLINK "http://www.ynzbw.com)或昆明市人民西路328号云南招标股份有限公司办公楼214室获取招标文件，并于2021年" </w:instrText>
      </w:r>
      <w:r>
        <w:rPr>
          <w:color w:val="auto"/>
          <w:highlight w:val="none"/>
        </w:rPr>
        <w:fldChar w:fldCharType="separate"/>
      </w:r>
      <w:r>
        <w:rPr>
          <w:rStyle w:val="39"/>
          <w:rFonts w:hint="eastAsia" w:ascii="宋体" w:hAnsi="宋体"/>
          <w:color w:val="auto"/>
          <w:szCs w:val="21"/>
          <w:highlight w:val="none"/>
          <w:shd w:val="clear" w:color="auto" w:fill="FFFFFF"/>
        </w:rPr>
        <w:t>，并于</w:t>
      </w:r>
      <w:r>
        <w:rPr>
          <w:rStyle w:val="39"/>
          <w:rFonts w:ascii="宋体" w:hAnsi="宋体"/>
          <w:color w:val="auto"/>
          <w:szCs w:val="21"/>
          <w:highlight w:val="none"/>
          <w:shd w:val="clear" w:color="auto" w:fill="FFFFFF"/>
        </w:rPr>
        <w:t>202</w:t>
      </w:r>
      <w:r>
        <w:rPr>
          <w:rStyle w:val="39"/>
          <w:rFonts w:hint="eastAsia" w:ascii="宋体" w:hAnsi="宋体"/>
          <w:color w:val="auto"/>
          <w:szCs w:val="21"/>
          <w:highlight w:val="none"/>
          <w:shd w:val="clear" w:color="auto" w:fill="FFFFFF"/>
          <w:lang w:val="en-US" w:eastAsia="zh-CN"/>
        </w:rPr>
        <w:t>5</w:t>
      </w:r>
      <w:r>
        <w:rPr>
          <w:rStyle w:val="39"/>
          <w:rFonts w:hint="eastAsia" w:ascii="宋体" w:hAnsi="宋体"/>
          <w:color w:val="auto"/>
          <w:szCs w:val="21"/>
          <w:highlight w:val="none"/>
          <w:shd w:val="clear" w:color="auto" w:fill="FFFFFF"/>
        </w:rPr>
        <w:t>年</w:t>
      </w:r>
      <w:r>
        <w:rPr>
          <w:rStyle w:val="39"/>
          <w:rFonts w:hint="eastAsia" w:ascii="宋体" w:hAnsi="宋体"/>
          <w:color w:val="auto"/>
          <w:szCs w:val="21"/>
          <w:highlight w:val="none"/>
          <w:shd w:val="clear" w:color="auto" w:fill="FFFFFF"/>
        </w:rPr>
        <w:fldChar w:fldCharType="end"/>
      </w:r>
      <w:r>
        <w:rPr>
          <w:rStyle w:val="39"/>
          <w:rFonts w:hint="eastAsia" w:ascii="宋体" w:hAnsi="宋体"/>
          <w:color w:val="auto"/>
          <w:szCs w:val="21"/>
          <w:highlight w:val="none"/>
          <w:shd w:val="clear" w:color="auto" w:fill="FFFFFF"/>
          <w:lang w:val="en-US" w:eastAsia="zh-CN"/>
        </w:rPr>
        <w:t>11</w:t>
      </w:r>
      <w:r>
        <w:rPr>
          <w:rFonts w:hint="eastAsia" w:ascii="宋体" w:hAnsi="宋体"/>
          <w:color w:val="auto"/>
          <w:szCs w:val="21"/>
          <w:highlight w:val="none"/>
          <w:u w:val="single"/>
          <w:shd w:val="clear" w:color="auto" w:fill="FFFFFF"/>
        </w:rPr>
        <w:t>月</w:t>
      </w:r>
      <w:r>
        <w:rPr>
          <w:rFonts w:hint="eastAsia" w:ascii="宋体" w:hAnsi="宋体"/>
          <w:color w:val="auto"/>
          <w:szCs w:val="21"/>
          <w:highlight w:val="none"/>
          <w:u w:val="single"/>
          <w:shd w:val="clear" w:color="auto" w:fill="FFFFFF"/>
          <w:lang w:val="en-US" w:eastAsia="zh-CN"/>
        </w:rPr>
        <w:t>13</w:t>
      </w:r>
      <w:r>
        <w:rPr>
          <w:rFonts w:hint="eastAsia" w:ascii="宋体" w:hAnsi="宋体"/>
          <w:color w:val="auto"/>
          <w:szCs w:val="21"/>
          <w:highlight w:val="none"/>
          <w:u w:val="single"/>
          <w:shd w:val="clear" w:color="auto" w:fill="FFFFFF"/>
        </w:rPr>
        <w:t>日</w:t>
      </w:r>
      <w:r>
        <w:rPr>
          <w:rFonts w:hint="eastAsia" w:ascii="宋体" w:hAnsi="宋体"/>
          <w:color w:val="auto"/>
          <w:szCs w:val="21"/>
          <w:highlight w:val="none"/>
          <w:u w:val="single"/>
          <w:shd w:val="clear" w:color="auto" w:fill="FFFFFF"/>
          <w:lang w:val="en-US" w:eastAsia="zh-CN"/>
        </w:rPr>
        <w:t>14时30</w:t>
      </w:r>
      <w:r>
        <w:rPr>
          <w:rFonts w:hint="eastAsia" w:ascii="宋体" w:hAnsi="宋体"/>
          <w:color w:val="auto"/>
          <w:szCs w:val="21"/>
          <w:highlight w:val="none"/>
          <w:u w:val="single"/>
          <w:shd w:val="clear" w:color="auto" w:fill="FFFFFF"/>
        </w:rPr>
        <w:t>分</w:t>
      </w:r>
      <w:r>
        <w:rPr>
          <w:rFonts w:hint="eastAsia" w:ascii="宋体" w:hAnsi="宋体"/>
          <w:color w:val="auto"/>
          <w:szCs w:val="21"/>
          <w:highlight w:val="none"/>
          <w:shd w:val="clear" w:color="auto" w:fill="FFFFFF"/>
        </w:rPr>
        <w:t>（北京时间）前递交投标文件。</w:t>
      </w:r>
    </w:p>
    <w:p w14:paraId="16F04BF2">
      <w:pPr>
        <w:keepNext/>
        <w:tabs>
          <w:tab w:val="left" w:pos="1021"/>
        </w:tabs>
        <w:adjustRightInd w:val="0"/>
        <w:spacing w:before="120" w:line="460" w:lineRule="exact"/>
        <w:ind w:left="425"/>
        <w:textAlignment w:val="baseline"/>
        <w:outlineLvl w:val="1"/>
        <w:rPr>
          <w:rFonts w:ascii="宋体" w:hAnsi="宋体"/>
          <w:b/>
          <w:bCs/>
          <w:color w:val="auto"/>
          <w:kern w:val="0"/>
          <w:szCs w:val="21"/>
          <w:highlight w:val="none"/>
        </w:rPr>
      </w:pPr>
      <w:bookmarkStart w:id="3" w:name="_Toc35393790"/>
      <w:bookmarkStart w:id="4" w:name="_Toc28359079"/>
      <w:bookmarkStart w:id="5" w:name="_Toc28359002"/>
      <w:bookmarkStart w:id="6" w:name="_Toc35393621"/>
      <w:bookmarkStart w:id="7" w:name="_Toc44950988"/>
      <w:bookmarkStart w:id="8" w:name="_Toc71666327"/>
      <w:bookmarkStart w:id="9" w:name="_Hlk24379207"/>
      <w:r>
        <w:rPr>
          <w:rFonts w:hint="eastAsia" w:ascii="宋体" w:hAnsi="宋体"/>
          <w:b/>
          <w:bCs/>
          <w:color w:val="auto"/>
          <w:kern w:val="0"/>
          <w:szCs w:val="21"/>
          <w:highlight w:val="none"/>
        </w:rPr>
        <w:t>一、项目基本情况</w:t>
      </w:r>
      <w:bookmarkEnd w:id="3"/>
      <w:bookmarkEnd w:id="4"/>
      <w:bookmarkEnd w:id="5"/>
      <w:bookmarkEnd w:id="6"/>
      <w:bookmarkEnd w:id="7"/>
      <w:bookmarkEnd w:id="8"/>
    </w:p>
    <w:p w14:paraId="532A1D81">
      <w:pPr>
        <w:spacing w:line="440" w:lineRule="exact"/>
        <w:ind w:firstLine="420" w:firstLineChars="200"/>
        <w:rPr>
          <w:rFonts w:hint="eastAsia" w:ascii="宋体" w:hAnsi="宋体" w:eastAsia="宋体"/>
          <w:color w:val="auto"/>
          <w:szCs w:val="21"/>
          <w:highlight w:val="none"/>
          <w:lang w:eastAsia="zh-CN"/>
        </w:rPr>
      </w:pPr>
      <w:r>
        <w:rPr>
          <w:rFonts w:hint="eastAsia" w:ascii="宋体" w:hAnsi="宋体"/>
          <w:color w:val="auto"/>
          <w:szCs w:val="21"/>
          <w:highlight w:val="none"/>
        </w:rPr>
        <w:t>项目编号：</w:t>
      </w:r>
      <w:r>
        <w:rPr>
          <w:rFonts w:hint="eastAsia" w:ascii="宋体" w:hAnsi="宋体"/>
          <w:color w:val="auto"/>
          <w:szCs w:val="21"/>
          <w:highlight w:val="none"/>
          <w:lang w:eastAsia="zh-CN"/>
        </w:rPr>
        <w:t>KMZC2025-G3-02851-RWZX-0081</w:t>
      </w:r>
    </w:p>
    <w:p w14:paraId="2AA0DD5F">
      <w:pPr>
        <w:spacing w:line="440" w:lineRule="exact"/>
        <w:ind w:firstLine="420" w:firstLineChars="200"/>
        <w:rPr>
          <w:rFonts w:hint="eastAsia" w:ascii="宋体" w:hAnsi="宋体"/>
          <w:color w:val="auto"/>
          <w:szCs w:val="21"/>
          <w:highlight w:val="none"/>
          <w:lang w:eastAsia="zh-CN"/>
        </w:rPr>
      </w:pPr>
      <w:r>
        <w:rPr>
          <w:rFonts w:hint="eastAsia" w:ascii="宋体" w:hAnsi="宋体"/>
          <w:color w:val="auto"/>
          <w:szCs w:val="21"/>
          <w:highlight w:val="none"/>
          <w:lang w:eastAsia="zh-CN"/>
        </w:rPr>
        <w:t>项目名称：</w:t>
      </w:r>
      <w:bookmarkEnd w:id="9"/>
      <w:bookmarkStart w:id="10" w:name="OLE_LINK5"/>
      <w:r>
        <w:rPr>
          <w:rFonts w:hint="eastAsia" w:ascii="宋体" w:hAnsi="宋体"/>
          <w:color w:val="auto"/>
          <w:szCs w:val="21"/>
          <w:highlight w:val="none"/>
          <w:lang w:eastAsia="zh-CN"/>
        </w:rPr>
        <w:t>2025年防爆安检设备租赁</w:t>
      </w:r>
    </w:p>
    <w:p w14:paraId="66D6E443">
      <w:pPr>
        <w:spacing w:line="440" w:lineRule="exact"/>
        <w:ind w:firstLine="420" w:firstLineChars="200"/>
        <w:rPr>
          <w:rFonts w:hint="eastAsia" w:ascii="宋体" w:hAnsi="宋体"/>
          <w:color w:val="auto"/>
          <w:szCs w:val="21"/>
          <w:highlight w:val="none"/>
          <w:lang w:val="en-US" w:eastAsia="zh-CN"/>
        </w:rPr>
      </w:pPr>
      <w:r>
        <w:rPr>
          <w:rFonts w:hint="eastAsia" w:ascii="宋体" w:hAnsi="宋体"/>
          <w:color w:val="auto"/>
          <w:szCs w:val="21"/>
          <w:highlight w:val="none"/>
          <w:lang w:eastAsia="zh-CN"/>
        </w:rPr>
        <w:t>★</w:t>
      </w:r>
      <w:bookmarkEnd w:id="10"/>
      <w:r>
        <w:rPr>
          <w:rFonts w:hint="eastAsia" w:ascii="宋体" w:hAnsi="宋体"/>
          <w:color w:val="auto"/>
          <w:szCs w:val="21"/>
          <w:highlight w:val="none"/>
          <w:lang w:eastAsia="zh-CN"/>
        </w:rPr>
        <w:t>预算金额（万元）：</w:t>
      </w:r>
      <w:r>
        <w:rPr>
          <w:rFonts w:hint="eastAsia" w:ascii="宋体" w:hAnsi="宋体"/>
          <w:color w:val="auto"/>
          <w:szCs w:val="21"/>
          <w:highlight w:val="none"/>
          <w:lang w:val="en-US" w:eastAsia="zh-CN"/>
        </w:rPr>
        <w:t>400.00</w:t>
      </w:r>
    </w:p>
    <w:p w14:paraId="0534A334">
      <w:pPr>
        <w:spacing w:line="440" w:lineRule="exact"/>
        <w:ind w:firstLine="420" w:firstLineChars="200"/>
        <w:rPr>
          <w:rFonts w:hint="eastAsia" w:ascii="宋体" w:hAnsi="宋体" w:eastAsia="宋体"/>
          <w:color w:val="auto"/>
          <w:szCs w:val="21"/>
          <w:highlight w:val="none"/>
          <w:lang w:val="en-US" w:eastAsia="zh-CN"/>
        </w:rPr>
      </w:pPr>
      <w:r>
        <w:rPr>
          <w:rFonts w:hint="eastAsia" w:ascii="宋体" w:hAnsi="宋体"/>
          <w:color w:val="auto"/>
          <w:szCs w:val="21"/>
          <w:highlight w:val="none"/>
          <w:lang w:eastAsia="zh-CN"/>
        </w:rPr>
        <w:t>★最高限价（万元）：</w:t>
      </w:r>
      <w:r>
        <w:rPr>
          <w:rFonts w:hint="eastAsia" w:ascii="宋体" w:hAnsi="宋体"/>
          <w:color w:val="auto"/>
          <w:szCs w:val="21"/>
          <w:highlight w:val="none"/>
          <w:lang w:val="en-US" w:eastAsia="zh-CN"/>
        </w:rPr>
        <w:t>400.00</w:t>
      </w:r>
    </w:p>
    <w:p w14:paraId="0686F7D2">
      <w:pPr>
        <w:spacing w:line="440" w:lineRule="exact"/>
        <w:ind w:firstLine="420" w:firstLineChars="200"/>
        <w:rPr>
          <w:rFonts w:hint="eastAsia" w:ascii="宋体" w:hAnsi="宋体"/>
          <w:b/>
          <w:color w:val="auto"/>
          <w:szCs w:val="21"/>
          <w:highlight w:val="none"/>
        </w:rPr>
      </w:pPr>
      <w:r>
        <w:rPr>
          <w:rFonts w:hint="eastAsia" w:ascii="宋体" w:hAnsi="宋体" w:eastAsia="宋体" w:cs="宋体"/>
          <w:color w:val="auto"/>
          <w:sz w:val="21"/>
          <w:szCs w:val="21"/>
          <w:lang w:val="en-US" w:eastAsia="zh-CN"/>
        </w:rPr>
        <w:t>采购需求：</w:t>
      </w:r>
      <w:bookmarkStart w:id="11" w:name="OLE_LINK6"/>
      <w:bookmarkStart w:id="12" w:name="_Toc28359004"/>
      <w:bookmarkStart w:id="13" w:name="_Toc28359081"/>
      <w:r>
        <w:rPr>
          <w:rFonts w:hint="eastAsia" w:ascii="宋体" w:hAnsi="宋体"/>
          <w:color w:val="auto"/>
          <w:szCs w:val="21"/>
          <w:highlight w:val="none"/>
          <w:lang w:eastAsia="zh-CN"/>
        </w:rPr>
        <w:t>2025年防爆安检设备租赁，</w:t>
      </w:r>
      <w:r>
        <w:rPr>
          <w:rFonts w:hint="eastAsia" w:ascii="宋体" w:hAnsi="宋体"/>
          <w:color w:val="auto"/>
          <w:szCs w:val="21"/>
          <w:highlight w:val="none"/>
          <w:lang w:val="en-US" w:eastAsia="zh-CN"/>
        </w:rPr>
        <w:t>清单如下</w:t>
      </w:r>
      <w:r>
        <w:rPr>
          <w:rFonts w:hint="eastAsia" w:ascii="宋体" w:hAnsi="宋体" w:cs="宋体"/>
          <w:color w:val="auto"/>
          <w:szCs w:val="21"/>
          <w:highlight w:val="none"/>
        </w:rPr>
        <w:t>：</w:t>
      </w:r>
      <w:bookmarkEnd w:id="11"/>
    </w:p>
    <w:tbl>
      <w:tblPr>
        <w:tblStyle w:val="32"/>
        <w:tblW w:w="8971" w:type="dxa"/>
        <w:jc w:val="center"/>
        <w:tblLayout w:type="fixed"/>
        <w:tblCellMar>
          <w:top w:w="0" w:type="dxa"/>
          <w:left w:w="108" w:type="dxa"/>
          <w:bottom w:w="0" w:type="dxa"/>
          <w:right w:w="108" w:type="dxa"/>
        </w:tblCellMar>
      </w:tblPr>
      <w:tblGrid>
        <w:gridCol w:w="886"/>
        <w:gridCol w:w="2445"/>
        <w:gridCol w:w="1245"/>
        <w:gridCol w:w="2588"/>
        <w:gridCol w:w="1807"/>
      </w:tblGrid>
      <w:tr w14:paraId="123A6F90">
        <w:tblPrEx>
          <w:tblCellMar>
            <w:top w:w="0" w:type="dxa"/>
            <w:left w:w="108" w:type="dxa"/>
            <w:bottom w:w="0" w:type="dxa"/>
            <w:right w:w="108" w:type="dxa"/>
          </w:tblCellMar>
        </w:tblPrEx>
        <w:trPr>
          <w:trHeight w:val="506"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3A28C536">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序号</w:t>
            </w:r>
          </w:p>
        </w:tc>
        <w:tc>
          <w:tcPr>
            <w:tcW w:w="2445" w:type="dxa"/>
            <w:tcBorders>
              <w:top w:val="single" w:color="auto" w:sz="4" w:space="0"/>
              <w:left w:val="nil"/>
              <w:bottom w:val="single" w:color="auto" w:sz="4" w:space="0"/>
              <w:right w:val="single" w:color="auto" w:sz="4" w:space="0"/>
            </w:tcBorders>
            <w:vAlign w:val="center"/>
          </w:tcPr>
          <w:p w14:paraId="2615819D">
            <w:pPr>
              <w:spacing w:line="360" w:lineRule="auto"/>
              <w:rPr>
                <w:rFonts w:ascii="宋体" w:hAnsi="宋体" w:cs="宋体"/>
                <w:color w:val="auto"/>
                <w:szCs w:val="21"/>
                <w:highlight w:val="none"/>
              </w:rPr>
            </w:pPr>
            <w:r>
              <w:rPr>
                <w:rFonts w:ascii="宋体" w:hAnsi="宋体" w:cs="宋体"/>
                <w:color w:val="auto"/>
                <w:szCs w:val="21"/>
                <w:highlight w:val="none"/>
              </w:rPr>
              <w:t>设备名称(租赁服务)</w:t>
            </w:r>
          </w:p>
        </w:tc>
        <w:tc>
          <w:tcPr>
            <w:tcW w:w="1245" w:type="dxa"/>
            <w:tcBorders>
              <w:top w:val="single" w:color="auto" w:sz="4" w:space="0"/>
              <w:left w:val="nil"/>
              <w:bottom w:val="single" w:color="auto" w:sz="4" w:space="0"/>
              <w:right w:val="single" w:color="auto" w:sz="4" w:space="0"/>
            </w:tcBorders>
            <w:vAlign w:val="center"/>
          </w:tcPr>
          <w:p w14:paraId="0524B607">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计量单位</w:t>
            </w:r>
          </w:p>
        </w:tc>
        <w:tc>
          <w:tcPr>
            <w:tcW w:w="2588" w:type="dxa"/>
            <w:tcBorders>
              <w:top w:val="single" w:color="auto" w:sz="4" w:space="0"/>
              <w:left w:val="nil"/>
              <w:bottom w:val="single" w:color="auto" w:sz="4" w:space="0"/>
              <w:right w:val="single" w:color="auto" w:sz="4" w:space="0"/>
            </w:tcBorders>
            <w:vAlign w:val="center"/>
          </w:tcPr>
          <w:p w14:paraId="770006EE">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设备详细参数及性能指标</w:t>
            </w:r>
          </w:p>
        </w:tc>
        <w:tc>
          <w:tcPr>
            <w:tcW w:w="1807" w:type="dxa"/>
            <w:tcBorders>
              <w:top w:val="single" w:color="auto" w:sz="4" w:space="0"/>
              <w:left w:val="nil"/>
              <w:bottom w:val="single" w:color="auto" w:sz="4" w:space="0"/>
              <w:right w:val="single" w:color="auto" w:sz="4" w:space="0"/>
            </w:tcBorders>
            <w:vAlign w:val="center"/>
          </w:tcPr>
          <w:p w14:paraId="3D7380C7">
            <w:pPr>
              <w:spacing w:line="360" w:lineRule="auto"/>
              <w:jc w:val="center"/>
              <w:rPr>
                <w:rFonts w:ascii="宋体" w:hAnsi="宋体" w:cs="宋体"/>
                <w:color w:val="auto"/>
                <w:szCs w:val="21"/>
                <w:highlight w:val="none"/>
              </w:rPr>
            </w:pPr>
            <w:r>
              <w:rPr>
                <w:rFonts w:hint="eastAsia" w:ascii="宋体" w:hAnsi="宋体" w:eastAsia="宋体" w:cs="微软雅黑"/>
                <w:bCs/>
                <w:color w:val="auto"/>
                <w:szCs w:val="21"/>
              </w:rPr>
              <w:t>★</w:t>
            </w:r>
            <w:r>
              <w:rPr>
                <w:rFonts w:hint="eastAsia" w:ascii="宋体" w:hAnsi="宋体" w:cs="宋体"/>
                <w:color w:val="auto"/>
                <w:szCs w:val="21"/>
                <w:highlight w:val="none"/>
              </w:rPr>
              <w:t>单价</w:t>
            </w:r>
            <w:r>
              <w:rPr>
                <w:rFonts w:hint="eastAsia" w:ascii="宋体" w:hAnsi="宋体" w:cs="宋体"/>
                <w:color w:val="auto"/>
                <w:szCs w:val="21"/>
                <w:highlight w:val="none"/>
                <w:lang w:val="en-US" w:eastAsia="zh-CN"/>
              </w:rPr>
              <w:t>最高限价</w:t>
            </w:r>
            <w:r>
              <w:rPr>
                <w:rFonts w:hint="eastAsia" w:ascii="宋体" w:hAnsi="宋体" w:cs="宋体"/>
                <w:color w:val="auto"/>
                <w:szCs w:val="21"/>
                <w:highlight w:val="none"/>
              </w:rPr>
              <w:t>（元</w:t>
            </w:r>
            <w:r>
              <w:rPr>
                <w:rFonts w:hint="eastAsia" w:ascii="宋体" w:hAnsi="宋体" w:cs="宋体"/>
                <w:color w:val="auto"/>
                <w:szCs w:val="21"/>
                <w:highlight w:val="none"/>
                <w:lang w:val="en-US" w:eastAsia="zh-CN"/>
              </w:rPr>
              <w:t>/天</w:t>
            </w:r>
            <w:r>
              <w:rPr>
                <w:rFonts w:hint="eastAsia" w:ascii="宋体" w:hAnsi="宋体" w:cs="宋体"/>
                <w:color w:val="auto"/>
                <w:szCs w:val="21"/>
                <w:highlight w:val="none"/>
              </w:rPr>
              <w:t>）</w:t>
            </w:r>
          </w:p>
        </w:tc>
      </w:tr>
      <w:tr w14:paraId="153203F0">
        <w:tblPrEx>
          <w:tblCellMar>
            <w:top w:w="0" w:type="dxa"/>
            <w:left w:w="108" w:type="dxa"/>
            <w:bottom w:w="0" w:type="dxa"/>
            <w:right w:w="108" w:type="dxa"/>
          </w:tblCellMar>
        </w:tblPrEx>
        <w:trPr>
          <w:trHeight w:val="643"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53F55D66">
            <w:pPr>
              <w:spacing w:line="360" w:lineRule="auto"/>
              <w:ind w:firstLine="210" w:firstLineChars="100"/>
              <w:rPr>
                <w:rFonts w:ascii="宋体" w:hAnsi="宋体" w:cs="宋体"/>
                <w:color w:val="auto"/>
                <w:szCs w:val="21"/>
                <w:highlight w:val="none"/>
              </w:rPr>
            </w:pPr>
            <w:r>
              <w:rPr>
                <w:rFonts w:hint="eastAsia" w:ascii="宋体" w:hAnsi="宋体" w:cs="宋体"/>
                <w:color w:val="auto"/>
                <w:szCs w:val="21"/>
                <w:highlight w:val="none"/>
              </w:rPr>
              <w:t>1</w:t>
            </w:r>
          </w:p>
        </w:tc>
        <w:tc>
          <w:tcPr>
            <w:tcW w:w="2445" w:type="dxa"/>
            <w:tcBorders>
              <w:top w:val="single" w:color="auto" w:sz="4" w:space="0"/>
              <w:left w:val="single" w:color="auto" w:sz="4" w:space="0"/>
              <w:bottom w:val="single" w:color="auto" w:sz="4" w:space="0"/>
              <w:right w:val="single" w:color="auto" w:sz="4" w:space="0"/>
            </w:tcBorders>
            <w:vAlign w:val="center"/>
          </w:tcPr>
          <w:p w14:paraId="58C11B89">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安检折叠梯</w:t>
            </w:r>
          </w:p>
        </w:tc>
        <w:tc>
          <w:tcPr>
            <w:tcW w:w="1245" w:type="dxa"/>
            <w:tcBorders>
              <w:top w:val="single" w:color="auto" w:sz="4" w:space="0"/>
              <w:left w:val="single" w:color="auto" w:sz="4" w:space="0"/>
              <w:bottom w:val="single" w:color="auto" w:sz="4" w:space="0"/>
              <w:right w:val="single" w:color="auto" w:sz="4" w:space="0"/>
            </w:tcBorders>
            <w:vAlign w:val="center"/>
          </w:tcPr>
          <w:p w14:paraId="39330775">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套</w:t>
            </w:r>
          </w:p>
        </w:tc>
        <w:tc>
          <w:tcPr>
            <w:tcW w:w="2588" w:type="dxa"/>
            <w:vMerge w:val="restart"/>
            <w:tcBorders>
              <w:top w:val="single" w:color="auto" w:sz="4" w:space="0"/>
              <w:left w:val="single" w:color="auto" w:sz="4" w:space="0"/>
              <w:right w:val="single" w:color="auto" w:sz="4" w:space="0"/>
            </w:tcBorders>
            <w:vAlign w:val="center"/>
          </w:tcPr>
          <w:p w14:paraId="1BCF2903">
            <w:pPr>
              <w:widowControl/>
              <w:jc w:val="left"/>
              <w:textAlignment w:val="center"/>
              <w:rPr>
                <w:rFonts w:hint="eastAsia" w:ascii="宋体" w:hAnsi="宋体" w:cs="宋体"/>
                <w:color w:val="auto"/>
                <w:sz w:val="21"/>
                <w:szCs w:val="21"/>
              </w:rPr>
            </w:pPr>
            <w:r>
              <w:rPr>
                <w:rFonts w:hint="eastAsia" w:ascii="宋体" w:hAnsi="宋体" w:eastAsia="宋体" w:cs="宋体"/>
                <w:color w:val="auto"/>
                <w:sz w:val="21"/>
                <w:szCs w:val="21"/>
                <w:lang w:val="en-US" w:eastAsia="zh-CN"/>
              </w:rPr>
              <w:t>具体</w:t>
            </w:r>
            <w:r>
              <w:rPr>
                <w:rFonts w:hint="eastAsia" w:ascii="宋体" w:hAnsi="宋体" w:eastAsia="宋体" w:cs="宋体"/>
                <w:color w:val="auto"/>
                <w:sz w:val="21"/>
                <w:szCs w:val="21"/>
              </w:rPr>
              <w:t>要</w:t>
            </w:r>
            <w:r>
              <w:rPr>
                <w:rFonts w:hint="eastAsia" w:ascii="宋体" w:hAnsi="宋体" w:cs="宋体"/>
                <w:color w:val="auto"/>
                <w:sz w:val="21"/>
                <w:szCs w:val="21"/>
              </w:rPr>
              <w:t>求详见招标文件</w:t>
            </w:r>
          </w:p>
          <w:p w14:paraId="595A8BF2">
            <w:pPr>
              <w:widowControl/>
              <w:jc w:val="left"/>
              <w:textAlignment w:val="center"/>
              <w:rPr>
                <w:rFonts w:hint="default" w:ascii="宋体" w:hAnsi="宋体" w:eastAsia="宋体" w:cs="宋体"/>
                <w:color w:val="auto"/>
                <w:szCs w:val="21"/>
                <w:highlight w:val="none"/>
                <w:lang w:val="en-US" w:eastAsia="zh-CN"/>
              </w:rPr>
            </w:pPr>
            <w:r>
              <w:rPr>
                <w:rFonts w:hint="eastAsia" w:ascii="宋体" w:hAnsi="宋体" w:cs="宋体"/>
                <w:color w:val="auto"/>
                <w:sz w:val="21"/>
                <w:szCs w:val="21"/>
              </w:rPr>
              <w:t>第五章</w:t>
            </w:r>
          </w:p>
        </w:tc>
        <w:tc>
          <w:tcPr>
            <w:tcW w:w="1807" w:type="dxa"/>
            <w:tcBorders>
              <w:top w:val="single" w:color="auto" w:sz="4" w:space="0"/>
              <w:left w:val="single" w:color="auto" w:sz="4" w:space="0"/>
              <w:bottom w:val="single" w:color="auto" w:sz="4" w:space="0"/>
              <w:right w:val="single" w:color="auto" w:sz="4" w:space="0"/>
            </w:tcBorders>
            <w:vAlign w:val="center"/>
          </w:tcPr>
          <w:p w14:paraId="27EEC5A9">
            <w:pPr>
              <w:keepNext w:val="0"/>
              <w:keepLines w:val="0"/>
              <w:widowControl/>
              <w:suppressLineNumbers w:val="0"/>
              <w:jc w:val="center"/>
              <w:textAlignment w:val="center"/>
              <w:rPr>
                <w:rFonts w:ascii="宋体" w:hAnsi="宋体" w:cs="宋体"/>
                <w:color w:val="auto"/>
                <w:sz w:val="21"/>
                <w:szCs w:val="21"/>
                <w:highlight w:val="none"/>
              </w:rPr>
            </w:pPr>
            <w:r>
              <w:rPr>
                <w:rFonts w:hint="eastAsia" w:ascii="宋体" w:hAnsi="宋体" w:eastAsia="宋体" w:cs="宋体"/>
                <w:i w:val="0"/>
                <w:iCs w:val="0"/>
                <w:color w:val="auto"/>
                <w:kern w:val="0"/>
                <w:sz w:val="20"/>
                <w:szCs w:val="20"/>
                <w:u w:val="none"/>
                <w:lang w:val="en-US" w:eastAsia="zh-CN" w:bidi="ar"/>
              </w:rPr>
              <w:t>37</w:t>
            </w:r>
          </w:p>
        </w:tc>
      </w:tr>
      <w:tr w14:paraId="240B1906">
        <w:tblPrEx>
          <w:tblCellMar>
            <w:top w:w="0" w:type="dxa"/>
            <w:left w:w="108" w:type="dxa"/>
            <w:bottom w:w="0" w:type="dxa"/>
            <w:right w:w="108" w:type="dxa"/>
          </w:tblCellMar>
        </w:tblPrEx>
        <w:trPr>
          <w:trHeight w:val="54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2B707033">
            <w:pPr>
              <w:spacing w:line="360" w:lineRule="auto"/>
              <w:ind w:firstLine="210" w:firstLineChars="100"/>
              <w:rPr>
                <w:rFonts w:ascii="宋体" w:hAnsi="宋体" w:cs="宋体"/>
                <w:color w:val="auto"/>
                <w:szCs w:val="21"/>
                <w:highlight w:val="none"/>
              </w:rPr>
            </w:pPr>
            <w:r>
              <w:rPr>
                <w:rFonts w:hint="eastAsia" w:ascii="宋体" w:hAnsi="宋体" w:cs="宋体"/>
                <w:color w:val="auto"/>
                <w:szCs w:val="21"/>
                <w:highlight w:val="none"/>
              </w:rPr>
              <w:t>2</w:t>
            </w:r>
          </w:p>
        </w:tc>
        <w:tc>
          <w:tcPr>
            <w:tcW w:w="2445" w:type="dxa"/>
            <w:tcBorders>
              <w:top w:val="single" w:color="auto" w:sz="4" w:space="0"/>
              <w:left w:val="single" w:color="auto" w:sz="4" w:space="0"/>
              <w:bottom w:val="single" w:color="auto" w:sz="4" w:space="0"/>
              <w:right w:val="single" w:color="auto" w:sz="4" w:space="0"/>
            </w:tcBorders>
            <w:vAlign w:val="center"/>
          </w:tcPr>
          <w:p w14:paraId="48154FE6">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探雷器</w:t>
            </w:r>
          </w:p>
        </w:tc>
        <w:tc>
          <w:tcPr>
            <w:tcW w:w="1245" w:type="dxa"/>
            <w:tcBorders>
              <w:top w:val="single" w:color="auto" w:sz="4" w:space="0"/>
              <w:left w:val="single" w:color="auto" w:sz="4" w:space="0"/>
              <w:bottom w:val="single" w:color="auto" w:sz="4" w:space="0"/>
              <w:right w:val="single" w:color="auto" w:sz="4" w:space="0"/>
            </w:tcBorders>
            <w:vAlign w:val="center"/>
          </w:tcPr>
          <w:p w14:paraId="7B464EC1">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套</w:t>
            </w:r>
          </w:p>
        </w:tc>
        <w:tc>
          <w:tcPr>
            <w:tcW w:w="2588" w:type="dxa"/>
            <w:vMerge w:val="continue"/>
            <w:tcBorders>
              <w:left w:val="single" w:color="auto" w:sz="4" w:space="0"/>
              <w:right w:val="single" w:color="auto" w:sz="4" w:space="0"/>
            </w:tcBorders>
            <w:vAlign w:val="center"/>
          </w:tcPr>
          <w:p w14:paraId="09FA4523">
            <w:pPr>
              <w:widowControl/>
              <w:jc w:val="left"/>
              <w:textAlignment w:val="center"/>
              <w:rPr>
                <w:rFonts w:ascii="宋体" w:hAnsi="宋体" w:cs="宋体"/>
                <w:color w:val="auto"/>
                <w:szCs w:val="21"/>
                <w:highlight w:val="none"/>
              </w:rPr>
            </w:pPr>
          </w:p>
        </w:tc>
        <w:tc>
          <w:tcPr>
            <w:tcW w:w="1807" w:type="dxa"/>
            <w:tcBorders>
              <w:top w:val="single" w:color="auto" w:sz="4" w:space="0"/>
              <w:left w:val="single" w:color="auto" w:sz="4" w:space="0"/>
              <w:bottom w:val="single" w:color="auto" w:sz="4" w:space="0"/>
              <w:right w:val="single" w:color="auto" w:sz="4" w:space="0"/>
            </w:tcBorders>
            <w:vAlign w:val="center"/>
          </w:tcPr>
          <w:p w14:paraId="1AF372DF">
            <w:pPr>
              <w:keepNext w:val="0"/>
              <w:keepLines w:val="0"/>
              <w:widowControl/>
              <w:suppressLineNumbers w:val="0"/>
              <w:jc w:val="center"/>
              <w:textAlignment w:val="center"/>
              <w:rPr>
                <w:rFonts w:ascii="宋体" w:hAnsi="宋体" w:cs="宋体"/>
                <w:color w:val="auto"/>
                <w:sz w:val="21"/>
                <w:szCs w:val="21"/>
                <w:highlight w:val="none"/>
              </w:rPr>
            </w:pPr>
            <w:r>
              <w:rPr>
                <w:rFonts w:hint="eastAsia" w:ascii="宋体" w:hAnsi="宋体" w:eastAsia="宋体" w:cs="宋体"/>
                <w:i w:val="0"/>
                <w:iCs w:val="0"/>
                <w:color w:val="auto"/>
                <w:kern w:val="0"/>
                <w:sz w:val="20"/>
                <w:szCs w:val="20"/>
                <w:u w:val="none"/>
                <w:lang w:val="en-US" w:eastAsia="zh-CN" w:bidi="ar"/>
              </w:rPr>
              <w:t>720</w:t>
            </w:r>
          </w:p>
        </w:tc>
      </w:tr>
      <w:tr w14:paraId="49D74747">
        <w:tblPrEx>
          <w:tblCellMar>
            <w:top w:w="0" w:type="dxa"/>
            <w:left w:w="108" w:type="dxa"/>
            <w:bottom w:w="0" w:type="dxa"/>
            <w:right w:w="108" w:type="dxa"/>
          </w:tblCellMar>
        </w:tblPrEx>
        <w:trPr>
          <w:trHeight w:val="54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0C7F5BF6">
            <w:pPr>
              <w:spacing w:line="360" w:lineRule="auto"/>
              <w:ind w:firstLine="210" w:firstLineChars="100"/>
              <w:rPr>
                <w:rFonts w:ascii="宋体" w:hAnsi="宋体" w:cs="宋体"/>
                <w:color w:val="auto"/>
                <w:szCs w:val="21"/>
                <w:highlight w:val="none"/>
              </w:rPr>
            </w:pPr>
            <w:r>
              <w:rPr>
                <w:rFonts w:hint="eastAsia" w:ascii="宋体" w:hAnsi="宋体" w:cs="宋体"/>
                <w:color w:val="auto"/>
                <w:szCs w:val="21"/>
                <w:highlight w:val="none"/>
              </w:rPr>
              <w:t>3</w:t>
            </w:r>
          </w:p>
        </w:tc>
        <w:tc>
          <w:tcPr>
            <w:tcW w:w="2445" w:type="dxa"/>
            <w:tcBorders>
              <w:top w:val="single" w:color="auto" w:sz="4" w:space="0"/>
              <w:left w:val="single" w:color="auto" w:sz="4" w:space="0"/>
              <w:bottom w:val="single" w:color="auto" w:sz="4" w:space="0"/>
              <w:right w:val="single" w:color="auto" w:sz="4" w:space="0"/>
            </w:tcBorders>
            <w:vAlign w:val="center"/>
          </w:tcPr>
          <w:p w14:paraId="4A0D0153">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无磁探针</w:t>
            </w:r>
          </w:p>
        </w:tc>
        <w:tc>
          <w:tcPr>
            <w:tcW w:w="1245" w:type="dxa"/>
            <w:tcBorders>
              <w:top w:val="single" w:color="auto" w:sz="4" w:space="0"/>
              <w:left w:val="single" w:color="auto" w:sz="4" w:space="0"/>
              <w:bottom w:val="single" w:color="auto" w:sz="4" w:space="0"/>
              <w:right w:val="single" w:color="auto" w:sz="4" w:space="0"/>
            </w:tcBorders>
            <w:vAlign w:val="center"/>
          </w:tcPr>
          <w:p w14:paraId="2980353A">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支</w:t>
            </w:r>
          </w:p>
        </w:tc>
        <w:tc>
          <w:tcPr>
            <w:tcW w:w="2588" w:type="dxa"/>
            <w:vMerge w:val="continue"/>
            <w:tcBorders>
              <w:left w:val="single" w:color="auto" w:sz="4" w:space="0"/>
              <w:right w:val="single" w:color="auto" w:sz="4" w:space="0"/>
            </w:tcBorders>
            <w:vAlign w:val="center"/>
          </w:tcPr>
          <w:p w14:paraId="7B86CB92">
            <w:pPr>
              <w:widowControl/>
              <w:jc w:val="left"/>
              <w:textAlignment w:val="center"/>
              <w:rPr>
                <w:rFonts w:ascii="宋体" w:hAnsi="宋体" w:cs="宋体"/>
                <w:color w:val="auto"/>
                <w:szCs w:val="21"/>
                <w:highlight w:val="none"/>
              </w:rPr>
            </w:pPr>
          </w:p>
        </w:tc>
        <w:tc>
          <w:tcPr>
            <w:tcW w:w="1807" w:type="dxa"/>
            <w:tcBorders>
              <w:top w:val="single" w:color="auto" w:sz="4" w:space="0"/>
              <w:left w:val="single" w:color="auto" w:sz="4" w:space="0"/>
              <w:bottom w:val="single" w:color="auto" w:sz="4" w:space="0"/>
              <w:right w:val="single" w:color="auto" w:sz="4" w:space="0"/>
            </w:tcBorders>
            <w:vAlign w:val="center"/>
          </w:tcPr>
          <w:p w14:paraId="04C642D5">
            <w:pPr>
              <w:keepNext w:val="0"/>
              <w:keepLines w:val="0"/>
              <w:widowControl/>
              <w:suppressLineNumbers w:val="0"/>
              <w:jc w:val="center"/>
              <w:textAlignment w:val="center"/>
              <w:rPr>
                <w:rFonts w:ascii="宋体" w:hAnsi="宋体" w:cs="宋体"/>
                <w:color w:val="auto"/>
                <w:sz w:val="21"/>
                <w:szCs w:val="21"/>
                <w:highlight w:val="none"/>
              </w:rPr>
            </w:pPr>
            <w:r>
              <w:rPr>
                <w:rFonts w:hint="eastAsia" w:ascii="宋体" w:hAnsi="宋体" w:eastAsia="宋体" w:cs="宋体"/>
                <w:i w:val="0"/>
                <w:iCs w:val="0"/>
                <w:color w:val="auto"/>
                <w:kern w:val="0"/>
                <w:sz w:val="20"/>
                <w:szCs w:val="20"/>
                <w:u w:val="none"/>
                <w:lang w:val="en-US" w:eastAsia="zh-CN" w:bidi="ar"/>
              </w:rPr>
              <w:t>30</w:t>
            </w:r>
          </w:p>
        </w:tc>
      </w:tr>
      <w:tr w14:paraId="482042DD">
        <w:tblPrEx>
          <w:tblCellMar>
            <w:top w:w="0" w:type="dxa"/>
            <w:left w:w="108" w:type="dxa"/>
            <w:bottom w:w="0" w:type="dxa"/>
            <w:right w:w="108" w:type="dxa"/>
          </w:tblCellMar>
        </w:tblPrEx>
        <w:trPr>
          <w:trHeight w:val="54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7DDA75AC">
            <w:pPr>
              <w:spacing w:line="360" w:lineRule="auto"/>
              <w:ind w:firstLine="210" w:firstLineChars="100"/>
              <w:rPr>
                <w:rFonts w:ascii="宋体" w:hAnsi="宋体" w:cs="宋体"/>
                <w:color w:val="auto"/>
                <w:szCs w:val="21"/>
                <w:highlight w:val="none"/>
              </w:rPr>
            </w:pPr>
            <w:r>
              <w:rPr>
                <w:rFonts w:hint="eastAsia" w:ascii="宋体" w:hAnsi="宋体" w:cs="宋体"/>
                <w:color w:val="auto"/>
                <w:szCs w:val="21"/>
                <w:highlight w:val="none"/>
              </w:rPr>
              <w:t>4</w:t>
            </w:r>
          </w:p>
        </w:tc>
        <w:tc>
          <w:tcPr>
            <w:tcW w:w="2445" w:type="dxa"/>
            <w:tcBorders>
              <w:top w:val="single" w:color="auto" w:sz="4" w:space="0"/>
              <w:left w:val="single" w:color="auto" w:sz="4" w:space="0"/>
              <w:bottom w:val="single" w:color="auto" w:sz="4" w:space="0"/>
              <w:right w:val="single" w:color="auto" w:sz="4" w:space="0"/>
            </w:tcBorders>
            <w:vAlign w:val="center"/>
          </w:tcPr>
          <w:p w14:paraId="0A04A256">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红外伸缩检查镜</w:t>
            </w:r>
          </w:p>
        </w:tc>
        <w:tc>
          <w:tcPr>
            <w:tcW w:w="1245" w:type="dxa"/>
            <w:tcBorders>
              <w:top w:val="single" w:color="auto" w:sz="4" w:space="0"/>
              <w:left w:val="single" w:color="auto" w:sz="4" w:space="0"/>
              <w:bottom w:val="single" w:color="auto" w:sz="4" w:space="0"/>
              <w:right w:val="single" w:color="auto" w:sz="4" w:space="0"/>
            </w:tcBorders>
            <w:vAlign w:val="center"/>
          </w:tcPr>
          <w:p w14:paraId="60FB273E">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套</w:t>
            </w:r>
          </w:p>
        </w:tc>
        <w:tc>
          <w:tcPr>
            <w:tcW w:w="2588" w:type="dxa"/>
            <w:vMerge w:val="continue"/>
            <w:tcBorders>
              <w:left w:val="single" w:color="auto" w:sz="4" w:space="0"/>
              <w:right w:val="single" w:color="auto" w:sz="4" w:space="0"/>
            </w:tcBorders>
            <w:vAlign w:val="center"/>
          </w:tcPr>
          <w:p w14:paraId="535FAFE9">
            <w:pPr>
              <w:widowControl/>
              <w:jc w:val="left"/>
              <w:textAlignment w:val="center"/>
              <w:rPr>
                <w:rFonts w:ascii="宋体" w:hAnsi="宋体" w:cs="宋体"/>
                <w:color w:val="auto"/>
                <w:szCs w:val="21"/>
                <w:highlight w:val="none"/>
              </w:rPr>
            </w:pPr>
          </w:p>
        </w:tc>
        <w:tc>
          <w:tcPr>
            <w:tcW w:w="1807" w:type="dxa"/>
            <w:tcBorders>
              <w:top w:val="single" w:color="auto" w:sz="4" w:space="0"/>
              <w:left w:val="single" w:color="auto" w:sz="4" w:space="0"/>
              <w:bottom w:val="single" w:color="auto" w:sz="4" w:space="0"/>
              <w:right w:val="single" w:color="auto" w:sz="4" w:space="0"/>
            </w:tcBorders>
            <w:vAlign w:val="center"/>
          </w:tcPr>
          <w:p w14:paraId="4CC7BAB3">
            <w:pPr>
              <w:keepNext w:val="0"/>
              <w:keepLines w:val="0"/>
              <w:widowControl/>
              <w:suppressLineNumbers w:val="0"/>
              <w:jc w:val="center"/>
              <w:textAlignment w:val="center"/>
              <w:rPr>
                <w:rFonts w:ascii="宋体" w:hAnsi="宋体" w:cs="宋体"/>
                <w:color w:val="auto"/>
                <w:sz w:val="21"/>
                <w:szCs w:val="21"/>
                <w:highlight w:val="none"/>
              </w:rPr>
            </w:pPr>
            <w:r>
              <w:rPr>
                <w:rFonts w:hint="eastAsia" w:ascii="宋体" w:hAnsi="宋体" w:eastAsia="宋体" w:cs="宋体"/>
                <w:i w:val="0"/>
                <w:iCs w:val="0"/>
                <w:color w:val="auto"/>
                <w:kern w:val="0"/>
                <w:sz w:val="20"/>
                <w:szCs w:val="20"/>
                <w:u w:val="none"/>
                <w:lang w:val="en-US" w:eastAsia="zh-CN" w:bidi="ar"/>
              </w:rPr>
              <w:t>1040</w:t>
            </w:r>
          </w:p>
        </w:tc>
      </w:tr>
      <w:tr w14:paraId="22CCDAEE">
        <w:tblPrEx>
          <w:tblCellMar>
            <w:top w:w="0" w:type="dxa"/>
            <w:left w:w="108" w:type="dxa"/>
            <w:bottom w:w="0" w:type="dxa"/>
            <w:right w:w="108" w:type="dxa"/>
          </w:tblCellMar>
        </w:tblPrEx>
        <w:trPr>
          <w:trHeight w:val="54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0010485E">
            <w:pPr>
              <w:spacing w:line="360" w:lineRule="auto"/>
              <w:ind w:firstLine="210" w:firstLineChars="100"/>
              <w:rPr>
                <w:rFonts w:ascii="宋体" w:hAnsi="宋体" w:cs="宋体"/>
                <w:color w:val="auto"/>
                <w:szCs w:val="21"/>
                <w:highlight w:val="none"/>
              </w:rPr>
            </w:pPr>
            <w:r>
              <w:rPr>
                <w:rFonts w:hint="eastAsia" w:ascii="宋体" w:hAnsi="宋体" w:cs="宋体"/>
                <w:color w:val="auto"/>
                <w:szCs w:val="21"/>
                <w:highlight w:val="none"/>
              </w:rPr>
              <w:t>5</w:t>
            </w:r>
          </w:p>
        </w:tc>
        <w:tc>
          <w:tcPr>
            <w:tcW w:w="2445" w:type="dxa"/>
            <w:tcBorders>
              <w:top w:val="single" w:color="auto" w:sz="4" w:space="0"/>
              <w:left w:val="single" w:color="auto" w:sz="4" w:space="0"/>
              <w:bottom w:val="single" w:color="auto" w:sz="4" w:space="0"/>
              <w:right w:val="single" w:color="auto" w:sz="4" w:space="0"/>
            </w:tcBorders>
            <w:vAlign w:val="center"/>
          </w:tcPr>
          <w:p w14:paraId="2ADDD98C">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安检门</w:t>
            </w:r>
          </w:p>
        </w:tc>
        <w:tc>
          <w:tcPr>
            <w:tcW w:w="1245" w:type="dxa"/>
            <w:tcBorders>
              <w:top w:val="single" w:color="auto" w:sz="4" w:space="0"/>
              <w:left w:val="single" w:color="auto" w:sz="4" w:space="0"/>
              <w:bottom w:val="single" w:color="auto" w:sz="4" w:space="0"/>
              <w:right w:val="single" w:color="auto" w:sz="4" w:space="0"/>
            </w:tcBorders>
            <w:vAlign w:val="center"/>
          </w:tcPr>
          <w:p w14:paraId="7E86161C">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道</w:t>
            </w:r>
          </w:p>
        </w:tc>
        <w:tc>
          <w:tcPr>
            <w:tcW w:w="2588" w:type="dxa"/>
            <w:vMerge w:val="continue"/>
            <w:tcBorders>
              <w:left w:val="single" w:color="auto" w:sz="4" w:space="0"/>
              <w:right w:val="single" w:color="auto" w:sz="4" w:space="0"/>
            </w:tcBorders>
            <w:vAlign w:val="center"/>
          </w:tcPr>
          <w:p w14:paraId="00B45501">
            <w:pPr>
              <w:adjustRightInd w:val="0"/>
              <w:snapToGrid w:val="0"/>
              <w:rPr>
                <w:rFonts w:ascii="宋体" w:hAnsi="宋体" w:cs="宋体"/>
                <w:color w:val="auto"/>
                <w:szCs w:val="21"/>
                <w:highlight w:val="none"/>
              </w:rPr>
            </w:pPr>
          </w:p>
        </w:tc>
        <w:tc>
          <w:tcPr>
            <w:tcW w:w="1807" w:type="dxa"/>
            <w:tcBorders>
              <w:top w:val="single" w:color="auto" w:sz="4" w:space="0"/>
              <w:left w:val="single" w:color="auto" w:sz="4" w:space="0"/>
              <w:bottom w:val="single" w:color="auto" w:sz="4" w:space="0"/>
              <w:right w:val="single" w:color="auto" w:sz="4" w:space="0"/>
            </w:tcBorders>
            <w:vAlign w:val="center"/>
          </w:tcPr>
          <w:p w14:paraId="14942811">
            <w:pPr>
              <w:keepNext w:val="0"/>
              <w:keepLines w:val="0"/>
              <w:widowControl/>
              <w:suppressLineNumbers w:val="0"/>
              <w:jc w:val="center"/>
              <w:textAlignment w:val="center"/>
              <w:rPr>
                <w:rFonts w:ascii="宋体" w:hAnsi="宋体" w:cs="宋体"/>
                <w:color w:val="auto"/>
                <w:sz w:val="21"/>
                <w:szCs w:val="21"/>
                <w:highlight w:val="none"/>
              </w:rPr>
            </w:pPr>
            <w:r>
              <w:rPr>
                <w:rFonts w:hint="eastAsia" w:ascii="宋体" w:hAnsi="宋体" w:eastAsia="宋体" w:cs="宋体"/>
                <w:i w:val="0"/>
                <w:iCs w:val="0"/>
                <w:color w:val="auto"/>
                <w:kern w:val="0"/>
                <w:sz w:val="20"/>
                <w:szCs w:val="20"/>
                <w:u w:val="none"/>
                <w:lang w:val="en-US" w:eastAsia="zh-CN" w:bidi="ar"/>
              </w:rPr>
              <w:t>455</w:t>
            </w:r>
          </w:p>
        </w:tc>
      </w:tr>
      <w:tr w14:paraId="0608375B">
        <w:tblPrEx>
          <w:tblCellMar>
            <w:top w:w="0" w:type="dxa"/>
            <w:left w:w="108" w:type="dxa"/>
            <w:bottom w:w="0" w:type="dxa"/>
            <w:right w:w="108" w:type="dxa"/>
          </w:tblCellMar>
        </w:tblPrEx>
        <w:trPr>
          <w:trHeight w:val="54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25243CFC">
            <w:pPr>
              <w:spacing w:line="360" w:lineRule="auto"/>
              <w:ind w:firstLine="210" w:firstLineChars="100"/>
              <w:rPr>
                <w:rFonts w:ascii="宋体" w:hAnsi="宋体" w:cs="宋体"/>
                <w:color w:val="auto"/>
                <w:szCs w:val="21"/>
                <w:highlight w:val="none"/>
              </w:rPr>
            </w:pPr>
            <w:r>
              <w:rPr>
                <w:rFonts w:hint="eastAsia" w:ascii="宋体" w:hAnsi="宋体" w:cs="宋体"/>
                <w:color w:val="auto"/>
                <w:szCs w:val="21"/>
                <w:highlight w:val="none"/>
              </w:rPr>
              <w:t>6</w:t>
            </w:r>
          </w:p>
        </w:tc>
        <w:tc>
          <w:tcPr>
            <w:tcW w:w="2445" w:type="dxa"/>
            <w:tcBorders>
              <w:top w:val="single" w:color="auto" w:sz="4" w:space="0"/>
              <w:left w:val="single" w:color="auto" w:sz="4" w:space="0"/>
              <w:bottom w:val="single" w:color="auto" w:sz="4" w:space="0"/>
              <w:right w:val="single" w:color="auto" w:sz="4" w:space="0"/>
            </w:tcBorders>
            <w:vAlign w:val="center"/>
          </w:tcPr>
          <w:p w14:paraId="600B0313">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手持金属探测器</w:t>
            </w:r>
          </w:p>
        </w:tc>
        <w:tc>
          <w:tcPr>
            <w:tcW w:w="1245" w:type="dxa"/>
            <w:tcBorders>
              <w:top w:val="single" w:color="auto" w:sz="4" w:space="0"/>
              <w:left w:val="single" w:color="auto" w:sz="4" w:space="0"/>
              <w:bottom w:val="single" w:color="auto" w:sz="4" w:space="0"/>
              <w:right w:val="single" w:color="auto" w:sz="4" w:space="0"/>
            </w:tcBorders>
            <w:vAlign w:val="center"/>
          </w:tcPr>
          <w:p w14:paraId="157E9735">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支</w:t>
            </w:r>
          </w:p>
        </w:tc>
        <w:tc>
          <w:tcPr>
            <w:tcW w:w="2588" w:type="dxa"/>
            <w:vMerge w:val="continue"/>
            <w:tcBorders>
              <w:left w:val="single" w:color="auto" w:sz="4" w:space="0"/>
              <w:right w:val="single" w:color="auto" w:sz="4" w:space="0"/>
            </w:tcBorders>
            <w:vAlign w:val="center"/>
          </w:tcPr>
          <w:p w14:paraId="2CDEF47A">
            <w:pPr>
              <w:adjustRightInd w:val="0"/>
              <w:snapToGrid w:val="0"/>
              <w:rPr>
                <w:rFonts w:ascii="宋体" w:hAnsi="宋体" w:cs="宋体"/>
                <w:color w:val="auto"/>
                <w:szCs w:val="21"/>
                <w:highlight w:val="none"/>
              </w:rPr>
            </w:pPr>
          </w:p>
        </w:tc>
        <w:tc>
          <w:tcPr>
            <w:tcW w:w="1807" w:type="dxa"/>
            <w:tcBorders>
              <w:top w:val="single" w:color="auto" w:sz="4" w:space="0"/>
              <w:left w:val="single" w:color="auto" w:sz="4" w:space="0"/>
              <w:bottom w:val="single" w:color="auto" w:sz="4" w:space="0"/>
              <w:right w:val="single" w:color="auto" w:sz="4" w:space="0"/>
            </w:tcBorders>
            <w:vAlign w:val="center"/>
          </w:tcPr>
          <w:p w14:paraId="084AC6B4">
            <w:pPr>
              <w:keepNext w:val="0"/>
              <w:keepLines w:val="0"/>
              <w:widowControl/>
              <w:suppressLineNumbers w:val="0"/>
              <w:jc w:val="center"/>
              <w:textAlignment w:val="center"/>
              <w:rPr>
                <w:rFonts w:ascii="宋体" w:hAnsi="宋体" w:cs="宋体"/>
                <w:color w:val="auto"/>
                <w:sz w:val="21"/>
                <w:szCs w:val="21"/>
                <w:highlight w:val="none"/>
              </w:rPr>
            </w:pPr>
            <w:r>
              <w:rPr>
                <w:rFonts w:hint="eastAsia" w:ascii="宋体" w:hAnsi="宋体" w:eastAsia="宋体" w:cs="宋体"/>
                <w:i w:val="0"/>
                <w:iCs w:val="0"/>
                <w:color w:val="auto"/>
                <w:kern w:val="0"/>
                <w:sz w:val="20"/>
                <w:szCs w:val="20"/>
                <w:u w:val="none"/>
                <w:lang w:val="en-US" w:eastAsia="zh-CN" w:bidi="ar"/>
              </w:rPr>
              <w:t>26</w:t>
            </w:r>
          </w:p>
        </w:tc>
      </w:tr>
      <w:tr w14:paraId="67521715">
        <w:tblPrEx>
          <w:tblCellMar>
            <w:top w:w="0" w:type="dxa"/>
            <w:left w:w="108" w:type="dxa"/>
            <w:bottom w:w="0" w:type="dxa"/>
            <w:right w:w="108" w:type="dxa"/>
          </w:tblCellMar>
        </w:tblPrEx>
        <w:trPr>
          <w:trHeight w:val="54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181ADDB4">
            <w:pPr>
              <w:spacing w:line="360" w:lineRule="auto"/>
              <w:ind w:firstLine="210" w:firstLineChars="100"/>
              <w:rPr>
                <w:rFonts w:ascii="宋体" w:hAnsi="宋体" w:cs="宋体"/>
                <w:color w:val="auto"/>
                <w:szCs w:val="21"/>
                <w:highlight w:val="none"/>
              </w:rPr>
            </w:pPr>
            <w:r>
              <w:rPr>
                <w:rFonts w:hint="eastAsia" w:ascii="宋体" w:hAnsi="宋体" w:cs="宋体"/>
                <w:color w:val="auto"/>
                <w:szCs w:val="21"/>
                <w:highlight w:val="none"/>
              </w:rPr>
              <w:t>7</w:t>
            </w:r>
          </w:p>
        </w:tc>
        <w:tc>
          <w:tcPr>
            <w:tcW w:w="2445" w:type="dxa"/>
            <w:tcBorders>
              <w:top w:val="single" w:color="auto" w:sz="4" w:space="0"/>
              <w:left w:val="single" w:color="auto" w:sz="4" w:space="0"/>
              <w:bottom w:val="single" w:color="auto" w:sz="4" w:space="0"/>
              <w:right w:val="single" w:color="auto" w:sz="4" w:space="0"/>
            </w:tcBorders>
            <w:vAlign w:val="center"/>
          </w:tcPr>
          <w:p w14:paraId="5D6A3672">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防爆毯</w:t>
            </w:r>
          </w:p>
        </w:tc>
        <w:tc>
          <w:tcPr>
            <w:tcW w:w="1245" w:type="dxa"/>
            <w:tcBorders>
              <w:top w:val="single" w:color="auto" w:sz="4" w:space="0"/>
              <w:left w:val="single" w:color="auto" w:sz="4" w:space="0"/>
              <w:bottom w:val="single" w:color="auto" w:sz="4" w:space="0"/>
              <w:right w:val="single" w:color="auto" w:sz="4" w:space="0"/>
            </w:tcBorders>
            <w:vAlign w:val="center"/>
          </w:tcPr>
          <w:p w14:paraId="6B0CF3C4">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套</w:t>
            </w:r>
          </w:p>
        </w:tc>
        <w:tc>
          <w:tcPr>
            <w:tcW w:w="2588" w:type="dxa"/>
            <w:vMerge w:val="continue"/>
            <w:tcBorders>
              <w:left w:val="single" w:color="auto" w:sz="4" w:space="0"/>
              <w:right w:val="single" w:color="auto" w:sz="4" w:space="0"/>
            </w:tcBorders>
            <w:vAlign w:val="center"/>
          </w:tcPr>
          <w:p w14:paraId="51CAE682">
            <w:pPr>
              <w:widowControl/>
              <w:jc w:val="left"/>
              <w:textAlignment w:val="center"/>
              <w:rPr>
                <w:rFonts w:ascii="宋体" w:hAnsi="宋体" w:cs="宋体"/>
                <w:color w:val="auto"/>
                <w:szCs w:val="21"/>
                <w:highlight w:val="none"/>
              </w:rPr>
            </w:pPr>
          </w:p>
        </w:tc>
        <w:tc>
          <w:tcPr>
            <w:tcW w:w="1807" w:type="dxa"/>
            <w:tcBorders>
              <w:top w:val="single" w:color="auto" w:sz="4" w:space="0"/>
              <w:left w:val="single" w:color="auto" w:sz="4" w:space="0"/>
              <w:bottom w:val="single" w:color="auto" w:sz="4" w:space="0"/>
              <w:right w:val="single" w:color="auto" w:sz="4" w:space="0"/>
            </w:tcBorders>
            <w:vAlign w:val="center"/>
          </w:tcPr>
          <w:p w14:paraId="47F38A63">
            <w:pPr>
              <w:keepNext w:val="0"/>
              <w:keepLines w:val="0"/>
              <w:widowControl/>
              <w:suppressLineNumbers w:val="0"/>
              <w:jc w:val="center"/>
              <w:textAlignment w:val="center"/>
              <w:rPr>
                <w:rFonts w:ascii="宋体" w:hAnsi="宋体" w:cs="宋体"/>
                <w:color w:val="auto"/>
                <w:sz w:val="21"/>
                <w:szCs w:val="21"/>
                <w:highlight w:val="none"/>
              </w:rPr>
            </w:pPr>
            <w:r>
              <w:rPr>
                <w:rFonts w:hint="eastAsia" w:ascii="宋体" w:hAnsi="宋体" w:eastAsia="宋体" w:cs="宋体"/>
                <w:i w:val="0"/>
                <w:iCs w:val="0"/>
                <w:color w:val="auto"/>
                <w:kern w:val="0"/>
                <w:sz w:val="20"/>
                <w:szCs w:val="20"/>
                <w:u w:val="none"/>
                <w:lang w:val="en-US" w:eastAsia="zh-CN" w:bidi="ar"/>
              </w:rPr>
              <w:t>557</w:t>
            </w:r>
          </w:p>
        </w:tc>
      </w:tr>
      <w:tr w14:paraId="78ED09DD">
        <w:tblPrEx>
          <w:tblCellMar>
            <w:top w:w="0" w:type="dxa"/>
            <w:left w:w="108" w:type="dxa"/>
            <w:bottom w:w="0" w:type="dxa"/>
            <w:right w:w="108" w:type="dxa"/>
          </w:tblCellMar>
        </w:tblPrEx>
        <w:trPr>
          <w:trHeight w:val="54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58305AAD">
            <w:pPr>
              <w:spacing w:line="360" w:lineRule="auto"/>
              <w:ind w:firstLine="210" w:firstLineChars="100"/>
              <w:rPr>
                <w:rFonts w:ascii="宋体" w:hAnsi="宋体" w:cs="宋体"/>
                <w:color w:val="auto"/>
                <w:szCs w:val="21"/>
                <w:highlight w:val="none"/>
              </w:rPr>
            </w:pPr>
            <w:r>
              <w:rPr>
                <w:rFonts w:hint="eastAsia" w:ascii="宋体" w:hAnsi="宋体" w:cs="宋体"/>
                <w:color w:val="auto"/>
                <w:szCs w:val="21"/>
                <w:highlight w:val="none"/>
              </w:rPr>
              <w:t>8</w:t>
            </w:r>
          </w:p>
        </w:tc>
        <w:tc>
          <w:tcPr>
            <w:tcW w:w="2445" w:type="dxa"/>
            <w:tcBorders>
              <w:top w:val="single" w:color="auto" w:sz="4" w:space="0"/>
              <w:left w:val="single" w:color="auto" w:sz="4" w:space="0"/>
              <w:bottom w:val="single" w:color="auto" w:sz="4" w:space="0"/>
              <w:right w:val="single" w:color="auto" w:sz="4" w:space="0"/>
            </w:tcBorders>
            <w:vAlign w:val="center"/>
          </w:tcPr>
          <w:p w14:paraId="4D42B1D6">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小型单视角X光机</w:t>
            </w:r>
          </w:p>
        </w:tc>
        <w:tc>
          <w:tcPr>
            <w:tcW w:w="1245" w:type="dxa"/>
            <w:tcBorders>
              <w:top w:val="single" w:color="auto" w:sz="4" w:space="0"/>
              <w:left w:val="single" w:color="auto" w:sz="4" w:space="0"/>
              <w:bottom w:val="single" w:color="auto" w:sz="4" w:space="0"/>
              <w:right w:val="single" w:color="auto" w:sz="4" w:space="0"/>
            </w:tcBorders>
            <w:vAlign w:val="center"/>
          </w:tcPr>
          <w:p w14:paraId="4B54A476">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台</w:t>
            </w:r>
          </w:p>
        </w:tc>
        <w:tc>
          <w:tcPr>
            <w:tcW w:w="2588" w:type="dxa"/>
            <w:vMerge w:val="continue"/>
            <w:tcBorders>
              <w:left w:val="single" w:color="auto" w:sz="4" w:space="0"/>
              <w:right w:val="single" w:color="auto" w:sz="4" w:space="0"/>
            </w:tcBorders>
            <w:vAlign w:val="center"/>
          </w:tcPr>
          <w:p w14:paraId="6E3447E9">
            <w:pPr>
              <w:widowControl/>
              <w:jc w:val="left"/>
              <w:textAlignment w:val="center"/>
              <w:rPr>
                <w:rFonts w:ascii="宋体" w:hAnsi="宋体" w:cs="宋体"/>
                <w:color w:val="auto"/>
                <w:szCs w:val="21"/>
                <w:highlight w:val="none"/>
              </w:rPr>
            </w:pPr>
          </w:p>
        </w:tc>
        <w:tc>
          <w:tcPr>
            <w:tcW w:w="1807" w:type="dxa"/>
            <w:tcBorders>
              <w:top w:val="single" w:color="auto" w:sz="4" w:space="0"/>
              <w:left w:val="single" w:color="auto" w:sz="4" w:space="0"/>
              <w:bottom w:val="single" w:color="auto" w:sz="4" w:space="0"/>
              <w:right w:val="single" w:color="auto" w:sz="4" w:space="0"/>
            </w:tcBorders>
            <w:vAlign w:val="center"/>
          </w:tcPr>
          <w:p w14:paraId="1C21B1E7">
            <w:pPr>
              <w:keepNext w:val="0"/>
              <w:keepLines w:val="0"/>
              <w:widowControl/>
              <w:suppressLineNumbers w:val="0"/>
              <w:jc w:val="center"/>
              <w:textAlignment w:val="center"/>
              <w:rPr>
                <w:rFonts w:ascii="宋体" w:hAnsi="宋体" w:cs="宋体"/>
                <w:color w:val="auto"/>
                <w:sz w:val="21"/>
                <w:szCs w:val="21"/>
                <w:highlight w:val="none"/>
              </w:rPr>
            </w:pPr>
            <w:r>
              <w:rPr>
                <w:rFonts w:hint="eastAsia" w:ascii="宋体" w:hAnsi="宋体" w:eastAsia="宋体" w:cs="宋体"/>
                <w:i w:val="0"/>
                <w:iCs w:val="0"/>
                <w:color w:val="auto"/>
                <w:kern w:val="0"/>
                <w:sz w:val="20"/>
                <w:szCs w:val="20"/>
                <w:u w:val="none"/>
                <w:lang w:val="en-US" w:eastAsia="zh-CN" w:bidi="ar"/>
              </w:rPr>
              <w:t>3157</w:t>
            </w:r>
          </w:p>
        </w:tc>
      </w:tr>
      <w:tr w14:paraId="098735AB">
        <w:tblPrEx>
          <w:tblCellMar>
            <w:top w:w="0" w:type="dxa"/>
            <w:left w:w="108" w:type="dxa"/>
            <w:bottom w:w="0" w:type="dxa"/>
            <w:right w:w="108" w:type="dxa"/>
          </w:tblCellMar>
        </w:tblPrEx>
        <w:trPr>
          <w:trHeight w:val="54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58E080C1">
            <w:pPr>
              <w:spacing w:line="360" w:lineRule="auto"/>
              <w:ind w:firstLine="210" w:firstLineChars="100"/>
              <w:rPr>
                <w:rFonts w:ascii="宋体" w:hAnsi="宋体" w:cs="宋体"/>
                <w:color w:val="auto"/>
                <w:szCs w:val="21"/>
                <w:highlight w:val="none"/>
              </w:rPr>
            </w:pPr>
            <w:r>
              <w:rPr>
                <w:rFonts w:hint="eastAsia" w:ascii="宋体" w:hAnsi="宋体" w:cs="宋体"/>
                <w:color w:val="auto"/>
                <w:szCs w:val="21"/>
                <w:highlight w:val="none"/>
              </w:rPr>
              <w:t>9</w:t>
            </w:r>
          </w:p>
        </w:tc>
        <w:tc>
          <w:tcPr>
            <w:tcW w:w="2445" w:type="dxa"/>
            <w:tcBorders>
              <w:top w:val="single" w:color="auto" w:sz="4" w:space="0"/>
              <w:left w:val="single" w:color="auto" w:sz="4" w:space="0"/>
              <w:bottom w:val="single" w:color="auto" w:sz="4" w:space="0"/>
              <w:right w:val="single" w:color="auto" w:sz="4" w:space="0"/>
            </w:tcBorders>
            <w:vAlign w:val="center"/>
          </w:tcPr>
          <w:p w14:paraId="30ECEB8B">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中型单视角X光机</w:t>
            </w:r>
          </w:p>
        </w:tc>
        <w:tc>
          <w:tcPr>
            <w:tcW w:w="1245" w:type="dxa"/>
            <w:tcBorders>
              <w:top w:val="single" w:color="auto" w:sz="4" w:space="0"/>
              <w:left w:val="single" w:color="auto" w:sz="4" w:space="0"/>
              <w:bottom w:val="single" w:color="auto" w:sz="4" w:space="0"/>
              <w:right w:val="single" w:color="auto" w:sz="4" w:space="0"/>
            </w:tcBorders>
            <w:vAlign w:val="center"/>
          </w:tcPr>
          <w:p w14:paraId="32CCD869">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台</w:t>
            </w:r>
          </w:p>
        </w:tc>
        <w:tc>
          <w:tcPr>
            <w:tcW w:w="2588" w:type="dxa"/>
            <w:vMerge w:val="continue"/>
            <w:tcBorders>
              <w:left w:val="single" w:color="auto" w:sz="4" w:space="0"/>
              <w:right w:val="single" w:color="auto" w:sz="4" w:space="0"/>
            </w:tcBorders>
            <w:vAlign w:val="center"/>
          </w:tcPr>
          <w:p w14:paraId="42B09724">
            <w:pPr>
              <w:widowControl/>
              <w:jc w:val="left"/>
              <w:textAlignment w:val="center"/>
              <w:rPr>
                <w:rFonts w:ascii="宋体" w:hAnsi="宋体" w:cs="宋体"/>
                <w:color w:val="auto"/>
                <w:szCs w:val="21"/>
                <w:highlight w:val="none"/>
              </w:rPr>
            </w:pPr>
          </w:p>
        </w:tc>
        <w:tc>
          <w:tcPr>
            <w:tcW w:w="1807" w:type="dxa"/>
            <w:tcBorders>
              <w:top w:val="single" w:color="auto" w:sz="4" w:space="0"/>
              <w:left w:val="single" w:color="auto" w:sz="4" w:space="0"/>
              <w:bottom w:val="single" w:color="auto" w:sz="4" w:space="0"/>
              <w:right w:val="single" w:color="auto" w:sz="4" w:space="0"/>
            </w:tcBorders>
            <w:vAlign w:val="center"/>
          </w:tcPr>
          <w:p w14:paraId="5C77AF4B">
            <w:pPr>
              <w:keepNext w:val="0"/>
              <w:keepLines w:val="0"/>
              <w:widowControl/>
              <w:suppressLineNumbers w:val="0"/>
              <w:jc w:val="center"/>
              <w:textAlignment w:val="center"/>
              <w:rPr>
                <w:rFonts w:ascii="宋体" w:hAnsi="宋体" w:cs="宋体"/>
                <w:color w:val="auto"/>
                <w:sz w:val="21"/>
                <w:szCs w:val="21"/>
                <w:highlight w:val="none"/>
              </w:rPr>
            </w:pPr>
            <w:r>
              <w:rPr>
                <w:rFonts w:hint="eastAsia" w:ascii="宋体" w:hAnsi="宋体" w:eastAsia="宋体" w:cs="宋体"/>
                <w:i w:val="0"/>
                <w:iCs w:val="0"/>
                <w:color w:val="auto"/>
                <w:kern w:val="0"/>
                <w:sz w:val="20"/>
                <w:szCs w:val="20"/>
                <w:u w:val="none"/>
                <w:lang w:val="en-US" w:eastAsia="zh-CN" w:bidi="ar"/>
              </w:rPr>
              <w:t>3306</w:t>
            </w:r>
          </w:p>
        </w:tc>
      </w:tr>
      <w:tr w14:paraId="197D8C7F">
        <w:tblPrEx>
          <w:tblCellMar>
            <w:top w:w="0" w:type="dxa"/>
            <w:left w:w="108" w:type="dxa"/>
            <w:bottom w:w="0" w:type="dxa"/>
            <w:right w:w="108" w:type="dxa"/>
          </w:tblCellMar>
        </w:tblPrEx>
        <w:trPr>
          <w:trHeight w:val="54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10E631AE">
            <w:pPr>
              <w:spacing w:line="360" w:lineRule="auto"/>
              <w:ind w:firstLine="210" w:firstLineChars="100"/>
              <w:rPr>
                <w:rFonts w:ascii="宋体" w:hAnsi="宋体" w:cs="宋体"/>
                <w:color w:val="auto"/>
                <w:szCs w:val="21"/>
                <w:highlight w:val="none"/>
              </w:rPr>
            </w:pPr>
            <w:r>
              <w:rPr>
                <w:rFonts w:hint="eastAsia" w:ascii="宋体" w:hAnsi="宋体" w:cs="宋体"/>
                <w:color w:val="auto"/>
                <w:szCs w:val="21"/>
                <w:highlight w:val="none"/>
              </w:rPr>
              <w:t>10</w:t>
            </w:r>
          </w:p>
        </w:tc>
        <w:tc>
          <w:tcPr>
            <w:tcW w:w="2445" w:type="dxa"/>
            <w:tcBorders>
              <w:top w:val="single" w:color="auto" w:sz="4" w:space="0"/>
              <w:left w:val="single" w:color="auto" w:sz="4" w:space="0"/>
              <w:bottom w:val="single" w:color="auto" w:sz="4" w:space="0"/>
              <w:right w:val="single" w:color="auto" w:sz="4" w:space="0"/>
            </w:tcBorders>
            <w:vAlign w:val="center"/>
          </w:tcPr>
          <w:p w14:paraId="65A2E99D">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中型双视角X光机</w:t>
            </w:r>
          </w:p>
        </w:tc>
        <w:tc>
          <w:tcPr>
            <w:tcW w:w="1245" w:type="dxa"/>
            <w:tcBorders>
              <w:top w:val="single" w:color="auto" w:sz="4" w:space="0"/>
              <w:left w:val="single" w:color="auto" w:sz="4" w:space="0"/>
              <w:bottom w:val="single" w:color="auto" w:sz="4" w:space="0"/>
              <w:right w:val="single" w:color="auto" w:sz="4" w:space="0"/>
            </w:tcBorders>
            <w:vAlign w:val="center"/>
          </w:tcPr>
          <w:p w14:paraId="0AD0A546">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台</w:t>
            </w:r>
          </w:p>
        </w:tc>
        <w:tc>
          <w:tcPr>
            <w:tcW w:w="2588" w:type="dxa"/>
            <w:vMerge w:val="continue"/>
            <w:tcBorders>
              <w:left w:val="single" w:color="auto" w:sz="4" w:space="0"/>
              <w:right w:val="single" w:color="auto" w:sz="4" w:space="0"/>
            </w:tcBorders>
            <w:vAlign w:val="center"/>
          </w:tcPr>
          <w:p w14:paraId="1FBC35EE">
            <w:pPr>
              <w:widowControl/>
              <w:jc w:val="left"/>
              <w:textAlignment w:val="center"/>
              <w:rPr>
                <w:rFonts w:ascii="宋体" w:hAnsi="宋体" w:cs="宋体"/>
                <w:color w:val="auto"/>
                <w:szCs w:val="21"/>
                <w:highlight w:val="none"/>
              </w:rPr>
            </w:pPr>
          </w:p>
        </w:tc>
        <w:tc>
          <w:tcPr>
            <w:tcW w:w="1807" w:type="dxa"/>
            <w:tcBorders>
              <w:top w:val="single" w:color="auto" w:sz="4" w:space="0"/>
              <w:left w:val="single" w:color="auto" w:sz="4" w:space="0"/>
              <w:bottom w:val="single" w:color="auto" w:sz="4" w:space="0"/>
              <w:right w:val="single" w:color="auto" w:sz="4" w:space="0"/>
            </w:tcBorders>
            <w:vAlign w:val="center"/>
          </w:tcPr>
          <w:p w14:paraId="2545C0BA">
            <w:pPr>
              <w:keepNext w:val="0"/>
              <w:keepLines w:val="0"/>
              <w:widowControl/>
              <w:suppressLineNumbers w:val="0"/>
              <w:jc w:val="center"/>
              <w:textAlignment w:val="center"/>
              <w:rPr>
                <w:rFonts w:ascii="宋体" w:hAnsi="宋体" w:cs="宋体"/>
                <w:color w:val="auto"/>
                <w:sz w:val="21"/>
                <w:szCs w:val="21"/>
                <w:highlight w:val="none"/>
              </w:rPr>
            </w:pPr>
            <w:r>
              <w:rPr>
                <w:rFonts w:hint="eastAsia" w:ascii="宋体" w:hAnsi="宋体" w:eastAsia="宋体" w:cs="宋体"/>
                <w:i w:val="0"/>
                <w:iCs w:val="0"/>
                <w:color w:val="auto"/>
                <w:kern w:val="0"/>
                <w:sz w:val="20"/>
                <w:szCs w:val="20"/>
                <w:u w:val="none"/>
                <w:lang w:val="en-US" w:eastAsia="zh-CN" w:bidi="ar"/>
              </w:rPr>
              <w:t>3900</w:t>
            </w:r>
          </w:p>
        </w:tc>
      </w:tr>
      <w:tr w14:paraId="7E04F4BD">
        <w:tblPrEx>
          <w:tblCellMar>
            <w:top w:w="0" w:type="dxa"/>
            <w:left w:w="108" w:type="dxa"/>
            <w:bottom w:w="0" w:type="dxa"/>
            <w:right w:w="108" w:type="dxa"/>
          </w:tblCellMar>
        </w:tblPrEx>
        <w:trPr>
          <w:trHeight w:val="54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01043A28">
            <w:pPr>
              <w:spacing w:line="360" w:lineRule="auto"/>
              <w:ind w:firstLine="210" w:firstLineChars="100"/>
              <w:rPr>
                <w:rFonts w:ascii="宋体" w:hAnsi="宋体" w:cs="宋体"/>
                <w:color w:val="auto"/>
                <w:szCs w:val="21"/>
                <w:highlight w:val="none"/>
              </w:rPr>
            </w:pPr>
            <w:r>
              <w:rPr>
                <w:rFonts w:hint="eastAsia" w:ascii="宋体" w:hAnsi="宋体" w:cs="宋体"/>
                <w:color w:val="auto"/>
                <w:szCs w:val="21"/>
                <w:highlight w:val="none"/>
              </w:rPr>
              <w:t>11</w:t>
            </w:r>
          </w:p>
        </w:tc>
        <w:tc>
          <w:tcPr>
            <w:tcW w:w="2445" w:type="dxa"/>
            <w:tcBorders>
              <w:top w:val="single" w:color="auto" w:sz="4" w:space="0"/>
              <w:left w:val="single" w:color="auto" w:sz="4" w:space="0"/>
              <w:bottom w:val="single" w:color="auto" w:sz="4" w:space="0"/>
              <w:right w:val="single" w:color="auto" w:sz="4" w:space="0"/>
            </w:tcBorders>
            <w:vAlign w:val="center"/>
          </w:tcPr>
          <w:p w14:paraId="2E1B5A24">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大型双视角X光机</w:t>
            </w:r>
          </w:p>
        </w:tc>
        <w:tc>
          <w:tcPr>
            <w:tcW w:w="1245" w:type="dxa"/>
            <w:tcBorders>
              <w:top w:val="single" w:color="auto" w:sz="4" w:space="0"/>
              <w:left w:val="single" w:color="auto" w:sz="4" w:space="0"/>
              <w:bottom w:val="single" w:color="auto" w:sz="4" w:space="0"/>
              <w:right w:val="single" w:color="auto" w:sz="4" w:space="0"/>
            </w:tcBorders>
            <w:vAlign w:val="center"/>
          </w:tcPr>
          <w:p w14:paraId="6241EBCE">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台</w:t>
            </w:r>
          </w:p>
        </w:tc>
        <w:tc>
          <w:tcPr>
            <w:tcW w:w="2588" w:type="dxa"/>
            <w:vMerge w:val="continue"/>
            <w:tcBorders>
              <w:left w:val="single" w:color="auto" w:sz="4" w:space="0"/>
              <w:right w:val="single" w:color="auto" w:sz="4" w:space="0"/>
            </w:tcBorders>
            <w:vAlign w:val="center"/>
          </w:tcPr>
          <w:p w14:paraId="46235A80">
            <w:pPr>
              <w:widowControl/>
              <w:jc w:val="left"/>
              <w:textAlignment w:val="center"/>
              <w:rPr>
                <w:rFonts w:ascii="宋体" w:hAnsi="宋体" w:cs="宋体"/>
                <w:color w:val="auto"/>
                <w:szCs w:val="21"/>
                <w:highlight w:val="none"/>
              </w:rPr>
            </w:pPr>
          </w:p>
        </w:tc>
        <w:tc>
          <w:tcPr>
            <w:tcW w:w="1807" w:type="dxa"/>
            <w:tcBorders>
              <w:top w:val="single" w:color="auto" w:sz="4" w:space="0"/>
              <w:left w:val="single" w:color="auto" w:sz="4" w:space="0"/>
              <w:bottom w:val="single" w:color="auto" w:sz="4" w:space="0"/>
              <w:right w:val="single" w:color="auto" w:sz="4" w:space="0"/>
            </w:tcBorders>
            <w:vAlign w:val="center"/>
          </w:tcPr>
          <w:p w14:paraId="00723034">
            <w:pPr>
              <w:keepNext w:val="0"/>
              <w:keepLines w:val="0"/>
              <w:widowControl/>
              <w:suppressLineNumbers w:val="0"/>
              <w:jc w:val="center"/>
              <w:textAlignment w:val="center"/>
              <w:rPr>
                <w:rFonts w:ascii="宋体" w:hAnsi="宋体" w:cs="宋体"/>
                <w:color w:val="auto"/>
                <w:sz w:val="21"/>
                <w:szCs w:val="21"/>
                <w:highlight w:val="none"/>
              </w:rPr>
            </w:pPr>
            <w:r>
              <w:rPr>
                <w:rFonts w:hint="eastAsia" w:ascii="宋体" w:hAnsi="宋体" w:eastAsia="宋体" w:cs="宋体"/>
                <w:i w:val="0"/>
                <w:iCs w:val="0"/>
                <w:color w:val="auto"/>
                <w:kern w:val="0"/>
                <w:sz w:val="20"/>
                <w:szCs w:val="20"/>
                <w:u w:val="none"/>
                <w:lang w:val="en-US" w:eastAsia="zh-CN" w:bidi="ar"/>
              </w:rPr>
              <w:t>6500</w:t>
            </w:r>
          </w:p>
        </w:tc>
      </w:tr>
      <w:tr w14:paraId="07270E2D">
        <w:tblPrEx>
          <w:tblCellMar>
            <w:top w:w="0" w:type="dxa"/>
            <w:left w:w="108" w:type="dxa"/>
            <w:bottom w:w="0" w:type="dxa"/>
            <w:right w:w="108" w:type="dxa"/>
          </w:tblCellMar>
        </w:tblPrEx>
        <w:trPr>
          <w:trHeight w:val="54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7EA762AC">
            <w:pPr>
              <w:spacing w:line="360" w:lineRule="auto"/>
              <w:ind w:firstLine="210" w:firstLineChars="100"/>
              <w:rPr>
                <w:rFonts w:ascii="宋体" w:hAnsi="宋体" w:cs="宋体"/>
                <w:color w:val="auto"/>
                <w:szCs w:val="21"/>
                <w:highlight w:val="none"/>
              </w:rPr>
            </w:pPr>
            <w:r>
              <w:rPr>
                <w:rFonts w:hint="eastAsia" w:ascii="宋体" w:hAnsi="宋体" w:cs="宋体"/>
                <w:color w:val="auto"/>
                <w:szCs w:val="21"/>
                <w:highlight w:val="none"/>
              </w:rPr>
              <w:t>12</w:t>
            </w:r>
          </w:p>
        </w:tc>
        <w:tc>
          <w:tcPr>
            <w:tcW w:w="2445" w:type="dxa"/>
            <w:tcBorders>
              <w:top w:val="single" w:color="auto" w:sz="4" w:space="0"/>
              <w:left w:val="single" w:color="auto" w:sz="4" w:space="0"/>
              <w:bottom w:val="single" w:color="auto" w:sz="4" w:space="0"/>
              <w:right w:val="single" w:color="auto" w:sz="4" w:space="0"/>
            </w:tcBorders>
            <w:vAlign w:val="center"/>
          </w:tcPr>
          <w:p w14:paraId="169C6CCB">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防爆围栏</w:t>
            </w:r>
          </w:p>
        </w:tc>
        <w:tc>
          <w:tcPr>
            <w:tcW w:w="1245" w:type="dxa"/>
            <w:tcBorders>
              <w:top w:val="single" w:color="auto" w:sz="4" w:space="0"/>
              <w:left w:val="single" w:color="auto" w:sz="4" w:space="0"/>
              <w:bottom w:val="single" w:color="auto" w:sz="4" w:space="0"/>
              <w:right w:val="single" w:color="auto" w:sz="4" w:space="0"/>
            </w:tcBorders>
            <w:vAlign w:val="center"/>
          </w:tcPr>
          <w:p w14:paraId="7DFEEC0A">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米</w:t>
            </w:r>
          </w:p>
        </w:tc>
        <w:tc>
          <w:tcPr>
            <w:tcW w:w="2588" w:type="dxa"/>
            <w:vMerge w:val="continue"/>
            <w:tcBorders>
              <w:left w:val="single" w:color="auto" w:sz="4" w:space="0"/>
              <w:right w:val="single" w:color="auto" w:sz="4" w:space="0"/>
            </w:tcBorders>
            <w:vAlign w:val="center"/>
          </w:tcPr>
          <w:p w14:paraId="44B445F0">
            <w:pPr>
              <w:widowControl/>
              <w:jc w:val="left"/>
              <w:textAlignment w:val="center"/>
              <w:rPr>
                <w:rFonts w:ascii="宋体" w:hAnsi="宋体" w:cs="宋体"/>
                <w:color w:val="auto"/>
                <w:szCs w:val="21"/>
                <w:highlight w:val="none"/>
              </w:rPr>
            </w:pPr>
          </w:p>
        </w:tc>
        <w:tc>
          <w:tcPr>
            <w:tcW w:w="1807" w:type="dxa"/>
            <w:tcBorders>
              <w:top w:val="single" w:color="auto" w:sz="4" w:space="0"/>
              <w:left w:val="single" w:color="auto" w:sz="4" w:space="0"/>
              <w:bottom w:val="single" w:color="auto" w:sz="4" w:space="0"/>
              <w:right w:val="single" w:color="auto" w:sz="4" w:space="0"/>
            </w:tcBorders>
            <w:vAlign w:val="center"/>
          </w:tcPr>
          <w:p w14:paraId="55BBF28C">
            <w:pPr>
              <w:keepNext w:val="0"/>
              <w:keepLines w:val="0"/>
              <w:widowControl/>
              <w:suppressLineNumbers w:val="0"/>
              <w:jc w:val="center"/>
              <w:textAlignment w:val="center"/>
              <w:rPr>
                <w:rFonts w:ascii="宋体" w:hAnsi="宋体" w:cs="宋体"/>
                <w:color w:val="auto"/>
                <w:sz w:val="21"/>
                <w:szCs w:val="21"/>
                <w:highlight w:val="none"/>
              </w:rPr>
            </w:pPr>
            <w:r>
              <w:rPr>
                <w:rFonts w:hint="eastAsia" w:ascii="宋体" w:hAnsi="宋体" w:eastAsia="宋体" w:cs="宋体"/>
                <w:i w:val="0"/>
                <w:iCs w:val="0"/>
                <w:color w:val="auto"/>
                <w:kern w:val="0"/>
                <w:sz w:val="20"/>
                <w:szCs w:val="20"/>
                <w:u w:val="none"/>
                <w:lang w:val="en-US" w:eastAsia="zh-CN" w:bidi="ar"/>
              </w:rPr>
              <w:t xml:space="preserve">18.60 </w:t>
            </w:r>
          </w:p>
        </w:tc>
      </w:tr>
      <w:tr w14:paraId="2CBFEF3B">
        <w:tblPrEx>
          <w:tblCellMar>
            <w:top w:w="0" w:type="dxa"/>
            <w:left w:w="108" w:type="dxa"/>
            <w:bottom w:w="0" w:type="dxa"/>
            <w:right w:w="108" w:type="dxa"/>
          </w:tblCellMar>
        </w:tblPrEx>
        <w:trPr>
          <w:trHeight w:val="54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49792140">
            <w:pPr>
              <w:spacing w:line="360" w:lineRule="auto"/>
              <w:ind w:firstLine="210" w:firstLineChars="100"/>
              <w:rPr>
                <w:rFonts w:ascii="宋体" w:hAnsi="宋体" w:cs="宋体"/>
                <w:color w:val="auto"/>
                <w:szCs w:val="21"/>
                <w:highlight w:val="none"/>
              </w:rPr>
            </w:pPr>
            <w:r>
              <w:rPr>
                <w:rFonts w:hint="eastAsia" w:ascii="宋体" w:hAnsi="宋体" w:cs="宋体"/>
                <w:color w:val="auto"/>
                <w:szCs w:val="21"/>
                <w:highlight w:val="none"/>
              </w:rPr>
              <w:t>13</w:t>
            </w:r>
          </w:p>
        </w:tc>
        <w:tc>
          <w:tcPr>
            <w:tcW w:w="2445" w:type="dxa"/>
            <w:tcBorders>
              <w:top w:val="single" w:color="auto" w:sz="4" w:space="0"/>
              <w:left w:val="single" w:color="auto" w:sz="4" w:space="0"/>
              <w:bottom w:val="single" w:color="auto" w:sz="4" w:space="0"/>
              <w:right w:val="single" w:color="auto" w:sz="4" w:space="0"/>
            </w:tcBorders>
            <w:vAlign w:val="center"/>
          </w:tcPr>
          <w:p w14:paraId="6DBCFFE1">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2米围栏</w:t>
            </w:r>
          </w:p>
        </w:tc>
        <w:tc>
          <w:tcPr>
            <w:tcW w:w="1245" w:type="dxa"/>
            <w:tcBorders>
              <w:top w:val="single" w:color="auto" w:sz="4" w:space="0"/>
              <w:left w:val="single" w:color="auto" w:sz="4" w:space="0"/>
              <w:bottom w:val="single" w:color="auto" w:sz="4" w:space="0"/>
              <w:right w:val="single" w:color="auto" w:sz="4" w:space="0"/>
            </w:tcBorders>
            <w:vAlign w:val="center"/>
          </w:tcPr>
          <w:p w14:paraId="2F577995">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米</w:t>
            </w:r>
          </w:p>
        </w:tc>
        <w:tc>
          <w:tcPr>
            <w:tcW w:w="2588" w:type="dxa"/>
            <w:vMerge w:val="continue"/>
            <w:tcBorders>
              <w:left w:val="single" w:color="auto" w:sz="4" w:space="0"/>
              <w:right w:val="single" w:color="auto" w:sz="4" w:space="0"/>
            </w:tcBorders>
            <w:vAlign w:val="center"/>
          </w:tcPr>
          <w:p w14:paraId="4CA523FC">
            <w:pPr>
              <w:widowControl/>
              <w:jc w:val="left"/>
              <w:textAlignment w:val="center"/>
              <w:rPr>
                <w:rFonts w:ascii="宋体" w:hAnsi="宋体" w:cs="宋体"/>
                <w:color w:val="auto"/>
                <w:szCs w:val="21"/>
                <w:highlight w:val="none"/>
              </w:rPr>
            </w:pPr>
          </w:p>
        </w:tc>
        <w:tc>
          <w:tcPr>
            <w:tcW w:w="1807" w:type="dxa"/>
            <w:tcBorders>
              <w:top w:val="single" w:color="auto" w:sz="4" w:space="0"/>
              <w:left w:val="single" w:color="auto" w:sz="4" w:space="0"/>
              <w:bottom w:val="single" w:color="auto" w:sz="4" w:space="0"/>
              <w:right w:val="single" w:color="auto" w:sz="4" w:space="0"/>
            </w:tcBorders>
            <w:vAlign w:val="center"/>
          </w:tcPr>
          <w:p w14:paraId="7F8E0CB9">
            <w:pPr>
              <w:keepNext w:val="0"/>
              <w:keepLines w:val="0"/>
              <w:widowControl/>
              <w:suppressLineNumbers w:val="0"/>
              <w:jc w:val="center"/>
              <w:textAlignment w:val="center"/>
              <w:rPr>
                <w:rFonts w:ascii="宋体" w:hAnsi="宋体" w:cs="宋体"/>
                <w:color w:val="auto"/>
                <w:sz w:val="21"/>
                <w:szCs w:val="21"/>
                <w:highlight w:val="none"/>
              </w:rPr>
            </w:pPr>
            <w:r>
              <w:rPr>
                <w:rFonts w:hint="eastAsia" w:ascii="宋体" w:hAnsi="宋体" w:eastAsia="宋体" w:cs="宋体"/>
                <w:i w:val="0"/>
                <w:iCs w:val="0"/>
                <w:color w:val="auto"/>
                <w:kern w:val="0"/>
                <w:sz w:val="20"/>
                <w:szCs w:val="20"/>
                <w:u w:val="none"/>
                <w:lang w:val="en-US" w:eastAsia="zh-CN" w:bidi="ar"/>
              </w:rPr>
              <w:t xml:space="preserve">9.30 </w:t>
            </w:r>
          </w:p>
        </w:tc>
      </w:tr>
      <w:tr w14:paraId="542D190E">
        <w:tblPrEx>
          <w:tblCellMar>
            <w:top w:w="0" w:type="dxa"/>
            <w:left w:w="108" w:type="dxa"/>
            <w:bottom w:w="0" w:type="dxa"/>
            <w:right w:w="108" w:type="dxa"/>
          </w:tblCellMar>
        </w:tblPrEx>
        <w:trPr>
          <w:trHeight w:val="54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189A5CDA">
            <w:pPr>
              <w:spacing w:line="360" w:lineRule="auto"/>
              <w:ind w:firstLine="210" w:firstLineChars="100"/>
              <w:rPr>
                <w:rFonts w:ascii="宋体" w:hAnsi="宋体" w:cs="宋体"/>
                <w:color w:val="auto"/>
                <w:szCs w:val="21"/>
                <w:highlight w:val="none"/>
              </w:rPr>
            </w:pPr>
            <w:r>
              <w:rPr>
                <w:rFonts w:hint="eastAsia" w:ascii="宋体" w:hAnsi="宋体" w:cs="宋体"/>
                <w:color w:val="auto"/>
                <w:szCs w:val="21"/>
                <w:highlight w:val="none"/>
              </w:rPr>
              <w:t>14</w:t>
            </w:r>
          </w:p>
        </w:tc>
        <w:tc>
          <w:tcPr>
            <w:tcW w:w="2445" w:type="dxa"/>
            <w:tcBorders>
              <w:top w:val="single" w:color="auto" w:sz="4" w:space="0"/>
              <w:left w:val="single" w:color="auto" w:sz="4" w:space="0"/>
              <w:bottom w:val="single" w:color="auto" w:sz="4" w:space="0"/>
              <w:right w:val="single" w:color="auto" w:sz="4" w:space="0"/>
            </w:tcBorders>
            <w:vAlign w:val="center"/>
          </w:tcPr>
          <w:p w14:paraId="1FF00165">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车底检测系统</w:t>
            </w:r>
          </w:p>
        </w:tc>
        <w:tc>
          <w:tcPr>
            <w:tcW w:w="1245" w:type="dxa"/>
            <w:tcBorders>
              <w:top w:val="single" w:color="auto" w:sz="4" w:space="0"/>
              <w:left w:val="single" w:color="auto" w:sz="4" w:space="0"/>
              <w:bottom w:val="single" w:color="auto" w:sz="4" w:space="0"/>
              <w:right w:val="single" w:color="auto" w:sz="4" w:space="0"/>
            </w:tcBorders>
            <w:vAlign w:val="center"/>
          </w:tcPr>
          <w:p w14:paraId="328A4A84">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套</w:t>
            </w:r>
          </w:p>
        </w:tc>
        <w:tc>
          <w:tcPr>
            <w:tcW w:w="2588" w:type="dxa"/>
            <w:vMerge w:val="continue"/>
            <w:tcBorders>
              <w:left w:val="single" w:color="auto" w:sz="4" w:space="0"/>
              <w:right w:val="single" w:color="auto" w:sz="4" w:space="0"/>
            </w:tcBorders>
            <w:vAlign w:val="center"/>
          </w:tcPr>
          <w:p w14:paraId="075F43ED">
            <w:pPr>
              <w:rPr>
                <w:rFonts w:ascii="宋体" w:hAnsi="宋体" w:cs="宋体"/>
                <w:color w:val="auto"/>
                <w:szCs w:val="21"/>
                <w:highlight w:val="none"/>
              </w:rPr>
            </w:pPr>
          </w:p>
        </w:tc>
        <w:tc>
          <w:tcPr>
            <w:tcW w:w="1807" w:type="dxa"/>
            <w:tcBorders>
              <w:top w:val="single" w:color="auto" w:sz="4" w:space="0"/>
              <w:left w:val="single" w:color="auto" w:sz="4" w:space="0"/>
              <w:bottom w:val="single" w:color="auto" w:sz="4" w:space="0"/>
              <w:right w:val="single" w:color="auto" w:sz="4" w:space="0"/>
            </w:tcBorders>
            <w:vAlign w:val="center"/>
          </w:tcPr>
          <w:p w14:paraId="0DBDB1FF">
            <w:pPr>
              <w:keepNext w:val="0"/>
              <w:keepLines w:val="0"/>
              <w:widowControl/>
              <w:suppressLineNumbers w:val="0"/>
              <w:jc w:val="center"/>
              <w:textAlignment w:val="center"/>
              <w:rPr>
                <w:rFonts w:ascii="宋体" w:hAnsi="宋体" w:cs="宋体"/>
                <w:color w:val="auto"/>
                <w:sz w:val="21"/>
                <w:szCs w:val="21"/>
                <w:highlight w:val="none"/>
              </w:rPr>
            </w:pPr>
            <w:r>
              <w:rPr>
                <w:rFonts w:hint="eastAsia" w:ascii="宋体" w:hAnsi="宋体" w:eastAsia="宋体" w:cs="宋体"/>
                <w:i w:val="0"/>
                <w:iCs w:val="0"/>
                <w:color w:val="auto"/>
                <w:kern w:val="0"/>
                <w:sz w:val="20"/>
                <w:szCs w:val="20"/>
                <w:u w:val="none"/>
                <w:lang w:val="en-US" w:eastAsia="zh-CN" w:bidi="ar"/>
              </w:rPr>
              <w:t>2066</w:t>
            </w:r>
          </w:p>
        </w:tc>
      </w:tr>
      <w:tr w14:paraId="2BA1AFC9">
        <w:tblPrEx>
          <w:tblCellMar>
            <w:top w:w="0" w:type="dxa"/>
            <w:left w:w="108" w:type="dxa"/>
            <w:bottom w:w="0" w:type="dxa"/>
            <w:right w:w="108" w:type="dxa"/>
          </w:tblCellMar>
        </w:tblPrEx>
        <w:trPr>
          <w:trHeight w:val="54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65A8FFF7">
            <w:pPr>
              <w:spacing w:line="360" w:lineRule="auto"/>
              <w:ind w:firstLine="210" w:firstLineChars="100"/>
              <w:rPr>
                <w:rFonts w:ascii="宋体" w:hAnsi="宋体" w:cs="宋体"/>
                <w:color w:val="auto"/>
                <w:szCs w:val="21"/>
                <w:highlight w:val="none"/>
              </w:rPr>
            </w:pPr>
            <w:r>
              <w:rPr>
                <w:rFonts w:hint="eastAsia" w:ascii="宋体" w:hAnsi="宋体" w:cs="宋体"/>
                <w:color w:val="auto"/>
                <w:szCs w:val="21"/>
                <w:highlight w:val="none"/>
              </w:rPr>
              <w:t>15</w:t>
            </w:r>
          </w:p>
        </w:tc>
        <w:tc>
          <w:tcPr>
            <w:tcW w:w="2445" w:type="dxa"/>
            <w:tcBorders>
              <w:top w:val="single" w:color="auto" w:sz="4" w:space="0"/>
              <w:left w:val="single" w:color="auto" w:sz="4" w:space="0"/>
              <w:bottom w:val="single" w:color="auto" w:sz="4" w:space="0"/>
              <w:right w:val="single" w:color="auto" w:sz="4" w:space="0"/>
            </w:tcBorders>
            <w:vAlign w:val="center"/>
          </w:tcPr>
          <w:p w14:paraId="72C37ECB">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柔性阻车系统</w:t>
            </w:r>
          </w:p>
        </w:tc>
        <w:tc>
          <w:tcPr>
            <w:tcW w:w="1245" w:type="dxa"/>
            <w:tcBorders>
              <w:top w:val="single" w:color="auto" w:sz="4" w:space="0"/>
              <w:left w:val="single" w:color="auto" w:sz="4" w:space="0"/>
              <w:bottom w:val="single" w:color="auto" w:sz="4" w:space="0"/>
              <w:right w:val="single" w:color="auto" w:sz="4" w:space="0"/>
            </w:tcBorders>
            <w:vAlign w:val="center"/>
          </w:tcPr>
          <w:p w14:paraId="4927DA39">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套</w:t>
            </w:r>
          </w:p>
        </w:tc>
        <w:tc>
          <w:tcPr>
            <w:tcW w:w="2588" w:type="dxa"/>
            <w:vMerge w:val="continue"/>
            <w:tcBorders>
              <w:left w:val="single" w:color="auto" w:sz="4" w:space="0"/>
              <w:right w:val="single" w:color="auto" w:sz="4" w:space="0"/>
            </w:tcBorders>
            <w:vAlign w:val="center"/>
          </w:tcPr>
          <w:p w14:paraId="20BE2D49">
            <w:pPr>
              <w:widowControl/>
              <w:jc w:val="left"/>
              <w:textAlignment w:val="center"/>
              <w:rPr>
                <w:rFonts w:ascii="宋体" w:hAnsi="宋体" w:cs="宋体"/>
                <w:color w:val="auto"/>
                <w:szCs w:val="21"/>
                <w:highlight w:val="none"/>
              </w:rPr>
            </w:pPr>
          </w:p>
        </w:tc>
        <w:tc>
          <w:tcPr>
            <w:tcW w:w="1807" w:type="dxa"/>
            <w:tcBorders>
              <w:top w:val="single" w:color="auto" w:sz="4" w:space="0"/>
              <w:left w:val="single" w:color="auto" w:sz="4" w:space="0"/>
              <w:bottom w:val="single" w:color="auto" w:sz="4" w:space="0"/>
              <w:right w:val="single" w:color="auto" w:sz="4" w:space="0"/>
            </w:tcBorders>
            <w:vAlign w:val="center"/>
          </w:tcPr>
          <w:p w14:paraId="3333C0EC">
            <w:pPr>
              <w:keepNext w:val="0"/>
              <w:keepLines w:val="0"/>
              <w:widowControl/>
              <w:suppressLineNumbers w:val="0"/>
              <w:jc w:val="center"/>
              <w:textAlignment w:val="center"/>
              <w:rPr>
                <w:rFonts w:ascii="宋体" w:hAnsi="宋体" w:cs="宋体"/>
                <w:color w:val="auto"/>
                <w:sz w:val="21"/>
                <w:szCs w:val="21"/>
                <w:highlight w:val="none"/>
              </w:rPr>
            </w:pPr>
            <w:r>
              <w:rPr>
                <w:rFonts w:hint="eastAsia" w:ascii="宋体" w:hAnsi="宋体" w:eastAsia="宋体" w:cs="宋体"/>
                <w:i w:val="0"/>
                <w:iCs w:val="0"/>
                <w:color w:val="auto"/>
                <w:kern w:val="0"/>
                <w:sz w:val="20"/>
                <w:szCs w:val="20"/>
                <w:u w:val="none"/>
                <w:lang w:val="en-US" w:eastAsia="zh-CN" w:bidi="ar"/>
              </w:rPr>
              <w:t>2786</w:t>
            </w:r>
          </w:p>
        </w:tc>
      </w:tr>
      <w:tr w14:paraId="0868272F">
        <w:tblPrEx>
          <w:tblCellMar>
            <w:top w:w="0" w:type="dxa"/>
            <w:left w:w="108" w:type="dxa"/>
            <w:bottom w:w="0" w:type="dxa"/>
            <w:right w:w="108" w:type="dxa"/>
          </w:tblCellMar>
        </w:tblPrEx>
        <w:trPr>
          <w:trHeight w:val="54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529EB9B1">
            <w:pPr>
              <w:spacing w:line="360" w:lineRule="auto"/>
              <w:ind w:firstLine="210" w:firstLineChars="100"/>
              <w:rPr>
                <w:rFonts w:ascii="宋体" w:hAnsi="宋体" w:cs="宋体"/>
                <w:color w:val="auto"/>
                <w:szCs w:val="21"/>
                <w:highlight w:val="none"/>
              </w:rPr>
            </w:pPr>
            <w:r>
              <w:rPr>
                <w:rFonts w:hint="eastAsia" w:ascii="宋体" w:hAnsi="宋体" w:cs="宋体"/>
                <w:color w:val="auto"/>
                <w:szCs w:val="21"/>
                <w:highlight w:val="none"/>
              </w:rPr>
              <w:t>16</w:t>
            </w:r>
          </w:p>
        </w:tc>
        <w:tc>
          <w:tcPr>
            <w:tcW w:w="2445" w:type="dxa"/>
            <w:tcBorders>
              <w:top w:val="single" w:color="auto" w:sz="4" w:space="0"/>
              <w:left w:val="single" w:color="auto" w:sz="4" w:space="0"/>
              <w:bottom w:val="single" w:color="auto" w:sz="4" w:space="0"/>
              <w:right w:val="single" w:color="auto" w:sz="4" w:space="0"/>
            </w:tcBorders>
            <w:vAlign w:val="center"/>
          </w:tcPr>
          <w:p w14:paraId="704EB0E3">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窨井潜望镜</w:t>
            </w:r>
          </w:p>
        </w:tc>
        <w:tc>
          <w:tcPr>
            <w:tcW w:w="1245" w:type="dxa"/>
            <w:tcBorders>
              <w:top w:val="single" w:color="auto" w:sz="4" w:space="0"/>
              <w:left w:val="single" w:color="auto" w:sz="4" w:space="0"/>
              <w:bottom w:val="single" w:color="auto" w:sz="4" w:space="0"/>
              <w:right w:val="single" w:color="auto" w:sz="4" w:space="0"/>
            </w:tcBorders>
            <w:vAlign w:val="center"/>
          </w:tcPr>
          <w:p w14:paraId="087591C1">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台</w:t>
            </w:r>
          </w:p>
        </w:tc>
        <w:tc>
          <w:tcPr>
            <w:tcW w:w="2588" w:type="dxa"/>
            <w:vMerge w:val="continue"/>
            <w:tcBorders>
              <w:left w:val="single" w:color="auto" w:sz="4" w:space="0"/>
              <w:right w:val="single" w:color="auto" w:sz="4" w:space="0"/>
            </w:tcBorders>
            <w:vAlign w:val="center"/>
          </w:tcPr>
          <w:p w14:paraId="063114D5">
            <w:pPr>
              <w:widowControl/>
              <w:jc w:val="left"/>
              <w:textAlignment w:val="center"/>
              <w:rPr>
                <w:rFonts w:ascii="宋体" w:hAnsi="宋体" w:cs="宋体"/>
                <w:color w:val="auto"/>
                <w:szCs w:val="21"/>
                <w:highlight w:val="none"/>
              </w:rPr>
            </w:pPr>
          </w:p>
        </w:tc>
        <w:tc>
          <w:tcPr>
            <w:tcW w:w="1807" w:type="dxa"/>
            <w:tcBorders>
              <w:top w:val="single" w:color="auto" w:sz="4" w:space="0"/>
              <w:left w:val="single" w:color="auto" w:sz="4" w:space="0"/>
              <w:bottom w:val="single" w:color="auto" w:sz="4" w:space="0"/>
              <w:right w:val="single" w:color="auto" w:sz="4" w:space="0"/>
            </w:tcBorders>
            <w:vAlign w:val="center"/>
          </w:tcPr>
          <w:p w14:paraId="30A1DDE0">
            <w:pPr>
              <w:keepNext w:val="0"/>
              <w:keepLines w:val="0"/>
              <w:widowControl/>
              <w:suppressLineNumbers w:val="0"/>
              <w:jc w:val="center"/>
              <w:textAlignment w:val="center"/>
              <w:rPr>
                <w:rFonts w:ascii="宋体" w:hAnsi="宋体" w:cs="宋体"/>
                <w:color w:val="auto"/>
                <w:sz w:val="21"/>
                <w:szCs w:val="21"/>
                <w:highlight w:val="none"/>
              </w:rPr>
            </w:pPr>
            <w:r>
              <w:rPr>
                <w:rFonts w:hint="eastAsia" w:ascii="宋体" w:hAnsi="宋体" w:eastAsia="宋体" w:cs="宋体"/>
                <w:i w:val="0"/>
                <w:iCs w:val="0"/>
                <w:color w:val="auto"/>
                <w:kern w:val="0"/>
                <w:sz w:val="20"/>
                <w:szCs w:val="20"/>
                <w:u w:val="none"/>
                <w:lang w:val="en-US" w:eastAsia="zh-CN" w:bidi="ar"/>
              </w:rPr>
              <w:t>1040</w:t>
            </w:r>
          </w:p>
        </w:tc>
      </w:tr>
      <w:tr w14:paraId="1DC132C6">
        <w:tblPrEx>
          <w:tblCellMar>
            <w:top w:w="0" w:type="dxa"/>
            <w:left w:w="108" w:type="dxa"/>
            <w:bottom w:w="0" w:type="dxa"/>
            <w:right w:w="108" w:type="dxa"/>
          </w:tblCellMar>
        </w:tblPrEx>
        <w:trPr>
          <w:trHeight w:val="54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25894288">
            <w:pPr>
              <w:spacing w:line="360" w:lineRule="auto"/>
              <w:ind w:firstLine="210" w:firstLineChars="100"/>
              <w:rPr>
                <w:rFonts w:ascii="宋体" w:hAnsi="宋体" w:cs="宋体"/>
                <w:color w:val="auto"/>
                <w:szCs w:val="21"/>
                <w:highlight w:val="none"/>
              </w:rPr>
            </w:pPr>
            <w:r>
              <w:rPr>
                <w:rFonts w:hint="eastAsia" w:ascii="宋体" w:hAnsi="宋体" w:cs="宋体"/>
                <w:color w:val="auto"/>
                <w:szCs w:val="21"/>
                <w:highlight w:val="none"/>
              </w:rPr>
              <w:t>17</w:t>
            </w:r>
          </w:p>
        </w:tc>
        <w:tc>
          <w:tcPr>
            <w:tcW w:w="2445" w:type="dxa"/>
            <w:tcBorders>
              <w:top w:val="single" w:color="auto" w:sz="4" w:space="0"/>
              <w:left w:val="single" w:color="auto" w:sz="4" w:space="0"/>
              <w:bottom w:val="single" w:color="auto" w:sz="4" w:space="0"/>
              <w:right w:val="single" w:color="auto" w:sz="4" w:space="0"/>
            </w:tcBorders>
            <w:vAlign w:val="center"/>
          </w:tcPr>
          <w:p w14:paraId="3564EC31">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炸药探测器</w:t>
            </w:r>
          </w:p>
        </w:tc>
        <w:tc>
          <w:tcPr>
            <w:tcW w:w="1245" w:type="dxa"/>
            <w:tcBorders>
              <w:top w:val="single" w:color="auto" w:sz="4" w:space="0"/>
              <w:left w:val="single" w:color="auto" w:sz="4" w:space="0"/>
              <w:bottom w:val="single" w:color="auto" w:sz="4" w:space="0"/>
              <w:right w:val="single" w:color="auto" w:sz="4" w:space="0"/>
            </w:tcBorders>
            <w:vAlign w:val="center"/>
          </w:tcPr>
          <w:p w14:paraId="1ABEC014">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台</w:t>
            </w:r>
          </w:p>
        </w:tc>
        <w:tc>
          <w:tcPr>
            <w:tcW w:w="2588" w:type="dxa"/>
            <w:vMerge w:val="continue"/>
            <w:tcBorders>
              <w:left w:val="single" w:color="auto" w:sz="4" w:space="0"/>
              <w:right w:val="single" w:color="auto" w:sz="4" w:space="0"/>
            </w:tcBorders>
            <w:vAlign w:val="center"/>
          </w:tcPr>
          <w:p w14:paraId="400C7D32">
            <w:pPr>
              <w:adjustRightInd w:val="0"/>
              <w:snapToGrid w:val="0"/>
              <w:rPr>
                <w:rFonts w:ascii="宋体" w:hAnsi="宋体" w:cs="宋体"/>
                <w:color w:val="auto"/>
                <w:szCs w:val="21"/>
                <w:highlight w:val="none"/>
              </w:rPr>
            </w:pPr>
          </w:p>
        </w:tc>
        <w:tc>
          <w:tcPr>
            <w:tcW w:w="1807" w:type="dxa"/>
            <w:tcBorders>
              <w:top w:val="single" w:color="auto" w:sz="4" w:space="0"/>
              <w:left w:val="single" w:color="auto" w:sz="4" w:space="0"/>
              <w:bottom w:val="single" w:color="auto" w:sz="4" w:space="0"/>
              <w:right w:val="single" w:color="auto" w:sz="4" w:space="0"/>
            </w:tcBorders>
            <w:vAlign w:val="center"/>
          </w:tcPr>
          <w:p w14:paraId="78A45F4D">
            <w:pPr>
              <w:keepNext w:val="0"/>
              <w:keepLines w:val="0"/>
              <w:widowControl/>
              <w:suppressLineNumbers w:val="0"/>
              <w:jc w:val="center"/>
              <w:textAlignment w:val="center"/>
              <w:rPr>
                <w:rFonts w:ascii="宋体" w:hAnsi="宋体" w:cs="宋体"/>
                <w:color w:val="auto"/>
                <w:sz w:val="21"/>
                <w:szCs w:val="21"/>
                <w:highlight w:val="none"/>
              </w:rPr>
            </w:pPr>
            <w:r>
              <w:rPr>
                <w:rFonts w:hint="eastAsia" w:ascii="宋体" w:hAnsi="宋体" w:eastAsia="宋体" w:cs="宋体"/>
                <w:i w:val="0"/>
                <w:iCs w:val="0"/>
                <w:color w:val="auto"/>
                <w:kern w:val="0"/>
                <w:sz w:val="20"/>
                <w:szCs w:val="20"/>
                <w:u w:val="none"/>
                <w:lang w:val="en-US" w:eastAsia="zh-CN" w:bidi="ar"/>
              </w:rPr>
              <w:t>1857</w:t>
            </w:r>
          </w:p>
        </w:tc>
      </w:tr>
      <w:tr w14:paraId="22E5E54E">
        <w:tblPrEx>
          <w:tblCellMar>
            <w:top w:w="0" w:type="dxa"/>
            <w:left w:w="108" w:type="dxa"/>
            <w:bottom w:w="0" w:type="dxa"/>
            <w:right w:w="108" w:type="dxa"/>
          </w:tblCellMar>
        </w:tblPrEx>
        <w:trPr>
          <w:trHeight w:val="54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0FE05F1B">
            <w:pPr>
              <w:spacing w:line="360" w:lineRule="auto"/>
              <w:ind w:firstLine="210" w:firstLineChars="100"/>
              <w:rPr>
                <w:rFonts w:ascii="宋体" w:hAnsi="宋体" w:cs="宋体"/>
                <w:color w:val="auto"/>
                <w:szCs w:val="21"/>
                <w:highlight w:val="none"/>
              </w:rPr>
            </w:pPr>
            <w:r>
              <w:rPr>
                <w:rFonts w:hint="eastAsia" w:ascii="宋体" w:hAnsi="宋体" w:cs="宋体"/>
                <w:color w:val="auto"/>
                <w:szCs w:val="21"/>
                <w:highlight w:val="none"/>
              </w:rPr>
              <w:t>18</w:t>
            </w:r>
          </w:p>
        </w:tc>
        <w:tc>
          <w:tcPr>
            <w:tcW w:w="2445" w:type="dxa"/>
            <w:tcBorders>
              <w:top w:val="single" w:color="auto" w:sz="4" w:space="0"/>
              <w:left w:val="single" w:color="auto" w:sz="4" w:space="0"/>
              <w:bottom w:val="single" w:color="auto" w:sz="4" w:space="0"/>
              <w:right w:val="single" w:color="auto" w:sz="4" w:space="0"/>
            </w:tcBorders>
            <w:vAlign w:val="center"/>
          </w:tcPr>
          <w:p w14:paraId="7EE053EF">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液体检查仪</w:t>
            </w:r>
          </w:p>
        </w:tc>
        <w:tc>
          <w:tcPr>
            <w:tcW w:w="1245" w:type="dxa"/>
            <w:tcBorders>
              <w:top w:val="single" w:color="auto" w:sz="4" w:space="0"/>
              <w:left w:val="single" w:color="auto" w:sz="4" w:space="0"/>
              <w:bottom w:val="single" w:color="auto" w:sz="4" w:space="0"/>
              <w:right w:val="single" w:color="auto" w:sz="4" w:space="0"/>
            </w:tcBorders>
            <w:vAlign w:val="center"/>
          </w:tcPr>
          <w:p w14:paraId="4CEF6B89">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台</w:t>
            </w:r>
          </w:p>
        </w:tc>
        <w:tc>
          <w:tcPr>
            <w:tcW w:w="2588" w:type="dxa"/>
            <w:vMerge w:val="continue"/>
            <w:tcBorders>
              <w:left w:val="single" w:color="auto" w:sz="4" w:space="0"/>
              <w:right w:val="single" w:color="auto" w:sz="4" w:space="0"/>
            </w:tcBorders>
            <w:vAlign w:val="center"/>
          </w:tcPr>
          <w:p w14:paraId="6EA342CD">
            <w:pPr>
              <w:widowControl/>
              <w:jc w:val="left"/>
              <w:textAlignment w:val="center"/>
              <w:rPr>
                <w:rFonts w:ascii="宋体" w:hAnsi="宋体" w:cs="宋体"/>
                <w:color w:val="auto"/>
                <w:szCs w:val="21"/>
                <w:highlight w:val="none"/>
              </w:rPr>
            </w:pPr>
          </w:p>
        </w:tc>
        <w:tc>
          <w:tcPr>
            <w:tcW w:w="1807" w:type="dxa"/>
            <w:tcBorders>
              <w:top w:val="single" w:color="auto" w:sz="4" w:space="0"/>
              <w:left w:val="single" w:color="auto" w:sz="4" w:space="0"/>
              <w:bottom w:val="single" w:color="auto" w:sz="4" w:space="0"/>
              <w:right w:val="single" w:color="auto" w:sz="4" w:space="0"/>
            </w:tcBorders>
            <w:vAlign w:val="center"/>
          </w:tcPr>
          <w:p w14:paraId="14978323">
            <w:pPr>
              <w:keepNext w:val="0"/>
              <w:keepLines w:val="0"/>
              <w:widowControl/>
              <w:suppressLineNumbers w:val="0"/>
              <w:jc w:val="center"/>
              <w:textAlignment w:val="center"/>
              <w:rPr>
                <w:rFonts w:ascii="宋体" w:hAnsi="宋体" w:cs="宋体"/>
                <w:color w:val="auto"/>
                <w:sz w:val="21"/>
                <w:szCs w:val="21"/>
                <w:highlight w:val="none"/>
              </w:rPr>
            </w:pPr>
            <w:r>
              <w:rPr>
                <w:rFonts w:hint="eastAsia" w:ascii="宋体" w:hAnsi="宋体" w:eastAsia="宋体" w:cs="宋体"/>
                <w:i w:val="0"/>
                <w:iCs w:val="0"/>
                <w:color w:val="auto"/>
                <w:kern w:val="0"/>
                <w:sz w:val="20"/>
                <w:szCs w:val="20"/>
                <w:u w:val="none"/>
                <w:lang w:val="en-US" w:eastAsia="zh-CN" w:bidi="ar"/>
              </w:rPr>
              <w:t>1300</w:t>
            </w:r>
          </w:p>
        </w:tc>
      </w:tr>
      <w:tr w14:paraId="29810A24">
        <w:tblPrEx>
          <w:tblCellMar>
            <w:top w:w="0" w:type="dxa"/>
            <w:left w:w="108" w:type="dxa"/>
            <w:bottom w:w="0" w:type="dxa"/>
            <w:right w:w="108" w:type="dxa"/>
          </w:tblCellMar>
        </w:tblPrEx>
        <w:trPr>
          <w:trHeight w:val="54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34AD2124">
            <w:pPr>
              <w:spacing w:line="360" w:lineRule="auto"/>
              <w:ind w:firstLine="210" w:firstLineChars="100"/>
              <w:rPr>
                <w:rFonts w:ascii="宋体" w:hAnsi="宋体" w:cs="宋体"/>
                <w:color w:val="auto"/>
                <w:szCs w:val="21"/>
                <w:highlight w:val="none"/>
              </w:rPr>
            </w:pPr>
            <w:r>
              <w:rPr>
                <w:rFonts w:hint="eastAsia" w:ascii="宋体" w:hAnsi="宋体" w:cs="宋体"/>
                <w:color w:val="auto"/>
                <w:szCs w:val="21"/>
                <w:highlight w:val="none"/>
              </w:rPr>
              <w:t>19</w:t>
            </w:r>
          </w:p>
        </w:tc>
        <w:tc>
          <w:tcPr>
            <w:tcW w:w="2445" w:type="dxa"/>
            <w:tcBorders>
              <w:top w:val="single" w:color="auto" w:sz="4" w:space="0"/>
              <w:left w:val="single" w:color="auto" w:sz="4" w:space="0"/>
              <w:bottom w:val="single" w:color="auto" w:sz="4" w:space="0"/>
              <w:right w:val="single" w:color="auto" w:sz="4" w:space="0"/>
            </w:tcBorders>
            <w:vAlign w:val="center"/>
          </w:tcPr>
          <w:p w14:paraId="3CF96E15">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安检大篷</w:t>
            </w:r>
          </w:p>
        </w:tc>
        <w:tc>
          <w:tcPr>
            <w:tcW w:w="1245" w:type="dxa"/>
            <w:tcBorders>
              <w:top w:val="single" w:color="auto" w:sz="4" w:space="0"/>
              <w:left w:val="single" w:color="auto" w:sz="4" w:space="0"/>
              <w:bottom w:val="single" w:color="auto" w:sz="4" w:space="0"/>
              <w:right w:val="single" w:color="auto" w:sz="4" w:space="0"/>
            </w:tcBorders>
            <w:vAlign w:val="center"/>
          </w:tcPr>
          <w:p w14:paraId="527C9EFB">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顶</w:t>
            </w:r>
          </w:p>
        </w:tc>
        <w:tc>
          <w:tcPr>
            <w:tcW w:w="2588" w:type="dxa"/>
            <w:vMerge w:val="continue"/>
            <w:tcBorders>
              <w:left w:val="single" w:color="auto" w:sz="4" w:space="0"/>
              <w:right w:val="single" w:color="auto" w:sz="4" w:space="0"/>
            </w:tcBorders>
            <w:vAlign w:val="center"/>
          </w:tcPr>
          <w:p w14:paraId="2C8E8FC2">
            <w:pPr>
              <w:widowControl/>
              <w:jc w:val="left"/>
              <w:textAlignment w:val="center"/>
              <w:rPr>
                <w:rFonts w:ascii="宋体" w:hAnsi="宋体" w:cs="宋体"/>
                <w:color w:val="auto"/>
                <w:szCs w:val="21"/>
                <w:highlight w:val="none"/>
              </w:rPr>
            </w:pPr>
          </w:p>
        </w:tc>
        <w:tc>
          <w:tcPr>
            <w:tcW w:w="1807" w:type="dxa"/>
            <w:tcBorders>
              <w:top w:val="single" w:color="auto" w:sz="4" w:space="0"/>
              <w:left w:val="single" w:color="auto" w:sz="4" w:space="0"/>
              <w:bottom w:val="single" w:color="auto" w:sz="4" w:space="0"/>
              <w:right w:val="single" w:color="auto" w:sz="4" w:space="0"/>
            </w:tcBorders>
            <w:vAlign w:val="center"/>
          </w:tcPr>
          <w:p w14:paraId="16247027">
            <w:pPr>
              <w:keepNext w:val="0"/>
              <w:keepLines w:val="0"/>
              <w:widowControl/>
              <w:suppressLineNumbers w:val="0"/>
              <w:jc w:val="center"/>
              <w:textAlignment w:val="center"/>
              <w:rPr>
                <w:rFonts w:ascii="宋体" w:hAnsi="宋体" w:cs="宋体"/>
                <w:color w:val="auto"/>
                <w:sz w:val="21"/>
                <w:szCs w:val="21"/>
                <w:highlight w:val="none"/>
              </w:rPr>
            </w:pPr>
            <w:r>
              <w:rPr>
                <w:rFonts w:hint="eastAsia" w:ascii="宋体" w:hAnsi="宋体" w:eastAsia="宋体" w:cs="宋体"/>
                <w:i w:val="0"/>
                <w:iCs w:val="0"/>
                <w:color w:val="auto"/>
                <w:kern w:val="0"/>
                <w:sz w:val="20"/>
                <w:szCs w:val="20"/>
                <w:u w:val="none"/>
                <w:lang w:val="en-US" w:eastAsia="zh-CN" w:bidi="ar"/>
              </w:rPr>
              <w:t>5571</w:t>
            </w:r>
          </w:p>
        </w:tc>
      </w:tr>
      <w:tr w14:paraId="1E4EF974">
        <w:tblPrEx>
          <w:tblCellMar>
            <w:top w:w="0" w:type="dxa"/>
            <w:left w:w="108" w:type="dxa"/>
            <w:bottom w:w="0" w:type="dxa"/>
            <w:right w:w="108" w:type="dxa"/>
          </w:tblCellMar>
        </w:tblPrEx>
        <w:trPr>
          <w:trHeight w:val="54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2D24FD07">
            <w:pPr>
              <w:spacing w:line="360" w:lineRule="auto"/>
              <w:ind w:firstLine="210" w:firstLineChars="100"/>
              <w:rPr>
                <w:rFonts w:ascii="宋体" w:hAnsi="宋体" w:cs="宋体"/>
                <w:color w:val="auto"/>
                <w:szCs w:val="21"/>
                <w:highlight w:val="none"/>
              </w:rPr>
            </w:pPr>
            <w:r>
              <w:rPr>
                <w:rFonts w:hint="eastAsia" w:ascii="宋体" w:hAnsi="宋体" w:cs="宋体"/>
                <w:color w:val="auto"/>
                <w:szCs w:val="21"/>
                <w:highlight w:val="none"/>
              </w:rPr>
              <w:t>20</w:t>
            </w:r>
          </w:p>
        </w:tc>
        <w:tc>
          <w:tcPr>
            <w:tcW w:w="2445" w:type="dxa"/>
            <w:tcBorders>
              <w:top w:val="single" w:color="auto" w:sz="4" w:space="0"/>
              <w:left w:val="single" w:color="auto" w:sz="4" w:space="0"/>
              <w:bottom w:val="single" w:color="auto" w:sz="4" w:space="0"/>
              <w:right w:val="single" w:color="auto" w:sz="4" w:space="0"/>
            </w:tcBorders>
            <w:vAlign w:val="center"/>
          </w:tcPr>
          <w:p w14:paraId="0D45FCB9">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安检大篷</w:t>
            </w:r>
          </w:p>
        </w:tc>
        <w:tc>
          <w:tcPr>
            <w:tcW w:w="1245" w:type="dxa"/>
            <w:tcBorders>
              <w:top w:val="single" w:color="auto" w:sz="4" w:space="0"/>
              <w:left w:val="single" w:color="auto" w:sz="4" w:space="0"/>
              <w:bottom w:val="single" w:color="auto" w:sz="4" w:space="0"/>
              <w:right w:val="single" w:color="auto" w:sz="4" w:space="0"/>
            </w:tcBorders>
            <w:vAlign w:val="center"/>
          </w:tcPr>
          <w:p w14:paraId="64239A36">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顶</w:t>
            </w:r>
          </w:p>
        </w:tc>
        <w:tc>
          <w:tcPr>
            <w:tcW w:w="2588" w:type="dxa"/>
            <w:vMerge w:val="continue"/>
            <w:tcBorders>
              <w:left w:val="single" w:color="auto" w:sz="4" w:space="0"/>
              <w:right w:val="single" w:color="auto" w:sz="4" w:space="0"/>
            </w:tcBorders>
            <w:vAlign w:val="center"/>
          </w:tcPr>
          <w:p w14:paraId="782B73E7">
            <w:pPr>
              <w:widowControl/>
              <w:jc w:val="left"/>
              <w:textAlignment w:val="center"/>
              <w:rPr>
                <w:rFonts w:ascii="宋体" w:hAnsi="宋体" w:cs="宋体"/>
                <w:color w:val="auto"/>
                <w:szCs w:val="21"/>
                <w:highlight w:val="none"/>
              </w:rPr>
            </w:pPr>
          </w:p>
        </w:tc>
        <w:tc>
          <w:tcPr>
            <w:tcW w:w="1807" w:type="dxa"/>
            <w:tcBorders>
              <w:top w:val="single" w:color="auto" w:sz="4" w:space="0"/>
              <w:left w:val="single" w:color="auto" w:sz="4" w:space="0"/>
              <w:bottom w:val="single" w:color="auto" w:sz="4" w:space="0"/>
              <w:right w:val="single" w:color="auto" w:sz="4" w:space="0"/>
            </w:tcBorders>
            <w:vAlign w:val="center"/>
          </w:tcPr>
          <w:p w14:paraId="4D089426">
            <w:pPr>
              <w:keepNext w:val="0"/>
              <w:keepLines w:val="0"/>
              <w:widowControl/>
              <w:suppressLineNumbers w:val="0"/>
              <w:jc w:val="center"/>
              <w:textAlignment w:val="center"/>
              <w:rPr>
                <w:rFonts w:ascii="宋体" w:hAnsi="宋体" w:cs="宋体"/>
                <w:color w:val="auto"/>
                <w:sz w:val="21"/>
                <w:szCs w:val="21"/>
                <w:highlight w:val="none"/>
              </w:rPr>
            </w:pPr>
            <w:r>
              <w:rPr>
                <w:rFonts w:hint="eastAsia" w:ascii="宋体" w:hAnsi="宋体" w:eastAsia="宋体" w:cs="宋体"/>
                <w:i w:val="0"/>
                <w:iCs w:val="0"/>
                <w:color w:val="auto"/>
                <w:kern w:val="0"/>
                <w:sz w:val="20"/>
                <w:szCs w:val="20"/>
                <w:u w:val="none"/>
                <w:lang w:val="en-US" w:eastAsia="zh-CN" w:bidi="ar"/>
              </w:rPr>
              <w:t>4643</w:t>
            </w:r>
          </w:p>
        </w:tc>
      </w:tr>
      <w:tr w14:paraId="1F6F1078">
        <w:tblPrEx>
          <w:tblCellMar>
            <w:top w:w="0" w:type="dxa"/>
            <w:left w:w="108" w:type="dxa"/>
            <w:bottom w:w="0" w:type="dxa"/>
            <w:right w:w="108" w:type="dxa"/>
          </w:tblCellMar>
        </w:tblPrEx>
        <w:trPr>
          <w:trHeight w:val="54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7DF42A8E">
            <w:pPr>
              <w:spacing w:line="360" w:lineRule="auto"/>
              <w:ind w:firstLine="210" w:firstLineChars="100"/>
              <w:rPr>
                <w:rFonts w:ascii="宋体" w:hAnsi="宋体" w:cs="宋体"/>
                <w:color w:val="auto"/>
                <w:szCs w:val="21"/>
                <w:highlight w:val="none"/>
              </w:rPr>
            </w:pPr>
            <w:r>
              <w:rPr>
                <w:rFonts w:hint="eastAsia" w:ascii="宋体" w:hAnsi="宋体" w:cs="宋体"/>
                <w:color w:val="auto"/>
                <w:szCs w:val="21"/>
                <w:highlight w:val="none"/>
              </w:rPr>
              <w:t>21</w:t>
            </w:r>
          </w:p>
        </w:tc>
        <w:tc>
          <w:tcPr>
            <w:tcW w:w="2445" w:type="dxa"/>
            <w:tcBorders>
              <w:top w:val="single" w:color="auto" w:sz="4" w:space="0"/>
              <w:left w:val="single" w:color="auto" w:sz="4" w:space="0"/>
              <w:bottom w:val="single" w:color="auto" w:sz="4" w:space="0"/>
              <w:right w:val="single" w:color="auto" w:sz="4" w:space="0"/>
            </w:tcBorders>
            <w:vAlign w:val="center"/>
          </w:tcPr>
          <w:p w14:paraId="633F2EAD">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安检大篷</w:t>
            </w:r>
          </w:p>
        </w:tc>
        <w:tc>
          <w:tcPr>
            <w:tcW w:w="1245" w:type="dxa"/>
            <w:tcBorders>
              <w:top w:val="single" w:color="auto" w:sz="4" w:space="0"/>
              <w:left w:val="single" w:color="auto" w:sz="4" w:space="0"/>
              <w:bottom w:val="single" w:color="auto" w:sz="4" w:space="0"/>
              <w:right w:val="single" w:color="auto" w:sz="4" w:space="0"/>
            </w:tcBorders>
            <w:vAlign w:val="center"/>
          </w:tcPr>
          <w:p w14:paraId="12ABC72D">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顶</w:t>
            </w:r>
          </w:p>
        </w:tc>
        <w:tc>
          <w:tcPr>
            <w:tcW w:w="2588" w:type="dxa"/>
            <w:vMerge w:val="continue"/>
            <w:tcBorders>
              <w:left w:val="single" w:color="auto" w:sz="4" w:space="0"/>
              <w:right w:val="single" w:color="auto" w:sz="4" w:space="0"/>
            </w:tcBorders>
            <w:vAlign w:val="center"/>
          </w:tcPr>
          <w:p w14:paraId="684BE296">
            <w:pPr>
              <w:widowControl/>
              <w:jc w:val="left"/>
              <w:textAlignment w:val="center"/>
              <w:rPr>
                <w:rFonts w:ascii="宋体" w:hAnsi="宋体" w:cs="宋体"/>
                <w:color w:val="auto"/>
                <w:szCs w:val="21"/>
                <w:highlight w:val="none"/>
              </w:rPr>
            </w:pPr>
          </w:p>
        </w:tc>
        <w:tc>
          <w:tcPr>
            <w:tcW w:w="1807" w:type="dxa"/>
            <w:tcBorders>
              <w:top w:val="single" w:color="auto" w:sz="4" w:space="0"/>
              <w:left w:val="single" w:color="auto" w:sz="4" w:space="0"/>
              <w:bottom w:val="single" w:color="auto" w:sz="4" w:space="0"/>
              <w:right w:val="single" w:color="auto" w:sz="4" w:space="0"/>
            </w:tcBorders>
            <w:vAlign w:val="center"/>
          </w:tcPr>
          <w:p w14:paraId="4F2A20C0">
            <w:pPr>
              <w:keepNext w:val="0"/>
              <w:keepLines w:val="0"/>
              <w:widowControl/>
              <w:suppressLineNumbers w:val="0"/>
              <w:jc w:val="center"/>
              <w:textAlignment w:val="center"/>
              <w:rPr>
                <w:rFonts w:ascii="宋体" w:hAnsi="宋体" w:cs="宋体"/>
                <w:color w:val="auto"/>
                <w:sz w:val="21"/>
                <w:szCs w:val="21"/>
                <w:highlight w:val="none"/>
              </w:rPr>
            </w:pPr>
            <w:r>
              <w:rPr>
                <w:rFonts w:hint="eastAsia" w:ascii="宋体" w:hAnsi="宋体" w:eastAsia="宋体" w:cs="宋体"/>
                <w:i w:val="0"/>
                <w:iCs w:val="0"/>
                <w:color w:val="auto"/>
                <w:kern w:val="0"/>
                <w:sz w:val="20"/>
                <w:szCs w:val="20"/>
                <w:u w:val="none"/>
                <w:lang w:val="en-US" w:eastAsia="zh-CN" w:bidi="ar"/>
              </w:rPr>
              <w:t>929</w:t>
            </w:r>
          </w:p>
        </w:tc>
      </w:tr>
      <w:tr w14:paraId="3BA42457">
        <w:tblPrEx>
          <w:tblCellMar>
            <w:top w:w="0" w:type="dxa"/>
            <w:left w:w="108" w:type="dxa"/>
            <w:bottom w:w="0" w:type="dxa"/>
            <w:right w:w="108" w:type="dxa"/>
          </w:tblCellMar>
        </w:tblPrEx>
        <w:trPr>
          <w:trHeight w:val="54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7147F4A1">
            <w:pPr>
              <w:spacing w:line="360" w:lineRule="auto"/>
              <w:ind w:firstLine="210" w:firstLineChars="100"/>
              <w:rPr>
                <w:rFonts w:ascii="宋体" w:hAnsi="宋体" w:cs="宋体"/>
                <w:color w:val="auto"/>
                <w:szCs w:val="21"/>
                <w:highlight w:val="none"/>
              </w:rPr>
            </w:pPr>
            <w:r>
              <w:rPr>
                <w:rFonts w:hint="eastAsia" w:ascii="宋体" w:hAnsi="宋体" w:cs="宋体"/>
                <w:color w:val="auto"/>
                <w:szCs w:val="21"/>
                <w:highlight w:val="none"/>
              </w:rPr>
              <w:t>22</w:t>
            </w:r>
          </w:p>
        </w:tc>
        <w:tc>
          <w:tcPr>
            <w:tcW w:w="2445" w:type="dxa"/>
            <w:tcBorders>
              <w:top w:val="single" w:color="auto" w:sz="4" w:space="0"/>
              <w:left w:val="single" w:color="auto" w:sz="4" w:space="0"/>
              <w:bottom w:val="single" w:color="auto" w:sz="4" w:space="0"/>
              <w:right w:val="single" w:color="auto" w:sz="4" w:space="0"/>
            </w:tcBorders>
            <w:vAlign w:val="center"/>
          </w:tcPr>
          <w:p w14:paraId="38AC249C">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多功能光学天棚检查镜</w:t>
            </w:r>
          </w:p>
        </w:tc>
        <w:tc>
          <w:tcPr>
            <w:tcW w:w="1245" w:type="dxa"/>
            <w:tcBorders>
              <w:top w:val="single" w:color="auto" w:sz="4" w:space="0"/>
              <w:left w:val="single" w:color="auto" w:sz="4" w:space="0"/>
              <w:bottom w:val="single" w:color="auto" w:sz="4" w:space="0"/>
              <w:right w:val="single" w:color="auto" w:sz="4" w:space="0"/>
            </w:tcBorders>
            <w:vAlign w:val="center"/>
          </w:tcPr>
          <w:p w14:paraId="79BA530B">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支</w:t>
            </w:r>
          </w:p>
        </w:tc>
        <w:tc>
          <w:tcPr>
            <w:tcW w:w="2588" w:type="dxa"/>
            <w:vMerge w:val="continue"/>
            <w:tcBorders>
              <w:left w:val="single" w:color="auto" w:sz="4" w:space="0"/>
              <w:right w:val="single" w:color="auto" w:sz="4" w:space="0"/>
            </w:tcBorders>
            <w:vAlign w:val="center"/>
          </w:tcPr>
          <w:p w14:paraId="1F198CAA">
            <w:pPr>
              <w:widowControl/>
              <w:jc w:val="left"/>
              <w:textAlignment w:val="center"/>
              <w:rPr>
                <w:rFonts w:ascii="宋体" w:hAnsi="宋体" w:cs="宋体"/>
                <w:color w:val="auto"/>
                <w:szCs w:val="21"/>
                <w:highlight w:val="none"/>
              </w:rPr>
            </w:pPr>
          </w:p>
        </w:tc>
        <w:tc>
          <w:tcPr>
            <w:tcW w:w="1807" w:type="dxa"/>
            <w:tcBorders>
              <w:top w:val="single" w:color="auto" w:sz="4" w:space="0"/>
              <w:left w:val="single" w:color="auto" w:sz="4" w:space="0"/>
              <w:bottom w:val="single" w:color="auto" w:sz="4" w:space="0"/>
              <w:right w:val="single" w:color="auto" w:sz="4" w:space="0"/>
            </w:tcBorders>
            <w:vAlign w:val="center"/>
          </w:tcPr>
          <w:p w14:paraId="34B10733">
            <w:pPr>
              <w:keepNext w:val="0"/>
              <w:keepLines w:val="0"/>
              <w:widowControl/>
              <w:suppressLineNumbers w:val="0"/>
              <w:jc w:val="center"/>
              <w:textAlignment w:val="center"/>
              <w:rPr>
                <w:rFonts w:ascii="宋体" w:hAnsi="宋体" w:cs="宋体"/>
                <w:color w:val="auto"/>
                <w:sz w:val="21"/>
                <w:szCs w:val="21"/>
                <w:highlight w:val="none"/>
              </w:rPr>
            </w:pPr>
            <w:r>
              <w:rPr>
                <w:rFonts w:hint="eastAsia" w:ascii="宋体" w:hAnsi="宋体" w:eastAsia="宋体" w:cs="宋体"/>
                <w:i w:val="0"/>
                <w:iCs w:val="0"/>
                <w:color w:val="auto"/>
                <w:kern w:val="0"/>
                <w:sz w:val="20"/>
                <w:szCs w:val="20"/>
                <w:u w:val="none"/>
                <w:lang w:val="en-US" w:eastAsia="zh-CN" w:bidi="ar"/>
              </w:rPr>
              <w:t>130</w:t>
            </w:r>
          </w:p>
        </w:tc>
      </w:tr>
      <w:tr w14:paraId="0F8BF94C">
        <w:tblPrEx>
          <w:tblCellMar>
            <w:top w:w="0" w:type="dxa"/>
            <w:left w:w="108" w:type="dxa"/>
            <w:bottom w:w="0" w:type="dxa"/>
            <w:right w:w="108" w:type="dxa"/>
          </w:tblCellMar>
        </w:tblPrEx>
        <w:trPr>
          <w:trHeight w:val="54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0E936EDF">
            <w:pPr>
              <w:spacing w:line="360" w:lineRule="auto"/>
              <w:ind w:firstLine="210" w:firstLineChars="100"/>
              <w:rPr>
                <w:rFonts w:ascii="宋体" w:hAnsi="宋体" w:cs="宋体"/>
                <w:color w:val="auto"/>
                <w:szCs w:val="21"/>
                <w:highlight w:val="none"/>
              </w:rPr>
            </w:pPr>
            <w:r>
              <w:rPr>
                <w:rFonts w:hint="eastAsia" w:ascii="宋体" w:hAnsi="宋体" w:cs="宋体"/>
                <w:color w:val="auto"/>
                <w:szCs w:val="21"/>
                <w:highlight w:val="none"/>
              </w:rPr>
              <w:t>23</w:t>
            </w:r>
          </w:p>
        </w:tc>
        <w:tc>
          <w:tcPr>
            <w:tcW w:w="2445" w:type="dxa"/>
            <w:tcBorders>
              <w:top w:val="single" w:color="auto" w:sz="4" w:space="0"/>
              <w:left w:val="single" w:color="auto" w:sz="4" w:space="0"/>
              <w:bottom w:val="single" w:color="auto" w:sz="4" w:space="0"/>
              <w:right w:val="single" w:color="auto" w:sz="4" w:space="0"/>
            </w:tcBorders>
            <w:vAlign w:val="center"/>
          </w:tcPr>
          <w:p w14:paraId="371356EA">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电子听音器</w:t>
            </w:r>
          </w:p>
        </w:tc>
        <w:tc>
          <w:tcPr>
            <w:tcW w:w="1245" w:type="dxa"/>
            <w:tcBorders>
              <w:top w:val="single" w:color="auto" w:sz="4" w:space="0"/>
              <w:left w:val="single" w:color="auto" w:sz="4" w:space="0"/>
              <w:bottom w:val="single" w:color="auto" w:sz="4" w:space="0"/>
              <w:right w:val="single" w:color="auto" w:sz="4" w:space="0"/>
            </w:tcBorders>
            <w:vAlign w:val="center"/>
          </w:tcPr>
          <w:p w14:paraId="309A9B62">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套</w:t>
            </w:r>
          </w:p>
        </w:tc>
        <w:tc>
          <w:tcPr>
            <w:tcW w:w="2588" w:type="dxa"/>
            <w:vMerge w:val="continue"/>
            <w:tcBorders>
              <w:left w:val="single" w:color="auto" w:sz="4" w:space="0"/>
              <w:right w:val="single" w:color="auto" w:sz="4" w:space="0"/>
            </w:tcBorders>
            <w:vAlign w:val="center"/>
          </w:tcPr>
          <w:p w14:paraId="3CAC103C">
            <w:pPr>
              <w:adjustRightInd w:val="0"/>
              <w:snapToGrid w:val="0"/>
              <w:rPr>
                <w:rFonts w:ascii="宋体" w:hAnsi="宋体" w:cs="宋体"/>
                <w:color w:val="auto"/>
                <w:szCs w:val="21"/>
                <w:highlight w:val="none"/>
              </w:rPr>
            </w:pPr>
          </w:p>
        </w:tc>
        <w:tc>
          <w:tcPr>
            <w:tcW w:w="1807" w:type="dxa"/>
            <w:tcBorders>
              <w:top w:val="single" w:color="auto" w:sz="4" w:space="0"/>
              <w:left w:val="single" w:color="auto" w:sz="4" w:space="0"/>
              <w:bottom w:val="single" w:color="auto" w:sz="4" w:space="0"/>
              <w:right w:val="single" w:color="auto" w:sz="4" w:space="0"/>
            </w:tcBorders>
            <w:vAlign w:val="center"/>
          </w:tcPr>
          <w:p w14:paraId="2668A3C7">
            <w:pPr>
              <w:keepNext w:val="0"/>
              <w:keepLines w:val="0"/>
              <w:widowControl/>
              <w:suppressLineNumbers w:val="0"/>
              <w:jc w:val="center"/>
              <w:textAlignment w:val="center"/>
              <w:rPr>
                <w:rFonts w:ascii="宋体" w:hAnsi="宋体" w:cs="宋体"/>
                <w:color w:val="auto"/>
                <w:sz w:val="21"/>
                <w:szCs w:val="21"/>
                <w:highlight w:val="none"/>
              </w:rPr>
            </w:pPr>
            <w:r>
              <w:rPr>
                <w:rFonts w:hint="eastAsia" w:ascii="宋体" w:hAnsi="宋体" w:eastAsia="宋体" w:cs="宋体"/>
                <w:i w:val="0"/>
                <w:iCs w:val="0"/>
                <w:color w:val="auto"/>
                <w:kern w:val="0"/>
                <w:sz w:val="20"/>
                <w:szCs w:val="20"/>
                <w:u w:val="none"/>
                <w:lang w:val="en-US" w:eastAsia="zh-CN" w:bidi="ar"/>
              </w:rPr>
              <w:t>929</w:t>
            </w:r>
          </w:p>
        </w:tc>
      </w:tr>
      <w:tr w14:paraId="6E524D8E">
        <w:tblPrEx>
          <w:tblCellMar>
            <w:top w:w="0" w:type="dxa"/>
            <w:left w:w="108" w:type="dxa"/>
            <w:bottom w:w="0" w:type="dxa"/>
            <w:right w:w="108" w:type="dxa"/>
          </w:tblCellMar>
        </w:tblPrEx>
        <w:trPr>
          <w:trHeight w:val="54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29FFD5B4">
            <w:pPr>
              <w:spacing w:line="360" w:lineRule="auto"/>
              <w:ind w:firstLine="210" w:firstLineChars="100"/>
              <w:rPr>
                <w:rFonts w:ascii="宋体" w:hAnsi="宋体" w:cs="宋体"/>
                <w:color w:val="auto"/>
                <w:szCs w:val="21"/>
                <w:highlight w:val="none"/>
              </w:rPr>
            </w:pPr>
            <w:r>
              <w:rPr>
                <w:rFonts w:hint="eastAsia" w:ascii="宋体" w:hAnsi="宋体" w:cs="宋体"/>
                <w:color w:val="auto"/>
                <w:szCs w:val="21"/>
                <w:highlight w:val="none"/>
              </w:rPr>
              <w:t>24</w:t>
            </w:r>
          </w:p>
        </w:tc>
        <w:tc>
          <w:tcPr>
            <w:tcW w:w="2445" w:type="dxa"/>
            <w:tcBorders>
              <w:top w:val="single" w:color="auto" w:sz="4" w:space="0"/>
              <w:left w:val="single" w:color="auto" w:sz="4" w:space="0"/>
              <w:bottom w:val="single" w:color="auto" w:sz="4" w:space="0"/>
              <w:right w:val="single" w:color="auto" w:sz="4" w:space="0"/>
            </w:tcBorders>
            <w:vAlign w:val="center"/>
          </w:tcPr>
          <w:p w14:paraId="14DDABCB">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多功能节点探测仪</w:t>
            </w:r>
          </w:p>
        </w:tc>
        <w:tc>
          <w:tcPr>
            <w:tcW w:w="1245" w:type="dxa"/>
            <w:tcBorders>
              <w:top w:val="single" w:color="auto" w:sz="4" w:space="0"/>
              <w:left w:val="single" w:color="auto" w:sz="4" w:space="0"/>
              <w:bottom w:val="single" w:color="auto" w:sz="4" w:space="0"/>
              <w:right w:val="single" w:color="auto" w:sz="4" w:space="0"/>
            </w:tcBorders>
            <w:vAlign w:val="center"/>
          </w:tcPr>
          <w:p w14:paraId="57C4A8E3">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套</w:t>
            </w:r>
          </w:p>
        </w:tc>
        <w:tc>
          <w:tcPr>
            <w:tcW w:w="2588" w:type="dxa"/>
            <w:vMerge w:val="continue"/>
            <w:tcBorders>
              <w:left w:val="single" w:color="auto" w:sz="4" w:space="0"/>
              <w:right w:val="single" w:color="auto" w:sz="4" w:space="0"/>
            </w:tcBorders>
            <w:vAlign w:val="center"/>
          </w:tcPr>
          <w:p w14:paraId="1ECF940D">
            <w:pPr>
              <w:adjustRightInd w:val="0"/>
              <w:snapToGrid w:val="0"/>
              <w:rPr>
                <w:rFonts w:ascii="宋体" w:hAnsi="宋体" w:cs="宋体"/>
                <w:color w:val="auto"/>
                <w:szCs w:val="21"/>
                <w:highlight w:val="none"/>
              </w:rPr>
            </w:pPr>
          </w:p>
        </w:tc>
        <w:tc>
          <w:tcPr>
            <w:tcW w:w="1807" w:type="dxa"/>
            <w:tcBorders>
              <w:top w:val="single" w:color="auto" w:sz="4" w:space="0"/>
              <w:left w:val="single" w:color="auto" w:sz="4" w:space="0"/>
              <w:bottom w:val="single" w:color="auto" w:sz="4" w:space="0"/>
              <w:right w:val="single" w:color="auto" w:sz="4" w:space="0"/>
            </w:tcBorders>
            <w:vAlign w:val="center"/>
          </w:tcPr>
          <w:p w14:paraId="045F57B4">
            <w:pPr>
              <w:keepNext w:val="0"/>
              <w:keepLines w:val="0"/>
              <w:widowControl/>
              <w:suppressLineNumbers w:val="0"/>
              <w:jc w:val="center"/>
              <w:textAlignment w:val="center"/>
              <w:rPr>
                <w:rFonts w:ascii="宋体" w:hAnsi="宋体" w:cs="宋体"/>
                <w:color w:val="auto"/>
                <w:sz w:val="21"/>
                <w:szCs w:val="21"/>
                <w:highlight w:val="none"/>
              </w:rPr>
            </w:pPr>
            <w:r>
              <w:rPr>
                <w:rFonts w:hint="eastAsia" w:ascii="宋体" w:hAnsi="宋体" w:eastAsia="宋体" w:cs="宋体"/>
                <w:i w:val="0"/>
                <w:iCs w:val="0"/>
                <w:color w:val="auto"/>
                <w:kern w:val="0"/>
                <w:sz w:val="20"/>
                <w:szCs w:val="20"/>
                <w:u w:val="none"/>
                <w:lang w:val="en-US" w:eastAsia="zh-CN" w:bidi="ar"/>
              </w:rPr>
              <w:t>2229</w:t>
            </w:r>
          </w:p>
        </w:tc>
      </w:tr>
      <w:tr w14:paraId="4878922A">
        <w:tblPrEx>
          <w:tblCellMar>
            <w:top w:w="0" w:type="dxa"/>
            <w:left w:w="108" w:type="dxa"/>
            <w:bottom w:w="0" w:type="dxa"/>
            <w:right w:w="108" w:type="dxa"/>
          </w:tblCellMar>
        </w:tblPrEx>
        <w:trPr>
          <w:trHeight w:val="54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546FCA9B">
            <w:pPr>
              <w:spacing w:line="360" w:lineRule="auto"/>
              <w:ind w:firstLine="210" w:firstLineChars="100"/>
              <w:rPr>
                <w:rFonts w:ascii="宋体" w:hAnsi="宋体" w:cs="宋体"/>
                <w:color w:val="auto"/>
                <w:szCs w:val="21"/>
                <w:highlight w:val="none"/>
              </w:rPr>
            </w:pPr>
            <w:r>
              <w:rPr>
                <w:rFonts w:hint="eastAsia" w:ascii="宋体" w:hAnsi="宋体" w:cs="宋体"/>
                <w:color w:val="auto"/>
                <w:szCs w:val="21"/>
                <w:highlight w:val="none"/>
              </w:rPr>
              <w:t>25</w:t>
            </w:r>
          </w:p>
        </w:tc>
        <w:tc>
          <w:tcPr>
            <w:tcW w:w="2445" w:type="dxa"/>
            <w:tcBorders>
              <w:top w:val="single" w:color="auto" w:sz="4" w:space="0"/>
              <w:left w:val="single" w:color="auto" w:sz="4" w:space="0"/>
              <w:bottom w:val="single" w:color="auto" w:sz="4" w:space="0"/>
              <w:right w:val="single" w:color="auto" w:sz="4" w:space="0"/>
            </w:tcBorders>
            <w:vAlign w:val="center"/>
          </w:tcPr>
          <w:p w14:paraId="7FEA1B89">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强光手电</w:t>
            </w:r>
          </w:p>
        </w:tc>
        <w:tc>
          <w:tcPr>
            <w:tcW w:w="1245" w:type="dxa"/>
            <w:tcBorders>
              <w:top w:val="single" w:color="auto" w:sz="4" w:space="0"/>
              <w:left w:val="single" w:color="auto" w:sz="4" w:space="0"/>
              <w:bottom w:val="single" w:color="auto" w:sz="4" w:space="0"/>
              <w:right w:val="single" w:color="auto" w:sz="4" w:space="0"/>
            </w:tcBorders>
            <w:vAlign w:val="center"/>
          </w:tcPr>
          <w:p w14:paraId="606B4C6F">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支</w:t>
            </w:r>
          </w:p>
        </w:tc>
        <w:tc>
          <w:tcPr>
            <w:tcW w:w="2588" w:type="dxa"/>
            <w:vMerge w:val="continue"/>
            <w:tcBorders>
              <w:left w:val="single" w:color="auto" w:sz="4" w:space="0"/>
              <w:right w:val="single" w:color="auto" w:sz="4" w:space="0"/>
            </w:tcBorders>
            <w:vAlign w:val="center"/>
          </w:tcPr>
          <w:p w14:paraId="77BA0533">
            <w:pPr>
              <w:widowControl/>
              <w:jc w:val="left"/>
              <w:textAlignment w:val="center"/>
              <w:rPr>
                <w:rFonts w:ascii="宋体" w:hAnsi="宋体" w:cs="宋体"/>
                <w:color w:val="auto"/>
                <w:szCs w:val="21"/>
                <w:highlight w:val="none"/>
              </w:rPr>
            </w:pPr>
          </w:p>
        </w:tc>
        <w:tc>
          <w:tcPr>
            <w:tcW w:w="1807" w:type="dxa"/>
            <w:tcBorders>
              <w:top w:val="single" w:color="auto" w:sz="4" w:space="0"/>
              <w:left w:val="single" w:color="auto" w:sz="4" w:space="0"/>
              <w:bottom w:val="single" w:color="auto" w:sz="4" w:space="0"/>
              <w:right w:val="single" w:color="auto" w:sz="4" w:space="0"/>
            </w:tcBorders>
            <w:vAlign w:val="center"/>
          </w:tcPr>
          <w:p w14:paraId="07C98615">
            <w:pPr>
              <w:keepNext w:val="0"/>
              <w:keepLines w:val="0"/>
              <w:widowControl/>
              <w:suppressLineNumbers w:val="0"/>
              <w:jc w:val="center"/>
              <w:textAlignment w:val="center"/>
              <w:rPr>
                <w:rFonts w:ascii="宋体" w:hAnsi="宋体" w:cs="宋体"/>
                <w:color w:val="auto"/>
                <w:sz w:val="21"/>
                <w:szCs w:val="21"/>
                <w:highlight w:val="none"/>
              </w:rPr>
            </w:pPr>
            <w:r>
              <w:rPr>
                <w:rFonts w:hint="eastAsia" w:ascii="宋体" w:hAnsi="宋体" w:eastAsia="宋体" w:cs="宋体"/>
                <w:i w:val="0"/>
                <w:iCs w:val="0"/>
                <w:color w:val="auto"/>
                <w:kern w:val="0"/>
                <w:sz w:val="20"/>
                <w:szCs w:val="20"/>
                <w:u w:val="none"/>
                <w:lang w:val="en-US" w:eastAsia="zh-CN" w:bidi="ar"/>
              </w:rPr>
              <w:t>4</w:t>
            </w:r>
          </w:p>
        </w:tc>
      </w:tr>
      <w:tr w14:paraId="737C2A30">
        <w:tblPrEx>
          <w:tblCellMar>
            <w:top w:w="0" w:type="dxa"/>
            <w:left w:w="108" w:type="dxa"/>
            <w:bottom w:w="0" w:type="dxa"/>
            <w:right w:w="108" w:type="dxa"/>
          </w:tblCellMar>
        </w:tblPrEx>
        <w:trPr>
          <w:trHeight w:val="54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55DBC93F">
            <w:pPr>
              <w:spacing w:line="360" w:lineRule="auto"/>
              <w:ind w:firstLine="210" w:firstLineChars="100"/>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26</w:t>
            </w:r>
          </w:p>
        </w:tc>
        <w:tc>
          <w:tcPr>
            <w:tcW w:w="2445" w:type="dxa"/>
            <w:tcBorders>
              <w:top w:val="single" w:color="auto" w:sz="4" w:space="0"/>
              <w:left w:val="single" w:color="auto" w:sz="4" w:space="0"/>
              <w:bottom w:val="single" w:color="auto" w:sz="4" w:space="0"/>
              <w:right w:val="single" w:color="auto" w:sz="4" w:space="0"/>
            </w:tcBorders>
            <w:vAlign w:val="center"/>
          </w:tcPr>
          <w:p w14:paraId="7E244206">
            <w:pPr>
              <w:keepNext w:val="0"/>
              <w:keepLines w:val="0"/>
              <w:widowControl/>
              <w:suppressLineNumbers w:val="0"/>
              <w:jc w:val="center"/>
              <w:textAlignment w:val="center"/>
              <w:rPr>
                <w:rFonts w:hint="eastAsia" w:ascii="宋体" w:hAnsi="宋体" w:cs="宋体"/>
                <w:color w:val="auto"/>
                <w:kern w:val="0"/>
                <w:szCs w:val="21"/>
                <w:highlight w:val="none"/>
              </w:rPr>
            </w:pPr>
            <w:r>
              <w:rPr>
                <w:rFonts w:hint="eastAsia" w:ascii="宋体" w:hAnsi="宋体" w:eastAsia="宋体" w:cs="宋体"/>
                <w:i w:val="0"/>
                <w:iCs w:val="0"/>
                <w:color w:val="auto"/>
                <w:kern w:val="0"/>
                <w:sz w:val="20"/>
                <w:szCs w:val="20"/>
                <w:u w:val="none"/>
                <w:lang w:val="en-US" w:eastAsia="zh-CN" w:bidi="ar"/>
              </w:rPr>
              <w:t>软管窥镜</w:t>
            </w:r>
          </w:p>
        </w:tc>
        <w:tc>
          <w:tcPr>
            <w:tcW w:w="1245" w:type="dxa"/>
            <w:tcBorders>
              <w:top w:val="single" w:color="auto" w:sz="4" w:space="0"/>
              <w:left w:val="single" w:color="auto" w:sz="4" w:space="0"/>
              <w:bottom w:val="single" w:color="auto" w:sz="4" w:space="0"/>
              <w:right w:val="single" w:color="auto" w:sz="4" w:space="0"/>
            </w:tcBorders>
            <w:vAlign w:val="center"/>
          </w:tcPr>
          <w:p w14:paraId="44E232D4">
            <w:pPr>
              <w:keepNext w:val="0"/>
              <w:keepLines w:val="0"/>
              <w:widowControl/>
              <w:suppressLineNumbers w:val="0"/>
              <w:jc w:val="center"/>
              <w:textAlignment w:val="center"/>
              <w:rPr>
                <w:rFonts w:hint="eastAsia" w:ascii="宋体" w:hAnsi="宋体" w:cs="宋体"/>
                <w:color w:val="auto"/>
                <w:kern w:val="0"/>
                <w:szCs w:val="21"/>
                <w:highlight w:val="none"/>
              </w:rPr>
            </w:pPr>
            <w:r>
              <w:rPr>
                <w:rFonts w:hint="eastAsia" w:ascii="宋体" w:hAnsi="宋体" w:eastAsia="宋体" w:cs="宋体"/>
                <w:i w:val="0"/>
                <w:iCs w:val="0"/>
                <w:color w:val="auto"/>
                <w:kern w:val="0"/>
                <w:sz w:val="20"/>
                <w:szCs w:val="20"/>
                <w:u w:val="none"/>
                <w:lang w:val="en-US" w:eastAsia="zh-CN" w:bidi="ar"/>
              </w:rPr>
              <w:t>套</w:t>
            </w:r>
          </w:p>
        </w:tc>
        <w:tc>
          <w:tcPr>
            <w:tcW w:w="2588" w:type="dxa"/>
            <w:vMerge w:val="continue"/>
            <w:tcBorders>
              <w:left w:val="single" w:color="auto" w:sz="4" w:space="0"/>
              <w:right w:val="single" w:color="auto" w:sz="4" w:space="0"/>
            </w:tcBorders>
            <w:vAlign w:val="center"/>
          </w:tcPr>
          <w:p w14:paraId="6CF7ED5A">
            <w:pPr>
              <w:widowControl/>
              <w:jc w:val="left"/>
              <w:textAlignment w:val="center"/>
              <w:rPr>
                <w:rFonts w:ascii="宋体" w:hAnsi="宋体" w:cs="宋体"/>
                <w:color w:val="auto"/>
                <w:szCs w:val="21"/>
                <w:highlight w:val="none"/>
              </w:rPr>
            </w:pPr>
          </w:p>
        </w:tc>
        <w:tc>
          <w:tcPr>
            <w:tcW w:w="1807" w:type="dxa"/>
            <w:tcBorders>
              <w:top w:val="single" w:color="auto" w:sz="4" w:space="0"/>
              <w:left w:val="single" w:color="auto" w:sz="4" w:space="0"/>
              <w:bottom w:val="single" w:color="auto" w:sz="4" w:space="0"/>
              <w:right w:val="single" w:color="auto" w:sz="4" w:space="0"/>
            </w:tcBorders>
            <w:vAlign w:val="center"/>
          </w:tcPr>
          <w:p w14:paraId="7E5EAAD2">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0"/>
                <w:szCs w:val="20"/>
                <w:u w:val="none"/>
                <w:lang w:val="en-US" w:eastAsia="zh-CN" w:bidi="ar"/>
              </w:rPr>
              <w:t>500</w:t>
            </w:r>
          </w:p>
        </w:tc>
      </w:tr>
      <w:tr w14:paraId="5F02776B">
        <w:tblPrEx>
          <w:tblCellMar>
            <w:top w:w="0" w:type="dxa"/>
            <w:left w:w="108" w:type="dxa"/>
            <w:bottom w:w="0" w:type="dxa"/>
            <w:right w:w="108" w:type="dxa"/>
          </w:tblCellMar>
        </w:tblPrEx>
        <w:trPr>
          <w:trHeight w:val="54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5EA762E8">
            <w:pPr>
              <w:spacing w:line="360" w:lineRule="auto"/>
              <w:ind w:firstLine="210" w:firstLineChars="100"/>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27</w:t>
            </w:r>
          </w:p>
        </w:tc>
        <w:tc>
          <w:tcPr>
            <w:tcW w:w="2445" w:type="dxa"/>
            <w:tcBorders>
              <w:top w:val="single" w:color="auto" w:sz="4" w:space="0"/>
              <w:left w:val="single" w:color="auto" w:sz="4" w:space="0"/>
              <w:bottom w:val="single" w:color="auto" w:sz="4" w:space="0"/>
              <w:right w:val="single" w:color="auto" w:sz="4" w:space="0"/>
            </w:tcBorders>
            <w:vAlign w:val="center"/>
          </w:tcPr>
          <w:p w14:paraId="060ED7DE">
            <w:pPr>
              <w:keepNext w:val="0"/>
              <w:keepLines w:val="0"/>
              <w:widowControl/>
              <w:suppressLineNumbers w:val="0"/>
              <w:jc w:val="center"/>
              <w:textAlignment w:val="center"/>
              <w:rPr>
                <w:rFonts w:hint="eastAsia" w:ascii="宋体" w:hAnsi="宋体" w:cs="宋体"/>
                <w:color w:val="auto"/>
                <w:kern w:val="0"/>
                <w:szCs w:val="21"/>
                <w:highlight w:val="none"/>
              </w:rPr>
            </w:pPr>
            <w:r>
              <w:rPr>
                <w:rFonts w:hint="eastAsia" w:ascii="宋体" w:hAnsi="宋体" w:eastAsia="宋体" w:cs="宋体"/>
                <w:i w:val="0"/>
                <w:iCs w:val="0"/>
                <w:color w:val="auto"/>
                <w:kern w:val="0"/>
                <w:sz w:val="20"/>
                <w:szCs w:val="20"/>
                <w:u w:val="none"/>
                <w:lang w:val="en-US" w:eastAsia="zh-CN" w:bidi="ar"/>
              </w:rPr>
              <w:t>安检无人机</w:t>
            </w:r>
          </w:p>
        </w:tc>
        <w:tc>
          <w:tcPr>
            <w:tcW w:w="1245" w:type="dxa"/>
            <w:tcBorders>
              <w:top w:val="single" w:color="auto" w:sz="4" w:space="0"/>
              <w:left w:val="single" w:color="auto" w:sz="4" w:space="0"/>
              <w:bottom w:val="single" w:color="auto" w:sz="4" w:space="0"/>
              <w:right w:val="single" w:color="auto" w:sz="4" w:space="0"/>
            </w:tcBorders>
            <w:vAlign w:val="center"/>
          </w:tcPr>
          <w:p w14:paraId="1BF06BD4">
            <w:pPr>
              <w:keepNext w:val="0"/>
              <w:keepLines w:val="0"/>
              <w:widowControl/>
              <w:suppressLineNumbers w:val="0"/>
              <w:jc w:val="center"/>
              <w:textAlignment w:val="center"/>
              <w:rPr>
                <w:rFonts w:hint="eastAsia" w:ascii="宋体" w:hAnsi="宋体" w:cs="宋体"/>
                <w:color w:val="auto"/>
                <w:kern w:val="0"/>
                <w:szCs w:val="21"/>
                <w:highlight w:val="none"/>
              </w:rPr>
            </w:pPr>
            <w:r>
              <w:rPr>
                <w:rFonts w:hint="eastAsia" w:ascii="宋体" w:hAnsi="宋体" w:eastAsia="宋体" w:cs="宋体"/>
                <w:i w:val="0"/>
                <w:iCs w:val="0"/>
                <w:color w:val="auto"/>
                <w:kern w:val="0"/>
                <w:sz w:val="20"/>
                <w:szCs w:val="20"/>
                <w:u w:val="none"/>
                <w:lang w:val="en-US" w:eastAsia="zh-CN" w:bidi="ar"/>
              </w:rPr>
              <w:t>套</w:t>
            </w:r>
          </w:p>
        </w:tc>
        <w:tc>
          <w:tcPr>
            <w:tcW w:w="2588" w:type="dxa"/>
            <w:vMerge w:val="continue"/>
            <w:tcBorders>
              <w:left w:val="single" w:color="auto" w:sz="4" w:space="0"/>
              <w:bottom w:val="single" w:color="auto" w:sz="4" w:space="0"/>
              <w:right w:val="single" w:color="auto" w:sz="4" w:space="0"/>
            </w:tcBorders>
            <w:vAlign w:val="center"/>
          </w:tcPr>
          <w:p w14:paraId="35AABEB5">
            <w:pPr>
              <w:widowControl/>
              <w:jc w:val="left"/>
              <w:textAlignment w:val="center"/>
              <w:rPr>
                <w:rFonts w:ascii="宋体" w:hAnsi="宋体" w:cs="宋体"/>
                <w:color w:val="auto"/>
                <w:szCs w:val="21"/>
                <w:highlight w:val="none"/>
              </w:rPr>
            </w:pPr>
          </w:p>
        </w:tc>
        <w:tc>
          <w:tcPr>
            <w:tcW w:w="1807" w:type="dxa"/>
            <w:tcBorders>
              <w:top w:val="single" w:color="auto" w:sz="4" w:space="0"/>
              <w:left w:val="single" w:color="auto" w:sz="4" w:space="0"/>
              <w:bottom w:val="single" w:color="auto" w:sz="4" w:space="0"/>
              <w:right w:val="single" w:color="auto" w:sz="4" w:space="0"/>
            </w:tcBorders>
            <w:vAlign w:val="center"/>
          </w:tcPr>
          <w:p w14:paraId="31DE7D2E">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0"/>
                <w:szCs w:val="20"/>
                <w:u w:val="none"/>
                <w:lang w:val="en-US" w:eastAsia="zh-CN" w:bidi="ar"/>
              </w:rPr>
              <w:t>500</w:t>
            </w:r>
          </w:p>
        </w:tc>
      </w:tr>
    </w:tbl>
    <w:p w14:paraId="225A61DA">
      <w:pPr>
        <w:spacing w:line="440" w:lineRule="exact"/>
        <w:ind w:firstLine="422" w:firstLineChars="200"/>
        <w:rPr>
          <w:rFonts w:hint="eastAsia" w:ascii="宋体" w:hAnsi="宋体"/>
          <w:b/>
          <w:color w:val="auto"/>
          <w:szCs w:val="21"/>
          <w:highlight w:val="none"/>
        </w:rPr>
      </w:pPr>
      <w:r>
        <w:rPr>
          <w:rFonts w:ascii="宋体" w:hAnsi="宋体" w:cs="Segoe UI Symbol"/>
          <w:b/>
          <w:color w:val="auto"/>
          <w:szCs w:val="21"/>
          <w:highlight w:val="none"/>
        </w:rPr>
        <w:t>★</w:t>
      </w:r>
      <w:r>
        <w:rPr>
          <w:rFonts w:ascii="宋体" w:hAnsi="宋体"/>
          <w:b/>
          <w:color w:val="auto"/>
          <w:szCs w:val="21"/>
          <w:highlight w:val="none"/>
        </w:rPr>
        <w:t>注：投标人</w:t>
      </w:r>
      <w:r>
        <w:rPr>
          <w:rFonts w:hint="eastAsia" w:ascii="宋体" w:hAnsi="宋体"/>
          <w:b/>
          <w:color w:val="auto"/>
          <w:szCs w:val="21"/>
          <w:highlight w:val="none"/>
        </w:rPr>
        <w:t>须</w:t>
      </w:r>
      <w:r>
        <w:rPr>
          <w:rFonts w:ascii="宋体" w:hAnsi="宋体"/>
          <w:b/>
          <w:color w:val="auto"/>
          <w:szCs w:val="21"/>
          <w:highlight w:val="none"/>
        </w:rPr>
        <w:t>对</w:t>
      </w:r>
      <w:r>
        <w:rPr>
          <w:rFonts w:hint="eastAsia" w:ascii="宋体" w:hAnsi="宋体"/>
          <w:b/>
          <w:color w:val="auto"/>
          <w:szCs w:val="21"/>
          <w:highlight w:val="none"/>
        </w:rPr>
        <w:t>项目</w:t>
      </w:r>
      <w:r>
        <w:rPr>
          <w:rFonts w:hint="eastAsia" w:ascii="宋体" w:hAnsi="宋体"/>
          <w:b/>
          <w:color w:val="auto"/>
          <w:szCs w:val="21"/>
          <w:highlight w:val="none"/>
          <w:lang w:eastAsia="zh-CN"/>
        </w:rPr>
        <w:t>采购需求</w:t>
      </w:r>
      <w:r>
        <w:rPr>
          <w:rFonts w:hint="eastAsia" w:ascii="宋体" w:hAnsi="宋体"/>
          <w:b/>
          <w:color w:val="auto"/>
          <w:szCs w:val="21"/>
          <w:highlight w:val="none"/>
        </w:rPr>
        <w:t>内容</w:t>
      </w:r>
      <w:r>
        <w:rPr>
          <w:rFonts w:ascii="宋体" w:hAnsi="宋体"/>
          <w:b/>
          <w:color w:val="auto"/>
          <w:szCs w:val="21"/>
          <w:highlight w:val="none"/>
        </w:rPr>
        <w:t>进行整体投标</w:t>
      </w:r>
      <w:r>
        <w:rPr>
          <w:rFonts w:hint="eastAsia" w:ascii="宋体" w:hAnsi="宋体"/>
          <w:b/>
          <w:color w:val="auto"/>
          <w:szCs w:val="21"/>
          <w:highlight w:val="none"/>
        </w:rPr>
        <w:t>报价</w:t>
      </w:r>
      <w:r>
        <w:rPr>
          <w:rFonts w:ascii="宋体" w:hAnsi="宋体"/>
          <w:b/>
          <w:color w:val="auto"/>
          <w:szCs w:val="21"/>
          <w:highlight w:val="none"/>
        </w:rPr>
        <w:t>，不得缺项漏项，</w:t>
      </w:r>
      <w:r>
        <w:rPr>
          <w:rFonts w:hint="eastAsia" w:ascii="宋体" w:hAnsi="宋体"/>
          <w:b/>
          <w:color w:val="auto"/>
          <w:szCs w:val="21"/>
          <w:highlight w:val="none"/>
        </w:rPr>
        <w:t>否则按不实质性响应招标文件要求处理。</w:t>
      </w:r>
    </w:p>
    <w:p w14:paraId="37F37A7A">
      <w:pPr>
        <w:spacing w:line="360" w:lineRule="auto"/>
        <w:ind w:firstLine="308" w:firstLineChars="147"/>
        <w:rPr>
          <w:rFonts w:hint="eastAsia" w:ascii="宋体" w:hAnsi="宋体" w:cs="宋体"/>
          <w:color w:val="auto"/>
          <w:szCs w:val="21"/>
          <w:highlight w:val="none"/>
        </w:rPr>
      </w:pPr>
      <w:r>
        <w:rPr>
          <w:rFonts w:hint="eastAsia" w:ascii="宋体" w:hAnsi="宋体" w:cs="宋体"/>
          <w:color w:val="auto"/>
          <w:szCs w:val="21"/>
          <w:highlight w:val="none"/>
        </w:rPr>
        <w:t>合同</w:t>
      </w:r>
      <w:r>
        <w:rPr>
          <w:rFonts w:hint="eastAsia" w:ascii="宋体" w:hAnsi="宋体" w:cs="宋体"/>
          <w:color w:val="auto"/>
          <w:szCs w:val="21"/>
          <w:highlight w:val="none"/>
          <w:lang w:eastAsia="zh-CN"/>
        </w:rPr>
        <w:t>履行期限：</w:t>
      </w:r>
      <w:bookmarkStart w:id="14" w:name="OLE_LINK24"/>
      <w:r>
        <w:rPr>
          <w:rFonts w:hint="eastAsia" w:ascii="宋体" w:hAnsi="宋体" w:cs="宋体"/>
          <w:color w:val="auto"/>
          <w:szCs w:val="21"/>
          <w:highlight w:val="none"/>
        </w:rPr>
        <w:t>合同签订后按照一事一结原则 ，对每次租赁产生的费用</w:t>
      </w:r>
      <w:r>
        <w:rPr>
          <w:rFonts w:hint="eastAsia" w:ascii="宋体" w:hAnsi="宋体" w:cs="宋体"/>
          <w:color w:val="auto"/>
          <w:szCs w:val="21"/>
          <w:highlight w:val="none"/>
          <w:lang w:val="en-US" w:eastAsia="zh-CN"/>
        </w:rPr>
        <w:t>据实</w:t>
      </w:r>
      <w:r>
        <w:rPr>
          <w:rFonts w:hint="eastAsia" w:ascii="宋体" w:hAnsi="宋体" w:cs="宋体"/>
          <w:color w:val="auto"/>
          <w:szCs w:val="21"/>
          <w:highlight w:val="none"/>
        </w:rPr>
        <w:t>结算；</w:t>
      </w:r>
      <w:r>
        <w:rPr>
          <w:rFonts w:hint="eastAsia" w:ascii="宋体" w:hAnsi="宋体" w:cs="宋体"/>
          <w:color w:val="auto"/>
          <w:szCs w:val="21"/>
          <w:highlight w:val="none"/>
          <w:lang w:eastAsia="zh-CN"/>
        </w:rPr>
        <w:t>合同签订之日起计算有</w:t>
      </w:r>
      <w:r>
        <w:rPr>
          <w:rFonts w:hint="eastAsia" w:ascii="宋体" w:hAnsi="宋体" w:cs="宋体"/>
          <w:color w:val="auto"/>
          <w:szCs w:val="21"/>
          <w:highlight w:val="none"/>
        </w:rPr>
        <w:t>效期</w:t>
      </w:r>
      <w:r>
        <w:rPr>
          <w:rFonts w:hint="eastAsia" w:ascii="宋体" w:hAnsi="宋体" w:cs="宋体"/>
          <w:color w:val="auto"/>
          <w:szCs w:val="21"/>
          <w:highlight w:val="none"/>
          <w:lang w:eastAsia="zh-CN"/>
        </w:rPr>
        <w:t>为壹年。一采三年，合同一年一签。</w:t>
      </w:r>
    </w:p>
    <w:bookmarkEnd w:id="14"/>
    <w:p w14:paraId="0D3E3129">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本项目不接受联合体投标。</w:t>
      </w:r>
    </w:p>
    <w:p w14:paraId="44A1EA12">
      <w:pPr>
        <w:pStyle w:val="4"/>
        <w:numPr>
          <w:ilvl w:val="0"/>
          <w:numId w:val="0"/>
        </w:numPr>
        <w:spacing w:before="0"/>
        <w:jc w:val="left"/>
        <w:rPr>
          <w:rFonts w:ascii="宋体" w:hAnsi="宋体" w:eastAsia="宋体"/>
          <w:color w:val="auto"/>
          <w:sz w:val="21"/>
          <w:szCs w:val="22"/>
          <w:highlight w:val="none"/>
        </w:rPr>
      </w:pPr>
      <w:bookmarkStart w:id="15" w:name="_Toc87521513"/>
      <w:bookmarkStart w:id="16" w:name="_Toc28359003"/>
      <w:bookmarkStart w:id="17" w:name="_Toc42599641"/>
      <w:bookmarkStart w:id="18" w:name="_Toc35393622"/>
      <w:bookmarkStart w:id="19" w:name="_Toc35393791"/>
      <w:bookmarkStart w:id="20" w:name="_Toc28359080"/>
      <w:r>
        <w:rPr>
          <w:rFonts w:hint="eastAsia" w:ascii="宋体" w:hAnsi="宋体" w:eastAsia="宋体"/>
          <w:color w:val="auto"/>
          <w:sz w:val="21"/>
          <w:szCs w:val="22"/>
          <w:highlight w:val="none"/>
        </w:rPr>
        <w:t>二、申请人的资格要求</w:t>
      </w:r>
      <w:bookmarkEnd w:id="15"/>
      <w:bookmarkEnd w:id="16"/>
      <w:bookmarkEnd w:id="17"/>
      <w:bookmarkEnd w:id="18"/>
      <w:bookmarkEnd w:id="19"/>
      <w:bookmarkEnd w:id="20"/>
    </w:p>
    <w:p w14:paraId="32471C08">
      <w:pPr>
        <w:spacing w:line="360" w:lineRule="auto"/>
        <w:ind w:firstLine="424" w:firstLineChars="201"/>
        <w:rPr>
          <w:rFonts w:ascii="宋体" w:hAnsi="宋体"/>
          <w:b/>
          <w:bCs/>
          <w:color w:val="auto"/>
          <w:szCs w:val="21"/>
          <w:highlight w:val="none"/>
        </w:rPr>
      </w:pPr>
      <w:r>
        <w:rPr>
          <w:rFonts w:hint="eastAsia" w:ascii="宋体" w:hAnsi="宋体"/>
          <w:b/>
          <w:bCs/>
          <w:color w:val="auto"/>
          <w:szCs w:val="21"/>
          <w:highlight w:val="none"/>
        </w:rPr>
        <w:t>1.满足《中华人民共和国政府采购法》第二十二条规定</w:t>
      </w:r>
      <w:r>
        <w:rPr>
          <w:rFonts w:hint="eastAsia" w:ascii="宋体" w:hAnsi="宋体"/>
          <w:b/>
          <w:color w:val="auto"/>
          <w:szCs w:val="21"/>
          <w:highlight w:val="none"/>
        </w:rPr>
        <w:t>；</w:t>
      </w:r>
    </w:p>
    <w:p w14:paraId="6C8B0E07">
      <w:pPr>
        <w:spacing w:line="360" w:lineRule="auto"/>
        <w:ind w:firstLine="424" w:firstLineChars="201"/>
        <w:rPr>
          <w:rFonts w:ascii="宋体" w:hAnsi="宋体"/>
          <w:b/>
          <w:bCs/>
          <w:color w:val="auto"/>
          <w:szCs w:val="21"/>
          <w:highlight w:val="none"/>
        </w:rPr>
      </w:pPr>
      <w:r>
        <w:rPr>
          <w:rFonts w:ascii="宋体" w:hAnsi="宋体"/>
          <w:b/>
          <w:bCs/>
          <w:color w:val="auto"/>
          <w:szCs w:val="21"/>
          <w:highlight w:val="none"/>
        </w:rPr>
        <w:t>2</w:t>
      </w:r>
      <w:r>
        <w:rPr>
          <w:rFonts w:hint="eastAsia" w:ascii="宋体" w:hAnsi="宋体"/>
          <w:b/>
          <w:bCs/>
          <w:color w:val="auto"/>
          <w:szCs w:val="21"/>
          <w:highlight w:val="none"/>
        </w:rPr>
        <w:t>.落实政府采购政策需满足的资格要求：</w:t>
      </w:r>
      <w:r>
        <w:rPr>
          <w:rFonts w:hint="eastAsia" w:ascii="宋体" w:hAnsi="宋体" w:eastAsia="宋体" w:cs="Times New Roman"/>
          <w:b/>
          <w:bCs/>
          <w:color w:val="auto"/>
          <w:szCs w:val="21"/>
          <w:highlight w:val="none"/>
        </w:rPr>
        <w:t>本项目非专门面向中小企业采购的项目</w:t>
      </w:r>
      <w:r>
        <w:rPr>
          <w:rFonts w:hint="eastAsia" w:ascii="宋体" w:hAnsi="宋体"/>
          <w:color w:val="auto"/>
          <w:szCs w:val="21"/>
          <w:highlight w:val="none"/>
        </w:rPr>
        <w:t>。</w:t>
      </w:r>
    </w:p>
    <w:p w14:paraId="4E9C1812">
      <w:pPr>
        <w:spacing w:line="360" w:lineRule="auto"/>
        <w:ind w:firstLine="424" w:firstLineChars="201"/>
        <w:rPr>
          <w:rFonts w:ascii="宋体" w:hAnsi="宋体"/>
          <w:b/>
          <w:bCs/>
          <w:color w:val="auto"/>
          <w:szCs w:val="21"/>
          <w:highlight w:val="none"/>
          <w:u w:val="single"/>
        </w:rPr>
      </w:pPr>
      <w:r>
        <w:rPr>
          <w:rFonts w:ascii="宋体" w:hAnsi="宋体"/>
          <w:b/>
          <w:bCs/>
          <w:color w:val="auto"/>
          <w:szCs w:val="21"/>
          <w:highlight w:val="none"/>
        </w:rPr>
        <w:t>3</w:t>
      </w:r>
      <w:r>
        <w:rPr>
          <w:rFonts w:hint="eastAsia" w:ascii="宋体" w:hAnsi="宋体"/>
          <w:b/>
          <w:bCs/>
          <w:color w:val="auto"/>
          <w:szCs w:val="21"/>
          <w:highlight w:val="none"/>
        </w:rPr>
        <w:t>.本项目的特定资格要求：</w:t>
      </w:r>
    </w:p>
    <w:p w14:paraId="37B74865">
      <w:pPr>
        <w:spacing w:line="360" w:lineRule="auto"/>
        <w:ind w:firstLine="420" w:firstLineChars="200"/>
        <w:rPr>
          <w:rFonts w:hint="eastAsia" w:ascii="宋体" w:hAnsi="宋体"/>
          <w:color w:val="auto"/>
          <w:szCs w:val="21"/>
          <w:highlight w:val="none"/>
        </w:rPr>
      </w:pPr>
      <w:bookmarkStart w:id="21" w:name="OLE_LINK25"/>
      <w:bookmarkStart w:id="22" w:name="OLE_LINK12"/>
      <w:bookmarkStart w:id="23" w:name="OLE_LINK18"/>
      <w:r>
        <w:rPr>
          <w:rFonts w:hint="eastAsia" w:ascii="宋体" w:hAnsi="宋体" w:eastAsia="宋体" w:cs="Times New Roman"/>
          <w:color w:val="auto"/>
          <w:szCs w:val="21"/>
          <w:highlight w:val="none"/>
          <w:lang w:val="en-US" w:eastAsia="zh-CN"/>
        </w:rPr>
        <w:t>3.</w:t>
      </w:r>
      <w:r>
        <w:rPr>
          <w:rFonts w:hint="eastAsia" w:ascii="宋体" w:hAnsi="宋体" w:cs="Times New Roman"/>
          <w:color w:val="auto"/>
          <w:szCs w:val="21"/>
          <w:highlight w:val="none"/>
          <w:lang w:val="en-US" w:eastAsia="zh-CN"/>
        </w:rPr>
        <w:t>1</w:t>
      </w:r>
      <w:r>
        <w:rPr>
          <w:rFonts w:hint="eastAsia" w:ascii="宋体" w:hAnsi="宋体" w:eastAsia="宋体" w:cs="Times New Roman"/>
          <w:color w:val="auto"/>
          <w:szCs w:val="21"/>
          <w:highlight w:val="none"/>
        </w:rPr>
        <w:t>投标人未被列入“信用中国”网站（www.creditchina.gov.cn）失信被执行人、</w:t>
      </w:r>
      <w:bookmarkStart w:id="24" w:name="OLE_LINK8"/>
      <w:r>
        <w:rPr>
          <w:rFonts w:hint="eastAsia" w:ascii="宋体" w:hAnsi="宋体" w:eastAsia="宋体" w:cs="Times New Roman"/>
          <w:color w:val="auto"/>
          <w:szCs w:val="21"/>
          <w:highlight w:val="none"/>
        </w:rPr>
        <w:t>重大税收违法失信主体</w:t>
      </w:r>
      <w:bookmarkEnd w:id="24"/>
      <w:r>
        <w:rPr>
          <w:rFonts w:hint="eastAsia" w:ascii="宋体" w:hAnsi="宋体"/>
          <w:color w:val="auto"/>
          <w:szCs w:val="21"/>
          <w:highlight w:val="none"/>
        </w:rPr>
        <w:t>、政府采购严重违法失信行为记录名单，及未被列入中国政府采购网（www.ccgp.gov.cn）“政府采购严重违法失信行为信息记录”。</w:t>
      </w:r>
      <w:r>
        <w:rPr>
          <w:rFonts w:ascii="宋体" w:hAnsi="宋体"/>
          <w:color w:val="auto"/>
          <w:szCs w:val="21"/>
          <w:highlight w:val="none"/>
        </w:rPr>
        <w:t>（以开标</w:t>
      </w:r>
      <w:r>
        <w:rPr>
          <w:rFonts w:hint="eastAsia" w:ascii="宋体" w:hAnsi="宋体"/>
          <w:color w:val="auto"/>
          <w:szCs w:val="21"/>
          <w:highlight w:val="none"/>
        </w:rPr>
        <w:t>结束后代理机构</w:t>
      </w:r>
      <w:r>
        <w:rPr>
          <w:rFonts w:ascii="宋体" w:hAnsi="宋体"/>
          <w:color w:val="auto"/>
          <w:szCs w:val="21"/>
          <w:highlight w:val="none"/>
        </w:rPr>
        <w:t>对上述信用信</w:t>
      </w:r>
      <w:r>
        <w:rPr>
          <w:rFonts w:hint="eastAsia" w:ascii="宋体" w:hAnsi="宋体"/>
          <w:color w:val="auto"/>
          <w:szCs w:val="21"/>
          <w:highlight w:val="none"/>
        </w:rPr>
        <w:t>息进行查询核对的结果为准）；</w:t>
      </w:r>
    </w:p>
    <w:p w14:paraId="77F7BE13">
      <w:pPr>
        <w:spacing w:line="360" w:lineRule="auto"/>
        <w:ind w:firstLine="420" w:firstLineChars="200"/>
        <w:rPr>
          <w:rFonts w:hint="eastAsia" w:ascii="宋体" w:hAnsi="宋体" w:eastAsia="宋体"/>
          <w:color w:val="auto"/>
          <w:szCs w:val="21"/>
          <w:highlight w:val="none"/>
          <w:lang w:eastAsia="zh-CN"/>
        </w:rPr>
      </w:pPr>
      <w:r>
        <w:rPr>
          <w:rFonts w:hint="eastAsia" w:ascii="宋体" w:hAnsi="宋体"/>
          <w:color w:val="auto"/>
          <w:szCs w:val="21"/>
          <w:highlight w:val="none"/>
        </w:rPr>
        <w:t>3.</w:t>
      </w:r>
      <w:r>
        <w:rPr>
          <w:rFonts w:hint="eastAsia" w:ascii="宋体" w:hAnsi="宋体"/>
          <w:color w:val="auto"/>
          <w:szCs w:val="21"/>
          <w:highlight w:val="none"/>
          <w:lang w:val="en-US" w:eastAsia="zh-CN"/>
        </w:rPr>
        <w:t>2</w:t>
      </w:r>
      <w:r>
        <w:rPr>
          <w:rFonts w:hint="eastAsia" w:ascii="宋体" w:hAnsi="宋体" w:eastAsia="宋体" w:cs="Times New Roman"/>
          <w:color w:val="auto"/>
          <w:szCs w:val="21"/>
        </w:rPr>
        <w:t>单位负责人为同一人或者存在直接控股、管理关系的不同供应商，不得参加同一合同项下的政府采购活动</w:t>
      </w:r>
      <w:r>
        <w:rPr>
          <w:rFonts w:hint="eastAsia" w:ascii="宋体" w:hAnsi="宋体" w:eastAsia="宋体" w:cs="Times New Roman"/>
          <w:color w:val="auto"/>
          <w:szCs w:val="21"/>
          <w:lang w:eastAsia="zh-CN"/>
        </w:rPr>
        <w:t>；</w:t>
      </w:r>
      <w:r>
        <w:rPr>
          <w:rFonts w:hint="eastAsia" w:ascii="宋体" w:hAnsi="宋体" w:eastAsia="宋体" w:cs="Times New Roman"/>
          <w:color w:val="auto"/>
          <w:szCs w:val="21"/>
        </w:rPr>
        <w:t>为采购项目提供整体设计、规范编制或者项目管理、监理、检测等服务的投标人，不得再参加</w:t>
      </w:r>
      <w:r>
        <w:rPr>
          <w:rFonts w:hint="eastAsia" w:ascii="宋体" w:hAnsi="宋体" w:eastAsia="宋体" w:cs="Times New Roman"/>
          <w:color w:val="auto"/>
          <w:szCs w:val="21"/>
          <w:lang w:val="en-US" w:eastAsia="zh-CN"/>
        </w:rPr>
        <w:t>本</w:t>
      </w:r>
      <w:r>
        <w:rPr>
          <w:rFonts w:hint="eastAsia" w:ascii="宋体" w:hAnsi="宋体" w:eastAsia="宋体" w:cs="Times New Roman"/>
          <w:color w:val="auto"/>
          <w:szCs w:val="21"/>
        </w:rPr>
        <w:t>项目的采购活动</w:t>
      </w:r>
      <w:r>
        <w:rPr>
          <w:rFonts w:hint="eastAsia" w:ascii="宋体" w:hAnsi="宋体"/>
          <w:color w:val="auto"/>
          <w:szCs w:val="21"/>
          <w:highlight w:val="none"/>
          <w:lang w:eastAsia="zh-CN"/>
        </w:rPr>
        <w:t>；</w:t>
      </w:r>
    </w:p>
    <w:p w14:paraId="2F4247A4">
      <w:pPr>
        <w:spacing w:line="360" w:lineRule="auto"/>
        <w:ind w:firstLine="420" w:firstLineChars="200"/>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3.3</w:t>
      </w:r>
      <w:r>
        <w:rPr>
          <w:rFonts w:hint="eastAsia" w:ascii="宋体" w:hAnsi="宋体"/>
          <w:color w:val="auto"/>
          <w:szCs w:val="21"/>
          <w:highlight w:val="none"/>
        </w:rPr>
        <w:t>本项目不接受联合体投标。</w:t>
      </w:r>
      <w:bookmarkEnd w:id="21"/>
    </w:p>
    <w:bookmarkEnd w:id="22"/>
    <w:bookmarkEnd w:id="23"/>
    <w:p w14:paraId="52596AE9">
      <w:pPr>
        <w:keepNext/>
        <w:tabs>
          <w:tab w:val="left" w:pos="1021"/>
        </w:tabs>
        <w:adjustRightInd w:val="0"/>
        <w:spacing w:before="120" w:line="460" w:lineRule="exact"/>
        <w:ind w:left="425"/>
        <w:textAlignment w:val="baseline"/>
        <w:outlineLvl w:val="1"/>
        <w:rPr>
          <w:rFonts w:ascii="宋体" w:hAnsi="宋体"/>
          <w:b/>
          <w:bCs/>
          <w:color w:val="auto"/>
          <w:kern w:val="0"/>
          <w:szCs w:val="21"/>
          <w:highlight w:val="none"/>
        </w:rPr>
      </w:pPr>
      <w:bookmarkStart w:id="25" w:name="_Toc71666329"/>
      <w:bookmarkStart w:id="26" w:name="_Toc35393623"/>
      <w:bookmarkStart w:id="27" w:name="_Toc35393792"/>
      <w:bookmarkStart w:id="28" w:name="_Toc44950990"/>
      <w:r>
        <w:rPr>
          <w:rFonts w:hint="eastAsia" w:ascii="宋体" w:hAnsi="宋体"/>
          <w:b/>
          <w:bCs/>
          <w:color w:val="auto"/>
          <w:kern w:val="0"/>
          <w:szCs w:val="21"/>
          <w:highlight w:val="none"/>
        </w:rPr>
        <w:t>三、获取招标文件</w:t>
      </w:r>
      <w:bookmarkEnd w:id="12"/>
      <w:bookmarkEnd w:id="13"/>
      <w:bookmarkEnd w:id="25"/>
      <w:bookmarkEnd w:id="26"/>
      <w:bookmarkEnd w:id="27"/>
      <w:bookmarkEnd w:id="28"/>
    </w:p>
    <w:p w14:paraId="71652C30">
      <w:pPr>
        <w:spacing w:line="360" w:lineRule="auto"/>
        <w:ind w:firstLine="540"/>
        <w:rPr>
          <w:rFonts w:ascii="宋体" w:hAnsi="宋体" w:cs="宋体"/>
          <w:color w:val="auto"/>
          <w:szCs w:val="21"/>
          <w:highlight w:val="none"/>
        </w:rPr>
      </w:pPr>
      <w:r>
        <w:rPr>
          <w:rFonts w:hint="eastAsia" w:ascii="宋体" w:hAnsi="宋体" w:cs="宋体"/>
          <w:color w:val="auto"/>
          <w:szCs w:val="21"/>
          <w:highlight w:val="none"/>
        </w:rPr>
        <w:t>时间：</w:t>
      </w:r>
      <w:r>
        <w:rPr>
          <w:rFonts w:hint="eastAsia" w:ascii="宋体" w:hAnsi="宋体" w:cs="宋体"/>
          <w:b/>
          <w:bCs/>
          <w:color w:val="auto"/>
          <w:szCs w:val="21"/>
          <w:highlight w:val="none"/>
          <w:u w:val="single"/>
        </w:rPr>
        <w:t>202</w:t>
      </w:r>
      <w:r>
        <w:rPr>
          <w:rFonts w:hint="eastAsia" w:ascii="宋体" w:hAnsi="宋体" w:cs="宋体"/>
          <w:b/>
          <w:bCs/>
          <w:color w:val="auto"/>
          <w:szCs w:val="21"/>
          <w:highlight w:val="none"/>
          <w:u w:val="single"/>
          <w:lang w:val="en-US" w:eastAsia="zh-CN"/>
        </w:rPr>
        <w:t>5</w:t>
      </w:r>
      <w:r>
        <w:rPr>
          <w:rFonts w:hint="eastAsia" w:ascii="宋体" w:hAnsi="宋体" w:cs="宋体"/>
          <w:b/>
          <w:bCs/>
          <w:color w:val="auto"/>
          <w:szCs w:val="21"/>
          <w:highlight w:val="none"/>
          <w:u w:val="single"/>
        </w:rPr>
        <w:t>年</w:t>
      </w:r>
      <w:r>
        <w:rPr>
          <w:rFonts w:hint="eastAsia" w:ascii="宋体" w:hAnsi="宋体" w:cs="宋体"/>
          <w:b/>
          <w:bCs/>
          <w:color w:val="auto"/>
          <w:szCs w:val="21"/>
          <w:highlight w:val="none"/>
          <w:u w:val="single"/>
          <w:lang w:val="en-US" w:eastAsia="zh-CN"/>
        </w:rPr>
        <w:t>10</w:t>
      </w:r>
      <w:r>
        <w:rPr>
          <w:rFonts w:hint="eastAsia" w:ascii="宋体" w:hAnsi="宋体" w:cs="宋体"/>
          <w:b/>
          <w:bCs/>
          <w:color w:val="auto"/>
          <w:szCs w:val="21"/>
          <w:highlight w:val="none"/>
          <w:u w:val="single"/>
        </w:rPr>
        <w:t>月</w:t>
      </w:r>
      <w:r>
        <w:rPr>
          <w:rFonts w:hint="eastAsia" w:ascii="宋体" w:hAnsi="宋体" w:cs="宋体"/>
          <w:b/>
          <w:bCs/>
          <w:color w:val="auto"/>
          <w:szCs w:val="21"/>
          <w:highlight w:val="none"/>
          <w:u w:val="single"/>
          <w:lang w:val="en-US" w:eastAsia="zh-CN"/>
        </w:rPr>
        <w:t>23</w:t>
      </w:r>
      <w:r>
        <w:rPr>
          <w:rFonts w:hint="eastAsia" w:ascii="宋体" w:hAnsi="宋体" w:cs="宋体"/>
          <w:b/>
          <w:bCs/>
          <w:color w:val="auto"/>
          <w:szCs w:val="21"/>
          <w:highlight w:val="none"/>
          <w:u w:val="single"/>
        </w:rPr>
        <w:t>日</w:t>
      </w:r>
      <w:r>
        <w:rPr>
          <w:rFonts w:hint="eastAsia" w:ascii="宋体" w:hAnsi="宋体" w:cs="宋体"/>
          <w:color w:val="auto"/>
          <w:szCs w:val="21"/>
          <w:highlight w:val="none"/>
        </w:rPr>
        <w:t>至</w:t>
      </w:r>
      <w:r>
        <w:rPr>
          <w:rFonts w:hint="eastAsia" w:ascii="宋体" w:hAnsi="宋体" w:cs="宋体"/>
          <w:b/>
          <w:bCs/>
          <w:color w:val="auto"/>
          <w:szCs w:val="21"/>
          <w:highlight w:val="none"/>
          <w:u w:val="single"/>
        </w:rPr>
        <w:t>202</w:t>
      </w:r>
      <w:r>
        <w:rPr>
          <w:rFonts w:hint="eastAsia" w:ascii="宋体" w:hAnsi="宋体" w:cs="宋体"/>
          <w:b/>
          <w:bCs/>
          <w:color w:val="auto"/>
          <w:szCs w:val="21"/>
          <w:highlight w:val="none"/>
          <w:u w:val="single"/>
          <w:lang w:val="en-US" w:eastAsia="zh-CN"/>
        </w:rPr>
        <w:t>5</w:t>
      </w:r>
      <w:r>
        <w:rPr>
          <w:rFonts w:hint="eastAsia" w:ascii="宋体" w:hAnsi="宋体" w:cs="宋体"/>
          <w:b/>
          <w:bCs/>
          <w:color w:val="auto"/>
          <w:szCs w:val="21"/>
          <w:highlight w:val="none"/>
          <w:u w:val="single"/>
        </w:rPr>
        <w:t>年</w:t>
      </w:r>
      <w:r>
        <w:rPr>
          <w:rFonts w:hint="eastAsia" w:ascii="宋体" w:hAnsi="宋体" w:cs="宋体"/>
          <w:b/>
          <w:bCs/>
          <w:color w:val="auto"/>
          <w:szCs w:val="21"/>
          <w:highlight w:val="none"/>
          <w:u w:val="single"/>
          <w:lang w:val="en-US" w:eastAsia="zh-CN"/>
        </w:rPr>
        <w:t>10</w:t>
      </w:r>
      <w:r>
        <w:rPr>
          <w:rFonts w:hint="eastAsia" w:ascii="宋体" w:hAnsi="宋体" w:cs="宋体"/>
          <w:b/>
          <w:bCs/>
          <w:color w:val="auto"/>
          <w:szCs w:val="21"/>
          <w:highlight w:val="none"/>
          <w:u w:val="single"/>
        </w:rPr>
        <w:t>月</w:t>
      </w:r>
      <w:r>
        <w:rPr>
          <w:rFonts w:hint="eastAsia" w:ascii="宋体" w:hAnsi="宋体" w:cs="宋体"/>
          <w:b/>
          <w:bCs/>
          <w:color w:val="auto"/>
          <w:szCs w:val="21"/>
          <w:highlight w:val="none"/>
          <w:u w:val="single"/>
          <w:lang w:val="en-US" w:eastAsia="zh-CN"/>
        </w:rPr>
        <w:t>30</w:t>
      </w:r>
      <w:r>
        <w:rPr>
          <w:rFonts w:hint="eastAsia" w:ascii="宋体" w:hAnsi="宋体" w:cs="宋体"/>
          <w:b/>
          <w:bCs/>
          <w:color w:val="auto"/>
          <w:szCs w:val="21"/>
          <w:highlight w:val="none"/>
          <w:u w:val="single"/>
        </w:rPr>
        <w:t>日</w:t>
      </w:r>
      <w:r>
        <w:rPr>
          <w:rFonts w:hint="eastAsia" w:ascii="宋体" w:hAnsi="宋体" w:cs="宋体"/>
          <w:color w:val="auto"/>
          <w:szCs w:val="21"/>
          <w:highlight w:val="none"/>
        </w:rPr>
        <w:t>，每天上午 0</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 xml:space="preserve">:00 至 </w:t>
      </w:r>
      <w:r>
        <w:rPr>
          <w:rFonts w:hint="eastAsia" w:ascii="宋体" w:hAnsi="宋体" w:cs="宋体"/>
          <w:color w:val="auto"/>
          <w:szCs w:val="21"/>
          <w:highlight w:val="none"/>
          <w:lang w:val="en-US" w:eastAsia="zh-CN"/>
        </w:rPr>
        <w:t>23</w:t>
      </w: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59</w:t>
      </w:r>
      <w:r>
        <w:rPr>
          <w:rFonts w:hint="eastAsia" w:ascii="宋体" w:hAnsi="宋体" w:cs="宋体"/>
          <w:color w:val="auto"/>
          <w:szCs w:val="21"/>
          <w:highlight w:val="none"/>
        </w:rPr>
        <w:t>（北京时间，</w:t>
      </w:r>
      <w:r>
        <w:rPr>
          <w:rFonts w:ascii="宋体" w:hAnsi="宋体" w:cs="宋体"/>
          <w:color w:val="auto"/>
          <w:szCs w:val="21"/>
          <w:highlight w:val="none"/>
        </w:rPr>
        <w:t>法定节假日</w:t>
      </w:r>
      <w:r>
        <w:rPr>
          <w:rFonts w:hint="eastAsia" w:ascii="宋体" w:hAnsi="宋体" w:cs="宋体"/>
          <w:color w:val="auto"/>
          <w:szCs w:val="21"/>
          <w:highlight w:val="none"/>
        </w:rPr>
        <w:t>除外）</w:t>
      </w:r>
    </w:p>
    <w:p w14:paraId="7438A6FD">
      <w:pPr>
        <w:spacing w:line="360" w:lineRule="auto"/>
        <w:ind w:firstLine="540"/>
        <w:rPr>
          <w:rFonts w:ascii="宋体" w:hAnsi="宋体"/>
          <w:color w:val="auto"/>
          <w:szCs w:val="21"/>
          <w:highlight w:val="none"/>
        </w:rPr>
      </w:pPr>
      <w:r>
        <w:rPr>
          <w:rFonts w:hint="eastAsia" w:ascii="宋体" w:hAnsi="宋体"/>
          <w:color w:val="auto"/>
          <w:szCs w:val="21"/>
          <w:highlight w:val="none"/>
        </w:rPr>
        <w:t>地点：政采云平台https://www.zcygov.cn</w:t>
      </w:r>
    </w:p>
    <w:p w14:paraId="1466F16E">
      <w:pPr>
        <w:spacing w:line="360" w:lineRule="auto"/>
        <w:ind w:firstLine="540"/>
        <w:rPr>
          <w:rFonts w:ascii="宋体" w:hAnsi="宋体" w:cs="宋体"/>
          <w:color w:val="auto"/>
          <w:szCs w:val="21"/>
          <w:highlight w:val="none"/>
          <w:u w:val="single"/>
        </w:rPr>
      </w:pPr>
      <w:r>
        <w:rPr>
          <w:rFonts w:hint="eastAsia" w:ascii="宋体" w:hAnsi="宋体" w:cs="宋体"/>
          <w:color w:val="auto"/>
          <w:szCs w:val="21"/>
          <w:highlight w:val="none"/>
        </w:rPr>
        <w:t>方式：供应商登录政采云平台https://www.zcygov.cn/在线申请获取采购文件（进入“项目采购”应用，在获取采购文件菜单中选择项目，申请获取采购文件）。</w:t>
      </w:r>
    </w:p>
    <w:p w14:paraId="2DAEA451">
      <w:pPr>
        <w:spacing w:line="360" w:lineRule="auto"/>
        <w:ind w:firstLine="540"/>
        <w:rPr>
          <w:rFonts w:ascii="宋体" w:hAnsi="宋体" w:cs="宋体"/>
          <w:color w:val="auto"/>
          <w:szCs w:val="21"/>
          <w:highlight w:val="none"/>
        </w:rPr>
      </w:pPr>
      <w:r>
        <w:rPr>
          <w:rFonts w:hint="eastAsia" w:ascii="宋体" w:hAnsi="宋体" w:cs="宋体"/>
          <w:color w:val="auto"/>
          <w:szCs w:val="21"/>
          <w:highlight w:val="none"/>
        </w:rPr>
        <w:t>售价（元/份）：0</w:t>
      </w:r>
    </w:p>
    <w:p w14:paraId="234C2008">
      <w:pPr>
        <w:keepNext/>
        <w:tabs>
          <w:tab w:val="left" w:pos="1021"/>
        </w:tabs>
        <w:adjustRightInd w:val="0"/>
        <w:spacing w:before="120" w:line="460" w:lineRule="exact"/>
        <w:ind w:left="425"/>
        <w:textAlignment w:val="baseline"/>
        <w:outlineLvl w:val="1"/>
        <w:rPr>
          <w:rFonts w:ascii="宋体" w:hAnsi="宋体"/>
          <w:b/>
          <w:bCs/>
          <w:color w:val="auto"/>
          <w:kern w:val="0"/>
          <w:szCs w:val="21"/>
          <w:highlight w:val="none"/>
        </w:rPr>
      </w:pPr>
      <w:bookmarkStart w:id="29" w:name="_Toc28359005"/>
      <w:bookmarkStart w:id="30" w:name="_Toc28359082"/>
      <w:bookmarkStart w:id="31" w:name="_Toc71666330"/>
      <w:bookmarkStart w:id="32" w:name="_Toc44950991"/>
      <w:bookmarkStart w:id="33" w:name="_Toc35393793"/>
      <w:bookmarkStart w:id="34" w:name="_Toc35393624"/>
      <w:bookmarkStart w:id="35" w:name="_Toc74753064"/>
      <w:bookmarkStart w:id="36" w:name="_Toc32450"/>
      <w:bookmarkStart w:id="37" w:name="_Toc28359016"/>
      <w:bookmarkStart w:id="38" w:name="_Toc28359093"/>
      <w:bookmarkStart w:id="39" w:name="_Toc35393633"/>
      <w:bookmarkStart w:id="40" w:name="_Toc35393802"/>
      <w:r>
        <w:rPr>
          <w:rFonts w:hint="eastAsia" w:ascii="宋体" w:hAnsi="宋体"/>
          <w:b/>
          <w:bCs/>
          <w:color w:val="auto"/>
          <w:kern w:val="0"/>
          <w:szCs w:val="21"/>
          <w:highlight w:val="none"/>
        </w:rPr>
        <w:t>四、提交投标文件</w:t>
      </w:r>
      <w:bookmarkEnd w:id="29"/>
      <w:bookmarkEnd w:id="30"/>
      <w:r>
        <w:rPr>
          <w:rFonts w:hint="eastAsia" w:ascii="宋体" w:hAnsi="宋体"/>
          <w:b/>
          <w:bCs/>
          <w:color w:val="auto"/>
          <w:kern w:val="0"/>
          <w:szCs w:val="21"/>
          <w:highlight w:val="none"/>
        </w:rPr>
        <w:t>截止时间、开标时间和地点</w:t>
      </w:r>
      <w:bookmarkEnd w:id="31"/>
      <w:bookmarkEnd w:id="32"/>
      <w:bookmarkEnd w:id="33"/>
      <w:bookmarkEnd w:id="34"/>
    </w:p>
    <w:p w14:paraId="5B047928">
      <w:pPr>
        <w:spacing w:line="360" w:lineRule="auto"/>
        <w:ind w:firstLine="420" w:firstLineChars="200"/>
        <w:rPr>
          <w:rFonts w:ascii="宋体" w:hAnsi="宋体"/>
          <w:bCs/>
          <w:color w:val="auto"/>
          <w:szCs w:val="21"/>
          <w:highlight w:val="none"/>
          <w:u w:val="single"/>
        </w:rPr>
      </w:pPr>
      <w:r>
        <w:rPr>
          <w:rFonts w:hint="eastAsia" w:ascii="宋体" w:hAnsi="宋体"/>
          <w:color w:val="auto"/>
          <w:szCs w:val="21"/>
          <w:highlight w:val="none"/>
        </w:rPr>
        <w:t>截止时间：</w:t>
      </w:r>
      <w:r>
        <w:rPr>
          <w:rFonts w:ascii="宋体" w:hAnsi="宋体"/>
          <w:b/>
          <w:bCs/>
          <w:color w:val="auto"/>
          <w:szCs w:val="21"/>
          <w:highlight w:val="none"/>
          <w:u w:val="single"/>
        </w:rPr>
        <w:t>202</w:t>
      </w:r>
      <w:r>
        <w:rPr>
          <w:rFonts w:hint="eastAsia" w:ascii="宋体" w:hAnsi="宋体"/>
          <w:b/>
          <w:bCs/>
          <w:color w:val="auto"/>
          <w:szCs w:val="21"/>
          <w:highlight w:val="none"/>
          <w:u w:val="single"/>
          <w:lang w:val="en-US" w:eastAsia="zh-CN"/>
        </w:rPr>
        <w:t>5</w:t>
      </w:r>
      <w:r>
        <w:rPr>
          <w:rFonts w:ascii="宋体" w:hAnsi="宋体"/>
          <w:b/>
          <w:bCs/>
          <w:color w:val="auto"/>
          <w:szCs w:val="21"/>
          <w:highlight w:val="none"/>
          <w:u w:val="single"/>
        </w:rPr>
        <w:t>年</w:t>
      </w:r>
      <w:r>
        <w:rPr>
          <w:rFonts w:hint="eastAsia" w:ascii="宋体" w:hAnsi="宋体"/>
          <w:b/>
          <w:bCs/>
          <w:color w:val="auto"/>
          <w:szCs w:val="21"/>
          <w:highlight w:val="none"/>
          <w:u w:val="single"/>
          <w:lang w:val="en-US" w:eastAsia="zh-CN"/>
        </w:rPr>
        <w:t>11</w:t>
      </w:r>
      <w:r>
        <w:rPr>
          <w:rFonts w:ascii="宋体" w:hAnsi="宋体"/>
          <w:b/>
          <w:bCs/>
          <w:color w:val="auto"/>
          <w:szCs w:val="21"/>
          <w:highlight w:val="none"/>
          <w:u w:val="single"/>
        </w:rPr>
        <w:t>月</w:t>
      </w:r>
      <w:r>
        <w:rPr>
          <w:rFonts w:hint="eastAsia" w:ascii="宋体" w:hAnsi="宋体"/>
          <w:b/>
          <w:bCs/>
          <w:color w:val="auto"/>
          <w:szCs w:val="21"/>
          <w:highlight w:val="none"/>
          <w:u w:val="single"/>
          <w:lang w:val="en-US" w:eastAsia="zh-CN"/>
        </w:rPr>
        <w:t>13</w:t>
      </w:r>
      <w:r>
        <w:rPr>
          <w:rFonts w:ascii="宋体" w:hAnsi="宋体"/>
          <w:b/>
          <w:bCs/>
          <w:color w:val="auto"/>
          <w:szCs w:val="21"/>
          <w:highlight w:val="none"/>
          <w:u w:val="single"/>
        </w:rPr>
        <w:t>日</w:t>
      </w:r>
      <w:r>
        <w:rPr>
          <w:rFonts w:hint="eastAsia" w:ascii="宋体" w:hAnsi="宋体"/>
          <w:b/>
          <w:bCs/>
          <w:color w:val="auto"/>
          <w:szCs w:val="21"/>
          <w:highlight w:val="none"/>
          <w:u w:val="single"/>
          <w:lang w:val="en-US" w:eastAsia="zh-CN"/>
        </w:rPr>
        <w:t>14</w:t>
      </w:r>
      <w:r>
        <w:rPr>
          <w:rFonts w:ascii="宋体" w:hAnsi="宋体"/>
          <w:b/>
          <w:bCs/>
          <w:color w:val="auto"/>
          <w:szCs w:val="21"/>
          <w:highlight w:val="none"/>
          <w:u w:val="single"/>
        </w:rPr>
        <w:t>时</w:t>
      </w:r>
      <w:r>
        <w:rPr>
          <w:rFonts w:hint="eastAsia" w:ascii="宋体" w:hAnsi="宋体"/>
          <w:b/>
          <w:bCs/>
          <w:color w:val="auto"/>
          <w:szCs w:val="21"/>
          <w:highlight w:val="none"/>
          <w:u w:val="single"/>
          <w:lang w:val="en-US" w:eastAsia="zh-CN"/>
        </w:rPr>
        <w:t>30</w:t>
      </w:r>
      <w:r>
        <w:rPr>
          <w:rFonts w:ascii="宋体" w:hAnsi="宋体"/>
          <w:b/>
          <w:bCs/>
          <w:color w:val="auto"/>
          <w:szCs w:val="21"/>
          <w:highlight w:val="none"/>
          <w:u w:val="single"/>
        </w:rPr>
        <w:t>分</w:t>
      </w:r>
      <w:r>
        <w:rPr>
          <w:rFonts w:hint="eastAsia" w:ascii="宋体" w:hAnsi="宋体"/>
          <w:bCs/>
          <w:color w:val="auto"/>
          <w:szCs w:val="21"/>
          <w:highlight w:val="none"/>
        </w:rPr>
        <w:t>（北京时间）</w:t>
      </w:r>
    </w:p>
    <w:p w14:paraId="1172A627">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地点：</w:t>
      </w:r>
      <w:r>
        <w:rPr>
          <w:rFonts w:hint="eastAsia" w:ascii="宋体" w:hAnsi="宋体"/>
          <w:b/>
          <w:bCs/>
          <w:color w:val="auto"/>
          <w:szCs w:val="21"/>
          <w:highlight w:val="none"/>
          <w:u w:val="single"/>
        </w:rPr>
        <w:t>通过“政采云”平台在线提交（政采云平台</w:t>
      </w:r>
      <w:r>
        <w:rPr>
          <w:color w:val="auto"/>
          <w:highlight w:val="none"/>
        </w:rPr>
        <w:fldChar w:fldCharType="begin"/>
      </w:r>
      <w:r>
        <w:rPr>
          <w:color w:val="auto"/>
          <w:highlight w:val="none"/>
        </w:rPr>
        <w:instrText xml:space="preserve"> HYPERLINK "https://www.zcygov.cn/%E4%B8%8D%E8%A7%81%E9%9D%A2%E5%BC%80%E6%A0%87%E5%A4%A7%E5%8E%85%EF%BC%89" </w:instrText>
      </w:r>
      <w:r>
        <w:rPr>
          <w:color w:val="auto"/>
          <w:highlight w:val="none"/>
        </w:rPr>
        <w:fldChar w:fldCharType="separate"/>
      </w:r>
      <w:r>
        <w:rPr>
          <w:rFonts w:hint="eastAsia" w:ascii="宋体" w:hAnsi="宋体"/>
          <w:b/>
          <w:bCs/>
          <w:color w:val="auto"/>
          <w:szCs w:val="21"/>
          <w:highlight w:val="none"/>
          <w:u w:val="single"/>
        </w:rPr>
        <w:t>https://www.zcygov.cn/）</w:t>
      </w:r>
      <w:r>
        <w:rPr>
          <w:rFonts w:hint="eastAsia" w:ascii="宋体" w:hAnsi="宋体"/>
          <w:b/>
          <w:bCs/>
          <w:color w:val="auto"/>
          <w:szCs w:val="21"/>
          <w:highlight w:val="none"/>
          <w:u w:val="single"/>
        </w:rPr>
        <w:fldChar w:fldCharType="end"/>
      </w:r>
      <w:r>
        <w:rPr>
          <w:rFonts w:hint="eastAsia" w:ascii="宋体" w:hAnsi="宋体"/>
          <w:b/>
          <w:bCs/>
          <w:color w:val="auto"/>
          <w:szCs w:val="21"/>
          <w:highlight w:val="none"/>
          <w:u w:val="single"/>
        </w:rPr>
        <w:t>。</w:t>
      </w:r>
    </w:p>
    <w:p w14:paraId="30072B32">
      <w:pPr>
        <w:keepNext/>
        <w:tabs>
          <w:tab w:val="left" w:pos="1021"/>
        </w:tabs>
        <w:adjustRightInd w:val="0"/>
        <w:spacing w:before="120" w:line="460" w:lineRule="exact"/>
        <w:ind w:left="425"/>
        <w:textAlignment w:val="baseline"/>
        <w:outlineLvl w:val="1"/>
        <w:rPr>
          <w:rFonts w:ascii="宋体" w:hAnsi="宋体"/>
          <w:b/>
          <w:bCs/>
          <w:color w:val="auto"/>
          <w:kern w:val="0"/>
          <w:szCs w:val="21"/>
          <w:highlight w:val="none"/>
        </w:rPr>
      </w:pPr>
      <w:bookmarkStart w:id="41" w:name="_Toc35393625"/>
      <w:bookmarkStart w:id="42" w:name="_Toc28359007"/>
      <w:bookmarkStart w:id="43" w:name="_Toc28359084"/>
      <w:bookmarkStart w:id="44" w:name="_Toc44950992"/>
      <w:bookmarkStart w:id="45" w:name="_Toc71666331"/>
      <w:bookmarkStart w:id="46" w:name="_Toc35393794"/>
      <w:r>
        <w:rPr>
          <w:rFonts w:hint="eastAsia" w:ascii="宋体" w:hAnsi="宋体"/>
          <w:b/>
          <w:bCs/>
          <w:color w:val="auto"/>
          <w:kern w:val="0"/>
          <w:szCs w:val="21"/>
          <w:highlight w:val="none"/>
        </w:rPr>
        <w:t>五、公告期限</w:t>
      </w:r>
      <w:bookmarkEnd w:id="41"/>
      <w:bookmarkEnd w:id="42"/>
      <w:bookmarkEnd w:id="43"/>
      <w:bookmarkEnd w:id="44"/>
      <w:bookmarkEnd w:id="45"/>
      <w:bookmarkEnd w:id="46"/>
    </w:p>
    <w:p w14:paraId="6C85DE62">
      <w:pPr>
        <w:spacing w:line="360" w:lineRule="auto"/>
        <w:ind w:firstLine="540"/>
        <w:rPr>
          <w:rFonts w:ascii="宋体" w:hAnsi="宋体"/>
          <w:color w:val="auto"/>
          <w:szCs w:val="21"/>
          <w:highlight w:val="none"/>
        </w:rPr>
      </w:pPr>
      <w:r>
        <w:rPr>
          <w:rFonts w:hint="eastAsia" w:ascii="宋体" w:hAnsi="宋体"/>
          <w:color w:val="auto"/>
          <w:szCs w:val="21"/>
          <w:highlight w:val="none"/>
        </w:rPr>
        <w:t>自本公告发布之日起5个工作日。</w:t>
      </w:r>
    </w:p>
    <w:bookmarkEnd w:id="35"/>
    <w:bookmarkEnd w:id="36"/>
    <w:bookmarkEnd w:id="37"/>
    <w:bookmarkEnd w:id="38"/>
    <w:bookmarkEnd w:id="39"/>
    <w:bookmarkEnd w:id="40"/>
    <w:p w14:paraId="09E33B9E">
      <w:pPr>
        <w:keepNext/>
        <w:tabs>
          <w:tab w:val="left" w:pos="1021"/>
        </w:tabs>
        <w:adjustRightInd w:val="0"/>
        <w:spacing w:before="120" w:line="460" w:lineRule="exact"/>
        <w:ind w:left="425"/>
        <w:textAlignment w:val="baseline"/>
        <w:outlineLvl w:val="1"/>
        <w:rPr>
          <w:rFonts w:ascii="宋体" w:hAnsi="宋体"/>
          <w:b/>
          <w:bCs/>
          <w:color w:val="auto"/>
          <w:kern w:val="0"/>
          <w:szCs w:val="21"/>
          <w:highlight w:val="none"/>
        </w:rPr>
      </w:pPr>
      <w:bookmarkStart w:id="47" w:name="_Toc35393795"/>
      <w:bookmarkStart w:id="48" w:name="_Toc71666332"/>
      <w:bookmarkStart w:id="49" w:name="_Toc35393626"/>
      <w:bookmarkStart w:id="50" w:name="_Toc44950993"/>
      <w:r>
        <w:rPr>
          <w:rFonts w:hint="eastAsia" w:ascii="宋体" w:hAnsi="宋体"/>
          <w:b/>
          <w:bCs/>
          <w:color w:val="auto"/>
          <w:kern w:val="0"/>
          <w:szCs w:val="21"/>
          <w:highlight w:val="none"/>
        </w:rPr>
        <w:t>六、其他补充事宜</w:t>
      </w:r>
      <w:bookmarkEnd w:id="47"/>
      <w:bookmarkEnd w:id="48"/>
      <w:bookmarkEnd w:id="49"/>
      <w:bookmarkEnd w:id="50"/>
    </w:p>
    <w:p w14:paraId="19CF74C0">
      <w:pPr>
        <w:spacing w:line="360" w:lineRule="auto"/>
        <w:ind w:firstLine="420" w:firstLineChars="200"/>
        <w:rPr>
          <w:rFonts w:ascii="宋体" w:hAnsi="宋体"/>
          <w:color w:val="auto"/>
          <w:szCs w:val="21"/>
          <w:highlight w:val="none"/>
        </w:rPr>
      </w:pPr>
      <w:bookmarkStart w:id="51" w:name="_Hlk46483819"/>
      <w:r>
        <w:rPr>
          <w:rFonts w:ascii="宋体" w:hAnsi="宋体" w:cs="Segoe UI Symbol"/>
          <w:color w:val="auto"/>
          <w:szCs w:val="21"/>
          <w:highlight w:val="none"/>
        </w:rPr>
        <w:t>1.</w:t>
      </w:r>
      <w:bookmarkEnd w:id="51"/>
      <w:r>
        <w:rPr>
          <w:rFonts w:hint="eastAsia" w:ascii="宋体" w:hAnsi="宋体"/>
          <w:color w:val="auto"/>
          <w:szCs w:val="21"/>
          <w:highlight w:val="none"/>
          <w:lang w:val="en-US" w:eastAsia="zh-CN"/>
        </w:rPr>
        <w:t>服务地点</w:t>
      </w:r>
      <w:r>
        <w:rPr>
          <w:rFonts w:ascii="宋体" w:hAnsi="宋体"/>
          <w:color w:val="auto"/>
          <w:szCs w:val="21"/>
          <w:highlight w:val="none"/>
        </w:rPr>
        <w:t>：</w:t>
      </w:r>
      <w:r>
        <w:rPr>
          <w:rFonts w:hint="eastAsia" w:ascii="宋体" w:hAnsi="宋体"/>
          <w:color w:val="auto"/>
          <w:szCs w:val="21"/>
          <w:highlight w:val="none"/>
          <w:lang w:val="en-US" w:eastAsia="zh-CN"/>
        </w:rPr>
        <w:t>昆明市</w:t>
      </w: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采购人指定地点）</w:t>
      </w:r>
      <w:r>
        <w:rPr>
          <w:rFonts w:ascii="宋体" w:hAnsi="宋体"/>
          <w:color w:val="auto"/>
          <w:szCs w:val="21"/>
          <w:highlight w:val="none"/>
        </w:rPr>
        <w:t>。</w:t>
      </w:r>
    </w:p>
    <w:p w14:paraId="004A6516">
      <w:pPr>
        <w:spacing w:line="360" w:lineRule="auto"/>
        <w:ind w:firstLine="420" w:firstLineChars="200"/>
        <w:rPr>
          <w:rFonts w:hint="eastAsia" w:ascii="宋体" w:hAnsi="宋体"/>
          <w:color w:val="auto"/>
          <w:szCs w:val="21"/>
          <w:highlight w:val="none"/>
        </w:rPr>
      </w:pPr>
      <w:r>
        <w:rPr>
          <w:rFonts w:hint="eastAsia" w:ascii="宋体" w:hAnsi="宋体" w:cs="Segoe UI Symbol"/>
          <w:color w:val="auto"/>
          <w:szCs w:val="21"/>
          <w:highlight w:val="none"/>
        </w:rPr>
        <w:t>2</w:t>
      </w:r>
      <w:r>
        <w:rPr>
          <w:rFonts w:ascii="宋体" w:hAnsi="宋体" w:cs="Segoe UI Symbol"/>
          <w:color w:val="auto"/>
          <w:szCs w:val="21"/>
          <w:highlight w:val="none"/>
        </w:rPr>
        <w:t>.</w:t>
      </w:r>
      <w:r>
        <w:rPr>
          <w:rFonts w:ascii="宋体" w:hAnsi="宋体"/>
          <w:color w:val="auto"/>
          <w:szCs w:val="21"/>
          <w:highlight w:val="none"/>
        </w:rPr>
        <w:t>质量</w:t>
      </w:r>
      <w:r>
        <w:rPr>
          <w:rFonts w:hint="eastAsia" w:ascii="宋体" w:hAnsi="宋体"/>
          <w:color w:val="auto"/>
          <w:szCs w:val="21"/>
          <w:highlight w:val="none"/>
          <w:lang w:val="en-US" w:eastAsia="zh-CN"/>
        </w:rPr>
        <w:t>标准</w:t>
      </w:r>
      <w:r>
        <w:rPr>
          <w:rFonts w:ascii="宋体" w:hAnsi="宋体"/>
          <w:color w:val="auto"/>
          <w:szCs w:val="21"/>
          <w:highlight w:val="none"/>
        </w:rPr>
        <w:t>：</w:t>
      </w:r>
      <w:r>
        <w:rPr>
          <w:rFonts w:hint="eastAsia" w:ascii="宋体" w:hAnsi="宋体" w:cs="宋体"/>
          <w:color w:val="auto"/>
          <w:sz w:val="21"/>
          <w:szCs w:val="21"/>
          <w:highlight w:val="none"/>
          <w:lang w:eastAsia="zh-CN"/>
        </w:rPr>
        <w:t>满足国家相关法律法规规定及行业相关标准规范及采购人服务要求</w:t>
      </w:r>
      <w:r>
        <w:rPr>
          <w:rFonts w:ascii="宋体" w:hAnsi="宋体"/>
          <w:color w:val="auto"/>
          <w:szCs w:val="21"/>
          <w:highlight w:val="none"/>
        </w:rPr>
        <w:t>。</w:t>
      </w:r>
    </w:p>
    <w:p w14:paraId="613E47B8">
      <w:pPr>
        <w:spacing w:line="360" w:lineRule="auto"/>
        <w:ind w:firstLine="420" w:firstLineChars="200"/>
        <w:rPr>
          <w:rFonts w:hint="eastAsia" w:ascii="Times New Roman" w:hAnsi="Times New Roman" w:eastAsia="宋体" w:cs="Times New Roman"/>
          <w:color w:val="auto"/>
        </w:rPr>
      </w:pPr>
      <w:r>
        <w:rPr>
          <w:rFonts w:hint="eastAsia" w:ascii="宋体" w:hAnsi="宋体"/>
          <w:color w:val="auto"/>
          <w:szCs w:val="21"/>
          <w:lang w:val="en-US" w:eastAsia="zh-CN"/>
        </w:rPr>
        <w:t>3</w:t>
      </w:r>
      <w:r>
        <w:rPr>
          <w:rFonts w:hint="eastAsia" w:ascii="宋体" w:hAnsi="宋体"/>
          <w:color w:val="auto"/>
          <w:szCs w:val="21"/>
        </w:rPr>
        <w:t>.</w:t>
      </w:r>
      <w:r>
        <w:rPr>
          <w:rFonts w:hint="eastAsia"/>
          <w:color w:val="auto"/>
          <w:lang w:val="en-US" w:eastAsia="zh-CN"/>
        </w:rPr>
        <w:t>投标</w:t>
      </w:r>
      <w:r>
        <w:rPr>
          <w:rFonts w:hint="eastAsia"/>
          <w:color w:val="auto"/>
        </w:rPr>
        <w:t>文件</w:t>
      </w:r>
      <w:r>
        <w:rPr>
          <w:rFonts w:hint="eastAsia" w:ascii="Times New Roman" w:hAnsi="Times New Roman" w:eastAsia="宋体" w:cs="Times New Roman"/>
          <w:color w:val="auto"/>
          <w:lang w:eastAsia="zh-CN"/>
        </w:rPr>
        <w:t>（</w:t>
      </w:r>
      <w:r>
        <w:rPr>
          <w:rFonts w:hint="eastAsia" w:ascii="Times New Roman" w:hAnsi="Times New Roman" w:eastAsia="宋体" w:cs="Times New Roman"/>
          <w:color w:val="auto"/>
          <w:lang w:val="en-US" w:eastAsia="zh-CN"/>
        </w:rPr>
        <w:t>响应文件）</w:t>
      </w:r>
      <w:r>
        <w:rPr>
          <w:rFonts w:hint="eastAsia"/>
          <w:color w:val="auto"/>
        </w:rPr>
        <w:t>的递交--网上递交：网上递交网址为政采云平台（https://www.zcygov.cn/），各</w:t>
      </w:r>
      <w:r>
        <w:rPr>
          <w:rFonts w:hint="eastAsia"/>
          <w:color w:val="auto"/>
          <w:lang w:val="en-US" w:eastAsia="zh-CN"/>
        </w:rPr>
        <w:t>投标人</w:t>
      </w:r>
      <w:r>
        <w:rPr>
          <w:rFonts w:hint="eastAsia"/>
          <w:color w:val="auto"/>
        </w:rPr>
        <w:t>应在开标前应确保成为政采云平台供应商，并完成CA数字证书申领。因未注册入库、未办理CA数字证书等原因造成无法投标或投标失败等后果由供应商自行承担。供应商须在投标截止时间前完成</w:t>
      </w:r>
      <w:r>
        <w:rPr>
          <w:rFonts w:hint="eastAsia"/>
          <w:color w:val="auto"/>
          <w:lang w:val="en-US" w:eastAsia="zh-CN"/>
        </w:rPr>
        <w:t>投标</w:t>
      </w:r>
      <w:r>
        <w:rPr>
          <w:rFonts w:hint="eastAsia"/>
          <w:color w:val="auto"/>
        </w:rPr>
        <w:t>文件</w:t>
      </w:r>
      <w:r>
        <w:rPr>
          <w:rFonts w:hint="eastAsia" w:ascii="Times New Roman" w:hAnsi="Times New Roman" w:eastAsia="宋体" w:cs="Times New Roman"/>
          <w:color w:val="auto"/>
          <w:lang w:eastAsia="zh-CN"/>
        </w:rPr>
        <w:t>（</w:t>
      </w:r>
      <w:r>
        <w:rPr>
          <w:rFonts w:hint="eastAsia" w:ascii="Times New Roman" w:hAnsi="Times New Roman" w:eastAsia="宋体" w:cs="Times New Roman"/>
          <w:color w:val="auto"/>
          <w:lang w:val="en-US" w:eastAsia="zh-CN"/>
        </w:rPr>
        <w:t>响应文件）</w:t>
      </w:r>
      <w:r>
        <w:rPr>
          <w:rFonts w:hint="eastAsia"/>
          <w:color w:val="auto"/>
        </w:rPr>
        <w:t>的电子签章、加密及上传，投标截止时间前未完成</w:t>
      </w:r>
      <w:r>
        <w:rPr>
          <w:rFonts w:hint="eastAsia"/>
          <w:color w:val="auto"/>
          <w:lang w:val="en-US" w:eastAsia="zh-CN"/>
        </w:rPr>
        <w:t>投标</w:t>
      </w:r>
      <w:r>
        <w:rPr>
          <w:rFonts w:hint="eastAsia"/>
          <w:color w:val="auto"/>
        </w:rPr>
        <w:t>文件上传的，视为撤回</w:t>
      </w:r>
      <w:r>
        <w:rPr>
          <w:rFonts w:hint="eastAsia" w:ascii="Times New Roman" w:hAnsi="Times New Roman" w:eastAsia="宋体" w:cs="Times New Roman"/>
          <w:color w:val="auto"/>
        </w:rPr>
        <w:t>投标</w:t>
      </w:r>
      <w:r>
        <w:rPr>
          <w:rFonts w:hint="eastAsia" w:ascii="Times New Roman" w:hAnsi="Times New Roman" w:eastAsia="宋体" w:cs="Times New Roman"/>
          <w:color w:val="auto"/>
          <w:lang w:val="en-US" w:eastAsia="zh-CN"/>
        </w:rPr>
        <w:t>文件</w:t>
      </w:r>
      <w:bookmarkStart w:id="52" w:name="OLE_LINK9"/>
      <w:r>
        <w:rPr>
          <w:rFonts w:hint="eastAsia" w:ascii="Times New Roman" w:hAnsi="Times New Roman" w:eastAsia="宋体" w:cs="Times New Roman"/>
          <w:color w:val="auto"/>
          <w:lang w:eastAsia="zh-CN"/>
        </w:rPr>
        <w:t>（</w:t>
      </w:r>
      <w:r>
        <w:rPr>
          <w:rFonts w:hint="eastAsia" w:ascii="Times New Roman" w:hAnsi="Times New Roman" w:eastAsia="宋体" w:cs="Times New Roman"/>
          <w:color w:val="auto"/>
          <w:lang w:val="en-US" w:eastAsia="zh-CN"/>
        </w:rPr>
        <w:t>响应文件）</w:t>
      </w:r>
      <w:bookmarkEnd w:id="52"/>
      <w:r>
        <w:rPr>
          <w:rFonts w:hint="eastAsia"/>
          <w:color w:val="auto"/>
        </w:rPr>
        <w:t>。若供应商未在规定时间完成解密的（如：无法解密、网络故障、未安装相关驱动、浏览器故障、加密CA与解密CA不一致等），则视为撤销其</w:t>
      </w:r>
      <w:r>
        <w:rPr>
          <w:rFonts w:hint="eastAsia" w:ascii="Times New Roman" w:hAnsi="Times New Roman" w:eastAsia="宋体" w:cs="Times New Roman"/>
          <w:color w:val="auto"/>
        </w:rPr>
        <w:t>投标</w:t>
      </w:r>
      <w:r>
        <w:rPr>
          <w:rFonts w:hint="eastAsia" w:ascii="Times New Roman" w:hAnsi="Times New Roman" w:eastAsia="宋体" w:cs="Times New Roman"/>
          <w:color w:val="auto"/>
          <w:lang w:val="en-US" w:eastAsia="zh-CN"/>
        </w:rPr>
        <w:t>文件</w:t>
      </w:r>
      <w:r>
        <w:rPr>
          <w:rFonts w:hint="eastAsia" w:ascii="Times New Roman" w:hAnsi="Times New Roman" w:eastAsia="宋体" w:cs="Times New Roman"/>
          <w:color w:val="auto"/>
          <w:lang w:eastAsia="zh-CN"/>
        </w:rPr>
        <w:t>（</w:t>
      </w:r>
      <w:r>
        <w:rPr>
          <w:rFonts w:hint="eastAsia" w:ascii="Times New Roman" w:hAnsi="Times New Roman" w:eastAsia="宋体" w:cs="Times New Roman"/>
          <w:color w:val="auto"/>
          <w:lang w:val="en-US" w:eastAsia="zh-CN"/>
        </w:rPr>
        <w:t>响应文件）</w:t>
      </w:r>
      <w:r>
        <w:rPr>
          <w:rFonts w:hint="eastAsia"/>
          <w:color w:val="auto"/>
        </w:rPr>
        <w:t>，不再进入评标阶段。开标过程中如有问题，可以发起在线异议，由代理机构给予对应的回复，在规定的异议询问时间内未提出异</w:t>
      </w:r>
      <w:r>
        <w:rPr>
          <w:rFonts w:hint="eastAsia" w:ascii="Times New Roman" w:hAnsi="Times New Roman" w:eastAsia="宋体" w:cs="Times New Roman"/>
          <w:color w:val="auto"/>
        </w:rPr>
        <w:t xml:space="preserve">议的，则视为对开标结果无异议。 </w:t>
      </w:r>
    </w:p>
    <w:p w14:paraId="1C1EF7E3">
      <w:pPr>
        <w:spacing w:line="360" w:lineRule="auto"/>
        <w:ind w:firstLine="420" w:firstLineChars="200"/>
        <w:rPr>
          <w:rFonts w:hint="eastAsia" w:ascii="Times New Roman" w:hAnsi="Times New Roman" w:eastAsia="宋体" w:cs="Times New Roman"/>
          <w:color w:val="auto"/>
        </w:rPr>
      </w:pPr>
      <w:r>
        <w:rPr>
          <w:rFonts w:hint="eastAsia" w:ascii="宋体" w:hAnsi="宋体" w:eastAsia="宋体" w:cs="Times New Roman"/>
          <w:color w:val="auto"/>
          <w:szCs w:val="21"/>
          <w:lang w:val="en-US" w:eastAsia="zh-CN"/>
        </w:rPr>
        <w:t>4.本项</w:t>
      </w:r>
      <w:r>
        <w:rPr>
          <w:rFonts w:hint="eastAsia" w:ascii="Times New Roman" w:hAnsi="Times New Roman" w:eastAsia="宋体" w:cs="Times New Roman"/>
          <w:color w:val="auto"/>
        </w:rPr>
        <w:t>目实行网上开标。供应商登陆“政采云”开标大厅，在采购人或采购代理机构宣布开启电子投标</w:t>
      </w:r>
      <w:r>
        <w:rPr>
          <w:rFonts w:hint="eastAsia" w:ascii="Times New Roman" w:hAnsi="Times New Roman" w:eastAsia="宋体" w:cs="Times New Roman"/>
          <w:color w:val="auto"/>
          <w:lang w:val="en-US" w:eastAsia="zh-CN"/>
        </w:rPr>
        <w:t>文件</w:t>
      </w:r>
      <w:r>
        <w:rPr>
          <w:rFonts w:hint="eastAsia" w:ascii="Times New Roman" w:hAnsi="Times New Roman" w:eastAsia="宋体" w:cs="Times New Roman"/>
          <w:color w:val="auto"/>
          <w:lang w:eastAsia="zh-CN"/>
        </w:rPr>
        <w:t>（</w:t>
      </w:r>
      <w:r>
        <w:rPr>
          <w:rFonts w:hint="eastAsia" w:ascii="Times New Roman" w:hAnsi="Times New Roman" w:eastAsia="宋体" w:cs="Times New Roman"/>
          <w:color w:val="auto"/>
          <w:lang w:val="en-US" w:eastAsia="zh-CN"/>
        </w:rPr>
        <w:t>响应文件）</w:t>
      </w:r>
      <w:r>
        <w:rPr>
          <w:rFonts w:hint="eastAsia" w:ascii="Times New Roman" w:hAnsi="Times New Roman" w:eastAsia="宋体" w:cs="Times New Roman"/>
          <w:color w:val="auto"/>
        </w:rPr>
        <w:t>件后，使用编制投标</w:t>
      </w:r>
      <w:r>
        <w:rPr>
          <w:rFonts w:hint="eastAsia" w:ascii="Times New Roman" w:hAnsi="Times New Roman" w:eastAsia="宋体" w:cs="Times New Roman"/>
          <w:color w:val="auto"/>
          <w:lang w:val="en-US" w:eastAsia="zh-CN"/>
        </w:rPr>
        <w:t>文件</w:t>
      </w:r>
      <w:r>
        <w:rPr>
          <w:rFonts w:hint="eastAsia" w:ascii="Times New Roman" w:hAnsi="Times New Roman" w:eastAsia="宋体" w:cs="Times New Roman"/>
          <w:color w:val="auto"/>
          <w:lang w:eastAsia="zh-CN"/>
        </w:rPr>
        <w:t>（</w:t>
      </w:r>
      <w:r>
        <w:rPr>
          <w:rFonts w:hint="eastAsia" w:ascii="Times New Roman" w:hAnsi="Times New Roman" w:eastAsia="宋体" w:cs="Times New Roman"/>
          <w:color w:val="auto"/>
          <w:lang w:val="en-US" w:eastAsia="zh-CN"/>
        </w:rPr>
        <w:t>响应文件）</w:t>
      </w:r>
      <w:r>
        <w:rPr>
          <w:rFonts w:hint="eastAsia" w:ascii="Times New Roman" w:hAnsi="Times New Roman" w:eastAsia="宋体" w:cs="Times New Roman"/>
          <w:color w:val="auto"/>
        </w:rPr>
        <w:t>时的加密数字证书对投标</w:t>
      </w:r>
      <w:r>
        <w:rPr>
          <w:rFonts w:hint="eastAsia" w:ascii="Times New Roman" w:hAnsi="Times New Roman" w:eastAsia="宋体" w:cs="Times New Roman"/>
          <w:color w:val="auto"/>
          <w:lang w:val="en-US" w:eastAsia="zh-CN"/>
        </w:rPr>
        <w:t>文件</w:t>
      </w:r>
      <w:r>
        <w:rPr>
          <w:rFonts w:hint="eastAsia" w:ascii="Times New Roman" w:hAnsi="Times New Roman" w:eastAsia="宋体" w:cs="Times New Roman"/>
          <w:color w:val="auto"/>
          <w:lang w:eastAsia="zh-CN"/>
        </w:rPr>
        <w:t>（</w:t>
      </w:r>
      <w:r>
        <w:rPr>
          <w:rFonts w:hint="eastAsia" w:ascii="Times New Roman" w:hAnsi="Times New Roman" w:eastAsia="宋体" w:cs="Times New Roman"/>
          <w:color w:val="auto"/>
          <w:lang w:val="en-US" w:eastAsia="zh-CN"/>
        </w:rPr>
        <w:t>响应文件）</w:t>
      </w:r>
      <w:r>
        <w:rPr>
          <w:rFonts w:hint="eastAsia" w:ascii="Times New Roman" w:hAnsi="Times New Roman" w:eastAsia="宋体" w:cs="Times New Roman"/>
          <w:color w:val="auto"/>
        </w:rPr>
        <w:t>进行解密，并在规定时间完成在线解密、开标一览表确认等相关操作。若供应商没有在规定时间完成以上相关操作，则视为撤销其</w:t>
      </w:r>
      <w:r>
        <w:rPr>
          <w:rFonts w:hint="eastAsia" w:ascii="Times New Roman" w:hAnsi="Times New Roman" w:eastAsia="宋体" w:cs="Times New Roman"/>
          <w:color w:val="auto"/>
          <w:lang w:val="en-US" w:eastAsia="zh-CN"/>
        </w:rPr>
        <w:t>响应</w:t>
      </w:r>
      <w:r>
        <w:rPr>
          <w:rFonts w:hint="eastAsia" w:ascii="Times New Roman" w:hAnsi="Times New Roman" w:eastAsia="宋体" w:cs="Times New Roman"/>
          <w:color w:val="auto"/>
        </w:rPr>
        <w:t>文件，不再进入评标阶段。请各潜在供应商提前熟悉“政采云”开标的相关操作。如有问题可拨打政采云客户服务热线95763进行咨询</w:t>
      </w:r>
      <w:r>
        <w:rPr>
          <w:rFonts w:hint="eastAsia" w:ascii="Times New Roman" w:hAnsi="Times New Roman" w:eastAsia="宋体" w:cs="Times New Roman"/>
          <w:color w:val="auto"/>
          <w:lang w:eastAsia="zh-CN"/>
        </w:rPr>
        <w:t>。</w:t>
      </w:r>
    </w:p>
    <w:p w14:paraId="637B84B3">
      <w:pPr>
        <w:spacing w:line="360" w:lineRule="auto"/>
        <w:ind w:firstLine="420" w:firstLineChars="200"/>
        <w:rPr>
          <w:rFonts w:ascii="宋体" w:hAnsi="宋体"/>
          <w:color w:val="auto"/>
          <w:szCs w:val="21"/>
          <w:highlight w:val="none"/>
        </w:rPr>
      </w:pPr>
      <w:r>
        <w:rPr>
          <w:rFonts w:hint="eastAsia" w:ascii="Times New Roman" w:hAnsi="Times New Roman" w:eastAsia="宋体" w:cs="Times New Roman"/>
          <w:color w:val="auto"/>
        </w:rPr>
        <w:t>任何因忽视或误解而导致</w:t>
      </w:r>
      <w:r>
        <w:rPr>
          <w:rFonts w:hint="eastAsia" w:ascii="Times New Roman" w:hAnsi="Times New Roman" w:eastAsia="宋体" w:cs="Times New Roman"/>
          <w:color w:val="auto"/>
          <w:lang w:val="en-US" w:eastAsia="zh-CN"/>
        </w:rPr>
        <w:t>响应</w:t>
      </w:r>
      <w:r>
        <w:rPr>
          <w:rFonts w:hint="eastAsia" w:ascii="Times New Roman" w:hAnsi="Times New Roman" w:eastAsia="宋体" w:cs="Times New Roman"/>
          <w:color w:val="auto"/>
        </w:rPr>
        <w:t>文件未上传或已上传但未按规定的操作流程及时间要求进行解密的，由供应商自行负责。</w:t>
      </w:r>
    </w:p>
    <w:p w14:paraId="31803DCE">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lang w:val="en-US" w:eastAsia="zh-CN"/>
        </w:rPr>
        <w:t>5</w:t>
      </w:r>
      <w:r>
        <w:rPr>
          <w:rFonts w:hint="eastAsia" w:ascii="宋体" w:hAnsi="宋体"/>
          <w:color w:val="auto"/>
          <w:szCs w:val="21"/>
          <w:highlight w:val="none"/>
        </w:rPr>
        <w:t>.本项目招标公告在在《云南省政府采购网》（http://www.yngp.com/）、政采云平台上发布。</w:t>
      </w:r>
    </w:p>
    <w:p w14:paraId="32822E87">
      <w:pPr>
        <w:keepNext/>
        <w:tabs>
          <w:tab w:val="left" w:pos="1021"/>
        </w:tabs>
        <w:adjustRightInd w:val="0"/>
        <w:spacing w:before="120" w:line="460" w:lineRule="exact"/>
        <w:ind w:left="425"/>
        <w:textAlignment w:val="baseline"/>
        <w:outlineLvl w:val="1"/>
        <w:rPr>
          <w:rFonts w:ascii="宋体" w:hAnsi="宋体"/>
          <w:b/>
          <w:bCs/>
          <w:color w:val="auto"/>
          <w:kern w:val="0"/>
          <w:szCs w:val="21"/>
          <w:highlight w:val="none"/>
        </w:rPr>
      </w:pPr>
      <w:bookmarkStart w:id="53" w:name="_Toc28359008"/>
      <w:bookmarkStart w:id="54" w:name="_Toc44950994"/>
      <w:bookmarkStart w:id="55" w:name="_Toc35393796"/>
      <w:bookmarkStart w:id="56" w:name="_Toc35393627"/>
      <w:bookmarkStart w:id="57" w:name="_Toc71666333"/>
      <w:bookmarkStart w:id="58" w:name="_Toc28359085"/>
      <w:r>
        <w:rPr>
          <w:rFonts w:hint="eastAsia" w:ascii="宋体" w:hAnsi="宋体"/>
          <w:b/>
          <w:bCs/>
          <w:color w:val="auto"/>
          <w:kern w:val="0"/>
          <w:szCs w:val="21"/>
          <w:highlight w:val="none"/>
        </w:rPr>
        <w:t>七、对本次招标提出询问，请按</w:t>
      </w:r>
      <w:r>
        <w:rPr>
          <w:rFonts w:ascii="宋体" w:hAnsi="宋体"/>
          <w:b/>
          <w:bCs/>
          <w:color w:val="auto"/>
          <w:kern w:val="0"/>
          <w:szCs w:val="21"/>
          <w:highlight w:val="none"/>
        </w:rPr>
        <w:t>以下方式</w:t>
      </w:r>
      <w:r>
        <w:rPr>
          <w:rFonts w:hint="eastAsia" w:ascii="宋体" w:hAnsi="宋体"/>
          <w:b/>
          <w:bCs/>
          <w:color w:val="auto"/>
          <w:kern w:val="0"/>
          <w:szCs w:val="21"/>
          <w:highlight w:val="none"/>
        </w:rPr>
        <w:t>联系。</w:t>
      </w:r>
      <w:bookmarkEnd w:id="53"/>
      <w:bookmarkEnd w:id="54"/>
      <w:bookmarkEnd w:id="55"/>
      <w:bookmarkEnd w:id="56"/>
      <w:bookmarkEnd w:id="57"/>
      <w:bookmarkEnd w:id="58"/>
    </w:p>
    <w:p w14:paraId="53253581">
      <w:pPr>
        <w:spacing w:line="360" w:lineRule="auto"/>
        <w:ind w:firstLine="420" w:firstLineChars="20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1.采购人信息</w:t>
      </w:r>
    </w:p>
    <w:p w14:paraId="622842C1">
      <w:pPr>
        <w:spacing w:line="360" w:lineRule="auto"/>
        <w:ind w:firstLine="472" w:firstLineChars="225"/>
        <w:jc w:val="left"/>
        <w:rPr>
          <w:rFonts w:ascii="宋体" w:hAnsi="宋体"/>
          <w:color w:val="auto"/>
          <w:szCs w:val="21"/>
        </w:rPr>
      </w:pPr>
      <w:bookmarkStart w:id="59" w:name="_Toc28359086"/>
      <w:bookmarkStart w:id="60" w:name="_Toc28359009"/>
      <w:r>
        <w:rPr>
          <w:rFonts w:hint="eastAsia" w:ascii="宋体" w:hAnsi="宋体"/>
          <w:color w:val="auto"/>
          <w:szCs w:val="21"/>
        </w:rPr>
        <w:t>名    称：昆明市公安局</w:t>
      </w:r>
    </w:p>
    <w:p w14:paraId="67D653C7">
      <w:pPr>
        <w:spacing w:line="360" w:lineRule="auto"/>
        <w:ind w:firstLine="472" w:firstLineChars="225"/>
        <w:jc w:val="left"/>
        <w:rPr>
          <w:rFonts w:ascii="宋体" w:hAnsi="宋体"/>
          <w:color w:val="auto"/>
          <w:szCs w:val="21"/>
        </w:rPr>
      </w:pPr>
      <w:r>
        <w:rPr>
          <w:rFonts w:hint="eastAsia" w:ascii="宋体" w:hAnsi="宋体"/>
          <w:color w:val="auto"/>
          <w:szCs w:val="21"/>
        </w:rPr>
        <w:t>地    址：云南省昆明市北京路411号</w:t>
      </w:r>
    </w:p>
    <w:p w14:paraId="4C6D7F3D">
      <w:pPr>
        <w:spacing w:line="360" w:lineRule="auto"/>
        <w:ind w:firstLine="472" w:firstLineChars="225"/>
        <w:jc w:val="left"/>
        <w:rPr>
          <w:rFonts w:hint="default" w:ascii="宋体" w:hAnsi="宋体" w:eastAsia="宋体"/>
          <w:color w:val="auto"/>
          <w:szCs w:val="21"/>
          <w:lang w:val="en-US" w:eastAsia="zh-CN"/>
        </w:rPr>
      </w:pPr>
      <w:r>
        <w:rPr>
          <w:rFonts w:hint="eastAsia" w:ascii="宋体" w:hAnsi="宋体"/>
          <w:color w:val="auto"/>
          <w:szCs w:val="21"/>
        </w:rPr>
        <w:t>联系方式：0871-63866773</w:t>
      </w:r>
    </w:p>
    <w:p w14:paraId="6BE16002">
      <w:pPr>
        <w:spacing w:line="360" w:lineRule="auto"/>
        <w:ind w:firstLine="420" w:firstLineChars="20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2.采购代理机构信息</w:t>
      </w:r>
      <w:bookmarkEnd w:id="59"/>
      <w:bookmarkEnd w:id="60"/>
    </w:p>
    <w:p w14:paraId="3A83445A">
      <w:pPr>
        <w:spacing w:line="360" w:lineRule="auto"/>
        <w:ind w:firstLine="420" w:firstLineChars="200"/>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名称：</w:t>
      </w:r>
      <w:r>
        <w:rPr>
          <w:rFonts w:hint="eastAsia" w:ascii="宋体" w:hAnsi="宋体" w:eastAsia="宋体" w:cs="Times New Roman"/>
          <w:color w:val="auto"/>
          <w:szCs w:val="21"/>
          <w:highlight w:val="none"/>
          <w:lang w:eastAsia="zh-CN"/>
        </w:rPr>
        <w:t>云南闰威咨询有限公司</w:t>
      </w:r>
    </w:p>
    <w:p w14:paraId="43ACC4D2">
      <w:pPr>
        <w:spacing w:line="360" w:lineRule="auto"/>
        <w:ind w:firstLine="420" w:firstLineChars="200"/>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地址：</w:t>
      </w:r>
      <w:r>
        <w:rPr>
          <w:rFonts w:hint="eastAsia" w:ascii="宋体" w:hAnsi="宋体" w:eastAsia="宋体" w:cs="Times New Roman"/>
          <w:color w:val="auto"/>
          <w:szCs w:val="21"/>
          <w:highlight w:val="none"/>
          <w:lang w:eastAsia="zh-CN"/>
        </w:rPr>
        <w:t>云南省昆明市官渡区矣六街道办事处自贸数字港一号楼5楼</w:t>
      </w:r>
    </w:p>
    <w:p w14:paraId="00B527CF">
      <w:pPr>
        <w:spacing w:line="360" w:lineRule="auto"/>
        <w:ind w:firstLine="420" w:firstLineChars="20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联系方式：</w:t>
      </w:r>
      <w:bookmarkStart w:id="61" w:name="_Toc28359010"/>
      <w:bookmarkStart w:id="62" w:name="_Toc28359087"/>
      <w:r>
        <w:rPr>
          <w:rFonts w:hint="eastAsia" w:ascii="宋体" w:hAnsi="宋体" w:eastAsia="宋体" w:cs="Times New Roman"/>
          <w:color w:val="auto"/>
          <w:szCs w:val="21"/>
          <w:highlight w:val="none"/>
        </w:rPr>
        <w:t>0871-68179455</w:t>
      </w:r>
    </w:p>
    <w:p w14:paraId="1D65DC4A">
      <w:pPr>
        <w:spacing w:line="360" w:lineRule="auto"/>
        <w:ind w:firstLine="420" w:firstLineChars="20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3.项目联系方式</w:t>
      </w:r>
      <w:bookmarkEnd w:id="61"/>
      <w:bookmarkEnd w:id="62"/>
    </w:p>
    <w:p w14:paraId="52F2C4C2">
      <w:pPr>
        <w:spacing w:line="360" w:lineRule="auto"/>
        <w:ind w:firstLine="420" w:firstLineChars="20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项目联系人：陈哲、</w:t>
      </w:r>
      <w:r>
        <w:rPr>
          <w:rFonts w:hint="eastAsia" w:ascii="宋体" w:hAnsi="宋体" w:cs="Times New Roman"/>
          <w:color w:val="auto"/>
          <w:szCs w:val="21"/>
          <w:highlight w:val="none"/>
          <w:lang w:val="en-US" w:eastAsia="zh-CN"/>
        </w:rPr>
        <w:t>胥萌、</w:t>
      </w:r>
      <w:r>
        <w:rPr>
          <w:rFonts w:hint="eastAsia" w:ascii="宋体" w:hAnsi="宋体" w:eastAsia="宋体" w:cs="Times New Roman"/>
          <w:color w:val="auto"/>
          <w:szCs w:val="21"/>
          <w:highlight w:val="none"/>
        </w:rPr>
        <w:t>杨碧、周渝、李倩</w:t>
      </w:r>
    </w:p>
    <w:p w14:paraId="46DB3CB2">
      <w:pPr>
        <w:spacing w:line="360" w:lineRule="auto"/>
        <w:ind w:firstLine="420" w:firstLineChars="20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电话：0871-68179455、13678776016</w:t>
      </w:r>
    </w:p>
    <w:bookmarkEnd w:id="2"/>
    <w:p w14:paraId="33279884">
      <w:pPr>
        <w:widowControl/>
        <w:jc w:val="left"/>
        <w:rPr>
          <w:rFonts w:ascii="宋体" w:hAnsi="宋体"/>
          <w:bCs/>
          <w:color w:val="auto"/>
          <w:sz w:val="24"/>
          <w:highlight w:val="none"/>
        </w:rPr>
      </w:pPr>
    </w:p>
    <w:p w14:paraId="13B87036">
      <w:pPr>
        <w:rPr>
          <w:rFonts w:hint="eastAsia" w:ascii="宋体" w:hAnsi="宋体"/>
          <w:bCs w:val="0"/>
          <w:color w:val="auto"/>
          <w:kern w:val="44"/>
          <w:sz w:val="36"/>
          <w:szCs w:val="20"/>
          <w:highlight w:val="none"/>
        </w:rPr>
      </w:pPr>
      <w:bookmarkStart w:id="63" w:name="_Toc71666334"/>
      <w:r>
        <w:rPr>
          <w:rFonts w:hint="eastAsia" w:ascii="宋体" w:hAnsi="宋体"/>
          <w:bCs w:val="0"/>
          <w:color w:val="auto"/>
          <w:kern w:val="44"/>
          <w:sz w:val="36"/>
          <w:szCs w:val="20"/>
          <w:highlight w:val="none"/>
        </w:rPr>
        <w:br w:type="page"/>
      </w:r>
    </w:p>
    <w:p w14:paraId="66D4A40B">
      <w:pPr>
        <w:pStyle w:val="28"/>
        <w:rPr>
          <w:rFonts w:ascii="宋体" w:hAnsi="宋体"/>
          <w:bCs w:val="0"/>
          <w:color w:val="auto"/>
          <w:kern w:val="44"/>
          <w:sz w:val="36"/>
          <w:szCs w:val="20"/>
          <w:highlight w:val="none"/>
        </w:rPr>
      </w:pPr>
      <w:r>
        <w:rPr>
          <w:rFonts w:hint="eastAsia" w:ascii="宋体" w:hAnsi="宋体"/>
          <w:bCs w:val="0"/>
          <w:color w:val="auto"/>
          <w:kern w:val="44"/>
          <w:sz w:val="36"/>
          <w:szCs w:val="20"/>
          <w:highlight w:val="none"/>
        </w:rPr>
        <w:t>第二章 投标人须知</w:t>
      </w:r>
      <w:bookmarkEnd w:id="63"/>
    </w:p>
    <w:p w14:paraId="5CFA610D">
      <w:pPr>
        <w:pStyle w:val="4"/>
        <w:numPr>
          <w:ilvl w:val="0"/>
          <w:numId w:val="0"/>
        </w:numPr>
        <w:spacing w:before="0" w:line="240" w:lineRule="auto"/>
        <w:ind w:left="425"/>
        <w:jc w:val="center"/>
        <w:rPr>
          <w:rFonts w:ascii="宋体" w:hAnsi="宋体" w:eastAsia="宋体"/>
          <w:b w:val="0"/>
          <w:color w:val="auto"/>
          <w:sz w:val="32"/>
          <w:szCs w:val="32"/>
          <w:highlight w:val="none"/>
        </w:rPr>
      </w:pPr>
      <w:bookmarkStart w:id="64" w:name="_Toc71666335"/>
      <w:bookmarkStart w:id="65" w:name="_Toc496122175"/>
      <w:r>
        <w:rPr>
          <w:rFonts w:hint="eastAsia" w:ascii="宋体" w:hAnsi="宋体" w:eastAsia="宋体"/>
          <w:b w:val="0"/>
          <w:color w:val="auto"/>
          <w:sz w:val="32"/>
          <w:szCs w:val="32"/>
          <w:highlight w:val="none"/>
        </w:rPr>
        <w:t>投标人须知前附表</w:t>
      </w:r>
      <w:bookmarkEnd w:id="64"/>
      <w:bookmarkEnd w:id="65"/>
    </w:p>
    <w:tbl>
      <w:tblPr>
        <w:tblStyle w:val="32"/>
        <w:tblW w:w="98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8"/>
        <w:gridCol w:w="3030"/>
        <w:gridCol w:w="5592"/>
      </w:tblGrid>
      <w:tr w14:paraId="3D15D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198" w:type="dxa"/>
            <w:vAlign w:val="center"/>
          </w:tcPr>
          <w:p w14:paraId="278A704D">
            <w:pPr>
              <w:pStyle w:val="16"/>
              <w:spacing w:line="300" w:lineRule="exact"/>
              <w:jc w:val="center"/>
              <w:rPr>
                <w:rFonts w:hAnsi="宋体"/>
                <w:b/>
                <w:color w:val="auto"/>
                <w:szCs w:val="21"/>
                <w:highlight w:val="none"/>
              </w:rPr>
            </w:pPr>
            <w:r>
              <w:rPr>
                <w:rFonts w:hint="eastAsia" w:hAnsi="宋体"/>
                <w:b/>
                <w:color w:val="auto"/>
                <w:szCs w:val="21"/>
                <w:highlight w:val="none"/>
              </w:rPr>
              <w:t>条款号</w:t>
            </w:r>
          </w:p>
        </w:tc>
        <w:tc>
          <w:tcPr>
            <w:tcW w:w="3030" w:type="dxa"/>
            <w:vAlign w:val="center"/>
          </w:tcPr>
          <w:p w14:paraId="21BCF4A1">
            <w:pPr>
              <w:pStyle w:val="16"/>
              <w:spacing w:line="300" w:lineRule="exact"/>
              <w:jc w:val="center"/>
              <w:rPr>
                <w:rFonts w:hAnsi="宋体"/>
                <w:b/>
                <w:color w:val="auto"/>
                <w:szCs w:val="21"/>
                <w:highlight w:val="none"/>
              </w:rPr>
            </w:pPr>
            <w:r>
              <w:rPr>
                <w:rFonts w:hint="eastAsia" w:hAnsi="宋体"/>
                <w:b/>
                <w:color w:val="auto"/>
                <w:szCs w:val="21"/>
                <w:highlight w:val="none"/>
              </w:rPr>
              <w:t>条 款 名 称</w:t>
            </w:r>
          </w:p>
        </w:tc>
        <w:tc>
          <w:tcPr>
            <w:tcW w:w="5592" w:type="dxa"/>
            <w:vAlign w:val="center"/>
          </w:tcPr>
          <w:p w14:paraId="08502A9A">
            <w:pPr>
              <w:pStyle w:val="16"/>
              <w:spacing w:line="300" w:lineRule="exact"/>
              <w:jc w:val="center"/>
              <w:rPr>
                <w:rFonts w:hAnsi="宋体"/>
                <w:b/>
                <w:color w:val="auto"/>
                <w:szCs w:val="21"/>
                <w:highlight w:val="none"/>
              </w:rPr>
            </w:pPr>
            <w:r>
              <w:rPr>
                <w:rFonts w:hint="eastAsia" w:hAnsi="宋体"/>
                <w:b/>
                <w:color w:val="auto"/>
                <w:szCs w:val="21"/>
                <w:highlight w:val="none"/>
              </w:rPr>
              <w:t>编 列 内 容</w:t>
            </w:r>
          </w:p>
        </w:tc>
      </w:tr>
      <w:tr w14:paraId="03DF1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0" w:hRule="atLeast"/>
          <w:jc w:val="center"/>
        </w:trPr>
        <w:tc>
          <w:tcPr>
            <w:tcW w:w="1198" w:type="dxa"/>
            <w:vMerge w:val="restart"/>
            <w:vAlign w:val="center"/>
          </w:tcPr>
          <w:p w14:paraId="6DC6091B">
            <w:pPr>
              <w:pStyle w:val="16"/>
              <w:spacing w:line="300" w:lineRule="exact"/>
              <w:jc w:val="center"/>
              <w:rPr>
                <w:rFonts w:hAnsi="宋体"/>
                <w:color w:val="auto"/>
                <w:szCs w:val="21"/>
                <w:highlight w:val="none"/>
              </w:rPr>
            </w:pPr>
            <w:r>
              <w:rPr>
                <w:rFonts w:hint="eastAsia" w:hAnsi="宋体"/>
                <w:color w:val="auto"/>
                <w:szCs w:val="21"/>
                <w:highlight w:val="none"/>
              </w:rPr>
              <w:t>1</w:t>
            </w:r>
          </w:p>
          <w:p w14:paraId="638700D5">
            <w:pPr>
              <w:pStyle w:val="16"/>
              <w:spacing w:line="300" w:lineRule="exact"/>
              <w:jc w:val="center"/>
              <w:rPr>
                <w:rFonts w:hAnsi="宋体"/>
                <w:color w:val="auto"/>
                <w:szCs w:val="21"/>
                <w:highlight w:val="none"/>
              </w:rPr>
            </w:pPr>
          </w:p>
        </w:tc>
        <w:tc>
          <w:tcPr>
            <w:tcW w:w="3030" w:type="dxa"/>
            <w:vAlign w:val="center"/>
          </w:tcPr>
          <w:p w14:paraId="797564CA">
            <w:pPr>
              <w:pStyle w:val="16"/>
              <w:spacing w:line="300" w:lineRule="exact"/>
              <w:rPr>
                <w:rFonts w:hAnsi="宋体"/>
                <w:color w:val="auto"/>
                <w:szCs w:val="21"/>
                <w:highlight w:val="none"/>
                <w:u w:val="single"/>
              </w:rPr>
            </w:pPr>
            <w:r>
              <w:rPr>
                <w:rFonts w:hint="eastAsia" w:hAnsi="宋体"/>
                <w:bCs/>
                <w:color w:val="auto"/>
                <w:szCs w:val="21"/>
                <w:highlight w:val="none"/>
              </w:rPr>
              <w:t>采购人</w:t>
            </w:r>
            <w:r>
              <w:rPr>
                <w:rFonts w:hint="eastAsia" w:hAnsi="宋体"/>
                <w:color w:val="auto"/>
                <w:kern w:val="48"/>
                <w:szCs w:val="21"/>
                <w:highlight w:val="none"/>
              </w:rPr>
              <w:t xml:space="preserve"> </w:t>
            </w:r>
          </w:p>
        </w:tc>
        <w:tc>
          <w:tcPr>
            <w:tcW w:w="5592" w:type="dxa"/>
            <w:vAlign w:val="center"/>
          </w:tcPr>
          <w:p w14:paraId="419AA358">
            <w:pPr>
              <w:pStyle w:val="16"/>
              <w:spacing w:line="300" w:lineRule="exact"/>
              <w:rPr>
                <w:rFonts w:hint="eastAsia" w:hAnsi="宋体" w:eastAsia="宋体"/>
                <w:color w:val="auto"/>
                <w:szCs w:val="21"/>
                <w:highlight w:val="none"/>
                <w:lang w:eastAsia="zh-CN"/>
              </w:rPr>
            </w:pPr>
            <w:r>
              <w:rPr>
                <w:rFonts w:hint="eastAsia" w:hAnsi="宋体"/>
                <w:color w:val="auto"/>
                <w:szCs w:val="21"/>
                <w:highlight w:val="none"/>
                <w:lang w:eastAsia="zh-CN"/>
              </w:rPr>
              <w:t>昆明市公安局</w:t>
            </w:r>
          </w:p>
        </w:tc>
      </w:tr>
      <w:tr w14:paraId="3A3D3F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0" w:hRule="atLeast"/>
          <w:jc w:val="center"/>
        </w:trPr>
        <w:tc>
          <w:tcPr>
            <w:tcW w:w="1198" w:type="dxa"/>
            <w:vMerge w:val="continue"/>
            <w:vAlign w:val="center"/>
          </w:tcPr>
          <w:p w14:paraId="20742AF8">
            <w:pPr>
              <w:spacing w:line="300" w:lineRule="exact"/>
              <w:rPr>
                <w:rFonts w:ascii="宋体" w:hAnsi="宋体"/>
                <w:color w:val="auto"/>
                <w:szCs w:val="21"/>
                <w:highlight w:val="none"/>
              </w:rPr>
            </w:pPr>
          </w:p>
        </w:tc>
        <w:tc>
          <w:tcPr>
            <w:tcW w:w="3030" w:type="dxa"/>
            <w:vAlign w:val="center"/>
          </w:tcPr>
          <w:p w14:paraId="1CEF103C">
            <w:pPr>
              <w:pStyle w:val="16"/>
              <w:spacing w:line="300" w:lineRule="exact"/>
              <w:rPr>
                <w:rFonts w:hAnsi="宋体"/>
                <w:bCs/>
                <w:color w:val="auto"/>
                <w:szCs w:val="21"/>
                <w:highlight w:val="none"/>
              </w:rPr>
            </w:pPr>
            <w:r>
              <w:rPr>
                <w:rFonts w:hint="eastAsia" w:hAnsi="宋体"/>
                <w:bCs/>
                <w:color w:val="auto"/>
                <w:szCs w:val="21"/>
                <w:highlight w:val="none"/>
              </w:rPr>
              <w:t>采购代理机构</w:t>
            </w:r>
          </w:p>
        </w:tc>
        <w:tc>
          <w:tcPr>
            <w:tcW w:w="5592" w:type="dxa"/>
            <w:vAlign w:val="center"/>
          </w:tcPr>
          <w:p w14:paraId="3DC5BE60">
            <w:pPr>
              <w:pStyle w:val="16"/>
              <w:spacing w:line="300" w:lineRule="exact"/>
              <w:rPr>
                <w:rFonts w:hint="eastAsia" w:hAnsi="宋体" w:eastAsia="宋体"/>
                <w:color w:val="auto"/>
                <w:szCs w:val="21"/>
                <w:highlight w:val="none"/>
                <w:lang w:eastAsia="zh-CN"/>
              </w:rPr>
            </w:pPr>
            <w:r>
              <w:rPr>
                <w:rFonts w:hint="eastAsia" w:hAnsi="宋体"/>
                <w:color w:val="auto"/>
                <w:szCs w:val="21"/>
                <w:highlight w:val="none"/>
                <w:lang w:eastAsia="zh-CN"/>
              </w:rPr>
              <w:t>云南闰威咨询有限公司</w:t>
            </w:r>
          </w:p>
        </w:tc>
      </w:tr>
      <w:tr w14:paraId="3C3A6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0" w:hRule="atLeast"/>
          <w:jc w:val="center"/>
        </w:trPr>
        <w:tc>
          <w:tcPr>
            <w:tcW w:w="1198" w:type="dxa"/>
            <w:vMerge w:val="continue"/>
            <w:vAlign w:val="center"/>
          </w:tcPr>
          <w:p w14:paraId="2D1C9058">
            <w:pPr>
              <w:spacing w:line="300" w:lineRule="exact"/>
              <w:rPr>
                <w:rFonts w:ascii="宋体" w:hAnsi="宋体"/>
                <w:color w:val="auto"/>
                <w:szCs w:val="21"/>
                <w:highlight w:val="none"/>
              </w:rPr>
            </w:pPr>
          </w:p>
        </w:tc>
        <w:tc>
          <w:tcPr>
            <w:tcW w:w="3030" w:type="dxa"/>
            <w:vAlign w:val="center"/>
          </w:tcPr>
          <w:p w14:paraId="5B0D1B77">
            <w:pPr>
              <w:pStyle w:val="16"/>
              <w:spacing w:line="300" w:lineRule="exact"/>
              <w:rPr>
                <w:rFonts w:hAnsi="宋体"/>
                <w:color w:val="auto"/>
                <w:szCs w:val="21"/>
                <w:highlight w:val="none"/>
              </w:rPr>
            </w:pPr>
            <w:r>
              <w:rPr>
                <w:rFonts w:hint="eastAsia" w:hAnsi="宋体"/>
                <w:color w:val="auto"/>
                <w:szCs w:val="21"/>
                <w:highlight w:val="none"/>
              </w:rPr>
              <w:t>项目名称及项目编号</w:t>
            </w:r>
          </w:p>
        </w:tc>
        <w:tc>
          <w:tcPr>
            <w:tcW w:w="5592" w:type="dxa"/>
            <w:vAlign w:val="center"/>
          </w:tcPr>
          <w:p w14:paraId="4294557C">
            <w:pPr>
              <w:pStyle w:val="16"/>
              <w:spacing w:line="300" w:lineRule="exact"/>
              <w:rPr>
                <w:rFonts w:hint="eastAsia" w:hAnsi="宋体"/>
                <w:color w:val="auto"/>
                <w:szCs w:val="21"/>
                <w:highlight w:val="none"/>
                <w:lang w:eastAsia="zh-CN"/>
              </w:rPr>
            </w:pPr>
            <w:r>
              <w:rPr>
                <w:rFonts w:hint="eastAsia" w:hAnsi="宋体"/>
                <w:color w:val="auto"/>
                <w:szCs w:val="21"/>
                <w:highlight w:val="none"/>
              </w:rPr>
              <w:t>项目名称：</w:t>
            </w:r>
            <w:r>
              <w:rPr>
                <w:rFonts w:hint="eastAsia" w:hAnsi="宋体"/>
                <w:color w:val="auto"/>
                <w:szCs w:val="21"/>
                <w:highlight w:val="none"/>
                <w:lang w:eastAsia="zh-CN"/>
              </w:rPr>
              <w:t>2025年防爆安检设备租赁</w:t>
            </w:r>
          </w:p>
          <w:p w14:paraId="758F4D70">
            <w:pPr>
              <w:pStyle w:val="16"/>
              <w:spacing w:line="300" w:lineRule="exact"/>
              <w:rPr>
                <w:rFonts w:hint="eastAsia" w:hAnsi="宋体" w:eastAsia="宋体"/>
                <w:color w:val="auto"/>
                <w:szCs w:val="21"/>
                <w:highlight w:val="none"/>
                <w:lang w:eastAsia="zh-CN"/>
              </w:rPr>
            </w:pPr>
            <w:r>
              <w:rPr>
                <w:rFonts w:hint="eastAsia" w:hAnsi="宋体"/>
                <w:color w:val="auto"/>
                <w:szCs w:val="21"/>
                <w:highlight w:val="none"/>
              </w:rPr>
              <w:t>项目编号：</w:t>
            </w:r>
            <w:r>
              <w:rPr>
                <w:rFonts w:hint="eastAsia" w:hAnsi="宋体"/>
                <w:color w:val="auto"/>
                <w:szCs w:val="21"/>
                <w:highlight w:val="none"/>
                <w:lang w:eastAsia="zh-CN"/>
              </w:rPr>
              <w:t>KMZC2025-G3-02851-RWZX-0081</w:t>
            </w:r>
          </w:p>
        </w:tc>
      </w:tr>
      <w:tr w14:paraId="017E8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0" w:hRule="atLeast"/>
          <w:jc w:val="center"/>
        </w:trPr>
        <w:tc>
          <w:tcPr>
            <w:tcW w:w="1198" w:type="dxa"/>
            <w:vAlign w:val="center"/>
          </w:tcPr>
          <w:p w14:paraId="731CE6B1">
            <w:pPr>
              <w:spacing w:line="360" w:lineRule="auto"/>
              <w:jc w:val="center"/>
              <w:rPr>
                <w:rFonts w:ascii="宋体" w:hAnsi="宋体"/>
                <w:color w:val="auto"/>
                <w:szCs w:val="21"/>
                <w:highlight w:val="none"/>
              </w:rPr>
            </w:pPr>
            <w:r>
              <w:rPr>
                <w:rFonts w:hint="eastAsia" w:ascii="宋体" w:hAnsi="宋体"/>
                <w:color w:val="auto"/>
                <w:szCs w:val="21"/>
                <w:highlight w:val="none"/>
              </w:rPr>
              <w:t>2</w:t>
            </w:r>
          </w:p>
        </w:tc>
        <w:tc>
          <w:tcPr>
            <w:tcW w:w="3030" w:type="dxa"/>
            <w:vAlign w:val="center"/>
          </w:tcPr>
          <w:p w14:paraId="180A3356">
            <w:pPr>
              <w:pStyle w:val="16"/>
              <w:spacing w:line="360" w:lineRule="auto"/>
              <w:rPr>
                <w:rFonts w:hAnsi="宋体"/>
                <w:color w:val="auto"/>
                <w:szCs w:val="21"/>
                <w:highlight w:val="none"/>
              </w:rPr>
            </w:pPr>
            <w:r>
              <w:rPr>
                <w:rFonts w:hint="eastAsia" w:hAnsi="宋体"/>
                <w:color w:val="auto"/>
                <w:szCs w:val="21"/>
                <w:highlight w:val="none"/>
              </w:rPr>
              <w:t>资金来源</w:t>
            </w:r>
          </w:p>
        </w:tc>
        <w:tc>
          <w:tcPr>
            <w:tcW w:w="5592" w:type="dxa"/>
            <w:vAlign w:val="center"/>
          </w:tcPr>
          <w:p w14:paraId="6D2AADEC">
            <w:pPr>
              <w:pStyle w:val="16"/>
              <w:spacing w:line="300" w:lineRule="exact"/>
              <w:rPr>
                <w:rFonts w:hAnsi="宋体"/>
                <w:color w:val="auto"/>
                <w:szCs w:val="21"/>
                <w:highlight w:val="none"/>
              </w:rPr>
            </w:pPr>
            <w:r>
              <w:rPr>
                <w:rFonts w:hint="eastAsia" w:hAnsi="宋体"/>
                <w:color w:val="auto"/>
                <w:szCs w:val="21"/>
                <w:highlight w:val="none"/>
              </w:rPr>
              <w:t>财政性资金</w:t>
            </w:r>
          </w:p>
        </w:tc>
      </w:tr>
      <w:tr w14:paraId="0BB37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jc w:val="center"/>
        </w:trPr>
        <w:tc>
          <w:tcPr>
            <w:tcW w:w="1198" w:type="dxa"/>
            <w:vAlign w:val="center"/>
          </w:tcPr>
          <w:p w14:paraId="4311E941">
            <w:pPr>
              <w:pStyle w:val="16"/>
              <w:spacing w:line="300" w:lineRule="exact"/>
              <w:jc w:val="center"/>
              <w:rPr>
                <w:rFonts w:hAnsi="宋体"/>
                <w:color w:val="auto"/>
                <w:szCs w:val="21"/>
                <w:highlight w:val="none"/>
              </w:rPr>
            </w:pPr>
            <w:r>
              <w:rPr>
                <w:rFonts w:hint="eastAsia" w:hAnsi="宋体"/>
                <w:color w:val="auto"/>
                <w:szCs w:val="21"/>
                <w:highlight w:val="none"/>
              </w:rPr>
              <w:t>3.1</w:t>
            </w:r>
          </w:p>
        </w:tc>
        <w:tc>
          <w:tcPr>
            <w:tcW w:w="3030" w:type="dxa"/>
            <w:vAlign w:val="center"/>
          </w:tcPr>
          <w:p w14:paraId="12554AB2">
            <w:pPr>
              <w:pStyle w:val="16"/>
              <w:spacing w:line="300" w:lineRule="exact"/>
              <w:rPr>
                <w:rFonts w:hint="default" w:hAnsi="宋体" w:eastAsia="宋体"/>
                <w:color w:val="auto"/>
                <w:szCs w:val="21"/>
                <w:highlight w:val="none"/>
                <w:lang w:val="en-US" w:eastAsia="zh-CN"/>
              </w:rPr>
            </w:pPr>
            <w:r>
              <w:rPr>
                <w:rFonts w:hint="eastAsia" w:hAnsi="宋体"/>
                <w:color w:val="auto"/>
                <w:szCs w:val="21"/>
                <w:highlight w:val="none"/>
                <w:lang w:val="en-US" w:eastAsia="zh-CN"/>
              </w:rPr>
              <w:t>采购需求</w:t>
            </w:r>
          </w:p>
        </w:tc>
        <w:tc>
          <w:tcPr>
            <w:tcW w:w="5592" w:type="dxa"/>
            <w:vAlign w:val="center"/>
          </w:tcPr>
          <w:p w14:paraId="68E71ACC">
            <w:pPr>
              <w:pStyle w:val="16"/>
              <w:spacing w:line="300" w:lineRule="exact"/>
              <w:rPr>
                <w:rFonts w:hAnsi="宋体"/>
                <w:color w:val="auto"/>
                <w:szCs w:val="21"/>
                <w:highlight w:val="none"/>
              </w:rPr>
            </w:pPr>
            <w:r>
              <w:rPr>
                <w:rFonts w:hint="eastAsia" w:hAnsi="宋体"/>
                <w:color w:val="auto"/>
                <w:szCs w:val="21"/>
                <w:highlight w:val="none"/>
              </w:rPr>
              <w:t>详见招标公告及招标文件第五章</w:t>
            </w:r>
          </w:p>
        </w:tc>
      </w:tr>
      <w:tr w14:paraId="47DCE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 w:hRule="atLeast"/>
          <w:jc w:val="center"/>
        </w:trPr>
        <w:tc>
          <w:tcPr>
            <w:tcW w:w="1198" w:type="dxa"/>
            <w:vAlign w:val="center"/>
          </w:tcPr>
          <w:p w14:paraId="4EB2467B">
            <w:pPr>
              <w:pStyle w:val="16"/>
              <w:spacing w:line="300" w:lineRule="exact"/>
              <w:jc w:val="center"/>
              <w:rPr>
                <w:rFonts w:hAnsi="宋体"/>
                <w:color w:val="auto"/>
                <w:szCs w:val="21"/>
                <w:highlight w:val="none"/>
              </w:rPr>
            </w:pPr>
            <w:r>
              <w:rPr>
                <w:rFonts w:hint="eastAsia" w:hAnsi="宋体"/>
                <w:color w:val="auto"/>
                <w:szCs w:val="21"/>
                <w:highlight w:val="none"/>
              </w:rPr>
              <w:t>3.2</w:t>
            </w:r>
          </w:p>
        </w:tc>
        <w:tc>
          <w:tcPr>
            <w:tcW w:w="3030" w:type="dxa"/>
            <w:vAlign w:val="center"/>
          </w:tcPr>
          <w:p w14:paraId="32A35F06">
            <w:pPr>
              <w:pStyle w:val="16"/>
              <w:spacing w:line="300" w:lineRule="exact"/>
              <w:rPr>
                <w:rFonts w:hint="eastAsia" w:hAnsi="宋体" w:eastAsia="宋体"/>
                <w:color w:val="auto"/>
                <w:szCs w:val="21"/>
                <w:highlight w:val="none"/>
                <w:lang w:eastAsia="zh-CN"/>
              </w:rPr>
            </w:pPr>
            <w:r>
              <w:rPr>
                <w:rFonts w:hint="eastAsia" w:hAnsi="宋体"/>
                <w:color w:val="auto"/>
                <w:szCs w:val="21"/>
                <w:highlight w:val="none"/>
              </w:rPr>
              <w:t>合同履行期限、</w:t>
            </w:r>
            <w:r>
              <w:rPr>
                <w:rFonts w:hint="eastAsia" w:hAnsi="宋体"/>
                <w:color w:val="auto"/>
                <w:szCs w:val="21"/>
                <w:highlight w:val="none"/>
                <w:lang w:val="en-US" w:eastAsia="zh-CN"/>
              </w:rPr>
              <w:t>服务地点</w:t>
            </w:r>
          </w:p>
        </w:tc>
        <w:tc>
          <w:tcPr>
            <w:tcW w:w="5592" w:type="dxa"/>
            <w:vAlign w:val="center"/>
          </w:tcPr>
          <w:p w14:paraId="744B3F86">
            <w:pPr>
              <w:pStyle w:val="16"/>
              <w:spacing w:line="300" w:lineRule="exact"/>
              <w:rPr>
                <w:rFonts w:hAnsi="宋体"/>
                <w:color w:val="auto"/>
                <w:szCs w:val="21"/>
                <w:highlight w:val="none"/>
              </w:rPr>
            </w:pPr>
            <w:r>
              <w:rPr>
                <w:rFonts w:hint="eastAsia" w:hAnsi="宋体"/>
                <w:color w:val="auto"/>
                <w:szCs w:val="21"/>
                <w:highlight w:val="none"/>
              </w:rPr>
              <w:t>详见第一章“招标公告”</w:t>
            </w:r>
          </w:p>
        </w:tc>
      </w:tr>
      <w:tr w14:paraId="39009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 w:hRule="atLeast"/>
          <w:jc w:val="center"/>
        </w:trPr>
        <w:tc>
          <w:tcPr>
            <w:tcW w:w="1198" w:type="dxa"/>
            <w:vAlign w:val="center"/>
          </w:tcPr>
          <w:p w14:paraId="289CE293">
            <w:pPr>
              <w:pStyle w:val="16"/>
              <w:spacing w:line="300" w:lineRule="exact"/>
              <w:jc w:val="center"/>
              <w:rPr>
                <w:rFonts w:hint="eastAsia" w:hAnsi="宋体"/>
                <w:color w:val="auto"/>
                <w:szCs w:val="21"/>
                <w:highlight w:val="none"/>
              </w:rPr>
            </w:pPr>
            <w:r>
              <w:rPr>
                <w:rFonts w:hint="eastAsia" w:hAnsi="宋体"/>
                <w:color w:val="auto"/>
                <w:szCs w:val="21"/>
                <w:highlight w:val="none"/>
              </w:rPr>
              <w:t>★4.1.1</w:t>
            </w:r>
          </w:p>
        </w:tc>
        <w:tc>
          <w:tcPr>
            <w:tcW w:w="3030" w:type="dxa"/>
            <w:vAlign w:val="center"/>
          </w:tcPr>
          <w:p w14:paraId="01FE35AD">
            <w:pPr>
              <w:pStyle w:val="16"/>
              <w:spacing w:line="300" w:lineRule="exact"/>
              <w:rPr>
                <w:rFonts w:hint="eastAsia" w:hAnsi="宋体"/>
                <w:color w:val="auto"/>
                <w:szCs w:val="21"/>
                <w:highlight w:val="none"/>
              </w:rPr>
            </w:pPr>
            <w:r>
              <w:rPr>
                <w:rFonts w:hint="eastAsia" w:hAnsi="宋体"/>
                <w:color w:val="auto"/>
                <w:szCs w:val="21"/>
                <w:highlight w:val="none"/>
              </w:rPr>
              <w:t>投标人</w:t>
            </w:r>
            <w:r>
              <w:rPr>
                <w:rFonts w:hAnsi="宋体"/>
                <w:color w:val="auto"/>
                <w:szCs w:val="21"/>
                <w:highlight w:val="none"/>
              </w:rPr>
              <w:t>必须是具有独立承担民事责任能力的法人、其他组织或者自然人</w:t>
            </w:r>
          </w:p>
        </w:tc>
        <w:tc>
          <w:tcPr>
            <w:tcW w:w="5592" w:type="dxa"/>
            <w:vAlign w:val="center"/>
          </w:tcPr>
          <w:p w14:paraId="6368FA22">
            <w:pPr>
              <w:adjustRightInd w:val="0"/>
              <w:snapToGrid w:val="0"/>
              <w:spacing w:line="360" w:lineRule="auto"/>
              <w:jc w:val="left"/>
              <w:rPr>
                <w:rFonts w:hint="eastAsia" w:hAnsi="宋体"/>
                <w:color w:val="auto"/>
                <w:szCs w:val="21"/>
                <w:highlight w:val="none"/>
              </w:rPr>
            </w:pPr>
            <w:r>
              <w:rPr>
                <w:rFonts w:hint="eastAsia" w:hAnsi="宋体"/>
                <w:bCs/>
                <w:color w:val="auto"/>
                <w:szCs w:val="21"/>
                <w:highlight w:val="none"/>
              </w:rPr>
              <w:t>提供营业执照或自然人的身份证明（扫描件）</w:t>
            </w:r>
            <w:r>
              <w:rPr>
                <w:rFonts w:hint="eastAsia" w:ascii="宋体" w:hAnsi="宋体"/>
                <w:color w:val="auto"/>
                <w:szCs w:val="21"/>
                <w:highlight w:val="none"/>
              </w:rPr>
              <w:t xml:space="preserve">； </w:t>
            </w:r>
          </w:p>
        </w:tc>
      </w:tr>
      <w:tr w14:paraId="0EC25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 w:hRule="atLeast"/>
          <w:jc w:val="center"/>
        </w:trPr>
        <w:tc>
          <w:tcPr>
            <w:tcW w:w="1198" w:type="dxa"/>
            <w:vAlign w:val="center"/>
          </w:tcPr>
          <w:p w14:paraId="4ABB0E00">
            <w:pPr>
              <w:pStyle w:val="16"/>
              <w:spacing w:line="300" w:lineRule="exact"/>
              <w:jc w:val="center"/>
              <w:rPr>
                <w:rFonts w:hAnsi="宋体"/>
                <w:color w:val="auto"/>
                <w:szCs w:val="21"/>
                <w:highlight w:val="none"/>
              </w:rPr>
            </w:pPr>
            <w:r>
              <w:rPr>
                <w:rFonts w:hint="eastAsia" w:hAnsi="宋体"/>
                <w:color w:val="auto"/>
                <w:szCs w:val="21"/>
                <w:highlight w:val="none"/>
              </w:rPr>
              <w:t>★4.1.2</w:t>
            </w:r>
          </w:p>
        </w:tc>
        <w:tc>
          <w:tcPr>
            <w:tcW w:w="3030" w:type="dxa"/>
            <w:vAlign w:val="center"/>
          </w:tcPr>
          <w:p w14:paraId="68926A29">
            <w:pPr>
              <w:pStyle w:val="16"/>
              <w:spacing w:line="360" w:lineRule="auto"/>
              <w:rPr>
                <w:rFonts w:hAnsi="宋体"/>
                <w:color w:val="auto"/>
                <w:szCs w:val="21"/>
                <w:highlight w:val="none"/>
              </w:rPr>
            </w:pPr>
            <w:r>
              <w:rPr>
                <w:rFonts w:hint="eastAsia" w:hAnsi="宋体"/>
                <w:bCs/>
                <w:color w:val="auto"/>
                <w:szCs w:val="21"/>
                <w:highlight w:val="none"/>
              </w:rPr>
              <w:t>财务状况报告</w:t>
            </w:r>
          </w:p>
        </w:tc>
        <w:tc>
          <w:tcPr>
            <w:tcW w:w="5592" w:type="dxa"/>
            <w:vAlign w:val="center"/>
          </w:tcPr>
          <w:p w14:paraId="6E3A493A">
            <w:pPr>
              <w:spacing w:line="360" w:lineRule="auto"/>
              <w:rPr>
                <w:rFonts w:hint="eastAsia" w:ascii="宋体" w:hAnsi="宋体" w:eastAsia="宋体"/>
                <w:color w:val="auto"/>
                <w:szCs w:val="21"/>
                <w:highlight w:val="none"/>
                <w:lang w:eastAsia="zh-CN"/>
              </w:rPr>
            </w:pPr>
            <w:r>
              <w:rPr>
                <w:rFonts w:hint="eastAsia" w:ascii="宋体" w:hAnsi="宋体"/>
                <w:color w:val="auto"/>
                <w:highlight w:val="none"/>
              </w:rPr>
              <w:t>1）</w:t>
            </w:r>
            <w:r>
              <w:rPr>
                <w:rFonts w:hint="eastAsia" w:ascii="宋体" w:hAnsi="宋体"/>
                <w:color w:val="auto"/>
                <w:szCs w:val="21"/>
                <w:highlight w:val="none"/>
              </w:rPr>
              <w:t>可提供</w:t>
            </w:r>
            <w:r>
              <w:rPr>
                <w:rFonts w:hint="eastAsia" w:ascii="宋体" w:hAnsi="宋体"/>
                <w:b/>
                <w:bCs/>
                <w:color w:val="auto"/>
                <w:szCs w:val="21"/>
                <w:highlight w:val="none"/>
                <w:lang w:val="en-US" w:eastAsia="zh-CN"/>
              </w:rPr>
              <w:t>2023年或2024年度</w:t>
            </w:r>
            <w:r>
              <w:rPr>
                <w:rFonts w:hint="eastAsia" w:ascii="宋体" w:hAnsi="宋体"/>
                <w:color w:val="auto"/>
                <w:szCs w:val="21"/>
                <w:highlight w:val="none"/>
              </w:rPr>
              <w:t>经第三方会计师事务所或审计机构审计的财务会计报表，包括财务审计报告、资产负债表、利润表（损益表）、现金流量表、所有者权益变动表（执行小企业会计准则的供应商可不提供所有者权益变动表）及附注（非营利性单位或者社会团体或者其他机关事业单位以符合财务会计制度为准）</w:t>
            </w:r>
            <w:r>
              <w:rPr>
                <w:rFonts w:hint="eastAsia" w:ascii="宋体" w:hAnsi="宋体"/>
                <w:b/>
                <w:bCs/>
                <w:color w:val="auto"/>
                <w:szCs w:val="21"/>
                <w:highlight w:val="none"/>
                <w:lang w:eastAsia="zh-CN"/>
              </w:rPr>
              <w:t>（</w:t>
            </w:r>
            <w:r>
              <w:rPr>
                <w:rFonts w:hint="eastAsia" w:ascii="宋体" w:hAnsi="宋体"/>
                <w:b/>
                <w:bCs/>
                <w:color w:val="auto"/>
                <w:szCs w:val="21"/>
                <w:highlight w:val="none"/>
                <w:lang w:val="en-US" w:eastAsia="zh-CN"/>
              </w:rPr>
              <w:t>投标人</w:t>
            </w:r>
            <w:r>
              <w:rPr>
                <w:rFonts w:hint="eastAsia" w:ascii="宋体" w:hAnsi="宋体"/>
                <w:b/>
                <w:bCs/>
                <w:color w:val="auto"/>
                <w:szCs w:val="21"/>
                <w:highlight w:val="none"/>
              </w:rPr>
              <w:t>成立时间不足1年的，可提供财务状况说明或财务会计制度</w:t>
            </w:r>
            <w:r>
              <w:rPr>
                <w:rFonts w:hint="eastAsia" w:ascii="宋体" w:hAnsi="宋体"/>
                <w:b/>
                <w:bCs/>
                <w:color w:val="auto"/>
                <w:szCs w:val="21"/>
                <w:highlight w:val="none"/>
                <w:lang w:eastAsia="zh-CN"/>
              </w:rPr>
              <w:t>）</w:t>
            </w:r>
            <w:r>
              <w:rPr>
                <w:rFonts w:hint="eastAsia" w:ascii="宋体" w:hAnsi="宋体"/>
                <w:color w:val="auto"/>
                <w:szCs w:val="21"/>
                <w:highlight w:val="none"/>
                <w:lang w:eastAsia="zh-CN"/>
              </w:rPr>
              <w:t>；</w:t>
            </w:r>
          </w:p>
          <w:p w14:paraId="47703027">
            <w:pPr>
              <w:spacing w:line="360" w:lineRule="auto"/>
              <w:rPr>
                <w:rFonts w:ascii="宋体" w:hAnsi="宋体"/>
                <w:color w:val="auto"/>
                <w:highlight w:val="none"/>
              </w:rPr>
            </w:pPr>
            <w:r>
              <w:rPr>
                <w:rFonts w:ascii="宋体" w:hAnsi="宋体"/>
                <w:color w:val="auto"/>
                <w:highlight w:val="none"/>
              </w:rPr>
              <w:t>2</w:t>
            </w:r>
            <w:r>
              <w:rPr>
                <w:rFonts w:hint="eastAsia" w:ascii="宋体" w:hAnsi="宋体"/>
                <w:color w:val="auto"/>
                <w:highlight w:val="none"/>
              </w:rPr>
              <w:t>）</w:t>
            </w:r>
            <w:r>
              <w:rPr>
                <w:rFonts w:ascii="宋体" w:hAnsi="宋体"/>
                <w:color w:val="auto"/>
                <w:highlight w:val="none"/>
              </w:rPr>
              <w:t>可提供自响应文件提交截止时间前三个月内基本开户银行出具的资信证明；</w:t>
            </w:r>
          </w:p>
          <w:p w14:paraId="4A85A5B7">
            <w:pPr>
              <w:spacing w:line="360" w:lineRule="auto"/>
              <w:rPr>
                <w:rFonts w:hAnsi="宋体"/>
                <w:color w:val="auto"/>
                <w:highlight w:val="none"/>
              </w:rPr>
            </w:pPr>
            <w:r>
              <w:rPr>
                <w:rFonts w:hAnsi="宋体"/>
                <w:color w:val="auto"/>
                <w:highlight w:val="none"/>
              </w:rPr>
              <w:t>3</w:t>
            </w:r>
            <w:r>
              <w:rPr>
                <w:rFonts w:hint="eastAsia" w:hAnsi="宋体"/>
                <w:color w:val="auto"/>
                <w:highlight w:val="none"/>
              </w:rPr>
              <w:t>）</w:t>
            </w:r>
            <w:r>
              <w:rPr>
                <w:rFonts w:hAnsi="宋体"/>
                <w:color w:val="auto"/>
                <w:highlight w:val="none"/>
              </w:rPr>
              <w:t>可提供财政部门认可的政府采购专业担保机构出具的投标担保函。</w:t>
            </w:r>
          </w:p>
          <w:p w14:paraId="5856A525">
            <w:pPr>
              <w:spacing w:line="360" w:lineRule="auto"/>
              <w:rPr>
                <w:rFonts w:ascii="宋体" w:hAnsi="宋体"/>
                <w:b/>
                <w:color w:val="auto"/>
                <w:szCs w:val="21"/>
                <w:highlight w:val="none"/>
              </w:rPr>
            </w:pPr>
            <w:r>
              <w:rPr>
                <w:rFonts w:hint="eastAsia" w:hAnsi="宋体"/>
                <w:color w:val="auto"/>
                <w:highlight w:val="none"/>
              </w:rPr>
              <w:t>注：</w:t>
            </w:r>
            <w:r>
              <w:rPr>
                <w:rFonts w:hAnsi="宋体"/>
                <w:color w:val="auto"/>
                <w:highlight w:val="none"/>
              </w:rPr>
              <w:t>投标人可根据自身情况提供上述</w:t>
            </w:r>
            <w:r>
              <w:rPr>
                <w:rFonts w:hint="eastAsia" w:hAnsi="宋体"/>
                <w:color w:val="auto"/>
                <w:highlight w:val="none"/>
              </w:rPr>
              <w:t>序号1）、2）、3）</w:t>
            </w:r>
            <w:r>
              <w:rPr>
                <w:rFonts w:hAnsi="宋体"/>
                <w:color w:val="auto"/>
                <w:highlight w:val="none"/>
              </w:rPr>
              <w:t>任意一种证明材料</w:t>
            </w:r>
            <w:r>
              <w:rPr>
                <w:rFonts w:hint="eastAsia" w:hAnsi="宋体"/>
                <w:color w:val="auto"/>
                <w:highlight w:val="none"/>
              </w:rPr>
              <w:t>扫描件</w:t>
            </w:r>
            <w:r>
              <w:rPr>
                <w:rFonts w:hint="eastAsia" w:hAnsi="宋体"/>
                <w:bCs/>
                <w:color w:val="auto"/>
                <w:szCs w:val="21"/>
                <w:highlight w:val="none"/>
              </w:rPr>
              <w:t>。</w:t>
            </w:r>
          </w:p>
        </w:tc>
      </w:tr>
      <w:tr w14:paraId="0A3DA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 w:hRule="atLeast"/>
          <w:jc w:val="center"/>
        </w:trPr>
        <w:tc>
          <w:tcPr>
            <w:tcW w:w="1198" w:type="dxa"/>
            <w:vAlign w:val="center"/>
          </w:tcPr>
          <w:p w14:paraId="72A2FDD8">
            <w:pPr>
              <w:pStyle w:val="16"/>
              <w:spacing w:line="300" w:lineRule="exact"/>
              <w:jc w:val="center"/>
              <w:rPr>
                <w:rFonts w:hAnsi="宋体"/>
                <w:color w:val="auto"/>
                <w:szCs w:val="21"/>
                <w:highlight w:val="none"/>
              </w:rPr>
            </w:pPr>
            <w:r>
              <w:rPr>
                <w:rFonts w:hint="eastAsia" w:hAnsi="宋体"/>
                <w:color w:val="auto"/>
                <w:szCs w:val="21"/>
                <w:highlight w:val="none"/>
              </w:rPr>
              <w:t>★4.1.3</w:t>
            </w:r>
          </w:p>
        </w:tc>
        <w:tc>
          <w:tcPr>
            <w:tcW w:w="3030" w:type="dxa"/>
            <w:vAlign w:val="center"/>
          </w:tcPr>
          <w:p w14:paraId="25EC3FAD">
            <w:pPr>
              <w:pStyle w:val="16"/>
              <w:spacing w:line="360" w:lineRule="auto"/>
              <w:rPr>
                <w:rFonts w:hAnsi="宋体"/>
                <w:color w:val="auto"/>
                <w:szCs w:val="21"/>
                <w:highlight w:val="none"/>
              </w:rPr>
            </w:pPr>
            <w:r>
              <w:rPr>
                <w:rFonts w:hAnsi="宋体"/>
                <w:bCs/>
                <w:color w:val="auto"/>
                <w:szCs w:val="21"/>
                <w:highlight w:val="none"/>
              </w:rPr>
              <w:t>纳税证明材料的时间范围</w:t>
            </w:r>
          </w:p>
        </w:tc>
        <w:tc>
          <w:tcPr>
            <w:tcW w:w="5592" w:type="dxa"/>
            <w:vAlign w:val="center"/>
          </w:tcPr>
          <w:p w14:paraId="5B32EEB8">
            <w:pPr>
              <w:autoSpaceDE w:val="0"/>
              <w:autoSpaceDN w:val="0"/>
              <w:snapToGrid w:val="0"/>
              <w:spacing w:line="360" w:lineRule="auto"/>
              <w:textAlignment w:val="bottom"/>
              <w:rPr>
                <w:rFonts w:ascii="宋体" w:hAnsi="宋体"/>
                <w:b/>
                <w:color w:val="auto"/>
                <w:szCs w:val="21"/>
                <w:highlight w:val="none"/>
              </w:rPr>
            </w:pPr>
            <w:r>
              <w:rPr>
                <w:rFonts w:hint="eastAsia" w:ascii="宋体" w:hAnsi="宋体"/>
                <w:color w:val="auto"/>
                <w:szCs w:val="21"/>
                <w:highlight w:val="none"/>
              </w:rPr>
              <w:t>缴税所属时间在</w:t>
            </w:r>
            <w:r>
              <w:rPr>
                <w:rFonts w:hint="eastAsia" w:ascii="宋体" w:hAnsi="宋体"/>
                <w:b/>
                <w:bCs/>
                <w:color w:val="auto"/>
                <w:szCs w:val="21"/>
                <w:highlight w:val="none"/>
              </w:rPr>
              <w:t>202</w:t>
            </w:r>
            <w:r>
              <w:rPr>
                <w:rFonts w:hint="eastAsia" w:ascii="宋体" w:hAnsi="宋体"/>
                <w:b/>
                <w:bCs/>
                <w:color w:val="auto"/>
                <w:szCs w:val="21"/>
                <w:highlight w:val="none"/>
                <w:lang w:val="en-US" w:eastAsia="zh-CN"/>
              </w:rPr>
              <w:t>4</w:t>
            </w:r>
            <w:r>
              <w:rPr>
                <w:rFonts w:hint="eastAsia" w:ascii="宋体" w:hAnsi="宋体"/>
                <w:b/>
                <w:bCs/>
                <w:color w:val="auto"/>
                <w:szCs w:val="21"/>
                <w:highlight w:val="none"/>
              </w:rPr>
              <w:t>年</w:t>
            </w:r>
            <w:r>
              <w:rPr>
                <w:rFonts w:hint="eastAsia" w:ascii="宋体" w:hAnsi="宋体"/>
                <w:b/>
                <w:bCs/>
                <w:color w:val="auto"/>
                <w:szCs w:val="21"/>
                <w:highlight w:val="none"/>
                <w:lang w:val="en-US" w:eastAsia="zh-CN"/>
              </w:rPr>
              <w:t>08</w:t>
            </w:r>
            <w:r>
              <w:rPr>
                <w:rFonts w:ascii="宋体" w:hAnsi="宋体"/>
                <w:b/>
                <w:bCs/>
                <w:color w:val="auto"/>
                <w:szCs w:val="21"/>
                <w:highlight w:val="none"/>
              </w:rPr>
              <w:t>月</w:t>
            </w:r>
            <w:r>
              <w:rPr>
                <w:rFonts w:ascii="宋体" w:hAnsi="宋体"/>
                <w:color w:val="auto"/>
                <w:szCs w:val="21"/>
                <w:highlight w:val="none"/>
              </w:rPr>
              <w:t>至投标截止日期前</w:t>
            </w:r>
            <w:r>
              <w:rPr>
                <w:rFonts w:hint="eastAsia" w:ascii="宋体" w:hAnsi="宋体"/>
                <w:b/>
                <w:bCs/>
                <w:color w:val="auto"/>
                <w:szCs w:val="21"/>
                <w:highlight w:val="none"/>
              </w:rPr>
              <w:t>任意</w:t>
            </w:r>
            <w:r>
              <w:rPr>
                <w:rFonts w:hint="eastAsia" w:ascii="宋体" w:hAnsi="宋体"/>
                <w:b/>
                <w:bCs/>
                <w:color w:val="auto"/>
                <w:szCs w:val="21"/>
                <w:highlight w:val="none"/>
                <w:lang w:val="en-US" w:eastAsia="zh-CN"/>
              </w:rPr>
              <w:t>1</w:t>
            </w:r>
            <w:r>
              <w:rPr>
                <w:rFonts w:hint="eastAsia" w:ascii="宋体" w:hAnsi="宋体"/>
                <w:b/>
                <w:bCs/>
                <w:color w:val="auto"/>
                <w:szCs w:val="21"/>
                <w:highlight w:val="none"/>
              </w:rPr>
              <w:t>个月</w:t>
            </w:r>
            <w:r>
              <w:rPr>
                <w:rFonts w:hint="eastAsia" w:ascii="宋体" w:hAnsi="宋体"/>
                <w:color w:val="auto"/>
                <w:szCs w:val="21"/>
                <w:highlight w:val="none"/>
              </w:rPr>
              <w:t>的税务局税收通用缴款书复印件或银行电子缴税（费）凭证复印件或税务局出具纳税情况的相关证明复印件。</w:t>
            </w:r>
            <w:r>
              <w:rPr>
                <w:rFonts w:hint="eastAsia" w:ascii="宋体" w:hAnsi="宋体"/>
                <w:bCs/>
                <w:color w:val="auto"/>
                <w:szCs w:val="21"/>
                <w:highlight w:val="none"/>
              </w:rPr>
              <w:t>（成立未满</w:t>
            </w:r>
            <w:r>
              <w:rPr>
                <w:rFonts w:hint="eastAsia" w:ascii="宋体" w:hAnsi="宋体"/>
                <w:bCs/>
                <w:color w:val="auto"/>
                <w:szCs w:val="21"/>
                <w:highlight w:val="none"/>
                <w:lang w:val="en-US" w:eastAsia="zh-CN"/>
              </w:rPr>
              <w:t>1</w:t>
            </w:r>
            <w:r>
              <w:rPr>
                <w:rFonts w:hint="eastAsia" w:ascii="宋体" w:hAnsi="宋体"/>
                <w:bCs/>
                <w:color w:val="auto"/>
                <w:szCs w:val="21"/>
                <w:highlight w:val="none"/>
              </w:rPr>
              <w:t>个月的提供成立以来的相关证明或相关情况说明；依法免税的，应提供相应文件证明其依法免税）</w:t>
            </w:r>
          </w:p>
        </w:tc>
      </w:tr>
      <w:tr w14:paraId="0E4B1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 w:hRule="atLeast"/>
          <w:jc w:val="center"/>
        </w:trPr>
        <w:tc>
          <w:tcPr>
            <w:tcW w:w="1198" w:type="dxa"/>
            <w:vAlign w:val="center"/>
          </w:tcPr>
          <w:p w14:paraId="15681327">
            <w:pPr>
              <w:pStyle w:val="16"/>
              <w:spacing w:line="300" w:lineRule="exact"/>
              <w:jc w:val="center"/>
              <w:rPr>
                <w:rFonts w:hAnsi="宋体"/>
                <w:color w:val="auto"/>
                <w:szCs w:val="21"/>
                <w:highlight w:val="none"/>
              </w:rPr>
            </w:pPr>
            <w:r>
              <w:rPr>
                <w:rFonts w:hint="eastAsia" w:hAnsi="宋体"/>
                <w:color w:val="auto"/>
                <w:szCs w:val="21"/>
                <w:highlight w:val="none"/>
              </w:rPr>
              <w:t>★4.1.4</w:t>
            </w:r>
          </w:p>
        </w:tc>
        <w:tc>
          <w:tcPr>
            <w:tcW w:w="3030" w:type="dxa"/>
            <w:vAlign w:val="center"/>
          </w:tcPr>
          <w:p w14:paraId="726BC6AF">
            <w:pPr>
              <w:pStyle w:val="16"/>
              <w:spacing w:line="360" w:lineRule="auto"/>
              <w:rPr>
                <w:rFonts w:hAnsi="宋体"/>
                <w:color w:val="auto"/>
                <w:szCs w:val="21"/>
                <w:highlight w:val="none"/>
              </w:rPr>
            </w:pPr>
            <w:r>
              <w:rPr>
                <w:rFonts w:hAnsi="宋体"/>
                <w:bCs/>
                <w:color w:val="auto"/>
                <w:szCs w:val="21"/>
                <w:highlight w:val="none"/>
              </w:rPr>
              <w:t>缴纳社会保险证明材料的时间范围</w:t>
            </w:r>
          </w:p>
        </w:tc>
        <w:tc>
          <w:tcPr>
            <w:tcW w:w="5592" w:type="dxa"/>
            <w:vAlign w:val="center"/>
          </w:tcPr>
          <w:p w14:paraId="45E277FC">
            <w:pPr>
              <w:autoSpaceDE w:val="0"/>
              <w:autoSpaceDN w:val="0"/>
              <w:adjustRightInd w:val="0"/>
              <w:spacing w:line="440" w:lineRule="exact"/>
              <w:ind w:left="315" w:hanging="315" w:hangingChars="150"/>
              <w:rPr>
                <w:rFonts w:ascii="宋体" w:hAnsi="宋体"/>
                <w:b/>
                <w:bCs/>
                <w:color w:val="auto"/>
                <w:szCs w:val="21"/>
                <w:highlight w:val="none"/>
              </w:rPr>
            </w:pPr>
            <w:r>
              <w:rPr>
                <w:rFonts w:hint="eastAsia" w:ascii="宋体" w:hAnsi="宋体"/>
                <w:color w:val="auto"/>
                <w:szCs w:val="21"/>
                <w:highlight w:val="none"/>
              </w:rPr>
              <w:t>缴费所属时间在</w:t>
            </w:r>
            <w:r>
              <w:rPr>
                <w:rFonts w:hint="eastAsia" w:ascii="宋体" w:hAnsi="宋体"/>
                <w:b/>
                <w:bCs/>
                <w:color w:val="auto"/>
                <w:szCs w:val="21"/>
                <w:highlight w:val="none"/>
              </w:rPr>
              <w:t>202</w:t>
            </w:r>
            <w:r>
              <w:rPr>
                <w:rFonts w:hint="eastAsia" w:ascii="宋体" w:hAnsi="宋体"/>
                <w:b/>
                <w:bCs/>
                <w:color w:val="auto"/>
                <w:szCs w:val="21"/>
                <w:highlight w:val="none"/>
                <w:lang w:val="en-US" w:eastAsia="zh-CN"/>
              </w:rPr>
              <w:t>4</w:t>
            </w:r>
            <w:r>
              <w:rPr>
                <w:rFonts w:hint="eastAsia" w:ascii="宋体" w:hAnsi="宋体"/>
                <w:b/>
                <w:bCs/>
                <w:color w:val="auto"/>
                <w:szCs w:val="21"/>
                <w:highlight w:val="none"/>
              </w:rPr>
              <w:t>年</w:t>
            </w:r>
            <w:r>
              <w:rPr>
                <w:rFonts w:hint="eastAsia" w:ascii="宋体" w:hAnsi="宋体"/>
                <w:b/>
                <w:bCs/>
                <w:color w:val="auto"/>
                <w:szCs w:val="21"/>
                <w:highlight w:val="none"/>
                <w:lang w:val="en-US" w:eastAsia="zh-CN"/>
              </w:rPr>
              <w:t>08</w:t>
            </w:r>
            <w:r>
              <w:rPr>
                <w:rFonts w:ascii="宋体" w:hAnsi="宋体"/>
                <w:b/>
                <w:bCs/>
                <w:color w:val="auto"/>
                <w:szCs w:val="21"/>
                <w:highlight w:val="none"/>
              </w:rPr>
              <w:t>月</w:t>
            </w:r>
            <w:r>
              <w:rPr>
                <w:rFonts w:ascii="宋体" w:hAnsi="宋体"/>
                <w:color w:val="auto"/>
                <w:szCs w:val="21"/>
                <w:highlight w:val="none"/>
              </w:rPr>
              <w:t>至投标截止日期前</w:t>
            </w:r>
            <w:r>
              <w:rPr>
                <w:rFonts w:hint="eastAsia" w:ascii="宋体" w:hAnsi="宋体"/>
                <w:b/>
                <w:bCs/>
                <w:color w:val="auto"/>
                <w:szCs w:val="21"/>
                <w:highlight w:val="none"/>
              </w:rPr>
              <w:t>任意</w:t>
            </w:r>
            <w:r>
              <w:rPr>
                <w:rFonts w:hint="eastAsia" w:ascii="宋体" w:hAnsi="宋体"/>
                <w:b/>
                <w:bCs/>
                <w:color w:val="auto"/>
                <w:szCs w:val="21"/>
                <w:highlight w:val="none"/>
                <w:lang w:val="en-US" w:eastAsia="zh-CN"/>
              </w:rPr>
              <w:t>1</w:t>
            </w:r>
            <w:r>
              <w:rPr>
                <w:rFonts w:hint="eastAsia" w:ascii="宋体" w:hAnsi="宋体"/>
                <w:b/>
                <w:bCs/>
                <w:color w:val="auto"/>
                <w:szCs w:val="21"/>
                <w:highlight w:val="none"/>
              </w:rPr>
              <w:t>个月</w:t>
            </w:r>
          </w:p>
          <w:p w14:paraId="4ACB8CED">
            <w:pPr>
              <w:autoSpaceDE w:val="0"/>
              <w:autoSpaceDN w:val="0"/>
              <w:adjustRightInd w:val="0"/>
              <w:spacing w:line="440" w:lineRule="exact"/>
              <w:rPr>
                <w:rFonts w:ascii="宋体" w:hAnsi="宋体"/>
                <w:b/>
                <w:color w:val="auto"/>
                <w:szCs w:val="21"/>
                <w:highlight w:val="none"/>
              </w:rPr>
            </w:pPr>
            <w:r>
              <w:rPr>
                <w:rFonts w:hint="eastAsia" w:ascii="宋体" w:hAnsi="宋体"/>
                <w:color w:val="auto"/>
                <w:szCs w:val="21"/>
                <w:highlight w:val="none"/>
              </w:rPr>
              <w:t>的社会保险费缴款书复印件或银行电子缴税（费）凭证复印件或社保管理部门出具的有效的缴款证明复印件。</w:t>
            </w:r>
            <w:r>
              <w:rPr>
                <w:rFonts w:hint="eastAsia" w:ascii="宋体" w:hAnsi="宋体" w:cs="Courier New"/>
                <w:color w:val="auto"/>
                <w:kern w:val="0"/>
                <w:szCs w:val="21"/>
                <w:highlight w:val="none"/>
              </w:rPr>
              <w:t>（成立未满</w:t>
            </w:r>
            <w:r>
              <w:rPr>
                <w:rFonts w:hint="eastAsia" w:ascii="宋体" w:hAnsi="宋体" w:cs="Courier New"/>
                <w:color w:val="auto"/>
                <w:kern w:val="0"/>
                <w:szCs w:val="21"/>
                <w:highlight w:val="none"/>
                <w:lang w:val="en-US" w:eastAsia="zh-CN"/>
              </w:rPr>
              <w:t>1</w:t>
            </w:r>
            <w:r>
              <w:rPr>
                <w:rFonts w:hint="eastAsia" w:ascii="宋体" w:hAnsi="宋体" w:cs="Courier New"/>
                <w:color w:val="auto"/>
                <w:kern w:val="0"/>
                <w:szCs w:val="21"/>
                <w:highlight w:val="none"/>
              </w:rPr>
              <w:t>个月的提供成立以来的社会保险费缴纳证明或相关情况说明；不需要缴纳社会保险费的，应提供相应文件证明其不需要缴纳社会保险费）</w:t>
            </w:r>
          </w:p>
        </w:tc>
      </w:tr>
      <w:tr w14:paraId="2963B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1198" w:type="dxa"/>
            <w:vAlign w:val="center"/>
          </w:tcPr>
          <w:p w14:paraId="1F7211A0">
            <w:pPr>
              <w:pStyle w:val="16"/>
              <w:spacing w:line="300" w:lineRule="exact"/>
              <w:jc w:val="center"/>
              <w:rPr>
                <w:rFonts w:hAnsi="宋体"/>
                <w:color w:val="auto"/>
                <w:szCs w:val="21"/>
                <w:highlight w:val="none"/>
              </w:rPr>
            </w:pPr>
            <w:r>
              <w:rPr>
                <w:rFonts w:hint="eastAsia" w:hAnsi="宋体"/>
                <w:color w:val="auto"/>
                <w:szCs w:val="21"/>
                <w:highlight w:val="none"/>
              </w:rPr>
              <w:t>★4.2</w:t>
            </w:r>
          </w:p>
        </w:tc>
        <w:tc>
          <w:tcPr>
            <w:tcW w:w="3030" w:type="dxa"/>
            <w:vAlign w:val="center"/>
          </w:tcPr>
          <w:p w14:paraId="5300195C">
            <w:pPr>
              <w:pStyle w:val="16"/>
              <w:spacing w:line="300" w:lineRule="exact"/>
              <w:rPr>
                <w:rFonts w:hAnsi="宋体"/>
                <w:color w:val="auto"/>
                <w:szCs w:val="21"/>
                <w:highlight w:val="none"/>
              </w:rPr>
            </w:pPr>
            <w:r>
              <w:rPr>
                <w:rFonts w:hint="eastAsia" w:hAnsi="宋体"/>
                <w:color w:val="auto"/>
                <w:szCs w:val="21"/>
                <w:highlight w:val="none"/>
              </w:rPr>
              <w:t>采购人根据采购项目的特殊要求规定的特定条件</w:t>
            </w:r>
          </w:p>
        </w:tc>
        <w:tc>
          <w:tcPr>
            <w:tcW w:w="5592" w:type="dxa"/>
            <w:vAlign w:val="center"/>
          </w:tcPr>
          <w:p w14:paraId="2955C2D3">
            <w:pPr>
              <w:autoSpaceDE w:val="0"/>
              <w:autoSpaceDN w:val="0"/>
              <w:snapToGrid w:val="0"/>
              <w:spacing w:line="300" w:lineRule="exact"/>
              <w:textAlignment w:val="bottom"/>
              <w:rPr>
                <w:rFonts w:ascii="宋体" w:hAnsi="宋体"/>
                <w:color w:val="auto"/>
                <w:szCs w:val="21"/>
                <w:highlight w:val="none"/>
              </w:rPr>
            </w:pPr>
            <w:r>
              <w:rPr>
                <w:rFonts w:hint="eastAsia" w:ascii="宋体" w:hAnsi="宋体"/>
                <w:color w:val="auto"/>
                <w:szCs w:val="21"/>
                <w:highlight w:val="none"/>
              </w:rPr>
              <w:t>见第一章“招标公告”二、申请</w:t>
            </w:r>
            <w:r>
              <w:rPr>
                <w:rFonts w:ascii="宋体" w:hAnsi="宋体"/>
                <w:color w:val="auto"/>
                <w:szCs w:val="21"/>
                <w:highlight w:val="none"/>
              </w:rPr>
              <w:t>人的资格要求</w:t>
            </w:r>
          </w:p>
        </w:tc>
      </w:tr>
      <w:tr w14:paraId="001B1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7" w:hRule="atLeast"/>
          <w:jc w:val="center"/>
        </w:trPr>
        <w:tc>
          <w:tcPr>
            <w:tcW w:w="1198" w:type="dxa"/>
            <w:vAlign w:val="center"/>
          </w:tcPr>
          <w:p w14:paraId="23AD4664">
            <w:pPr>
              <w:pStyle w:val="16"/>
              <w:spacing w:line="300" w:lineRule="exact"/>
              <w:jc w:val="center"/>
              <w:rPr>
                <w:rFonts w:hAnsi="宋体"/>
                <w:color w:val="auto"/>
                <w:szCs w:val="21"/>
                <w:highlight w:val="none"/>
              </w:rPr>
            </w:pPr>
            <w:r>
              <w:rPr>
                <w:rFonts w:hint="eastAsia" w:hAnsi="宋体"/>
                <w:color w:val="auto"/>
                <w:szCs w:val="21"/>
                <w:highlight w:val="none"/>
              </w:rPr>
              <w:t>4.</w:t>
            </w:r>
            <w:r>
              <w:rPr>
                <w:rFonts w:hAnsi="宋体"/>
                <w:color w:val="auto"/>
                <w:szCs w:val="21"/>
                <w:highlight w:val="none"/>
              </w:rPr>
              <w:t>5</w:t>
            </w:r>
          </w:p>
        </w:tc>
        <w:tc>
          <w:tcPr>
            <w:tcW w:w="3030" w:type="dxa"/>
            <w:vAlign w:val="center"/>
          </w:tcPr>
          <w:p w14:paraId="33925780">
            <w:pPr>
              <w:pStyle w:val="16"/>
              <w:spacing w:line="300" w:lineRule="exact"/>
              <w:rPr>
                <w:rFonts w:hAnsi="宋体"/>
                <w:color w:val="auto"/>
                <w:szCs w:val="21"/>
                <w:highlight w:val="none"/>
              </w:rPr>
            </w:pPr>
            <w:r>
              <w:rPr>
                <w:rFonts w:hint="eastAsia" w:hAnsi="宋体"/>
                <w:color w:val="auto"/>
                <w:szCs w:val="21"/>
                <w:highlight w:val="none"/>
              </w:rPr>
              <w:t>是否接受联合体投标</w:t>
            </w:r>
          </w:p>
        </w:tc>
        <w:tc>
          <w:tcPr>
            <w:tcW w:w="5592" w:type="dxa"/>
            <w:vAlign w:val="center"/>
          </w:tcPr>
          <w:p w14:paraId="27811903">
            <w:pPr>
              <w:pStyle w:val="16"/>
              <w:spacing w:line="300" w:lineRule="exact"/>
              <w:jc w:val="left"/>
              <w:rPr>
                <w:rFonts w:hAnsi="宋体"/>
                <w:color w:val="auto"/>
                <w:szCs w:val="21"/>
                <w:highlight w:val="none"/>
              </w:rPr>
            </w:pPr>
            <w:r>
              <w:rPr>
                <w:rFonts w:hint="eastAsia" w:hAnsi="宋体"/>
                <w:color w:val="auto"/>
                <w:szCs w:val="21"/>
                <w:highlight w:val="none"/>
              </w:rPr>
              <w:t>不接受</w:t>
            </w:r>
          </w:p>
        </w:tc>
      </w:tr>
      <w:tr w14:paraId="6D67C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9" w:hRule="atLeast"/>
          <w:jc w:val="center"/>
        </w:trPr>
        <w:tc>
          <w:tcPr>
            <w:tcW w:w="1198" w:type="dxa"/>
            <w:vAlign w:val="center"/>
          </w:tcPr>
          <w:p w14:paraId="30B59EE7">
            <w:pPr>
              <w:pStyle w:val="16"/>
              <w:spacing w:line="300" w:lineRule="exact"/>
              <w:jc w:val="center"/>
              <w:rPr>
                <w:rFonts w:hAnsi="宋体"/>
                <w:color w:val="auto"/>
                <w:szCs w:val="21"/>
                <w:highlight w:val="none"/>
              </w:rPr>
            </w:pPr>
            <w:r>
              <w:rPr>
                <w:rFonts w:hint="eastAsia" w:hAnsi="宋体"/>
                <w:color w:val="auto"/>
                <w:szCs w:val="21"/>
                <w:highlight w:val="none"/>
              </w:rPr>
              <w:t>9.1</w:t>
            </w:r>
          </w:p>
        </w:tc>
        <w:tc>
          <w:tcPr>
            <w:tcW w:w="3030" w:type="dxa"/>
            <w:vAlign w:val="center"/>
          </w:tcPr>
          <w:p w14:paraId="2643BBBB">
            <w:pPr>
              <w:autoSpaceDE w:val="0"/>
              <w:autoSpaceDN w:val="0"/>
              <w:snapToGrid w:val="0"/>
              <w:spacing w:line="300" w:lineRule="exact"/>
              <w:textAlignment w:val="bottom"/>
              <w:rPr>
                <w:rFonts w:ascii="宋体" w:hAnsi="宋体"/>
                <w:color w:val="auto"/>
                <w:szCs w:val="21"/>
                <w:highlight w:val="none"/>
              </w:rPr>
            </w:pPr>
            <w:r>
              <w:rPr>
                <w:rFonts w:hint="eastAsia" w:ascii="宋体" w:hAnsi="宋体"/>
                <w:color w:val="auto"/>
                <w:szCs w:val="21"/>
                <w:highlight w:val="none"/>
              </w:rPr>
              <w:t>招标文件澄清截止时间</w:t>
            </w:r>
          </w:p>
        </w:tc>
        <w:tc>
          <w:tcPr>
            <w:tcW w:w="5592" w:type="dxa"/>
            <w:vAlign w:val="center"/>
          </w:tcPr>
          <w:p w14:paraId="1131CFB1">
            <w:pPr>
              <w:pStyle w:val="16"/>
              <w:spacing w:line="300" w:lineRule="exact"/>
              <w:jc w:val="left"/>
              <w:rPr>
                <w:rFonts w:hAnsi="宋体"/>
                <w:bCs/>
                <w:color w:val="auto"/>
                <w:szCs w:val="21"/>
                <w:highlight w:val="none"/>
              </w:rPr>
            </w:pPr>
            <w:r>
              <w:rPr>
                <w:rFonts w:hint="eastAsia" w:hAnsi="宋体"/>
                <w:color w:val="auto"/>
                <w:szCs w:val="21"/>
                <w:highlight w:val="none"/>
              </w:rPr>
              <w:t>提交投标文件截止时间十五日前</w:t>
            </w:r>
          </w:p>
        </w:tc>
      </w:tr>
      <w:tr w14:paraId="023C2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8" w:hRule="atLeast"/>
          <w:jc w:val="center"/>
        </w:trPr>
        <w:tc>
          <w:tcPr>
            <w:tcW w:w="1198" w:type="dxa"/>
            <w:vAlign w:val="center"/>
          </w:tcPr>
          <w:p w14:paraId="29095C47">
            <w:pPr>
              <w:pStyle w:val="16"/>
              <w:spacing w:line="300" w:lineRule="exact"/>
              <w:jc w:val="center"/>
              <w:rPr>
                <w:rFonts w:hAnsi="宋体"/>
                <w:color w:val="auto"/>
                <w:szCs w:val="21"/>
                <w:highlight w:val="none"/>
              </w:rPr>
            </w:pPr>
            <w:r>
              <w:rPr>
                <w:rFonts w:hAnsi="宋体"/>
                <w:color w:val="auto"/>
                <w:szCs w:val="21"/>
                <w:highlight w:val="none"/>
              </w:rPr>
              <w:t>13.1</w:t>
            </w:r>
            <w:r>
              <w:rPr>
                <w:rFonts w:hint="eastAsia" w:hAnsi="宋体"/>
                <w:color w:val="auto"/>
                <w:szCs w:val="21"/>
                <w:highlight w:val="none"/>
              </w:rPr>
              <w:t>.3、13.1.4</w:t>
            </w:r>
          </w:p>
        </w:tc>
        <w:tc>
          <w:tcPr>
            <w:tcW w:w="3030" w:type="dxa"/>
            <w:vAlign w:val="center"/>
          </w:tcPr>
          <w:p w14:paraId="23EEA5E0">
            <w:pPr>
              <w:pStyle w:val="16"/>
              <w:spacing w:line="300" w:lineRule="exact"/>
              <w:rPr>
                <w:rFonts w:hAnsi="宋体"/>
                <w:color w:val="auto"/>
                <w:szCs w:val="21"/>
                <w:highlight w:val="none"/>
              </w:rPr>
            </w:pPr>
            <w:r>
              <w:rPr>
                <w:rFonts w:hAnsi="宋体"/>
                <w:color w:val="auto"/>
                <w:szCs w:val="21"/>
                <w:highlight w:val="none"/>
              </w:rPr>
              <w:t>构成投标文件的其他资料</w:t>
            </w:r>
          </w:p>
        </w:tc>
        <w:tc>
          <w:tcPr>
            <w:tcW w:w="5592" w:type="dxa"/>
            <w:vAlign w:val="center"/>
          </w:tcPr>
          <w:p w14:paraId="3E867867">
            <w:pPr>
              <w:autoSpaceDE w:val="0"/>
              <w:autoSpaceDN w:val="0"/>
              <w:snapToGrid w:val="0"/>
              <w:spacing w:line="300" w:lineRule="exact"/>
              <w:textAlignment w:val="bottom"/>
              <w:rPr>
                <w:rFonts w:ascii="宋体" w:hAnsi="宋体"/>
                <w:bCs/>
                <w:color w:val="auto"/>
                <w:szCs w:val="21"/>
                <w:highlight w:val="none"/>
              </w:rPr>
            </w:pPr>
            <w:r>
              <w:rPr>
                <w:rFonts w:hint="eastAsia" w:ascii="宋体" w:hAnsi="宋体"/>
                <w:bCs/>
                <w:color w:val="auto"/>
                <w:szCs w:val="21"/>
                <w:highlight w:val="none"/>
              </w:rPr>
              <w:t>1）</w:t>
            </w:r>
            <w:r>
              <w:rPr>
                <w:rFonts w:hint="eastAsia" w:ascii="宋体" w:hAnsi="宋体"/>
                <w:bCs/>
                <w:color w:val="auto"/>
                <w:szCs w:val="21"/>
                <w:highlight w:val="none"/>
              </w:rPr>
              <w:tab/>
            </w:r>
            <w:r>
              <w:rPr>
                <w:rFonts w:hint="eastAsia" w:ascii="宋体" w:hAnsi="宋体"/>
                <w:bCs/>
                <w:color w:val="auto"/>
                <w:szCs w:val="21"/>
                <w:highlight w:val="none"/>
              </w:rPr>
              <w:t>第五章“</w:t>
            </w:r>
            <w:r>
              <w:rPr>
                <w:rFonts w:hint="eastAsia" w:ascii="宋体" w:hAnsi="宋体"/>
                <w:bCs/>
                <w:color w:val="auto"/>
                <w:szCs w:val="21"/>
                <w:highlight w:val="none"/>
                <w:lang w:eastAsia="zh-CN"/>
              </w:rPr>
              <w:t>采购需求</w:t>
            </w:r>
            <w:r>
              <w:rPr>
                <w:rFonts w:hint="eastAsia" w:ascii="宋体" w:hAnsi="宋体"/>
                <w:bCs/>
                <w:color w:val="auto"/>
                <w:szCs w:val="21"/>
                <w:highlight w:val="none"/>
              </w:rPr>
              <w:t>”中要求提供的其他资料；</w:t>
            </w:r>
          </w:p>
          <w:p w14:paraId="4F752641">
            <w:pPr>
              <w:autoSpaceDE w:val="0"/>
              <w:autoSpaceDN w:val="0"/>
              <w:snapToGrid w:val="0"/>
              <w:spacing w:line="300" w:lineRule="exact"/>
              <w:textAlignment w:val="bottom"/>
              <w:rPr>
                <w:rFonts w:ascii="宋体" w:hAnsi="宋体"/>
                <w:bCs/>
                <w:color w:val="auto"/>
                <w:szCs w:val="21"/>
                <w:highlight w:val="none"/>
              </w:rPr>
            </w:pPr>
            <w:r>
              <w:rPr>
                <w:rFonts w:hint="eastAsia" w:ascii="宋体" w:hAnsi="宋体"/>
                <w:bCs/>
                <w:color w:val="auto"/>
                <w:szCs w:val="21"/>
                <w:highlight w:val="none"/>
              </w:rPr>
              <w:t>2）招标文件中所涉及的投标人资格要求相关资料及证明文件或投标人认为必须提供的其他相关资料。</w:t>
            </w:r>
          </w:p>
        </w:tc>
      </w:tr>
      <w:tr w14:paraId="06F9AB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8" w:hRule="atLeast"/>
          <w:jc w:val="center"/>
        </w:trPr>
        <w:tc>
          <w:tcPr>
            <w:tcW w:w="1198" w:type="dxa"/>
            <w:vAlign w:val="center"/>
          </w:tcPr>
          <w:p w14:paraId="67F40E8D">
            <w:pPr>
              <w:pStyle w:val="16"/>
              <w:spacing w:line="300" w:lineRule="exact"/>
              <w:jc w:val="center"/>
              <w:rPr>
                <w:rFonts w:hAnsi="宋体"/>
                <w:color w:val="auto"/>
                <w:szCs w:val="21"/>
                <w:highlight w:val="none"/>
              </w:rPr>
            </w:pPr>
            <w:r>
              <w:rPr>
                <w:rFonts w:hint="eastAsia" w:hAnsi="宋体"/>
                <w:color w:val="auto"/>
                <w:szCs w:val="21"/>
                <w:highlight w:val="none"/>
              </w:rPr>
              <w:t>★15.1</w:t>
            </w:r>
          </w:p>
        </w:tc>
        <w:tc>
          <w:tcPr>
            <w:tcW w:w="3030" w:type="dxa"/>
            <w:vAlign w:val="center"/>
          </w:tcPr>
          <w:p w14:paraId="65BDB188">
            <w:pPr>
              <w:pStyle w:val="16"/>
              <w:spacing w:line="300" w:lineRule="exact"/>
              <w:rPr>
                <w:rFonts w:hint="default" w:hAnsi="宋体" w:eastAsia="宋体"/>
                <w:color w:val="auto"/>
                <w:szCs w:val="21"/>
                <w:highlight w:val="none"/>
                <w:lang w:val="en-US" w:eastAsia="zh-CN"/>
              </w:rPr>
            </w:pPr>
            <w:r>
              <w:rPr>
                <w:rFonts w:hint="eastAsia" w:hAnsi="宋体"/>
                <w:color w:val="auto"/>
                <w:szCs w:val="21"/>
                <w:highlight w:val="none"/>
              </w:rPr>
              <w:t>本项目预算金额及最高限价</w:t>
            </w:r>
          </w:p>
        </w:tc>
        <w:tc>
          <w:tcPr>
            <w:tcW w:w="5592" w:type="dxa"/>
            <w:vAlign w:val="center"/>
          </w:tcPr>
          <w:p w14:paraId="027DB74E">
            <w:pPr>
              <w:autoSpaceDE w:val="0"/>
              <w:autoSpaceDN w:val="0"/>
              <w:snapToGrid w:val="0"/>
              <w:spacing w:line="300" w:lineRule="exact"/>
              <w:textAlignment w:val="bottom"/>
              <w:rPr>
                <w:rFonts w:ascii="宋体" w:hAnsi="宋体"/>
                <w:bCs/>
                <w:color w:val="auto"/>
                <w:szCs w:val="21"/>
                <w:highlight w:val="none"/>
              </w:rPr>
            </w:pPr>
            <w:r>
              <w:rPr>
                <w:rFonts w:hint="eastAsia" w:ascii="宋体" w:hAnsi="宋体"/>
                <w:color w:val="auto"/>
                <w:szCs w:val="21"/>
                <w:highlight w:val="none"/>
              </w:rPr>
              <w:t>见第一章“招标公告”</w:t>
            </w:r>
          </w:p>
        </w:tc>
      </w:tr>
      <w:tr w14:paraId="0E3A9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1198" w:type="dxa"/>
            <w:vAlign w:val="center"/>
          </w:tcPr>
          <w:p w14:paraId="568241A0">
            <w:pPr>
              <w:pStyle w:val="16"/>
              <w:spacing w:line="300" w:lineRule="exact"/>
              <w:jc w:val="center"/>
              <w:rPr>
                <w:rFonts w:hAnsi="宋体"/>
                <w:color w:val="auto"/>
                <w:szCs w:val="21"/>
                <w:highlight w:val="none"/>
              </w:rPr>
            </w:pPr>
            <w:r>
              <w:rPr>
                <w:rFonts w:hint="eastAsia" w:hAnsi="宋体"/>
                <w:color w:val="auto"/>
                <w:szCs w:val="21"/>
                <w:highlight w:val="none"/>
              </w:rPr>
              <w:t>★17.1</w:t>
            </w:r>
          </w:p>
        </w:tc>
        <w:tc>
          <w:tcPr>
            <w:tcW w:w="3030" w:type="dxa"/>
            <w:vAlign w:val="center"/>
          </w:tcPr>
          <w:p w14:paraId="68D1B585">
            <w:pPr>
              <w:pStyle w:val="16"/>
              <w:spacing w:line="300" w:lineRule="exact"/>
              <w:rPr>
                <w:rFonts w:hAnsi="宋体"/>
                <w:color w:val="auto"/>
                <w:szCs w:val="21"/>
                <w:highlight w:val="none"/>
              </w:rPr>
            </w:pPr>
            <w:r>
              <w:rPr>
                <w:rFonts w:hint="eastAsia" w:hAnsi="宋体"/>
                <w:color w:val="auto"/>
                <w:szCs w:val="21"/>
                <w:highlight w:val="none"/>
              </w:rPr>
              <w:t>投标文件有效期</w:t>
            </w:r>
          </w:p>
        </w:tc>
        <w:tc>
          <w:tcPr>
            <w:tcW w:w="5592" w:type="dxa"/>
            <w:vAlign w:val="center"/>
          </w:tcPr>
          <w:p w14:paraId="4DD46A0D">
            <w:pPr>
              <w:pStyle w:val="16"/>
              <w:spacing w:line="300" w:lineRule="exact"/>
              <w:rPr>
                <w:rFonts w:hAnsi="宋体"/>
                <w:color w:val="auto"/>
                <w:szCs w:val="21"/>
                <w:highlight w:val="none"/>
              </w:rPr>
            </w:pPr>
            <w:r>
              <w:rPr>
                <w:rFonts w:hint="eastAsia" w:hAnsi="宋体"/>
                <w:color w:val="auto"/>
                <w:szCs w:val="21"/>
                <w:highlight w:val="none"/>
              </w:rPr>
              <w:t>从提交投标文件截止之日起</w:t>
            </w:r>
            <w:r>
              <w:rPr>
                <w:rFonts w:hint="eastAsia" w:hAnsi="宋体"/>
                <w:color w:val="auto"/>
                <w:szCs w:val="21"/>
                <w:highlight w:val="none"/>
                <w:u w:val="single"/>
              </w:rPr>
              <w:t>90</w:t>
            </w:r>
            <w:r>
              <w:rPr>
                <w:rFonts w:hint="eastAsia" w:hAnsi="宋体"/>
                <w:color w:val="auto"/>
                <w:szCs w:val="21"/>
                <w:highlight w:val="none"/>
              </w:rPr>
              <w:t>日历天</w:t>
            </w:r>
          </w:p>
        </w:tc>
      </w:tr>
      <w:tr w14:paraId="61420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1198" w:type="dxa"/>
            <w:vAlign w:val="center"/>
          </w:tcPr>
          <w:p w14:paraId="41898BD7">
            <w:pPr>
              <w:pStyle w:val="16"/>
              <w:spacing w:line="300" w:lineRule="exact"/>
              <w:jc w:val="center"/>
              <w:rPr>
                <w:rFonts w:hAnsi="宋体"/>
                <w:color w:val="auto"/>
                <w:szCs w:val="21"/>
                <w:highlight w:val="none"/>
              </w:rPr>
            </w:pPr>
            <w:r>
              <w:rPr>
                <w:rFonts w:hint="eastAsia" w:hAnsi="宋体"/>
                <w:color w:val="auto"/>
                <w:szCs w:val="21"/>
                <w:highlight w:val="none"/>
              </w:rPr>
              <w:t>18</w:t>
            </w:r>
          </w:p>
        </w:tc>
        <w:tc>
          <w:tcPr>
            <w:tcW w:w="3030" w:type="dxa"/>
            <w:vAlign w:val="center"/>
          </w:tcPr>
          <w:p w14:paraId="1485656A">
            <w:pPr>
              <w:pStyle w:val="16"/>
              <w:spacing w:line="300" w:lineRule="exact"/>
              <w:rPr>
                <w:rFonts w:hAnsi="宋体"/>
                <w:color w:val="auto"/>
                <w:szCs w:val="21"/>
                <w:highlight w:val="none"/>
              </w:rPr>
            </w:pPr>
            <w:r>
              <w:rPr>
                <w:rFonts w:hint="eastAsia" w:hAnsi="宋体"/>
                <w:color w:val="auto"/>
                <w:szCs w:val="21"/>
                <w:highlight w:val="none"/>
              </w:rPr>
              <w:t>分包</w:t>
            </w:r>
          </w:p>
        </w:tc>
        <w:tc>
          <w:tcPr>
            <w:tcW w:w="5592" w:type="dxa"/>
            <w:vAlign w:val="center"/>
          </w:tcPr>
          <w:p w14:paraId="737696D0">
            <w:pPr>
              <w:pStyle w:val="16"/>
              <w:spacing w:line="300" w:lineRule="exact"/>
              <w:rPr>
                <w:rFonts w:hAnsi="宋体"/>
                <w:color w:val="auto"/>
                <w:szCs w:val="21"/>
                <w:highlight w:val="none"/>
              </w:rPr>
            </w:pPr>
            <w:r>
              <w:rPr>
                <w:rFonts w:hint="eastAsia" w:hAnsi="宋体"/>
                <w:color w:val="auto"/>
                <w:szCs w:val="24"/>
                <w:highlight w:val="none"/>
              </w:rPr>
              <w:t>■</w:t>
            </w:r>
            <w:r>
              <w:rPr>
                <w:rFonts w:hint="eastAsia" w:hAnsi="宋体"/>
                <w:color w:val="auto"/>
                <w:szCs w:val="21"/>
                <w:highlight w:val="none"/>
              </w:rPr>
              <w:t>本项目不得分包。</w:t>
            </w:r>
          </w:p>
          <w:p w14:paraId="72C225EF">
            <w:pPr>
              <w:pStyle w:val="16"/>
              <w:spacing w:line="300" w:lineRule="exact"/>
              <w:rPr>
                <w:rFonts w:hint="eastAsia" w:hAnsi="宋体"/>
                <w:color w:val="auto"/>
                <w:szCs w:val="24"/>
                <w:highlight w:val="none"/>
              </w:rPr>
            </w:pPr>
            <w:r>
              <w:rPr>
                <w:rFonts w:hAnsi="宋体"/>
                <w:color w:val="auto"/>
                <w:szCs w:val="24"/>
                <w:highlight w:val="none"/>
              </w:rPr>
              <w:t>□本项目中</w:t>
            </w:r>
            <w:r>
              <w:rPr>
                <w:rFonts w:hint="eastAsia" w:hAnsi="宋体"/>
                <w:color w:val="auto"/>
                <w:szCs w:val="24"/>
                <w:highlight w:val="none"/>
              </w:rPr>
              <w:t>，可以分包。</w:t>
            </w:r>
          </w:p>
        </w:tc>
      </w:tr>
      <w:tr w14:paraId="2F7D6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1198" w:type="dxa"/>
            <w:vAlign w:val="center"/>
          </w:tcPr>
          <w:p w14:paraId="094E6ADA">
            <w:pPr>
              <w:pStyle w:val="16"/>
              <w:spacing w:line="300" w:lineRule="exact"/>
              <w:jc w:val="center"/>
              <w:rPr>
                <w:rFonts w:hint="eastAsia" w:hAnsi="宋体"/>
                <w:color w:val="auto"/>
                <w:szCs w:val="21"/>
                <w:highlight w:val="none"/>
              </w:rPr>
            </w:pPr>
            <w:r>
              <w:rPr>
                <w:rFonts w:hint="eastAsia" w:hAnsi="宋体"/>
                <w:color w:val="auto"/>
                <w:szCs w:val="21"/>
                <w:highlight w:val="none"/>
              </w:rPr>
              <w:t>20</w:t>
            </w:r>
          </w:p>
        </w:tc>
        <w:tc>
          <w:tcPr>
            <w:tcW w:w="3030" w:type="dxa"/>
            <w:vAlign w:val="center"/>
          </w:tcPr>
          <w:p w14:paraId="7C6BCE4C">
            <w:pPr>
              <w:pStyle w:val="16"/>
              <w:spacing w:line="300" w:lineRule="exact"/>
              <w:rPr>
                <w:rFonts w:hint="eastAsia" w:hAnsi="宋体"/>
                <w:color w:val="auto"/>
                <w:szCs w:val="21"/>
                <w:highlight w:val="none"/>
              </w:rPr>
            </w:pPr>
            <w:r>
              <w:rPr>
                <w:rFonts w:hint="eastAsia" w:hAnsi="宋体"/>
                <w:bCs/>
                <w:color w:val="auto"/>
                <w:szCs w:val="21"/>
                <w:highlight w:val="none"/>
              </w:rPr>
              <w:t>投标</w:t>
            </w:r>
            <w:r>
              <w:rPr>
                <w:rFonts w:hAnsi="宋体"/>
                <w:bCs/>
                <w:color w:val="auto"/>
                <w:szCs w:val="21"/>
                <w:highlight w:val="none"/>
              </w:rPr>
              <w:t>文件</w:t>
            </w:r>
            <w:r>
              <w:rPr>
                <w:rFonts w:hint="eastAsia" w:hAnsi="宋体"/>
                <w:bCs/>
                <w:color w:val="auto"/>
                <w:szCs w:val="21"/>
                <w:highlight w:val="none"/>
              </w:rPr>
              <w:t>编制</w:t>
            </w:r>
          </w:p>
        </w:tc>
        <w:tc>
          <w:tcPr>
            <w:tcW w:w="5592" w:type="dxa"/>
            <w:vAlign w:val="center"/>
          </w:tcPr>
          <w:p w14:paraId="6497514E">
            <w:pPr>
              <w:pStyle w:val="16"/>
              <w:spacing w:line="300" w:lineRule="exact"/>
              <w:rPr>
                <w:rFonts w:hint="eastAsia" w:hAnsi="宋体"/>
                <w:color w:val="auto"/>
                <w:szCs w:val="24"/>
                <w:highlight w:val="none"/>
              </w:rPr>
            </w:pPr>
            <w:r>
              <w:rPr>
                <w:rFonts w:hint="eastAsia" w:ascii="宋体" w:hAnsi="宋体"/>
                <w:color w:val="auto"/>
                <w:highlight w:val="none"/>
              </w:rPr>
              <w:t>投标文件须按招标文件要求的格式进行编制。投标文件全部采用电子文档，供应商应安装客户端软件—“政采云电子交易客户端”，并按照招标文件和政采云电子交易平台的要求编制，编制后应进行电子签名及加密。</w:t>
            </w:r>
          </w:p>
        </w:tc>
      </w:tr>
      <w:tr w14:paraId="6AECA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1198" w:type="dxa"/>
            <w:vAlign w:val="center"/>
          </w:tcPr>
          <w:p w14:paraId="04D2BCED">
            <w:pPr>
              <w:pStyle w:val="16"/>
              <w:spacing w:line="300" w:lineRule="exact"/>
              <w:jc w:val="center"/>
              <w:rPr>
                <w:rFonts w:hAnsi="宋体"/>
                <w:color w:val="auto"/>
                <w:szCs w:val="21"/>
                <w:highlight w:val="none"/>
              </w:rPr>
            </w:pPr>
            <w:r>
              <w:rPr>
                <w:rFonts w:hAnsi="宋体"/>
                <w:color w:val="auto"/>
                <w:szCs w:val="21"/>
                <w:highlight w:val="none"/>
              </w:rPr>
              <w:t>21.1</w:t>
            </w:r>
          </w:p>
        </w:tc>
        <w:tc>
          <w:tcPr>
            <w:tcW w:w="3030" w:type="dxa"/>
            <w:vAlign w:val="center"/>
          </w:tcPr>
          <w:p w14:paraId="72785DAF">
            <w:pPr>
              <w:pStyle w:val="16"/>
              <w:spacing w:line="300" w:lineRule="exact"/>
              <w:rPr>
                <w:rFonts w:hAnsi="宋体"/>
                <w:color w:val="auto"/>
                <w:szCs w:val="21"/>
                <w:highlight w:val="none"/>
              </w:rPr>
            </w:pPr>
            <w:r>
              <w:rPr>
                <w:rFonts w:hint="eastAsia" w:hAnsi="宋体"/>
                <w:color w:val="auto"/>
                <w:szCs w:val="21"/>
                <w:highlight w:val="none"/>
              </w:rPr>
              <w:t>投标保证金</w:t>
            </w:r>
          </w:p>
        </w:tc>
        <w:tc>
          <w:tcPr>
            <w:tcW w:w="5592" w:type="dxa"/>
            <w:vAlign w:val="center"/>
          </w:tcPr>
          <w:p w14:paraId="24901B7C">
            <w:pPr>
              <w:autoSpaceDE w:val="0"/>
              <w:autoSpaceDN w:val="0"/>
              <w:snapToGrid w:val="0"/>
              <w:spacing w:line="300" w:lineRule="exact"/>
              <w:textAlignment w:val="bottom"/>
              <w:rPr>
                <w:rFonts w:hint="eastAsia" w:ascii="宋体" w:hAnsi="宋体"/>
                <w:bCs/>
                <w:color w:val="auto"/>
                <w:szCs w:val="21"/>
                <w:highlight w:val="none"/>
                <w:lang w:eastAsia="zh-CN"/>
              </w:rPr>
            </w:pPr>
            <w:r>
              <w:rPr>
                <w:rFonts w:hint="eastAsia" w:ascii="宋体" w:hAnsi="宋体"/>
                <w:bCs/>
                <w:color w:val="auto"/>
                <w:szCs w:val="21"/>
                <w:highlight w:val="none"/>
                <w:lang w:eastAsia="zh-CN"/>
              </w:rPr>
              <w:t xml:space="preserve">缴纳方式：电汇、网银、支票、汇票、本票、保函等非现金形式缴纳或提交至项目专项账户 </w:t>
            </w:r>
          </w:p>
          <w:p w14:paraId="2BBB9A96">
            <w:pPr>
              <w:autoSpaceDE w:val="0"/>
              <w:autoSpaceDN w:val="0"/>
              <w:snapToGrid w:val="0"/>
              <w:spacing w:line="300" w:lineRule="exact"/>
              <w:textAlignment w:val="bottom"/>
              <w:rPr>
                <w:rFonts w:hint="eastAsia" w:ascii="宋体" w:hAnsi="宋体"/>
                <w:bCs/>
                <w:color w:val="auto"/>
                <w:szCs w:val="21"/>
                <w:highlight w:val="none"/>
                <w:lang w:eastAsia="zh-CN"/>
              </w:rPr>
            </w:pPr>
            <w:r>
              <w:rPr>
                <w:rFonts w:hint="eastAsia" w:ascii="宋体" w:hAnsi="宋体"/>
                <w:bCs/>
                <w:color w:val="auto"/>
                <w:szCs w:val="21"/>
                <w:highlight w:val="none"/>
                <w:lang w:eastAsia="zh-CN"/>
              </w:rPr>
              <w:t>保证金金额：￥</w:t>
            </w:r>
            <w:r>
              <w:rPr>
                <w:rFonts w:hint="eastAsia" w:ascii="宋体" w:hAnsi="宋体"/>
                <w:bCs/>
                <w:color w:val="auto"/>
                <w:szCs w:val="21"/>
                <w:highlight w:val="none"/>
                <w:lang w:val="en-US" w:eastAsia="zh-CN"/>
              </w:rPr>
              <w:t>40000.00</w:t>
            </w:r>
            <w:r>
              <w:rPr>
                <w:rFonts w:hint="eastAsia" w:ascii="宋体" w:hAnsi="宋体"/>
                <w:bCs/>
                <w:color w:val="auto"/>
                <w:szCs w:val="21"/>
                <w:highlight w:val="none"/>
                <w:lang w:eastAsia="zh-CN"/>
              </w:rPr>
              <w:t>元（人民币</w:t>
            </w:r>
            <w:bookmarkStart w:id="66" w:name="OLE_LINK15"/>
            <w:r>
              <w:rPr>
                <w:rFonts w:hint="eastAsia" w:ascii="宋体" w:hAnsi="宋体"/>
                <w:bCs/>
                <w:color w:val="auto"/>
                <w:szCs w:val="21"/>
                <w:highlight w:val="none"/>
                <w:lang w:val="en-US" w:eastAsia="zh-CN"/>
              </w:rPr>
              <w:t>肆万</w:t>
            </w:r>
            <w:r>
              <w:rPr>
                <w:rFonts w:hint="eastAsia" w:ascii="宋体" w:hAnsi="宋体"/>
                <w:bCs/>
                <w:color w:val="auto"/>
                <w:szCs w:val="21"/>
                <w:highlight w:val="none"/>
                <w:lang w:eastAsia="zh-CN"/>
              </w:rPr>
              <w:t>元整</w:t>
            </w:r>
            <w:bookmarkEnd w:id="66"/>
            <w:r>
              <w:rPr>
                <w:rFonts w:hint="eastAsia" w:ascii="宋体" w:hAnsi="宋体"/>
                <w:bCs/>
                <w:color w:val="auto"/>
                <w:szCs w:val="21"/>
                <w:highlight w:val="none"/>
                <w:lang w:eastAsia="zh-CN"/>
              </w:rPr>
              <w:t>）</w:t>
            </w:r>
          </w:p>
          <w:p w14:paraId="53BD7DF6">
            <w:pPr>
              <w:autoSpaceDE w:val="0"/>
              <w:autoSpaceDN w:val="0"/>
              <w:snapToGrid w:val="0"/>
              <w:spacing w:line="300" w:lineRule="exact"/>
              <w:textAlignment w:val="bottom"/>
              <w:rPr>
                <w:rFonts w:hint="eastAsia" w:ascii="宋体" w:hAnsi="宋体"/>
                <w:bCs/>
                <w:color w:val="auto"/>
                <w:szCs w:val="21"/>
                <w:highlight w:val="none"/>
                <w:lang w:eastAsia="zh-CN"/>
              </w:rPr>
            </w:pPr>
            <w:r>
              <w:rPr>
                <w:rFonts w:hint="eastAsia" w:ascii="宋体" w:hAnsi="宋体"/>
                <w:bCs/>
                <w:color w:val="auto"/>
                <w:szCs w:val="21"/>
                <w:highlight w:val="none"/>
                <w:lang w:eastAsia="zh-CN"/>
              </w:rPr>
              <w:t>开户名称：</w:t>
            </w:r>
            <w:bookmarkStart w:id="67" w:name="OLE_LINK27"/>
            <w:r>
              <w:rPr>
                <w:rFonts w:hint="eastAsia" w:ascii="宋体" w:hAnsi="宋体"/>
                <w:bCs/>
                <w:color w:val="auto"/>
                <w:szCs w:val="21"/>
                <w:highlight w:val="none"/>
                <w:lang w:eastAsia="zh-CN"/>
              </w:rPr>
              <w:t>云南闰威咨询有限公司</w:t>
            </w:r>
            <w:bookmarkEnd w:id="67"/>
            <w:r>
              <w:rPr>
                <w:rFonts w:hint="eastAsia" w:ascii="宋体" w:hAnsi="宋体"/>
                <w:bCs/>
                <w:color w:val="auto"/>
                <w:szCs w:val="21"/>
                <w:highlight w:val="none"/>
                <w:lang w:eastAsia="zh-CN"/>
              </w:rPr>
              <w:t xml:space="preserve"> </w:t>
            </w:r>
          </w:p>
          <w:p w14:paraId="029AC5C0">
            <w:pPr>
              <w:autoSpaceDE w:val="0"/>
              <w:autoSpaceDN w:val="0"/>
              <w:snapToGrid w:val="0"/>
              <w:spacing w:line="300" w:lineRule="exact"/>
              <w:textAlignment w:val="bottom"/>
              <w:rPr>
                <w:rFonts w:hint="eastAsia" w:ascii="宋体" w:hAnsi="宋体"/>
                <w:bCs/>
                <w:color w:val="auto"/>
                <w:szCs w:val="21"/>
                <w:highlight w:val="none"/>
                <w:lang w:eastAsia="zh-CN"/>
              </w:rPr>
            </w:pPr>
            <w:r>
              <w:rPr>
                <w:rFonts w:hint="eastAsia" w:ascii="宋体" w:hAnsi="宋体"/>
                <w:bCs/>
                <w:color w:val="auto"/>
                <w:szCs w:val="21"/>
                <w:highlight w:val="none"/>
                <w:lang w:eastAsia="zh-CN"/>
              </w:rPr>
              <w:t>开户行：广发银行股份有限公司昆明国贸支行</w:t>
            </w:r>
          </w:p>
          <w:p w14:paraId="3A49EDB1">
            <w:pPr>
              <w:autoSpaceDE w:val="0"/>
              <w:autoSpaceDN w:val="0"/>
              <w:snapToGrid w:val="0"/>
              <w:spacing w:line="300" w:lineRule="exact"/>
              <w:textAlignment w:val="bottom"/>
              <w:rPr>
                <w:rFonts w:hint="eastAsia" w:ascii="宋体" w:hAnsi="宋体"/>
                <w:bCs/>
                <w:color w:val="auto"/>
                <w:szCs w:val="21"/>
                <w:highlight w:val="none"/>
                <w:lang w:eastAsia="zh-CN"/>
              </w:rPr>
            </w:pPr>
            <w:r>
              <w:rPr>
                <w:rFonts w:hint="eastAsia" w:ascii="宋体" w:hAnsi="宋体"/>
                <w:bCs/>
                <w:color w:val="auto"/>
                <w:szCs w:val="21"/>
                <w:highlight w:val="none"/>
                <w:lang w:eastAsia="zh-CN"/>
              </w:rPr>
              <w:t>开户账号：</w:t>
            </w:r>
            <w:bookmarkStart w:id="68" w:name="OLE_LINK26"/>
            <w:r>
              <w:rPr>
                <w:rFonts w:hint="eastAsia" w:ascii="宋体" w:hAnsi="宋体"/>
                <w:bCs/>
                <w:color w:val="auto"/>
                <w:szCs w:val="21"/>
                <w:highlight w:val="none"/>
                <w:lang w:eastAsia="zh-CN"/>
              </w:rPr>
              <w:t xml:space="preserve">6232593291000190604 </w:t>
            </w:r>
            <w:bookmarkEnd w:id="68"/>
          </w:p>
          <w:p w14:paraId="66EDB882">
            <w:pPr>
              <w:autoSpaceDE w:val="0"/>
              <w:autoSpaceDN w:val="0"/>
              <w:snapToGrid w:val="0"/>
              <w:spacing w:line="300" w:lineRule="exact"/>
              <w:textAlignment w:val="bottom"/>
              <w:rPr>
                <w:rFonts w:hint="eastAsia" w:ascii="宋体" w:hAnsi="宋体"/>
                <w:bCs/>
                <w:color w:val="auto"/>
                <w:szCs w:val="21"/>
                <w:highlight w:val="none"/>
                <w:lang w:eastAsia="zh-CN"/>
              </w:rPr>
            </w:pPr>
            <w:r>
              <w:rPr>
                <w:rFonts w:hint="eastAsia" w:ascii="宋体" w:hAnsi="宋体"/>
                <w:bCs/>
                <w:color w:val="auto"/>
                <w:szCs w:val="21"/>
                <w:highlight w:val="none"/>
                <w:lang w:eastAsia="zh-CN"/>
              </w:rPr>
              <w:t>缴纳时间：到账截止时间为投标文件（响应文件）递交截止时间，到账时间以项目专项账户实际到账时间为准，未按时到账的保证金视为未提交。</w:t>
            </w:r>
          </w:p>
          <w:p w14:paraId="0B7F75F3">
            <w:pPr>
              <w:autoSpaceDE w:val="0"/>
              <w:autoSpaceDN w:val="0"/>
              <w:snapToGrid w:val="0"/>
              <w:spacing w:line="300" w:lineRule="exact"/>
              <w:textAlignment w:val="bottom"/>
              <w:rPr>
                <w:rFonts w:ascii="宋体" w:hAnsi="宋体" w:cs="Arial"/>
                <w:color w:val="auto"/>
                <w:kern w:val="0"/>
                <w:szCs w:val="21"/>
                <w:highlight w:val="none"/>
              </w:rPr>
            </w:pPr>
            <w:r>
              <w:rPr>
                <w:rFonts w:hint="eastAsia" w:ascii="宋体" w:hAnsi="宋体"/>
                <w:bCs/>
                <w:color w:val="auto"/>
                <w:szCs w:val="21"/>
                <w:highlight w:val="none"/>
                <w:lang w:eastAsia="zh-CN"/>
              </w:rPr>
              <w:t>投标人投同一项目下两个及以上标段的，应按标段分别提交保证金。</w:t>
            </w:r>
          </w:p>
        </w:tc>
      </w:tr>
      <w:tr w14:paraId="10A64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jc w:val="center"/>
        </w:trPr>
        <w:tc>
          <w:tcPr>
            <w:tcW w:w="1198" w:type="dxa"/>
            <w:vAlign w:val="center"/>
          </w:tcPr>
          <w:p w14:paraId="78F0CBCA">
            <w:pPr>
              <w:pStyle w:val="16"/>
              <w:spacing w:line="300" w:lineRule="exact"/>
              <w:jc w:val="center"/>
              <w:rPr>
                <w:rFonts w:hAnsi="宋体"/>
                <w:color w:val="auto"/>
                <w:szCs w:val="21"/>
                <w:highlight w:val="none"/>
              </w:rPr>
            </w:pPr>
            <w:r>
              <w:rPr>
                <w:rFonts w:hint="eastAsia" w:hAnsi="宋体"/>
                <w:color w:val="auto"/>
                <w:szCs w:val="21"/>
                <w:highlight w:val="none"/>
              </w:rPr>
              <w:t>2</w:t>
            </w:r>
            <w:r>
              <w:rPr>
                <w:rFonts w:hAnsi="宋体"/>
                <w:color w:val="auto"/>
                <w:szCs w:val="21"/>
                <w:highlight w:val="none"/>
              </w:rPr>
              <w:t>3</w:t>
            </w:r>
            <w:r>
              <w:rPr>
                <w:rFonts w:hint="eastAsia" w:hAnsi="宋体"/>
                <w:color w:val="auto"/>
                <w:szCs w:val="21"/>
                <w:highlight w:val="none"/>
              </w:rPr>
              <w:t>.1</w:t>
            </w:r>
          </w:p>
        </w:tc>
        <w:tc>
          <w:tcPr>
            <w:tcW w:w="3030" w:type="dxa"/>
            <w:vAlign w:val="center"/>
          </w:tcPr>
          <w:p w14:paraId="2637F17D">
            <w:pPr>
              <w:pStyle w:val="16"/>
              <w:spacing w:line="300" w:lineRule="exact"/>
              <w:rPr>
                <w:rFonts w:hAnsi="宋体"/>
                <w:color w:val="auto"/>
                <w:szCs w:val="21"/>
                <w:highlight w:val="none"/>
              </w:rPr>
            </w:pPr>
            <w:r>
              <w:rPr>
                <w:rFonts w:hint="eastAsia" w:hAnsi="宋体"/>
                <w:color w:val="auto"/>
                <w:szCs w:val="21"/>
                <w:highlight w:val="none"/>
              </w:rPr>
              <w:t>提交投标文件截止时间</w:t>
            </w:r>
          </w:p>
        </w:tc>
        <w:tc>
          <w:tcPr>
            <w:tcW w:w="5592" w:type="dxa"/>
            <w:vAlign w:val="center"/>
          </w:tcPr>
          <w:p w14:paraId="6F280AD5">
            <w:pPr>
              <w:autoSpaceDE w:val="0"/>
              <w:autoSpaceDN w:val="0"/>
              <w:snapToGrid w:val="0"/>
              <w:spacing w:line="300" w:lineRule="exact"/>
              <w:textAlignment w:val="bottom"/>
              <w:rPr>
                <w:rFonts w:hint="eastAsia" w:ascii="宋体" w:hAnsi="宋体" w:eastAsia="宋体" w:cs="Times New Roman"/>
                <w:bCs/>
                <w:color w:val="auto"/>
                <w:szCs w:val="21"/>
                <w:highlight w:val="none"/>
                <w:lang w:eastAsia="zh-CN"/>
              </w:rPr>
            </w:pPr>
            <w:r>
              <w:rPr>
                <w:rFonts w:hint="eastAsia" w:ascii="宋体" w:hAnsi="宋体" w:eastAsia="宋体" w:cs="Times New Roman"/>
                <w:bCs/>
                <w:color w:val="auto"/>
                <w:szCs w:val="21"/>
                <w:highlight w:val="none"/>
                <w:lang w:eastAsia="zh-CN"/>
              </w:rPr>
              <w:t>详见第一章招标公告</w:t>
            </w:r>
          </w:p>
        </w:tc>
      </w:tr>
      <w:tr w14:paraId="58A16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1198" w:type="dxa"/>
            <w:vAlign w:val="center"/>
          </w:tcPr>
          <w:p w14:paraId="67229263">
            <w:pPr>
              <w:pStyle w:val="16"/>
              <w:spacing w:line="300" w:lineRule="exact"/>
              <w:jc w:val="center"/>
              <w:rPr>
                <w:rFonts w:hAnsi="宋体"/>
                <w:color w:val="auto"/>
                <w:szCs w:val="21"/>
                <w:highlight w:val="none"/>
              </w:rPr>
            </w:pPr>
            <w:r>
              <w:rPr>
                <w:rFonts w:hint="eastAsia" w:hAnsi="宋体"/>
                <w:color w:val="auto"/>
                <w:szCs w:val="21"/>
                <w:highlight w:val="none"/>
              </w:rPr>
              <w:t>2</w:t>
            </w:r>
            <w:r>
              <w:rPr>
                <w:rFonts w:hAnsi="宋体"/>
                <w:color w:val="auto"/>
                <w:szCs w:val="21"/>
                <w:highlight w:val="none"/>
              </w:rPr>
              <w:t>3</w:t>
            </w:r>
            <w:r>
              <w:rPr>
                <w:rFonts w:hint="eastAsia" w:hAnsi="宋体"/>
                <w:color w:val="auto"/>
                <w:szCs w:val="21"/>
                <w:highlight w:val="none"/>
              </w:rPr>
              <w:t>.2</w:t>
            </w:r>
          </w:p>
        </w:tc>
        <w:tc>
          <w:tcPr>
            <w:tcW w:w="3030" w:type="dxa"/>
            <w:vAlign w:val="center"/>
          </w:tcPr>
          <w:p w14:paraId="3AB05113">
            <w:pPr>
              <w:pStyle w:val="16"/>
              <w:spacing w:line="300" w:lineRule="exact"/>
              <w:rPr>
                <w:rFonts w:hAnsi="宋体"/>
                <w:color w:val="auto"/>
                <w:szCs w:val="21"/>
                <w:highlight w:val="none"/>
              </w:rPr>
            </w:pPr>
            <w:r>
              <w:rPr>
                <w:rFonts w:hint="eastAsia" w:hAnsi="宋体"/>
                <w:color w:val="auto"/>
                <w:szCs w:val="21"/>
                <w:highlight w:val="none"/>
              </w:rPr>
              <w:t>提交投标文件的地点</w:t>
            </w:r>
          </w:p>
        </w:tc>
        <w:tc>
          <w:tcPr>
            <w:tcW w:w="5592" w:type="dxa"/>
            <w:vAlign w:val="center"/>
          </w:tcPr>
          <w:p w14:paraId="609ADD1A">
            <w:pPr>
              <w:autoSpaceDE w:val="0"/>
              <w:autoSpaceDN w:val="0"/>
              <w:snapToGrid w:val="0"/>
              <w:spacing w:line="300" w:lineRule="exact"/>
              <w:textAlignment w:val="bottom"/>
              <w:rPr>
                <w:rFonts w:hint="eastAsia" w:ascii="宋体" w:hAnsi="宋体" w:eastAsia="宋体" w:cs="Times New Roman"/>
                <w:bCs/>
                <w:color w:val="auto"/>
                <w:szCs w:val="21"/>
                <w:highlight w:val="none"/>
                <w:lang w:eastAsia="zh-CN"/>
              </w:rPr>
            </w:pPr>
            <w:r>
              <w:rPr>
                <w:rFonts w:hint="eastAsia" w:ascii="宋体" w:hAnsi="宋体" w:eastAsia="宋体" w:cs="Times New Roman"/>
                <w:bCs/>
                <w:color w:val="auto"/>
                <w:szCs w:val="21"/>
                <w:highlight w:val="none"/>
                <w:lang w:eastAsia="zh-CN"/>
              </w:rPr>
              <w:t>详见第一章招标公告</w:t>
            </w:r>
          </w:p>
        </w:tc>
      </w:tr>
      <w:tr w14:paraId="43629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 w:hRule="atLeast"/>
          <w:jc w:val="center"/>
        </w:trPr>
        <w:tc>
          <w:tcPr>
            <w:tcW w:w="1198" w:type="dxa"/>
            <w:vAlign w:val="center"/>
          </w:tcPr>
          <w:p w14:paraId="4E6C42A9">
            <w:pPr>
              <w:pStyle w:val="16"/>
              <w:spacing w:line="300" w:lineRule="exact"/>
              <w:jc w:val="center"/>
              <w:rPr>
                <w:rFonts w:hAnsi="宋体"/>
                <w:color w:val="auto"/>
                <w:szCs w:val="21"/>
                <w:highlight w:val="none"/>
              </w:rPr>
            </w:pPr>
            <w:r>
              <w:rPr>
                <w:rFonts w:hint="eastAsia" w:hAnsi="宋体"/>
                <w:color w:val="auto"/>
                <w:szCs w:val="21"/>
                <w:highlight w:val="none"/>
              </w:rPr>
              <w:t>2</w:t>
            </w:r>
            <w:r>
              <w:rPr>
                <w:rFonts w:hAnsi="宋体"/>
                <w:color w:val="auto"/>
                <w:szCs w:val="21"/>
                <w:highlight w:val="none"/>
              </w:rPr>
              <w:t>3</w:t>
            </w:r>
            <w:r>
              <w:rPr>
                <w:rFonts w:hint="eastAsia" w:hAnsi="宋体"/>
                <w:color w:val="auto"/>
                <w:szCs w:val="21"/>
                <w:highlight w:val="none"/>
              </w:rPr>
              <w:t>.3</w:t>
            </w:r>
          </w:p>
        </w:tc>
        <w:tc>
          <w:tcPr>
            <w:tcW w:w="3030" w:type="dxa"/>
            <w:vAlign w:val="center"/>
          </w:tcPr>
          <w:p w14:paraId="3FFA4497">
            <w:pPr>
              <w:pStyle w:val="16"/>
              <w:spacing w:line="300" w:lineRule="exact"/>
              <w:rPr>
                <w:rFonts w:hAnsi="宋体"/>
                <w:color w:val="auto"/>
                <w:szCs w:val="21"/>
                <w:highlight w:val="none"/>
              </w:rPr>
            </w:pPr>
            <w:r>
              <w:rPr>
                <w:rFonts w:hint="eastAsia" w:hAnsi="宋体"/>
                <w:color w:val="auto"/>
                <w:szCs w:val="21"/>
                <w:highlight w:val="none"/>
              </w:rPr>
              <w:t>投标文件的退还</w:t>
            </w:r>
          </w:p>
        </w:tc>
        <w:tc>
          <w:tcPr>
            <w:tcW w:w="5592" w:type="dxa"/>
            <w:vAlign w:val="center"/>
          </w:tcPr>
          <w:p w14:paraId="4EA940BA">
            <w:pPr>
              <w:autoSpaceDE w:val="0"/>
              <w:autoSpaceDN w:val="0"/>
              <w:snapToGrid w:val="0"/>
              <w:spacing w:line="300" w:lineRule="exact"/>
              <w:textAlignment w:val="bottom"/>
              <w:rPr>
                <w:rFonts w:hint="eastAsia" w:ascii="宋体" w:hAnsi="宋体" w:eastAsia="宋体" w:cs="Times New Roman"/>
                <w:bCs/>
                <w:color w:val="auto"/>
                <w:szCs w:val="21"/>
                <w:highlight w:val="none"/>
                <w:lang w:eastAsia="zh-CN"/>
              </w:rPr>
            </w:pPr>
            <w:r>
              <w:rPr>
                <w:rFonts w:hint="eastAsia" w:ascii="宋体" w:hAnsi="宋体" w:eastAsia="宋体" w:cs="Times New Roman"/>
                <w:bCs/>
                <w:color w:val="auto"/>
                <w:szCs w:val="21"/>
                <w:highlight w:val="none"/>
                <w:lang w:eastAsia="zh-CN"/>
              </w:rPr>
              <w:t>不予退还</w:t>
            </w:r>
          </w:p>
        </w:tc>
      </w:tr>
      <w:tr w14:paraId="09768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1198" w:type="dxa"/>
            <w:vAlign w:val="center"/>
          </w:tcPr>
          <w:p w14:paraId="6CFA2065">
            <w:pPr>
              <w:pStyle w:val="16"/>
              <w:spacing w:line="300" w:lineRule="exact"/>
              <w:jc w:val="center"/>
              <w:rPr>
                <w:rFonts w:hAnsi="宋体"/>
                <w:color w:val="auto"/>
                <w:szCs w:val="21"/>
                <w:highlight w:val="none"/>
              </w:rPr>
            </w:pPr>
            <w:r>
              <w:rPr>
                <w:rFonts w:hint="eastAsia" w:hAnsi="宋体"/>
                <w:color w:val="auto"/>
                <w:szCs w:val="21"/>
                <w:highlight w:val="none"/>
              </w:rPr>
              <w:t>2</w:t>
            </w:r>
            <w:r>
              <w:rPr>
                <w:rFonts w:hAnsi="宋体"/>
                <w:color w:val="auto"/>
                <w:szCs w:val="21"/>
                <w:highlight w:val="none"/>
              </w:rPr>
              <w:t>4</w:t>
            </w:r>
            <w:r>
              <w:rPr>
                <w:rFonts w:hint="eastAsia" w:hAnsi="宋体"/>
                <w:color w:val="auto"/>
                <w:szCs w:val="21"/>
                <w:highlight w:val="none"/>
              </w:rPr>
              <w:t>.1</w:t>
            </w:r>
          </w:p>
        </w:tc>
        <w:tc>
          <w:tcPr>
            <w:tcW w:w="3030" w:type="dxa"/>
            <w:vAlign w:val="center"/>
          </w:tcPr>
          <w:p w14:paraId="2B85DF48">
            <w:pPr>
              <w:pStyle w:val="16"/>
              <w:spacing w:line="300" w:lineRule="exact"/>
              <w:rPr>
                <w:rFonts w:hAnsi="宋体"/>
                <w:color w:val="auto"/>
                <w:szCs w:val="21"/>
                <w:highlight w:val="none"/>
              </w:rPr>
            </w:pPr>
            <w:r>
              <w:rPr>
                <w:rFonts w:hint="eastAsia" w:hAnsi="宋体"/>
                <w:color w:val="auto"/>
                <w:szCs w:val="21"/>
                <w:highlight w:val="none"/>
              </w:rPr>
              <w:t>开标时间和地点</w:t>
            </w:r>
          </w:p>
        </w:tc>
        <w:tc>
          <w:tcPr>
            <w:tcW w:w="5592" w:type="dxa"/>
            <w:vAlign w:val="center"/>
          </w:tcPr>
          <w:p w14:paraId="55DC4EA3">
            <w:pPr>
              <w:autoSpaceDE w:val="0"/>
              <w:autoSpaceDN w:val="0"/>
              <w:snapToGrid w:val="0"/>
              <w:spacing w:line="300" w:lineRule="exact"/>
              <w:textAlignment w:val="bottom"/>
              <w:rPr>
                <w:rFonts w:hint="eastAsia" w:ascii="宋体" w:hAnsi="宋体" w:eastAsia="宋体" w:cs="Times New Roman"/>
                <w:bCs/>
                <w:color w:val="auto"/>
                <w:szCs w:val="21"/>
                <w:highlight w:val="none"/>
                <w:lang w:eastAsia="zh-CN"/>
              </w:rPr>
            </w:pPr>
            <w:r>
              <w:rPr>
                <w:rFonts w:hint="eastAsia" w:ascii="宋体" w:hAnsi="宋体" w:eastAsia="宋体" w:cs="Times New Roman"/>
                <w:bCs/>
                <w:color w:val="auto"/>
                <w:szCs w:val="21"/>
                <w:highlight w:val="none"/>
                <w:lang w:eastAsia="zh-CN"/>
              </w:rPr>
              <w:t>详见第一章招标公告</w:t>
            </w:r>
          </w:p>
        </w:tc>
      </w:tr>
      <w:tr w14:paraId="03C3E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1198" w:type="dxa"/>
            <w:vAlign w:val="center"/>
          </w:tcPr>
          <w:p w14:paraId="788F32CC">
            <w:pPr>
              <w:pStyle w:val="16"/>
              <w:spacing w:line="360" w:lineRule="auto"/>
              <w:jc w:val="center"/>
              <w:rPr>
                <w:rFonts w:hAnsi="宋体"/>
                <w:color w:val="auto"/>
                <w:szCs w:val="21"/>
                <w:highlight w:val="none"/>
              </w:rPr>
            </w:pPr>
            <w:r>
              <w:rPr>
                <w:rFonts w:hint="eastAsia" w:hAnsi="宋体"/>
                <w:color w:val="auto"/>
                <w:szCs w:val="21"/>
                <w:highlight w:val="none"/>
              </w:rPr>
              <w:t>24.1</w:t>
            </w:r>
          </w:p>
        </w:tc>
        <w:tc>
          <w:tcPr>
            <w:tcW w:w="3030" w:type="dxa"/>
            <w:vAlign w:val="center"/>
          </w:tcPr>
          <w:p w14:paraId="40F3E25B">
            <w:pPr>
              <w:pStyle w:val="16"/>
              <w:spacing w:line="360" w:lineRule="auto"/>
              <w:rPr>
                <w:rFonts w:hAnsi="宋体"/>
                <w:color w:val="auto"/>
                <w:szCs w:val="21"/>
                <w:highlight w:val="none"/>
              </w:rPr>
            </w:pPr>
            <w:r>
              <w:rPr>
                <w:rFonts w:hint="eastAsia" w:hAnsi="宋体"/>
                <w:color w:val="auto"/>
                <w:szCs w:val="21"/>
                <w:highlight w:val="none"/>
              </w:rPr>
              <w:t>评标方法</w:t>
            </w:r>
          </w:p>
        </w:tc>
        <w:tc>
          <w:tcPr>
            <w:tcW w:w="5592" w:type="dxa"/>
            <w:vAlign w:val="center"/>
          </w:tcPr>
          <w:p w14:paraId="01CD731F">
            <w:pPr>
              <w:autoSpaceDE w:val="0"/>
              <w:autoSpaceDN w:val="0"/>
              <w:snapToGrid w:val="0"/>
              <w:spacing w:line="300" w:lineRule="exact"/>
              <w:textAlignment w:val="bottom"/>
              <w:rPr>
                <w:rFonts w:hint="eastAsia" w:ascii="宋体" w:hAnsi="宋体" w:eastAsia="宋体" w:cs="Times New Roman"/>
                <w:bCs/>
                <w:color w:val="auto"/>
                <w:szCs w:val="21"/>
                <w:highlight w:val="none"/>
                <w:lang w:eastAsia="zh-CN"/>
              </w:rPr>
            </w:pPr>
            <w:r>
              <w:rPr>
                <w:rFonts w:hint="eastAsia" w:ascii="宋体" w:hAnsi="宋体" w:eastAsia="宋体" w:cs="Times New Roman"/>
                <w:bCs/>
                <w:color w:val="auto"/>
                <w:szCs w:val="21"/>
                <w:highlight w:val="none"/>
                <w:lang w:eastAsia="zh-CN"/>
              </w:rPr>
              <w:t>□最低评标价法</w:t>
            </w:r>
          </w:p>
          <w:p w14:paraId="6FFEDB29">
            <w:pPr>
              <w:autoSpaceDE w:val="0"/>
              <w:autoSpaceDN w:val="0"/>
              <w:snapToGrid w:val="0"/>
              <w:spacing w:line="300" w:lineRule="exact"/>
              <w:textAlignment w:val="bottom"/>
              <w:rPr>
                <w:rFonts w:hint="eastAsia" w:ascii="宋体" w:hAnsi="宋体" w:eastAsia="宋体" w:cs="Times New Roman"/>
                <w:bCs/>
                <w:color w:val="auto"/>
                <w:szCs w:val="21"/>
                <w:highlight w:val="none"/>
                <w:lang w:eastAsia="zh-CN"/>
              </w:rPr>
            </w:pPr>
            <w:r>
              <w:rPr>
                <w:rFonts w:hint="eastAsia" w:ascii="宋体" w:hAnsi="宋体" w:eastAsia="宋体" w:cs="Times New Roman"/>
                <w:bCs/>
                <w:color w:val="auto"/>
                <w:szCs w:val="21"/>
                <w:highlight w:val="none"/>
                <w:lang w:eastAsia="zh-CN"/>
              </w:rPr>
              <w:t>■综合评分法</w:t>
            </w:r>
          </w:p>
        </w:tc>
      </w:tr>
      <w:tr w14:paraId="1815DE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1198" w:type="dxa"/>
            <w:vAlign w:val="center"/>
          </w:tcPr>
          <w:p w14:paraId="6A38AA23">
            <w:pPr>
              <w:pStyle w:val="16"/>
              <w:spacing w:line="360" w:lineRule="auto"/>
              <w:jc w:val="center"/>
              <w:rPr>
                <w:rFonts w:hAnsi="宋体"/>
                <w:color w:val="auto"/>
                <w:szCs w:val="21"/>
                <w:highlight w:val="none"/>
              </w:rPr>
            </w:pPr>
            <w:r>
              <w:rPr>
                <w:rFonts w:hint="eastAsia" w:hAnsi="宋体"/>
                <w:color w:val="auto"/>
                <w:szCs w:val="21"/>
                <w:highlight w:val="none"/>
              </w:rPr>
              <w:t>31.1</w:t>
            </w:r>
          </w:p>
        </w:tc>
        <w:tc>
          <w:tcPr>
            <w:tcW w:w="3030" w:type="dxa"/>
            <w:vAlign w:val="center"/>
          </w:tcPr>
          <w:p w14:paraId="44477685">
            <w:pPr>
              <w:pStyle w:val="16"/>
              <w:spacing w:line="360" w:lineRule="auto"/>
              <w:rPr>
                <w:rFonts w:hAnsi="宋体"/>
                <w:color w:val="auto"/>
                <w:szCs w:val="21"/>
                <w:highlight w:val="none"/>
              </w:rPr>
            </w:pPr>
            <w:r>
              <w:rPr>
                <w:rFonts w:hint="eastAsia" w:hAnsi="宋体"/>
                <w:bCs/>
                <w:color w:val="auto"/>
                <w:szCs w:val="21"/>
                <w:highlight w:val="none"/>
              </w:rPr>
              <w:t>是否有</w:t>
            </w:r>
            <w:r>
              <w:rPr>
                <w:rFonts w:hAnsi="宋体"/>
                <w:bCs/>
                <w:color w:val="auto"/>
                <w:szCs w:val="21"/>
                <w:highlight w:val="none"/>
              </w:rPr>
              <w:t>履约</w:t>
            </w:r>
            <w:r>
              <w:rPr>
                <w:rFonts w:hint="eastAsia" w:hAnsi="宋体"/>
                <w:bCs/>
                <w:color w:val="auto"/>
                <w:szCs w:val="21"/>
                <w:highlight w:val="none"/>
              </w:rPr>
              <w:t>担保</w:t>
            </w:r>
          </w:p>
        </w:tc>
        <w:tc>
          <w:tcPr>
            <w:tcW w:w="5592" w:type="dxa"/>
            <w:vAlign w:val="center"/>
          </w:tcPr>
          <w:p w14:paraId="0635D054">
            <w:pPr>
              <w:autoSpaceDE w:val="0"/>
              <w:autoSpaceDN w:val="0"/>
              <w:snapToGrid w:val="0"/>
              <w:spacing w:line="300" w:lineRule="exact"/>
              <w:textAlignment w:val="bottom"/>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■是</w:t>
            </w:r>
          </w:p>
          <w:p w14:paraId="6C83C30A">
            <w:pPr>
              <w:autoSpaceDE w:val="0"/>
              <w:autoSpaceDN w:val="0"/>
              <w:snapToGrid w:val="0"/>
              <w:spacing w:line="300" w:lineRule="exact"/>
              <w:textAlignment w:val="bottom"/>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1.履约保证金金额为合同金额的10%，以支票、汇票、本票或者金融机构、担保机构出具的保函、保险等非现金形式提交。</w:t>
            </w:r>
          </w:p>
          <w:p w14:paraId="021EEB32">
            <w:pPr>
              <w:autoSpaceDE w:val="0"/>
              <w:autoSpaceDN w:val="0"/>
              <w:snapToGrid w:val="0"/>
              <w:spacing w:line="300" w:lineRule="exact"/>
              <w:textAlignment w:val="bottom"/>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2.履约保证金有效期：合同签订后15个工作日内乙方向甲方提交履约保证金，至合同履行完毕后失效。</w:t>
            </w:r>
          </w:p>
          <w:p w14:paraId="601FFFB5">
            <w:pPr>
              <w:autoSpaceDE w:val="0"/>
              <w:autoSpaceDN w:val="0"/>
              <w:snapToGrid w:val="0"/>
              <w:spacing w:line="300" w:lineRule="exact"/>
              <w:textAlignment w:val="bottom"/>
              <w:rPr>
                <w:rFonts w:hint="default"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3.履约保证金不予退还的情形：在履约担保有效期内，如成交供应商不履行或不按合同履行约定的义务，履约保证金不予退还。</w:t>
            </w:r>
          </w:p>
        </w:tc>
      </w:tr>
      <w:tr w14:paraId="4088C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1198" w:type="dxa"/>
            <w:vAlign w:val="center"/>
          </w:tcPr>
          <w:p w14:paraId="14678074">
            <w:pPr>
              <w:pStyle w:val="16"/>
              <w:spacing w:line="360" w:lineRule="auto"/>
              <w:jc w:val="center"/>
              <w:rPr>
                <w:rFonts w:hAnsi="宋体"/>
                <w:color w:val="auto"/>
                <w:szCs w:val="21"/>
                <w:highlight w:val="none"/>
              </w:rPr>
            </w:pPr>
            <w:r>
              <w:rPr>
                <w:rFonts w:hint="eastAsia" w:hAnsi="宋体"/>
                <w:color w:val="auto"/>
                <w:szCs w:val="21"/>
                <w:highlight w:val="none"/>
              </w:rPr>
              <w:t>32</w:t>
            </w:r>
          </w:p>
        </w:tc>
        <w:tc>
          <w:tcPr>
            <w:tcW w:w="3030" w:type="dxa"/>
            <w:vAlign w:val="center"/>
          </w:tcPr>
          <w:p w14:paraId="509DE6D9">
            <w:pPr>
              <w:pStyle w:val="16"/>
              <w:spacing w:line="360" w:lineRule="auto"/>
              <w:rPr>
                <w:rFonts w:hAnsi="宋体"/>
                <w:color w:val="auto"/>
                <w:szCs w:val="21"/>
                <w:highlight w:val="none"/>
              </w:rPr>
            </w:pPr>
            <w:r>
              <w:rPr>
                <w:rFonts w:hint="eastAsia" w:hAnsi="宋体"/>
                <w:color w:val="auto"/>
                <w:szCs w:val="21"/>
                <w:highlight w:val="none"/>
              </w:rPr>
              <w:t xml:space="preserve">采购代理服务费 </w:t>
            </w:r>
          </w:p>
        </w:tc>
        <w:tc>
          <w:tcPr>
            <w:tcW w:w="5592" w:type="dxa"/>
            <w:vAlign w:val="center"/>
          </w:tcPr>
          <w:p w14:paraId="1F15349C">
            <w:pPr>
              <w:autoSpaceDE w:val="0"/>
              <w:autoSpaceDN w:val="0"/>
              <w:snapToGrid w:val="0"/>
              <w:spacing w:line="300" w:lineRule="exact"/>
              <w:textAlignment w:val="bottom"/>
              <w:rPr>
                <w:rFonts w:hint="eastAsia" w:ascii="宋体" w:hAnsi="宋体" w:eastAsia="宋体" w:cs="Times New Roman"/>
                <w:bCs/>
                <w:color w:val="auto"/>
                <w:szCs w:val="21"/>
                <w:highlight w:val="none"/>
                <w:lang w:eastAsia="zh-CN"/>
              </w:rPr>
            </w:pPr>
            <w:bookmarkStart w:id="69" w:name="OLE_LINK23"/>
            <w:r>
              <w:rPr>
                <w:rFonts w:hint="eastAsia" w:ascii="宋体" w:hAnsi="宋体" w:eastAsia="宋体" w:cs="Times New Roman"/>
                <w:bCs/>
                <w:color w:val="auto"/>
                <w:szCs w:val="21"/>
                <w:highlight w:val="none"/>
                <w:lang w:eastAsia="zh-CN"/>
              </w:rPr>
              <w:t>本项目招标（采购）代理服务费参照国家计委计价格［2002］1980号文和国家发展和改革委员会办公厅发改办价格[2003]857号的规定计费。招标（采购）代理服务费由中标人（成交人）在领取中标（成交）通知书时向代理机构一次性支付。</w:t>
            </w:r>
            <w:bookmarkEnd w:id="69"/>
          </w:p>
        </w:tc>
      </w:tr>
      <w:tr w14:paraId="15875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1198" w:type="dxa"/>
            <w:vAlign w:val="center"/>
          </w:tcPr>
          <w:p w14:paraId="5769AA22">
            <w:pPr>
              <w:pStyle w:val="16"/>
              <w:spacing w:line="360" w:lineRule="auto"/>
              <w:jc w:val="center"/>
              <w:rPr>
                <w:rFonts w:hAnsi="宋体"/>
                <w:color w:val="auto"/>
                <w:szCs w:val="21"/>
                <w:highlight w:val="none"/>
              </w:rPr>
            </w:pPr>
            <w:r>
              <w:rPr>
                <w:rFonts w:hint="eastAsia" w:hAnsi="宋体"/>
                <w:color w:val="auto"/>
                <w:szCs w:val="21"/>
                <w:highlight w:val="none"/>
              </w:rPr>
              <w:t>★34.1</w:t>
            </w:r>
          </w:p>
        </w:tc>
        <w:tc>
          <w:tcPr>
            <w:tcW w:w="3030" w:type="dxa"/>
            <w:vAlign w:val="center"/>
          </w:tcPr>
          <w:p w14:paraId="0877BB21">
            <w:pPr>
              <w:pStyle w:val="16"/>
              <w:spacing w:line="360" w:lineRule="auto"/>
              <w:rPr>
                <w:rFonts w:hAnsi="宋体"/>
                <w:color w:val="auto"/>
                <w:szCs w:val="21"/>
                <w:highlight w:val="none"/>
              </w:rPr>
            </w:pPr>
            <w:r>
              <w:rPr>
                <w:rFonts w:hint="eastAsia" w:hAnsi="宋体"/>
                <w:color w:val="auto"/>
                <w:szCs w:val="21"/>
                <w:highlight w:val="none"/>
              </w:rPr>
              <w:t>备选方案</w:t>
            </w:r>
          </w:p>
        </w:tc>
        <w:tc>
          <w:tcPr>
            <w:tcW w:w="5592" w:type="dxa"/>
            <w:vAlign w:val="center"/>
          </w:tcPr>
          <w:p w14:paraId="1D8CD48E">
            <w:pPr>
              <w:pStyle w:val="16"/>
              <w:spacing w:line="360" w:lineRule="auto"/>
              <w:rPr>
                <w:rFonts w:hAnsi="宋体"/>
                <w:color w:val="auto"/>
                <w:szCs w:val="21"/>
                <w:highlight w:val="none"/>
              </w:rPr>
            </w:pPr>
            <w:r>
              <w:rPr>
                <w:rFonts w:hint="eastAsia" w:hAnsi="宋体"/>
                <w:color w:val="auto"/>
                <w:szCs w:val="21"/>
                <w:highlight w:val="none"/>
              </w:rPr>
              <w:t>□接受      ■不接受</w:t>
            </w:r>
          </w:p>
        </w:tc>
      </w:tr>
      <w:tr w14:paraId="0DC4A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1198" w:type="dxa"/>
            <w:vAlign w:val="center"/>
          </w:tcPr>
          <w:p w14:paraId="61728D3E">
            <w:pPr>
              <w:pStyle w:val="16"/>
              <w:spacing w:line="360" w:lineRule="auto"/>
              <w:jc w:val="center"/>
              <w:rPr>
                <w:rFonts w:hAnsi="宋体"/>
                <w:color w:val="auto"/>
                <w:szCs w:val="21"/>
                <w:highlight w:val="none"/>
              </w:rPr>
            </w:pPr>
            <w:r>
              <w:rPr>
                <w:rFonts w:hint="eastAsia" w:hAnsi="宋体"/>
                <w:color w:val="auto"/>
                <w:szCs w:val="21"/>
                <w:highlight w:val="none"/>
              </w:rPr>
              <w:t>34.2</w:t>
            </w:r>
          </w:p>
        </w:tc>
        <w:tc>
          <w:tcPr>
            <w:tcW w:w="8622" w:type="dxa"/>
            <w:gridSpan w:val="2"/>
            <w:vAlign w:val="center"/>
          </w:tcPr>
          <w:p w14:paraId="25EB3236">
            <w:pPr>
              <w:pStyle w:val="16"/>
              <w:spacing w:line="360" w:lineRule="auto"/>
              <w:jc w:val="center"/>
              <w:rPr>
                <w:rFonts w:hAnsi="宋体"/>
                <w:color w:val="auto"/>
                <w:szCs w:val="21"/>
                <w:highlight w:val="none"/>
              </w:rPr>
            </w:pPr>
            <w:r>
              <w:rPr>
                <w:rFonts w:hint="eastAsia" w:hAnsi="宋体"/>
                <w:color w:val="auto"/>
                <w:szCs w:val="21"/>
                <w:highlight w:val="none"/>
              </w:rPr>
              <w:t>需要补充的其他内容</w:t>
            </w:r>
          </w:p>
        </w:tc>
      </w:tr>
      <w:tr w14:paraId="04E1E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1198" w:type="dxa"/>
            <w:vAlign w:val="center"/>
          </w:tcPr>
          <w:p w14:paraId="4BA998D2">
            <w:pPr>
              <w:pStyle w:val="16"/>
              <w:spacing w:line="360" w:lineRule="auto"/>
              <w:jc w:val="center"/>
              <w:rPr>
                <w:rFonts w:hAnsi="宋体"/>
                <w:color w:val="auto"/>
                <w:szCs w:val="21"/>
                <w:highlight w:val="none"/>
              </w:rPr>
            </w:pPr>
            <w:r>
              <w:rPr>
                <w:rFonts w:hint="eastAsia" w:hAnsi="宋体"/>
                <w:color w:val="auto"/>
                <w:szCs w:val="21"/>
                <w:highlight w:val="none"/>
              </w:rPr>
              <w:t>（1）</w:t>
            </w:r>
          </w:p>
        </w:tc>
        <w:tc>
          <w:tcPr>
            <w:tcW w:w="8622" w:type="dxa"/>
            <w:gridSpan w:val="2"/>
            <w:vAlign w:val="center"/>
          </w:tcPr>
          <w:p w14:paraId="6FBCB6C0">
            <w:pPr>
              <w:rPr>
                <w:rFonts w:ascii="宋体" w:hAnsi="宋体"/>
                <w:color w:val="auto"/>
                <w:highlight w:val="none"/>
              </w:rPr>
            </w:pPr>
            <w:r>
              <w:rPr>
                <w:rFonts w:hint="eastAsia" w:hAnsi="宋体" w:cs="宋体"/>
                <w:color w:val="auto"/>
                <w:szCs w:val="21"/>
                <w:highlight w:val="none"/>
              </w:rPr>
              <w:t>采购代理机构将依托电子交易平台发起开始解密指令，</w:t>
            </w:r>
            <w:r>
              <w:rPr>
                <w:rFonts w:hint="eastAsia" w:hAnsi="宋体" w:cs="宋体"/>
                <w:b/>
                <w:color w:val="auto"/>
                <w:szCs w:val="21"/>
                <w:highlight w:val="none"/>
              </w:rPr>
              <w:t>投标人的法定代表人或其委托代理人须携带加密时所用的CA锁按平台提示和招标文件的规定登录到“政采云”平台电子开标大厅签到并在发起解密指令之时起</w:t>
            </w:r>
            <w:r>
              <w:rPr>
                <w:rFonts w:hint="eastAsia" w:hAnsi="宋体" w:cs="宋体"/>
                <w:b/>
                <w:color w:val="auto"/>
                <w:szCs w:val="21"/>
                <w:highlight w:val="none"/>
                <w:lang w:val="en-US" w:eastAsia="zh-CN"/>
              </w:rPr>
              <w:t>30</w:t>
            </w:r>
            <w:r>
              <w:rPr>
                <w:rFonts w:hint="eastAsia" w:hAnsi="宋体" w:cs="宋体"/>
                <w:b/>
                <w:color w:val="auto"/>
                <w:szCs w:val="21"/>
                <w:highlight w:val="none"/>
              </w:rPr>
              <w:t>分钟内完成对电子投标文件在线解密。</w:t>
            </w:r>
            <w:r>
              <w:rPr>
                <w:rFonts w:hint="eastAsia" w:hAnsi="宋体"/>
                <w:b/>
                <w:bCs/>
                <w:color w:val="auto"/>
                <w:szCs w:val="21"/>
                <w:highlight w:val="none"/>
              </w:rPr>
              <w:t>投标文件未按时解密的，视为响应文件无效。</w:t>
            </w:r>
          </w:p>
        </w:tc>
      </w:tr>
      <w:tr w14:paraId="5006D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1198" w:type="dxa"/>
            <w:vAlign w:val="center"/>
          </w:tcPr>
          <w:p w14:paraId="02B95573">
            <w:pPr>
              <w:pStyle w:val="16"/>
              <w:spacing w:line="360" w:lineRule="auto"/>
              <w:jc w:val="center"/>
              <w:rPr>
                <w:rFonts w:hAnsi="宋体"/>
                <w:color w:val="auto"/>
                <w:szCs w:val="21"/>
                <w:highlight w:val="none"/>
              </w:rPr>
            </w:pPr>
            <w:r>
              <w:rPr>
                <w:rFonts w:hint="eastAsia" w:hAnsi="宋体"/>
                <w:color w:val="auto"/>
                <w:szCs w:val="21"/>
                <w:highlight w:val="none"/>
              </w:rPr>
              <w:t>（</w:t>
            </w:r>
            <w:r>
              <w:rPr>
                <w:rFonts w:hint="eastAsia" w:hAnsi="宋体"/>
                <w:color w:val="auto"/>
                <w:szCs w:val="21"/>
                <w:highlight w:val="none"/>
                <w:lang w:val="en-US" w:eastAsia="zh-CN"/>
              </w:rPr>
              <w:t>2</w:t>
            </w:r>
            <w:r>
              <w:rPr>
                <w:rFonts w:hint="eastAsia" w:hAnsi="宋体"/>
                <w:color w:val="auto"/>
                <w:szCs w:val="21"/>
                <w:highlight w:val="none"/>
              </w:rPr>
              <w:t>）</w:t>
            </w:r>
          </w:p>
        </w:tc>
        <w:tc>
          <w:tcPr>
            <w:tcW w:w="8622" w:type="dxa"/>
            <w:gridSpan w:val="2"/>
            <w:vAlign w:val="center"/>
          </w:tcPr>
          <w:p w14:paraId="60AA7C00">
            <w:pPr>
              <w:pStyle w:val="355"/>
              <w:snapToGrid w:val="0"/>
              <w:jc w:val="both"/>
              <w:textAlignment w:val="baseline"/>
              <w:rPr>
                <w:color w:val="auto"/>
                <w:highlight w:val="none"/>
              </w:rPr>
            </w:pPr>
            <w:r>
              <w:rPr>
                <w:rFonts w:hint="eastAsia" w:ascii="宋体" w:hAnsi="宋体" w:eastAsia="宋体" w:cs="Times New Roman"/>
                <w:b/>
                <w:bCs/>
                <w:color w:val="auto"/>
                <w:kern w:val="2"/>
                <w:sz w:val="21"/>
                <w:szCs w:val="21"/>
                <w:highlight w:val="none"/>
                <w:u w:val="single"/>
                <w:lang w:val="en-US" w:eastAsia="zh-CN" w:bidi="ar-SA"/>
              </w:rPr>
              <w:t>本项目所属行业为（</w:t>
            </w:r>
            <w:r>
              <w:rPr>
                <w:rFonts w:hint="eastAsia" w:cs="Times New Roman"/>
                <w:b/>
                <w:bCs/>
                <w:color w:val="auto"/>
                <w:kern w:val="2"/>
                <w:sz w:val="21"/>
                <w:szCs w:val="21"/>
                <w:highlight w:val="none"/>
                <w:u w:val="single"/>
                <w:lang w:val="en-US" w:eastAsia="zh-CN" w:bidi="ar-SA"/>
              </w:rPr>
              <w:t>租赁和商务服务业</w:t>
            </w:r>
            <w:r>
              <w:rPr>
                <w:rFonts w:hint="eastAsia" w:ascii="宋体" w:hAnsi="宋体" w:eastAsia="宋体" w:cs="Times New Roman"/>
                <w:b/>
                <w:bCs/>
                <w:color w:val="auto"/>
                <w:kern w:val="2"/>
                <w:sz w:val="21"/>
                <w:szCs w:val="21"/>
                <w:highlight w:val="none"/>
                <w:u w:val="single"/>
                <w:lang w:val="en-US" w:eastAsia="zh-CN" w:bidi="ar-SA"/>
              </w:rPr>
              <w:t>）。</w:t>
            </w:r>
          </w:p>
        </w:tc>
      </w:tr>
      <w:tr w14:paraId="0BFD5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1198" w:type="dxa"/>
            <w:vAlign w:val="center"/>
          </w:tcPr>
          <w:p w14:paraId="1CD75EB8">
            <w:pPr>
              <w:pStyle w:val="16"/>
              <w:spacing w:line="360" w:lineRule="auto"/>
              <w:jc w:val="center"/>
              <w:rPr>
                <w:rFonts w:hint="eastAsia" w:hAnsi="宋体"/>
                <w:color w:val="auto"/>
                <w:szCs w:val="21"/>
                <w:highlight w:val="none"/>
              </w:rPr>
            </w:pPr>
            <w:r>
              <w:rPr>
                <w:rFonts w:hint="eastAsia" w:hAnsi="宋体"/>
                <w:color w:val="auto"/>
                <w:szCs w:val="21"/>
                <w:highlight w:val="none"/>
              </w:rPr>
              <w:t>（</w:t>
            </w:r>
            <w:r>
              <w:rPr>
                <w:rFonts w:hint="eastAsia" w:hAnsi="宋体"/>
                <w:color w:val="auto"/>
                <w:szCs w:val="21"/>
                <w:highlight w:val="none"/>
                <w:lang w:val="en-US" w:eastAsia="zh-CN"/>
              </w:rPr>
              <w:t>3</w:t>
            </w:r>
            <w:r>
              <w:rPr>
                <w:rFonts w:hint="eastAsia" w:hAnsi="宋体"/>
                <w:color w:val="auto"/>
                <w:szCs w:val="21"/>
                <w:highlight w:val="none"/>
              </w:rPr>
              <w:t>）</w:t>
            </w:r>
          </w:p>
        </w:tc>
        <w:tc>
          <w:tcPr>
            <w:tcW w:w="8622" w:type="dxa"/>
            <w:gridSpan w:val="2"/>
            <w:vAlign w:val="center"/>
          </w:tcPr>
          <w:p w14:paraId="69430ABA">
            <w:pPr>
              <w:adjustRightInd w:val="0"/>
              <w:spacing w:line="360" w:lineRule="auto"/>
              <w:rPr>
                <w:rFonts w:ascii="宋体" w:hAnsi="宋体"/>
                <w:b/>
                <w:color w:val="auto"/>
                <w:szCs w:val="21"/>
                <w:highlight w:val="none"/>
              </w:rPr>
            </w:pPr>
            <w:r>
              <w:rPr>
                <w:rFonts w:hint="eastAsia" w:ascii="宋体" w:hAnsi="宋体"/>
                <w:b/>
                <w:color w:val="auto"/>
                <w:szCs w:val="21"/>
                <w:highlight w:val="none"/>
              </w:rPr>
              <w:t>关于中小企业：</w:t>
            </w:r>
          </w:p>
          <w:p w14:paraId="4797E9A9">
            <w:pPr>
              <w:adjustRightInd w:val="0"/>
              <w:spacing w:line="360" w:lineRule="auto"/>
              <w:rPr>
                <w:rFonts w:hint="eastAsia"/>
                <w:color w:val="auto"/>
                <w:lang w:val="en-US" w:eastAsia="zh-CN"/>
              </w:rPr>
            </w:pPr>
            <w:r>
              <w:rPr>
                <w:rFonts w:hint="eastAsia" w:ascii="宋体" w:hAnsi="宋体"/>
                <w:color w:val="auto"/>
                <w:szCs w:val="21"/>
                <w:highlight w:val="none"/>
              </w:rPr>
              <w:t>根据政府采购促进中小企业发展管理办法（财库【2020】46号）</w:t>
            </w:r>
            <w:r>
              <w:rPr>
                <w:rFonts w:hint="eastAsia" w:ascii="宋体" w:hAnsi="宋体" w:eastAsia="宋体" w:cs="Times New Roman"/>
                <w:bCs/>
                <w:color w:val="auto"/>
                <w:szCs w:val="21"/>
                <w:highlight w:val="none"/>
              </w:rPr>
              <w:t>和《关于进一步加大政府采购支持中小企业力度的通知》（财库〔2022〕19 号）的规定</w:t>
            </w:r>
            <w:r>
              <w:rPr>
                <w:rFonts w:hint="eastAsia" w:ascii="宋体" w:hAnsi="宋体"/>
                <w:color w:val="auto"/>
                <w:szCs w:val="21"/>
                <w:highlight w:val="none"/>
              </w:rPr>
              <w:t>，对符合条件的小型和微型供应商，在计算投标报价时给予10%的扣除。</w:t>
            </w:r>
          </w:p>
        </w:tc>
      </w:tr>
      <w:tr w14:paraId="35510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1198" w:type="dxa"/>
            <w:vAlign w:val="center"/>
          </w:tcPr>
          <w:p w14:paraId="2CCC14BD">
            <w:pPr>
              <w:pStyle w:val="16"/>
              <w:spacing w:line="360" w:lineRule="auto"/>
              <w:jc w:val="center"/>
              <w:rPr>
                <w:rFonts w:hint="eastAsia" w:hAnsi="宋体"/>
                <w:color w:val="auto"/>
                <w:szCs w:val="21"/>
                <w:highlight w:val="none"/>
              </w:rPr>
            </w:pPr>
            <w:r>
              <w:rPr>
                <w:rFonts w:hint="eastAsia" w:hAnsi="宋体"/>
                <w:color w:val="auto"/>
                <w:szCs w:val="21"/>
                <w:highlight w:val="none"/>
              </w:rPr>
              <w:t>（</w:t>
            </w:r>
            <w:r>
              <w:rPr>
                <w:rFonts w:hint="eastAsia" w:hAnsi="宋体"/>
                <w:color w:val="auto"/>
                <w:szCs w:val="21"/>
                <w:highlight w:val="none"/>
                <w:lang w:val="en-US" w:eastAsia="zh-CN"/>
              </w:rPr>
              <w:t>4</w:t>
            </w:r>
            <w:r>
              <w:rPr>
                <w:rFonts w:hint="eastAsia" w:hAnsi="宋体"/>
                <w:color w:val="auto"/>
                <w:szCs w:val="21"/>
                <w:highlight w:val="none"/>
              </w:rPr>
              <w:t>）</w:t>
            </w:r>
          </w:p>
        </w:tc>
        <w:tc>
          <w:tcPr>
            <w:tcW w:w="8622" w:type="dxa"/>
            <w:gridSpan w:val="2"/>
            <w:vAlign w:val="center"/>
          </w:tcPr>
          <w:p w14:paraId="7533D9D2">
            <w:pPr>
              <w:adjustRightInd w:val="0"/>
              <w:spacing w:line="360" w:lineRule="auto"/>
              <w:rPr>
                <w:rFonts w:ascii="宋体" w:hAnsi="宋体"/>
                <w:b/>
                <w:color w:val="auto"/>
                <w:szCs w:val="21"/>
                <w:highlight w:val="none"/>
              </w:rPr>
            </w:pPr>
            <w:r>
              <w:rPr>
                <w:rFonts w:hint="eastAsia" w:ascii="宋体" w:hAnsi="宋体"/>
                <w:b/>
                <w:color w:val="auto"/>
                <w:szCs w:val="21"/>
                <w:highlight w:val="none"/>
              </w:rPr>
              <w:t>关于监狱企业、残疾人福利性单位：</w:t>
            </w:r>
          </w:p>
          <w:p w14:paraId="0904644B">
            <w:pPr>
              <w:adjustRightInd w:val="0"/>
              <w:spacing w:line="360" w:lineRule="auto"/>
              <w:rPr>
                <w:rFonts w:ascii="宋体" w:hAnsi="宋体"/>
                <w:color w:val="auto"/>
                <w:szCs w:val="21"/>
                <w:highlight w:val="none"/>
              </w:rPr>
            </w:pPr>
            <w:r>
              <w:rPr>
                <w:rFonts w:hint="eastAsia" w:ascii="宋体" w:hAnsi="宋体"/>
                <w:color w:val="auto"/>
                <w:szCs w:val="21"/>
                <w:highlight w:val="none"/>
              </w:rPr>
              <w:t>1、监狱企业：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21CD001B">
            <w:pPr>
              <w:adjustRightInd w:val="0"/>
              <w:spacing w:line="360" w:lineRule="auto"/>
              <w:rPr>
                <w:rFonts w:ascii="宋体" w:hAnsi="宋体"/>
                <w:color w:val="auto"/>
                <w:szCs w:val="21"/>
                <w:highlight w:val="none"/>
              </w:rPr>
            </w:pPr>
            <w:r>
              <w:rPr>
                <w:rFonts w:hint="eastAsia" w:ascii="宋体" w:hAnsi="宋体"/>
                <w:color w:val="auto"/>
                <w:szCs w:val="21"/>
                <w:highlight w:val="none"/>
              </w:rPr>
              <w:t>2、残疾人福利性单位：根据财政部《关于促进残疾人就业政府采购政策》的通知财库〔2017〕141号的规定，符合条件的残疾人福利性单位在参加政府采购活动时，应当提供《残疾人福利性单位声明函》，并对声明的真实性负责。任何单位或者个人在政府采购活动中均不得要求残疾人福利性单位提供其他证明声明函内容的材料。成交供应商为残疾人福利性单位的，采购人或者其委托的采购代理机构应当随成交结果同时公告其《残疾人福利性单位声明函》，接受社会监督。供应商提供的《残疾人福利性单位声明函》与事实不符的，依照《政府采购法》第七十七条第一款的规定追究法律责任。</w:t>
            </w:r>
          </w:p>
          <w:p w14:paraId="69BA0049">
            <w:pPr>
              <w:spacing w:line="360" w:lineRule="auto"/>
              <w:rPr>
                <w:rFonts w:hint="eastAsia" w:ascii="宋体" w:hAnsi="宋体" w:eastAsia="宋体" w:cs="Times New Roman"/>
                <w:b/>
                <w:bCs/>
                <w:color w:val="auto"/>
                <w:kern w:val="2"/>
                <w:sz w:val="21"/>
                <w:szCs w:val="21"/>
                <w:highlight w:val="none"/>
                <w:u w:val="single"/>
                <w:lang w:val="en-US" w:eastAsia="zh-CN" w:bidi="ar-SA"/>
              </w:rPr>
            </w:pPr>
            <w:r>
              <w:rPr>
                <w:rFonts w:hint="eastAsia" w:ascii="宋体" w:hAnsi="宋体" w:cs="黑体"/>
                <w:b/>
                <w:bCs/>
                <w:color w:val="auto"/>
                <w:szCs w:val="21"/>
                <w:highlight w:val="none"/>
              </w:rPr>
              <w:t>注：在价格进行扣除时，监狱企业、残疾人福利性单位视同小型、微型企业，若监狱企业、残疾人福利性单位属于小型、微型企业的，不重复享受政策。</w:t>
            </w:r>
          </w:p>
        </w:tc>
      </w:tr>
    </w:tbl>
    <w:p w14:paraId="7045EBF8">
      <w:pPr>
        <w:pStyle w:val="4"/>
        <w:numPr>
          <w:ilvl w:val="0"/>
          <w:numId w:val="0"/>
        </w:numPr>
        <w:ind w:left="425"/>
        <w:jc w:val="center"/>
        <w:rPr>
          <w:rFonts w:ascii="宋体" w:hAnsi="宋体" w:eastAsia="宋体"/>
          <w:b w:val="0"/>
          <w:color w:val="auto"/>
          <w:kern w:val="44"/>
          <w:sz w:val="36"/>
          <w:highlight w:val="none"/>
        </w:rPr>
      </w:pPr>
      <w:r>
        <w:rPr>
          <w:rFonts w:ascii="宋体" w:hAnsi="宋体" w:eastAsia="宋体"/>
          <w:color w:val="auto"/>
          <w:highlight w:val="none"/>
        </w:rPr>
        <w:br w:type="page"/>
      </w:r>
      <w:bookmarkStart w:id="70" w:name="_Toc496122176"/>
      <w:bookmarkStart w:id="71" w:name="_Toc20747710"/>
      <w:bookmarkStart w:id="72" w:name="_Toc71666336"/>
      <w:r>
        <w:rPr>
          <w:rFonts w:hint="eastAsia" w:ascii="宋体" w:hAnsi="宋体" w:eastAsia="宋体"/>
          <w:color w:val="auto"/>
          <w:sz w:val="30"/>
          <w:szCs w:val="30"/>
          <w:highlight w:val="none"/>
        </w:rPr>
        <w:t>一</w:t>
      </w:r>
      <w:r>
        <w:rPr>
          <w:rFonts w:hint="eastAsia" w:ascii="宋体" w:hAnsi="宋体" w:eastAsia="宋体"/>
          <w:b w:val="0"/>
          <w:color w:val="auto"/>
          <w:kern w:val="44"/>
          <w:sz w:val="36"/>
          <w:highlight w:val="none"/>
        </w:rPr>
        <w:t>、总  则</w:t>
      </w:r>
      <w:bookmarkEnd w:id="70"/>
      <w:bookmarkEnd w:id="71"/>
      <w:bookmarkEnd w:id="72"/>
    </w:p>
    <w:p w14:paraId="48F58E71">
      <w:pPr>
        <w:pStyle w:val="16"/>
        <w:spacing w:line="360" w:lineRule="auto"/>
        <w:ind w:left="212" w:hanging="212" w:hangingChars="101"/>
        <w:jc w:val="left"/>
        <w:rPr>
          <w:rFonts w:hAnsi="宋体"/>
          <w:color w:val="auto"/>
          <w:szCs w:val="21"/>
          <w:highlight w:val="none"/>
        </w:rPr>
      </w:pPr>
      <w:r>
        <w:rPr>
          <w:rFonts w:hint="eastAsia" w:hAnsi="宋体"/>
          <w:bCs/>
          <w:color w:val="auto"/>
          <w:szCs w:val="21"/>
          <w:highlight w:val="none"/>
        </w:rPr>
        <w:t>1. 采购人、采购代理机构、</w:t>
      </w:r>
      <w:r>
        <w:rPr>
          <w:rFonts w:hint="eastAsia" w:hAnsi="宋体"/>
          <w:color w:val="auto"/>
          <w:szCs w:val="21"/>
          <w:highlight w:val="none"/>
        </w:rPr>
        <w:t>项目名称及项目编号，详见招标文件“</w:t>
      </w:r>
      <w:r>
        <w:rPr>
          <w:rFonts w:hint="eastAsia" w:hAnsi="宋体"/>
          <w:b/>
          <w:color w:val="auto"/>
          <w:szCs w:val="21"/>
          <w:highlight w:val="none"/>
        </w:rPr>
        <w:t>投标人须知前附表</w:t>
      </w:r>
      <w:r>
        <w:rPr>
          <w:rFonts w:hint="eastAsia" w:hAnsi="宋体"/>
          <w:color w:val="auto"/>
          <w:szCs w:val="21"/>
          <w:highlight w:val="none"/>
        </w:rPr>
        <w:t>”。</w:t>
      </w:r>
    </w:p>
    <w:p w14:paraId="28174C0A">
      <w:pPr>
        <w:spacing w:line="360" w:lineRule="auto"/>
        <w:jc w:val="left"/>
        <w:rPr>
          <w:rFonts w:ascii="宋体" w:hAnsi="宋体"/>
          <w:color w:val="auto"/>
          <w:szCs w:val="21"/>
          <w:highlight w:val="none"/>
        </w:rPr>
      </w:pPr>
      <w:r>
        <w:rPr>
          <w:rFonts w:hint="eastAsia" w:ascii="宋体" w:hAnsi="宋体"/>
          <w:b/>
          <w:color w:val="auto"/>
          <w:szCs w:val="21"/>
          <w:highlight w:val="none"/>
        </w:rPr>
        <w:t>2. 资金来源</w:t>
      </w:r>
      <w:r>
        <w:rPr>
          <w:rFonts w:ascii="宋体" w:hAnsi="宋体"/>
          <w:b/>
          <w:color w:val="auto"/>
          <w:szCs w:val="21"/>
          <w:highlight w:val="none"/>
        </w:rPr>
        <w:t>：</w:t>
      </w:r>
      <w:r>
        <w:rPr>
          <w:rFonts w:hint="eastAsia" w:ascii="宋体" w:hAnsi="宋体"/>
          <w:color w:val="auto"/>
          <w:szCs w:val="21"/>
          <w:highlight w:val="none"/>
        </w:rPr>
        <w:t>“</w:t>
      </w:r>
      <w:r>
        <w:rPr>
          <w:rFonts w:hint="eastAsia" w:ascii="宋体" w:hAnsi="宋体"/>
          <w:b/>
          <w:color w:val="auto"/>
          <w:szCs w:val="21"/>
          <w:highlight w:val="none"/>
        </w:rPr>
        <w:t>投标人须知前附表</w:t>
      </w:r>
      <w:r>
        <w:rPr>
          <w:rFonts w:hint="eastAsia" w:ascii="宋体" w:hAnsi="宋体"/>
          <w:color w:val="auto"/>
          <w:szCs w:val="21"/>
          <w:highlight w:val="none"/>
        </w:rPr>
        <w:t>”中所述的资金，用于采购“</w:t>
      </w:r>
      <w:r>
        <w:rPr>
          <w:rFonts w:hint="eastAsia" w:ascii="宋体" w:hAnsi="宋体"/>
          <w:b/>
          <w:color w:val="auto"/>
          <w:szCs w:val="21"/>
          <w:highlight w:val="none"/>
          <w:lang w:eastAsia="zh-CN"/>
        </w:rPr>
        <w:t>采购需求</w:t>
      </w:r>
      <w:r>
        <w:rPr>
          <w:rFonts w:hint="eastAsia" w:ascii="宋体" w:hAnsi="宋体"/>
          <w:color w:val="auto"/>
          <w:szCs w:val="21"/>
          <w:highlight w:val="none"/>
        </w:rPr>
        <w:t>”所列内容。</w:t>
      </w:r>
    </w:p>
    <w:p w14:paraId="419C05E7">
      <w:pPr>
        <w:spacing w:line="360" w:lineRule="auto"/>
        <w:jc w:val="left"/>
        <w:rPr>
          <w:rFonts w:hint="eastAsia" w:ascii="宋体" w:hAnsi="宋体"/>
          <w:b/>
          <w:color w:val="auto"/>
          <w:szCs w:val="21"/>
          <w:highlight w:val="none"/>
          <w:lang w:val="en-US" w:eastAsia="zh-CN"/>
        </w:rPr>
      </w:pPr>
      <w:r>
        <w:rPr>
          <w:rFonts w:hint="eastAsia" w:ascii="宋体" w:hAnsi="宋体"/>
          <w:b/>
          <w:color w:val="auto"/>
          <w:szCs w:val="21"/>
          <w:highlight w:val="none"/>
        </w:rPr>
        <w:t xml:space="preserve">3. </w:t>
      </w:r>
      <w:r>
        <w:rPr>
          <w:rFonts w:hint="eastAsia" w:ascii="宋体" w:hAnsi="宋体"/>
          <w:b/>
          <w:color w:val="auto"/>
          <w:szCs w:val="21"/>
          <w:highlight w:val="none"/>
          <w:lang w:val="en-US" w:eastAsia="zh-CN"/>
        </w:rPr>
        <w:t>采购需求</w:t>
      </w:r>
    </w:p>
    <w:p w14:paraId="01E19A66">
      <w:pPr>
        <w:spacing w:line="360" w:lineRule="auto"/>
        <w:jc w:val="left"/>
        <w:rPr>
          <w:rFonts w:ascii="宋体" w:hAnsi="宋体"/>
          <w:color w:val="auto"/>
          <w:szCs w:val="21"/>
          <w:highlight w:val="none"/>
        </w:rPr>
      </w:pPr>
      <w:r>
        <w:rPr>
          <w:rFonts w:hint="eastAsia" w:ascii="宋体" w:hAnsi="宋体"/>
          <w:color w:val="auto"/>
          <w:szCs w:val="21"/>
          <w:highlight w:val="none"/>
        </w:rPr>
        <w:t>3.1 本项目</w:t>
      </w:r>
      <w:r>
        <w:rPr>
          <w:rFonts w:hint="eastAsia" w:ascii="宋体" w:hAnsi="宋体"/>
          <w:color w:val="auto"/>
          <w:szCs w:val="21"/>
          <w:highlight w:val="none"/>
          <w:lang w:val="en-US" w:eastAsia="zh-CN"/>
        </w:rPr>
        <w:t>采购需求</w:t>
      </w:r>
      <w:r>
        <w:rPr>
          <w:rFonts w:hint="eastAsia" w:ascii="宋体" w:hAnsi="宋体"/>
          <w:color w:val="auto"/>
          <w:szCs w:val="21"/>
          <w:highlight w:val="none"/>
        </w:rPr>
        <w:t>：见“</w:t>
      </w:r>
      <w:r>
        <w:rPr>
          <w:rFonts w:hint="eastAsia" w:ascii="宋体" w:hAnsi="宋体"/>
          <w:b/>
          <w:color w:val="auto"/>
          <w:szCs w:val="21"/>
          <w:highlight w:val="none"/>
        </w:rPr>
        <w:t>投标人须知前附表</w:t>
      </w:r>
      <w:r>
        <w:rPr>
          <w:rFonts w:hint="eastAsia" w:ascii="宋体" w:hAnsi="宋体"/>
          <w:color w:val="auto"/>
          <w:szCs w:val="21"/>
          <w:highlight w:val="none"/>
        </w:rPr>
        <w:t>”。</w:t>
      </w:r>
    </w:p>
    <w:p w14:paraId="79E45CDF">
      <w:pPr>
        <w:spacing w:line="360" w:lineRule="auto"/>
        <w:jc w:val="left"/>
        <w:rPr>
          <w:rFonts w:ascii="宋体" w:hAnsi="宋体"/>
          <w:color w:val="auto"/>
          <w:szCs w:val="21"/>
          <w:highlight w:val="none"/>
        </w:rPr>
      </w:pPr>
      <w:r>
        <w:rPr>
          <w:rFonts w:hint="eastAsia" w:ascii="宋体" w:hAnsi="宋体"/>
          <w:color w:val="auto"/>
          <w:szCs w:val="21"/>
          <w:highlight w:val="none"/>
        </w:rPr>
        <w:t>3.2</w:t>
      </w:r>
      <w:r>
        <w:rPr>
          <w:rFonts w:hint="eastAsia" w:ascii="宋体" w:hAnsi="宋体"/>
          <w:color w:val="auto"/>
          <w:highlight w:val="none"/>
        </w:rPr>
        <w:t>本项目</w:t>
      </w:r>
      <w:r>
        <w:rPr>
          <w:rFonts w:hint="eastAsia" w:ascii="宋体" w:hAnsi="宋体"/>
          <w:color w:val="auto"/>
          <w:szCs w:val="21"/>
          <w:highlight w:val="none"/>
        </w:rPr>
        <w:t>合同履行期限</w:t>
      </w:r>
      <w:r>
        <w:rPr>
          <w:rFonts w:hint="eastAsia" w:ascii="宋体" w:hAnsi="宋体"/>
          <w:color w:val="auto"/>
          <w:highlight w:val="none"/>
        </w:rPr>
        <w:t>、</w:t>
      </w:r>
      <w:r>
        <w:rPr>
          <w:rFonts w:hint="eastAsia" w:ascii="宋体" w:hAnsi="宋体"/>
          <w:color w:val="auto"/>
          <w:highlight w:val="none"/>
          <w:lang w:val="en-US" w:eastAsia="zh-CN"/>
        </w:rPr>
        <w:t>服务地点</w:t>
      </w:r>
      <w:r>
        <w:rPr>
          <w:rFonts w:hint="eastAsia" w:ascii="宋体" w:hAnsi="宋体"/>
          <w:color w:val="auto"/>
          <w:highlight w:val="none"/>
        </w:rPr>
        <w:t>：见“</w:t>
      </w:r>
      <w:r>
        <w:rPr>
          <w:rFonts w:hint="eastAsia" w:ascii="宋体" w:hAnsi="宋体"/>
          <w:b/>
          <w:color w:val="auto"/>
          <w:highlight w:val="none"/>
        </w:rPr>
        <w:t>投标人须知前附表</w:t>
      </w:r>
      <w:r>
        <w:rPr>
          <w:rFonts w:hint="eastAsia" w:ascii="宋体" w:hAnsi="宋体"/>
          <w:color w:val="auto"/>
          <w:highlight w:val="none"/>
        </w:rPr>
        <w:t>”。</w:t>
      </w:r>
    </w:p>
    <w:p w14:paraId="6A77EA54">
      <w:pPr>
        <w:spacing w:line="360" w:lineRule="auto"/>
        <w:jc w:val="left"/>
        <w:rPr>
          <w:rFonts w:ascii="宋体" w:hAnsi="宋体"/>
          <w:b/>
          <w:color w:val="auto"/>
          <w:szCs w:val="21"/>
          <w:highlight w:val="none"/>
        </w:rPr>
      </w:pPr>
      <w:r>
        <w:rPr>
          <w:rFonts w:hint="eastAsia" w:ascii="宋体" w:hAnsi="宋体"/>
          <w:b/>
          <w:color w:val="auto"/>
          <w:szCs w:val="21"/>
          <w:highlight w:val="none"/>
        </w:rPr>
        <w:t>4. 合格的投标人</w:t>
      </w:r>
    </w:p>
    <w:p w14:paraId="35AF0060">
      <w:pPr>
        <w:spacing w:line="460" w:lineRule="exact"/>
        <w:rPr>
          <w:rFonts w:ascii="宋体" w:hAnsi="宋体"/>
          <w:bCs/>
          <w:color w:val="auto"/>
          <w:szCs w:val="21"/>
          <w:highlight w:val="none"/>
        </w:rPr>
      </w:pPr>
      <w:r>
        <w:rPr>
          <w:rFonts w:hint="eastAsia" w:ascii="宋体" w:hAnsi="宋体"/>
          <w:bCs/>
          <w:color w:val="auto"/>
          <w:szCs w:val="21"/>
          <w:highlight w:val="none"/>
        </w:rPr>
        <w:t>4.1投标人应具备《中华人民共和国政府采购法》第二十二条规定的条件，并提供下列材料：</w:t>
      </w:r>
    </w:p>
    <w:p w14:paraId="290167CD">
      <w:pPr>
        <w:spacing w:line="480" w:lineRule="exact"/>
        <w:jc w:val="left"/>
        <w:rPr>
          <w:rFonts w:ascii="宋体" w:hAnsi="宋体"/>
          <w:bCs/>
          <w:color w:val="auto"/>
          <w:szCs w:val="21"/>
          <w:highlight w:val="none"/>
        </w:rPr>
      </w:pPr>
      <w:r>
        <w:rPr>
          <w:rFonts w:hint="eastAsia" w:ascii="宋体" w:hAnsi="宋体"/>
          <w:bCs/>
          <w:color w:val="auto"/>
          <w:szCs w:val="21"/>
          <w:highlight w:val="none"/>
        </w:rPr>
        <w:t>4.1.1</w:t>
      </w:r>
      <w:r>
        <w:rPr>
          <w:rFonts w:hint="eastAsia" w:hAnsi="宋体"/>
          <w:bCs/>
          <w:color w:val="auto"/>
          <w:szCs w:val="21"/>
          <w:highlight w:val="none"/>
        </w:rPr>
        <w:t>投标人必须是具有独立承担民事责任能力的法人或其他组织或自然人；提供营业执照或自然人的身份证明（扫描件）</w:t>
      </w:r>
      <w:r>
        <w:rPr>
          <w:rFonts w:hint="eastAsia" w:ascii="宋体" w:hAnsi="宋体"/>
          <w:color w:val="auto"/>
          <w:szCs w:val="21"/>
          <w:highlight w:val="none"/>
        </w:rPr>
        <w:t xml:space="preserve">； </w:t>
      </w:r>
    </w:p>
    <w:p w14:paraId="6732C58B">
      <w:pPr>
        <w:spacing w:line="460" w:lineRule="exact"/>
        <w:rPr>
          <w:rFonts w:ascii="宋体" w:hAnsi="宋体"/>
          <w:bCs/>
          <w:color w:val="auto"/>
          <w:szCs w:val="21"/>
          <w:highlight w:val="none"/>
        </w:rPr>
      </w:pPr>
      <w:r>
        <w:rPr>
          <w:rFonts w:hint="eastAsia" w:ascii="宋体" w:hAnsi="宋体"/>
          <w:bCs/>
          <w:color w:val="auto"/>
          <w:szCs w:val="21"/>
          <w:highlight w:val="none"/>
        </w:rPr>
        <w:t>4.1.2投标人须提供财务状况证明材料（具体要求详见“投标人须知前附表”）；</w:t>
      </w:r>
    </w:p>
    <w:p w14:paraId="7E8CDDCE">
      <w:pPr>
        <w:spacing w:line="460" w:lineRule="exact"/>
        <w:rPr>
          <w:rFonts w:ascii="宋体" w:hAnsi="宋体"/>
          <w:bCs/>
          <w:color w:val="auto"/>
          <w:szCs w:val="21"/>
          <w:highlight w:val="none"/>
        </w:rPr>
      </w:pPr>
      <w:r>
        <w:rPr>
          <w:rFonts w:hint="eastAsia" w:ascii="宋体" w:hAnsi="宋体"/>
          <w:bCs/>
          <w:color w:val="auto"/>
          <w:szCs w:val="21"/>
          <w:highlight w:val="none"/>
        </w:rPr>
        <w:t>4.1.3投标人纳税证明材料（具体要求详见“投标人须知前附表”）；</w:t>
      </w:r>
    </w:p>
    <w:p w14:paraId="488733C8">
      <w:pPr>
        <w:spacing w:line="460" w:lineRule="exact"/>
        <w:rPr>
          <w:rFonts w:ascii="宋体" w:hAnsi="宋体"/>
          <w:bCs/>
          <w:color w:val="auto"/>
          <w:szCs w:val="21"/>
          <w:highlight w:val="none"/>
        </w:rPr>
      </w:pPr>
      <w:r>
        <w:rPr>
          <w:rFonts w:hint="eastAsia" w:ascii="宋体" w:hAnsi="宋体"/>
          <w:bCs/>
          <w:color w:val="auto"/>
          <w:szCs w:val="21"/>
          <w:highlight w:val="none"/>
        </w:rPr>
        <w:t>4.1.4投标人缴纳社会保险证明材料（具体要求详见“投标人须知前附表”）；</w:t>
      </w:r>
    </w:p>
    <w:p w14:paraId="369BFDEA">
      <w:pPr>
        <w:spacing w:line="460" w:lineRule="exact"/>
        <w:rPr>
          <w:rFonts w:ascii="宋体" w:hAnsi="宋体"/>
          <w:bCs/>
          <w:color w:val="auto"/>
          <w:szCs w:val="21"/>
          <w:highlight w:val="none"/>
        </w:rPr>
      </w:pPr>
      <w:r>
        <w:rPr>
          <w:rFonts w:hint="eastAsia" w:ascii="宋体" w:hAnsi="宋体"/>
          <w:bCs/>
          <w:color w:val="auto"/>
          <w:szCs w:val="21"/>
          <w:highlight w:val="none"/>
        </w:rPr>
        <w:t>4.1.5投标人须提供具备履行合同所必需的设备和专业技术能力的证明材料</w:t>
      </w:r>
      <w:r>
        <w:rPr>
          <w:rFonts w:hint="eastAsia" w:hAnsi="宋体"/>
          <w:bCs/>
          <w:color w:val="auto"/>
          <w:szCs w:val="21"/>
          <w:highlight w:val="none"/>
        </w:rPr>
        <w:t>（提供说明承诺或其他证明材料）</w:t>
      </w:r>
      <w:r>
        <w:rPr>
          <w:rFonts w:hint="eastAsia" w:ascii="宋体" w:hAnsi="宋体"/>
          <w:bCs/>
          <w:color w:val="auto"/>
          <w:szCs w:val="21"/>
          <w:highlight w:val="none"/>
        </w:rPr>
        <w:t>；</w:t>
      </w:r>
    </w:p>
    <w:p w14:paraId="7BDAB6A4">
      <w:pPr>
        <w:spacing w:line="460" w:lineRule="exact"/>
        <w:rPr>
          <w:rFonts w:ascii="宋体" w:hAnsi="宋体"/>
          <w:bCs/>
          <w:color w:val="auto"/>
          <w:szCs w:val="21"/>
          <w:highlight w:val="none"/>
        </w:rPr>
      </w:pPr>
      <w:r>
        <w:rPr>
          <w:rFonts w:hint="eastAsia" w:ascii="宋体" w:hAnsi="宋体"/>
          <w:bCs/>
          <w:color w:val="auto"/>
          <w:szCs w:val="21"/>
          <w:highlight w:val="none"/>
        </w:rPr>
        <w:t>4.1.6投标人必须提供参加政府采购活动前3年内在经营活动中没有重大违法记录的书面声明（重大违法记录，是指供应商因违法经营受到刑事处罚或者责令停产停业、吊销许可证或者执照、较大数额罚款等行政处罚）；</w:t>
      </w:r>
    </w:p>
    <w:p w14:paraId="4DA1C59A">
      <w:pPr>
        <w:spacing w:line="460" w:lineRule="exact"/>
        <w:rPr>
          <w:rFonts w:ascii="宋体" w:hAnsi="宋体"/>
          <w:bCs/>
          <w:color w:val="auto"/>
          <w:szCs w:val="21"/>
          <w:highlight w:val="none"/>
        </w:rPr>
      </w:pPr>
      <w:r>
        <w:rPr>
          <w:rFonts w:hint="eastAsia" w:ascii="宋体" w:hAnsi="宋体"/>
          <w:bCs/>
          <w:color w:val="auto"/>
          <w:szCs w:val="21"/>
          <w:highlight w:val="none"/>
        </w:rPr>
        <w:t>4.2</w:t>
      </w:r>
      <w:r>
        <w:rPr>
          <w:rFonts w:hint="eastAsia" w:ascii="宋体" w:hAnsi="宋体"/>
          <w:color w:val="auto"/>
          <w:szCs w:val="21"/>
          <w:highlight w:val="none"/>
        </w:rPr>
        <w:t>落实政府采购政策需满足的资格要求：</w:t>
      </w:r>
      <w:r>
        <w:rPr>
          <w:rFonts w:hint="eastAsia" w:ascii="宋体" w:hAnsi="宋体"/>
          <w:color w:val="auto"/>
          <w:szCs w:val="21"/>
          <w:highlight w:val="none"/>
          <w:u w:val="single"/>
        </w:rPr>
        <w:t>详见第一章“招标公告”</w:t>
      </w:r>
    </w:p>
    <w:p w14:paraId="5C641BF8">
      <w:pPr>
        <w:spacing w:line="460" w:lineRule="exact"/>
        <w:rPr>
          <w:rFonts w:ascii="宋体" w:hAnsi="宋体"/>
          <w:bCs/>
          <w:color w:val="auto"/>
          <w:szCs w:val="21"/>
          <w:highlight w:val="none"/>
        </w:rPr>
      </w:pPr>
      <w:r>
        <w:rPr>
          <w:rFonts w:hint="eastAsia" w:ascii="宋体" w:hAnsi="宋体"/>
          <w:bCs/>
          <w:color w:val="auto"/>
          <w:szCs w:val="21"/>
          <w:highlight w:val="none"/>
        </w:rPr>
        <w:t>4.3本项目的特定资格要求：</w:t>
      </w:r>
      <w:r>
        <w:rPr>
          <w:rFonts w:hint="eastAsia" w:ascii="宋体" w:hAnsi="宋体"/>
          <w:bCs/>
          <w:color w:val="auto"/>
          <w:szCs w:val="21"/>
          <w:highlight w:val="none"/>
          <w:u w:val="single"/>
        </w:rPr>
        <w:t>详见第一章</w:t>
      </w:r>
      <w:r>
        <w:rPr>
          <w:rFonts w:ascii="宋体" w:hAnsi="宋体"/>
          <w:bCs/>
          <w:color w:val="auto"/>
          <w:szCs w:val="21"/>
          <w:highlight w:val="none"/>
          <w:u w:val="single"/>
        </w:rPr>
        <w:t>“招标公告”</w:t>
      </w:r>
    </w:p>
    <w:p w14:paraId="1D6E4230">
      <w:pPr>
        <w:spacing w:line="360" w:lineRule="auto"/>
        <w:jc w:val="left"/>
        <w:rPr>
          <w:rFonts w:ascii="宋体" w:hAnsi="宋体"/>
          <w:bCs/>
          <w:color w:val="auto"/>
          <w:szCs w:val="21"/>
          <w:highlight w:val="none"/>
        </w:rPr>
      </w:pPr>
      <w:r>
        <w:rPr>
          <w:rFonts w:hint="eastAsia" w:ascii="宋体" w:hAnsi="宋体"/>
          <w:bCs/>
          <w:color w:val="auto"/>
          <w:szCs w:val="21"/>
          <w:highlight w:val="none"/>
        </w:rPr>
        <w:t>4.4“投标人须知前附表”规定接受联合体投标的，除应符合本章第4.1-4.4项和“投标人须知前附表”的要求外，还应遵守以下规定：</w:t>
      </w:r>
    </w:p>
    <w:p w14:paraId="6B01C734">
      <w:pPr>
        <w:spacing w:line="360" w:lineRule="auto"/>
        <w:jc w:val="left"/>
        <w:rPr>
          <w:rFonts w:ascii="宋体" w:hAnsi="宋体"/>
          <w:bCs/>
          <w:color w:val="auto"/>
          <w:szCs w:val="21"/>
          <w:highlight w:val="none"/>
        </w:rPr>
      </w:pPr>
      <w:r>
        <w:rPr>
          <w:rFonts w:hint="eastAsia" w:ascii="宋体" w:hAnsi="宋体"/>
          <w:bCs/>
          <w:color w:val="auto"/>
          <w:szCs w:val="21"/>
          <w:highlight w:val="none"/>
        </w:rPr>
        <w:t>(1) 联合体中有同类资质的投标人按照联合体分工承担相同工作的，应当按照资质等级较低的投标人确定资质等级；</w:t>
      </w:r>
    </w:p>
    <w:p w14:paraId="48909D14">
      <w:pPr>
        <w:spacing w:line="360" w:lineRule="auto"/>
        <w:jc w:val="left"/>
        <w:rPr>
          <w:rFonts w:ascii="宋体" w:hAnsi="宋体"/>
          <w:bCs/>
          <w:color w:val="auto"/>
          <w:szCs w:val="21"/>
          <w:highlight w:val="none"/>
        </w:rPr>
      </w:pPr>
      <w:r>
        <w:rPr>
          <w:rFonts w:hint="eastAsia" w:ascii="宋体" w:hAnsi="宋体"/>
          <w:bCs/>
          <w:color w:val="auto"/>
          <w:szCs w:val="21"/>
          <w:highlight w:val="none"/>
        </w:rPr>
        <w:t>(2)联合体各方之间应当签订共同投标协议，明确约定联合体各方承担的工作和相应的责任；</w:t>
      </w:r>
    </w:p>
    <w:p w14:paraId="245D7853">
      <w:pPr>
        <w:spacing w:line="360" w:lineRule="auto"/>
        <w:jc w:val="left"/>
        <w:rPr>
          <w:rFonts w:ascii="宋体" w:hAnsi="宋体"/>
          <w:bCs/>
          <w:color w:val="auto"/>
          <w:szCs w:val="21"/>
          <w:highlight w:val="none"/>
        </w:rPr>
      </w:pPr>
      <w:r>
        <w:rPr>
          <w:rFonts w:hint="eastAsia" w:ascii="宋体" w:hAnsi="宋体"/>
          <w:bCs/>
          <w:color w:val="auto"/>
          <w:szCs w:val="21"/>
          <w:highlight w:val="none"/>
        </w:rPr>
        <w:t>(3)以联合体形式参加政府采购活动的，联合体各方不得再单独参加或者与其他投标人另外组成联合体参加同一项目包下的政府采购活动。</w:t>
      </w:r>
    </w:p>
    <w:p w14:paraId="6A9F6398">
      <w:pPr>
        <w:spacing w:line="360" w:lineRule="auto"/>
        <w:jc w:val="left"/>
        <w:rPr>
          <w:rFonts w:ascii="宋体" w:hAnsi="宋体"/>
          <w:bCs/>
          <w:color w:val="auto"/>
          <w:szCs w:val="21"/>
          <w:highlight w:val="none"/>
        </w:rPr>
      </w:pPr>
      <w:r>
        <w:rPr>
          <w:rFonts w:hint="eastAsia" w:ascii="宋体" w:hAnsi="宋体"/>
          <w:bCs/>
          <w:color w:val="auto"/>
          <w:szCs w:val="21"/>
          <w:highlight w:val="none"/>
        </w:rPr>
        <w:t>4.5 符合上述条件的投标人应承担投标及履约中应承担的全部责任与义务。</w:t>
      </w:r>
    </w:p>
    <w:p w14:paraId="4EE50288">
      <w:pPr>
        <w:spacing w:line="360" w:lineRule="auto"/>
        <w:jc w:val="left"/>
        <w:rPr>
          <w:rFonts w:ascii="宋体" w:hAnsi="宋体"/>
          <w:b/>
          <w:color w:val="auto"/>
          <w:szCs w:val="21"/>
          <w:highlight w:val="none"/>
        </w:rPr>
      </w:pPr>
      <w:r>
        <w:rPr>
          <w:rFonts w:hint="eastAsia" w:ascii="宋体" w:hAnsi="宋体"/>
          <w:b/>
          <w:color w:val="auto"/>
          <w:szCs w:val="21"/>
          <w:highlight w:val="none"/>
        </w:rPr>
        <w:t>5. 投标费用</w:t>
      </w:r>
    </w:p>
    <w:p w14:paraId="0A1DF525">
      <w:pPr>
        <w:pStyle w:val="16"/>
        <w:spacing w:line="360" w:lineRule="auto"/>
        <w:rPr>
          <w:rFonts w:hAnsi="宋体"/>
          <w:color w:val="auto"/>
          <w:szCs w:val="21"/>
          <w:highlight w:val="none"/>
        </w:rPr>
      </w:pPr>
      <w:r>
        <w:rPr>
          <w:rFonts w:hint="eastAsia" w:hAnsi="宋体"/>
          <w:color w:val="auto"/>
          <w:szCs w:val="21"/>
          <w:highlight w:val="none"/>
        </w:rPr>
        <w:t>5.1不论投标结果如何，投标人均应自行承担</w:t>
      </w:r>
      <w:r>
        <w:rPr>
          <w:rFonts w:hAnsi="宋体"/>
          <w:color w:val="auto"/>
          <w:szCs w:val="21"/>
          <w:highlight w:val="none"/>
        </w:rPr>
        <w:t>所有与准备和参加投标活动有关的全部费用</w:t>
      </w:r>
      <w:r>
        <w:rPr>
          <w:rFonts w:hint="eastAsia" w:hAnsi="宋体"/>
          <w:color w:val="auto"/>
          <w:szCs w:val="21"/>
          <w:highlight w:val="none"/>
        </w:rPr>
        <w:t>。</w:t>
      </w:r>
    </w:p>
    <w:p w14:paraId="6018BD07">
      <w:pPr>
        <w:spacing w:line="360" w:lineRule="auto"/>
        <w:jc w:val="left"/>
        <w:rPr>
          <w:rFonts w:ascii="宋体" w:hAnsi="宋体"/>
          <w:b/>
          <w:color w:val="auto"/>
          <w:szCs w:val="21"/>
          <w:highlight w:val="none"/>
        </w:rPr>
      </w:pPr>
      <w:r>
        <w:rPr>
          <w:rFonts w:hint="eastAsia" w:ascii="宋体" w:hAnsi="宋体"/>
          <w:b/>
          <w:color w:val="auto"/>
          <w:szCs w:val="21"/>
          <w:highlight w:val="none"/>
        </w:rPr>
        <w:t>6.</w:t>
      </w:r>
      <w:r>
        <w:rPr>
          <w:rFonts w:ascii="宋体" w:hAnsi="宋体"/>
          <w:b/>
          <w:color w:val="auto"/>
          <w:szCs w:val="21"/>
          <w:highlight w:val="none"/>
        </w:rPr>
        <w:t>质疑</w:t>
      </w:r>
    </w:p>
    <w:p w14:paraId="3E79A6C0">
      <w:pPr>
        <w:spacing w:line="360" w:lineRule="auto"/>
        <w:jc w:val="left"/>
        <w:rPr>
          <w:rFonts w:ascii="宋体" w:hAnsi="宋体"/>
          <w:color w:val="auto"/>
          <w:szCs w:val="21"/>
          <w:highlight w:val="none"/>
        </w:rPr>
      </w:pPr>
      <w:r>
        <w:rPr>
          <w:rFonts w:ascii="宋体" w:hAnsi="宋体"/>
          <w:color w:val="auto"/>
          <w:szCs w:val="21"/>
          <w:highlight w:val="none"/>
        </w:rPr>
        <w:t xml:space="preserve">6.1 </w:t>
      </w:r>
      <w:r>
        <w:rPr>
          <w:rFonts w:hint="eastAsia" w:ascii="宋体" w:hAnsi="宋体"/>
          <w:color w:val="auto"/>
          <w:szCs w:val="21"/>
          <w:highlight w:val="none"/>
        </w:rPr>
        <w:t>投标人</w:t>
      </w:r>
      <w:r>
        <w:rPr>
          <w:rFonts w:ascii="宋体" w:hAnsi="宋体"/>
          <w:color w:val="auto"/>
          <w:szCs w:val="21"/>
          <w:highlight w:val="none"/>
        </w:rPr>
        <w:t>认为招标文件、招标过程和中标结果使自己的权益受到损害的，应当在知道或者应知其权益受到损害之日起</w:t>
      </w:r>
      <w:r>
        <w:rPr>
          <w:rFonts w:hint="eastAsia" w:ascii="宋体" w:hAnsi="宋体"/>
          <w:color w:val="auto"/>
          <w:szCs w:val="21"/>
          <w:highlight w:val="none"/>
        </w:rPr>
        <w:t>7</w:t>
      </w:r>
      <w:r>
        <w:rPr>
          <w:rFonts w:ascii="宋体" w:hAnsi="宋体"/>
          <w:color w:val="auto"/>
          <w:szCs w:val="21"/>
          <w:highlight w:val="none"/>
        </w:rPr>
        <w:t>个工作日内，以书面形式向</w:t>
      </w:r>
      <w:r>
        <w:rPr>
          <w:rFonts w:hint="eastAsia" w:ascii="宋体" w:hAnsi="宋体"/>
          <w:color w:val="auto"/>
          <w:szCs w:val="21"/>
          <w:highlight w:val="none"/>
        </w:rPr>
        <w:t>采购代理机构</w:t>
      </w:r>
      <w:r>
        <w:rPr>
          <w:rFonts w:ascii="宋体" w:hAnsi="宋体"/>
          <w:color w:val="auto"/>
          <w:szCs w:val="21"/>
          <w:highlight w:val="none"/>
        </w:rPr>
        <w:t>或采购人提出质疑。质疑内容不得含有虚假、恶意成分。当事人对自己提出的主张，有责任提供证据，提出质疑时</w:t>
      </w:r>
      <w:r>
        <w:rPr>
          <w:rFonts w:hint="eastAsia" w:ascii="宋体" w:hAnsi="宋体"/>
          <w:color w:val="auto"/>
          <w:szCs w:val="21"/>
          <w:highlight w:val="none"/>
        </w:rPr>
        <w:t>应</w:t>
      </w:r>
      <w:r>
        <w:rPr>
          <w:rFonts w:ascii="宋体" w:hAnsi="宋体"/>
          <w:color w:val="auto"/>
          <w:szCs w:val="21"/>
          <w:highlight w:val="none"/>
        </w:rPr>
        <w:t>同时提交相关证据材料和注明事实的确切来源。</w:t>
      </w:r>
    </w:p>
    <w:p w14:paraId="4EDD4A74">
      <w:pPr>
        <w:spacing w:line="360" w:lineRule="auto"/>
        <w:jc w:val="left"/>
        <w:rPr>
          <w:rFonts w:ascii="宋体" w:hAnsi="宋体"/>
          <w:color w:val="auto"/>
          <w:szCs w:val="21"/>
          <w:highlight w:val="none"/>
        </w:rPr>
      </w:pPr>
      <w:r>
        <w:rPr>
          <w:rFonts w:hint="eastAsia" w:ascii="宋体" w:hAnsi="宋体"/>
          <w:color w:val="auto"/>
          <w:szCs w:val="21"/>
          <w:highlight w:val="none"/>
        </w:rPr>
        <w:t>6.2供应商应知其权益受到损害之日，是指：</w:t>
      </w:r>
    </w:p>
    <w:p w14:paraId="05741A8D">
      <w:pPr>
        <w:spacing w:line="360" w:lineRule="auto"/>
        <w:jc w:val="left"/>
        <w:rPr>
          <w:rFonts w:ascii="宋体" w:hAnsi="宋体"/>
          <w:color w:val="auto"/>
          <w:szCs w:val="21"/>
          <w:highlight w:val="none"/>
        </w:rPr>
      </w:pPr>
      <w:r>
        <w:rPr>
          <w:rFonts w:hint="eastAsia" w:ascii="宋体" w:hAnsi="宋体"/>
          <w:color w:val="auto"/>
          <w:szCs w:val="21"/>
          <w:highlight w:val="none"/>
        </w:rPr>
        <w:t>（1）对可以质疑的采购文件提出质疑的，为投标人获取采购文件之日；</w:t>
      </w:r>
    </w:p>
    <w:p w14:paraId="163823E2">
      <w:pPr>
        <w:spacing w:line="360" w:lineRule="auto"/>
        <w:jc w:val="left"/>
        <w:rPr>
          <w:rFonts w:ascii="宋体" w:hAnsi="宋体"/>
          <w:color w:val="auto"/>
          <w:szCs w:val="21"/>
          <w:highlight w:val="none"/>
        </w:rPr>
      </w:pPr>
      <w:r>
        <w:rPr>
          <w:rFonts w:hint="eastAsia" w:ascii="宋体" w:hAnsi="宋体"/>
          <w:color w:val="auto"/>
          <w:szCs w:val="21"/>
          <w:highlight w:val="none"/>
        </w:rPr>
        <w:t>（2）对采购过程提出质疑的，为各采购程序环节结束之日；</w:t>
      </w:r>
    </w:p>
    <w:p w14:paraId="449F454C">
      <w:pPr>
        <w:spacing w:line="360" w:lineRule="auto"/>
        <w:jc w:val="left"/>
        <w:rPr>
          <w:rFonts w:ascii="宋体" w:hAnsi="宋体"/>
          <w:color w:val="auto"/>
          <w:szCs w:val="21"/>
          <w:highlight w:val="none"/>
        </w:rPr>
      </w:pPr>
      <w:r>
        <w:rPr>
          <w:rFonts w:hint="eastAsia" w:ascii="宋体" w:hAnsi="宋体"/>
          <w:color w:val="auto"/>
          <w:szCs w:val="21"/>
          <w:highlight w:val="none"/>
        </w:rPr>
        <w:t>（3）对中标结果提出质疑的，为中标结果公告期限届满之日。</w:t>
      </w:r>
    </w:p>
    <w:p w14:paraId="6EA13E21">
      <w:pPr>
        <w:pStyle w:val="16"/>
        <w:spacing w:line="480" w:lineRule="exact"/>
        <w:rPr>
          <w:rFonts w:hAnsi="宋体"/>
          <w:color w:val="auto"/>
          <w:szCs w:val="21"/>
          <w:highlight w:val="none"/>
        </w:rPr>
      </w:pPr>
      <w:r>
        <w:rPr>
          <w:rFonts w:hint="eastAsia" w:hAnsi="宋体"/>
          <w:b/>
          <w:bCs/>
          <w:color w:val="auto"/>
          <w:szCs w:val="21"/>
          <w:highlight w:val="none"/>
          <w:u w:val="single"/>
        </w:rPr>
        <w:t>6.</w:t>
      </w:r>
      <w:r>
        <w:rPr>
          <w:rFonts w:hAnsi="宋体"/>
          <w:b/>
          <w:bCs/>
          <w:color w:val="auto"/>
          <w:szCs w:val="21"/>
          <w:highlight w:val="none"/>
          <w:u w:val="single"/>
        </w:rPr>
        <w:t>3</w:t>
      </w:r>
      <w:bookmarkStart w:id="73" w:name="_Toc321836357"/>
      <w:r>
        <w:rPr>
          <w:rFonts w:hint="eastAsia" w:hAnsi="宋体"/>
          <w:color w:val="auto"/>
          <w:szCs w:val="21"/>
          <w:highlight w:val="none"/>
        </w:rPr>
        <w:t>投标人提供的质疑书应符合中华人民共和国财政部第94号令《政府采购质疑和投诉办法》的规定。投标人提供的质疑书（如材料中有外文资料应同时附上中文译本）应当包括以下主要内容：</w:t>
      </w:r>
    </w:p>
    <w:p w14:paraId="6EFBB88A">
      <w:pPr>
        <w:pStyle w:val="16"/>
        <w:spacing w:line="480" w:lineRule="exact"/>
        <w:ind w:firstLine="210" w:firstLineChars="100"/>
        <w:rPr>
          <w:rFonts w:hAnsi="宋体"/>
          <w:color w:val="auto"/>
          <w:szCs w:val="21"/>
          <w:highlight w:val="none"/>
        </w:rPr>
      </w:pPr>
      <w:r>
        <w:rPr>
          <w:rFonts w:hint="eastAsia" w:hAnsi="宋体"/>
          <w:color w:val="auto"/>
          <w:szCs w:val="21"/>
          <w:highlight w:val="none"/>
        </w:rPr>
        <w:t>（一）供应商的姓名或者名称、地址、邮编、联系人及联系电话；</w:t>
      </w:r>
    </w:p>
    <w:p w14:paraId="1321AA3A">
      <w:pPr>
        <w:pStyle w:val="16"/>
        <w:spacing w:line="480" w:lineRule="exact"/>
        <w:ind w:firstLine="210" w:firstLineChars="100"/>
        <w:rPr>
          <w:rFonts w:hAnsi="宋体"/>
          <w:color w:val="auto"/>
          <w:szCs w:val="21"/>
          <w:highlight w:val="none"/>
        </w:rPr>
      </w:pPr>
      <w:r>
        <w:rPr>
          <w:rFonts w:hint="eastAsia" w:hAnsi="宋体"/>
          <w:color w:val="auto"/>
          <w:szCs w:val="21"/>
          <w:highlight w:val="none"/>
        </w:rPr>
        <w:t>（二）质疑项目的名称、编号；</w:t>
      </w:r>
    </w:p>
    <w:p w14:paraId="1A26F058">
      <w:pPr>
        <w:pStyle w:val="16"/>
        <w:spacing w:line="480" w:lineRule="exact"/>
        <w:ind w:firstLine="210" w:firstLineChars="100"/>
        <w:rPr>
          <w:rFonts w:hAnsi="宋体"/>
          <w:color w:val="auto"/>
          <w:szCs w:val="21"/>
          <w:highlight w:val="none"/>
        </w:rPr>
      </w:pPr>
      <w:r>
        <w:rPr>
          <w:rFonts w:hint="eastAsia" w:hAnsi="宋体"/>
          <w:color w:val="auto"/>
          <w:szCs w:val="21"/>
          <w:highlight w:val="none"/>
        </w:rPr>
        <w:t>（三）具体、明确的质疑事项和与质疑事项相关的请求；</w:t>
      </w:r>
    </w:p>
    <w:p w14:paraId="04EAD79C">
      <w:pPr>
        <w:pStyle w:val="16"/>
        <w:spacing w:line="480" w:lineRule="exact"/>
        <w:ind w:firstLine="210" w:firstLineChars="100"/>
        <w:rPr>
          <w:rFonts w:hAnsi="宋体"/>
          <w:color w:val="auto"/>
          <w:szCs w:val="21"/>
          <w:highlight w:val="none"/>
        </w:rPr>
      </w:pPr>
      <w:r>
        <w:rPr>
          <w:rFonts w:hint="eastAsia" w:hAnsi="宋体"/>
          <w:color w:val="auto"/>
          <w:szCs w:val="21"/>
          <w:highlight w:val="none"/>
        </w:rPr>
        <w:t>（四）事实依据；</w:t>
      </w:r>
    </w:p>
    <w:p w14:paraId="65DAE070">
      <w:pPr>
        <w:pStyle w:val="16"/>
        <w:spacing w:line="480" w:lineRule="exact"/>
        <w:ind w:firstLine="210" w:firstLineChars="100"/>
        <w:rPr>
          <w:rFonts w:hAnsi="宋体"/>
          <w:color w:val="auto"/>
          <w:szCs w:val="21"/>
          <w:highlight w:val="none"/>
        </w:rPr>
      </w:pPr>
      <w:r>
        <w:rPr>
          <w:rFonts w:hint="eastAsia" w:hAnsi="宋体"/>
          <w:color w:val="auto"/>
          <w:szCs w:val="21"/>
          <w:highlight w:val="none"/>
        </w:rPr>
        <w:t>（五）必要的法律依据；</w:t>
      </w:r>
    </w:p>
    <w:p w14:paraId="6A163BC1">
      <w:pPr>
        <w:pStyle w:val="16"/>
        <w:spacing w:line="480" w:lineRule="exact"/>
        <w:ind w:firstLine="210" w:firstLineChars="100"/>
        <w:rPr>
          <w:rFonts w:hAnsi="宋体"/>
          <w:color w:val="auto"/>
          <w:szCs w:val="21"/>
          <w:highlight w:val="none"/>
        </w:rPr>
      </w:pPr>
      <w:r>
        <w:rPr>
          <w:rFonts w:hint="eastAsia" w:hAnsi="宋体"/>
          <w:color w:val="auto"/>
          <w:szCs w:val="21"/>
          <w:highlight w:val="none"/>
        </w:rPr>
        <w:t>（六）提出质疑的日期。</w:t>
      </w:r>
    </w:p>
    <w:p w14:paraId="003333BF">
      <w:pPr>
        <w:pStyle w:val="16"/>
        <w:spacing w:line="480" w:lineRule="exact"/>
        <w:rPr>
          <w:rFonts w:hAnsi="宋体"/>
          <w:color w:val="auto"/>
          <w:szCs w:val="21"/>
          <w:highlight w:val="none"/>
        </w:rPr>
      </w:pPr>
      <w:r>
        <w:rPr>
          <w:rFonts w:hint="eastAsia" w:hAnsi="宋体"/>
          <w:color w:val="auto"/>
          <w:szCs w:val="21"/>
          <w:highlight w:val="none"/>
        </w:rPr>
        <w:t>质疑书实行实名制，并提交由法定代表人或其委托代理人签字且盖单位章的原件。</w:t>
      </w:r>
    </w:p>
    <w:p w14:paraId="2D9FAAD4">
      <w:pPr>
        <w:pStyle w:val="16"/>
        <w:spacing w:line="480" w:lineRule="exact"/>
        <w:rPr>
          <w:rFonts w:hAnsi="宋体"/>
          <w:color w:val="auto"/>
          <w:szCs w:val="21"/>
          <w:highlight w:val="none"/>
        </w:rPr>
      </w:pPr>
      <w:r>
        <w:rPr>
          <w:rFonts w:hint="eastAsia" w:hAnsi="宋体"/>
          <w:color w:val="auto"/>
          <w:szCs w:val="21"/>
          <w:highlight w:val="none"/>
        </w:rPr>
        <w:t>6.4采购人、采购代理机构将在收到投标人的书面质疑后7个工作日内作出答复，但答复的内容不涉及商业秘密。</w:t>
      </w:r>
    </w:p>
    <w:p w14:paraId="7731369F">
      <w:pPr>
        <w:spacing w:line="360" w:lineRule="auto"/>
        <w:jc w:val="left"/>
        <w:rPr>
          <w:rFonts w:ascii="宋体" w:hAnsi="宋体"/>
          <w:color w:val="auto"/>
          <w:szCs w:val="21"/>
          <w:highlight w:val="none"/>
        </w:rPr>
      </w:pPr>
      <w:r>
        <w:rPr>
          <w:rFonts w:hint="eastAsia" w:ascii="宋体" w:hAnsi="宋体"/>
          <w:color w:val="auto"/>
          <w:szCs w:val="21"/>
          <w:highlight w:val="none"/>
        </w:rPr>
        <w:t>6.5参与政府采购活动的投标人对评审过程或者结果提出质疑的，采购人或采购代理机构可以组织原评审委员会协助处理质疑事项，并依据评审委员会出具的意见进行答复。质疑答复导致中标或成交结果改变的，采购人或采购代理机构应当将相关情况报财政部门备案。</w:t>
      </w:r>
    </w:p>
    <w:p w14:paraId="6104025A">
      <w:pPr>
        <w:spacing w:line="360" w:lineRule="auto"/>
        <w:jc w:val="left"/>
        <w:rPr>
          <w:rFonts w:ascii="宋体" w:hAnsi="宋体"/>
          <w:color w:val="auto"/>
          <w:szCs w:val="21"/>
          <w:highlight w:val="none"/>
        </w:rPr>
      </w:pPr>
      <w:r>
        <w:rPr>
          <w:rFonts w:hint="eastAsia" w:ascii="宋体" w:hAnsi="宋体"/>
          <w:color w:val="auto"/>
          <w:szCs w:val="21"/>
          <w:highlight w:val="none"/>
        </w:rPr>
        <w:t>7.</w:t>
      </w:r>
      <w:r>
        <w:rPr>
          <w:rFonts w:ascii="宋体" w:hAnsi="宋体"/>
          <w:color w:val="auto"/>
          <w:szCs w:val="21"/>
          <w:highlight w:val="none"/>
        </w:rPr>
        <w:t>投诉</w:t>
      </w:r>
      <w:bookmarkEnd w:id="73"/>
    </w:p>
    <w:p w14:paraId="147729C0">
      <w:pPr>
        <w:pStyle w:val="16"/>
        <w:spacing w:line="360" w:lineRule="auto"/>
        <w:rPr>
          <w:rFonts w:hAnsi="宋体"/>
          <w:color w:val="auto"/>
          <w:szCs w:val="21"/>
          <w:highlight w:val="none"/>
        </w:rPr>
      </w:pPr>
      <w:r>
        <w:rPr>
          <w:rFonts w:hint="eastAsia" w:hAnsi="宋体"/>
          <w:color w:val="auto"/>
          <w:szCs w:val="21"/>
          <w:highlight w:val="none"/>
        </w:rPr>
        <w:t>7.1</w:t>
      </w:r>
      <w:r>
        <w:rPr>
          <w:rFonts w:hAnsi="宋体"/>
          <w:color w:val="auto"/>
          <w:szCs w:val="21"/>
          <w:highlight w:val="none"/>
        </w:rPr>
        <w:t>投诉必须首先经过质疑程序。质疑</w:t>
      </w:r>
      <w:r>
        <w:rPr>
          <w:rFonts w:hint="eastAsia" w:hAnsi="宋体"/>
          <w:color w:val="auto"/>
          <w:szCs w:val="21"/>
          <w:highlight w:val="none"/>
        </w:rPr>
        <w:t>人</w:t>
      </w:r>
      <w:r>
        <w:rPr>
          <w:rFonts w:hAnsi="宋体"/>
          <w:color w:val="auto"/>
          <w:szCs w:val="21"/>
          <w:highlight w:val="none"/>
        </w:rPr>
        <w:t>对采购人、采购代理机构的答复不满意，或者采购人、采购代理机构未在规定的时间内做出答复的，可以在答复期满后</w:t>
      </w:r>
      <w:r>
        <w:rPr>
          <w:rFonts w:hint="eastAsia" w:hAnsi="宋体"/>
          <w:color w:val="auto"/>
          <w:szCs w:val="21"/>
          <w:highlight w:val="none"/>
        </w:rPr>
        <w:t>1</w:t>
      </w:r>
      <w:r>
        <w:rPr>
          <w:rFonts w:hAnsi="宋体"/>
          <w:color w:val="auto"/>
          <w:szCs w:val="21"/>
          <w:highlight w:val="none"/>
        </w:rPr>
        <w:t>5个工作日内书面向</w:t>
      </w:r>
      <w:r>
        <w:rPr>
          <w:rFonts w:hint="eastAsia" w:hAnsi="宋体"/>
          <w:color w:val="auto"/>
          <w:szCs w:val="21"/>
          <w:highlight w:val="none"/>
        </w:rPr>
        <w:t>同</w:t>
      </w:r>
      <w:r>
        <w:rPr>
          <w:rFonts w:hAnsi="宋体"/>
          <w:color w:val="auto"/>
          <w:szCs w:val="21"/>
          <w:highlight w:val="none"/>
        </w:rPr>
        <w:t>级财政部门</w:t>
      </w:r>
      <w:r>
        <w:rPr>
          <w:rFonts w:hint="eastAsia" w:hAnsi="宋体"/>
          <w:color w:val="auto"/>
          <w:szCs w:val="21"/>
          <w:highlight w:val="none"/>
        </w:rPr>
        <w:t>提出</w:t>
      </w:r>
      <w:r>
        <w:rPr>
          <w:rFonts w:hAnsi="宋体"/>
          <w:color w:val="auto"/>
          <w:szCs w:val="21"/>
          <w:highlight w:val="none"/>
        </w:rPr>
        <w:t>投诉。</w:t>
      </w:r>
    </w:p>
    <w:p w14:paraId="6A76BED9">
      <w:pPr>
        <w:pStyle w:val="4"/>
        <w:numPr>
          <w:ilvl w:val="0"/>
          <w:numId w:val="0"/>
        </w:numPr>
        <w:ind w:left="425"/>
        <w:jc w:val="center"/>
        <w:rPr>
          <w:rFonts w:ascii="宋体" w:hAnsi="宋体" w:eastAsia="宋体"/>
          <w:color w:val="auto"/>
          <w:sz w:val="30"/>
          <w:szCs w:val="30"/>
          <w:highlight w:val="none"/>
        </w:rPr>
      </w:pPr>
      <w:bookmarkStart w:id="74" w:name="_Toc496122177"/>
      <w:bookmarkStart w:id="75" w:name="_Toc20747711"/>
      <w:bookmarkStart w:id="76" w:name="_Toc71666337"/>
      <w:r>
        <w:rPr>
          <w:rFonts w:hint="eastAsia" w:ascii="宋体" w:hAnsi="宋体" w:eastAsia="宋体"/>
          <w:color w:val="auto"/>
          <w:sz w:val="30"/>
          <w:szCs w:val="30"/>
          <w:highlight w:val="none"/>
        </w:rPr>
        <w:t>二、招标文件</w:t>
      </w:r>
      <w:bookmarkEnd w:id="74"/>
      <w:bookmarkEnd w:id="75"/>
      <w:bookmarkEnd w:id="76"/>
    </w:p>
    <w:p w14:paraId="73636F4E">
      <w:pPr>
        <w:pStyle w:val="16"/>
        <w:spacing w:line="360" w:lineRule="auto"/>
        <w:rPr>
          <w:rFonts w:hAnsi="宋体"/>
          <w:b/>
          <w:bCs/>
          <w:color w:val="auto"/>
          <w:szCs w:val="21"/>
          <w:highlight w:val="none"/>
        </w:rPr>
      </w:pPr>
      <w:r>
        <w:rPr>
          <w:rFonts w:hint="eastAsia" w:hAnsi="宋体"/>
          <w:b/>
          <w:bCs/>
          <w:color w:val="auto"/>
          <w:szCs w:val="21"/>
          <w:highlight w:val="none"/>
        </w:rPr>
        <w:t>8. 招标文件构成</w:t>
      </w:r>
    </w:p>
    <w:p w14:paraId="102A6ABB">
      <w:pPr>
        <w:spacing w:line="360" w:lineRule="auto"/>
        <w:jc w:val="left"/>
        <w:rPr>
          <w:rFonts w:ascii="宋体" w:hAnsi="宋体"/>
          <w:color w:val="auto"/>
          <w:szCs w:val="21"/>
          <w:highlight w:val="none"/>
        </w:rPr>
      </w:pPr>
      <w:r>
        <w:rPr>
          <w:rFonts w:hint="eastAsia" w:ascii="宋体" w:hAnsi="宋体"/>
          <w:color w:val="auto"/>
          <w:szCs w:val="21"/>
          <w:highlight w:val="none"/>
        </w:rPr>
        <w:t>8.1要求提供的货物</w:t>
      </w:r>
      <w:r>
        <w:rPr>
          <w:rFonts w:hint="eastAsia" w:ascii="宋体" w:hAnsi="宋体"/>
          <w:color w:val="auto"/>
          <w:szCs w:val="21"/>
          <w:highlight w:val="none"/>
          <w:lang w:val="en-US" w:eastAsia="zh-CN"/>
        </w:rPr>
        <w:t>（服务）</w:t>
      </w:r>
      <w:r>
        <w:rPr>
          <w:rFonts w:hint="eastAsia" w:ascii="宋体" w:hAnsi="宋体"/>
          <w:color w:val="auto"/>
          <w:szCs w:val="21"/>
          <w:highlight w:val="none"/>
        </w:rPr>
        <w:t>、采购过程及合同条款在招标文件中均有说明，招标文件共</w:t>
      </w:r>
      <w:r>
        <w:rPr>
          <w:rFonts w:hint="eastAsia" w:ascii="宋体" w:hAnsi="宋体"/>
          <w:color w:val="auto"/>
          <w:szCs w:val="21"/>
          <w:highlight w:val="none"/>
          <w:lang w:val="en-US" w:eastAsia="zh-CN"/>
        </w:rPr>
        <w:t>七</w:t>
      </w:r>
      <w:r>
        <w:rPr>
          <w:rFonts w:hint="eastAsia" w:ascii="宋体" w:hAnsi="宋体"/>
          <w:color w:val="auto"/>
          <w:szCs w:val="21"/>
          <w:highlight w:val="none"/>
        </w:rPr>
        <w:t>章，各章的内容如下：</w:t>
      </w:r>
    </w:p>
    <w:p w14:paraId="0A24D2C5">
      <w:pPr>
        <w:spacing w:line="360" w:lineRule="auto"/>
        <w:ind w:firstLine="630" w:firstLineChars="300"/>
        <w:jc w:val="left"/>
        <w:rPr>
          <w:rFonts w:ascii="宋体" w:hAnsi="宋体"/>
          <w:color w:val="auto"/>
          <w:szCs w:val="21"/>
          <w:highlight w:val="none"/>
        </w:rPr>
      </w:pPr>
      <w:r>
        <w:rPr>
          <w:rFonts w:hint="eastAsia" w:ascii="宋体" w:hAnsi="宋体"/>
          <w:color w:val="auto"/>
          <w:szCs w:val="21"/>
          <w:highlight w:val="none"/>
        </w:rPr>
        <w:t>第一章  招标公告</w:t>
      </w:r>
    </w:p>
    <w:p w14:paraId="36569A93">
      <w:pPr>
        <w:pStyle w:val="16"/>
        <w:spacing w:line="360" w:lineRule="auto"/>
        <w:rPr>
          <w:rFonts w:hAnsi="宋体"/>
          <w:color w:val="auto"/>
          <w:szCs w:val="21"/>
          <w:highlight w:val="none"/>
        </w:rPr>
      </w:pPr>
      <w:r>
        <w:rPr>
          <w:rFonts w:hint="eastAsia" w:hAnsi="宋体"/>
          <w:color w:val="auto"/>
          <w:szCs w:val="21"/>
          <w:highlight w:val="none"/>
        </w:rPr>
        <w:t xml:space="preserve">      第二章  投标人须知</w:t>
      </w:r>
    </w:p>
    <w:p w14:paraId="15249C1B">
      <w:pPr>
        <w:pStyle w:val="16"/>
        <w:spacing w:line="360" w:lineRule="auto"/>
        <w:rPr>
          <w:rFonts w:hAnsi="宋体"/>
          <w:color w:val="auto"/>
          <w:szCs w:val="21"/>
          <w:highlight w:val="none"/>
        </w:rPr>
      </w:pPr>
      <w:r>
        <w:rPr>
          <w:rFonts w:hint="eastAsia" w:hAnsi="宋体"/>
          <w:color w:val="auto"/>
          <w:szCs w:val="21"/>
          <w:highlight w:val="none"/>
        </w:rPr>
        <w:t xml:space="preserve">      第三章  合同书样式及主要条款</w:t>
      </w:r>
    </w:p>
    <w:p w14:paraId="504F480C">
      <w:pPr>
        <w:pStyle w:val="16"/>
        <w:spacing w:line="360" w:lineRule="auto"/>
        <w:ind w:firstLine="630" w:firstLineChars="300"/>
        <w:rPr>
          <w:rFonts w:hAnsi="宋体"/>
          <w:color w:val="auto"/>
          <w:szCs w:val="21"/>
          <w:highlight w:val="none"/>
        </w:rPr>
      </w:pPr>
      <w:r>
        <w:rPr>
          <w:rFonts w:hint="eastAsia" w:hAnsi="宋体"/>
          <w:color w:val="auto"/>
          <w:szCs w:val="21"/>
          <w:highlight w:val="none"/>
        </w:rPr>
        <w:t>第四章  投标文件格式</w:t>
      </w:r>
    </w:p>
    <w:p w14:paraId="10D9E6B4">
      <w:pPr>
        <w:pStyle w:val="16"/>
        <w:spacing w:line="360" w:lineRule="auto"/>
        <w:rPr>
          <w:rFonts w:hint="eastAsia" w:hAnsi="宋体" w:eastAsia="宋体"/>
          <w:color w:val="auto"/>
          <w:szCs w:val="21"/>
          <w:highlight w:val="none"/>
          <w:lang w:eastAsia="zh-CN"/>
        </w:rPr>
      </w:pPr>
      <w:r>
        <w:rPr>
          <w:rFonts w:hint="eastAsia" w:hAnsi="宋体"/>
          <w:color w:val="auto"/>
          <w:szCs w:val="21"/>
          <w:highlight w:val="none"/>
        </w:rPr>
        <w:t xml:space="preserve">      第五章  </w:t>
      </w:r>
      <w:r>
        <w:rPr>
          <w:rFonts w:hint="eastAsia" w:hAnsi="宋体"/>
          <w:color w:val="auto"/>
          <w:szCs w:val="21"/>
          <w:highlight w:val="none"/>
          <w:lang w:eastAsia="zh-CN"/>
        </w:rPr>
        <w:t>采购需求</w:t>
      </w:r>
    </w:p>
    <w:p w14:paraId="203401D3">
      <w:pPr>
        <w:pStyle w:val="16"/>
        <w:spacing w:line="360" w:lineRule="auto"/>
        <w:ind w:firstLine="630" w:firstLineChars="300"/>
        <w:rPr>
          <w:rFonts w:hAnsi="宋体"/>
          <w:color w:val="auto"/>
          <w:szCs w:val="21"/>
          <w:highlight w:val="none"/>
        </w:rPr>
      </w:pPr>
      <w:r>
        <w:rPr>
          <w:rFonts w:hint="eastAsia" w:hAnsi="宋体"/>
          <w:color w:val="auto"/>
          <w:szCs w:val="21"/>
          <w:highlight w:val="none"/>
        </w:rPr>
        <w:t>第六章  资格评审</w:t>
      </w:r>
      <w:r>
        <w:rPr>
          <w:rFonts w:hAnsi="宋体"/>
          <w:color w:val="auto"/>
          <w:szCs w:val="21"/>
          <w:highlight w:val="none"/>
        </w:rPr>
        <w:t>标准</w:t>
      </w:r>
    </w:p>
    <w:p w14:paraId="7B4CB11B">
      <w:pPr>
        <w:pStyle w:val="16"/>
        <w:spacing w:line="360" w:lineRule="auto"/>
        <w:ind w:firstLine="630" w:firstLineChars="300"/>
        <w:rPr>
          <w:rFonts w:hAnsi="宋体"/>
          <w:color w:val="auto"/>
          <w:szCs w:val="21"/>
          <w:highlight w:val="none"/>
        </w:rPr>
      </w:pPr>
      <w:r>
        <w:rPr>
          <w:rFonts w:hint="eastAsia" w:hAnsi="宋体"/>
          <w:color w:val="auto"/>
          <w:szCs w:val="21"/>
          <w:highlight w:val="none"/>
        </w:rPr>
        <w:t>第七章  评标</w:t>
      </w:r>
      <w:r>
        <w:rPr>
          <w:rFonts w:hAnsi="宋体"/>
          <w:color w:val="auto"/>
          <w:szCs w:val="21"/>
          <w:highlight w:val="none"/>
        </w:rPr>
        <w:t>办法</w:t>
      </w:r>
    </w:p>
    <w:p w14:paraId="5BB7ED50">
      <w:pPr>
        <w:pStyle w:val="16"/>
        <w:spacing w:line="360" w:lineRule="auto"/>
        <w:rPr>
          <w:rFonts w:hAnsi="宋体"/>
          <w:b/>
          <w:bCs/>
          <w:color w:val="auto"/>
          <w:szCs w:val="21"/>
          <w:highlight w:val="none"/>
        </w:rPr>
      </w:pPr>
      <w:r>
        <w:rPr>
          <w:rFonts w:hint="eastAsia" w:hAnsi="宋体"/>
          <w:b/>
          <w:bCs/>
          <w:color w:val="auto"/>
          <w:szCs w:val="21"/>
          <w:highlight w:val="none"/>
        </w:rPr>
        <w:t>9. 招标文件的澄清</w:t>
      </w:r>
    </w:p>
    <w:p w14:paraId="59707353">
      <w:pPr>
        <w:spacing w:line="360" w:lineRule="auto"/>
        <w:jc w:val="left"/>
        <w:rPr>
          <w:rFonts w:ascii="宋体" w:hAnsi="宋体"/>
          <w:color w:val="auto"/>
          <w:szCs w:val="21"/>
          <w:highlight w:val="none"/>
        </w:rPr>
      </w:pPr>
      <w:r>
        <w:rPr>
          <w:rFonts w:hint="eastAsia" w:ascii="宋体" w:hAnsi="宋体"/>
          <w:color w:val="auto"/>
          <w:szCs w:val="21"/>
          <w:highlight w:val="none"/>
        </w:rPr>
        <w:t>9.1投标人应认真核查招标文件，如有疑问的，投标人可以在 “</w:t>
      </w:r>
      <w:r>
        <w:rPr>
          <w:rFonts w:hint="eastAsia" w:ascii="宋体" w:hAnsi="宋体"/>
          <w:b/>
          <w:bCs/>
          <w:color w:val="auto"/>
          <w:szCs w:val="21"/>
          <w:highlight w:val="none"/>
        </w:rPr>
        <w:t>投标人须知前附表</w:t>
      </w:r>
      <w:r>
        <w:rPr>
          <w:rFonts w:hint="eastAsia" w:ascii="宋体" w:hAnsi="宋体"/>
          <w:color w:val="auto"/>
          <w:szCs w:val="21"/>
          <w:highlight w:val="none"/>
        </w:rPr>
        <w:t>”规定截止时间前以</w:t>
      </w:r>
      <w:r>
        <w:rPr>
          <w:rFonts w:ascii="宋体" w:hAnsi="宋体"/>
          <w:color w:val="auto"/>
          <w:szCs w:val="21"/>
          <w:highlight w:val="none"/>
        </w:rPr>
        <w:t>在线不署名提交要求采购人澄清，截止时间后送达的澄清要求不予接受。所有获取了采购文件的潜在供应商凭企业数字证书（CA）登录“政采云”平台，通过在线方式进行不署名提问</w:t>
      </w:r>
      <w:r>
        <w:rPr>
          <w:rFonts w:hint="eastAsia" w:ascii="宋体" w:hAnsi="宋体"/>
          <w:color w:val="auto"/>
          <w:szCs w:val="21"/>
          <w:highlight w:val="none"/>
        </w:rPr>
        <w:t>。</w:t>
      </w:r>
    </w:p>
    <w:p w14:paraId="498DC3AB">
      <w:pPr>
        <w:spacing w:line="360" w:lineRule="auto"/>
        <w:jc w:val="left"/>
        <w:rPr>
          <w:rFonts w:ascii="宋体" w:hAnsi="宋体"/>
          <w:color w:val="auto"/>
          <w:szCs w:val="21"/>
          <w:highlight w:val="none"/>
        </w:rPr>
      </w:pPr>
      <w:r>
        <w:rPr>
          <w:rFonts w:hint="eastAsia" w:ascii="宋体" w:hAnsi="宋体"/>
          <w:color w:val="auto"/>
          <w:szCs w:val="21"/>
          <w:highlight w:val="none"/>
        </w:rPr>
        <w:t>9.2 采购代理机构将</w:t>
      </w:r>
      <w:r>
        <w:rPr>
          <w:rFonts w:ascii="宋体" w:hAnsi="宋体"/>
          <w:color w:val="auto"/>
          <w:highlight w:val="none"/>
        </w:rPr>
        <w:t>在财政部门指定的政府采购信息发布媒体上发布澄清公告</w:t>
      </w:r>
      <w:r>
        <w:rPr>
          <w:rFonts w:hint="eastAsia" w:ascii="宋体" w:hAnsi="宋体"/>
          <w:color w:val="auto"/>
          <w:highlight w:val="none"/>
        </w:rPr>
        <w:t>及</w:t>
      </w:r>
      <w:r>
        <w:rPr>
          <w:rFonts w:ascii="宋体" w:hAnsi="宋体"/>
          <w:color w:val="auto"/>
          <w:szCs w:val="21"/>
          <w:highlight w:val="none"/>
        </w:rPr>
        <w:t>“政采云”平台</w:t>
      </w:r>
      <w:r>
        <w:rPr>
          <w:rFonts w:hint="eastAsia" w:ascii="宋体" w:hAnsi="宋体"/>
          <w:color w:val="auto"/>
          <w:szCs w:val="21"/>
          <w:highlight w:val="none"/>
        </w:rPr>
        <w:t>上答复所有报名下载招标文件的供应商（答复中不包含问题的来源）要求澄清的问题，其他澄清方式无效。</w:t>
      </w:r>
    </w:p>
    <w:p w14:paraId="6EB404EC">
      <w:pPr>
        <w:pStyle w:val="16"/>
        <w:spacing w:line="360" w:lineRule="auto"/>
        <w:rPr>
          <w:rFonts w:hAnsi="宋体"/>
          <w:b/>
          <w:bCs/>
          <w:color w:val="auto"/>
          <w:szCs w:val="21"/>
          <w:highlight w:val="none"/>
        </w:rPr>
      </w:pPr>
      <w:r>
        <w:rPr>
          <w:rFonts w:hint="eastAsia" w:hAnsi="宋体"/>
          <w:b/>
          <w:bCs/>
          <w:color w:val="auto"/>
          <w:szCs w:val="21"/>
          <w:highlight w:val="none"/>
        </w:rPr>
        <w:t>10. 招标文件的澄清或者修改</w:t>
      </w:r>
    </w:p>
    <w:p w14:paraId="164E1641">
      <w:pPr>
        <w:spacing w:line="360" w:lineRule="auto"/>
        <w:jc w:val="left"/>
        <w:rPr>
          <w:rFonts w:hint="eastAsia" w:ascii="宋体" w:hAnsi="宋体"/>
          <w:color w:val="auto"/>
          <w:szCs w:val="21"/>
          <w:highlight w:val="none"/>
        </w:rPr>
      </w:pPr>
      <w:r>
        <w:rPr>
          <w:rFonts w:hint="eastAsia" w:ascii="宋体" w:hAnsi="宋体"/>
          <w:color w:val="auto"/>
          <w:szCs w:val="21"/>
          <w:highlight w:val="none"/>
        </w:rPr>
        <w:t>10.1采购代理机构对已发出的招标文件进行必要澄清或者修改的，于招标文件要求提交投标文件截止时间15日前，在财政部门指定的政府采购信息发布媒体上发布更正公告和“政采云”平台通知所有购买招标文件的投标人。该澄清或者修改的内容为招标文件的组成部分。</w:t>
      </w:r>
    </w:p>
    <w:p w14:paraId="23C571C9">
      <w:pPr>
        <w:spacing w:line="360" w:lineRule="auto"/>
        <w:jc w:val="left"/>
        <w:rPr>
          <w:rFonts w:hint="eastAsia" w:ascii="宋体" w:hAnsi="宋体"/>
          <w:color w:val="auto"/>
          <w:szCs w:val="21"/>
          <w:highlight w:val="none"/>
        </w:rPr>
      </w:pPr>
      <w:r>
        <w:rPr>
          <w:rFonts w:hint="eastAsia" w:ascii="宋体" w:hAnsi="宋体"/>
          <w:color w:val="auto"/>
          <w:szCs w:val="21"/>
          <w:highlight w:val="none"/>
        </w:rPr>
        <w:t>10.2采购代理机构和采购单位可以视采购具体情况，延长投标截止时间和开标时间，但至少在招标文件要求提交投标文件的截止时间3日前，将变更时间书面通知所有购买招标文件的投标人，并在财政部门指定的政府采购信息发布媒体上发布变更公告。</w:t>
      </w:r>
    </w:p>
    <w:p w14:paraId="114ABD08">
      <w:pPr>
        <w:spacing w:line="360" w:lineRule="auto"/>
        <w:jc w:val="left"/>
        <w:rPr>
          <w:rFonts w:hint="eastAsia" w:ascii="宋体" w:hAnsi="宋体"/>
          <w:color w:val="auto"/>
          <w:szCs w:val="21"/>
          <w:highlight w:val="none"/>
        </w:rPr>
      </w:pPr>
      <w:r>
        <w:rPr>
          <w:rFonts w:hint="eastAsia" w:ascii="宋体" w:hAnsi="宋体"/>
          <w:color w:val="auto"/>
          <w:szCs w:val="21"/>
          <w:highlight w:val="none"/>
        </w:rPr>
        <w:t>10.</w:t>
      </w:r>
      <w:r>
        <w:rPr>
          <w:rFonts w:hint="eastAsia" w:ascii="宋体" w:hAnsi="宋体"/>
          <w:color w:val="auto"/>
          <w:szCs w:val="21"/>
          <w:highlight w:val="none"/>
          <w:lang w:val="en-US" w:eastAsia="zh-CN"/>
        </w:rPr>
        <w:t>3</w:t>
      </w:r>
      <w:r>
        <w:rPr>
          <w:rFonts w:hint="eastAsia" w:ascii="宋体" w:hAnsi="宋体"/>
          <w:color w:val="auto"/>
          <w:szCs w:val="21"/>
          <w:highlight w:val="none"/>
        </w:rPr>
        <w:t>招标文件澄清、招标文件修改文件内容均以“政采云”平台及云南省政府釆购网发布公告的形式告知，以网上电子文件为准，当招标文件、招标文件澄清、招标文件修改文件内容前后相互矛盾时，以最后发出的为准。</w:t>
      </w:r>
    </w:p>
    <w:p w14:paraId="20354953">
      <w:pPr>
        <w:spacing w:line="360" w:lineRule="auto"/>
        <w:jc w:val="left"/>
        <w:rPr>
          <w:rFonts w:hint="eastAsia" w:ascii="宋体" w:hAnsi="宋体"/>
          <w:color w:val="auto"/>
          <w:szCs w:val="21"/>
          <w:highlight w:val="none"/>
        </w:rPr>
      </w:pPr>
      <w:r>
        <w:rPr>
          <w:rFonts w:hint="eastAsia" w:ascii="宋体" w:hAnsi="宋体"/>
          <w:color w:val="auto"/>
          <w:szCs w:val="21"/>
          <w:highlight w:val="none"/>
        </w:rPr>
        <w:t>10.</w:t>
      </w:r>
      <w:r>
        <w:rPr>
          <w:rFonts w:hint="eastAsia" w:ascii="宋体" w:hAnsi="宋体"/>
          <w:color w:val="auto"/>
          <w:szCs w:val="21"/>
          <w:highlight w:val="none"/>
          <w:lang w:val="en-US" w:eastAsia="zh-CN"/>
        </w:rPr>
        <w:t>4</w:t>
      </w:r>
      <w:r>
        <w:rPr>
          <w:rFonts w:hint="eastAsia" w:ascii="宋体" w:hAnsi="宋体"/>
          <w:color w:val="auto"/>
          <w:szCs w:val="21"/>
          <w:highlight w:val="none"/>
        </w:rPr>
        <w:t>供应商应在投标截止时间前及时登录政采云平台（https://www.zcygov.cn/）中查看有关本项目招标文件的答疑、补遗内容。否则，后果自负。</w:t>
      </w:r>
    </w:p>
    <w:p w14:paraId="77B1A540">
      <w:pPr>
        <w:pStyle w:val="24"/>
        <w:rPr>
          <w:color w:val="auto"/>
        </w:rPr>
      </w:pPr>
    </w:p>
    <w:p w14:paraId="4F191CDA">
      <w:pPr>
        <w:pStyle w:val="4"/>
        <w:numPr>
          <w:ilvl w:val="0"/>
          <w:numId w:val="0"/>
        </w:numPr>
        <w:ind w:left="425"/>
        <w:jc w:val="center"/>
        <w:rPr>
          <w:rFonts w:ascii="宋体" w:hAnsi="宋体" w:eastAsia="宋体"/>
          <w:color w:val="auto"/>
          <w:sz w:val="30"/>
          <w:szCs w:val="30"/>
          <w:highlight w:val="none"/>
        </w:rPr>
      </w:pPr>
      <w:bookmarkStart w:id="77" w:name="_Toc496122178"/>
      <w:bookmarkStart w:id="78" w:name="_Toc71666338"/>
      <w:bookmarkStart w:id="79" w:name="_Toc20747712"/>
      <w:r>
        <w:rPr>
          <w:rFonts w:hint="eastAsia" w:ascii="宋体" w:hAnsi="宋体" w:eastAsia="宋体"/>
          <w:color w:val="auto"/>
          <w:sz w:val="30"/>
          <w:szCs w:val="30"/>
          <w:highlight w:val="none"/>
        </w:rPr>
        <w:t>三、投标文件</w:t>
      </w:r>
      <w:bookmarkEnd w:id="77"/>
      <w:bookmarkEnd w:id="78"/>
      <w:bookmarkEnd w:id="79"/>
    </w:p>
    <w:p w14:paraId="159AB384">
      <w:pPr>
        <w:spacing w:line="360" w:lineRule="auto"/>
        <w:jc w:val="left"/>
        <w:rPr>
          <w:rFonts w:ascii="宋体" w:hAnsi="宋体"/>
          <w:b/>
          <w:color w:val="auto"/>
          <w:szCs w:val="21"/>
          <w:highlight w:val="none"/>
        </w:rPr>
      </w:pPr>
      <w:r>
        <w:rPr>
          <w:rFonts w:hint="eastAsia" w:ascii="宋体" w:hAnsi="宋体"/>
          <w:b/>
          <w:color w:val="auto"/>
          <w:szCs w:val="21"/>
          <w:highlight w:val="none"/>
        </w:rPr>
        <w:t>11. 投标文件编写注意事项</w:t>
      </w:r>
    </w:p>
    <w:p w14:paraId="779333FC">
      <w:pPr>
        <w:spacing w:line="360" w:lineRule="auto"/>
        <w:jc w:val="left"/>
        <w:rPr>
          <w:rFonts w:ascii="宋体" w:hAnsi="宋体"/>
          <w:color w:val="auto"/>
          <w:szCs w:val="21"/>
          <w:highlight w:val="none"/>
        </w:rPr>
      </w:pPr>
      <w:r>
        <w:rPr>
          <w:rFonts w:hint="eastAsia" w:ascii="宋体" w:hAnsi="宋体"/>
          <w:color w:val="auto"/>
          <w:szCs w:val="21"/>
          <w:highlight w:val="none"/>
        </w:rPr>
        <w:t>11.1投标人应仔细阅读招标文件，在完全了解采购的内容、技术性能要求(详见“</w:t>
      </w:r>
      <w:r>
        <w:rPr>
          <w:rFonts w:hint="eastAsia" w:ascii="宋体" w:hAnsi="宋体"/>
          <w:b/>
          <w:color w:val="auto"/>
          <w:szCs w:val="21"/>
          <w:highlight w:val="none"/>
          <w:lang w:eastAsia="zh-CN"/>
        </w:rPr>
        <w:t>采购需求</w:t>
      </w:r>
      <w:r>
        <w:rPr>
          <w:rFonts w:hint="eastAsia" w:ascii="宋体" w:hAnsi="宋体"/>
          <w:b/>
          <w:color w:val="auto"/>
          <w:szCs w:val="21"/>
          <w:highlight w:val="none"/>
        </w:rPr>
        <w:t>”</w:t>
      </w:r>
      <w:r>
        <w:rPr>
          <w:rFonts w:hint="eastAsia" w:ascii="宋体" w:hAnsi="宋体"/>
          <w:color w:val="auto"/>
          <w:szCs w:val="21"/>
          <w:highlight w:val="none"/>
        </w:rPr>
        <w:t>)和商务条件后，编写投标文件。</w:t>
      </w:r>
      <w:r>
        <w:rPr>
          <w:rFonts w:hint="eastAsia" w:ascii="宋体" w:hAnsi="宋体"/>
          <w:b/>
          <w:color w:val="auto"/>
          <w:szCs w:val="21"/>
          <w:highlight w:val="none"/>
        </w:rPr>
        <w:t>招标文件中标注★号的条款为实质性要求和条件，投标文件必须响应招标文件的实质性要求和条件，不满足任何一条将导致投标无效</w:t>
      </w:r>
      <w:r>
        <w:rPr>
          <w:rFonts w:hint="eastAsia" w:ascii="宋体" w:hAnsi="宋体"/>
          <w:color w:val="auto"/>
          <w:szCs w:val="21"/>
          <w:highlight w:val="none"/>
        </w:rPr>
        <w:t>。</w:t>
      </w:r>
    </w:p>
    <w:p w14:paraId="36275DA2">
      <w:pPr>
        <w:spacing w:line="360" w:lineRule="auto"/>
        <w:jc w:val="left"/>
        <w:rPr>
          <w:rFonts w:ascii="宋体" w:hAnsi="宋体"/>
          <w:color w:val="auto"/>
          <w:szCs w:val="21"/>
          <w:highlight w:val="none"/>
        </w:rPr>
      </w:pPr>
      <w:r>
        <w:rPr>
          <w:rFonts w:hint="eastAsia" w:ascii="宋体" w:hAnsi="宋体"/>
          <w:color w:val="auto"/>
          <w:szCs w:val="21"/>
          <w:highlight w:val="none"/>
        </w:rPr>
        <w:t>11.2 对招标文件提出的实质性要求和条件作出响应是指：投标人必须对招标文件中的实质性要求和条件的内容作出满足或者优于原要求和条件的承诺，并提供相应的证明材料。</w:t>
      </w:r>
    </w:p>
    <w:p w14:paraId="2EE4EB1D">
      <w:pPr>
        <w:spacing w:line="360" w:lineRule="auto"/>
        <w:jc w:val="left"/>
        <w:rPr>
          <w:rFonts w:ascii="宋体" w:hAnsi="宋体"/>
          <w:b/>
          <w:color w:val="auto"/>
          <w:szCs w:val="21"/>
          <w:highlight w:val="none"/>
        </w:rPr>
      </w:pPr>
      <w:r>
        <w:rPr>
          <w:rFonts w:hint="eastAsia" w:ascii="宋体" w:hAnsi="宋体"/>
          <w:b/>
          <w:color w:val="auto"/>
          <w:szCs w:val="21"/>
          <w:highlight w:val="none"/>
        </w:rPr>
        <w:t>12. 投标的语言及计量单位</w:t>
      </w:r>
    </w:p>
    <w:p w14:paraId="106BEE9B">
      <w:pPr>
        <w:spacing w:line="360" w:lineRule="auto"/>
        <w:jc w:val="left"/>
        <w:rPr>
          <w:rFonts w:ascii="宋体" w:hAnsi="宋体"/>
          <w:color w:val="auto"/>
          <w:szCs w:val="21"/>
          <w:highlight w:val="none"/>
        </w:rPr>
      </w:pPr>
      <w:r>
        <w:rPr>
          <w:rFonts w:hint="eastAsia" w:ascii="宋体" w:hAnsi="宋体"/>
          <w:color w:val="auto"/>
          <w:szCs w:val="21"/>
          <w:highlight w:val="none"/>
        </w:rPr>
        <w:t>12.1投标人的投标文件以及投标人与采购代理机构就有关投标的所有来往函电统一使用中文（特别规定除外）。</w:t>
      </w:r>
    </w:p>
    <w:p w14:paraId="0A46756B">
      <w:pPr>
        <w:spacing w:line="360" w:lineRule="auto"/>
        <w:jc w:val="left"/>
        <w:rPr>
          <w:rFonts w:ascii="宋体" w:hAnsi="宋体"/>
          <w:color w:val="auto"/>
          <w:szCs w:val="21"/>
          <w:highlight w:val="none"/>
        </w:rPr>
      </w:pPr>
      <w:r>
        <w:rPr>
          <w:rFonts w:hint="eastAsia" w:ascii="宋体" w:hAnsi="宋体"/>
          <w:color w:val="auto"/>
          <w:szCs w:val="21"/>
          <w:highlight w:val="none"/>
        </w:rPr>
        <w:t>12.2投标文件中使用的计量单位除招标文件中有特殊规定外，一律使用中国法定计量单位。</w:t>
      </w:r>
    </w:p>
    <w:p w14:paraId="1F29F8D6">
      <w:pPr>
        <w:spacing w:line="360" w:lineRule="auto"/>
        <w:jc w:val="left"/>
        <w:rPr>
          <w:rFonts w:ascii="宋体" w:hAnsi="宋体"/>
          <w:b/>
          <w:color w:val="auto"/>
          <w:szCs w:val="21"/>
          <w:highlight w:val="none"/>
        </w:rPr>
      </w:pPr>
      <w:r>
        <w:rPr>
          <w:rFonts w:hint="eastAsia" w:ascii="宋体" w:hAnsi="宋体"/>
          <w:b/>
          <w:color w:val="auto"/>
          <w:szCs w:val="21"/>
          <w:highlight w:val="none"/>
        </w:rPr>
        <w:t>13. 投标文件构成</w:t>
      </w:r>
    </w:p>
    <w:p w14:paraId="472AE447">
      <w:pPr>
        <w:spacing w:line="360" w:lineRule="auto"/>
        <w:jc w:val="left"/>
        <w:rPr>
          <w:rFonts w:ascii="宋体" w:hAnsi="宋体"/>
          <w:color w:val="auto"/>
          <w:szCs w:val="21"/>
          <w:highlight w:val="none"/>
        </w:rPr>
      </w:pPr>
      <w:r>
        <w:rPr>
          <w:rFonts w:hint="eastAsia" w:ascii="宋体" w:hAnsi="宋体"/>
          <w:color w:val="auto"/>
          <w:szCs w:val="21"/>
          <w:highlight w:val="none"/>
        </w:rPr>
        <w:t>13.1投标人编写的投标文件应由下列部分构成，并按第四章“投标文件格式”要求填写。有关文件的提交如未特别注明需提供原件的，可提供复印件。</w:t>
      </w:r>
    </w:p>
    <w:p w14:paraId="23F8C6E1">
      <w:pPr>
        <w:spacing w:line="360" w:lineRule="auto"/>
        <w:ind w:firstLine="359" w:firstLineChars="171"/>
        <w:jc w:val="left"/>
        <w:rPr>
          <w:rFonts w:ascii="宋体" w:hAnsi="宋体"/>
          <w:color w:val="auto"/>
          <w:szCs w:val="21"/>
          <w:highlight w:val="none"/>
        </w:rPr>
      </w:pPr>
      <w:r>
        <w:rPr>
          <w:rFonts w:hint="eastAsia" w:ascii="宋体" w:hAnsi="宋体"/>
          <w:color w:val="auto"/>
          <w:szCs w:val="21"/>
          <w:highlight w:val="none"/>
        </w:rPr>
        <w:t>13.1.1</w:t>
      </w:r>
      <w:r>
        <w:rPr>
          <w:rFonts w:ascii="宋体" w:hAnsi="宋体"/>
          <w:color w:val="auto"/>
          <w:szCs w:val="21"/>
          <w:highlight w:val="none"/>
        </w:rPr>
        <w:t>开标一览表</w:t>
      </w:r>
      <w:r>
        <w:rPr>
          <w:rFonts w:hint="eastAsia" w:ascii="宋体" w:hAnsi="宋体"/>
          <w:color w:val="auto"/>
          <w:szCs w:val="21"/>
          <w:highlight w:val="none"/>
        </w:rPr>
        <w:t>；</w:t>
      </w:r>
    </w:p>
    <w:p w14:paraId="27E4E02F">
      <w:pPr>
        <w:spacing w:line="360" w:lineRule="auto"/>
        <w:ind w:firstLine="359" w:firstLineChars="171"/>
        <w:jc w:val="left"/>
        <w:rPr>
          <w:rFonts w:ascii="宋体" w:hAnsi="宋体"/>
          <w:color w:val="auto"/>
          <w:szCs w:val="21"/>
          <w:highlight w:val="none"/>
        </w:rPr>
      </w:pPr>
      <w:r>
        <w:rPr>
          <w:rFonts w:hint="eastAsia" w:ascii="宋体" w:hAnsi="宋体"/>
          <w:color w:val="auto"/>
          <w:szCs w:val="21"/>
          <w:highlight w:val="none"/>
        </w:rPr>
        <w:t>13.1.</w:t>
      </w:r>
      <w:r>
        <w:rPr>
          <w:rFonts w:ascii="宋体" w:hAnsi="宋体"/>
          <w:color w:val="auto"/>
          <w:szCs w:val="21"/>
          <w:highlight w:val="none"/>
        </w:rPr>
        <w:t>2</w:t>
      </w:r>
      <w:r>
        <w:rPr>
          <w:rFonts w:hint="eastAsia" w:ascii="宋体" w:hAnsi="宋体"/>
          <w:color w:val="auto"/>
          <w:szCs w:val="21"/>
          <w:highlight w:val="none"/>
        </w:rPr>
        <w:t>资格证明文件；</w:t>
      </w:r>
    </w:p>
    <w:p w14:paraId="7ADDCFC1">
      <w:pPr>
        <w:spacing w:line="360" w:lineRule="auto"/>
        <w:ind w:firstLine="359" w:firstLineChars="171"/>
        <w:jc w:val="left"/>
        <w:rPr>
          <w:rFonts w:ascii="宋体" w:hAnsi="宋体"/>
          <w:color w:val="auto"/>
          <w:szCs w:val="21"/>
          <w:highlight w:val="none"/>
        </w:rPr>
      </w:pPr>
      <w:r>
        <w:rPr>
          <w:rFonts w:hint="eastAsia" w:ascii="宋体" w:hAnsi="宋体"/>
          <w:color w:val="auto"/>
          <w:szCs w:val="21"/>
          <w:highlight w:val="none"/>
        </w:rPr>
        <w:t>13.1.</w:t>
      </w:r>
      <w:r>
        <w:rPr>
          <w:rFonts w:ascii="宋体" w:hAnsi="宋体"/>
          <w:color w:val="auto"/>
          <w:szCs w:val="21"/>
          <w:highlight w:val="none"/>
        </w:rPr>
        <w:t>3</w:t>
      </w:r>
      <w:r>
        <w:rPr>
          <w:rFonts w:hint="eastAsia" w:ascii="宋体" w:hAnsi="宋体"/>
          <w:color w:val="auto"/>
          <w:szCs w:val="21"/>
          <w:highlight w:val="none"/>
        </w:rPr>
        <w:t>投标文件商务部分</w:t>
      </w:r>
    </w:p>
    <w:p w14:paraId="0CF0D26F">
      <w:pPr>
        <w:spacing w:line="360" w:lineRule="auto"/>
        <w:ind w:firstLine="359" w:firstLineChars="171"/>
        <w:jc w:val="left"/>
        <w:rPr>
          <w:rFonts w:ascii="宋体" w:hAnsi="宋体"/>
          <w:color w:val="auto"/>
          <w:szCs w:val="21"/>
          <w:highlight w:val="none"/>
        </w:rPr>
      </w:pPr>
      <w:r>
        <w:rPr>
          <w:rFonts w:hint="eastAsia" w:ascii="宋体" w:hAnsi="宋体"/>
          <w:color w:val="auto"/>
          <w:szCs w:val="21"/>
          <w:highlight w:val="none"/>
        </w:rPr>
        <w:t>13.1.</w:t>
      </w:r>
      <w:r>
        <w:rPr>
          <w:rFonts w:ascii="宋体" w:hAnsi="宋体"/>
          <w:color w:val="auto"/>
          <w:szCs w:val="21"/>
          <w:highlight w:val="none"/>
        </w:rPr>
        <w:t>4</w:t>
      </w:r>
      <w:r>
        <w:rPr>
          <w:rFonts w:hint="eastAsia" w:ascii="宋体" w:hAnsi="宋体"/>
          <w:color w:val="auto"/>
          <w:szCs w:val="21"/>
          <w:highlight w:val="none"/>
        </w:rPr>
        <w:t>投标文件技术部分</w:t>
      </w:r>
    </w:p>
    <w:p w14:paraId="20374112">
      <w:pPr>
        <w:tabs>
          <w:tab w:val="left" w:pos="7904"/>
        </w:tabs>
        <w:spacing w:line="360" w:lineRule="auto"/>
        <w:jc w:val="left"/>
        <w:rPr>
          <w:rFonts w:hint="eastAsia" w:ascii="宋体" w:hAnsi="宋体" w:eastAsia="宋体"/>
          <w:b/>
          <w:color w:val="auto"/>
          <w:szCs w:val="21"/>
          <w:highlight w:val="none"/>
          <w:lang w:eastAsia="zh-CN"/>
        </w:rPr>
      </w:pPr>
      <w:r>
        <w:rPr>
          <w:rFonts w:hint="eastAsia" w:ascii="宋体" w:hAnsi="宋体"/>
          <w:b/>
          <w:color w:val="auto"/>
          <w:szCs w:val="21"/>
          <w:highlight w:val="none"/>
        </w:rPr>
        <w:t>14. 投标文件的格式要求</w:t>
      </w:r>
      <w:r>
        <w:rPr>
          <w:rFonts w:hint="eastAsia" w:ascii="宋体" w:hAnsi="宋体"/>
          <w:b/>
          <w:color w:val="auto"/>
          <w:szCs w:val="21"/>
          <w:highlight w:val="none"/>
          <w:lang w:eastAsia="zh-CN"/>
        </w:rPr>
        <w:tab/>
      </w:r>
    </w:p>
    <w:p w14:paraId="5054AB97">
      <w:pPr>
        <w:pStyle w:val="16"/>
        <w:tabs>
          <w:tab w:val="left" w:pos="3030"/>
        </w:tabs>
        <w:spacing w:line="360" w:lineRule="auto"/>
        <w:rPr>
          <w:rFonts w:hAnsi="宋体"/>
          <w:bCs/>
          <w:color w:val="auto"/>
          <w:szCs w:val="21"/>
          <w:highlight w:val="none"/>
        </w:rPr>
      </w:pPr>
      <w:r>
        <w:rPr>
          <w:rFonts w:hint="eastAsia" w:hAnsi="宋体"/>
          <w:color w:val="auto"/>
          <w:szCs w:val="21"/>
          <w:highlight w:val="none"/>
        </w:rPr>
        <w:t>14.1投标人应按第四章“</w:t>
      </w:r>
      <w:r>
        <w:rPr>
          <w:rFonts w:hint="eastAsia" w:hAnsi="宋体"/>
          <w:b/>
          <w:color w:val="auto"/>
          <w:szCs w:val="21"/>
          <w:highlight w:val="none"/>
        </w:rPr>
        <w:t>投标文件格式</w:t>
      </w:r>
      <w:r>
        <w:rPr>
          <w:rFonts w:hint="eastAsia" w:hAnsi="宋体"/>
          <w:color w:val="auto"/>
          <w:szCs w:val="21"/>
          <w:highlight w:val="none"/>
        </w:rPr>
        <w:t>”提供的格式完整地填写。</w:t>
      </w:r>
    </w:p>
    <w:p w14:paraId="5BF4289C">
      <w:pPr>
        <w:spacing w:line="360" w:lineRule="auto"/>
        <w:jc w:val="left"/>
        <w:rPr>
          <w:rFonts w:ascii="宋体" w:hAnsi="宋体"/>
          <w:b/>
          <w:color w:val="auto"/>
          <w:szCs w:val="21"/>
          <w:highlight w:val="none"/>
        </w:rPr>
      </w:pPr>
      <w:r>
        <w:rPr>
          <w:rFonts w:hint="eastAsia" w:ascii="宋体" w:hAnsi="宋体"/>
          <w:b/>
          <w:color w:val="auto"/>
          <w:szCs w:val="21"/>
          <w:highlight w:val="none"/>
        </w:rPr>
        <w:t>15. 投标报价</w:t>
      </w:r>
    </w:p>
    <w:p w14:paraId="7548DB6A">
      <w:pPr>
        <w:pStyle w:val="16"/>
        <w:spacing w:line="360" w:lineRule="auto"/>
        <w:rPr>
          <w:rFonts w:hAnsi="宋体"/>
          <w:color w:val="auto"/>
          <w:szCs w:val="21"/>
          <w:highlight w:val="none"/>
        </w:rPr>
      </w:pPr>
      <w:r>
        <w:rPr>
          <w:rFonts w:hint="eastAsia" w:hAnsi="宋体"/>
          <w:b/>
          <w:color w:val="auto"/>
          <w:highlight w:val="none"/>
        </w:rPr>
        <w:t>★</w:t>
      </w:r>
      <w:r>
        <w:rPr>
          <w:rFonts w:hint="eastAsia" w:hAnsi="宋体"/>
          <w:color w:val="auto"/>
          <w:szCs w:val="24"/>
          <w:highlight w:val="none"/>
        </w:rPr>
        <w:t>15.1本项目预算金额及最高限价</w:t>
      </w:r>
      <w:r>
        <w:rPr>
          <w:rFonts w:hint="eastAsia" w:hAnsi="宋体"/>
          <w:color w:val="auto"/>
          <w:szCs w:val="24"/>
          <w:highlight w:val="none"/>
          <w:lang w:val="en-US" w:eastAsia="zh-CN"/>
        </w:rPr>
        <w:t>和</w:t>
      </w:r>
      <w:r>
        <w:rPr>
          <w:rFonts w:hint="eastAsia" w:ascii="宋体" w:hAnsi="宋体" w:cs="宋体"/>
          <w:color w:val="auto"/>
          <w:szCs w:val="21"/>
          <w:highlight w:val="none"/>
        </w:rPr>
        <w:t>单价</w:t>
      </w:r>
      <w:r>
        <w:rPr>
          <w:rFonts w:hint="eastAsia" w:ascii="宋体" w:hAnsi="宋体" w:cs="宋体"/>
          <w:color w:val="auto"/>
          <w:szCs w:val="21"/>
          <w:highlight w:val="none"/>
          <w:lang w:val="en-US" w:eastAsia="zh-CN"/>
        </w:rPr>
        <w:t>最高限价</w:t>
      </w:r>
      <w:r>
        <w:rPr>
          <w:rFonts w:hint="eastAsia" w:hAnsi="宋体"/>
          <w:color w:val="auto"/>
          <w:szCs w:val="24"/>
          <w:highlight w:val="none"/>
        </w:rPr>
        <w:t>见</w:t>
      </w:r>
      <w:r>
        <w:rPr>
          <w:rFonts w:hint="eastAsia" w:hAnsi="宋体"/>
          <w:color w:val="auto"/>
          <w:highlight w:val="none"/>
        </w:rPr>
        <w:t>“</w:t>
      </w:r>
      <w:r>
        <w:rPr>
          <w:rFonts w:hint="eastAsia" w:hAnsi="宋体"/>
          <w:b/>
          <w:bCs/>
          <w:color w:val="auto"/>
          <w:highlight w:val="none"/>
        </w:rPr>
        <w:t>投标人须知前附表</w:t>
      </w:r>
      <w:r>
        <w:rPr>
          <w:rFonts w:hint="eastAsia" w:hAnsi="宋体"/>
          <w:color w:val="auto"/>
          <w:highlight w:val="none"/>
        </w:rPr>
        <w:t>”，若投标</w:t>
      </w:r>
      <w:r>
        <w:rPr>
          <w:rFonts w:hint="eastAsia" w:ascii="宋体" w:hAnsi="宋体" w:eastAsia="宋体" w:cs="Times New Roman"/>
          <w:color w:val="auto"/>
          <w:highlight w:val="none"/>
        </w:rPr>
        <w:t>人的投标报价超过</w:t>
      </w:r>
      <w:r>
        <w:rPr>
          <w:rFonts w:hint="eastAsia" w:hAnsi="宋体" w:cs="Times New Roman"/>
          <w:color w:val="auto"/>
          <w:highlight w:val="none"/>
          <w:lang w:val="en-US" w:eastAsia="zh-CN"/>
        </w:rPr>
        <w:t>最高限价的</w:t>
      </w:r>
      <w:r>
        <w:rPr>
          <w:rFonts w:hint="eastAsia" w:ascii="宋体" w:hAnsi="宋体" w:eastAsia="宋体" w:cs="Times New Roman"/>
          <w:color w:val="auto"/>
          <w:highlight w:val="none"/>
        </w:rPr>
        <w:t>，</w:t>
      </w:r>
      <w:r>
        <w:rPr>
          <w:rFonts w:hint="eastAsia" w:hAnsi="宋体"/>
          <w:color w:val="auto"/>
          <w:szCs w:val="21"/>
          <w:highlight w:val="none"/>
        </w:rPr>
        <w:t>按不实质性响应招标文件要求处理。</w:t>
      </w:r>
    </w:p>
    <w:p w14:paraId="6C06D4CA">
      <w:pPr>
        <w:pStyle w:val="16"/>
        <w:spacing w:line="360" w:lineRule="auto"/>
        <w:ind w:left="630" w:hanging="630" w:hangingChars="300"/>
        <w:rPr>
          <w:rFonts w:ascii="宋体" w:hAnsi="宋体" w:eastAsia="宋体"/>
          <w:color w:val="auto"/>
          <w:szCs w:val="24"/>
          <w:highlight w:val="none"/>
          <w:lang w:val="en-US" w:eastAsia="zh-CN"/>
        </w:rPr>
      </w:pPr>
      <w:r>
        <w:rPr>
          <w:rFonts w:hint="eastAsia" w:ascii="宋体" w:hAnsi="宋体" w:eastAsia="宋体"/>
          <w:color w:val="auto"/>
          <w:szCs w:val="24"/>
          <w:highlight w:val="none"/>
          <w:lang w:val="en-US" w:eastAsia="zh-CN"/>
        </w:rPr>
        <w:t>15.2投标人须就“</w:t>
      </w:r>
      <w:r>
        <w:rPr>
          <w:rFonts w:hint="eastAsia" w:hAnsi="宋体"/>
          <w:color w:val="auto"/>
          <w:szCs w:val="24"/>
          <w:highlight w:val="none"/>
          <w:lang w:val="en-US" w:eastAsia="zh-CN"/>
        </w:rPr>
        <w:t>采购需求</w:t>
      </w:r>
      <w:r>
        <w:rPr>
          <w:rFonts w:hint="eastAsia" w:ascii="宋体" w:hAnsi="宋体" w:eastAsia="宋体"/>
          <w:color w:val="auto"/>
          <w:szCs w:val="24"/>
          <w:highlight w:val="none"/>
          <w:lang w:val="en-US" w:eastAsia="zh-CN"/>
        </w:rPr>
        <w:t>”中的所投服务内容作完整唯一报价。</w:t>
      </w:r>
    </w:p>
    <w:p w14:paraId="4D8D3CE2">
      <w:pPr>
        <w:spacing w:line="360" w:lineRule="auto"/>
        <w:rPr>
          <w:rFonts w:hint="default" w:ascii="宋体" w:hAnsi="宋体" w:eastAsia="宋体"/>
          <w:color w:val="auto"/>
          <w:szCs w:val="24"/>
          <w:highlight w:val="none"/>
          <w:lang w:val="en-US" w:eastAsia="zh-CN"/>
        </w:rPr>
      </w:pPr>
      <w:r>
        <w:rPr>
          <w:rFonts w:hint="eastAsia" w:ascii="宋体" w:hAnsi="宋体" w:eastAsia="宋体" w:cs="Times New Roman"/>
          <w:b/>
          <w:bCs/>
          <w:color w:val="auto"/>
          <w:szCs w:val="24"/>
          <w:highlight w:val="none"/>
          <w:lang w:val="en-US" w:eastAsia="zh-CN"/>
        </w:rPr>
        <w:t>15.3</w:t>
      </w:r>
      <w:r>
        <w:rPr>
          <w:rFonts w:hint="eastAsia" w:ascii="宋体" w:hAnsi="宋体" w:cs="Times New Roman"/>
          <w:b/>
          <w:bCs/>
          <w:color w:val="auto"/>
          <w:szCs w:val="24"/>
          <w:highlight w:val="none"/>
          <w:lang w:val="en-US" w:eastAsia="zh-CN"/>
        </w:rPr>
        <w:t>本</w:t>
      </w:r>
      <w:r>
        <w:rPr>
          <w:rFonts w:hint="eastAsia" w:ascii="宋体" w:hAnsi="宋体"/>
          <w:b/>
          <w:bCs/>
          <w:color w:val="auto"/>
          <w:sz w:val="21"/>
          <w:szCs w:val="21"/>
        </w:rPr>
        <w:t>次采购的投标报价方式为优惠率报价</w:t>
      </w:r>
      <w:r>
        <w:rPr>
          <w:rFonts w:hint="eastAsia" w:ascii="宋体" w:hAnsi="宋体"/>
          <w:b/>
          <w:bCs/>
          <w:color w:val="auto"/>
          <w:sz w:val="21"/>
          <w:szCs w:val="21"/>
          <w:lang w:eastAsia="zh-CN"/>
        </w:rPr>
        <w:t>，</w:t>
      </w:r>
      <w:r>
        <w:rPr>
          <w:rFonts w:hint="eastAsia" w:ascii="宋体" w:hAnsi="宋体" w:eastAsia="宋体"/>
          <w:color w:val="auto"/>
          <w:szCs w:val="24"/>
          <w:highlight w:val="none"/>
          <w:lang w:val="en-US" w:eastAsia="zh-CN"/>
        </w:rPr>
        <w:t>投标人</w:t>
      </w:r>
      <w:r>
        <w:rPr>
          <w:rFonts w:hint="eastAsia" w:ascii="宋体" w:hAnsi="宋体" w:eastAsia="宋体" w:cs="Times New Roman"/>
          <w:color w:val="auto"/>
          <w:szCs w:val="21"/>
        </w:rPr>
        <w:t>的报价应依据</w:t>
      </w:r>
      <w:r>
        <w:rPr>
          <w:rFonts w:hint="eastAsia" w:ascii="宋体" w:hAnsi="宋体" w:cs="Times New Roman"/>
          <w:color w:val="auto"/>
          <w:szCs w:val="21"/>
          <w:lang w:val="en-US" w:eastAsia="zh-CN"/>
        </w:rPr>
        <w:t>招标</w:t>
      </w:r>
      <w:r>
        <w:rPr>
          <w:rFonts w:hint="eastAsia" w:ascii="宋体" w:hAnsi="宋体" w:eastAsia="宋体" w:cs="Times New Roman"/>
          <w:color w:val="auto"/>
          <w:szCs w:val="21"/>
        </w:rPr>
        <w:t>文件的要求及有关资料，执行国家规定的现行技术、经济标准、定额及规范，由</w:t>
      </w:r>
      <w:r>
        <w:rPr>
          <w:rFonts w:hint="eastAsia" w:ascii="宋体" w:hAnsi="宋体" w:eastAsia="宋体"/>
          <w:color w:val="auto"/>
          <w:szCs w:val="24"/>
          <w:highlight w:val="none"/>
          <w:lang w:val="en-US" w:eastAsia="zh-CN"/>
        </w:rPr>
        <w:t>投标人</w:t>
      </w:r>
      <w:r>
        <w:rPr>
          <w:rFonts w:hint="eastAsia" w:ascii="宋体" w:hAnsi="宋体" w:eastAsia="宋体" w:cs="Times New Roman"/>
          <w:color w:val="auto"/>
          <w:szCs w:val="21"/>
        </w:rPr>
        <w:t>自行测算出现行市场的价格</w:t>
      </w:r>
      <w:r>
        <w:rPr>
          <w:rFonts w:hint="eastAsia" w:ascii="宋体" w:hAnsi="宋体" w:cs="Times New Roman"/>
          <w:color w:val="auto"/>
          <w:szCs w:val="21"/>
          <w:lang w:val="en-US" w:eastAsia="zh-CN"/>
        </w:rPr>
        <w:t>优惠率</w:t>
      </w:r>
      <w:r>
        <w:rPr>
          <w:rFonts w:hint="eastAsia" w:ascii="宋体" w:hAnsi="宋体" w:eastAsia="宋体" w:cs="Times New Roman"/>
          <w:color w:val="auto"/>
          <w:szCs w:val="21"/>
        </w:rPr>
        <w:t>。</w:t>
      </w:r>
      <w:r>
        <w:rPr>
          <w:rFonts w:hint="eastAsia" w:ascii="宋体" w:hAnsi="宋体" w:cs="Times New Roman"/>
          <w:color w:val="auto"/>
          <w:szCs w:val="21"/>
          <w:lang w:val="en-US" w:eastAsia="zh-CN"/>
        </w:rPr>
        <w:t>设备租赁单价为固定综</w:t>
      </w:r>
      <w:r>
        <w:rPr>
          <w:rFonts w:hint="eastAsia"/>
          <w:color w:val="auto"/>
          <w:kern w:val="0"/>
          <w:szCs w:val="21"/>
          <w:lang w:val="en-US" w:eastAsia="zh-CN"/>
        </w:rPr>
        <w:t>合单价，</w:t>
      </w:r>
      <w:r>
        <w:rPr>
          <w:b/>
          <w:color w:val="auto"/>
          <w:kern w:val="0"/>
          <w:szCs w:val="21"/>
        </w:rPr>
        <w:t>指完成本</w:t>
      </w:r>
      <w:r>
        <w:rPr>
          <w:rFonts w:hint="eastAsia"/>
          <w:b/>
          <w:color w:val="auto"/>
          <w:kern w:val="0"/>
          <w:szCs w:val="21"/>
          <w:lang w:val="en-US" w:eastAsia="zh-CN"/>
        </w:rPr>
        <w:t>项目设备租赁单次</w:t>
      </w:r>
      <w:r>
        <w:rPr>
          <w:rFonts w:hint="eastAsia"/>
          <w:b/>
          <w:color w:val="auto"/>
          <w:kern w:val="0"/>
          <w:szCs w:val="21"/>
          <w:highlight w:val="none"/>
          <w:lang w:val="en-US" w:eastAsia="zh-CN"/>
        </w:rPr>
        <w:t>（昆明市除东川、磨憨外）每</w:t>
      </w:r>
      <w:r>
        <w:rPr>
          <w:rFonts w:hint="eastAsia"/>
          <w:b/>
          <w:color w:val="auto"/>
          <w:kern w:val="0"/>
          <w:szCs w:val="21"/>
          <w:lang w:val="en-US" w:eastAsia="zh-CN"/>
        </w:rPr>
        <w:t>天</w:t>
      </w:r>
      <w:r>
        <w:rPr>
          <w:b/>
          <w:color w:val="auto"/>
          <w:kern w:val="0"/>
          <w:szCs w:val="21"/>
        </w:rPr>
        <w:t>所需的一切相关费用</w:t>
      </w:r>
      <w:r>
        <w:rPr>
          <w:color w:val="auto"/>
          <w:kern w:val="0"/>
          <w:szCs w:val="21"/>
        </w:rPr>
        <w:t>，</w:t>
      </w:r>
      <w:r>
        <w:rPr>
          <w:b/>
          <w:color w:val="auto"/>
          <w:kern w:val="0"/>
          <w:szCs w:val="21"/>
        </w:rPr>
        <w:t>包含但不仅限于</w:t>
      </w:r>
      <w:r>
        <w:rPr>
          <w:rFonts w:hint="eastAsia"/>
          <w:b/>
          <w:color w:val="auto"/>
          <w:kern w:val="0"/>
          <w:szCs w:val="21"/>
        </w:rPr>
        <w:t>从生产厂家到使用(安装)现场的包装、装载、运输、卸载、现场保管、二次转运、安装、调试、运行维护、耗材、技术保障人员、人身意外伤害赔付</w:t>
      </w:r>
      <w:r>
        <w:rPr>
          <w:b/>
          <w:bCs/>
          <w:color w:val="auto"/>
          <w:kern w:val="0"/>
          <w:szCs w:val="21"/>
        </w:rPr>
        <w:t>等</w:t>
      </w:r>
      <w:r>
        <w:rPr>
          <w:color w:val="auto"/>
          <w:kern w:val="0"/>
          <w:szCs w:val="21"/>
        </w:rPr>
        <w:t>，以及市场价格变化的风险费用、利润、税金等的总和，</w:t>
      </w:r>
      <w:r>
        <w:rPr>
          <w:rFonts w:hint="eastAsia" w:ascii="宋体" w:hAnsi="宋体" w:eastAsia="宋体"/>
          <w:color w:val="auto"/>
          <w:szCs w:val="24"/>
          <w:highlight w:val="none"/>
          <w:lang w:val="en-US" w:eastAsia="zh-CN"/>
        </w:rPr>
        <w:t>投标人</w:t>
      </w:r>
      <w:r>
        <w:rPr>
          <w:rFonts w:hint="eastAsia" w:ascii="宋体" w:hAnsi="宋体" w:eastAsia="宋体" w:cs="Times New Roman"/>
          <w:color w:val="auto"/>
          <w:szCs w:val="21"/>
        </w:rPr>
        <w:t>一旦</w:t>
      </w:r>
      <w:r>
        <w:rPr>
          <w:rFonts w:hint="eastAsia" w:ascii="宋体" w:hAnsi="宋体" w:cs="Times New Roman"/>
          <w:color w:val="auto"/>
          <w:szCs w:val="21"/>
          <w:lang w:val="en-US" w:eastAsia="zh-CN"/>
        </w:rPr>
        <w:t>中标</w:t>
      </w:r>
      <w:r>
        <w:rPr>
          <w:rFonts w:hint="eastAsia" w:ascii="宋体" w:hAnsi="宋体" w:eastAsia="宋体" w:cs="Times New Roman"/>
          <w:color w:val="auto"/>
          <w:szCs w:val="21"/>
        </w:rPr>
        <w:t>，在合同实施期间均不作调整。</w:t>
      </w:r>
      <w:r>
        <w:rPr>
          <w:rFonts w:hint="eastAsia"/>
          <w:b/>
          <w:bCs/>
          <w:color w:val="auto"/>
          <w:kern w:val="0"/>
          <w:szCs w:val="21"/>
          <w:lang w:val="en-US" w:eastAsia="zh-CN"/>
        </w:rPr>
        <w:t>根据每次租赁产生的费用（实际使用设备数量、使用天</w:t>
      </w:r>
      <w:r>
        <w:rPr>
          <w:rFonts w:hint="eastAsia" w:eastAsia="宋体"/>
          <w:b/>
          <w:bCs/>
          <w:color w:val="auto"/>
          <w:kern w:val="0"/>
          <w:szCs w:val="21"/>
          <w:lang w:val="en-US" w:eastAsia="zh-CN"/>
        </w:rPr>
        <w:t>数和合同中所列固定单价</w:t>
      </w:r>
      <w:r>
        <w:rPr>
          <w:rFonts w:hint="eastAsia"/>
          <w:b/>
          <w:bCs/>
          <w:color w:val="auto"/>
          <w:kern w:val="0"/>
          <w:szCs w:val="21"/>
          <w:lang w:val="en-US" w:eastAsia="zh-CN"/>
        </w:rPr>
        <w:t>）×（1-优惠率）据实结算。</w:t>
      </w:r>
      <w:r>
        <w:rPr>
          <w:rFonts w:hint="eastAsia" w:eastAsia="宋体"/>
          <w:b/>
          <w:bCs/>
          <w:color w:val="auto"/>
          <w:kern w:val="0"/>
          <w:szCs w:val="21"/>
          <w:highlight w:val="none"/>
          <w:lang w:val="en-US" w:eastAsia="zh-CN"/>
        </w:rPr>
        <w:t>如涉及东川区、磨憨开发区按</w:t>
      </w:r>
      <w:r>
        <w:rPr>
          <w:rFonts w:hint="default" w:eastAsia="宋体"/>
          <w:b/>
          <w:bCs/>
          <w:color w:val="auto"/>
          <w:kern w:val="0"/>
          <w:szCs w:val="21"/>
          <w:highlight w:val="none"/>
          <w:lang w:val="en-US" w:eastAsia="zh-CN"/>
        </w:rPr>
        <w:t>物流</w:t>
      </w:r>
      <w:r>
        <w:rPr>
          <w:rFonts w:hint="eastAsia" w:eastAsia="宋体"/>
          <w:b/>
          <w:bCs/>
          <w:color w:val="auto"/>
          <w:kern w:val="0"/>
          <w:szCs w:val="21"/>
          <w:highlight w:val="none"/>
          <w:lang w:val="en-US" w:eastAsia="zh-CN"/>
        </w:rPr>
        <w:t>标准</w:t>
      </w:r>
      <w:r>
        <w:rPr>
          <w:rFonts w:hint="default" w:eastAsia="宋体"/>
          <w:b/>
          <w:bCs/>
          <w:color w:val="auto"/>
          <w:kern w:val="0"/>
          <w:szCs w:val="21"/>
          <w:highlight w:val="none"/>
          <w:lang w:val="en-US" w:eastAsia="zh-CN"/>
        </w:rPr>
        <w:t>适当</w:t>
      </w:r>
      <w:r>
        <w:rPr>
          <w:rFonts w:hint="eastAsia" w:eastAsia="宋体"/>
          <w:b/>
          <w:bCs/>
          <w:color w:val="auto"/>
          <w:kern w:val="0"/>
          <w:szCs w:val="21"/>
          <w:highlight w:val="none"/>
          <w:lang w:val="en-US" w:eastAsia="zh-CN"/>
        </w:rPr>
        <w:t>增加设备运输费用和差旅费（参照采购人差旅费标准）。</w:t>
      </w:r>
    </w:p>
    <w:p w14:paraId="35905009">
      <w:pPr>
        <w:spacing w:line="360" w:lineRule="auto"/>
        <w:jc w:val="left"/>
        <w:rPr>
          <w:rFonts w:ascii="宋体" w:hAnsi="宋体"/>
          <w:b/>
          <w:color w:val="auto"/>
          <w:szCs w:val="21"/>
          <w:highlight w:val="none"/>
        </w:rPr>
      </w:pPr>
      <w:r>
        <w:rPr>
          <w:rFonts w:hint="eastAsia" w:ascii="宋体" w:hAnsi="宋体"/>
          <w:b/>
          <w:color w:val="auto"/>
          <w:szCs w:val="21"/>
          <w:highlight w:val="none"/>
        </w:rPr>
        <w:t>16. 投标货币</w:t>
      </w:r>
    </w:p>
    <w:p w14:paraId="50B94349">
      <w:pPr>
        <w:pStyle w:val="16"/>
        <w:spacing w:line="360" w:lineRule="auto"/>
        <w:rPr>
          <w:rFonts w:hAnsi="宋体"/>
          <w:bCs/>
          <w:color w:val="auto"/>
          <w:szCs w:val="21"/>
          <w:highlight w:val="none"/>
        </w:rPr>
      </w:pPr>
      <w:r>
        <w:rPr>
          <w:rFonts w:hint="eastAsia" w:hAnsi="宋体"/>
          <w:color w:val="auto"/>
          <w:szCs w:val="21"/>
          <w:highlight w:val="none"/>
        </w:rPr>
        <w:t>16.1投标以人民币报价。</w:t>
      </w:r>
    </w:p>
    <w:p w14:paraId="30D3FAA0">
      <w:pPr>
        <w:spacing w:line="360" w:lineRule="auto"/>
        <w:jc w:val="left"/>
        <w:rPr>
          <w:rFonts w:ascii="宋体" w:hAnsi="宋体"/>
          <w:b/>
          <w:color w:val="auto"/>
          <w:szCs w:val="21"/>
          <w:highlight w:val="none"/>
        </w:rPr>
      </w:pPr>
      <w:r>
        <w:rPr>
          <w:rFonts w:hint="eastAsia" w:ascii="宋体" w:hAnsi="宋体"/>
          <w:b/>
          <w:color w:val="auto"/>
          <w:szCs w:val="21"/>
          <w:highlight w:val="none"/>
        </w:rPr>
        <w:t>17. 投标文件有效期</w:t>
      </w:r>
    </w:p>
    <w:p w14:paraId="08910221">
      <w:pPr>
        <w:pStyle w:val="16"/>
        <w:spacing w:line="360" w:lineRule="auto"/>
        <w:ind w:left="630" w:hanging="630" w:hangingChars="300"/>
        <w:rPr>
          <w:rFonts w:hAnsi="宋体"/>
          <w:color w:val="auto"/>
          <w:szCs w:val="21"/>
          <w:highlight w:val="none"/>
        </w:rPr>
      </w:pPr>
      <w:r>
        <w:rPr>
          <w:rFonts w:hint="eastAsia" w:hAnsi="宋体"/>
          <w:color w:val="auto"/>
          <w:szCs w:val="21"/>
          <w:highlight w:val="none"/>
        </w:rPr>
        <w:t>17.1</w:t>
      </w:r>
      <w:r>
        <w:rPr>
          <w:rFonts w:hAnsi="宋体"/>
          <w:color w:val="auto"/>
          <w:szCs w:val="21"/>
          <w:highlight w:val="none"/>
        </w:rPr>
        <w:t>在“</w:t>
      </w:r>
      <w:r>
        <w:rPr>
          <w:rFonts w:hAnsi="宋体"/>
          <w:b/>
          <w:bCs/>
          <w:color w:val="auto"/>
          <w:szCs w:val="21"/>
          <w:highlight w:val="none"/>
        </w:rPr>
        <w:t>投标人须知前附表</w:t>
      </w:r>
      <w:r>
        <w:rPr>
          <w:rFonts w:hAnsi="宋体"/>
          <w:color w:val="auto"/>
          <w:szCs w:val="21"/>
          <w:highlight w:val="none"/>
        </w:rPr>
        <w:t>”规定的投标有效期内，投标人不得要求撤销或修改其投标文件。</w:t>
      </w:r>
    </w:p>
    <w:p w14:paraId="6FF09311">
      <w:pPr>
        <w:spacing w:line="360" w:lineRule="auto"/>
        <w:jc w:val="left"/>
        <w:rPr>
          <w:rFonts w:ascii="宋体" w:hAnsi="宋体"/>
          <w:color w:val="auto"/>
          <w:szCs w:val="21"/>
          <w:highlight w:val="none"/>
        </w:rPr>
      </w:pPr>
      <w:r>
        <w:rPr>
          <w:rFonts w:hint="eastAsia" w:ascii="宋体" w:hAnsi="宋体"/>
          <w:b/>
          <w:color w:val="auto"/>
          <w:szCs w:val="21"/>
          <w:highlight w:val="none"/>
        </w:rPr>
        <w:t>★</w:t>
      </w:r>
      <w:r>
        <w:rPr>
          <w:rFonts w:hint="eastAsia" w:ascii="宋体" w:hAnsi="宋体"/>
          <w:color w:val="auto"/>
          <w:szCs w:val="21"/>
          <w:highlight w:val="none"/>
        </w:rPr>
        <w:t>17.2投标有效期从提交投标文件的截止之日起算。投标文件中承诺的投标有效期应当不少于招标文件中载明的投标有效期。投标有效期内投标人撤销投标文件的，采购代理机构可以不退还投标保证金。</w:t>
      </w:r>
    </w:p>
    <w:p w14:paraId="5BA94106">
      <w:pPr>
        <w:spacing w:line="360" w:lineRule="auto"/>
        <w:jc w:val="left"/>
        <w:rPr>
          <w:rFonts w:ascii="宋体" w:hAnsi="宋体"/>
          <w:color w:val="auto"/>
          <w:szCs w:val="21"/>
          <w:highlight w:val="none"/>
        </w:rPr>
      </w:pPr>
      <w:r>
        <w:rPr>
          <w:rFonts w:ascii="宋体" w:hAnsi="宋体"/>
          <w:color w:val="auto"/>
          <w:szCs w:val="21"/>
          <w:highlight w:val="none"/>
        </w:rPr>
        <w:t>17.3</w:t>
      </w:r>
      <w:r>
        <w:rPr>
          <w:rFonts w:hint="eastAsia" w:ascii="宋体" w:hAnsi="宋体"/>
          <w:color w:val="auto"/>
          <w:szCs w:val="21"/>
          <w:highlight w:val="none"/>
        </w:rPr>
        <w:t>在</w:t>
      </w:r>
      <w:r>
        <w:rPr>
          <w:rFonts w:ascii="宋体" w:hAnsi="宋体"/>
          <w:color w:val="auto"/>
          <w:szCs w:val="21"/>
          <w:highlight w:val="none"/>
        </w:rPr>
        <w:t>特殊情况需要延长投标有效期的，</w:t>
      </w:r>
      <w:r>
        <w:rPr>
          <w:rFonts w:hint="eastAsia" w:ascii="宋体" w:hAnsi="宋体"/>
          <w:color w:val="auto"/>
          <w:szCs w:val="21"/>
          <w:highlight w:val="none"/>
        </w:rPr>
        <w:t>采购人</w:t>
      </w:r>
      <w:r>
        <w:rPr>
          <w:rFonts w:ascii="宋体" w:hAnsi="宋体"/>
          <w:color w:val="auto"/>
          <w:szCs w:val="21"/>
          <w:highlight w:val="none"/>
        </w:rPr>
        <w:t>以书面形式通知所有投标人延长投标有效期。投标人同意延长的，应相应延长其投标保证金的有效期，但不得要求或被允许修改或撤销其投标文件；投标人拒绝延长的，其投标</w:t>
      </w:r>
      <w:r>
        <w:rPr>
          <w:rFonts w:hint="eastAsia" w:ascii="宋体" w:hAnsi="宋体"/>
          <w:color w:val="auto"/>
          <w:szCs w:val="21"/>
          <w:highlight w:val="none"/>
        </w:rPr>
        <w:t>文件</w:t>
      </w:r>
      <w:r>
        <w:rPr>
          <w:rFonts w:ascii="宋体" w:hAnsi="宋体"/>
          <w:color w:val="auto"/>
          <w:szCs w:val="21"/>
          <w:highlight w:val="none"/>
        </w:rPr>
        <w:t>失效，但投标人有权收回其投标保证金。</w:t>
      </w:r>
    </w:p>
    <w:p w14:paraId="6C9264CA">
      <w:pPr>
        <w:numPr>
          <w:ilvl w:val="0"/>
          <w:numId w:val="6"/>
        </w:numPr>
        <w:spacing w:line="360" w:lineRule="auto"/>
        <w:jc w:val="left"/>
        <w:rPr>
          <w:rFonts w:ascii="宋体" w:hAnsi="宋体"/>
          <w:b/>
          <w:color w:val="auto"/>
          <w:szCs w:val="21"/>
          <w:highlight w:val="none"/>
        </w:rPr>
      </w:pPr>
      <w:r>
        <w:rPr>
          <w:rFonts w:hint="eastAsia" w:ascii="宋体" w:hAnsi="宋体"/>
          <w:b/>
          <w:color w:val="auto"/>
          <w:szCs w:val="21"/>
          <w:highlight w:val="none"/>
        </w:rPr>
        <w:t>分包:</w:t>
      </w:r>
      <w:r>
        <w:rPr>
          <w:rFonts w:hint="eastAsia" w:ascii="宋体" w:hAnsi="宋体"/>
          <w:b/>
          <w:bCs/>
          <w:color w:val="auto"/>
          <w:szCs w:val="21"/>
          <w:highlight w:val="none"/>
          <w:lang w:val="en-US" w:eastAsia="zh-CN"/>
        </w:rPr>
        <w:t>本项目不允许分包</w:t>
      </w:r>
      <w:r>
        <w:rPr>
          <w:rFonts w:hint="eastAsia" w:ascii="宋体" w:hAnsi="宋体"/>
          <w:b/>
          <w:bCs/>
          <w:color w:val="auto"/>
          <w:szCs w:val="21"/>
          <w:highlight w:val="none"/>
        </w:rPr>
        <w:t>。</w:t>
      </w:r>
    </w:p>
    <w:p w14:paraId="4F8DB2C3">
      <w:pPr>
        <w:spacing w:line="360" w:lineRule="auto"/>
        <w:jc w:val="left"/>
        <w:rPr>
          <w:rFonts w:ascii="宋体" w:hAnsi="宋体"/>
          <w:color w:val="auto"/>
          <w:szCs w:val="21"/>
          <w:highlight w:val="none"/>
        </w:rPr>
      </w:pPr>
      <w:r>
        <w:rPr>
          <w:rFonts w:hint="eastAsia" w:ascii="宋体" w:hAnsi="宋体"/>
          <w:b/>
          <w:color w:val="auto"/>
          <w:szCs w:val="21"/>
          <w:highlight w:val="none"/>
        </w:rPr>
        <w:t>★</w:t>
      </w:r>
      <w:r>
        <w:rPr>
          <w:rFonts w:hint="eastAsia" w:ascii="宋体" w:hAnsi="宋体" w:cs="宋体"/>
          <w:b/>
          <w:color w:val="auto"/>
          <w:kern w:val="0"/>
          <w:szCs w:val="21"/>
          <w:highlight w:val="none"/>
        </w:rPr>
        <w:t xml:space="preserve">19. </w:t>
      </w:r>
      <w:r>
        <w:rPr>
          <w:rFonts w:ascii="宋体" w:hAnsi="宋体" w:cs="宋体"/>
          <w:b/>
          <w:color w:val="auto"/>
          <w:kern w:val="0"/>
          <w:szCs w:val="21"/>
          <w:highlight w:val="none"/>
        </w:rPr>
        <w:t>投标人应当遵循公平竞争的原则，不得恶意串通，不得妨碍其他投标人的竞争行为，不得损害采购人或者其他投标人的合法权益</w:t>
      </w:r>
      <w:r>
        <w:rPr>
          <w:rFonts w:ascii="宋体" w:hAnsi="宋体" w:cs="宋体"/>
          <w:color w:val="auto"/>
          <w:kern w:val="0"/>
          <w:szCs w:val="21"/>
          <w:highlight w:val="none"/>
        </w:rPr>
        <w:t>。</w:t>
      </w:r>
    </w:p>
    <w:p w14:paraId="7AE4FC1B">
      <w:pPr>
        <w:spacing w:line="360" w:lineRule="auto"/>
        <w:jc w:val="left"/>
        <w:rPr>
          <w:rFonts w:ascii="宋体" w:hAnsi="宋体"/>
          <w:b/>
          <w:color w:val="auto"/>
          <w:szCs w:val="21"/>
          <w:highlight w:val="none"/>
        </w:rPr>
      </w:pPr>
      <w:r>
        <w:rPr>
          <w:rFonts w:ascii="宋体" w:hAnsi="宋体"/>
          <w:b/>
          <w:color w:val="auto"/>
          <w:szCs w:val="21"/>
          <w:highlight w:val="none"/>
        </w:rPr>
        <w:t>20</w:t>
      </w:r>
      <w:r>
        <w:rPr>
          <w:rFonts w:hint="eastAsia" w:ascii="宋体" w:hAnsi="宋体"/>
          <w:b/>
          <w:color w:val="auto"/>
          <w:szCs w:val="21"/>
          <w:highlight w:val="none"/>
        </w:rPr>
        <w:t>. 投标文件的编制</w:t>
      </w:r>
    </w:p>
    <w:p w14:paraId="114F2C6F">
      <w:pPr>
        <w:spacing w:line="360" w:lineRule="auto"/>
        <w:ind w:firstLine="420" w:firstLineChars="200"/>
        <w:jc w:val="left"/>
        <w:rPr>
          <w:rFonts w:hint="eastAsia" w:ascii="宋体" w:hAnsi="宋体"/>
          <w:color w:val="auto"/>
          <w:highlight w:val="none"/>
        </w:rPr>
      </w:pPr>
      <w:r>
        <w:rPr>
          <w:rFonts w:hint="eastAsia" w:ascii="宋体" w:hAnsi="宋体"/>
          <w:color w:val="auto"/>
          <w:highlight w:val="none"/>
        </w:rPr>
        <w:t>20.1</w:t>
      </w:r>
      <w:bookmarkStart w:id="80" w:name="OLE_LINK11"/>
      <w:r>
        <w:rPr>
          <w:rFonts w:hint="eastAsia" w:ascii="宋体" w:hAnsi="宋体"/>
          <w:color w:val="auto"/>
          <w:highlight w:val="none"/>
        </w:rPr>
        <w:t>投标文件须按招标文件要求的格式进行编制。投标文件全部采用电子文档，供应商应安装客户端软件—“政采云电子交易客户端”，并按照招标文件和政采云电子交易平台的要求编制，编制后应进行电子签名及加密。</w:t>
      </w:r>
      <w:bookmarkEnd w:id="80"/>
    </w:p>
    <w:p w14:paraId="67BA9190">
      <w:pPr>
        <w:spacing w:line="360" w:lineRule="auto"/>
        <w:ind w:firstLine="420" w:firstLineChars="200"/>
        <w:jc w:val="left"/>
        <w:rPr>
          <w:rFonts w:hint="eastAsia" w:ascii="宋体" w:hAnsi="宋体"/>
          <w:color w:val="auto"/>
          <w:highlight w:val="none"/>
        </w:rPr>
      </w:pPr>
      <w:r>
        <w:rPr>
          <w:rFonts w:hint="eastAsia" w:ascii="宋体" w:hAnsi="宋体"/>
          <w:color w:val="auto"/>
          <w:highlight w:val="none"/>
        </w:rPr>
        <w:t>20.2投标文件应尽量避免涂改、行间插字或删除。如果出现上述情况，改动之处应加盖公章或由供应商的法定代表人或其委托代理人签字确认。</w:t>
      </w:r>
    </w:p>
    <w:p w14:paraId="3405388C">
      <w:pPr>
        <w:spacing w:line="360" w:lineRule="auto"/>
        <w:ind w:firstLine="420" w:firstLineChars="200"/>
        <w:jc w:val="left"/>
        <w:rPr>
          <w:rFonts w:hint="eastAsia" w:ascii="宋体" w:hAnsi="宋体"/>
          <w:color w:val="auto"/>
          <w:highlight w:val="none"/>
        </w:rPr>
      </w:pPr>
      <w:r>
        <w:rPr>
          <w:rFonts w:hint="eastAsia" w:ascii="宋体" w:hAnsi="宋体"/>
          <w:color w:val="auto"/>
          <w:highlight w:val="none"/>
        </w:rPr>
        <w:t>★20.3如供应商提交的电子标书不符合20.1要求或开标时无法读取导入或解密，其投标文件将不予受理。</w:t>
      </w:r>
    </w:p>
    <w:p w14:paraId="17625DB5">
      <w:pPr>
        <w:spacing w:line="360" w:lineRule="auto"/>
        <w:ind w:firstLine="420" w:firstLineChars="200"/>
        <w:jc w:val="left"/>
        <w:rPr>
          <w:rFonts w:hint="eastAsia" w:ascii="宋体" w:hAnsi="宋体"/>
          <w:color w:val="auto"/>
          <w:highlight w:val="none"/>
        </w:rPr>
      </w:pPr>
      <w:r>
        <w:rPr>
          <w:rFonts w:hint="eastAsia" w:ascii="宋体" w:hAnsi="宋体"/>
          <w:color w:val="auto"/>
          <w:highlight w:val="none"/>
        </w:rPr>
        <w:t>★20.4关键内容字迹潦草、表达不清、未按要求填写而导致非唯一理解，视为未实质性响应招标文件的投标文件。</w:t>
      </w:r>
    </w:p>
    <w:p w14:paraId="2EABBFE5">
      <w:pPr>
        <w:spacing w:line="360" w:lineRule="auto"/>
        <w:ind w:firstLine="420" w:firstLineChars="200"/>
        <w:jc w:val="left"/>
        <w:rPr>
          <w:rFonts w:hint="eastAsia" w:ascii="宋体" w:hAnsi="宋体"/>
          <w:color w:val="auto"/>
          <w:highlight w:val="none"/>
        </w:rPr>
      </w:pPr>
      <w:r>
        <w:rPr>
          <w:rFonts w:hint="eastAsia" w:ascii="宋体" w:hAnsi="宋体"/>
          <w:color w:val="auto"/>
          <w:highlight w:val="none"/>
        </w:rPr>
        <w:t>20.5投标文件中提供的资料（包括复印件及扫描件），内容必须清晰可辨，若内容模糊，无法辨识，均视为未提供。</w:t>
      </w:r>
    </w:p>
    <w:p w14:paraId="10D6EDC1">
      <w:pPr>
        <w:spacing w:line="360" w:lineRule="auto"/>
        <w:ind w:firstLine="420" w:firstLineChars="200"/>
        <w:jc w:val="left"/>
        <w:rPr>
          <w:rFonts w:ascii="宋体" w:hAnsi="宋体"/>
          <w:color w:val="auto"/>
          <w:szCs w:val="21"/>
          <w:highlight w:val="none"/>
        </w:rPr>
      </w:pPr>
      <w:r>
        <w:rPr>
          <w:rFonts w:hint="eastAsia" w:ascii="宋体" w:hAnsi="宋体"/>
          <w:color w:val="auto"/>
          <w:highlight w:val="none"/>
        </w:rPr>
        <w:t>20.6投标文件全部采用电子文档，除供应商须知前附表另有规定外，投标文件所附证书证件均为原件扫描件,并采用单位和个人数字证书，按招标文件要求在相应位置加盖电子签章。由供应商的法定代表人（单位负责人）签字或加盖电子签章的，应附法定代表人（单位负责人）身份证明，由代理人签字或加盖电子签章的，应附由法定代表人（单位负责人）签署的授权委托书。</w:t>
      </w:r>
      <w:r>
        <w:rPr>
          <w:rFonts w:ascii="宋体" w:hAnsi="宋体"/>
          <w:color w:val="auto"/>
          <w:highlight w:val="none"/>
        </w:rPr>
        <w:t>。</w:t>
      </w:r>
    </w:p>
    <w:p w14:paraId="56EABFEA">
      <w:pPr>
        <w:spacing w:line="360" w:lineRule="auto"/>
        <w:jc w:val="left"/>
        <w:rPr>
          <w:rFonts w:ascii="宋体" w:hAnsi="宋体"/>
          <w:b/>
          <w:color w:val="auto"/>
          <w:szCs w:val="21"/>
          <w:highlight w:val="none"/>
        </w:rPr>
      </w:pPr>
      <w:r>
        <w:rPr>
          <w:rFonts w:ascii="宋体" w:hAnsi="宋体"/>
          <w:b/>
          <w:color w:val="auto"/>
          <w:szCs w:val="21"/>
          <w:highlight w:val="none"/>
        </w:rPr>
        <w:t>21</w:t>
      </w:r>
      <w:r>
        <w:rPr>
          <w:rFonts w:hint="eastAsia" w:ascii="宋体" w:hAnsi="宋体"/>
          <w:b/>
          <w:color w:val="auto"/>
          <w:szCs w:val="21"/>
          <w:highlight w:val="none"/>
        </w:rPr>
        <w:t>. 投标保证金</w:t>
      </w:r>
    </w:p>
    <w:p w14:paraId="31842351">
      <w:pPr>
        <w:pStyle w:val="16"/>
        <w:tabs>
          <w:tab w:val="left" w:pos="710"/>
        </w:tabs>
        <w:spacing w:line="360" w:lineRule="auto"/>
        <w:rPr>
          <w:rFonts w:hAnsi="宋体"/>
          <w:color w:val="auto"/>
          <w:szCs w:val="21"/>
          <w:highlight w:val="none"/>
        </w:rPr>
      </w:pPr>
      <w:r>
        <w:rPr>
          <w:rFonts w:hAnsi="宋体"/>
          <w:color w:val="auto"/>
          <w:szCs w:val="21"/>
          <w:highlight w:val="none"/>
        </w:rPr>
        <w:t>21</w:t>
      </w:r>
      <w:r>
        <w:rPr>
          <w:rFonts w:hint="eastAsia" w:hAnsi="宋体"/>
          <w:color w:val="auto"/>
          <w:szCs w:val="21"/>
          <w:highlight w:val="none"/>
        </w:rPr>
        <w:t>.1投标保证金为人民币。投标人应在提交投标文件截止时间以前按“</w:t>
      </w:r>
      <w:r>
        <w:rPr>
          <w:rFonts w:hint="eastAsia" w:hAnsi="宋体"/>
          <w:b/>
          <w:color w:val="auto"/>
          <w:szCs w:val="21"/>
          <w:highlight w:val="none"/>
        </w:rPr>
        <w:t>投标人须知前附表</w:t>
      </w:r>
      <w:r>
        <w:rPr>
          <w:rFonts w:hint="eastAsia" w:hAnsi="宋体"/>
          <w:color w:val="auto"/>
          <w:szCs w:val="21"/>
          <w:highlight w:val="none"/>
        </w:rPr>
        <w:t>”规定的金额及形式提交，并在规定的时间内保持有效。</w:t>
      </w:r>
    </w:p>
    <w:p w14:paraId="0A107C60">
      <w:pPr>
        <w:pStyle w:val="16"/>
        <w:spacing w:line="360" w:lineRule="auto"/>
        <w:rPr>
          <w:rFonts w:hAnsi="宋体" w:cs="宋体"/>
          <w:color w:val="auto"/>
          <w:kern w:val="0"/>
          <w:szCs w:val="21"/>
          <w:highlight w:val="none"/>
        </w:rPr>
      </w:pPr>
      <w:r>
        <w:rPr>
          <w:rFonts w:hAnsi="宋体" w:cs="宋体"/>
          <w:color w:val="auto"/>
          <w:kern w:val="0"/>
          <w:szCs w:val="21"/>
          <w:highlight w:val="none"/>
        </w:rPr>
        <w:t>21</w:t>
      </w:r>
      <w:r>
        <w:rPr>
          <w:rFonts w:hint="eastAsia" w:hAnsi="宋体" w:cs="宋体"/>
          <w:color w:val="auto"/>
          <w:kern w:val="0"/>
          <w:szCs w:val="21"/>
          <w:highlight w:val="none"/>
        </w:rPr>
        <w:t>.2</w:t>
      </w:r>
      <w:r>
        <w:rPr>
          <w:rFonts w:hAnsi="宋体" w:cs="宋体"/>
          <w:color w:val="auto"/>
          <w:kern w:val="0"/>
          <w:szCs w:val="21"/>
          <w:highlight w:val="none"/>
        </w:rPr>
        <w:t>投标人在投标截止时间前撤回已提交的投标文件的，采购代理机构</w:t>
      </w:r>
      <w:r>
        <w:rPr>
          <w:rFonts w:hint="eastAsia" w:hAnsi="宋体" w:cs="宋体"/>
          <w:color w:val="auto"/>
          <w:kern w:val="0"/>
          <w:szCs w:val="21"/>
          <w:highlight w:val="none"/>
        </w:rPr>
        <w:t>将</w:t>
      </w:r>
      <w:r>
        <w:rPr>
          <w:rFonts w:hAnsi="宋体" w:cs="宋体"/>
          <w:color w:val="auto"/>
          <w:kern w:val="0"/>
          <w:szCs w:val="21"/>
          <w:highlight w:val="none"/>
        </w:rPr>
        <w:t>在自收到投标人书面撤回</w:t>
      </w:r>
      <w:r>
        <w:rPr>
          <w:rFonts w:hint="eastAsia" w:hAnsi="宋体" w:cs="宋体"/>
          <w:color w:val="auto"/>
          <w:kern w:val="0"/>
          <w:szCs w:val="21"/>
          <w:highlight w:val="none"/>
        </w:rPr>
        <w:t>通知之日起</w:t>
      </w:r>
      <w:r>
        <w:rPr>
          <w:rFonts w:hint="eastAsia" w:hAnsi="宋体" w:cs="宋体"/>
          <w:color w:val="auto"/>
          <w:kern w:val="0"/>
          <w:szCs w:val="21"/>
          <w:highlight w:val="none"/>
          <w:lang w:val="en-US" w:eastAsia="zh-CN"/>
        </w:rPr>
        <w:t>5</w:t>
      </w:r>
      <w:r>
        <w:rPr>
          <w:rFonts w:hint="eastAsia" w:hAnsi="宋体" w:cs="宋体"/>
          <w:color w:val="auto"/>
          <w:kern w:val="0"/>
          <w:szCs w:val="21"/>
          <w:highlight w:val="none"/>
        </w:rPr>
        <w:t>个工作</w:t>
      </w:r>
      <w:r>
        <w:rPr>
          <w:rFonts w:hAnsi="宋体" w:cs="宋体"/>
          <w:color w:val="auto"/>
          <w:kern w:val="0"/>
          <w:szCs w:val="21"/>
          <w:highlight w:val="none"/>
        </w:rPr>
        <w:t>日内，退还已收取的投标保证金，但因投标人自身原因导致无法及时退还的除外</w:t>
      </w:r>
      <w:r>
        <w:rPr>
          <w:rFonts w:hint="eastAsia" w:hAnsi="宋体" w:cs="宋体"/>
          <w:color w:val="auto"/>
          <w:kern w:val="0"/>
          <w:szCs w:val="21"/>
          <w:highlight w:val="none"/>
        </w:rPr>
        <w:t>。</w:t>
      </w:r>
    </w:p>
    <w:p w14:paraId="7E83EE53">
      <w:pPr>
        <w:pStyle w:val="16"/>
        <w:spacing w:line="360" w:lineRule="auto"/>
        <w:rPr>
          <w:rFonts w:hAnsi="宋体"/>
          <w:color w:val="auto"/>
          <w:szCs w:val="21"/>
          <w:highlight w:val="none"/>
        </w:rPr>
      </w:pPr>
      <w:r>
        <w:rPr>
          <w:rFonts w:hAnsi="宋体" w:cs="宋体"/>
          <w:color w:val="auto"/>
          <w:kern w:val="0"/>
          <w:szCs w:val="21"/>
          <w:highlight w:val="none"/>
        </w:rPr>
        <w:t>21</w:t>
      </w:r>
      <w:r>
        <w:rPr>
          <w:rFonts w:hint="eastAsia" w:hAnsi="宋体" w:cs="宋体"/>
          <w:color w:val="auto"/>
          <w:kern w:val="0"/>
          <w:szCs w:val="21"/>
          <w:highlight w:val="none"/>
        </w:rPr>
        <w:t>.</w:t>
      </w:r>
      <w:r>
        <w:rPr>
          <w:rFonts w:hAnsi="宋体" w:cs="宋体"/>
          <w:color w:val="auto"/>
          <w:kern w:val="0"/>
          <w:szCs w:val="21"/>
          <w:highlight w:val="none"/>
        </w:rPr>
        <w:t>3</w:t>
      </w:r>
      <w:r>
        <w:rPr>
          <w:rFonts w:hint="eastAsia" w:hAnsi="宋体" w:cs="宋体"/>
          <w:color w:val="auto"/>
          <w:kern w:val="0"/>
          <w:szCs w:val="21"/>
          <w:highlight w:val="none"/>
        </w:rPr>
        <w:t>未中标人的投标保证金将在中标公告发出后5个工作日退还；中标人的投标保证金将在</w:t>
      </w:r>
      <w:r>
        <w:rPr>
          <w:rFonts w:hAnsi="宋体" w:cs="宋体"/>
          <w:color w:val="auto"/>
          <w:kern w:val="0"/>
          <w:szCs w:val="21"/>
          <w:highlight w:val="none"/>
        </w:rPr>
        <w:t>采购合同签订之日起5个工作日内退还</w:t>
      </w:r>
      <w:r>
        <w:rPr>
          <w:rFonts w:hint="eastAsia" w:hAnsi="宋体"/>
          <w:color w:val="auto"/>
          <w:szCs w:val="21"/>
          <w:highlight w:val="none"/>
        </w:rPr>
        <w:t>。</w:t>
      </w:r>
    </w:p>
    <w:p w14:paraId="4A208C86">
      <w:pPr>
        <w:pStyle w:val="16"/>
        <w:spacing w:line="360" w:lineRule="auto"/>
        <w:rPr>
          <w:rFonts w:hAnsi="宋体"/>
          <w:color w:val="auto"/>
          <w:szCs w:val="21"/>
          <w:highlight w:val="none"/>
        </w:rPr>
      </w:pPr>
      <w:r>
        <w:rPr>
          <w:rFonts w:hAnsi="宋体"/>
          <w:color w:val="auto"/>
          <w:szCs w:val="21"/>
          <w:highlight w:val="none"/>
        </w:rPr>
        <w:t>21</w:t>
      </w:r>
      <w:r>
        <w:rPr>
          <w:rFonts w:hint="eastAsia" w:hAnsi="宋体"/>
          <w:color w:val="auto"/>
          <w:szCs w:val="21"/>
          <w:highlight w:val="none"/>
        </w:rPr>
        <w:t>.</w:t>
      </w:r>
      <w:r>
        <w:rPr>
          <w:rFonts w:hAnsi="宋体"/>
          <w:color w:val="auto"/>
          <w:szCs w:val="21"/>
          <w:highlight w:val="none"/>
        </w:rPr>
        <w:t>4</w:t>
      </w:r>
      <w:r>
        <w:rPr>
          <w:rFonts w:hint="eastAsia" w:hAnsi="宋体"/>
          <w:color w:val="auto"/>
          <w:szCs w:val="21"/>
          <w:highlight w:val="none"/>
        </w:rPr>
        <w:t xml:space="preserve"> 投标保证金的退回只以网上银行转账的方式进行。</w:t>
      </w:r>
    </w:p>
    <w:p w14:paraId="3071931D">
      <w:pPr>
        <w:pStyle w:val="16"/>
        <w:spacing w:line="360" w:lineRule="auto"/>
        <w:rPr>
          <w:rFonts w:hAnsi="宋体"/>
          <w:color w:val="auto"/>
          <w:szCs w:val="21"/>
          <w:highlight w:val="none"/>
        </w:rPr>
      </w:pPr>
      <w:r>
        <w:rPr>
          <w:rFonts w:hAnsi="宋体"/>
          <w:color w:val="auto"/>
          <w:szCs w:val="21"/>
          <w:highlight w:val="none"/>
        </w:rPr>
        <w:t>21.5</w:t>
      </w:r>
      <w:r>
        <w:rPr>
          <w:rFonts w:hAnsi="宋体" w:cs="宋体"/>
          <w:color w:val="auto"/>
          <w:kern w:val="0"/>
          <w:szCs w:val="21"/>
          <w:highlight w:val="none"/>
        </w:rPr>
        <w:t>采购代理机构逾期退还投标保证金的，除退还投标保证金本金外，还</w:t>
      </w:r>
      <w:r>
        <w:rPr>
          <w:rFonts w:hint="eastAsia" w:hAnsi="宋体" w:cs="宋体"/>
          <w:color w:val="auto"/>
          <w:kern w:val="0"/>
          <w:szCs w:val="21"/>
          <w:highlight w:val="none"/>
        </w:rPr>
        <w:t>将</w:t>
      </w:r>
      <w:r>
        <w:rPr>
          <w:rFonts w:hAnsi="宋体" w:cs="宋体"/>
          <w:color w:val="auto"/>
          <w:kern w:val="0"/>
          <w:szCs w:val="21"/>
          <w:highlight w:val="none"/>
        </w:rPr>
        <w:t>按中国人民银行同期贷款基准利率支付超期资金占用费，但因投标人自身原因导致无法及时退还的除外。</w:t>
      </w:r>
    </w:p>
    <w:p w14:paraId="055C66B5">
      <w:pPr>
        <w:pStyle w:val="16"/>
        <w:spacing w:line="360" w:lineRule="auto"/>
        <w:rPr>
          <w:rFonts w:hAnsi="宋体"/>
          <w:color w:val="auto"/>
          <w:szCs w:val="21"/>
          <w:highlight w:val="none"/>
        </w:rPr>
      </w:pPr>
      <w:r>
        <w:rPr>
          <w:rFonts w:hAnsi="宋体"/>
          <w:color w:val="auto"/>
          <w:szCs w:val="21"/>
          <w:highlight w:val="none"/>
        </w:rPr>
        <w:t>21</w:t>
      </w:r>
      <w:r>
        <w:rPr>
          <w:rFonts w:hint="eastAsia" w:hAnsi="宋体"/>
          <w:color w:val="auto"/>
          <w:szCs w:val="21"/>
          <w:highlight w:val="none"/>
        </w:rPr>
        <w:t>.</w:t>
      </w:r>
      <w:r>
        <w:rPr>
          <w:rFonts w:hAnsi="宋体"/>
          <w:color w:val="auto"/>
          <w:szCs w:val="21"/>
          <w:highlight w:val="none"/>
        </w:rPr>
        <w:t>6</w:t>
      </w:r>
      <w:r>
        <w:rPr>
          <w:rFonts w:hint="eastAsia" w:hAnsi="宋体"/>
          <w:color w:val="auto"/>
          <w:szCs w:val="21"/>
          <w:highlight w:val="none"/>
        </w:rPr>
        <w:t>下列情况发生时，投标保证金将不予退还</w:t>
      </w:r>
    </w:p>
    <w:p w14:paraId="747073EA">
      <w:pPr>
        <w:pStyle w:val="16"/>
        <w:spacing w:line="360" w:lineRule="auto"/>
        <w:ind w:left="359" w:leftChars="171"/>
        <w:rPr>
          <w:rFonts w:hAnsi="宋体"/>
          <w:color w:val="auto"/>
          <w:szCs w:val="21"/>
          <w:highlight w:val="none"/>
        </w:rPr>
      </w:pPr>
      <w:r>
        <w:rPr>
          <w:rFonts w:hint="eastAsia" w:hAnsi="宋体"/>
          <w:color w:val="auto"/>
          <w:szCs w:val="21"/>
          <w:highlight w:val="none"/>
        </w:rPr>
        <w:t>（1）投标人在投标有效期内撤销投标的；</w:t>
      </w:r>
    </w:p>
    <w:p w14:paraId="5A92D18F">
      <w:pPr>
        <w:spacing w:line="360" w:lineRule="auto"/>
        <w:ind w:firstLine="315" w:firstLineChars="150"/>
        <w:rPr>
          <w:rFonts w:ascii="宋体" w:hAnsi="宋体"/>
          <w:color w:val="auto"/>
          <w:szCs w:val="21"/>
          <w:highlight w:val="none"/>
        </w:rPr>
      </w:pPr>
      <w:r>
        <w:rPr>
          <w:rFonts w:hint="eastAsia" w:ascii="宋体" w:hAnsi="宋体"/>
          <w:color w:val="auto"/>
          <w:szCs w:val="21"/>
          <w:highlight w:val="none"/>
        </w:rPr>
        <w:t>（2）中标人中标后无正当理由不与采购人签订合同的；</w:t>
      </w:r>
      <w:r>
        <w:rPr>
          <w:rFonts w:ascii="宋体" w:hAnsi="宋体"/>
          <w:color w:val="auto"/>
          <w:szCs w:val="21"/>
          <w:highlight w:val="none"/>
        </w:rPr>
        <w:tab/>
      </w:r>
    </w:p>
    <w:p w14:paraId="2475B8AF">
      <w:pPr>
        <w:spacing w:line="360" w:lineRule="auto"/>
        <w:ind w:firstLine="315" w:firstLineChars="150"/>
        <w:rPr>
          <w:rFonts w:ascii="宋体" w:hAnsi="宋体"/>
          <w:color w:val="auto"/>
          <w:szCs w:val="21"/>
          <w:highlight w:val="none"/>
        </w:rPr>
      </w:pPr>
      <w:r>
        <w:rPr>
          <w:rFonts w:hint="eastAsia" w:ascii="宋体" w:hAnsi="宋体"/>
          <w:color w:val="auto"/>
          <w:szCs w:val="21"/>
          <w:highlight w:val="none"/>
        </w:rPr>
        <w:t>（3）中标人将中标项目转让给他人，或者在投标文件中未说明，且未经采购人同意，将中标项目分包给他人的；</w:t>
      </w:r>
    </w:p>
    <w:p w14:paraId="21407F1E">
      <w:pPr>
        <w:pStyle w:val="16"/>
        <w:spacing w:line="360" w:lineRule="auto"/>
        <w:ind w:left="359" w:leftChars="171"/>
        <w:rPr>
          <w:rFonts w:hAnsi="宋体"/>
          <w:color w:val="auto"/>
          <w:sz w:val="24"/>
          <w:highlight w:val="none"/>
        </w:rPr>
      </w:pPr>
      <w:r>
        <w:rPr>
          <w:rFonts w:hint="eastAsia" w:hAnsi="宋体"/>
          <w:color w:val="auto"/>
          <w:szCs w:val="21"/>
          <w:highlight w:val="none"/>
        </w:rPr>
        <w:t>（4）中标人拒绝履行合同义务的。</w:t>
      </w:r>
    </w:p>
    <w:p w14:paraId="48E27375">
      <w:pPr>
        <w:pStyle w:val="4"/>
        <w:numPr>
          <w:ilvl w:val="0"/>
          <w:numId w:val="0"/>
        </w:numPr>
        <w:ind w:left="425"/>
        <w:jc w:val="center"/>
        <w:rPr>
          <w:rFonts w:ascii="宋体" w:hAnsi="宋体" w:eastAsia="宋体"/>
          <w:color w:val="auto"/>
          <w:sz w:val="30"/>
          <w:szCs w:val="30"/>
          <w:highlight w:val="none"/>
        </w:rPr>
      </w:pPr>
      <w:bookmarkStart w:id="81" w:name="_Toc20747713"/>
      <w:bookmarkStart w:id="82" w:name="_Toc71666339"/>
      <w:bookmarkStart w:id="83" w:name="_Toc496122179"/>
      <w:r>
        <w:rPr>
          <w:rFonts w:hint="eastAsia" w:ascii="宋体" w:hAnsi="宋体" w:eastAsia="宋体"/>
          <w:color w:val="auto"/>
          <w:sz w:val="30"/>
          <w:szCs w:val="30"/>
          <w:highlight w:val="none"/>
        </w:rPr>
        <w:t>四、投标文件的提交</w:t>
      </w:r>
      <w:bookmarkEnd w:id="81"/>
      <w:bookmarkEnd w:id="82"/>
      <w:bookmarkEnd w:id="83"/>
    </w:p>
    <w:p w14:paraId="233C63B3">
      <w:pPr>
        <w:pStyle w:val="16"/>
        <w:spacing w:line="360" w:lineRule="auto"/>
        <w:rPr>
          <w:rFonts w:hAnsi="宋体"/>
          <w:b/>
          <w:bCs/>
          <w:color w:val="auto"/>
          <w:szCs w:val="21"/>
          <w:highlight w:val="none"/>
        </w:rPr>
      </w:pPr>
      <w:r>
        <w:rPr>
          <w:rFonts w:hint="eastAsia" w:hAnsi="宋体"/>
          <w:b/>
          <w:bCs/>
          <w:color w:val="auto"/>
          <w:szCs w:val="21"/>
          <w:highlight w:val="none"/>
        </w:rPr>
        <w:t>2</w:t>
      </w:r>
      <w:r>
        <w:rPr>
          <w:rFonts w:hAnsi="宋体"/>
          <w:b/>
          <w:bCs/>
          <w:color w:val="auto"/>
          <w:szCs w:val="21"/>
          <w:highlight w:val="none"/>
        </w:rPr>
        <w:t>2</w:t>
      </w:r>
      <w:r>
        <w:rPr>
          <w:rFonts w:hint="eastAsia" w:hAnsi="宋体"/>
          <w:b/>
          <w:bCs/>
          <w:color w:val="auto"/>
          <w:szCs w:val="21"/>
          <w:highlight w:val="none"/>
        </w:rPr>
        <w:t>.投标文件的加密、解密</w:t>
      </w:r>
    </w:p>
    <w:p w14:paraId="5BD2FFBA">
      <w:pPr>
        <w:spacing w:line="360" w:lineRule="auto"/>
        <w:rPr>
          <w:rFonts w:ascii="宋体" w:hAnsi="宋体"/>
          <w:color w:val="auto"/>
          <w:szCs w:val="21"/>
          <w:highlight w:val="none"/>
        </w:rPr>
      </w:pPr>
      <w:r>
        <w:rPr>
          <w:rFonts w:hint="eastAsia" w:ascii="宋体" w:hAnsi="宋体"/>
          <w:color w:val="auto"/>
          <w:szCs w:val="21"/>
          <w:highlight w:val="none"/>
        </w:rPr>
        <w:t>22.1投标人必须在“投标人须知前附表”规定的投标文件接收时间和投标地点提交电子版投标文件。电子投标文件应在制作完成后，在投标截止时间前通过有效数字证书（CA认证锁）进行电子签章、加密，然后通过网络将加密的电子投标文件递交至“政采云平台”。</w:t>
      </w:r>
    </w:p>
    <w:p w14:paraId="59464B13">
      <w:pPr>
        <w:spacing w:line="360" w:lineRule="auto"/>
        <w:rPr>
          <w:rFonts w:ascii="宋体" w:hAnsi="宋体"/>
          <w:color w:val="auto"/>
          <w:szCs w:val="21"/>
          <w:highlight w:val="none"/>
        </w:rPr>
      </w:pPr>
      <w:r>
        <w:rPr>
          <w:rFonts w:hint="eastAsia" w:ascii="宋体" w:hAnsi="宋体"/>
          <w:color w:val="auto"/>
          <w:szCs w:val="21"/>
          <w:highlight w:val="none"/>
        </w:rPr>
        <w:t>22.2未在规定时间内提交或者未按照招标文件要求密封或者标记的电子投标文件，“政采云”平台将拒收。</w:t>
      </w:r>
    </w:p>
    <w:p w14:paraId="43FCA7CF">
      <w:pPr>
        <w:spacing w:line="360" w:lineRule="auto"/>
        <w:rPr>
          <w:rFonts w:ascii="宋体" w:hAnsi="宋体"/>
          <w:color w:val="auto"/>
          <w:szCs w:val="21"/>
          <w:highlight w:val="none"/>
        </w:rPr>
      </w:pPr>
      <w:r>
        <w:rPr>
          <w:rFonts w:hint="eastAsia" w:ascii="宋体" w:hAnsi="宋体"/>
          <w:color w:val="auto"/>
          <w:szCs w:val="21"/>
          <w:highlight w:val="none"/>
        </w:rPr>
        <w:t>22.3电子版投标文件提交方式见“招标公告”中“四、提交投标文件截止时间、开标时间和地点” 。</w:t>
      </w:r>
    </w:p>
    <w:p w14:paraId="1C8B7BF3">
      <w:pPr>
        <w:spacing w:line="360" w:lineRule="auto"/>
        <w:jc w:val="left"/>
        <w:rPr>
          <w:rFonts w:ascii="宋体" w:hAnsi="宋体"/>
          <w:b/>
          <w:color w:val="auto"/>
          <w:szCs w:val="21"/>
          <w:highlight w:val="none"/>
        </w:rPr>
      </w:pPr>
      <w:r>
        <w:rPr>
          <w:rFonts w:hint="eastAsia" w:ascii="宋体" w:hAnsi="宋体"/>
          <w:b/>
          <w:color w:val="auto"/>
          <w:szCs w:val="21"/>
          <w:highlight w:val="none"/>
        </w:rPr>
        <w:t>2</w:t>
      </w:r>
      <w:r>
        <w:rPr>
          <w:rFonts w:ascii="宋体" w:hAnsi="宋体"/>
          <w:b/>
          <w:color w:val="auto"/>
          <w:szCs w:val="21"/>
          <w:highlight w:val="none"/>
        </w:rPr>
        <w:t>3</w:t>
      </w:r>
      <w:r>
        <w:rPr>
          <w:rFonts w:hint="eastAsia" w:ascii="宋体" w:hAnsi="宋体"/>
          <w:b/>
          <w:color w:val="auto"/>
          <w:szCs w:val="21"/>
          <w:highlight w:val="none"/>
        </w:rPr>
        <w:t>. 提交投标文件截止时间和地点</w:t>
      </w:r>
    </w:p>
    <w:p w14:paraId="3710A9BE">
      <w:pPr>
        <w:spacing w:line="360" w:lineRule="auto"/>
        <w:rPr>
          <w:rFonts w:hAnsi="宋体"/>
          <w:b/>
          <w:color w:val="auto"/>
          <w:szCs w:val="21"/>
          <w:highlight w:val="none"/>
        </w:rPr>
      </w:pPr>
      <w:r>
        <w:rPr>
          <w:rFonts w:hint="eastAsia" w:hAnsi="宋体"/>
          <w:color w:val="auto"/>
          <w:szCs w:val="21"/>
          <w:highlight w:val="none"/>
        </w:rPr>
        <w:t>2</w:t>
      </w:r>
      <w:r>
        <w:rPr>
          <w:rFonts w:hAnsi="宋体"/>
          <w:color w:val="auto"/>
          <w:szCs w:val="21"/>
          <w:highlight w:val="none"/>
        </w:rPr>
        <w:t>3</w:t>
      </w:r>
      <w:r>
        <w:rPr>
          <w:rFonts w:hint="eastAsia" w:hAnsi="宋体"/>
          <w:color w:val="auto"/>
          <w:szCs w:val="21"/>
          <w:highlight w:val="none"/>
        </w:rPr>
        <w:t>.1投标文件的提交不得迟于“</w:t>
      </w:r>
      <w:r>
        <w:rPr>
          <w:rFonts w:hint="eastAsia" w:hAnsi="宋体"/>
          <w:b/>
          <w:bCs/>
          <w:color w:val="auto"/>
          <w:szCs w:val="21"/>
          <w:highlight w:val="none"/>
        </w:rPr>
        <w:t>投标人须知前附表</w:t>
      </w:r>
      <w:r>
        <w:rPr>
          <w:rFonts w:hint="eastAsia" w:hAnsi="宋体"/>
          <w:color w:val="auto"/>
          <w:szCs w:val="21"/>
          <w:highlight w:val="none"/>
        </w:rPr>
        <w:t>”规定的提交投标文件截止时间。</w:t>
      </w:r>
      <w:r>
        <w:rPr>
          <w:rFonts w:hint="eastAsia" w:ascii="宋体" w:hAnsi="宋体" w:cs="宋体"/>
          <w:color w:val="auto"/>
          <w:szCs w:val="21"/>
          <w:highlight w:val="none"/>
        </w:rPr>
        <w:t>投标截止时间前未完成传输的，视为撤回投标文件。投标截止时间后递交的投标文件，“政采云”平台将拒收。（补充、修改或者撤回方式见公告附件“电子投标文件制作与投送教程”）</w:t>
      </w:r>
    </w:p>
    <w:p w14:paraId="478CAC79">
      <w:pPr>
        <w:pStyle w:val="16"/>
        <w:spacing w:line="360" w:lineRule="auto"/>
        <w:ind w:left="630" w:hanging="630" w:hangingChars="300"/>
        <w:rPr>
          <w:rFonts w:hAnsi="宋体"/>
          <w:color w:val="auto"/>
          <w:szCs w:val="21"/>
          <w:highlight w:val="none"/>
        </w:rPr>
      </w:pPr>
      <w:r>
        <w:rPr>
          <w:rFonts w:hint="eastAsia" w:hAnsi="宋体"/>
          <w:color w:val="auto"/>
          <w:szCs w:val="21"/>
          <w:highlight w:val="none"/>
        </w:rPr>
        <w:t>2</w:t>
      </w:r>
      <w:r>
        <w:rPr>
          <w:rFonts w:hAnsi="宋体"/>
          <w:color w:val="auto"/>
          <w:szCs w:val="21"/>
          <w:highlight w:val="none"/>
        </w:rPr>
        <w:t>3</w:t>
      </w:r>
      <w:r>
        <w:rPr>
          <w:rFonts w:hint="eastAsia" w:hAnsi="宋体"/>
          <w:color w:val="auto"/>
          <w:szCs w:val="21"/>
          <w:highlight w:val="none"/>
        </w:rPr>
        <w:t>.2投标人必须在规定时间内将投标文件提交到“</w:t>
      </w:r>
      <w:r>
        <w:rPr>
          <w:rFonts w:hint="eastAsia" w:hAnsi="宋体"/>
          <w:b/>
          <w:bCs/>
          <w:color w:val="auto"/>
          <w:szCs w:val="21"/>
          <w:highlight w:val="none"/>
        </w:rPr>
        <w:t>投标人须知前附表</w:t>
      </w:r>
      <w:r>
        <w:rPr>
          <w:rFonts w:hint="eastAsia" w:hAnsi="宋体"/>
          <w:color w:val="auto"/>
          <w:szCs w:val="21"/>
          <w:highlight w:val="none"/>
        </w:rPr>
        <w:t>”规定的地点。</w:t>
      </w:r>
    </w:p>
    <w:p w14:paraId="7A6509B5">
      <w:pPr>
        <w:spacing w:line="360" w:lineRule="auto"/>
        <w:jc w:val="left"/>
        <w:rPr>
          <w:rFonts w:hAnsi="宋体"/>
          <w:color w:val="auto"/>
          <w:sz w:val="24"/>
          <w:highlight w:val="none"/>
        </w:rPr>
      </w:pPr>
      <w:r>
        <w:rPr>
          <w:rFonts w:hint="eastAsia" w:ascii="宋体" w:hAnsi="宋体"/>
          <w:color w:val="auto"/>
          <w:szCs w:val="21"/>
          <w:highlight w:val="none"/>
        </w:rPr>
        <w:t>2</w:t>
      </w:r>
      <w:r>
        <w:rPr>
          <w:rFonts w:ascii="宋体" w:hAnsi="宋体"/>
          <w:color w:val="auto"/>
          <w:szCs w:val="21"/>
          <w:highlight w:val="none"/>
        </w:rPr>
        <w:t>3.3 除“</w:t>
      </w:r>
      <w:r>
        <w:rPr>
          <w:rFonts w:ascii="宋体" w:hAnsi="宋体"/>
          <w:b/>
          <w:color w:val="auto"/>
          <w:szCs w:val="21"/>
          <w:highlight w:val="none"/>
        </w:rPr>
        <w:t>投标人须知前附表</w:t>
      </w:r>
      <w:r>
        <w:rPr>
          <w:rFonts w:ascii="宋体" w:hAnsi="宋体"/>
          <w:color w:val="auto"/>
          <w:szCs w:val="21"/>
          <w:highlight w:val="none"/>
        </w:rPr>
        <w:t>”另有规定外，投标人所递交的投标文件不予退还。</w:t>
      </w:r>
    </w:p>
    <w:p w14:paraId="78F47D0E">
      <w:pPr>
        <w:pStyle w:val="4"/>
        <w:numPr>
          <w:ilvl w:val="0"/>
          <w:numId w:val="0"/>
        </w:numPr>
        <w:ind w:left="425"/>
        <w:jc w:val="center"/>
        <w:rPr>
          <w:rFonts w:ascii="宋体" w:hAnsi="宋体" w:eastAsia="宋体"/>
          <w:color w:val="auto"/>
          <w:sz w:val="30"/>
          <w:szCs w:val="30"/>
          <w:highlight w:val="none"/>
        </w:rPr>
      </w:pPr>
      <w:bookmarkStart w:id="84" w:name="_Toc71666340"/>
      <w:bookmarkStart w:id="85" w:name="_Toc496122180"/>
      <w:bookmarkStart w:id="86" w:name="_Toc20747714"/>
      <w:r>
        <w:rPr>
          <w:rFonts w:hint="eastAsia" w:ascii="宋体" w:hAnsi="宋体" w:eastAsia="宋体"/>
          <w:color w:val="auto"/>
          <w:sz w:val="30"/>
          <w:szCs w:val="30"/>
          <w:highlight w:val="none"/>
        </w:rPr>
        <w:t>五、开标与评标</w:t>
      </w:r>
      <w:bookmarkEnd w:id="84"/>
      <w:bookmarkEnd w:id="85"/>
      <w:bookmarkEnd w:id="86"/>
    </w:p>
    <w:p w14:paraId="625856CB">
      <w:pPr>
        <w:spacing w:line="360" w:lineRule="auto"/>
        <w:jc w:val="left"/>
        <w:rPr>
          <w:rFonts w:ascii="宋体" w:hAnsi="宋体"/>
          <w:b/>
          <w:color w:val="auto"/>
          <w:szCs w:val="21"/>
          <w:highlight w:val="none"/>
        </w:rPr>
      </w:pPr>
      <w:r>
        <w:rPr>
          <w:rFonts w:hint="eastAsia" w:ascii="宋体" w:hAnsi="宋体"/>
          <w:b/>
          <w:color w:val="auto"/>
          <w:szCs w:val="21"/>
          <w:highlight w:val="none"/>
        </w:rPr>
        <w:t>2</w:t>
      </w:r>
      <w:r>
        <w:rPr>
          <w:rFonts w:ascii="宋体" w:hAnsi="宋体"/>
          <w:b/>
          <w:color w:val="auto"/>
          <w:szCs w:val="21"/>
          <w:highlight w:val="none"/>
        </w:rPr>
        <w:t>4</w:t>
      </w:r>
      <w:r>
        <w:rPr>
          <w:rFonts w:hint="eastAsia" w:ascii="宋体" w:hAnsi="宋体"/>
          <w:b/>
          <w:color w:val="auto"/>
          <w:szCs w:val="21"/>
          <w:highlight w:val="none"/>
        </w:rPr>
        <w:t>. 开标</w:t>
      </w:r>
    </w:p>
    <w:p w14:paraId="2ADAE94B">
      <w:pPr>
        <w:spacing w:line="360" w:lineRule="auto"/>
        <w:rPr>
          <w:rFonts w:hint="eastAsia" w:hAnsi="宋体" w:eastAsia="宋体"/>
          <w:bCs/>
          <w:color w:val="auto"/>
          <w:highlight w:val="none"/>
          <w:lang w:eastAsia="zh-CN"/>
        </w:rPr>
      </w:pPr>
      <w:r>
        <w:rPr>
          <w:rFonts w:hint="eastAsia" w:hAnsi="宋体"/>
          <w:bCs/>
          <w:color w:val="auto"/>
          <w:highlight w:val="none"/>
        </w:rPr>
        <w:t>24.1开标时间及地点详见“投标人须知前附表”</w:t>
      </w:r>
      <w:r>
        <w:rPr>
          <w:rFonts w:hint="eastAsia" w:hAnsi="宋体"/>
          <w:bCs/>
          <w:color w:val="auto"/>
          <w:highlight w:val="none"/>
          <w:lang w:eastAsia="zh-CN"/>
        </w:rPr>
        <w:t>。</w:t>
      </w:r>
    </w:p>
    <w:p w14:paraId="29BD8216">
      <w:pPr>
        <w:spacing w:line="360" w:lineRule="auto"/>
        <w:rPr>
          <w:rFonts w:ascii="宋体" w:hAnsi="宋体"/>
          <w:color w:val="auto"/>
          <w:szCs w:val="21"/>
          <w:highlight w:val="none"/>
        </w:rPr>
      </w:pPr>
      <w:r>
        <w:rPr>
          <w:rFonts w:hint="eastAsia" w:hAnsi="宋体"/>
          <w:bCs/>
          <w:color w:val="auto"/>
          <w:highlight w:val="none"/>
        </w:rPr>
        <w:t>24.2如投标人成功解密投标文件，但未在“政采云”电子开标大厅参加开标的，视同认可开标过程和结果，由此产生的后果由</w:t>
      </w:r>
      <w:r>
        <w:rPr>
          <w:rFonts w:hint="eastAsia" w:hAnsi="宋体"/>
          <w:color w:val="auto"/>
          <w:highlight w:val="none"/>
        </w:rPr>
        <w:t>投标人自行负责。</w:t>
      </w:r>
      <w:r>
        <w:rPr>
          <w:rFonts w:hAnsi="宋体"/>
          <w:color w:val="auto"/>
          <w:highlight w:val="none"/>
        </w:rPr>
        <w:t xml:space="preserve"> </w:t>
      </w:r>
      <w:r>
        <w:rPr>
          <w:rFonts w:hint="eastAsia"/>
          <w:color w:val="auto"/>
          <w:highlight w:val="none"/>
        </w:rPr>
        <w:t>投标人不足</w:t>
      </w:r>
      <w:r>
        <w:rPr>
          <w:color w:val="auto"/>
          <w:highlight w:val="none"/>
        </w:rPr>
        <w:t>3</w:t>
      </w:r>
      <w:r>
        <w:rPr>
          <w:rFonts w:hint="eastAsia"/>
          <w:color w:val="auto"/>
          <w:highlight w:val="none"/>
        </w:rPr>
        <w:t>家的，不得开标</w:t>
      </w:r>
      <w:r>
        <w:rPr>
          <w:rFonts w:hint="eastAsia" w:ascii="宋体" w:hAnsi="宋体"/>
          <w:color w:val="auto"/>
          <w:szCs w:val="21"/>
          <w:highlight w:val="none"/>
        </w:rPr>
        <w:t>。</w:t>
      </w:r>
    </w:p>
    <w:p w14:paraId="60EA440B">
      <w:pPr>
        <w:pStyle w:val="16"/>
        <w:spacing w:line="360" w:lineRule="auto"/>
        <w:rPr>
          <w:rFonts w:hAnsi="宋体"/>
          <w:bCs/>
          <w:color w:val="auto"/>
          <w:szCs w:val="21"/>
          <w:highlight w:val="none"/>
        </w:rPr>
      </w:pPr>
      <w:r>
        <w:rPr>
          <w:rFonts w:hint="eastAsia" w:hAnsi="宋体"/>
          <w:color w:val="auto"/>
          <w:szCs w:val="21"/>
          <w:highlight w:val="none"/>
        </w:rPr>
        <w:t>2</w:t>
      </w:r>
      <w:r>
        <w:rPr>
          <w:rFonts w:hAnsi="宋体"/>
          <w:color w:val="auto"/>
          <w:szCs w:val="21"/>
          <w:highlight w:val="none"/>
        </w:rPr>
        <w:t>4</w:t>
      </w:r>
      <w:r>
        <w:rPr>
          <w:rFonts w:hint="eastAsia" w:hAnsi="宋体"/>
          <w:color w:val="auto"/>
          <w:szCs w:val="21"/>
          <w:highlight w:val="none"/>
        </w:rPr>
        <w:t>.</w:t>
      </w:r>
      <w:r>
        <w:rPr>
          <w:rFonts w:hAnsi="宋体"/>
          <w:color w:val="auto"/>
          <w:szCs w:val="21"/>
          <w:highlight w:val="none"/>
        </w:rPr>
        <w:t>3</w:t>
      </w:r>
      <w:r>
        <w:rPr>
          <w:rFonts w:hint="eastAsia" w:hAnsi="宋体"/>
          <w:color w:val="auto"/>
          <w:szCs w:val="21"/>
          <w:highlight w:val="none"/>
        </w:rPr>
        <w:t>开标程序：</w:t>
      </w:r>
      <w:r>
        <w:rPr>
          <w:rFonts w:hint="eastAsia" w:hAnsi="宋体"/>
          <w:bCs/>
          <w:color w:val="auto"/>
          <w:szCs w:val="21"/>
          <w:highlight w:val="none"/>
        </w:rPr>
        <w:t>采购代理机构将按照招标文件规定的时间通过“政采云”平台组织线上开标活动、开启投标文件，所有供应商均应当准时在线参加。投标人如不参加开标大会的，视同认可开标结果，事后不得对采购相关人员、开标过程和开标结果提出异议，同时投标人因未在线参加开标而导致投标文件无法按时解密等一切后果由投标人自己承担。</w:t>
      </w:r>
    </w:p>
    <w:p w14:paraId="0A9EF8E0">
      <w:pPr>
        <w:pStyle w:val="16"/>
        <w:snapToGrid w:val="0"/>
        <w:spacing w:line="440" w:lineRule="exact"/>
        <w:ind w:firstLine="422" w:firstLineChars="200"/>
        <w:rPr>
          <w:rFonts w:hAnsi="宋体"/>
          <w:color w:val="auto"/>
          <w:szCs w:val="21"/>
          <w:highlight w:val="none"/>
        </w:rPr>
      </w:pPr>
      <w:r>
        <w:rPr>
          <w:rFonts w:hint="eastAsia" w:hAnsi="宋体"/>
          <w:b/>
          <w:color w:val="auto"/>
          <w:szCs w:val="21"/>
          <w:highlight w:val="none"/>
        </w:rPr>
        <w:t>（1）解密电子投标文件。</w:t>
      </w:r>
      <w:r>
        <w:rPr>
          <w:rFonts w:hint="eastAsia" w:hAnsi="宋体" w:cs="仿宋_GB2312"/>
          <w:b/>
          <w:color w:val="auto"/>
          <w:szCs w:val="21"/>
          <w:highlight w:val="none"/>
        </w:rPr>
        <w:t>“</w:t>
      </w:r>
      <w:r>
        <w:rPr>
          <w:rFonts w:hint="eastAsia" w:hAnsi="宋体" w:cs="仿宋_GB2312"/>
          <w:color w:val="auto"/>
          <w:szCs w:val="21"/>
          <w:highlight w:val="none"/>
        </w:rPr>
        <w:t>政采云”平台按开标时间自动提取所有投标文件。采购代理机构依托“政采云”平台</w:t>
      </w:r>
      <w:r>
        <w:rPr>
          <w:rFonts w:hint="eastAsia" w:hAnsi="宋体"/>
          <w:color w:val="auto"/>
          <w:szCs w:val="21"/>
          <w:highlight w:val="none"/>
        </w:rPr>
        <w:t>向各投标人发出电子加密投标文件【开始解密】通知，由投标人按招标文件规定的时间内自行进行投标文件解密。投标人的法定代表人或其委托代理人</w:t>
      </w:r>
      <w:r>
        <w:rPr>
          <w:rFonts w:hint="eastAsia" w:hAnsi="宋体"/>
          <w:b/>
          <w:color w:val="auto"/>
          <w:szCs w:val="21"/>
          <w:highlight w:val="none"/>
        </w:rPr>
        <w:t>须携带加密时所用的CA锁准时登录到“政采云”平台电子开标大厅签到并对电子投标文件解密</w:t>
      </w:r>
      <w:r>
        <w:rPr>
          <w:rFonts w:hint="eastAsia" w:hAnsi="宋体"/>
          <w:color w:val="auto"/>
          <w:szCs w:val="21"/>
          <w:highlight w:val="none"/>
        </w:rPr>
        <w:t>。开标后5分钟投标人还未进行解密的，代理机构要通知投标人。通知后，</w:t>
      </w:r>
      <w:r>
        <w:rPr>
          <w:rFonts w:hint="eastAsia" w:hAnsi="宋体" w:cs="仿宋_GB2312"/>
          <w:color w:val="auto"/>
          <w:szCs w:val="21"/>
          <w:highlight w:val="none"/>
        </w:rPr>
        <w:t>投标文件仍未按时解密，</w:t>
      </w:r>
      <w:r>
        <w:rPr>
          <w:rFonts w:hint="eastAsia" w:hAnsi="宋体"/>
          <w:color w:val="auto"/>
          <w:szCs w:val="21"/>
          <w:highlight w:val="none"/>
        </w:rPr>
        <w:t>或者投标人没预留联系方式或预留联系方式无效，导致代理机构无法联系到投标人进行解密的，</w:t>
      </w:r>
      <w:r>
        <w:rPr>
          <w:rFonts w:hint="eastAsia" w:hAnsi="宋体"/>
          <w:b/>
          <w:color w:val="auto"/>
          <w:szCs w:val="21"/>
          <w:highlight w:val="none"/>
        </w:rPr>
        <w:t>均视为无效投标。</w:t>
      </w:r>
    </w:p>
    <w:p w14:paraId="6E446395">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（2）</w:t>
      </w:r>
      <w:r>
        <w:rPr>
          <w:rFonts w:hint="eastAsia" w:ascii="宋体" w:hAnsi="宋体"/>
          <w:b/>
          <w:color w:val="auto"/>
          <w:szCs w:val="21"/>
          <w:highlight w:val="none"/>
        </w:rPr>
        <w:t>电子唱标。</w:t>
      </w:r>
      <w:r>
        <w:rPr>
          <w:rFonts w:hint="eastAsia" w:ascii="宋体" w:hAnsi="宋体"/>
          <w:color w:val="auto"/>
          <w:szCs w:val="21"/>
          <w:highlight w:val="none"/>
        </w:rPr>
        <w:t>投标文件解密结束，各投标供应商报价均在“政采云”平台远程不见面开标大厅展示；</w:t>
      </w:r>
    </w:p>
    <w:p w14:paraId="45189CC4">
      <w:pPr>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w:t>
      </w:r>
      <w:r>
        <w:rPr>
          <w:rFonts w:hint="eastAsia" w:ascii="宋体" w:hAnsi="宋体"/>
          <w:bCs/>
          <w:color w:val="auto"/>
          <w:szCs w:val="21"/>
          <w:highlight w:val="none"/>
          <w:lang w:val="en-US" w:eastAsia="zh-CN"/>
        </w:rPr>
        <w:t>3</w:t>
      </w:r>
      <w:r>
        <w:rPr>
          <w:rFonts w:hint="eastAsia" w:ascii="宋体" w:hAnsi="宋体"/>
          <w:bCs/>
          <w:color w:val="auto"/>
          <w:szCs w:val="21"/>
          <w:highlight w:val="none"/>
        </w:rPr>
        <w:t>）开标过程由采购代理机构如实记录，并电子留痕，由参加电子开标的各投标人代表对电子开标记录在开标记录公布后15分钟内进行当场校核及勘误，并线上确认，未确认的视同认可开标结果。</w:t>
      </w:r>
    </w:p>
    <w:p w14:paraId="5BE0AB88">
      <w:pPr>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w:t>
      </w:r>
      <w:r>
        <w:rPr>
          <w:rFonts w:hint="eastAsia" w:ascii="宋体" w:hAnsi="宋体"/>
          <w:bCs/>
          <w:color w:val="auto"/>
          <w:szCs w:val="21"/>
          <w:highlight w:val="none"/>
          <w:lang w:val="en-US" w:eastAsia="zh-CN"/>
        </w:rPr>
        <w:t>4</w:t>
      </w:r>
      <w:r>
        <w:rPr>
          <w:rFonts w:hint="eastAsia" w:ascii="宋体" w:hAnsi="宋体"/>
          <w:bCs/>
          <w:color w:val="auto"/>
          <w:szCs w:val="21"/>
          <w:highlight w:val="none"/>
        </w:rPr>
        <w:t>）投标人代表对开标过程和开标记录有疑义，以及认为采购人、采购代理机构相关工作人员有需要回避的情形的，应当场提出在线询问或者回避申请。采购人、采购代理机构对投标人代表提出的询问或者回避申请应当及时处理。</w:t>
      </w:r>
    </w:p>
    <w:p w14:paraId="490ABC71">
      <w:pPr>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w:t>
      </w:r>
      <w:r>
        <w:rPr>
          <w:rFonts w:hint="eastAsia" w:ascii="宋体" w:hAnsi="宋体"/>
          <w:bCs/>
          <w:color w:val="auto"/>
          <w:szCs w:val="21"/>
          <w:highlight w:val="none"/>
          <w:lang w:val="en-US" w:eastAsia="zh-CN"/>
        </w:rPr>
        <w:t>5</w:t>
      </w:r>
      <w:r>
        <w:rPr>
          <w:rFonts w:hint="eastAsia" w:ascii="宋体" w:hAnsi="宋体"/>
          <w:bCs/>
          <w:color w:val="auto"/>
          <w:szCs w:val="21"/>
          <w:highlight w:val="none"/>
        </w:rPr>
        <w:t>）开标结束。</w:t>
      </w:r>
    </w:p>
    <w:p w14:paraId="1E41C23C">
      <w:pPr>
        <w:pStyle w:val="16"/>
        <w:spacing w:line="360" w:lineRule="auto"/>
        <w:ind w:left="2"/>
        <w:jc w:val="left"/>
        <w:rPr>
          <w:rFonts w:hint="eastAsia" w:hAnsi="宋体"/>
          <w:color w:val="auto"/>
          <w:szCs w:val="21"/>
          <w:highlight w:val="none"/>
        </w:rPr>
      </w:pPr>
      <w:bookmarkStart w:id="87" w:name="OLE_LINK1"/>
      <w:r>
        <w:rPr>
          <w:rFonts w:hint="eastAsia" w:hAnsi="宋体"/>
          <w:b/>
          <w:bCs/>
          <w:color w:val="auto"/>
          <w:szCs w:val="21"/>
          <w:highlight w:val="none"/>
        </w:rPr>
        <w:t>特别说明：</w:t>
      </w:r>
      <w:r>
        <w:rPr>
          <w:rFonts w:hint="eastAsia" w:hAnsi="宋体"/>
          <w:color w:val="auto"/>
          <w:szCs w:val="21"/>
          <w:highlight w:val="none"/>
        </w:rPr>
        <w:t>如遇“政采云”平台电子化开标或评审程序调整的，按调整后执行。</w:t>
      </w:r>
    </w:p>
    <w:p w14:paraId="3ACE14C0">
      <w:pPr>
        <w:pStyle w:val="16"/>
        <w:spacing w:line="360" w:lineRule="auto"/>
        <w:ind w:left="2"/>
        <w:jc w:val="left"/>
        <w:rPr>
          <w:rFonts w:hint="eastAsia" w:hAnsi="宋体"/>
          <w:color w:val="auto"/>
          <w:szCs w:val="21"/>
          <w:highlight w:val="none"/>
        </w:rPr>
      </w:pPr>
      <w:r>
        <w:rPr>
          <w:rFonts w:hint="eastAsia" w:hAnsi="宋体"/>
          <w:color w:val="auto"/>
          <w:szCs w:val="21"/>
          <w:highlight w:val="none"/>
        </w:rPr>
        <w:t>2</w:t>
      </w:r>
      <w:r>
        <w:rPr>
          <w:rFonts w:hAnsi="宋体"/>
          <w:color w:val="auto"/>
          <w:szCs w:val="21"/>
          <w:highlight w:val="none"/>
        </w:rPr>
        <w:t>4</w:t>
      </w:r>
      <w:r>
        <w:rPr>
          <w:rFonts w:hint="eastAsia" w:hAnsi="宋体"/>
          <w:color w:val="auto"/>
          <w:szCs w:val="21"/>
          <w:highlight w:val="none"/>
        </w:rPr>
        <w:t>.</w:t>
      </w:r>
      <w:r>
        <w:rPr>
          <w:rFonts w:hint="eastAsia" w:hAnsi="宋体"/>
          <w:color w:val="auto"/>
          <w:szCs w:val="21"/>
          <w:highlight w:val="none"/>
          <w:lang w:val="en-US" w:eastAsia="zh-CN"/>
        </w:rPr>
        <w:t>4</w:t>
      </w:r>
      <w:r>
        <w:rPr>
          <w:rFonts w:hint="eastAsia" w:hAnsi="宋体"/>
          <w:color w:val="auto"/>
          <w:szCs w:val="21"/>
          <w:highlight w:val="none"/>
        </w:rPr>
        <w:t>开标疑义：</w:t>
      </w:r>
    </w:p>
    <w:p w14:paraId="7439312F">
      <w:pPr>
        <w:pStyle w:val="16"/>
        <w:spacing w:line="360" w:lineRule="auto"/>
        <w:ind w:left="2" w:firstLine="420" w:firstLineChars="200"/>
        <w:jc w:val="left"/>
        <w:rPr>
          <w:rFonts w:hint="eastAsia" w:hAnsi="宋体"/>
          <w:color w:val="auto"/>
          <w:szCs w:val="21"/>
          <w:highlight w:val="none"/>
        </w:rPr>
      </w:pPr>
      <w:r>
        <w:rPr>
          <w:rFonts w:hint="eastAsia" w:hAnsi="宋体"/>
          <w:color w:val="auto"/>
          <w:szCs w:val="21"/>
          <w:highlight w:val="none"/>
        </w:rPr>
        <w:t>开标过程应当由采购人或者采购代理机构负责记录，随招标文件一并存档。</w:t>
      </w:r>
    </w:p>
    <w:p w14:paraId="524A9AFC">
      <w:pPr>
        <w:pStyle w:val="16"/>
        <w:spacing w:line="360" w:lineRule="auto"/>
        <w:ind w:left="2" w:firstLine="420" w:firstLineChars="200"/>
        <w:jc w:val="left"/>
        <w:rPr>
          <w:rFonts w:hint="eastAsia" w:hAnsi="宋体"/>
          <w:color w:val="auto"/>
          <w:szCs w:val="21"/>
          <w:highlight w:val="none"/>
        </w:rPr>
      </w:pPr>
      <w:r>
        <w:rPr>
          <w:rFonts w:hint="eastAsia" w:hAnsi="宋体"/>
          <w:color w:val="auto"/>
          <w:szCs w:val="21"/>
          <w:highlight w:val="none"/>
        </w:rPr>
        <w:t>供应商代表对开标过程和开标记录有疑义，以及认为采购人、采购代理机构相关工作人员有需要回避的情形的，应当场提出询问或者回避申请。采购人、采购代理机构对供应商代表提出的询问或者回避申请应当及时处理。（网上开标的需按系统提示进行）</w:t>
      </w:r>
    </w:p>
    <w:p w14:paraId="31467961">
      <w:pPr>
        <w:pStyle w:val="16"/>
        <w:spacing w:line="360" w:lineRule="auto"/>
        <w:ind w:left="2"/>
        <w:jc w:val="left"/>
        <w:rPr>
          <w:rFonts w:hint="eastAsia" w:hAnsi="宋体"/>
          <w:color w:val="auto"/>
          <w:szCs w:val="21"/>
          <w:highlight w:val="none"/>
        </w:rPr>
      </w:pPr>
      <w:r>
        <w:rPr>
          <w:rFonts w:hint="eastAsia" w:hAnsi="宋体"/>
          <w:color w:val="auto"/>
          <w:szCs w:val="21"/>
          <w:highlight w:val="none"/>
        </w:rPr>
        <w:t>供应商未参加开标的，视同认可开标结果。</w:t>
      </w:r>
    </w:p>
    <w:p w14:paraId="369C4D93">
      <w:pPr>
        <w:pStyle w:val="16"/>
        <w:spacing w:line="360" w:lineRule="auto"/>
        <w:ind w:left="2"/>
        <w:jc w:val="left"/>
        <w:rPr>
          <w:rFonts w:hint="eastAsia" w:hAnsi="宋体"/>
          <w:color w:val="auto"/>
          <w:szCs w:val="21"/>
          <w:highlight w:val="none"/>
        </w:rPr>
      </w:pPr>
      <w:r>
        <w:rPr>
          <w:rFonts w:hint="eastAsia" w:hAnsi="宋体"/>
          <w:color w:val="auto"/>
          <w:szCs w:val="21"/>
          <w:highlight w:val="none"/>
        </w:rPr>
        <w:t>2</w:t>
      </w:r>
      <w:r>
        <w:rPr>
          <w:rFonts w:hint="eastAsia" w:hAnsi="宋体"/>
          <w:color w:val="auto"/>
          <w:szCs w:val="21"/>
          <w:highlight w:val="none"/>
          <w:lang w:val="en-US" w:eastAsia="zh-CN"/>
        </w:rPr>
        <w:t>4</w:t>
      </w:r>
      <w:r>
        <w:rPr>
          <w:rFonts w:hint="eastAsia" w:hAnsi="宋体"/>
          <w:color w:val="auto"/>
          <w:szCs w:val="21"/>
          <w:highlight w:val="none"/>
        </w:rPr>
        <w:t>.5电子交易活动的中止。采购过程中出现以下情形，导致电子交易平台无法正常运行，或者无法保证电子交易的公平、公正和安全时，采购机构可中止电子交易活动：</w:t>
      </w:r>
    </w:p>
    <w:p w14:paraId="0BB3989B">
      <w:pPr>
        <w:pStyle w:val="16"/>
        <w:spacing w:line="360" w:lineRule="auto"/>
        <w:ind w:left="2"/>
        <w:jc w:val="left"/>
        <w:rPr>
          <w:rFonts w:hint="eastAsia" w:hAnsi="宋体"/>
          <w:color w:val="auto"/>
          <w:szCs w:val="21"/>
          <w:highlight w:val="none"/>
        </w:rPr>
      </w:pPr>
      <w:r>
        <w:rPr>
          <w:rFonts w:hint="eastAsia" w:hAnsi="宋体"/>
          <w:color w:val="auto"/>
          <w:szCs w:val="21"/>
          <w:highlight w:val="none"/>
        </w:rPr>
        <w:t>（1）电子交易平台发生故障而无法登录访问的；</w:t>
      </w:r>
    </w:p>
    <w:p w14:paraId="0F688FE5">
      <w:pPr>
        <w:pStyle w:val="16"/>
        <w:spacing w:line="360" w:lineRule="auto"/>
        <w:ind w:left="2"/>
        <w:jc w:val="left"/>
        <w:rPr>
          <w:rFonts w:hint="eastAsia" w:hAnsi="宋体"/>
          <w:color w:val="auto"/>
          <w:szCs w:val="21"/>
          <w:highlight w:val="none"/>
        </w:rPr>
      </w:pPr>
      <w:r>
        <w:rPr>
          <w:rFonts w:hint="eastAsia" w:hAnsi="宋体"/>
          <w:color w:val="auto"/>
          <w:szCs w:val="21"/>
          <w:highlight w:val="none"/>
        </w:rPr>
        <w:t>（2）电子交易平台应用或数据库出现错误，不能进行正常操作的；</w:t>
      </w:r>
    </w:p>
    <w:p w14:paraId="4CE3441D">
      <w:pPr>
        <w:pStyle w:val="16"/>
        <w:spacing w:line="360" w:lineRule="auto"/>
        <w:ind w:left="2"/>
        <w:jc w:val="left"/>
        <w:rPr>
          <w:rFonts w:hint="eastAsia" w:hAnsi="宋体"/>
          <w:color w:val="auto"/>
          <w:szCs w:val="21"/>
          <w:highlight w:val="none"/>
        </w:rPr>
      </w:pPr>
      <w:r>
        <w:rPr>
          <w:rFonts w:hint="eastAsia" w:hAnsi="宋体"/>
          <w:color w:val="auto"/>
          <w:szCs w:val="21"/>
          <w:highlight w:val="none"/>
        </w:rPr>
        <w:t>（3）电子交易平台发现严重安全漏洞，有潜在泄密危险的；</w:t>
      </w:r>
    </w:p>
    <w:p w14:paraId="7973C977">
      <w:pPr>
        <w:pStyle w:val="16"/>
        <w:spacing w:line="360" w:lineRule="auto"/>
        <w:ind w:left="2"/>
        <w:jc w:val="left"/>
        <w:rPr>
          <w:rFonts w:hint="eastAsia" w:hAnsi="宋体"/>
          <w:color w:val="auto"/>
          <w:szCs w:val="21"/>
          <w:highlight w:val="none"/>
        </w:rPr>
      </w:pPr>
      <w:r>
        <w:rPr>
          <w:rFonts w:hint="eastAsia" w:hAnsi="宋体"/>
          <w:color w:val="auto"/>
          <w:szCs w:val="21"/>
          <w:highlight w:val="none"/>
        </w:rPr>
        <w:t>（4）病毒发作导致不能进行正常操作的；</w:t>
      </w:r>
    </w:p>
    <w:p w14:paraId="5061A710">
      <w:pPr>
        <w:pStyle w:val="16"/>
        <w:spacing w:line="360" w:lineRule="auto"/>
        <w:ind w:left="2"/>
        <w:jc w:val="left"/>
        <w:rPr>
          <w:rFonts w:hint="eastAsia" w:hAnsi="宋体"/>
          <w:color w:val="auto"/>
          <w:szCs w:val="21"/>
          <w:highlight w:val="none"/>
        </w:rPr>
      </w:pPr>
      <w:r>
        <w:rPr>
          <w:rFonts w:hint="eastAsia" w:hAnsi="宋体"/>
          <w:color w:val="auto"/>
          <w:szCs w:val="21"/>
          <w:highlight w:val="none"/>
        </w:rPr>
        <w:t>（5）其他无法保证电子交易的公平、公正和安全的情况。</w:t>
      </w:r>
    </w:p>
    <w:p w14:paraId="5C90A443">
      <w:pPr>
        <w:pStyle w:val="16"/>
        <w:spacing w:line="360" w:lineRule="auto"/>
        <w:ind w:left="2"/>
        <w:jc w:val="left"/>
        <w:rPr>
          <w:rFonts w:hint="eastAsia" w:hAnsi="宋体"/>
          <w:color w:val="auto"/>
          <w:szCs w:val="21"/>
          <w:highlight w:val="none"/>
        </w:rPr>
      </w:pPr>
      <w:r>
        <w:rPr>
          <w:rFonts w:hint="eastAsia" w:hAnsi="宋体"/>
          <w:color w:val="auto"/>
          <w:szCs w:val="21"/>
          <w:highlight w:val="none"/>
        </w:rPr>
        <w:t>2</w:t>
      </w:r>
      <w:r>
        <w:rPr>
          <w:rFonts w:hint="eastAsia" w:hAnsi="宋体"/>
          <w:color w:val="auto"/>
          <w:szCs w:val="21"/>
          <w:highlight w:val="none"/>
          <w:lang w:val="en-US" w:eastAsia="zh-CN"/>
        </w:rPr>
        <w:t>4</w:t>
      </w:r>
      <w:r>
        <w:rPr>
          <w:rFonts w:hint="eastAsia" w:hAnsi="宋体"/>
          <w:color w:val="auto"/>
          <w:szCs w:val="21"/>
          <w:highlight w:val="none"/>
        </w:rPr>
        <w:t>.6出现以上情形，不影响采购公平、公正性的，采购组织机构可以待上述情形消除后继续组织电子交易活动；影响或可能影响采购公平、公正性的，经采购代理机构确认后，应当重新采购。采购代理机构必须对原有的资料及信息作出妥善保密处理，并报财政部门备案。</w:t>
      </w:r>
    </w:p>
    <w:bookmarkEnd w:id="87"/>
    <w:p w14:paraId="1625C24D">
      <w:pPr>
        <w:spacing w:line="360" w:lineRule="auto"/>
        <w:jc w:val="left"/>
        <w:rPr>
          <w:rFonts w:ascii="宋体" w:hAnsi="宋体"/>
          <w:b/>
          <w:color w:val="auto"/>
          <w:szCs w:val="21"/>
          <w:highlight w:val="none"/>
        </w:rPr>
      </w:pPr>
      <w:r>
        <w:rPr>
          <w:rFonts w:hint="eastAsia" w:ascii="宋体" w:hAnsi="宋体"/>
          <w:b/>
          <w:color w:val="auto"/>
          <w:szCs w:val="21"/>
          <w:highlight w:val="none"/>
        </w:rPr>
        <w:t>2</w:t>
      </w:r>
      <w:r>
        <w:rPr>
          <w:rFonts w:ascii="宋体" w:hAnsi="宋体"/>
          <w:b/>
          <w:color w:val="auto"/>
          <w:szCs w:val="21"/>
          <w:highlight w:val="none"/>
        </w:rPr>
        <w:t>5</w:t>
      </w:r>
      <w:r>
        <w:rPr>
          <w:rFonts w:hint="eastAsia" w:ascii="宋体" w:hAnsi="宋体"/>
          <w:b/>
          <w:color w:val="auto"/>
          <w:szCs w:val="21"/>
          <w:highlight w:val="none"/>
        </w:rPr>
        <w:t>.</w:t>
      </w:r>
      <w:r>
        <w:rPr>
          <w:rFonts w:hint="eastAsia" w:ascii="宋体" w:hAnsi="宋体"/>
          <w:color w:val="auto"/>
          <w:szCs w:val="21"/>
          <w:highlight w:val="none"/>
        </w:rPr>
        <w:t xml:space="preserve"> </w:t>
      </w:r>
      <w:r>
        <w:rPr>
          <w:rFonts w:hint="eastAsia" w:ascii="宋体" w:hAnsi="宋体"/>
          <w:b/>
          <w:color w:val="auto"/>
          <w:szCs w:val="21"/>
          <w:highlight w:val="none"/>
        </w:rPr>
        <w:t>资格审查</w:t>
      </w:r>
    </w:p>
    <w:p w14:paraId="066A6506">
      <w:pPr>
        <w:spacing w:line="360" w:lineRule="auto"/>
        <w:ind w:firstLine="315" w:firstLineChars="150"/>
        <w:jc w:val="left"/>
        <w:rPr>
          <w:rFonts w:ascii="宋体" w:hAnsi="宋体"/>
          <w:color w:val="auto"/>
          <w:szCs w:val="21"/>
          <w:highlight w:val="none"/>
        </w:rPr>
      </w:pPr>
      <w:r>
        <w:rPr>
          <w:rFonts w:hint="eastAsia" w:ascii="宋体" w:hAnsi="宋体"/>
          <w:color w:val="auto"/>
          <w:szCs w:val="21"/>
          <w:highlight w:val="none"/>
        </w:rPr>
        <w:t>开标结束后 ，采购人或者采购代理机构应当依法对投标人的资格进行审查。合格投标人不足3家的，不得评标。</w:t>
      </w:r>
    </w:p>
    <w:p w14:paraId="544F2053">
      <w:pPr>
        <w:spacing w:line="360" w:lineRule="auto"/>
        <w:jc w:val="left"/>
        <w:rPr>
          <w:rFonts w:ascii="宋体" w:hAnsi="宋体"/>
          <w:b/>
          <w:color w:val="auto"/>
          <w:szCs w:val="21"/>
          <w:highlight w:val="none"/>
        </w:rPr>
      </w:pPr>
      <w:r>
        <w:rPr>
          <w:rFonts w:hint="eastAsia" w:ascii="宋体" w:hAnsi="宋体"/>
          <w:b/>
          <w:color w:val="auto"/>
          <w:szCs w:val="21"/>
          <w:highlight w:val="none"/>
        </w:rPr>
        <w:t>26.评标</w:t>
      </w:r>
    </w:p>
    <w:p w14:paraId="58C775CF">
      <w:pPr>
        <w:spacing w:line="360" w:lineRule="auto"/>
        <w:jc w:val="left"/>
        <w:rPr>
          <w:rFonts w:ascii="宋体" w:hAnsi="宋体"/>
          <w:color w:val="auto"/>
          <w:szCs w:val="21"/>
          <w:highlight w:val="none"/>
        </w:rPr>
      </w:pPr>
      <w:r>
        <w:rPr>
          <w:rFonts w:hint="eastAsia" w:ascii="宋体" w:hAnsi="宋体"/>
          <w:color w:val="auto"/>
          <w:szCs w:val="21"/>
          <w:highlight w:val="none"/>
        </w:rPr>
        <w:t>26.1评标由采购人依法组建的评标委员会负责。评标委员会由采购人代表和有关技术、经济等方面的专家组成，成员人数应当为5人以上单数。其中，技术、经济等方面的专家不得少于成员总数的三分之二。评标委员会应当推选组长，但采购人代表不得担任组长。</w:t>
      </w:r>
    </w:p>
    <w:p w14:paraId="5AC92806">
      <w:pPr>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采购人委派代表参加评标委员会的，要向采购代理机构出具授权函。</w:t>
      </w:r>
    </w:p>
    <w:p w14:paraId="4C640A6E">
      <w:pPr>
        <w:pStyle w:val="16"/>
        <w:spacing w:line="360" w:lineRule="auto"/>
        <w:rPr>
          <w:rFonts w:hAnsi="宋体"/>
          <w:bCs/>
          <w:color w:val="auto"/>
          <w:szCs w:val="21"/>
          <w:highlight w:val="none"/>
        </w:rPr>
      </w:pPr>
      <w:bookmarkStart w:id="88" w:name="_Toc191374422"/>
      <w:r>
        <w:rPr>
          <w:rFonts w:hint="eastAsia" w:hAnsi="宋体"/>
          <w:bCs/>
          <w:color w:val="auto"/>
          <w:szCs w:val="21"/>
          <w:highlight w:val="none"/>
        </w:rPr>
        <w:t>26.2评标原则</w:t>
      </w:r>
      <w:bookmarkEnd w:id="88"/>
      <w:r>
        <w:rPr>
          <w:rFonts w:hint="eastAsia" w:hAnsi="宋体"/>
          <w:bCs/>
          <w:color w:val="auto"/>
          <w:szCs w:val="21"/>
          <w:highlight w:val="none"/>
        </w:rPr>
        <w:t>及方法</w:t>
      </w:r>
    </w:p>
    <w:p w14:paraId="38194F98">
      <w:pPr>
        <w:spacing w:line="360" w:lineRule="auto"/>
        <w:jc w:val="left"/>
        <w:rPr>
          <w:rFonts w:ascii="宋体" w:hAnsi="宋体"/>
          <w:color w:val="auto"/>
          <w:szCs w:val="21"/>
          <w:highlight w:val="none"/>
        </w:rPr>
      </w:pPr>
      <w:r>
        <w:rPr>
          <w:rFonts w:hint="eastAsia" w:ascii="宋体" w:hAnsi="宋体"/>
          <w:color w:val="auto"/>
          <w:szCs w:val="21"/>
          <w:highlight w:val="none"/>
        </w:rPr>
        <w:t xml:space="preserve">    评标活动遵循公平、公正、科学和择优的原则。</w:t>
      </w:r>
    </w:p>
    <w:p w14:paraId="63E7177E">
      <w:pPr>
        <w:pStyle w:val="16"/>
        <w:spacing w:line="360" w:lineRule="auto"/>
        <w:ind w:left="630" w:hanging="630" w:hangingChars="300"/>
        <w:rPr>
          <w:rFonts w:hAnsi="宋体"/>
          <w:bCs/>
          <w:color w:val="auto"/>
          <w:szCs w:val="21"/>
          <w:highlight w:val="none"/>
        </w:rPr>
      </w:pPr>
      <w:r>
        <w:rPr>
          <w:rFonts w:hint="eastAsia" w:hAnsi="宋体"/>
          <w:color w:val="auto"/>
          <w:szCs w:val="21"/>
          <w:highlight w:val="none"/>
        </w:rPr>
        <w:t>26.3</w:t>
      </w:r>
      <w:r>
        <w:rPr>
          <w:rFonts w:hint="eastAsia" w:hAnsi="宋体"/>
          <w:bCs/>
          <w:color w:val="auto"/>
          <w:szCs w:val="21"/>
          <w:highlight w:val="none"/>
        </w:rPr>
        <w:t>评标方法</w:t>
      </w:r>
    </w:p>
    <w:p w14:paraId="207DD9C8">
      <w:pPr>
        <w:spacing w:line="360" w:lineRule="auto"/>
        <w:ind w:firstLine="472" w:firstLineChars="225"/>
        <w:jc w:val="left"/>
        <w:rPr>
          <w:rFonts w:ascii="宋体" w:hAnsi="宋体"/>
          <w:color w:val="auto"/>
          <w:szCs w:val="21"/>
          <w:highlight w:val="none"/>
        </w:rPr>
      </w:pPr>
      <w:r>
        <w:rPr>
          <w:rFonts w:hint="eastAsia" w:ascii="宋体" w:hAnsi="宋体"/>
          <w:color w:val="auto"/>
          <w:szCs w:val="21"/>
          <w:highlight w:val="none"/>
        </w:rPr>
        <w:t>本项目按“</w:t>
      </w:r>
      <w:r>
        <w:rPr>
          <w:rFonts w:hint="eastAsia" w:ascii="宋体" w:hAnsi="宋体"/>
          <w:b/>
          <w:bCs/>
          <w:color w:val="auto"/>
          <w:szCs w:val="21"/>
          <w:highlight w:val="none"/>
        </w:rPr>
        <w:t>投标人须知前附表</w:t>
      </w:r>
      <w:r>
        <w:rPr>
          <w:rFonts w:hint="eastAsia" w:ascii="宋体" w:hAnsi="宋体"/>
          <w:color w:val="auto"/>
          <w:szCs w:val="21"/>
          <w:highlight w:val="none"/>
        </w:rPr>
        <w:t>”规定的评标方法评标。在评标中，不得改变招标文件中规定的评标标准、方法和中标条件。第</w:t>
      </w:r>
      <w:r>
        <w:rPr>
          <w:rFonts w:hint="eastAsia" w:ascii="宋体" w:hAnsi="宋体"/>
          <w:color w:val="auto"/>
          <w:szCs w:val="21"/>
          <w:highlight w:val="none"/>
          <w:lang w:val="en-US" w:eastAsia="zh-CN"/>
        </w:rPr>
        <w:t>七</w:t>
      </w:r>
      <w:r>
        <w:rPr>
          <w:rFonts w:hint="eastAsia" w:ascii="宋体" w:hAnsi="宋体"/>
          <w:color w:val="auto"/>
          <w:szCs w:val="21"/>
          <w:highlight w:val="none"/>
        </w:rPr>
        <w:t>章“</w:t>
      </w:r>
      <w:r>
        <w:rPr>
          <w:rFonts w:hint="eastAsia" w:ascii="宋体" w:hAnsi="宋体"/>
          <w:b/>
          <w:color w:val="auto"/>
          <w:szCs w:val="21"/>
          <w:highlight w:val="none"/>
        </w:rPr>
        <w:t>评标方法</w:t>
      </w:r>
      <w:r>
        <w:rPr>
          <w:rFonts w:hint="eastAsia" w:ascii="宋体" w:hAnsi="宋体"/>
          <w:color w:val="auto"/>
          <w:szCs w:val="21"/>
          <w:highlight w:val="none"/>
        </w:rPr>
        <w:t>”没有规定的评审因素和标准，不作为评标依据。</w:t>
      </w:r>
    </w:p>
    <w:p w14:paraId="48CF14E8">
      <w:pPr>
        <w:spacing w:line="360" w:lineRule="auto"/>
        <w:rPr>
          <w:rFonts w:ascii="宋体" w:hAnsi="宋体"/>
          <w:color w:val="auto"/>
          <w:szCs w:val="21"/>
          <w:highlight w:val="none"/>
        </w:rPr>
      </w:pPr>
      <w:r>
        <w:rPr>
          <w:rFonts w:hint="eastAsia" w:ascii="宋体" w:hAnsi="宋体"/>
          <w:color w:val="auto"/>
          <w:szCs w:val="21"/>
          <w:highlight w:val="none"/>
        </w:rPr>
        <w:t>26.4评标应当在严格保密的情况下进行。</w:t>
      </w:r>
      <w:r>
        <w:rPr>
          <w:rFonts w:ascii="宋体" w:hAnsi="宋体"/>
          <w:color w:val="auto"/>
          <w:szCs w:val="21"/>
          <w:highlight w:val="none"/>
        </w:rPr>
        <w:t xml:space="preserve"> </w:t>
      </w:r>
      <w:r>
        <w:rPr>
          <w:rFonts w:hint="eastAsia" w:ascii="宋体" w:hAnsi="宋体"/>
          <w:color w:val="auto"/>
          <w:szCs w:val="21"/>
          <w:highlight w:val="none"/>
        </w:rPr>
        <w:t>任何单位和个人不得非法干预、影响评标办法的确定，以及评标过程和结果。</w:t>
      </w:r>
      <w:r>
        <w:rPr>
          <w:rFonts w:ascii="宋体" w:hAnsi="宋体"/>
          <w:color w:val="auto"/>
          <w:szCs w:val="21"/>
          <w:highlight w:val="none"/>
        </w:rPr>
        <w:t>评标委员会成员和与评标活动有关的人员</w:t>
      </w:r>
      <w:r>
        <w:rPr>
          <w:rFonts w:hint="eastAsia" w:ascii="宋体" w:hAnsi="宋体"/>
          <w:color w:val="auto"/>
          <w:szCs w:val="21"/>
          <w:highlight w:val="none"/>
        </w:rPr>
        <w:t>在政府采购活动中应严格遵守政府采购评审工作纪律，不得向外界泄露评审情况。</w:t>
      </w:r>
    </w:p>
    <w:p w14:paraId="028F5EE9">
      <w:pPr>
        <w:spacing w:line="360" w:lineRule="auto"/>
        <w:rPr>
          <w:rFonts w:ascii="宋体" w:hAnsi="宋体" w:cs="宋体"/>
          <w:color w:val="auto"/>
          <w:kern w:val="0"/>
          <w:szCs w:val="21"/>
          <w:highlight w:val="none"/>
        </w:rPr>
      </w:pPr>
      <w:r>
        <w:rPr>
          <w:rFonts w:ascii="宋体" w:hAnsi="宋体"/>
          <w:color w:val="auto"/>
          <w:szCs w:val="21"/>
          <w:highlight w:val="none"/>
        </w:rPr>
        <w:t>★</w:t>
      </w:r>
      <w:r>
        <w:rPr>
          <w:rFonts w:hint="eastAsia" w:ascii="宋体" w:hAnsi="宋体"/>
          <w:color w:val="auto"/>
          <w:szCs w:val="21"/>
          <w:highlight w:val="none"/>
        </w:rPr>
        <w:t>26.5</w:t>
      </w:r>
      <w:r>
        <w:rPr>
          <w:rFonts w:ascii="宋体" w:hAnsi="宋体" w:cs="宋体"/>
          <w:color w:val="auto"/>
          <w:kern w:val="0"/>
          <w:szCs w:val="21"/>
          <w:highlight w:val="none"/>
        </w:rPr>
        <w:t>在评标过程中</w:t>
      </w:r>
      <w:r>
        <w:rPr>
          <w:rFonts w:hint="eastAsia" w:ascii="宋体" w:hAnsi="宋体" w:cs="宋体"/>
          <w:color w:val="auto"/>
          <w:kern w:val="0"/>
          <w:szCs w:val="21"/>
          <w:highlight w:val="none"/>
        </w:rPr>
        <w:t>，</w:t>
      </w:r>
      <w:r>
        <w:rPr>
          <w:rFonts w:ascii="宋体" w:hAnsi="宋体" w:cs="宋体"/>
          <w:color w:val="auto"/>
          <w:kern w:val="0"/>
          <w:szCs w:val="21"/>
          <w:highlight w:val="none"/>
        </w:rPr>
        <w:t>评标委员会发现投标人有</w:t>
      </w:r>
      <w:r>
        <w:rPr>
          <w:rFonts w:hint="eastAsia" w:ascii="宋体" w:hAnsi="宋体" w:cs="宋体"/>
          <w:color w:val="auto"/>
          <w:kern w:val="0"/>
          <w:szCs w:val="21"/>
          <w:highlight w:val="none"/>
        </w:rPr>
        <w:t>本须知19条款规定的情形</w:t>
      </w:r>
      <w:r>
        <w:rPr>
          <w:rFonts w:ascii="宋体" w:hAnsi="宋体" w:cs="宋体"/>
          <w:color w:val="auto"/>
          <w:kern w:val="0"/>
          <w:szCs w:val="21"/>
          <w:highlight w:val="none"/>
        </w:rPr>
        <w:t>，应当认定其投标无效，并书面报告本级财政部门。</w:t>
      </w:r>
    </w:p>
    <w:p w14:paraId="28D17007">
      <w:pPr>
        <w:spacing w:line="360" w:lineRule="auto"/>
        <w:rPr>
          <w:rFonts w:ascii="宋体" w:hAnsi="宋体" w:cs="宋体"/>
          <w:color w:val="auto"/>
          <w:kern w:val="0"/>
          <w:szCs w:val="21"/>
          <w:highlight w:val="none"/>
        </w:rPr>
      </w:pPr>
      <w:r>
        <w:rPr>
          <w:rFonts w:ascii="宋体" w:hAnsi="宋体"/>
          <w:color w:val="auto"/>
          <w:szCs w:val="21"/>
          <w:highlight w:val="none"/>
        </w:rPr>
        <w:t>★</w:t>
      </w:r>
      <w:r>
        <w:rPr>
          <w:rFonts w:hint="eastAsia" w:ascii="宋体" w:hAnsi="宋体" w:cs="宋体"/>
          <w:color w:val="auto"/>
          <w:kern w:val="0"/>
          <w:szCs w:val="21"/>
          <w:highlight w:val="none"/>
        </w:rPr>
        <w:t>26.6</w:t>
      </w:r>
      <w:r>
        <w:rPr>
          <w:rFonts w:ascii="宋体" w:hAnsi="宋体" w:cs="宋体"/>
          <w:color w:val="auto"/>
          <w:kern w:val="0"/>
          <w:szCs w:val="21"/>
          <w:highlight w:val="none"/>
        </w:rPr>
        <w:t>有下列情形之一的，视为投标人串通投标，其投标无效：</w:t>
      </w:r>
    </w:p>
    <w:p w14:paraId="3BC6BEBA">
      <w:pPr>
        <w:widowControl/>
        <w:spacing w:line="360" w:lineRule="auto"/>
        <w:jc w:val="left"/>
        <w:textAlignment w:val="baseline"/>
        <w:rPr>
          <w:rFonts w:ascii="宋体" w:hAnsi="宋体" w:cs="宋体"/>
          <w:color w:val="auto"/>
          <w:kern w:val="0"/>
          <w:szCs w:val="21"/>
          <w:highlight w:val="none"/>
        </w:rPr>
      </w:pPr>
      <w:r>
        <w:rPr>
          <w:rFonts w:ascii="宋体" w:hAnsi="宋体" w:cs="宋体"/>
          <w:color w:val="auto"/>
          <w:kern w:val="0"/>
          <w:szCs w:val="21"/>
          <w:highlight w:val="none"/>
        </w:rPr>
        <w:t>（一）不同投标人的投标文件由同一单位或者个人编制；</w:t>
      </w:r>
    </w:p>
    <w:p w14:paraId="79E81E89">
      <w:pPr>
        <w:widowControl/>
        <w:spacing w:line="360" w:lineRule="auto"/>
        <w:jc w:val="left"/>
        <w:textAlignment w:val="baseline"/>
        <w:rPr>
          <w:rFonts w:ascii="宋体" w:hAnsi="宋体" w:cs="宋体"/>
          <w:color w:val="auto"/>
          <w:kern w:val="0"/>
          <w:szCs w:val="21"/>
          <w:highlight w:val="none"/>
        </w:rPr>
      </w:pPr>
      <w:r>
        <w:rPr>
          <w:rFonts w:ascii="宋体" w:hAnsi="宋体" w:cs="宋体"/>
          <w:color w:val="auto"/>
          <w:kern w:val="0"/>
          <w:szCs w:val="21"/>
          <w:highlight w:val="none"/>
        </w:rPr>
        <w:t>（二）不同投标人委托同一单位或者个人办理投标事宜；</w:t>
      </w:r>
    </w:p>
    <w:p w14:paraId="729FB50B">
      <w:pPr>
        <w:widowControl/>
        <w:spacing w:line="360" w:lineRule="auto"/>
        <w:jc w:val="left"/>
        <w:textAlignment w:val="baseline"/>
        <w:rPr>
          <w:rFonts w:ascii="宋体" w:hAnsi="宋体" w:cs="宋体"/>
          <w:color w:val="auto"/>
          <w:kern w:val="0"/>
          <w:szCs w:val="21"/>
          <w:highlight w:val="none"/>
        </w:rPr>
      </w:pPr>
      <w:r>
        <w:rPr>
          <w:rFonts w:ascii="宋体" w:hAnsi="宋体" w:cs="宋体"/>
          <w:color w:val="auto"/>
          <w:kern w:val="0"/>
          <w:szCs w:val="21"/>
          <w:highlight w:val="none"/>
        </w:rPr>
        <w:t>（三）不同投标人的投标文件载明的项目管理成员或者联系人员为同一人；</w:t>
      </w:r>
    </w:p>
    <w:p w14:paraId="02B29D4A">
      <w:pPr>
        <w:widowControl/>
        <w:spacing w:line="360" w:lineRule="auto"/>
        <w:jc w:val="left"/>
        <w:textAlignment w:val="baseline"/>
        <w:rPr>
          <w:rFonts w:ascii="宋体" w:hAnsi="宋体" w:cs="宋体"/>
          <w:color w:val="auto"/>
          <w:kern w:val="0"/>
          <w:szCs w:val="21"/>
          <w:highlight w:val="none"/>
        </w:rPr>
      </w:pPr>
      <w:r>
        <w:rPr>
          <w:rFonts w:ascii="宋体" w:hAnsi="宋体" w:cs="宋体"/>
          <w:color w:val="auto"/>
          <w:kern w:val="0"/>
          <w:szCs w:val="21"/>
          <w:highlight w:val="none"/>
        </w:rPr>
        <w:t>（四）不同投标人的投标文件异常一致或者投标报价呈规律性差异；</w:t>
      </w:r>
    </w:p>
    <w:p w14:paraId="3858FD2E">
      <w:pPr>
        <w:widowControl/>
        <w:spacing w:line="360" w:lineRule="auto"/>
        <w:jc w:val="left"/>
        <w:textAlignment w:val="baseline"/>
        <w:rPr>
          <w:rFonts w:ascii="宋体" w:hAnsi="宋体" w:cs="宋体"/>
          <w:color w:val="auto"/>
          <w:kern w:val="0"/>
          <w:szCs w:val="21"/>
          <w:highlight w:val="none"/>
        </w:rPr>
      </w:pPr>
      <w:r>
        <w:rPr>
          <w:rFonts w:ascii="宋体" w:hAnsi="宋体" w:cs="宋体"/>
          <w:color w:val="auto"/>
          <w:kern w:val="0"/>
          <w:szCs w:val="21"/>
          <w:highlight w:val="none"/>
        </w:rPr>
        <w:t>（五）不同投标人的投标文件相互混装；</w:t>
      </w:r>
    </w:p>
    <w:p w14:paraId="39DEF530">
      <w:pPr>
        <w:widowControl/>
        <w:spacing w:line="360" w:lineRule="auto"/>
        <w:jc w:val="left"/>
        <w:textAlignment w:val="baseline"/>
        <w:rPr>
          <w:rFonts w:ascii="宋体" w:hAnsi="宋体" w:cs="宋体"/>
          <w:color w:val="auto"/>
          <w:kern w:val="0"/>
          <w:szCs w:val="21"/>
          <w:highlight w:val="none"/>
        </w:rPr>
      </w:pPr>
      <w:r>
        <w:rPr>
          <w:rFonts w:ascii="宋体" w:hAnsi="宋体" w:cs="宋体"/>
          <w:color w:val="auto"/>
          <w:kern w:val="0"/>
          <w:szCs w:val="21"/>
          <w:highlight w:val="none"/>
        </w:rPr>
        <w:t>（六）不同投标人的投标保证金从同一单位或者个人的账户转出。</w:t>
      </w:r>
    </w:p>
    <w:p w14:paraId="5879924A">
      <w:pPr>
        <w:spacing w:line="360" w:lineRule="auto"/>
        <w:jc w:val="left"/>
        <w:rPr>
          <w:rFonts w:ascii="宋体" w:hAnsi="宋体" w:cs="宋体"/>
          <w:color w:val="auto"/>
          <w:kern w:val="0"/>
          <w:szCs w:val="21"/>
          <w:highlight w:val="none"/>
        </w:rPr>
      </w:pPr>
      <w:r>
        <w:rPr>
          <w:rFonts w:ascii="宋体" w:hAnsi="宋体"/>
          <w:color w:val="auto"/>
          <w:szCs w:val="21"/>
          <w:highlight w:val="none"/>
        </w:rPr>
        <w:t>★26.7</w:t>
      </w:r>
      <w:r>
        <w:rPr>
          <w:rFonts w:hint="eastAsia" w:ascii="宋体" w:hAnsi="宋体"/>
          <w:b/>
          <w:color w:val="auto"/>
          <w:szCs w:val="21"/>
          <w:highlight w:val="none"/>
        </w:rPr>
        <w:t>（适用于综合评分法）</w:t>
      </w:r>
      <w:r>
        <w:rPr>
          <w:rFonts w:hint="eastAsia" w:ascii="宋体" w:hAnsi="宋体" w:cs="宋体"/>
          <w:color w:val="auto"/>
          <w:kern w:val="0"/>
          <w:szCs w:val="21"/>
          <w:highlight w:val="none"/>
        </w:rPr>
        <w:t>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20FFAB93">
      <w:pPr>
        <w:spacing w:line="360" w:lineRule="auto"/>
        <w:jc w:val="left"/>
        <w:rPr>
          <w:color w:val="auto"/>
          <w:szCs w:val="21"/>
          <w:highlight w:val="none"/>
        </w:rPr>
      </w:pPr>
      <w:r>
        <w:rPr>
          <w:rFonts w:ascii="宋体" w:hAnsi="宋体"/>
          <w:color w:val="auto"/>
          <w:szCs w:val="21"/>
          <w:highlight w:val="none"/>
        </w:rPr>
        <w:t>★26.8</w:t>
      </w:r>
      <w:r>
        <w:rPr>
          <w:rFonts w:hint="eastAsia" w:ascii="宋体" w:hAnsi="宋体"/>
          <w:b/>
          <w:color w:val="auto"/>
          <w:szCs w:val="21"/>
          <w:highlight w:val="none"/>
        </w:rPr>
        <w:t>（适用于最低评标价法）</w:t>
      </w:r>
      <w:r>
        <w:rPr>
          <w:rFonts w:hint="eastAsia" w:ascii="宋体" w:hAnsi="宋体" w:cs="宋体"/>
          <w:color w:val="auto"/>
          <w:kern w:val="0"/>
          <w:szCs w:val="21"/>
          <w:highlight w:val="none"/>
        </w:rPr>
        <w:t>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07EC5383">
      <w:pPr>
        <w:pStyle w:val="16"/>
        <w:spacing w:line="360" w:lineRule="auto"/>
        <w:rPr>
          <w:rFonts w:hAnsi="宋体"/>
          <w:bCs/>
          <w:color w:val="auto"/>
          <w:szCs w:val="21"/>
          <w:highlight w:val="none"/>
        </w:rPr>
      </w:pPr>
      <w:r>
        <w:rPr>
          <w:rFonts w:hAnsi="宋体"/>
          <w:bCs/>
          <w:color w:val="auto"/>
          <w:szCs w:val="21"/>
          <w:highlight w:val="none"/>
        </w:rPr>
        <w:t>2</w:t>
      </w:r>
      <w:r>
        <w:rPr>
          <w:rFonts w:hint="eastAsia" w:hAnsi="宋体"/>
          <w:bCs/>
          <w:color w:val="auto"/>
          <w:szCs w:val="21"/>
          <w:highlight w:val="none"/>
        </w:rPr>
        <w:t xml:space="preserve">7. </w:t>
      </w:r>
      <w:r>
        <w:rPr>
          <w:rFonts w:hint="eastAsia" w:hAnsi="宋体"/>
          <w:b/>
          <w:color w:val="auto"/>
          <w:szCs w:val="21"/>
          <w:highlight w:val="none"/>
        </w:rPr>
        <w:t>在招标采购中，出现下列情形之一的，应予废标：</w:t>
      </w:r>
    </w:p>
    <w:p w14:paraId="46EE2301">
      <w:pPr>
        <w:pStyle w:val="16"/>
        <w:spacing w:line="360" w:lineRule="auto"/>
        <w:ind w:left="719" w:leftChars="342" w:hanging="1"/>
        <w:rPr>
          <w:rFonts w:hAnsi="宋体"/>
          <w:b/>
          <w:color w:val="auto"/>
          <w:szCs w:val="21"/>
          <w:highlight w:val="none"/>
        </w:rPr>
      </w:pPr>
      <w:r>
        <w:rPr>
          <w:rFonts w:hint="eastAsia" w:hAnsi="宋体"/>
          <w:b/>
          <w:color w:val="auto"/>
          <w:szCs w:val="21"/>
          <w:highlight w:val="none"/>
        </w:rPr>
        <w:t>(1)符合专业条件的投标人或者对招标文件作实质响应的投标人不足3家的；</w:t>
      </w:r>
    </w:p>
    <w:p w14:paraId="7858B635">
      <w:pPr>
        <w:pStyle w:val="16"/>
        <w:spacing w:line="360" w:lineRule="auto"/>
        <w:ind w:left="719" w:leftChars="342" w:hanging="1"/>
        <w:rPr>
          <w:rFonts w:hAnsi="宋体"/>
          <w:b/>
          <w:color w:val="auto"/>
          <w:szCs w:val="21"/>
          <w:highlight w:val="none"/>
        </w:rPr>
      </w:pPr>
      <w:r>
        <w:rPr>
          <w:rFonts w:hint="eastAsia" w:hAnsi="宋体"/>
          <w:b/>
          <w:color w:val="auto"/>
          <w:szCs w:val="21"/>
          <w:highlight w:val="none"/>
        </w:rPr>
        <w:t>(2)出现影响采购公正的违法、违规行为的；</w:t>
      </w:r>
    </w:p>
    <w:p w14:paraId="489A5580">
      <w:pPr>
        <w:pStyle w:val="16"/>
        <w:spacing w:line="360" w:lineRule="auto"/>
        <w:ind w:left="719" w:leftChars="342" w:hanging="1"/>
        <w:rPr>
          <w:rFonts w:hAnsi="宋体"/>
          <w:b/>
          <w:color w:val="auto"/>
          <w:szCs w:val="21"/>
          <w:highlight w:val="none"/>
        </w:rPr>
      </w:pPr>
      <w:r>
        <w:rPr>
          <w:rFonts w:hint="eastAsia" w:hAnsi="宋体"/>
          <w:b/>
          <w:color w:val="auto"/>
          <w:szCs w:val="21"/>
          <w:highlight w:val="none"/>
        </w:rPr>
        <w:t>(3)投标人的报价均超过了采购预算，采购人不能支付的；</w:t>
      </w:r>
    </w:p>
    <w:p w14:paraId="5FF24082">
      <w:pPr>
        <w:pStyle w:val="16"/>
        <w:spacing w:line="360" w:lineRule="auto"/>
        <w:ind w:left="719" w:leftChars="342" w:hanging="1"/>
        <w:rPr>
          <w:rFonts w:hAnsi="宋体"/>
          <w:b/>
          <w:color w:val="auto"/>
          <w:szCs w:val="21"/>
          <w:highlight w:val="none"/>
        </w:rPr>
      </w:pPr>
      <w:r>
        <w:rPr>
          <w:rFonts w:hint="eastAsia" w:hAnsi="宋体"/>
          <w:b/>
          <w:color w:val="auto"/>
          <w:szCs w:val="21"/>
          <w:highlight w:val="none"/>
        </w:rPr>
        <w:t>(4)因重大变故，采购任务取消的。</w:t>
      </w:r>
    </w:p>
    <w:p w14:paraId="4EDCE0F6">
      <w:pPr>
        <w:pStyle w:val="16"/>
        <w:spacing w:line="360" w:lineRule="auto"/>
        <w:ind w:firstLine="525"/>
        <w:rPr>
          <w:rFonts w:hAnsi="宋体"/>
          <w:b/>
          <w:color w:val="auto"/>
          <w:sz w:val="24"/>
          <w:highlight w:val="none"/>
        </w:rPr>
      </w:pPr>
      <w:r>
        <w:rPr>
          <w:rFonts w:hint="eastAsia" w:hAnsi="宋体"/>
          <w:b/>
          <w:color w:val="auto"/>
          <w:szCs w:val="21"/>
          <w:highlight w:val="none"/>
        </w:rPr>
        <w:t>废标后，采购人应当将废标理由通知所有投标人</w:t>
      </w:r>
      <w:r>
        <w:rPr>
          <w:rFonts w:hint="eastAsia" w:hAnsi="宋体"/>
          <w:b/>
          <w:color w:val="auto"/>
          <w:sz w:val="24"/>
          <w:highlight w:val="none"/>
        </w:rPr>
        <w:t>。</w:t>
      </w:r>
    </w:p>
    <w:p w14:paraId="5731352E">
      <w:pPr>
        <w:pStyle w:val="4"/>
        <w:numPr>
          <w:ilvl w:val="0"/>
          <w:numId w:val="0"/>
        </w:numPr>
        <w:ind w:left="425"/>
        <w:jc w:val="center"/>
        <w:rPr>
          <w:rFonts w:ascii="宋体" w:hAnsi="宋体" w:eastAsia="宋体"/>
          <w:color w:val="auto"/>
          <w:sz w:val="30"/>
          <w:szCs w:val="30"/>
          <w:highlight w:val="none"/>
        </w:rPr>
      </w:pPr>
      <w:bookmarkStart w:id="89" w:name="_Toc496122181"/>
      <w:bookmarkStart w:id="90" w:name="_Toc20747715"/>
      <w:bookmarkStart w:id="91" w:name="_Toc71666341"/>
      <w:r>
        <w:rPr>
          <w:rFonts w:hint="eastAsia" w:ascii="宋体" w:hAnsi="宋体" w:eastAsia="宋体"/>
          <w:color w:val="auto"/>
          <w:sz w:val="30"/>
          <w:szCs w:val="30"/>
          <w:highlight w:val="none"/>
        </w:rPr>
        <w:t>六、中标结果</w:t>
      </w:r>
      <w:bookmarkEnd w:id="89"/>
      <w:bookmarkEnd w:id="90"/>
      <w:bookmarkEnd w:id="91"/>
    </w:p>
    <w:p w14:paraId="729A1FBE">
      <w:pPr>
        <w:pStyle w:val="16"/>
        <w:spacing w:line="360" w:lineRule="auto"/>
        <w:rPr>
          <w:rFonts w:hAnsi="宋体"/>
          <w:b/>
          <w:color w:val="auto"/>
          <w:szCs w:val="21"/>
          <w:highlight w:val="none"/>
        </w:rPr>
      </w:pPr>
      <w:r>
        <w:rPr>
          <w:rFonts w:hint="eastAsia" w:hAnsi="宋体"/>
          <w:b/>
          <w:color w:val="auto"/>
          <w:szCs w:val="21"/>
          <w:highlight w:val="none"/>
        </w:rPr>
        <w:t>28. 中标人的确定</w:t>
      </w:r>
    </w:p>
    <w:p w14:paraId="37052D0B">
      <w:pPr>
        <w:spacing w:line="360" w:lineRule="auto"/>
        <w:rPr>
          <w:rFonts w:ascii="宋体" w:hAnsi="宋体"/>
          <w:color w:val="auto"/>
          <w:szCs w:val="21"/>
          <w:highlight w:val="none"/>
        </w:rPr>
      </w:pPr>
      <w:r>
        <w:rPr>
          <w:rFonts w:hint="eastAsia" w:ascii="宋体" w:hAnsi="宋体"/>
          <w:color w:val="auto"/>
          <w:szCs w:val="21"/>
          <w:highlight w:val="none"/>
        </w:rPr>
        <w:t>28.1采购代理机构应当在评标结束之日起2个工作日内将评标报告送采购人确认。</w:t>
      </w:r>
    </w:p>
    <w:p w14:paraId="189AE2E9">
      <w:pPr>
        <w:pStyle w:val="16"/>
        <w:spacing w:line="360" w:lineRule="auto"/>
        <w:rPr>
          <w:rFonts w:hAnsi="宋体"/>
          <w:color w:val="auto"/>
          <w:szCs w:val="21"/>
          <w:highlight w:val="none"/>
        </w:rPr>
      </w:pPr>
      <w:r>
        <w:rPr>
          <w:rFonts w:hint="eastAsia" w:hAnsi="宋体"/>
          <w:color w:val="auto"/>
          <w:szCs w:val="21"/>
          <w:highlight w:val="none"/>
        </w:rPr>
        <w:t>28.2采购人应当在收到评标报告之日起5个工作日内，在评标报告中推荐的中标候选人中按顺序确定中标人。</w:t>
      </w:r>
    </w:p>
    <w:p w14:paraId="2E9A219A">
      <w:pPr>
        <w:pStyle w:val="16"/>
        <w:spacing w:line="360" w:lineRule="auto"/>
        <w:rPr>
          <w:rFonts w:hAnsi="宋体"/>
          <w:b/>
          <w:bCs/>
          <w:color w:val="auto"/>
          <w:szCs w:val="21"/>
          <w:highlight w:val="none"/>
        </w:rPr>
      </w:pPr>
      <w:r>
        <w:rPr>
          <w:rFonts w:hint="eastAsia" w:hAnsi="宋体"/>
          <w:b/>
          <w:bCs/>
          <w:color w:val="auto"/>
          <w:szCs w:val="21"/>
          <w:highlight w:val="none"/>
        </w:rPr>
        <w:t>29. 中标通知书</w:t>
      </w:r>
    </w:p>
    <w:p w14:paraId="0490DAD5">
      <w:pPr>
        <w:pStyle w:val="16"/>
        <w:spacing w:line="360" w:lineRule="auto"/>
        <w:rPr>
          <w:rFonts w:hAnsi="宋体"/>
          <w:color w:val="auto"/>
          <w:szCs w:val="21"/>
          <w:highlight w:val="none"/>
        </w:rPr>
      </w:pPr>
      <w:r>
        <w:rPr>
          <w:rFonts w:hint="eastAsia" w:hAnsi="宋体"/>
          <w:color w:val="auto"/>
          <w:szCs w:val="21"/>
          <w:highlight w:val="none"/>
        </w:rPr>
        <w:t>29.1中标人确定之日起2个工作日内，采购代理机构在省级以上财政部门指定的媒体上公告中标结果，中标公告期限为1个工作日，同时向中标人发出中标通知书，向未中标人发出招标结果通知书。</w:t>
      </w:r>
    </w:p>
    <w:p w14:paraId="0EA4D08C">
      <w:pPr>
        <w:pStyle w:val="16"/>
        <w:spacing w:line="360" w:lineRule="auto"/>
        <w:rPr>
          <w:rFonts w:hAnsi="宋体"/>
          <w:color w:val="auto"/>
          <w:szCs w:val="21"/>
          <w:highlight w:val="none"/>
        </w:rPr>
      </w:pPr>
      <w:r>
        <w:rPr>
          <w:rFonts w:hint="eastAsia" w:hAnsi="宋体"/>
          <w:color w:val="auto"/>
          <w:szCs w:val="21"/>
          <w:highlight w:val="none"/>
        </w:rPr>
        <w:t>29.2中标通知书是合同的一个组成部分。</w:t>
      </w:r>
    </w:p>
    <w:p w14:paraId="197DDF9A">
      <w:pPr>
        <w:pStyle w:val="16"/>
        <w:spacing w:line="360" w:lineRule="auto"/>
        <w:rPr>
          <w:rFonts w:hAnsi="宋体"/>
          <w:b/>
          <w:bCs/>
          <w:color w:val="auto"/>
          <w:szCs w:val="21"/>
          <w:highlight w:val="none"/>
        </w:rPr>
      </w:pPr>
      <w:r>
        <w:rPr>
          <w:rFonts w:hint="eastAsia" w:hAnsi="宋体"/>
          <w:b/>
          <w:bCs/>
          <w:color w:val="auto"/>
          <w:szCs w:val="21"/>
          <w:highlight w:val="none"/>
        </w:rPr>
        <w:t>30. 签订合同</w:t>
      </w:r>
    </w:p>
    <w:p w14:paraId="4FA578AD">
      <w:pPr>
        <w:pStyle w:val="16"/>
        <w:spacing w:line="360" w:lineRule="auto"/>
        <w:rPr>
          <w:rFonts w:hAnsi="宋体"/>
          <w:color w:val="auto"/>
          <w:szCs w:val="21"/>
          <w:highlight w:val="none"/>
        </w:rPr>
      </w:pPr>
      <w:r>
        <w:rPr>
          <w:rFonts w:hint="eastAsia" w:hAnsi="宋体"/>
          <w:color w:val="auto"/>
          <w:szCs w:val="21"/>
          <w:highlight w:val="none"/>
        </w:rPr>
        <w:t>30.1</w:t>
      </w:r>
      <w:r>
        <w:rPr>
          <w:rFonts w:hAnsi="宋体"/>
          <w:color w:val="auto"/>
          <w:szCs w:val="21"/>
          <w:highlight w:val="none"/>
        </w:rPr>
        <w:t>采购人与中标</w:t>
      </w:r>
      <w:r>
        <w:rPr>
          <w:rFonts w:hint="eastAsia" w:hAnsi="宋体"/>
          <w:color w:val="auto"/>
          <w:szCs w:val="21"/>
          <w:highlight w:val="none"/>
        </w:rPr>
        <w:t>人</w:t>
      </w:r>
      <w:r>
        <w:rPr>
          <w:rFonts w:hAnsi="宋体"/>
          <w:color w:val="auto"/>
          <w:szCs w:val="21"/>
          <w:highlight w:val="none"/>
        </w:rPr>
        <w:t>应当在中标通知书发出之日起</w:t>
      </w:r>
      <w:r>
        <w:rPr>
          <w:rFonts w:hint="eastAsia" w:hAnsi="宋体"/>
          <w:color w:val="auto"/>
          <w:szCs w:val="21"/>
          <w:highlight w:val="none"/>
        </w:rPr>
        <w:t>3</w:t>
      </w:r>
      <w:r>
        <w:rPr>
          <w:rFonts w:hAnsi="宋体"/>
          <w:color w:val="auto"/>
          <w:szCs w:val="21"/>
          <w:highlight w:val="none"/>
        </w:rPr>
        <w:t>0日内，按照</w:t>
      </w:r>
      <w:r>
        <w:rPr>
          <w:rFonts w:hint="eastAsia" w:hAnsi="宋体"/>
          <w:color w:val="auto"/>
          <w:szCs w:val="21"/>
          <w:highlight w:val="none"/>
        </w:rPr>
        <w:t>招标</w:t>
      </w:r>
      <w:r>
        <w:rPr>
          <w:rFonts w:hAnsi="宋体"/>
          <w:color w:val="auto"/>
          <w:szCs w:val="21"/>
          <w:highlight w:val="none"/>
        </w:rPr>
        <w:t>文件和中标人投标文件的规定签订政府采购合同。</w:t>
      </w:r>
    </w:p>
    <w:p w14:paraId="5B01B59C">
      <w:pPr>
        <w:pStyle w:val="16"/>
        <w:spacing w:line="360" w:lineRule="auto"/>
        <w:rPr>
          <w:rFonts w:hAnsi="宋体"/>
          <w:color w:val="auto"/>
          <w:szCs w:val="21"/>
          <w:highlight w:val="none"/>
        </w:rPr>
      </w:pPr>
      <w:r>
        <w:rPr>
          <w:rFonts w:hint="eastAsia" w:hAnsi="宋体"/>
          <w:color w:val="auto"/>
          <w:szCs w:val="21"/>
          <w:highlight w:val="none"/>
        </w:rPr>
        <w:t>30.2中标人因不可抗力或者自身原因不能履行政府采购合同的，或中标人拒绝与采购人签订合同的，采购人可以按照评标报告推荐的中标候选人名单排序，确定下一候选人为中标人，也可以重新开展政府采购活动。</w:t>
      </w:r>
    </w:p>
    <w:p w14:paraId="54541E39">
      <w:pPr>
        <w:pStyle w:val="16"/>
        <w:spacing w:line="360" w:lineRule="auto"/>
        <w:rPr>
          <w:rFonts w:hAnsi="宋体"/>
          <w:color w:val="auto"/>
          <w:szCs w:val="21"/>
          <w:highlight w:val="none"/>
        </w:rPr>
      </w:pPr>
      <w:r>
        <w:rPr>
          <w:rFonts w:hint="eastAsia" w:hAnsi="宋体"/>
          <w:color w:val="auto"/>
          <w:szCs w:val="21"/>
          <w:highlight w:val="none"/>
        </w:rPr>
        <w:t>30.3政府采购合同履行中，采购人需追加与合同标的相同的货物的，在不改变合同其他条款的前提下，可以与中标人协商签订补充合同，但所有补充合同的采购金额不得超过原合同采购金额的百分之十。</w:t>
      </w:r>
    </w:p>
    <w:p w14:paraId="3024F8C1">
      <w:pPr>
        <w:pStyle w:val="16"/>
        <w:spacing w:line="360" w:lineRule="auto"/>
        <w:rPr>
          <w:rFonts w:hAnsi="宋体"/>
          <w:b/>
          <w:bCs/>
          <w:color w:val="auto"/>
          <w:szCs w:val="21"/>
          <w:highlight w:val="none"/>
        </w:rPr>
      </w:pPr>
      <w:r>
        <w:rPr>
          <w:rFonts w:hAnsi="宋体"/>
          <w:b/>
          <w:bCs/>
          <w:color w:val="auto"/>
          <w:szCs w:val="21"/>
          <w:highlight w:val="none"/>
        </w:rPr>
        <w:t>3</w:t>
      </w:r>
      <w:r>
        <w:rPr>
          <w:rFonts w:hint="eastAsia" w:hAnsi="宋体"/>
          <w:b/>
          <w:bCs/>
          <w:color w:val="auto"/>
          <w:szCs w:val="21"/>
          <w:highlight w:val="none"/>
        </w:rPr>
        <w:t>1. 履约担保</w:t>
      </w:r>
    </w:p>
    <w:p w14:paraId="16223390">
      <w:pPr>
        <w:pStyle w:val="16"/>
        <w:tabs>
          <w:tab w:val="left" w:pos="710"/>
        </w:tabs>
        <w:spacing w:line="360" w:lineRule="auto"/>
        <w:rPr>
          <w:rFonts w:hAnsi="宋体"/>
          <w:color w:val="auto"/>
          <w:szCs w:val="21"/>
          <w:highlight w:val="none"/>
        </w:rPr>
      </w:pPr>
      <w:r>
        <w:rPr>
          <w:rFonts w:hAnsi="宋体"/>
          <w:color w:val="auto"/>
          <w:szCs w:val="21"/>
          <w:highlight w:val="none"/>
        </w:rPr>
        <w:t>3</w:t>
      </w:r>
      <w:r>
        <w:rPr>
          <w:rFonts w:hint="eastAsia" w:hAnsi="宋体"/>
          <w:color w:val="auto"/>
          <w:szCs w:val="21"/>
          <w:highlight w:val="none"/>
        </w:rPr>
        <w:t>1.1签订合同</w:t>
      </w:r>
      <w:r>
        <w:rPr>
          <w:rFonts w:hint="eastAsia" w:hAnsi="宋体"/>
          <w:color w:val="auto"/>
          <w:szCs w:val="21"/>
          <w:highlight w:val="none"/>
          <w:lang w:val="en-US" w:eastAsia="zh-CN"/>
        </w:rPr>
        <w:t>后</w:t>
      </w:r>
      <w:r>
        <w:rPr>
          <w:rFonts w:hint="eastAsia" w:hAnsi="宋体"/>
          <w:color w:val="auto"/>
          <w:szCs w:val="21"/>
          <w:highlight w:val="none"/>
        </w:rPr>
        <w:t>，中标人应按“</w:t>
      </w:r>
      <w:r>
        <w:rPr>
          <w:rFonts w:hint="eastAsia" w:hAnsi="宋体"/>
          <w:b/>
          <w:color w:val="auto"/>
          <w:szCs w:val="21"/>
          <w:highlight w:val="none"/>
        </w:rPr>
        <w:t>投标人须知前附表</w:t>
      </w:r>
      <w:r>
        <w:rPr>
          <w:rFonts w:hint="eastAsia" w:hAnsi="宋体"/>
          <w:color w:val="auto"/>
          <w:szCs w:val="21"/>
          <w:highlight w:val="none"/>
        </w:rPr>
        <w:t>”上确定的履约担保的金额及形式，向采购人提交履约担保，</w:t>
      </w:r>
      <w:r>
        <w:rPr>
          <w:rFonts w:hAnsi="宋体"/>
          <w:color w:val="auto"/>
          <w:szCs w:val="21"/>
          <w:highlight w:val="none"/>
        </w:rPr>
        <w:t>联合体中标的，其履约担保由牵头人递交</w:t>
      </w:r>
      <w:r>
        <w:rPr>
          <w:rFonts w:hint="eastAsia" w:hAnsi="宋体"/>
          <w:color w:val="auto"/>
          <w:szCs w:val="21"/>
          <w:highlight w:val="none"/>
        </w:rPr>
        <w:t>。否则，视为放弃中标项目，投标保证金将不予退还。</w:t>
      </w:r>
    </w:p>
    <w:p w14:paraId="0CE3790D">
      <w:pPr>
        <w:pStyle w:val="16"/>
        <w:spacing w:line="360" w:lineRule="auto"/>
        <w:rPr>
          <w:rFonts w:hAnsi="宋体"/>
          <w:color w:val="auto"/>
          <w:szCs w:val="21"/>
          <w:highlight w:val="none"/>
        </w:rPr>
      </w:pPr>
      <w:r>
        <w:rPr>
          <w:rFonts w:hAnsi="宋体"/>
          <w:color w:val="auto"/>
          <w:szCs w:val="21"/>
          <w:highlight w:val="none"/>
        </w:rPr>
        <w:t>3</w:t>
      </w:r>
      <w:r>
        <w:rPr>
          <w:rFonts w:hint="eastAsia" w:hAnsi="宋体"/>
          <w:color w:val="auto"/>
          <w:szCs w:val="21"/>
          <w:highlight w:val="none"/>
        </w:rPr>
        <w:t>1.2签订合同后，如中标人不按双方签订合同约定履约，则没收其全部履约保证金，履约保证金不足以赔偿损失的，按实际损失赔偿。</w:t>
      </w:r>
    </w:p>
    <w:p w14:paraId="3B7D113B">
      <w:pPr>
        <w:pStyle w:val="4"/>
        <w:numPr>
          <w:ilvl w:val="0"/>
          <w:numId w:val="0"/>
        </w:numPr>
        <w:ind w:left="425"/>
        <w:jc w:val="center"/>
        <w:rPr>
          <w:rFonts w:ascii="宋体" w:hAnsi="宋体" w:eastAsia="宋体"/>
          <w:color w:val="auto"/>
          <w:sz w:val="30"/>
          <w:szCs w:val="30"/>
          <w:highlight w:val="none"/>
        </w:rPr>
      </w:pPr>
      <w:bookmarkStart w:id="92" w:name="_Toc71666342"/>
      <w:bookmarkStart w:id="93" w:name="_Toc496122182"/>
      <w:bookmarkStart w:id="94" w:name="_Toc20747716"/>
      <w:r>
        <w:rPr>
          <w:rFonts w:hint="eastAsia" w:ascii="宋体" w:hAnsi="宋体" w:eastAsia="宋体"/>
          <w:color w:val="auto"/>
          <w:sz w:val="30"/>
          <w:szCs w:val="30"/>
          <w:highlight w:val="none"/>
        </w:rPr>
        <w:t>七、其他事项</w:t>
      </w:r>
      <w:bookmarkEnd w:id="92"/>
      <w:bookmarkEnd w:id="93"/>
      <w:bookmarkEnd w:id="94"/>
    </w:p>
    <w:p w14:paraId="0AA7EBA6">
      <w:pPr>
        <w:pStyle w:val="16"/>
        <w:spacing w:line="360" w:lineRule="auto"/>
        <w:rPr>
          <w:rFonts w:hAnsi="宋体"/>
          <w:b/>
          <w:bCs/>
          <w:color w:val="auto"/>
          <w:szCs w:val="21"/>
          <w:highlight w:val="none"/>
        </w:rPr>
      </w:pPr>
      <w:r>
        <w:rPr>
          <w:rFonts w:hint="eastAsia" w:hAnsi="宋体"/>
          <w:b/>
          <w:bCs/>
          <w:color w:val="auto"/>
          <w:szCs w:val="21"/>
          <w:highlight w:val="none"/>
        </w:rPr>
        <w:t>32. 采购代理服务费</w:t>
      </w:r>
    </w:p>
    <w:p w14:paraId="784E6D2B">
      <w:pPr>
        <w:pStyle w:val="16"/>
        <w:spacing w:line="360" w:lineRule="auto"/>
        <w:rPr>
          <w:rFonts w:hAnsi="宋体"/>
          <w:bCs/>
          <w:color w:val="auto"/>
          <w:szCs w:val="21"/>
          <w:highlight w:val="none"/>
        </w:rPr>
      </w:pPr>
      <w:r>
        <w:rPr>
          <w:rFonts w:hint="eastAsia" w:hAnsi="宋体"/>
          <w:bCs/>
          <w:color w:val="auto"/>
          <w:szCs w:val="21"/>
          <w:highlight w:val="none"/>
        </w:rPr>
        <w:t>32.1采购代理机构按“投标人须知前附表”中的收费标准向中标人收取招标代理服务费；</w:t>
      </w:r>
    </w:p>
    <w:p w14:paraId="1D6EDD61">
      <w:pPr>
        <w:pStyle w:val="16"/>
        <w:spacing w:line="360" w:lineRule="auto"/>
        <w:rPr>
          <w:rFonts w:hAnsi="宋体"/>
          <w:bCs/>
          <w:color w:val="auto"/>
          <w:szCs w:val="21"/>
          <w:highlight w:val="none"/>
        </w:rPr>
      </w:pPr>
      <w:r>
        <w:rPr>
          <w:rFonts w:hint="eastAsia" w:hAnsi="宋体"/>
          <w:bCs/>
          <w:color w:val="auto"/>
          <w:szCs w:val="21"/>
          <w:highlight w:val="none"/>
        </w:rPr>
        <w:t>32.2中标人应在接受“中标通知书”前向采购代理机构一次付清代理服务费。</w:t>
      </w:r>
    </w:p>
    <w:p w14:paraId="22B192FB">
      <w:pPr>
        <w:pStyle w:val="16"/>
        <w:spacing w:line="360" w:lineRule="auto"/>
        <w:rPr>
          <w:rFonts w:hAnsi="宋体"/>
          <w:b/>
          <w:bCs/>
          <w:color w:val="auto"/>
          <w:szCs w:val="21"/>
          <w:highlight w:val="none"/>
        </w:rPr>
      </w:pPr>
      <w:r>
        <w:rPr>
          <w:rFonts w:hint="eastAsia" w:hAnsi="宋体"/>
          <w:b/>
          <w:bCs/>
          <w:color w:val="auto"/>
          <w:szCs w:val="21"/>
          <w:highlight w:val="none"/>
        </w:rPr>
        <w:t>33. 招标文件编制依据</w:t>
      </w:r>
    </w:p>
    <w:p w14:paraId="26CFBD71">
      <w:pPr>
        <w:pStyle w:val="16"/>
        <w:spacing w:line="360" w:lineRule="auto"/>
        <w:rPr>
          <w:rFonts w:hAnsi="宋体"/>
          <w:color w:val="auto"/>
          <w:szCs w:val="21"/>
          <w:highlight w:val="none"/>
        </w:rPr>
      </w:pPr>
      <w:r>
        <w:rPr>
          <w:rFonts w:hint="eastAsia" w:hAnsi="宋体"/>
          <w:color w:val="auto"/>
          <w:szCs w:val="21"/>
          <w:highlight w:val="none"/>
        </w:rPr>
        <w:t>33.1本招标文件根据《中华人民共和国政府采购法》及相关法律法规编制。</w:t>
      </w:r>
    </w:p>
    <w:p w14:paraId="24BEF725">
      <w:pPr>
        <w:pStyle w:val="16"/>
        <w:spacing w:line="360" w:lineRule="auto"/>
        <w:rPr>
          <w:rFonts w:hAnsi="宋体"/>
          <w:b/>
          <w:bCs/>
          <w:color w:val="auto"/>
          <w:szCs w:val="21"/>
          <w:highlight w:val="none"/>
        </w:rPr>
      </w:pPr>
      <w:r>
        <w:rPr>
          <w:rFonts w:hint="eastAsia" w:hAnsi="宋体"/>
          <w:b/>
          <w:bCs/>
          <w:color w:val="auto"/>
          <w:szCs w:val="21"/>
          <w:highlight w:val="none"/>
        </w:rPr>
        <w:t>34.</w:t>
      </w:r>
      <w:r>
        <w:rPr>
          <w:rFonts w:hint="eastAsia" w:hAnsi="宋体"/>
          <w:b/>
          <w:color w:val="auto"/>
          <w:szCs w:val="21"/>
          <w:highlight w:val="none"/>
        </w:rPr>
        <w:t>需要补充的其他内容</w:t>
      </w:r>
    </w:p>
    <w:p w14:paraId="0BD0C34D">
      <w:pPr>
        <w:pStyle w:val="16"/>
        <w:spacing w:line="360" w:lineRule="auto"/>
        <w:rPr>
          <w:rFonts w:hint="eastAsia" w:hAnsi="宋体" w:eastAsia="宋体"/>
          <w:color w:val="auto"/>
          <w:szCs w:val="21"/>
          <w:highlight w:val="none"/>
          <w:lang w:eastAsia="zh-CN"/>
        </w:rPr>
      </w:pPr>
      <w:r>
        <w:rPr>
          <w:rFonts w:hAnsi="宋体"/>
          <w:color w:val="auto"/>
          <w:szCs w:val="21"/>
          <w:highlight w:val="none"/>
        </w:rPr>
        <w:t>3</w:t>
      </w:r>
      <w:r>
        <w:rPr>
          <w:rFonts w:hint="eastAsia" w:hAnsi="宋体"/>
          <w:color w:val="auto"/>
          <w:szCs w:val="21"/>
          <w:highlight w:val="none"/>
        </w:rPr>
        <w:t>4</w:t>
      </w:r>
      <w:r>
        <w:rPr>
          <w:rFonts w:hAnsi="宋体"/>
          <w:color w:val="auto"/>
          <w:szCs w:val="21"/>
          <w:highlight w:val="none"/>
        </w:rPr>
        <w:t>.1 “</w:t>
      </w:r>
      <w:r>
        <w:rPr>
          <w:rFonts w:hAnsi="宋体"/>
          <w:b/>
          <w:color w:val="auto"/>
          <w:szCs w:val="21"/>
          <w:highlight w:val="none"/>
        </w:rPr>
        <w:t>投标人须知前附表</w:t>
      </w:r>
      <w:r>
        <w:rPr>
          <w:rFonts w:hAnsi="宋体"/>
          <w:color w:val="auto"/>
          <w:szCs w:val="21"/>
          <w:highlight w:val="none"/>
        </w:rPr>
        <w:t>”</w:t>
      </w:r>
      <w:r>
        <w:rPr>
          <w:rFonts w:hint="eastAsia" w:hAnsi="宋体"/>
          <w:color w:val="auto"/>
          <w:szCs w:val="21"/>
          <w:highlight w:val="none"/>
        </w:rPr>
        <w:t>中若</w:t>
      </w:r>
      <w:r>
        <w:rPr>
          <w:rFonts w:hAnsi="宋体"/>
          <w:color w:val="auto"/>
          <w:szCs w:val="21"/>
          <w:highlight w:val="none"/>
        </w:rPr>
        <w:t>规定</w:t>
      </w:r>
      <w:r>
        <w:rPr>
          <w:rFonts w:hint="eastAsia" w:hAnsi="宋体"/>
          <w:color w:val="auto"/>
          <w:szCs w:val="21"/>
          <w:highlight w:val="none"/>
        </w:rPr>
        <w:t>可以接受</w:t>
      </w:r>
      <w:r>
        <w:rPr>
          <w:rFonts w:hAnsi="宋体"/>
          <w:color w:val="auto"/>
          <w:szCs w:val="21"/>
          <w:highlight w:val="none"/>
        </w:rPr>
        <w:t>备选方案</w:t>
      </w:r>
      <w:r>
        <w:rPr>
          <w:rFonts w:hint="eastAsia" w:hAnsi="宋体"/>
          <w:color w:val="auto"/>
          <w:szCs w:val="21"/>
          <w:highlight w:val="none"/>
        </w:rPr>
        <w:t>的，投标人在投标文件中只能提供一个备选方案，并注明主选方案，且备选方案的投标价格不得高于主选方案。凡提供两个以上备选方案或未注明主选方案的，该投标将被视为未实质性响应招标文件要求</w:t>
      </w:r>
      <w:r>
        <w:rPr>
          <w:rFonts w:hint="eastAsia" w:hAnsi="宋体"/>
          <w:color w:val="auto"/>
          <w:szCs w:val="21"/>
          <w:highlight w:val="none"/>
          <w:lang w:eastAsia="zh-CN"/>
        </w:rPr>
        <w:t>。</w:t>
      </w:r>
    </w:p>
    <w:p w14:paraId="09EB06F6">
      <w:pPr>
        <w:pStyle w:val="16"/>
        <w:spacing w:line="360" w:lineRule="auto"/>
        <w:ind w:firstLine="420" w:firstLineChars="200"/>
        <w:rPr>
          <w:rFonts w:hAnsi="宋体"/>
          <w:color w:val="auto"/>
          <w:szCs w:val="21"/>
          <w:highlight w:val="none"/>
        </w:rPr>
      </w:pPr>
      <w:r>
        <w:rPr>
          <w:rFonts w:hint="eastAsia" w:hAnsi="宋体"/>
          <w:color w:val="auto"/>
          <w:szCs w:val="21"/>
          <w:highlight w:val="none"/>
        </w:rPr>
        <w:t>评标委员会在对有备选方案的投标人进行评审时，应当以</w:t>
      </w:r>
      <w:r>
        <w:rPr>
          <w:rFonts w:hAnsi="宋体"/>
          <w:color w:val="auto"/>
          <w:szCs w:val="21"/>
          <w:highlight w:val="none"/>
        </w:rPr>
        <w:t>主选方案</w:t>
      </w:r>
      <w:r>
        <w:rPr>
          <w:rFonts w:hint="eastAsia" w:hAnsi="宋体"/>
          <w:color w:val="auto"/>
          <w:szCs w:val="21"/>
          <w:highlight w:val="none"/>
        </w:rPr>
        <w:t>为准进行</w:t>
      </w:r>
      <w:r>
        <w:rPr>
          <w:rFonts w:hAnsi="宋体"/>
          <w:color w:val="auto"/>
          <w:szCs w:val="21"/>
          <w:highlight w:val="none"/>
        </w:rPr>
        <w:t>评</w:t>
      </w:r>
      <w:r>
        <w:rPr>
          <w:rFonts w:hint="eastAsia" w:hAnsi="宋体"/>
          <w:color w:val="auto"/>
          <w:szCs w:val="21"/>
          <w:highlight w:val="none"/>
        </w:rPr>
        <w:t>审，如考虑备选方案的，备选方案必须实质性响应招标文件要求</w:t>
      </w:r>
      <w:r>
        <w:rPr>
          <w:rFonts w:hAnsi="宋体"/>
          <w:color w:val="auto"/>
          <w:szCs w:val="21"/>
          <w:highlight w:val="none"/>
        </w:rPr>
        <w:t>。</w:t>
      </w:r>
    </w:p>
    <w:p w14:paraId="33D2A907">
      <w:pPr>
        <w:pStyle w:val="16"/>
        <w:spacing w:line="360" w:lineRule="auto"/>
        <w:rPr>
          <w:rFonts w:hAnsi="宋体"/>
          <w:color w:val="auto"/>
          <w:sz w:val="24"/>
          <w:highlight w:val="none"/>
        </w:rPr>
      </w:pPr>
      <w:r>
        <w:rPr>
          <w:rFonts w:hint="eastAsia" w:hAnsi="宋体"/>
          <w:color w:val="auto"/>
          <w:szCs w:val="21"/>
          <w:highlight w:val="none"/>
        </w:rPr>
        <w:t>34.2其它需要补充的其他内容：见“</w:t>
      </w:r>
      <w:r>
        <w:rPr>
          <w:rFonts w:hint="eastAsia" w:hAnsi="宋体"/>
          <w:b/>
          <w:color w:val="auto"/>
          <w:szCs w:val="21"/>
          <w:highlight w:val="none"/>
        </w:rPr>
        <w:t>投标人须知前附表</w:t>
      </w:r>
      <w:r>
        <w:rPr>
          <w:rFonts w:hint="eastAsia" w:hAnsi="宋体"/>
          <w:color w:val="auto"/>
          <w:szCs w:val="21"/>
          <w:highlight w:val="none"/>
        </w:rPr>
        <w:t>”。</w:t>
      </w:r>
      <w:r>
        <w:rPr>
          <w:rFonts w:hAnsi="宋体"/>
          <w:color w:val="auto"/>
          <w:sz w:val="24"/>
          <w:highlight w:val="none"/>
        </w:rPr>
        <w:br w:type="page"/>
      </w:r>
    </w:p>
    <w:p w14:paraId="1333ADD0">
      <w:pPr>
        <w:keepNext/>
        <w:keepLines/>
        <w:tabs>
          <w:tab w:val="left" w:pos="360"/>
        </w:tabs>
        <w:adjustRightInd w:val="0"/>
        <w:spacing w:before="120" w:line="360" w:lineRule="auto"/>
        <w:jc w:val="center"/>
        <w:textAlignment w:val="baseline"/>
        <w:outlineLvl w:val="0"/>
        <w:rPr>
          <w:rFonts w:ascii="宋体" w:hAnsi="宋体"/>
          <w:b/>
          <w:color w:val="auto"/>
          <w:kern w:val="44"/>
          <w:sz w:val="36"/>
          <w:szCs w:val="20"/>
          <w:highlight w:val="none"/>
        </w:rPr>
      </w:pPr>
      <w:bookmarkStart w:id="95" w:name="_Toc71666343"/>
      <w:bookmarkStart w:id="96" w:name="_Toc477167064"/>
      <w:bookmarkStart w:id="97" w:name="_Toc213141090"/>
      <w:r>
        <w:rPr>
          <w:rFonts w:hint="eastAsia" w:ascii="宋体" w:hAnsi="宋体"/>
          <w:b/>
          <w:color w:val="auto"/>
          <w:kern w:val="44"/>
          <w:sz w:val="36"/>
          <w:szCs w:val="20"/>
          <w:highlight w:val="none"/>
        </w:rPr>
        <w:t>第三章 合同书样式及主要条款</w:t>
      </w:r>
      <w:bookmarkEnd w:id="95"/>
      <w:bookmarkEnd w:id="96"/>
      <w:bookmarkEnd w:id="97"/>
    </w:p>
    <w:p w14:paraId="73393D04">
      <w:pPr>
        <w:pStyle w:val="4"/>
        <w:numPr>
          <w:ilvl w:val="0"/>
          <w:numId w:val="0"/>
        </w:numPr>
        <w:spacing w:before="0"/>
        <w:jc w:val="center"/>
        <w:rPr>
          <w:rFonts w:ascii="宋体" w:hAnsi="宋体" w:eastAsia="宋体"/>
          <w:b w:val="0"/>
          <w:color w:val="auto"/>
          <w:sz w:val="32"/>
          <w:szCs w:val="32"/>
          <w:highlight w:val="none"/>
        </w:rPr>
      </w:pPr>
      <w:bookmarkStart w:id="98" w:name="_Toc71666344"/>
      <w:bookmarkStart w:id="99" w:name="_Toc462658453"/>
      <w:bookmarkStart w:id="100" w:name="_Toc213141091"/>
      <w:r>
        <w:rPr>
          <w:rFonts w:hint="eastAsia" w:ascii="宋体" w:hAnsi="宋体" w:eastAsia="宋体"/>
          <w:b w:val="0"/>
          <w:color w:val="auto"/>
          <w:sz w:val="32"/>
          <w:szCs w:val="32"/>
          <w:highlight w:val="none"/>
        </w:rPr>
        <w:t>合同条款前附表</w:t>
      </w:r>
      <w:bookmarkEnd w:id="98"/>
      <w:bookmarkEnd w:id="99"/>
      <w:bookmarkEnd w:id="100"/>
    </w:p>
    <w:tbl>
      <w:tblPr>
        <w:tblStyle w:val="32"/>
        <w:tblW w:w="9286"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927"/>
        <w:gridCol w:w="1670"/>
        <w:gridCol w:w="6689"/>
      </w:tblGrid>
      <w:tr w14:paraId="509132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97" w:hRule="atLeast"/>
          <w:jc w:val="center"/>
        </w:trPr>
        <w:tc>
          <w:tcPr>
            <w:tcW w:w="927" w:type="dxa"/>
            <w:vAlign w:val="center"/>
          </w:tcPr>
          <w:p w14:paraId="356CF838">
            <w:pPr>
              <w:spacing w:line="360" w:lineRule="auto"/>
              <w:jc w:val="center"/>
              <w:rPr>
                <w:rFonts w:ascii="宋体" w:hAnsi="宋体"/>
                <w:b/>
                <w:color w:val="auto"/>
                <w:szCs w:val="21"/>
                <w:highlight w:val="none"/>
              </w:rPr>
            </w:pPr>
            <w:r>
              <w:rPr>
                <w:rFonts w:ascii="宋体" w:hAnsi="宋体"/>
                <w:b/>
                <w:color w:val="auto"/>
                <w:szCs w:val="21"/>
                <w:highlight w:val="none"/>
              </w:rPr>
              <w:t>序号</w:t>
            </w:r>
          </w:p>
        </w:tc>
        <w:tc>
          <w:tcPr>
            <w:tcW w:w="1670" w:type="dxa"/>
            <w:vAlign w:val="center"/>
          </w:tcPr>
          <w:p w14:paraId="3AA06791">
            <w:pPr>
              <w:spacing w:line="360" w:lineRule="auto"/>
              <w:jc w:val="center"/>
              <w:rPr>
                <w:rFonts w:ascii="宋体" w:hAnsi="宋体"/>
                <w:b/>
                <w:color w:val="auto"/>
                <w:szCs w:val="21"/>
                <w:highlight w:val="none"/>
              </w:rPr>
            </w:pPr>
            <w:r>
              <w:rPr>
                <w:rFonts w:ascii="宋体" w:hAnsi="宋体"/>
                <w:b/>
                <w:color w:val="auto"/>
                <w:szCs w:val="21"/>
                <w:highlight w:val="none"/>
              </w:rPr>
              <w:t>项目</w:t>
            </w:r>
          </w:p>
        </w:tc>
        <w:tc>
          <w:tcPr>
            <w:tcW w:w="6689" w:type="dxa"/>
            <w:vAlign w:val="center"/>
          </w:tcPr>
          <w:p w14:paraId="31BB160C">
            <w:pPr>
              <w:spacing w:line="360" w:lineRule="auto"/>
              <w:jc w:val="center"/>
              <w:rPr>
                <w:rFonts w:ascii="宋体" w:hAnsi="宋体"/>
                <w:b/>
                <w:color w:val="auto"/>
                <w:szCs w:val="21"/>
                <w:highlight w:val="none"/>
              </w:rPr>
            </w:pPr>
            <w:r>
              <w:rPr>
                <w:rFonts w:ascii="宋体" w:hAnsi="宋体"/>
                <w:b/>
                <w:color w:val="auto"/>
                <w:szCs w:val="21"/>
                <w:highlight w:val="none"/>
              </w:rPr>
              <w:t>内  容</w:t>
            </w:r>
          </w:p>
        </w:tc>
      </w:tr>
      <w:tr w14:paraId="46C6F56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68" w:hRule="atLeast"/>
          <w:jc w:val="center"/>
        </w:trPr>
        <w:tc>
          <w:tcPr>
            <w:tcW w:w="927" w:type="dxa"/>
            <w:vAlign w:val="center"/>
          </w:tcPr>
          <w:p w14:paraId="61301D65">
            <w:pPr>
              <w:spacing w:line="360" w:lineRule="auto"/>
              <w:jc w:val="center"/>
              <w:rPr>
                <w:rFonts w:ascii="宋体" w:hAnsi="宋体"/>
                <w:color w:val="auto"/>
                <w:szCs w:val="21"/>
                <w:highlight w:val="none"/>
              </w:rPr>
            </w:pPr>
            <w:r>
              <w:rPr>
                <w:rFonts w:ascii="宋体" w:hAnsi="宋体"/>
                <w:color w:val="auto"/>
                <w:szCs w:val="21"/>
                <w:highlight w:val="none"/>
              </w:rPr>
              <w:t>一</w:t>
            </w:r>
          </w:p>
        </w:tc>
        <w:tc>
          <w:tcPr>
            <w:tcW w:w="1670" w:type="dxa"/>
            <w:vAlign w:val="center"/>
          </w:tcPr>
          <w:p w14:paraId="09FDFA28">
            <w:pPr>
              <w:spacing w:line="360" w:lineRule="auto"/>
              <w:jc w:val="center"/>
              <w:rPr>
                <w:rFonts w:ascii="宋体" w:hAnsi="宋体"/>
                <w:color w:val="auto"/>
                <w:szCs w:val="21"/>
                <w:highlight w:val="none"/>
              </w:rPr>
            </w:pPr>
            <w:r>
              <w:rPr>
                <w:rFonts w:ascii="宋体" w:hAnsi="宋体"/>
                <w:color w:val="auto"/>
                <w:szCs w:val="21"/>
                <w:highlight w:val="none"/>
              </w:rPr>
              <w:t>合同履行期限</w:t>
            </w:r>
          </w:p>
        </w:tc>
        <w:tc>
          <w:tcPr>
            <w:tcW w:w="6689" w:type="dxa"/>
            <w:vAlign w:val="center"/>
          </w:tcPr>
          <w:p w14:paraId="238E22A5">
            <w:pPr>
              <w:spacing w:line="360" w:lineRule="auto"/>
              <w:rPr>
                <w:rFonts w:ascii="宋体" w:hAnsi="宋体"/>
                <w:color w:val="auto"/>
                <w:szCs w:val="21"/>
                <w:highlight w:val="none"/>
              </w:rPr>
            </w:pPr>
            <w:r>
              <w:rPr>
                <w:rFonts w:hint="eastAsia" w:ascii="宋体" w:hAnsi="宋体"/>
                <w:color w:val="auto"/>
                <w:szCs w:val="21"/>
                <w:highlight w:val="none"/>
              </w:rPr>
              <w:t>详见招标文件第一章“招标公告”。</w:t>
            </w:r>
          </w:p>
        </w:tc>
      </w:tr>
      <w:tr w14:paraId="614EA4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62" w:hRule="atLeast"/>
          <w:jc w:val="center"/>
        </w:trPr>
        <w:tc>
          <w:tcPr>
            <w:tcW w:w="927" w:type="dxa"/>
            <w:vAlign w:val="center"/>
          </w:tcPr>
          <w:p w14:paraId="3AD75858">
            <w:pPr>
              <w:spacing w:line="360" w:lineRule="auto"/>
              <w:jc w:val="center"/>
              <w:rPr>
                <w:rFonts w:ascii="宋体" w:hAnsi="宋体"/>
                <w:color w:val="auto"/>
                <w:szCs w:val="21"/>
                <w:highlight w:val="none"/>
              </w:rPr>
            </w:pPr>
            <w:r>
              <w:rPr>
                <w:rFonts w:ascii="宋体" w:hAnsi="宋体"/>
                <w:color w:val="auto"/>
                <w:szCs w:val="21"/>
                <w:highlight w:val="none"/>
              </w:rPr>
              <w:t>二</w:t>
            </w:r>
          </w:p>
        </w:tc>
        <w:tc>
          <w:tcPr>
            <w:tcW w:w="1670" w:type="dxa"/>
            <w:vAlign w:val="center"/>
          </w:tcPr>
          <w:p w14:paraId="309CC8D4">
            <w:pPr>
              <w:spacing w:line="360" w:lineRule="auto"/>
              <w:jc w:val="center"/>
              <w:rPr>
                <w:rFonts w:ascii="宋体" w:hAnsi="宋体"/>
                <w:color w:val="auto"/>
                <w:szCs w:val="21"/>
                <w:highlight w:val="none"/>
              </w:rPr>
            </w:pPr>
            <w:r>
              <w:rPr>
                <w:rFonts w:hint="eastAsia" w:ascii="宋体" w:hAnsi="宋体"/>
                <w:color w:val="auto"/>
                <w:szCs w:val="21"/>
                <w:highlight w:val="none"/>
                <w:lang w:val="en-US" w:eastAsia="zh-CN"/>
              </w:rPr>
              <w:t>服务地点</w:t>
            </w:r>
          </w:p>
        </w:tc>
        <w:tc>
          <w:tcPr>
            <w:tcW w:w="6689" w:type="dxa"/>
            <w:vAlign w:val="center"/>
          </w:tcPr>
          <w:p w14:paraId="14B04357">
            <w:pPr>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详见招标文件第一章“招标公告”。</w:t>
            </w:r>
          </w:p>
        </w:tc>
      </w:tr>
      <w:tr w14:paraId="1A34FFF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62" w:hRule="atLeast"/>
          <w:jc w:val="center"/>
        </w:trPr>
        <w:tc>
          <w:tcPr>
            <w:tcW w:w="927" w:type="dxa"/>
            <w:vAlign w:val="center"/>
          </w:tcPr>
          <w:p w14:paraId="327F3FAF">
            <w:pPr>
              <w:spacing w:line="360" w:lineRule="auto"/>
              <w:jc w:val="center"/>
              <w:rPr>
                <w:rFonts w:ascii="宋体" w:hAnsi="宋体"/>
                <w:color w:val="auto"/>
                <w:szCs w:val="21"/>
                <w:highlight w:val="none"/>
              </w:rPr>
            </w:pPr>
            <w:r>
              <w:rPr>
                <w:rFonts w:hint="eastAsia" w:ascii="宋体" w:hAnsi="宋体"/>
                <w:color w:val="auto"/>
                <w:szCs w:val="21"/>
                <w:highlight w:val="none"/>
              </w:rPr>
              <w:t>三</w:t>
            </w:r>
          </w:p>
        </w:tc>
        <w:tc>
          <w:tcPr>
            <w:tcW w:w="1670" w:type="dxa"/>
            <w:vAlign w:val="center"/>
          </w:tcPr>
          <w:p w14:paraId="2D7F84D8">
            <w:pPr>
              <w:spacing w:line="360" w:lineRule="auto"/>
              <w:jc w:val="center"/>
              <w:rPr>
                <w:rFonts w:hint="eastAsia" w:ascii="宋体" w:hAnsi="宋体" w:eastAsia="宋体"/>
                <w:color w:val="auto"/>
                <w:szCs w:val="21"/>
                <w:highlight w:val="none"/>
                <w:lang w:eastAsia="zh-CN"/>
              </w:rPr>
            </w:pPr>
            <w:bookmarkStart w:id="101" w:name="_Hlk78295918"/>
            <w:r>
              <w:rPr>
                <w:rFonts w:ascii="宋体" w:hAnsi="宋体"/>
                <w:color w:val="auto"/>
                <w:szCs w:val="21"/>
                <w:highlight w:val="none"/>
              </w:rPr>
              <w:t>质量</w:t>
            </w:r>
            <w:bookmarkEnd w:id="101"/>
            <w:r>
              <w:rPr>
                <w:rFonts w:hint="eastAsia" w:ascii="宋体" w:hAnsi="宋体"/>
                <w:color w:val="auto"/>
                <w:szCs w:val="21"/>
                <w:highlight w:val="none"/>
                <w:lang w:val="en-US" w:eastAsia="zh-CN"/>
              </w:rPr>
              <w:t>标准</w:t>
            </w:r>
          </w:p>
        </w:tc>
        <w:tc>
          <w:tcPr>
            <w:tcW w:w="6689" w:type="dxa"/>
            <w:vAlign w:val="center"/>
          </w:tcPr>
          <w:p w14:paraId="51BCF324">
            <w:pPr>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详见招标文件第一章“招标公告”。</w:t>
            </w:r>
          </w:p>
        </w:tc>
      </w:tr>
      <w:tr w14:paraId="113E4A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29" w:hRule="atLeast"/>
          <w:jc w:val="center"/>
        </w:trPr>
        <w:tc>
          <w:tcPr>
            <w:tcW w:w="927" w:type="dxa"/>
            <w:vAlign w:val="center"/>
          </w:tcPr>
          <w:p w14:paraId="7F6DC895">
            <w:pPr>
              <w:spacing w:line="360" w:lineRule="auto"/>
              <w:jc w:val="center"/>
              <w:rPr>
                <w:rFonts w:ascii="宋体" w:hAnsi="宋体"/>
                <w:color w:val="auto"/>
                <w:szCs w:val="21"/>
                <w:highlight w:val="none"/>
              </w:rPr>
            </w:pPr>
            <w:r>
              <w:rPr>
                <w:rFonts w:hint="eastAsia" w:ascii="宋体" w:hAnsi="宋体"/>
                <w:color w:val="auto"/>
                <w:szCs w:val="21"/>
                <w:highlight w:val="none"/>
              </w:rPr>
              <w:t>四</w:t>
            </w:r>
          </w:p>
        </w:tc>
        <w:tc>
          <w:tcPr>
            <w:tcW w:w="1670" w:type="dxa"/>
            <w:vAlign w:val="center"/>
          </w:tcPr>
          <w:p w14:paraId="7888C7F1">
            <w:pPr>
              <w:spacing w:line="360" w:lineRule="auto"/>
              <w:jc w:val="center"/>
              <w:rPr>
                <w:rFonts w:ascii="宋体" w:hAnsi="宋体"/>
                <w:color w:val="auto"/>
                <w:szCs w:val="21"/>
                <w:highlight w:val="none"/>
              </w:rPr>
            </w:pPr>
            <w:r>
              <w:rPr>
                <w:rFonts w:hint="eastAsia" w:ascii="宋体" w:hAnsi="宋体"/>
                <w:color w:val="auto"/>
                <w:szCs w:val="21"/>
                <w:highlight w:val="none"/>
              </w:rPr>
              <w:t>付款方式</w:t>
            </w:r>
          </w:p>
        </w:tc>
        <w:tc>
          <w:tcPr>
            <w:tcW w:w="6689" w:type="dxa"/>
            <w:vAlign w:val="center"/>
          </w:tcPr>
          <w:p w14:paraId="5A668999">
            <w:pPr>
              <w:spacing w:line="360" w:lineRule="auto"/>
              <w:rPr>
                <w:rFonts w:hint="default" w:ascii="宋体" w:hAnsi="宋体" w:eastAsia="宋体" w:cs="Times New Roman"/>
                <w:color w:val="auto"/>
                <w:szCs w:val="21"/>
                <w:highlight w:val="none"/>
                <w:lang w:val="en-US"/>
              </w:rPr>
            </w:pPr>
            <w:r>
              <w:rPr>
                <w:rFonts w:hint="eastAsia" w:ascii="宋体" w:hAnsi="宋体" w:cs="宋体"/>
                <w:b w:val="0"/>
                <w:bCs w:val="0"/>
                <w:color w:val="auto"/>
                <w:szCs w:val="21"/>
                <w:highlight w:val="none"/>
                <w:lang w:val="en-US" w:eastAsia="zh-CN"/>
              </w:rPr>
              <w:t>付款方式：银行转账；本项目合同总金额限价400万元，根据</w:t>
            </w:r>
            <w:r>
              <w:rPr>
                <w:rFonts w:hint="eastAsia" w:ascii="宋体" w:hAnsi="宋体" w:cs="宋体"/>
                <w:color w:val="auto"/>
                <w:szCs w:val="21"/>
                <w:highlight w:val="none"/>
              </w:rPr>
              <w:t>每次租赁产生的费用</w:t>
            </w:r>
            <w:r>
              <w:rPr>
                <w:rFonts w:hint="eastAsia" w:ascii="宋体" w:hAnsi="宋体" w:cs="宋体"/>
                <w:color w:val="auto"/>
                <w:szCs w:val="21"/>
                <w:highlight w:val="none"/>
                <w:lang w:eastAsia="zh-CN"/>
              </w:rPr>
              <w:t>（</w:t>
            </w:r>
            <w:r>
              <w:rPr>
                <w:rFonts w:hint="eastAsia" w:ascii="宋体" w:hAnsi="宋体" w:cs="宋体"/>
                <w:b w:val="0"/>
                <w:bCs w:val="0"/>
                <w:color w:val="auto"/>
                <w:szCs w:val="21"/>
                <w:highlight w:val="none"/>
                <w:lang w:val="en-US" w:eastAsia="zh-CN"/>
              </w:rPr>
              <w:t>实际使用设备数量、使用天数和合同中所列固定单价）×（1-优惠率）据实结算。</w:t>
            </w:r>
          </w:p>
        </w:tc>
      </w:tr>
      <w:tr w14:paraId="0E586B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77" w:hRule="atLeast"/>
          <w:jc w:val="center"/>
        </w:trPr>
        <w:tc>
          <w:tcPr>
            <w:tcW w:w="927" w:type="dxa"/>
            <w:vAlign w:val="center"/>
          </w:tcPr>
          <w:p w14:paraId="040780A3">
            <w:pPr>
              <w:spacing w:line="360" w:lineRule="auto"/>
              <w:jc w:val="center"/>
              <w:rPr>
                <w:rFonts w:ascii="宋体" w:hAnsi="宋体"/>
                <w:color w:val="auto"/>
                <w:szCs w:val="21"/>
                <w:highlight w:val="none"/>
              </w:rPr>
            </w:pPr>
            <w:r>
              <w:rPr>
                <w:rFonts w:hint="eastAsia" w:ascii="宋体" w:hAnsi="宋体"/>
                <w:color w:val="auto"/>
                <w:szCs w:val="21"/>
                <w:highlight w:val="none"/>
              </w:rPr>
              <w:t>五</w:t>
            </w:r>
          </w:p>
        </w:tc>
        <w:tc>
          <w:tcPr>
            <w:tcW w:w="1670" w:type="dxa"/>
            <w:vAlign w:val="center"/>
          </w:tcPr>
          <w:p w14:paraId="2AFA23A5">
            <w:pPr>
              <w:spacing w:line="360" w:lineRule="auto"/>
              <w:jc w:val="center"/>
              <w:rPr>
                <w:rFonts w:ascii="宋体" w:hAnsi="宋体"/>
                <w:color w:val="auto"/>
                <w:szCs w:val="21"/>
                <w:highlight w:val="none"/>
              </w:rPr>
            </w:pPr>
            <w:r>
              <w:rPr>
                <w:rFonts w:ascii="宋体" w:hAnsi="宋体"/>
                <w:color w:val="auto"/>
                <w:szCs w:val="21"/>
                <w:highlight w:val="none"/>
              </w:rPr>
              <w:t>合同份数</w:t>
            </w:r>
          </w:p>
        </w:tc>
        <w:tc>
          <w:tcPr>
            <w:tcW w:w="6689" w:type="dxa"/>
            <w:vAlign w:val="center"/>
          </w:tcPr>
          <w:p w14:paraId="3C853B1A">
            <w:pPr>
              <w:spacing w:line="360" w:lineRule="auto"/>
              <w:rPr>
                <w:rFonts w:ascii="宋体" w:hAnsi="宋体"/>
                <w:color w:val="auto"/>
                <w:szCs w:val="21"/>
                <w:highlight w:val="none"/>
              </w:rPr>
            </w:pPr>
            <w:r>
              <w:rPr>
                <w:rFonts w:hint="eastAsia" w:ascii="宋体" w:hAnsi="宋体"/>
                <w:color w:val="auto"/>
                <w:szCs w:val="21"/>
                <w:highlight w:val="none"/>
              </w:rPr>
              <w:t>一式</w:t>
            </w:r>
            <w:r>
              <w:rPr>
                <w:rFonts w:hint="eastAsia" w:ascii="宋体" w:hAnsi="宋体"/>
                <w:color w:val="auto"/>
                <w:szCs w:val="21"/>
                <w:highlight w:val="none"/>
                <w:lang w:val="en-US" w:eastAsia="zh-CN"/>
              </w:rPr>
              <w:t>肆</w:t>
            </w:r>
            <w:r>
              <w:rPr>
                <w:rFonts w:hint="eastAsia" w:ascii="宋体" w:hAnsi="宋体"/>
                <w:color w:val="auto"/>
                <w:szCs w:val="21"/>
                <w:highlight w:val="none"/>
              </w:rPr>
              <w:t>份，甲</w:t>
            </w:r>
            <w:r>
              <w:rPr>
                <w:rFonts w:hint="eastAsia" w:ascii="宋体" w:hAnsi="宋体"/>
                <w:color w:val="auto"/>
                <w:szCs w:val="21"/>
                <w:highlight w:val="none"/>
                <w:lang w:val="en-US" w:eastAsia="zh-CN"/>
              </w:rPr>
              <w:t>乙双</w:t>
            </w:r>
            <w:r>
              <w:rPr>
                <w:rFonts w:hint="eastAsia" w:ascii="宋体" w:hAnsi="宋体"/>
                <w:color w:val="auto"/>
                <w:szCs w:val="21"/>
                <w:highlight w:val="none"/>
              </w:rPr>
              <w:t>方</w:t>
            </w:r>
            <w:r>
              <w:rPr>
                <w:rFonts w:hint="eastAsia" w:ascii="宋体" w:hAnsi="宋体"/>
                <w:color w:val="auto"/>
                <w:szCs w:val="21"/>
                <w:highlight w:val="none"/>
                <w:lang w:val="en-US" w:eastAsia="zh-CN"/>
              </w:rPr>
              <w:t>各</w:t>
            </w:r>
            <w:r>
              <w:rPr>
                <w:rFonts w:hint="eastAsia" w:ascii="宋体" w:hAnsi="宋体"/>
                <w:color w:val="auto"/>
                <w:szCs w:val="21"/>
                <w:highlight w:val="none"/>
              </w:rPr>
              <w:t>执</w:t>
            </w:r>
            <w:r>
              <w:rPr>
                <w:rFonts w:hint="eastAsia" w:ascii="宋体" w:hAnsi="宋体"/>
                <w:color w:val="auto"/>
                <w:szCs w:val="21"/>
                <w:highlight w:val="none"/>
                <w:lang w:val="en-US" w:eastAsia="zh-CN"/>
              </w:rPr>
              <w:t>贰</w:t>
            </w:r>
            <w:r>
              <w:rPr>
                <w:rFonts w:hint="eastAsia" w:ascii="宋体" w:hAnsi="宋体"/>
                <w:color w:val="auto"/>
                <w:szCs w:val="21"/>
                <w:highlight w:val="none"/>
              </w:rPr>
              <w:t>份。</w:t>
            </w:r>
          </w:p>
        </w:tc>
      </w:tr>
    </w:tbl>
    <w:p w14:paraId="1F748D82">
      <w:pPr>
        <w:spacing w:line="360" w:lineRule="auto"/>
        <w:ind w:left="840"/>
        <w:rPr>
          <w:rFonts w:ascii="宋体" w:hAnsi="宋体"/>
          <w:color w:val="auto"/>
          <w:sz w:val="24"/>
          <w:highlight w:val="none"/>
        </w:rPr>
      </w:pPr>
      <w:r>
        <w:rPr>
          <w:rFonts w:hint="eastAsia" w:ascii="宋体" w:hAnsi="宋体"/>
          <w:color w:val="auto"/>
          <w:sz w:val="44"/>
          <w:highlight w:val="none"/>
        </w:rPr>
        <w:br w:type="page"/>
      </w:r>
    </w:p>
    <w:p w14:paraId="20A3D76C">
      <w:pPr>
        <w:keepNext w:val="0"/>
        <w:keepLines w:val="0"/>
        <w:widowControl/>
        <w:suppressLineNumbers w:val="0"/>
        <w:jc w:val="center"/>
        <w:rPr>
          <w:color w:val="auto"/>
          <w:sz w:val="72"/>
          <w:szCs w:val="72"/>
          <w:highlight w:val="none"/>
        </w:rPr>
      </w:pPr>
      <w:r>
        <w:rPr>
          <w:rFonts w:ascii="黑体" w:hAnsi="宋体" w:eastAsia="黑体" w:cs="黑体"/>
          <w:color w:val="auto"/>
          <w:kern w:val="0"/>
          <w:sz w:val="72"/>
          <w:szCs w:val="72"/>
          <w:highlight w:val="none"/>
          <w:lang w:val="en-US" w:eastAsia="zh-CN" w:bidi="ar"/>
        </w:rPr>
        <w:t>云南省政府采购合同</w:t>
      </w:r>
    </w:p>
    <w:p w14:paraId="41F7F548">
      <w:pPr>
        <w:keepNext w:val="0"/>
        <w:keepLines w:val="0"/>
        <w:widowControl/>
        <w:suppressLineNumbers w:val="0"/>
        <w:jc w:val="center"/>
        <w:rPr>
          <w:rFonts w:ascii="微软雅黑" w:hAnsi="微软雅黑" w:eastAsia="微软雅黑" w:cs="微软雅黑"/>
          <w:color w:val="auto"/>
          <w:kern w:val="0"/>
          <w:sz w:val="22"/>
          <w:szCs w:val="22"/>
          <w:highlight w:val="none"/>
          <w:lang w:val="en-US" w:eastAsia="zh-CN" w:bidi="ar"/>
        </w:rPr>
      </w:pPr>
    </w:p>
    <w:p w14:paraId="535B77EC">
      <w:pPr>
        <w:keepNext w:val="0"/>
        <w:keepLines w:val="0"/>
        <w:widowControl/>
        <w:suppressLineNumbers w:val="0"/>
        <w:jc w:val="center"/>
        <w:rPr>
          <w:rFonts w:ascii="微软雅黑" w:hAnsi="微软雅黑" w:eastAsia="微软雅黑" w:cs="微软雅黑"/>
          <w:color w:val="auto"/>
          <w:kern w:val="0"/>
          <w:sz w:val="22"/>
          <w:szCs w:val="22"/>
          <w:highlight w:val="none"/>
          <w:lang w:val="en-US" w:eastAsia="zh-CN" w:bidi="ar"/>
        </w:rPr>
      </w:pPr>
    </w:p>
    <w:p w14:paraId="010A51B3">
      <w:pPr>
        <w:keepNext w:val="0"/>
        <w:keepLines w:val="0"/>
        <w:widowControl/>
        <w:suppressLineNumbers w:val="0"/>
        <w:ind w:firstLine="320" w:firstLineChars="100"/>
        <w:jc w:val="both"/>
        <w:rPr>
          <w:rFonts w:hint="default"/>
          <w:color w:val="auto"/>
          <w:sz w:val="32"/>
          <w:szCs w:val="32"/>
          <w:highlight w:val="none"/>
          <w:lang w:val="en-US"/>
        </w:rPr>
      </w:pPr>
      <w:r>
        <w:rPr>
          <w:rFonts w:ascii="微软雅黑" w:hAnsi="微软雅黑" w:eastAsia="微软雅黑" w:cs="微软雅黑"/>
          <w:color w:val="auto"/>
          <w:kern w:val="0"/>
          <w:sz w:val="32"/>
          <w:szCs w:val="32"/>
          <w:highlight w:val="none"/>
          <w:lang w:val="en-US" w:eastAsia="zh-CN" w:bidi="ar"/>
        </w:rPr>
        <w:t>项 目 名 称：</w:t>
      </w:r>
      <w:r>
        <w:rPr>
          <w:rFonts w:hint="eastAsia" w:ascii="微软雅黑" w:hAnsi="微软雅黑" w:eastAsia="微软雅黑" w:cs="微软雅黑"/>
          <w:color w:val="auto"/>
          <w:kern w:val="0"/>
          <w:sz w:val="32"/>
          <w:szCs w:val="32"/>
          <w:highlight w:val="none"/>
          <w:u w:val="single"/>
          <w:lang w:val="en-US" w:eastAsia="zh-CN" w:bidi="ar"/>
        </w:rPr>
        <w:t xml:space="preserve">                               </w:t>
      </w:r>
    </w:p>
    <w:p w14:paraId="32DC5330">
      <w:pPr>
        <w:keepNext w:val="0"/>
        <w:keepLines w:val="0"/>
        <w:widowControl/>
        <w:suppressLineNumbers w:val="0"/>
        <w:jc w:val="center"/>
        <w:rPr>
          <w:rFonts w:hint="eastAsia" w:ascii="微软雅黑" w:hAnsi="微软雅黑" w:eastAsia="微软雅黑" w:cs="微软雅黑"/>
          <w:color w:val="auto"/>
          <w:kern w:val="0"/>
          <w:sz w:val="32"/>
          <w:szCs w:val="32"/>
          <w:highlight w:val="none"/>
          <w:lang w:val="en-US" w:eastAsia="zh-CN" w:bidi="ar"/>
        </w:rPr>
      </w:pPr>
      <w:r>
        <w:rPr>
          <w:rFonts w:hint="eastAsia" w:ascii="微软雅黑" w:hAnsi="微软雅黑" w:eastAsia="微软雅黑" w:cs="微软雅黑"/>
          <w:color w:val="auto"/>
          <w:kern w:val="0"/>
          <w:sz w:val="32"/>
          <w:szCs w:val="32"/>
          <w:highlight w:val="none"/>
          <w:lang w:val="en-US" w:eastAsia="zh-CN" w:bidi="ar"/>
        </w:rPr>
        <w:t xml:space="preserve">  </w:t>
      </w:r>
    </w:p>
    <w:p w14:paraId="0D1F8E7F">
      <w:pPr>
        <w:keepNext w:val="0"/>
        <w:keepLines w:val="0"/>
        <w:widowControl/>
        <w:suppressLineNumbers w:val="0"/>
        <w:jc w:val="center"/>
        <w:rPr>
          <w:color w:val="auto"/>
          <w:sz w:val="32"/>
          <w:szCs w:val="32"/>
          <w:highlight w:val="none"/>
        </w:rPr>
      </w:pPr>
      <w:r>
        <w:rPr>
          <w:rFonts w:hint="eastAsia" w:ascii="微软雅黑" w:hAnsi="微软雅黑" w:eastAsia="微软雅黑" w:cs="微软雅黑"/>
          <w:color w:val="auto"/>
          <w:kern w:val="0"/>
          <w:sz w:val="32"/>
          <w:szCs w:val="32"/>
          <w:highlight w:val="none"/>
          <w:lang w:val="en-US" w:eastAsia="zh-CN" w:bidi="ar"/>
        </w:rPr>
        <w:t xml:space="preserve">  合 同 编 号：</w:t>
      </w:r>
      <w:r>
        <w:rPr>
          <w:rFonts w:hint="eastAsia" w:ascii="微软雅黑" w:hAnsi="微软雅黑" w:eastAsia="微软雅黑" w:cs="微软雅黑"/>
          <w:color w:val="auto"/>
          <w:kern w:val="0"/>
          <w:sz w:val="32"/>
          <w:szCs w:val="32"/>
          <w:highlight w:val="none"/>
          <w:u w:val="single"/>
          <w:lang w:val="en-US" w:eastAsia="zh-CN" w:bidi="ar"/>
        </w:rPr>
        <w:t xml:space="preserve">                               </w:t>
      </w:r>
      <w:r>
        <w:rPr>
          <w:rFonts w:hint="eastAsia" w:ascii="微软雅黑" w:hAnsi="微软雅黑" w:eastAsia="微软雅黑" w:cs="微软雅黑"/>
          <w:color w:val="auto"/>
          <w:kern w:val="0"/>
          <w:sz w:val="32"/>
          <w:szCs w:val="32"/>
          <w:highlight w:val="none"/>
          <w:u w:val="none"/>
          <w:lang w:val="en-US" w:eastAsia="zh-CN" w:bidi="ar"/>
        </w:rPr>
        <w:t>（系统编号）</w:t>
      </w:r>
    </w:p>
    <w:p w14:paraId="05748063">
      <w:pPr>
        <w:keepNext w:val="0"/>
        <w:keepLines w:val="0"/>
        <w:widowControl/>
        <w:suppressLineNumbers w:val="0"/>
        <w:jc w:val="center"/>
        <w:rPr>
          <w:rFonts w:hint="eastAsia" w:ascii="Tahoma" w:hAnsi="Tahoma" w:eastAsia="Tahoma" w:cs="Tahoma"/>
          <w:color w:val="auto"/>
          <w:kern w:val="0"/>
          <w:sz w:val="32"/>
          <w:szCs w:val="32"/>
          <w:highlight w:val="none"/>
          <w:lang w:val="en-US" w:eastAsia="zh-CN" w:bidi="ar"/>
        </w:rPr>
      </w:pPr>
      <w:r>
        <w:rPr>
          <w:rFonts w:hint="eastAsia" w:ascii="Tahoma" w:hAnsi="Tahoma" w:eastAsia="Tahoma" w:cs="Tahoma"/>
          <w:color w:val="auto"/>
          <w:kern w:val="0"/>
          <w:sz w:val="32"/>
          <w:szCs w:val="32"/>
          <w:highlight w:val="none"/>
          <w:lang w:val="en-US" w:eastAsia="zh-CN" w:bidi="ar"/>
        </w:rPr>
        <w:t>（自编号，如有）</w:t>
      </w:r>
    </w:p>
    <w:p w14:paraId="78AA6242">
      <w:pPr>
        <w:keepNext w:val="0"/>
        <w:keepLines w:val="0"/>
        <w:widowControl/>
        <w:suppressLineNumbers w:val="0"/>
        <w:jc w:val="center"/>
        <w:rPr>
          <w:rFonts w:hint="eastAsia" w:ascii="微软雅黑" w:hAnsi="微软雅黑" w:eastAsia="微软雅黑" w:cs="微软雅黑"/>
          <w:color w:val="auto"/>
          <w:kern w:val="0"/>
          <w:sz w:val="32"/>
          <w:szCs w:val="32"/>
          <w:highlight w:val="none"/>
          <w:lang w:val="en-US" w:eastAsia="zh-CN" w:bidi="ar"/>
        </w:rPr>
      </w:pPr>
    </w:p>
    <w:p w14:paraId="3D9400A5">
      <w:pPr>
        <w:keepNext w:val="0"/>
        <w:keepLines w:val="0"/>
        <w:widowControl/>
        <w:suppressLineNumbers w:val="0"/>
        <w:jc w:val="center"/>
        <w:rPr>
          <w:rFonts w:hint="eastAsia" w:ascii="微软雅黑" w:hAnsi="微软雅黑" w:eastAsia="微软雅黑" w:cs="微软雅黑"/>
          <w:color w:val="auto"/>
          <w:kern w:val="0"/>
          <w:sz w:val="32"/>
          <w:szCs w:val="32"/>
          <w:highlight w:val="none"/>
          <w:lang w:val="en-US" w:eastAsia="zh-CN" w:bidi="ar"/>
        </w:rPr>
      </w:pPr>
    </w:p>
    <w:p w14:paraId="78DF90DA">
      <w:pPr>
        <w:keepNext w:val="0"/>
        <w:keepLines w:val="0"/>
        <w:widowControl/>
        <w:suppressLineNumbers w:val="0"/>
        <w:jc w:val="center"/>
        <w:rPr>
          <w:rFonts w:hint="eastAsia" w:ascii="微软雅黑" w:hAnsi="微软雅黑" w:eastAsia="微软雅黑" w:cs="微软雅黑"/>
          <w:color w:val="auto"/>
          <w:kern w:val="0"/>
          <w:sz w:val="32"/>
          <w:szCs w:val="32"/>
          <w:highlight w:val="none"/>
          <w:lang w:val="en-US" w:eastAsia="zh-CN" w:bidi="ar"/>
        </w:rPr>
      </w:pPr>
    </w:p>
    <w:p w14:paraId="6DCA5814">
      <w:pPr>
        <w:keepNext w:val="0"/>
        <w:keepLines w:val="0"/>
        <w:widowControl/>
        <w:suppressLineNumbers w:val="0"/>
        <w:jc w:val="center"/>
        <w:rPr>
          <w:rFonts w:hint="eastAsia" w:ascii="微软雅黑" w:hAnsi="微软雅黑" w:eastAsia="微软雅黑" w:cs="微软雅黑"/>
          <w:color w:val="auto"/>
          <w:kern w:val="0"/>
          <w:sz w:val="32"/>
          <w:szCs w:val="32"/>
          <w:highlight w:val="none"/>
          <w:lang w:val="en-US" w:eastAsia="zh-CN" w:bidi="ar"/>
        </w:rPr>
      </w:pPr>
    </w:p>
    <w:p w14:paraId="33070088">
      <w:pPr>
        <w:keepNext w:val="0"/>
        <w:keepLines w:val="0"/>
        <w:widowControl/>
        <w:suppressLineNumbers w:val="0"/>
        <w:ind w:firstLine="320" w:firstLineChars="100"/>
        <w:jc w:val="both"/>
        <w:rPr>
          <w:rFonts w:hint="default"/>
          <w:color w:val="auto"/>
          <w:sz w:val="32"/>
          <w:szCs w:val="32"/>
          <w:highlight w:val="none"/>
          <w:lang w:val="en-US"/>
        </w:rPr>
      </w:pPr>
      <w:r>
        <w:rPr>
          <w:rFonts w:hint="eastAsia" w:ascii="微软雅黑" w:hAnsi="微软雅黑" w:eastAsia="微软雅黑" w:cs="微软雅黑"/>
          <w:color w:val="auto"/>
          <w:kern w:val="0"/>
          <w:sz w:val="32"/>
          <w:szCs w:val="32"/>
          <w:highlight w:val="none"/>
          <w:lang w:val="en-US" w:eastAsia="zh-CN" w:bidi="ar"/>
        </w:rPr>
        <w:t>甲  方：</w:t>
      </w:r>
      <w:r>
        <w:rPr>
          <w:rFonts w:hint="eastAsia" w:ascii="微软雅黑" w:hAnsi="微软雅黑" w:eastAsia="微软雅黑" w:cs="微软雅黑"/>
          <w:color w:val="auto"/>
          <w:kern w:val="0"/>
          <w:sz w:val="32"/>
          <w:szCs w:val="32"/>
          <w:highlight w:val="none"/>
          <w:u w:val="single"/>
          <w:lang w:val="en-US" w:eastAsia="zh-CN" w:bidi="ar"/>
        </w:rPr>
        <w:t xml:space="preserve">昆明市公安局 </w:t>
      </w:r>
    </w:p>
    <w:p w14:paraId="1879C46F">
      <w:pPr>
        <w:keepNext w:val="0"/>
        <w:keepLines w:val="0"/>
        <w:widowControl/>
        <w:suppressLineNumbers w:val="0"/>
        <w:jc w:val="center"/>
        <w:rPr>
          <w:rFonts w:hint="eastAsia" w:ascii="微软雅黑" w:hAnsi="微软雅黑" w:eastAsia="微软雅黑" w:cs="微软雅黑"/>
          <w:color w:val="auto"/>
          <w:kern w:val="0"/>
          <w:sz w:val="32"/>
          <w:szCs w:val="32"/>
          <w:highlight w:val="none"/>
          <w:lang w:val="en-US" w:eastAsia="zh-CN" w:bidi="ar"/>
        </w:rPr>
      </w:pPr>
    </w:p>
    <w:p w14:paraId="0C4EAA2D">
      <w:pPr>
        <w:keepNext w:val="0"/>
        <w:keepLines w:val="0"/>
        <w:widowControl/>
        <w:suppressLineNumbers w:val="0"/>
        <w:ind w:firstLine="320" w:firstLineChars="100"/>
        <w:jc w:val="both"/>
        <w:rPr>
          <w:rFonts w:hint="default"/>
          <w:color w:val="auto"/>
          <w:sz w:val="32"/>
          <w:szCs w:val="32"/>
          <w:highlight w:val="none"/>
          <w:u w:val="single"/>
          <w:lang w:val="en-US"/>
        </w:rPr>
      </w:pPr>
      <w:r>
        <w:rPr>
          <w:rFonts w:hint="eastAsia" w:ascii="微软雅黑" w:hAnsi="微软雅黑" w:eastAsia="微软雅黑" w:cs="微软雅黑"/>
          <w:color w:val="auto"/>
          <w:kern w:val="0"/>
          <w:sz w:val="32"/>
          <w:szCs w:val="32"/>
          <w:highlight w:val="none"/>
          <w:lang w:val="en-US" w:eastAsia="zh-CN" w:bidi="ar"/>
        </w:rPr>
        <w:t>乙  方：</w:t>
      </w:r>
      <w:r>
        <w:rPr>
          <w:rFonts w:hint="eastAsia" w:ascii="微软雅黑" w:hAnsi="微软雅黑" w:eastAsia="微软雅黑" w:cs="微软雅黑"/>
          <w:color w:val="auto"/>
          <w:kern w:val="0"/>
          <w:sz w:val="32"/>
          <w:szCs w:val="32"/>
          <w:highlight w:val="none"/>
          <w:u w:val="single"/>
          <w:lang w:val="en-US" w:eastAsia="zh-CN" w:bidi="ar"/>
        </w:rPr>
        <w:t xml:space="preserve">            .</w:t>
      </w:r>
    </w:p>
    <w:p w14:paraId="342E879F">
      <w:pPr>
        <w:spacing w:line="360" w:lineRule="auto"/>
        <w:rPr>
          <w:rFonts w:hint="eastAsia" w:ascii="宋体" w:hAnsi="宋体"/>
          <w:color w:val="auto"/>
          <w:kern w:val="0"/>
          <w:sz w:val="24"/>
          <w:highlight w:val="none"/>
        </w:rPr>
      </w:pPr>
      <w:r>
        <w:rPr>
          <w:rFonts w:hint="eastAsia" w:ascii="宋体" w:hAnsi="宋体"/>
          <w:color w:val="auto"/>
          <w:kern w:val="0"/>
          <w:sz w:val="24"/>
          <w:highlight w:val="none"/>
        </w:rPr>
        <w:t xml:space="preserve">   </w:t>
      </w:r>
    </w:p>
    <w:p w14:paraId="008D06E2">
      <w:pPr>
        <w:spacing w:line="600" w:lineRule="exact"/>
        <w:jc w:val="left"/>
        <w:rPr>
          <w:rFonts w:hint="eastAsia"/>
          <w:color w:val="auto"/>
          <w:sz w:val="24"/>
          <w:szCs w:val="28"/>
          <w:highlight w:val="none"/>
        </w:rPr>
      </w:pPr>
    </w:p>
    <w:p w14:paraId="45BC3476">
      <w:pPr>
        <w:rPr>
          <w:color w:val="auto"/>
          <w:highlight w:val="none"/>
        </w:rPr>
      </w:pPr>
    </w:p>
    <w:p w14:paraId="37A61996">
      <w:pPr>
        <w:rPr>
          <w:rFonts w:hint="eastAsia" w:ascii="宋体" w:hAnsi="宋体" w:cs="Tahoma"/>
          <w:b/>
          <w:bCs/>
          <w:color w:val="auto"/>
          <w:sz w:val="21"/>
          <w:szCs w:val="21"/>
          <w:highlight w:val="none"/>
        </w:rPr>
      </w:pPr>
      <w:r>
        <w:rPr>
          <w:rFonts w:hint="eastAsia" w:ascii="宋体" w:hAnsi="宋体" w:cs="Tahoma"/>
          <w:b/>
          <w:bCs/>
          <w:color w:val="auto"/>
          <w:sz w:val="21"/>
          <w:szCs w:val="21"/>
          <w:highlight w:val="none"/>
        </w:rPr>
        <w:br w:type="page"/>
      </w:r>
    </w:p>
    <w:p w14:paraId="49179660">
      <w:pPr>
        <w:keepNext w:val="0"/>
        <w:keepLines w:val="0"/>
        <w:pageBreakBefore w:val="0"/>
        <w:widowControl w:val="0"/>
        <w:kinsoku/>
        <w:wordWrap/>
        <w:overflowPunct/>
        <w:topLinePunct w:val="0"/>
        <w:bidi w:val="0"/>
        <w:snapToGrid/>
        <w:spacing w:line="440" w:lineRule="exact"/>
        <w:ind w:firstLine="458" w:firstLineChars="200"/>
        <w:jc w:val="center"/>
        <w:textAlignment w:val="auto"/>
        <w:rPr>
          <w:rFonts w:hint="eastAsia" w:asciiTheme="majorEastAsia" w:hAnsiTheme="majorEastAsia" w:eastAsiaTheme="majorEastAsia" w:cstheme="majorEastAsia"/>
          <w:b/>
          <w:bCs w:val="0"/>
          <w:color w:val="auto"/>
          <w:spacing w:val="-6"/>
          <w:sz w:val="24"/>
          <w:szCs w:val="24"/>
          <w:highlight w:val="none"/>
        </w:rPr>
      </w:pPr>
      <w:r>
        <w:rPr>
          <w:rFonts w:hint="eastAsia" w:asciiTheme="majorEastAsia" w:hAnsiTheme="majorEastAsia" w:eastAsiaTheme="majorEastAsia" w:cstheme="majorEastAsia"/>
          <w:b/>
          <w:bCs w:val="0"/>
          <w:color w:val="auto"/>
          <w:spacing w:val="-6"/>
          <w:sz w:val="24"/>
          <w:szCs w:val="24"/>
          <w:highlight w:val="none"/>
        </w:rPr>
        <w:t>（本合同仅供参考，内容以双方签订合同时为准）</w:t>
      </w:r>
    </w:p>
    <w:p w14:paraId="64A9B2FD">
      <w:pPr>
        <w:spacing w:line="480" w:lineRule="exact"/>
        <w:rPr>
          <w:rFonts w:ascii="宋体" w:hAnsi="宋体"/>
          <w:color w:val="auto"/>
          <w:szCs w:val="21"/>
          <w:highlight w:val="none"/>
        </w:rPr>
      </w:pPr>
      <w:r>
        <w:rPr>
          <w:rFonts w:hint="eastAsia" w:ascii="宋体" w:hAnsi="宋体"/>
          <w:color w:val="auto"/>
          <w:szCs w:val="21"/>
          <w:highlight w:val="none"/>
        </w:rPr>
        <w:t>甲方：</w:t>
      </w:r>
    </w:p>
    <w:p w14:paraId="7DFBD376">
      <w:pPr>
        <w:spacing w:line="480" w:lineRule="exact"/>
        <w:rPr>
          <w:rFonts w:ascii="宋体" w:hAnsi="宋体"/>
          <w:color w:val="auto"/>
          <w:szCs w:val="21"/>
          <w:highlight w:val="none"/>
        </w:rPr>
      </w:pPr>
      <w:r>
        <w:rPr>
          <w:rFonts w:hint="eastAsia" w:ascii="宋体" w:hAnsi="宋体"/>
          <w:color w:val="auto"/>
          <w:szCs w:val="21"/>
          <w:highlight w:val="none"/>
        </w:rPr>
        <w:t>乙方：</w:t>
      </w:r>
    </w:p>
    <w:p w14:paraId="5555D5FE">
      <w:pPr>
        <w:spacing w:line="400" w:lineRule="atLeast"/>
        <w:ind w:firstLine="420" w:firstLineChars="200"/>
        <w:rPr>
          <w:rFonts w:hint="eastAsia" w:ascii="宋体" w:hAnsi="宋体" w:cs="Times New Roman"/>
          <w:bCs/>
          <w:color w:val="auto"/>
          <w:szCs w:val="21"/>
          <w:highlight w:val="none"/>
        </w:rPr>
      </w:pPr>
      <w:r>
        <w:rPr>
          <w:rFonts w:hint="eastAsia" w:ascii="宋体" w:hAnsi="宋体" w:cs="Times New Roman"/>
          <w:bCs/>
          <w:color w:val="auto"/>
          <w:szCs w:val="21"/>
          <w:highlight w:val="none"/>
        </w:rPr>
        <w:t>根据《中华人民共和国政府采购法》、《中华人民共和国民法典》、 《中华人民共和国政府采购法实施条例》等相关法律法规的规定，甲乙遵循自愿、公平、合法、诚信的原则，就</w:t>
      </w:r>
      <w:r>
        <w:rPr>
          <w:rFonts w:hint="eastAsia" w:ascii="宋体" w:hAnsi="宋体" w:cs="Times New Roman"/>
          <w:bCs/>
          <w:color w:val="auto"/>
          <w:szCs w:val="21"/>
          <w:highlight w:val="none"/>
          <w:u w:val="single"/>
          <w:lang w:eastAsia="zh-CN"/>
        </w:rPr>
        <w:t>2025年防爆安检设备租赁</w:t>
      </w:r>
      <w:r>
        <w:rPr>
          <w:rFonts w:hint="eastAsia" w:ascii="宋体" w:hAnsi="宋体" w:cs="Times New Roman"/>
          <w:bCs/>
          <w:color w:val="auto"/>
          <w:szCs w:val="21"/>
          <w:highlight w:val="none"/>
        </w:rPr>
        <w:t>的</w:t>
      </w:r>
      <w:r>
        <w:rPr>
          <w:rFonts w:hint="eastAsia" w:ascii="宋体" w:hAnsi="宋体" w:cs="Times New Roman"/>
          <w:bCs/>
          <w:color w:val="auto"/>
          <w:szCs w:val="21"/>
          <w:highlight w:val="none"/>
          <w:lang w:val="en-US" w:eastAsia="zh-CN"/>
        </w:rPr>
        <w:t>租赁</w:t>
      </w:r>
      <w:r>
        <w:rPr>
          <w:rFonts w:hint="eastAsia" w:ascii="宋体" w:hAnsi="宋体" w:cs="Times New Roman"/>
          <w:bCs/>
          <w:color w:val="auto"/>
          <w:szCs w:val="21"/>
          <w:highlight w:val="none"/>
        </w:rPr>
        <w:t>服务，经协商一致，签订本合同。</w:t>
      </w:r>
    </w:p>
    <w:p w14:paraId="26B4FBB0">
      <w:pPr>
        <w:spacing w:line="400" w:lineRule="atLeast"/>
        <w:rPr>
          <w:rFonts w:ascii="宋体" w:hAnsi="宋体"/>
          <w:b/>
          <w:bCs/>
          <w:color w:val="auto"/>
          <w:szCs w:val="21"/>
          <w:highlight w:val="none"/>
        </w:rPr>
      </w:pPr>
      <w:r>
        <w:rPr>
          <w:rFonts w:hint="eastAsia" w:ascii="宋体" w:hAnsi="宋体"/>
          <w:b/>
          <w:bCs/>
          <w:color w:val="auto"/>
          <w:szCs w:val="21"/>
          <w:highlight w:val="none"/>
        </w:rPr>
        <w:t>一、租赁设备名称、规格型号、租赁价格</w:t>
      </w:r>
    </w:p>
    <w:p w14:paraId="6234ECAB">
      <w:pPr>
        <w:spacing w:line="400" w:lineRule="atLeast"/>
        <w:rPr>
          <w:rFonts w:ascii="宋体" w:hAnsi="宋体"/>
          <w:bCs/>
          <w:color w:val="auto"/>
          <w:szCs w:val="21"/>
          <w:highlight w:val="none"/>
        </w:rPr>
      </w:pPr>
      <w:r>
        <w:rPr>
          <w:rFonts w:hint="eastAsia" w:ascii="宋体" w:hAnsi="宋体"/>
          <w:color w:val="auto"/>
          <w:szCs w:val="21"/>
          <w:highlight w:val="none"/>
        </w:rPr>
        <w:t>1、设备</w:t>
      </w:r>
      <w:r>
        <w:rPr>
          <w:rFonts w:hint="eastAsia" w:ascii="宋体" w:hAnsi="宋体"/>
          <w:bCs/>
          <w:color w:val="auto"/>
          <w:szCs w:val="21"/>
          <w:highlight w:val="none"/>
        </w:rPr>
        <w:t>名称、品牌、型号、数量、租赁价格等详见下表：</w:t>
      </w:r>
    </w:p>
    <w:tbl>
      <w:tblPr>
        <w:tblStyle w:val="32"/>
        <w:tblW w:w="101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34" w:type="dxa"/>
          <w:bottom w:w="0" w:type="dxa"/>
          <w:right w:w="34" w:type="dxa"/>
        </w:tblCellMar>
      </w:tblPr>
      <w:tblGrid>
        <w:gridCol w:w="461"/>
        <w:gridCol w:w="1923"/>
        <w:gridCol w:w="1350"/>
        <w:gridCol w:w="825"/>
        <w:gridCol w:w="1602"/>
        <w:gridCol w:w="1510"/>
        <w:gridCol w:w="1265"/>
        <w:gridCol w:w="1224"/>
      </w:tblGrid>
      <w:tr w14:paraId="452A0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4" w:type="dxa"/>
            <w:bottom w:w="0" w:type="dxa"/>
            <w:right w:w="34" w:type="dxa"/>
          </w:tblCellMar>
        </w:tblPrEx>
        <w:trPr>
          <w:cantSplit/>
          <w:trHeight w:val="775" w:hRule="atLeast"/>
          <w:jc w:val="center"/>
        </w:trPr>
        <w:tc>
          <w:tcPr>
            <w:tcW w:w="461" w:type="dxa"/>
            <w:tcBorders>
              <w:tl2br w:val="nil"/>
              <w:tr2bl w:val="nil"/>
            </w:tcBorders>
            <w:noWrap/>
            <w:vAlign w:val="center"/>
          </w:tcPr>
          <w:p w14:paraId="0B4DF41F">
            <w:pPr>
              <w:spacing w:line="400" w:lineRule="atLeast"/>
              <w:jc w:val="center"/>
              <w:rPr>
                <w:rFonts w:ascii="宋体" w:hAnsi="宋体"/>
                <w:color w:val="auto"/>
                <w:szCs w:val="21"/>
                <w:highlight w:val="none"/>
              </w:rPr>
            </w:pPr>
            <w:r>
              <w:rPr>
                <w:rFonts w:hint="eastAsia" w:ascii="宋体" w:hAnsi="宋体"/>
                <w:color w:val="auto"/>
                <w:szCs w:val="21"/>
                <w:highlight w:val="none"/>
              </w:rPr>
              <w:t>序号</w:t>
            </w:r>
          </w:p>
        </w:tc>
        <w:tc>
          <w:tcPr>
            <w:tcW w:w="1923" w:type="dxa"/>
            <w:tcBorders>
              <w:tl2br w:val="nil"/>
              <w:tr2bl w:val="nil"/>
            </w:tcBorders>
            <w:noWrap/>
            <w:vAlign w:val="center"/>
          </w:tcPr>
          <w:p w14:paraId="4B424A3F">
            <w:pPr>
              <w:spacing w:line="400" w:lineRule="atLeast"/>
              <w:jc w:val="center"/>
              <w:rPr>
                <w:rFonts w:ascii="宋体" w:hAnsi="宋体"/>
                <w:color w:val="auto"/>
                <w:szCs w:val="21"/>
                <w:highlight w:val="none"/>
              </w:rPr>
            </w:pPr>
            <w:r>
              <w:rPr>
                <w:rFonts w:hint="eastAsia" w:ascii="宋体" w:hAnsi="宋体"/>
                <w:color w:val="auto"/>
                <w:szCs w:val="21"/>
                <w:highlight w:val="none"/>
              </w:rPr>
              <w:t>设备名称</w:t>
            </w:r>
          </w:p>
        </w:tc>
        <w:tc>
          <w:tcPr>
            <w:tcW w:w="1350" w:type="dxa"/>
            <w:tcBorders>
              <w:tl2br w:val="nil"/>
              <w:tr2bl w:val="nil"/>
            </w:tcBorders>
            <w:noWrap/>
            <w:vAlign w:val="center"/>
          </w:tcPr>
          <w:p w14:paraId="3DD03A8E">
            <w:pPr>
              <w:spacing w:line="400" w:lineRule="atLeast"/>
              <w:jc w:val="center"/>
              <w:rPr>
                <w:rFonts w:ascii="宋体" w:hAnsi="宋体"/>
                <w:color w:val="auto"/>
                <w:szCs w:val="21"/>
                <w:highlight w:val="none"/>
              </w:rPr>
            </w:pPr>
            <w:r>
              <w:rPr>
                <w:rFonts w:hint="eastAsia" w:ascii="宋体" w:hAnsi="宋体"/>
                <w:color w:val="auto"/>
                <w:szCs w:val="21"/>
                <w:highlight w:val="none"/>
              </w:rPr>
              <w:t>规格型号</w:t>
            </w:r>
          </w:p>
        </w:tc>
        <w:tc>
          <w:tcPr>
            <w:tcW w:w="825" w:type="dxa"/>
            <w:tcBorders>
              <w:tl2br w:val="nil"/>
              <w:tr2bl w:val="nil"/>
            </w:tcBorders>
            <w:noWrap/>
            <w:vAlign w:val="center"/>
          </w:tcPr>
          <w:p w14:paraId="269B7085">
            <w:pPr>
              <w:spacing w:line="400" w:lineRule="atLeast"/>
              <w:jc w:val="center"/>
              <w:rPr>
                <w:rFonts w:ascii="宋体" w:hAnsi="宋体"/>
                <w:color w:val="auto"/>
                <w:szCs w:val="21"/>
                <w:highlight w:val="none"/>
              </w:rPr>
            </w:pPr>
            <w:r>
              <w:rPr>
                <w:rFonts w:hint="eastAsia" w:ascii="宋体" w:hAnsi="宋体"/>
                <w:color w:val="auto"/>
                <w:szCs w:val="21"/>
                <w:highlight w:val="none"/>
              </w:rPr>
              <w:t>单位</w:t>
            </w:r>
          </w:p>
        </w:tc>
        <w:tc>
          <w:tcPr>
            <w:tcW w:w="1602" w:type="dxa"/>
            <w:tcBorders>
              <w:tl2br w:val="nil"/>
              <w:tr2bl w:val="nil"/>
            </w:tcBorders>
            <w:noWrap/>
            <w:vAlign w:val="center"/>
          </w:tcPr>
          <w:p w14:paraId="1C197F59">
            <w:pPr>
              <w:spacing w:line="400" w:lineRule="atLeast"/>
              <w:jc w:val="center"/>
              <w:rPr>
                <w:rFonts w:ascii="宋体" w:hAnsi="宋体"/>
                <w:color w:val="auto"/>
                <w:szCs w:val="21"/>
                <w:highlight w:val="none"/>
              </w:rPr>
            </w:pPr>
            <w:r>
              <w:rPr>
                <w:rFonts w:hint="eastAsia" w:ascii="宋体" w:hAnsi="宋体"/>
                <w:color w:val="auto"/>
                <w:szCs w:val="21"/>
                <w:highlight w:val="none"/>
              </w:rPr>
              <w:t>租价/每次</w:t>
            </w:r>
          </w:p>
          <w:p w14:paraId="4B54578D">
            <w:pPr>
              <w:spacing w:line="400" w:lineRule="atLeast"/>
              <w:jc w:val="center"/>
              <w:rPr>
                <w:rFonts w:ascii="宋体" w:hAnsi="宋体"/>
                <w:color w:val="auto"/>
                <w:szCs w:val="21"/>
                <w:highlight w:val="none"/>
              </w:rPr>
            </w:pPr>
            <w:r>
              <w:rPr>
                <w:rFonts w:hint="eastAsia" w:ascii="宋体" w:hAnsi="宋体"/>
                <w:color w:val="auto"/>
                <w:szCs w:val="21"/>
                <w:highlight w:val="none"/>
              </w:rPr>
              <w:t>（元）</w:t>
            </w:r>
          </w:p>
        </w:tc>
        <w:tc>
          <w:tcPr>
            <w:tcW w:w="1510" w:type="dxa"/>
            <w:tcBorders>
              <w:tl2br w:val="nil"/>
              <w:tr2bl w:val="nil"/>
            </w:tcBorders>
            <w:noWrap/>
            <w:vAlign w:val="center"/>
          </w:tcPr>
          <w:p w14:paraId="1B3341B0">
            <w:pPr>
              <w:spacing w:line="400" w:lineRule="atLeast"/>
              <w:jc w:val="center"/>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优惠率</w:t>
            </w:r>
          </w:p>
        </w:tc>
        <w:tc>
          <w:tcPr>
            <w:tcW w:w="1265" w:type="dxa"/>
            <w:tcBorders>
              <w:tl2br w:val="nil"/>
              <w:tr2bl w:val="nil"/>
            </w:tcBorders>
            <w:noWrap/>
            <w:vAlign w:val="center"/>
          </w:tcPr>
          <w:p w14:paraId="61D39157">
            <w:pPr>
              <w:spacing w:line="400" w:lineRule="atLeast"/>
              <w:jc w:val="center"/>
              <w:rPr>
                <w:rFonts w:ascii="宋体" w:hAnsi="宋体"/>
                <w:color w:val="auto"/>
                <w:szCs w:val="21"/>
                <w:highlight w:val="none"/>
              </w:rPr>
            </w:pPr>
            <w:r>
              <w:rPr>
                <w:rFonts w:hint="eastAsia" w:ascii="宋体" w:hAnsi="宋体"/>
                <w:color w:val="auto"/>
                <w:szCs w:val="21"/>
                <w:highlight w:val="none"/>
              </w:rPr>
              <w:t>租期</w:t>
            </w:r>
          </w:p>
        </w:tc>
        <w:tc>
          <w:tcPr>
            <w:tcW w:w="1224" w:type="dxa"/>
            <w:tcBorders>
              <w:tl2br w:val="nil"/>
              <w:tr2bl w:val="nil"/>
            </w:tcBorders>
            <w:noWrap/>
            <w:vAlign w:val="center"/>
          </w:tcPr>
          <w:p w14:paraId="6DE69F3F">
            <w:pPr>
              <w:spacing w:line="400" w:lineRule="atLeast"/>
              <w:jc w:val="center"/>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备注</w:t>
            </w:r>
          </w:p>
        </w:tc>
      </w:tr>
      <w:tr w14:paraId="0D7A1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4" w:type="dxa"/>
            <w:bottom w:w="0" w:type="dxa"/>
            <w:right w:w="34" w:type="dxa"/>
          </w:tblCellMar>
        </w:tblPrEx>
        <w:trPr>
          <w:cantSplit/>
          <w:trHeight w:val="775" w:hRule="atLeast"/>
          <w:jc w:val="center"/>
        </w:trPr>
        <w:tc>
          <w:tcPr>
            <w:tcW w:w="461" w:type="dxa"/>
            <w:tcBorders>
              <w:tl2br w:val="nil"/>
              <w:tr2bl w:val="nil"/>
            </w:tcBorders>
            <w:noWrap/>
            <w:vAlign w:val="center"/>
          </w:tcPr>
          <w:p w14:paraId="645F6EB9">
            <w:pPr>
              <w:spacing w:line="400" w:lineRule="atLeast"/>
              <w:jc w:val="center"/>
              <w:rPr>
                <w:rFonts w:ascii="宋体" w:hAnsi="宋体"/>
                <w:color w:val="auto"/>
                <w:szCs w:val="21"/>
                <w:highlight w:val="none"/>
              </w:rPr>
            </w:pPr>
            <w:r>
              <w:rPr>
                <w:rFonts w:hint="eastAsia" w:ascii="宋体" w:hAnsi="宋体"/>
                <w:color w:val="auto"/>
                <w:szCs w:val="21"/>
                <w:highlight w:val="none"/>
              </w:rPr>
              <w:t>1</w:t>
            </w:r>
          </w:p>
        </w:tc>
        <w:tc>
          <w:tcPr>
            <w:tcW w:w="1923" w:type="dxa"/>
            <w:tcBorders>
              <w:tl2br w:val="nil"/>
              <w:tr2bl w:val="nil"/>
            </w:tcBorders>
            <w:noWrap/>
            <w:vAlign w:val="center"/>
          </w:tcPr>
          <w:p w14:paraId="3C985962">
            <w:pPr>
              <w:spacing w:line="400" w:lineRule="atLeast"/>
              <w:jc w:val="center"/>
              <w:rPr>
                <w:rFonts w:ascii="宋体" w:hAnsi="宋体"/>
                <w:color w:val="auto"/>
                <w:szCs w:val="21"/>
                <w:highlight w:val="none"/>
              </w:rPr>
            </w:pPr>
          </w:p>
        </w:tc>
        <w:tc>
          <w:tcPr>
            <w:tcW w:w="1350" w:type="dxa"/>
            <w:tcBorders>
              <w:tl2br w:val="nil"/>
              <w:tr2bl w:val="nil"/>
            </w:tcBorders>
            <w:noWrap/>
            <w:vAlign w:val="center"/>
          </w:tcPr>
          <w:p w14:paraId="69E3A318">
            <w:pPr>
              <w:spacing w:line="400" w:lineRule="atLeast"/>
              <w:jc w:val="center"/>
              <w:rPr>
                <w:rFonts w:ascii="宋体" w:hAnsi="宋体"/>
                <w:color w:val="auto"/>
                <w:szCs w:val="21"/>
                <w:highlight w:val="none"/>
              </w:rPr>
            </w:pPr>
          </w:p>
        </w:tc>
        <w:tc>
          <w:tcPr>
            <w:tcW w:w="825" w:type="dxa"/>
            <w:tcBorders>
              <w:tl2br w:val="nil"/>
              <w:tr2bl w:val="nil"/>
            </w:tcBorders>
            <w:noWrap/>
            <w:vAlign w:val="center"/>
          </w:tcPr>
          <w:p w14:paraId="18C64AB9">
            <w:pPr>
              <w:spacing w:line="400" w:lineRule="atLeast"/>
              <w:jc w:val="center"/>
              <w:rPr>
                <w:rFonts w:ascii="宋体" w:hAnsi="宋体"/>
                <w:color w:val="auto"/>
                <w:szCs w:val="21"/>
                <w:highlight w:val="none"/>
              </w:rPr>
            </w:pPr>
          </w:p>
        </w:tc>
        <w:tc>
          <w:tcPr>
            <w:tcW w:w="1602" w:type="dxa"/>
            <w:tcBorders>
              <w:tl2br w:val="nil"/>
              <w:tr2bl w:val="nil"/>
            </w:tcBorders>
            <w:noWrap/>
            <w:vAlign w:val="center"/>
          </w:tcPr>
          <w:p w14:paraId="0C8C9499">
            <w:pPr>
              <w:spacing w:line="400" w:lineRule="atLeast"/>
              <w:jc w:val="center"/>
              <w:rPr>
                <w:rFonts w:ascii="宋体" w:hAnsi="宋体"/>
                <w:color w:val="auto"/>
                <w:szCs w:val="21"/>
                <w:highlight w:val="none"/>
              </w:rPr>
            </w:pPr>
          </w:p>
        </w:tc>
        <w:tc>
          <w:tcPr>
            <w:tcW w:w="1510" w:type="dxa"/>
            <w:vMerge w:val="restart"/>
            <w:tcBorders>
              <w:tl2br w:val="nil"/>
              <w:tr2bl w:val="nil"/>
            </w:tcBorders>
            <w:noWrap/>
            <w:vAlign w:val="center"/>
          </w:tcPr>
          <w:p w14:paraId="6BC84D8F">
            <w:pPr>
              <w:spacing w:line="400" w:lineRule="atLeast"/>
              <w:jc w:val="center"/>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下浮</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none"/>
                <w:lang w:val="en-US" w:eastAsia="zh-CN"/>
              </w:rPr>
              <w:t>%</w:t>
            </w:r>
          </w:p>
        </w:tc>
        <w:tc>
          <w:tcPr>
            <w:tcW w:w="1265" w:type="dxa"/>
            <w:vMerge w:val="restart"/>
            <w:tcBorders>
              <w:tl2br w:val="nil"/>
              <w:tr2bl w:val="nil"/>
            </w:tcBorders>
            <w:noWrap/>
            <w:vAlign w:val="center"/>
          </w:tcPr>
          <w:p w14:paraId="01E2C8BA">
            <w:pPr>
              <w:spacing w:line="400" w:lineRule="atLeast"/>
              <w:jc w:val="center"/>
              <w:rPr>
                <w:rFonts w:ascii="宋体" w:hAnsi="宋体"/>
                <w:color w:val="auto"/>
                <w:szCs w:val="21"/>
                <w:highlight w:val="none"/>
              </w:rPr>
            </w:pPr>
            <w:r>
              <w:rPr>
                <w:rFonts w:hint="eastAsia" w:ascii="宋体" w:hAnsi="宋体"/>
                <w:color w:val="auto"/>
                <w:szCs w:val="21"/>
                <w:highlight w:val="none"/>
              </w:rPr>
              <w:t>以实际产生为准</w:t>
            </w:r>
          </w:p>
        </w:tc>
        <w:tc>
          <w:tcPr>
            <w:tcW w:w="1224" w:type="dxa"/>
            <w:vMerge w:val="restart"/>
            <w:tcBorders>
              <w:tl2br w:val="nil"/>
              <w:tr2bl w:val="nil"/>
            </w:tcBorders>
            <w:noWrap/>
            <w:vAlign w:val="center"/>
          </w:tcPr>
          <w:p w14:paraId="680D0000">
            <w:pPr>
              <w:spacing w:line="400" w:lineRule="atLeast"/>
              <w:jc w:val="center"/>
              <w:rPr>
                <w:rFonts w:hint="eastAsia" w:ascii="宋体" w:hAnsi="宋体"/>
                <w:color w:val="auto"/>
                <w:szCs w:val="21"/>
                <w:highlight w:val="none"/>
              </w:rPr>
            </w:pPr>
            <w:r>
              <w:rPr>
                <w:rFonts w:hint="eastAsia" w:ascii="宋体" w:hAnsi="宋体"/>
                <w:color w:val="auto"/>
                <w:szCs w:val="21"/>
                <w:highlight w:val="none"/>
                <w:lang w:val="en-US" w:eastAsia="zh-CN"/>
              </w:rPr>
              <w:t>如涉及东川区、磨憨开发区按</w:t>
            </w:r>
            <w:r>
              <w:rPr>
                <w:rFonts w:hint="default" w:ascii="宋体" w:hAnsi="宋体"/>
                <w:color w:val="auto"/>
                <w:szCs w:val="21"/>
                <w:highlight w:val="none"/>
                <w:lang w:val="en-US" w:eastAsia="zh-CN"/>
              </w:rPr>
              <w:t>物流</w:t>
            </w:r>
            <w:r>
              <w:rPr>
                <w:rFonts w:hint="eastAsia" w:ascii="宋体" w:hAnsi="宋体"/>
                <w:color w:val="auto"/>
                <w:szCs w:val="21"/>
                <w:highlight w:val="none"/>
                <w:lang w:val="en-US" w:eastAsia="zh-CN"/>
              </w:rPr>
              <w:t>标准</w:t>
            </w:r>
            <w:r>
              <w:rPr>
                <w:rFonts w:hint="default" w:ascii="宋体" w:hAnsi="宋体"/>
                <w:color w:val="auto"/>
                <w:szCs w:val="21"/>
                <w:highlight w:val="none"/>
                <w:lang w:val="en-US" w:eastAsia="zh-CN"/>
              </w:rPr>
              <w:t>适当</w:t>
            </w:r>
            <w:r>
              <w:rPr>
                <w:rFonts w:hint="eastAsia" w:ascii="宋体" w:hAnsi="宋体"/>
                <w:color w:val="auto"/>
                <w:szCs w:val="21"/>
                <w:highlight w:val="none"/>
                <w:lang w:val="en-US" w:eastAsia="zh-CN"/>
              </w:rPr>
              <w:t>增加设备运输费用和差旅费（参照甲方差旅费标准）。</w:t>
            </w:r>
          </w:p>
        </w:tc>
      </w:tr>
      <w:tr w14:paraId="25AE2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4" w:type="dxa"/>
            <w:bottom w:w="0" w:type="dxa"/>
            <w:right w:w="34" w:type="dxa"/>
          </w:tblCellMar>
        </w:tblPrEx>
        <w:trPr>
          <w:cantSplit/>
          <w:trHeight w:val="775" w:hRule="atLeast"/>
          <w:jc w:val="center"/>
        </w:trPr>
        <w:tc>
          <w:tcPr>
            <w:tcW w:w="461" w:type="dxa"/>
            <w:tcBorders>
              <w:tl2br w:val="nil"/>
              <w:tr2bl w:val="nil"/>
            </w:tcBorders>
            <w:noWrap/>
            <w:vAlign w:val="center"/>
          </w:tcPr>
          <w:p w14:paraId="5EFB9674">
            <w:pPr>
              <w:spacing w:line="400" w:lineRule="atLeast"/>
              <w:jc w:val="center"/>
              <w:rPr>
                <w:rFonts w:ascii="宋体" w:hAnsi="宋体"/>
                <w:color w:val="auto"/>
                <w:szCs w:val="21"/>
                <w:highlight w:val="none"/>
              </w:rPr>
            </w:pPr>
            <w:r>
              <w:rPr>
                <w:rFonts w:hint="eastAsia" w:ascii="宋体" w:hAnsi="宋体"/>
                <w:color w:val="auto"/>
                <w:szCs w:val="21"/>
                <w:highlight w:val="none"/>
              </w:rPr>
              <w:t>2</w:t>
            </w:r>
          </w:p>
        </w:tc>
        <w:tc>
          <w:tcPr>
            <w:tcW w:w="1923" w:type="dxa"/>
            <w:tcBorders>
              <w:tl2br w:val="nil"/>
              <w:tr2bl w:val="nil"/>
            </w:tcBorders>
            <w:noWrap/>
            <w:vAlign w:val="center"/>
          </w:tcPr>
          <w:p w14:paraId="14757D02">
            <w:pPr>
              <w:spacing w:line="400" w:lineRule="atLeast"/>
              <w:jc w:val="center"/>
              <w:rPr>
                <w:rFonts w:ascii="宋体" w:hAnsi="宋体" w:cs="宋体"/>
                <w:color w:val="auto"/>
                <w:szCs w:val="21"/>
                <w:highlight w:val="none"/>
              </w:rPr>
            </w:pPr>
          </w:p>
        </w:tc>
        <w:tc>
          <w:tcPr>
            <w:tcW w:w="1350" w:type="dxa"/>
            <w:tcBorders>
              <w:tl2br w:val="nil"/>
              <w:tr2bl w:val="nil"/>
            </w:tcBorders>
            <w:noWrap/>
            <w:vAlign w:val="center"/>
          </w:tcPr>
          <w:p w14:paraId="665D2FAE">
            <w:pPr>
              <w:spacing w:line="400" w:lineRule="atLeast"/>
              <w:jc w:val="center"/>
              <w:rPr>
                <w:rFonts w:ascii="宋体" w:hAnsi="宋体" w:cs="宋体"/>
                <w:color w:val="auto"/>
                <w:szCs w:val="21"/>
                <w:highlight w:val="none"/>
              </w:rPr>
            </w:pPr>
          </w:p>
        </w:tc>
        <w:tc>
          <w:tcPr>
            <w:tcW w:w="825" w:type="dxa"/>
            <w:tcBorders>
              <w:tl2br w:val="nil"/>
              <w:tr2bl w:val="nil"/>
            </w:tcBorders>
            <w:noWrap/>
            <w:vAlign w:val="center"/>
          </w:tcPr>
          <w:p w14:paraId="11127A6C">
            <w:pPr>
              <w:spacing w:line="400" w:lineRule="atLeast"/>
              <w:jc w:val="center"/>
              <w:rPr>
                <w:rFonts w:ascii="宋体" w:hAnsi="宋体"/>
                <w:color w:val="auto"/>
                <w:szCs w:val="21"/>
                <w:highlight w:val="none"/>
              </w:rPr>
            </w:pPr>
          </w:p>
        </w:tc>
        <w:tc>
          <w:tcPr>
            <w:tcW w:w="1602" w:type="dxa"/>
            <w:tcBorders>
              <w:tl2br w:val="nil"/>
              <w:tr2bl w:val="nil"/>
            </w:tcBorders>
            <w:noWrap/>
            <w:vAlign w:val="center"/>
          </w:tcPr>
          <w:p w14:paraId="307FE4C1">
            <w:pPr>
              <w:spacing w:line="400" w:lineRule="atLeast"/>
              <w:jc w:val="center"/>
              <w:rPr>
                <w:rFonts w:ascii="宋体" w:hAnsi="宋体"/>
                <w:color w:val="auto"/>
                <w:szCs w:val="21"/>
                <w:highlight w:val="none"/>
              </w:rPr>
            </w:pPr>
          </w:p>
        </w:tc>
        <w:tc>
          <w:tcPr>
            <w:tcW w:w="1510" w:type="dxa"/>
            <w:vMerge w:val="continue"/>
            <w:tcBorders>
              <w:tl2br w:val="nil"/>
              <w:tr2bl w:val="nil"/>
            </w:tcBorders>
            <w:noWrap/>
            <w:vAlign w:val="center"/>
          </w:tcPr>
          <w:p w14:paraId="07643144">
            <w:pPr>
              <w:spacing w:line="400" w:lineRule="atLeast"/>
              <w:jc w:val="center"/>
              <w:rPr>
                <w:rFonts w:ascii="宋体" w:hAnsi="宋体"/>
                <w:color w:val="auto"/>
                <w:szCs w:val="21"/>
                <w:highlight w:val="none"/>
              </w:rPr>
            </w:pPr>
          </w:p>
        </w:tc>
        <w:tc>
          <w:tcPr>
            <w:tcW w:w="1265" w:type="dxa"/>
            <w:vMerge w:val="continue"/>
            <w:tcBorders>
              <w:tl2br w:val="nil"/>
              <w:tr2bl w:val="nil"/>
            </w:tcBorders>
            <w:noWrap/>
            <w:vAlign w:val="center"/>
          </w:tcPr>
          <w:p w14:paraId="0459B61E">
            <w:pPr>
              <w:spacing w:line="400" w:lineRule="atLeast"/>
              <w:jc w:val="center"/>
              <w:rPr>
                <w:rFonts w:ascii="宋体" w:hAnsi="宋体"/>
                <w:color w:val="auto"/>
                <w:szCs w:val="21"/>
                <w:highlight w:val="none"/>
              </w:rPr>
            </w:pPr>
          </w:p>
        </w:tc>
        <w:tc>
          <w:tcPr>
            <w:tcW w:w="1224" w:type="dxa"/>
            <w:vMerge w:val="continue"/>
            <w:tcBorders>
              <w:tl2br w:val="nil"/>
              <w:tr2bl w:val="nil"/>
            </w:tcBorders>
            <w:noWrap/>
            <w:vAlign w:val="center"/>
          </w:tcPr>
          <w:p w14:paraId="6B04694F">
            <w:pPr>
              <w:spacing w:line="400" w:lineRule="atLeast"/>
              <w:jc w:val="center"/>
              <w:rPr>
                <w:rFonts w:ascii="宋体" w:hAnsi="宋体"/>
                <w:color w:val="auto"/>
                <w:szCs w:val="21"/>
                <w:highlight w:val="none"/>
              </w:rPr>
            </w:pPr>
          </w:p>
        </w:tc>
      </w:tr>
      <w:tr w14:paraId="05207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4" w:type="dxa"/>
            <w:bottom w:w="0" w:type="dxa"/>
            <w:right w:w="34" w:type="dxa"/>
          </w:tblCellMar>
        </w:tblPrEx>
        <w:trPr>
          <w:cantSplit/>
          <w:trHeight w:val="775" w:hRule="atLeast"/>
          <w:jc w:val="center"/>
        </w:trPr>
        <w:tc>
          <w:tcPr>
            <w:tcW w:w="461" w:type="dxa"/>
            <w:tcBorders>
              <w:tl2br w:val="nil"/>
              <w:tr2bl w:val="nil"/>
            </w:tcBorders>
            <w:noWrap/>
            <w:vAlign w:val="center"/>
          </w:tcPr>
          <w:p w14:paraId="3D268266">
            <w:pPr>
              <w:spacing w:line="400" w:lineRule="atLeast"/>
              <w:jc w:val="center"/>
              <w:rPr>
                <w:rFonts w:ascii="宋体" w:hAnsi="宋体"/>
                <w:color w:val="auto"/>
                <w:szCs w:val="21"/>
                <w:highlight w:val="none"/>
              </w:rPr>
            </w:pPr>
            <w:r>
              <w:rPr>
                <w:rFonts w:hint="eastAsia" w:ascii="宋体" w:hAnsi="宋体"/>
                <w:color w:val="auto"/>
                <w:szCs w:val="21"/>
                <w:highlight w:val="none"/>
              </w:rPr>
              <w:t>3</w:t>
            </w:r>
          </w:p>
        </w:tc>
        <w:tc>
          <w:tcPr>
            <w:tcW w:w="1923" w:type="dxa"/>
            <w:tcBorders>
              <w:tl2br w:val="nil"/>
              <w:tr2bl w:val="nil"/>
            </w:tcBorders>
            <w:noWrap/>
            <w:vAlign w:val="center"/>
          </w:tcPr>
          <w:p w14:paraId="1D1285B2">
            <w:pPr>
              <w:spacing w:line="400" w:lineRule="atLeast"/>
              <w:jc w:val="center"/>
              <w:rPr>
                <w:rFonts w:ascii="宋体" w:hAnsi="宋体"/>
                <w:color w:val="auto"/>
                <w:szCs w:val="21"/>
                <w:highlight w:val="none"/>
              </w:rPr>
            </w:pPr>
          </w:p>
        </w:tc>
        <w:tc>
          <w:tcPr>
            <w:tcW w:w="1350" w:type="dxa"/>
            <w:tcBorders>
              <w:tl2br w:val="nil"/>
              <w:tr2bl w:val="nil"/>
            </w:tcBorders>
            <w:noWrap/>
            <w:vAlign w:val="center"/>
          </w:tcPr>
          <w:p w14:paraId="7D4B19A9">
            <w:pPr>
              <w:spacing w:line="400" w:lineRule="atLeast"/>
              <w:jc w:val="center"/>
              <w:rPr>
                <w:rFonts w:ascii="宋体" w:hAnsi="宋体" w:cs="宋体"/>
                <w:color w:val="auto"/>
                <w:szCs w:val="21"/>
                <w:highlight w:val="none"/>
              </w:rPr>
            </w:pPr>
          </w:p>
        </w:tc>
        <w:tc>
          <w:tcPr>
            <w:tcW w:w="825" w:type="dxa"/>
            <w:tcBorders>
              <w:tl2br w:val="nil"/>
              <w:tr2bl w:val="nil"/>
            </w:tcBorders>
            <w:noWrap/>
            <w:vAlign w:val="center"/>
          </w:tcPr>
          <w:p w14:paraId="70EBFA49">
            <w:pPr>
              <w:spacing w:line="400" w:lineRule="atLeast"/>
              <w:jc w:val="center"/>
              <w:rPr>
                <w:rFonts w:ascii="宋体" w:hAnsi="宋体"/>
                <w:bCs/>
                <w:color w:val="auto"/>
                <w:szCs w:val="21"/>
                <w:highlight w:val="none"/>
              </w:rPr>
            </w:pPr>
          </w:p>
        </w:tc>
        <w:tc>
          <w:tcPr>
            <w:tcW w:w="1602" w:type="dxa"/>
            <w:tcBorders>
              <w:tl2br w:val="nil"/>
              <w:tr2bl w:val="nil"/>
            </w:tcBorders>
            <w:noWrap/>
            <w:vAlign w:val="center"/>
          </w:tcPr>
          <w:p w14:paraId="55840C7D">
            <w:pPr>
              <w:spacing w:line="400" w:lineRule="atLeast"/>
              <w:jc w:val="center"/>
              <w:rPr>
                <w:rFonts w:ascii="宋体" w:hAnsi="宋体"/>
                <w:color w:val="auto"/>
                <w:szCs w:val="21"/>
                <w:highlight w:val="none"/>
              </w:rPr>
            </w:pPr>
          </w:p>
        </w:tc>
        <w:tc>
          <w:tcPr>
            <w:tcW w:w="1510" w:type="dxa"/>
            <w:vMerge w:val="continue"/>
            <w:tcBorders>
              <w:tl2br w:val="nil"/>
              <w:tr2bl w:val="nil"/>
            </w:tcBorders>
            <w:noWrap/>
            <w:vAlign w:val="center"/>
          </w:tcPr>
          <w:p w14:paraId="58F00301">
            <w:pPr>
              <w:spacing w:line="400" w:lineRule="atLeast"/>
              <w:jc w:val="center"/>
              <w:rPr>
                <w:rFonts w:ascii="宋体" w:hAnsi="宋体"/>
                <w:color w:val="auto"/>
                <w:szCs w:val="21"/>
                <w:highlight w:val="none"/>
              </w:rPr>
            </w:pPr>
          </w:p>
        </w:tc>
        <w:tc>
          <w:tcPr>
            <w:tcW w:w="1265" w:type="dxa"/>
            <w:vMerge w:val="continue"/>
            <w:tcBorders>
              <w:tl2br w:val="nil"/>
              <w:tr2bl w:val="nil"/>
            </w:tcBorders>
            <w:noWrap/>
            <w:vAlign w:val="center"/>
          </w:tcPr>
          <w:p w14:paraId="3FE43CBA">
            <w:pPr>
              <w:spacing w:line="400" w:lineRule="atLeast"/>
              <w:jc w:val="center"/>
              <w:rPr>
                <w:rFonts w:ascii="宋体" w:hAnsi="宋体"/>
                <w:color w:val="auto"/>
                <w:szCs w:val="21"/>
                <w:highlight w:val="none"/>
              </w:rPr>
            </w:pPr>
          </w:p>
        </w:tc>
        <w:tc>
          <w:tcPr>
            <w:tcW w:w="1224" w:type="dxa"/>
            <w:vMerge w:val="continue"/>
            <w:tcBorders>
              <w:tl2br w:val="nil"/>
              <w:tr2bl w:val="nil"/>
            </w:tcBorders>
            <w:noWrap/>
            <w:vAlign w:val="center"/>
          </w:tcPr>
          <w:p w14:paraId="496962AF">
            <w:pPr>
              <w:spacing w:line="400" w:lineRule="atLeast"/>
              <w:jc w:val="center"/>
              <w:rPr>
                <w:rFonts w:ascii="宋体" w:hAnsi="宋体"/>
                <w:color w:val="auto"/>
                <w:szCs w:val="21"/>
                <w:highlight w:val="none"/>
              </w:rPr>
            </w:pPr>
          </w:p>
        </w:tc>
      </w:tr>
      <w:tr w14:paraId="46C66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4" w:type="dxa"/>
            <w:bottom w:w="0" w:type="dxa"/>
            <w:right w:w="34" w:type="dxa"/>
          </w:tblCellMar>
        </w:tblPrEx>
        <w:trPr>
          <w:cantSplit/>
          <w:trHeight w:val="775" w:hRule="atLeast"/>
          <w:jc w:val="center"/>
        </w:trPr>
        <w:tc>
          <w:tcPr>
            <w:tcW w:w="461" w:type="dxa"/>
            <w:tcBorders>
              <w:tl2br w:val="nil"/>
              <w:tr2bl w:val="nil"/>
            </w:tcBorders>
            <w:noWrap/>
            <w:vAlign w:val="center"/>
          </w:tcPr>
          <w:p w14:paraId="3DD13BBC">
            <w:pPr>
              <w:spacing w:line="400" w:lineRule="atLeast"/>
              <w:jc w:val="center"/>
              <w:rPr>
                <w:rFonts w:ascii="宋体" w:hAnsi="宋体"/>
                <w:color w:val="auto"/>
                <w:szCs w:val="21"/>
                <w:highlight w:val="none"/>
              </w:rPr>
            </w:pPr>
            <w:r>
              <w:rPr>
                <w:rFonts w:hint="eastAsia" w:ascii="宋体" w:hAnsi="宋体"/>
                <w:color w:val="auto"/>
                <w:szCs w:val="21"/>
                <w:highlight w:val="none"/>
              </w:rPr>
              <w:t>4</w:t>
            </w:r>
          </w:p>
        </w:tc>
        <w:tc>
          <w:tcPr>
            <w:tcW w:w="1923" w:type="dxa"/>
            <w:tcBorders>
              <w:tl2br w:val="nil"/>
              <w:tr2bl w:val="nil"/>
            </w:tcBorders>
            <w:noWrap/>
            <w:vAlign w:val="center"/>
          </w:tcPr>
          <w:p w14:paraId="71542C3B">
            <w:pPr>
              <w:spacing w:line="400" w:lineRule="atLeast"/>
              <w:jc w:val="center"/>
              <w:rPr>
                <w:rFonts w:ascii="宋体" w:hAnsi="宋体" w:cs="宋体"/>
                <w:color w:val="auto"/>
                <w:szCs w:val="21"/>
                <w:highlight w:val="none"/>
              </w:rPr>
            </w:pPr>
          </w:p>
        </w:tc>
        <w:tc>
          <w:tcPr>
            <w:tcW w:w="1350" w:type="dxa"/>
            <w:tcBorders>
              <w:tl2br w:val="nil"/>
              <w:tr2bl w:val="nil"/>
            </w:tcBorders>
            <w:noWrap/>
            <w:vAlign w:val="center"/>
          </w:tcPr>
          <w:p w14:paraId="0992F67C">
            <w:pPr>
              <w:spacing w:line="400" w:lineRule="atLeast"/>
              <w:jc w:val="center"/>
              <w:rPr>
                <w:rFonts w:ascii="宋体" w:hAnsi="宋体" w:cs="宋体"/>
                <w:color w:val="auto"/>
                <w:szCs w:val="21"/>
                <w:highlight w:val="none"/>
              </w:rPr>
            </w:pPr>
          </w:p>
        </w:tc>
        <w:tc>
          <w:tcPr>
            <w:tcW w:w="825" w:type="dxa"/>
            <w:tcBorders>
              <w:tl2br w:val="nil"/>
              <w:tr2bl w:val="nil"/>
            </w:tcBorders>
            <w:noWrap/>
            <w:vAlign w:val="center"/>
          </w:tcPr>
          <w:p w14:paraId="2EC581BA">
            <w:pPr>
              <w:spacing w:line="400" w:lineRule="atLeast"/>
              <w:jc w:val="center"/>
              <w:rPr>
                <w:rFonts w:ascii="宋体" w:hAnsi="宋体"/>
                <w:bCs/>
                <w:color w:val="auto"/>
                <w:szCs w:val="21"/>
                <w:highlight w:val="none"/>
              </w:rPr>
            </w:pPr>
          </w:p>
        </w:tc>
        <w:tc>
          <w:tcPr>
            <w:tcW w:w="1602" w:type="dxa"/>
            <w:tcBorders>
              <w:tl2br w:val="nil"/>
              <w:tr2bl w:val="nil"/>
            </w:tcBorders>
            <w:noWrap/>
            <w:vAlign w:val="center"/>
          </w:tcPr>
          <w:p w14:paraId="26FB75BE">
            <w:pPr>
              <w:spacing w:line="400" w:lineRule="atLeast"/>
              <w:jc w:val="center"/>
              <w:rPr>
                <w:rFonts w:ascii="宋体" w:hAnsi="宋体"/>
                <w:color w:val="auto"/>
                <w:szCs w:val="21"/>
                <w:highlight w:val="none"/>
              </w:rPr>
            </w:pPr>
          </w:p>
        </w:tc>
        <w:tc>
          <w:tcPr>
            <w:tcW w:w="1510" w:type="dxa"/>
            <w:vMerge w:val="continue"/>
            <w:tcBorders>
              <w:tl2br w:val="nil"/>
              <w:tr2bl w:val="nil"/>
            </w:tcBorders>
            <w:noWrap/>
            <w:vAlign w:val="center"/>
          </w:tcPr>
          <w:p w14:paraId="6BA04610">
            <w:pPr>
              <w:spacing w:line="400" w:lineRule="atLeast"/>
              <w:jc w:val="center"/>
              <w:rPr>
                <w:rFonts w:ascii="宋体" w:hAnsi="宋体"/>
                <w:color w:val="auto"/>
                <w:szCs w:val="21"/>
                <w:highlight w:val="none"/>
              </w:rPr>
            </w:pPr>
          </w:p>
        </w:tc>
        <w:tc>
          <w:tcPr>
            <w:tcW w:w="1265" w:type="dxa"/>
            <w:vMerge w:val="continue"/>
            <w:tcBorders>
              <w:tl2br w:val="nil"/>
              <w:tr2bl w:val="nil"/>
            </w:tcBorders>
            <w:noWrap/>
            <w:vAlign w:val="center"/>
          </w:tcPr>
          <w:p w14:paraId="6A2A64EB">
            <w:pPr>
              <w:spacing w:line="400" w:lineRule="atLeast"/>
              <w:jc w:val="center"/>
              <w:rPr>
                <w:rFonts w:ascii="宋体" w:hAnsi="宋体"/>
                <w:color w:val="auto"/>
                <w:szCs w:val="21"/>
                <w:highlight w:val="none"/>
              </w:rPr>
            </w:pPr>
          </w:p>
        </w:tc>
        <w:tc>
          <w:tcPr>
            <w:tcW w:w="1224" w:type="dxa"/>
            <w:vMerge w:val="continue"/>
            <w:tcBorders>
              <w:tl2br w:val="nil"/>
              <w:tr2bl w:val="nil"/>
            </w:tcBorders>
            <w:noWrap/>
            <w:vAlign w:val="center"/>
          </w:tcPr>
          <w:p w14:paraId="2C6AB7C4">
            <w:pPr>
              <w:spacing w:line="400" w:lineRule="atLeast"/>
              <w:jc w:val="center"/>
              <w:rPr>
                <w:rFonts w:ascii="宋体" w:hAnsi="宋体"/>
                <w:color w:val="auto"/>
                <w:szCs w:val="21"/>
                <w:highlight w:val="none"/>
              </w:rPr>
            </w:pPr>
          </w:p>
        </w:tc>
      </w:tr>
      <w:tr w14:paraId="17B42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4" w:type="dxa"/>
            <w:bottom w:w="0" w:type="dxa"/>
            <w:right w:w="34" w:type="dxa"/>
          </w:tblCellMar>
        </w:tblPrEx>
        <w:trPr>
          <w:cantSplit/>
          <w:trHeight w:val="775" w:hRule="atLeast"/>
          <w:jc w:val="center"/>
        </w:trPr>
        <w:tc>
          <w:tcPr>
            <w:tcW w:w="461" w:type="dxa"/>
            <w:tcBorders>
              <w:tl2br w:val="nil"/>
              <w:tr2bl w:val="nil"/>
            </w:tcBorders>
            <w:noWrap/>
            <w:vAlign w:val="center"/>
          </w:tcPr>
          <w:p w14:paraId="048E9424">
            <w:pPr>
              <w:spacing w:line="400" w:lineRule="atLeast"/>
              <w:jc w:val="center"/>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w:t>
            </w:r>
          </w:p>
        </w:tc>
        <w:tc>
          <w:tcPr>
            <w:tcW w:w="1923" w:type="dxa"/>
            <w:tcBorders>
              <w:tl2br w:val="nil"/>
              <w:tr2bl w:val="nil"/>
            </w:tcBorders>
            <w:noWrap/>
            <w:vAlign w:val="center"/>
          </w:tcPr>
          <w:p w14:paraId="17FFC9E7">
            <w:pPr>
              <w:spacing w:line="400" w:lineRule="atLeast"/>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w:t>
            </w:r>
          </w:p>
        </w:tc>
        <w:tc>
          <w:tcPr>
            <w:tcW w:w="1350" w:type="dxa"/>
            <w:tcBorders>
              <w:tl2br w:val="nil"/>
              <w:tr2bl w:val="nil"/>
            </w:tcBorders>
            <w:noWrap/>
            <w:vAlign w:val="center"/>
          </w:tcPr>
          <w:p w14:paraId="4623CB58">
            <w:pPr>
              <w:spacing w:line="400" w:lineRule="atLeast"/>
              <w:jc w:val="center"/>
              <w:rPr>
                <w:rFonts w:ascii="宋体" w:hAnsi="宋体" w:cs="宋体"/>
                <w:color w:val="auto"/>
                <w:szCs w:val="21"/>
                <w:highlight w:val="none"/>
              </w:rPr>
            </w:pPr>
          </w:p>
        </w:tc>
        <w:tc>
          <w:tcPr>
            <w:tcW w:w="825" w:type="dxa"/>
            <w:tcBorders>
              <w:tl2br w:val="nil"/>
              <w:tr2bl w:val="nil"/>
            </w:tcBorders>
            <w:noWrap/>
            <w:vAlign w:val="center"/>
          </w:tcPr>
          <w:p w14:paraId="2CAAB67A">
            <w:pPr>
              <w:spacing w:line="400" w:lineRule="atLeast"/>
              <w:jc w:val="center"/>
              <w:rPr>
                <w:rFonts w:ascii="宋体" w:hAnsi="宋体"/>
                <w:bCs/>
                <w:color w:val="auto"/>
                <w:szCs w:val="21"/>
                <w:highlight w:val="none"/>
              </w:rPr>
            </w:pPr>
          </w:p>
        </w:tc>
        <w:tc>
          <w:tcPr>
            <w:tcW w:w="1602" w:type="dxa"/>
            <w:tcBorders>
              <w:tl2br w:val="nil"/>
              <w:tr2bl w:val="nil"/>
            </w:tcBorders>
            <w:noWrap/>
            <w:vAlign w:val="center"/>
          </w:tcPr>
          <w:p w14:paraId="5322849A">
            <w:pPr>
              <w:spacing w:line="400" w:lineRule="atLeast"/>
              <w:jc w:val="center"/>
              <w:rPr>
                <w:rFonts w:ascii="宋体" w:hAnsi="宋体"/>
                <w:color w:val="auto"/>
                <w:szCs w:val="21"/>
                <w:highlight w:val="none"/>
              </w:rPr>
            </w:pPr>
          </w:p>
        </w:tc>
        <w:tc>
          <w:tcPr>
            <w:tcW w:w="1510" w:type="dxa"/>
            <w:vMerge w:val="continue"/>
            <w:tcBorders>
              <w:tl2br w:val="nil"/>
              <w:tr2bl w:val="nil"/>
            </w:tcBorders>
            <w:noWrap/>
            <w:vAlign w:val="center"/>
          </w:tcPr>
          <w:p w14:paraId="623B915E">
            <w:pPr>
              <w:spacing w:line="400" w:lineRule="atLeast"/>
              <w:jc w:val="center"/>
              <w:rPr>
                <w:rFonts w:ascii="宋体" w:hAnsi="宋体"/>
                <w:color w:val="auto"/>
                <w:szCs w:val="21"/>
                <w:highlight w:val="none"/>
              </w:rPr>
            </w:pPr>
          </w:p>
        </w:tc>
        <w:tc>
          <w:tcPr>
            <w:tcW w:w="1265" w:type="dxa"/>
            <w:vMerge w:val="continue"/>
            <w:tcBorders>
              <w:tl2br w:val="nil"/>
              <w:tr2bl w:val="nil"/>
            </w:tcBorders>
            <w:noWrap/>
            <w:vAlign w:val="center"/>
          </w:tcPr>
          <w:p w14:paraId="4BFBDC04">
            <w:pPr>
              <w:spacing w:line="400" w:lineRule="atLeast"/>
              <w:jc w:val="center"/>
              <w:rPr>
                <w:rFonts w:ascii="宋体" w:hAnsi="宋体"/>
                <w:color w:val="auto"/>
                <w:szCs w:val="21"/>
                <w:highlight w:val="none"/>
              </w:rPr>
            </w:pPr>
          </w:p>
        </w:tc>
        <w:tc>
          <w:tcPr>
            <w:tcW w:w="1224" w:type="dxa"/>
            <w:vMerge w:val="continue"/>
            <w:tcBorders>
              <w:tl2br w:val="nil"/>
              <w:tr2bl w:val="nil"/>
            </w:tcBorders>
            <w:noWrap/>
            <w:vAlign w:val="center"/>
          </w:tcPr>
          <w:p w14:paraId="755C460A">
            <w:pPr>
              <w:spacing w:line="400" w:lineRule="atLeast"/>
              <w:jc w:val="center"/>
              <w:rPr>
                <w:rFonts w:ascii="宋体" w:hAnsi="宋体"/>
                <w:color w:val="auto"/>
                <w:szCs w:val="21"/>
                <w:highlight w:val="none"/>
              </w:rPr>
            </w:pPr>
          </w:p>
        </w:tc>
      </w:tr>
    </w:tbl>
    <w:p w14:paraId="4C28EC4A">
      <w:pPr>
        <w:numPr>
          <w:ilvl w:val="0"/>
          <w:numId w:val="7"/>
        </w:numPr>
        <w:spacing w:line="400" w:lineRule="atLeast"/>
        <w:rPr>
          <w:rFonts w:ascii="宋体" w:hAnsi="宋体"/>
          <w:color w:val="auto"/>
          <w:szCs w:val="21"/>
          <w:highlight w:val="none"/>
        </w:rPr>
      </w:pPr>
      <w:r>
        <w:rPr>
          <w:rFonts w:hint="eastAsia" w:ascii="宋体" w:hAnsi="宋体"/>
          <w:color w:val="auto"/>
          <w:szCs w:val="21"/>
          <w:highlight w:val="none"/>
        </w:rPr>
        <w:t>本租赁合同有效期</w:t>
      </w:r>
      <w:r>
        <w:rPr>
          <w:rFonts w:hint="eastAsia" w:ascii="宋体" w:hAnsi="宋体"/>
          <w:color w:val="auto"/>
          <w:szCs w:val="21"/>
          <w:highlight w:val="none"/>
          <w:lang w:eastAsia="zh-CN"/>
        </w:rPr>
        <w:t>为壹年，即从合同签订之日起计算。</w:t>
      </w:r>
    </w:p>
    <w:p w14:paraId="06670457">
      <w:pPr>
        <w:numPr>
          <w:ilvl w:val="0"/>
          <w:numId w:val="7"/>
        </w:numPr>
        <w:spacing w:line="400" w:lineRule="atLeast"/>
        <w:rPr>
          <w:rFonts w:ascii="宋体" w:hAnsi="宋体"/>
          <w:color w:val="auto"/>
          <w:szCs w:val="21"/>
          <w:highlight w:val="none"/>
        </w:rPr>
      </w:pPr>
      <w:r>
        <w:rPr>
          <w:rFonts w:hint="eastAsia" w:ascii="宋体" w:hAnsi="宋体"/>
          <w:color w:val="auto"/>
          <w:szCs w:val="21"/>
          <w:highlight w:val="none"/>
        </w:rPr>
        <w:t>租赁时间自设备安装调试完毕之日起计算，至设备使用完毕，乙方拆机之日终止。</w:t>
      </w:r>
    </w:p>
    <w:p w14:paraId="5A108819">
      <w:pPr>
        <w:spacing w:line="480" w:lineRule="exact"/>
        <w:rPr>
          <w:rFonts w:ascii="宋体" w:hAnsi="宋体"/>
          <w:color w:val="auto"/>
          <w:szCs w:val="21"/>
          <w:highlight w:val="none"/>
        </w:rPr>
      </w:pPr>
      <w:r>
        <w:rPr>
          <w:rFonts w:hint="eastAsia" w:ascii="宋体" w:hAnsi="宋体"/>
          <w:color w:val="auto"/>
          <w:szCs w:val="21"/>
          <w:highlight w:val="none"/>
        </w:rPr>
        <w:t>二、双方责任和义务</w:t>
      </w:r>
    </w:p>
    <w:p w14:paraId="3F5F59A7">
      <w:pPr>
        <w:spacing w:line="480" w:lineRule="exact"/>
        <w:rPr>
          <w:rFonts w:ascii="宋体" w:hAnsi="宋体"/>
          <w:color w:val="auto"/>
          <w:szCs w:val="21"/>
          <w:highlight w:val="none"/>
        </w:rPr>
      </w:pPr>
      <w:r>
        <w:rPr>
          <w:rFonts w:hint="eastAsia" w:ascii="宋体" w:hAnsi="宋体"/>
          <w:color w:val="auto"/>
          <w:szCs w:val="21"/>
          <w:highlight w:val="none"/>
        </w:rPr>
        <w:t>（一）甲方责任和义务</w:t>
      </w:r>
    </w:p>
    <w:p w14:paraId="09A2C29B">
      <w:pPr>
        <w:numPr>
          <w:ilvl w:val="0"/>
          <w:numId w:val="8"/>
        </w:numPr>
        <w:spacing w:line="480" w:lineRule="exact"/>
        <w:rPr>
          <w:rFonts w:ascii="宋体" w:hAnsi="宋体"/>
          <w:color w:val="auto"/>
          <w:szCs w:val="21"/>
          <w:highlight w:val="none"/>
        </w:rPr>
      </w:pPr>
      <w:r>
        <w:rPr>
          <w:rFonts w:hint="eastAsia" w:ascii="宋体" w:hAnsi="宋体"/>
          <w:color w:val="auto"/>
          <w:szCs w:val="21"/>
          <w:highlight w:val="none"/>
        </w:rPr>
        <w:t>负责按合同约定的期限和金额向乙方支付租金。</w:t>
      </w:r>
    </w:p>
    <w:p w14:paraId="495A5F87">
      <w:pPr>
        <w:numPr>
          <w:ilvl w:val="0"/>
          <w:numId w:val="8"/>
        </w:numPr>
        <w:spacing w:line="480" w:lineRule="exact"/>
        <w:rPr>
          <w:rFonts w:ascii="宋体" w:hAnsi="宋体"/>
          <w:color w:val="auto"/>
          <w:szCs w:val="21"/>
          <w:highlight w:val="none"/>
        </w:rPr>
      </w:pPr>
      <w:r>
        <w:rPr>
          <w:rFonts w:hint="eastAsia" w:ascii="宋体" w:hAnsi="宋体"/>
          <w:color w:val="auto"/>
          <w:szCs w:val="21"/>
          <w:highlight w:val="none"/>
        </w:rPr>
        <w:t>甲方应至少提前7个工作日以传真或邮件形式向乙方发出发货通知书。</w:t>
      </w:r>
    </w:p>
    <w:p w14:paraId="788962D0">
      <w:pPr>
        <w:numPr>
          <w:ilvl w:val="0"/>
          <w:numId w:val="8"/>
        </w:numPr>
        <w:spacing w:line="480" w:lineRule="exact"/>
        <w:rPr>
          <w:rFonts w:ascii="宋体" w:hAnsi="宋体"/>
          <w:color w:val="auto"/>
          <w:szCs w:val="21"/>
          <w:highlight w:val="none"/>
        </w:rPr>
      </w:pPr>
      <w:r>
        <w:rPr>
          <w:rFonts w:hint="eastAsia" w:ascii="宋体" w:hAnsi="宋体"/>
          <w:color w:val="auto"/>
          <w:szCs w:val="21"/>
          <w:highlight w:val="none"/>
        </w:rPr>
        <w:t>甲方有义务与使用单位协调，保证现场安装条件符合设备安装要求。</w:t>
      </w:r>
    </w:p>
    <w:p w14:paraId="43EFE8E5">
      <w:pPr>
        <w:numPr>
          <w:ilvl w:val="0"/>
          <w:numId w:val="8"/>
        </w:numPr>
        <w:spacing w:line="480" w:lineRule="exact"/>
        <w:rPr>
          <w:rFonts w:ascii="宋体" w:hAnsi="宋体"/>
          <w:color w:val="auto"/>
          <w:szCs w:val="21"/>
          <w:highlight w:val="none"/>
        </w:rPr>
      </w:pPr>
      <w:r>
        <w:rPr>
          <w:rFonts w:hint="eastAsia" w:ascii="宋体" w:hAnsi="宋体"/>
          <w:color w:val="auto"/>
          <w:szCs w:val="21"/>
          <w:highlight w:val="none"/>
        </w:rPr>
        <w:t>租赁期间甲方负责租赁设备的保管，如因甲方保管不善造成设备损坏（水浸、鼠咬、电压过高等），甲方应承担设备维修所需备品备件费用，如设备丢失，甲方则应照市场价格赔偿。</w:t>
      </w:r>
    </w:p>
    <w:p w14:paraId="6CD8B4D8">
      <w:pPr>
        <w:spacing w:line="480" w:lineRule="exact"/>
        <w:rPr>
          <w:rFonts w:ascii="宋体" w:hAnsi="宋体"/>
          <w:color w:val="auto"/>
          <w:szCs w:val="21"/>
          <w:highlight w:val="none"/>
        </w:rPr>
      </w:pPr>
      <w:r>
        <w:rPr>
          <w:rFonts w:hint="eastAsia" w:ascii="宋体" w:hAnsi="宋体"/>
          <w:color w:val="auto"/>
          <w:szCs w:val="21"/>
          <w:highlight w:val="none"/>
        </w:rPr>
        <w:t>（二）乙方责任和义务</w:t>
      </w:r>
    </w:p>
    <w:p w14:paraId="2403337E">
      <w:pPr>
        <w:numPr>
          <w:ilvl w:val="0"/>
          <w:numId w:val="9"/>
        </w:numPr>
        <w:spacing w:line="480" w:lineRule="exact"/>
        <w:rPr>
          <w:rFonts w:ascii="宋体" w:hAnsi="宋体"/>
          <w:color w:val="auto"/>
          <w:szCs w:val="21"/>
          <w:highlight w:val="none"/>
        </w:rPr>
      </w:pPr>
      <w:r>
        <w:rPr>
          <w:rFonts w:hint="eastAsia" w:ascii="宋体" w:hAnsi="宋体"/>
          <w:color w:val="auto"/>
          <w:szCs w:val="21"/>
          <w:highlight w:val="none"/>
        </w:rPr>
        <w:t>乙方应保证在合同期内根据甲方需求向甲方提供设备。</w:t>
      </w:r>
    </w:p>
    <w:p w14:paraId="40C4322C">
      <w:pPr>
        <w:numPr>
          <w:ilvl w:val="0"/>
          <w:numId w:val="9"/>
        </w:numPr>
        <w:spacing w:line="480" w:lineRule="exact"/>
        <w:rPr>
          <w:rFonts w:ascii="宋体" w:hAnsi="宋体"/>
          <w:color w:val="auto"/>
          <w:szCs w:val="21"/>
          <w:highlight w:val="none"/>
        </w:rPr>
      </w:pPr>
      <w:r>
        <w:rPr>
          <w:rFonts w:hint="eastAsia" w:ascii="宋体" w:hAnsi="宋体"/>
          <w:color w:val="auto"/>
          <w:szCs w:val="21"/>
          <w:highlight w:val="none"/>
        </w:rPr>
        <w:t>负责租赁设备的定期维护保养，保证设备性能、功能符合要求。</w:t>
      </w:r>
    </w:p>
    <w:p w14:paraId="40E5911D">
      <w:pPr>
        <w:numPr>
          <w:ilvl w:val="0"/>
          <w:numId w:val="9"/>
        </w:numPr>
        <w:spacing w:line="480" w:lineRule="exact"/>
        <w:rPr>
          <w:rFonts w:ascii="宋体" w:hAnsi="宋体"/>
          <w:color w:val="auto"/>
          <w:szCs w:val="21"/>
          <w:highlight w:val="none"/>
        </w:rPr>
      </w:pPr>
      <w:r>
        <w:rPr>
          <w:rFonts w:hint="eastAsia" w:ascii="宋体" w:hAnsi="宋体"/>
          <w:color w:val="auto"/>
          <w:szCs w:val="21"/>
          <w:highlight w:val="none"/>
        </w:rPr>
        <w:t>接到甲方安装通知后，乙方负责设备安装调试，并与甲方办理设备交接。</w:t>
      </w:r>
    </w:p>
    <w:p w14:paraId="29003FDD">
      <w:pPr>
        <w:numPr>
          <w:ilvl w:val="0"/>
          <w:numId w:val="9"/>
        </w:numPr>
        <w:spacing w:line="480" w:lineRule="exact"/>
        <w:rPr>
          <w:rFonts w:ascii="宋体" w:hAnsi="宋体"/>
          <w:color w:val="auto"/>
          <w:szCs w:val="21"/>
          <w:highlight w:val="none"/>
        </w:rPr>
      </w:pPr>
      <w:r>
        <w:rPr>
          <w:rFonts w:hint="eastAsia" w:ascii="宋体" w:hAnsi="宋体"/>
          <w:color w:val="auto"/>
          <w:szCs w:val="21"/>
          <w:highlight w:val="none"/>
        </w:rPr>
        <w:t>乙方负责租赁设备的运输，租赁活动结束后，乙方负责将设备运回库房。</w:t>
      </w:r>
    </w:p>
    <w:p w14:paraId="799A177F">
      <w:pPr>
        <w:numPr>
          <w:ilvl w:val="0"/>
          <w:numId w:val="9"/>
        </w:numPr>
        <w:spacing w:line="480" w:lineRule="exact"/>
        <w:rPr>
          <w:rFonts w:ascii="宋体" w:hAnsi="宋体"/>
          <w:color w:val="auto"/>
          <w:szCs w:val="21"/>
          <w:highlight w:val="none"/>
        </w:rPr>
      </w:pPr>
      <w:r>
        <w:rPr>
          <w:rFonts w:hint="eastAsia" w:ascii="宋体" w:hAnsi="宋体"/>
          <w:color w:val="auto"/>
          <w:szCs w:val="21"/>
          <w:highlight w:val="none"/>
        </w:rPr>
        <w:t>租赁期间，乙方为甲方安装调试、培训及维护服务提供技术支持和备品备件，如在短时间内现场无法解决设备故障，乙方负责提供备用设备更换。</w:t>
      </w:r>
    </w:p>
    <w:p w14:paraId="7A82711A">
      <w:pPr>
        <w:spacing w:line="480" w:lineRule="exact"/>
        <w:rPr>
          <w:rFonts w:ascii="宋体" w:hAnsi="宋体"/>
          <w:color w:val="auto"/>
          <w:szCs w:val="21"/>
          <w:highlight w:val="none"/>
        </w:rPr>
      </w:pPr>
      <w:r>
        <w:rPr>
          <w:rFonts w:hint="eastAsia" w:ascii="宋体" w:hAnsi="宋体"/>
          <w:color w:val="auto"/>
          <w:szCs w:val="21"/>
          <w:highlight w:val="none"/>
        </w:rPr>
        <w:t>三、付款方式</w:t>
      </w:r>
    </w:p>
    <w:p w14:paraId="011391CA">
      <w:pPr>
        <w:numPr>
          <w:ilvl w:val="0"/>
          <w:numId w:val="10"/>
        </w:numPr>
        <w:spacing w:line="480" w:lineRule="exact"/>
        <w:rPr>
          <w:rFonts w:ascii="宋体" w:hAnsi="宋体"/>
          <w:color w:val="auto"/>
          <w:szCs w:val="21"/>
          <w:highlight w:val="none"/>
        </w:rPr>
      </w:pPr>
      <w:r>
        <w:rPr>
          <w:rFonts w:hint="eastAsia" w:ascii="宋体" w:hAnsi="宋体" w:cs="宋体"/>
          <w:b w:val="0"/>
          <w:bCs w:val="0"/>
          <w:color w:val="auto"/>
          <w:szCs w:val="21"/>
          <w:highlight w:val="none"/>
          <w:lang w:val="en-US" w:eastAsia="zh-CN"/>
        </w:rPr>
        <w:t>银行转账，根据</w:t>
      </w:r>
      <w:r>
        <w:rPr>
          <w:rFonts w:hint="eastAsia" w:ascii="宋体" w:hAnsi="宋体" w:cs="宋体"/>
          <w:color w:val="auto"/>
          <w:szCs w:val="21"/>
          <w:highlight w:val="none"/>
        </w:rPr>
        <w:t>每次租赁产生的费用</w:t>
      </w:r>
      <w:r>
        <w:rPr>
          <w:rFonts w:hint="eastAsia" w:ascii="宋体" w:hAnsi="宋体" w:cs="宋体"/>
          <w:color w:val="auto"/>
          <w:szCs w:val="21"/>
          <w:highlight w:val="none"/>
          <w:lang w:eastAsia="zh-CN"/>
        </w:rPr>
        <w:t>（</w:t>
      </w:r>
      <w:r>
        <w:rPr>
          <w:rFonts w:hint="eastAsia" w:ascii="宋体" w:hAnsi="宋体" w:cs="宋体"/>
          <w:b w:val="0"/>
          <w:bCs w:val="0"/>
          <w:color w:val="auto"/>
          <w:szCs w:val="21"/>
          <w:highlight w:val="none"/>
          <w:lang w:val="en-US" w:eastAsia="zh-CN"/>
        </w:rPr>
        <w:t>实际使用设备数量、使用天数和单价）*（1-优惠率）据实</w:t>
      </w:r>
      <w:r>
        <w:rPr>
          <w:rFonts w:hint="eastAsia" w:ascii="宋体" w:hAnsi="宋体"/>
          <w:color w:val="auto"/>
          <w:szCs w:val="21"/>
          <w:highlight w:val="none"/>
        </w:rPr>
        <w:t>结算。</w:t>
      </w:r>
    </w:p>
    <w:p w14:paraId="3920CCB2">
      <w:pPr>
        <w:numPr>
          <w:ilvl w:val="0"/>
          <w:numId w:val="10"/>
        </w:numPr>
        <w:spacing w:line="480" w:lineRule="exact"/>
        <w:rPr>
          <w:rFonts w:ascii="宋体" w:hAnsi="宋体"/>
          <w:color w:val="auto"/>
          <w:szCs w:val="21"/>
          <w:highlight w:val="none"/>
        </w:rPr>
      </w:pPr>
      <w:r>
        <w:rPr>
          <w:rFonts w:hint="eastAsia" w:ascii="宋体" w:hAnsi="宋体"/>
          <w:color w:val="auto"/>
          <w:szCs w:val="21"/>
          <w:highlight w:val="none"/>
        </w:rPr>
        <w:t>乙方提供租赁服务，进行设备安装</w:t>
      </w:r>
      <w:r>
        <w:rPr>
          <w:rFonts w:hint="eastAsia" w:ascii="宋体" w:hAnsi="宋体"/>
          <w:color w:val="auto"/>
          <w:szCs w:val="21"/>
          <w:highlight w:val="none"/>
          <w:lang w:eastAsia="zh-CN"/>
        </w:rPr>
        <w:t>，按照一事一结原则，在乙方完成单次租赁任务后，以甲乙双方签字确认的《设备租赁验收单》内容为单次租赁费用结算依据，甲方应按《设备租赁验收单》内容产生的实际金额进行支付。</w:t>
      </w:r>
    </w:p>
    <w:p w14:paraId="26C0D775">
      <w:pPr>
        <w:numPr>
          <w:ilvl w:val="0"/>
          <w:numId w:val="10"/>
        </w:numPr>
        <w:spacing w:line="480" w:lineRule="exact"/>
        <w:rPr>
          <w:rFonts w:ascii="宋体" w:hAnsi="宋体"/>
          <w:color w:val="auto"/>
          <w:szCs w:val="21"/>
          <w:highlight w:val="none"/>
        </w:rPr>
      </w:pPr>
      <w:r>
        <w:rPr>
          <w:rFonts w:hint="eastAsia" w:ascii="宋体" w:hAnsi="宋体"/>
          <w:color w:val="auto"/>
          <w:szCs w:val="21"/>
          <w:highlight w:val="none"/>
        </w:rPr>
        <w:t>乙方的账户信息</w:t>
      </w:r>
    </w:p>
    <w:p w14:paraId="11ED3177">
      <w:pPr>
        <w:spacing w:line="480" w:lineRule="exact"/>
        <w:ind w:firstLine="735" w:firstLineChars="350"/>
        <w:rPr>
          <w:rFonts w:ascii="宋体" w:hAnsi="宋体"/>
          <w:color w:val="auto"/>
          <w:szCs w:val="21"/>
          <w:highlight w:val="none"/>
        </w:rPr>
      </w:pPr>
      <w:r>
        <w:rPr>
          <w:rFonts w:hint="eastAsia" w:ascii="宋体" w:hAnsi="宋体"/>
          <w:color w:val="auto"/>
          <w:szCs w:val="21"/>
          <w:highlight w:val="none"/>
        </w:rPr>
        <w:t>开户行：</w:t>
      </w:r>
    </w:p>
    <w:p w14:paraId="2603FBC8">
      <w:pPr>
        <w:spacing w:line="480" w:lineRule="exact"/>
        <w:ind w:firstLine="735" w:firstLineChars="350"/>
        <w:rPr>
          <w:rFonts w:ascii="宋体" w:hAnsi="宋体"/>
          <w:color w:val="auto"/>
          <w:szCs w:val="21"/>
          <w:highlight w:val="none"/>
        </w:rPr>
      </w:pPr>
      <w:r>
        <w:rPr>
          <w:rFonts w:hint="eastAsia" w:ascii="宋体" w:hAnsi="宋体"/>
          <w:color w:val="auto"/>
          <w:szCs w:val="21"/>
          <w:highlight w:val="none"/>
        </w:rPr>
        <w:t>开户名：</w:t>
      </w:r>
    </w:p>
    <w:p w14:paraId="76C381FD">
      <w:pPr>
        <w:spacing w:line="480" w:lineRule="exact"/>
        <w:ind w:firstLine="735" w:firstLineChars="350"/>
        <w:rPr>
          <w:rFonts w:ascii="宋体" w:hAnsi="宋体"/>
          <w:color w:val="auto"/>
          <w:szCs w:val="21"/>
          <w:highlight w:val="none"/>
        </w:rPr>
      </w:pPr>
      <w:r>
        <w:rPr>
          <w:rFonts w:hint="eastAsia" w:ascii="宋体" w:hAnsi="宋体"/>
          <w:color w:val="auto"/>
          <w:szCs w:val="21"/>
          <w:highlight w:val="none"/>
        </w:rPr>
        <w:t>账  号：</w:t>
      </w:r>
    </w:p>
    <w:p w14:paraId="19011CE7">
      <w:pPr>
        <w:spacing w:line="480" w:lineRule="exact"/>
        <w:ind w:firstLine="735" w:firstLineChars="350"/>
        <w:rPr>
          <w:rFonts w:ascii="宋体" w:hAnsi="宋体"/>
          <w:color w:val="auto"/>
          <w:szCs w:val="21"/>
          <w:highlight w:val="none"/>
        </w:rPr>
      </w:pPr>
      <w:r>
        <w:rPr>
          <w:rFonts w:hint="eastAsia" w:ascii="宋体" w:hAnsi="宋体"/>
          <w:color w:val="auto"/>
          <w:szCs w:val="21"/>
          <w:highlight w:val="none"/>
        </w:rPr>
        <w:t>此账号为乙方指定的唯一收款账号，甲方只能将租金款项支付至该账号。</w:t>
      </w:r>
    </w:p>
    <w:p w14:paraId="59E64EA6">
      <w:pPr>
        <w:spacing w:line="400" w:lineRule="atLeast"/>
        <w:rPr>
          <w:rFonts w:ascii="宋体" w:hAnsi="宋体"/>
          <w:color w:val="auto"/>
          <w:szCs w:val="21"/>
          <w:highlight w:val="none"/>
        </w:rPr>
      </w:pPr>
      <w:r>
        <w:rPr>
          <w:rFonts w:hint="eastAsia" w:ascii="宋体" w:hAnsi="宋体"/>
          <w:color w:val="auto"/>
          <w:szCs w:val="21"/>
          <w:highlight w:val="none"/>
        </w:rPr>
        <w:t>四、 知识产权与保密</w:t>
      </w:r>
    </w:p>
    <w:p w14:paraId="37AAB94F">
      <w:pPr>
        <w:numPr>
          <w:ilvl w:val="0"/>
          <w:numId w:val="11"/>
        </w:numPr>
        <w:spacing w:line="480" w:lineRule="exact"/>
        <w:rPr>
          <w:rFonts w:ascii="宋体" w:hAnsi="宋体"/>
          <w:color w:val="auto"/>
          <w:szCs w:val="21"/>
          <w:highlight w:val="none"/>
        </w:rPr>
      </w:pPr>
      <w:r>
        <w:rPr>
          <w:rFonts w:hint="eastAsia" w:ascii="宋体" w:hAnsi="宋体"/>
          <w:color w:val="auto"/>
          <w:szCs w:val="21"/>
          <w:highlight w:val="none"/>
        </w:rPr>
        <w:t>乙方提供的租赁设备和技术资料中包含乙方所有的多项专利技术和专有技术等知识产权，在未取得乙方事先书面同意的情况下，甲方不得向任何第三方泄露。甲</w:t>
      </w:r>
      <w:r>
        <w:rPr>
          <w:rFonts w:ascii="宋体" w:hAnsi="宋体"/>
          <w:color w:val="auto"/>
          <w:szCs w:val="21"/>
          <w:highlight w:val="none"/>
        </w:rPr>
        <w:t>方应尊重</w:t>
      </w:r>
      <w:r>
        <w:rPr>
          <w:rFonts w:hint="eastAsia" w:ascii="宋体" w:hAnsi="宋体"/>
          <w:color w:val="auto"/>
          <w:szCs w:val="21"/>
          <w:highlight w:val="none"/>
        </w:rPr>
        <w:t>乙</w:t>
      </w:r>
      <w:r>
        <w:rPr>
          <w:rFonts w:ascii="宋体" w:hAnsi="宋体"/>
          <w:color w:val="auto"/>
          <w:szCs w:val="21"/>
          <w:highlight w:val="none"/>
        </w:rPr>
        <w:t>方的上述知识产权，不得侵犯</w:t>
      </w:r>
      <w:r>
        <w:rPr>
          <w:rFonts w:hint="eastAsia" w:ascii="宋体" w:hAnsi="宋体"/>
          <w:color w:val="auto"/>
          <w:szCs w:val="21"/>
          <w:highlight w:val="none"/>
        </w:rPr>
        <w:t>乙</w:t>
      </w:r>
      <w:r>
        <w:rPr>
          <w:rFonts w:ascii="宋体" w:hAnsi="宋体"/>
          <w:color w:val="auto"/>
          <w:szCs w:val="21"/>
          <w:highlight w:val="none"/>
        </w:rPr>
        <w:t>方的知识产权。</w:t>
      </w:r>
      <w:r>
        <w:rPr>
          <w:rFonts w:hint="eastAsia" w:ascii="宋体" w:hAnsi="宋体"/>
          <w:color w:val="auto"/>
          <w:szCs w:val="21"/>
          <w:highlight w:val="none"/>
        </w:rPr>
        <w:t>甲</w:t>
      </w:r>
      <w:r>
        <w:rPr>
          <w:rFonts w:ascii="宋体" w:hAnsi="宋体"/>
          <w:color w:val="auto"/>
          <w:szCs w:val="21"/>
          <w:highlight w:val="none"/>
        </w:rPr>
        <w:t>方如发现第三方侵犯了</w:t>
      </w:r>
      <w:r>
        <w:rPr>
          <w:rFonts w:hint="eastAsia" w:ascii="宋体" w:hAnsi="宋体"/>
          <w:color w:val="auto"/>
          <w:szCs w:val="21"/>
          <w:highlight w:val="none"/>
        </w:rPr>
        <w:t>乙</w:t>
      </w:r>
      <w:r>
        <w:rPr>
          <w:rFonts w:ascii="宋体" w:hAnsi="宋体"/>
          <w:color w:val="auto"/>
          <w:szCs w:val="21"/>
          <w:highlight w:val="none"/>
        </w:rPr>
        <w:t>方的知识产权，应尽快通知</w:t>
      </w:r>
      <w:r>
        <w:rPr>
          <w:rFonts w:hint="eastAsia" w:ascii="宋体" w:hAnsi="宋体"/>
          <w:color w:val="auto"/>
          <w:szCs w:val="21"/>
          <w:highlight w:val="none"/>
        </w:rPr>
        <w:t>乙</w:t>
      </w:r>
      <w:r>
        <w:rPr>
          <w:rFonts w:ascii="宋体" w:hAnsi="宋体"/>
          <w:color w:val="auto"/>
          <w:szCs w:val="21"/>
          <w:highlight w:val="none"/>
        </w:rPr>
        <w:t>方</w:t>
      </w:r>
      <w:r>
        <w:rPr>
          <w:rFonts w:hint="eastAsia" w:ascii="宋体" w:hAnsi="宋体"/>
          <w:color w:val="auto"/>
          <w:szCs w:val="21"/>
          <w:highlight w:val="none"/>
        </w:rPr>
        <w:t>。</w:t>
      </w:r>
    </w:p>
    <w:p w14:paraId="69841C3E">
      <w:pPr>
        <w:numPr>
          <w:ilvl w:val="0"/>
          <w:numId w:val="11"/>
        </w:numPr>
        <w:spacing w:line="480" w:lineRule="exact"/>
        <w:rPr>
          <w:rFonts w:ascii="宋体" w:hAnsi="宋体"/>
          <w:color w:val="auto"/>
          <w:szCs w:val="21"/>
          <w:highlight w:val="none"/>
        </w:rPr>
      </w:pPr>
      <w:r>
        <w:rPr>
          <w:rFonts w:hint="eastAsia" w:ascii="宋体" w:hAnsi="宋体"/>
          <w:color w:val="auto"/>
          <w:szCs w:val="21"/>
          <w:highlight w:val="none"/>
        </w:rPr>
        <w:t>双方必须对从对方获知的所有“保密信息”予以保密，没有得到“保密信息”提供方事先书面同意的情况下，不得向任何第三方透露，除非为履行本合同项下义务必须透露的情况除外。</w:t>
      </w:r>
    </w:p>
    <w:p w14:paraId="50B0FC92">
      <w:pPr>
        <w:numPr>
          <w:ilvl w:val="0"/>
          <w:numId w:val="11"/>
        </w:numPr>
        <w:spacing w:line="480" w:lineRule="exact"/>
        <w:rPr>
          <w:rFonts w:ascii="宋体" w:hAnsi="宋体"/>
          <w:color w:val="auto"/>
          <w:szCs w:val="21"/>
          <w:highlight w:val="none"/>
        </w:rPr>
      </w:pPr>
      <w:r>
        <w:rPr>
          <w:rFonts w:hint="eastAsia" w:ascii="宋体" w:hAnsi="宋体"/>
          <w:color w:val="auto"/>
          <w:szCs w:val="21"/>
          <w:highlight w:val="none"/>
        </w:rPr>
        <w:t>“保密信息”指一方向另一方提供或透露的所有与本合同有关的任何信息，包括但不限于产品、客户、技术、商业、财务和设计等信息，无论是口头的、书面的、电子的或以任何其它形式体现的信息。</w:t>
      </w:r>
    </w:p>
    <w:p w14:paraId="78C41835">
      <w:pPr>
        <w:numPr>
          <w:ilvl w:val="0"/>
          <w:numId w:val="11"/>
        </w:numPr>
        <w:spacing w:line="480" w:lineRule="exact"/>
        <w:rPr>
          <w:rFonts w:ascii="宋体" w:hAnsi="宋体"/>
          <w:color w:val="auto"/>
          <w:szCs w:val="21"/>
          <w:highlight w:val="none"/>
        </w:rPr>
      </w:pPr>
      <w:r>
        <w:rPr>
          <w:rFonts w:hint="eastAsia" w:ascii="宋体" w:hAnsi="宋体"/>
          <w:color w:val="auto"/>
          <w:szCs w:val="21"/>
          <w:highlight w:val="none"/>
        </w:rPr>
        <w:t>不论本合同终止或期满，上述条款持续有效。</w:t>
      </w:r>
    </w:p>
    <w:p w14:paraId="16A5919B">
      <w:pPr>
        <w:spacing w:line="480" w:lineRule="exact"/>
        <w:rPr>
          <w:rFonts w:ascii="宋体" w:hAnsi="宋体"/>
          <w:color w:val="auto"/>
          <w:szCs w:val="21"/>
          <w:highlight w:val="none"/>
        </w:rPr>
      </w:pPr>
      <w:r>
        <w:rPr>
          <w:rFonts w:hint="eastAsia" w:ascii="宋体" w:hAnsi="宋体"/>
          <w:color w:val="auto"/>
          <w:szCs w:val="21"/>
          <w:highlight w:val="none"/>
        </w:rPr>
        <w:t>五、违约责任</w:t>
      </w:r>
    </w:p>
    <w:p w14:paraId="729A914F">
      <w:pPr>
        <w:numPr>
          <w:ilvl w:val="0"/>
          <w:numId w:val="12"/>
        </w:numPr>
        <w:spacing w:line="480" w:lineRule="exact"/>
        <w:rPr>
          <w:rFonts w:ascii="宋体" w:hAnsi="宋体"/>
          <w:color w:val="auto"/>
          <w:szCs w:val="21"/>
          <w:highlight w:val="none"/>
        </w:rPr>
      </w:pPr>
      <w:r>
        <w:rPr>
          <w:rFonts w:hint="eastAsia" w:ascii="宋体" w:hAnsi="宋体"/>
          <w:color w:val="auto"/>
          <w:szCs w:val="21"/>
          <w:highlight w:val="none"/>
        </w:rPr>
        <w:t>甲方的违约情形如下：</w:t>
      </w:r>
    </w:p>
    <w:p w14:paraId="7130C624">
      <w:pPr>
        <w:numPr>
          <w:ilvl w:val="1"/>
          <w:numId w:val="12"/>
        </w:numPr>
        <w:spacing w:line="480" w:lineRule="exact"/>
        <w:rPr>
          <w:rFonts w:ascii="宋体" w:hAnsi="宋体"/>
          <w:color w:val="auto"/>
          <w:szCs w:val="21"/>
          <w:highlight w:val="none"/>
        </w:rPr>
      </w:pPr>
      <w:r>
        <w:rPr>
          <w:rFonts w:hint="eastAsia" w:ascii="宋体" w:hAnsi="宋体"/>
          <w:color w:val="auto"/>
          <w:szCs w:val="21"/>
          <w:highlight w:val="none"/>
        </w:rPr>
        <w:t>甲方未按本合同规定支付乙方价款。</w:t>
      </w:r>
    </w:p>
    <w:p w14:paraId="42B0ABBB">
      <w:pPr>
        <w:numPr>
          <w:ilvl w:val="1"/>
          <w:numId w:val="12"/>
        </w:numPr>
        <w:spacing w:line="480" w:lineRule="exact"/>
        <w:rPr>
          <w:rFonts w:ascii="宋体" w:hAnsi="宋体"/>
          <w:color w:val="auto"/>
          <w:szCs w:val="21"/>
          <w:highlight w:val="none"/>
        </w:rPr>
      </w:pPr>
      <w:r>
        <w:rPr>
          <w:rFonts w:hint="eastAsia" w:ascii="宋体" w:hAnsi="宋体"/>
          <w:color w:val="auto"/>
          <w:szCs w:val="21"/>
          <w:highlight w:val="none"/>
        </w:rPr>
        <w:t>甲方违反本合同规定的其它情形。</w:t>
      </w:r>
    </w:p>
    <w:p w14:paraId="38FF17D3">
      <w:pPr>
        <w:numPr>
          <w:ilvl w:val="0"/>
          <w:numId w:val="12"/>
        </w:numPr>
        <w:spacing w:line="480" w:lineRule="exact"/>
        <w:rPr>
          <w:rFonts w:ascii="宋体" w:hAnsi="宋体"/>
          <w:color w:val="auto"/>
          <w:szCs w:val="21"/>
          <w:highlight w:val="none"/>
        </w:rPr>
      </w:pPr>
      <w:r>
        <w:rPr>
          <w:rFonts w:hint="eastAsia" w:ascii="宋体" w:hAnsi="宋体"/>
          <w:color w:val="auto"/>
          <w:szCs w:val="21"/>
          <w:highlight w:val="none"/>
        </w:rPr>
        <w:t>乙方的违约情形如下：</w:t>
      </w:r>
    </w:p>
    <w:p w14:paraId="733E64D1">
      <w:pPr>
        <w:numPr>
          <w:ilvl w:val="1"/>
          <w:numId w:val="12"/>
        </w:numPr>
        <w:spacing w:line="480" w:lineRule="exact"/>
        <w:rPr>
          <w:rFonts w:ascii="宋体" w:hAnsi="宋体"/>
          <w:color w:val="auto"/>
          <w:szCs w:val="21"/>
          <w:highlight w:val="none"/>
        </w:rPr>
      </w:pPr>
      <w:r>
        <w:rPr>
          <w:rFonts w:hint="eastAsia" w:ascii="宋体" w:hAnsi="宋体"/>
          <w:color w:val="auto"/>
          <w:szCs w:val="21"/>
          <w:highlight w:val="none"/>
        </w:rPr>
        <w:t>乙方未按本合同规定向甲方交付设备或交付的设备不符合本合同规定。</w:t>
      </w:r>
    </w:p>
    <w:p w14:paraId="1C80ADA9">
      <w:pPr>
        <w:numPr>
          <w:ilvl w:val="1"/>
          <w:numId w:val="12"/>
        </w:numPr>
        <w:spacing w:line="480" w:lineRule="exact"/>
        <w:rPr>
          <w:rFonts w:ascii="宋体" w:hAnsi="宋体"/>
          <w:color w:val="auto"/>
          <w:szCs w:val="21"/>
          <w:highlight w:val="none"/>
        </w:rPr>
      </w:pPr>
      <w:r>
        <w:rPr>
          <w:rFonts w:hint="eastAsia" w:ascii="宋体" w:hAnsi="宋体"/>
          <w:color w:val="auto"/>
          <w:szCs w:val="21"/>
          <w:highlight w:val="none"/>
        </w:rPr>
        <w:t>乙方违反本合同规定的其他情形。</w:t>
      </w:r>
    </w:p>
    <w:p w14:paraId="370B5964">
      <w:pPr>
        <w:numPr>
          <w:ilvl w:val="0"/>
          <w:numId w:val="12"/>
        </w:numPr>
        <w:spacing w:line="480" w:lineRule="exact"/>
        <w:rPr>
          <w:rFonts w:ascii="宋体" w:hAnsi="宋体"/>
          <w:color w:val="auto"/>
          <w:szCs w:val="21"/>
          <w:highlight w:val="none"/>
        </w:rPr>
      </w:pPr>
      <w:r>
        <w:rPr>
          <w:rFonts w:hint="eastAsia" w:ascii="宋体" w:hAnsi="宋体"/>
          <w:color w:val="auto"/>
          <w:szCs w:val="21"/>
          <w:highlight w:val="none"/>
        </w:rPr>
        <w:t>任何一方违反本合同规定，在收到非违约方的书面通知后30日内未消</w:t>
      </w:r>
      <w:r>
        <w:rPr>
          <w:rFonts w:hint="eastAsia" w:ascii="宋体" w:hAnsi="宋体"/>
          <w:color w:val="auto"/>
          <w:szCs w:val="21"/>
          <w:highlight w:val="none"/>
          <w:lang w:eastAsia="zh-CN"/>
        </w:rPr>
        <w:t>除</w:t>
      </w:r>
      <w:r>
        <w:rPr>
          <w:rFonts w:hint="eastAsia" w:ascii="宋体" w:hAnsi="宋体"/>
          <w:color w:val="auto"/>
          <w:szCs w:val="21"/>
          <w:highlight w:val="none"/>
        </w:rPr>
        <w:t>纠正违约行为的，非违约方有权单方面通知违约方终止本合同。</w:t>
      </w:r>
    </w:p>
    <w:p w14:paraId="71D6D7A6">
      <w:pPr>
        <w:numPr>
          <w:ilvl w:val="0"/>
          <w:numId w:val="12"/>
        </w:numPr>
        <w:spacing w:line="480" w:lineRule="exact"/>
        <w:rPr>
          <w:rFonts w:ascii="宋体" w:hAnsi="宋体"/>
          <w:color w:val="auto"/>
          <w:szCs w:val="21"/>
          <w:highlight w:val="none"/>
        </w:rPr>
      </w:pPr>
      <w:r>
        <w:rPr>
          <w:rFonts w:hint="eastAsia" w:ascii="宋体" w:hAnsi="宋体"/>
          <w:color w:val="auto"/>
          <w:szCs w:val="21"/>
          <w:highlight w:val="none"/>
        </w:rPr>
        <w:t>若甲乙双方中的一方破产，或者进入任何破产清算、债权者保护的行政程序或司法程序，另一方可立即以书面通知形式终止本合同。</w:t>
      </w:r>
    </w:p>
    <w:p w14:paraId="339FA4B5">
      <w:pPr>
        <w:numPr>
          <w:ilvl w:val="0"/>
          <w:numId w:val="12"/>
        </w:numPr>
        <w:spacing w:line="480" w:lineRule="exact"/>
        <w:rPr>
          <w:rFonts w:hint="eastAsia" w:ascii="宋体" w:hAnsi="宋体"/>
          <w:color w:val="auto"/>
          <w:szCs w:val="21"/>
          <w:highlight w:val="none"/>
        </w:rPr>
      </w:pPr>
      <w:r>
        <w:rPr>
          <w:rFonts w:hint="eastAsia" w:ascii="宋体" w:hAnsi="宋体"/>
          <w:color w:val="auto"/>
          <w:szCs w:val="21"/>
          <w:highlight w:val="none"/>
        </w:rPr>
        <w:t>依据上述规定终止本合同后，不影响双方对合同终止前的债权债务进行结算。</w:t>
      </w:r>
    </w:p>
    <w:p w14:paraId="3FBA8EAE">
      <w:pPr>
        <w:numPr>
          <w:ilvl w:val="0"/>
          <w:numId w:val="12"/>
        </w:numPr>
        <w:spacing w:line="480" w:lineRule="exact"/>
        <w:rPr>
          <w:rFonts w:hint="eastAsia" w:ascii="宋体" w:hAnsi="宋体"/>
          <w:color w:val="auto"/>
          <w:szCs w:val="21"/>
          <w:highlight w:val="none"/>
        </w:rPr>
      </w:pPr>
      <w:r>
        <w:rPr>
          <w:rFonts w:hint="eastAsia" w:ascii="宋体" w:hAnsi="宋体"/>
          <w:color w:val="auto"/>
          <w:szCs w:val="21"/>
          <w:highlight w:val="none"/>
        </w:rPr>
        <w:t>若乙方所提供设备不符合甲方要求，乙方应在四小时内无条件按要求进行更换；若更换两次仍不符合要求的，甲方有权拒绝接收相关设备，乙方应按照该次任务产生的租赁费用总</w:t>
      </w:r>
      <w:r>
        <w:rPr>
          <w:rFonts w:hint="eastAsia" w:ascii="宋体" w:hAnsi="宋体"/>
          <w:color w:val="auto"/>
          <w:szCs w:val="21"/>
          <w:highlight w:val="none"/>
          <w:lang w:eastAsia="zh-CN"/>
        </w:rPr>
        <w:t>额</w:t>
      </w:r>
      <w:r>
        <w:rPr>
          <w:rFonts w:hint="eastAsia" w:ascii="宋体" w:hAnsi="宋体"/>
          <w:color w:val="auto"/>
          <w:szCs w:val="21"/>
          <w:highlight w:val="none"/>
        </w:rPr>
        <w:t>的20％作为违约金支付给甲方，并承担因产生的其他费用（包括且不限于甲方自行更换符合要求的设备所产生的租赁费、人工费、运输费、安装费等）；以上费用应于任务结束当日起5个工作日内支付给甲方。</w:t>
      </w:r>
    </w:p>
    <w:p w14:paraId="322EA69F">
      <w:pPr>
        <w:spacing w:line="480" w:lineRule="exact"/>
        <w:rPr>
          <w:rFonts w:ascii="宋体" w:hAnsi="宋体"/>
          <w:color w:val="auto"/>
          <w:szCs w:val="21"/>
          <w:highlight w:val="none"/>
        </w:rPr>
      </w:pPr>
      <w:r>
        <w:rPr>
          <w:rFonts w:hint="eastAsia" w:ascii="宋体" w:hAnsi="宋体"/>
          <w:color w:val="auto"/>
          <w:szCs w:val="21"/>
          <w:highlight w:val="none"/>
        </w:rPr>
        <w:t>六、不可抗力</w:t>
      </w:r>
    </w:p>
    <w:p w14:paraId="67AE8AC0">
      <w:pPr>
        <w:spacing w:line="480" w:lineRule="exact"/>
        <w:ind w:firstLine="420" w:firstLineChars="200"/>
        <w:rPr>
          <w:rFonts w:ascii="宋体" w:hAnsi="宋体"/>
          <w:color w:val="auto"/>
          <w:szCs w:val="21"/>
          <w:highlight w:val="none"/>
        </w:rPr>
      </w:pPr>
      <w:r>
        <w:rPr>
          <w:rFonts w:hint="eastAsia" w:ascii="宋体" w:hAnsi="宋体"/>
          <w:color w:val="auto"/>
          <w:szCs w:val="21"/>
          <w:highlight w:val="none"/>
        </w:rPr>
        <w:t>一方由于不可抗力的原因不能履行合同时，应及时向对方通报不能履行或不能及时履行的理由，在取得相关机构出具的证明以后，经双方协商可以延期履行、部分履行或者不履行合同，并可根据不可抗力的影响程度和情况部分或全部免予承担违约责任。</w:t>
      </w:r>
    </w:p>
    <w:p w14:paraId="193017DC">
      <w:pPr>
        <w:spacing w:line="480" w:lineRule="exact"/>
        <w:rPr>
          <w:rFonts w:ascii="宋体" w:hAnsi="宋体"/>
          <w:color w:val="auto"/>
          <w:szCs w:val="21"/>
          <w:highlight w:val="none"/>
        </w:rPr>
      </w:pPr>
      <w:r>
        <w:rPr>
          <w:rFonts w:hint="eastAsia" w:ascii="宋体" w:hAnsi="宋体"/>
          <w:color w:val="auto"/>
          <w:szCs w:val="21"/>
          <w:highlight w:val="none"/>
        </w:rPr>
        <w:t>七、仲裁条款</w:t>
      </w:r>
    </w:p>
    <w:p w14:paraId="307E2341">
      <w:pPr>
        <w:spacing w:line="480" w:lineRule="exact"/>
        <w:ind w:firstLine="420" w:firstLineChars="200"/>
        <w:rPr>
          <w:rFonts w:ascii="宋体" w:hAnsi="宋体"/>
          <w:color w:val="auto"/>
          <w:szCs w:val="21"/>
          <w:highlight w:val="none"/>
        </w:rPr>
      </w:pPr>
      <w:r>
        <w:rPr>
          <w:rFonts w:hint="eastAsia" w:ascii="宋体" w:hAnsi="宋体"/>
          <w:color w:val="auto"/>
          <w:szCs w:val="21"/>
          <w:highlight w:val="none"/>
        </w:rPr>
        <w:t>凡因履行本合同而发生的争议，双方应友好协商解决。协商不成的，提交昆明仲裁委员会仲裁，裁决是终局的，对双方都有约束力。仲裁费用败诉方承担，但仲裁委员会另有裁决的除外。在仲裁期间，除仲裁条款之外的其它条款双方应继续履行。</w:t>
      </w:r>
    </w:p>
    <w:p w14:paraId="220CA8A3">
      <w:pPr>
        <w:spacing w:line="480" w:lineRule="exact"/>
        <w:rPr>
          <w:rFonts w:ascii="宋体" w:hAnsi="宋体"/>
          <w:color w:val="auto"/>
          <w:szCs w:val="21"/>
          <w:highlight w:val="none"/>
        </w:rPr>
      </w:pPr>
      <w:r>
        <w:rPr>
          <w:rFonts w:hint="eastAsia" w:ascii="宋体" w:hAnsi="宋体"/>
          <w:color w:val="auto"/>
          <w:szCs w:val="21"/>
          <w:highlight w:val="none"/>
        </w:rPr>
        <w:t>八、生效及其他</w:t>
      </w:r>
    </w:p>
    <w:p w14:paraId="6E40A62B">
      <w:pPr>
        <w:spacing w:line="480" w:lineRule="exact"/>
        <w:rPr>
          <w:rFonts w:ascii="宋体" w:hAnsi="宋体"/>
          <w:color w:val="auto"/>
          <w:szCs w:val="21"/>
          <w:highlight w:val="none"/>
        </w:rPr>
      </w:pPr>
      <w:r>
        <w:rPr>
          <w:rFonts w:hint="eastAsia" w:ascii="宋体" w:hAnsi="宋体"/>
          <w:color w:val="auto"/>
          <w:szCs w:val="21"/>
          <w:highlight w:val="none"/>
        </w:rPr>
        <w:t>1、合同附件应作为本合同的一部分，与本合同具有同等法律效力。若附件与合同正文有任何不一致的地方，以合同正文为准。</w:t>
      </w:r>
    </w:p>
    <w:p w14:paraId="2A2C56D5">
      <w:pPr>
        <w:spacing w:line="480" w:lineRule="exact"/>
        <w:rPr>
          <w:rFonts w:ascii="宋体" w:hAnsi="宋体"/>
          <w:color w:val="auto"/>
          <w:szCs w:val="21"/>
          <w:highlight w:val="none"/>
        </w:rPr>
      </w:pPr>
      <w:r>
        <w:rPr>
          <w:rFonts w:hint="eastAsia" w:ascii="宋体" w:hAnsi="宋体"/>
          <w:color w:val="auto"/>
          <w:szCs w:val="21"/>
          <w:highlight w:val="none"/>
        </w:rPr>
        <w:t>2、本合同一式</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肆</w:t>
      </w:r>
      <w:r>
        <w:rPr>
          <w:rFonts w:hint="eastAsia" w:ascii="宋体" w:hAnsi="宋体"/>
          <w:color w:val="auto"/>
          <w:szCs w:val="21"/>
          <w:highlight w:val="none"/>
          <w:u w:val="single"/>
        </w:rPr>
        <w:t xml:space="preserve">  </w:t>
      </w:r>
      <w:r>
        <w:rPr>
          <w:rFonts w:hint="eastAsia" w:ascii="宋体" w:hAnsi="宋体"/>
          <w:color w:val="auto"/>
          <w:szCs w:val="21"/>
          <w:highlight w:val="none"/>
        </w:rPr>
        <w:t>份，</w:t>
      </w:r>
      <w:r>
        <w:rPr>
          <w:rFonts w:hint="eastAsia" w:ascii="宋体" w:hAnsi="宋体"/>
          <w:color w:val="auto"/>
          <w:szCs w:val="21"/>
          <w:highlight w:val="none"/>
          <w:lang w:val="en-US" w:eastAsia="zh-CN"/>
        </w:rPr>
        <w:t>甲乙</w:t>
      </w:r>
      <w:r>
        <w:rPr>
          <w:rFonts w:hint="eastAsia" w:ascii="宋体" w:hAnsi="宋体"/>
          <w:color w:val="auto"/>
          <w:szCs w:val="21"/>
          <w:highlight w:val="none"/>
        </w:rPr>
        <w:t>双方各执</w:t>
      </w:r>
      <w:r>
        <w:rPr>
          <w:rFonts w:hint="eastAsia" w:ascii="宋体" w:hAnsi="宋体"/>
          <w:color w:val="auto"/>
          <w:szCs w:val="21"/>
          <w:highlight w:val="none"/>
          <w:u w:val="single"/>
        </w:rPr>
        <w:t xml:space="preserve">  贰  </w:t>
      </w:r>
      <w:r>
        <w:rPr>
          <w:rFonts w:hint="eastAsia" w:ascii="宋体" w:hAnsi="宋体"/>
          <w:color w:val="auto"/>
          <w:szCs w:val="21"/>
          <w:highlight w:val="none"/>
        </w:rPr>
        <w:t>份，具有同等的法律效力。</w:t>
      </w:r>
    </w:p>
    <w:p w14:paraId="6E51A77F">
      <w:pPr>
        <w:spacing w:line="480" w:lineRule="auto"/>
        <w:rPr>
          <w:rFonts w:ascii="宋体" w:hAnsi="宋体"/>
          <w:color w:val="auto"/>
          <w:sz w:val="24"/>
          <w:szCs w:val="24"/>
          <w:highlight w:val="none"/>
        </w:rPr>
      </w:pPr>
      <w:r>
        <w:rPr>
          <w:rFonts w:hint="eastAsia" w:ascii="宋体" w:hAnsi="宋体"/>
          <w:color w:val="auto"/>
          <w:szCs w:val="21"/>
          <w:highlight w:val="none"/>
        </w:rPr>
        <w:t>3、本合同经双方签字并盖章后生效，至双方权利义务履行完毕终止。</w:t>
      </w:r>
    </w:p>
    <w:p w14:paraId="6A8DF29F">
      <w:pPr>
        <w:spacing w:line="360" w:lineRule="auto"/>
        <w:ind w:firstLine="420" w:firstLineChars="200"/>
        <w:rPr>
          <w:rFonts w:hAnsi="宋体"/>
          <w:color w:val="auto"/>
          <w:sz w:val="21"/>
          <w:szCs w:val="21"/>
        </w:rPr>
      </w:pPr>
      <w:r>
        <w:rPr>
          <w:rFonts w:hint="eastAsia" w:hAnsi="宋体"/>
          <w:color w:val="auto"/>
          <w:sz w:val="21"/>
          <w:szCs w:val="21"/>
        </w:rPr>
        <w:t>甲方：   （盖单位公章）</w:t>
      </w:r>
      <w:r>
        <w:rPr>
          <w:rFonts w:hAnsi="宋体"/>
          <w:color w:val="auto"/>
          <w:sz w:val="21"/>
          <w:szCs w:val="21"/>
        </w:rPr>
        <w:tab/>
      </w:r>
      <w:r>
        <w:rPr>
          <w:rFonts w:hAnsi="宋体"/>
          <w:color w:val="auto"/>
          <w:sz w:val="21"/>
          <w:szCs w:val="21"/>
        </w:rPr>
        <w:tab/>
      </w:r>
      <w:r>
        <w:rPr>
          <w:rFonts w:hint="eastAsia" w:hAnsi="宋体"/>
          <w:color w:val="auto"/>
          <w:sz w:val="21"/>
          <w:szCs w:val="21"/>
        </w:rPr>
        <w:t xml:space="preserve">  </w:t>
      </w:r>
      <w:r>
        <w:rPr>
          <w:rFonts w:hint="eastAsia" w:hAnsi="宋体"/>
          <w:color w:val="auto"/>
          <w:sz w:val="21"/>
          <w:szCs w:val="21"/>
          <w:lang w:val="en-US" w:eastAsia="zh-CN"/>
        </w:rPr>
        <w:t xml:space="preserve">       </w:t>
      </w:r>
      <w:r>
        <w:rPr>
          <w:rFonts w:hint="eastAsia" w:hAnsi="宋体"/>
          <w:color w:val="auto"/>
          <w:sz w:val="21"/>
          <w:szCs w:val="21"/>
        </w:rPr>
        <w:t>乙方：（盖单位公章）</w:t>
      </w:r>
    </w:p>
    <w:p w14:paraId="2D31529A">
      <w:pPr>
        <w:spacing w:line="360" w:lineRule="auto"/>
        <w:ind w:firstLine="420" w:firstLineChars="200"/>
        <w:rPr>
          <w:rFonts w:hAnsi="宋体"/>
          <w:color w:val="auto"/>
          <w:sz w:val="21"/>
          <w:szCs w:val="21"/>
        </w:rPr>
      </w:pPr>
      <w:r>
        <w:rPr>
          <w:rFonts w:hint="eastAsia" w:hAnsi="宋体"/>
          <w:color w:val="auto"/>
          <w:sz w:val="21"/>
          <w:szCs w:val="21"/>
        </w:rPr>
        <w:t xml:space="preserve">法定代表人（授权代表）：       </w:t>
      </w:r>
      <w:r>
        <w:rPr>
          <w:rFonts w:hint="eastAsia" w:hAnsi="宋体"/>
          <w:color w:val="auto"/>
          <w:sz w:val="21"/>
          <w:szCs w:val="21"/>
          <w:lang w:val="en-US" w:eastAsia="zh-CN"/>
        </w:rPr>
        <w:t xml:space="preserve">      </w:t>
      </w:r>
      <w:r>
        <w:rPr>
          <w:rFonts w:hint="eastAsia" w:hAnsi="宋体"/>
          <w:color w:val="auto"/>
          <w:sz w:val="21"/>
          <w:szCs w:val="21"/>
        </w:rPr>
        <w:t>法定代表人（授权代表）：</w:t>
      </w:r>
    </w:p>
    <w:p w14:paraId="52BE384F">
      <w:pPr>
        <w:spacing w:line="360" w:lineRule="auto"/>
        <w:ind w:firstLine="420" w:firstLineChars="200"/>
        <w:rPr>
          <w:rFonts w:hAnsi="宋体"/>
          <w:color w:val="auto"/>
          <w:sz w:val="21"/>
          <w:szCs w:val="21"/>
        </w:rPr>
      </w:pPr>
      <w:r>
        <w:rPr>
          <w:rFonts w:hint="eastAsia" w:hAnsi="宋体"/>
          <w:color w:val="auto"/>
          <w:sz w:val="21"/>
          <w:szCs w:val="21"/>
        </w:rPr>
        <w:t xml:space="preserve">地址：                        </w:t>
      </w:r>
      <w:r>
        <w:rPr>
          <w:rFonts w:hint="eastAsia" w:hAnsi="宋体"/>
          <w:color w:val="auto"/>
          <w:sz w:val="21"/>
          <w:szCs w:val="21"/>
          <w:lang w:val="en-US" w:eastAsia="zh-CN"/>
        </w:rPr>
        <w:t xml:space="preserve">       </w:t>
      </w:r>
      <w:r>
        <w:rPr>
          <w:rFonts w:hint="eastAsia" w:hAnsi="宋体"/>
          <w:color w:val="auto"/>
          <w:sz w:val="21"/>
          <w:szCs w:val="21"/>
        </w:rPr>
        <w:t>地址：</w:t>
      </w:r>
    </w:p>
    <w:p w14:paraId="5DCE6E75">
      <w:pPr>
        <w:spacing w:line="360" w:lineRule="auto"/>
        <w:ind w:firstLine="420" w:firstLineChars="200"/>
        <w:rPr>
          <w:rFonts w:hAnsi="宋体"/>
          <w:color w:val="auto"/>
          <w:sz w:val="21"/>
          <w:szCs w:val="21"/>
        </w:rPr>
      </w:pPr>
      <w:r>
        <w:rPr>
          <w:rFonts w:hint="eastAsia" w:hAnsi="宋体"/>
          <w:color w:val="auto"/>
          <w:sz w:val="21"/>
          <w:szCs w:val="21"/>
        </w:rPr>
        <w:t xml:space="preserve">开户银行：                   </w:t>
      </w:r>
      <w:r>
        <w:rPr>
          <w:rFonts w:hint="eastAsia" w:hAnsi="宋体"/>
          <w:color w:val="auto"/>
          <w:sz w:val="21"/>
          <w:szCs w:val="21"/>
          <w:lang w:val="en-US" w:eastAsia="zh-CN"/>
        </w:rPr>
        <w:t xml:space="preserve">       </w:t>
      </w:r>
      <w:r>
        <w:rPr>
          <w:rFonts w:hint="eastAsia" w:hAnsi="宋体"/>
          <w:color w:val="auto"/>
          <w:sz w:val="21"/>
          <w:szCs w:val="21"/>
        </w:rPr>
        <w:t xml:space="preserve"> 开户银行：</w:t>
      </w:r>
    </w:p>
    <w:p w14:paraId="70F446A2">
      <w:pPr>
        <w:spacing w:line="360" w:lineRule="auto"/>
        <w:ind w:firstLine="420" w:firstLineChars="200"/>
        <w:rPr>
          <w:rFonts w:hAnsi="宋体"/>
          <w:color w:val="auto"/>
          <w:sz w:val="21"/>
          <w:szCs w:val="21"/>
        </w:rPr>
      </w:pPr>
      <w:r>
        <w:rPr>
          <w:rFonts w:hint="eastAsia" w:hAnsi="宋体"/>
          <w:color w:val="auto"/>
          <w:sz w:val="21"/>
          <w:szCs w:val="21"/>
        </w:rPr>
        <w:t xml:space="preserve">账号：                     </w:t>
      </w:r>
      <w:r>
        <w:rPr>
          <w:rFonts w:hint="eastAsia" w:hAnsi="宋体"/>
          <w:color w:val="auto"/>
          <w:sz w:val="21"/>
          <w:szCs w:val="21"/>
          <w:lang w:val="en-US" w:eastAsia="zh-CN"/>
        </w:rPr>
        <w:t xml:space="preserve">       </w:t>
      </w:r>
      <w:r>
        <w:rPr>
          <w:rFonts w:hint="eastAsia" w:hAnsi="宋体"/>
          <w:color w:val="auto"/>
          <w:sz w:val="21"/>
          <w:szCs w:val="21"/>
        </w:rPr>
        <w:t xml:space="preserve">   账号：</w:t>
      </w:r>
    </w:p>
    <w:p w14:paraId="41FB24A2">
      <w:pPr>
        <w:spacing w:line="360" w:lineRule="auto"/>
        <w:ind w:firstLine="420" w:firstLineChars="200"/>
        <w:rPr>
          <w:rFonts w:hAnsi="宋体"/>
          <w:color w:val="auto"/>
          <w:sz w:val="21"/>
          <w:szCs w:val="21"/>
        </w:rPr>
      </w:pPr>
      <w:r>
        <w:rPr>
          <w:rFonts w:hint="eastAsia" w:hAnsi="宋体"/>
          <w:color w:val="auto"/>
          <w:sz w:val="21"/>
          <w:szCs w:val="21"/>
        </w:rPr>
        <w:t xml:space="preserve">电话：                      </w:t>
      </w:r>
      <w:r>
        <w:rPr>
          <w:rFonts w:hint="eastAsia" w:hAnsi="宋体"/>
          <w:color w:val="auto"/>
          <w:sz w:val="21"/>
          <w:szCs w:val="21"/>
          <w:lang w:val="en-US" w:eastAsia="zh-CN"/>
        </w:rPr>
        <w:t xml:space="preserve">       </w:t>
      </w:r>
      <w:r>
        <w:rPr>
          <w:rFonts w:hint="eastAsia" w:hAnsi="宋体"/>
          <w:color w:val="auto"/>
          <w:sz w:val="21"/>
          <w:szCs w:val="21"/>
        </w:rPr>
        <w:t xml:space="preserve">  电话：</w:t>
      </w:r>
    </w:p>
    <w:p w14:paraId="782D75DD">
      <w:pPr>
        <w:spacing w:line="360" w:lineRule="auto"/>
        <w:ind w:firstLine="420" w:firstLineChars="200"/>
        <w:rPr>
          <w:rFonts w:hAnsi="宋体"/>
          <w:color w:val="auto"/>
          <w:sz w:val="21"/>
          <w:szCs w:val="21"/>
        </w:rPr>
      </w:pPr>
      <w:r>
        <w:rPr>
          <w:rFonts w:hint="eastAsia" w:hAnsi="宋体"/>
          <w:color w:val="auto"/>
          <w:sz w:val="21"/>
          <w:szCs w:val="21"/>
        </w:rPr>
        <w:t xml:space="preserve">传真：                       </w:t>
      </w:r>
      <w:r>
        <w:rPr>
          <w:rFonts w:hint="eastAsia" w:hAnsi="宋体"/>
          <w:color w:val="auto"/>
          <w:sz w:val="21"/>
          <w:szCs w:val="21"/>
          <w:lang w:val="en-US" w:eastAsia="zh-CN"/>
        </w:rPr>
        <w:t xml:space="preserve">       </w:t>
      </w:r>
      <w:r>
        <w:rPr>
          <w:rFonts w:hint="eastAsia" w:hAnsi="宋体"/>
          <w:color w:val="auto"/>
          <w:sz w:val="21"/>
          <w:szCs w:val="21"/>
        </w:rPr>
        <w:t xml:space="preserve"> 传真：</w:t>
      </w:r>
    </w:p>
    <w:p w14:paraId="2A3EC621">
      <w:pPr>
        <w:spacing w:line="360" w:lineRule="auto"/>
        <w:ind w:firstLine="420" w:firstLineChars="200"/>
        <w:rPr>
          <w:rFonts w:hAnsi="宋体" w:cs="宋体"/>
          <w:color w:val="auto"/>
          <w:kern w:val="2"/>
          <w:sz w:val="21"/>
          <w:szCs w:val="21"/>
        </w:rPr>
      </w:pPr>
      <w:r>
        <w:rPr>
          <w:rFonts w:hint="eastAsia" w:hAnsi="宋体"/>
          <w:color w:val="auto"/>
          <w:kern w:val="2"/>
          <w:sz w:val="21"/>
          <w:szCs w:val="21"/>
        </w:rPr>
        <w:t>签约日期：  年  月  日</w:t>
      </w:r>
      <w:r>
        <w:rPr>
          <w:rFonts w:hAnsi="宋体"/>
          <w:color w:val="auto"/>
          <w:kern w:val="2"/>
          <w:sz w:val="21"/>
          <w:szCs w:val="21"/>
        </w:rPr>
        <w:tab/>
      </w:r>
      <w:r>
        <w:rPr>
          <w:rFonts w:hint="eastAsia" w:hAnsi="宋体"/>
          <w:color w:val="auto"/>
          <w:kern w:val="2"/>
          <w:sz w:val="21"/>
          <w:szCs w:val="21"/>
        </w:rPr>
        <w:t xml:space="preserve">    </w:t>
      </w:r>
      <w:r>
        <w:rPr>
          <w:rFonts w:hint="eastAsia" w:hAnsi="宋体"/>
          <w:color w:val="auto"/>
          <w:kern w:val="2"/>
          <w:sz w:val="21"/>
          <w:szCs w:val="21"/>
          <w:lang w:val="en-US" w:eastAsia="zh-CN"/>
        </w:rPr>
        <w:t xml:space="preserve">       </w:t>
      </w:r>
      <w:r>
        <w:rPr>
          <w:rFonts w:hint="eastAsia" w:hAnsi="宋体"/>
          <w:color w:val="auto"/>
          <w:kern w:val="2"/>
          <w:sz w:val="21"/>
          <w:szCs w:val="21"/>
        </w:rPr>
        <w:t xml:space="preserve">  签约日期：  年  月  日</w:t>
      </w:r>
    </w:p>
    <w:p w14:paraId="75392FAF">
      <w:pPr>
        <w:spacing w:line="360" w:lineRule="auto"/>
        <w:rPr>
          <w:rFonts w:ascii="宋体" w:hAnsi="宋体"/>
          <w:color w:val="auto"/>
          <w:sz w:val="24"/>
          <w:highlight w:val="none"/>
        </w:rPr>
      </w:pPr>
      <w:r>
        <w:rPr>
          <w:rFonts w:ascii="宋体" w:hAnsi="宋体" w:cs="宋体"/>
          <w:color w:val="auto"/>
          <w:szCs w:val="21"/>
          <w:highlight w:val="none"/>
        </w:rPr>
        <w:br w:type="page"/>
      </w:r>
    </w:p>
    <w:p w14:paraId="041BE09A">
      <w:pPr>
        <w:rPr>
          <w:rFonts w:ascii="宋体" w:hAnsi="宋体"/>
          <w:color w:val="auto"/>
          <w:highlight w:val="none"/>
        </w:rPr>
      </w:pPr>
    </w:p>
    <w:p w14:paraId="496B96EA">
      <w:pPr>
        <w:rPr>
          <w:rFonts w:ascii="宋体" w:hAnsi="宋体"/>
          <w:color w:val="auto"/>
          <w:highlight w:val="none"/>
        </w:rPr>
      </w:pPr>
    </w:p>
    <w:p w14:paraId="1AE3BF0C">
      <w:pPr>
        <w:rPr>
          <w:rFonts w:ascii="宋体" w:hAnsi="宋体"/>
          <w:color w:val="auto"/>
          <w:highlight w:val="none"/>
        </w:rPr>
      </w:pPr>
    </w:p>
    <w:p w14:paraId="3957AAB0">
      <w:pPr>
        <w:rPr>
          <w:rFonts w:ascii="宋体" w:hAnsi="宋体"/>
          <w:color w:val="auto"/>
          <w:highlight w:val="none"/>
        </w:rPr>
      </w:pPr>
    </w:p>
    <w:p w14:paraId="0631A6A9">
      <w:pPr>
        <w:pStyle w:val="28"/>
        <w:rPr>
          <w:rFonts w:ascii="宋体" w:hAnsi="宋体"/>
          <w:bCs w:val="0"/>
          <w:color w:val="auto"/>
          <w:kern w:val="44"/>
          <w:sz w:val="36"/>
          <w:szCs w:val="20"/>
          <w:highlight w:val="none"/>
        </w:rPr>
      </w:pPr>
      <w:bookmarkStart w:id="102" w:name="_Toc71666345"/>
      <w:r>
        <w:rPr>
          <w:rFonts w:hint="eastAsia" w:ascii="宋体" w:hAnsi="宋体"/>
          <w:bCs w:val="0"/>
          <w:color w:val="auto"/>
          <w:kern w:val="44"/>
          <w:sz w:val="36"/>
          <w:szCs w:val="20"/>
          <w:highlight w:val="none"/>
        </w:rPr>
        <w:t>第四章  投标文件格式</w:t>
      </w:r>
      <w:bookmarkEnd w:id="102"/>
    </w:p>
    <w:p w14:paraId="5FC47937">
      <w:pPr>
        <w:pStyle w:val="16"/>
        <w:spacing w:line="500" w:lineRule="exact"/>
        <w:rPr>
          <w:rFonts w:hAnsi="宋体"/>
          <w:color w:val="auto"/>
          <w:szCs w:val="21"/>
          <w:highlight w:val="none"/>
        </w:rPr>
      </w:pPr>
      <w:r>
        <w:rPr>
          <w:rFonts w:hint="eastAsia" w:hAnsi="宋体"/>
          <w:color w:val="auto"/>
          <w:szCs w:val="21"/>
          <w:highlight w:val="none"/>
        </w:rPr>
        <w:br w:type="page"/>
      </w:r>
    </w:p>
    <w:p w14:paraId="645D7F0C">
      <w:pPr>
        <w:pStyle w:val="16"/>
        <w:spacing w:line="500" w:lineRule="exact"/>
        <w:jc w:val="center"/>
        <w:rPr>
          <w:rFonts w:hAnsi="宋体"/>
          <w:b/>
          <w:bCs/>
          <w:color w:val="auto"/>
          <w:sz w:val="48"/>
          <w:highlight w:val="none"/>
          <w:u w:val="single"/>
        </w:rPr>
      </w:pPr>
    </w:p>
    <w:p w14:paraId="23525287">
      <w:pPr>
        <w:pStyle w:val="16"/>
        <w:spacing w:line="500" w:lineRule="exact"/>
        <w:jc w:val="center"/>
        <w:rPr>
          <w:rFonts w:hAnsi="宋体"/>
          <w:b/>
          <w:bCs/>
          <w:color w:val="auto"/>
          <w:sz w:val="48"/>
          <w:highlight w:val="none"/>
          <w:u w:val="single"/>
        </w:rPr>
      </w:pPr>
    </w:p>
    <w:p w14:paraId="6BF2EB44">
      <w:pPr>
        <w:pStyle w:val="16"/>
        <w:spacing w:line="500" w:lineRule="exact"/>
        <w:jc w:val="center"/>
        <w:rPr>
          <w:rFonts w:hAnsi="宋体"/>
          <w:b/>
          <w:bCs/>
          <w:color w:val="auto"/>
          <w:sz w:val="48"/>
          <w:highlight w:val="none"/>
          <w:u w:val="single"/>
        </w:rPr>
      </w:pPr>
    </w:p>
    <w:p w14:paraId="7813C4EB">
      <w:pPr>
        <w:pStyle w:val="16"/>
        <w:spacing w:line="500" w:lineRule="exact"/>
        <w:jc w:val="center"/>
        <w:rPr>
          <w:rFonts w:hAnsi="宋体"/>
          <w:b/>
          <w:bCs/>
          <w:color w:val="auto"/>
          <w:sz w:val="48"/>
          <w:highlight w:val="none"/>
          <w:u w:val="single"/>
        </w:rPr>
      </w:pPr>
    </w:p>
    <w:p w14:paraId="2BA42F63">
      <w:pPr>
        <w:pStyle w:val="16"/>
        <w:spacing w:line="780" w:lineRule="exact"/>
        <w:jc w:val="center"/>
        <w:rPr>
          <w:rFonts w:hint="eastAsia" w:hAnsi="宋体"/>
          <w:b/>
          <w:color w:val="auto"/>
          <w:sz w:val="60"/>
          <w:szCs w:val="60"/>
          <w:highlight w:val="none"/>
        </w:rPr>
      </w:pPr>
      <w:r>
        <w:rPr>
          <w:rFonts w:hint="eastAsia" w:hAnsi="宋体"/>
          <w:b/>
          <w:bCs/>
          <w:color w:val="auto"/>
          <w:sz w:val="60"/>
          <w:szCs w:val="24"/>
          <w:highlight w:val="none"/>
          <w:u w:val="single"/>
          <w:lang w:eastAsia="zh-CN"/>
        </w:rPr>
        <w:t>2025年防爆安检设备租赁</w:t>
      </w:r>
    </w:p>
    <w:p w14:paraId="5462292D">
      <w:pPr>
        <w:pStyle w:val="16"/>
        <w:spacing w:line="780" w:lineRule="exact"/>
        <w:jc w:val="center"/>
        <w:rPr>
          <w:rFonts w:hint="eastAsia" w:hAnsi="宋体"/>
          <w:b/>
          <w:color w:val="auto"/>
          <w:sz w:val="72"/>
          <w:szCs w:val="72"/>
          <w:highlight w:val="none"/>
        </w:rPr>
      </w:pPr>
    </w:p>
    <w:p w14:paraId="6FE92354">
      <w:pPr>
        <w:pStyle w:val="16"/>
        <w:spacing w:line="780" w:lineRule="exact"/>
        <w:jc w:val="center"/>
        <w:rPr>
          <w:rFonts w:hint="eastAsia" w:hAnsi="宋体"/>
          <w:b/>
          <w:color w:val="auto"/>
          <w:sz w:val="72"/>
          <w:szCs w:val="72"/>
          <w:highlight w:val="none"/>
        </w:rPr>
      </w:pPr>
    </w:p>
    <w:p w14:paraId="5937BE4F">
      <w:pPr>
        <w:pStyle w:val="16"/>
        <w:spacing w:line="780" w:lineRule="exact"/>
        <w:jc w:val="center"/>
        <w:rPr>
          <w:rFonts w:hAnsi="宋体"/>
          <w:b/>
          <w:color w:val="auto"/>
          <w:sz w:val="72"/>
          <w:szCs w:val="72"/>
          <w:highlight w:val="none"/>
        </w:rPr>
      </w:pPr>
      <w:r>
        <w:rPr>
          <w:rFonts w:hint="eastAsia" w:hAnsi="宋体"/>
          <w:b/>
          <w:color w:val="auto"/>
          <w:sz w:val="72"/>
          <w:szCs w:val="72"/>
          <w:highlight w:val="none"/>
        </w:rPr>
        <w:t>投 标 文 件</w:t>
      </w:r>
    </w:p>
    <w:p w14:paraId="15826952">
      <w:pPr>
        <w:pStyle w:val="16"/>
        <w:spacing w:line="500" w:lineRule="exact"/>
        <w:jc w:val="center"/>
        <w:rPr>
          <w:rFonts w:hAnsi="宋体"/>
          <w:b/>
          <w:color w:val="auto"/>
          <w:sz w:val="72"/>
          <w:szCs w:val="72"/>
          <w:highlight w:val="none"/>
        </w:rPr>
      </w:pPr>
    </w:p>
    <w:p w14:paraId="3CE3263A">
      <w:pPr>
        <w:pStyle w:val="16"/>
        <w:spacing w:line="500" w:lineRule="exact"/>
        <w:jc w:val="center"/>
        <w:rPr>
          <w:rFonts w:hAnsi="宋体"/>
          <w:b/>
          <w:color w:val="auto"/>
          <w:sz w:val="28"/>
          <w:szCs w:val="28"/>
          <w:highlight w:val="none"/>
          <w:u w:val="single"/>
        </w:rPr>
      </w:pPr>
      <w:r>
        <w:rPr>
          <w:rFonts w:hint="eastAsia" w:hAnsi="宋体"/>
          <w:b/>
          <w:color w:val="auto"/>
          <w:sz w:val="28"/>
          <w:szCs w:val="28"/>
          <w:highlight w:val="none"/>
        </w:rPr>
        <w:t>项目编号：</w:t>
      </w:r>
    </w:p>
    <w:p w14:paraId="18043DA7">
      <w:pPr>
        <w:pStyle w:val="16"/>
        <w:spacing w:line="500" w:lineRule="exact"/>
        <w:ind w:firstLine="9259" w:firstLineChars="1281"/>
        <w:rPr>
          <w:rFonts w:hAnsi="宋体"/>
          <w:b/>
          <w:color w:val="auto"/>
          <w:sz w:val="72"/>
          <w:szCs w:val="72"/>
          <w:highlight w:val="none"/>
          <w:u w:val="single"/>
        </w:rPr>
      </w:pPr>
    </w:p>
    <w:p w14:paraId="28A6D5D9">
      <w:pPr>
        <w:pStyle w:val="16"/>
        <w:spacing w:line="500" w:lineRule="exact"/>
        <w:jc w:val="center"/>
        <w:rPr>
          <w:rFonts w:hAnsi="宋体"/>
          <w:b/>
          <w:color w:val="auto"/>
          <w:sz w:val="28"/>
          <w:szCs w:val="28"/>
          <w:highlight w:val="none"/>
        </w:rPr>
      </w:pPr>
    </w:p>
    <w:p w14:paraId="1DC9EB61">
      <w:pPr>
        <w:pStyle w:val="16"/>
        <w:spacing w:line="500" w:lineRule="exact"/>
        <w:jc w:val="center"/>
        <w:rPr>
          <w:rFonts w:hAnsi="宋体"/>
          <w:b/>
          <w:color w:val="auto"/>
          <w:sz w:val="28"/>
          <w:szCs w:val="28"/>
          <w:highlight w:val="none"/>
        </w:rPr>
      </w:pPr>
    </w:p>
    <w:p w14:paraId="36FE6365">
      <w:pPr>
        <w:pStyle w:val="16"/>
        <w:spacing w:line="500" w:lineRule="exact"/>
        <w:jc w:val="center"/>
        <w:rPr>
          <w:rFonts w:hAnsi="宋体"/>
          <w:b/>
          <w:color w:val="auto"/>
          <w:sz w:val="72"/>
          <w:szCs w:val="72"/>
          <w:highlight w:val="none"/>
        </w:rPr>
      </w:pPr>
    </w:p>
    <w:p w14:paraId="3527A802">
      <w:pPr>
        <w:pStyle w:val="16"/>
        <w:spacing w:line="500" w:lineRule="exact"/>
        <w:jc w:val="center"/>
        <w:rPr>
          <w:rFonts w:hAnsi="宋体"/>
          <w:b/>
          <w:color w:val="auto"/>
          <w:sz w:val="72"/>
          <w:szCs w:val="72"/>
          <w:highlight w:val="none"/>
        </w:rPr>
      </w:pPr>
    </w:p>
    <w:p w14:paraId="58634E74">
      <w:pPr>
        <w:pStyle w:val="16"/>
        <w:spacing w:line="500" w:lineRule="exact"/>
        <w:jc w:val="center"/>
        <w:rPr>
          <w:rFonts w:hAnsi="宋体"/>
          <w:b/>
          <w:color w:val="auto"/>
          <w:sz w:val="72"/>
          <w:szCs w:val="72"/>
          <w:highlight w:val="none"/>
        </w:rPr>
      </w:pPr>
    </w:p>
    <w:p w14:paraId="6EF680BE">
      <w:pPr>
        <w:pStyle w:val="16"/>
        <w:spacing w:line="500" w:lineRule="exact"/>
        <w:jc w:val="center"/>
        <w:rPr>
          <w:rFonts w:hAnsi="宋体"/>
          <w:b/>
          <w:color w:val="auto"/>
          <w:sz w:val="72"/>
          <w:szCs w:val="72"/>
          <w:highlight w:val="none"/>
        </w:rPr>
      </w:pPr>
    </w:p>
    <w:p w14:paraId="16355696">
      <w:pPr>
        <w:spacing w:line="360" w:lineRule="auto"/>
        <w:jc w:val="center"/>
        <w:rPr>
          <w:rFonts w:ascii="宋体" w:hAnsi="宋体"/>
          <w:color w:val="auto"/>
          <w:sz w:val="24"/>
          <w:highlight w:val="none"/>
        </w:rPr>
      </w:pPr>
      <w:r>
        <w:rPr>
          <w:rFonts w:hint="eastAsia" w:ascii="宋体" w:hAnsi="宋体"/>
          <w:color w:val="auto"/>
          <w:sz w:val="24"/>
          <w:highlight w:val="none"/>
        </w:rPr>
        <w:t>投标人全称：</w:t>
      </w:r>
      <w:r>
        <w:rPr>
          <w:rFonts w:hint="eastAsia" w:ascii="宋体" w:hAnsi="宋体"/>
          <w:color w:val="auto"/>
          <w:sz w:val="24"/>
          <w:highlight w:val="none"/>
          <w:u w:val="single"/>
        </w:rPr>
        <w:t xml:space="preserve">                                </w:t>
      </w:r>
      <w:r>
        <w:rPr>
          <w:rFonts w:hint="eastAsia" w:ascii="宋体" w:hAnsi="宋体"/>
          <w:color w:val="auto"/>
          <w:sz w:val="24"/>
          <w:highlight w:val="none"/>
        </w:rPr>
        <w:t>(</w:t>
      </w:r>
      <w:r>
        <w:rPr>
          <w:rFonts w:hint="eastAsia" w:hAnsi="宋体"/>
          <w:color w:val="auto"/>
          <w:sz w:val="24"/>
          <w:highlight w:val="none"/>
          <w:lang w:eastAsia="zh-CN"/>
        </w:rPr>
        <w:t>电子签章</w:t>
      </w:r>
      <w:r>
        <w:rPr>
          <w:rFonts w:hint="eastAsia" w:ascii="宋体" w:hAnsi="宋体"/>
          <w:color w:val="auto"/>
          <w:sz w:val="24"/>
          <w:highlight w:val="none"/>
        </w:rPr>
        <w:t>)</w:t>
      </w:r>
    </w:p>
    <w:p w14:paraId="4E553145">
      <w:pPr>
        <w:pStyle w:val="16"/>
        <w:spacing w:line="500" w:lineRule="exact"/>
        <w:jc w:val="center"/>
        <w:rPr>
          <w:rFonts w:hAnsi="宋体"/>
          <w:color w:val="auto"/>
          <w:sz w:val="24"/>
          <w:highlight w:val="none"/>
        </w:rPr>
      </w:pPr>
      <w:r>
        <w:rPr>
          <w:rFonts w:hint="eastAsia" w:hAnsi="宋体"/>
          <w:color w:val="auto"/>
          <w:sz w:val="24"/>
          <w:highlight w:val="none"/>
        </w:rPr>
        <w:t>法定代表人或委托代理人：</w:t>
      </w:r>
      <w:r>
        <w:rPr>
          <w:rFonts w:hint="eastAsia" w:hAnsi="宋体"/>
          <w:color w:val="auto"/>
          <w:sz w:val="24"/>
          <w:highlight w:val="none"/>
          <w:u w:val="single"/>
        </w:rPr>
        <w:t xml:space="preserve">                    </w:t>
      </w:r>
      <w:r>
        <w:rPr>
          <w:rFonts w:hint="eastAsia" w:hAnsi="宋体"/>
          <w:color w:val="auto"/>
          <w:sz w:val="24"/>
          <w:highlight w:val="none"/>
        </w:rPr>
        <w:t>（</w:t>
      </w:r>
      <w:r>
        <w:rPr>
          <w:rFonts w:hint="eastAsia" w:hAnsi="宋体"/>
          <w:color w:val="auto"/>
          <w:sz w:val="24"/>
          <w:highlight w:val="none"/>
          <w:lang w:eastAsia="zh-CN"/>
        </w:rPr>
        <w:t>电子签章</w:t>
      </w:r>
      <w:r>
        <w:rPr>
          <w:rFonts w:hint="eastAsia" w:hAnsi="宋体"/>
          <w:color w:val="auto"/>
          <w:sz w:val="24"/>
          <w:highlight w:val="none"/>
          <w:lang w:val="en-US" w:eastAsia="zh-CN"/>
        </w:rPr>
        <w:t>或签名</w:t>
      </w:r>
      <w:r>
        <w:rPr>
          <w:rFonts w:hint="eastAsia" w:hAnsi="宋体"/>
          <w:color w:val="auto"/>
          <w:sz w:val="24"/>
          <w:highlight w:val="none"/>
        </w:rPr>
        <w:t>）</w:t>
      </w:r>
    </w:p>
    <w:p w14:paraId="3817C1B5">
      <w:pPr>
        <w:pStyle w:val="16"/>
        <w:spacing w:line="500" w:lineRule="exact"/>
        <w:ind w:firstLine="2520" w:firstLineChars="1050"/>
        <w:jc w:val="center"/>
        <w:rPr>
          <w:rFonts w:hAnsi="宋体"/>
          <w:color w:val="auto"/>
          <w:sz w:val="24"/>
          <w:highlight w:val="none"/>
        </w:rPr>
      </w:pPr>
    </w:p>
    <w:p w14:paraId="5F1AF0DC">
      <w:pPr>
        <w:pStyle w:val="16"/>
        <w:spacing w:line="500" w:lineRule="exact"/>
        <w:jc w:val="center"/>
        <w:rPr>
          <w:rFonts w:hAnsi="宋体"/>
          <w:color w:val="auto"/>
          <w:sz w:val="24"/>
          <w:highlight w:val="none"/>
        </w:rPr>
      </w:pPr>
      <w:r>
        <w:rPr>
          <w:rFonts w:hint="eastAsia" w:hAnsi="宋体"/>
          <w:color w:val="auto"/>
          <w:sz w:val="24"/>
          <w:highlight w:val="none"/>
        </w:rPr>
        <w:t>年</w:t>
      </w:r>
      <w:r>
        <w:rPr>
          <w:rFonts w:hint="eastAsia" w:hAnsi="宋体"/>
          <w:color w:val="auto"/>
          <w:sz w:val="24"/>
          <w:highlight w:val="none"/>
          <w:u w:val="single"/>
        </w:rPr>
        <w:t xml:space="preserve">     </w:t>
      </w:r>
      <w:r>
        <w:rPr>
          <w:rFonts w:hint="eastAsia" w:hAnsi="宋体"/>
          <w:color w:val="auto"/>
          <w:sz w:val="24"/>
          <w:highlight w:val="none"/>
        </w:rPr>
        <w:t>月</w:t>
      </w:r>
      <w:r>
        <w:rPr>
          <w:rFonts w:hint="eastAsia" w:hAnsi="宋体"/>
          <w:color w:val="auto"/>
          <w:sz w:val="24"/>
          <w:highlight w:val="none"/>
          <w:u w:val="single"/>
        </w:rPr>
        <w:t xml:space="preserve">    </w:t>
      </w:r>
      <w:r>
        <w:rPr>
          <w:rFonts w:hint="eastAsia" w:hAnsi="宋体"/>
          <w:color w:val="auto"/>
          <w:sz w:val="24"/>
          <w:highlight w:val="none"/>
        </w:rPr>
        <w:t>日</w:t>
      </w:r>
    </w:p>
    <w:p w14:paraId="6EA2592D">
      <w:pPr>
        <w:pStyle w:val="16"/>
        <w:spacing w:line="360" w:lineRule="auto"/>
        <w:jc w:val="center"/>
        <w:rPr>
          <w:rFonts w:hAnsi="宋体"/>
          <w:b/>
          <w:color w:val="auto"/>
          <w:sz w:val="28"/>
          <w:szCs w:val="28"/>
          <w:highlight w:val="none"/>
        </w:rPr>
      </w:pPr>
      <w:r>
        <w:rPr>
          <w:rFonts w:hint="eastAsia" w:hAnsi="宋体"/>
          <w:color w:val="auto"/>
          <w:sz w:val="24"/>
          <w:highlight w:val="none"/>
        </w:rPr>
        <w:br w:type="page"/>
      </w:r>
    </w:p>
    <w:p w14:paraId="79F7C0B7">
      <w:pPr>
        <w:numPr>
          <w:ilvl w:val="0"/>
          <w:numId w:val="0"/>
        </w:numPr>
        <w:tabs>
          <w:tab w:val="left" w:pos="1021"/>
        </w:tabs>
        <w:ind w:left="425"/>
        <w:jc w:val="center"/>
        <w:outlineLvl w:val="9"/>
        <w:rPr>
          <w:rFonts w:ascii="宋体" w:hAnsi="宋体" w:eastAsia="宋体"/>
          <w:color w:val="auto"/>
          <w:sz w:val="32"/>
          <w:szCs w:val="32"/>
          <w:highlight w:val="none"/>
        </w:rPr>
      </w:pPr>
      <w:bookmarkStart w:id="103" w:name="_Toc477167067"/>
      <w:bookmarkStart w:id="104" w:name="_Toc71666346"/>
      <w:bookmarkStart w:id="105" w:name="_Toc20747720"/>
      <w:bookmarkStart w:id="106" w:name="_Toc213141093"/>
    </w:p>
    <w:bookmarkEnd w:id="103"/>
    <w:bookmarkEnd w:id="104"/>
    <w:bookmarkEnd w:id="105"/>
    <w:bookmarkEnd w:id="106"/>
    <w:p w14:paraId="2D26E838">
      <w:pPr>
        <w:spacing w:line="360" w:lineRule="auto"/>
        <w:jc w:val="center"/>
        <w:rPr>
          <w:rFonts w:ascii="宋体" w:hAnsi="宋体"/>
          <w:color w:val="auto"/>
          <w:sz w:val="36"/>
          <w:szCs w:val="36"/>
          <w:highlight w:val="none"/>
        </w:rPr>
      </w:pPr>
      <w:r>
        <w:rPr>
          <w:rFonts w:hint="eastAsia" w:ascii="宋体" w:hAnsi="宋体"/>
          <w:color w:val="auto"/>
          <w:sz w:val="36"/>
          <w:szCs w:val="36"/>
          <w:highlight w:val="none"/>
        </w:rPr>
        <w:t>★</w:t>
      </w:r>
      <w:r>
        <w:rPr>
          <w:rFonts w:hint="eastAsia" w:ascii="宋体" w:hAnsi="宋体"/>
          <w:color w:val="auto"/>
          <w:sz w:val="36"/>
          <w:szCs w:val="36"/>
          <w:highlight w:val="none"/>
          <w:lang w:val="en-US" w:eastAsia="zh-CN"/>
        </w:rPr>
        <w:t>报价</w:t>
      </w:r>
      <w:r>
        <w:rPr>
          <w:rFonts w:ascii="宋体" w:hAnsi="宋体"/>
          <w:color w:val="auto"/>
          <w:sz w:val="36"/>
          <w:szCs w:val="36"/>
          <w:highlight w:val="none"/>
        </w:rPr>
        <w:t>一览表</w:t>
      </w:r>
    </w:p>
    <w:p w14:paraId="6078B87F">
      <w:pPr>
        <w:pStyle w:val="16"/>
        <w:spacing w:line="360" w:lineRule="auto"/>
        <w:rPr>
          <w:rFonts w:hAnsi="宋体"/>
          <w:b/>
          <w:color w:val="auto"/>
          <w:szCs w:val="21"/>
          <w:highlight w:val="none"/>
        </w:rPr>
      </w:pPr>
      <w:r>
        <w:rPr>
          <w:rFonts w:hAnsi="宋体"/>
          <w:b/>
          <w:color w:val="auto"/>
          <w:szCs w:val="21"/>
          <w:highlight w:val="none"/>
        </w:rPr>
        <w:t>项目名称：</w:t>
      </w:r>
      <w:r>
        <w:rPr>
          <w:rFonts w:hint="eastAsia" w:hAnsi="宋体"/>
          <w:b/>
          <w:color w:val="auto"/>
          <w:szCs w:val="21"/>
          <w:highlight w:val="none"/>
          <w:u w:val="single"/>
        </w:rPr>
        <w:t xml:space="preserve"> </w:t>
      </w:r>
      <w:r>
        <w:rPr>
          <w:rFonts w:hAnsi="宋体"/>
          <w:b/>
          <w:color w:val="auto"/>
          <w:szCs w:val="21"/>
          <w:highlight w:val="none"/>
          <w:u w:val="single"/>
        </w:rPr>
        <w:t xml:space="preserve">             </w:t>
      </w:r>
      <w:r>
        <w:rPr>
          <w:rFonts w:hAnsi="宋体"/>
          <w:b/>
          <w:color w:val="auto"/>
          <w:szCs w:val="21"/>
          <w:highlight w:val="none"/>
        </w:rPr>
        <w:t xml:space="preserve"> </w:t>
      </w:r>
    </w:p>
    <w:tbl>
      <w:tblPr>
        <w:tblStyle w:val="33"/>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37"/>
        <w:gridCol w:w="3468"/>
        <w:gridCol w:w="3281"/>
      </w:tblGrid>
      <w:tr w14:paraId="35C27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0" w:hRule="atLeast"/>
        </w:trPr>
        <w:tc>
          <w:tcPr>
            <w:tcW w:w="2537" w:type="dxa"/>
            <w:tcBorders>
              <w:bottom w:val="double" w:color="auto" w:sz="4" w:space="0"/>
            </w:tcBorders>
            <w:vAlign w:val="center"/>
          </w:tcPr>
          <w:p w14:paraId="76FB81F0">
            <w:pPr>
              <w:jc w:val="center"/>
              <w:rPr>
                <w:rFonts w:hint="default" w:asciiTheme="minorEastAsia" w:hAnsiTheme="minorEastAsia" w:eastAsiaTheme="minorEastAsia" w:cstheme="minorBidi"/>
                <w:b/>
                <w:color w:val="auto"/>
                <w:sz w:val="21"/>
                <w:szCs w:val="21"/>
                <w:highlight w:val="none"/>
                <w:lang w:val="en-US" w:eastAsia="zh-CN"/>
              </w:rPr>
            </w:pPr>
            <w:r>
              <w:rPr>
                <w:rFonts w:hint="eastAsia" w:asciiTheme="minorEastAsia" w:hAnsiTheme="minorEastAsia" w:eastAsiaTheme="minorEastAsia" w:cstheme="minorBidi"/>
                <w:b/>
                <w:color w:val="auto"/>
                <w:sz w:val="21"/>
                <w:szCs w:val="21"/>
                <w:highlight w:val="none"/>
                <w:lang w:val="en-US" w:eastAsia="zh-CN"/>
              </w:rPr>
              <w:t>投标总报价（万元）</w:t>
            </w:r>
          </w:p>
        </w:tc>
        <w:tc>
          <w:tcPr>
            <w:tcW w:w="3468" w:type="dxa"/>
            <w:tcBorders>
              <w:bottom w:val="double" w:color="auto" w:sz="4" w:space="0"/>
            </w:tcBorders>
            <w:vAlign w:val="center"/>
          </w:tcPr>
          <w:p w14:paraId="7556AEA5">
            <w:pPr>
              <w:jc w:val="center"/>
              <w:rPr>
                <w:rFonts w:hint="default" w:asciiTheme="minorEastAsia" w:hAnsiTheme="minorEastAsia" w:eastAsiaTheme="minorEastAsia" w:cstheme="minorBidi"/>
                <w:b/>
                <w:color w:val="auto"/>
                <w:sz w:val="21"/>
                <w:szCs w:val="21"/>
                <w:highlight w:val="none"/>
                <w:lang w:val="en-US" w:eastAsia="zh-CN"/>
              </w:rPr>
            </w:pPr>
            <w:r>
              <w:rPr>
                <w:rFonts w:hint="eastAsia" w:asciiTheme="minorEastAsia" w:hAnsiTheme="minorEastAsia" w:eastAsiaTheme="minorEastAsia" w:cstheme="minorBidi"/>
                <w:b/>
                <w:color w:val="auto"/>
                <w:sz w:val="21"/>
                <w:szCs w:val="21"/>
                <w:highlight w:val="none"/>
                <w:lang w:val="en-US" w:eastAsia="zh-CN"/>
              </w:rPr>
              <w:t>400</w:t>
            </w:r>
          </w:p>
        </w:tc>
        <w:tc>
          <w:tcPr>
            <w:tcW w:w="3281" w:type="dxa"/>
            <w:tcBorders>
              <w:bottom w:val="double" w:color="auto" w:sz="4" w:space="0"/>
            </w:tcBorders>
            <w:vAlign w:val="center"/>
          </w:tcPr>
          <w:p w14:paraId="476D14F2">
            <w:pPr>
              <w:rPr>
                <w:rFonts w:hint="default" w:asciiTheme="minorEastAsia" w:hAnsiTheme="minorEastAsia" w:eastAsiaTheme="minorEastAsia" w:cstheme="minorBidi"/>
                <w:b/>
                <w:color w:val="auto"/>
                <w:sz w:val="21"/>
                <w:szCs w:val="21"/>
                <w:highlight w:val="none"/>
                <w:lang w:val="en-US" w:eastAsia="zh-CN"/>
              </w:rPr>
            </w:pPr>
            <w:r>
              <w:rPr>
                <w:rFonts w:hint="eastAsia" w:asciiTheme="minorEastAsia" w:hAnsiTheme="minorEastAsia" w:eastAsiaTheme="minorEastAsia" w:cstheme="minorBidi"/>
                <w:b/>
                <w:color w:val="auto"/>
                <w:sz w:val="21"/>
                <w:szCs w:val="21"/>
                <w:highlight w:val="none"/>
                <w:lang w:val="en-US" w:eastAsia="zh-CN"/>
              </w:rPr>
              <w:t>注：投标人不得调整。</w:t>
            </w:r>
          </w:p>
        </w:tc>
      </w:tr>
      <w:tr w14:paraId="73F6D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2537" w:type="dxa"/>
            <w:tcBorders>
              <w:top w:val="double" w:color="auto" w:sz="4" w:space="0"/>
            </w:tcBorders>
            <w:vAlign w:val="center"/>
          </w:tcPr>
          <w:p w14:paraId="7A5F5C45">
            <w:pPr>
              <w:jc w:val="center"/>
              <w:rPr>
                <w:rFonts w:asciiTheme="minorEastAsia" w:hAnsiTheme="minorEastAsia" w:eastAsiaTheme="minorEastAsia" w:cstheme="minorBidi"/>
                <w:b/>
                <w:color w:val="auto"/>
                <w:sz w:val="21"/>
                <w:szCs w:val="21"/>
                <w:highlight w:val="none"/>
              </w:rPr>
            </w:pPr>
            <w:r>
              <w:rPr>
                <w:rFonts w:hint="eastAsia" w:asciiTheme="minorEastAsia" w:hAnsiTheme="minorEastAsia" w:eastAsiaTheme="minorEastAsia" w:cstheme="minorBidi"/>
                <w:b/>
                <w:color w:val="auto"/>
                <w:sz w:val="21"/>
                <w:szCs w:val="21"/>
                <w:highlight w:val="none"/>
                <w:lang w:val="en-US" w:eastAsia="zh-CN"/>
              </w:rPr>
              <w:t>优惠率报价</w:t>
            </w:r>
          </w:p>
        </w:tc>
        <w:tc>
          <w:tcPr>
            <w:tcW w:w="6749" w:type="dxa"/>
            <w:gridSpan w:val="2"/>
            <w:tcBorders>
              <w:top w:val="double" w:color="auto" w:sz="4" w:space="0"/>
            </w:tcBorders>
            <w:vAlign w:val="center"/>
          </w:tcPr>
          <w:p w14:paraId="314D3C61">
            <w:pPr>
              <w:jc w:val="center"/>
              <w:rPr>
                <w:rFonts w:asciiTheme="minorEastAsia" w:hAnsiTheme="minorEastAsia" w:eastAsiaTheme="minorEastAsia" w:cstheme="minorBidi"/>
                <w:b/>
                <w:color w:val="auto"/>
                <w:sz w:val="21"/>
                <w:szCs w:val="21"/>
                <w:highlight w:val="none"/>
              </w:rPr>
            </w:pPr>
            <w:r>
              <w:rPr>
                <w:rFonts w:hint="eastAsia" w:ascii="宋体" w:hAnsi="宋体"/>
                <w:color w:val="auto"/>
                <w:sz w:val="21"/>
                <w:szCs w:val="21"/>
              </w:rPr>
              <w:t>下浮</w:t>
            </w:r>
            <w:r>
              <w:rPr>
                <w:rFonts w:hint="eastAsia" w:ascii="宋体" w:hAnsi="宋体"/>
                <w:color w:val="auto"/>
                <w:sz w:val="21"/>
                <w:szCs w:val="21"/>
                <w:u w:val="single"/>
              </w:rPr>
              <w:t xml:space="preserve"> </w:t>
            </w:r>
            <w:r>
              <w:rPr>
                <w:rFonts w:ascii="宋体" w:hAnsi="宋体"/>
                <w:color w:val="auto"/>
                <w:sz w:val="21"/>
                <w:szCs w:val="21"/>
                <w:u w:val="single"/>
              </w:rPr>
              <w:t xml:space="preserve"> </w:t>
            </w:r>
            <w:r>
              <w:rPr>
                <w:rFonts w:hint="eastAsia" w:ascii="宋体" w:hAnsi="宋体"/>
                <w:color w:val="auto"/>
                <w:sz w:val="21"/>
                <w:szCs w:val="21"/>
                <w:u w:val="single"/>
                <w:lang w:val="en-US" w:eastAsia="zh-CN"/>
              </w:rPr>
              <w:t xml:space="preserve">      </w:t>
            </w:r>
            <w:r>
              <w:rPr>
                <w:rFonts w:ascii="宋体" w:hAnsi="宋体"/>
                <w:color w:val="auto"/>
                <w:sz w:val="21"/>
                <w:szCs w:val="21"/>
                <w:u w:val="single"/>
              </w:rPr>
              <w:t xml:space="preserve">  </w:t>
            </w:r>
            <w:r>
              <w:rPr>
                <w:rFonts w:ascii="宋体" w:hAnsi="宋体"/>
                <w:color w:val="auto"/>
                <w:sz w:val="21"/>
                <w:szCs w:val="21"/>
              </w:rPr>
              <w:t>%</w:t>
            </w:r>
          </w:p>
        </w:tc>
      </w:tr>
      <w:tr w14:paraId="64162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2537" w:type="dxa"/>
            <w:vAlign w:val="center"/>
          </w:tcPr>
          <w:p w14:paraId="1009DF7A">
            <w:pPr>
              <w:widowControl/>
              <w:spacing w:line="360" w:lineRule="auto"/>
              <w:jc w:val="center"/>
              <w:rPr>
                <w:rFonts w:asciiTheme="minorEastAsia" w:hAnsiTheme="minorEastAsia" w:eastAsiaTheme="minorEastAsia"/>
                <w:color w:val="auto"/>
                <w:sz w:val="21"/>
                <w:szCs w:val="21"/>
                <w:highlight w:val="none"/>
              </w:rPr>
            </w:pPr>
            <w:r>
              <w:rPr>
                <w:rFonts w:hint="eastAsia" w:asciiTheme="minorEastAsia" w:hAnsiTheme="minorEastAsia" w:eastAsiaTheme="minorEastAsia"/>
                <w:b/>
                <w:color w:val="auto"/>
                <w:sz w:val="21"/>
                <w:szCs w:val="21"/>
                <w:highlight w:val="none"/>
              </w:rPr>
              <w:t>合同履行期限</w:t>
            </w:r>
          </w:p>
        </w:tc>
        <w:tc>
          <w:tcPr>
            <w:tcW w:w="6749" w:type="dxa"/>
            <w:gridSpan w:val="2"/>
            <w:vAlign w:val="center"/>
          </w:tcPr>
          <w:p w14:paraId="7F71DF75">
            <w:pPr>
              <w:rPr>
                <w:rFonts w:asciiTheme="minorEastAsia" w:hAnsiTheme="minorEastAsia" w:eastAsiaTheme="minorEastAsia" w:cstheme="minorBidi"/>
                <w:b/>
                <w:color w:val="auto"/>
                <w:sz w:val="21"/>
                <w:szCs w:val="21"/>
                <w:highlight w:val="none"/>
              </w:rPr>
            </w:pPr>
          </w:p>
        </w:tc>
      </w:tr>
      <w:tr w14:paraId="7FEDC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2537" w:type="dxa"/>
            <w:vAlign w:val="center"/>
          </w:tcPr>
          <w:p w14:paraId="6AD84FB1">
            <w:pPr>
              <w:widowControl/>
              <w:spacing w:line="360" w:lineRule="auto"/>
              <w:jc w:val="center"/>
              <w:rPr>
                <w:rFonts w:asciiTheme="minorEastAsia" w:hAnsiTheme="minorEastAsia" w:eastAsiaTheme="minorEastAsia"/>
                <w:b/>
                <w:color w:val="auto"/>
                <w:sz w:val="21"/>
                <w:szCs w:val="21"/>
                <w:highlight w:val="none"/>
              </w:rPr>
            </w:pPr>
            <w:r>
              <w:rPr>
                <w:rFonts w:hint="eastAsia" w:hAnsi="宋体"/>
                <w:b/>
                <w:color w:val="auto"/>
                <w:sz w:val="21"/>
                <w:szCs w:val="21"/>
                <w:lang w:val="en-US" w:eastAsia="zh-CN"/>
              </w:rPr>
              <w:t>服务地点</w:t>
            </w:r>
          </w:p>
        </w:tc>
        <w:tc>
          <w:tcPr>
            <w:tcW w:w="6749" w:type="dxa"/>
            <w:gridSpan w:val="2"/>
            <w:vAlign w:val="center"/>
          </w:tcPr>
          <w:p w14:paraId="57323B48">
            <w:pPr>
              <w:rPr>
                <w:rFonts w:asciiTheme="minorEastAsia" w:hAnsiTheme="minorEastAsia" w:eastAsiaTheme="minorEastAsia" w:cstheme="minorBidi"/>
                <w:b/>
                <w:color w:val="auto"/>
                <w:sz w:val="21"/>
                <w:szCs w:val="21"/>
                <w:highlight w:val="none"/>
              </w:rPr>
            </w:pPr>
          </w:p>
        </w:tc>
      </w:tr>
      <w:tr w14:paraId="15BA6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2537" w:type="dxa"/>
            <w:vAlign w:val="center"/>
          </w:tcPr>
          <w:p w14:paraId="1ECE05DC">
            <w:pPr>
              <w:widowControl/>
              <w:spacing w:line="360" w:lineRule="auto"/>
              <w:jc w:val="center"/>
              <w:rPr>
                <w:rFonts w:hint="eastAsia" w:hAnsi="宋体"/>
                <w:b/>
                <w:color w:val="auto"/>
                <w:sz w:val="21"/>
                <w:szCs w:val="21"/>
                <w:lang w:val="en-US" w:eastAsia="zh-CN"/>
              </w:rPr>
            </w:pPr>
            <w:r>
              <w:rPr>
                <w:rFonts w:hint="eastAsia" w:ascii="宋体" w:hAnsi="宋体" w:eastAsia="宋体"/>
                <w:b/>
                <w:color w:val="auto"/>
                <w:sz w:val="21"/>
                <w:szCs w:val="21"/>
                <w:lang w:eastAsia="zh-CN"/>
              </w:rPr>
              <w:t>质量标准</w:t>
            </w:r>
          </w:p>
        </w:tc>
        <w:tc>
          <w:tcPr>
            <w:tcW w:w="6749" w:type="dxa"/>
            <w:gridSpan w:val="2"/>
            <w:vAlign w:val="center"/>
          </w:tcPr>
          <w:p w14:paraId="3666CF0F">
            <w:pPr>
              <w:rPr>
                <w:rFonts w:asciiTheme="minorEastAsia" w:hAnsiTheme="minorEastAsia" w:eastAsiaTheme="minorEastAsia" w:cstheme="minorBidi"/>
                <w:b/>
                <w:color w:val="auto"/>
                <w:sz w:val="21"/>
                <w:szCs w:val="21"/>
                <w:highlight w:val="none"/>
              </w:rPr>
            </w:pPr>
          </w:p>
        </w:tc>
      </w:tr>
      <w:tr w14:paraId="7E869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2537" w:type="dxa"/>
            <w:vAlign w:val="center"/>
          </w:tcPr>
          <w:p w14:paraId="3FE0F5DE">
            <w:pPr>
              <w:widowControl/>
              <w:spacing w:line="360" w:lineRule="auto"/>
              <w:jc w:val="center"/>
              <w:rPr>
                <w:rFonts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投标保证金形式</w:t>
            </w:r>
          </w:p>
        </w:tc>
        <w:tc>
          <w:tcPr>
            <w:tcW w:w="6749" w:type="dxa"/>
            <w:gridSpan w:val="2"/>
            <w:vAlign w:val="center"/>
          </w:tcPr>
          <w:p w14:paraId="63EBC365">
            <w:pPr>
              <w:rPr>
                <w:rFonts w:asciiTheme="minorEastAsia" w:hAnsiTheme="minorEastAsia" w:eastAsiaTheme="minorEastAsia" w:cstheme="minorBidi"/>
                <w:b/>
                <w:color w:val="auto"/>
                <w:sz w:val="21"/>
                <w:szCs w:val="21"/>
                <w:highlight w:val="none"/>
              </w:rPr>
            </w:pPr>
          </w:p>
        </w:tc>
      </w:tr>
      <w:tr w14:paraId="15CB2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2537" w:type="dxa"/>
            <w:vAlign w:val="center"/>
          </w:tcPr>
          <w:p w14:paraId="1B7D0E8A">
            <w:pPr>
              <w:widowControl/>
              <w:spacing w:line="360" w:lineRule="auto"/>
              <w:jc w:val="center"/>
              <w:rPr>
                <w:rFonts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备注</w:t>
            </w:r>
          </w:p>
        </w:tc>
        <w:tc>
          <w:tcPr>
            <w:tcW w:w="6749" w:type="dxa"/>
            <w:gridSpan w:val="2"/>
            <w:vAlign w:val="center"/>
          </w:tcPr>
          <w:p w14:paraId="4425390A">
            <w:pPr>
              <w:rPr>
                <w:rFonts w:asciiTheme="minorEastAsia" w:hAnsiTheme="minorEastAsia" w:eastAsiaTheme="minorEastAsia" w:cstheme="minorBidi"/>
                <w:b/>
                <w:color w:val="auto"/>
                <w:sz w:val="21"/>
                <w:szCs w:val="21"/>
                <w:highlight w:val="none"/>
              </w:rPr>
            </w:pPr>
          </w:p>
        </w:tc>
      </w:tr>
    </w:tbl>
    <w:p w14:paraId="2B0718B4">
      <w:pPr>
        <w:spacing w:line="360" w:lineRule="auto"/>
        <w:rPr>
          <w:rFonts w:ascii="宋体" w:hAnsi="宋体"/>
          <w:color w:val="auto"/>
          <w:szCs w:val="21"/>
          <w:highlight w:val="none"/>
        </w:rPr>
      </w:pPr>
      <w:r>
        <w:rPr>
          <w:rFonts w:hAnsi="宋体"/>
          <w:b/>
          <w:color w:val="auto"/>
          <w:szCs w:val="21"/>
          <w:highlight w:val="none"/>
        </w:rPr>
        <w:t xml:space="preserve"> </w:t>
      </w:r>
      <w:r>
        <w:rPr>
          <w:rFonts w:ascii="宋体" w:hAnsi="宋体"/>
          <w:color w:val="auto"/>
          <w:szCs w:val="21"/>
          <w:highlight w:val="none"/>
        </w:rPr>
        <w:t>投标人（</w:t>
      </w:r>
      <w:r>
        <w:rPr>
          <w:rFonts w:hint="eastAsia" w:ascii="宋体" w:hAnsi="宋体"/>
          <w:color w:val="auto"/>
          <w:szCs w:val="21"/>
          <w:highlight w:val="none"/>
          <w:lang w:eastAsia="zh-CN"/>
        </w:rPr>
        <w:t>电子签章</w:t>
      </w:r>
      <w:r>
        <w:rPr>
          <w:rFonts w:ascii="宋体" w:hAnsi="宋体"/>
          <w:color w:val="auto"/>
          <w:szCs w:val="21"/>
          <w:highlight w:val="none"/>
        </w:rPr>
        <w:t>）：</w:t>
      </w:r>
      <w:r>
        <w:rPr>
          <w:rFonts w:ascii="宋体" w:hAnsi="宋体"/>
          <w:color w:val="auto"/>
          <w:szCs w:val="21"/>
          <w:highlight w:val="none"/>
          <w:u w:val="single"/>
        </w:rPr>
        <w:t>　　　　　　　　　　　　</w:t>
      </w:r>
    </w:p>
    <w:p w14:paraId="2046C193">
      <w:pPr>
        <w:spacing w:line="360" w:lineRule="auto"/>
        <w:rPr>
          <w:rFonts w:ascii="宋体" w:hAnsi="宋体"/>
          <w:color w:val="auto"/>
          <w:szCs w:val="21"/>
          <w:highlight w:val="none"/>
        </w:rPr>
      </w:pPr>
    </w:p>
    <w:p w14:paraId="711A71D4">
      <w:pPr>
        <w:spacing w:line="360" w:lineRule="auto"/>
        <w:rPr>
          <w:rFonts w:ascii="宋体" w:hAnsi="宋体"/>
          <w:color w:val="auto"/>
          <w:szCs w:val="21"/>
          <w:highlight w:val="none"/>
        </w:rPr>
      </w:pPr>
      <w:r>
        <w:rPr>
          <w:rFonts w:ascii="宋体" w:hAnsi="宋体"/>
          <w:color w:val="auto"/>
          <w:szCs w:val="21"/>
          <w:highlight w:val="none"/>
        </w:rPr>
        <w:t>法定代表人或其委托代理人（</w:t>
      </w:r>
      <w:r>
        <w:rPr>
          <w:rFonts w:hint="eastAsia" w:ascii="宋体" w:hAnsi="宋体"/>
          <w:color w:val="auto"/>
          <w:szCs w:val="21"/>
          <w:highlight w:val="none"/>
          <w:lang w:eastAsia="zh-CN"/>
        </w:rPr>
        <w:t>电子签章</w:t>
      </w:r>
      <w:r>
        <w:rPr>
          <w:rFonts w:hint="eastAsia" w:ascii="宋体" w:hAnsi="宋体"/>
          <w:color w:val="auto"/>
          <w:szCs w:val="21"/>
          <w:highlight w:val="none"/>
          <w:lang w:val="en-US" w:eastAsia="zh-CN"/>
        </w:rPr>
        <w:t>或签名</w:t>
      </w:r>
      <w:r>
        <w:rPr>
          <w:rFonts w:ascii="宋体" w:hAnsi="宋体"/>
          <w:color w:val="auto"/>
          <w:szCs w:val="21"/>
          <w:highlight w:val="none"/>
        </w:rPr>
        <w:t>）：</w:t>
      </w:r>
      <w:r>
        <w:rPr>
          <w:rFonts w:ascii="宋体" w:hAnsi="宋体"/>
          <w:color w:val="auto"/>
          <w:szCs w:val="21"/>
          <w:highlight w:val="none"/>
          <w:u w:val="single"/>
        </w:rPr>
        <w:t>　　　　　　　　　　</w:t>
      </w:r>
    </w:p>
    <w:p w14:paraId="7A7031D3">
      <w:pPr>
        <w:spacing w:line="360" w:lineRule="auto"/>
        <w:rPr>
          <w:rFonts w:ascii="宋体" w:hAnsi="宋体"/>
          <w:color w:val="auto"/>
          <w:szCs w:val="21"/>
          <w:highlight w:val="none"/>
        </w:rPr>
      </w:pPr>
    </w:p>
    <w:p w14:paraId="349C6ACB">
      <w:pPr>
        <w:spacing w:line="360" w:lineRule="auto"/>
        <w:rPr>
          <w:rFonts w:ascii="宋体" w:hAnsi="宋体"/>
          <w:color w:val="auto"/>
          <w:szCs w:val="21"/>
          <w:highlight w:val="none"/>
        </w:rPr>
      </w:pPr>
      <w:r>
        <w:rPr>
          <w:rFonts w:ascii="宋体" w:hAnsi="宋体"/>
          <w:color w:val="auto"/>
          <w:szCs w:val="21"/>
          <w:highlight w:val="none"/>
        </w:rPr>
        <w:t>日期：</w:t>
      </w:r>
      <w:r>
        <w:rPr>
          <w:rFonts w:ascii="宋体" w:hAnsi="宋体"/>
          <w:color w:val="auto"/>
          <w:szCs w:val="21"/>
          <w:highlight w:val="none"/>
          <w:u w:val="single"/>
        </w:rPr>
        <w:t>　　　</w:t>
      </w:r>
      <w:r>
        <w:rPr>
          <w:rFonts w:ascii="宋体" w:hAnsi="宋体"/>
          <w:color w:val="auto"/>
          <w:szCs w:val="21"/>
          <w:highlight w:val="none"/>
        </w:rPr>
        <w:t>年</w:t>
      </w:r>
      <w:r>
        <w:rPr>
          <w:rFonts w:ascii="宋体" w:hAnsi="宋体"/>
          <w:color w:val="auto"/>
          <w:szCs w:val="21"/>
          <w:highlight w:val="none"/>
          <w:u w:val="single"/>
        </w:rPr>
        <w:t>　　</w:t>
      </w:r>
      <w:r>
        <w:rPr>
          <w:rFonts w:ascii="宋体" w:hAnsi="宋体"/>
          <w:color w:val="auto"/>
          <w:szCs w:val="21"/>
          <w:highlight w:val="none"/>
        </w:rPr>
        <w:t>月</w:t>
      </w:r>
      <w:r>
        <w:rPr>
          <w:rFonts w:ascii="宋体" w:hAnsi="宋体"/>
          <w:color w:val="auto"/>
          <w:szCs w:val="21"/>
          <w:highlight w:val="none"/>
          <w:u w:val="single"/>
        </w:rPr>
        <w:t>　　</w:t>
      </w:r>
      <w:r>
        <w:rPr>
          <w:rFonts w:ascii="宋体" w:hAnsi="宋体"/>
          <w:color w:val="auto"/>
          <w:szCs w:val="21"/>
          <w:highlight w:val="none"/>
        </w:rPr>
        <w:t>日</w:t>
      </w:r>
    </w:p>
    <w:p w14:paraId="69536CB3">
      <w:pPr>
        <w:pStyle w:val="16"/>
        <w:spacing w:line="360" w:lineRule="auto"/>
        <w:rPr>
          <w:rFonts w:hAnsi="宋体"/>
          <w:b/>
          <w:color w:val="auto"/>
          <w:szCs w:val="21"/>
          <w:highlight w:val="none"/>
        </w:rPr>
      </w:pPr>
    </w:p>
    <w:p w14:paraId="3BEC5D03">
      <w:pPr>
        <w:pStyle w:val="16"/>
        <w:spacing w:line="360" w:lineRule="auto"/>
        <w:ind w:firstLine="420" w:firstLineChars="200"/>
        <w:rPr>
          <w:rFonts w:hAnsi="宋体" w:cs="Times New Roman"/>
          <w:color w:val="auto"/>
        </w:rPr>
      </w:pPr>
    </w:p>
    <w:p w14:paraId="02A2E361">
      <w:pPr>
        <w:pStyle w:val="16"/>
        <w:spacing w:line="360" w:lineRule="auto"/>
        <w:rPr>
          <w:rFonts w:hAnsi="宋体"/>
          <w:color w:val="auto"/>
          <w:szCs w:val="21"/>
          <w:highlight w:val="none"/>
          <w:u w:val="single"/>
        </w:rPr>
      </w:pPr>
      <w:r>
        <w:rPr>
          <w:rFonts w:hAnsi="宋体"/>
          <w:b/>
          <w:color w:val="auto"/>
          <w:szCs w:val="21"/>
          <w:highlight w:val="none"/>
        </w:rPr>
        <w:t xml:space="preserve">                                   </w:t>
      </w:r>
    </w:p>
    <w:p w14:paraId="41D422C9">
      <w:pPr>
        <w:pStyle w:val="16"/>
        <w:spacing w:line="360" w:lineRule="auto"/>
        <w:rPr>
          <w:rFonts w:hAnsi="宋体"/>
          <w:color w:val="auto"/>
          <w:szCs w:val="21"/>
          <w:highlight w:val="none"/>
        </w:rPr>
      </w:pPr>
    </w:p>
    <w:p w14:paraId="03128369">
      <w:pPr>
        <w:pStyle w:val="4"/>
        <w:numPr>
          <w:ilvl w:val="0"/>
          <w:numId w:val="0"/>
        </w:numPr>
        <w:ind w:left="425"/>
        <w:jc w:val="center"/>
        <w:rPr>
          <w:rFonts w:ascii="宋体" w:hAnsi="宋体" w:eastAsia="宋体"/>
          <w:color w:val="auto"/>
          <w:sz w:val="30"/>
          <w:szCs w:val="30"/>
          <w:highlight w:val="none"/>
        </w:rPr>
      </w:pPr>
      <w:r>
        <w:rPr>
          <w:rFonts w:hint="eastAsia" w:ascii="宋体" w:hAnsi="宋体" w:eastAsia="宋体"/>
          <w:color w:val="auto"/>
          <w:sz w:val="24"/>
          <w:highlight w:val="none"/>
        </w:rPr>
        <w:br w:type="page"/>
      </w:r>
      <w:bookmarkStart w:id="107" w:name="_Toc71666347"/>
      <w:bookmarkStart w:id="108" w:name="_Toc496122187"/>
      <w:r>
        <w:rPr>
          <w:rFonts w:ascii="宋体" w:hAnsi="宋体" w:eastAsia="宋体"/>
          <w:color w:val="auto"/>
          <w:sz w:val="30"/>
          <w:szCs w:val="30"/>
          <w:highlight w:val="none"/>
        </w:rPr>
        <w:t>一</w:t>
      </w:r>
      <w:r>
        <w:rPr>
          <w:rFonts w:hint="eastAsia" w:ascii="宋体" w:hAnsi="宋体" w:eastAsia="宋体"/>
          <w:color w:val="auto"/>
          <w:sz w:val="30"/>
          <w:szCs w:val="30"/>
          <w:highlight w:val="none"/>
        </w:rPr>
        <w:t>、</w:t>
      </w:r>
      <w:r>
        <w:rPr>
          <w:rFonts w:ascii="宋体" w:hAnsi="宋体" w:eastAsia="宋体"/>
          <w:color w:val="auto"/>
          <w:sz w:val="30"/>
          <w:szCs w:val="30"/>
          <w:highlight w:val="none"/>
        </w:rPr>
        <w:t>资格证明文件</w:t>
      </w:r>
      <w:bookmarkEnd w:id="107"/>
      <w:bookmarkEnd w:id="108"/>
    </w:p>
    <w:p w14:paraId="3C6F1FB2">
      <w:pPr>
        <w:pStyle w:val="16"/>
        <w:rPr>
          <w:rFonts w:hAnsi="宋体"/>
          <w:color w:val="auto"/>
          <w:sz w:val="24"/>
          <w:szCs w:val="24"/>
          <w:highlight w:val="none"/>
        </w:rPr>
      </w:pPr>
    </w:p>
    <w:p w14:paraId="3006979E">
      <w:pPr>
        <w:pStyle w:val="16"/>
        <w:numPr>
          <w:ilvl w:val="0"/>
          <w:numId w:val="13"/>
        </w:numPr>
        <w:spacing w:line="360" w:lineRule="auto"/>
        <w:rPr>
          <w:rFonts w:hAnsi="宋体"/>
          <w:color w:val="auto"/>
          <w:szCs w:val="21"/>
          <w:highlight w:val="none"/>
        </w:rPr>
      </w:pPr>
      <w:r>
        <w:rPr>
          <w:rFonts w:hint="eastAsia" w:hAnsi="宋体"/>
          <w:color w:val="auto"/>
          <w:szCs w:val="21"/>
          <w:highlight w:val="none"/>
        </w:rPr>
        <w:t>投标人应按所附格式要求填写并提交。</w:t>
      </w:r>
    </w:p>
    <w:p w14:paraId="4B4A2FC0">
      <w:pPr>
        <w:pStyle w:val="16"/>
        <w:numPr>
          <w:ilvl w:val="0"/>
          <w:numId w:val="13"/>
        </w:numPr>
        <w:spacing w:line="360" w:lineRule="auto"/>
        <w:rPr>
          <w:rFonts w:hAnsi="宋体"/>
          <w:color w:val="auto"/>
          <w:szCs w:val="21"/>
          <w:highlight w:val="none"/>
        </w:rPr>
      </w:pPr>
      <w:r>
        <w:rPr>
          <w:rFonts w:hint="eastAsia" w:hAnsi="宋体"/>
          <w:color w:val="auto"/>
          <w:szCs w:val="21"/>
          <w:highlight w:val="none"/>
        </w:rPr>
        <w:t>资格声明中的签字人应保证全部声明和填写的内容是真实的和正确的。</w:t>
      </w:r>
    </w:p>
    <w:p w14:paraId="2140C341">
      <w:pPr>
        <w:pStyle w:val="16"/>
        <w:numPr>
          <w:ilvl w:val="0"/>
          <w:numId w:val="13"/>
        </w:numPr>
        <w:spacing w:line="360" w:lineRule="auto"/>
        <w:rPr>
          <w:rFonts w:hAnsi="宋体"/>
          <w:color w:val="auto"/>
          <w:szCs w:val="21"/>
          <w:highlight w:val="none"/>
        </w:rPr>
      </w:pPr>
      <w:r>
        <w:rPr>
          <w:rFonts w:hint="eastAsia" w:hAnsi="宋体"/>
          <w:color w:val="auto"/>
          <w:szCs w:val="21"/>
          <w:highlight w:val="none"/>
        </w:rPr>
        <w:t>投标人提交的材料将被保密，但不退还。</w:t>
      </w:r>
    </w:p>
    <w:p w14:paraId="0C1CBA75">
      <w:pPr>
        <w:pStyle w:val="16"/>
        <w:spacing w:line="600" w:lineRule="exact"/>
        <w:rPr>
          <w:rFonts w:hAnsi="宋体"/>
          <w:color w:val="auto"/>
          <w:sz w:val="24"/>
          <w:szCs w:val="24"/>
          <w:highlight w:val="none"/>
        </w:rPr>
      </w:pPr>
    </w:p>
    <w:p w14:paraId="6D1D6029">
      <w:pPr>
        <w:rPr>
          <w:rFonts w:ascii="宋体" w:hAnsi="宋体"/>
          <w:color w:val="auto"/>
          <w:highlight w:val="none"/>
        </w:rPr>
      </w:pPr>
    </w:p>
    <w:p w14:paraId="0F6A6600">
      <w:pPr>
        <w:rPr>
          <w:rFonts w:ascii="宋体" w:hAnsi="宋体"/>
          <w:color w:val="auto"/>
          <w:highlight w:val="none"/>
        </w:rPr>
      </w:pPr>
    </w:p>
    <w:p w14:paraId="619B5624">
      <w:pPr>
        <w:rPr>
          <w:rFonts w:ascii="宋体" w:hAnsi="宋体"/>
          <w:color w:val="auto"/>
          <w:highlight w:val="none"/>
        </w:rPr>
      </w:pPr>
    </w:p>
    <w:p w14:paraId="1A085EBB">
      <w:pPr>
        <w:rPr>
          <w:rFonts w:ascii="宋体" w:hAnsi="宋体"/>
          <w:color w:val="auto"/>
          <w:highlight w:val="none"/>
        </w:rPr>
      </w:pPr>
    </w:p>
    <w:p w14:paraId="1E8521DB">
      <w:pPr>
        <w:rPr>
          <w:rFonts w:ascii="宋体" w:hAnsi="宋体"/>
          <w:color w:val="auto"/>
          <w:highlight w:val="none"/>
        </w:rPr>
      </w:pPr>
    </w:p>
    <w:p w14:paraId="3299D8D6">
      <w:pPr>
        <w:rPr>
          <w:rFonts w:ascii="宋体" w:hAnsi="宋体"/>
          <w:color w:val="auto"/>
          <w:highlight w:val="none"/>
        </w:rPr>
      </w:pPr>
    </w:p>
    <w:p w14:paraId="2475319B">
      <w:pPr>
        <w:rPr>
          <w:rFonts w:ascii="宋体" w:hAnsi="宋体"/>
          <w:color w:val="auto"/>
          <w:highlight w:val="none"/>
        </w:rPr>
      </w:pPr>
    </w:p>
    <w:p w14:paraId="47AA1960">
      <w:pPr>
        <w:rPr>
          <w:rFonts w:ascii="宋体" w:hAnsi="宋体"/>
          <w:color w:val="auto"/>
          <w:highlight w:val="none"/>
        </w:rPr>
      </w:pPr>
    </w:p>
    <w:p w14:paraId="18F43661">
      <w:pPr>
        <w:rPr>
          <w:rFonts w:ascii="宋体" w:hAnsi="宋体"/>
          <w:color w:val="auto"/>
          <w:highlight w:val="none"/>
        </w:rPr>
      </w:pPr>
    </w:p>
    <w:p w14:paraId="774B7514">
      <w:pPr>
        <w:rPr>
          <w:rFonts w:ascii="宋体" w:hAnsi="宋体"/>
          <w:color w:val="auto"/>
          <w:highlight w:val="none"/>
        </w:rPr>
      </w:pPr>
    </w:p>
    <w:p w14:paraId="33DE72E0">
      <w:pPr>
        <w:rPr>
          <w:rFonts w:ascii="宋体" w:hAnsi="宋体"/>
          <w:color w:val="auto"/>
          <w:highlight w:val="none"/>
        </w:rPr>
      </w:pPr>
    </w:p>
    <w:p w14:paraId="59B39CAF">
      <w:pPr>
        <w:rPr>
          <w:rFonts w:ascii="宋体" w:hAnsi="宋体"/>
          <w:color w:val="auto"/>
          <w:highlight w:val="none"/>
        </w:rPr>
      </w:pPr>
    </w:p>
    <w:p w14:paraId="13F35663">
      <w:pPr>
        <w:rPr>
          <w:rFonts w:ascii="宋体" w:hAnsi="宋体"/>
          <w:color w:val="auto"/>
          <w:highlight w:val="none"/>
        </w:rPr>
      </w:pPr>
    </w:p>
    <w:p w14:paraId="16C7CD14">
      <w:pPr>
        <w:rPr>
          <w:rFonts w:ascii="宋体" w:hAnsi="宋体"/>
          <w:color w:val="auto"/>
          <w:highlight w:val="none"/>
        </w:rPr>
      </w:pPr>
    </w:p>
    <w:p w14:paraId="7250ED92">
      <w:pPr>
        <w:rPr>
          <w:rFonts w:ascii="宋体" w:hAnsi="宋体"/>
          <w:color w:val="auto"/>
          <w:highlight w:val="none"/>
        </w:rPr>
      </w:pPr>
    </w:p>
    <w:p w14:paraId="5EA34162">
      <w:pPr>
        <w:rPr>
          <w:rFonts w:ascii="宋体" w:hAnsi="宋体"/>
          <w:color w:val="auto"/>
          <w:highlight w:val="none"/>
        </w:rPr>
      </w:pPr>
    </w:p>
    <w:p w14:paraId="16D7BFE9">
      <w:pPr>
        <w:rPr>
          <w:rFonts w:ascii="宋体" w:hAnsi="宋体"/>
          <w:color w:val="auto"/>
          <w:highlight w:val="none"/>
        </w:rPr>
      </w:pPr>
    </w:p>
    <w:p w14:paraId="378EBF2E">
      <w:pPr>
        <w:rPr>
          <w:rFonts w:ascii="宋体" w:hAnsi="宋体"/>
          <w:color w:val="auto"/>
          <w:highlight w:val="none"/>
        </w:rPr>
      </w:pPr>
    </w:p>
    <w:p w14:paraId="63D74365">
      <w:pPr>
        <w:rPr>
          <w:rFonts w:ascii="宋体" w:hAnsi="宋体"/>
          <w:color w:val="auto"/>
          <w:highlight w:val="none"/>
        </w:rPr>
      </w:pPr>
    </w:p>
    <w:p w14:paraId="70E3507B">
      <w:pPr>
        <w:tabs>
          <w:tab w:val="left" w:pos="864"/>
        </w:tabs>
        <w:rPr>
          <w:rFonts w:ascii="宋体" w:hAnsi="宋体"/>
          <w:color w:val="auto"/>
          <w:highlight w:val="none"/>
        </w:rPr>
      </w:pPr>
      <w:r>
        <w:rPr>
          <w:rFonts w:ascii="宋体" w:hAnsi="宋体"/>
          <w:color w:val="auto"/>
          <w:highlight w:val="none"/>
        </w:rPr>
        <w:tab/>
      </w:r>
    </w:p>
    <w:p w14:paraId="6E1A25CA">
      <w:pPr>
        <w:rPr>
          <w:rFonts w:ascii="宋体" w:hAnsi="宋体"/>
          <w:color w:val="auto"/>
          <w:highlight w:val="none"/>
        </w:rPr>
      </w:pPr>
    </w:p>
    <w:p w14:paraId="2407DDCA">
      <w:pPr>
        <w:rPr>
          <w:rFonts w:ascii="宋体" w:hAnsi="宋体"/>
          <w:color w:val="auto"/>
          <w:highlight w:val="none"/>
        </w:rPr>
      </w:pPr>
    </w:p>
    <w:p w14:paraId="0138B7FC">
      <w:pPr>
        <w:rPr>
          <w:rFonts w:ascii="宋体" w:hAnsi="宋体"/>
          <w:color w:val="auto"/>
          <w:highlight w:val="none"/>
        </w:rPr>
      </w:pPr>
    </w:p>
    <w:p w14:paraId="08F877A2">
      <w:pPr>
        <w:rPr>
          <w:rFonts w:ascii="宋体" w:hAnsi="宋体"/>
          <w:color w:val="auto"/>
          <w:highlight w:val="none"/>
        </w:rPr>
      </w:pPr>
    </w:p>
    <w:p w14:paraId="5C5173FA">
      <w:pPr>
        <w:rPr>
          <w:rFonts w:ascii="宋体" w:hAnsi="宋体"/>
          <w:color w:val="auto"/>
          <w:highlight w:val="none"/>
        </w:rPr>
      </w:pPr>
    </w:p>
    <w:p w14:paraId="09138499">
      <w:pPr>
        <w:pStyle w:val="16"/>
        <w:spacing w:line="360" w:lineRule="auto"/>
        <w:rPr>
          <w:rFonts w:hAnsi="宋体"/>
          <w:b/>
          <w:color w:val="auto"/>
          <w:sz w:val="28"/>
          <w:szCs w:val="28"/>
          <w:highlight w:val="none"/>
        </w:rPr>
      </w:pPr>
      <w:r>
        <w:rPr>
          <w:rFonts w:hint="eastAsia" w:hAnsi="宋体"/>
          <w:color w:val="auto"/>
          <w:highlight w:val="none"/>
        </w:rPr>
        <w:br w:type="page"/>
      </w:r>
      <w:bookmarkStart w:id="109" w:name="_Toc327190555"/>
      <w:r>
        <w:rPr>
          <w:rFonts w:hint="eastAsia" w:hAnsi="宋体"/>
          <w:b/>
          <w:color w:val="auto"/>
          <w:sz w:val="28"/>
          <w:szCs w:val="28"/>
          <w:highlight w:val="none"/>
        </w:rPr>
        <w:t>格式1：</w:t>
      </w:r>
    </w:p>
    <w:p w14:paraId="1F0AACA3">
      <w:pPr>
        <w:pStyle w:val="16"/>
        <w:spacing w:line="500" w:lineRule="exact"/>
        <w:jc w:val="center"/>
        <w:outlineLvl w:val="2"/>
        <w:rPr>
          <w:rFonts w:hAnsi="宋体"/>
          <w:b/>
          <w:bCs/>
          <w:color w:val="auto"/>
          <w:sz w:val="32"/>
          <w:szCs w:val="32"/>
          <w:highlight w:val="none"/>
        </w:rPr>
      </w:pPr>
      <w:r>
        <w:rPr>
          <w:rFonts w:hint="eastAsia" w:hAnsi="宋体"/>
          <w:b/>
          <w:bCs/>
          <w:color w:val="auto"/>
          <w:sz w:val="32"/>
          <w:szCs w:val="32"/>
          <w:highlight w:val="none"/>
        </w:rPr>
        <w:t>提供营业执照或自然人的身份证明（扫描件）</w:t>
      </w:r>
    </w:p>
    <w:p w14:paraId="0B4C3CAB">
      <w:pPr>
        <w:spacing w:line="360" w:lineRule="auto"/>
        <w:jc w:val="center"/>
        <w:rPr>
          <w:rFonts w:ascii="宋体" w:hAnsi="宋体"/>
          <w:color w:val="auto"/>
          <w:szCs w:val="21"/>
          <w:highlight w:val="none"/>
        </w:rPr>
      </w:pPr>
      <w:r>
        <w:rPr>
          <w:rFonts w:hint="eastAsia" w:hAnsi="宋体"/>
          <w:color w:val="auto"/>
          <w:sz w:val="24"/>
          <w:highlight w:val="none"/>
        </w:rPr>
        <w:t>注：法人或其他组织投标的提供营业执照；自然人投标的提供自然人身份证；</w:t>
      </w:r>
    </w:p>
    <w:p w14:paraId="25875EF3">
      <w:pPr>
        <w:numPr>
          <w:ilvl w:val="2"/>
          <w:numId w:val="0"/>
        </w:numPr>
        <w:tabs>
          <w:tab w:val="left" w:pos="900"/>
        </w:tabs>
        <w:adjustRightInd w:val="0"/>
        <w:spacing w:line="360" w:lineRule="auto"/>
        <w:jc w:val="center"/>
        <w:textAlignment w:val="baseline"/>
        <w:outlineLvl w:val="9"/>
        <w:rPr>
          <w:rFonts w:hint="eastAsia" w:ascii="宋体" w:hAnsi="宋体"/>
          <w:b/>
          <w:color w:val="auto"/>
          <w:kern w:val="0"/>
          <w:sz w:val="32"/>
          <w:szCs w:val="21"/>
          <w:highlight w:val="none"/>
        </w:rPr>
      </w:pPr>
    </w:p>
    <w:p w14:paraId="10F2789E">
      <w:pPr>
        <w:numPr>
          <w:ilvl w:val="2"/>
          <w:numId w:val="0"/>
        </w:numPr>
        <w:tabs>
          <w:tab w:val="left" w:pos="900"/>
        </w:tabs>
        <w:adjustRightInd w:val="0"/>
        <w:spacing w:line="360" w:lineRule="auto"/>
        <w:jc w:val="center"/>
        <w:textAlignment w:val="baseline"/>
        <w:outlineLvl w:val="9"/>
        <w:rPr>
          <w:rFonts w:hint="eastAsia" w:ascii="宋体" w:hAnsi="宋体"/>
          <w:b/>
          <w:color w:val="auto"/>
          <w:kern w:val="0"/>
          <w:sz w:val="32"/>
          <w:szCs w:val="21"/>
          <w:highlight w:val="none"/>
        </w:rPr>
      </w:pPr>
    </w:p>
    <w:p w14:paraId="24DCCE66">
      <w:pPr>
        <w:numPr>
          <w:ilvl w:val="2"/>
          <w:numId w:val="0"/>
        </w:numPr>
        <w:tabs>
          <w:tab w:val="left" w:pos="900"/>
        </w:tabs>
        <w:adjustRightInd w:val="0"/>
        <w:spacing w:line="360" w:lineRule="auto"/>
        <w:jc w:val="both"/>
        <w:textAlignment w:val="baseline"/>
        <w:outlineLvl w:val="9"/>
        <w:rPr>
          <w:rFonts w:hint="eastAsia" w:ascii="宋体" w:hAnsi="宋体"/>
          <w:b/>
          <w:color w:val="auto"/>
          <w:kern w:val="0"/>
          <w:sz w:val="32"/>
          <w:szCs w:val="21"/>
          <w:highlight w:val="none"/>
        </w:rPr>
      </w:pPr>
    </w:p>
    <w:p w14:paraId="3ECB6D9B">
      <w:pPr>
        <w:spacing w:line="360" w:lineRule="auto"/>
        <w:jc w:val="center"/>
        <w:rPr>
          <w:rFonts w:hint="eastAsia" w:ascii="宋体" w:hAnsi="宋体" w:eastAsia="宋体" w:cs="Times New Roman"/>
          <w:b/>
          <w:bCs/>
          <w:color w:val="auto"/>
          <w:kern w:val="2"/>
          <w:sz w:val="32"/>
          <w:szCs w:val="32"/>
          <w:highlight w:val="none"/>
          <w:lang w:val="en-US" w:eastAsia="zh-CN" w:bidi="ar-SA"/>
        </w:rPr>
      </w:pPr>
    </w:p>
    <w:p w14:paraId="32C0CC67">
      <w:pPr>
        <w:spacing w:line="360" w:lineRule="auto"/>
        <w:rPr>
          <w:rFonts w:ascii="宋体" w:hAnsi="宋体"/>
          <w:b/>
          <w:color w:val="auto"/>
          <w:sz w:val="28"/>
          <w:szCs w:val="28"/>
          <w:highlight w:val="none"/>
        </w:rPr>
      </w:pPr>
      <w:r>
        <w:rPr>
          <w:rFonts w:ascii="宋体" w:hAnsi="宋体"/>
          <w:color w:val="auto"/>
          <w:szCs w:val="21"/>
          <w:highlight w:val="none"/>
        </w:rPr>
        <w:br w:type="page"/>
      </w:r>
      <w:r>
        <w:rPr>
          <w:rFonts w:hint="eastAsia" w:ascii="宋体" w:hAnsi="宋体"/>
          <w:b/>
          <w:color w:val="auto"/>
          <w:sz w:val="28"/>
          <w:szCs w:val="28"/>
          <w:highlight w:val="none"/>
        </w:rPr>
        <w:t>格式2：</w:t>
      </w:r>
    </w:p>
    <w:p w14:paraId="4B6619D6">
      <w:pPr>
        <w:numPr>
          <w:ilvl w:val="2"/>
          <w:numId w:val="0"/>
        </w:numPr>
        <w:tabs>
          <w:tab w:val="left" w:pos="900"/>
        </w:tabs>
        <w:adjustRightInd w:val="0"/>
        <w:spacing w:line="360" w:lineRule="auto"/>
        <w:jc w:val="center"/>
        <w:textAlignment w:val="baseline"/>
        <w:outlineLvl w:val="2"/>
        <w:rPr>
          <w:rFonts w:ascii="宋体" w:hAnsi="宋体"/>
          <w:b/>
          <w:color w:val="auto"/>
          <w:kern w:val="0"/>
          <w:sz w:val="32"/>
          <w:szCs w:val="21"/>
          <w:highlight w:val="none"/>
        </w:rPr>
      </w:pPr>
      <w:bookmarkStart w:id="110" w:name="_Toc522176866"/>
      <w:bookmarkStart w:id="111" w:name="_Toc493600020"/>
      <w:bookmarkStart w:id="112" w:name="_Toc496520988"/>
      <w:r>
        <w:rPr>
          <w:rFonts w:hint="eastAsia" w:ascii="宋体" w:hAnsi="宋体"/>
          <w:b/>
          <w:color w:val="auto"/>
          <w:kern w:val="0"/>
          <w:sz w:val="32"/>
          <w:szCs w:val="21"/>
          <w:highlight w:val="none"/>
        </w:rPr>
        <w:t>投标人财务状况报告</w:t>
      </w:r>
      <w:bookmarkEnd w:id="110"/>
      <w:bookmarkEnd w:id="111"/>
      <w:bookmarkEnd w:id="112"/>
    </w:p>
    <w:p w14:paraId="5EC518C8">
      <w:pPr>
        <w:spacing w:line="360" w:lineRule="auto"/>
        <w:rPr>
          <w:rFonts w:ascii="宋体" w:hAnsi="宋体"/>
          <w:color w:val="auto"/>
          <w:highlight w:val="none"/>
        </w:rPr>
      </w:pPr>
    </w:p>
    <w:p w14:paraId="2F9727A8">
      <w:pPr>
        <w:pStyle w:val="16"/>
        <w:spacing w:line="600" w:lineRule="exact"/>
        <w:rPr>
          <w:rFonts w:hAnsi="宋体"/>
          <w:b/>
          <w:color w:val="auto"/>
          <w:sz w:val="28"/>
          <w:szCs w:val="28"/>
          <w:highlight w:val="none"/>
        </w:rPr>
      </w:pPr>
      <w:r>
        <w:rPr>
          <w:rFonts w:hAnsi="宋体"/>
          <w:b/>
          <w:color w:val="auto"/>
          <w:sz w:val="28"/>
          <w:szCs w:val="28"/>
          <w:highlight w:val="none"/>
        </w:rPr>
        <w:br w:type="page"/>
      </w:r>
      <w:r>
        <w:rPr>
          <w:rFonts w:hint="eastAsia" w:hAnsi="宋体"/>
          <w:b/>
          <w:color w:val="auto"/>
          <w:sz w:val="28"/>
          <w:szCs w:val="28"/>
          <w:highlight w:val="none"/>
        </w:rPr>
        <w:t>格式</w:t>
      </w:r>
      <w:r>
        <w:rPr>
          <w:rFonts w:hint="eastAsia" w:hAnsi="宋体"/>
          <w:b/>
          <w:color w:val="auto"/>
          <w:sz w:val="28"/>
          <w:szCs w:val="28"/>
          <w:highlight w:val="none"/>
          <w:lang w:val="en-US" w:eastAsia="zh-CN"/>
        </w:rPr>
        <w:t>3</w:t>
      </w:r>
      <w:r>
        <w:rPr>
          <w:rFonts w:hint="eastAsia" w:hAnsi="宋体"/>
          <w:b/>
          <w:color w:val="auto"/>
          <w:sz w:val="28"/>
          <w:szCs w:val="28"/>
          <w:highlight w:val="none"/>
        </w:rPr>
        <w:t>：</w:t>
      </w:r>
    </w:p>
    <w:p w14:paraId="5F29DD4D">
      <w:pPr>
        <w:pStyle w:val="16"/>
        <w:spacing w:line="600" w:lineRule="exact"/>
        <w:rPr>
          <w:rFonts w:hAnsi="宋体"/>
          <w:b/>
          <w:color w:val="auto"/>
          <w:sz w:val="28"/>
          <w:szCs w:val="28"/>
          <w:highlight w:val="none"/>
        </w:rPr>
      </w:pPr>
    </w:p>
    <w:p w14:paraId="6C775FA4">
      <w:pPr>
        <w:numPr>
          <w:ilvl w:val="2"/>
          <w:numId w:val="0"/>
        </w:numPr>
        <w:tabs>
          <w:tab w:val="left" w:pos="900"/>
        </w:tabs>
        <w:adjustRightInd w:val="0"/>
        <w:spacing w:line="360" w:lineRule="auto"/>
        <w:jc w:val="center"/>
        <w:textAlignment w:val="baseline"/>
        <w:outlineLvl w:val="2"/>
        <w:rPr>
          <w:rFonts w:ascii="宋体" w:hAnsi="宋体"/>
          <w:b/>
          <w:color w:val="auto"/>
          <w:kern w:val="0"/>
          <w:sz w:val="32"/>
          <w:szCs w:val="21"/>
          <w:highlight w:val="none"/>
        </w:rPr>
      </w:pPr>
      <w:bookmarkStart w:id="113" w:name="_Toc493600021"/>
      <w:bookmarkStart w:id="114" w:name="_Toc522176867"/>
      <w:bookmarkStart w:id="115" w:name="_Toc496520989"/>
      <w:r>
        <w:rPr>
          <w:rFonts w:hint="eastAsia" w:ascii="宋体" w:hAnsi="宋体"/>
          <w:b/>
          <w:color w:val="auto"/>
          <w:kern w:val="0"/>
          <w:sz w:val="32"/>
          <w:szCs w:val="21"/>
          <w:highlight w:val="none"/>
        </w:rPr>
        <w:t>投标人依法缴纳税收的证明材料</w:t>
      </w:r>
      <w:bookmarkEnd w:id="113"/>
      <w:bookmarkEnd w:id="114"/>
      <w:bookmarkEnd w:id="115"/>
    </w:p>
    <w:p w14:paraId="6D91D0EC">
      <w:pPr>
        <w:pStyle w:val="16"/>
        <w:spacing w:line="600" w:lineRule="exact"/>
        <w:rPr>
          <w:rFonts w:hAnsi="宋体"/>
          <w:b/>
          <w:color w:val="auto"/>
          <w:sz w:val="28"/>
          <w:szCs w:val="28"/>
          <w:highlight w:val="none"/>
        </w:rPr>
      </w:pPr>
      <w:r>
        <w:rPr>
          <w:rFonts w:hAnsi="宋体"/>
          <w:b/>
          <w:color w:val="auto"/>
          <w:sz w:val="28"/>
          <w:szCs w:val="28"/>
          <w:highlight w:val="none"/>
        </w:rPr>
        <w:br w:type="page"/>
      </w:r>
      <w:r>
        <w:rPr>
          <w:rFonts w:hint="eastAsia" w:hAnsi="宋体"/>
          <w:b/>
          <w:color w:val="auto"/>
          <w:sz w:val="28"/>
          <w:szCs w:val="28"/>
          <w:highlight w:val="none"/>
        </w:rPr>
        <w:t>格式</w:t>
      </w:r>
      <w:r>
        <w:rPr>
          <w:rFonts w:hint="eastAsia" w:hAnsi="宋体"/>
          <w:b/>
          <w:color w:val="auto"/>
          <w:sz w:val="28"/>
          <w:szCs w:val="28"/>
          <w:highlight w:val="none"/>
          <w:lang w:val="en-US" w:eastAsia="zh-CN"/>
        </w:rPr>
        <w:t>4</w:t>
      </w:r>
      <w:r>
        <w:rPr>
          <w:rFonts w:hint="eastAsia" w:hAnsi="宋体"/>
          <w:b/>
          <w:color w:val="auto"/>
          <w:sz w:val="28"/>
          <w:szCs w:val="28"/>
          <w:highlight w:val="none"/>
        </w:rPr>
        <w:t>：</w:t>
      </w:r>
    </w:p>
    <w:p w14:paraId="2B429DF1">
      <w:pPr>
        <w:pStyle w:val="16"/>
        <w:spacing w:line="600" w:lineRule="exact"/>
        <w:rPr>
          <w:rFonts w:hAnsi="宋体"/>
          <w:b/>
          <w:color w:val="auto"/>
          <w:sz w:val="28"/>
          <w:szCs w:val="28"/>
          <w:highlight w:val="none"/>
        </w:rPr>
      </w:pPr>
    </w:p>
    <w:p w14:paraId="402CE4F8">
      <w:pPr>
        <w:numPr>
          <w:ilvl w:val="2"/>
          <w:numId w:val="0"/>
        </w:numPr>
        <w:tabs>
          <w:tab w:val="left" w:pos="900"/>
        </w:tabs>
        <w:adjustRightInd w:val="0"/>
        <w:spacing w:line="360" w:lineRule="auto"/>
        <w:jc w:val="center"/>
        <w:textAlignment w:val="baseline"/>
        <w:outlineLvl w:val="2"/>
        <w:rPr>
          <w:rFonts w:ascii="宋体" w:hAnsi="宋体"/>
          <w:b/>
          <w:color w:val="auto"/>
          <w:kern w:val="0"/>
          <w:sz w:val="32"/>
          <w:szCs w:val="21"/>
          <w:highlight w:val="none"/>
        </w:rPr>
      </w:pPr>
      <w:bookmarkStart w:id="116" w:name="_Toc493600022"/>
      <w:bookmarkStart w:id="117" w:name="_Toc496520990"/>
      <w:bookmarkStart w:id="118" w:name="_Toc522176868"/>
      <w:r>
        <w:rPr>
          <w:rFonts w:hint="eastAsia" w:ascii="宋体" w:hAnsi="宋体"/>
          <w:b/>
          <w:color w:val="auto"/>
          <w:kern w:val="0"/>
          <w:sz w:val="32"/>
          <w:szCs w:val="21"/>
          <w:highlight w:val="none"/>
        </w:rPr>
        <w:t>投标人依法缴纳社会保障资金的证明材料</w:t>
      </w:r>
      <w:bookmarkEnd w:id="116"/>
      <w:bookmarkEnd w:id="117"/>
      <w:bookmarkEnd w:id="118"/>
    </w:p>
    <w:p w14:paraId="1F92CA02">
      <w:pPr>
        <w:pStyle w:val="16"/>
        <w:spacing w:line="600" w:lineRule="exact"/>
        <w:rPr>
          <w:rFonts w:hAnsi="宋体"/>
          <w:b/>
          <w:color w:val="auto"/>
          <w:sz w:val="28"/>
          <w:szCs w:val="28"/>
          <w:highlight w:val="none"/>
        </w:rPr>
      </w:pPr>
      <w:r>
        <w:rPr>
          <w:rFonts w:hAnsi="宋体"/>
          <w:b/>
          <w:color w:val="auto"/>
          <w:sz w:val="28"/>
          <w:szCs w:val="28"/>
          <w:highlight w:val="none"/>
        </w:rPr>
        <w:br w:type="page"/>
      </w:r>
      <w:r>
        <w:rPr>
          <w:rFonts w:hint="eastAsia" w:hAnsi="宋体"/>
          <w:b/>
          <w:color w:val="auto"/>
          <w:sz w:val="28"/>
          <w:szCs w:val="28"/>
          <w:highlight w:val="none"/>
        </w:rPr>
        <w:t>格式</w:t>
      </w:r>
      <w:r>
        <w:rPr>
          <w:rFonts w:hint="eastAsia" w:hAnsi="宋体"/>
          <w:b/>
          <w:color w:val="auto"/>
          <w:sz w:val="28"/>
          <w:szCs w:val="28"/>
          <w:highlight w:val="none"/>
          <w:lang w:val="en-US" w:eastAsia="zh-CN"/>
        </w:rPr>
        <w:t>5</w:t>
      </w:r>
      <w:r>
        <w:rPr>
          <w:rFonts w:hint="eastAsia" w:hAnsi="宋体"/>
          <w:b/>
          <w:color w:val="auto"/>
          <w:sz w:val="28"/>
          <w:szCs w:val="28"/>
          <w:highlight w:val="none"/>
        </w:rPr>
        <w:t>：</w:t>
      </w:r>
    </w:p>
    <w:p w14:paraId="1FA09814">
      <w:pPr>
        <w:pStyle w:val="16"/>
        <w:spacing w:line="600" w:lineRule="exact"/>
        <w:rPr>
          <w:rFonts w:hAnsi="宋体"/>
          <w:b/>
          <w:color w:val="auto"/>
          <w:sz w:val="28"/>
          <w:szCs w:val="28"/>
          <w:highlight w:val="none"/>
        </w:rPr>
      </w:pPr>
    </w:p>
    <w:p w14:paraId="221DB6D9">
      <w:pPr>
        <w:numPr>
          <w:ilvl w:val="2"/>
          <w:numId w:val="0"/>
        </w:numPr>
        <w:tabs>
          <w:tab w:val="left" w:pos="900"/>
        </w:tabs>
        <w:adjustRightInd w:val="0"/>
        <w:spacing w:line="360" w:lineRule="auto"/>
        <w:jc w:val="center"/>
        <w:textAlignment w:val="baseline"/>
        <w:outlineLvl w:val="2"/>
        <w:rPr>
          <w:rFonts w:ascii="宋体" w:hAnsi="宋体"/>
          <w:b/>
          <w:color w:val="auto"/>
          <w:kern w:val="0"/>
          <w:sz w:val="32"/>
          <w:szCs w:val="21"/>
          <w:highlight w:val="none"/>
        </w:rPr>
      </w:pPr>
      <w:bookmarkStart w:id="119" w:name="_Toc522176869"/>
      <w:bookmarkStart w:id="120" w:name="_Toc496520991"/>
      <w:bookmarkStart w:id="121" w:name="_Toc493600023"/>
      <w:r>
        <w:rPr>
          <w:rFonts w:hint="eastAsia" w:ascii="宋体" w:hAnsi="宋体"/>
          <w:b/>
          <w:color w:val="auto"/>
          <w:kern w:val="0"/>
          <w:sz w:val="32"/>
          <w:szCs w:val="21"/>
          <w:highlight w:val="none"/>
        </w:rPr>
        <w:t>投标人具备履行合同所必需的设备和专业技术能力的证明材料</w:t>
      </w:r>
      <w:bookmarkEnd w:id="119"/>
      <w:bookmarkEnd w:id="120"/>
      <w:bookmarkEnd w:id="121"/>
    </w:p>
    <w:p w14:paraId="56AB2886">
      <w:pPr>
        <w:pStyle w:val="16"/>
        <w:spacing w:line="600" w:lineRule="exact"/>
        <w:rPr>
          <w:rFonts w:hAnsi="宋体"/>
          <w:b/>
          <w:color w:val="auto"/>
          <w:sz w:val="28"/>
          <w:szCs w:val="28"/>
          <w:highlight w:val="none"/>
        </w:rPr>
      </w:pPr>
    </w:p>
    <w:p w14:paraId="63C1AADF">
      <w:pPr>
        <w:pStyle w:val="16"/>
        <w:spacing w:line="600" w:lineRule="exact"/>
        <w:rPr>
          <w:rFonts w:hAnsi="宋体"/>
          <w:b/>
          <w:color w:val="auto"/>
          <w:sz w:val="28"/>
          <w:szCs w:val="28"/>
          <w:highlight w:val="none"/>
        </w:rPr>
      </w:pPr>
      <w:r>
        <w:rPr>
          <w:rFonts w:hAnsi="宋体"/>
          <w:b/>
          <w:color w:val="auto"/>
          <w:sz w:val="28"/>
          <w:szCs w:val="28"/>
          <w:highlight w:val="none"/>
        </w:rPr>
        <w:br w:type="page"/>
      </w:r>
      <w:r>
        <w:rPr>
          <w:rFonts w:hint="eastAsia" w:hAnsi="宋体"/>
          <w:b/>
          <w:color w:val="auto"/>
          <w:sz w:val="28"/>
          <w:szCs w:val="28"/>
          <w:highlight w:val="none"/>
        </w:rPr>
        <w:t>格式</w:t>
      </w:r>
      <w:r>
        <w:rPr>
          <w:rFonts w:hint="eastAsia" w:hAnsi="宋体"/>
          <w:b/>
          <w:color w:val="auto"/>
          <w:sz w:val="28"/>
          <w:szCs w:val="28"/>
          <w:highlight w:val="none"/>
          <w:lang w:val="en-US" w:eastAsia="zh-CN"/>
        </w:rPr>
        <w:t>6</w:t>
      </w:r>
      <w:r>
        <w:rPr>
          <w:rFonts w:hint="eastAsia" w:hAnsi="宋体"/>
          <w:b/>
          <w:color w:val="auto"/>
          <w:sz w:val="28"/>
          <w:szCs w:val="28"/>
          <w:highlight w:val="none"/>
        </w:rPr>
        <w:t>：</w:t>
      </w:r>
    </w:p>
    <w:p w14:paraId="77EDD6E8">
      <w:pPr>
        <w:pStyle w:val="16"/>
        <w:spacing w:line="600" w:lineRule="exact"/>
        <w:rPr>
          <w:rFonts w:hAnsi="宋体"/>
          <w:b/>
          <w:color w:val="auto"/>
          <w:sz w:val="28"/>
          <w:szCs w:val="28"/>
          <w:highlight w:val="none"/>
        </w:rPr>
      </w:pPr>
    </w:p>
    <w:p w14:paraId="0B255DDC">
      <w:pPr>
        <w:numPr>
          <w:ilvl w:val="2"/>
          <w:numId w:val="0"/>
        </w:numPr>
        <w:tabs>
          <w:tab w:val="left" w:pos="900"/>
        </w:tabs>
        <w:adjustRightInd w:val="0"/>
        <w:spacing w:line="360" w:lineRule="auto"/>
        <w:jc w:val="center"/>
        <w:textAlignment w:val="baseline"/>
        <w:outlineLvl w:val="2"/>
        <w:rPr>
          <w:rFonts w:ascii="宋体" w:hAnsi="宋体"/>
          <w:b/>
          <w:color w:val="auto"/>
          <w:kern w:val="0"/>
          <w:sz w:val="32"/>
          <w:szCs w:val="21"/>
          <w:highlight w:val="none"/>
        </w:rPr>
      </w:pPr>
      <w:bookmarkStart w:id="122" w:name="_Toc496520992"/>
      <w:bookmarkStart w:id="123" w:name="_Toc493600024"/>
      <w:bookmarkStart w:id="124" w:name="_Toc522176870"/>
      <w:r>
        <w:rPr>
          <w:rFonts w:hint="eastAsia" w:ascii="宋体" w:hAnsi="宋体"/>
          <w:b/>
          <w:color w:val="auto"/>
          <w:kern w:val="0"/>
          <w:sz w:val="32"/>
          <w:szCs w:val="21"/>
          <w:highlight w:val="none"/>
        </w:rPr>
        <w:t>参加政府采购活动前3年内在经营活动中没有重大违法记录的书面声明</w:t>
      </w:r>
      <w:bookmarkEnd w:id="122"/>
      <w:bookmarkEnd w:id="123"/>
      <w:bookmarkEnd w:id="124"/>
      <w:r>
        <w:rPr>
          <w:rFonts w:ascii="宋体" w:hAnsi="宋体"/>
          <w:b/>
          <w:color w:val="auto"/>
          <w:kern w:val="0"/>
          <w:sz w:val="32"/>
          <w:szCs w:val="21"/>
          <w:highlight w:val="none"/>
        </w:rPr>
        <w:t>投标人</w:t>
      </w:r>
    </w:p>
    <w:p w14:paraId="0D959B15">
      <w:pPr>
        <w:ind w:firstLine="4410" w:firstLineChars="2100"/>
        <w:rPr>
          <w:rFonts w:ascii="宋体" w:hAnsi="宋体"/>
          <w:color w:val="auto"/>
          <w:highlight w:val="none"/>
        </w:rPr>
      </w:pPr>
    </w:p>
    <w:p w14:paraId="5C3435AB">
      <w:pPr>
        <w:jc w:val="center"/>
        <w:rPr>
          <w:rFonts w:ascii="宋体" w:hAnsi="宋体"/>
          <w:color w:val="auto"/>
          <w:highlight w:val="none"/>
        </w:rPr>
      </w:pPr>
      <w:r>
        <w:rPr>
          <w:rFonts w:hint="eastAsia" w:ascii="宋体" w:hAnsi="宋体"/>
          <w:color w:val="auto"/>
          <w:highlight w:val="none"/>
        </w:rPr>
        <w:t>（投标人自行承诺及说明，内容自拟）</w:t>
      </w:r>
    </w:p>
    <w:p w14:paraId="7EFEEE4E">
      <w:pPr>
        <w:spacing w:line="360" w:lineRule="auto"/>
        <w:jc w:val="left"/>
        <w:rPr>
          <w:rFonts w:ascii="宋体" w:hAnsi="宋体"/>
          <w:color w:val="auto"/>
          <w:sz w:val="24"/>
          <w:highlight w:val="none"/>
        </w:rPr>
      </w:pPr>
    </w:p>
    <w:p w14:paraId="69D0BEAB">
      <w:pPr>
        <w:spacing w:line="360" w:lineRule="auto"/>
        <w:jc w:val="left"/>
        <w:rPr>
          <w:rFonts w:ascii="宋体" w:hAnsi="宋体"/>
          <w:color w:val="auto"/>
          <w:sz w:val="24"/>
          <w:highlight w:val="none"/>
        </w:rPr>
      </w:pPr>
    </w:p>
    <w:p w14:paraId="48A49103">
      <w:pPr>
        <w:spacing w:line="360" w:lineRule="auto"/>
        <w:jc w:val="left"/>
        <w:rPr>
          <w:rFonts w:ascii="宋体" w:hAnsi="宋体"/>
          <w:color w:val="auto"/>
          <w:sz w:val="24"/>
          <w:highlight w:val="none"/>
        </w:rPr>
      </w:pPr>
    </w:p>
    <w:p w14:paraId="619F7B04">
      <w:pPr>
        <w:spacing w:line="360" w:lineRule="auto"/>
        <w:jc w:val="left"/>
        <w:rPr>
          <w:rFonts w:ascii="宋体" w:hAnsi="宋体"/>
          <w:color w:val="auto"/>
          <w:sz w:val="24"/>
          <w:highlight w:val="none"/>
        </w:rPr>
      </w:pPr>
    </w:p>
    <w:p w14:paraId="49CF793B">
      <w:pPr>
        <w:spacing w:line="360" w:lineRule="auto"/>
        <w:jc w:val="left"/>
        <w:rPr>
          <w:rFonts w:ascii="宋体" w:hAnsi="宋体"/>
          <w:color w:val="auto"/>
          <w:sz w:val="24"/>
          <w:highlight w:val="none"/>
        </w:rPr>
      </w:pPr>
    </w:p>
    <w:p w14:paraId="1E70EA87">
      <w:pPr>
        <w:spacing w:line="360" w:lineRule="auto"/>
        <w:jc w:val="left"/>
        <w:rPr>
          <w:rFonts w:ascii="宋体" w:hAnsi="宋体"/>
          <w:color w:val="auto"/>
          <w:sz w:val="24"/>
          <w:highlight w:val="none"/>
        </w:rPr>
      </w:pPr>
    </w:p>
    <w:p w14:paraId="5043F5CC">
      <w:pPr>
        <w:spacing w:line="360" w:lineRule="auto"/>
        <w:jc w:val="left"/>
        <w:rPr>
          <w:rFonts w:ascii="宋体" w:hAnsi="宋体"/>
          <w:color w:val="auto"/>
          <w:sz w:val="24"/>
          <w:highlight w:val="none"/>
        </w:rPr>
      </w:pPr>
    </w:p>
    <w:p w14:paraId="6194FE70">
      <w:pPr>
        <w:spacing w:line="360" w:lineRule="auto"/>
        <w:jc w:val="left"/>
        <w:rPr>
          <w:rFonts w:ascii="宋体" w:hAnsi="宋体"/>
          <w:color w:val="auto"/>
          <w:sz w:val="24"/>
          <w:highlight w:val="none"/>
          <w:u w:val="single"/>
        </w:rPr>
      </w:pPr>
    </w:p>
    <w:p w14:paraId="028B90DE">
      <w:pPr>
        <w:spacing w:line="360" w:lineRule="auto"/>
        <w:jc w:val="left"/>
        <w:rPr>
          <w:rFonts w:ascii="宋体" w:hAnsi="宋体"/>
          <w:color w:val="auto"/>
          <w:sz w:val="24"/>
          <w:highlight w:val="none"/>
        </w:rPr>
      </w:pPr>
    </w:p>
    <w:p w14:paraId="58BF9FDC">
      <w:pPr>
        <w:spacing w:line="360" w:lineRule="auto"/>
        <w:jc w:val="left"/>
        <w:rPr>
          <w:rFonts w:ascii="宋体" w:hAnsi="宋体"/>
          <w:color w:val="auto"/>
          <w:szCs w:val="21"/>
          <w:highlight w:val="none"/>
        </w:rPr>
      </w:pPr>
      <w:r>
        <w:rPr>
          <w:rFonts w:hint="eastAsia" w:ascii="宋体" w:hAnsi="宋体"/>
          <w:color w:val="auto"/>
          <w:szCs w:val="21"/>
          <w:highlight w:val="none"/>
        </w:rPr>
        <w:t>注：</w:t>
      </w:r>
    </w:p>
    <w:p w14:paraId="169E1E21">
      <w:pPr>
        <w:spacing w:line="360" w:lineRule="auto"/>
        <w:jc w:val="left"/>
        <w:rPr>
          <w:rFonts w:ascii="宋体" w:hAnsi="宋体"/>
          <w:color w:val="auto"/>
          <w:szCs w:val="21"/>
          <w:highlight w:val="none"/>
        </w:rPr>
      </w:pPr>
      <w:r>
        <w:rPr>
          <w:rFonts w:hint="eastAsia" w:ascii="宋体" w:hAnsi="宋体"/>
          <w:color w:val="auto"/>
          <w:szCs w:val="21"/>
          <w:highlight w:val="none"/>
        </w:rPr>
        <w:t>1、重大违法记录，是指投标人因违法经营受到刑事处罚或者责令停产停业、吊销许可证或者执照、较大数额罚款等行政处罚。</w:t>
      </w:r>
    </w:p>
    <w:p w14:paraId="6B7E91DB">
      <w:pPr>
        <w:spacing w:line="360" w:lineRule="auto"/>
        <w:rPr>
          <w:rFonts w:ascii="宋体" w:hAnsi="宋体"/>
          <w:color w:val="auto"/>
          <w:szCs w:val="21"/>
          <w:highlight w:val="none"/>
        </w:rPr>
      </w:pPr>
    </w:p>
    <w:p w14:paraId="711B382C">
      <w:pPr>
        <w:spacing w:line="360" w:lineRule="auto"/>
        <w:jc w:val="left"/>
        <w:rPr>
          <w:rFonts w:ascii="宋体" w:hAnsi="宋体"/>
          <w:color w:val="auto"/>
          <w:szCs w:val="21"/>
          <w:highlight w:val="none"/>
        </w:rPr>
      </w:pPr>
    </w:p>
    <w:p w14:paraId="566DCDD5">
      <w:pPr>
        <w:spacing w:line="360" w:lineRule="auto"/>
        <w:rPr>
          <w:rFonts w:ascii="宋体" w:hAnsi="宋体"/>
          <w:color w:val="auto"/>
          <w:szCs w:val="21"/>
          <w:highlight w:val="none"/>
        </w:rPr>
      </w:pPr>
    </w:p>
    <w:p w14:paraId="2589C64D">
      <w:pPr>
        <w:spacing w:line="360" w:lineRule="auto"/>
        <w:rPr>
          <w:rFonts w:ascii="宋体" w:hAnsi="宋体"/>
          <w:color w:val="auto"/>
          <w:szCs w:val="21"/>
          <w:highlight w:val="none"/>
        </w:rPr>
      </w:pPr>
      <w:r>
        <w:rPr>
          <w:rFonts w:ascii="宋体" w:hAnsi="宋体"/>
          <w:b/>
          <w:color w:val="auto"/>
          <w:szCs w:val="21"/>
          <w:highlight w:val="none"/>
        </w:rPr>
        <w:br w:type="page"/>
      </w:r>
    </w:p>
    <w:p w14:paraId="3ED009C5">
      <w:pPr>
        <w:spacing w:line="360" w:lineRule="auto"/>
        <w:rPr>
          <w:rFonts w:ascii="宋体" w:hAnsi="宋体"/>
          <w:b/>
          <w:color w:val="auto"/>
          <w:sz w:val="28"/>
          <w:szCs w:val="28"/>
          <w:highlight w:val="none"/>
        </w:rPr>
      </w:pPr>
      <w:r>
        <w:rPr>
          <w:rFonts w:hint="eastAsia" w:ascii="宋体" w:hAnsi="宋体"/>
          <w:b/>
          <w:color w:val="auto"/>
          <w:sz w:val="28"/>
          <w:szCs w:val="28"/>
          <w:highlight w:val="none"/>
        </w:rPr>
        <w:t>格式</w:t>
      </w:r>
      <w:r>
        <w:rPr>
          <w:rFonts w:hint="eastAsia" w:ascii="宋体" w:hAnsi="宋体"/>
          <w:b/>
          <w:color w:val="auto"/>
          <w:sz w:val="28"/>
          <w:szCs w:val="28"/>
          <w:highlight w:val="none"/>
          <w:lang w:val="en-US" w:eastAsia="zh-CN"/>
        </w:rPr>
        <w:t>7</w:t>
      </w:r>
      <w:r>
        <w:rPr>
          <w:rFonts w:hint="eastAsia" w:ascii="宋体" w:hAnsi="宋体"/>
          <w:b/>
          <w:color w:val="auto"/>
          <w:sz w:val="28"/>
          <w:szCs w:val="28"/>
          <w:highlight w:val="none"/>
        </w:rPr>
        <w:t>：</w:t>
      </w:r>
    </w:p>
    <w:p w14:paraId="5A570E0C">
      <w:pPr>
        <w:numPr>
          <w:ilvl w:val="2"/>
          <w:numId w:val="0"/>
        </w:numPr>
        <w:tabs>
          <w:tab w:val="left" w:pos="900"/>
        </w:tabs>
        <w:adjustRightInd w:val="0"/>
        <w:spacing w:line="360" w:lineRule="auto"/>
        <w:jc w:val="center"/>
        <w:textAlignment w:val="baseline"/>
        <w:outlineLvl w:val="2"/>
        <w:rPr>
          <w:rFonts w:ascii="宋体" w:hAnsi="宋体"/>
          <w:b/>
          <w:color w:val="auto"/>
          <w:kern w:val="0"/>
          <w:sz w:val="32"/>
          <w:szCs w:val="21"/>
        </w:rPr>
      </w:pPr>
      <w:r>
        <w:rPr>
          <w:rFonts w:hint="eastAsia" w:ascii="宋体" w:hAnsi="宋体"/>
          <w:b/>
          <w:color w:val="auto"/>
          <w:kern w:val="0"/>
          <w:sz w:val="32"/>
          <w:szCs w:val="21"/>
        </w:rPr>
        <w:t>招标文件第一章“投标人的资格要求”中要求提供的其他资格证明文件</w:t>
      </w:r>
    </w:p>
    <w:p w14:paraId="26CF8569">
      <w:pPr>
        <w:jc w:val="center"/>
        <w:rPr>
          <w:rFonts w:ascii="宋体" w:hAnsi="宋体"/>
          <w:color w:val="auto"/>
          <w:highlight w:val="none"/>
        </w:rPr>
      </w:pPr>
    </w:p>
    <w:p w14:paraId="021874CC">
      <w:pPr>
        <w:rPr>
          <w:rFonts w:ascii="宋体" w:hAnsi="宋体"/>
          <w:color w:val="auto"/>
          <w:sz w:val="30"/>
          <w:szCs w:val="30"/>
          <w:highlight w:val="none"/>
        </w:rPr>
      </w:pPr>
    </w:p>
    <w:p w14:paraId="3643E315">
      <w:pPr>
        <w:rPr>
          <w:rFonts w:ascii="宋体" w:hAnsi="宋体"/>
          <w:color w:val="auto"/>
          <w:highlight w:val="none"/>
        </w:rPr>
      </w:pPr>
    </w:p>
    <w:p w14:paraId="7CBC5B80">
      <w:pPr>
        <w:pStyle w:val="4"/>
        <w:numPr>
          <w:ilvl w:val="0"/>
          <w:numId w:val="0"/>
        </w:numPr>
        <w:ind w:left="425"/>
        <w:jc w:val="center"/>
        <w:rPr>
          <w:rFonts w:ascii="宋体" w:hAnsi="宋体" w:eastAsia="宋体"/>
          <w:color w:val="auto"/>
          <w:sz w:val="30"/>
          <w:szCs w:val="30"/>
          <w:highlight w:val="none"/>
        </w:rPr>
      </w:pPr>
      <w:r>
        <w:rPr>
          <w:rFonts w:ascii="宋体" w:hAnsi="宋体" w:eastAsia="宋体"/>
          <w:color w:val="auto"/>
          <w:sz w:val="30"/>
          <w:szCs w:val="30"/>
          <w:highlight w:val="none"/>
        </w:rPr>
        <w:br w:type="page"/>
      </w:r>
      <w:bookmarkStart w:id="125" w:name="_Toc71666348"/>
      <w:bookmarkStart w:id="126" w:name="_Toc496122202"/>
      <w:r>
        <w:rPr>
          <w:rFonts w:ascii="宋体" w:hAnsi="宋体" w:eastAsia="宋体"/>
          <w:color w:val="auto"/>
          <w:sz w:val="30"/>
          <w:szCs w:val="30"/>
          <w:highlight w:val="none"/>
        </w:rPr>
        <w:t>二、</w:t>
      </w:r>
      <w:r>
        <w:rPr>
          <w:rFonts w:hint="eastAsia" w:ascii="宋体" w:hAnsi="宋体" w:eastAsia="宋体"/>
          <w:color w:val="auto"/>
          <w:sz w:val="30"/>
          <w:szCs w:val="30"/>
          <w:highlight w:val="none"/>
        </w:rPr>
        <w:t>商务</w:t>
      </w:r>
      <w:r>
        <w:rPr>
          <w:rFonts w:ascii="宋体" w:hAnsi="宋体" w:eastAsia="宋体"/>
          <w:color w:val="auto"/>
          <w:sz w:val="30"/>
          <w:szCs w:val="30"/>
          <w:highlight w:val="none"/>
        </w:rPr>
        <w:t>部分</w:t>
      </w:r>
      <w:bookmarkEnd w:id="125"/>
      <w:bookmarkEnd w:id="126"/>
    </w:p>
    <w:p w14:paraId="3BFE3F94">
      <w:pPr>
        <w:pStyle w:val="16"/>
        <w:rPr>
          <w:rFonts w:hAnsi="宋体"/>
          <w:b/>
          <w:color w:val="auto"/>
          <w:sz w:val="28"/>
          <w:szCs w:val="28"/>
          <w:highlight w:val="none"/>
        </w:rPr>
      </w:pPr>
      <w:r>
        <w:rPr>
          <w:rFonts w:hint="eastAsia" w:hAnsi="宋体"/>
          <w:b/>
          <w:color w:val="auto"/>
          <w:sz w:val="28"/>
          <w:szCs w:val="28"/>
          <w:highlight w:val="none"/>
        </w:rPr>
        <w:t>格式</w:t>
      </w:r>
      <w:r>
        <w:rPr>
          <w:rFonts w:hAnsi="宋体"/>
          <w:b/>
          <w:color w:val="auto"/>
          <w:sz w:val="28"/>
          <w:szCs w:val="28"/>
          <w:highlight w:val="none"/>
        </w:rPr>
        <w:t>1</w:t>
      </w:r>
      <w:r>
        <w:rPr>
          <w:rFonts w:hint="eastAsia" w:hAnsi="宋体"/>
          <w:b/>
          <w:color w:val="auto"/>
          <w:sz w:val="28"/>
          <w:szCs w:val="28"/>
          <w:highlight w:val="none"/>
        </w:rPr>
        <w:t>：</w:t>
      </w:r>
    </w:p>
    <w:p w14:paraId="113390A4">
      <w:pPr>
        <w:pStyle w:val="5"/>
        <w:numPr>
          <w:ilvl w:val="0"/>
          <w:numId w:val="0"/>
        </w:numPr>
        <w:ind w:left="851"/>
        <w:jc w:val="center"/>
        <w:rPr>
          <w:rFonts w:ascii="宋体" w:hAnsi="宋体"/>
          <w:color w:val="auto"/>
          <w:highlight w:val="none"/>
        </w:rPr>
      </w:pPr>
      <w:bookmarkStart w:id="127" w:name="_Toc496122203"/>
      <w:r>
        <w:rPr>
          <w:rFonts w:hint="eastAsia" w:ascii="宋体" w:hAnsi="宋体"/>
          <w:color w:val="auto"/>
          <w:highlight w:val="none"/>
        </w:rPr>
        <w:t>投 标 函</w:t>
      </w:r>
      <w:bookmarkEnd w:id="127"/>
    </w:p>
    <w:p w14:paraId="55B06EC2">
      <w:pPr>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rPr>
        <w:t>致：</w:t>
      </w:r>
      <w:r>
        <w:rPr>
          <w:rFonts w:hint="eastAsia" w:ascii="宋体" w:hAnsi="宋体"/>
          <w:color w:val="auto"/>
          <w:szCs w:val="21"/>
          <w:highlight w:val="none"/>
          <w:u w:val="single"/>
          <w:lang w:eastAsia="zh-CN"/>
        </w:rPr>
        <w:t>昆明市公安局</w:t>
      </w:r>
    </w:p>
    <w:p w14:paraId="19EE2943">
      <w:pPr>
        <w:spacing w:line="360" w:lineRule="auto"/>
        <w:ind w:firstLine="482"/>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我方仔细研究了</w:t>
      </w:r>
      <w:r>
        <w:rPr>
          <w:rFonts w:hint="eastAsia" w:asciiTheme="minorEastAsia" w:hAnsiTheme="minorEastAsia" w:eastAsiaTheme="minorEastAsia"/>
          <w:color w:val="auto"/>
          <w:sz w:val="21"/>
          <w:szCs w:val="21"/>
          <w:highlight w:val="none"/>
          <w:u w:val="single"/>
        </w:rPr>
        <w:t xml:space="preserve">（采购项目名称）      </w:t>
      </w:r>
      <w:r>
        <w:rPr>
          <w:rFonts w:hint="eastAsia" w:asciiTheme="minorEastAsia" w:hAnsiTheme="minorEastAsia" w:eastAsiaTheme="minorEastAsia"/>
          <w:color w:val="auto"/>
          <w:sz w:val="21"/>
          <w:szCs w:val="21"/>
          <w:highlight w:val="none"/>
        </w:rPr>
        <w:t>（</w:t>
      </w:r>
      <w:r>
        <w:rPr>
          <w:rFonts w:hint="eastAsia" w:asciiTheme="minorEastAsia" w:hAnsiTheme="minorEastAsia" w:eastAsiaTheme="minorEastAsia"/>
          <w:color w:val="auto"/>
          <w:sz w:val="21"/>
          <w:szCs w:val="21"/>
          <w:highlight w:val="none"/>
          <w:lang w:val="en-US" w:eastAsia="zh-CN"/>
        </w:rPr>
        <w:t>项目</w:t>
      </w:r>
      <w:r>
        <w:rPr>
          <w:rFonts w:hint="eastAsia" w:asciiTheme="minorEastAsia" w:hAnsiTheme="minorEastAsia" w:eastAsiaTheme="minorEastAsia"/>
          <w:color w:val="auto"/>
          <w:sz w:val="21"/>
          <w:szCs w:val="21"/>
          <w:highlight w:val="none"/>
        </w:rPr>
        <w:t>编号：</w:t>
      </w:r>
      <w:r>
        <w:rPr>
          <w:rFonts w:hint="eastAsia" w:asciiTheme="minorEastAsia" w:hAnsiTheme="minorEastAsia" w:eastAsiaTheme="minorEastAsia"/>
          <w:color w:val="auto"/>
          <w:sz w:val="21"/>
          <w:szCs w:val="21"/>
          <w:highlight w:val="none"/>
          <w:u w:val="single"/>
        </w:rPr>
        <w:t xml:space="preserve">      </w:t>
      </w:r>
      <w:r>
        <w:rPr>
          <w:rFonts w:hint="eastAsia" w:asciiTheme="minorEastAsia" w:hAnsiTheme="minorEastAsia" w:eastAsiaTheme="minorEastAsia"/>
          <w:color w:val="auto"/>
          <w:sz w:val="21"/>
          <w:szCs w:val="21"/>
          <w:highlight w:val="none"/>
        </w:rPr>
        <w:t>）</w:t>
      </w:r>
      <w:r>
        <w:rPr>
          <w:rFonts w:asciiTheme="minorEastAsia" w:hAnsiTheme="minorEastAsia" w:eastAsiaTheme="minorEastAsia"/>
          <w:color w:val="auto"/>
          <w:sz w:val="21"/>
          <w:szCs w:val="21"/>
          <w:highlight w:val="none"/>
        </w:rPr>
        <w:t>项目招标</w:t>
      </w:r>
      <w:r>
        <w:rPr>
          <w:rFonts w:hint="eastAsia" w:asciiTheme="minorEastAsia" w:hAnsiTheme="minorEastAsia" w:eastAsiaTheme="minorEastAsia"/>
          <w:color w:val="auto"/>
          <w:sz w:val="21"/>
          <w:szCs w:val="21"/>
          <w:highlight w:val="none"/>
        </w:rPr>
        <w:t xml:space="preserve">文件的全部内容，正式授权  </w:t>
      </w:r>
      <w:r>
        <w:rPr>
          <w:rFonts w:hint="eastAsia" w:asciiTheme="minorEastAsia" w:hAnsiTheme="minorEastAsia" w:eastAsiaTheme="minorEastAsia"/>
          <w:color w:val="auto"/>
          <w:sz w:val="21"/>
          <w:szCs w:val="21"/>
          <w:highlight w:val="none"/>
          <w:u w:val="single"/>
        </w:rPr>
        <w:t xml:space="preserve">   （姓名和职务）     </w:t>
      </w:r>
      <w:r>
        <w:rPr>
          <w:rFonts w:hint="eastAsia" w:asciiTheme="minorEastAsia" w:hAnsiTheme="minorEastAsia" w:eastAsiaTheme="minorEastAsia"/>
          <w:color w:val="auto"/>
          <w:sz w:val="21"/>
          <w:szCs w:val="21"/>
          <w:highlight w:val="none"/>
        </w:rPr>
        <w:t>全权代表投标人</w:t>
      </w:r>
      <w:r>
        <w:rPr>
          <w:rFonts w:hint="eastAsia" w:asciiTheme="minorEastAsia" w:hAnsiTheme="minorEastAsia" w:eastAsiaTheme="minorEastAsia"/>
          <w:color w:val="auto"/>
          <w:sz w:val="21"/>
          <w:szCs w:val="21"/>
          <w:highlight w:val="none"/>
          <w:u w:val="single"/>
        </w:rPr>
        <w:t xml:space="preserve">  （投标人全称）   </w:t>
      </w:r>
      <w:r>
        <w:rPr>
          <w:rFonts w:asciiTheme="minorEastAsia" w:hAnsiTheme="minorEastAsia" w:eastAsiaTheme="minorEastAsia"/>
          <w:color w:val="auto"/>
          <w:sz w:val="21"/>
          <w:szCs w:val="21"/>
          <w:highlight w:val="none"/>
        </w:rPr>
        <w:t>参加投标。</w:t>
      </w:r>
    </w:p>
    <w:p w14:paraId="01115CB1">
      <w:pPr>
        <w:spacing w:line="360" w:lineRule="auto"/>
        <w:ind w:firstLine="420"/>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据此函，兹宣布同意如下：</w:t>
      </w:r>
    </w:p>
    <w:p w14:paraId="5F2DB45E">
      <w:pPr>
        <w:spacing w:line="360" w:lineRule="auto"/>
        <w:ind w:left="630" w:leftChars="200" w:hanging="210" w:hangingChars="100"/>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1、按招标文件</w:t>
      </w:r>
      <w:r>
        <w:rPr>
          <w:rFonts w:hint="eastAsia" w:asciiTheme="minorEastAsia" w:hAnsiTheme="minorEastAsia" w:eastAsiaTheme="minorEastAsia"/>
          <w:color w:val="auto"/>
          <w:sz w:val="21"/>
          <w:szCs w:val="21"/>
          <w:highlight w:val="none"/>
          <w:lang w:eastAsia="zh-CN"/>
        </w:rPr>
        <w:t>采购需求</w:t>
      </w:r>
      <w:r>
        <w:rPr>
          <w:rFonts w:hint="eastAsia" w:asciiTheme="minorEastAsia" w:hAnsiTheme="minorEastAsia" w:eastAsiaTheme="minorEastAsia"/>
          <w:color w:val="auto"/>
          <w:sz w:val="21"/>
          <w:szCs w:val="21"/>
          <w:highlight w:val="none"/>
        </w:rPr>
        <w:t>和</w:t>
      </w:r>
      <w:r>
        <w:rPr>
          <w:rFonts w:hint="eastAsia" w:asciiTheme="minorEastAsia" w:hAnsiTheme="minorEastAsia" w:eastAsiaTheme="minorEastAsia"/>
          <w:color w:val="auto"/>
          <w:sz w:val="21"/>
          <w:szCs w:val="21"/>
          <w:highlight w:val="none"/>
          <w:lang w:val="en-US" w:eastAsia="zh-CN"/>
        </w:rPr>
        <w:t>报价明细</w:t>
      </w:r>
      <w:r>
        <w:rPr>
          <w:rFonts w:hint="eastAsia" w:asciiTheme="minorEastAsia" w:hAnsiTheme="minorEastAsia" w:eastAsiaTheme="minorEastAsia"/>
          <w:color w:val="auto"/>
          <w:sz w:val="21"/>
          <w:szCs w:val="21"/>
          <w:highlight w:val="none"/>
        </w:rPr>
        <w:t>表，在</w:t>
      </w:r>
      <w:r>
        <w:rPr>
          <w:rFonts w:hint="eastAsia" w:asciiTheme="minorEastAsia" w:hAnsiTheme="minorEastAsia" w:eastAsiaTheme="minorEastAsia"/>
          <w:color w:val="auto"/>
          <w:sz w:val="21"/>
          <w:szCs w:val="21"/>
          <w:highlight w:val="none"/>
          <w:u w:val="single"/>
        </w:rPr>
        <w:t xml:space="preserve">  （合同履行期限）   </w:t>
      </w:r>
      <w:r>
        <w:rPr>
          <w:rFonts w:hint="eastAsia" w:asciiTheme="minorEastAsia" w:hAnsiTheme="minorEastAsia" w:eastAsiaTheme="minorEastAsia"/>
          <w:color w:val="auto"/>
          <w:sz w:val="21"/>
          <w:szCs w:val="21"/>
          <w:highlight w:val="none"/>
        </w:rPr>
        <w:t>内完成项目需求所含内容。</w:t>
      </w:r>
    </w:p>
    <w:p w14:paraId="329EAD47">
      <w:pPr>
        <w:spacing w:line="360" w:lineRule="auto"/>
        <w:ind w:firstLine="420"/>
        <w:rPr>
          <w:rFonts w:asciiTheme="minorEastAsia" w:hAnsiTheme="minorEastAsia" w:eastAsiaTheme="minorEastAsia"/>
          <w:color w:val="auto"/>
          <w:spacing w:val="-10"/>
          <w:sz w:val="21"/>
          <w:szCs w:val="21"/>
          <w:highlight w:val="none"/>
        </w:rPr>
      </w:pPr>
      <w:r>
        <w:rPr>
          <w:rFonts w:hint="eastAsia" w:asciiTheme="minorEastAsia" w:hAnsiTheme="minorEastAsia" w:eastAsiaTheme="minorEastAsia"/>
          <w:color w:val="auto"/>
          <w:sz w:val="21"/>
          <w:szCs w:val="21"/>
          <w:highlight w:val="none"/>
        </w:rPr>
        <w:t>2、</w:t>
      </w:r>
      <w:r>
        <w:rPr>
          <w:rFonts w:hint="eastAsia" w:asciiTheme="minorEastAsia" w:hAnsiTheme="minorEastAsia" w:eastAsiaTheme="minorEastAsia"/>
          <w:color w:val="auto"/>
          <w:spacing w:val="-10"/>
          <w:sz w:val="21"/>
          <w:szCs w:val="21"/>
          <w:highlight w:val="none"/>
        </w:rPr>
        <w:t>我方已</w:t>
      </w:r>
      <w:r>
        <w:rPr>
          <w:rFonts w:asciiTheme="minorEastAsia" w:hAnsiTheme="minorEastAsia" w:eastAsiaTheme="minorEastAsia"/>
          <w:color w:val="auto"/>
          <w:spacing w:val="-10"/>
          <w:sz w:val="21"/>
          <w:szCs w:val="21"/>
          <w:highlight w:val="none"/>
        </w:rPr>
        <w:t>详细审查全部招标文件，包括</w:t>
      </w:r>
      <w:r>
        <w:rPr>
          <w:rFonts w:hint="eastAsia" w:asciiTheme="minorEastAsia" w:hAnsiTheme="minorEastAsia" w:eastAsiaTheme="minorEastAsia"/>
          <w:color w:val="auto"/>
          <w:spacing w:val="-10"/>
          <w:sz w:val="21"/>
          <w:szCs w:val="21"/>
          <w:highlight w:val="none"/>
          <w:u w:val="single"/>
        </w:rPr>
        <w:t>（澄清</w:t>
      </w:r>
      <w:r>
        <w:rPr>
          <w:rFonts w:asciiTheme="minorEastAsia" w:hAnsiTheme="minorEastAsia" w:eastAsiaTheme="minorEastAsia"/>
          <w:color w:val="auto"/>
          <w:spacing w:val="-10"/>
          <w:sz w:val="21"/>
          <w:szCs w:val="21"/>
          <w:highlight w:val="none"/>
          <w:u w:val="single"/>
        </w:rPr>
        <w:t>文件</w:t>
      </w:r>
      <w:r>
        <w:rPr>
          <w:rFonts w:hint="eastAsia" w:asciiTheme="minorEastAsia" w:hAnsiTheme="minorEastAsia" w:eastAsiaTheme="minorEastAsia"/>
          <w:color w:val="auto"/>
          <w:spacing w:val="-10"/>
          <w:sz w:val="21"/>
          <w:szCs w:val="21"/>
          <w:highlight w:val="none"/>
          <w:u w:val="single"/>
        </w:rPr>
        <w:t>）</w:t>
      </w:r>
      <w:r>
        <w:rPr>
          <w:rFonts w:asciiTheme="minorEastAsia" w:hAnsiTheme="minorEastAsia" w:eastAsiaTheme="minorEastAsia"/>
          <w:color w:val="auto"/>
          <w:spacing w:val="-10"/>
          <w:sz w:val="21"/>
          <w:szCs w:val="21"/>
          <w:highlight w:val="none"/>
          <w:u w:val="single"/>
        </w:rPr>
        <w:t>(如果有的话)</w:t>
      </w:r>
      <w:r>
        <w:rPr>
          <w:rFonts w:asciiTheme="minorEastAsia" w:hAnsiTheme="minorEastAsia" w:eastAsiaTheme="minorEastAsia"/>
          <w:color w:val="auto"/>
          <w:spacing w:val="-10"/>
          <w:sz w:val="21"/>
          <w:szCs w:val="21"/>
          <w:highlight w:val="none"/>
        </w:rPr>
        <w:t>。我</w:t>
      </w:r>
      <w:r>
        <w:rPr>
          <w:rFonts w:hint="eastAsia" w:asciiTheme="minorEastAsia" w:hAnsiTheme="minorEastAsia" w:eastAsiaTheme="minorEastAsia"/>
          <w:color w:val="auto"/>
          <w:spacing w:val="-10"/>
          <w:sz w:val="21"/>
          <w:szCs w:val="21"/>
          <w:highlight w:val="none"/>
        </w:rPr>
        <w:t>方</w:t>
      </w:r>
      <w:r>
        <w:rPr>
          <w:rFonts w:asciiTheme="minorEastAsia" w:hAnsiTheme="minorEastAsia" w:eastAsiaTheme="minorEastAsia"/>
          <w:color w:val="auto"/>
          <w:spacing w:val="-10"/>
          <w:sz w:val="21"/>
          <w:szCs w:val="21"/>
          <w:highlight w:val="none"/>
        </w:rPr>
        <w:t>完全理解</w:t>
      </w:r>
      <w:r>
        <w:rPr>
          <w:rFonts w:hint="eastAsia" w:asciiTheme="minorEastAsia" w:hAnsiTheme="minorEastAsia" w:eastAsiaTheme="minorEastAsia"/>
          <w:color w:val="auto"/>
          <w:spacing w:val="-10"/>
          <w:sz w:val="21"/>
          <w:szCs w:val="21"/>
          <w:highlight w:val="none"/>
        </w:rPr>
        <w:t>相关文件要求，</w:t>
      </w:r>
      <w:r>
        <w:rPr>
          <w:rFonts w:asciiTheme="minorEastAsia" w:hAnsiTheme="minorEastAsia" w:eastAsiaTheme="minorEastAsia"/>
          <w:color w:val="auto"/>
          <w:spacing w:val="-10"/>
          <w:sz w:val="21"/>
          <w:szCs w:val="21"/>
          <w:highlight w:val="none"/>
        </w:rPr>
        <w:t>并</w:t>
      </w:r>
      <w:r>
        <w:rPr>
          <w:rFonts w:hint="eastAsia" w:asciiTheme="minorEastAsia" w:hAnsiTheme="minorEastAsia" w:eastAsiaTheme="minorEastAsia"/>
          <w:color w:val="auto"/>
          <w:spacing w:val="-10"/>
          <w:sz w:val="21"/>
          <w:szCs w:val="21"/>
          <w:highlight w:val="none"/>
        </w:rPr>
        <w:t>承担</w:t>
      </w:r>
      <w:r>
        <w:rPr>
          <w:rFonts w:asciiTheme="minorEastAsia" w:hAnsiTheme="minorEastAsia" w:eastAsiaTheme="minorEastAsia"/>
          <w:color w:val="auto"/>
          <w:spacing w:val="-10"/>
          <w:sz w:val="21"/>
          <w:szCs w:val="21"/>
          <w:highlight w:val="none"/>
        </w:rPr>
        <w:t>对这方面有不明及误解的</w:t>
      </w:r>
      <w:r>
        <w:rPr>
          <w:rFonts w:hint="eastAsia" w:asciiTheme="minorEastAsia" w:hAnsiTheme="minorEastAsia" w:eastAsiaTheme="minorEastAsia"/>
          <w:color w:val="auto"/>
          <w:spacing w:val="-10"/>
          <w:sz w:val="21"/>
          <w:szCs w:val="21"/>
          <w:highlight w:val="none"/>
        </w:rPr>
        <w:t>后果</w:t>
      </w:r>
      <w:r>
        <w:rPr>
          <w:rFonts w:asciiTheme="minorEastAsia" w:hAnsiTheme="minorEastAsia" w:eastAsiaTheme="minorEastAsia"/>
          <w:color w:val="auto"/>
          <w:spacing w:val="-10"/>
          <w:sz w:val="21"/>
          <w:szCs w:val="21"/>
          <w:highlight w:val="none"/>
        </w:rPr>
        <w:t>。</w:t>
      </w:r>
    </w:p>
    <w:p w14:paraId="3AA786D5">
      <w:pPr>
        <w:spacing w:line="360" w:lineRule="auto"/>
        <w:ind w:firstLine="420"/>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3、在投标人须知规定的开标日期起遵循本投标文件，并在投标人须知第17.1条规定的投标文件有效期满之前均具有约束力。</w:t>
      </w:r>
    </w:p>
    <w:p w14:paraId="72BDAAEE">
      <w:pPr>
        <w:spacing w:line="360" w:lineRule="auto"/>
        <w:ind w:firstLine="420"/>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4、</w:t>
      </w:r>
      <w:r>
        <w:rPr>
          <w:rFonts w:asciiTheme="minorEastAsia" w:hAnsiTheme="minorEastAsia" w:eastAsiaTheme="minorEastAsia"/>
          <w:color w:val="auto"/>
          <w:sz w:val="21"/>
          <w:szCs w:val="21"/>
          <w:highlight w:val="none"/>
        </w:rPr>
        <w:t>同意投标人须知中关于投标保证金不予退还的规定。</w:t>
      </w:r>
    </w:p>
    <w:p w14:paraId="1B0BF39B">
      <w:pPr>
        <w:spacing w:line="360" w:lineRule="auto"/>
        <w:ind w:firstLine="420"/>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5、同意应贵方要求提供与本投标有关的任何数据或资料</w:t>
      </w:r>
      <w:r>
        <w:rPr>
          <w:rFonts w:asciiTheme="minorEastAsia" w:hAnsiTheme="minorEastAsia" w:eastAsiaTheme="minorEastAsia"/>
          <w:color w:val="auto"/>
          <w:sz w:val="21"/>
          <w:szCs w:val="21"/>
          <w:highlight w:val="none"/>
        </w:rPr>
        <w:t>，并保证数据和资料的完整性和真实性。</w:t>
      </w:r>
    </w:p>
    <w:p w14:paraId="4B2D980D">
      <w:pPr>
        <w:spacing w:line="360" w:lineRule="auto"/>
        <w:ind w:firstLine="420"/>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6、完全理解贵方不一定要接受最低报价的投标人为中标人的行为。</w:t>
      </w:r>
    </w:p>
    <w:p w14:paraId="42C5A8B8">
      <w:pPr>
        <w:spacing w:line="360" w:lineRule="auto"/>
        <w:ind w:firstLine="420"/>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7</w:t>
      </w:r>
      <w:r>
        <w:rPr>
          <w:rFonts w:asciiTheme="minorEastAsia" w:hAnsiTheme="minorEastAsia" w:eastAsiaTheme="minorEastAsia"/>
          <w:color w:val="auto"/>
          <w:sz w:val="21"/>
          <w:szCs w:val="21"/>
          <w:highlight w:val="none"/>
        </w:rPr>
        <w:t>．如我方中标：</w:t>
      </w:r>
    </w:p>
    <w:p w14:paraId="6CD2CCF5">
      <w:pPr>
        <w:spacing w:line="360" w:lineRule="auto"/>
        <w:ind w:firstLine="42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（1）我方承诺在收到中标通知书后，在中标通知书规定的期限内与你方签订合同</w:t>
      </w:r>
      <w:r>
        <w:rPr>
          <w:rFonts w:hint="eastAsia" w:asciiTheme="minorEastAsia" w:hAnsiTheme="minorEastAsia" w:eastAsiaTheme="minorEastAsia"/>
          <w:color w:val="auto"/>
          <w:sz w:val="21"/>
          <w:szCs w:val="21"/>
          <w:highlight w:val="none"/>
        </w:rPr>
        <w:t>，并</w:t>
      </w:r>
      <w:r>
        <w:rPr>
          <w:rFonts w:asciiTheme="minorEastAsia" w:hAnsiTheme="minorEastAsia" w:eastAsiaTheme="minorEastAsia"/>
          <w:color w:val="auto"/>
          <w:sz w:val="21"/>
          <w:szCs w:val="21"/>
          <w:highlight w:val="none"/>
        </w:rPr>
        <w:t>履行</w:t>
      </w:r>
      <w:r>
        <w:rPr>
          <w:rFonts w:hint="eastAsia" w:asciiTheme="minorEastAsia" w:hAnsiTheme="minorEastAsia" w:eastAsiaTheme="minorEastAsia"/>
          <w:color w:val="auto"/>
          <w:sz w:val="21"/>
          <w:szCs w:val="21"/>
          <w:highlight w:val="none"/>
        </w:rPr>
        <w:t>相应的</w:t>
      </w:r>
      <w:r>
        <w:rPr>
          <w:rFonts w:asciiTheme="minorEastAsia" w:hAnsiTheme="minorEastAsia" w:eastAsiaTheme="minorEastAsia"/>
          <w:color w:val="auto"/>
          <w:sz w:val="21"/>
          <w:szCs w:val="21"/>
          <w:highlight w:val="none"/>
        </w:rPr>
        <w:t>合同责任和义务。</w:t>
      </w:r>
    </w:p>
    <w:p w14:paraId="35F6F25A">
      <w:pPr>
        <w:spacing w:line="360" w:lineRule="auto"/>
        <w:ind w:firstLine="42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（2）我方承诺按照招标文件规定向你方递交履约担保。</w:t>
      </w:r>
    </w:p>
    <w:p w14:paraId="7EAB8A26">
      <w:pPr>
        <w:spacing w:line="360" w:lineRule="auto"/>
        <w:ind w:firstLine="420"/>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（3）</w:t>
      </w:r>
      <w:r>
        <w:rPr>
          <w:rFonts w:asciiTheme="minorEastAsia" w:hAnsiTheme="minorEastAsia" w:eastAsiaTheme="minorEastAsia"/>
          <w:color w:val="auto"/>
          <w:sz w:val="21"/>
          <w:szCs w:val="21"/>
          <w:highlight w:val="none"/>
        </w:rPr>
        <w:t>我方承诺</w:t>
      </w:r>
      <w:r>
        <w:rPr>
          <w:rFonts w:hint="eastAsia" w:asciiTheme="minorEastAsia" w:hAnsiTheme="minorEastAsia" w:eastAsiaTheme="minorEastAsia"/>
          <w:color w:val="auto"/>
          <w:sz w:val="21"/>
          <w:szCs w:val="21"/>
          <w:highlight w:val="none"/>
        </w:rPr>
        <w:t>将按照贵方要求高质量完成服务。</w:t>
      </w:r>
    </w:p>
    <w:p w14:paraId="43A85AFF">
      <w:pPr>
        <w:spacing w:line="360" w:lineRule="auto"/>
        <w:ind w:firstLine="420"/>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8</w:t>
      </w:r>
      <w:r>
        <w:rPr>
          <w:rFonts w:asciiTheme="minorEastAsia" w:hAnsiTheme="minorEastAsia" w:eastAsiaTheme="minorEastAsia"/>
          <w:color w:val="auto"/>
          <w:sz w:val="21"/>
          <w:szCs w:val="21"/>
          <w:highlight w:val="none"/>
        </w:rPr>
        <w:t>．</w:t>
      </w:r>
      <w:r>
        <w:rPr>
          <w:rFonts w:hint="eastAsia" w:asciiTheme="minorEastAsia" w:hAnsiTheme="minorEastAsia" w:eastAsiaTheme="minorEastAsia"/>
          <w:color w:val="auto"/>
          <w:sz w:val="21"/>
          <w:szCs w:val="21"/>
          <w:highlight w:val="none"/>
        </w:rPr>
        <w:t>我方在此声明，所递交的投标文件及有关资料内容完整、真实和准确。</w:t>
      </w:r>
    </w:p>
    <w:p w14:paraId="12094DD5">
      <w:pPr>
        <w:spacing w:line="360" w:lineRule="auto"/>
        <w:ind w:firstLine="42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1"/>
          <w:szCs w:val="21"/>
          <w:highlight w:val="none"/>
        </w:rPr>
        <w:t>9．</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w:t>
      </w:r>
      <w:r>
        <w:rPr>
          <w:rFonts w:hint="eastAsia" w:asciiTheme="minorEastAsia" w:hAnsiTheme="minorEastAsia" w:eastAsiaTheme="minorEastAsia"/>
          <w:color w:val="auto"/>
          <w:sz w:val="21"/>
          <w:szCs w:val="21"/>
          <w:highlight w:val="none"/>
        </w:rPr>
        <w:t>其他</w:t>
      </w:r>
      <w:r>
        <w:rPr>
          <w:rFonts w:asciiTheme="minorEastAsia" w:hAnsiTheme="minorEastAsia" w:eastAsiaTheme="minorEastAsia"/>
          <w:color w:val="auto"/>
          <w:sz w:val="21"/>
          <w:szCs w:val="21"/>
          <w:highlight w:val="none"/>
        </w:rPr>
        <w:t>补充说明）。</w:t>
      </w:r>
    </w:p>
    <w:p w14:paraId="31F4887E">
      <w:pPr>
        <w:pStyle w:val="16"/>
        <w:spacing w:line="360" w:lineRule="auto"/>
        <w:ind w:firstLine="420"/>
        <w:rPr>
          <w:rFonts w:hAnsi="宋体"/>
          <w:color w:val="auto"/>
          <w:szCs w:val="21"/>
          <w:highlight w:val="none"/>
        </w:rPr>
      </w:pPr>
    </w:p>
    <w:p w14:paraId="198794FC">
      <w:pPr>
        <w:pStyle w:val="16"/>
        <w:spacing w:line="360" w:lineRule="auto"/>
        <w:ind w:firstLine="420"/>
        <w:rPr>
          <w:rFonts w:hAnsi="宋体"/>
          <w:color w:val="auto"/>
          <w:szCs w:val="21"/>
          <w:highlight w:val="none"/>
        </w:rPr>
      </w:pPr>
      <w:r>
        <w:rPr>
          <w:rFonts w:hint="eastAsia" w:hAnsi="宋体"/>
          <w:color w:val="auto"/>
          <w:szCs w:val="21"/>
          <w:highlight w:val="none"/>
        </w:rPr>
        <w:t>与本投标有关的正式通讯地址为：</w:t>
      </w:r>
    </w:p>
    <w:p w14:paraId="7AD3BA10">
      <w:pPr>
        <w:pStyle w:val="16"/>
        <w:spacing w:line="360" w:lineRule="auto"/>
        <w:ind w:firstLine="420"/>
        <w:rPr>
          <w:rFonts w:hAnsi="宋体"/>
          <w:color w:val="auto"/>
          <w:szCs w:val="21"/>
          <w:highlight w:val="none"/>
        </w:rPr>
      </w:pPr>
      <w:r>
        <w:rPr>
          <w:rFonts w:hint="eastAsia" w:hAnsi="宋体"/>
          <w:color w:val="auto"/>
          <w:szCs w:val="21"/>
          <w:highlight w:val="none"/>
        </w:rPr>
        <w:t>地址：</w:t>
      </w:r>
      <w:r>
        <w:rPr>
          <w:rFonts w:hint="eastAsia" w:hAnsi="宋体"/>
          <w:color w:val="auto"/>
          <w:szCs w:val="21"/>
          <w:highlight w:val="none"/>
          <w:u w:val="single"/>
        </w:rPr>
        <w:t xml:space="preserve">                                </w:t>
      </w:r>
      <w:r>
        <w:rPr>
          <w:rFonts w:hint="eastAsia" w:hAnsi="宋体"/>
          <w:color w:val="auto"/>
          <w:szCs w:val="21"/>
          <w:highlight w:val="none"/>
        </w:rPr>
        <w:t xml:space="preserve"> 邮政编码：</w:t>
      </w:r>
      <w:r>
        <w:rPr>
          <w:rFonts w:hint="eastAsia" w:hAnsi="宋体"/>
          <w:color w:val="auto"/>
          <w:szCs w:val="21"/>
          <w:highlight w:val="none"/>
          <w:u w:val="single"/>
        </w:rPr>
        <w:t xml:space="preserve">             </w:t>
      </w:r>
    </w:p>
    <w:p w14:paraId="271783AE">
      <w:pPr>
        <w:pStyle w:val="16"/>
        <w:spacing w:line="360" w:lineRule="auto"/>
        <w:ind w:firstLine="420"/>
        <w:rPr>
          <w:rFonts w:hAnsi="宋体"/>
          <w:color w:val="auto"/>
          <w:szCs w:val="21"/>
          <w:highlight w:val="none"/>
          <w:u w:val="single"/>
        </w:rPr>
      </w:pPr>
      <w:r>
        <w:rPr>
          <w:rFonts w:hint="eastAsia" w:hAnsi="宋体"/>
          <w:color w:val="auto"/>
          <w:szCs w:val="21"/>
          <w:highlight w:val="none"/>
        </w:rPr>
        <w:t>电话：</w:t>
      </w:r>
      <w:r>
        <w:rPr>
          <w:rFonts w:hint="eastAsia" w:hAnsi="宋体"/>
          <w:color w:val="auto"/>
          <w:szCs w:val="21"/>
          <w:highlight w:val="none"/>
          <w:u w:val="single"/>
        </w:rPr>
        <w:t xml:space="preserve">                                      　　　　　　　　　</w:t>
      </w:r>
    </w:p>
    <w:p w14:paraId="699FD884">
      <w:pPr>
        <w:pStyle w:val="16"/>
        <w:spacing w:line="360" w:lineRule="auto"/>
        <w:ind w:firstLine="420"/>
        <w:rPr>
          <w:rFonts w:hAnsi="宋体"/>
          <w:color w:val="auto"/>
          <w:szCs w:val="21"/>
          <w:highlight w:val="none"/>
        </w:rPr>
      </w:pPr>
      <w:r>
        <w:rPr>
          <w:rFonts w:hint="eastAsia" w:hAnsi="宋体"/>
          <w:color w:val="auto"/>
          <w:szCs w:val="21"/>
          <w:highlight w:val="none"/>
        </w:rPr>
        <w:t>传真：</w:t>
      </w:r>
      <w:r>
        <w:rPr>
          <w:rFonts w:hint="eastAsia" w:hAnsi="宋体"/>
          <w:color w:val="auto"/>
          <w:szCs w:val="21"/>
          <w:highlight w:val="none"/>
          <w:u w:val="single"/>
        </w:rPr>
        <w:t>　　　　　　　　　　　　　　　　　　　　　　　　　　　　</w:t>
      </w:r>
    </w:p>
    <w:p w14:paraId="761635F6">
      <w:pPr>
        <w:pStyle w:val="16"/>
        <w:spacing w:line="360" w:lineRule="auto"/>
        <w:ind w:firstLine="420"/>
        <w:rPr>
          <w:rFonts w:hAnsi="宋体"/>
          <w:color w:val="auto"/>
          <w:szCs w:val="21"/>
          <w:highlight w:val="none"/>
          <w:u w:val="single"/>
        </w:rPr>
      </w:pPr>
      <w:r>
        <w:rPr>
          <w:rFonts w:hint="eastAsia" w:hAnsi="宋体"/>
          <w:color w:val="auto"/>
          <w:szCs w:val="21"/>
          <w:highlight w:val="none"/>
        </w:rPr>
        <w:t>开户名称：</w:t>
      </w:r>
      <w:r>
        <w:rPr>
          <w:rFonts w:hint="eastAsia" w:hAnsi="宋体"/>
          <w:color w:val="auto"/>
          <w:szCs w:val="21"/>
          <w:highlight w:val="none"/>
          <w:u w:val="single"/>
        </w:rPr>
        <w:t xml:space="preserve">                                                    </w:t>
      </w:r>
    </w:p>
    <w:p w14:paraId="5CEC918C">
      <w:pPr>
        <w:pStyle w:val="16"/>
        <w:spacing w:line="360" w:lineRule="auto"/>
        <w:ind w:firstLine="420"/>
        <w:rPr>
          <w:rFonts w:hAnsi="宋体"/>
          <w:color w:val="auto"/>
          <w:szCs w:val="21"/>
          <w:highlight w:val="none"/>
          <w:u w:val="single"/>
        </w:rPr>
      </w:pPr>
      <w:r>
        <w:rPr>
          <w:rFonts w:hint="eastAsia" w:hAnsi="宋体"/>
          <w:color w:val="auto"/>
          <w:szCs w:val="21"/>
          <w:highlight w:val="none"/>
        </w:rPr>
        <w:t>开户银行：</w:t>
      </w:r>
      <w:r>
        <w:rPr>
          <w:rFonts w:hint="eastAsia" w:hAnsi="宋体"/>
          <w:color w:val="auto"/>
          <w:szCs w:val="21"/>
          <w:highlight w:val="none"/>
          <w:u w:val="single"/>
        </w:rPr>
        <w:t xml:space="preserve">                                                    </w:t>
      </w:r>
    </w:p>
    <w:p w14:paraId="3ED589CD">
      <w:pPr>
        <w:pStyle w:val="16"/>
        <w:spacing w:line="360" w:lineRule="auto"/>
        <w:ind w:firstLine="420"/>
        <w:rPr>
          <w:rFonts w:hAnsi="宋体"/>
          <w:color w:val="auto"/>
          <w:szCs w:val="21"/>
          <w:highlight w:val="none"/>
          <w:u w:val="single"/>
        </w:rPr>
      </w:pPr>
      <w:r>
        <w:rPr>
          <w:rFonts w:hint="eastAsia" w:hAnsi="宋体"/>
          <w:color w:val="auto"/>
          <w:szCs w:val="21"/>
          <w:highlight w:val="none"/>
        </w:rPr>
        <w:t>帐    号：</w:t>
      </w:r>
      <w:r>
        <w:rPr>
          <w:rFonts w:hint="eastAsia" w:hAnsi="宋体"/>
          <w:color w:val="auto"/>
          <w:szCs w:val="21"/>
          <w:highlight w:val="none"/>
          <w:u w:val="single"/>
        </w:rPr>
        <w:t xml:space="preserve">                                                    </w:t>
      </w:r>
    </w:p>
    <w:p w14:paraId="337A55CA">
      <w:pPr>
        <w:spacing w:line="360" w:lineRule="auto"/>
        <w:ind w:firstLine="420"/>
        <w:rPr>
          <w:rFonts w:ascii="宋体" w:hAnsi="宋体"/>
          <w:b w:val="0"/>
          <w:bCs/>
          <w:color w:val="auto"/>
          <w:szCs w:val="21"/>
          <w:highlight w:val="none"/>
        </w:rPr>
      </w:pPr>
      <w:r>
        <w:rPr>
          <w:rFonts w:hint="eastAsia" w:ascii="宋体" w:hAnsi="宋体"/>
          <w:b w:val="0"/>
          <w:bCs/>
          <w:color w:val="auto"/>
          <w:szCs w:val="21"/>
          <w:highlight w:val="none"/>
        </w:rPr>
        <w:t>投标人（</w:t>
      </w:r>
      <w:r>
        <w:rPr>
          <w:rFonts w:hint="eastAsia" w:hAnsi="宋体"/>
          <w:b w:val="0"/>
          <w:bCs/>
          <w:color w:val="auto"/>
          <w:szCs w:val="21"/>
          <w:highlight w:val="none"/>
          <w:lang w:eastAsia="zh-CN"/>
        </w:rPr>
        <w:t>电子签章</w:t>
      </w:r>
      <w:r>
        <w:rPr>
          <w:rFonts w:hint="eastAsia" w:ascii="宋体" w:hAnsi="宋体"/>
          <w:b w:val="0"/>
          <w:bCs/>
          <w:color w:val="auto"/>
          <w:szCs w:val="21"/>
          <w:highlight w:val="none"/>
        </w:rPr>
        <w:t>）：</w:t>
      </w:r>
      <w:r>
        <w:rPr>
          <w:rFonts w:hint="eastAsia" w:ascii="宋体" w:hAnsi="宋体"/>
          <w:b w:val="0"/>
          <w:bCs/>
          <w:color w:val="auto"/>
          <w:szCs w:val="21"/>
          <w:highlight w:val="none"/>
          <w:u w:val="single"/>
        </w:rPr>
        <w:t xml:space="preserve">                       </w:t>
      </w:r>
    </w:p>
    <w:p w14:paraId="7945B4BD">
      <w:pPr>
        <w:pStyle w:val="16"/>
        <w:spacing w:line="360" w:lineRule="auto"/>
        <w:ind w:firstLine="420"/>
        <w:rPr>
          <w:rFonts w:hAnsi="宋体"/>
          <w:b w:val="0"/>
          <w:bCs/>
          <w:color w:val="auto"/>
          <w:szCs w:val="21"/>
          <w:highlight w:val="none"/>
        </w:rPr>
      </w:pPr>
      <w:r>
        <w:rPr>
          <w:rFonts w:hint="eastAsia" w:hAnsi="宋体"/>
          <w:b w:val="0"/>
          <w:bCs/>
          <w:color w:val="auto"/>
          <w:szCs w:val="21"/>
          <w:highlight w:val="none"/>
        </w:rPr>
        <w:t>法定代表人或委托代理人（</w:t>
      </w:r>
      <w:r>
        <w:rPr>
          <w:rFonts w:hint="eastAsia" w:hAnsi="宋体"/>
          <w:b w:val="0"/>
          <w:bCs/>
          <w:color w:val="auto"/>
          <w:szCs w:val="21"/>
          <w:highlight w:val="none"/>
          <w:lang w:eastAsia="zh-CN"/>
        </w:rPr>
        <w:t>电子签章</w:t>
      </w:r>
      <w:r>
        <w:rPr>
          <w:rFonts w:hint="eastAsia" w:hAnsi="宋体"/>
          <w:b w:val="0"/>
          <w:bCs/>
          <w:color w:val="auto"/>
          <w:szCs w:val="21"/>
          <w:highlight w:val="none"/>
          <w:lang w:val="en-US" w:eastAsia="zh-CN"/>
        </w:rPr>
        <w:t>或签名</w:t>
      </w:r>
      <w:r>
        <w:rPr>
          <w:rFonts w:hint="eastAsia" w:hAnsi="宋体"/>
          <w:b w:val="0"/>
          <w:bCs/>
          <w:color w:val="auto"/>
          <w:szCs w:val="21"/>
          <w:highlight w:val="none"/>
        </w:rPr>
        <w:t>）：</w:t>
      </w:r>
      <w:r>
        <w:rPr>
          <w:rFonts w:hint="eastAsia" w:hAnsi="宋体"/>
          <w:b w:val="0"/>
          <w:bCs/>
          <w:color w:val="auto"/>
          <w:szCs w:val="21"/>
          <w:highlight w:val="none"/>
          <w:u w:val="single"/>
        </w:rPr>
        <w:t xml:space="preserve">                       </w:t>
      </w:r>
      <w:r>
        <w:rPr>
          <w:rFonts w:hint="eastAsia" w:hAnsi="宋体"/>
          <w:b w:val="0"/>
          <w:bCs/>
          <w:color w:val="auto"/>
          <w:szCs w:val="21"/>
          <w:highlight w:val="none"/>
        </w:rPr>
        <w:t xml:space="preserve">  </w:t>
      </w:r>
    </w:p>
    <w:p w14:paraId="358EDFC0">
      <w:pPr>
        <w:pStyle w:val="16"/>
        <w:spacing w:line="360" w:lineRule="auto"/>
        <w:ind w:firstLine="420" w:firstLineChars="200"/>
        <w:rPr>
          <w:rFonts w:hAnsi="宋体"/>
          <w:b w:val="0"/>
          <w:bCs/>
          <w:color w:val="auto"/>
          <w:szCs w:val="21"/>
          <w:highlight w:val="none"/>
          <w:u w:val="single"/>
        </w:rPr>
        <w:sectPr>
          <w:footerReference r:id="rId10" w:type="first"/>
          <w:footerReference r:id="rId9" w:type="default"/>
          <w:pgSz w:w="11906" w:h="16838"/>
          <w:pgMar w:top="794" w:right="1417" w:bottom="680" w:left="1417" w:header="720" w:footer="720" w:gutter="0"/>
          <w:pgBorders>
            <w:top w:val="none" w:sz="0" w:space="0"/>
            <w:left w:val="none" w:sz="0" w:space="0"/>
            <w:bottom w:val="none" w:sz="0" w:space="0"/>
            <w:right w:val="none" w:sz="0" w:space="0"/>
          </w:pgBorders>
          <w:pgNumType w:start="1"/>
          <w:cols w:space="720" w:num="1"/>
          <w:titlePg/>
          <w:docGrid w:type="lines" w:linePitch="331" w:charSpace="0"/>
        </w:sectPr>
      </w:pPr>
      <w:r>
        <w:rPr>
          <w:rFonts w:hint="eastAsia" w:hAnsi="宋体"/>
          <w:b w:val="0"/>
          <w:bCs/>
          <w:color w:val="auto"/>
          <w:szCs w:val="21"/>
          <w:highlight w:val="none"/>
        </w:rPr>
        <w:t>日期：</w:t>
      </w:r>
      <w:r>
        <w:rPr>
          <w:rFonts w:hint="eastAsia" w:hAnsi="宋体"/>
          <w:b w:val="0"/>
          <w:bCs/>
          <w:color w:val="auto"/>
          <w:szCs w:val="21"/>
          <w:highlight w:val="none"/>
          <w:u w:val="single"/>
        </w:rPr>
        <w:t xml:space="preserve">                                                   </w:t>
      </w:r>
    </w:p>
    <w:bookmarkEnd w:id="109"/>
    <w:p w14:paraId="61DB1087">
      <w:pPr>
        <w:spacing w:line="360" w:lineRule="auto"/>
        <w:rPr>
          <w:rFonts w:ascii="宋体" w:hAnsi="宋体"/>
          <w:b/>
          <w:color w:val="auto"/>
          <w:sz w:val="28"/>
          <w:szCs w:val="28"/>
          <w:highlight w:val="none"/>
        </w:rPr>
      </w:pPr>
      <w:r>
        <w:rPr>
          <w:rFonts w:hint="eastAsia" w:ascii="宋体" w:hAnsi="宋体"/>
          <w:b/>
          <w:color w:val="auto"/>
          <w:sz w:val="28"/>
          <w:szCs w:val="28"/>
          <w:highlight w:val="none"/>
        </w:rPr>
        <w:t>格式</w:t>
      </w:r>
      <w:r>
        <w:rPr>
          <w:rFonts w:ascii="宋体" w:hAnsi="宋体"/>
          <w:b/>
          <w:color w:val="auto"/>
          <w:sz w:val="28"/>
          <w:szCs w:val="28"/>
          <w:highlight w:val="none"/>
        </w:rPr>
        <w:t>2</w:t>
      </w:r>
      <w:r>
        <w:rPr>
          <w:rFonts w:hint="eastAsia" w:ascii="宋体" w:hAnsi="宋体"/>
          <w:b/>
          <w:color w:val="auto"/>
          <w:sz w:val="28"/>
          <w:szCs w:val="28"/>
          <w:highlight w:val="none"/>
        </w:rPr>
        <w:t>：</w:t>
      </w:r>
    </w:p>
    <w:p w14:paraId="123CEA8D">
      <w:pPr>
        <w:numPr>
          <w:ilvl w:val="2"/>
          <w:numId w:val="0"/>
        </w:numPr>
        <w:tabs>
          <w:tab w:val="left" w:pos="900"/>
        </w:tabs>
        <w:adjustRightInd w:val="0"/>
        <w:spacing w:line="360" w:lineRule="auto"/>
        <w:jc w:val="center"/>
        <w:textAlignment w:val="baseline"/>
        <w:outlineLvl w:val="2"/>
        <w:rPr>
          <w:rFonts w:hint="eastAsia" w:asciiTheme="minorEastAsia" w:hAnsiTheme="minorEastAsia" w:eastAsiaTheme="minorEastAsia" w:cstheme="minorBidi"/>
          <w:b/>
          <w:color w:val="auto"/>
          <w:sz w:val="24"/>
          <w:highlight w:val="none"/>
        </w:rPr>
      </w:pPr>
      <w:r>
        <w:rPr>
          <w:rFonts w:hint="eastAsia" w:ascii="宋体" w:hAnsi="宋体"/>
          <w:b/>
          <w:color w:val="auto"/>
          <w:kern w:val="0"/>
          <w:sz w:val="32"/>
          <w:szCs w:val="21"/>
          <w:highlight w:val="none"/>
          <w:lang w:val="en-US" w:eastAsia="zh-CN"/>
        </w:rPr>
        <w:t>报价明细</w:t>
      </w:r>
      <w:r>
        <w:rPr>
          <w:rFonts w:hint="eastAsia" w:ascii="宋体" w:hAnsi="宋体" w:eastAsia="宋体"/>
          <w:b/>
          <w:color w:val="auto"/>
          <w:kern w:val="0"/>
          <w:sz w:val="32"/>
          <w:szCs w:val="21"/>
          <w:highlight w:val="none"/>
          <w:lang w:val="en-US"/>
        </w:rPr>
        <w:t>表</w:t>
      </w:r>
      <w:r>
        <w:rPr>
          <w:rFonts w:asciiTheme="minorEastAsia" w:hAnsiTheme="minorEastAsia" w:eastAsiaTheme="minorEastAsia" w:cstheme="minorBidi"/>
          <w:b/>
          <w:color w:val="auto"/>
          <w:sz w:val="24"/>
          <w:highlight w:val="none"/>
        </w:rPr>
        <w:t xml:space="preserve">       </w:t>
      </w:r>
      <w:r>
        <w:rPr>
          <w:rFonts w:hint="eastAsia" w:ascii="宋体" w:hAnsi="宋体"/>
          <w:b/>
          <w:color w:val="auto"/>
          <w:szCs w:val="21"/>
          <w:highlight w:val="none"/>
        </w:rPr>
        <w:t xml:space="preserve">  </w:t>
      </w:r>
      <w:r>
        <w:rPr>
          <w:rFonts w:hint="eastAsia" w:ascii="宋体" w:hAnsi="宋体"/>
          <w:b/>
          <w:color w:val="auto"/>
          <w:szCs w:val="21"/>
          <w:highlight w:val="none"/>
          <w:lang w:val="en-US" w:eastAsia="zh-CN"/>
        </w:rPr>
        <w:t xml:space="preserve">   </w:t>
      </w:r>
      <w:r>
        <w:rPr>
          <w:rFonts w:hint="eastAsia" w:ascii="宋体" w:hAnsi="宋体"/>
          <w:b/>
          <w:color w:val="auto"/>
          <w:szCs w:val="21"/>
          <w:highlight w:val="none"/>
        </w:rPr>
        <w:t xml:space="preserve"> </w:t>
      </w:r>
    </w:p>
    <w:tbl>
      <w:tblPr>
        <w:tblStyle w:val="32"/>
        <w:tblW w:w="8464" w:type="dxa"/>
        <w:jc w:val="center"/>
        <w:tblLayout w:type="fixed"/>
        <w:tblCellMar>
          <w:top w:w="0" w:type="dxa"/>
          <w:left w:w="108" w:type="dxa"/>
          <w:bottom w:w="0" w:type="dxa"/>
          <w:right w:w="108" w:type="dxa"/>
        </w:tblCellMar>
      </w:tblPr>
      <w:tblGrid>
        <w:gridCol w:w="889"/>
        <w:gridCol w:w="2640"/>
        <w:gridCol w:w="1521"/>
        <w:gridCol w:w="1725"/>
        <w:gridCol w:w="1689"/>
      </w:tblGrid>
      <w:tr w14:paraId="6667045E">
        <w:tblPrEx>
          <w:tblCellMar>
            <w:top w:w="0" w:type="dxa"/>
            <w:left w:w="108" w:type="dxa"/>
            <w:bottom w:w="0" w:type="dxa"/>
            <w:right w:w="108" w:type="dxa"/>
          </w:tblCellMar>
        </w:tblPrEx>
        <w:trPr>
          <w:trHeight w:val="506" w:hRule="atLeast"/>
          <w:jc w:val="center"/>
        </w:trPr>
        <w:tc>
          <w:tcPr>
            <w:tcW w:w="889" w:type="dxa"/>
            <w:tcBorders>
              <w:top w:val="single" w:color="auto" w:sz="4" w:space="0"/>
              <w:left w:val="single" w:color="auto" w:sz="4" w:space="0"/>
              <w:bottom w:val="single" w:color="auto" w:sz="4" w:space="0"/>
              <w:right w:val="single" w:color="auto" w:sz="4" w:space="0"/>
            </w:tcBorders>
            <w:vAlign w:val="center"/>
          </w:tcPr>
          <w:p w14:paraId="601F0F3C">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序号</w:t>
            </w:r>
          </w:p>
        </w:tc>
        <w:tc>
          <w:tcPr>
            <w:tcW w:w="2640" w:type="dxa"/>
            <w:tcBorders>
              <w:top w:val="single" w:color="auto" w:sz="4" w:space="0"/>
              <w:left w:val="nil"/>
              <w:bottom w:val="single" w:color="auto" w:sz="4" w:space="0"/>
              <w:right w:val="single" w:color="auto" w:sz="4" w:space="0"/>
            </w:tcBorders>
            <w:vAlign w:val="center"/>
          </w:tcPr>
          <w:p w14:paraId="72677442">
            <w:pPr>
              <w:spacing w:line="360" w:lineRule="auto"/>
              <w:jc w:val="center"/>
              <w:rPr>
                <w:rFonts w:ascii="宋体" w:hAnsi="宋体" w:cs="宋体"/>
                <w:color w:val="auto"/>
                <w:szCs w:val="21"/>
                <w:highlight w:val="none"/>
              </w:rPr>
            </w:pPr>
            <w:r>
              <w:rPr>
                <w:rFonts w:ascii="宋体" w:hAnsi="宋体" w:cs="宋体"/>
                <w:color w:val="auto"/>
                <w:szCs w:val="21"/>
                <w:highlight w:val="none"/>
              </w:rPr>
              <w:t>设备名称(租赁服务)</w:t>
            </w:r>
          </w:p>
        </w:tc>
        <w:tc>
          <w:tcPr>
            <w:tcW w:w="1521" w:type="dxa"/>
            <w:tcBorders>
              <w:top w:val="single" w:color="auto" w:sz="4" w:space="0"/>
              <w:left w:val="nil"/>
              <w:bottom w:val="single" w:color="auto" w:sz="4" w:space="0"/>
              <w:right w:val="single" w:color="auto" w:sz="4" w:space="0"/>
            </w:tcBorders>
            <w:vAlign w:val="center"/>
          </w:tcPr>
          <w:p w14:paraId="62DA7739">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计量单位</w:t>
            </w:r>
          </w:p>
        </w:tc>
        <w:tc>
          <w:tcPr>
            <w:tcW w:w="1725" w:type="dxa"/>
            <w:tcBorders>
              <w:top w:val="single" w:color="auto" w:sz="4" w:space="0"/>
              <w:left w:val="nil"/>
              <w:bottom w:val="single" w:color="auto" w:sz="4" w:space="0"/>
              <w:right w:val="single" w:color="auto" w:sz="4" w:space="0"/>
            </w:tcBorders>
            <w:vAlign w:val="center"/>
          </w:tcPr>
          <w:p w14:paraId="44E14360">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单价（元/天）</w:t>
            </w:r>
          </w:p>
        </w:tc>
        <w:tc>
          <w:tcPr>
            <w:tcW w:w="1689" w:type="dxa"/>
            <w:tcBorders>
              <w:top w:val="single" w:color="auto" w:sz="4" w:space="0"/>
              <w:left w:val="nil"/>
              <w:bottom w:val="single" w:color="auto" w:sz="4" w:space="0"/>
              <w:right w:val="single" w:color="auto" w:sz="4" w:space="0"/>
            </w:tcBorders>
            <w:vAlign w:val="center"/>
          </w:tcPr>
          <w:p w14:paraId="3AEEA89F">
            <w:pPr>
              <w:spacing w:line="360" w:lineRule="auto"/>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优惠率报价</w:t>
            </w:r>
          </w:p>
        </w:tc>
      </w:tr>
      <w:tr w14:paraId="45FF36C6">
        <w:tblPrEx>
          <w:tblCellMar>
            <w:top w:w="0" w:type="dxa"/>
            <w:left w:w="108" w:type="dxa"/>
            <w:bottom w:w="0" w:type="dxa"/>
            <w:right w:w="108" w:type="dxa"/>
          </w:tblCellMar>
        </w:tblPrEx>
        <w:trPr>
          <w:trHeight w:val="643" w:hRule="atLeast"/>
          <w:jc w:val="center"/>
        </w:trPr>
        <w:tc>
          <w:tcPr>
            <w:tcW w:w="889" w:type="dxa"/>
            <w:tcBorders>
              <w:top w:val="single" w:color="auto" w:sz="4" w:space="0"/>
              <w:left w:val="single" w:color="auto" w:sz="4" w:space="0"/>
              <w:bottom w:val="single" w:color="auto" w:sz="4" w:space="0"/>
              <w:right w:val="single" w:color="auto" w:sz="4" w:space="0"/>
            </w:tcBorders>
            <w:vAlign w:val="center"/>
          </w:tcPr>
          <w:p w14:paraId="501627EF">
            <w:pPr>
              <w:widowControl/>
              <w:jc w:val="center"/>
              <w:textAlignment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2640" w:type="dxa"/>
            <w:tcBorders>
              <w:top w:val="single" w:color="auto" w:sz="4" w:space="0"/>
              <w:left w:val="single" w:color="auto" w:sz="4" w:space="0"/>
              <w:bottom w:val="single" w:color="auto" w:sz="4" w:space="0"/>
              <w:right w:val="single" w:color="auto" w:sz="4" w:space="0"/>
            </w:tcBorders>
            <w:vAlign w:val="center"/>
          </w:tcPr>
          <w:p w14:paraId="19A1AC08">
            <w:pPr>
              <w:widowControl/>
              <w:jc w:val="center"/>
              <w:textAlignment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安检折叠梯</w:t>
            </w:r>
          </w:p>
        </w:tc>
        <w:tc>
          <w:tcPr>
            <w:tcW w:w="1521" w:type="dxa"/>
            <w:tcBorders>
              <w:top w:val="single" w:color="auto" w:sz="4" w:space="0"/>
              <w:left w:val="single" w:color="auto" w:sz="4" w:space="0"/>
              <w:bottom w:val="single" w:color="auto" w:sz="4" w:space="0"/>
              <w:right w:val="single" w:color="auto" w:sz="4" w:space="0"/>
            </w:tcBorders>
            <w:vAlign w:val="center"/>
          </w:tcPr>
          <w:p w14:paraId="65FA64B9">
            <w:pPr>
              <w:widowControl/>
              <w:jc w:val="center"/>
              <w:textAlignment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套</w:t>
            </w:r>
          </w:p>
        </w:tc>
        <w:tc>
          <w:tcPr>
            <w:tcW w:w="1725" w:type="dxa"/>
            <w:tcBorders>
              <w:top w:val="single" w:color="auto" w:sz="4" w:space="0"/>
              <w:left w:val="single" w:color="auto" w:sz="4" w:space="0"/>
              <w:bottom w:val="single" w:color="auto" w:sz="4" w:space="0"/>
              <w:right w:val="single" w:color="auto" w:sz="4" w:space="0"/>
            </w:tcBorders>
            <w:vAlign w:val="center"/>
          </w:tcPr>
          <w:p w14:paraId="0BF474AE">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37</w:t>
            </w:r>
          </w:p>
        </w:tc>
        <w:tc>
          <w:tcPr>
            <w:tcW w:w="1689" w:type="dxa"/>
            <w:vMerge w:val="restart"/>
            <w:tcBorders>
              <w:top w:val="single" w:color="auto" w:sz="4" w:space="0"/>
              <w:left w:val="single" w:color="auto" w:sz="4" w:space="0"/>
              <w:right w:val="single" w:color="auto" w:sz="4" w:space="0"/>
            </w:tcBorders>
            <w:vAlign w:val="center"/>
          </w:tcPr>
          <w:p w14:paraId="44A1EA2B">
            <w:pPr>
              <w:widowControl/>
              <w:jc w:val="center"/>
              <w:textAlignment w:val="center"/>
              <w:rPr>
                <w:rFonts w:hint="default" w:ascii="宋体" w:hAnsi="宋体" w:eastAsia="宋体" w:cs="宋体"/>
                <w:color w:val="auto"/>
                <w:kern w:val="0"/>
                <w:szCs w:val="21"/>
                <w:highlight w:val="none"/>
                <w:lang w:val="en-US" w:eastAsia="zh-CN"/>
              </w:rPr>
            </w:pPr>
            <w:r>
              <w:rPr>
                <w:rFonts w:hint="eastAsia" w:ascii="宋体" w:hAnsi="宋体" w:cs="宋体"/>
                <w:color w:val="auto"/>
                <w:kern w:val="0"/>
                <w:szCs w:val="21"/>
                <w:highlight w:val="none"/>
                <w:lang w:val="en-US" w:eastAsia="zh-CN"/>
              </w:rPr>
              <w:t>下浮</w:t>
            </w:r>
            <w:r>
              <w:rPr>
                <w:rFonts w:hint="eastAsia" w:ascii="宋体" w:hAnsi="宋体" w:cs="宋体"/>
                <w:color w:val="auto"/>
                <w:kern w:val="0"/>
                <w:szCs w:val="21"/>
                <w:highlight w:val="none"/>
                <w:u w:val="single"/>
                <w:lang w:val="en-US" w:eastAsia="zh-CN"/>
              </w:rPr>
              <w:t xml:space="preserve">     </w:t>
            </w:r>
            <w:r>
              <w:rPr>
                <w:rFonts w:hint="eastAsia" w:ascii="宋体" w:hAnsi="宋体" w:cs="宋体"/>
                <w:color w:val="auto"/>
                <w:kern w:val="0"/>
                <w:szCs w:val="21"/>
                <w:highlight w:val="none"/>
                <w:lang w:val="en-US" w:eastAsia="zh-CN"/>
              </w:rPr>
              <w:t>%</w:t>
            </w:r>
          </w:p>
        </w:tc>
      </w:tr>
      <w:tr w14:paraId="451BA236">
        <w:tblPrEx>
          <w:tblCellMar>
            <w:top w:w="0" w:type="dxa"/>
            <w:left w:w="108" w:type="dxa"/>
            <w:bottom w:w="0" w:type="dxa"/>
            <w:right w:w="108" w:type="dxa"/>
          </w:tblCellMar>
        </w:tblPrEx>
        <w:trPr>
          <w:trHeight w:val="540" w:hRule="atLeast"/>
          <w:jc w:val="center"/>
        </w:trPr>
        <w:tc>
          <w:tcPr>
            <w:tcW w:w="889" w:type="dxa"/>
            <w:tcBorders>
              <w:top w:val="single" w:color="auto" w:sz="4" w:space="0"/>
              <w:left w:val="single" w:color="auto" w:sz="4" w:space="0"/>
              <w:bottom w:val="single" w:color="auto" w:sz="4" w:space="0"/>
              <w:right w:val="single" w:color="auto" w:sz="4" w:space="0"/>
            </w:tcBorders>
            <w:vAlign w:val="center"/>
          </w:tcPr>
          <w:p w14:paraId="206E56E0">
            <w:pPr>
              <w:widowControl/>
              <w:jc w:val="center"/>
              <w:textAlignment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p>
        </w:tc>
        <w:tc>
          <w:tcPr>
            <w:tcW w:w="2640" w:type="dxa"/>
            <w:tcBorders>
              <w:top w:val="single" w:color="auto" w:sz="4" w:space="0"/>
              <w:left w:val="single" w:color="auto" w:sz="4" w:space="0"/>
              <w:bottom w:val="single" w:color="auto" w:sz="4" w:space="0"/>
              <w:right w:val="single" w:color="auto" w:sz="4" w:space="0"/>
            </w:tcBorders>
            <w:vAlign w:val="center"/>
          </w:tcPr>
          <w:p w14:paraId="1672BDA7">
            <w:pPr>
              <w:widowControl/>
              <w:jc w:val="center"/>
              <w:textAlignment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探雷器</w:t>
            </w:r>
          </w:p>
        </w:tc>
        <w:tc>
          <w:tcPr>
            <w:tcW w:w="1521" w:type="dxa"/>
            <w:tcBorders>
              <w:top w:val="single" w:color="auto" w:sz="4" w:space="0"/>
              <w:left w:val="single" w:color="auto" w:sz="4" w:space="0"/>
              <w:bottom w:val="single" w:color="auto" w:sz="4" w:space="0"/>
              <w:right w:val="single" w:color="auto" w:sz="4" w:space="0"/>
            </w:tcBorders>
            <w:vAlign w:val="center"/>
          </w:tcPr>
          <w:p w14:paraId="4A3101D4">
            <w:pPr>
              <w:widowControl/>
              <w:jc w:val="center"/>
              <w:textAlignment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套</w:t>
            </w:r>
          </w:p>
        </w:tc>
        <w:tc>
          <w:tcPr>
            <w:tcW w:w="1725" w:type="dxa"/>
            <w:tcBorders>
              <w:top w:val="single" w:color="auto" w:sz="4" w:space="0"/>
              <w:left w:val="single" w:color="auto" w:sz="4" w:space="0"/>
              <w:bottom w:val="single" w:color="auto" w:sz="4" w:space="0"/>
              <w:right w:val="single" w:color="auto" w:sz="4" w:space="0"/>
            </w:tcBorders>
            <w:vAlign w:val="center"/>
          </w:tcPr>
          <w:p w14:paraId="5A697FD5">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720</w:t>
            </w:r>
          </w:p>
        </w:tc>
        <w:tc>
          <w:tcPr>
            <w:tcW w:w="1689" w:type="dxa"/>
            <w:vMerge w:val="continue"/>
            <w:tcBorders>
              <w:left w:val="single" w:color="auto" w:sz="4" w:space="0"/>
              <w:right w:val="single" w:color="auto" w:sz="4" w:space="0"/>
            </w:tcBorders>
            <w:vAlign w:val="center"/>
          </w:tcPr>
          <w:p w14:paraId="16E1A577">
            <w:pPr>
              <w:widowControl/>
              <w:jc w:val="center"/>
              <w:textAlignment w:val="center"/>
              <w:rPr>
                <w:rFonts w:ascii="宋体" w:hAnsi="宋体" w:cs="宋体"/>
                <w:color w:val="auto"/>
                <w:kern w:val="0"/>
                <w:szCs w:val="21"/>
                <w:highlight w:val="none"/>
              </w:rPr>
            </w:pPr>
          </w:p>
        </w:tc>
      </w:tr>
      <w:tr w14:paraId="3A469F6B">
        <w:tblPrEx>
          <w:tblCellMar>
            <w:top w:w="0" w:type="dxa"/>
            <w:left w:w="108" w:type="dxa"/>
            <w:bottom w:w="0" w:type="dxa"/>
            <w:right w:w="108" w:type="dxa"/>
          </w:tblCellMar>
        </w:tblPrEx>
        <w:trPr>
          <w:trHeight w:val="540" w:hRule="atLeast"/>
          <w:jc w:val="center"/>
        </w:trPr>
        <w:tc>
          <w:tcPr>
            <w:tcW w:w="889" w:type="dxa"/>
            <w:tcBorders>
              <w:top w:val="single" w:color="auto" w:sz="4" w:space="0"/>
              <w:left w:val="single" w:color="auto" w:sz="4" w:space="0"/>
              <w:bottom w:val="single" w:color="auto" w:sz="4" w:space="0"/>
              <w:right w:val="single" w:color="auto" w:sz="4" w:space="0"/>
            </w:tcBorders>
            <w:vAlign w:val="center"/>
          </w:tcPr>
          <w:p w14:paraId="2981C723">
            <w:pPr>
              <w:widowControl/>
              <w:jc w:val="center"/>
              <w:textAlignment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w:t>
            </w:r>
          </w:p>
        </w:tc>
        <w:tc>
          <w:tcPr>
            <w:tcW w:w="2640" w:type="dxa"/>
            <w:tcBorders>
              <w:top w:val="single" w:color="auto" w:sz="4" w:space="0"/>
              <w:left w:val="single" w:color="auto" w:sz="4" w:space="0"/>
              <w:bottom w:val="single" w:color="auto" w:sz="4" w:space="0"/>
              <w:right w:val="single" w:color="auto" w:sz="4" w:space="0"/>
            </w:tcBorders>
            <w:vAlign w:val="center"/>
          </w:tcPr>
          <w:p w14:paraId="0050DD60">
            <w:pPr>
              <w:widowControl/>
              <w:jc w:val="center"/>
              <w:textAlignment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无磁探针</w:t>
            </w:r>
          </w:p>
        </w:tc>
        <w:tc>
          <w:tcPr>
            <w:tcW w:w="1521" w:type="dxa"/>
            <w:tcBorders>
              <w:top w:val="single" w:color="auto" w:sz="4" w:space="0"/>
              <w:left w:val="single" w:color="auto" w:sz="4" w:space="0"/>
              <w:bottom w:val="single" w:color="auto" w:sz="4" w:space="0"/>
              <w:right w:val="single" w:color="auto" w:sz="4" w:space="0"/>
            </w:tcBorders>
            <w:vAlign w:val="center"/>
          </w:tcPr>
          <w:p w14:paraId="54577016">
            <w:pPr>
              <w:widowControl/>
              <w:jc w:val="center"/>
              <w:textAlignment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支</w:t>
            </w:r>
          </w:p>
        </w:tc>
        <w:tc>
          <w:tcPr>
            <w:tcW w:w="1725" w:type="dxa"/>
            <w:tcBorders>
              <w:top w:val="single" w:color="auto" w:sz="4" w:space="0"/>
              <w:left w:val="single" w:color="auto" w:sz="4" w:space="0"/>
              <w:bottom w:val="single" w:color="auto" w:sz="4" w:space="0"/>
              <w:right w:val="single" w:color="auto" w:sz="4" w:space="0"/>
            </w:tcBorders>
            <w:vAlign w:val="center"/>
          </w:tcPr>
          <w:p w14:paraId="64247948">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30</w:t>
            </w:r>
          </w:p>
        </w:tc>
        <w:tc>
          <w:tcPr>
            <w:tcW w:w="1689" w:type="dxa"/>
            <w:vMerge w:val="continue"/>
            <w:tcBorders>
              <w:left w:val="single" w:color="auto" w:sz="4" w:space="0"/>
              <w:right w:val="single" w:color="auto" w:sz="4" w:space="0"/>
            </w:tcBorders>
            <w:vAlign w:val="center"/>
          </w:tcPr>
          <w:p w14:paraId="3E99BA9A">
            <w:pPr>
              <w:widowControl/>
              <w:jc w:val="center"/>
              <w:textAlignment w:val="center"/>
              <w:rPr>
                <w:rFonts w:ascii="宋体" w:hAnsi="宋体" w:cs="宋体"/>
                <w:color w:val="auto"/>
                <w:kern w:val="0"/>
                <w:szCs w:val="21"/>
                <w:highlight w:val="none"/>
              </w:rPr>
            </w:pPr>
          </w:p>
        </w:tc>
      </w:tr>
      <w:tr w14:paraId="7C3667BB">
        <w:tblPrEx>
          <w:tblCellMar>
            <w:top w:w="0" w:type="dxa"/>
            <w:left w:w="108" w:type="dxa"/>
            <w:bottom w:w="0" w:type="dxa"/>
            <w:right w:w="108" w:type="dxa"/>
          </w:tblCellMar>
        </w:tblPrEx>
        <w:trPr>
          <w:trHeight w:val="540" w:hRule="atLeast"/>
          <w:jc w:val="center"/>
        </w:trPr>
        <w:tc>
          <w:tcPr>
            <w:tcW w:w="889" w:type="dxa"/>
            <w:tcBorders>
              <w:top w:val="single" w:color="auto" w:sz="4" w:space="0"/>
              <w:left w:val="single" w:color="auto" w:sz="4" w:space="0"/>
              <w:bottom w:val="single" w:color="auto" w:sz="4" w:space="0"/>
              <w:right w:val="single" w:color="auto" w:sz="4" w:space="0"/>
            </w:tcBorders>
            <w:vAlign w:val="center"/>
          </w:tcPr>
          <w:p w14:paraId="5DF8992A">
            <w:pPr>
              <w:widowControl/>
              <w:jc w:val="center"/>
              <w:textAlignment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w:t>
            </w:r>
          </w:p>
        </w:tc>
        <w:tc>
          <w:tcPr>
            <w:tcW w:w="2640" w:type="dxa"/>
            <w:tcBorders>
              <w:top w:val="single" w:color="auto" w:sz="4" w:space="0"/>
              <w:left w:val="single" w:color="auto" w:sz="4" w:space="0"/>
              <w:bottom w:val="single" w:color="auto" w:sz="4" w:space="0"/>
              <w:right w:val="single" w:color="auto" w:sz="4" w:space="0"/>
            </w:tcBorders>
            <w:vAlign w:val="center"/>
          </w:tcPr>
          <w:p w14:paraId="331285FC">
            <w:pPr>
              <w:widowControl/>
              <w:jc w:val="center"/>
              <w:textAlignment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红外伸缩检查镜</w:t>
            </w:r>
          </w:p>
        </w:tc>
        <w:tc>
          <w:tcPr>
            <w:tcW w:w="1521" w:type="dxa"/>
            <w:tcBorders>
              <w:top w:val="single" w:color="auto" w:sz="4" w:space="0"/>
              <w:left w:val="single" w:color="auto" w:sz="4" w:space="0"/>
              <w:bottom w:val="single" w:color="auto" w:sz="4" w:space="0"/>
              <w:right w:val="single" w:color="auto" w:sz="4" w:space="0"/>
            </w:tcBorders>
            <w:vAlign w:val="center"/>
          </w:tcPr>
          <w:p w14:paraId="6CD7A6C6">
            <w:pPr>
              <w:widowControl/>
              <w:jc w:val="center"/>
              <w:textAlignment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套</w:t>
            </w:r>
          </w:p>
        </w:tc>
        <w:tc>
          <w:tcPr>
            <w:tcW w:w="1725" w:type="dxa"/>
            <w:tcBorders>
              <w:top w:val="single" w:color="auto" w:sz="4" w:space="0"/>
              <w:left w:val="single" w:color="auto" w:sz="4" w:space="0"/>
              <w:bottom w:val="single" w:color="auto" w:sz="4" w:space="0"/>
              <w:right w:val="single" w:color="auto" w:sz="4" w:space="0"/>
            </w:tcBorders>
            <w:vAlign w:val="center"/>
          </w:tcPr>
          <w:p w14:paraId="01919A37">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1040</w:t>
            </w:r>
          </w:p>
        </w:tc>
        <w:tc>
          <w:tcPr>
            <w:tcW w:w="1689" w:type="dxa"/>
            <w:vMerge w:val="continue"/>
            <w:tcBorders>
              <w:left w:val="single" w:color="auto" w:sz="4" w:space="0"/>
              <w:right w:val="single" w:color="auto" w:sz="4" w:space="0"/>
            </w:tcBorders>
            <w:vAlign w:val="center"/>
          </w:tcPr>
          <w:p w14:paraId="3CBDE555">
            <w:pPr>
              <w:widowControl/>
              <w:jc w:val="center"/>
              <w:textAlignment w:val="center"/>
              <w:rPr>
                <w:rFonts w:ascii="宋体" w:hAnsi="宋体" w:cs="宋体"/>
                <w:color w:val="auto"/>
                <w:kern w:val="0"/>
                <w:szCs w:val="21"/>
                <w:highlight w:val="none"/>
              </w:rPr>
            </w:pPr>
          </w:p>
        </w:tc>
      </w:tr>
      <w:tr w14:paraId="3A84DB51">
        <w:tblPrEx>
          <w:tblCellMar>
            <w:top w:w="0" w:type="dxa"/>
            <w:left w:w="108" w:type="dxa"/>
            <w:bottom w:w="0" w:type="dxa"/>
            <w:right w:w="108" w:type="dxa"/>
          </w:tblCellMar>
        </w:tblPrEx>
        <w:trPr>
          <w:trHeight w:val="540" w:hRule="atLeast"/>
          <w:jc w:val="center"/>
        </w:trPr>
        <w:tc>
          <w:tcPr>
            <w:tcW w:w="889" w:type="dxa"/>
            <w:tcBorders>
              <w:top w:val="single" w:color="auto" w:sz="4" w:space="0"/>
              <w:left w:val="single" w:color="auto" w:sz="4" w:space="0"/>
              <w:bottom w:val="single" w:color="auto" w:sz="4" w:space="0"/>
              <w:right w:val="single" w:color="auto" w:sz="4" w:space="0"/>
            </w:tcBorders>
            <w:vAlign w:val="center"/>
          </w:tcPr>
          <w:p w14:paraId="3D9A01A2">
            <w:pPr>
              <w:widowControl/>
              <w:jc w:val="center"/>
              <w:textAlignment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w:t>
            </w:r>
          </w:p>
        </w:tc>
        <w:tc>
          <w:tcPr>
            <w:tcW w:w="2640" w:type="dxa"/>
            <w:tcBorders>
              <w:top w:val="single" w:color="auto" w:sz="4" w:space="0"/>
              <w:left w:val="single" w:color="auto" w:sz="4" w:space="0"/>
              <w:bottom w:val="single" w:color="auto" w:sz="4" w:space="0"/>
              <w:right w:val="single" w:color="auto" w:sz="4" w:space="0"/>
            </w:tcBorders>
            <w:vAlign w:val="center"/>
          </w:tcPr>
          <w:p w14:paraId="1E9F02B2">
            <w:pPr>
              <w:widowControl/>
              <w:jc w:val="center"/>
              <w:textAlignment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安检门</w:t>
            </w:r>
          </w:p>
        </w:tc>
        <w:tc>
          <w:tcPr>
            <w:tcW w:w="1521" w:type="dxa"/>
            <w:tcBorders>
              <w:top w:val="single" w:color="auto" w:sz="4" w:space="0"/>
              <w:left w:val="single" w:color="auto" w:sz="4" w:space="0"/>
              <w:bottom w:val="single" w:color="auto" w:sz="4" w:space="0"/>
              <w:right w:val="single" w:color="auto" w:sz="4" w:space="0"/>
            </w:tcBorders>
            <w:vAlign w:val="center"/>
          </w:tcPr>
          <w:p w14:paraId="1A096709">
            <w:pPr>
              <w:widowControl/>
              <w:jc w:val="center"/>
              <w:textAlignment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道</w:t>
            </w:r>
          </w:p>
        </w:tc>
        <w:tc>
          <w:tcPr>
            <w:tcW w:w="1725" w:type="dxa"/>
            <w:tcBorders>
              <w:top w:val="single" w:color="auto" w:sz="4" w:space="0"/>
              <w:left w:val="single" w:color="auto" w:sz="4" w:space="0"/>
              <w:bottom w:val="single" w:color="auto" w:sz="4" w:space="0"/>
              <w:right w:val="single" w:color="auto" w:sz="4" w:space="0"/>
            </w:tcBorders>
            <w:vAlign w:val="center"/>
          </w:tcPr>
          <w:p w14:paraId="69073C42">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455</w:t>
            </w:r>
          </w:p>
        </w:tc>
        <w:tc>
          <w:tcPr>
            <w:tcW w:w="1689" w:type="dxa"/>
            <w:vMerge w:val="continue"/>
            <w:tcBorders>
              <w:left w:val="single" w:color="auto" w:sz="4" w:space="0"/>
              <w:right w:val="single" w:color="auto" w:sz="4" w:space="0"/>
            </w:tcBorders>
            <w:vAlign w:val="center"/>
          </w:tcPr>
          <w:p w14:paraId="15218208">
            <w:pPr>
              <w:widowControl/>
              <w:jc w:val="center"/>
              <w:textAlignment w:val="center"/>
              <w:rPr>
                <w:rFonts w:ascii="宋体" w:hAnsi="宋体" w:cs="宋体"/>
                <w:color w:val="auto"/>
                <w:kern w:val="0"/>
                <w:szCs w:val="21"/>
                <w:highlight w:val="none"/>
              </w:rPr>
            </w:pPr>
          </w:p>
        </w:tc>
      </w:tr>
      <w:tr w14:paraId="291229E3">
        <w:tblPrEx>
          <w:tblCellMar>
            <w:top w:w="0" w:type="dxa"/>
            <w:left w:w="108" w:type="dxa"/>
            <w:bottom w:w="0" w:type="dxa"/>
            <w:right w:w="108" w:type="dxa"/>
          </w:tblCellMar>
        </w:tblPrEx>
        <w:trPr>
          <w:trHeight w:val="540" w:hRule="atLeast"/>
          <w:jc w:val="center"/>
        </w:trPr>
        <w:tc>
          <w:tcPr>
            <w:tcW w:w="889" w:type="dxa"/>
            <w:tcBorders>
              <w:top w:val="single" w:color="auto" w:sz="4" w:space="0"/>
              <w:left w:val="single" w:color="auto" w:sz="4" w:space="0"/>
              <w:bottom w:val="single" w:color="auto" w:sz="4" w:space="0"/>
              <w:right w:val="single" w:color="auto" w:sz="4" w:space="0"/>
            </w:tcBorders>
            <w:vAlign w:val="center"/>
          </w:tcPr>
          <w:p w14:paraId="1365C082">
            <w:pPr>
              <w:widowControl/>
              <w:jc w:val="center"/>
              <w:textAlignment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w:t>
            </w:r>
          </w:p>
        </w:tc>
        <w:tc>
          <w:tcPr>
            <w:tcW w:w="2640" w:type="dxa"/>
            <w:tcBorders>
              <w:top w:val="single" w:color="auto" w:sz="4" w:space="0"/>
              <w:left w:val="single" w:color="auto" w:sz="4" w:space="0"/>
              <w:bottom w:val="single" w:color="auto" w:sz="4" w:space="0"/>
              <w:right w:val="single" w:color="auto" w:sz="4" w:space="0"/>
            </w:tcBorders>
            <w:vAlign w:val="center"/>
          </w:tcPr>
          <w:p w14:paraId="3023A6B8">
            <w:pPr>
              <w:widowControl/>
              <w:jc w:val="center"/>
              <w:textAlignment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手持金属探测器</w:t>
            </w:r>
          </w:p>
        </w:tc>
        <w:tc>
          <w:tcPr>
            <w:tcW w:w="1521" w:type="dxa"/>
            <w:tcBorders>
              <w:top w:val="single" w:color="auto" w:sz="4" w:space="0"/>
              <w:left w:val="single" w:color="auto" w:sz="4" w:space="0"/>
              <w:bottom w:val="single" w:color="auto" w:sz="4" w:space="0"/>
              <w:right w:val="single" w:color="auto" w:sz="4" w:space="0"/>
            </w:tcBorders>
            <w:vAlign w:val="center"/>
          </w:tcPr>
          <w:p w14:paraId="157917D0">
            <w:pPr>
              <w:widowControl/>
              <w:jc w:val="center"/>
              <w:textAlignment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支</w:t>
            </w:r>
          </w:p>
        </w:tc>
        <w:tc>
          <w:tcPr>
            <w:tcW w:w="1725" w:type="dxa"/>
            <w:tcBorders>
              <w:top w:val="single" w:color="auto" w:sz="4" w:space="0"/>
              <w:left w:val="single" w:color="auto" w:sz="4" w:space="0"/>
              <w:bottom w:val="single" w:color="auto" w:sz="4" w:space="0"/>
              <w:right w:val="single" w:color="auto" w:sz="4" w:space="0"/>
            </w:tcBorders>
            <w:vAlign w:val="center"/>
          </w:tcPr>
          <w:p w14:paraId="23E1CD37">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26</w:t>
            </w:r>
          </w:p>
        </w:tc>
        <w:tc>
          <w:tcPr>
            <w:tcW w:w="1689" w:type="dxa"/>
            <w:vMerge w:val="continue"/>
            <w:tcBorders>
              <w:left w:val="single" w:color="auto" w:sz="4" w:space="0"/>
              <w:right w:val="single" w:color="auto" w:sz="4" w:space="0"/>
            </w:tcBorders>
            <w:vAlign w:val="center"/>
          </w:tcPr>
          <w:p w14:paraId="284DEBBD">
            <w:pPr>
              <w:widowControl/>
              <w:jc w:val="center"/>
              <w:textAlignment w:val="center"/>
              <w:rPr>
                <w:rFonts w:ascii="宋体" w:hAnsi="宋体" w:cs="宋体"/>
                <w:color w:val="auto"/>
                <w:kern w:val="0"/>
                <w:szCs w:val="21"/>
                <w:highlight w:val="none"/>
              </w:rPr>
            </w:pPr>
          </w:p>
        </w:tc>
      </w:tr>
      <w:tr w14:paraId="58696B14">
        <w:tblPrEx>
          <w:tblCellMar>
            <w:top w:w="0" w:type="dxa"/>
            <w:left w:w="108" w:type="dxa"/>
            <w:bottom w:w="0" w:type="dxa"/>
            <w:right w:w="108" w:type="dxa"/>
          </w:tblCellMar>
        </w:tblPrEx>
        <w:trPr>
          <w:trHeight w:val="540" w:hRule="atLeast"/>
          <w:jc w:val="center"/>
        </w:trPr>
        <w:tc>
          <w:tcPr>
            <w:tcW w:w="889" w:type="dxa"/>
            <w:tcBorders>
              <w:top w:val="single" w:color="auto" w:sz="4" w:space="0"/>
              <w:left w:val="single" w:color="auto" w:sz="4" w:space="0"/>
              <w:bottom w:val="single" w:color="auto" w:sz="4" w:space="0"/>
              <w:right w:val="single" w:color="auto" w:sz="4" w:space="0"/>
            </w:tcBorders>
            <w:vAlign w:val="center"/>
          </w:tcPr>
          <w:p w14:paraId="23A11999">
            <w:pPr>
              <w:widowControl/>
              <w:jc w:val="center"/>
              <w:textAlignment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7</w:t>
            </w:r>
          </w:p>
        </w:tc>
        <w:tc>
          <w:tcPr>
            <w:tcW w:w="2640" w:type="dxa"/>
            <w:tcBorders>
              <w:top w:val="single" w:color="auto" w:sz="4" w:space="0"/>
              <w:left w:val="single" w:color="auto" w:sz="4" w:space="0"/>
              <w:bottom w:val="single" w:color="auto" w:sz="4" w:space="0"/>
              <w:right w:val="single" w:color="auto" w:sz="4" w:space="0"/>
            </w:tcBorders>
            <w:vAlign w:val="center"/>
          </w:tcPr>
          <w:p w14:paraId="23C568C8">
            <w:pPr>
              <w:widowControl/>
              <w:jc w:val="center"/>
              <w:textAlignment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防爆毯</w:t>
            </w:r>
          </w:p>
        </w:tc>
        <w:tc>
          <w:tcPr>
            <w:tcW w:w="1521" w:type="dxa"/>
            <w:tcBorders>
              <w:top w:val="single" w:color="auto" w:sz="4" w:space="0"/>
              <w:left w:val="single" w:color="auto" w:sz="4" w:space="0"/>
              <w:bottom w:val="single" w:color="auto" w:sz="4" w:space="0"/>
              <w:right w:val="single" w:color="auto" w:sz="4" w:space="0"/>
            </w:tcBorders>
            <w:vAlign w:val="center"/>
          </w:tcPr>
          <w:p w14:paraId="2BE581E5">
            <w:pPr>
              <w:widowControl/>
              <w:jc w:val="center"/>
              <w:textAlignment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套</w:t>
            </w:r>
          </w:p>
        </w:tc>
        <w:tc>
          <w:tcPr>
            <w:tcW w:w="1725" w:type="dxa"/>
            <w:tcBorders>
              <w:top w:val="single" w:color="auto" w:sz="4" w:space="0"/>
              <w:left w:val="single" w:color="auto" w:sz="4" w:space="0"/>
              <w:bottom w:val="single" w:color="auto" w:sz="4" w:space="0"/>
              <w:right w:val="single" w:color="auto" w:sz="4" w:space="0"/>
            </w:tcBorders>
            <w:vAlign w:val="center"/>
          </w:tcPr>
          <w:p w14:paraId="7778A15E">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557</w:t>
            </w:r>
          </w:p>
        </w:tc>
        <w:tc>
          <w:tcPr>
            <w:tcW w:w="1689" w:type="dxa"/>
            <w:vMerge w:val="continue"/>
            <w:tcBorders>
              <w:left w:val="single" w:color="auto" w:sz="4" w:space="0"/>
              <w:right w:val="single" w:color="auto" w:sz="4" w:space="0"/>
            </w:tcBorders>
            <w:vAlign w:val="center"/>
          </w:tcPr>
          <w:p w14:paraId="0A75E395">
            <w:pPr>
              <w:widowControl/>
              <w:jc w:val="center"/>
              <w:textAlignment w:val="center"/>
              <w:rPr>
                <w:rFonts w:ascii="宋体" w:hAnsi="宋体" w:cs="宋体"/>
                <w:color w:val="auto"/>
                <w:kern w:val="0"/>
                <w:szCs w:val="21"/>
                <w:highlight w:val="none"/>
              </w:rPr>
            </w:pPr>
          </w:p>
        </w:tc>
      </w:tr>
      <w:tr w14:paraId="6F52C3B9">
        <w:tblPrEx>
          <w:tblCellMar>
            <w:top w:w="0" w:type="dxa"/>
            <w:left w:w="108" w:type="dxa"/>
            <w:bottom w:w="0" w:type="dxa"/>
            <w:right w:w="108" w:type="dxa"/>
          </w:tblCellMar>
        </w:tblPrEx>
        <w:trPr>
          <w:trHeight w:val="540" w:hRule="atLeast"/>
          <w:jc w:val="center"/>
        </w:trPr>
        <w:tc>
          <w:tcPr>
            <w:tcW w:w="889" w:type="dxa"/>
            <w:tcBorders>
              <w:top w:val="single" w:color="auto" w:sz="4" w:space="0"/>
              <w:left w:val="single" w:color="auto" w:sz="4" w:space="0"/>
              <w:bottom w:val="single" w:color="auto" w:sz="4" w:space="0"/>
              <w:right w:val="single" w:color="auto" w:sz="4" w:space="0"/>
            </w:tcBorders>
            <w:vAlign w:val="center"/>
          </w:tcPr>
          <w:p w14:paraId="269EAA07">
            <w:pPr>
              <w:widowControl/>
              <w:jc w:val="center"/>
              <w:textAlignment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8</w:t>
            </w:r>
          </w:p>
        </w:tc>
        <w:tc>
          <w:tcPr>
            <w:tcW w:w="2640" w:type="dxa"/>
            <w:tcBorders>
              <w:top w:val="single" w:color="auto" w:sz="4" w:space="0"/>
              <w:left w:val="single" w:color="auto" w:sz="4" w:space="0"/>
              <w:bottom w:val="single" w:color="auto" w:sz="4" w:space="0"/>
              <w:right w:val="single" w:color="auto" w:sz="4" w:space="0"/>
            </w:tcBorders>
            <w:vAlign w:val="center"/>
          </w:tcPr>
          <w:p w14:paraId="7D24EC1E">
            <w:pPr>
              <w:widowControl/>
              <w:jc w:val="center"/>
              <w:textAlignment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小型单视角X光机</w:t>
            </w:r>
          </w:p>
        </w:tc>
        <w:tc>
          <w:tcPr>
            <w:tcW w:w="1521" w:type="dxa"/>
            <w:tcBorders>
              <w:top w:val="single" w:color="auto" w:sz="4" w:space="0"/>
              <w:left w:val="single" w:color="auto" w:sz="4" w:space="0"/>
              <w:bottom w:val="single" w:color="auto" w:sz="4" w:space="0"/>
              <w:right w:val="single" w:color="auto" w:sz="4" w:space="0"/>
            </w:tcBorders>
            <w:vAlign w:val="center"/>
          </w:tcPr>
          <w:p w14:paraId="49FA191E">
            <w:pPr>
              <w:widowControl/>
              <w:jc w:val="center"/>
              <w:textAlignment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台</w:t>
            </w:r>
          </w:p>
        </w:tc>
        <w:tc>
          <w:tcPr>
            <w:tcW w:w="1725" w:type="dxa"/>
            <w:tcBorders>
              <w:top w:val="single" w:color="auto" w:sz="4" w:space="0"/>
              <w:left w:val="single" w:color="auto" w:sz="4" w:space="0"/>
              <w:bottom w:val="single" w:color="auto" w:sz="4" w:space="0"/>
              <w:right w:val="single" w:color="auto" w:sz="4" w:space="0"/>
            </w:tcBorders>
            <w:vAlign w:val="center"/>
          </w:tcPr>
          <w:p w14:paraId="5795B368">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3157</w:t>
            </w:r>
          </w:p>
        </w:tc>
        <w:tc>
          <w:tcPr>
            <w:tcW w:w="1689" w:type="dxa"/>
            <w:vMerge w:val="continue"/>
            <w:tcBorders>
              <w:left w:val="single" w:color="auto" w:sz="4" w:space="0"/>
              <w:right w:val="single" w:color="auto" w:sz="4" w:space="0"/>
            </w:tcBorders>
            <w:vAlign w:val="center"/>
          </w:tcPr>
          <w:p w14:paraId="03C27858">
            <w:pPr>
              <w:widowControl/>
              <w:jc w:val="center"/>
              <w:textAlignment w:val="center"/>
              <w:rPr>
                <w:rFonts w:ascii="宋体" w:hAnsi="宋体" w:cs="宋体"/>
                <w:color w:val="auto"/>
                <w:kern w:val="0"/>
                <w:szCs w:val="21"/>
                <w:highlight w:val="none"/>
              </w:rPr>
            </w:pPr>
          </w:p>
        </w:tc>
      </w:tr>
      <w:tr w14:paraId="08C350F0">
        <w:tblPrEx>
          <w:tblCellMar>
            <w:top w:w="0" w:type="dxa"/>
            <w:left w:w="108" w:type="dxa"/>
            <w:bottom w:w="0" w:type="dxa"/>
            <w:right w:w="108" w:type="dxa"/>
          </w:tblCellMar>
        </w:tblPrEx>
        <w:trPr>
          <w:trHeight w:val="540" w:hRule="atLeast"/>
          <w:jc w:val="center"/>
        </w:trPr>
        <w:tc>
          <w:tcPr>
            <w:tcW w:w="889" w:type="dxa"/>
            <w:tcBorders>
              <w:top w:val="single" w:color="auto" w:sz="4" w:space="0"/>
              <w:left w:val="single" w:color="auto" w:sz="4" w:space="0"/>
              <w:bottom w:val="single" w:color="auto" w:sz="4" w:space="0"/>
              <w:right w:val="single" w:color="auto" w:sz="4" w:space="0"/>
            </w:tcBorders>
            <w:vAlign w:val="center"/>
          </w:tcPr>
          <w:p w14:paraId="0A30C2B8">
            <w:pPr>
              <w:widowControl/>
              <w:jc w:val="center"/>
              <w:textAlignment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9</w:t>
            </w:r>
          </w:p>
        </w:tc>
        <w:tc>
          <w:tcPr>
            <w:tcW w:w="2640" w:type="dxa"/>
            <w:tcBorders>
              <w:top w:val="single" w:color="auto" w:sz="4" w:space="0"/>
              <w:left w:val="single" w:color="auto" w:sz="4" w:space="0"/>
              <w:bottom w:val="single" w:color="auto" w:sz="4" w:space="0"/>
              <w:right w:val="single" w:color="auto" w:sz="4" w:space="0"/>
            </w:tcBorders>
            <w:vAlign w:val="center"/>
          </w:tcPr>
          <w:p w14:paraId="37814BF1">
            <w:pPr>
              <w:widowControl/>
              <w:jc w:val="center"/>
              <w:textAlignment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中型单视角X光机</w:t>
            </w:r>
          </w:p>
        </w:tc>
        <w:tc>
          <w:tcPr>
            <w:tcW w:w="1521" w:type="dxa"/>
            <w:tcBorders>
              <w:top w:val="single" w:color="auto" w:sz="4" w:space="0"/>
              <w:left w:val="single" w:color="auto" w:sz="4" w:space="0"/>
              <w:bottom w:val="single" w:color="auto" w:sz="4" w:space="0"/>
              <w:right w:val="single" w:color="auto" w:sz="4" w:space="0"/>
            </w:tcBorders>
            <w:vAlign w:val="center"/>
          </w:tcPr>
          <w:p w14:paraId="244107E8">
            <w:pPr>
              <w:widowControl/>
              <w:jc w:val="center"/>
              <w:textAlignment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台</w:t>
            </w:r>
          </w:p>
        </w:tc>
        <w:tc>
          <w:tcPr>
            <w:tcW w:w="1725" w:type="dxa"/>
            <w:tcBorders>
              <w:top w:val="single" w:color="auto" w:sz="4" w:space="0"/>
              <w:left w:val="single" w:color="auto" w:sz="4" w:space="0"/>
              <w:bottom w:val="single" w:color="auto" w:sz="4" w:space="0"/>
              <w:right w:val="single" w:color="auto" w:sz="4" w:space="0"/>
            </w:tcBorders>
            <w:vAlign w:val="center"/>
          </w:tcPr>
          <w:p w14:paraId="1EAB5005">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3306</w:t>
            </w:r>
          </w:p>
        </w:tc>
        <w:tc>
          <w:tcPr>
            <w:tcW w:w="1689" w:type="dxa"/>
            <w:vMerge w:val="continue"/>
            <w:tcBorders>
              <w:left w:val="single" w:color="auto" w:sz="4" w:space="0"/>
              <w:right w:val="single" w:color="auto" w:sz="4" w:space="0"/>
            </w:tcBorders>
            <w:vAlign w:val="center"/>
          </w:tcPr>
          <w:p w14:paraId="47F405FE">
            <w:pPr>
              <w:widowControl/>
              <w:jc w:val="center"/>
              <w:textAlignment w:val="center"/>
              <w:rPr>
                <w:rFonts w:ascii="宋体" w:hAnsi="宋体" w:cs="宋体"/>
                <w:color w:val="auto"/>
                <w:kern w:val="0"/>
                <w:szCs w:val="21"/>
                <w:highlight w:val="none"/>
              </w:rPr>
            </w:pPr>
          </w:p>
        </w:tc>
      </w:tr>
      <w:tr w14:paraId="0E1B806B">
        <w:tblPrEx>
          <w:tblCellMar>
            <w:top w:w="0" w:type="dxa"/>
            <w:left w:w="108" w:type="dxa"/>
            <w:bottom w:w="0" w:type="dxa"/>
            <w:right w:w="108" w:type="dxa"/>
          </w:tblCellMar>
        </w:tblPrEx>
        <w:trPr>
          <w:trHeight w:val="540" w:hRule="atLeast"/>
          <w:jc w:val="center"/>
        </w:trPr>
        <w:tc>
          <w:tcPr>
            <w:tcW w:w="889" w:type="dxa"/>
            <w:tcBorders>
              <w:top w:val="single" w:color="auto" w:sz="4" w:space="0"/>
              <w:left w:val="single" w:color="auto" w:sz="4" w:space="0"/>
              <w:bottom w:val="single" w:color="auto" w:sz="4" w:space="0"/>
              <w:right w:val="single" w:color="auto" w:sz="4" w:space="0"/>
            </w:tcBorders>
            <w:vAlign w:val="center"/>
          </w:tcPr>
          <w:p w14:paraId="5E7E3CDC">
            <w:pPr>
              <w:widowControl/>
              <w:jc w:val="center"/>
              <w:textAlignment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w:t>
            </w:r>
          </w:p>
        </w:tc>
        <w:tc>
          <w:tcPr>
            <w:tcW w:w="2640" w:type="dxa"/>
            <w:tcBorders>
              <w:top w:val="single" w:color="auto" w:sz="4" w:space="0"/>
              <w:left w:val="single" w:color="auto" w:sz="4" w:space="0"/>
              <w:bottom w:val="single" w:color="auto" w:sz="4" w:space="0"/>
              <w:right w:val="single" w:color="auto" w:sz="4" w:space="0"/>
            </w:tcBorders>
            <w:vAlign w:val="center"/>
          </w:tcPr>
          <w:p w14:paraId="290A655D">
            <w:pPr>
              <w:widowControl/>
              <w:jc w:val="center"/>
              <w:textAlignment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中型双视角X光机</w:t>
            </w:r>
          </w:p>
        </w:tc>
        <w:tc>
          <w:tcPr>
            <w:tcW w:w="1521" w:type="dxa"/>
            <w:tcBorders>
              <w:top w:val="single" w:color="auto" w:sz="4" w:space="0"/>
              <w:left w:val="single" w:color="auto" w:sz="4" w:space="0"/>
              <w:bottom w:val="single" w:color="auto" w:sz="4" w:space="0"/>
              <w:right w:val="single" w:color="auto" w:sz="4" w:space="0"/>
            </w:tcBorders>
            <w:vAlign w:val="center"/>
          </w:tcPr>
          <w:p w14:paraId="37232C46">
            <w:pPr>
              <w:widowControl/>
              <w:jc w:val="center"/>
              <w:textAlignment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台</w:t>
            </w:r>
          </w:p>
        </w:tc>
        <w:tc>
          <w:tcPr>
            <w:tcW w:w="1725" w:type="dxa"/>
            <w:tcBorders>
              <w:top w:val="single" w:color="auto" w:sz="4" w:space="0"/>
              <w:left w:val="single" w:color="auto" w:sz="4" w:space="0"/>
              <w:bottom w:val="single" w:color="auto" w:sz="4" w:space="0"/>
              <w:right w:val="single" w:color="auto" w:sz="4" w:space="0"/>
            </w:tcBorders>
            <w:vAlign w:val="center"/>
          </w:tcPr>
          <w:p w14:paraId="0D541707">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3900</w:t>
            </w:r>
          </w:p>
        </w:tc>
        <w:tc>
          <w:tcPr>
            <w:tcW w:w="1689" w:type="dxa"/>
            <w:vMerge w:val="continue"/>
            <w:tcBorders>
              <w:left w:val="single" w:color="auto" w:sz="4" w:space="0"/>
              <w:right w:val="single" w:color="auto" w:sz="4" w:space="0"/>
            </w:tcBorders>
            <w:vAlign w:val="center"/>
          </w:tcPr>
          <w:p w14:paraId="2A998409">
            <w:pPr>
              <w:widowControl/>
              <w:jc w:val="center"/>
              <w:textAlignment w:val="center"/>
              <w:rPr>
                <w:rFonts w:ascii="宋体" w:hAnsi="宋体" w:cs="宋体"/>
                <w:color w:val="auto"/>
                <w:kern w:val="0"/>
                <w:szCs w:val="21"/>
                <w:highlight w:val="none"/>
              </w:rPr>
            </w:pPr>
          </w:p>
        </w:tc>
      </w:tr>
      <w:tr w14:paraId="6D8F5BCF">
        <w:tblPrEx>
          <w:tblCellMar>
            <w:top w:w="0" w:type="dxa"/>
            <w:left w:w="108" w:type="dxa"/>
            <w:bottom w:w="0" w:type="dxa"/>
            <w:right w:w="108" w:type="dxa"/>
          </w:tblCellMar>
        </w:tblPrEx>
        <w:trPr>
          <w:trHeight w:val="540" w:hRule="atLeast"/>
          <w:jc w:val="center"/>
        </w:trPr>
        <w:tc>
          <w:tcPr>
            <w:tcW w:w="889" w:type="dxa"/>
            <w:tcBorders>
              <w:top w:val="single" w:color="auto" w:sz="4" w:space="0"/>
              <w:left w:val="single" w:color="auto" w:sz="4" w:space="0"/>
              <w:bottom w:val="single" w:color="auto" w:sz="4" w:space="0"/>
              <w:right w:val="single" w:color="auto" w:sz="4" w:space="0"/>
            </w:tcBorders>
            <w:vAlign w:val="center"/>
          </w:tcPr>
          <w:p w14:paraId="7F6B45EE">
            <w:pPr>
              <w:widowControl/>
              <w:jc w:val="center"/>
              <w:textAlignment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11</w:t>
            </w:r>
          </w:p>
        </w:tc>
        <w:tc>
          <w:tcPr>
            <w:tcW w:w="2640" w:type="dxa"/>
            <w:tcBorders>
              <w:top w:val="single" w:color="auto" w:sz="4" w:space="0"/>
              <w:left w:val="single" w:color="auto" w:sz="4" w:space="0"/>
              <w:bottom w:val="single" w:color="auto" w:sz="4" w:space="0"/>
              <w:right w:val="single" w:color="auto" w:sz="4" w:space="0"/>
            </w:tcBorders>
            <w:vAlign w:val="center"/>
          </w:tcPr>
          <w:p w14:paraId="5D164EC3">
            <w:pPr>
              <w:widowControl/>
              <w:jc w:val="center"/>
              <w:textAlignment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大型双视角X光机</w:t>
            </w:r>
          </w:p>
        </w:tc>
        <w:tc>
          <w:tcPr>
            <w:tcW w:w="1521" w:type="dxa"/>
            <w:tcBorders>
              <w:top w:val="single" w:color="auto" w:sz="4" w:space="0"/>
              <w:left w:val="single" w:color="auto" w:sz="4" w:space="0"/>
              <w:bottom w:val="single" w:color="auto" w:sz="4" w:space="0"/>
              <w:right w:val="single" w:color="auto" w:sz="4" w:space="0"/>
            </w:tcBorders>
            <w:vAlign w:val="center"/>
          </w:tcPr>
          <w:p w14:paraId="3FE3BFBD">
            <w:pPr>
              <w:widowControl/>
              <w:jc w:val="center"/>
              <w:textAlignment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台</w:t>
            </w:r>
          </w:p>
        </w:tc>
        <w:tc>
          <w:tcPr>
            <w:tcW w:w="1725" w:type="dxa"/>
            <w:tcBorders>
              <w:top w:val="single" w:color="auto" w:sz="4" w:space="0"/>
              <w:left w:val="single" w:color="auto" w:sz="4" w:space="0"/>
              <w:bottom w:val="single" w:color="auto" w:sz="4" w:space="0"/>
              <w:right w:val="single" w:color="auto" w:sz="4" w:space="0"/>
            </w:tcBorders>
            <w:vAlign w:val="center"/>
          </w:tcPr>
          <w:p w14:paraId="06A014BC">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6500</w:t>
            </w:r>
          </w:p>
        </w:tc>
        <w:tc>
          <w:tcPr>
            <w:tcW w:w="1689" w:type="dxa"/>
            <w:vMerge w:val="continue"/>
            <w:tcBorders>
              <w:left w:val="single" w:color="auto" w:sz="4" w:space="0"/>
              <w:right w:val="single" w:color="auto" w:sz="4" w:space="0"/>
            </w:tcBorders>
            <w:vAlign w:val="center"/>
          </w:tcPr>
          <w:p w14:paraId="5AF8984F">
            <w:pPr>
              <w:widowControl/>
              <w:jc w:val="center"/>
              <w:textAlignment w:val="center"/>
              <w:rPr>
                <w:rFonts w:ascii="宋体" w:hAnsi="宋体" w:cs="宋体"/>
                <w:color w:val="auto"/>
                <w:kern w:val="0"/>
                <w:szCs w:val="21"/>
                <w:highlight w:val="none"/>
              </w:rPr>
            </w:pPr>
          </w:p>
        </w:tc>
      </w:tr>
      <w:tr w14:paraId="158564E7">
        <w:tblPrEx>
          <w:tblCellMar>
            <w:top w:w="0" w:type="dxa"/>
            <w:left w:w="108" w:type="dxa"/>
            <w:bottom w:w="0" w:type="dxa"/>
            <w:right w:w="108" w:type="dxa"/>
          </w:tblCellMar>
        </w:tblPrEx>
        <w:trPr>
          <w:trHeight w:val="540" w:hRule="atLeast"/>
          <w:jc w:val="center"/>
        </w:trPr>
        <w:tc>
          <w:tcPr>
            <w:tcW w:w="889" w:type="dxa"/>
            <w:tcBorders>
              <w:top w:val="single" w:color="auto" w:sz="4" w:space="0"/>
              <w:left w:val="single" w:color="auto" w:sz="4" w:space="0"/>
              <w:bottom w:val="single" w:color="auto" w:sz="4" w:space="0"/>
              <w:right w:val="single" w:color="auto" w:sz="4" w:space="0"/>
            </w:tcBorders>
            <w:vAlign w:val="center"/>
          </w:tcPr>
          <w:p w14:paraId="062A932F">
            <w:pPr>
              <w:widowControl/>
              <w:jc w:val="center"/>
              <w:textAlignment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12</w:t>
            </w:r>
          </w:p>
        </w:tc>
        <w:tc>
          <w:tcPr>
            <w:tcW w:w="2640" w:type="dxa"/>
            <w:tcBorders>
              <w:top w:val="single" w:color="auto" w:sz="4" w:space="0"/>
              <w:left w:val="single" w:color="auto" w:sz="4" w:space="0"/>
              <w:bottom w:val="single" w:color="auto" w:sz="4" w:space="0"/>
              <w:right w:val="single" w:color="auto" w:sz="4" w:space="0"/>
            </w:tcBorders>
            <w:vAlign w:val="center"/>
          </w:tcPr>
          <w:p w14:paraId="13B53DCF">
            <w:pPr>
              <w:widowControl/>
              <w:jc w:val="center"/>
              <w:textAlignment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防爆围栏</w:t>
            </w:r>
          </w:p>
        </w:tc>
        <w:tc>
          <w:tcPr>
            <w:tcW w:w="1521" w:type="dxa"/>
            <w:tcBorders>
              <w:top w:val="single" w:color="auto" w:sz="4" w:space="0"/>
              <w:left w:val="single" w:color="auto" w:sz="4" w:space="0"/>
              <w:bottom w:val="single" w:color="auto" w:sz="4" w:space="0"/>
              <w:right w:val="single" w:color="auto" w:sz="4" w:space="0"/>
            </w:tcBorders>
            <w:vAlign w:val="center"/>
          </w:tcPr>
          <w:p w14:paraId="36B9A902">
            <w:pPr>
              <w:widowControl/>
              <w:jc w:val="center"/>
              <w:textAlignment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米</w:t>
            </w:r>
          </w:p>
        </w:tc>
        <w:tc>
          <w:tcPr>
            <w:tcW w:w="1725" w:type="dxa"/>
            <w:tcBorders>
              <w:top w:val="single" w:color="auto" w:sz="4" w:space="0"/>
              <w:left w:val="single" w:color="auto" w:sz="4" w:space="0"/>
              <w:bottom w:val="single" w:color="auto" w:sz="4" w:space="0"/>
              <w:right w:val="single" w:color="auto" w:sz="4" w:space="0"/>
            </w:tcBorders>
            <w:vAlign w:val="center"/>
          </w:tcPr>
          <w:p w14:paraId="3A44C5E1">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 xml:space="preserve">18.60 </w:t>
            </w:r>
          </w:p>
        </w:tc>
        <w:tc>
          <w:tcPr>
            <w:tcW w:w="1689" w:type="dxa"/>
            <w:vMerge w:val="continue"/>
            <w:tcBorders>
              <w:left w:val="single" w:color="auto" w:sz="4" w:space="0"/>
              <w:right w:val="single" w:color="auto" w:sz="4" w:space="0"/>
            </w:tcBorders>
            <w:vAlign w:val="center"/>
          </w:tcPr>
          <w:p w14:paraId="4D6DBB6C">
            <w:pPr>
              <w:widowControl/>
              <w:jc w:val="center"/>
              <w:textAlignment w:val="center"/>
              <w:rPr>
                <w:rFonts w:ascii="宋体" w:hAnsi="宋体" w:cs="宋体"/>
                <w:color w:val="auto"/>
                <w:kern w:val="0"/>
                <w:szCs w:val="21"/>
                <w:highlight w:val="none"/>
              </w:rPr>
            </w:pPr>
          </w:p>
        </w:tc>
      </w:tr>
      <w:tr w14:paraId="63DF6395">
        <w:tblPrEx>
          <w:tblCellMar>
            <w:top w:w="0" w:type="dxa"/>
            <w:left w:w="108" w:type="dxa"/>
            <w:bottom w:w="0" w:type="dxa"/>
            <w:right w:w="108" w:type="dxa"/>
          </w:tblCellMar>
        </w:tblPrEx>
        <w:trPr>
          <w:trHeight w:val="540" w:hRule="atLeast"/>
          <w:jc w:val="center"/>
        </w:trPr>
        <w:tc>
          <w:tcPr>
            <w:tcW w:w="889" w:type="dxa"/>
            <w:tcBorders>
              <w:top w:val="single" w:color="auto" w:sz="4" w:space="0"/>
              <w:left w:val="single" w:color="auto" w:sz="4" w:space="0"/>
              <w:bottom w:val="single" w:color="auto" w:sz="4" w:space="0"/>
              <w:right w:val="single" w:color="auto" w:sz="4" w:space="0"/>
            </w:tcBorders>
            <w:vAlign w:val="center"/>
          </w:tcPr>
          <w:p w14:paraId="0C14B096">
            <w:pPr>
              <w:widowControl/>
              <w:jc w:val="center"/>
              <w:textAlignment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13</w:t>
            </w:r>
          </w:p>
        </w:tc>
        <w:tc>
          <w:tcPr>
            <w:tcW w:w="2640" w:type="dxa"/>
            <w:tcBorders>
              <w:top w:val="single" w:color="auto" w:sz="4" w:space="0"/>
              <w:left w:val="single" w:color="auto" w:sz="4" w:space="0"/>
              <w:bottom w:val="single" w:color="auto" w:sz="4" w:space="0"/>
              <w:right w:val="single" w:color="auto" w:sz="4" w:space="0"/>
            </w:tcBorders>
            <w:vAlign w:val="center"/>
          </w:tcPr>
          <w:p w14:paraId="3BA99C16">
            <w:pPr>
              <w:widowControl/>
              <w:jc w:val="center"/>
              <w:textAlignment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2米围栏</w:t>
            </w:r>
          </w:p>
        </w:tc>
        <w:tc>
          <w:tcPr>
            <w:tcW w:w="1521" w:type="dxa"/>
            <w:tcBorders>
              <w:top w:val="single" w:color="auto" w:sz="4" w:space="0"/>
              <w:left w:val="single" w:color="auto" w:sz="4" w:space="0"/>
              <w:bottom w:val="single" w:color="auto" w:sz="4" w:space="0"/>
              <w:right w:val="single" w:color="auto" w:sz="4" w:space="0"/>
            </w:tcBorders>
            <w:vAlign w:val="center"/>
          </w:tcPr>
          <w:p w14:paraId="002A49EC">
            <w:pPr>
              <w:widowControl/>
              <w:jc w:val="center"/>
              <w:textAlignment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米</w:t>
            </w:r>
          </w:p>
        </w:tc>
        <w:tc>
          <w:tcPr>
            <w:tcW w:w="1725" w:type="dxa"/>
            <w:tcBorders>
              <w:top w:val="single" w:color="auto" w:sz="4" w:space="0"/>
              <w:left w:val="single" w:color="auto" w:sz="4" w:space="0"/>
              <w:bottom w:val="single" w:color="auto" w:sz="4" w:space="0"/>
              <w:right w:val="single" w:color="auto" w:sz="4" w:space="0"/>
            </w:tcBorders>
            <w:vAlign w:val="center"/>
          </w:tcPr>
          <w:p w14:paraId="07FF0CD6">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 xml:space="preserve">9.30 </w:t>
            </w:r>
          </w:p>
        </w:tc>
        <w:tc>
          <w:tcPr>
            <w:tcW w:w="1689" w:type="dxa"/>
            <w:vMerge w:val="continue"/>
            <w:tcBorders>
              <w:left w:val="single" w:color="auto" w:sz="4" w:space="0"/>
              <w:right w:val="single" w:color="auto" w:sz="4" w:space="0"/>
            </w:tcBorders>
            <w:vAlign w:val="center"/>
          </w:tcPr>
          <w:p w14:paraId="441FFCDD">
            <w:pPr>
              <w:widowControl/>
              <w:jc w:val="center"/>
              <w:textAlignment w:val="center"/>
              <w:rPr>
                <w:rFonts w:ascii="宋体" w:hAnsi="宋体" w:cs="宋体"/>
                <w:color w:val="auto"/>
                <w:kern w:val="0"/>
                <w:szCs w:val="21"/>
                <w:highlight w:val="none"/>
              </w:rPr>
            </w:pPr>
          </w:p>
        </w:tc>
      </w:tr>
      <w:tr w14:paraId="7D120CF1">
        <w:tblPrEx>
          <w:tblCellMar>
            <w:top w:w="0" w:type="dxa"/>
            <w:left w:w="108" w:type="dxa"/>
            <w:bottom w:w="0" w:type="dxa"/>
            <w:right w:w="108" w:type="dxa"/>
          </w:tblCellMar>
        </w:tblPrEx>
        <w:trPr>
          <w:trHeight w:val="540" w:hRule="atLeast"/>
          <w:jc w:val="center"/>
        </w:trPr>
        <w:tc>
          <w:tcPr>
            <w:tcW w:w="889" w:type="dxa"/>
            <w:tcBorders>
              <w:top w:val="single" w:color="auto" w:sz="4" w:space="0"/>
              <w:left w:val="single" w:color="auto" w:sz="4" w:space="0"/>
              <w:bottom w:val="single" w:color="auto" w:sz="4" w:space="0"/>
              <w:right w:val="single" w:color="auto" w:sz="4" w:space="0"/>
            </w:tcBorders>
            <w:vAlign w:val="center"/>
          </w:tcPr>
          <w:p w14:paraId="1A9F6F50">
            <w:pPr>
              <w:widowControl/>
              <w:jc w:val="center"/>
              <w:textAlignment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14</w:t>
            </w:r>
          </w:p>
        </w:tc>
        <w:tc>
          <w:tcPr>
            <w:tcW w:w="2640" w:type="dxa"/>
            <w:tcBorders>
              <w:top w:val="single" w:color="auto" w:sz="4" w:space="0"/>
              <w:left w:val="single" w:color="auto" w:sz="4" w:space="0"/>
              <w:bottom w:val="single" w:color="auto" w:sz="4" w:space="0"/>
              <w:right w:val="single" w:color="auto" w:sz="4" w:space="0"/>
            </w:tcBorders>
            <w:vAlign w:val="center"/>
          </w:tcPr>
          <w:p w14:paraId="22AC9847">
            <w:pPr>
              <w:widowControl/>
              <w:jc w:val="center"/>
              <w:textAlignment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车底检测系统</w:t>
            </w:r>
          </w:p>
        </w:tc>
        <w:tc>
          <w:tcPr>
            <w:tcW w:w="1521" w:type="dxa"/>
            <w:tcBorders>
              <w:top w:val="single" w:color="auto" w:sz="4" w:space="0"/>
              <w:left w:val="single" w:color="auto" w:sz="4" w:space="0"/>
              <w:bottom w:val="single" w:color="auto" w:sz="4" w:space="0"/>
              <w:right w:val="single" w:color="auto" w:sz="4" w:space="0"/>
            </w:tcBorders>
            <w:vAlign w:val="center"/>
          </w:tcPr>
          <w:p w14:paraId="6367763D">
            <w:pPr>
              <w:widowControl/>
              <w:jc w:val="center"/>
              <w:textAlignment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套</w:t>
            </w:r>
          </w:p>
        </w:tc>
        <w:tc>
          <w:tcPr>
            <w:tcW w:w="1725" w:type="dxa"/>
            <w:tcBorders>
              <w:top w:val="single" w:color="auto" w:sz="4" w:space="0"/>
              <w:left w:val="single" w:color="auto" w:sz="4" w:space="0"/>
              <w:bottom w:val="single" w:color="auto" w:sz="4" w:space="0"/>
              <w:right w:val="single" w:color="auto" w:sz="4" w:space="0"/>
            </w:tcBorders>
            <w:vAlign w:val="center"/>
          </w:tcPr>
          <w:p w14:paraId="1555A0AC">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2066</w:t>
            </w:r>
          </w:p>
        </w:tc>
        <w:tc>
          <w:tcPr>
            <w:tcW w:w="1689" w:type="dxa"/>
            <w:vMerge w:val="continue"/>
            <w:tcBorders>
              <w:left w:val="single" w:color="auto" w:sz="4" w:space="0"/>
              <w:right w:val="single" w:color="auto" w:sz="4" w:space="0"/>
            </w:tcBorders>
            <w:vAlign w:val="center"/>
          </w:tcPr>
          <w:p w14:paraId="4B09699C">
            <w:pPr>
              <w:widowControl/>
              <w:jc w:val="center"/>
              <w:textAlignment w:val="center"/>
              <w:rPr>
                <w:rFonts w:ascii="宋体" w:hAnsi="宋体" w:cs="宋体"/>
                <w:color w:val="auto"/>
                <w:kern w:val="0"/>
                <w:szCs w:val="21"/>
                <w:highlight w:val="none"/>
              </w:rPr>
            </w:pPr>
          </w:p>
        </w:tc>
      </w:tr>
      <w:tr w14:paraId="0C2FDFBF">
        <w:tblPrEx>
          <w:tblCellMar>
            <w:top w:w="0" w:type="dxa"/>
            <w:left w:w="108" w:type="dxa"/>
            <w:bottom w:w="0" w:type="dxa"/>
            <w:right w:w="108" w:type="dxa"/>
          </w:tblCellMar>
        </w:tblPrEx>
        <w:trPr>
          <w:trHeight w:val="540" w:hRule="atLeast"/>
          <w:jc w:val="center"/>
        </w:trPr>
        <w:tc>
          <w:tcPr>
            <w:tcW w:w="889" w:type="dxa"/>
            <w:tcBorders>
              <w:top w:val="single" w:color="auto" w:sz="4" w:space="0"/>
              <w:left w:val="single" w:color="auto" w:sz="4" w:space="0"/>
              <w:bottom w:val="single" w:color="auto" w:sz="4" w:space="0"/>
              <w:right w:val="single" w:color="auto" w:sz="4" w:space="0"/>
            </w:tcBorders>
            <w:vAlign w:val="center"/>
          </w:tcPr>
          <w:p w14:paraId="6FA61489">
            <w:pPr>
              <w:widowControl/>
              <w:jc w:val="center"/>
              <w:textAlignment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15</w:t>
            </w:r>
          </w:p>
        </w:tc>
        <w:tc>
          <w:tcPr>
            <w:tcW w:w="2640" w:type="dxa"/>
            <w:tcBorders>
              <w:top w:val="single" w:color="auto" w:sz="4" w:space="0"/>
              <w:left w:val="single" w:color="auto" w:sz="4" w:space="0"/>
              <w:bottom w:val="single" w:color="auto" w:sz="4" w:space="0"/>
              <w:right w:val="single" w:color="auto" w:sz="4" w:space="0"/>
            </w:tcBorders>
            <w:vAlign w:val="center"/>
          </w:tcPr>
          <w:p w14:paraId="5EEA4081">
            <w:pPr>
              <w:widowControl/>
              <w:jc w:val="center"/>
              <w:textAlignment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柔性阻车系统</w:t>
            </w:r>
          </w:p>
        </w:tc>
        <w:tc>
          <w:tcPr>
            <w:tcW w:w="1521" w:type="dxa"/>
            <w:tcBorders>
              <w:top w:val="single" w:color="auto" w:sz="4" w:space="0"/>
              <w:left w:val="single" w:color="auto" w:sz="4" w:space="0"/>
              <w:bottom w:val="single" w:color="auto" w:sz="4" w:space="0"/>
              <w:right w:val="single" w:color="auto" w:sz="4" w:space="0"/>
            </w:tcBorders>
            <w:vAlign w:val="center"/>
          </w:tcPr>
          <w:p w14:paraId="2018C578">
            <w:pPr>
              <w:widowControl/>
              <w:jc w:val="center"/>
              <w:textAlignment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套</w:t>
            </w:r>
          </w:p>
        </w:tc>
        <w:tc>
          <w:tcPr>
            <w:tcW w:w="1725" w:type="dxa"/>
            <w:tcBorders>
              <w:top w:val="single" w:color="auto" w:sz="4" w:space="0"/>
              <w:left w:val="single" w:color="auto" w:sz="4" w:space="0"/>
              <w:bottom w:val="single" w:color="auto" w:sz="4" w:space="0"/>
              <w:right w:val="single" w:color="auto" w:sz="4" w:space="0"/>
            </w:tcBorders>
            <w:vAlign w:val="center"/>
          </w:tcPr>
          <w:p w14:paraId="6621A586">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2786</w:t>
            </w:r>
          </w:p>
        </w:tc>
        <w:tc>
          <w:tcPr>
            <w:tcW w:w="1689" w:type="dxa"/>
            <w:vMerge w:val="continue"/>
            <w:tcBorders>
              <w:left w:val="single" w:color="auto" w:sz="4" w:space="0"/>
              <w:right w:val="single" w:color="auto" w:sz="4" w:space="0"/>
            </w:tcBorders>
            <w:vAlign w:val="center"/>
          </w:tcPr>
          <w:p w14:paraId="671D0426">
            <w:pPr>
              <w:widowControl/>
              <w:jc w:val="center"/>
              <w:textAlignment w:val="center"/>
              <w:rPr>
                <w:rFonts w:ascii="宋体" w:hAnsi="宋体" w:cs="宋体"/>
                <w:color w:val="auto"/>
                <w:kern w:val="0"/>
                <w:szCs w:val="21"/>
                <w:highlight w:val="none"/>
              </w:rPr>
            </w:pPr>
          </w:p>
        </w:tc>
      </w:tr>
      <w:tr w14:paraId="54E782CE">
        <w:tblPrEx>
          <w:tblCellMar>
            <w:top w:w="0" w:type="dxa"/>
            <w:left w:w="108" w:type="dxa"/>
            <w:bottom w:w="0" w:type="dxa"/>
            <w:right w:w="108" w:type="dxa"/>
          </w:tblCellMar>
        </w:tblPrEx>
        <w:trPr>
          <w:trHeight w:val="540" w:hRule="atLeast"/>
          <w:jc w:val="center"/>
        </w:trPr>
        <w:tc>
          <w:tcPr>
            <w:tcW w:w="889" w:type="dxa"/>
            <w:tcBorders>
              <w:top w:val="single" w:color="auto" w:sz="4" w:space="0"/>
              <w:left w:val="single" w:color="auto" w:sz="4" w:space="0"/>
              <w:bottom w:val="single" w:color="auto" w:sz="4" w:space="0"/>
              <w:right w:val="single" w:color="auto" w:sz="4" w:space="0"/>
            </w:tcBorders>
            <w:vAlign w:val="center"/>
          </w:tcPr>
          <w:p w14:paraId="0609E5F4">
            <w:pPr>
              <w:widowControl/>
              <w:jc w:val="center"/>
              <w:textAlignment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16</w:t>
            </w:r>
          </w:p>
        </w:tc>
        <w:tc>
          <w:tcPr>
            <w:tcW w:w="2640" w:type="dxa"/>
            <w:tcBorders>
              <w:top w:val="single" w:color="auto" w:sz="4" w:space="0"/>
              <w:left w:val="single" w:color="auto" w:sz="4" w:space="0"/>
              <w:bottom w:val="single" w:color="auto" w:sz="4" w:space="0"/>
              <w:right w:val="single" w:color="auto" w:sz="4" w:space="0"/>
            </w:tcBorders>
            <w:vAlign w:val="center"/>
          </w:tcPr>
          <w:p w14:paraId="0E5981C5">
            <w:pPr>
              <w:widowControl/>
              <w:jc w:val="center"/>
              <w:textAlignment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窨井潜望镜</w:t>
            </w:r>
          </w:p>
        </w:tc>
        <w:tc>
          <w:tcPr>
            <w:tcW w:w="1521" w:type="dxa"/>
            <w:tcBorders>
              <w:top w:val="single" w:color="auto" w:sz="4" w:space="0"/>
              <w:left w:val="single" w:color="auto" w:sz="4" w:space="0"/>
              <w:bottom w:val="single" w:color="auto" w:sz="4" w:space="0"/>
              <w:right w:val="single" w:color="auto" w:sz="4" w:space="0"/>
            </w:tcBorders>
            <w:vAlign w:val="center"/>
          </w:tcPr>
          <w:p w14:paraId="3D10F5C0">
            <w:pPr>
              <w:widowControl/>
              <w:jc w:val="center"/>
              <w:textAlignment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台</w:t>
            </w:r>
          </w:p>
        </w:tc>
        <w:tc>
          <w:tcPr>
            <w:tcW w:w="1725" w:type="dxa"/>
            <w:tcBorders>
              <w:top w:val="single" w:color="auto" w:sz="4" w:space="0"/>
              <w:left w:val="single" w:color="auto" w:sz="4" w:space="0"/>
              <w:bottom w:val="single" w:color="auto" w:sz="4" w:space="0"/>
              <w:right w:val="single" w:color="auto" w:sz="4" w:space="0"/>
            </w:tcBorders>
            <w:vAlign w:val="center"/>
          </w:tcPr>
          <w:p w14:paraId="2B5BF33F">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1040</w:t>
            </w:r>
          </w:p>
        </w:tc>
        <w:tc>
          <w:tcPr>
            <w:tcW w:w="1689" w:type="dxa"/>
            <w:vMerge w:val="continue"/>
            <w:tcBorders>
              <w:left w:val="single" w:color="auto" w:sz="4" w:space="0"/>
              <w:right w:val="single" w:color="auto" w:sz="4" w:space="0"/>
            </w:tcBorders>
            <w:vAlign w:val="center"/>
          </w:tcPr>
          <w:p w14:paraId="64938076">
            <w:pPr>
              <w:widowControl/>
              <w:jc w:val="center"/>
              <w:textAlignment w:val="center"/>
              <w:rPr>
                <w:rFonts w:ascii="宋体" w:hAnsi="宋体" w:cs="宋体"/>
                <w:color w:val="auto"/>
                <w:kern w:val="0"/>
                <w:szCs w:val="21"/>
                <w:highlight w:val="none"/>
              </w:rPr>
            </w:pPr>
          </w:p>
        </w:tc>
      </w:tr>
      <w:tr w14:paraId="776B26C4">
        <w:tblPrEx>
          <w:tblCellMar>
            <w:top w:w="0" w:type="dxa"/>
            <w:left w:w="108" w:type="dxa"/>
            <w:bottom w:w="0" w:type="dxa"/>
            <w:right w:w="108" w:type="dxa"/>
          </w:tblCellMar>
        </w:tblPrEx>
        <w:trPr>
          <w:trHeight w:val="540" w:hRule="atLeast"/>
          <w:jc w:val="center"/>
        </w:trPr>
        <w:tc>
          <w:tcPr>
            <w:tcW w:w="889" w:type="dxa"/>
            <w:tcBorders>
              <w:top w:val="single" w:color="auto" w:sz="4" w:space="0"/>
              <w:left w:val="single" w:color="auto" w:sz="4" w:space="0"/>
              <w:bottom w:val="single" w:color="auto" w:sz="4" w:space="0"/>
              <w:right w:val="single" w:color="auto" w:sz="4" w:space="0"/>
            </w:tcBorders>
            <w:vAlign w:val="center"/>
          </w:tcPr>
          <w:p w14:paraId="5DD18445">
            <w:pPr>
              <w:widowControl/>
              <w:jc w:val="center"/>
              <w:textAlignment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17</w:t>
            </w:r>
          </w:p>
        </w:tc>
        <w:tc>
          <w:tcPr>
            <w:tcW w:w="2640" w:type="dxa"/>
            <w:tcBorders>
              <w:top w:val="single" w:color="auto" w:sz="4" w:space="0"/>
              <w:left w:val="single" w:color="auto" w:sz="4" w:space="0"/>
              <w:bottom w:val="single" w:color="auto" w:sz="4" w:space="0"/>
              <w:right w:val="single" w:color="auto" w:sz="4" w:space="0"/>
            </w:tcBorders>
            <w:vAlign w:val="center"/>
          </w:tcPr>
          <w:p w14:paraId="375D8BDC">
            <w:pPr>
              <w:widowControl/>
              <w:jc w:val="center"/>
              <w:textAlignment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炸药探测器</w:t>
            </w:r>
          </w:p>
        </w:tc>
        <w:tc>
          <w:tcPr>
            <w:tcW w:w="1521" w:type="dxa"/>
            <w:tcBorders>
              <w:top w:val="single" w:color="auto" w:sz="4" w:space="0"/>
              <w:left w:val="single" w:color="auto" w:sz="4" w:space="0"/>
              <w:bottom w:val="single" w:color="auto" w:sz="4" w:space="0"/>
              <w:right w:val="single" w:color="auto" w:sz="4" w:space="0"/>
            </w:tcBorders>
            <w:vAlign w:val="center"/>
          </w:tcPr>
          <w:p w14:paraId="09E766EB">
            <w:pPr>
              <w:widowControl/>
              <w:jc w:val="center"/>
              <w:textAlignment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台</w:t>
            </w:r>
          </w:p>
        </w:tc>
        <w:tc>
          <w:tcPr>
            <w:tcW w:w="1725" w:type="dxa"/>
            <w:tcBorders>
              <w:top w:val="single" w:color="auto" w:sz="4" w:space="0"/>
              <w:left w:val="single" w:color="auto" w:sz="4" w:space="0"/>
              <w:bottom w:val="single" w:color="auto" w:sz="4" w:space="0"/>
              <w:right w:val="single" w:color="auto" w:sz="4" w:space="0"/>
            </w:tcBorders>
            <w:vAlign w:val="center"/>
          </w:tcPr>
          <w:p w14:paraId="45E5FA11">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1857</w:t>
            </w:r>
          </w:p>
        </w:tc>
        <w:tc>
          <w:tcPr>
            <w:tcW w:w="1689" w:type="dxa"/>
            <w:vMerge w:val="continue"/>
            <w:tcBorders>
              <w:left w:val="single" w:color="auto" w:sz="4" w:space="0"/>
              <w:right w:val="single" w:color="auto" w:sz="4" w:space="0"/>
            </w:tcBorders>
            <w:vAlign w:val="center"/>
          </w:tcPr>
          <w:p w14:paraId="364C2560">
            <w:pPr>
              <w:widowControl/>
              <w:jc w:val="center"/>
              <w:textAlignment w:val="center"/>
              <w:rPr>
                <w:rFonts w:ascii="宋体" w:hAnsi="宋体" w:cs="宋体"/>
                <w:color w:val="auto"/>
                <w:kern w:val="0"/>
                <w:szCs w:val="21"/>
                <w:highlight w:val="none"/>
              </w:rPr>
            </w:pPr>
          </w:p>
        </w:tc>
      </w:tr>
      <w:tr w14:paraId="0BE1731E">
        <w:tblPrEx>
          <w:tblCellMar>
            <w:top w:w="0" w:type="dxa"/>
            <w:left w:w="108" w:type="dxa"/>
            <w:bottom w:w="0" w:type="dxa"/>
            <w:right w:w="108" w:type="dxa"/>
          </w:tblCellMar>
        </w:tblPrEx>
        <w:trPr>
          <w:trHeight w:val="540" w:hRule="atLeast"/>
          <w:jc w:val="center"/>
        </w:trPr>
        <w:tc>
          <w:tcPr>
            <w:tcW w:w="889" w:type="dxa"/>
            <w:tcBorders>
              <w:top w:val="single" w:color="auto" w:sz="4" w:space="0"/>
              <w:left w:val="single" w:color="auto" w:sz="4" w:space="0"/>
              <w:bottom w:val="single" w:color="auto" w:sz="4" w:space="0"/>
              <w:right w:val="single" w:color="auto" w:sz="4" w:space="0"/>
            </w:tcBorders>
            <w:vAlign w:val="center"/>
          </w:tcPr>
          <w:p w14:paraId="4865E741">
            <w:pPr>
              <w:widowControl/>
              <w:jc w:val="center"/>
              <w:textAlignment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18</w:t>
            </w:r>
          </w:p>
        </w:tc>
        <w:tc>
          <w:tcPr>
            <w:tcW w:w="2640" w:type="dxa"/>
            <w:tcBorders>
              <w:top w:val="single" w:color="auto" w:sz="4" w:space="0"/>
              <w:left w:val="single" w:color="auto" w:sz="4" w:space="0"/>
              <w:bottom w:val="single" w:color="auto" w:sz="4" w:space="0"/>
              <w:right w:val="single" w:color="auto" w:sz="4" w:space="0"/>
            </w:tcBorders>
            <w:vAlign w:val="center"/>
          </w:tcPr>
          <w:p w14:paraId="1D9DAE4F">
            <w:pPr>
              <w:widowControl/>
              <w:jc w:val="center"/>
              <w:textAlignment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液体检查仪</w:t>
            </w:r>
          </w:p>
        </w:tc>
        <w:tc>
          <w:tcPr>
            <w:tcW w:w="1521" w:type="dxa"/>
            <w:tcBorders>
              <w:top w:val="single" w:color="auto" w:sz="4" w:space="0"/>
              <w:left w:val="single" w:color="auto" w:sz="4" w:space="0"/>
              <w:bottom w:val="single" w:color="auto" w:sz="4" w:space="0"/>
              <w:right w:val="single" w:color="auto" w:sz="4" w:space="0"/>
            </w:tcBorders>
            <w:vAlign w:val="center"/>
          </w:tcPr>
          <w:p w14:paraId="20153491">
            <w:pPr>
              <w:widowControl/>
              <w:jc w:val="center"/>
              <w:textAlignment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台</w:t>
            </w:r>
          </w:p>
        </w:tc>
        <w:tc>
          <w:tcPr>
            <w:tcW w:w="1725" w:type="dxa"/>
            <w:tcBorders>
              <w:top w:val="single" w:color="auto" w:sz="4" w:space="0"/>
              <w:left w:val="single" w:color="auto" w:sz="4" w:space="0"/>
              <w:bottom w:val="single" w:color="auto" w:sz="4" w:space="0"/>
              <w:right w:val="single" w:color="auto" w:sz="4" w:space="0"/>
            </w:tcBorders>
            <w:vAlign w:val="center"/>
          </w:tcPr>
          <w:p w14:paraId="7B0BDBB9">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1300</w:t>
            </w:r>
          </w:p>
        </w:tc>
        <w:tc>
          <w:tcPr>
            <w:tcW w:w="1689" w:type="dxa"/>
            <w:vMerge w:val="continue"/>
            <w:tcBorders>
              <w:left w:val="single" w:color="auto" w:sz="4" w:space="0"/>
              <w:right w:val="single" w:color="auto" w:sz="4" w:space="0"/>
            </w:tcBorders>
            <w:vAlign w:val="center"/>
          </w:tcPr>
          <w:p w14:paraId="7FC39368">
            <w:pPr>
              <w:widowControl/>
              <w:jc w:val="center"/>
              <w:textAlignment w:val="center"/>
              <w:rPr>
                <w:rFonts w:ascii="宋体" w:hAnsi="宋体" w:cs="宋体"/>
                <w:color w:val="auto"/>
                <w:kern w:val="0"/>
                <w:szCs w:val="21"/>
                <w:highlight w:val="none"/>
              </w:rPr>
            </w:pPr>
          </w:p>
        </w:tc>
      </w:tr>
      <w:tr w14:paraId="12EC1DD4">
        <w:tblPrEx>
          <w:tblCellMar>
            <w:top w:w="0" w:type="dxa"/>
            <w:left w:w="108" w:type="dxa"/>
            <w:bottom w:w="0" w:type="dxa"/>
            <w:right w:w="108" w:type="dxa"/>
          </w:tblCellMar>
        </w:tblPrEx>
        <w:trPr>
          <w:trHeight w:val="540" w:hRule="atLeast"/>
          <w:jc w:val="center"/>
        </w:trPr>
        <w:tc>
          <w:tcPr>
            <w:tcW w:w="889" w:type="dxa"/>
            <w:tcBorders>
              <w:top w:val="single" w:color="auto" w:sz="4" w:space="0"/>
              <w:left w:val="single" w:color="auto" w:sz="4" w:space="0"/>
              <w:bottom w:val="single" w:color="auto" w:sz="4" w:space="0"/>
              <w:right w:val="single" w:color="auto" w:sz="4" w:space="0"/>
            </w:tcBorders>
            <w:vAlign w:val="center"/>
          </w:tcPr>
          <w:p w14:paraId="7EE78887">
            <w:pPr>
              <w:widowControl/>
              <w:jc w:val="center"/>
              <w:textAlignment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19</w:t>
            </w:r>
          </w:p>
        </w:tc>
        <w:tc>
          <w:tcPr>
            <w:tcW w:w="2640" w:type="dxa"/>
            <w:tcBorders>
              <w:top w:val="single" w:color="auto" w:sz="4" w:space="0"/>
              <w:left w:val="single" w:color="auto" w:sz="4" w:space="0"/>
              <w:bottom w:val="single" w:color="auto" w:sz="4" w:space="0"/>
              <w:right w:val="single" w:color="auto" w:sz="4" w:space="0"/>
            </w:tcBorders>
            <w:vAlign w:val="center"/>
          </w:tcPr>
          <w:p w14:paraId="78F51E66">
            <w:pPr>
              <w:widowControl/>
              <w:jc w:val="center"/>
              <w:textAlignment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安检大篷</w:t>
            </w:r>
          </w:p>
        </w:tc>
        <w:tc>
          <w:tcPr>
            <w:tcW w:w="1521" w:type="dxa"/>
            <w:tcBorders>
              <w:top w:val="single" w:color="auto" w:sz="4" w:space="0"/>
              <w:left w:val="single" w:color="auto" w:sz="4" w:space="0"/>
              <w:bottom w:val="single" w:color="auto" w:sz="4" w:space="0"/>
              <w:right w:val="single" w:color="auto" w:sz="4" w:space="0"/>
            </w:tcBorders>
            <w:vAlign w:val="center"/>
          </w:tcPr>
          <w:p w14:paraId="617BDD93">
            <w:pPr>
              <w:widowControl/>
              <w:jc w:val="center"/>
              <w:textAlignment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顶</w:t>
            </w:r>
          </w:p>
        </w:tc>
        <w:tc>
          <w:tcPr>
            <w:tcW w:w="1725" w:type="dxa"/>
            <w:tcBorders>
              <w:top w:val="single" w:color="auto" w:sz="4" w:space="0"/>
              <w:left w:val="single" w:color="auto" w:sz="4" w:space="0"/>
              <w:bottom w:val="single" w:color="auto" w:sz="4" w:space="0"/>
              <w:right w:val="single" w:color="auto" w:sz="4" w:space="0"/>
            </w:tcBorders>
            <w:vAlign w:val="center"/>
          </w:tcPr>
          <w:p w14:paraId="7FDFCC5F">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5571</w:t>
            </w:r>
          </w:p>
        </w:tc>
        <w:tc>
          <w:tcPr>
            <w:tcW w:w="1689" w:type="dxa"/>
            <w:vMerge w:val="continue"/>
            <w:tcBorders>
              <w:left w:val="single" w:color="auto" w:sz="4" w:space="0"/>
              <w:right w:val="single" w:color="auto" w:sz="4" w:space="0"/>
            </w:tcBorders>
            <w:vAlign w:val="center"/>
          </w:tcPr>
          <w:p w14:paraId="2794457F">
            <w:pPr>
              <w:widowControl/>
              <w:jc w:val="center"/>
              <w:textAlignment w:val="center"/>
              <w:rPr>
                <w:rFonts w:ascii="宋体" w:hAnsi="宋体" w:cs="宋体"/>
                <w:color w:val="auto"/>
                <w:kern w:val="0"/>
                <w:szCs w:val="21"/>
                <w:highlight w:val="none"/>
              </w:rPr>
            </w:pPr>
          </w:p>
        </w:tc>
      </w:tr>
      <w:tr w14:paraId="0EC5D9BB">
        <w:tblPrEx>
          <w:tblCellMar>
            <w:top w:w="0" w:type="dxa"/>
            <w:left w:w="108" w:type="dxa"/>
            <w:bottom w:w="0" w:type="dxa"/>
            <w:right w:w="108" w:type="dxa"/>
          </w:tblCellMar>
        </w:tblPrEx>
        <w:trPr>
          <w:trHeight w:val="540" w:hRule="atLeast"/>
          <w:jc w:val="center"/>
        </w:trPr>
        <w:tc>
          <w:tcPr>
            <w:tcW w:w="889" w:type="dxa"/>
            <w:tcBorders>
              <w:top w:val="single" w:color="auto" w:sz="4" w:space="0"/>
              <w:left w:val="single" w:color="auto" w:sz="4" w:space="0"/>
              <w:bottom w:val="single" w:color="auto" w:sz="4" w:space="0"/>
              <w:right w:val="single" w:color="auto" w:sz="4" w:space="0"/>
            </w:tcBorders>
            <w:vAlign w:val="center"/>
          </w:tcPr>
          <w:p w14:paraId="69E007F6">
            <w:pPr>
              <w:widowControl/>
              <w:jc w:val="center"/>
              <w:textAlignment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20</w:t>
            </w:r>
          </w:p>
        </w:tc>
        <w:tc>
          <w:tcPr>
            <w:tcW w:w="2640" w:type="dxa"/>
            <w:tcBorders>
              <w:top w:val="single" w:color="auto" w:sz="4" w:space="0"/>
              <w:left w:val="single" w:color="auto" w:sz="4" w:space="0"/>
              <w:bottom w:val="single" w:color="auto" w:sz="4" w:space="0"/>
              <w:right w:val="single" w:color="auto" w:sz="4" w:space="0"/>
            </w:tcBorders>
            <w:vAlign w:val="center"/>
          </w:tcPr>
          <w:p w14:paraId="27F6B8AC">
            <w:pPr>
              <w:widowControl/>
              <w:jc w:val="center"/>
              <w:textAlignment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安检大篷</w:t>
            </w:r>
          </w:p>
        </w:tc>
        <w:tc>
          <w:tcPr>
            <w:tcW w:w="1521" w:type="dxa"/>
            <w:tcBorders>
              <w:top w:val="single" w:color="auto" w:sz="4" w:space="0"/>
              <w:left w:val="single" w:color="auto" w:sz="4" w:space="0"/>
              <w:bottom w:val="single" w:color="auto" w:sz="4" w:space="0"/>
              <w:right w:val="single" w:color="auto" w:sz="4" w:space="0"/>
            </w:tcBorders>
            <w:vAlign w:val="center"/>
          </w:tcPr>
          <w:p w14:paraId="33BB5D81">
            <w:pPr>
              <w:widowControl/>
              <w:jc w:val="center"/>
              <w:textAlignment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顶</w:t>
            </w:r>
          </w:p>
        </w:tc>
        <w:tc>
          <w:tcPr>
            <w:tcW w:w="1725" w:type="dxa"/>
            <w:tcBorders>
              <w:top w:val="single" w:color="auto" w:sz="4" w:space="0"/>
              <w:left w:val="single" w:color="auto" w:sz="4" w:space="0"/>
              <w:bottom w:val="single" w:color="auto" w:sz="4" w:space="0"/>
              <w:right w:val="single" w:color="auto" w:sz="4" w:space="0"/>
            </w:tcBorders>
            <w:vAlign w:val="center"/>
          </w:tcPr>
          <w:p w14:paraId="56D57F93">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4643</w:t>
            </w:r>
          </w:p>
        </w:tc>
        <w:tc>
          <w:tcPr>
            <w:tcW w:w="1689" w:type="dxa"/>
            <w:vMerge w:val="continue"/>
            <w:tcBorders>
              <w:left w:val="single" w:color="auto" w:sz="4" w:space="0"/>
              <w:right w:val="single" w:color="auto" w:sz="4" w:space="0"/>
            </w:tcBorders>
            <w:vAlign w:val="center"/>
          </w:tcPr>
          <w:p w14:paraId="282CB05A">
            <w:pPr>
              <w:widowControl/>
              <w:jc w:val="center"/>
              <w:textAlignment w:val="center"/>
              <w:rPr>
                <w:rFonts w:ascii="宋体" w:hAnsi="宋体" w:cs="宋体"/>
                <w:color w:val="auto"/>
                <w:kern w:val="0"/>
                <w:szCs w:val="21"/>
                <w:highlight w:val="none"/>
              </w:rPr>
            </w:pPr>
          </w:p>
        </w:tc>
      </w:tr>
      <w:tr w14:paraId="47334824">
        <w:tblPrEx>
          <w:tblCellMar>
            <w:top w:w="0" w:type="dxa"/>
            <w:left w:w="108" w:type="dxa"/>
            <w:bottom w:w="0" w:type="dxa"/>
            <w:right w:w="108" w:type="dxa"/>
          </w:tblCellMar>
        </w:tblPrEx>
        <w:trPr>
          <w:trHeight w:val="540" w:hRule="atLeast"/>
          <w:jc w:val="center"/>
        </w:trPr>
        <w:tc>
          <w:tcPr>
            <w:tcW w:w="889" w:type="dxa"/>
            <w:tcBorders>
              <w:top w:val="single" w:color="auto" w:sz="4" w:space="0"/>
              <w:left w:val="single" w:color="auto" w:sz="4" w:space="0"/>
              <w:bottom w:val="single" w:color="auto" w:sz="4" w:space="0"/>
              <w:right w:val="single" w:color="auto" w:sz="4" w:space="0"/>
            </w:tcBorders>
            <w:vAlign w:val="center"/>
          </w:tcPr>
          <w:p w14:paraId="23D43751">
            <w:pPr>
              <w:widowControl/>
              <w:jc w:val="center"/>
              <w:textAlignment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21</w:t>
            </w:r>
          </w:p>
        </w:tc>
        <w:tc>
          <w:tcPr>
            <w:tcW w:w="2640" w:type="dxa"/>
            <w:tcBorders>
              <w:top w:val="single" w:color="auto" w:sz="4" w:space="0"/>
              <w:left w:val="single" w:color="auto" w:sz="4" w:space="0"/>
              <w:bottom w:val="single" w:color="auto" w:sz="4" w:space="0"/>
              <w:right w:val="single" w:color="auto" w:sz="4" w:space="0"/>
            </w:tcBorders>
            <w:vAlign w:val="center"/>
          </w:tcPr>
          <w:p w14:paraId="68E31777">
            <w:pPr>
              <w:widowControl/>
              <w:jc w:val="center"/>
              <w:textAlignment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安检大篷</w:t>
            </w:r>
          </w:p>
        </w:tc>
        <w:tc>
          <w:tcPr>
            <w:tcW w:w="1521" w:type="dxa"/>
            <w:tcBorders>
              <w:top w:val="single" w:color="auto" w:sz="4" w:space="0"/>
              <w:left w:val="single" w:color="auto" w:sz="4" w:space="0"/>
              <w:bottom w:val="single" w:color="auto" w:sz="4" w:space="0"/>
              <w:right w:val="single" w:color="auto" w:sz="4" w:space="0"/>
            </w:tcBorders>
            <w:vAlign w:val="center"/>
          </w:tcPr>
          <w:p w14:paraId="423FB5E3">
            <w:pPr>
              <w:widowControl/>
              <w:jc w:val="center"/>
              <w:textAlignment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顶</w:t>
            </w:r>
          </w:p>
        </w:tc>
        <w:tc>
          <w:tcPr>
            <w:tcW w:w="1725" w:type="dxa"/>
            <w:tcBorders>
              <w:top w:val="single" w:color="auto" w:sz="4" w:space="0"/>
              <w:left w:val="single" w:color="auto" w:sz="4" w:space="0"/>
              <w:bottom w:val="single" w:color="auto" w:sz="4" w:space="0"/>
              <w:right w:val="single" w:color="auto" w:sz="4" w:space="0"/>
            </w:tcBorders>
            <w:vAlign w:val="center"/>
          </w:tcPr>
          <w:p w14:paraId="21846CE5">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929</w:t>
            </w:r>
          </w:p>
        </w:tc>
        <w:tc>
          <w:tcPr>
            <w:tcW w:w="1689" w:type="dxa"/>
            <w:vMerge w:val="continue"/>
            <w:tcBorders>
              <w:left w:val="single" w:color="auto" w:sz="4" w:space="0"/>
              <w:right w:val="single" w:color="auto" w:sz="4" w:space="0"/>
            </w:tcBorders>
            <w:vAlign w:val="center"/>
          </w:tcPr>
          <w:p w14:paraId="53356A6F">
            <w:pPr>
              <w:widowControl/>
              <w:jc w:val="center"/>
              <w:textAlignment w:val="center"/>
              <w:rPr>
                <w:rFonts w:ascii="宋体" w:hAnsi="宋体" w:cs="宋体"/>
                <w:color w:val="auto"/>
                <w:kern w:val="0"/>
                <w:szCs w:val="21"/>
                <w:highlight w:val="none"/>
              </w:rPr>
            </w:pPr>
          </w:p>
        </w:tc>
      </w:tr>
      <w:tr w14:paraId="03564BF0">
        <w:tblPrEx>
          <w:tblCellMar>
            <w:top w:w="0" w:type="dxa"/>
            <w:left w:w="108" w:type="dxa"/>
            <w:bottom w:w="0" w:type="dxa"/>
            <w:right w:w="108" w:type="dxa"/>
          </w:tblCellMar>
        </w:tblPrEx>
        <w:trPr>
          <w:trHeight w:val="540" w:hRule="atLeast"/>
          <w:jc w:val="center"/>
        </w:trPr>
        <w:tc>
          <w:tcPr>
            <w:tcW w:w="889" w:type="dxa"/>
            <w:tcBorders>
              <w:top w:val="single" w:color="auto" w:sz="4" w:space="0"/>
              <w:left w:val="single" w:color="auto" w:sz="4" w:space="0"/>
              <w:bottom w:val="single" w:color="auto" w:sz="4" w:space="0"/>
              <w:right w:val="single" w:color="auto" w:sz="4" w:space="0"/>
            </w:tcBorders>
            <w:vAlign w:val="center"/>
          </w:tcPr>
          <w:p w14:paraId="62413A41">
            <w:pPr>
              <w:widowControl/>
              <w:jc w:val="center"/>
              <w:textAlignment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22</w:t>
            </w:r>
          </w:p>
        </w:tc>
        <w:tc>
          <w:tcPr>
            <w:tcW w:w="2640" w:type="dxa"/>
            <w:tcBorders>
              <w:top w:val="single" w:color="auto" w:sz="4" w:space="0"/>
              <w:left w:val="single" w:color="auto" w:sz="4" w:space="0"/>
              <w:bottom w:val="single" w:color="auto" w:sz="4" w:space="0"/>
              <w:right w:val="single" w:color="auto" w:sz="4" w:space="0"/>
            </w:tcBorders>
            <w:vAlign w:val="center"/>
          </w:tcPr>
          <w:p w14:paraId="0D049941">
            <w:pPr>
              <w:widowControl/>
              <w:jc w:val="center"/>
              <w:textAlignment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多功能光学天棚检查镜</w:t>
            </w:r>
          </w:p>
        </w:tc>
        <w:tc>
          <w:tcPr>
            <w:tcW w:w="1521" w:type="dxa"/>
            <w:tcBorders>
              <w:top w:val="single" w:color="auto" w:sz="4" w:space="0"/>
              <w:left w:val="single" w:color="auto" w:sz="4" w:space="0"/>
              <w:bottom w:val="single" w:color="auto" w:sz="4" w:space="0"/>
              <w:right w:val="single" w:color="auto" w:sz="4" w:space="0"/>
            </w:tcBorders>
            <w:vAlign w:val="center"/>
          </w:tcPr>
          <w:p w14:paraId="12EBECBF">
            <w:pPr>
              <w:widowControl/>
              <w:jc w:val="center"/>
              <w:textAlignment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支</w:t>
            </w:r>
          </w:p>
        </w:tc>
        <w:tc>
          <w:tcPr>
            <w:tcW w:w="1725" w:type="dxa"/>
            <w:tcBorders>
              <w:top w:val="single" w:color="auto" w:sz="4" w:space="0"/>
              <w:left w:val="single" w:color="auto" w:sz="4" w:space="0"/>
              <w:bottom w:val="single" w:color="auto" w:sz="4" w:space="0"/>
              <w:right w:val="single" w:color="auto" w:sz="4" w:space="0"/>
            </w:tcBorders>
            <w:vAlign w:val="center"/>
          </w:tcPr>
          <w:p w14:paraId="34DBACB4">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130</w:t>
            </w:r>
          </w:p>
        </w:tc>
        <w:tc>
          <w:tcPr>
            <w:tcW w:w="1689" w:type="dxa"/>
            <w:vMerge w:val="continue"/>
            <w:tcBorders>
              <w:left w:val="single" w:color="auto" w:sz="4" w:space="0"/>
              <w:right w:val="single" w:color="auto" w:sz="4" w:space="0"/>
            </w:tcBorders>
            <w:vAlign w:val="center"/>
          </w:tcPr>
          <w:p w14:paraId="54AA063D">
            <w:pPr>
              <w:widowControl/>
              <w:jc w:val="center"/>
              <w:textAlignment w:val="center"/>
              <w:rPr>
                <w:rFonts w:ascii="宋体" w:hAnsi="宋体" w:cs="宋体"/>
                <w:color w:val="auto"/>
                <w:kern w:val="0"/>
                <w:szCs w:val="21"/>
                <w:highlight w:val="none"/>
              </w:rPr>
            </w:pPr>
          </w:p>
        </w:tc>
      </w:tr>
      <w:tr w14:paraId="0298AE2A">
        <w:tblPrEx>
          <w:tblCellMar>
            <w:top w:w="0" w:type="dxa"/>
            <w:left w:w="108" w:type="dxa"/>
            <w:bottom w:w="0" w:type="dxa"/>
            <w:right w:w="108" w:type="dxa"/>
          </w:tblCellMar>
        </w:tblPrEx>
        <w:trPr>
          <w:trHeight w:val="540" w:hRule="atLeast"/>
          <w:jc w:val="center"/>
        </w:trPr>
        <w:tc>
          <w:tcPr>
            <w:tcW w:w="889" w:type="dxa"/>
            <w:tcBorders>
              <w:top w:val="single" w:color="auto" w:sz="4" w:space="0"/>
              <w:left w:val="single" w:color="auto" w:sz="4" w:space="0"/>
              <w:bottom w:val="single" w:color="auto" w:sz="4" w:space="0"/>
              <w:right w:val="single" w:color="auto" w:sz="4" w:space="0"/>
            </w:tcBorders>
            <w:vAlign w:val="center"/>
          </w:tcPr>
          <w:p w14:paraId="42D2EFD9">
            <w:pPr>
              <w:widowControl/>
              <w:jc w:val="center"/>
              <w:textAlignment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23</w:t>
            </w:r>
          </w:p>
        </w:tc>
        <w:tc>
          <w:tcPr>
            <w:tcW w:w="2640" w:type="dxa"/>
            <w:tcBorders>
              <w:top w:val="single" w:color="auto" w:sz="4" w:space="0"/>
              <w:left w:val="single" w:color="auto" w:sz="4" w:space="0"/>
              <w:bottom w:val="single" w:color="auto" w:sz="4" w:space="0"/>
              <w:right w:val="single" w:color="auto" w:sz="4" w:space="0"/>
            </w:tcBorders>
            <w:vAlign w:val="center"/>
          </w:tcPr>
          <w:p w14:paraId="77A79E3D">
            <w:pPr>
              <w:widowControl/>
              <w:jc w:val="center"/>
              <w:textAlignment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电子听音器</w:t>
            </w:r>
          </w:p>
        </w:tc>
        <w:tc>
          <w:tcPr>
            <w:tcW w:w="1521" w:type="dxa"/>
            <w:tcBorders>
              <w:top w:val="single" w:color="auto" w:sz="4" w:space="0"/>
              <w:left w:val="single" w:color="auto" w:sz="4" w:space="0"/>
              <w:bottom w:val="single" w:color="auto" w:sz="4" w:space="0"/>
              <w:right w:val="single" w:color="auto" w:sz="4" w:space="0"/>
            </w:tcBorders>
            <w:vAlign w:val="center"/>
          </w:tcPr>
          <w:p w14:paraId="1FB03FF6">
            <w:pPr>
              <w:widowControl/>
              <w:jc w:val="center"/>
              <w:textAlignment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套</w:t>
            </w:r>
          </w:p>
        </w:tc>
        <w:tc>
          <w:tcPr>
            <w:tcW w:w="1725" w:type="dxa"/>
            <w:tcBorders>
              <w:top w:val="single" w:color="auto" w:sz="4" w:space="0"/>
              <w:left w:val="single" w:color="auto" w:sz="4" w:space="0"/>
              <w:bottom w:val="single" w:color="auto" w:sz="4" w:space="0"/>
              <w:right w:val="single" w:color="auto" w:sz="4" w:space="0"/>
            </w:tcBorders>
            <w:vAlign w:val="center"/>
          </w:tcPr>
          <w:p w14:paraId="526A95A7">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929</w:t>
            </w:r>
          </w:p>
        </w:tc>
        <w:tc>
          <w:tcPr>
            <w:tcW w:w="1689" w:type="dxa"/>
            <w:vMerge w:val="continue"/>
            <w:tcBorders>
              <w:left w:val="single" w:color="auto" w:sz="4" w:space="0"/>
              <w:right w:val="single" w:color="auto" w:sz="4" w:space="0"/>
            </w:tcBorders>
            <w:vAlign w:val="center"/>
          </w:tcPr>
          <w:p w14:paraId="67F4186E">
            <w:pPr>
              <w:widowControl/>
              <w:jc w:val="center"/>
              <w:textAlignment w:val="center"/>
              <w:rPr>
                <w:rFonts w:ascii="宋体" w:hAnsi="宋体" w:cs="宋体"/>
                <w:color w:val="auto"/>
                <w:kern w:val="0"/>
                <w:szCs w:val="21"/>
                <w:highlight w:val="none"/>
              </w:rPr>
            </w:pPr>
          </w:p>
        </w:tc>
      </w:tr>
      <w:tr w14:paraId="30F25EF3">
        <w:tblPrEx>
          <w:tblCellMar>
            <w:top w:w="0" w:type="dxa"/>
            <w:left w:w="108" w:type="dxa"/>
            <w:bottom w:w="0" w:type="dxa"/>
            <w:right w:w="108" w:type="dxa"/>
          </w:tblCellMar>
        </w:tblPrEx>
        <w:trPr>
          <w:trHeight w:val="540" w:hRule="atLeast"/>
          <w:jc w:val="center"/>
        </w:trPr>
        <w:tc>
          <w:tcPr>
            <w:tcW w:w="889" w:type="dxa"/>
            <w:tcBorders>
              <w:top w:val="single" w:color="auto" w:sz="4" w:space="0"/>
              <w:left w:val="single" w:color="auto" w:sz="4" w:space="0"/>
              <w:bottom w:val="single" w:color="auto" w:sz="4" w:space="0"/>
              <w:right w:val="single" w:color="auto" w:sz="4" w:space="0"/>
            </w:tcBorders>
            <w:vAlign w:val="center"/>
          </w:tcPr>
          <w:p w14:paraId="4F38F772">
            <w:pPr>
              <w:widowControl/>
              <w:jc w:val="center"/>
              <w:textAlignment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24</w:t>
            </w:r>
          </w:p>
        </w:tc>
        <w:tc>
          <w:tcPr>
            <w:tcW w:w="2640" w:type="dxa"/>
            <w:tcBorders>
              <w:top w:val="single" w:color="auto" w:sz="4" w:space="0"/>
              <w:left w:val="single" w:color="auto" w:sz="4" w:space="0"/>
              <w:bottom w:val="single" w:color="auto" w:sz="4" w:space="0"/>
              <w:right w:val="single" w:color="auto" w:sz="4" w:space="0"/>
            </w:tcBorders>
            <w:vAlign w:val="center"/>
          </w:tcPr>
          <w:p w14:paraId="720D799F">
            <w:pPr>
              <w:widowControl/>
              <w:jc w:val="center"/>
              <w:textAlignment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多功能节点探测仪</w:t>
            </w:r>
          </w:p>
        </w:tc>
        <w:tc>
          <w:tcPr>
            <w:tcW w:w="1521" w:type="dxa"/>
            <w:tcBorders>
              <w:top w:val="single" w:color="auto" w:sz="4" w:space="0"/>
              <w:left w:val="single" w:color="auto" w:sz="4" w:space="0"/>
              <w:bottom w:val="single" w:color="auto" w:sz="4" w:space="0"/>
              <w:right w:val="single" w:color="auto" w:sz="4" w:space="0"/>
            </w:tcBorders>
            <w:vAlign w:val="center"/>
          </w:tcPr>
          <w:p w14:paraId="7FBE79F7">
            <w:pPr>
              <w:widowControl/>
              <w:jc w:val="center"/>
              <w:textAlignment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套</w:t>
            </w:r>
          </w:p>
        </w:tc>
        <w:tc>
          <w:tcPr>
            <w:tcW w:w="1725" w:type="dxa"/>
            <w:tcBorders>
              <w:top w:val="single" w:color="auto" w:sz="4" w:space="0"/>
              <w:left w:val="single" w:color="auto" w:sz="4" w:space="0"/>
              <w:bottom w:val="single" w:color="auto" w:sz="4" w:space="0"/>
              <w:right w:val="single" w:color="auto" w:sz="4" w:space="0"/>
            </w:tcBorders>
            <w:vAlign w:val="center"/>
          </w:tcPr>
          <w:p w14:paraId="08E410C4">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2229</w:t>
            </w:r>
          </w:p>
        </w:tc>
        <w:tc>
          <w:tcPr>
            <w:tcW w:w="1689" w:type="dxa"/>
            <w:vMerge w:val="continue"/>
            <w:tcBorders>
              <w:left w:val="single" w:color="auto" w:sz="4" w:space="0"/>
              <w:right w:val="single" w:color="auto" w:sz="4" w:space="0"/>
            </w:tcBorders>
            <w:vAlign w:val="center"/>
          </w:tcPr>
          <w:p w14:paraId="6013D468">
            <w:pPr>
              <w:widowControl/>
              <w:jc w:val="center"/>
              <w:textAlignment w:val="center"/>
              <w:rPr>
                <w:rFonts w:ascii="宋体" w:hAnsi="宋体" w:cs="宋体"/>
                <w:color w:val="auto"/>
                <w:kern w:val="0"/>
                <w:szCs w:val="21"/>
                <w:highlight w:val="none"/>
              </w:rPr>
            </w:pPr>
          </w:p>
        </w:tc>
      </w:tr>
      <w:tr w14:paraId="07A1CA25">
        <w:tblPrEx>
          <w:tblCellMar>
            <w:top w:w="0" w:type="dxa"/>
            <w:left w:w="108" w:type="dxa"/>
            <w:bottom w:w="0" w:type="dxa"/>
            <w:right w:w="108" w:type="dxa"/>
          </w:tblCellMar>
        </w:tblPrEx>
        <w:trPr>
          <w:trHeight w:val="540" w:hRule="atLeast"/>
          <w:jc w:val="center"/>
        </w:trPr>
        <w:tc>
          <w:tcPr>
            <w:tcW w:w="889" w:type="dxa"/>
            <w:tcBorders>
              <w:top w:val="single" w:color="auto" w:sz="4" w:space="0"/>
              <w:left w:val="single" w:color="auto" w:sz="4" w:space="0"/>
              <w:bottom w:val="single" w:color="auto" w:sz="4" w:space="0"/>
              <w:right w:val="single" w:color="auto" w:sz="4" w:space="0"/>
            </w:tcBorders>
            <w:vAlign w:val="center"/>
          </w:tcPr>
          <w:p w14:paraId="2489F97A">
            <w:pPr>
              <w:widowControl/>
              <w:jc w:val="center"/>
              <w:textAlignment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25</w:t>
            </w:r>
          </w:p>
        </w:tc>
        <w:tc>
          <w:tcPr>
            <w:tcW w:w="2640" w:type="dxa"/>
            <w:tcBorders>
              <w:top w:val="single" w:color="auto" w:sz="4" w:space="0"/>
              <w:left w:val="single" w:color="auto" w:sz="4" w:space="0"/>
              <w:bottom w:val="single" w:color="auto" w:sz="4" w:space="0"/>
              <w:right w:val="single" w:color="auto" w:sz="4" w:space="0"/>
            </w:tcBorders>
            <w:vAlign w:val="center"/>
          </w:tcPr>
          <w:p w14:paraId="536EAEFC">
            <w:pPr>
              <w:widowControl/>
              <w:jc w:val="center"/>
              <w:textAlignment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强光手电</w:t>
            </w:r>
          </w:p>
        </w:tc>
        <w:tc>
          <w:tcPr>
            <w:tcW w:w="1521" w:type="dxa"/>
            <w:tcBorders>
              <w:top w:val="single" w:color="auto" w:sz="4" w:space="0"/>
              <w:left w:val="single" w:color="auto" w:sz="4" w:space="0"/>
              <w:bottom w:val="single" w:color="auto" w:sz="4" w:space="0"/>
              <w:right w:val="single" w:color="auto" w:sz="4" w:space="0"/>
            </w:tcBorders>
            <w:vAlign w:val="center"/>
          </w:tcPr>
          <w:p w14:paraId="32F22133">
            <w:pPr>
              <w:widowControl/>
              <w:jc w:val="center"/>
              <w:textAlignment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支</w:t>
            </w:r>
          </w:p>
        </w:tc>
        <w:tc>
          <w:tcPr>
            <w:tcW w:w="1725" w:type="dxa"/>
            <w:tcBorders>
              <w:top w:val="single" w:color="auto" w:sz="4" w:space="0"/>
              <w:left w:val="single" w:color="auto" w:sz="4" w:space="0"/>
              <w:bottom w:val="single" w:color="auto" w:sz="4" w:space="0"/>
              <w:right w:val="single" w:color="auto" w:sz="4" w:space="0"/>
            </w:tcBorders>
            <w:vAlign w:val="center"/>
          </w:tcPr>
          <w:p w14:paraId="6EAB367A">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4</w:t>
            </w:r>
          </w:p>
        </w:tc>
        <w:tc>
          <w:tcPr>
            <w:tcW w:w="1689" w:type="dxa"/>
            <w:vMerge w:val="continue"/>
            <w:tcBorders>
              <w:left w:val="single" w:color="auto" w:sz="4" w:space="0"/>
              <w:right w:val="single" w:color="auto" w:sz="4" w:space="0"/>
            </w:tcBorders>
            <w:vAlign w:val="center"/>
          </w:tcPr>
          <w:p w14:paraId="3F34FD52">
            <w:pPr>
              <w:widowControl/>
              <w:jc w:val="center"/>
              <w:textAlignment w:val="center"/>
              <w:rPr>
                <w:rFonts w:ascii="宋体" w:hAnsi="宋体" w:cs="宋体"/>
                <w:color w:val="auto"/>
                <w:kern w:val="0"/>
                <w:szCs w:val="21"/>
                <w:highlight w:val="none"/>
              </w:rPr>
            </w:pPr>
          </w:p>
        </w:tc>
      </w:tr>
      <w:tr w14:paraId="1CB9CE5D">
        <w:tblPrEx>
          <w:tblCellMar>
            <w:top w:w="0" w:type="dxa"/>
            <w:left w:w="108" w:type="dxa"/>
            <w:bottom w:w="0" w:type="dxa"/>
            <w:right w:w="108" w:type="dxa"/>
          </w:tblCellMar>
        </w:tblPrEx>
        <w:trPr>
          <w:trHeight w:val="540" w:hRule="atLeast"/>
          <w:jc w:val="center"/>
        </w:trPr>
        <w:tc>
          <w:tcPr>
            <w:tcW w:w="889" w:type="dxa"/>
            <w:tcBorders>
              <w:top w:val="single" w:color="auto" w:sz="4" w:space="0"/>
              <w:left w:val="single" w:color="auto" w:sz="4" w:space="0"/>
              <w:bottom w:val="single" w:color="auto" w:sz="4" w:space="0"/>
              <w:right w:val="single" w:color="auto" w:sz="4" w:space="0"/>
            </w:tcBorders>
            <w:vAlign w:val="center"/>
          </w:tcPr>
          <w:p w14:paraId="50B95A6E">
            <w:pPr>
              <w:widowControl/>
              <w:jc w:val="center"/>
              <w:textAlignment w:val="center"/>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26</w:t>
            </w:r>
          </w:p>
        </w:tc>
        <w:tc>
          <w:tcPr>
            <w:tcW w:w="2640" w:type="dxa"/>
            <w:tcBorders>
              <w:top w:val="single" w:color="auto" w:sz="4" w:space="0"/>
              <w:left w:val="single" w:color="auto" w:sz="4" w:space="0"/>
              <w:bottom w:val="single" w:color="auto" w:sz="4" w:space="0"/>
              <w:right w:val="single" w:color="auto" w:sz="4" w:space="0"/>
            </w:tcBorders>
            <w:vAlign w:val="center"/>
          </w:tcPr>
          <w:p w14:paraId="558253EB">
            <w:pPr>
              <w:widowControl/>
              <w:jc w:val="center"/>
              <w:textAlignment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软管窥镜</w:t>
            </w:r>
          </w:p>
        </w:tc>
        <w:tc>
          <w:tcPr>
            <w:tcW w:w="1521" w:type="dxa"/>
            <w:tcBorders>
              <w:top w:val="single" w:color="auto" w:sz="4" w:space="0"/>
              <w:left w:val="single" w:color="auto" w:sz="4" w:space="0"/>
              <w:bottom w:val="single" w:color="auto" w:sz="4" w:space="0"/>
              <w:right w:val="single" w:color="auto" w:sz="4" w:space="0"/>
            </w:tcBorders>
            <w:vAlign w:val="center"/>
          </w:tcPr>
          <w:p w14:paraId="500589DE">
            <w:pPr>
              <w:widowControl/>
              <w:jc w:val="center"/>
              <w:textAlignment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套</w:t>
            </w:r>
          </w:p>
        </w:tc>
        <w:tc>
          <w:tcPr>
            <w:tcW w:w="1725" w:type="dxa"/>
            <w:tcBorders>
              <w:top w:val="single" w:color="auto" w:sz="4" w:space="0"/>
              <w:left w:val="single" w:color="auto" w:sz="4" w:space="0"/>
              <w:bottom w:val="single" w:color="auto" w:sz="4" w:space="0"/>
              <w:right w:val="single" w:color="auto" w:sz="4" w:space="0"/>
            </w:tcBorders>
            <w:vAlign w:val="center"/>
          </w:tcPr>
          <w:p w14:paraId="03181CB3">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500</w:t>
            </w:r>
          </w:p>
        </w:tc>
        <w:tc>
          <w:tcPr>
            <w:tcW w:w="1689" w:type="dxa"/>
            <w:vMerge w:val="continue"/>
            <w:tcBorders>
              <w:left w:val="single" w:color="auto" w:sz="4" w:space="0"/>
              <w:right w:val="single" w:color="auto" w:sz="4" w:space="0"/>
            </w:tcBorders>
            <w:vAlign w:val="center"/>
          </w:tcPr>
          <w:p w14:paraId="51C978B7">
            <w:pPr>
              <w:widowControl/>
              <w:jc w:val="center"/>
              <w:textAlignment w:val="center"/>
              <w:rPr>
                <w:rFonts w:ascii="宋体" w:hAnsi="宋体" w:cs="宋体"/>
                <w:color w:val="auto"/>
                <w:kern w:val="0"/>
                <w:szCs w:val="21"/>
                <w:highlight w:val="none"/>
              </w:rPr>
            </w:pPr>
          </w:p>
        </w:tc>
      </w:tr>
      <w:tr w14:paraId="25E6399A">
        <w:tblPrEx>
          <w:tblCellMar>
            <w:top w:w="0" w:type="dxa"/>
            <w:left w:w="108" w:type="dxa"/>
            <w:bottom w:w="0" w:type="dxa"/>
            <w:right w:w="108" w:type="dxa"/>
          </w:tblCellMar>
        </w:tblPrEx>
        <w:trPr>
          <w:trHeight w:val="540" w:hRule="atLeast"/>
          <w:jc w:val="center"/>
        </w:trPr>
        <w:tc>
          <w:tcPr>
            <w:tcW w:w="889" w:type="dxa"/>
            <w:tcBorders>
              <w:top w:val="single" w:color="auto" w:sz="4" w:space="0"/>
              <w:left w:val="single" w:color="auto" w:sz="4" w:space="0"/>
              <w:bottom w:val="single" w:color="auto" w:sz="4" w:space="0"/>
              <w:right w:val="single" w:color="auto" w:sz="4" w:space="0"/>
            </w:tcBorders>
            <w:vAlign w:val="center"/>
          </w:tcPr>
          <w:p w14:paraId="78A75318">
            <w:pPr>
              <w:widowControl/>
              <w:jc w:val="center"/>
              <w:textAlignment w:val="center"/>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27</w:t>
            </w:r>
          </w:p>
        </w:tc>
        <w:tc>
          <w:tcPr>
            <w:tcW w:w="2640" w:type="dxa"/>
            <w:tcBorders>
              <w:top w:val="single" w:color="auto" w:sz="4" w:space="0"/>
              <w:left w:val="single" w:color="auto" w:sz="4" w:space="0"/>
              <w:bottom w:val="single" w:color="auto" w:sz="4" w:space="0"/>
              <w:right w:val="single" w:color="auto" w:sz="4" w:space="0"/>
            </w:tcBorders>
            <w:vAlign w:val="center"/>
          </w:tcPr>
          <w:p w14:paraId="3AEC9629">
            <w:pPr>
              <w:widowControl/>
              <w:jc w:val="center"/>
              <w:textAlignment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安检无人机</w:t>
            </w:r>
          </w:p>
        </w:tc>
        <w:tc>
          <w:tcPr>
            <w:tcW w:w="1521" w:type="dxa"/>
            <w:tcBorders>
              <w:top w:val="single" w:color="auto" w:sz="4" w:space="0"/>
              <w:left w:val="single" w:color="auto" w:sz="4" w:space="0"/>
              <w:bottom w:val="single" w:color="auto" w:sz="4" w:space="0"/>
              <w:right w:val="single" w:color="auto" w:sz="4" w:space="0"/>
            </w:tcBorders>
            <w:vAlign w:val="center"/>
          </w:tcPr>
          <w:p w14:paraId="4C217EA8">
            <w:pPr>
              <w:widowControl/>
              <w:jc w:val="center"/>
              <w:textAlignment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套</w:t>
            </w:r>
          </w:p>
        </w:tc>
        <w:tc>
          <w:tcPr>
            <w:tcW w:w="1725" w:type="dxa"/>
            <w:tcBorders>
              <w:top w:val="single" w:color="auto" w:sz="4" w:space="0"/>
              <w:left w:val="single" w:color="auto" w:sz="4" w:space="0"/>
              <w:bottom w:val="single" w:color="auto" w:sz="4" w:space="0"/>
              <w:right w:val="single" w:color="auto" w:sz="4" w:space="0"/>
            </w:tcBorders>
            <w:vAlign w:val="center"/>
          </w:tcPr>
          <w:p w14:paraId="2B29819E">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500</w:t>
            </w:r>
          </w:p>
        </w:tc>
        <w:tc>
          <w:tcPr>
            <w:tcW w:w="1689" w:type="dxa"/>
            <w:vMerge w:val="continue"/>
            <w:tcBorders>
              <w:left w:val="single" w:color="auto" w:sz="4" w:space="0"/>
              <w:bottom w:val="single" w:color="auto" w:sz="4" w:space="0"/>
              <w:right w:val="single" w:color="auto" w:sz="4" w:space="0"/>
            </w:tcBorders>
            <w:vAlign w:val="center"/>
          </w:tcPr>
          <w:p w14:paraId="6C7B2A5C">
            <w:pPr>
              <w:widowControl/>
              <w:jc w:val="center"/>
              <w:textAlignment w:val="center"/>
              <w:rPr>
                <w:rFonts w:ascii="宋体" w:hAnsi="宋体" w:cs="宋体"/>
                <w:color w:val="auto"/>
                <w:kern w:val="0"/>
                <w:szCs w:val="21"/>
                <w:highlight w:val="none"/>
              </w:rPr>
            </w:pPr>
          </w:p>
        </w:tc>
      </w:tr>
    </w:tbl>
    <w:p w14:paraId="70CD63BE">
      <w:pPr>
        <w:spacing w:line="360" w:lineRule="auto"/>
        <w:rPr>
          <w:rFonts w:hint="eastAsia" w:eastAsia="宋体"/>
          <w:color w:val="auto"/>
          <w:highlight w:val="none"/>
          <w:lang w:val="en-US" w:eastAsia="zh-CN"/>
        </w:rPr>
      </w:pPr>
      <w:r>
        <w:rPr>
          <w:rFonts w:hint="eastAsia"/>
          <w:color w:val="auto"/>
          <w:highlight w:val="none"/>
          <w:lang w:val="en-US" w:eastAsia="zh-CN"/>
        </w:rPr>
        <w:t>注：此表中优惠率应与“报价一览表”一致。表中项目内容严格按照“采购需求”进行填报，如表中出现漏项漏报或超过最高限价，其投标文件作废标处理。</w:t>
      </w:r>
    </w:p>
    <w:p w14:paraId="073ABF3E">
      <w:pPr>
        <w:pStyle w:val="16"/>
        <w:spacing w:line="360" w:lineRule="auto"/>
        <w:ind w:firstLine="420" w:firstLineChars="200"/>
        <w:rPr>
          <w:rFonts w:hAnsi="宋体" w:cs="Times New Roman"/>
          <w:color w:val="auto"/>
        </w:rPr>
      </w:pPr>
    </w:p>
    <w:p w14:paraId="286424E3">
      <w:pPr>
        <w:spacing w:line="360" w:lineRule="auto"/>
        <w:ind w:firstLine="850" w:firstLineChars="405"/>
        <w:rPr>
          <w:rFonts w:ascii="宋体" w:hAnsi="宋体"/>
          <w:color w:val="auto"/>
          <w:szCs w:val="21"/>
          <w:highlight w:val="none"/>
        </w:rPr>
      </w:pPr>
      <w:r>
        <w:rPr>
          <w:rFonts w:ascii="宋体" w:hAnsi="宋体"/>
          <w:color w:val="auto"/>
          <w:szCs w:val="21"/>
          <w:highlight w:val="none"/>
        </w:rPr>
        <w:t>投标人（</w:t>
      </w:r>
      <w:r>
        <w:rPr>
          <w:rFonts w:hint="eastAsia" w:ascii="宋体" w:hAnsi="宋体"/>
          <w:color w:val="auto"/>
          <w:szCs w:val="21"/>
          <w:highlight w:val="none"/>
          <w:lang w:eastAsia="zh-CN"/>
        </w:rPr>
        <w:t>电子签章</w:t>
      </w:r>
      <w:r>
        <w:rPr>
          <w:rFonts w:ascii="宋体" w:hAnsi="宋体"/>
          <w:color w:val="auto"/>
          <w:szCs w:val="21"/>
          <w:highlight w:val="none"/>
        </w:rPr>
        <w:t>）：</w:t>
      </w:r>
      <w:r>
        <w:rPr>
          <w:rFonts w:ascii="宋体" w:hAnsi="宋体"/>
          <w:color w:val="auto"/>
          <w:szCs w:val="21"/>
          <w:highlight w:val="none"/>
          <w:u w:val="single"/>
        </w:rPr>
        <w:t>　　　　　　　　　　　　</w:t>
      </w:r>
    </w:p>
    <w:p w14:paraId="3EF53972">
      <w:pPr>
        <w:spacing w:line="360" w:lineRule="auto"/>
        <w:ind w:firstLine="850" w:firstLineChars="405"/>
        <w:rPr>
          <w:rFonts w:ascii="宋体" w:hAnsi="宋体"/>
          <w:color w:val="auto"/>
          <w:szCs w:val="21"/>
          <w:highlight w:val="none"/>
        </w:rPr>
      </w:pPr>
      <w:r>
        <w:rPr>
          <w:rFonts w:ascii="宋体" w:hAnsi="宋体"/>
          <w:color w:val="auto"/>
          <w:szCs w:val="21"/>
          <w:highlight w:val="none"/>
        </w:rPr>
        <w:t>法定代表人或其委托代理人（</w:t>
      </w:r>
      <w:r>
        <w:rPr>
          <w:rFonts w:hint="eastAsia" w:ascii="宋体" w:hAnsi="宋体"/>
          <w:color w:val="auto"/>
          <w:szCs w:val="21"/>
          <w:highlight w:val="none"/>
          <w:lang w:eastAsia="zh-CN"/>
        </w:rPr>
        <w:t>电子签章</w:t>
      </w:r>
      <w:r>
        <w:rPr>
          <w:rFonts w:hint="eastAsia" w:ascii="宋体" w:hAnsi="宋体"/>
          <w:color w:val="auto"/>
          <w:szCs w:val="21"/>
          <w:highlight w:val="none"/>
          <w:lang w:val="en-US" w:eastAsia="zh-CN"/>
        </w:rPr>
        <w:t>或签名</w:t>
      </w:r>
      <w:r>
        <w:rPr>
          <w:rFonts w:ascii="宋体" w:hAnsi="宋体"/>
          <w:color w:val="auto"/>
          <w:szCs w:val="21"/>
          <w:highlight w:val="none"/>
        </w:rPr>
        <w:t>）：</w:t>
      </w:r>
      <w:r>
        <w:rPr>
          <w:rFonts w:ascii="宋体" w:hAnsi="宋体"/>
          <w:color w:val="auto"/>
          <w:szCs w:val="21"/>
          <w:highlight w:val="none"/>
          <w:u w:val="single"/>
        </w:rPr>
        <w:t>　　　　　　　　　　</w:t>
      </w:r>
    </w:p>
    <w:p w14:paraId="4E1D513D">
      <w:pPr>
        <w:pStyle w:val="16"/>
        <w:spacing w:line="360" w:lineRule="auto"/>
        <w:ind w:firstLine="850" w:firstLineChars="405"/>
        <w:rPr>
          <w:rFonts w:hAnsi="宋体"/>
          <w:b/>
          <w:color w:val="auto"/>
          <w:sz w:val="28"/>
          <w:szCs w:val="28"/>
          <w:highlight w:val="none"/>
        </w:rPr>
        <w:sectPr>
          <w:pgSz w:w="11906" w:h="16838"/>
          <w:pgMar w:top="1418" w:right="1418" w:bottom="1418" w:left="1418" w:header="720" w:footer="624" w:gutter="0"/>
          <w:pgBorders>
            <w:top w:val="none" w:sz="0" w:space="0"/>
            <w:left w:val="none" w:sz="0" w:space="0"/>
            <w:bottom w:val="none" w:sz="0" w:space="0"/>
            <w:right w:val="none" w:sz="0" w:space="0"/>
          </w:pgBorders>
          <w:cols w:space="720" w:num="1"/>
          <w:titlePg/>
          <w:docGrid w:type="linesAndChars" w:linePitch="331" w:charSpace="0"/>
        </w:sectPr>
      </w:pPr>
      <w:r>
        <w:rPr>
          <w:rFonts w:hAnsi="宋体"/>
          <w:color w:val="auto"/>
          <w:szCs w:val="21"/>
          <w:highlight w:val="none"/>
        </w:rPr>
        <w:t>日期：</w:t>
      </w:r>
      <w:r>
        <w:rPr>
          <w:rFonts w:hAnsi="宋体"/>
          <w:color w:val="auto"/>
          <w:szCs w:val="21"/>
          <w:highlight w:val="none"/>
          <w:u w:val="single"/>
        </w:rPr>
        <w:t>　　　</w:t>
      </w:r>
      <w:r>
        <w:rPr>
          <w:rFonts w:hAnsi="宋体"/>
          <w:color w:val="auto"/>
          <w:szCs w:val="21"/>
          <w:highlight w:val="none"/>
        </w:rPr>
        <w:t>年</w:t>
      </w:r>
      <w:r>
        <w:rPr>
          <w:rFonts w:hAnsi="宋体"/>
          <w:color w:val="auto"/>
          <w:szCs w:val="21"/>
          <w:highlight w:val="none"/>
          <w:u w:val="single"/>
        </w:rPr>
        <w:t>　　</w:t>
      </w:r>
      <w:r>
        <w:rPr>
          <w:rFonts w:hAnsi="宋体"/>
          <w:color w:val="auto"/>
          <w:szCs w:val="21"/>
          <w:highlight w:val="none"/>
        </w:rPr>
        <w:t>月</w:t>
      </w:r>
      <w:r>
        <w:rPr>
          <w:rFonts w:hAnsi="宋体"/>
          <w:color w:val="auto"/>
          <w:szCs w:val="21"/>
          <w:highlight w:val="none"/>
          <w:u w:val="single"/>
        </w:rPr>
        <w:t>　　</w:t>
      </w:r>
      <w:r>
        <w:rPr>
          <w:rFonts w:hAnsi="宋体"/>
          <w:color w:val="auto"/>
          <w:szCs w:val="21"/>
          <w:highlight w:val="none"/>
        </w:rPr>
        <w:t>日</w:t>
      </w:r>
    </w:p>
    <w:p w14:paraId="78871A65">
      <w:pPr>
        <w:rPr>
          <w:rFonts w:ascii="宋体" w:hAnsi="宋体"/>
          <w:b/>
          <w:color w:val="auto"/>
          <w:kern w:val="0"/>
          <w:sz w:val="32"/>
          <w:szCs w:val="21"/>
          <w:highlight w:val="none"/>
        </w:rPr>
      </w:pPr>
      <w:bookmarkStart w:id="128" w:name="_Toc272421896"/>
      <w:bookmarkStart w:id="129" w:name="_Toc205017032"/>
    </w:p>
    <w:p w14:paraId="30C6F19E">
      <w:pPr>
        <w:jc w:val="both"/>
        <w:rPr>
          <w:rFonts w:hint="eastAsia" w:ascii="宋体" w:hAnsi="宋体" w:eastAsia="宋体" w:cs="Times New Roman"/>
          <w:b/>
          <w:color w:val="auto"/>
          <w:kern w:val="0"/>
          <w:sz w:val="32"/>
          <w:szCs w:val="21"/>
          <w:highlight w:val="none"/>
          <w:lang w:val="en-US"/>
        </w:rPr>
      </w:pPr>
      <w:r>
        <w:rPr>
          <w:rFonts w:hint="eastAsia" w:hAnsi="宋体"/>
          <w:b/>
          <w:color w:val="auto"/>
          <w:sz w:val="28"/>
          <w:szCs w:val="28"/>
          <w:highlight w:val="none"/>
        </w:rPr>
        <w:t>格</w:t>
      </w:r>
      <w:r>
        <w:rPr>
          <w:rFonts w:hint="eastAsia" w:ascii="宋体" w:hAnsi="宋体" w:eastAsia="宋体" w:cs="Times New Roman"/>
          <w:b/>
          <w:color w:val="auto"/>
          <w:kern w:val="0"/>
          <w:sz w:val="32"/>
          <w:szCs w:val="21"/>
          <w:highlight w:val="none"/>
          <w:lang w:val="en-US"/>
        </w:rPr>
        <w:t>式</w:t>
      </w:r>
      <w:r>
        <w:rPr>
          <w:rFonts w:hint="eastAsia" w:ascii="宋体" w:hAnsi="宋体" w:cs="Times New Roman"/>
          <w:b/>
          <w:color w:val="auto"/>
          <w:kern w:val="0"/>
          <w:sz w:val="32"/>
          <w:szCs w:val="21"/>
          <w:highlight w:val="none"/>
          <w:lang w:val="en-US" w:eastAsia="zh-CN"/>
        </w:rPr>
        <w:t>3</w:t>
      </w:r>
      <w:r>
        <w:rPr>
          <w:rFonts w:hint="eastAsia" w:ascii="宋体" w:hAnsi="宋体" w:eastAsia="宋体" w:cs="Times New Roman"/>
          <w:b/>
          <w:color w:val="auto"/>
          <w:kern w:val="0"/>
          <w:sz w:val="32"/>
          <w:szCs w:val="21"/>
          <w:highlight w:val="none"/>
          <w:lang w:val="en-US"/>
        </w:rPr>
        <w:t>：</w:t>
      </w:r>
    </w:p>
    <w:p w14:paraId="29E41821">
      <w:pPr>
        <w:numPr>
          <w:ilvl w:val="2"/>
          <w:numId w:val="0"/>
        </w:numPr>
        <w:tabs>
          <w:tab w:val="left" w:pos="900"/>
        </w:tabs>
        <w:adjustRightInd w:val="0"/>
        <w:spacing w:line="360" w:lineRule="auto"/>
        <w:jc w:val="center"/>
        <w:textAlignment w:val="baseline"/>
        <w:outlineLvl w:val="2"/>
        <w:rPr>
          <w:rFonts w:ascii="宋体" w:hAnsi="宋体"/>
          <w:b/>
          <w:color w:val="auto"/>
          <w:kern w:val="0"/>
          <w:sz w:val="32"/>
          <w:szCs w:val="21"/>
          <w:highlight w:val="none"/>
        </w:rPr>
      </w:pPr>
      <w:bookmarkStart w:id="130" w:name="_Toc348010004"/>
      <w:r>
        <w:rPr>
          <w:rFonts w:ascii="宋体" w:hAnsi="宋体"/>
          <w:b/>
          <w:color w:val="auto"/>
          <w:kern w:val="0"/>
          <w:sz w:val="32"/>
          <w:szCs w:val="21"/>
          <w:highlight w:val="none"/>
        </w:rPr>
        <w:t>商务条款偏离表</w:t>
      </w:r>
    </w:p>
    <w:p w14:paraId="444628DB">
      <w:pPr>
        <w:pStyle w:val="16"/>
        <w:spacing w:line="400" w:lineRule="exact"/>
        <w:ind w:firstLine="420" w:firstLineChars="200"/>
        <w:rPr>
          <w:rFonts w:hAnsi="宋体"/>
          <w:color w:val="auto"/>
          <w:szCs w:val="21"/>
          <w:highlight w:val="none"/>
        </w:rPr>
      </w:pPr>
      <w:r>
        <w:rPr>
          <w:rFonts w:hint="eastAsia" w:hAnsi="宋体"/>
          <w:color w:val="auto"/>
          <w:szCs w:val="21"/>
          <w:highlight w:val="none"/>
        </w:rPr>
        <w:t>投标人须逐条对应招标文件中要求的商务条款，认真填写该表。</w:t>
      </w:r>
    </w:p>
    <w:p w14:paraId="6269D7A7">
      <w:pPr>
        <w:pStyle w:val="16"/>
        <w:spacing w:line="360" w:lineRule="auto"/>
        <w:ind w:firstLine="424" w:firstLineChars="202"/>
        <w:rPr>
          <w:rFonts w:hAnsi="宋体"/>
          <w:b/>
          <w:color w:val="auto"/>
          <w:szCs w:val="21"/>
          <w:highlight w:val="none"/>
        </w:rPr>
      </w:pPr>
      <w:r>
        <w:rPr>
          <w:rFonts w:hint="eastAsia" w:hAnsi="宋体"/>
          <w:color w:val="auto"/>
          <w:szCs w:val="21"/>
          <w:highlight w:val="none"/>
        </w:rPr>
        <w:t>商务条款是指：招标文件第五章《</w:t>
      </w:r>
      <w:r>
        <w:rPr>
          <w:rFonts w:hint="eastAsia" w:hAnsi="宋体"/>
          <w:b/>
          <w:color w:val="auto"/>
          <w:szCs w:val="21"/>
          <w:highlight w:val="none"/>
          <w:lang w:eastAsia="zh-CN"/>
        </w:rPr>
        <w:t>采购需求</w:t>
      </w:r>
      <w:r>
        <w:rPr>
          <w:rFonts w:hint="eastAsia" w:hAnsi="宋体"/>
          <w:color w:val="auto"/>
          <w:szCs w:val="21"/>
          <w:highlight w:val="none"/>
        </w:rPr>
        <w:t>》和第三章《</w:t>
      </w:r>
      <w:r>
        <w:rPr>
          <w:rFonts w:hint="eastAsia" w:hAnsi="宋体"/>
          <w:b/>
          <w:bCs/>
          <w:color w:val="auto"/>
          <w:szCs w:val="21"/>
          <w:highlight w:val="none"/>
        </w:rPr>
        <w:t>合同条款前附表》</w:t>
      </w:r>
      <w:r>
        <w:rPr>
          <w:rFonts w:hint="eastAsia" w:hAnsi="宋体"/>
          <w:color w:val="auto"/>
          <w:szCs w:val="21"/>
          <w:highlight w:val="none"/>
        </w:rPr>
        <w:t>中要求的</w:t>
      </w:r>
      <w:r>
        <w:rPr>
          <w:rFonts w:hint="eastAsia" w:hAnsi="宋体"/>
          <w:b/>
          <w:color w:val="auto"/>
          <w:szCs w:val="21"/>
          <w:highlight w:val="none"/>
        </w:rPr>
        <w:t>合同履行期限、</w:t>
      </w:r>
      <w:r>
        <w:rPr>
          <w:rFonts w:hint="eastAsia" w:hAnsi="宋体"/>
          <w:b/>
          <w:color w:val="auto"/>
          <w:szCs w:val="21"/>
          <w:highlight w:val="none"/>
          <w:lang w:val="en-US" w:eastAsia="zh-CN"/>
        </w:rPr>
        <w:t>服务地点</w:t>
      </w:r>
      <w:r>
        <w:rPr>
          <w:rFonts w:hint="eastAsia" w:hAnsi="宋体"/>
          <w:b/>
          <w:color w:val="auto"/>
          <w:szCs w:val="21"/>
          <w:highlight w:val="none"/>
        </w:rPr>
        <w:t>、质量</w:t>
      </w:r>
      <w:r>
        <w:rPr>
          <w:rFonts w:hint="eastAsia" w:hAnsi="宋体"/>
          <w:b/>
          <w:color w:val="auto"/>
          <w:szCs w:val="21"/>
          <w:highlight w:val="none"/>
          <w:lang w:val="en-US" w:eastAsia="zh-CN"/>
        </w:rPr>
        <w:t>标准</w:t>
      </w:r>
      <w:r>
        <w:rPr>
          <w:rFonts w:hint="eastAsia" w:hAnsi="宋体"/>
          <w:b/>
          <w:color w:val="auto"/>
          <w:szCs w:val="21"/>
          <w:highlight w:val="none"/>
        </w:rPr>
        <w:t>、</w:t>
      </w:r>
      <w:r>
        <w:rPr>
          <w:rFonts w:hint="eastAsia" w:hAnsi="宋体"/>
          <w:b/>
          <w:color w:val="auto"/>
          <w:szCs w:val="21"/>
          <w:highlight w:val="none"/>
          <w:lang w:val="en-US" w:eastAsia="zh-CN"/>
        </w:rPr>
        <w:t>付款方式</w:t>
      </w:r>
      <w:r>
        <w:rPr>
          <w:rFonts w:hint="eastAsia" w:hAnsi="宋体"/>
          <w:b/>
          <w:bCs/>
          <w:color w:val="auto"/>
          <w:szCs w:val="21"/>
          <w:highlight w:val="none"/>
        </w:rPr>
        <w:t>等</w:t>
      </w:r>
      <w:r>
        <w:rPr>
          <w:rFonts w:hint="eastAsia" w:hAnsi="宋体"/>
          <w:b/>
          <w:color w:val="auto"/>
          <w:szCs w:val="21"/>
          <w:highlight w:val="none"/>
        </w:rPr>
        <w:t>要求。</w:t>
      </w:r>
    </w:p>
    <w:p w14:paraId="6DEFFCD9">
      <w:pPr>
        <w:pStyle w:val="16"/>
        <w:spacing w:line="360" w:lineRule="auto"/>
        <w:ind w:firstLine="420" w:firstLineChars="200"/>
        <w:rPr>
          <w:rFonts w:hAnsi="宋体"/>
          <w:b/>
          <w:color w:val="auto"/>
          <w:szCs w:val="21"/>
          <w:highlight w:val="none"/>
          <w:u w:val="single"/>
        </w:rPr>
      </w:pPr>
      <w:r>
        <w:rPr>
          <w:rFonts w:hAnsi="宋体"/>
          <w:b/>
          <w:color w:val="auto"/>
          <w:szCs w:val="21"/>
          <w:highlight w:val="none"/>
        </w:rPr>
        <w:t>项目名称：</w:t>
      </w:r>
      <w:r>
        <w:rPr>
          <w:rFonts w:hint="eastAsia" w:hAnsi="宋体"/>
          <w:b/>
          <w:color w:val="auto"/>
          <w:szCs w:val="21"/>
          <w:highlight w:val="none"/>
          <w:u w:val="single"/>
        </w:rPr>
        <w:t xml:space="preserve"> </w:t>
      </w:r>
      <w:r>
        <w:rPr>
          <w:rFonts w:hAnsi="宋体"/>
          <w:b/>
          <w:color w:val="auto"/>
          <w:szCs w:val="21"/>
          <w:highlight w:val="none"/>
          <w:u w:val="single"/>
        </w:rPr>
        <w:t xml:space="preserve">               </w:t>
      </w:r>
      <w:r>
        <w:rPr>
          <w:rFonts w:hAnsi="宋体"/>
          <w:b/>
          <w:color w:val="auto"/>
          <w:szCs w:val="21"/>
          <w:highlight w:val="none"/>
        </w:rPr>
        <w:t xml:space="preserve">                                 </w:t>
      </w:r>
    </w:p>
    <w:tbl>
      <w:tblPr>
        <w:tblStyle w:val="32"/>
        <w:tblW w:w="967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60"/>
        <w:gridCol w:w="3296"/>
        <w:gridCol w:w="2926"/>
        <w:gridCol w:w="1739"/>
        <w:gridCol w:w="1057"/>
      </w:tblGrid>
      <w:tr w14:paraId="7AAFFC1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598" w:hRule="atLeast"/>
          <w:jc w:val="center"/>
        </w:trPr>
        <w:tc>
          <w:tcPr>
            <w:tcW w:w="660" w:type="dxa"/>
            <w:vAlign w:val="center"/>
          </w:tcPr>
          <w:p w14:paraId="36C472D4">
            <w:pPr>
              <w:pStyle w:val="16"/>
              <w:spacing w:line="360" w:lineRule="auto"/>
              <w:jc w:val="center"/>
              <w:rPr>
                <w:rFonts w:hAnsi="宋体"/>
                <w:b/>
                <w:color w:val="auto"/>
                <w:szCs w:val="21"/>
                <w:highlight w:val="none"/>
              </w:rPr>
            </w:pPr>
            <w:r>
              <w:rPr>
                <w:rFonts w:hAnsi="宋体"/>
                <w:b/>
                <w:color w:val="auto"/>
                <w:szCs w:val="21"/>
                <w:highlight w:val="none"/>
              </w:rPr>
              <w:t>序号</w:t>
            </w:r>
          </w:p>
        </w:tc>
        <w:tc>
          <w:tcPr>
            <w:tcW w:w="3296" w:type="dxa"/>
            <w:vAlign w:val="center"/>
          </w:tcPr>
          <w:p w14:paraId="33A7D3ED">
            <w:pPr>
              <w:pStyle w:val="16"/>
              <w:spacing w:line="360" w:lineRule="auto"/>
              <w:jc w:val="center"/>
              <w:rPr>
                <w:rFonts w:hAnsi="宋体"/>
                <w:b/>
                <w:color w:val="auto"/>
                <w:szCs w:val="21"/>
                <w:highlight w:val="none"/>
              </w:rPr>
            </w:pPr>
            <w:r>
              <w:rPr>
                <w:rFonts w:hAnsi="宋体"/>
                <w:b/>
                <w:color w:val="auto"/>
                <w:szCs w:val="21"/>
                <w:highlight w:val="none"/>
              </w:rPr>
              <w:t>招标文件的商务条款</w:t>
            </w:r>
          </w:p>
        </w:tc>
        <w:tc>
          <w:tcPr>
            <w:tcW w:w="2926" w:type="dxa"/>
            <w:vAlign w:val="center"/>
          </w:tcPr>
          <w:p w14:paraId="0465794A">
            <w:pPr>
              <w:pStyle w:val="16"/>
              <w:spacing w:line="360" w:lineRule="auto"/>
              <w:jc w:val="center"/>
              <w:rPr>
                <w:rFonts w:hAnsi="宋体"/>
                <w:b/>
                <w:color w:val="auto"/>
                <w:szCs w:val="21"/>
                <w:highlight w:val="none"/>
              </w:rPr>
            </w:pPr>
            <w:r>
              <w:rPr>
                <w:rFonts w:hAnsi="宋体"/>
                <w:b/>
                <w:color w:val="auto"/>
                <w:szCs w:val="21"/>
                <w:highlight w:val="none"/>
              </w:rPr>
              <w:t>投标文件的商务条款</w:t>
            </w:r>
          </w:p>
        </w:tc>
        <w:tc>
          <w:tcPr>
            <w:tcW w:w="1739" w:type="dxa"/>
            <w:tcBorders>
              <w:bottom w:val="single" w:color="auto" w:sz="4" w:space="0"/>
              <w:right w:val="single" w:color="auto" w:sz="4" w:space="0"/>
            </w:tcBorders>
            <w:vAlign w:val="center"/>
          </w:tcPr>
          <w:p w14:paraId="0B429D7B">
            <w:pPr>
              <w:pStyle w:val="16"/>
              <w:spacing w:line="360" w:lineRule="auto"/>
              <w:jc w:val="center"/>
              <w:rPr>
                <w:rFonts w:hAnsi="宋体"/>
                <w:b/>
                <w:color w:val="auto"/>
                <w:szCs w:val="21"/>
                <w:highlight w:val="none"/>
              </w:rPr>
            </w:pPr>
            <w:r>
              <w:rPr>
                <w:rFonts w:hAnsi="宋体"/>
                <w:b/>
                <w:color w:val="auto"/>
                <w:szCs w:val="21"/>
                <w:highlight w:val="none"/>
              </w:rPr>
              <w:t>偏离说明</w:t>
            </w:r>
          </w:p>
        </w:tc>
        <w:tc>
          <w:tcPr>
            <w:tcW w:w="1057" w:type="dxa"/>
            <w:tcBorders>
              <w:left w:val="single" w:color="auto" w:sz="4" w:space="0"/>
              <w:bottom w:val="single" w:color="auto" w:sz="4" w:space="0"/>
              <w:right w:val="single" w:color="auto" w:sz="12" w:space="0"/>
            </w:tcBorders>
            <w:vAlign w:val="center"/>
          </w:tcPr>
          <w:p w14:paraId="294CAE41">
            <w:pPr>
              <w:pStyle w:val="16"/>
              <w:spacing w:line="360" w:lineRule="auto"/>
              <w:jc w:val="center"/>
              <w:rPr>
                <w:rFonts w:hint="eastAsia" w:hAnsi="宋体" w:eastAsia="宋体"/>
                <w:b/>
                <w:color w:val="auto"/>
                <w:szCs w:val="21"/>
                <w:highlight w:val="none"/>
                <w:lang w:val="en-US" w:eastAsia="zh-CN"/>
              </w:rPr>
            </w:pPr>
            <w:r>
              <w:rPr>
                <w:rFonts w:hint="eastAsia" w:hAnsi="宋体"/>
                <w:b/>
                <w:color w:val="auto"/>
                <w:szCs w:val="21"/>
                <w:highlight w:val="none"/>
                <w:lang w:val="en-US" w:eastAsia="zh-CN"/>
              </w:rPr>
              <w:t>备注</w:t>
            </w:r>
          </w:p>
        </w:tc>
      </w:tr>
      <w:tr w14:paraId="4907368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2" w:hRule="atLeast"/>
          <w:jc w:val="center"/>
        </w:trPr>
        <w:tc>
          <w:tcPr>
            <w:tcW w:w="660" w:type="dxa"/>
            <w:vAlign w:val="center"/>
          </w:tcPr>
          <w:p w14:paraId="5AE05137">
            <w:pPr>
              <w:pStyle w:val="16"/>
              <w:numPr>
                <w:ilvl w:val="0"/>
                <w:numId w:val="14"/>
              </w:numPr>
              <w:spacing w:line="360" w:lineRule="auto"/>
              <w:jc w:val="right"/>
              <w:rPr>
                <w:rFonts w:hAnsi="宋体"/>
                <w:color w:val="auto"/>
                <w:szCs w:val="21"/>
                <w:highlight w:val="none"/>
              </w:rPr>
            </w:pPr>
          </w:p>
        </w:tc>
        <w:tc>
          <w:tcPr>
            <w:tcW w:w="3296" w:type="dxa"/>
            <w:vAlign w:val="center"/>
          </w:tcPr>
          <w:p w14:paraId="17081180">
            <w:pPr>
              <w:pStyle w:val="16"/>
              <w:spacing w:line="360" w:lineRule="auto"/>
              <w:rPr>
                <w:rFonts w:hAnsi="宋体"/>
                <w:color w:val="auto"/>
                <w:szCs w:val="21"/>
                <w:highlight w:val="none"/>
              </w:rPr>
            </w:pPr>
          </w:p>
        </w:tc>
        <w:tc>
          <w:tcPr>
            <w:tcW w:w="2926" w:type="dxa"/>
            <w:vAlign w:val="center"/>
          </w:tcPr>
          <w:p w14:paraId="18688899">
            <w:pPr>
              <w:pStyle w:val="16"/>
              <w:spacing w:line="360" w:lineRule="auto"/>
              <w:rPr>
                <w:rFonts w:hAnsi="宋体"/>
                <w:color w:val="auto"/>
                <w:szCs w:val="21"/>
                <w:highlight w:val="none"/>
              </w:rPr>
            </w:pPr>
          </w:p>
        </w:tc>
        <w:tc>
          <w:tcPr>
            <w:tcW w:w="1739" w:type="dxa"/>
            <w:tcBorders>
              <w:top w:val="single" w:color="auto" w:sz="4" w:space="0"/>
              <w:bottom w:val="single" w:color="auto" w:sz="4" w:space="0"/>
              <w:right w:val="single" w:color="auto" w:sz="4" w:space="0"/>
            </w:tcBorders>
            <w:vAlign w:val="center"/>
          </w:tcPr>
          <w:p w14:paraId="446492F3">
            <w:pPr>
              <w:pStyle w:val="16"/>
              <w:spacing w:line="360" w:lineRule="auto"/>
              <w:rPr>
                <w:rFonts w:hAnsi="宋体"/>
                <w:color w:val="auto"/>
                <w:szCs w:val="21"/>
                <w:highlight w:val="none"/>
              </w:rPr>
            </w:pPr>
          </w:p>
        </w:tc>
        <w:tc>
          <w:tcPr>
            <w:tcW w:w="1057" w:type="dxa"/>
            <w:tcBorders>
              <w:top w:val="single" w:color="auto" w:sz="4" w:space="0"/>
              <w:left w:val="single" w:color="auto" w:sz="4" w:space="0"/>
              <w:bottom w:val="single" w:color="auto" w:sz="4" w:space="0"/>
              <w:right w:val="single" w:color="auto" w:sz="12" w:space="0"/>
            </w:tcBorders>
            <w:vAlign w:val="center"/>
          </w:tcPr>
          <w:p w14:paraId="31D2A70F">
            <w:pPr>
              <w:pStyle w:val="16"/>
              <w:spacing w:line="360" w:lineRule="auto"/>
              <w:rPr>
                <w:rFonts w:hAnsi="宋体"/>
                <w:color w:val="auto"/>
                <w:szCs w:val="21"/>
                <w:highlight w:val="none"/>
              </w:rPr>
            </w:pPr>
          </w:p>
        </w:tc>
      </w:tr>
      <w:tr w14:paraId="6BBCD86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2" w:hRule="atLeast"/>
          <w:jc w:val="center"/>
        </w:trPr>
        <w:tc>
          <w:tcPr>
            <w:tcW w:w="660" w:type="dxa"/>
            <w:vAlign w:val="center"/>
          </w:tcPr>
          <w:p w14:paraId="0D2B99E6">
            <w:pPr>
              <w:pStyle w:val="16"/>
              <w:numPr>
                <w:ilvl w:val="0"/>
                <w:numId w:val="14"/>
              </w:numPr>
              <w:spacing w:line="360" w:lineRule="auto"/>
              <w:jc w:val="right"/>
              <w:rPr>
                <w:rFonts w:hAnsi="宋体"/>
                <w:color w:val="auto"/>
                <w:szCs w:val="21"/>
                <w:highlight w:val="none"/>
              </w:rPr>
            </w:pPr>
          </w:p>
        </w:tc>
        <w:tc>
          <w:tcPr>
            <w:tcW w:w="3296" w:type="dxa"/>
            <w:vAlign w:val="center"/>
          </w:tcPr>
          <w:p w14:paraId="2B21D87E">
            <w:pPr>
              <w:pStyle w:val="16"/>
              <w:spacing w:line="360" w:lineRule="auto"/>
              <w:rPr>
                <w:rFonts w:hAnsi="宋体"/>
                <w:color w:val="auto"/>
                <w:szCs w:val="21"/>
                <w:highlight w:val="none"/>
              </w:rPr>
            </w:pPr>
          </w:p>
        </w:tc>
        <w:tc>
          <w:tcPr>
            <w:tcW w:w="2926" w:type="dxa"/>
            <w:vAlign w:val="center"/>
          </w:tcPr>
          <w:p w14:paraId="74B05C8A">
            <w:pPr>
              <w:pStyle w:val="16"/>
              <w:spacing w:line="360" w:lineRule="auto"/>
              <w:rPr>
                <w:rFonts w:hAnsi="宋体"/>
                <w:color w:val="auto"/>
                <w:szCs w:val="21"/>
                <w:highlight w:val="none"/>
              </w:rPr>
            </w:pPr>
          </w:p>
        </w:tc>
        <w:tc>
          <w:tcPr>
            <w:tcW w:w="1739" w:type="dxa"/>
            <w:tcBorders>
              <w:top w:val="single" w:color="auto" w:sz="4" w:space="0"/>
              <w:bottom w:val="single" w:color="auto" w:sz="4" w:space="0"/>
              <w:right w:val="single" w:color="auto" w:sz="4" w:space="0"/>
            </w:tcBorders>
            <w:vAlign w:val="center"/>
          </w:tcPr>
          <w:p w14:paraId="5C0216C5">
            <w:pPr>
              <w:pStyle w:val="16"/>
              <w:spacing w:line="360" w:lineRule="auto"/>
              <w:rPr>
                <w:rFonts w:hAnsi="宋体"/>
                <w:color w:val="auto"/>
                <w:szCs w:val="21"/>
                <w:highlight w:val="none"/>
              </w:rPr>
            </w:pPr>
          </w:p>
        </w:tc>
        <w:tc>
          <w:tcPr>
            <w:tcW w:w="1057" w:type="dxa"/>
            <w:tcBorders>
              <w:top w:val="single" w:color="auto" w:sz="4" w:space="0"/>
              <w:left w:val="single" w:color="auto" w:sz="4" w:space="0"/>
              <w:bottom w:val="single" w:color="auto" w:sz="4" w:space="0"/>
              <w:right w:val="single" w:color="auto" w:sz="12" w:space="0"/>
            </w:tcBorders>
            <w:vAlign w:val="center"/>
          </w:tcPr>
          <w:p w14:paraId="0875A29A">
            <w:pPr>
              <w:pStyle w:val="16"/>
              <w:spacing w:line="360" w:lineRule="auto"/>
              <w:rPr>
                <w:rFonts w:hAnsi="宋体"/>
                <w:color w:val="auto"/>
                <w:szCs w:val="21"/>
                <w:highlight w:val="none"/>
              </w:rPr>
            </w:pPr>
          </w:p>
        </w:tc>
      </w:tr>
      <w:tr w14:paraId="64C92C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2" w:hRule="atLeast"/>
          <w:jc w:val="center"/>
        </w:trPr>
        <w:tc>
          <w:tcPr>
            <w:tcW w:w="660" w:type="dxa"/>
            <w:vAlign w:val="center"/>
          </w:tcPr>
          <w:p w14:paraId="7BE6CF74">
            <w:pPr>
              <w:pStyle w:val="16"/>
              <w:numPr>
                <w:ilvl w:val="0"/>
                <w:numId w:val="14"/>
              </w:numPr>
              <w:spacing w:line="360" w:lineRule="auto"/>
              <w:jc w:val="right"/>
              <w:rPr>
                <w:rFonts w:hAnsi="宋体"/>
                <w:color w:val="auto"/>
                <w:szCs w:val="21"/>
                <w:highlight w:val="none"/>
              </w:rPr>
            </w:pPr>
          </w:p>
        </w:tc>
        <w:tc>
          <w:tcPr>
            <w:tcW w:w="3296" w:type="dxa"/>
            <w:vAlign w:val="center"/>
          </w:tcPr>
          <w:p w14:paraId="460116FD">
            <w:pPr>
              <w:pStyle w:val="16"/>
              <w:spacing w:line="360" w:lineRule="auto"/>
              <w:rPr>
                <w:rFonts w:hAnsi="宋体"/>
                <w:color w:val="auto"/>
                <w:szCs w:val="21"/>
                <w:highlight w:val="none"/>
              </w:rPr>
            </w:pPr>
          </w:p>
        </w:tc>
        <w:tc>
          <w:tcPr>
            <w:tcW w:w="2926" w:type="dxa"/>
            <w:vAlign w:val="center"/>
          </w:tcPr>
          <w:p w14:paraId="164BE6FA">
            <w:pPr>
              <w:pStyle w:val="16"/>
              <w:spacing w:line="360" w:lineRule="auto"/>
              <w:rPr>
                <w:rFonts w:hAnsi="宋体"/>
                <w:color w:val="auto"/>
                <w:szCs w:val="21"/>
                <w:highlight w:val="none"/>
              </w:rPr>
            </w:pPr>
          </w:p>
        </w:tc>
        <w:tc>
          <w:tcPr>
            <w:tcW w:w="1739" w:type="dxa"/>
            <w:tcBorders>
              <w:top w:val="single" w:color="auto" w:sz="4" w:space="0"/>
              <w:bottom w:val="single" w:color="auto" w:sz="4" w:space="0"/>
              <w:right w:val="single" w:color="auto" w:sz="4" w:space="0"/>
            </w:tcBorders>
            <w:vAlign w:val="center"/>
          </w:tcPr>
          <w:p w14:paraId="70CC0818">
            <w:pPr>
              <w:pStyle w:val="16"/>
              <w:spacing w:line="360" w:lineRule="auto"/>
              <w:rPr>
                <w:rFonts w:hAnsi="宋体"/>
                <w:color w:val="auto"/>
                <w:szCs w:val="21"/>
                <w:highlight w:val="none"/>
              </w:rPr>
            </w:pPr>
          </w:p>
        </w:tc>
        <w:tc>
          <w:tcPr>
            <w:tcW w:w="1057" w:type="dxa"/>
            <w:tcBorders>
              <w:top w:val="single" w:color="auto" w:sz="4" w:space="0"/>
              <w:left w:val="single" w:color="auto" w:sz="4" w:space="0"/>
              <w:bottom w:val="single" w:color="auto" w:sz="4" w:space="0"/>
              <w:right w:val="single" w:color="auto" w:sz="12" w:space="0"/>
            </w:tcBorders>
            <w:vAlign w:val="center"/>
          </w:tcPr>
          <w:p w14:paraId="4C9E9A4D">
            <w:pPr>
              <w:pStyle w:val="16"/>
              <w:spacing w:line="360" w:lineRule="auto"/>
              <w:rPr>
                <w:rFonts w:hAnsi="宋体"/>
                <w:color w:val="auto"/>
                <w:szCs w:val="21"/>
                <w:highlight w:val="none"/>
              </w:rPr>
            </w:pPr>
          </w:p>
        </w:tc>
      </w:tr>
      <w:tr w14:paraId="3642E3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2" w:hRule="atLeast"/>
          <w:jc w:val="center"/>
        </w:trPr>
        <w:tc>
          <w:tcPr>
            <w:tcW w:w="660" w:type="dxa"/>
            <w:vAlign w:val="center"/>
          </w:tcPr>
          <w:p w14:paraId="3EE71807">
            <w:pPr>
              <w:pStyle w:val="16"/>
              <w:numPr>
                <w:ilvl w:val="0"/>
                <w:numId w:val="14"/>
              </w:numPr>
              <w:spacing w:line="360" w:lineRule="auto"/>
              <w:jc w:val="right"/>
              <w:rPr>
                <w:rFonts w:hAnsi="宋体"/>
                <w:color w:val="auto"/>
                <w:szCs w:val="21"/>
                <w:highlight w:val="none"/>
              </w:rPr>
            </w:pPr>
          </w:p>
        </w:tc>
        <w:tc>
          <w:tcPr>
            <w:tcW w:w="3296" w:type="dxa"/>
            <w:vAlign w:val="center"/>
          </w:tcPr>
          <w:p w14:paraId="184D666D">
            <w:pPr>
              <w:pStyle w:val="16"/>
              <w:spacing w:line="360" w:lineRule="auto"/>
              <w:rPr>
                <w:rFonts w:hAnsi="宋体"/>
                <w:color w:val="auto"/>
                <w:szCs w:val="21"/>
                <w:highlight w:val="none"/>
              </w:rPr>
            </w:pPr>
          </w:p>
        </w:tc>
        <w:tc>
          <w:tcPr>
            <w:tcW w:w="2926" w:type="dxa"/>
            <w:vAlign w:val="center"/>
          </w:tcPr>
          <w:p w14:paraId="0432893F">
            <w:pPr>
              <w:pStyle w:val="16"/>
              <w:spacing w:line="360" w:lineRule="auto"/>
              <w:rPr>
                <w:rFonts w:hAnsi="宋体"/>
                <w:color w:val="auto"/>
                <w:szCs w:val="21"/>
                <w:highlight w:val="none"/>
              </w:rPr>
            </w:pPr>
          </w:p>
        </w:tc>
        <w:tc>
          <w:tcPr>
            <w:tcW w:w="1739" w:type="dxa"/>
            <w:tcBorders>
              <w:top w:val="single" w:color="auto" w:sz="4" w:space="0"/>
              <w:bottom w:val="single" w:color="auto" w:sz="4" w:space="0"/>
              <w:right w:val="single" w:color="auto" w:sz="4" w:space="0"/>
            </w:tcBorders>
            <w:vAlign w:val="center"/>
          </w:tcPr>
          <w:p w14:paraId="67458332">
            <w:pPr>
              <w:pStyle w:val="16"/>
              <w:spacing w:line="360" w:lineRule="auto"/>
              <w:rPr>
                <w:rFonts w:hAnsi="宋体"/>
                <w:color w:val="auto"/>
                <w:szCs w:val="21"/>
                <w:highlight w:val="none"/>
              </w:rPr>
            </w:pPr>
          </w:p>
        </w:tc>
        <w:tc>
          <w:tcPr>
            <w:tcW w:w="1057" w:type="dxa"/>
            <w:tcBorders>
              <w:top w:val="single" w:color="auto" w:sz="4" w:space="0"/>
              <w:left w:val="single" w:color="auto" w:sz="4" w:space="0"/>
              <w:bottom w:val="single" w:color="auto" w:sz="4" w:space="0"/>
              <w:right w:val="single" w:color="auto" w:sz="12" w:space="0"/>
            </w:tcBorders>
            <w:vAlign w:val="center"/>
          </w:tcPr>
          <w:p w14:paraId="27DCDE41">
            <w:pPr>
              <w:pStyle w:val="16"/>
              <w:spacing w:line="360" w:lineRule="auto"/>
              <w:rPr>
                <w:rFonts w:hAnsi="宋体"/>
                <w:color w:val="auto"/>
                <w:szCs w:val="21"/>
                <w:highlight w:val="none"/>
              </w:rPr>
            </w:pPr>
          </w:p>
        </w:tc>
      </w:tr>
      <w:tr w14:paraId="5E53F7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5" w:hRule="atLeast"/>
          <w:jc w:val="center"/>
        </w:trPr>
        <w:tc>
          <w:tcPr>
            <w:tcW w:w="660" w:type="dxa"/>
            <w:vAlign w:val="center"/>
          </w:tcPr>
          <w:p w14:paraId="57AAAC43">
            <w:pPr>
              <w:pStyle w:val="16"/>
              <w:numPr>
                <w:ilvl w:val="0"/>
                <w:numId w:val="14"/>
              </w:numPr>
              <w:spacing w:line="360" w:lineRule="auto"/>
              <w:jc w:val="right"/>
              <w:rPr>
                <w:rFonts w:hAnsi="宋体"/>
                <w:color w:val="auto"/>
                <w:szCs w:val="21"/>
                <w:highlight w:val="none"/>
              </w:rPr>
            </w:pPr>
          </w:p>
        </w:tc>
        <w:tc>
          <w:tcPr>
            <w:tcW w:w="3296" w:type="dxa"/>
            <w:vAlign w:val="center"/>
          </w:tcPr>
          <w:p w14:paraId="02514ADF">
            <w:pPr>
              <w:pStyle w:val="16"/>
              <w:spacing w:line="360" w:lineRule="auto"/>
              <w:rPr>
                <w:rFonts w:hAnsi="宋体"/>
                <w:color w:val="auto"/>
                <w:szCs w:val="21"/>
                <w:highlight w:val="none"/>
              </w:rPr>
            </w:pPr>
            <w:r>
              <w:rPr>
                <w:rFonts w:hAnsi="宋体"/>
                <w:color w:val="auto"/>
                <w:szCs w:val="21"/>
                <w:highlight w:val="none"/>
              </w:rPr>
              <w:t>… … …</w:t>
            </w:r>
          </w:p>
        </w:tc>
        <w:tc>
          <w:tcPr>
            <w:tcW w:w="2926" w:type="dxa"/>
            <w:vAlign w:val="center"/>
          </w:tcPr>
          <w:p w14:paraId="0F4F3A30">
            <w:pPr>
              <w:pStyle w:val="16"/>
              <w:spacing w:line="360" w:lineRule="auto"/>
              <w:rPr>
                <w:rFonts w:hAnsi="宋体"/>
                <w:color w:val="auto"/>
                <w:szCs w:val="21"/>
                <w:highlight w:val="none"/>
              </w:rPr>
            </w:pPr>
          </w:p>
        </w:tc>
        <w:tc>
          <w:tcPr>
            <w:tcW w:w="1739" w:type="dxa"/>
            <w:tcBorders>
              <w:top w:val="single" w:color="auto" w:sz="4" w:space="0"/>
              <w:right w:val="single" w:color="auto" w:sz="4" w:space="0"/>
            </w:tcBorders>
            <w:vAlign w:val="center"/>
          </w:tcPr>
          <w:p w14:paraId="536E2CFC">
            <w:pPr>
              <w:pStyle w:val="16"/>
              <w:spacing w:line="360" w:lineRule="auto"/>
              <w:rPr>
                <w:rFonts w:hAnsi="宋体"/>
                <w:color w:val="auto"/>
                <w:szCs w:val="21"/>
                <w:highlight w:val="none"/>
              </w:rPr>
            </w:pPr>
          </w:p>
        </w:tc>
        <w:tc>
          <w:tcPr>
            <w:tcW w:w="1057" w:type="dxa"/>
            <w:tcBorders>
              <w:top w:val="single" w:color="auto" w:sz="4" w:space="0"/>
              <w:left w:val="single" w:color="auto" w:sz="4" w:space="0"/>
              <w:right w:val="single" w:color="auto" w:sz="12" w:space="0"/>
            </w:tcBorders>
            <w:vAlign w:val="center"/>
          </w:tcPr>
          <w:p w14:paraId="11EBF10E">
            <w:pPr>
              <w:pStyle w:val="16"/>
              <w:spacing w:line="360" w:lineRule="auto"/>
              <w:rPr>
                <w:rFonts w:hAnsi="宋体"/>
                <w:color w:val="auto"/>
                <w:szCs w:val="21"/>
                <w:highlight w:val="none"/>
              </w:rPr>
            </w:pPr>
          </w:p>
        </w:tc>
      </w:tr>
    </w:tbl>
    <w:p w14:paraId="34E440BB">
      <w:pPr>
        <w:pStyle w:val="16"/>
        <w:spacing w:line="360" w:lineRule="auto"/>
        <w:ind w:firstLine="420" w:firstLineChars="200"/>
        <w:rPr>
          <w:rFonts w:hAnsi="宋体"/>
          <w:color w:val="auto"/>
          <w:szCs w:val="21"/>
          <w:highlight w:val="none"/>
        </w:rPr>
      </w:pPr>
      <w:r>
        <w:rPr>
          <w:rFonts w:hAnsi="宋体"/>
          <w:color w:val="auto"/>
          <w:szCs w:val="21"/>
          <w:highlight w:val="none"/>
        </w:rPr>
        <w:t>注：</w:t>
      </w:r>
      <w:r>
        <w:rPr>
          <w:rFonts w:hint="eastAsia" w:hAnsi="宋体"/>
          <w:color w:val="auto"/>
          <w:szCs w:val="21"/>
          <w:highlight w:val="none"/>
          <w:lang w:val="en-US" w:eastAsia="zh-CN"/>
        </w:rPr>
        <w:t>1.</w:t>
      </w:r>
      <w:r>
        <w:rPr>
          <w:rFonts w:hAnsi="宋体"/>
          <w:color w:val="auto"/>
          <w:szCs w:val="21"/>
          <w:highlight w:val="none"/>
        </w:rPr>
        <w:t>“偏离”系指“正偏离”、“负偏离”或“无偏离”。</w:t>
      </w:r>
    </w:p>
    <w:p w14:paraId="7D9F85FC">
      <w:pPr>
        <w:pStyle w:val="16"/>
        <w:spacing w:line="360" w:lineRule="auto"/>
        <w:ind w:firstLine="840" w:firstLineChars="400"/>
        <w:rPr>
          <w:rFonts w:hAnsi="宋体"/>
          <w:b/>
          <w:color w:val="auto"/>
          <w:sz w:val="24"/>
          <w:highlight w:val="none"/>
        </w:rPr>
      </w:pPr>
      <w:r>
        <w:rPr>
          <w:rFonts w:hint="eastAsia" w:hAnsi="宋体"/>
          <w:color w:val="auto"/>
          <w:szCs w:val="21"/>
          <w:highlight w:val="none"/>
          <w:lang w:val="en-US" w:eastAsia="zh-CN"/>
        </w:rPr>
        <w:t>2.</w:t>
      </w:r>
      <w:r>
        <w:rPr>
          <w:rFonts w:hAnsi="宋体"/>
          <w:b/>
          <w:color w:val="auto"/>
          <w:szCs w:val="21"/>
          <w:highlight w:val="none"/>
        </w:rPr>
        <w:t>如无偏差，投标人不需要填表，但应声明：“本投标文件完全响应招标文件所有条款的要求，无偏差。</w:t>
      </w:r>
      <w:r>
        <w:rPr>
          <w:rFonts w:hAnsi="宋体"/>
          <w:b/>
          <w:color w:val="auto"/>
          <w:sz w:val="24"/>
          <w:highlight w:val="none"/>
        </w:rPr>
        <w:t>”</w:t>
      </w:r>
    </w:p>
    <w:p w14:paraId="7B254B4A">
      <w:pPr>
        <w:pStyle w:val="16"/>
        <w:spacing w:line="360" w:lineRule="auto"/>
        <w:rPr>
          <w:rFonts w:hAnsi="宋体"/>
          <w:b/>
          <w:color w:val="auto"/>
          <w:sz w:val="24"/>
          <w:highlight w:val="none"/>
        </w:rPr>
      </w:pPr>
    </w:p>
    <w:p w14:paraId="63853DF0">
      <w:pPr>
        <w:pStyle w:val="16"/>
        <w:spacing w:line="360" w:lineRule="auto"/>
        <w:rPr>
          <w:rFonts w:hAnsi="宋体"/>
          <w:color w:val="auto"/>
          <w:szCs w:val="21"/>
          <w:highlight w:val="none"/>
        </w:rPr>
      </w:pPr>
    </w:p>
    <w:p w14:paraId="7F4F127F">
      <w:pPr>
        <w:spacing w:line="360" w:lineRule="auto"/>
        <w:rPr>
          <w:rFonts w:ascii="宋体" w:hAnsi="宋体"/>
          <w:color w:val="auto"/>
          <w:szCs w:val="21"/>
          <w:highlight w:val="none"/>
        </w:rPr>
      </w:pPr>
      <w:r>
        <w:rPr>
          <w:rFonts w:ascii="宋体" w:hAnsi="宋体"/>
          <w:color w:val="auto"/>
          <w:szCs w:val="21"/>
          <w:highlight w:val="none"/>
        </w:rPr>
        <w:t>投标人（</w:t>
      </w:r>
      <w:r>
        <w:rPr>
          <w:rFonts w:hint="eastAsia" w:ascii="宋体" w:hAnsi="宋体"/>
          <w:color w:val="auto"/>
          <w:szCs w:val="21"/>
          <w:highlight w:val="none"/>
          <w:lang w:eastAsia="zh-CN"/>
        </w:rPr>
        <w:t>电子签章</w:t>
      </w:r>
      <w:r>
        <w:rPr>
          <w:rFonts w:ascii="宋体" w:hAnsi="宋体"/>
          <w:color w:val="auto"/>
          <w:szCs w:val="21"/>
          <w:highlight w:val="none"/>
        </w:rPr>
        <w:t>）：</w:t>
      </w:r>
      <w:r>
        <w:rPr>
          <w:rFonts w:ascii="宋体" w:hAnsi="宋体"/>
          <w:color w:val="auto"/>
          <w:szCs w:val="21"/>
          <w:highlight w:val="none"/>
          <w:u w:val="single"/>
        </w:rPr>
        <w:t>　　　　　　　　　　　　</w:t>
      </w:r>
    </w:p>
    <w:p w14:paraId="013AA5F8">
      <w:pPr>
        <w:spacing w:line="360" w:lineRule="auto"/>
        <w:rPr>
          <w:rFonts w:ascii="宋体" w:hAnsi="宋体"/>
          <w:color w:val="auto"/>
          <w:szCs w:val="21"/>
          <w:highlight w:val="none"/>
        </w:rPr>
      </w:pPr>
      <w:r>
        <w:rPr>
          <w:rFonts w:ascii="宋体" w:hAnsi="宋体"/>
          <w:color w:val="auto"/>
          <w:szCs w:val="21"/>
          <w:highlight w:val="none"/>
        </w:rPr>
        <w:t>法定代表人或其委托代理人（</w:t>
      </w:r>
      <w:r>
        <w:rPr>
          <w:rFonts w:hint="eastAsia" w:ascii="宋体" w:hAnsi="宋体"/>
          <w:color w:val="auto"/>
          <w:szCs w:val="21"/>
          <w:highlight w:val="none"/>
          <w:lang w:eastAsia="zh-CN"/>
        </w:rPr>
        <w:t>电子签章</w:t>
      </w:r>
      <w:r>
        <w:rPr>
          <w:rFonts w:hint="eastAsia" w:ascii="宋体" w:hAnsi="宋体"/>
          <w:color w:val="auto"/>
          <w:szCs w:val="21"/>
          <w:highlight w:val="none"/>
          <w:lang w:val="en-US" w:eastAsia="zh-CN"/>
        </w:rPr>
        <w:t>或签名</w:t>
      </w:r>
      <w:r>
        <w:rPr>
          <w:rFonts w:ascii="宋体" w:hAnsi="宋体"/>
          <w:color w:val="auto"/>
          <w:szCs w:val="21"/>
          <w:highlight w:val="none"/>
        </w:rPr>
        <w:t>）：</w:t>
      </w:r>
      <w:r>
        <w:rPr>
          <w:rFonts w:ascii="宋体" w:hAnsi="宋体"/>
          <w:color w:val="auto"/>
          <w:szCs w:val="21"/>
          <w:highlight w:val="none"/>
          <w:u w:val="single"/>
        </w:rPr>
        <w:t>　　　　　　　　　　</w:t>
      </w:r>
    </w:p>
    <w:p w14:paraId="11E09747">
      <w:pPr>
        <w:widowControl/>
        <w:jc w:val="left"/>
        <w:rPr>
          <w:rFonts w:ascii="宋体" w:hAnsi="宋体"/>
          <w:color w:val="auto"/>
          <w:szCs w:val="21"/>
          <w:highlight w:val="none"/>
        </w:rPr>
      </w:pPr>
      <w:r>
        <w:rPr>
          <w:rFonts w:ascii="宋体" w:hAnsi="宋体"/>
          <w:color w:val="auto"/>
          <w:szCs w:val="21"/>
          <w:highlight w:val="none"/>
        </w:rPr>
        <w:t>日期：</w:t>
      </w:r>
      <w:r>
        <w:rPr>
          <w:rFonts w:ascii="宋体" w:hAnsi="宋体"/>
          <w:color w:val="auto"/>
          <w:szCs w:val="21"/>
          <w:highlight w:val="none"/>
          <w:u w:val="single"/>
        </w:rPr>
        <w:t>　　　</w:t>
      </w:r>
      <w:r>
        <w:rPr>
          <w:rFonts w:ascii="宋体" w:hAnsi="宋体"/>
          <w:color w:val="auto"/>
          <w:szCs w:val="21"/>
          <w:highlight w:val="none"/>
        </w:rPr>
        <w:t>年</w:t>
      </w:r>
      <w:r>
        <w:rPr>
          <w:rFonts w:ascii="宋体" w:hAnsi="宋体"/>
          <w:color w:val="auto"/>
          <w:szCs w:val="21"/>
          <w:highlight w:val="none"/>
          <w:u w:val="single"/>
        </w:rPr>
        <w:t>　　</w:t>
      </w:r>
      <w:r>
        <w:rPr>
          <w:rFonts w:ascii="宋体" w:hAnsi="宋体"/>
          <w:color w:val="auto"/>
          <w:szCs w:val="21"/>
          <w:highlight w:val="none"/>
        </w:rPr>
        <w:t>月</w:t>
      </w:r>
      <w:r>
        <w:rPr>
          <w:rFonts w:ascii="宋体" w:hAnsi="宋体"/>
          <w:color w:val="auto"/>
          <w:szCs w:val="21"/>
          <w:highlight w:val="none"/>
          <w:u w:val="single"/>
        </w:rPr>
        <w:t>　　</w:t>
      </w:r>
      <w:r>
        <w:rPr>
          <w:rFonts w:ascii="宋体" w:hAnsi="宋体"/>
          <w:color w:val="auto"/>
          <w:szCs w:val="21"/>
          <w:highlight w:val="none"/>
        </w:rPr>
        <w:t>日</w:t>
      </w:r>
      <w:r>
        <w:rPr>
          <w:rFonts w:ascii="宋体" w:hAnsi="宋体"/>
          <w:color w:val="auto"/>
          <w:szCs w:val="21"/>
          <w:highlight w:val="none"/>
        </w:rPr>
        <w:br w:type="page"/>
      </w:r>
    </w:p>
    <w:p w14:paraId="71B4AC4E">
      <w:pPr>
        <w:pStyle w:val="16"/>
        <w:rPr>
          <w:rFonts w:hint="eastAsia" w:hAnsi="宋体" w:eastAsia="宋体"/>
          <w:b/>
          <w:color w:val="auto"/>
          <w:sz w:val="28"/>
          <w:szCs w:val="28"/>
          <w:highlight w:val="none"/>
          <w:lang w:eastAsia="zh-CN"/>
        </w:rPr>
      </w:pPr>
      <w:r>
        <w:rPr>
          <w:rFonts w:hint="eastAsia" w:hAnsi="宋体"/>
          <w:b/>
          <w:color w:val="auto"/>
          <w:sz w:val="28"/>
          <w:szCs w:val="28"/>
          <w:highlight w:val="none"/>
        </w:rPr>
        <w:t>格式</w:t>
      </w:r>
      <w:r>
        <w:rPr>
          <w:rFonts w:hint="eastAsia" w:hAnsi="宋体"/>
          <w:b/>
          <w:color w:val="auto"/>
          <w:sz w:val="28"/>
          <w:szCs w:val="28"/>
          <w:highlight w:val="none"/>
          <w:lang w:val="en-US" w:eastAsia="zh-CN"/>
        </w:rPr>
        <w:t>4</w:t>
      </w:r>
      <w:r>
        <w:rPr>
          <w:rFonts w:hint="eastAsia" w:hAnsi="宋体"/>
          <w:b/>
          <w:color w:val="auto"/>
          <w:sz w:val="28"/>
          <w:szCs w:val="28"/>
          <w:highlight w:val="none"/>
          <w:lang w:eastAsia="zh-CN"/>
        </w:rPr>
        <w:t>：</w:t>
      </w:r>
    </w:p>
    <w:p w14:paraId="24555C81">
      <w:pPr>
        <w:numPr>
          <w:ilvl w:val="2"/>
          <w:numId w:val="0"/>
        </w:numPr>
        <w:tabs>
          <w:tab w:val="left" w:pos="900"/>
        </w:tabs>
        <w:adjustRightInd w:val="0"/>
        <w:spacing w:line="360" w:lineRule="auto"/>
        <w:jc w:val="center"/>
        <w:textAlignment w:val="baseline"/>
        <w:outlineLvl w:val="2"/>
        <w:rPr>
          <w:rFonts w:ascii="宋体" w:hAnsi="宋体"/>
          <w:b/>
          <w:color w:val="auto"/>
          <w:kern w:val="0"/>
          <w:sz w:val="32"/>
          <w:szCs w:val="21"/>
          <w:highlight w:val="none"/>
        </w:rPr>
      </w:pPr>
      <w:r>
        <w:rPr>
          <w:rFonts w:hint="eastAsia" w:ascii="宋体" w:hAnsi="宋体"/>
          <w:b/>
          <w:color w:val="auto"/>
          <w:kern w:val="0"/>
          <w:sz w:val="32"/>
          <w:szCs w:val="21"/>
          <w:highlight w:val="none"/>
        </w:rPr>
        <w:t>法定代表人身份证明书</w:t>
      </w:r>
      <w:bookmarkEnd w:id="130"/>
    </w:p>
    <w:p w14:paraId="7DF2D188">
      <w:pPr>
        <w:spacing w:line="360" w:lineRule="auto"/>
        <w:jc w:val="center"/>
        <w:rPr>
          <w:rFonts w:ascii="宋体" w:hAnsi="宋体"/>
          <w:b/>
          <w:color w:val="auto"/>
          <w:sz w:val="30"/>
          <w:szCs w:val="30"/>
          <w:highlight w:val="none"/>
        </w:rPr>
      </w:pPr>
    </w:p>
    <w:p w14:paraId="4F31A347">
      <w:pPr>
        <w:spacing w:line="360" w:lineRule="auto"/>
        <w:rPr>
          <w:rFonts w:ascii="宋体" w:hAnsi="宋体"/>
          <w:color w:val="auto"/>
          <w:szCs w:val="21"/>
          <w:highlight w:val="none"/>
        </w:rPr>
      </w:pPr>
      <w:r>
        <w:rPr>
          <w:rFonts w:hint="eastAsia" w:ascii="宋体" w:hAnsi="宋体"/>
          <w:color w:val="auto"/>
          <w:szCs w:val="21"/>
          <w:highlight w:val="none"/>
        </w:rPr>
        <w:t>投标人名称：</w:t>
      </w:r>
      <w:r>
        <w:rPr>
          <w:rFonts w:ascii="宋体" w:hAnsi="宋体"/>
          <w:color w:val="auto"/>
          <w:szCs w:val="21"/>
          <w:highlight w:val="none"/>
          <w:u w:val="single"/>
        </w:rPr>
        <w:t xml:space="preserve">                        </w:t>
      </w:r>
    </w:p>
    <w:p w14:paraId="1E1F7D19">
      <w:pPr>
        <w:spacing w:line="360" w:lineRule="auto"/>
        <w:rPr>
          <w:rFonts w:ascii="宋体" w:hAnsi="宋体"/>
          <w:color w:val="auto"/>
          <w:szCs w:val="21"/>
          <w:highlight w:val="none"/>
        </w:rPr>
      </w:pPr>
      <w:r>
        <w:rPr>
          <w:rFonts w:hint="eastAsia" w:ascii="宋体" w:hAnsi="宋体"/>
          <w:color w:val="auto"/>
          <w:szCs w:val="21"/>
          <w:highlight w:val="none"/>
        </w:rPr>
        <w:t>单位性质：</w:t>
      </w:r>
      <w:r>
        <w:rPr>
          <w:rFonts w:ascii="宋体" w:hAnsi="宋体"/>
          <w:color w:val="auto"/>
          <w:szCs w:val="21"/>
          <w:highlight w:val="none"/>
          <w:u w:val="single"/>
        </w:rPr>
        <w:t xml:space="preserve">                          </w:t>
      </w:r>
    </w:p>
    <w:p w14:paraId="1BFC3631">
      <w:pPr>
        <w:spacing w:line="360" w:lineRule="auto"/>
        <w:rPr>
          <w:rFonts w:ascii="宋体" w:hAnsi="宋体"/>
          <w:color w:val="auto"/>
          <w:szCs w:val="21"/>
          <w:highlight w:val="none"/>
        </w:rPr>
      </w:pPr>
      <w:r>
        <w:rPr>
          <w:rFonts w:hint="eastAsia" w:ascii="宋体" w:hAnsi="宋体"/>
          <w:color w:val="auto"/>
          <w:szCs w:val="21"/>
          <w:highlight w:val="none"/>
        </w:rPr>
        <w:t>成立时间：</w:t>
      </w:r>
      <w:r>
        <w:rPr>
          <w:rFonts w:ascii="宋体" w:hAnsi="宋体"/>
          <w:color w:val="auto"/>
          <w:szCs w:val="21"/>
          <w:highlight w:val="none"/>
          <w:u w:val="single"/>
        </w:rPr>
        <w:t xml:space="preserve">        </w:t>
      </w:r>
      <w:r>
        <w:rPr>
          <w:rFonts w:hint="eastAsia" w:ascii="宋体" w:hAnsi="宋体"/>
          <w:color w:val="auto"/>
          <w:szCs w:val="21"/>
          <w:highlight w:val="none"/>
        </w:rPr>
        <w:t>年</w:t>
      </w:r>
      <w:r>
        <w:rPr>
          <w:rFonts w:ascii="宋体" w:hAnsi="宋体"/>
          <w:color w:val="auto"/>
          <w:szCs w:val="21"/>
          <w:highlight w:val="none"/>
          <w:u w:val="single"/>
        </w:rPr>
        <w:t xml:space="preserve">      </w:t>
      </w:r>
      <w:r>
        <w:rPr>
          <w:rFonts w:hint="eastAsia" w:ascii="宋体" w:hAnsi="宋体"/>
          <w:color w:val="auto"/>
          <w:szCs w:val="21"/>
          <w:highlight w:val="none"/>
        </w:rPr>
        <w:t>月</w:t>
      </w:r>
      <w:r>
        <w:rPr>
          <w:rFonts w:ascii="宋体" w:hAnsi="宋体"/>
          <w:color w:val="auto"/>
          <w:szCs w:val="21"/>
          <w:highlight w:val="none"/>
          <w:u w:val="single"/>
        </w:rPr>
        <w:t xml:space="preserve">      </w:t>
      </w:r>
      <w:r>
        <w:rPr>
          <w:rFonts w:hint="eastAsia" w:ascii="宋体" w:hAnsi="宋体"/>
          <w:color w:val="auto"/>
          <w:szCs w:val="21"/>
          <w:highlight w:val="none"/>
        </w:rPr>
        <w:t>日</w:t>
      </w:r>
    </w:p>
    <w:p w14:paraId="1D3C53FD">
      <w:pPr>
        <w:spacing w:line="360" w:lineRule="auto"/>
        <w:rPr>
          <w:rFonts w:ascii="宋体" w:hAnsi="宋体"/>
          <w:color w:val="auto"/>
          <w:szCs w:val="21"/>
          <w:highlight w:val="none"/>
        </w:rPr>
      </w:pPr>
      <w:r>
        <w:rPr>
          <w:rFonts w:hint="eastAsia" w:ascii="宋体" w:hAnsi="宋体"/>
          <w:color w:val="auto"/>
          <w:szCs w:val="21"/>
          <w:highlight w:val="none"/>
        </w:rPr>
        <w:t>经营期限：</w:t>
      </w:r>
      <w:r>
        <w:rPr>
          <w:rFonts w:ascii="宋体" w:hAnsi="宋体"/>
          <w:color w:val="auto"/>
          <w:szCs w:val="21"/>
          <w:highlight w:val="none"/>
          <w:u w:val="single"/>
        </w:rPr>
        <w:t xml:space="preserve">                          </w:t>
      </w:r>
    </w:p>
    <w:p w14:paraId="70C4B2F0">
      <w:pPr>
        <w:spacing w:line="360" w:lineRule="auto"/>
        <w:rPr>
          <w:rFonts w:ascii="宋体" w:hAnsi="宋体"/>
          <w:color w:val="auto"/>
          <w:szCs w:val="21"/>
          <w:highlight w:val="none"/>
        </w:rPr>
      </w:pPr>
      <w:r>
        <w:rPr>
          <w:rFonts w:hint="eastAsia" w:ascii="宋体" w:hAnsi="宋体"/>
          <w:color w:val="auto"/>
          <w:szCs w:val="21"/>
          <w:highlight w:val="none"/>
        </w:rPr>
        <w:t>姓名：</w:t>
      </w:r>
      <w:r>
        <w:rPr>
          <w:rFonts w:ascii="宋体" w:hAnsi="宋体"/>
          <w:color w:val="auto"/>
          <w:szCs w:val="21"/>
          <w:highlight w:val="none"/>
          <w:u w:val="single"/>
        </w:rPr>
        <w:t xml:space="preserve">            </w:t>
      </w:r>
      <w:r>
        <w:rPr>
          <w:rFonts w:hint="eastAsia" w:ascii="宋体" w:hAnsi="宋体"/>
          <w:color w:val="auto"/>
          <w:szCs w:val="21"/>
          <w:highlight w:val="none"/>
        </w:rPr>
        <w:t>性别：</w:t>
      </w:r>
      <w:r>
        <w:rPr>
          <w:rFonts w:ascii="宋体" w:hAnsi="宋体"/>
          <w:color w:val="auto"/>
          <w:szCs w:val="21"/>
          <w:highlight w:val="none"/>
          <w:u w:val="single"/>
        </w:rPr>
        <w:t xml:space="preserve">            </w:t>
      </w:r>
      <w:r>
        <w:rPr>
          <w:rFonts w:hint="eastAsia" w:ascii="宋体" w:hAnsi="宋体"/>
          <w:color w:val="auto"/>
          <w:szCs w:val="21"/>
          <w:highlight w:val="none"/>
        </w:rPr>
        <w:t>年龄：</w:t>
      </w:r>
      <w:r>
        <w:rPr>
          <w:rFonts w:ascii="宋体" w:hAnsi="宋体"/>
          <w:color w:val="auto"/>
          <w:szCs w:val="21"/>
          <w:highlight w:val="none"/>
          <w:u w:val="single"/>
        </w:rPr>
        <w:t xml:space="preserve">            </w:t>
      </w:r>
      <w:r>
        <w:rPr>
          <w:rFonts w:hint="eastAsia" w:ascii="宋体" w:hAnsi="宋体"/>
          <w:color w:val="auto"/>
          <w:szCs w:val="21"/>
          <w:highlight w:val="none"/>
        </w:rPr>
        <w:t>职务：</w:t>
      </w:r>
      <w:r>
        <w:rPr>
          <w:rFonts w:ascii="宋体" w:hAnsi="宋体"/>
          <w:color w:val="auto"/>
          <w:szCs w:val="21"/>
          <w:highlight w:val="none"/>
          <w:u w:val="single"/>
        </w:rPr>
        <w:t xml:space="preserve">            </w:t>
      </w:r>
    </w:p>
    <w:p w14:paraId="5F9B9F0F">
      <w:pPr>
        <w:spacing w:line="360" w:lineRule="auto"/>
        <w:rPr>
          <w:rFonts w:ascii="宋体" w:hAnsi="宋体"/>
          <w:color w:val="auto"/>
          <w:szCs w:val="21"/>
          <w:highlight w:val="none"/>
        </w:rPr>
      </w:pPr>
      <w:r>
        <w:rPr>
          <w:rFonts w:hint="eastAsia" w:ascii="宋体" w:hAnsi="宋体"/>
          <w:color w:val="auto"/>
          <w:szCs w:val="21"/>
          <w:highlight w:val="none"/>
        </w:rPr>
        <w:t>系</w:t>
      </w:r>
      <w:r>
        <w:rPr>
          <w:rFonts w:ascii="宋体" w:hAnsi="宋体"/>
          <w:color w:val="auto"/>
          <w:szCs w:val="21"/>
          <w:highlight w:val="none"/>
          <w:u w:val="single"/>
        </w:rPr>
        <w:t xml:space="preserve">                        </w:t>
      </w:r>
      <w:r>
        <w:rPr>
          <w:rFonts w:hint="eastAsia" w:ascii="宋体" w:hAnsi="宋体"/>
          <w:color w:val="auto"/>
          <w:szCs w:val="21"/>
          <w:highlight w:val="none"/>
        </w:rPr>
        <w:t>（投标人名称）的法定代表人</w:t>
      </w:r>
      <w:r>
        <w:rPr>
          <w:rFonts w:hint="eastAsia" w:ascii="宋体" w:hAnsi="宋体"/>
          <w:color w:val="auto"/>
          <w:highlight w:val="none"/>
        </w:rPr>
        <w:t>（或分支机构负责人）</w:t>
      </w:r>
      <w:r>
        <w:rPr>
          <w:rFonts w:hint="eastAsia" w:ascii="宋体" w:hAnsi="宋体"/>
          <w:color w:val="auto"/>
          <w:szCs w:val="21"/>
          <w:highlight w:val="none"/>
        </w:rPr>
        <w:t>。</w:t>
      </w:r>
    </w:p>
    <w:p w14:paraId="55122DF9">
      <w:pPr>
        <w:spacing w:line="360" w:lineRule="auto"/>
        <w:rPr>
          <w:rFonts w:ascii="宋体" w:hAnsi="宋体"/>
          <w:color w:val="auto"/>
          <w:szCs w:val="21"/>
          <w:highlight w:val="none"/>
        </w:rPr>
      </w:pPr>
    </w:p>
    <w:p w14:paraId="1D4568F9">
      <w:pPr>
        <w:spacing w:line="360" w:lineRule="auto"/>
        <w:rPr>
          <w:rFonts w:ascii="宋体" w:hAnsi="宋体"/>
          <w:color w:val="auto"/>
          <w:szCs w:val="21"/>
          <w:highlight w:val="none"/>
        </w:rPr>
      </w:pPr>
    </w:p>
    <w:p w14:paraId="0CA86EDF">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特此证明。</w:t>
      </w:r>
    </w:p>
    <w:p w14:paraId="01FEBFA6">
      <w:pPr>
        <w:spacing w:line="360" w:lineRule="auto"/>
        <w:rPr>
          <w:rFonts w:ascii="宋体" w:hAnsi="宋体"/>
          <w:color w:val="auto"/>
          <w:szCs w:val="21"/>
          <w:highlight w:val="none"/>
        </w:rPr>
      </w:pPr>
    </w:p>
    <w:p w14:paraId="3883E2B4">
      <w:pPr>
        <w:spacing w:line="360" w:lineRule="auto"/>
        <w:rPr>
          <w:rFonts w:ascii="宋体" w:hAnsi="宋体"/>
          <w:color w:val="auto"/>
          <w:szCs w:val="21"/>
          <w:highlight w:val="none"/>
        </w:rPr>
      </w:pPr>
    </w:p>
    <w:p w14:paraId="253FB3BB">
      <w:pPr>
        <w:spacing w:line="360" w:lineRule="auto"/>
        <w:ind w:firstLine="420"/>
        <w:rPr>
          <w:rFonts w:ascii="宋体" w:hAnsi="宋体"/>
          <w:b/>
          <w:bCs/>
          <w:color w:val="auto"/>
          <w:szCs w:val="21"/>
          <w:highlight w:val="none"/>
        </w:rPr>
      </w:pPr>
      <w:r>
        <w:rPr>
          <w:rFonts w:hint="eastAsia" w:ascii="宋体" w:hAnsi="宋体"/>
          <w:b/>
          <w:bCs/>
          <w:color w:val="auto"/>
          <w:szCs w:val="21"/>
          <w:highlight w:val="none"/>
        </w:rPr>
        <w:t>注：后附法定代表人身份证</w:t>
      </w:r>
      <w:r>
        <w:rPr>
          <w:rFonts w:hint="eastAsia" w:ascii="宋体" w:hAnsi="宋体"/>
          <w:b/>
          <w:bCs/>
          <w:color w:val="auto"/>
          <w:szCs w:val="21"/>
          <w:highlight w:val="none"/>
          <w:lang w:val="en-US" w:eastAsia="zh-CN"/>
        </w:rPr>
        <w:t>扫描件</w:t>
      </w:r>
      <w:r>
        <w:rPr>
          <w:rFonts w:hint="eastAsia" w:ascii="宋体" w:hAnsi="宋体"/>
          <w:b/>
          <w:bCs/>
          <w:color w:val="auto"/>
          <w:szCs w:val="21"/>
          <w:highlight w:val="none"/>
        </w:rPr>
        <w:t>。</w:t>
      </w:r>
    </w:p>
    <w:p w14:paraId="0A6A7E2A">
      <w:pPr>
        <w:spacing w:line="360" w:lineRule="auto"/>
        <w:rPr>
          <w:rFonts w:ascii="宋体" w:hAnsi="宋体"/>
          <w:color w:val="auto"/>
          <w:szCs w:val="21"/>
          <w:highlight w:val="none"/>
        </w:rPr>
      </w:pPr>
    </w:p>
    <w:p w14:paraId="2D1D9D34">
      <w:pPr>
        <w:spacing w:line="360" w:lineRule="auto"/>
        <w:rPr>
          <w:rFonts w:ascii="宋体" w:hAnsi="宋体"/>
          <w:color w:val="auto"/>
          <w:szCs w:val="21"/>
          <w:highlight w:val="none"/>
        </w:rPr>
      </w:pPr>
    </w:p>
    <w:p w14:paraId="5AE46275">
      <w:pPr>
        <w:spacing w:line="360" w:lineRule="auto"/>
        <w:ind w:left="5397" w:leftChars="2570"/>
        <w:rPr>
          <w:rFonts w:ascii="宋体" w:hAnsi="宋体"/>
          <w:color w:val="auto"/>
          <w:szCs w:val="21"/>
          <w:highlight w:val="none"/>
          <w:u w:val="single"/>
        </w:rPr>
      </w:pPr>
      <w:r>
        <w:rPr>
          <w:rFonts w:hint="eastAsia" w:ascii="宋体" w:hAnsi="宋体"/>
          <w:color w:val="auto"/>
          <w:szCs w:val="21"/>
          <w:highlight w:val="none"/>
        </w:rPr>
        <w:t>投标人（</w:t>
      </w:r>
      <w:r>
        <w:rPr>
          <w:rFonts w:hint="eastAsia" w:ascii="宋体" w:hAnsi="宋体"/>
          <w:color w:val="auto"/>
          <w:szCs w:val="21"/>
          <w:highlight w:val="none"/>
          <w:lang w:eastAsia="zh-CN"/>
        </w:rPr>
        <w:t>电子签章</w:t>
      </w:r>
      <w:r>
        <w:rPr>
          <w:rFonts w:hint="eastAsia" w:ascii="宋体" w:hAnsi="宋体"/>
          <w:color w:val="auto"/>
          <w:szCs w:val="21"/>
          <w:highlight w:val="none"/>
        </w:rPr>
        <w:t>）：</w:t>
      </w:r>
      <w:r>
        <w:rPr>
          <w:rFonts w:ascii="宋体" w:hAnsi="宋体"/>
          <w:color w:val="auto"/>
          <w:szCs w:val="21"/>
          <w:highlight w:val="none"/>
        </w:rPr>
        <w:t xml:space="preserve"> </w:t>
      </w:r>
      <w:r>
        <w:rPr>
          <w:rFonts w:ascii="宋体" w:hAnsi="宋体"/>
          <w:color w:val="auto"/>
          <w:szCs w:val="21"/>
          <w:highlight w:val="none"/>
          <w:u w:val="single"/>
        </w:rPr>
        <w:t xml:space="preserve">           </w:t>
      </w:r>
    </w:p>
    <w:p w14:paraId="339773AE">
      <w:pPr>
        <w:spacing w:line="360" w:lineRule="auto"/>
        <w:ind w:left="5397" w:leftChars="2570"/>
        <w:rPr>
          <w:rFonts w:ascii="宋体" w:hAnsi="宋体"/>
          <w:color w:val="auto"/>
          <w:szCs w:val="21"/>
          <w:highlight w:val="none"/>
        </w:rPr>
      </w:pPr>
    </w:p>
    <w:p w14:paraId="60AAD073">
      <w:pPr>
        <w:spacing w:line="360" w:lineRule="auto"/>
        <w:ind w:left="5397" w:leftChars="2570"/>
        <w:rPr>
          <w:rFonts w:ascii="宋体" w:hAnsi="宋体"/>
          <w:color w:val="auto"/>
          <w:szCs w:val="21"/>
          <w:highlight w:val="none"/>
        </w:rPr>
      </w:pPr>
      <w:r>
        <w:rPr>
          <w:rFonts w:ascii="宋体" w:hAnsi="宋体"/>
          <w:color w:val="auto"/>
          <w:szCs w:val="21"/>
          <w:highlight w:val="none"/>
        </w:rPr>
        <w:t>日期：</w:t>
      </w:r>
      <w:r>
        <w:rPr>
          <w:rFonts w:ascii="宋体" w:hAnsi="宋体"/>
          <w:color w:val="auto"/>
          <w:szCs w:val="21"/>
          <w:highlight w:val="none"/>
          <w:u w:val="single"/>
        </w:rPr>
        <w:t>　　　</w:t>
      </w:r>
      <w:r>
        <w:rPr>
          <w:rFonts w:ascii="宋体" w:hAnsi="宋体"/>
          <w:color w:val="auto"/>
          <w:szCs w:val="21"/>
          <w:highlight w:val="none"/>
        </w:rPr>
        <w:t>年</w:t>
      </w:r>
      <w:r>
        <w:rPr>
          <w:rFonts w:ascii="宋体" w:hAnsi="宋体"/>
          <w:color w:val="auto"/>
          <w:szCs w:val="21"/>
          <w:highlight w:val="none"/>
          <w:u w:val="single"/>
        </w:rPr>
        <w:t>　　</w:t>
      </w:r>
      <w:r>
        <w:rPr>
          <w:rFonts w:ascii="宋体" w:hAnsi="宋体"/>
          <w:color w:val="auto"/>
          <w:szCs w:val="21"/>
          <w:highlight w:val="none"/>
        </w:rPr>
        <w:t>月</w:t>
      </w:r>
      <w:r>
        <w:rPr>
          <w:rFonts w:ascii="宋体" w:hAnsi="宋体"/>
          <w:color w:val="auto"/>
          <w:szCs w:val="21"/>
          <w:highlight w:val="none"/>
          <w:u w:val="single"/>
        </w:rPr>
        <w:t>　　</w:t>
      </w:r>
      <w:r>
        <w:rPr>
          <w:rFonts w:ascii="宋体" w:hAnsi="宋体"/>
          <w:color w:val="auto"/>
          <w:szCs w:val="21"/>
          <w:highlight w:val="none"/>
        </w:rPr>
        <w:t>日</w:t>
      </w:r>
    </w:p>
    <w:p w14:paraId="3E702810">
      <w:pPr>
        <w:spacing w:line="360" w:lineRule="auto"/>
        <w:rPr>
          <w:rFonts w:ascii="宋体" w:hAnsi="宋体"/>
          <w:color w:val="auto"/>
          <w:szCs w:val="21"/>
          <w:highlight w:val="none"/>
        </w:rPr>
      </w:pPr>
    </w:p>
    <w:p w14:paraId="753F32B4">
      <w:pPr>
        <w:spacing w:line="360" w:lineRule="auto"/>
        <w:rPr>
          <w:rFonts w:ascii="宋体" w:hAnsi="宋体"/>
          <w:b/>
          <w:color w:val="auto"/>
          <w:sz w:val="28"/>
          <w:szCs w:val="28"/>
          <w:highlight w:val="none"/>
        </w:rPr>
      </w:pPr>
      <w:r>
        <w:rPr>
          <w:rFonts w:ascii="宋体" w:hAnsi="宋体"/>
          <w:b/>
          <w:color w:val="auto"/>
          <w:szCs w:val="21"/>
          <w:highlight w:val="none"/>
        </w:rPr>
        <w:br w:type="page"/>
      </w:r>
      <w:r>
        <w:rPr>
          <w:rFonts w:hint="eastAsia" w:ascii="宋体" w:hAnsi="宋体"/>
          <w:b/>
          <w:color w:val="auto"/>
          <w:sz w:val="28"/>
          <w:szCs w:val="28"/>
          <w:highlight w:val="none"/>
        </w:rPr>
        <w:t>格式</w:t>
      </w:r>
      <w:r>
        <w:rPr>
          <w:rFonts w:hint="eastAsia" w:ascii="宋体" w:hAnsi="宋体"/>
          <w:b/>
          <w:color w:val="auto"/>
          <w:sz w:val="28"/>
          <w:szCs w:val="28"/>
          <w:highlight w:val="none"/>
          <w:lang w:val="en-US" w:eastAsia="zh-CN"/>
        </w:rPr>
        <w:t>5</w:t>
      </w:r>
      <w:r>
        <w:rPr>
          <w:rFonts w:hint="eastAsia" w:ascii="宋体" w:hAnsi="宋体"/>
          <w:b/>
          <w:color w:val="auto"/>
          <w:sz w:val="28"/>
          <w:szCs w:val="28"/>
          <w:highlight w:val="none"/>
        </w:rPr>
        <w:t>：</w:t>
      </w:r>
    </w:p>
    <w:p w14:paraId="3B26B55C">
      <w:pPr>
        <w:numPr>
          <w:ilvl w:val="2"/>
          <w:numId w:val="0"/>
        </w:numPr>
        <w:tabs>
          <w:tab w:val="left" w:pos="900"/>
        </w:tabs>
        <w:adjustRightInd w:val="0"/>
        <w:spacing w:line="360" w:lineRule="auto"/>
        <w:jc w:val="center"/>
        <w:textAlignment w:val="baseline"/>
        <w:outlineLvl w:val="2"/>
        <w:rPr>
          <w:rFonts w:ascii="宋体" w:hAnsi="宋体"/>
          <w:b/>
          <w:color w:val="auto"/>
          <w:kern w:val="0"/>
          <w:sz w:val="32"/>
          <w:szCs w:val="21"/>
          <w:highlight w:val="none"/>
        </w:rPr>
      </w:pPr>
      <w:bookmarkStart w:id="131" w:name="_Toc348010005"/>
      <w:bookmarkStart w:id="132" w:name="_Toc213141107"/>
      <w:r>
        <w:rPr>
          <w:rFonts w:hint="eastAsia" w:ascii="宋体" w:hAnsi="宋体"/>
          <w:b/>
          <w:color w:val="auto"/>
          <w:kern w:val="0"/>
          <w:sz w:val="32"/>
          <w:szCs w:val="21"/>
          <w:highlight w:val="none"/>
        </w:rPr>
        <w:t>法定代表人授权委托书</w:t>
      </w:r>
      <w:bookmarkEnd w:id="131"/>
      <w:bookmarkEnd w:id="132"/>
    </w:p>
    <w:p w14:paraId="0665B8D7">
      <w:pPr>
        <w:spacing w:line="360" w:lineRule="auto"/>
        <w:ind w:firstLine="480" w:firstLineChars="200"/>
        <w:rPr>
          <w:rFonts w:ascii="宋体" w:hAnsi="宋体"/>
          <w:color w:val="auto"/>
          <w:sz w:val="24"/>
          <w:highlight w:val="none"/>
        </w:rPr>
      </w:pPr>
    </w:p>
    <w:p w14:paraId="2756BF46">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本授权书声明：</w:t>
      </w:r>
      <w:r>
        <w:rPr>
          <w:rFonts w:hint="eastAsia" w:ascii="宋体" w:hAnsi="宋体"/>
          <w:color w:val="auto"/>
          <w:szCs w:val="21"/>
          <w:highlight w:val="none"/>
          <w:u w:val="single"/>
        </w:rPr>
        <w:t xml:space="preserve">  （投标人全称）  </w:t>
      </w:r>
      <w:r>
        <w:rPr>
          <w:rFonts w:hint="eastAsia" w:ascii="宋体" w:hAnsi="宋体"/>
          <w:color w:val="auto"/>
          <w:szCs w:val="21"/>
          <w:highlight w:val="none"/>
        </w:rPr>
        <w:t>的法定代表人代表本公司授权</w:t>
      </w:r>
      <w:r>
        <w:rPr>
          <w:rFonts w:hint="eastAsia" w:ascii="宋体" w:hAnsi="宋体"/>
          <w:color w:val="auto"/>
          <w:szCs w:val="21"/>
          <w:highlight w:val="none"/>
          <w:u w:val="single"/>
        </w:rPr>
        <w:t>（委托代理人姓名）</w:t>
      </w:r>
      <w:r>
        <w:rPr>
          <w:rFonts w:hint="eastAsia" w:ascii="宋体" w:hAnsi="宋体"/>
          <w:color w:val="auto"/>
          <w:szCs w:val="21"/>
          <w:highlight w:val="none"/>
        </w:rPr>
        <w:t>为本公司合法代理人，就贵方组织的有关</w:t>
      </w:r>
      <w:r>
        <w:rPr>
          <w:rFonts w:hint="eastAsia" w:ascii="宋体" w:hAnsi="宋体"/>
          <w:color w:val="auto"/>
          <w:szCs w:val="21"/>
          <w:highlight w:val="none"/>
          <w:u w:val="single"/>
        </w:rPr>
        <w:t xml:space="preserve">（采购项目名称）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项目（项目编号：</w:t>
      </w:r>
      <w:r>
        <w:rPr>
          <w:rFonts w:hint="eastAsia" w:ascii="宋体" w:hAnsi="宋体"/>
          <w:color w:val="auto"/>
          <w:szCs w:val="21"/>
          <w:highlight w:val="none"/>
          <w:u w:val="single"/>
        </w:rPr>
        <w:t xml:space="preserve">              </w:t>
      </w:r>
      <w:r>
        <w:rPr>
          <w:rFonts w:hint="eastAsia" w:ascii="宋体" w:hAnsi="宋体"/>
          <w:color w:val="auto"/>
          <w:szCs w:val="21"/>
          <w:highlight w:val="none"/>
        </w:rPr>
        <w:t>）的</w:t>
      </w:r>
      <w:r>
        <w:rPr>
          <w:rFonts w:ascii="宋体" w:hAnsi="宋体"/>
          <w:color w:val="auto"/>
          <w:szCs w:val="21"/>
          <w:highlight w:val="none"/>
        </w:rPr>
        <w:t>招标</w:t>
      </w:r>
      <w:r>
        <w:rPr>
          <w:rFonts w:hint="eastAsia" w:ascii="宋体" w:hAnsi="宋体"/>
          <w:color w:val="auto"/>
          <w:szCs w:val="21"/>
          <w:highlight w:val="none"/>
        </w:rPr>
        <w:t>，以本单位名义</w:t>
      </w:r>
      <w:r>
        <w:rPr>
          <w:rFonts w:ascii="宋体" w:hAnsi="宋体"/>
          <w:color w:val="auto"/>
          <w:szCs w:val="21"/>
          <w:highlight w:val="none"/>
        </w:rPr>
        <w:t>投标</w:t>
      </w:r>
      <w:r>
        <w:rPr>
          <w:rFonts w:hint="eastAsia" w:ascii="宋体" w:hAnsi="宋体"/>
          <w:color w:val="auto"/>
          <w:szCs w:val="21"/>
          <w:highlight w:val="none"/>
        </w:rPr>
        <w:t>。</w:t>
      </w:r>
      <w:r>
        <w:rPr>
          <w:rFonts w:ascii="宋体" w:hAnsi="宋体"/>
          <w:color w:val="auto"/>
          <w:szCs w:val="21"/>
          <w:highlight w:val="none"/>
        </w:rPr>
        <w:t>代理人在本项目投标过程中所签署的一切文件和处理与之有关的一切事务，我方均予承认。</w:t>
      </w:r>
      <w:r>
        <w:rPr>
          <w:rFonts w:hint="eastAsia" w:ascii="宋体" w:hAnsi="宋体"/>
          <w:color w:val="auto"/>
          <w:szCs w:val="21"/>
          <w:highlight w:val="none"/>
        </w:rPr>
        <w:t xml:space="preserve"> </w:t>
      </w:r>
    </w:p>
    <w:p w14:paraId="5CB7B78D">
      <w:pPr>
        <w:pStyle w:val="16"/>
        <w:spacing w:line="500" w:lineRule="exact"/>
        <w:ind w:left="210" w:leftChars="100" w:firstLine="420"/>
        <w:rPr>
          <w:rFonts w:hAnsi="宋体"/>
          <w:color w:val="auto"/>
          <w:szCs w:val="21"/>
          <w:highlight w:val="none"/>
        </w:rPr>
      </w:pPr>
      <w:r>
        <w:rPr>
          <w:rFonts w:hAnsi="宋体"/>
          <w:color w:val="auto"/>
          <w:szCs w:val="21"/>
          <w:highlight w:val="none"/>
        </w:rPr>
        <w:t>代理人无转委托权。</w:t>
      </w:r>
    </w:p>
    <w:p w14:paraId="667DFDD3">
      <w:pPr>
        <w:pStyle w:val="16"/>
        <w:spacing w:line="500" w:lineRule="exact"/>
        <w:ind w:firstLine="420"/>
        <w:rPr>
          <w:rFonts w:hAnsi="宋体"/>
          <w:color w:val="auto"/>
          <w:szCs w:val="21"/>
          <w:highlight w:val="none"/>
        </w:rPr>
      </w:pPr>
    </w:p>
    <w:p w14:paraId="7C469202">
      <w:pPr>
        <w:spacing w:line="360" w:lineRule="auto"/>
        <w:ind w:firstLine="426"/>
        <w:jc w:val="left"/>
        <w:rPr>
          <w:rFonts w:ascii="宋体" w:hAnsi="宋体"/>
          <w:b/>
          <w:color w:val="auto"/>
          <w:szCs w:val="21"/>
          <w:highlight w:val="none"/>
        </w:rPr>
      </w:pPr>
      <w:r>
        <w:rPr>
          <w:rFonts w:hint="eastAsia" w:ascii="宋体" w:hAnsi="宋体"/>
          <w:b/>
          <w:color w:val="auto"/>
          <w:szCs w:val="21"/>
          <w:highlight w:val="none"/>
        </w:rPr>
        <w:t>投标人</w:t>
      </w:r>
      <w:r>
        <w:rPr>
          <w:rFonts w:ascii="宋体" w:hAnsi="宋体"/>
          <w:b/>
          <w:color w:val="auto"/>
          <w:szCs w:val="21"/>
          <w:highlight w:val="none"/>
        </w:rPr>
        <w:t>：</w:t>
      </w:r>
      <w:r>
        <w:rPr>
          <w:rFonts w:ascii="宋体" w:hAnsi="宋体"/>
          <w:b/>
          <w:color w:val="auto"/>
          <w:szCs w:val="21"/>
          <w:highlight w:val="none"/>
          <w:u w:val="single"/>
        </w:rPr>
        <w:t xml:space="preserve">                          </w:t>
      </w:r>
      <w:r>
        <w:rPr>
          <w:rFonts w:ascii="宋体" w:hAnsi="宋体"/>
          <w:b/>
          <w:color w:val="auto"/>
          <w:szCs w:val="21"/>
          <w:highlight w:val="none"/>
        </w:rPr>
        <w:t>（</w:t>
      </w:r>
      <w:r>
        <w:rPr>
          <w:rFonts w:hint="eastAsia" w:ascii="宋体" w:hAnsi="宋体"/>
          <w:b/>
          <w:color w:val="auto"/>
          <w:szCs w:val="21"/>
          <w:highlight w:val="none"/>
          <w:lang w:eastAsia="zh-CN"/>
        </w:rPr>
        <w:t>电子签章</w:t>
      </w:r>
      <w:r>
        <w:rPr>
          <w:rFonts w:ascii="宋体" w:hAnsi="宋体"/>
          <w:b/>
          <w:color w:val="auto"/>
          <w:szCs w:val="21"/>
          <w:highlight w:val="none"/>
        </w:rPr>
        <w:t>）</w:t>
      </w:r>
    </w:p>
    <w:p w14:paraId="2D5D4B36">
      <w:pPr>
        <w:spacing w:line="360" w:lineRule="auto"/>
        <w:ind w:firstLine="426"/>
        <w:jc w:val="left"/>
        <w:rPr>
          <w:rFonts w:ascii="宋体" w:hAnsi="宋体"/>
          <w:b/>
          <w:color w:val="auto"/>
          <w:szCs w:val="21"/>
          <w:highlight w:val="none"/>
        </w:rPr>
      </w:pPr>
    </w:p>
    <w:p w14:paraId="510DE232">
      <w:pPr>
        <w:spacing w:line="360" w:lineRule="auto"/>
        <w:ind w:firstLine="426"/>
        <w:jc w:val="left"/>
        <w:rPr>
          <w:rFonts w:ascii="宋体" w:hAnsi="宋体"/>
          <w:b/>
          <w:color w:val="auto"/>
          <w:szCs w:val="21"/>
          <w:highlight w:val="none"/>
        </w:rPr>
      </w:pPr>
      <w:r>
        <w:rPr>
          <w:rFonts w:ascii="宋体" w:hAnsi="宋体"/>
          <w:b/>
          <w:color w:val="auto"/>
          <w:szCs w:val="21"/>
          <w:highlight w:val="none"/>
        </w:rPr>
        <w:t>法定代表人（</w:t>
      </w:r>
      <w:r>
        <w:rPr>
          <w:rFonts w:hint="eastAsia" w:ascii="宋体" w:hAnsi="宋体"/>
          <w:b/>
          <w:color w:val="auto"/>
          <w:szCs w:val="21"/>
          <w:highlight w:val="none"/>
          <w:lang w:eastAsia="zh-CN"/>
        </w:rPr>
        <w:t>电子签章</w:t>
      </w:r>
      <w:r>
        <w:rPr>
          <w:rFonts w:hint="eastAsia" w:ascii="宋体" w:hAnsi="宋体"/>
          <w:b/>
          <w:color w:val="auto"/>
          <w:szCs w:val="21"/>
          <w:highlight w:val="none"/>
          <w:lang w:val="en-US" w:eastAsia="zh-CN"/>
        </w:rPr>
        <w:t>或签名</w:t>
      </w:r>
      <w:r>
        <w:rPr>
          <w:rFonts w:ascii="宋体" w:hAnsi="宋体"/>
          <w:b/>
          <w:color w:val="auto"/>
          <w:szCs w:val="21"/>
          <w:highlight w:val="none"/>
        </w:rPr>
        <w:t>）：</w:t>
      </w:r>
      <w:r>
        <w:rPr>
          <w:rFonts w:ascii="宋体" w:hAnsi="宋体"/>
          <w:b/>
          <w:color w:val="auto"/>
          <w:szCs w:val="21"/>
          <w:highlight w:val="none"/>
          <w:u w:val="single"/>
        </w:rPr>
        <w:t xml:space="preserve">                </w:t>
      </w:r>
    </w:p>
    <w:p w14:paraId="6DBE2BE7">
      <w:pPr>
        <w:spacing w:line="360" w:lineRule="auto"/>
        <w:ind w:left="4193" w:leftChars="1350" w:hanging="1358" w:hangingChars="647"/>
        <w:rPr>
          <w:rFonts w:ascii="宋体" w:hAnsi="宋体"/>
          <w:b/>
          <w:color w:val="auto"/>
          <w:szCs w:val="21"/>
          <w:highlight w:val="none"/>
          <w:u w:val="single"/>
        </w:rPr>
      </w:pPr>
    </w:p>
    <w:p w14:paraId="44C62EA1">
      <w:pPr>
        <w:spacing w:line="360" w:lineRule="auto"/>
        <w:ind w:firstLine="420" w:firstLineChars="200"/>
        <w:rPr>
          <w:rFonts w:ascii="宋体" w:hAnsi="宋体"/>
          <w:color w:val="auto"/>
          <w:szCs w:val="21"/>
          <w:highlight w:val="none"/>
        </w:rPr>
      </w:pPr>
      <w:r>
        <w:rPr>
          <w:rFonts w:hint="eastAsia" w:ascii="宋体" w:hAnsi="宋体"/>
          <w:b/>
          <w:color w:val="auto"/>
          <w:szCs w:val="21"/>
          <w:highlight w:val="none"/>
        </w:rPr>
        <w:t>签发日期：</w:t>
      </w:r>
      <w:r>
        <w:rPr>
          <w:rFonts w:ascii="宋体" w:hAnsi="宋体"/>
          <w:b/>
          <w:color w:val="auto"/>
          <w:szCs w:val="21"/>
          <w:highlight w:val="none"/>
          <w:u w:val="single"/>
        </w:rPr>
        <w:t xml:space="preserve">        </w:t>
      </w:r>
      <w:r>
        <w:rPr>
          <w:rFonts w:ascii="宋体" w:hAnsi="宋体"/>
          <w:b/>
          <w:color w:val="auto"/>
          <w:szCs w:val="21"/>
          <w:highlight w:val="none"/>
        </w:rPr>
        <w:t>年</w:t>
      </w:r>
      <w:r>
        <w:rPr>
          <w:rFonts w:ascii="宋体" w:hAnsi="宋体"/>
          <w:b/>
          <w:color w:val="auto"/>
          <w:szCs w:val="21"/>
          <w:highlight w:val="none"/>
          <w:u w:val="single"/>
        </w:rPr>
        <w:t xml:space="preserve">     </w:t>
      </w:r>
      <w:r>
        <w:rPr>
          <w:rFonts w:ascii="宋体" w:hAnsi="宋体"/>
          <w:b/>
          <w:color w:val="auto"/>
          <w:szCs w:val="21"/>
          <w:highlight w:val="none"/>
        </w:rPr>
        <w:t>月</w:t>
      </w:r>
      <w:r>
        <w:rPr>
          <w:rFonts w:ascii="宋体" w:hAnsi="宋体"/>
          <w:b/>
          <w:color w:val="auto"/>
          <w:szCs w:val="21"/>
          <w:highlight w:val="none"/>
          <w:u w:val="single"/>
        </w:rPr>
        <w:t xml:space="preserve">     </w:t>
      </w:r>
      <w:r>
        <w:rPr>
          <w:rFonts w:ascii="宋体" w:hAnsi="宋体"/>
          <w:b/>
          <w:color w:val="auto"/>
          <w:szCs w:val="21"/>
          <w:highlight w:val="none"/>
        </w:rPr>
        <w:t>日</w:t>
      </w:r>
    </w:p>
    <w:p w14:paraId="557BE947">
      <w:pPr>
        <w:spacing w:line="360" w:lineRule="auto"/>
        <w:ind w:firstLine="420"/>
        <w:rPr>
          <w:rFonts w:ascii="宋体" w:hAnsi="宋体"/>
          <w:b/>
          <w:bCs/>
          <w:color w:val="auto"/>
          <w:szCs w:val="21"/>
          <w:highlight w:val="none"/>
        </w:rPr>
      </w:pPr>
      <w:r>
        <w:rPr>
          <w:rFonts w:hint="eastAsia" w:ascii="宋体" w:hAnsi="宋体"/>
          <w:b/>
          <w:bCs/>
          <w:color w:val="auto"/>
          <w:szCs w:val="21"/>
          <w:highlight w:val="none"/>
        </w:rPr>
        <w:t>注：后附委托代理人身份证</w:t>
      </w:r>
      <w:r>
        <w:rPr>
          <w:rFonts w:hint="eastAsia" w:ascii="宋体" w:hAnsi="宋体"/>
          <w:b/>
          <w:bCs/>
          <w:color w:val="auto"/>
          <w:szCs w:val="21"/>
          <w:highlight w:val="none"/>
          <w:lang w:val="en-US" w:eastAsia="zh-CN"/>
        </w:rPr>
        <w:t>扫描件</w:t>
      </w:r>
      <w:r>
        <w:rPr>
          <w:rFonts w:hint="eastAsia" w:ascii="宋体" w:hAnsi="宋体"/>
          <w:b/>
          <w:bCs/>
          <w:color w:val="auto"/>
          <w:szCs w:val="21"/>
          <w:highlight w:val="none"/>
        </w:rPr>
        <w:t>。</w:t>
      </w:r>
    </w:p>
    <w:p w14:paraId="214BF176">
      <w:pPr>
        <w:spacing w:line="360" w:lineRule="auto"/>
        <w:ind w:firstLine="420"/>
        <w:rPr>
          <w:rFonts w:ascii="宋体" w:hAnsi="宋体"/>
          <w:color w:val="auto"/>
          <w:szCs w:val="21"/>
          <w:highlight w:val="none"/>
        </w:rPr>
      </w:pPr>
    </w:p>
    <w:p w14:paraId="090FE378">
      <w:pPr>
        <w:spacing w:line="360" w:lineRule="auto"/>
        <w:ind w:firstLine="420"/>
        <w:rPr>
          <w:rFonts w:ascii="宋体" w:hAnsi="宋体"/>
          <w:color w:val="auto"/>
          <w:szCs w:val="21"/>
          <w:highlight w:val="none"/>
        </w:rPr>
      </w:pPr>
    </w:p>
    <w:p w14:paraId="65CA055F">
      <w:pPr>
        <w:pStyle w:val="16"/>
        <w:spacing w:line="600" w:lineRule="exact"/>
        <w:rPr>
          <w:rFonts w:hAnsi="宋体"/>
          <w:b/>
          <w:color w:val="auto"/>
          <w:sz w:val="28"/>
          <w:szCs w:val="28"/>
          <w:highlight w:val="none"/>
        </w:rPr>
      </w:pPr>
      <w:r>
        <w:rPr>
          <w:rFonts w:hint="eastAsia" w:hAnsi="宋体"/>
          <w:color w:val="auto"/>
          <w:sz w:val="24"/>
          <w:highlight w:val="none"/>
        </w:rPr>
        <w:br w:type="page"/>
      </w:r>
      <w:r>
        <w:rPr>
          <w:rFonts w:hint="eastAsia" w:hAnsi="宋体"/>
          <w:b/>
          <w:color w:val="auto"/>
          <w:sz w:val="28"/>
          <w:szCs w:val="28"/>
          <w:highlight w:val="none"/>
        </w:rPr>
        <w:t>格式</w:t>
      </w:r>
      <w:r>
        <w:rPr>
          <w:rFonts w:hint="eastAsia" w:hAnsi="宋体"/>
          <w:b/>
          <w:color w:val="auto"/>
          <w:sz w:val="28"/>
          <w:szCs w:val="28"/>
          <w:highlight w:val="none"/>
          <w:lang w:val="en-US" w:eastAsia="zh-CN"/>
        </w:rPr>
        <w:t>6</w:t>
      </w:r>
      <w:r>
        <w:rPr>
          <w:rFonts w:hint="eastAsia" w:hAnsi="宋体"/>
          <w:b/>
          <w:color w:val="auto"/>
          <w:sz w:val="28"/>
          <w:szCs w:val="28"/>
          <w:highlight w:val="none"/>
        </w:rPr>
        <w:t>：</w:t>
      </w:r>
    </w:p>
    <w:p w14:paraId="40689877">
      <w:pPr>
        <w:pStyle w:val="16"/>
        <w:spacing w:line="600" w:lineRule="exact"/>
        <w:rPr>
          <w:rFonts w:hAnsi="宋体"/>
          <w:b/>
          <w:color w:val="auto"/>
          <w:sz w:val="28"/>
          <w:szCs w:val="28"/>
          <w:highlight w:val="none"/>
        </w:rPr>
      </w:pPr>
    </w:p>
    <w:bookmarkEnd w:id="128"/>
    <w:bookmarkEnd w:id="129"/>
    <w:p w14:paraId="6C769195">
      <w:pPr>
        <w:numPr>
          <w:ilvl w:val="2"/>
          <w:numId w:val="0"/>
        </w:numPr>
        <w:tabs>
          <w:tab w:val="left" w:pos="900"/>
        </w:tabs>
        <w:adjustRightInd w:val="0"/>
        <w:spacing w:line="360" w:lineRule="auto"/>
        <w:jc w:val="center"/>
        <w:textAlignment w:val="baseline"/>
        <w:outlineLvl w:val="2"/>
        <w:rPr>
          <w:rFonts w:ascii="宋体" w:hAnsi="宋体"/>
          <w:b/>
          <w:color w:val="auto"/>
          <w:kern w:val="0"/>
          <w:sz w:val="32"/>
          <w:szCs w:val="21"/>
          <w:highlight w:val="none"/>
        </w:rPr>
      </w:pPr>
      <w:bookmarkStart w:id="133" w:name="_Toc496521005"/>
      <w:r>
        <w:rPr>
          <w:rFonts w:hint="eastAsia" w:ascii="宋体" w:hAnsi="宋体"/>
          <w:b/>
          <w:color w:val="auto"/>
          <w:kern w:val="0"/>
          <w:sz w:val="32"/>
          <w:szCs w:val="21"/>
          <w:highlight w:val="none"/>
        </w:rPr>
        <w:t>中小企业声明函</w:t>
      </w:r>
    </w:p>
    <w:p w14:paraId="2804954B">
      <w:pPr>
        <w:spacing w:line="360" w:lineRule="auto"/>
        <w:ind w:right="105" w:rightChars="50" w:firstLine="444" w:firstLineChars="200"/>
        <w:jc w:val="center"/>
        <w:rPr>
          <w:rFonts w:ascii="宋体" w:hAnsi="宋体"/>
          <w:color w:val="auto"/>
          <w:spacing w:val="6"/>
          <w:szCs w:val="30"/>
          <w:highlight w:val="none"/>
        </w:rPr>
      </w:pPr>
    </w:p>
    <w:p w14:paraId="7087D036">
      <w:pPr>
        <w:autoSpaceDE w:val="0"/>
        <w:autoSpaceDN w:val="0"/>
        <w:adjustRightInd w:val="0"/>
        <w:spacing w:line="360" w:lineRule="auto"/>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本公司（联合体）郑重声明，根据《政府采购促进中小企业发展管理办法》（财库﹝</w:t>
      </w:r>
      <w:r>
        <w:rPr>
          <w:rFonts w:ascii="宋体" w:hAnsi="宋体"/>
          <w:color w:val="auto"/>
          <w:kern w:val="0"/>
          <w:szCs w:val="21"/>
          <w:highlight w:val="none"/>
        </w:rPr>
        <w:t>2020</w:t>
      </w:r>
      <w:r>
        <w:rPr>
          <w:rFonts w:hint="eastAsia" w:ascii="宋体" w:hAnsi="宋体"/>
          <w:color w:val="auto"/>
          <w:kern w:val="0"/>
          <w:szCs w:val="21"/>
          <w:highlight w:val="none"/>
        </w:rPr>
        <w:t>﹞</w:t>
      </w:r>
      <w:r>
        <w:rPr>
          <w:rFonts w:ascii="宋体" w:hAnsi="宋体"/>
          <w:color w:val="auto"/>
          <w:kern w:val="0"/>
          <w:szCs w:val="21"/>
          <w:highlight w:val="none"/>
        </w:rPr>
        <w:t>46</w:t>
      </w:r>
      <w:r>
        <w:rPr>
          <w:rFonts w:hint="eastAsia" w:ascii="宋体" w:hAnsi="宋体"/>
          <w:color w:val="auto"/>
          <w:kern w:val="0"/>
          <w:szCs w:val="21"/>
          <w:highlight w:val="none"/>
        </w:rPr>
        <w:t>号）的规定，本公司（联合体）参加</w:t>
      </w:r>
      <w:r>
        <w:rPr>
          <w:rFonts w:hint="eastAsia" w:ascii="宋体" w:hAnsi="宋体"/>
          <w:color w:val="auto"/>
          <w:kern w:val="0"/>
          <w:szCs w:val="21"/>
          <w:highlight w:val="none"/>
          <w:u w:val="single"/>
        </w:rPr>
        <w:t>（单位名称）</w:t>
      </w:r>
      <w:r>
        <w:rPr>
          <w:rFonts w:hint="eastAsia" w:ascii="宋体" w:hAnsi="宋体"/>
          <w:color w:val="auto"/>
          <w:kern w:val="0"/>
          <w:szCs w:val="21"/>
          <w:highlight w:val="none"/>
        </w:rPr>
        <w:t>的</w:t>
      </w:r>
      <w:r>
        <w:rPr>
          <w:rFonts w:hint="eastAsia" w:ascii="宋体" w:hAnsi="宋体"/>
          <w:color w:val="auto"/>
          <w:kern w:val="0"/>
          <w:szCs w:val="21"/>
          <w:highlight w:val="none"/>
          <w:u w:val="single"/>
        </w:rPr>
        <w:t>（项目名称）</w:t>
      </w:r>
      <w:r>
        <w:rPr>
          <w:rFonts w:hint="eastAsia" w:ascii="宋体" w:hAnsi="宋体"/>
          <w:color w:val="auto"/>
          <w:kern w:val="0"/>
          <w:szCs w:val="21"/>
          <w:highlight w:val="none"/>
        </w:rPr>
        <w:t>采购活动，服务全部由符合政策要求的中小企业承接。相关企业（含联合体中的中小企业、签订分包意向协议的中小企业）的具体情况如下：</w:t>
      </w:r>
    </w:p>
    <w:p w14:paraId="57927ED4">
      <w:pPr>
        <w:autoSpaceDE w:val="0"/>
        <w:autoSpaceDN w:val="0"/>
        <w:adjustRightInd w:val="0"/>
        <w:spacing w:line="360" w:lineRule="auto"/>
        <w:ind w:left="210" w:leftChars="100" w:firstLine="210" w:firstLineChars="100"/>
        <w:jc w:val="left"/>
        <w:rPr>
          <w:rFonts w:ascii="宋体" w:hAnsi="宋体"/>
          <w:color w:val="auto"/>
          <w:kern w:val="0"/>
          <w:szCs w:val="21"/>
          <w:highlight w:val="none"/>
        </w:rPr>
      </w:pPr>
      <w:r>
        <w:rPr>
          <w:rFonts w:ascii="宋体" w:hAnsi="宋体"/>
          <w:color w:val="auto"/>
          <w:kern w:val="0"/>
          <w:szCs w:val="21"/>
          <w:highlight w:val="none"/>
        </w:rPr>
        <w:t xml:space="preserve">1. </w:t>
      </w:r>
      <w:r>
        <w:rPr>
          <w:rFonts w:hint="eastAsia" w:ascii="宋体" w:hAnsi="宋体"/>
          <w:color w:val="auto"/>
          <w:kern w:val="0"/>
          <w:szCs w:val="21"/>
          <w:highlight w:val="none"/>
          <w:u w:val="single"/>
        </w:rPr>
        <w:t>（标的名称）</w:t>
      </w:r>
      <w:r>
        <w:rPr>
          <w:rFonts w:ascii="宋体" w:hAnsi="宋体"/>
          <w:color w:val="auto"/>
          <w:kern w:val="0"/>
          <w:szCs w:val="21"/>
          <w:highlight w:val="none"/>
          <w:u w:val="single"/>
        </w:rPr>
        <w:t xml:space="preserve"> </w:t>
      </w:r>
      <w:r>
        <w:rPr>
          <w:rFonts w:hint="eastAsia" w:ascii="宋体" w:hAnsi="宋体"/>
          <w:color w:val="auto"/>
          <w:kern w:val="0"/>
          <w:szCs w:val="21"/>
          <w:highlight w:val="none"/>
        </w:rPr>
        <w:t>，属于</w:t>
      </w:r>
      <w:r>
        <w:rPr>
          <w:rFonts w:ascii="宋体" w:hAnsi="宋体"/>
          <w:color w:val="auto"/>
          <w:kern w:val="0"/>
          <w:szCs w:val="21"/>
          <w:highlight w:val="none"/>
          <w:u w:val="single"/>
        </w:rPr>
        <w:t xml:space="preserve">      </w:t>
      </w:r>
      <w:r>
        <w:rPr>
          <w:rFonts w:hint="eastAsia" w:ascii="宋体" w:hAnsi="宋体"/>
          <w:color w:val="auto"/>
          <w:kern w:val="0"/>
          <w:szCs w:val="21"/>
          <w:highlight w:val="none"/>
        </w:rPr>
        <w:t>行业；承接企业为</w:t>
      </w:r>
      <w:r>
        <w:rPr>
          <w:rFonts w:hint="eastAsia" w:ascii="宋体" w:hAnsi="宋体"/>
          <w:color w:val="auto"/>
          <w:kern w:val="0"/>
          <w:szCs w:val="21"/>
          <w:highlight w:val="none"/>
          <w:u w:val="single"/>
        </w:rPr>
        <w:t>（企业名称）</w:t>
      </w:r>
      <w:r>
        <w:rPr>
          <w:rFonts w:hint="eastAsia" w:ascii="宋体" w:hAnsi="宋体"/>
          <w:color w:val="auto"/>
          <w:kern w:val="0"/>
          <w:szCs w:val="21"/>
          <w:highlight w:val="none"/>
        </w:rPr>
        <w:t>，从业人员</w:t>
      </w:r>
      <w:r>
        <w:rPr>
          <w:rFonts w:ascii="宋体" w:hAnsi="宋体"/>
          <w:color w:val="auto"/>
          <w:kern w:val="0"/>
          <w:szCs w:val="21"/>
          <w:highlight w:val="none"/>
          <w:u w:val="single"/>
        </w:rPr>
        <w:t xml:space="preserve">  </w:t>
      </w:r>
      <w:r>
        <w:rPr>
          <w:rFonts w:hint="eastAsia" w:ascii="宋体" w:hAnsi="宋体"/>
          <w:color w:val="auto"/>
          <w:kern w:val="0"/>
          <w:szCs w:val="21"/>
          <w:highlight w:val="none"/>
        </w:rPr>
        <w:t>人，营业收入为</w:t>
      </w:r>
      <w:r>
        <w:rPr>
          <w:rFonts w:ascii="宋体" w:hAnsi="宋体"/>
          <w:color w:val="auto"/>
          <w:kern w:val="0"/>
          <w:szCs w:val="21"/>
          <w:highlight w:val="none"/>
          <w:u w:val="single"/>
        </w:rPr>
        <w:t xml:space="preserve"> </w:t>
      </w:r>
      <w:r>
        <w:rPr>
          <w:rFonts w:hint="eastAsia" w:ascii="宋体" w:hAnsi="宋体"/>
          <w:color w:val="auto"/>
          <w:kern w:val="0"/>
          <w:szCs w:val="21"/>
          <w:highlight w:val="none"/>
        </w:rPr>
        <w:t>万元，资产总额为</w:t>
      </w:r>
      <w:r>
        <w:rPr>
          <w:rFonts w:ascii="宋体" w:hAnsi="宋体"/>
          <w:color w:val="auto"/>
          <w:kern w:val="0"/>
          <w:szCs w:val="21"/>
          <w:highlight w:val="none"/>
          <w:u w:val="single"/>
        </w:rPr>
        <w:t xml:space="preserve">  </w:t>
      </w:r>
      <w:r>
        <w:rPr>
          <w:rFonts w:hint="eastAsia" w:ascii="宋体" w:hAnsi="宋体"/>
          <w:color w:val="auto"/>
          <w:kern w:val="0"/>
          <w:szCs w:val="21"/>
          <w:highlight w:val="none"/>
        </w:rPr>
        <w:t>万元，属于</w:t>
      </w:r>
      <w:r>
        <w:rPr>
          <w:rFonts w:hint="eastAsia" w:ascii="宋体" w:hAnsi="宋体"/>
          <w:color w:val="auto"/>
          <w:kern w:val="0"/>
          <w:szCs w:val="21"/>
          <w:highlight w:val="none"/>
          <w:u w:val="single"/>
        </w:rPr>
        <w:t>（中型企业、小型企业、微型企业）</w:t>
      </w:r>
      <w:r>
        <w:rPr>
          <w:rFonts w:hint="eastAsia" w:ascii="宋体" w:hAnsi="宋体"/>
          <w:color w:val="auto"/>
          <w:kern w:val="0"/>
          <w:szCs w:val="21"/>
          <w:highlight w:val="none"/>
        </w:rPr>
        <w:t>；</w:t>
      </w:r>
    </w:p>
    <w:p w14:paraId="23A21874">
      <w:pPr>
        <w:autoSpaceDE w:val="0"/>
        <w:autoSpaceDN w:val="0"/>
        <w:adjustRightInd w:val="0"/>
        <w:spacing w:line="360" w:lineRule="auto"/>
        <w:ind w:left="420" w:leftChars="200"/>
        <w:jc w:val="left"/>
        <w:rPr>
          <w:rFonts w:ascii="宋体" w:hAnsi="宋体"/>
          <w:color w:val="auto"/>
          <w:kern w:val="0"/>
          <w:szCs w:val="21"/>
          <w:highlight w:val="none"/>
        </w:rPr>
      </w:pPr>
      <w:r>
        <w:rPr>
          <w:rFonts w:ascii="宋体" w:hAnsi="宋体"/>
          <w:color w:val="auto"/>
          <w:kern w:val="0"/>
          <w:szCs w:val="21"/>
          <w:highlight w:val="none"/>
        </w:rPr>
        <w:t xml:space="preserve">2. </w:t>
      </w:r>
      <w:r>
        <w:rPr>
          <w:rFonts w:hint="eastAsia" w:ascii="宋体" w:hAnsi="宋体"/>
          <w:color w:val="auto"/>
          <w:kern w:val="0"/>
          <w:szCs w:val="21"/>
          <w:highlight w:val="none"/>
          <w:u w:val="single"/>
        </w:rPr>
        <w:t>（标的名称）</w:t>
      </w:r>
      <w:r>
        <w:rPr>
          <w:rFonts w:ascii="宋体" w:hAnsi="宋体"/>
          <w:color w:val="auto"/>
          <w:kern w:val="0"/>
          <w:szCs w:val="21"/>
          <w:highlight w:val="none"/>
          <w:u w:val="single"/>
        </w:rPr>
        <w:t xml:space="preserve"> </w:t>
      </w:r>
      <w:r>
        <w:rPr>
          <w:rFonts w:hint="eastAsia" w:ascii="宋体" w:hAnsi="宋体"/>
          <w:color w:val="auto"/>
          <w:kern w:val="0"/>
          <w:szCs w:val="21"/>
          <w:highlight w:val="none"/>
        </w:rPr>
        <w:t>，属于</w:t>
      </w:r>
      <w:r>
        <w:rPr>
          <w:rFonts w:ascii="宋体" w:hAnsi="宋体"/>
          <w:color w:val="auto"/>
          <w:kern w:val="0"/>
          <w:szCs w:val="21"/>
          <w:highlight w:val="none"/>
          <w:u w:val="single"/>
        </w:rPr>
        <w:t xml:space="preserve">        </w:t>
      </w:r>
      <w:r>
        <w:rPr>
          <w:rFonts w:hint="eastAsia" w:ascii="宋体" w:hAnsi="宋体"/>
          <w:color w:val="auto"/>
          <w:kern w:val="0"/>
          <w:szCs w:val="21"/>
          <w:highlight w:val="none"/>
        </w:rPr>
        <w:t>行业；承接企业为</w:t>
      </w:r>
      <w:r>
        <w:rPr>
          <w:rFonts w:hint="eastAsia" w:ascii="宋体" w:hAnsi="宋体"/>
          <w:color w:val="auto"/>
          <w:kern w:val="0"/>
          <w:szCs w:val="21"/>
          <w:highlight w:val="none"/>
          <w:u w:val="single"/>
        </w:rPr>
        <w:t>（企业名称）</w:t>
      </w:r>
      <w:r>
        <w:rPr>
          <w:rFonts w:hint="eastAsia" w:ascii="宋体" w:hAnsi="宋体"/>
          <w:color w:val="auto"/>
          <w:kern w:val="0"/>
          <w:szCs w:val="21"/>
          <w:highlight w:val="none"/>
        </w:rPr>
        <w:t>，从业人员</w:t>
      </w:r>
      <w:r>
        <w:rPr>
          <w:rFonts w:ascii="宋体" w:hAnsi="宋体"/>
          <w:color w:val="auto"/>
          <w:kern w:val="0"/>
          <w:szCs w:val="21"/>
          <w:highlight w:val="none"/>
          <w:u w:val="single"/>
        </w:rPr>
        <w:t xml:space="preserve">  </w:t>
      </w:r>
      <w:r>
        <w:rPr>
          <w:rFonts w:hint="eastAsia" w:ascii="宋体" w:hAnsi="宋体"/>
          <w:color w:val="auto"/>
          <w:kern w:val="0"/>
          <w:szCs w:val="21"/>
          <w:highlight w:val="none"/>
        </w:rPr>
        <w:t>人，营业收入为</w:t>
      </w:r>
      <w:r>
        <w:rPr>
          <w:rFonts w:ascii="宋体" w:hAnsi="宋体"/>
          <w:color w:val="auto"/>
          <w:kern w:val="0"/>
          <w:szCs w:val="21"/>
          <w:highlight w:val="none"/>
          <w:u w:val="single"/>
        </w:rPr>
        <w:t xml:space="preserve"> </w:t>
      </w:r>
      <w:r>
        <w:rPr>
          <w:rFonts w:hint="eastAsia" w:ascii="宋体" w:hAnsi="宋体"/>
          <w:color w:val="auto"/>
          <w:kern w:val="0"/>
          <w:szCs w:val="21"/>
          <w:highlight w:val="none"/>
        </w:rPr>
        <w:t>万元，资产总额为</w:t>
      </w:r>
      <w:r>
        <w:rPr>
          <w:rFonts w:ascii="宋体" w:hAnsi="宋体"/>
          <w:color w:val="auto"/>
          <w:kern w:val="0"/>
          <w:szCs w:val="21"/>
          <w:highlight w:val="none"/>
          <w:u w:val="single"/>
        </w:rPr>
        <w:t xml:space="preserve">  </w:t>
      </w:r>
      <w:r>
        <w:rPr>
          <w:rFonts w:hint="eastAsia" w:ascii="宋体" w:hAnsi="宋体"/>
          <w:color w:val="auto"/>
          <w:kern w:val="0"/>
          <w:szCs w:val="21"/>
          <w:highlight w:val="none"/>
        </w:rPr>
        <w:t>万元，属于</w:t>
      </w:r>
      <w:r>
        <w:rPr>
          <w:rFonts w:hint="eastAsia" w:ascii="宋体" w:hAnsi="宋体"/>
          <w:color w:val="auto"/>
          <w:kern w:val="0"/>
          <w:szCs w:val="21"/>
          <w:highlight w:val="none"/>
          <w:u w:val="single"/>
        </w:rPr>
        <w:t>（中型企业、小型企业、微型企业）</w:t>
      </w:r>
      <w:r>
        <w:rPr>
          <w:rFonts w:hint="eastAsia" w:ascii="宋体" w:hAnsi="宋体"/>
          <w:color w:val="auto"/>
          <w:kern w:val="0"/>
          <w:szCs w:val="21"/>
          <w:highlight w:val="none"/>
        </w:rPr>
        <w:t>；</w:t>
      </w:r>
    </w:p>
    <w:p w14:paraId="15A9EBFC">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w:t>
      </w:r>
    </w:p>
    <w:p w14:paraId="4BB8C6BF">
      <w:pPr>
        <w:autoSpaceDE w:val="0"/>
        <w:autoSpaceDN w:val="0"/>
        <w:adjustRightInd w:val="0"/>
        <w:spacing w:line="360" w:lineRule="auto"/>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以上企业，不属于大企业的分支机构，不存在控股股东为大企业的情形，也不存在与大企业的负责人为同一人的情形。</w:t>
      </w:r>
    </w:p>
    <w:p w14:paraId="26C9C739">
      <w:pPr>
        <w:autoSpaceDE w:val="0"/>
        <w:autoSpaceDN w:val="0"/>
        <w:adjustRightInd w:val="0"/>
        <w:spacing w:line="360" w:lineRule="auto"/>
        <w:ind w:firstLine="420" w:firstLineChars="200"/>
        <w:jc w:val="left"/>
        <w:rPr>
          <w:rFonts w:ascii="宋体" w:hAnsi="宋体" w:cs="宋体"/>
          <w:color w:val="auto"/>
          <w:spacing w:val="6"/>
          <w:szCs w:val="21"/>
          <w:highlight w:val="none"/>
        </w:rPr>
      </w:pPr>
      <w:r>
        <w:rPr>
          <w:rFonts w:hint="eastAsia" w:ascii="宋体" w:hAnsi="宋体"/>
          <w:color w:val="auto"/>
          <w:kern w:val="0"/>
          <w:szCs w:val="21"/>
          <w:highlight w:val="none"/>
        </w:rPr>
        <w:t>本企业对上述声明内容的真实性负责。如有虚假，将依法承担相应责任</w:t>
      </w:r>
      <w:r>
        <w:rPr>
          <w:rFonts w:hint="eastAsia" w:ascii="宋体" w:hAnsi="宋体" w:cs="宋体"/>
          <w:color w:val="auto"/>
          <w:kern w:val="0"/>
          <w:szCs w:val="21"/>
          <w:highlight w:val="none"/>
        </w:rPr>
        <w:t>。</w:t>
      </w:r>
    </w:p>
    <w:p w14:paraId="65D5EEB3">
      <w:pPr>
        <w:spacing w:line="360" w:lineRule="auto"/>
        <w:ind w:right="105" w:rightChars="50" w:firstLine="444" w:firstLineChars="200"/>
        <w:rPr>
          <w:rFonts w:ascii="宋体" w:hAnsi="宋体"/>
          <w:color w:val="auto"/>
          <w:spacing w:val="6"/>
          <w:szCs w:val="21"/>
          <w:highlight w:val="none"/>
        </w:rPr>
      </w:pPr>
      <w:r>
        <w:rPr>
          <w:rFonts w:hint="eastAsia" w:ascii="宋体" w:hAnsi="宋体"/>
          <w:color w:val="auto"/>
          <w:spacing w:val="6"/>
          <w:szCs w:val="21"/>
          <w:highlight w:val="none"/>
        </w:rPr>
        <w:t>。</w:t>
      </w:r>
    </w:p>
    <w:p w14:paraId="5BFEBACF">
      <w:pPr>
        <w:spacing w:line="360" w:lineRule="auto"/>
        <w:ind w:right="105" w:rightChars="50" w:firstLine="444" w:firstLineChars="200"/>
        <w:rPr>
          <w:rFonts w:ascii="宋体" w:hAnsi="宋体"/>
          <w:color w:val="auto"/>
          <w:spacing w:val="6"/>
          <w:szCs w:val="21"/>
          <w:highlight w:val="none"/>
        </w:rPr>
      </w:pPr>
    </w:p>
    <w:p w14:paraId="04EA1119">
      <w:pPr>
        <w:tabs>
          <w:tab w:val="left" w:pos="4860"/>
        </w:tabs>
        <w:spacing w:line="360" w:lineRule="auto"/>
        <w:ind w:right="105" w:rightChars="50" w:firstLine="444" w:firstLineChars="200"/>
        <w:jc w:val="center"/>
        <w:rPr>
          <w:rFonts w:ascii="宋体" w:hAnsi="宋体"/>
          <w:color w:val="auto"/>
          <w:spacing w:val="6"/>
          <w:szCs w:val="21"/>
          <w:highlight w:val="none"/>
        </w:rPr>
      </w:pPr>
      <w:r>
        <w:rPr>
          <w:rFonts w:hint="eastAsia" w:ascii="宋体" w:hAnsi="宋体"/>
          <w:color w:val="auto"/>
          <w:spacing w:val="6"/>
          <w:szCs w:val="21"/>
          <w:highlight w:val="none"/>
        </w:rPr>
        <w:t xml:space="preserve">               企业名称（盖章）： </w:t>
      </w:r>
    </w:p>
    <w:p w14:paraId="79C1D3E0">
      <w:pPr>
        <w:tabs>
          <w:tab w:val="left" w:pos="4860"/>
        </w:tabs>
        <w:spacing w:line="360" w:lineRule="auto"/>
        <w:ind w:right="105" w:rightChars="50" w:firstLine="444" w:firstLineChars="200"/>
        <w:jc w:val="center"/>
        <w:rPr>
          <w:rFonts w:ascii="宋体" w:hAnsi="宋体"/>
          <w:color w:val="auto"/>
          <w:spacing w:val="6"/>
          <w:szCs w:val="21"/>
          <w:highlight w:val="none"/>
        </w:rPr>
      </w:pPr>
      <w:r>
        <w:rPr>
          <w:rFonts w:hint="eastAsia" w:ascii="宋体" w:hAnsi="宋体"/>
          <w:color w:val="auto"/>
          <w:spacing w:val="6"/>
          <w:szCs w:val="21"/>
          <w:highlight w:val="none"/>
        </w:rPr>
        <w:t xml:space="preserve">       日  期：</w:t>
      </w:r>
    </w:p>
    <w:p w14:paraId="050D38D0">
      <w:pPr>
        <w:spacing w:line="360" w:lineRule="auto"/>
        <w:rPr>
          <w:rFonts w:ascii="宋体" w:hAnsi="宋体"/>
          <w:b/>
          <w:color w:val="auto"/>
          <w:szCs w:val="21"/>
          <w:highlight w:val="none"/>
        </w:rPr>
      </w:pPr>
    </w:p>
    <w:p w14:paraId="79C6D600">
      <w:pPr>
        <w:spacing w:line="360" w:lineRule="auto"/>
        <w:rPr>
          <w:rFonts w:ascii="宋体" w:hAnsi="宋体"/>
          <w:b/>
          <w:color w:val="auto"/>
          <w:szCs w:val="21"/>
          <w:highlight w:val="none"/>
        </w:rPr>
      </w:pPr>
    </w:p>
    <w:p w14:paraId="373BE7F3">
      <w:pPr>
        <w:spacing w:line="360" w:lineRule="auto"/>
        <w:rPr>
          <w:rFonts w:ascii="宋体" w:hAnsi="宋体"/>
          <w:b/>
          <w:color w:val="auto"/>
          <w:szCs w:val="21"/>
          <w:highlight w:val="none"/>
        </w:rPr>
      </w:pPr>
    </w:p>
    <w:p w14:paraId="7CE84FC4">
      <w:pPr>
        <w:spacing w:line="360" w:lineRule="auto"/>
        <w:rPr>
          <w:rFonts w:hint="eastAsia" w:ascii="宋体" w:hAnsi="宋体"/>
          <w:bCs/>
          <w:color w:val="auto"/>
          <w:szCs w:val="21"/>
          <w:highlight w:val="none"/>
        </w:rPr>
      </w:pPr>
      <w:r>
        <w:rPr>
          <w:rFonts w:hint="eastAsia" w:ascii="宋体" w:hAnsi="宋体"/>
          <w:bCs/>
          <w:color w:val="auto"/>
          <w:szCs w:val="21"/>
          <w:highlight w:val="none"/>
        </w:rPr>
        <w:t>注：</w:t>
      </w:r>
      <w:r>
        <w:rPr>
          <w:rFonts w:hint="eastAsia" w:ascii="宋体" w:hAnsi="宋体"/>
          <w:bCs/>
          <w:color w:val="auto"/>
          <w:szCs w:val="21"/>
          <w:highlight w:val="none"/>
          <w:vertAlign w:val="superscript"/>
        </w:rPr>
        <w:t>1</w:t>
      </w:r>
      <w:r>
        <w:rPr>
          <w:rFonts w:hint="eastAsia" w:ascii="宋体" w:hAnsi="宋体"/>
          <w:bCs/>
          <w:color w:val="auto"/>
          <w:szCs w:val="21"/>
          <w:highlight w:val="none"/>
        </w:rPr>
        <w:t>从业人员、营业收入、资产总额填报上一年度数据，无上一年度数据的新成立企业可不填报。</w:t>
      </w:r>
    </w:p>
    <w:p w14:paraId="7C5B69B7">
      <w:pPr>
        <w:rPr>
          <w:rFonts w:hint="eastAsia" w:ascii="宋体" w:hAnsi="宋体"/>
          <w:bCs/>
          <w:color w:val="auto"/>
          <w:szCs w:val="21"/>
          <w:highlight w:val="none"/>
        </w:rPr>
      </w:pPr>
      <w:r>
        <w:rPr>
          <w:rFonts w:hint="eastAsia" w:ascii="宋体" w:hAnsi="宋体"/>
          <w:bCs/>
          <w:color w:val="auto"/>
          <w:szCs w:val="21"/>
          <w:highlight w:val="none"/>
        </w:rPr>
        <w:br w:type="page"/>
      </w:r>
    </w:p>
    <w:p w14:paraId="4A301B5D">
      <w:pPr>
        <w:pStyle w:val="2"/>
        <w:rPr>
          <w:rFonts w:ascii="宋体" w:hAnsi="宋体"/>
          <w:color w:val="auto"/>
          <w:szCs w:val="21"/>
        </w:rPr>
      </w:pPr>
      <w:r>
        <w:rPr>
          <w:rFonts w:hint="eastAsia" w:ascii="宋体" w:hAnsi="宋体"/>
          <w:color w:val="auto"/>
          <w:szCs w:val="21"/>
        </w:rPr>
        <w:t>附件：</w:t>
      </w:r>
    </w:p>
    <w:p w14:paraId="14FBBFBB">
      <w:pPr>
        <w:pStyle w:val="2"/>
        <w:ind w:firstLine="630" w:firstLineChars="300"/>
        <w:rPr>
          <w:rFonts w:ascii="宋体" w:hAnsi="宋体"/>
          <w:color w:val="auto"/>
          <w:szCs w:val="21"/>
        </w:rPr>
      </w:pPr>
      <w:r>
        <w:rPr>
          <w:rFonts w:hint="eastAsia" w:ascii="宋体" w:hAnsi="宋体"/>
          <w:color w:val="auto"/>
          <w:szCs w:val="21"/>
        </w:rPr>
        <w:t>《关于印发中小企业划型标准规定的通知》（工信部联企业〔2011〕300号）中小企业划型标准规定节选：</w:t>
      </w:r>
    </w:p>
    <w:p w14:paraId="11C71FFD">
      <w:pPr>
        <w:pStyle w:val="2"/>
        <w:spacing w:after="0" w:line="360" w:lineRule="auto"/>
        <w:rPr>
          <w:rFonts w:ascii="宋体" w:hAnsi="宋体"/>
          <w:color w:val="auto"/>
          <w:szCs w:val="21"/>
        </w:rPr>
      </w:pPr>
      <w:r>
        <w:rPr>
          <w:rFonts w:hint="eastAsia" w:ascii="宋体" w:hAnsi="宋体"/>
          <w:color w:val="auto"/>
          <w:szCs w:val="21"/>
        </w:rPr>
        <w:t>四、各行业划型标准为：</w:t>
      </w:r>
    </w:p>
    <w:p w14:paraId="3785C166">
      <w:pPr>
        <w:pStyle w:val="2"/>
        <w:spacing w:after="0" w:line="360" w:lineRule="auto"/>
        <w:rPr>
          <w:rFonts w:ascii="宋体" w:hAnsi="宋体"/>
          <w:color w:val="auto"/>
          <w:szCs w:val="21"/>
        </w:rPr>
      </w:pPr>
      <w:r>
        <w:rPr>
          <w:rFonts w:hint="eastAsia" w:ascii="宋体" w:hAnsi="宋体"/>
          <w:color w:val="auto"/>
          <w:szCs w:val="21"/>
        </w:rPr>
        <w:t>（一）农、林、牧、渔业。营业收入20000万元以下的为中小微型企业。其中，营业收入500万元及以上的为中型企业，营业收入50万元及以上的为小型企业，营业收入50万元以下的为微型企业。</w:t>
      </w:r>
    </w:p>
    <w:p w14:paraId="50422A26">
      <w:pPr>
        <w:pStyle w:val="2"/>
        <w:spacing w:after="0" w:line="360" w:lineRule="auto"/>
        <w:rPr>
          <w:rFonts w:ascii="宋体" w:hAnsi="宋体"/>
          <w:color w:val="auto"/>
          <w:szCs w:val="21"/>
        </w:rPr>
      </w:pPr>
      <w:r>
        <w:rPr>
          <w:rFonts w:hint="eastAsia" w:ascii="宋体" w:hAnsi="宋体"/>
          <w:color w:val="auto"/>
          <w:szCs w:val="21"/>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5782CD30">
      <w:pPr>
        <w:pStyle w:val="2"/>
        <w:spacing w:after="0" w:line="360" w:lineRule="auto"/>
        <w:rPr>
          <w:rFonts w:ascii="宋体" w:hAnsi="宋体"/>
          <w:color w:val="auto"/>
          <w:szCs w:val="21"/>
        </w:rPr>
      </w:pPr>
      <w:r>
        <w:rPr>
          <w:rFonts w:hint="eastAsia" w:ascii="宋体" w:hAnsi="宋体"/>
          <w:color w:val="auto"/>
          <w:szCs w:val="21"/>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4FB5A028">
      <w:pPr>
        <w:pStyle w:val="2"/>
        <w:spacing w:after="0" w:line="360" w:lineRule="auto"/>
        <w:rPr>
          <w:rFonts w:ascii="宋体" w:hAnsi="宋体"/>
          <w:color w:val="auto"/>
          <w:szCs w:val="21"/>
        </w:rPr>
      </w:pPr>
      <w:r>
        <w:rPr>
          <w:rFonts w:hint="eastAsia" w:ascii="宋体" w:hAnsi="宋体"/>
          <w:color w:val="auto"/>
          <w:szCs w:val="21"/>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143D4416">
      <w:pPr>
        <w:pStyle w:val="2"/>
        <w:spacing w:after="0" w:line="360" w:lineRule="auto"/>
        <w:rPr>
          <w:rFonts w:ascii="宋体" w:hAnsi="宋体"/>
          <w:color w:val="auto"/>
          <w:szCs w:val="21"/>
        </w:rPr>
      </w:pPr>
      <w:r>
        <w:rPr>
          <w:rFonts w:hint="eastAsia" w:ascii="宋体" w:hAnsi="宋体"/>
          <w:color w:val="auto"/>
          <w:szCs w:val="21"/>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47CEE589">
      <w:pPr>
        <w:pStyle w:val="2"/>
        <w:spacing w:after="0" w:line="360" w:lineRule="auto"/>
        <w:rPr>
          <w:rFonts w:ascii="宋体" w:hAnsi="宋体"/>
          <w:color w:val="auto"/>
          <w:szCs w:val="21"/>
        </w:rPr>
      </w:pPr>
      <w:r>
        <w:rPr>
          <w:rFonts w:hint="eastAsia" w:ascii="宋体" w:hAnsi="宋体"/>
          <w:color w:val="auto"/>
          <w:szCs w:val="21"/>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0ECFD650">
      <w:pPr>
        <w:pStyle w:val="2"/>
        <w:spacing w:after="0" w:line="360" w:lineRule="auto"/>
        <w:rPr>
          <w:rFonts w:ascii="宋体" w:hAnsi="宋体"/>
          <w:color w:val="auto"/>
          <w:szCs w:val="21"/>
        </w:rPr>
      </w:pPr>
      <w:r>
        <w:rPr>
          <w:rFonts w:hint="eastAsia" w:ascii="宋体" w:hAnsi="宋体"/>
          <w:color w:val="auto"/>
          <w:szCs w:val="21"/>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66E144F9">
      <w:pPr>
        <w:pStyle w:val="2"/>
        <w:spacing w:after="0" w:line="360" w:lineRule="auto"/>
        <w:rPr>
          <w:rFonts w:ascii="宋体" w:hAnsi="宋体"/>
          <w:color w:val="auto"/>
          <w:szCs w:val="21"/>
        </w:rPr>
      </w:pPr>
      <w:r>
        <w:rPr>
          <w:rFonts w:hint="eastAsia" w:ascii="宋体" w:hAnsi="宋体"/>
          <w:color w:val="auto"/>
          <w:szCs w:val="21"/>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1018B3E8">
      <w:pPr>
        <w:pStyle w:val="2"/>
        <w:spacing w:after="0" w:line="360" w:lineRule="auto"/>
        <w:rPr>
          <w:rFonts w:ascii="宋体" w:hAnsi="宋体"/>
          <w:color w:val="auto"/>
          <w:szCs w:val="21"/>
        </w:rPr>
      </w:pPr>
      <w:r>
        <w:rPr>
          <w:rFonts w:hint="eastAsia" w:ascii="宋体" w:hAnsi="宋体"/>
          <w:color w:val="auto"/>
          <w:szCs w:val="21"/>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3A86A568">
      <w:pPr>
        <w:pStyle w:val="2"/>
        <w:spacing w:after="0" w:line="360" w:lineRule="auto"/>
        <w:rPr>
          <w:rFonts w:ascii="宋体" w:hAnsi="宋体"/>
          <w:color w:val="auto"/>
          <w:szCs w:val="21"/>
        </w:rPr>
      </w:pPr>
      <w:r>
        <w:rPr>
          <w:rFonts w:hint="eastAsia" w:ascii="宋体" w:hAnsi="宋体"/>
          <w:color w:val="auto"/>
          <w:szCs w:val="21"/>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6FAD0092">
      <w:pPr>
        <w:pStyle w:val="2"/>
        <w:spacing w:after="0" w:line="360" w:lineRule="auto"/>
        <w:rPr>
          <w:rFonts w:ascii="宋体" w:hAnsi="宋体"/>
          <w:color w:val="auto"/>
          <w:szCs w:val="21"/>
        </w:rPr>
      </w:pPr>
      <w:r>
        <w:rPr>
          <w:rFonts w:hint="eastAsia" w:ascii="宋体" w:hAnsi="宋体"/>
          <w:color w:val="auto"/>
          <w:szCs w:val="21"/>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3B568ED4">
      <w:pPr>
        <w:pStyle w:val="2"/>
        <w:spacing w:after="0" w:line="360" w:lineRule="auto"/>
        <w:rPr>
          <w:rFonts w:ascii="宋体" w:hAnsi="宋体"/>
          <w:color w:val="auto"/>
          <w:szCs w:val="21"/>
        </w:rPr>
      </w:pPr>
      <w:r>
        <w:rPr>
          <w:rFonts w:hint="eastAsia" w:ascii="宋体" w:hAnsi="宋体"/>
          <w:color w:val="auto"/>
          <w:szCs w:val="21"/>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0FED9F18">
      <w:pPr>
        <w:pStyle w:val="2"/>
        <w:spacing w:after="0" w:line="360" w:lineRule="auto"/>
        <w:rPr>
          <w:rFonts w:ascii="宋体" w:hAnsi="宋体"/>
          <w:color w:val="auto"/>
          <w:szCs w:val="21"/>
        </w:rPr>
      </w:pPr>
      <w:r>
        <w:rPr>
          <w:rFonts w:hint="eastAsia" w:ascii="宋体" w:hAnsi="宋体"/>
          <w:color w:val="auto"/>
          <w:szCs w:val="21"/>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1CCF01A1">
      <w:pPr>
        <w:pStyle w:val="2"/>
        <w:spacing w:after="0" w:line="360" w:lineRule="auto"/>
        <w:rPr>
          <w:rFonts w:ascii="宋体" w:hAnsi="宋体"/>
          <w:color w:val="auto"/>
          <w:szCs w:val="21"/>
        </w:rPr>
      </w:pPr>
      <w:r>
        <w:rPr>
          <w:rFonts w:hint="eastAsia" w:ascii="宋体" w:hAnsi="宋体"/>
          <w:color w:val="auto"/>
          <w:szCs w:val="21"/>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58763590">
      <w:pPr>
        <w:pStyle w:val="2"/>
        <w:spacing w:after="0" w:line="360" w:lineRule="auto"/>
        <w:rPr>
          <w:rFonts w:hint="eastAsia" w:ascii="宋体" w:hAnsi="宋体"/>
          <w:color w:val="auto"/>
          <w:szCs w:val="21"/>
        </w:rPr>
      </w:pPr>
      <w:r>
        <w:rPr>
          <w:rFonts w:hint="eastAsia" w:ascii="宋体" w:hAnsi="宋体"/>
          <w:color w:val="auto"/>
          <w:szCs w:val="21"/>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5463AC49">
      <w:pPr>
        <w:pStyle w:val="2"/>
        <w:spacing w:after="0" w:line="360" w:lineRule="auto"/>
        <w:rPr>
          <w:color w:val="auto"/>
        </w:rPr>
      </w:pPr>
      <w:r>
        <w:rPr>
          <w:rFonts w:hint="eastAsia" w:ascii="宋体" w:hAnsi="宋体"/>
          <w:color w:val="auto"/>
          <w:szCs w:val="21"/>
        </w:rPr>
        <w:t>（十六）其他未列明行业。从业人员300人以下的为中小微型企业。其中，从业人员100人及以上的为中型企业；从业人员10人及以上的为小型企业；从业人员10人以下的为微型企业。</w:t>
      </w:r>
      <w:r>
        <w:rPr>
          <w:rFonts w:hAnsi="宋体"/>
          <w:b/>
          <w:color w:val="auto"/>
          <w:sz w:val="28"/>
          <w:szCs w:val="28"/>
        </w:rPr>
        <w:br w:type="page"/>
      </w:r>
    </w:p>
    <w:p w14:paraId="48DF594F">
      <w:pPr>
        <w:widowControl/>
        <w:jc w:val="left"/>
        <w:rPr>
          <w:rFonts w:ascii="宋体" w:hAnsi="宋体"/>
          <w:color w:val="auto"/>
          <w:kern w:val="0"/>
          <w:sz w:val="24"/>
          <w:highlight w:val="none"/>
        </w:rPr>
      </w:pPr>
    </w:p>
    <w:p w14:paraId="3B9D258F">
      <w:pPr>
        <w:pStyle w:val="16"/>
        <w:spacing w:line="500" w:lineRule="exact"/>
        <w:jc w:val="left"/>
        <w:rPr>
          <w:rFonts w:hAnsi="宋体"/>
          <w:b/>
          <w:color w:val="auto"/>
          <w:sz w:val="28"/>
          <w:szCs w:val="28"/>
          <w:highlight w:val="none"/>
        </w:rPr>
      </w:pPr>
      <w:r>
        <w:rPr>
          <w:rFonts w:hint="eastAsia" w:hAnsi="宋体"/>
          <w:b/>
          <w:color w:val="auto"/>
          <w:sz w:val="28"/>
          <w:szCs w:val="28"/>
          <w:highlight w:val="none"/>
        </w:rPr>
        <w:t>格式</w:t>
      </w:r>
      <w:r>
        <w:rPr>
          <w:rFonts w:hint="eastAsia" w:hAnsi="宋体"/>
          <w:b/>
          <w:color w:val="auto"/>
          <w:sz w:val="28"/>
          <w:szCs w:val="28"/>
          <w:highlight w:val="none"/>
          <w:lang w:val="en-US" w:eastAsia="zh-CN"/>
        </w:rPr>
        <w:t>7</w:t>
      </w:r>
      <w:r>
        <w:rPr>
          <w:rFonts w:hint="eastAsia" w:hAnsi="宋体"/>
          <w:b/>
          <w:color w:val="auto"/>
          <w:sz w:val="28"/>
          <w:szCs w:val="28"/>
          <w:highlight w:val="none"/>
        </w:rPr>
        <w:t>：</w:t>
      </w:r>
    </w:p>
    <w:p w14:paraId="3B3F3EDB">
      <w:pPr>
        <w:numPr>
          <w:ilvl w:val="2"/>
          <w:numId w:val="0"/>
        </w:numPr>
        <w:tabs>
          <w:tab w:val="left" w:pos="900"/>
        </w:tabs>
        <w:adjustRightInd w:val="0"/>
        <w:spacing w:line="360" w:lineRule="auto"/>
        <w:jc w:val="center"/>
        <w:textAlignment w:val="baseline"/>
        <w:outlineLvl w:val="2"/>
        <w:rPr>
          <w:rFonts w:ascii="宋体" w:hAnsi="宋体"/>
          <w:b/>
          <w:color w:val="auto"/>
          <w:kern w:val="0"/>
          <w:sz w:val="32"/>
          <w:szCs w:val="21"/>
          <w:highlight w:val="none"/>
        </w:rPr>
      </w:pPr>
      <w:r>
        <w:rPr>
          <w:rFonts w:hint="eastAsia" w:ascii="宋体" w:hAnsi="宋体"/>
          <w:b/>
          <w:color w:val="auto"/>
          <w:kern w:val="0"/>
          <w:sz w:val="32"/>
          <w:szCs w:val="21"/>
          <w:highlight w:val="none"/>
        </w:rPr>
        <w:t>残疾人福利性单位声明函</w:t>
      </w:r>
    </w:p>
    <w:p w14:paraId="71BB0412">
      <w:pPr>
        <w:spacing w:line="588" w:lineRule="exact"/>
        <w:jc w:val="center"/>
        <w:rPr>
          <w:rFonts w:ascii="宋体" w:hAnsi="宋体"/>
          <w:color w:val="auto"/>
          <w:spacing w:val="6"/>
          <w:szCs w:val="30"/>
          <w:highlight w:val="none"/>
        </w:rPr>
      </w:pPr>
      <w:r>
        <w:rPr>
          <w:rFonts w:hint="eastAsia" w:ascii="宋体" w:hAnsi="宋体"/>
          <w:color w:val="auto"/>
          <w:spacing w:val="6"/>
          <w:szCs w:val="30"/>
          <w:highlight w:val="none"/>
        </w:rPr>
        <w:t>（根据投标人自身情况如实提供）</w:t>
      </w:r>
    </w:p>
    <w:p w14:paraId="4CC850DC">
      <w:pPr>
        <w:spacing w:line="588" w:lineRule="exact"/>
        <w:rPr>
          <w:rFonts w:ascii="宋体" w:hAnsi="宋体"/>
          <w:color w:val="auto"/>
          <w:spacing w:val="6"/>
          <w:sz w:val="30"/>
          <w:szCs w:val="30"/>
          <w:highlight w:val="none"/>
        </w:rPr>
      </w:pPr>
    </w:p>
    <w:p w14:paraId="2C14B40D">
      <w:pPr>
        <w:spacing w:line="588" w:lineRule="exact"/>
        <w:ind w:firstLine="444" w:firstLineChars="200"/>
        <w:rPr>
          <w:rFonts w:ascii="宋体" w:hAnsi="宋体"/>
          <w:color w:val="auto"/>
          <w:spacing w:val="6"/>
          <w:szCs w:val="21"/>
          <w:highlight w:val="none"/>
        </w:rPr>
      </w:pPr>
      <w:r>
        <w:rPr>
          <w:rFonts w:hint="eastAsia" w:ascii="宋体" w:hAnsi="宋体"/>
          <w:color w:val="auto"/>
          <w:spacing w:val="6"/>
          <w:szCs w:val="21"/>
          <w:highlight w:val="none"/>
        </w:rPr>
        <w:t>本单位郑重声明，根据《财政部 民政部 中国残疾人联合会关于促进残疾人就业政府采购政策的通知》（财库</w:t>
      </w:r>
      <w:r>
        <w:rPr>
          <w:rFonts w:hint="eastAsia" w:ascii="宋体" w:hAnsi="宋体"/>
          <w:color w:val="auto"/>
          <w:szCs w:val="21"/>
          <w:highlight w:val="none"/>
        </w:rPr>
        <w:t>〔2017〕 141</w:t>
      </w:r>
      <w:r>
        <w:rPr>
          <w:rFonts w:hint="eastAsia" w:ascii="宋体" w:hAnsi="宋体"/>
          <w:color w:val="auto"/>
          <w:spacing w:val="6"/>
          <w:szCs w:val="21"/>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309093D">
      <w:pPr>
        <w:spacing w:line="588" w:lineRule="exact"/>
        <w:ind w:firstLine="444" w:firstLineChars="200"/>
        <w:rPr>
          <w:rFonts w:ascii="宋体" w:hAnsi="宋体"/>
          <w:color w:val="auto"/>
          <w:spacing w:val="6"/>
          <w:szCs w:val="21"/>
          <w:highlight w:val="none"/>
        </w:rPr>
      </w:pPr>
      <w:r>
        <w:rPr>
          <w:rFonts w:hint="eastAsia" w:ascii="宋体" w:hAnsi="宋体"/>
          <w:color w:val="auto"/>
          <w:spacing w:val="6"/>
          <w:szCs w:val="21"/>
          <w:highlight w:val="none"/>
        </w:rPr>
        <w:t>本单位对上述声明的真实性负责。如有虚假，将依法承担相应责任。</w:t>
      </w:r>
    </w:p>
    <w:p w14:paraId="5BCC8E17">
      <w:pPr>
        <w:spacing w:line="588" w:lineRule="exact"/>
        <w:ind w:firstLine="444" w:firstLineChars="200"/>
        <w:rPr>
          <w:rFonts w:ascii="宋体" w:hAnsi="宋体"/>
          <w:color w:val="auto"/>
          <w:spacing w:val="6"/>
          <w:szCs w:val="21"/>
          <w:highlight w:val="none"/>
        </w:rPr>
      </w:pPr>
    </w:p>
    <w:p w14:paraId="714C85D9">
      <w:pPr>
        <w:spacing w:line="588" w:lineRule="exact"/>
        <w:ind w:firstLine="444" w:firstLineChars="200"/>
        <w:rPr>
          <w:rFonts w:ascii="宋体" w:hAnsi="宋体"/>
          <w:color w:val="auto"/>
          <w:spacing w:val="6"/>
          <w:szCs w:val="21"/>
          <w:highlight w:val="none"/>
        </w:rPr>
      </w:pPr>
    </w:p>
    <w:p w14:paraId="7D334749">
      <w:pPr>
        <w:tabs>
          <w:tab w:val="left" w:pos="4860"/>
        </w:tabs>
        <w:spacing w:line="588" w:lineRule="exact"/>
        <w:ind w:right="1560" w:firstLine="424" w:firstLineChars="191"/>
        <w:rPr>
          <w:rFonts w:ascii="宋体" w:hAnsi="宋体"/>
          <w:color w:val="auto"/>
          <w:spacing w:val="6"/>
          <w:szCs w:val="21"/>
          <w:highlight w:val="none"/>
        </w:rPr>
      </w:pPr>
      <w:r>
        <w:rPr>
          <w:rFonts w:hint="eastAsia" w:ascii="宋体" w:hAnsi="宋体"/>
          <w:color w:val="auto"/>
          <w:spacing w:val="6"/>
          <w:szCs w:val="21"/>
          <w:highlight w:val="none"/>
        </w:rPr>
        <w:t>单位名称（</w:t>
      </w:r>
      <w:r>
        <w:rPr>
          <w:rFonts w:hint="eastAsia" w:ascii="宋体" w:hAnsi="宋体"/>
          <w:color w:val="auto"/>
          <w:spacing w:val="6"/>
          <w:szCs w:val="21"/>
          <w:highlight w:val="none"/>
          <w:lang w:eastAsia="zh-CN"/>
        </w:rPr>
        <w:t>电子签章</w:t>
      </w:r>
      <w:r>
        <w:rPr>
          <w:rFonts w:hint="eastAsia" w:ascii="宋体" w:hAnsi="宋体"/>
          <w:color w:val="auto"/>
          <w:spacing w:val="6"/>
          <w:szCs w:val="21"/>
          <w:highlight w:val="none"/>
        </w:rPr>
        <w:t>）：</w:t>
      </w:r>
    </w:p>
    <w:p w14:paraId="5CCAFD57">
      <w:pPr>
        <w:tabs>
          <w:tab w:val="left" w:pos="4860"/>
        </w:tabs>
        <w:spacing w:line="588" w:lineRule="exact"/>
        <w:ind w:right="1560" w:firstLine="424" w:firstLineChars="191"/>
        <w:rPr>
          <w:rFonts w:ascii="宋体" w:hAnsi="宋体"/>
          <w:color w:val="auto"/>
          <w:spacing w:val="6"/>
          <w:szCs w:val="21"/>
          <w:highlight w:val="none"/>
        </w:rPr>
      </w:pPr>
      <w:r>
        <w:rPr>
          <w:rFonts w:hint="eastAsia" w:ascii="宋体" w:hAnsi="宋体"/>
          <w:color w:val="auto"/>
          <w:spacing w:val="6"/>
          <w:szCs w:val="21"/>
          <w:highlight w:val="none"/>
        </w:rPr>
        <w:t>日  期：</w:t>
      </w:r>
    </w:p>
    <w:p w14:paraId="430FF8DC">
      <w:pPr>
        <w:spacing w:line="588" w:lineRule="exact"/>
        <w:rPr>
          <w:rFonts w:ascii="宋体" w:hAnsi="宋体"/>
          <w:color w:val="auto"/>
          <w:szCs w:val="21"/>
          <w:highlight w:val="none"/>
        </w:rPr>
      </w:pPr>
    </w:p>
    <w:p w14:paraId="1B659839">
      <w:pPr>
        <w:spacing w:line="588" w:lineRule="exact"/>
        <w:rPr>
          <w:rFonts w:ascii="宋体" w:hAnsi="宋体"/>
          <w:color w:val="auto"/>
          <w:szCs w:val="21"/>
          <w:highlight w:val="none"/>
        </w:rPr>
      </w:pPr>
    </w:p>
    <w:p w14:paraId="563465AF">
      <w:pPr>
        <w:spacing w:line="588" w:lineRule="exact"/>
        <w:rPr>
          <w:rFonts w:ascii="宋体" w:hAnsi="宋体"/>
          <w:color w:val="auto"/>
          <w:szCs w:val="21"/>
          <w:highlight w:val="none"/>
        </w:rPr>
      </w:pPr>
    </w:p>
    <w:p w14:paraId="552EE990">
      <w:pPr>
        <w:spacing w:line="588" w:lineRule="exact"/>
        <w:rPr>
          <w:rFonts w:ascii="宋体" w:hAnsi="宋体"/>
          <w:color w:val="auto"/>
          <w:szCs w:val="21"/>
          <w:highlight w:val="none"/>
        </w:rPr>
      </w:pPr>
    </w:p>
    <w:p w14:paraId="20287773">
      <w:pPr>
        <w:spacing w:line="360" w:lineRule="auto"/>
        <w:rPr>
          <w:rFonts w:ascii="宋体" w:hAnsi="宋体"/>
          <w:b/>
          <w:color w:val="auto"/>
          <w:szCs w:val="21"/>
          <w:highlight w:val="none"/>
        </w:rPr>
      </w:pPr>
      <w:r>
        <w:rPr>
          <w:rFonts w:ascii="宋体" w:hAnsi="宋体"/>
          <w:b/>
          <w:color w:val="auto"/>
          <w:szCs w:val="21"/>
          <w:highlight w:val="none"/>
        </w:rPr>
        <w:t>注</w:t>
      </w:r>
      <w:r>
        <w:rPr>
          <w:rFonts w:hint="eastAsia" w:ascii="宋体" w:hAnsi="宋体"/>
          <w:b/>
          <w:color w:val="auto"/>
          <w:szCs w:val="21"/>
          <w:highlight w:val="none"/>
        </w:rPr>
        <w:t>：中标人为残疾人福利性单位的，其《残疾人福利性单位声明函》将随中标结果同时公告，接受社会监督。投标人提供的《残疾人福利性单位声明函》与事实不符的，依照《政府采购法》第七十七条第一款的规定追究法律责任。</w:t>
      </w:r>
    </w:p>
    <w:p w14:paraId="7E4CE3F3">
      <w:pPr>
        <w:widowControl/>
        <w:rPr>
          <w:rFonts w:ascii="宋体" w:hAnsi="宋体"/>
          <w:b/>
          <w:color w:val="auto"/>
          <w:sz w:val="28"/>
          <w:szCs w:val="28"/>
          <w:highlight w:val="none"/>
        </w:rPr>
      </w:pPr>
      <w:r>
        <w:rPr>
          <w:rFonts w:ascii="宋体" w:hAnsi="宋体"/>
          <w:b/>
          <w:color w:val="auto"/>
          <w:sz w:val="24"/>
          <w:highlight w:val="none"/>
        </w:rPr>
        <w:br w:type="page"/>
      </w:r>
      <w:r>
        <w:rPr>
          <w:rFonts w:hint="eastAsia" w:ascii="宋体" w:hAnsi="宋体"/>
          <w:b/>
          <w:color w:val="auto"/>
          <w:sz w:val="28"/>
          <w:szCs w:val="28"/>
          <w:highlight w:val="none"/>
        </w:rPr>
        <w:t>格式</w:t>
      </w:r>
      <w:r>
        <w:rPr>
          <w:rFonts w:hint="eastAsia" w:ascii="宋体" w:hAnsi="宋体"/>
          <w:b/>
          <w:color w:val="auto"/>
          <w:sz w:val="28"/>
          <w:szCs w:val="28"/>
          <w:highlight w:val="none"/>
          <w:lang w:val="en-US" w:eastAsia="zh-CN"/>
        </w:rPr>
        <w:t>8</w:t>
      </w:r>
      <w:r>
        <w:rPr>
          <w:rFonts w:hint="eastAsia" w:ascii="宋体" w:hAnsi="宋体"/>
          <w:b/>
          <w:color w:val="auto"/>
          <w:sz w:val="28"/>
          <w:szCs w:val="28"/>
          <w:highlight w:val="none"/>
        </w:rPr>
        <w:t>：</w:t>
      </w:r>
    </w:p>
    <w:p w14:paraId="6DA9713D">
      <w:pPr>
        <w:numPr>
          <w:ilvl w:val="2"/>
          <w:numId w:val="0"/>
        </w:numPr>
        <w:tabs>
          <w:tab w:val="left" w:pos="900"/>
        </w:tabs>
        <w:adjustRightInd w:val="0"/>
        <w:spacing w:line="360" w:lineRule="auto"/>
        <w:jc w:val="center"/>
        <w:textAlignment w:val="baseline"/>
        <w:outlineLvl w:val="2"/>
        <w:rPr>
          <w:rFonts w:ascii="宋体" w:hAnsi="宋体"/>
          <w:b/>
          <w:color w:val="auto"/>
          <w:kern w:val="0"/>
          <w:sz w:val="32"/>
          <w:szCs w:val="21"/>
          <w:highlight w:val="none"/>
        </w:rPr>
      </w:pPr>
      <w:r>
        <w:rPr>
          <w:rFonts w:hint="eastAsia" w:ascii="宋体" w:hAnsi="宋体"/>
          <w:b/>
          <w:color w:val="auto"/>
          <w:kern w:val="0"/>
          <w:sz w:val="32"/>
          <w:szCs w:val="21"/>
          <w:highlight w:val="none"/>
        </w:rPr>
        <w:t>监狱企业证明文件</w:t>
      </w:r>
    </w:p>
    <w:p w14:paraId="5A24AE39">
      <w:pPr>
        <w:spacing w:line="588" w:lineRule="exact"/>
        <w:jc w:val="center"/>
        <w:rPr>
          <w:rFonts w:ascii="宋体" w:hAnsi="宋体"/>
          <w:color w:val="auto"/>
          <w:spacing w:val="6"/>
          <w:szCs w:val="30"/>
          <w:highlight w:val="none"/>
        </w:rPr>
      </w:pPr>
      <w:r>
        <w:rPr>
          <w:rFonts w:hint="eastAsia" w:ascii="宋体" w:hAnsi="宋体"/>
          <w:color w:val="auto"/>
          <w:spacing w:val="6"/>
          <w:szCs w:val="30"/>
          <w:highlight w:val="none"/>
        </w:rPr>
        <w:t>（根据投标人自身情况如实提供）</w:t>
      </w:r>
    </w:p>
    <w:p w14:paraId="2D580E53">
      <w:pPr>
        <w:spacing w:line="360" w:lineRule="auto"/>
        <w:ind w:firstLine="420" w:firstLineChars="200"/>
        <w:jc w:val="left"/>
        <w:rPr>
          <w:rFonts w:ascii="宋体" w:hAnsi="宋体"/>
          <w:color w:val="auto"/>
          <w:szCs w:val="21"/>
          <w:highlight w:val="none"/>
        </w:rPr>
      </w:pPr>
    </w:p>
    <w:p w14:paraId="0FB5DF62">
      <w:pPr>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8DCB595">
      <w:pPr>
        <w:spacing w:line="360" w:lineRule="auto"/>
        <w:ind w:firstLine="315" w:firstLineChars="150"/>
        <w:jc w:val="left"/>
        <w:rPr>
          <w:rFonts w:ascii="宋体" w:hAnsi="宋体"/>
          <w:color w:val="auto"/>
          <w:szCs w:val="21"/>
          <w:highlight w:val="none"/>
        </w:rPr>
      </w:pPr>
      <w:r>
        <w:rPr>
          <w:rFonts w:hint="eastAsia" w:ascii="宋体" w:hAnsi="宋体"/>
          <w:color w:val="auto"/>
          <w:szCs w:val="21"/>
          <w:highlight w:val="none"/>
        </w:rPr>
        <w:t>监狱企业参加政府采购活动时，应当提供由省级以上监狱管理局、戒毒管理局（含新疆生产建设兵团）出具的属于监狱企业的证明文件。</w:t>
      </w:r>
    </w:p>
    <w:p w14:paraId="3B9B506B">
      <w:pPr>
        <w:rPr>
          <w:rFonts w:ascii="宋体" w:hAnsi="宋体"/>
          <w:b/>
          <w:color w:val="auto"/>
          <w:sz w:val="28"/>
          <w:szCs w:val="28"/>
          <w:highlight w:val="none"/>
        </w:rPr>
      </w:pPr>
      <w:r>
        <w:rPr>
          <w:rFonts w:hint="eastAsia" w:ascii="宋体" w:hAnsi="宋体"/>
          <w:b/>
          <w:color w:val="auto"/>
          <w:sz w:val="28"/>
          <w:szCs w:val="28"/>
          <w:highlight w:val="none"/>
        </w:rPr>
        <w:br w:type="page"/>
      </w:r>
    </w:p>
    <w:p w14:paraId="2587B3CD">
      <w:pPr>
        <w:spacing w:line="360" w:lineRule="auto"/>
        <w:rPr>
          <w:rFonts w:ascii="宋体" w:hAnsi="宋体"/>
          <w:b/>
          <w:color w:val="auto"/>
          <w:sz w:val="28"/>
          <w:szCs w:val="28"/>
          <w:highlight w:val="none"/>
        </w:rPr>
      </w:pPr>
      <w:r>
        <w:rPr>
          <w:rFonts w:hint="eastAsia" w:ascii="宋体" w:hAnsi="宋体"/>
          <w:b/>
          <w:color w:val="auto"/>
          <w:sz w:val="28"/>
          <w:szCs w:val="28"/>
          <w:highlight w:val="none"/>
        </w:rPr>
        <w:t>格式</w:t>
      </w:r>
      <w:r>
        <w:rPr>
          <w:rFonts w:hint="eastAsia" w:ascii="宋体" w:hAnsi="宋体"/>
          <w:b/>
          <w:color w:val="auto"/>
          <w:sz w:val="28"/>
          <w:szCs w:val="28"/>
          <w:highlight w:val="none"/>
          <w:lang w:val="en-US" w:eastAsia="zh-CN"/>
        </w:rPr>
        <w:t>9</w:t>
      </w:r>
      <w:r>
        <w:rPr>
          <w:rFonts w:hint="eastAsia" w:ascii="宋体" w:hAnsi="宋体"/>
          <w:b/>
          <w:color w:val="auto"/>
          <w:sz w:val="28"/>
          <w:szCs w:val="28"/>
          <w:highlight w:val="none"/>
        </w:rPr>
        <w:t>：</w:t>
      </w:r>
    </w:p>
    <w:p w14:paraId="283CFE0E">
      <w:pPr>
        <w:numPr>
          <w:ilvl w:val="2"/>
          <w:numId w:val="0"/>
        </w:numPr>
        <w:tabs>
          <w:tab w:val="left" w:pos="900"/>
        </w:tabs>
        <w:adjustRightInd w:val="0"/>
        <w:spacing w:line="360" w:lineRule="auto"/>
        <w:jc w:val="center"/>
        <w:textAlignment w:val="baseline"/>
        <w:outlineLvl w:val="2"/>
        <w:rPr>
          <w:rFonts w:ascii="宋体" w:hAnsi="宋体"/>
          <w:b/>
          <w:color w:val="auto"/>
          <w:kern w:val="0"/>
          <w:sz w:val="32"/>
          <w:szCs w:val="21"/>
          <w:highlight w:val="none"/>
        </w:rPr>
      </w:pPr>
      <w:r>
        <w:rPr>
          <w:rFonts w:hint="eastAsia" w:ascii="宋体" w:hAnsi="宋体"/>
          <w:b/>
          <w:color w:val="auto"/>
          <w:kern w:val="0"/>
          <w:sz w:val="32"/>
          <w:szCs w:val="21"/>
          <w:highlight w:val="none"/>
        </w:rPr>
        <w:t>投标保证金交纳凭证</w:t>
      </w:r>
      <w:bookmarkEnd w:id="133"/>
    </w:p>
    <w:p w14:paraId="711B86F5">
      <w:pPr>
        <w:widowControl/>
        <w:jc w:val="left"/>
        <w:rPr>
          <w:rFonts w:ascii="宋体" w:hAnsi="宋体"/>
          <w:color w:val="auto"/>
          <w:szCs w:val="21"/>
          <w:highlight w:val="none"/>
        </w:rPr>
      </w:pPr>
      <w:r>
        <w:rPr>
          <w:rFonts w:ascii="宋体" w:hAnsi="宋体"/>
          <w:color w:val="auto"/>
          <w:sz w:val="24"/>
          <w:highlight w:val="none"/>
        </w:rPr>
        <w:br w:type="page"/>
      </w:r>
    </w:p>
    <w:p w14:paraId="3EAEE511">
      <w:pPr>
        <w:spacing w:line="588" w:lineRule="exact"/>
        <w:jc w:val="left"/>
        <w:rPr>
          <w:rFonts w:ascii="宋体" w:hAnsi="宋体"/>
          <w:b/>
          <w:color w:val="auto"/>
          <w:sz w:val="28"/>
          <w:szCs w:val="28"/>
          <w:highlight w:val="none"/>
        </w:rPr>
      </w:pPr>
      <w:r>
        <w:rPr>
          <w:rFonts w:hint="eastAsia" w:ascii="宋体" w:hAnsi="宋体"/>
          <w:b/>
          <w:color w:val="auto"/>
          <w:sz w:val="28"/>
          <w:szCs w:val="28"/>
          <w:highlight w:val="none"/>
        </w:rPr>
        <w:t>格式</w:t>
      </w:r>
      <w:r>
        <w:rPr>
          <w:rFonts w:hint="eastAsia" w:ascii="宋体" w:hAnsi="宋体"/>
          <w:b/>
          <w:color w:val="auto"/>
          <w:sz w:val="28"/>
          <w:szCs w:val="28"/>
          <w:highlight w:val="none"/>
          <w:lang w:val="en-US" w:eastAsia="zh-CN"/>
        </w:rPr>
        <w:t>10</w:t>
      </w:r>
      <w:r>
        <w:rPr>
          <w:rFonts w:hint="eastAsia" w:ascii="宋体" w:hAnsi="宋体"/>
          <w:b/>
          <w:color w:val="auto"/>
          <w:sz w:val="28"/>
          <w:szCs w:val="28"/>
          <w:highlight w:val="none"/>
        </w:rPr>
        <w:t>：</w:t>
      </w:r>
    </w:p>
    <w:p w14:paraId="1BE753DA">
      <w:pPr>
        <w:numPr>
          <w:ilvl w:val="2"/>
          <w:numId w:val="0"/>
        </w:numPr>
        <w:tabs>
          <w:tab w:val="left" w:pos="900"/>
        </w:tabs>
        <w:adjustRightInd w:val="0"/>
        <w:spacing w:line="360" w:lineRule="auto"/>
        <w:jc w:val="center"/>
        <w:textAlignment w:val="baseline"/>
        <w:outlineLvl w:val="2"/>
        <w:rPr>
          <w:rFonts w:ascii="宋体" w:hAnsi="宋体"/>
          <w:b/>
          <w:color w:val="auto"/>
          <w:kern w:val="0"/>
          <w:sz w:val="32"/>
          <w:szCs w:val="21"/>
          <w:highlight w:val="none"/>
        </w:rPr>
      </w:pPr>
      <w:bookmarkStart w:id="134" w:name="_Toc523832881"/>
      <w:bookmarkStart w:id="135" w:name="_Toc493600038"/>
      <w:r>
        <w:rPr>
          <w:rFonts w:hint="eastAsia" w:ascii="宋体" w:hAnsi="宋体"/>
          <w:b/>
          <w:color w:val="auto"/>
          <w:kern w:val="0"/>
          <w:sz w:val="32"/>
          <w:szCs w:val="21"/>
          <w:highlight w:val="none"/>
        </w:rPr>
        <w:t>投标人信息表</w:t>
      </w:r>
      <w:bookmarkEnd w:id="134"/>
      <w:bookmarkEnd w:id="135"/>
    </w:p>
    <w:tbl>
      <w:tblPr>
        <w:tblStyle w:val="32"/>
        <w:tblpPr w:leftFromText="180" w:rightFromText="180" w:vertAnchor="text" w:horzAnchor="page" w:tblpX="1465" w:tblpY="1338"/>
        <w:tblOverlap w:val="never"/>
        <w:tblW w:w="917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367"/>
        <w:gridCol w:w="1405"/>
        <w:gridCol w:w="1716"/>
        <w:gridCol w:w="1047"/>
        <w:gridCol w:w="1138"/>
        <w:gridCol w:w="2506"/>
      </w:tblGrid>
      <w:tr w14:paraId="0126774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4" w:hRule="atLeast"/>
          <w:jc w:val="center"/>
        </w:trPr>
        <w:tc>
          <w:tcPr>
            <w:tcW w:w="2772" w:type="dxa"/>
            <w:gridSpan w:val="2"/>
            <w:tcBorders>
              <w:right w:val="single" w:color="auto" w:sz="4" w:space="0"/>
            </w:tcBorders>
            <w:vAlign w:val="center"/>
          </w:tcPr>
          <w:p w14:paraId="1643D284">
            <w:pPr>
              <w:widowControl/>
              <w:jc w:val="center"/>
              <w:rPr>
                <w:rFonts w:ascii="宋体" w:hAnsi="宋体"/>
                <w:color w:val="auto"/>
                <w:szCs w:val="21"/>
                <w:highlight w:val="none"/>
              </w:rPr>
            </w:pPr>
            <w:r>
              <w:rPr>
                <w:rFonts w:hint="eastAsia" w:ascii="宋体" w:hAnsi="宋体"/>
                <w:color w:val="auto"/>
                <w:szCs w:val="21"/>
                <w:highlight w:val="none"/>
              </w:rPr>
              <w:t>公司名称</w:t>
            </w:r>
          </w:p>
        </w:tc>
        <w:tc>
          <w:tcPr>
            <w:tcW w:w="6407" w:type="dxa"/>
            <w:gridSpan w:val="4"/>
            <w:tcBorders>
              <w:left w:val="single" w:color="auto" w:sz="4" w:space="0"/>
            </w:tcBorders>
            <w:vAlign w:val="center"/>
          </w:tcPr>
          <w:p w14:paraId="0C9E0EBF">
            <w:pPr>
              <w:widowControl/>
              <w:jc w:val="left"/>
              <w:rPr>
                <w:rFonts w:ascii="宋体" w:hAnsi="宋体"/>
                <w:color w:val="auto"/>
                <w:szCs w:val="21"/>
                <w:highlight w:val="none"/>
              </w:rPr>
            </w:pPr>
          </w:p>
        </w:tc>
      </w:tr>
      <w:tr w14:paraId="0A8BC7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2" w:hRule="atLeast"/>
          <w:jc w:val="center"/>
        </w:trPr>
        <w:tc>
          <w:tcPr>
            <w:tcW w:w="2772" w:type="dxa"/>
            <w:gridSpan w:val="2"/>
            <w:tcBorders>
              <w:right w:val="single" w:color="auto" w:sz="4" w:space="0"/>
            </w:tcBorders>
            <w:vAlign w:val="center"/>
          </w:tcPr>
          <w:p w14:paraId="001A0B66">
            <w:pPr>
              <w:widowControl/>
              <w:jc w:val="center"/>
              <w:rPr>
                <w:rFonts w:ascii="宋体" w:hAnsi="宋体"/>
                <w:color w:val="auto"/>
                <w:szCs w:val="21"/>
                <w:highlight w:val="none"/>
              </w:rPr>
            </w:pPr>
            <w:r>
              <w:rPr>
                <w:rFonts w:hint="eastAsia" w:ascii="宋体" w:hAnsi="宋体"/>
                <w:color w:val="auto"/>
                <w:szCs w:val="21"/>
                <w:highlight w:val="none"/>
              </w:rPr>
              <w:t>公司地址</w:t>
            </w:r>
          </w:p>
        </w:tc>
        <w:tc>
          <w:tcPr>
            <w:tcW w:w="6407" w:type="dxa"/>
            <w:gridSpan w:val="4"/>
            <w:tcBorders>
              <w:left w:val="single" w:color="auto" w:sz="4" w:space="0"/>
            </w:tcBorders>
            <w:vAlign w:val="center"/>
          </w:tcPr>
          <w:p w14:paraId="47E6C0C6">
            <w:pPr>
              <w:widowControl/>
              <w:jc w:val="center"/>
              <w:rPr>
                <w:rFonts w:ascii="宋体" w:hAnsi="宋体"/>
                <w:color w:val="auto"/>
                <w:szCs w:val="21"/>
                <w:highlight w:val="none"/>
              </w:rPr>
            </w:pPr>
          </w:p>
        </w:tc>
      </w:tr>
      <w:tr w14:paraId="5CBB46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06" w:hRule="atLeast"/>
          <w:jc w:val="center"/>
        </w:trPr>
        <w:tc>
          <w:tcPr>
            <w:tcW w:w="2772" w:type="dxa"/>
            <w:gridSpan w:val="2"/>
            <w:tcBorders>
              <w:right w:val="single" w:color="auto" w:sz="4" w:space="0"/>
            </w:tcBorders>
            <w:vAlign w:val="center"/>
          </w:tcPr>
          <w:p w14:paraId="7395ADEC">
            <w:pPr>
              <w:widowControl/>
              <w:jc w:val="center"/>
              <w:rPr>
                <w:rFonts w:ascii="宋体" w:hAnsi="宋体"/>
                <w:color w:val="auto"/>
                <w:szCs w:val="21"/>
                <w:highlight w:val="none"/>
              </w:rPr>
            </w:pPr>
            <w:r>
              <w:rPr>
                <w:rFonts w:hint="eastAsia" w:ascii="宋体" w:hAnsi="宋体"/>
                <w:color w:val="auto"/>
                <w:szCs w:val="21"/>
                <w:highlight w:val="none"/>
              </w:rPr>
              <w:t>公司性质</w:t>
            </w:r>
          </w:p>
        </w:tc>
        <w:tc>
          <w:tcPr>
            <w:tcW w:w="1716" w:type="dxa"/>
            <w:tcBorders>
              <w:left w:val="single" w:color="auto" w:sz="4" w:space="0"/>
              <w:right w:val="single" w:color="auto" w:sz="4" w:space="0"/>
            </w:tcBorders>
            <w:vAlign w:val="center"/>
          </w:tcPr>
          <w:p w14:paraId="3E89E578">
            <w:pPr>
              <w:widowControl/>
              <w:jc w:val="center"/>
              <w:rPr>
                <w:rFonts w:ascii="宋体" w:hAnsi="宋体"/>
                <w:color w:val="auto"/>
                <w:szCs w:val="21"/>
                <w:highlight w:val="none"/>
              </w:rPr>
            </w:pPr>
          </w:p>
        </w:tc>
        <w:tc>
          <w:tcPr>
            <w:tcW w:w="2185" w:type="dxa"/>
            <w:gridSpan w:val="2"/>
            <w:tcBorders>
              <w:left w:val="single" w:color="auto" w:sz="4" w:space="0"/>
              <w:right w:val="single" w:color="auto" w:sz="4" w:space="0"/>
            </w:tcBorders>
            <w:vAlign w:val="center"/>
          </w:tcPr>
          <w:p w14:paraId="1054C64D">
            <w:pPr>
              <w:widowControl/>
              <w:jc w:val="center"/>
              <w:rPr>
                <w:rFonts w:ascii="宋体" w:hAnsi="宋体"/>
                <w:color w:val="auto"/>
                <w:szCs w:val="21"/>
                <w:highlight w:val="none"/>
              </w:rPr>
            </w:pPr>
            <w:r>
              <w:rPr>
                <w:rFonts w:hint="eastAsia" w:ascii="宋体" w:hAnsi="宋体"/>
                <w:color w:val="auto"/>
                <w:szCs w:val="21"/>
                <w:highlight w:val="none"/>
              </w:rPr>
              <w:t>公司类型</w:t>
            </w:r>
          </w:p>
        </w:tc>
        <w:tc>
          <w:tcPr>
            <w:tcW w:w="2506" w:type="dxa"/>
            <w:tcBorders>
              <w:left w:val="single" w:color="auto" w:sz="4" w:space="0"/>
            </w:tcBorders>
            <w:vAlign w:val="center"/>
          </w:tcPr>
          <w:p w14:paraId="127EB791">
            <w:pPr>
              <w:widowControl/>
              <w:jc w:val="center"/>
              <w:rPr>
                <w:rFonts w:ascii="宋体" w:hAnsi="宋体"/>
                <w:color w:val="auto"/>
                <w:szCs w:val="21"/>
                <w:highlight w:val="none"/>
              </w:rPr>
            </w:pPr>
          </w:p>
        </w:tc>
      </w:tr>
      <w:tr w14:paraId="5F0523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7" w:hRule="atLeast"/>
          <w:jc w:val="center"/>
        </w:trPr>
        <w:tc>
          <w:tcPr>
            <w:tcW w:w="2772" w:type="dxa"/>
            <w:gridSpan w:val="2"/>
            <w:vAlign w:val="center"/>
          </w:tcPr>
          <w:p w14:paraId="4CB1EC89">
            <w:pPr>
              <w:widowControl/>
              <w:jc w:val="center"/>
              <w:rPr>
                <w:rFonts w:ascii="宋体" w:hAnsi="宋体"/>
                <w:color w:val="auto"/>
                <w:szCs w:val="21"/>
                <w:highlight w:val="none"/>
              </w:rPr>
            </w:pPr>
            <w:r>
              <w:rPr>
                <w:rFonts w:hint="eastAsia" w:ascii="宋体" w:hAnsi="宋体"/>
                <w:color w:val="auto"/>
                <w:szCs w:val="21"/>
                <w:highlight w:val="none"/>
              </w:rPr>
              <w:t>法定代表人</w:t>
            </w:r>
          </w:p>
        </w:tc>
        <w:tc>
          <w:tcPr>
            <w:tcW w:w="1716" w:type="dxa"/>
            <w:vAlign w:val="center"/>
          </w:tcPr>
          <w:p w14:paraId="6BC191BB">
            <w:pPr>
              <w:widowControl/>
              <w:jc w:val="center"/>
              <w:rPr>
                <w:rFonts w:ascii="宋体" w:hAnsi="宋体"/>
                <w:color w:val="auto"/>
                <w:szCs w:val="21"/>
                <w:highlight w:val="none"/>
              </w:rPr>
            </w:pPr>
          </w:p>
        </w:tc>
        <w:tc>
          <w:tcPr>
            <w:tcW w:w="2185" w:type="dxa"/>
            <w:gridSpan w:val="2"/>
            <w:tcBorders>
              <w:right w:val="single" w:color="auto" w:sz="4" w:space="0"/>
            </w:tcBorders>
            <w:vAlign w:val="center"/>
          </w:tcPr>
          <w:p w14:paraId="208EB4FF">
            <w:pPr>
              <w:widowControl/>
              <w:jc w:val="center"/>
              <w:rPr>
                <w:rFonts w:ascii="宋体" w:hAnsi="宋体"/>
                <w:color w:val="auto"/>
                <w:szCs w:val="21"/>
                <w:highlight w:val="none"/>
              </w:rPr>
            </w:pPr>
            <w:r>
              <w:rPr>
                <w:rFonts w:hint="eastAsia" w:ascii="宋体" w:hAnsi="宋体"/>
                <w:color w:val="auto"/>
                <w:szCs w:val="21"/>
                <w:highlight w:val="none"/>
              </w:rPr>
              <w:t>注册资金</w:t>
            </w:r>
          </w:p>
        </w:tc>
        <w:tc>
          <w:tcPr>
            <w:tcW w:w="2506" w:type="dxa"/>
            <w:tcBorders>
              <w:left w:val="single" w:color="auto" w:sz="4" w:space="0"/>
            </w:tcBorders>
            <w:vAlign w:val="center"/>
          </w:tcPr>
          <w:p w14:paraId="79F17F76">
            <w:pPr>
              <w:widowControl/>
              <w:jc w:val="center"/>
              <w:rPr>
                <w:rFonts w:ascii="宋体" w:hAnsi="宋体"/>
                <w:color w:val="auto"/>
                <w:szCs w:val="21"/>
                <w:highlight w:val="none"/>
              </w:rPr>
            </w:pPr>
          </w:p>
        </w:tc>
      </w:tr>
      <w:tr w14:paraId="1BC58B8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1" w:hRule="atLeast"/>
          <w:jc w:val="center"/>
        </w:trPr>
        <w:tc>
          <w:tcPr>
            <w:tcW w:w="2772" w:type="dxa"/>
            <w:gridSpan w:val="2"/>
            <w:vMerge w:val="restart"/>
            <w:vAlign w:val="center"/>
          </w:tcPr>
          <w:p w14:paraId="14D5B0DF">
            <w:pPr>
              <w:widowControl/>
              <w:jc w:val="center"/>
              <w:rPr>
                <w:rFonts w:ascii="宋体" w:hAnsi="宋体"/>
                <w:color w:val="auto"/>
                <w:szCs w:val="21"/>
                <w:highlight w:val="none"/>
              </w:rPr>
            </w:pPr>
            <w:r>
              <w:rPr>
                <w:rFonts w:hint="eastAsia" w:ascii="宋体" w:hAnsi="宋体"/>
                <w:color w:val="auto"/>
                <w:szCs w:val="21"/>
                <w:highlight w:val="none"/>
              </w:rPr>
              <w:t>注册日期</w:t>
            </w:r>
          </w:p>
        </w:tc>
        <w:tc>
          <w:tcPr>
            <w:tcW w:w="1716" w:type="dxa"/>
            <w:vMerge w:val="restart"/>
            <w:vAlign w:val="center"/>
          </w:tcPr>
          <w:p w14:paraId="2C556815">
            <w:pPr>
              <w:widowControl/>
              <w:jc w:val="center"/>
              <w:rPr>
                <w:rFonts w:ascii="宋体" w:hAnsi="宋体"/>
                <w:color w:val="auto"/>
                <w:szCs w:val="21"/>
                <w:highlight w:val="none"/>
              </w:rPr>
            </w:pPr>
          </w:p>
        </w:tc>
        <w:tc>
          <w:tcPr>
            <w:tcW w:w="2185" w:type="dxa"/>
            <w:gridSpan w:val="2"/>
            <w:tcBorders>
              <w:bottom w:val="single" w:color="auto" w:sz="4" w:space="0"/>
            </w:tcBorders>
            <w:vAlign w:val="center"/>
          </w:tcPr>
          <w:p w14:paraId="592B8F22">
            <w:pPr>
              <w:widowControl/>
              <w:jc w:val="center"/>
              <w:rPr>
                <w:rFonts w:ascii="宋体" w:hAnsi="宋体"/>
                <w:color w:val="auto"/>
                <w:szCs w:val="21"/>
                <w:highlight w:val="none"/>
              </w:rPr>
            </w:pPr>
            <w:r>
              <w:rPr>
                <w:rFonts w:hint="eastAsia" w:ascii="宋体" w:hAnsi="宋体"/>
                <w:color w:val="auto"/>
                <w:szCs w:val="21"/>
                <w:highlight w:val="none"/>
              </w:rPr>
              <w:t>开户银行</w:t>
            </w:r>
          </w:p>
        </w:tc>
        <w:tc>
          <w:tcPr>
            <w:tcW w:w="2506" w:type="dxa"/>
            <w:tcBorders>
              <w:bottom w:val="single" w:color="auto" w:sz="4" w:space="0"/>
            </w:tcBorders>
            <w:vAlign w:val="center"/>
          </w:tcPr>
          <w:p w14:paraId="7F1F7A81">
            <w:pPr>
              <w:widowControl/>
              <w:jc w:val="center"/>
              <w:rPr>
                <w:rFonts w:ascii="宋体" w:hAnsi="宋体"/>
                <w:color w:val="auto"/>
                <w:szCs w:val="21"/>
                <w:highlight w:val="none"/>
              </w:rPr>
            </w:pPr>
          </w:p>
        </w:tc>
      </w:tr>
      <w:tr w14:paraId="06E2845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9" w:hRule="atLeast"/>
          <w:jc w:val="center"/>
        </w:trPr>
        <w:tc>
          <w:tcPr>
            <w:tcW w:w="2772" w:type="dxa"/>
            <w:gridSpan w:val="2"/>
            <w:vMerge w:val="continue"/>
            <w:vAlign w:val="center"/>
          </w:tcPr>
          <w:p w14:paraId="67E990DC">
            <w:pPr>
              <w:widowControl/>
              <w:jc w:val="center"/>
              <w:rPr>
                <w:rFonts w:ascii="宋体" w:hAnsi="宋体"/>
                <w:color w:val="auto"/>
                <w:szCs w:val="21"/>
                <w:highlight w:val="none"/>
              </w:rPr>
            </w:pPr>
          </w:p>
        </w:tc>
        <w:tc>
          <w:tcPr>
            <w:tcW w:w="1716" w:type="dxa"/>
            <w:vMerge w:val="continue"/>
            <w:vAlign w:val="center"/>
          </w:tcPr>
          <w:p w14:paraId="0C0E596E">
            <w:pPr>
              <w:widowControl/>
              <w:jc w:val="center"/>
              <w:rPr>
                <w:rFonts w:ascii="宋体" w:hAnsi="宋体"/>
                <w:color w:val="auto"/>
                <w:szCs w:val="21"/>
                <w:highlight w:val="none"/>
              </w:rPr>
            </w:pPr>
          </w:p>
        </w:tc>
        <w:tc>
          <w:tcPr>
            <w:tcW w:w="2185" w:type="dxa"/>
            <w:gridSpan w:val="2"/>
            <w:tcBorders>
              <w:top w:val="single" w:color="auto" w:sz="4" w:space="0"/>
            </w:tcBorders>
            <w:vAlign w:val="center"/>
          </w:tcPr>
          <w:p w14:paraId="6E5AE2AE">
            <w:pPr>
              <w:widowControl/>
              <w:jc w:val="center"/>
              <w:rPr>
                <w:rFonts w:ascii="宋体" w:hAnsi="宋体"/>
                <w:color w:val="auto"/>
                <w:szCs w:val="21"/>
                <w:highlight w:val="none"/>
              </w:rPr>
            </w:pPr>
            <w:r>
              <w:rPr>
                <w:rFonts w:hint="eastAsia" w:ascii="宋体" w:hAnsi="宋体"/>
                <w:color w:val="auto"/>
                <w:szCs w:val="21"/>
                <w:highlight w:val="none"/>
              </w:rPr>
              <w:t>开户基本账号</w:t>
            </w:r>
          </w:p>
        </w:tc>
        <w:tc>
          <w:tcPr>
            <w:tcW w:w="2506" w:type="dxa"/>
            <w:tcBorders>
              <w:top w:val="single" w:color="auto" w:sz="4" w:space="0"/>
            </w:tcBorders>
            <w:vAlign w:val="center"/>
          </w:tcPr>
          <w:p w14:paraId="525F32A6">
            <w:pPr>
              <w:widowControl/>
              <w:jc w:val="center"/>
              <w:rPr>
                <w:rFonts w:ascii="宋体" w:hAnsi="宋体"/>
                <w:color w:val="auto"/>
                <w:szCs w:val="21"/>
                <w:highlight w:val="none"/>
              </w:rPr>
            </w:pPr>
          </w:p>
        </w:tc>
      </w:tr>
      <w:tr w14:paraId="364AF5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54" w:hRule="atLeast"/>
          <w:jc w:val="center"/>
        </w:trPr>
        <w:tc>
          <w:tcPr>
            <w:tcW w:w="2772" w:type="dxa"/>
            <w:gridSpan w:val="2"/>
            <w:vMerge w:val="restart"/>
            <w:vAlign w:val="center"/>
          </w:tcPr>
          <w:p w14:paraId="1CEA4CC7">
            <w:pPr>
              <w:widowControl/>
              <w:jc w:val="center"/>
              <w:rPr>
                <w:rFonts w:ascii="宋体" w:hAnsi="宋体"/>
                <w:color w:val="auto"/>
                <w:szCs w:val="21"/>
                <w:highlight w:val="none"/>
              </w:rPr>
            </w:pPr>
            <w:r>
              <w:rPr>
                <w:rFonts w:hint="eastAsia" w:ascii="宋体" w:hAnsi="宋体"/>
                <w:color w:val="auto"/>
                <w:szCs w:val="21"/>
                <w:highlight w:val="none"/>
              </w:rPr>
              <w:t>联系人</w:t>
            </w:r>
          </w:p>
        </w:tc>
        <w:tc>
          <w:tcPr>
            <w:tcW w:w="1716" w:type="dxa"/>
            <w:vMerge w:val="restart"/>
            <w:vAlign w:val="center"/>
          </w:tcPr>
          <w:p w14:paraId="5E0D2F96">
            <w:pPr>
              <w:widowControl/>
              <w:jc w:val="center"/>
              <w:rPr>
                <w:rFonts w:ascii="宋体" w:hAnsi="宋体"/>
                <w:color w:val="auto"/>
                <w:szCs w:val="21"/>
                <w:highlight w:val="none"/>
              </w:rPr>
            </w:pPr>
          </w:p>
        </w:tc>
        <w:tc>
          <w:tcPr>
            <w:tcW w:w="1047" w:type="dxa"/>
            <w:vMerge w:val="restart"/>
            <w:vAlign w:val="center"/>
          </w:tcPr>
          <w:p w14:paraId="1055C546">
            <w:pPr>
              <w:widowControl/>
              <w:jc w:val="center"/>
              <w:rPr>
                <w:rFonts w:ascii="宋体" w:hAnsi="宋体"/>
                <w:color w:val="auto"/>
                <w:szCs w:val="21"/>
                <w:highlight w:val="none"/>
              </w:rPr>
            </w:pPr>
            <w:r>
              <w:rPr>
                <w:rFonts w:hint="eastAsia" w:ascii="宋体" w:hAnsi="宋体"/>
                <w:color w:val="auto"/>
                <w:szCs w:val="21"/>
                <w:highlight w:val="none"/>
              </w:rPr>
              <w:t>联系电话</w:t>
            </w:r>
          </w:p>
        </w:tc>
        <w:tc>
          <w:tcPr>
            <w:tcW w:w="1138" w:type="dxa"/>
            <w:vAlign w:val="center"/>
          </w:tcPr>
          <w:p w14:paraId="61484BB0">
            <w:pPr>
              <w:widowControl/>
              <w:jc w:val="center"/>
              <w:rPr>
                <w:rFonts w:ascii="宋体" w:hAnsi="宋体"/>
                <w:color w:val="auto"/>
                <w:szCs w:val="21"/>
                <w:highlight w:val="none"/>
              </w:rPr>
            </w:pPr>
            <w:r>
              <w:rPr>
                <w:rFonts w:hint="eastAsia" w:ascii="宋体" w:hAnsi="宋体"/>
                <w:color w:val="auto"/>
                <w:szCs w:val="21"/>
                <w:highlight w:val="none"/>
              </w:rPr>
              <w:t>手机</w:t>
            </w:r>
          </w:p>
        </w:tc>
        <w:tc>
          <w:tcPr>
            <w:tcW w:w="2506" w:type="dxa"/>
            <w:vAlign w:val="center"/>
          </w:tcPr>
          <w:p w14:paraId="21CC1E1F">
            <w:pPr>
              <w:widowControl/>
              <w:jc w:val="center"/>
              <w:rPr>
                <w:rFonts w:ascii="宋体" w:hAnsi="宋体"/>
                <w:color w:val="auto"/>
                <w:szCs w:val="21"/>
                <w:highlight w:val="none"/>
              </w:rPr>
            </w:pPr>
          </w:p>
        </w:tc>
      </w:tr>
      <w:tr w14:paraId="4420694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3" w:hRule="atLeast"/>
          <w:jc w:val="center"/>
        </w:trPr>
        <w:tc>
          <w:tcPr>
            <w:tcW w:w="2772" w:type="dxa"/>
            <w:gridSpan w:val="2"/>
            <w:vMerge w:val="continue"/>
            <w:vAlign w:val="center"/>
          </w:tcPr>
          <w:p w14:paraId="4C014843">
            <w:pPr>
              <w:widowControl/>
              <w:jc w:val="center"/>
              <w:rPr>
                <w:rFonts w:ascii="宋体" w:hAnsi="宋体"/>
                <w:color w:val="auto"/>
                <w:szCs w:val="21"/>
                <w:highlight w:val="none"/>
              </w:rPr>
            </w:pPr>
          </w:p>
        </w:tc>
        <w:tc>
          <w:tcPr>
            <w:tcW w:w="1716" w:type="dxa"/>
            <w:vMerge w:val="continue"/>
            <w:vAlign w:val="center"/>
          </w:tcPr>
          <w:p w14:paraId="020B207A">
            <w:pPr>
              <w:widowControl/>
              <w:jc w:val="center"/>
              <w:rPr>
                <w:rFonts w:ascii="宋体" w:hAnsi="宋体"/>
                <w:color w:val="auto"/>
                <w:szCs w:val="21"/>
                <w:highlight w:val="none"/>
              </w:rPr>
            </w:pPr>
          </w:p>
        </w:tc>
        <w:tc>
          <w:tcPr>
            <w:tcW w:w="1047" w:type="dxa"/>
            <w:vMerge w:val="continue"/>
            <w:vAlign w:val="center"/>
          </w:tcPr>
          <w:p w14:paraId="4BFADFE3">
            <w:pPr>
              <w:widowControl/>
              <w:jc w:val="center"/>
              <w:rPr>
                <w:rFonts w:ascii="宋体" w:hAnsi="宋体"/>
                <w:color w:val="auto"/>
                <w:szCs w:val="21"/>
                <w:highlight w:val="none"/>
              </w:rPr>
            </w:pPr>
          </w:p>
        </w:tc>
        <w:tc>
          <w:tcPr>
            <w:tcW w:w="1138" w:type="dxa"/>
            <w:vAlign w:val="center"/>
          </w:tcPr>
          <w:p w14:paraId="4D5884C5">
            <w:pPr>
              <w:widowControl/>
              <w:jc w:val="center"/>
              <w:rPr>
                <w:rFonts w:ascii="宋体" w:hAnsi="宋体"/>
                <w:color w:val="auto"/>
                <w:szCs w:val="21"/>
                <w:highlight w:val="none"/>
              </w:rPr>
            </w:pPr>
            <w:r>
              <w:rPr>
                <w:rFonts w:hint="eastAsia" w:ascii="宋体" w:hAnsi="宋体"/>
                <w:color w:val="auto"/>
                <w:szCs w:val="21"/>
                <w:highlight w:val="none"/>
              </w:rPr>
              <w:t>固话</w:t>
            </w:r>
          </w:p>
        </w:tc>
        <w:tc>
          <w:tcPr>
            <w:tcW w:w="2506" w:type="dxa"/>
            <w:vAlign w:val="center"/>
          </w:tcPr>
          <w:p w14:paraId="5E0958FE">
            <w:pPr>
              <w:widowControl/>
              <w:jc w:val="center"/>
              <w:rPr>
                <w:rFonts w:ascii="宋体" w:hAnsi="宋体"/>
                <w:color w:val="auto"/>
                <w:szCs w:val="21"/>
                <w:highlight w:val="none"/>
              </w:rPr>
            </w:pPr>
          </w:p>
        </w:tc>
      </w:tr>
      <w:tr w14:paraId="1D645E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16" w:hRule="atLeast"/>
          <w:jc w:val="center"/>
        </w:trPr>
        <w:tc>
          <w:tcPr>
            <w:tcW w:w="2772" w:type="dxa"/>
            <w:gridSpan w:val="2"/>
            <w:vAlign w:val="center"/>
          </w:tcPr>
          <w:p w14:paraId="715007B0">
            <w:pPr>
              <w:widowControl/>
              <w:jc w:val="center"/>
              <w:rPr>
                <w:rFonts w:ascii="宋体" w:hAnsi="宋体"/>
                <w:color w:val="auto"/>
                <w:szCs w:val="21"/>
                <w:highlight w:val="none"/>
              </w:rPr>
            </w:pPr>
            <w:r>
              <w:rPr>
                <w:rFonts w:hint="eastAsia" w:ascii="宋体" w:hAnsi="宋体"/>
                <w:color w:val="auto"/>
                <w:szCs w:val="21"/>
                <w:highlight w:val="none"/>
              </w:rPr>
              <w:t>联系传真</w:t>
            </w:r>
          </w:p>
        </w:tc>
        <w:tc>
          <w:tcPr>
            <w:tcW w:w="1716" w:type="dxa"/>
            <w:vAlign w:val="center"/>
          </w:tcPr>
          <w:p w14:paraId="102D60AD">
            <w:pPr>
              <w:widowControl/>
              <w:jc w:val="center"/>
              <w:rPr>
                <w:rFonts w:ascii="宋体" w:hAnsi="宋体"/>
                <w:color w:val="auto"/>
                <w:szCs w:val="21"/>
                <w:highlight w:val="none"/>
              </w:rPr>
            </w:pPr>
          </w:p>
        </w:tc>
        <w:tc>
          <w:tcPr>
            <w:tcW w:w="2185" w:type="dxa"/>
            <w:gridSpan w:val="2"/>
            <w:vAlign w:val="center"/>
          </w:tcPr>
          <w:p w14:paraId="3B5CBD24">
            <w:pPr>
              <w:widowControl/>
              <w:jc w:val="center"/>
              <w:rPr>
                <w:rFonts w:ascii="宋体" w:hAnsi="宋体"/>
                <w:color w:val="auto"/>
                <w:szCs w:val="21"/>
                <w:highlight w:val="none"/>
              </w:rPr>
            </w:pPr>
            <w:r>
              <w:rPr>
                <w:rFonts w:hint="eastAsia" w:ascii="宋体" w:hAnsi="宋体"/>
                <w:color w:val="auto"/>
                <w:szCs w:val="21"/>
                <w:highlight w:val="none"/>
              </w:rPr>
              <w:t>联系邮箱</w:t>
            </w:r>
          </w:p>
        </w:tc>
        <w:tc>
          <w:tcPr>
            <w:tcW w:w="2506" w:type="dxa"/>
            <w:vAlign w:val="center"/>
          </w:tcPr>
          <w:p w14:paraId="5AEC6C69">
            <w:pPr>
              <w:widowControl/>
              <w:jc w:val="center"/>
              <w:rPr>
                <w:rFonts w:ascii="宋体" w:hAnsi="宋体"/>
                <w:color w:val="auto"/>
                <w:szCs w:val="21"/>
                <w:highlight w:val="none"/>
              </w:rPr>
            </w:pPr>
          </w:p>
        </w:tc>
      </w:tr>
      <w:tr w14:paraId="1A881B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8" w:hRule="atLeast"/>
          <w:jc w:val="center"/>
        </w:trPr>
        <w:tc>
          <w:tcPr>
            <w:tcW w:w="2772" w:type="dxa"/>
            <w:gridSpan w:val="2"/>
            <w:vAlign w:val="center"/>
          </w:tcPr>
          <w:p w14:paraId="7606E1C6">
            <w:pPr>
              <w:widowControl/>
              <w:jc w:val="center"/>
              <w:rPr>
                <w:rFonts w:ascii="宋体" w:hAnsi="宋体"/>
                <w:color w:val="auto"/>
                <w:szCs w:val="21"/>
                <w:highlight w:val="none"/>
              </w:rPr>
            </w:pPr>
            <w:r>
              <w:rPr>
                <w:rFonts w:hint="eastAsia" w:ascii="宋体" w:hAnsi="宋体"/>
                <w:color w:val="auto"/>
                <w:szCs w:val="21"/>
                <w:highlight w:val="none"/>
              </w:rPr>
              <w:t>经营范围</w:t>
            </w:r>
          </w:p>
        </w:tc>
        <w:tc>
          <w:tcPr>
            <w:tcW w:w="6407" w:type="dxa"/>
            <w:gridSpan w:val="4"/>
            <w:vAlign w:val="center"/>
          </w:tcPr>
          <w:p w14:paraId="7308F69A">
            <w:pPr>
              <w:widowControl/>
              <w:jc w:val="center"/>
              <w:rPr>
                <w:rFonts w:ascii="宋体" w:hAnsi="宋体"/>
                <w:color w:val="auto"/>
                <w:szCs w:val="21"/>
                <w:highlight w:val="none"/>
              </w:rPr>
            </w:pPr>
          </w:p>
        </w:tc>
      </w:tr>
      <w:tr w14:paraId="0370322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6" w:hRule="atLeast"/>
          <w:jc w:val="center"/>
        </w:trPr>
        <w:tc>
          <w:tcPr>
            <w:tcW w:w="2772" w:type="dxa"/>
            <w:gridSpan w:val="2"/>
            <w:vAlign w:val="center"/>
          </w:tcPr>
          <w:p w14:paraId="1BFDB33D">
            <w:pPr>
              <w:widowControl/>
              <w:jc w:val="center"/>
              <w:rPr>
                <w:rFonts w:ascii="宋体" w:hAnsi="宋体"/>
                <w:color w:val="auto"/>
                <w:szCs w:val="21"/>
                <w:highlight w:val="none"/>
              </w:rPr>
            </w:pPr>
            <w:r>
              <w:rPr>
                <w:rFonts w:hint="eastAsia" w:ascii="宋体" w:hAnsi="宋体"/>
                <w:color w:val="auto"/>
                <w:szCs w:val="21"/>
                <w:highlight w:val="none"/>
              </w:rPr>
              <w:t>公司管理体系认证</w:t>
            </w:r>
          </w:p>
        </w:tc>
        <w:tc>
          <w:tcPr>
            <w:tcW w:w="6407" w:type="dxa"/>
            <w:gridSpan w:val="4"/>
            <w:vAlign w:val="center"/>
          </w:tcPr>
          <w:p w14:paraId="50AC31DD">
            <w:pPr>
              <w:widowControl/>
              <w:jc w:val="center"/>
              <w:rPr>
                <w:rFonts w:ascii="宋体" w:hAnsi="宋体"/>
                <w:color w:val="auto"/>
                <w:szCs w:val="21"/>
                <w:highlight w:val="none"/>
              </w:rPr>
            </w:pPr>
            <w:r>
              <w:rPr>
                <w:rFonts w:hint="eastAsia" w:ascii="宋体" w:hAnsi="宋体"/>
                <w:color w:val="auto"/>
                <w:szCs w:val="21"/>
                <w:highlight w:val="none"/>
              </w:rPr>
              <w:t>（质量、职业、环境管理体系）</w:t>
            </w:r>
          </w:p>
        </w:tc>
      </w:tr>
      <w:tr w14:paraId="3C6312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59" w:hRule="atLeast"/>
          <w:jc w:val="center"/>
        </w:trPr>
        <w:tc>
          <w:tcPr>
            <w:tcW w:w="9179" w:type="dxa"/>
            <w:gridSpan w:val="6"/>
            <w:vAlign w:val="center"/>
          </w:tcPr>
          <w:p w14:paraId="1188771F">
            <w:pPr>
              <w:widowControl/>
              <w:jc w:val="left"/>
              <w:rPr>
                <w:rFonts w:ascii="宋体" w:hAnsi="宋体"/>
                <w:color w:val="auto"/>
                <w:szCs w:val="21"/>
                <w:highlight w:val="none"/>
              </w:rPr>
            </w:pPr>
            <w:r>
              <w:rPr>
                <w:rFonts w:hint="eastAsia" w:ascii="宋体" w:hAnsi="宋体"/>
                <w:color w:val="auto"/>
                <w:szCs w:val="21"/>
                <w:highlight w:val="none"/>
              </w:rPr>
              <w:t>公司资质及各类生产、经营许可</w:t>
            </w:r>
          </w:p>
        </w:tc>
      </w:tr>
      <w:tr w14:paraId="15CBA2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963" w:hRule="atLeast"/>
          <w:jc w:val="center"/>
        </w:trPr>
        <w:tc>
          <w:tcPr>
            <w:tcW w:w="9179" w:type="dxa"/>
            <w:gridSpan w:val="6"/>
            <w:vAlign w:val="center"/>
          </w:tcPr>
          <w:p w14:paraId="67DB87A0">
            <w:pPr>
              <w:widowControl/>
              <w:rPr>
                <w:rFonts w:ascii="宋体" w:hAnsi="宋体"/>
                <w:color w:val="auto"/>
                <w:szCs w:val="21"/>
                <w:highlight w:val="none"/>
              </w:rPr>
            </w:pPr>
            <w:r>
              <w:rPr>
                <w:rFonts w:hint="eastAsia" w:ascii="宋体" w:hAnsi="宋体"/>
                <w:color w:val="auto"/>
                <w:szCs w:val="21"/>
                <w:highlight w:val="none"/>
              </w:rPr>
              <w:t>如：相关资质、产品认证、其它资质（如有）。</w:t>
            </w:r>
          </w:p>
        </w:tc>
      </w:tr>
      <w:tr w14:paraId="5BC612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1" w:hRule="atLeast"/>
          <w:jc w:val="center"/>
        </w:trPr>
        <w:tc>
          <w:tcPr>
            <w:tcW w:w="1367" w:type="dxa"/>
            <w:vAlign w:val="center"/>
          </w:tcPr>
          <w:p w14:paraId="6001BC8A">
            <w:pPr>
              <w:widowControl/>
              <w:jc w:val="center"/>
              <w:rPr>
                <w:rFonts w:ascii="宋体" w:hAnsi="宋体"/>
                <w:color w:val="auto"/>
                <w:szCs w:val="21"/>
                <w:highlight w:val="none"/>
              </w:rPr>
            </w:pPr>
            <w:r>
              <w:rPr>
                <w:rFonts w:hint="eastAsia" w:ascii="宋体" w:hAnsi="宋体"/>
                <w:color w:val="auto"/>
                <w:szCs w:val="21"/>
                <w:highlight w:val="none"/>
              </w:rPr>
              <w:t>备注</w:t>
            </w:r>
          </w:p>
        </w:tc>
        <w:tc>
          <w:tcPr>
            <w:tcW w:w="7812" w:type="dxa"/>
            <w:gridSpan w:val="5"/>
            <w:vAlign w:val="center"/>
          </w:tcPr>
          <w:p w14:paraId="523DC4DA">
            <w:pPr>
              <w:widowControl/>
              <w:jc w:val="center"/>
              <w:rPr>
                <w:rFonts w:ascii="宋体" w:hAnsi="宋体"/>
                <w:color w:val="auto"/>
                <w:szCs w:val="21"/>
                <w:highlight w:val="none"/>
              </w:rPr>
            </w:pPr>
          </w:p>
        </w:tc>
      </w:tr>
    </w:tbl>
    <w:p w14:paraId="2EC5A6A8">
      <w:pPr>
        <w:pStyle w:val="16"/>
        <w:spacing w:line="400" w:lineRule="exact"/>
        <w:jc w:val="center"/>
        <w:rPr>
          <w:rFonts w:hAnsi="宋体"/>
          <w:b/>
          <w:color w:val="auto"/>
          <w:szCs w:val="21"/>
          <w:highlight w:val="none"/>
        </w:rPr>
      </w:pPr>
      <w:r>
        <w:rPr>
          <w:rFonts w:hint="eastAsia" w:hAnsi="宋体"/>
          <w:b/>
          <w:color w:val="auto"/>
          <w:szCs w:val="21"/>
          <w:highlight w:val="none"/>
        </w:rPr>
        <w:t>（请投标人如实填写本表信息）</w:t>
      </w:r>
    </w:p>
    <w:p w14:paraId="040DCC59">
      <w:pPr>
        <w:pStyle w:val="16"/>
        <w:spacing w:line="400" w:lineRule="exact"/>
        <w:jc w:val="left"/>
        <w:rPr>
          <w:rFonts w:hAnsi="宋体"/>
          <w:b/>
          <w:color w:val="auto"/>
          <w:sz w:val="24"/>
          <w:szCs w:val="24"/>
          <w:highlight w:val="none"/>
        </w:rPr>
      </w:pPr>
    </w:p>
    <w:p w14:paraId="5BC5885B">
      <w:pPr>
        <w:pStyle w:val="16"/>
        <w:spacing w:line="400" w:lineRule="exact"/>
        <w:jc w:val="left"/>
        <w:rPr>
          <w:rFonts w:hAnsi="宋体"/>
          <w:b/>
          <w:color w:val="auto"/>
          <w:sz w:val="24"/>
          <w:szCs w:val="24"/>
          <w:highlight w:val="none"/>
        </w:rPr>
      </w:pPr>
    </w:p>
    <w:p w14:paraId="79BB4FF1">
      <w:pPr>
        <w:spacing w:line="360" w:lineRule="auto"/>
        <w:ind w:firstLine="420" w:firstLineChars="200"/>
        <w:rPr>
          <w:rFonts w:ascii="宋体" w:hAnsi="宋体"/>
          <w:color w:val="auto"/>
          <w:szCs w:val="21"/>
          <w:highlight w:val="none"/>
        </w:rPr>
      </w:pPr>
      <w:r>
        <w:rPr>
          <w:rFonts w:ascii="宋体" w:hAnsi="宋体"/>
          <w:color w:val="auto"/>
          <w:szCs w:val="21"/>
          <w:highlight w:val="none"/>
        </w:rPr>
        <w:t>投标人（</w:t>
      </w:r>
      <w:r>
        <w:rPr>
          <w:rFonts w:hint="eastAsia" w:ascii="宋体" w:hAnsi="宋体"/>
          <w:color w:val="auto"/>
          <w:szCs w:val="21"/>
          <w:highlight w:val="none"/>
          <w:lang w:eastAsia="zh-CN"/>
        </w:rPr>
        <w:t>电子签章</w:t>
      </w:r>
      <w:r>
        <w:rPr>
          <w:rFonts w:ascii="宋体" w:hAnsi="宋体"/>
          <w:color w:val="auto"/>
          <w:szCs w:val="21"/>
          <w:highlight w:val="none"/>
        </w:rPr>
        <w:t>）：</w:t>
      </w:r>
      <w:r>
        <w:rPr>
          <w:rFonts w:ascii="宋体" w:hAnsi="宋体"/>
          <w:color w:val="auto"/>
          <w:szCs w:val="21"/>
          <w:highlight w:val="none"/>
          <w:u w:val="single"/>
        </w:rPr>
        <w:t>　　　　　　　　　　　　</w:t>
      </w:r>
    </w:p>
    <w:p w14:paraId="0EECF654">
      <w:pPr>
        <w:spacing w:line="360" w:lineRule="auto"/>
        <w:ind w:firstLine="420" w:firstLineChars="200"/>
        <w:rPr>
          <w:rFonts w:ascii="宋体" w:hAnsi="宋体"/>
          <w:color w:val="auto"/>
          <w:szCs w:val="21"/>
          <w:highlight w:val="none"/>
        </w:rPr>
      </w:pPr>
      <w:r>
        <w:rPr>
          <w:rFonts w:ascii="宋体" w:hAnsi="宋体"/>
          <w:color w:val="auto"/>
          <w:szCs w:val="21"/>
          <w:highlight w:val="none"/>
        </w:rPr>
        <w:t>法定代表人或其委托代理人（</w:t>
      </w:r>
      <w:r>
        <w:rPr>
          <w:rFonts w:hint="eastAsia" w:ascii="宋体" w:hAnsi="宋体"/>
          <w:color w:val="auto"/>
          <w:szCs w:val="21"/>
          <w:highlight w:val="none"/>
          <w:lang w:eastAsia="zh-CN"/>
        </w:rPr>
        <w:t>电子签章</w:t>
      </w:r>
      <w:r>
        <w:rPr>
          <w:rFonts w:hint="eastAsia" w:ascii="宋体" w:hAnsi="宋体"/>
          <w:color w:val="auto"/>
          <w:szCs w:val="21"/>
          <w:highlight w:val="none"/>
          <w:lang w:val="en-US" w:eastAsia="zh-CN"/>
        </w:rPr>
        <w:t>或签名</w:t>
      </w:r>
      <w:r>
        <w:rPr>
          <w:rFonts w:ascii="宋体" w:hAnsi="宋体"/>
          <w:color w:val="auto"/>
          <w:szCs w:val="21"/>
          <w:highlight w:val="none"/>
        </w:rPr>
        <w:t>）：</w:t>
      </w:r>
      <w:r>
        <w:rPr>
          <w:rFonts w:ascii="宋体" w:hAnsi="宋体"/>
          <w:color w:val="auto"/>
          <w:szCs w:val="21"/>
          <w:highlight w:val="none"/>
          <w:u w:val="single"/>
        </w:rPr>
        <w:t>　　　　　　　　　　</w:t>
      </w:r>
    </w:p>
    <w:p w14:paraId="0E79672E">
      <w:pPr>
        <w:widowControl/>
        <w:ind w:firstLine="420" w:firstLineChars="200"/>
        <w:jc w:val="left"/>
        <w:rPr>
          <w:rFonts w:ascii="宋体" w:hAnsi="宋体"/>
          <w:color w:val="auto"/>
          <w:highlight w:val="none"/>
        </w:rPr>
      </w:pPr>
      <w:r>
        <w:rPr>
          <w:rFonts w:ascii="宋体" w:hAnsi="宋体"/>
          <w:color w:val="auto"/>
          <w:szCs w:val="21"/>
          <w:highlight w:val="none"/>
        </w:rPr>
        <w:t>日期：</w:t>
      </w:r>
      <w:r>
        <w:rPr>
          <w:rFonts w:ascii="宋体" w:hAnsi="宋体"/>
          <w:color w:val="auto"/>
          <w:szCs w:val="21"/>
          <w:highlight w:val="none"/>
          <w:u w:val="single"/>
        </w:rPr>
        <w:t>　　　</w:t>
      </w:r>
      <w:r>
        <w:rPr>
          <w:rFonts w:ascii="宋体" w:hAnsi="宋体"/>
          <w:color w:val="auto"/>
          <w:szCs w:val="21"/>
          <w:highlight w:val="none"/>
        </w:rPr>
        <w:t>年</w:t>
      </w:r>
      <w:r>
        <w:rPr>
          <w:rFonts w:ascii="宋体" w:hAnsi="宋体"/>
          <w:color w:val="auto"/>
          <w:szCs w:val="21"/>
          <w:highlight w:val="none"/>
          <w:u w:val="single"/>
        </w:rPr>
        <w:t>　　</w:t>
      </w:r>
      <w:r>
        <w:rPr>
          <w:rFonts w:ascii="宋体" w:hAnsi="宋体"/>
          <w:color w:val="auto"/>
          <w:szCs w:val="21"/>
          <w:highlight w:val="none"/>
        </w:rPr>
        <w:t>月</w:t>
      </w:r>
      <w:r>
        <w:rPr>
          <w:rFonts w:ascii="宋体" w:hAnsi="宋体"/>
          <w:color w:val="auto"/>
          <w:szCs w:val="21"/>
          <w:highlight w:val="none"/>
          <w:u w:val="single"/>
        </w:rPr>
        <w:t>　　</w:t>
      </w:r>
      <w:r>
        <w:rPr>
          <w:rFonts w:ascii="宋体" w:hAnsi="宋体"/>
          <w:color w:val="auto"/>
          <w:szCs w:val="21"/>
          <w:highlight w:val="none"/>
        </w:rPr>
        <w:t>日</w:t>
      </w:r>
      <w:r>
        <w:rPr>
          <w:rFonts w:ascii="宋体" w:hAnsi="宋体"/>
          <w:color w:val="auto"/>
          <w:sz w:val="24"/>
          <w:highlight w:val="none"/>
          <w:u w:val="single"/>
        </w:rPr>
        <w:br w:type="page"/>
      </w:r>
      <w:bookmarkStart w:id="136" w:name="OLE_LINK4"/>
      <w:r>
        <w:rPr>
          <w:rFonts w:hint="eastAsia" w:hAnsi="宋体"/>
          <w:b/>
          <w:color w:val="auto"/>
          <w:sz w:val="28"/>
          <w:szCs w:val="28"/>
          <w:highlight w:val="none"/>
        </w:rPr>
        <w:t>格式</w:t>
      </w:r>
      <w:r>
        <w:rPr>
          <w:rFonts w:hint="eastAsia" w:hAnsi="宋体"/>
          <w:b/>
          <w:color w:val="auto"/>
          <w:sz w:val="28"/>
          <w:szCs w:val="28"/>
          <w:highlight w:val="none"/>
          <w:lang w:val="en-US" w:eastAsia="zh-CN"/>
        </w:rPr>
        <w:t>11</w:t>
      </w:r>
      <w:r>
        <w:rPr>
          <w:rFonts w:hint="eastAsia" w:hAnsi="宋体"/>
          <w:b/>
          <w:color w:val="auto"/>
          <w:sz w:val="28"/>
          <w:szCs w:val="28"/>
          <w:highlight w:val="none"/>
        </w:rPr>
        <w:t>：</w:t>
      </w:r>
      <w:bookmarkEnd w:id="136"/>
    </w:p>
    <w:p w14:paraId="0921C0CC">
      <w:pPr>
        <w:spacing w:line="360" w:lineRule="auto"/>
        <w:jc w:val="center"/>
        <w:outlineLvl w:val="2"/>
        <w:rPr>
          <w:rFonts w:ascii="宋体" w:hAnsi="宋体" w:cs="宋体"/>
          <w:b/>
          <w:bCs/>
          <w:color w:val="auto"/>
          <w:sz w:val="24"/>
          <w:szCs w:val="24"/>
          <w:highlight w:val="none"/>
        </w:rPr>
      </w:pPr>
      <w:r>
        <w:rPr>
          <w:rFonts w:hint="eastAsia" w:ascii="宋体" w:hAnsi="宋体" w:cs="Segoe UI Symbol"/>
          <w:b/>
          <w:bCs/>
          <w:color w:val="auto"/>
          <w:sz w:val="30"/>
          <w:szCs w:val="30"/>
          <w:highlight w:val="none"/>
        </w:rPr>
        <w:t>项目实施团队配置</w:t>
      </w:r>
    </w:p>
    <w:tbl>
      <w:tblPr>
        <w:tblStyle w:val="32"/>
        <w:tblW w:w="8995"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697"/>
        <w:gridCol w:w="1682"/>
        <w:gridCol w:w="802"/>
        <w:gridCol w:w="802"/>
        <w:gridCol w:w="1003"/>
        <w:gridCol w:w="1003"/>
        <w:gridCol w:w="802"/>
        <w:gridCol w:w="1204"/>
      </w:tblGrid>
      <w:tr w14:paraId="380923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43" w:hRule="exact"/>
          <w:jc w:val="center"/>
        </w:trPr>
        <w:tc>
          <w:tcPr>
            <w:tcW w:w="1697" w:type="dxa"/>
            <w:vAlign w:val="center"/>
          </w:tcPr>
          <w:p w14:paraId="6D29B8EE">
            <w:pPr>
              <w:spacing w:line="360" w:lineRule="auto"/>
              <w:jc w:val="center"/>
              <w:rPr>
                <w:rFonts w:ascii="宋体" w:hAnsi="宋体" w:cs="Arial"/>
                <w:color w:val="auto"/>
                <w:szCs w:val="21"/>
              </w:rPr>
            </w:pPr>
            <w:r>
              <w:rPr>
                <w:rFonts w:ascii="宋体" w:hAnsi="宋体" w:cs="Arial"/>
                <w:color w:val="auto"/>
                <w:szCs w:val="21"/>
              </w:rPr>
              <w:t>本项目岗位</w:t>
            </w:r>
          </w:p>
        </w:tc>
        <w:tc>
          <w:tcPr>
            <w:tcW w:w="1682" w:type="dxa"/>
            <w:vAlign w:val="center"/>
          </w:tcPr>
          <w:p w14:paraId="295E713A">
            <w:pPr>
              <w:spacing w:line="360" w:lineRule="auto"/>
              <w:jc w:val="center"/>
              <w:rPr>
                <w:rFonts w:ascii="宋体" w:hAnsi="宋体" w:cs="Arial"/>
                <w:color w:val="auto"/>
                <w:szCs w:val="21"/>
              </w:rPr>
            </w:pPr>
            <w:r>
              <w:rPr>
                <w:rFonts w:ascii="宋体" w:hAnsi="宋体" w:cs="Arial"/>
                <w:color w:val="auto"/>
                <w:szCs w:val="21"/>
              </w:rPr>
              <w:t>姓名</w:t>
            </w:r>
          </w:p>
        </w:tc>
        <w:tc>
          <w:tcPr>
            <w:tcW w:w="802" w:type="dxa"/>
            <w:vAlign w:val="center"/>
          </w:tcPr>
          <w:p w14:paraId="3A351AF8">
            <w:pPr>
              <w:spacing w:line="360" w:lineRule="auto"/>
              <w:jc w:val="center"/>
              <w:rPr>
                <w:rFonts w:ascii="宋体" w:hAnsi="宋体" w:cs="Arial"/>
                <w:color w:val="auto"/>
                <w:szCs w:val="21"/>
              </w:rPr>
            </w:pPr>
            <w:r>
              <w:rPr>
                <w:rFonts w:ascii="宋体" w:hAnsi="宋体" w:cs="Arial"/>
                <w:color w:val="auto"/>
                <w:szCs w:val="21"/>
              </w:rPr>
              <w:t>性别</w:t>
            </w:r>
          </w:p>
        </w:tc>
        <w:tc>
          <w:tcPr>
            <w:tcW w:w="802" w:type="dxa"/>
            <w:vAlign w:val="center"/>
          </w:tcPr>
          <w:p w14:paraId="7D6FB3B1">
            <w:pPr>
              <w:spacing w:line="360" w:lineRule="auto"/>
              <w:jc w:val="center"/>
              <w:rPr>
                <w:rFonts w:ascii="宋体" w:hAnsi="宋体" w:cs="Arial"/>
                <w:color w:val="auto"/>
                <w:szCs w:val="21"/>
              </w:rPr>
            </w:pPr>
            <w:r>
              <w:rPr>
                <w:rFonts w:ascii="宋体" w:hAnsi="宋体" w:cs="Arial"/>
                <w:color w:val="auto"/>
                <w:szCs w:val="21"/>
              </w:rPr>
              <w:t>年龄</w:t>
            </w:r>
          </w:p>
        </w:tc>
        <w:tc>
          <w:tcPr>
            <w:tcW w:w="1003" w:type="dxa"/>
            <w:vAlign w:val="center"/>
          </w:tcPr>
          <w:p w14:paraId="356E3A0D">
            <w:pPr>
              <w:spacing w:line="360" w:lineRule="auto"/>
              <w:jc w:val="center"/>
              <w:rPr>
                <w:rFonts w:ascii="宋体" w:hAnsi="宋体" w:cs="Arial"/>
                <w:color w:val="auto"/>
                <w:szCs w:val="21"/>
              </w:rPr>
            </w:pPr>
            <w:r>
              <w:rPr>
                <w:rFonts w:ascii="宋体" w:hAnsi="宋体" w:cs="Arial"/>
                <w:color w:val="auto"/>
                <w:szCs w:val="21"/>
              </w:rPr>
              <w:t>职称</w:t>
            </w:r>
          </w:p>
        </w:tc>
        <w:tc>
          <w:tcPr>
            <w:tcW w:w="1003" w:type="dxa"/>
            <w:vAlign w:val="center"/>
          </w:tcPr>
          <w:p w14:paraId="2B575C28">
            <w:pPr>
              <w:spacing w:line="360" w:lineRule="auto"/>
              <w:jc w:val="center"/>
              <w:rPr>
                <w:rFonts w:ascii="宋体" w:hAnsi="宋体" w:cs="Arial"/>
                <w:color w:val="auto"/>
                <w:szCs w:val="21"/>
              </w:rPr>
            </w:pPr>
            <w:r>
              <w:rPr>
                <w:rFonts w:ascii="宋体" w:hAnsi="宋体" w:cs="Arial"/>
                <w:color w:val="auto"/>
                <w:szCs w:val="21"/>
              </w:rPr>
              <w:t>职务</w:t>
            </w:r>
          </w:p>
        </w:tc>
        <w:tc>
          <w:tcPr>
            <w:tcW w:w="802" w:type="dxa"/>
            <w:vAlign w:val="center"/>
          </w:tcPr>
          <w:p w14:paraId="1AAC95C6">
            <w:pPr>
              <w:spacing w:line="360" w:lineRule="auto"/>
              <w:jc w:val="center"/>
              <w:rPr>
                <w:rFonts w:ascii="宋体" w:hAnsi="宋体" w:cs="Arial"/>
                <w:color w:val="auto"/>
                <w:szCs w:val="21"/>
              </w:rPr>
            </w:pPr>
            <w:r>
              <w:rPr>
                <w:rFonts w:ascii="宋体" w:hAnsi="宋体" w:cs="Arial"/>
                <w:color w:val="auto"/>
                <w:szCs w:val="21"/>
              </w:rPr>
              <w:t>学历</w:t>
            </w:r>
          </w:p>
        </w:tc>
        <w:tc>
          <w:tcPr>
            <w:tcW w:w="1204" w:type="dxa"/>
            <w:vAlign w:val="center"/>
          </w:tcPr>
          <w:p w14:paraId="079A9B05">
            <w:pPr>
              <w:spacing w:line="360" w:lineRule="auto"/>
              <w:jc w:val="center"/>
              <w:rPr>
                <w:rFonts w:ascii="宋体" w:hAnsi="宋体" w:cs="Arial"/>
                <w:color w:val="auto"/>
                <w:szCs w:val="21"/>
              </w:rPr>
            </w:pPr>
            <w:r>
              <w:rPr>
                <w:rFonts w:ascii="宋体" w:hAnsi="宋体" w:cs="Arial"/>
                <w:color w:val="auto"/>
                <w:szCs w:val="21"/>
              </w:rPr>
              <w:t>专业</w:t>
            </w:r>
          </w:p>
        </w:tc>
      </w:tr>
      <w:tr w14:paraId="0C3AF0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75" w:hRule="exact"/>
          <w:jc w:val="center"/>
        </w:trPr>
        <w:tc>
          <w:tcPr>
            <w:tcW w:w="1697" w:type="dxa"/>
            <w:vAlign w:val="center"/>
          </w:tcPr>
          <w:p w14:paraId="76C0031E">
            <w:pPr>
              <w:spacing w:line="360" w:lineRule="auto"/>
              <w:jc w:val="center"/>
              <w:rPr>
                <w:rFonts w:hint="default" w:ascii="宋体" w:hAnsi="宋体" w:eastAsia="宋体" w:cs="Arial"/>
                <w:color w:val="auto"/>
                <w:szCs w:val="21"/>
                <w:lang w:val="en-US" w:eastAsia="zh-CN"/>
              </w:rPr>
            </w:pPr>
          </w:p>
        </w:tc>
        <w:tc>
          <w:tcPr>
            <w:tcW w:w="1682" w:type="dxa"/>
            <w:vAlign w:val="center"/>
          </w:tcPr>
          <w:p w14:paraId="47478C79">
            <w:pPr>
              <w:spacing w:line="360" w:lineRule="auto"/>
              <w:jc w:val="center"/>
              <w:rPr>
                <w:rFonts w:ascii="宋体" w:hAnsi="宋体" w:cs="Arial"/>
                <w:color w:val="auto"/>
                <w:szCs w:val="21"/>
              </w:rPr>
            </w:pPr>
          </w:p>
        </w:tc>
        <w:tc>
          <w:tcPr>
            <w:tcW w:w="802" w:type="dxa"/>
            <w:vAlign w:val="center"/>
          </w:tcPr>
          <w:p w14:paraId="26582B6A">
            <w:pPr>
              <w:spacing w:line="360" w:lineRule="auto"/>
              <w:jc w:val="center"/>
              <w:rPr>
                <w:rFonts w:ascii="宋体" w:hAnsi="宋体" w:cs="Arial"/>
                <w:color w:val="auto"/>
                <w:szCs w:val="21"/>
              </w:rPr>
            </w:pPr>
          </w:p>
        </w:tc>
        <w:tc>
          <w:tcPr>
            <w:tcW w:w="802" w:type="dxa"/>
            <w:vAlign w:val="center"/>
          </w:tcPr>
          <w:p w14:paraId="13DF62E6">
            <w:pPr>
              <w:spacing w:line="360" w:lineRule="auto"/>
              <w:jc w:val="center"/>
              <w:rPr>
                <w:rFonts w:ascii="宋体" w:hAnsi="宋体" w:cs="Arial"/>
                <w:color w:val="auto"/>
                <w:szCs w:val="21"/>
              </w:rPr>
            </w:pPr>
          </w:p>
        </w:tc>
        <w:tc>
          <w:tcPr>
            <w:tcW w:w="1003" w:type="dxa"/>
            <w:vAlign w:val="center"/>
          </w:tcPr>
          <w:p w14:paraId="6A1547DC">
            <w:pPr>
              <w:spacing w:line="360" w:lineRule="auto"/>
              <w:jc w:val="center"/>
              <w:rPr>
                <w:rFonts w:ascii="宋体" w:hAnsi="宋体" w:cs="Arial"/>
                <w:color w:val="auto"/>
                <w:szCs w:val="21"/>
              </w:rPr>
            </w:pPr>
          </w:p>
        </w:tc>
        <w:tc>
          <w:tcPr>
            <w:tcW w:w="1003" w:type="dxa"/>
            <w:vAlign w:val="center"/>
          </w:tcPr>
          <w:p w14:paraId="0DCD8615">
            <w:pPr>
              <w:spacing w:line="360" w:lineRule="auto"/>
              <w:jc w:val="center"/>
              <w:rPr>
                <w:rFonts w:ascii="宋体" w:hAnsi="宋体" w:cs="Arial"/>
                <w:color w:val="auto"/>
                <w:szCs w:val="21"/>
              </w:rPr>
            </w:pPr>
          </w:p>
        </w:tc>
        <w:tc>
          <w:tcPr>
            <w:tcW w:w="802" w:type="dxa"/>
            <w:vAlign w:val="center"/>
          </w:tcPr>
          <w:p w14:paraId="719EE435">
            <w:pPr>
              <w:spacing w:line="360" w:lineRule="auto"/>
              <w:jc w:val="center"/>
              <w:rPr>
                <w:rFonts w:ascii="宋体" w:hAnsi="宋体" w:cs="Arial"/>
                <w:color w:val="auto"/>
                <w:szCs w:val="21"/>
              </w:rPr>
            </w:pPr>
          </w:p>
        </w:tc>
        <w:tc>
          <w:tcPr>
            <w:tcW w:w="1204" w:type="dxa"/>
            <w:vAlign w:val="center"/>
          </w:tcPr>
          <w:p w14:paraId="4F3CA83E">
            <w:pPr>
              <w:spacing w:line="360" w:lineRule="auto"/>
              <w:jc w:val="center"/>
              <w:rPr>
                <w:rFonts w:ascii="宋体" w:hAnsi="宋体" w:cs="Arial"/>
                <w:color w:val="auto"/>
                <w:szCs w:val="21"/>
              </w:rPr>
            </w:pPr>
          </w:p>
        </w:tc>
      </w:tr>
      <w:tr w14:paraId="290E9F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75" w:hRule="exact"/>
          <w:jc w:val="center"/>
        </w:trPr>
        <w:tc>
          <w:tcPr>
            <w:tcW w:w="1697" w:type="dxa"/>
            <w:vAlign w:val="center"/>
          </w:tcPr>
          <w:p w14:paraId="7C6FF4D4">
            <w:pPr>
              <w:spacing w:line="360" w:lineRule="auto"/>
              <w:jc w:val="center"/>
              <w:rPr>
                <w:rFonts w:ascii="宋体" w:hAnsi="宋体" w:cs="Arial"/>
                <w:color w:val="auto"/>
                <w:szCs w:val="21"/>
              </w:rPr>
            </w:pPr>
          </w:p>
        </w:tc>
        <w:tc>
          <w:tcPr>
            <w:tcW w:w="1682" w:type="dxa"/>
            <w:vAlign w:val="center"/>
          </w:tcPr>
          <w:p w14:paraId="60D44470">
            <w:pPr>
              <w:spacing w:line="360" w:lineRule="auto"/>
              <w:jc w:val="center"/>
              <w:rPr>
                <w:rFonts w:ascii="宋体" w:hAnsi="宋体" w:cs="Arial"/>
                <w:color w:val="auto"/>
                <w:szCs w:val="21"/>
              </w:rPr>
            </w:pPr>
          </w:p>
        </w:tc>
        <w:tc>
          <w:tcPr>
            <w:tcW w:w="802" w:type="dxa"/>
            <w:vAlign w:val="center"/>
          </w:tcPr>
          <w:p w14:paraId="3217E2D0">
            <w:pPr>
              <w:spacing w:line="360" w:lineRule="auto"/>
              <w:jc w:val="center"/>
              <w:rPr>
                <w:rFonts w:ascii="宋体" w:hAnsi="宋体" w:cs="Arial"/>
                <w:color w:val="auto"/>
                <w:szCs w:val="21"/>
              </w:rPr>
            </w:pPr>
          </w:p>
        </w:tc>
        <w:tc>
          <w:tcPr>
            <w:tcW w:w="802" w:type="dxa"/>
            <w:vAlign w:val="center"/>
          </w:tcPr>
          <w:p w14:paraId="742BA0AA">
            <w:pPr>
              <w:spacing w:line="360" w:lineRule="auto"/>
              <w:jc w:val="center"/>
              <w:rPr>
                <w:rFonts w:ascii="宋体" w:hAnsi="宋体" w:cs="Arial"/>
                <w:color w:val="auto"/>
                <w:szCs w:val="21"/>
              </w:rPr>
            </w:pPr>
          </w:p>
        </w:tc>
        <w:tc>
          <w:tcPr>
            <w:tcW w:w="1003" w:type="dxa"/>
            <w:vAlign w:val="center"/>
          </w:tcPr>
          <w:p w14:paraId="16DBC392">
            <w:pPr>
              <w:spacing w:line="360" w:lineRule="auto"/>
              <w:jc w:val="center"/>
              <w:rPr>
                <w:rFonts w:ascii="宋体" w:hAnsi="宋体" w:cs="Arial"/>
                <w:color w:val="auto"/>
                <w:szCs w:val="21"/>
              </w:rPr>
            </w:pPr>
          </w:p>
        </w:tc>
        <w:tc>
          <w:tcPr>
            <w:tcW w:w="1003" w:type="dxa"/>
            <w:vAlign w:val="center"/>
          </w:tcPr>
          <w:p w14:paraId="5812CC01">
            <w:pPr>
              <w:spacing w:line="360" w:lineRule="auto"/>
              <w:jc w:val="center"/>
              <w:rPr>
                <w:rFonts w:ascii="宋体" w:hAnsi="宋体" w:cs="Arial"/>
                <w:color w:val="auto"/>
                <w:szCs w:val="21"/>
              </w:rPr>
            </w:pPr>
          </w:p>
        </w:tc>
        <w:tc>
          <w:tcPr>
            <w:tcW w:w="802" w:type="dxa"/>
            <w:vAlign w:val="center"/>
          </w:tcPr>
          <w:p w14:paraId="0C7AF752">
            <w:pPr>
              <w:spacing w:line="360" w:lineRule="auto"/>
              <w:jc w:val="center"/>
              <w:rPr>
                <w:rFonts w:ascii="宋体" w:hAnsi="宋体" w:cs="Arial"/>
                <w:color w:val="auto"/>
                <w:szCs w:val="21"/>
              </w:rPr>
            </w:pPr>
          </w:p>
        </w:tc>
        <w:tc>
          <w:tcPr>
            <w:tcW w:w="1204" w:type="dxa"/>
            <w:vAlign w:val="center"/>
          </w:tcPr>
          <w:p w14:paraId="7E4ABA6F">
            <w:pPr>
              <w:spacing w:line="360" w:lineRule="auto"/>
              <w:jc w:val="center"/>
              <w:rPr>
                <w:rFonts w:ascii="宋体" w:hAnsi="宋体" w:cs="Arial"/>
                <w:color w:val="auto"/>
                <w:szCs w:val="21"/>
              </w:rPr>
            </w:pPr>
          </w:p>
        </w:tc>
      </w:tr>
      <w:tr w14:paraId="7A730F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75" w:hRule="exact"/>
          <w:jc w:val="center"/>
        </w:trPr>
        <w:tc>
          <w:tcPr>
            <w:tcW w:w="1697" w:type="dxa"/>
            <w:vAlign w:val="center"/>
          </w:tcPr>
          <w:p w14:paraId="24F761A2">
            <w:pPr>
              <w:spacing w:line="360" w:lineRule="auto"/>
              <w:jc w:val="center"/>
              <w:rPr>
                <w:rFonts w:hint="default" w:ascii="宋体" w:hAnsi="宋体" w:eastAsia="宋体" w:cs="Arial"/>
                <w:color w:val="auto"/>
                <w:szCs w:val="21"/>
                <w:lang w:val="en-US" w:eastAsia="zh-CN"/>
              </w:rPr>
            </w:pPr>
          </w:p>
        </w:tc>
        <w:tc>
          <w:tcPr>
            <w:tcW w:w="1682" w:type="dxa"/>
            <w:vAlign w:val="center"/>
          </w:tcPr>
          <w:p w14:paraId="05AD3D32">
            <w:pPr>
              <w:spacing w:line="360" w:lineRule="auto"/>
              <w:jc w:val="center"/>
              <w:rPr>
                <w:rFonts w:ascii="宋体" w:hAnsi="宋体" w:cs="Arial"/>
                <w:color w:val="auto"/>
                <w:szCs w:val="21"/>
              </w:rPr>
            </w:pPr>
          </w:p>
        </w:tc>
        <w:tc>
          <w:tcPr>
            <w:tcW w:w="802" w:type="dxa"/>
            <w:vAlign w:val="center"/>
          </w:tcPr>
          <w:p w14:paraId="11FB9CC7">
            <w:pPr>
              <w:spacing w:line="360" w:lineRule="auto"/>
              <w:jc w:val="center"/>
              <w:rPr>
                <w:rFonts w:ascii="宋体" w:hAnsi="宋体" w:cs="Arial"/>
                <w:color w:val="auto"/>
                <w:szCs w:val="21"/>
              </w:rPr>
            </w:pPr>
          </w:p>
        </w:tc>
        <w:tc>
          <w:tcPr>
            <w:tcW w:w="802" w:type="dxa"/>
            <w:vAlign w:val="center"/>
          </w:tcPr>
          <w:p w14:paraId="5E447E2D">
            <w:pPr>
              <w:spacing w:line="360" w:lineRule="auto"/>
              <w:jc w:val="center"/>
              <w:rPr>
                <w:rFonts w:ascii="宋体" w:hAnsi="宋体" w:cs="Arial"/>
                <w:color w:val="auto"/>
                <w:szCs w:val="21"/>
              </w:rPr>
            </w:pPr>
          </w:p>
        </w:tc>
        <w:tc>
          <w:tcPr>
            <w:tcW w:w="1003" w:type="dxa"/>
            <w:vAlign w:val="center"/>
          </w:tcPr>
          <w:p w14:paraId="65011BEA">
            <w:pPr>
              <w:spacing w:line="360" w:lineRule="auto"/>
              <w:jc w:val="center"/>
              <w:rPr>
                <w:rFonts w:ascii="宋体" w:hAnsi="宋体" w:cs="Arial"/>
                <w:color w:val="auto"/>
                <w:szCs w:val="21"/>
              </w:rPr>
            </w:pPr>
          </w:p>
        </w:tc>
        <w:tc>
          <w:tcPr>
            <w:tcW w:w="1003" w:type="dxa"/>
            <w:vAlign w:val="center"/>
          </w:tcPr>
          <w:p w14:paraId="53C1B277">
            <w:pPr>
              <w:spacing w:line="360" w:lineRule="auto"/>
              <w:jc w:val="center"/>
              <w:rPr>
                <w:rFonts w:ascii="宋体" w:hAnsi="宋体" w:cs="Arial"/>
                <w:color w:val="auto"/>
                <w:szCs w:val="21"/>
              </w:rPr>
            </w:pPr>
          </w:p>
        </w:tc>
        <w:tc>
          <w:tcPr>
            <w:tcW w:w="802" w:type="dxa"/>
            <w:vAlign w:val="center"/>
          </w:tcPr>
          <w:p w14:paraId="72AA4500">
            <w:pPr>
              <w:spacing w:line="360" w:lineRule="auto"/>
              <w:jc w:val="center"/>
              <w:rPr>
                <w:rFonts w:ascii="宋体" w:hAnsi="宋体" w:cs="Arial"/>
                <w:color w:val="auto"/>
                <w:szCs w:val="21"/>
              </w:rPr>
            </w:pPr>
          </w:p>
        </w:tc>
        <w:tc>
          <w:tcPr>
            <w:tcW w:w="1204" w:type="dxa"/>
            <w:vAlign w:val="center"/>
          </w:tcPr>
          <w:p w14:paraId="0FE59CFB">
            <w:pPr>
              <w:spacing w:line="360" w:lineRule="auto"/>
              <w:jc w:val="center"/>
              <w:rPr>
                <w:rFonts w:ascii="宋体" w:hAnsi="宋体" w:cs="Arial"/>
                <w:color w:val="auto"/>
                <w:szCs w:val="21"/>
              </w:rPr>
            </w:pPr>
          </w:p>
        </w:tc>
      </w:tr>
      <w:tr w14:paraId="381D3D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75" w:hRule="exact"/>
          <w:jc w:val="center"/>
        </w:trPr>
        <w:tc>
          <w:tcPr>
            <w:tcW w:w="1697" w:type="dxa"/>
            <w:vAlign w:val="center"/>
          </w:tcPr>
          <w:p w14:paraId="2A2B8E73">
            <w:pPr>
              <w:spacing w:line="360" w:lineRule="auto"/>
              <w:jc w:val="center"/>
              <w:rPr>
                <w:rFonts w:ascii="宋体" w:hAnsi="宋体" w:cs="Arial"/>
                <w:color w:val="auto"/>
                <w:szCs w:val="21"/>
              </w:rPr>
            </w:pPr>
          </w:p>
        </w:tc>
        <w:tc>
          <w:tcPr>
            <w:tcW w:w="1682" w:type="dxa"/>
            <w:vAlign w:val="center"/>
          </w:tcPr>
          <w:p w14:paraId="7932596B">
            <w:pPr>
              <w:spacing w:line="360" w:lineRule="auto"/>
              <w:jc w:val="center"/>
              <w:rPr>
                <w:rFonts w:ascii="宋体" w:hAnsi="宋体" w:cs="Arial"/>
                <w:color w:val="auto"/>
                <w:szCs w:val="21"/>
              </w:rPr>
            </w:pPr>
          </w:p>
        </w:tc>
        <w:tc>
          <w:tcPr>
            <w:tcW w:w="802" w:type="dxa"/>
            <w:vAlign w:val="center"/>
          </w:tcPr>
          <w:p w14:paraId="7E550473">
            <w:pPr>
              <w:spacing w:line="360" w:lineRule="auto"/>
              <w:jc w:val="center"/>
              <w:rPr>
                <w:rFonts w:ascii="宋体" w:hAnsi="宋体" w:cs="Arial"/>
                <w:color w:val="auto"/>
                <w:szCs w:val="21"/>
              </w:rPr>
            </w:pPr>
          </w:p>
        </w:tc>
        <w:tc>
          <w:tcPr>
            <w:tcW w:w="802" w:type="dxa"/>
            <w:vAlign w:val="center"/>
          </w:tcPr>
          <w:p w14:paraId="3AAE10C6">
            <w:pPr>
              <w:spacing w:line="360" w:lineRule="auto"/>
              <w:jc w:val="center"/>
              <w:rPr>
                <w:rFonts w:ascii="宋体" w:hAnsi="宋体" w:cs="Arial"/>
                <w:color w:val="auto"/>
                <w:szCs w:val="21"/>
              </w:rPr>
            </w:pPr>
          </w:p>
        </w:tc>
        <w:tc>
          <w:tcPr>
            <w:tcW w:w="1003" w:type="dxa"/>
            <w:vAlign w:val="center"/>
          </w:tcPr>
          <w:p w14:paraId="7A084C0E">
            <w:pPr>
              <w:spacing w:line="360" w:lineRule="auto"/>
              <w:jc w:val="center"/>
              <w:rPr>
                <w:rFonts w:ascii="宋体" w:hAnsi="宋体" w:cs="Arial"/>
                <w:color w:val="auto"/>
                <w:szCs w:val="21"/>
              </w:rPr>
            </w:pPr>
          </w:p>
        </w:tc>
        <w:tc>
          <w:tcPr>
            <w:tcW w:w="1003" w:type="dxa"/>
            <w:vAlign w:val="center"/>
          </w:tcPr>
          <w:p w14:paraId="235D0A57">
            <w:pPr>
              <w:spacing w:line="360" w:lineRule="auto"/>
              <w:jc w:val="center"/>
              <w:rPr>
                <w:rFonts w:ascii="宋体" w:hAnsi="宋体" w:cs="Arial"/>
                <w:color w:val="auto"/>
                <w:szCs w:val="21"/>
              </w:rPr>
            </w:pPr>
          </w:p>
        </w:tc>
        <w:tc>
          <w:tcPr>
            <w:tcW w:w="802" w:type="dxa"/>
            <w:vAlign w:val="center"/>
          </w:tcPr>
          <w:p w14:paraId="35F3D1E7">
            <w:pPr>
              <w:spacing w:line="360" w:lineRule="auto"/>
              <w:jc w:val="center"/>
              <w:rPr>
                <w:rFonts w:ascii="宋体" w:hAnsi="宋体" w:cs="Arial"/>
                <w:color w:val="auto"/>
                <w:szCs w:val="21"/>
              </w:rPr>
            </w:pPr>
          </w:p>
        </w:tc>
        <w:tc>
          <w:tcPr>
            <w:tcW w:w="1204" w:type="dxa"/>
            <w:vAlign w:val="center"/>
          </w:tcPr>
          <w:p w14:paraId="247CC1AE">
            <w:pPr>
              <w:spacing w:line="360" w:lineRule="auto"/>
              <w:jc w:val="center"/>
              <w:rPr>
                <w:rFonts w:ascii="宋体" w:hAnsi="宋体" w:cs="Arial"/>
                <w:color w:val="auto"/>
                <w:szCs w:val="21"/>
              </w:rPr>
            </w:pPr>
          </w:p>
        </w:tc>
      </w:tr>
      <w:tr w14:paraId="78CE8D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75" w:hRule="exact"/>
          <w:jc w:val="center"/>
        </w:trPr>
        <w:tc>
          <w:tcPr>
            <w:tcW w:w="1697" w:type="dxa"/>
            <w:vAlign w:val="center"/>
          </w:tcPr>
          <w:p w14:paraId="22BC4515">
            <w:pPr>
              <w:spacing w:line="360" w:lineRule="auto"/>
              <w:jc w:val="center"/>
              <w:rPr>
                <w:rFonts w:hint="default" w:ascii="宋体" w:hAnsi="宋体" w:eastAsia="宋体" w:cs="Arial"/>
                <w:color w:val="auto"/>
                <w:szCs w:val="21"/>
                <w:lang w:val="en-US" w:eastAsia="zh-CN"/>
              </w:rPr>
            </w:pPr>
          </w:p>
        </w:tc>
        <w:tc>
          <w:tcPr>
            <w:tcW w:w="1682" w:type="dxa"/>
            <w:vAlign w:val="center"/>
          </w:tcPr>
          <w:p w14:paraId="5EABBA98">
            <w:pPr>
              <w:spacing w:line="360" w:lineRule="auto"/>
              <w:jc w:val="center"/>
              <w:rPr>
                <w:rFonts w:ascii="宋体" w:hAnsi="宋体" w:cs="Arial"/>
                <w:color w:val="auto"/>
                <w:szCs w:val="21"/>
              </w:rPr>
            </w:pPr>
          </w:p>
        </w:tc>
        <w:tc>
          <w:tcPr>
            <w:tcW w:w="802" w:type="dxa"/>
            <w:vAlign w:val="center"/>
          </w:tcPr>
          <w:p w14:paraId="16D8BE2B">
            <w:pPr>
              <w:spacing w:line="360" w:lineRule="auto"/>
              <w:jc w:val="center"/>
              <w:rPr>
                <w:rFonts w:ascii="宋体" w:hAnsi="宋体" w:cs="Arial"/>
                <w:color w:val="auto"/>
                <w:szCs w:val="21"/>
              </w:rPr>
            </w:pPr>
          </w:p>
        </w:tc>
        <w:tc>
          <w:tcPr>
            <w:tcW w:w="802" w:type="dxa"/>
            <w:vAlign w:val="center"/>
          </w:tcPr>
          <w:p w14:paraId="2C4E57CC">
            <w:pPr>
              <w:spacing w:line="360" w:lineRule="auto"/>
              <w:jc w:val="center"/>
              <w:rPr>
                <w:rFonts w:ascii="宋体" w:hAnsi="宋体" w:cs="Arial"/>
                <w:color w:val="auto"/>
                <w:szCs w:val="21"/>
              </w:rPr>
            </w:pPr>
          </w:p>
        </w:tc>
        <w:tc>
          <w:tcPr>
            <w:tcW w:w="1003" w:type="dxa"/>
            <w:vAlign w:val="center"/>
          </w:tcPr>
          <w:p w14:paraId="2041C80C">
            <w:pPr>
              <w:spacing w:line="360" w:lineRule="auto"/>
              <w:jc w:val="center"/>
              <w:rPr>
                <w:rFonts w:ascii="宋体" w:hAnsi="宋体" w:cs="Arial"/>
                <w:color w:val="auto"/>
                <w:szCs w:val="21"/>
              </w:rPr>
            </w:pPr>
          </w:p>
        </w:tc>
        <w:tc>
          <w:tcPr>
            <w:tcW w:w="1003" w:type="dxa"/>
            <w:vAlign w:val="center"/>
          </w:tcPr>
          <w:p w14:paraId="1A8C76BE">
            <w:pPr>
              <w:spacing w:line="360" w:lineRule="auto"/>
              <w:jc w:val="center"/>
              <w:rPr>
                <w:rFonts w:ascii="宋体" w:hAnsi="宋体" w:cs="Arial"/>
                <w:color w:val="auto"/>
                <w:szCs w:val="21"/>
              </w:rPr>
            </w:pPr>
          </w:p>
        </w:tc>
        <w:tc>
          <w:tcPr>
            <w:tcW w:w="802" w:type="dxa"/>
            <w:vAlign w:val="center"/>
          </w:tcPr>
          <w:p w14:paraId="0824E788">
            <w:pPr>
              <w:spacing w:line="360" w:lineRule="auto"/>
              <w:jc w:val="center"/>
              <w:rPr>
                <w:rFonts w:ascii="宋体" w:hAnsi="宋体" w:cs="Arial"/>
                <w:color w:val="auto"/>
                <w:szCs w:val="21"/>
              </w:rPr>
            </w:pPr>
          </w:p>
        </w:tc>
        <w:tc>
          <w:tcPr>
            <w:tcW w:w="1204" w:type="dxa"/>
            <w:vAlign w:val="center"/>
          </w:tcPr>
          <w:p w14:paraId="3CA3F548">
            <w:pPr>
              <w:spacing w:line="360" w:lineRule="auto"/>
              <w:jc w:val="center"/>
              <w:rPr>
                <w:rFonts w:ascii="宋体" w:hAnsi="宋体" w:cs="Arial"/>
                <w:color w:val="auto"/>
                <w:szCs w:val="21"/>
              </w:rPr>
            </w:pPr>
          </w:p>
        </w:tc>
      </w:tr>
      <w:tr w14:paraId="5259B52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35" w:hRule="exact"/>
          <w:jc w:val="center"/>
        </w:trPr>
        <w:tc>
          <w:tcPr>
            <w:tcW w:w="1697" w:type="dxa"/>
            <w:vAlign w:val="center"/>
          </w:tcPr>
          <w:p w14:paraId="1E620F9C">
            <w:pPr>
              <w:spacing w:line="360" w:lineRule="auto"/>
              <w:jc w:val="center"/>
              <w:rPr>
                <w:rFonts w:ascii="宋体" w:hAnsi="宋体" w:cs="Arial"/>
                <w:color w:val="auto"/>
                <w:szCs w:val="21"/>
              </w:rPr>
            </w:pPr>
            <w:r>
              <w:rPr>
                <w:rFonts w:ascii="宋体" w:hAnsi="宋体" w:cs="Arial"/>
                <w:color w:val="auto"/>
                <w:szCs w:val="21"/>
              </w:rPr>
              <w:t>…</w:t>
            </w:r>
          </w:p>
        </w:tc>
        <w:tc>
          <w:tcPr>
            <w:tcW w:w="1682" w:type="dxa"/>
            <w:vAlign w:val="center"/>
          </w:tcPr>
          <w:p w14:paraId="64554183">
            <w:pPr>
              <w:spacing w:line="360" w:lineRule="auto"/>
              <w:jc w:val="center"/>
              <w:rPr>
                <w:rFonts w:ascii="宋体" w:hAnsi="宋体" w:cs="Arial"/>
                <w:color w:val="auto"/>
                <w:szCs w:val="21"/>
              </w:rPr>
            </w:pPr>
          </w:p>
        </w:tc>
        <w:tc>
          <w:tcPr>
            <w:tcW w:w="802" w:type="dxa"/>
            <w:vAlign w:val="center"/>
          </w:tcPr>
          <w:p w14:paraId="4C70577B">
            <w:pPr>
              <w:spacing w:line="360" w:lineRule="auto"/>
              <w:jc w:val="center"/>
              <w:rPr>
                <w:rFonts w:ascii="宋体" w:hAnsi="宋体" w:cs="Arial"/>
                <w:color w:val="auto"/>
                <w:szCs w:val="21"/>
              </w:rPr>
            </w:pPr>
          </w:p>
        </w:tc>
        <w:tc>
          <w:tcPr>
            <w:tcW w:w="802" w:type="dxa"/>
            <w:vAlign w:val="center"/>
          </w:tcPr>
          <w:p w14:paraId="0AD01ECF">
            <w:pPr>
              <w:spacing w:line="360" w:lineRule="auto"/>
              <w:jc w:val="center"/>
              <w:rPr>
                <w:rFonts w:ascii="宋体" w:hAnsi="宋体" w:cs="Arial"/>
                <w:color w:val="auto"/>
                <w:szCs w:val="21"/>
              </w:rPr>
            </w:pPr>
          </w:p>
        </w:tc>
        <w:tc>
          <w:tcPr>
            <w:tcW w:w="1003" w:type="dxa"/>
            <w:vAlign w:val="center"/>
          </w:tcPr>
          <w:p w14:paraId="0484D130">
            <w:pPr>
              <w:spacing w:line="360" w:lineRule="auto"/>
              <w:jc w:val="center"/>
              <w:rPr>
                <w:rFonts w:ascii="宋体" w:hAnsi="宋体" w:cs="Arial"/>
                <w:color w:val="auto"/>
                <w:szCs w:val="21"/>
              </w:rPr>
            </w:pPr>
          </w:p>
        </w:tc>
        <w:tc>
          <w:tcPr>
            <w:tcW w:w="1003" w:type="dxa"/>
            <w:vAlign w:val="center"/>
          </w:tcPr>
          <w:p w14:paraId="5FFF2D9C">
            <w:pPr>
              <w:spacing w:line="360" w:lineRule="auto"/>
              <w:jc w:val="center"/>
              <w:rPr>
                <w:rFonts w:ascii="宋体" w:hAnsi="宋体" w:cs="Arial"/>
                <w:color w:val="auto"/>
                <w:szCs w:val="21"/>
              </w:rPr>
            </w:pPr>
          </w:p>
        </w:tc>
        <w:tc>
          <w:tcPr>
            <w:tcW w:w="802" w:type="dxa"/>
            <w:vAlign w:val="center"/>
          </w:tcPr>
          <w:p w14:paraId="6D787697">
            <w:pPr>
              <w:spacing w:line="360" w:lineRule="auto"/>
              <w:jc w:val="center"/>
              <w:rPr>
                <w:rFonts w:ascii="宋体" w:hAnsi="宋体" w:cs="Arial"/>
                <w:color w:val="auto"/>
                <w:szCs w:val="21"/>
              </w:rPr>
            </w:pPr>
          </w:p>
        </w:tc>
        <w:tc>
          <w:tcPr>
            <w:tcW w:w="1204" w:type="dxa"/>
            <w:vAlign w:val="center"/>
          </w:tcPr>
          <w:p w14:paraId="4519602D">
            <w:pPr>
              <w:spacing w:line="360" w:lineRule="auto"/>
              <w:jc w:val="center"/>
              <w:rPr>
                <w:rFonts w:ascii="宋体" w:hAnsi="宋体" w:cs="Arial"/>
                <w:color w:val="auto"/>
                <w:szCs w:val="21"/>
              </w:rPr>
            </w:pPr>
          </w:p>
        </w:tc>
      </w:tr>
    </w:tbl>
    <w:p w14:paraId="08977DFA">
      <w:pPr>
        <w:spacing w:line="360" w:lineRule="auto"/>
        <w:ind w:firstLine="420" w:firstLineChars="200"/>
        <w:jc w:val="left"/>
        <w:rPr>
          <w:rFonts w:ascii="宋体" w:hAnsi="宋体"/>
          <w:color w:val="auto"/>
          <w:highlight w:val="none"/>
        </w:rPr>
      </w:pPr>
      <w:r>
        <w:rPr>
          <w:rFonts w:hint="eastAsia" w:ascii="宋体" w:hAnsi="宋体"/>
          <w:color w:val="auto"/>
          <w:szCs w:val="21"/>
          <w:highlight w:val="none"/>
        </w:rPr>
        <w:t>注：需后附身份证、职称证书（如有）或资格证（如有）等、</w:t>
      </w:r>
      <w:r>
        <w:rPr>
          <w:rFonts w:hint="eastAsia" w:ascii="宋体" w:hAnsi="宋体"/>
          <w:color w:val="auto"/>
          <w:szCs w:val="21"/>
          <w:highlight w:val="none"/>
          <w:lang w:val="en-US" w:eastAsia="zh-CN"/>
        </w:rPr>
        <w:t>劳动合同或社保证明材料</w:t>
      </w:r>
      <w:r>
        <w:rPr>
          <w:rFonts w:hint="eastAsia" w:ascii="宋体" w:hAnsi="宋体"/>
          <w:color w:val="auto"/>
          <w:szCs w:val="21"/>
          <w:highlight w:val="none"/>
        </w:rPr>
        <w:t>等扫描件。</w:t>
      </w:r>
    </w:p>
    <w:p w14:paraId="73B4D233">
      <w:pPr>
        <w:wordWrap w:val="0"/>
        <w:spacing w:line="480" w:lineRule="auto"/>
        <w:ind w:firstLine="420" w:firstLineChars="200"/>
        <w:rPr>
          <w:rFonts w:ascii="宋体" w:hAnsi="宋体" w:cs="宋体"/>
          <w:b/>
          <w:bCs/>
          <w:color w:val="auto"/>
          <w:sz w:val="21"/>
          <w:szCs w:val="21"/>
          <w:highlight w:val="none"/>
        </w:rPr>
      </w:pPr>
    </w:p>
    <w:p w14:paraId="2046DF3D">
      <w:pPr>
        <w:rPr>
          <w:rFonts w:ascii="宋体" w:hAnsi="宋体"/>
          <w:b/>
          <w:color w:val="auto"/>
          <w:sz w:val="28"/>
          <w:szCs w:val="28"/>
          <w:highlight w:val="none"/>
        </w:rPr>
      </w:pPr>
    </w:p>
    <w:p w14:paraId="0E1567E4">
      <w:pPr>
        <w:widowControl/>
        <w:jc w:val="left"/>
        <w:rPr>
          <w:rFonts w:ascii="宋体" w:hAnsi="宋体"/>
          <w:color w:val="auto"/>
          <w:sz w:val="24"/>
          <w:highlight w:val="none"/>
          <w:u w:val="single"/>
        </w:rPr>
      </w:pPr>
    </w:p>
    <w:p w14:paraId="47618D2A">
      <w:pPr>
        <w:rPr>
          <w:rFonts w:hint="eastAsia" w:hAnsi="宋体"/>
          <w:b/>
          <w:color w:val="auto"/>
          <w:sz w:val="28"/>
          <w:szCs w:val="28"/>
          <w:highlight w:val="none"/>
        </w:rPr>
      </w:pPr>
      <w:r>
        <w:rPr>
          <w:rFonts w:hint="eastAsia" w:hAnsi="宋体"/>
          <w:b/>
          <w:color w:val="auto"/>
          <w:sz w:val="28"/>
          <w:szCs w:val="28"/>
          <w:highlight w:val="none"/>
        </w:rPr>
        <w:br w:type="page"/>
      </w:r>
    </w:p>
    <w:p w14:paraId="2E5AD61D">
      <w:pPr>
        <w:pStyle w:val="16"/>
        <w:spacing w:line="360" w:lineRule="auto"/>
        <w:rPr>
          <w:rFonts w:hAnsi="宋体"/>
          <w:b/>
          <w:color w:val="auto"/>
          <w:sz w:val="28"/>
          <w:szCs w:val="28"/>
          <w:highlight w:val="none"/>
        </w:rPr>
      </w:pPr>
      <w:r>
        <w:rPr>
          <w:rFonts w:hint="eastAsia" w:hAnsi="宋体"/>
          <w:b/>
          <w:color w:val="auto"/>
          <w:sz w:val="28"/>
          <w:szCs w:val="28"/>
          <w:highlight w:val="none"/>
        </w:rPr>
        <w:t>格式</w:t>
      </w:r>
      <w:r>
        <w:rPr>
          <w:rFonts w:hint="eastAsia" w:hAnsi="宋体"/>
          <w:b/>
          <w:color w:val="auto"/>
          <w:sz w:val="28"/>
          <w:szCs w:val="28"/>
          <w:highlight w:val="none"/>
          <w:lang w:val="en-US" w:eastAsia="zh-CN"/>
        </w:rPr>
        <w:t>12</w:t>
      </w:r>
      <w:r>
        <w:rPr>
          <w:rFonts w:hint="eastAsia" w:hAnsi="宋体"/>
          <w:b/>
          <w:color w:val="auto"/>
          <w:sz w:val="28"/>
          <w:szCs w:val="28"/>
          <w:highlight w:val="none"/>
        </w:rPr>
        <w:t>：</w:t>
      </w:r>
    </w:p>
    <w:p w14:paraId="140FB9CB">
      <w:pPr>
        <w:numPr>
          <w:ilvl w:val="2"/>
          <w:numId w:val="0"/>
        </w:numPr>
        <w:tabs>
          <w:tab w:val="left" w:pos="900"/>
        </w:tabs>
        <w:adjustRightInd w:val="0"/>
        <w:spacing w:line="360" w:lineRule="auto"/>
        <w:jc w:val="center"/>
        <w:textAlignment w:val="baseline"/>
        <w:outlineLvl w:val="2"/>
        <w:rPr>
          <w:rFonts w:ascii="宋体" w:hAnsi="宋体"/>
          <w:b/>
          <w:color w:val="auto"/>
          <w:kern w:val="0"/>
          <w:sz w:val="32"/>
          <w:szCs w:val="21"/>
          <w:highlight w:val="none"/>
        </w:rPr>
      </w:pPr>
      <w:r>
        <w:rPr>
          <w:rFonts w:hint="eastAsia" w:ascii="宋体" w:hAnsi="宋体"/>
          <w:b/>
          <w:color w:val="auto"/>
          <w:kern w:val="0"/>
          <w:sz w:val="32"/>
          <w:szCs w:val="21"/>
          <w:highlight w:val="none"/>
        </w:rPr>
        <w:t>类似项目业绩</w:t>
      </w:r>
    </w:p>
    <w:p w14:paraId="5ACB0714">
      <w:pPr>
        <w:pStyle w:val="16"/>
        <w:spacing w:line="360" w:lineRule="auto"/>
        <w:rPr>
          <w:rFonts w:hAnsi="宋体"/>
          <w:color w:val="auto"/>
          <w:szCs w:val="21"/>
          <w:highlight w:val="none"/>
        </w:rPr>
      </w:pPr>
      <w:r>
        <w:rPr>
          <w:rFonts w:hAnsi="宋体"/>
          <w:color w:val="auto"/>
          <w:szCs w:val="21"/>
          <w:highlight w:val="none"/>
        </w:rPr>
        <w:t>1、</w:t>
      </w:r>
      <w:r>
        <w:rPr>
          <w:rFonts w:hint="eastAsia" w:hAnsi="宋体"/>
          <w:color w:val="auto"/>
          <w:szCs w:val="21"/>
          <w:highlight w:val="none"/>
        </w:rPr>
        <w:t>20</w:t>
      </w:r>
      <w:r>
        <w:rPr>
          <w:rFonts w:hint="eastAsia" w:hAnsi="宋体"/>
          <w:color w:val="auto"/>
          <w:szCs w:val="21"/>
          <w:highlight w:val="none"/>
          <w:lang w:val="en-US" w:eastAsia="zh-CN"/>
        </w:rPr>
        <w:t>22</w:t>
      </w:r>
      <w:r>
        <w:rPr>
          <w:rFonts w:hint="eastAsia" w:hAnsi="宋体"/>
          <w:color w:val="auto"/>
          <w:szCs w:val="21"/>
          <w:highlight w:val="none"/>
        </w:rPr>
        <w:t>年1月至今</w:t>
      </w:r>
      <w:r>
        <w:rPr>
          <w:rFonts w:hint="eastAsia" w:hAnsi="宋体" w:cs="宋体"/>
          <w:color w:val="auto"/>
          <w:highlight w:val="none"/>
          <w:lang w:val="zh-CN"/>
        </w:rPr>
        <w:t>的类似项目业绩</w:t>
      </w:r>
      <w:r>
        <w:rPr>
          <w:rFonts w:hAnsi="宋体"/>
          <w:color w:val="auto"/>
          <w:szCs w:val="21"/>
          <w:highlight w:val="none"/>
        </w:rPr>
        <w:t>实施情况</w:t>
      </w:r>
      <w:r>
        <w:rPr>
          <w:rFonts w:hint="eastAsia" w:hAnsi="宋体"/>
          <w:color w:val="auto"/>
          <w:szCs w:val="21"/>
          <w:highlight w:val="none"/>
        </w:rPr>
        <w:t>：</w:t>
      </w:r>
    </w:p>
    <w:tbl>
      <w:tblPr>
        <w:tblStyle w:val="32"/>
        <w:tblW w:w="9286"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282"/>
        <w:gridCol w:w="1592"/>
        <w:gridCol w:w="1592"/>
        <w:gridCol w:w="2069"/>
        <w:gridCol w:w="1751"/>
      </w:tblGrid>
      <w:tr w14:paraId="71B36A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86" w:hRule="atLeast"/>
          <w:jc w:val="center"/>
        </w:trPr>
        <w:tc>
          <w:tcPr>
            <w:tcW w:w="2282" w:type="dxa"/>
            <w:vAlign w:val="center"/>
          </w:tcPr>
          <w:p w14:paraId="55B9221B">
            <w:pPr>
              <w:pStyle w:val="16"/>
              <w:spacing w:line="360" w:lineRule="auto"/>
              <w:jc w:val="center"/>
              <w:rPr>
                <w:rFonts w:hAnsi="宋体"/>
                <w:b/>
                <w:color w:val="auto"/>
                <w:szCs w:val="21"/>
                <w:highlight w:val="none"/>
              </w:rPr>
            </w:pPr>
            <w:r>
              <w:rPr>
                <w:rFonts w:hAnsi="宋体"/>
                <w:b/>
                <w:color w:val="auto"/>
                <w:szCs w:val="21"/>
                <w:highlight w:val="none"/>
              </w:rPr>
              <w:t>业主名称</w:t>
            </w:r>
          </w:p>
        </w:tc>
        <w:tc>
          <w:tcPr>
            <w:tcW w:w="1592" w:type="dxa"/>
            <w:vAlign w:val="center"/>
          </w:tcPr>
          <w:p w14:paraId="4CA1E88F">
            <w:pPr>
              <w:pStyle w:val="16"/>
              <w:spacing w:line="360" w:lineRule="auto"/>
              <w:jc w:val="center"/>
              <w:rPr>
                <w:rFonts w:hAnsi="宋体"/>
                <w:b/>
                <w:color w:val="auto"/>
                <w:szCs w:val="21"/>
                <w:highlight w:val="none"/>
              </w:rPr>
            </w:pPr>
            <w:r>
              <w:rPr>
                <w:rFonts w:hAnsi="宋体"/>
                <w:b/>
                <w:color w:val="auto"/>
                <w:szCs w:val="21"/>
                <w:highlight w:val="none"/>
              </w:rPr>
              <w:t>项目及规模</w:t>
            </w:r>
          </w:p>
        </w:tc>
        <w:tc>
          <w:tcPr>
            <w:tcW w:w="1592" w:type="dxa"/>
            <w:vAlign w:val="center"/>
          </w:tcPr>
          <w:p w14:paraId="5C3D49E3">
            <w:pPr>
              <w:pStyle w:val="16"/>
              <w:spacing w:line="360" w:lineRule="auto"/>
              <w:jc w:val="center"/>
              <w:rPr>
                <w:rFonts w:hAnsi="宋体"/>
                <w:b/>
                <w:color w:val="auto"/>
                <w:szCs w:val="21"/>
                <w:highlight w:val="none"/>
              </w:rPr>
            </w:pPr>
            <w:r>
              <w:rPr>
                <w:rFonts w:hAnsi="宋体"/>
                <w:b/>
                <w:color w:val="auto"/>
                <w:szCs w:val="21"/>
                <w:highlight w:val="none"/>
              </w:rPr>
              <w:t>服务范围</w:t>
            </w:r>
          </w:p>
        </w:tc>
        <w:tc>
          <w:tcPr>
            <w:tcW w:w="2069" w:type="dxa"/>
            <w:vAlign w:val="center"/>
          </w:tcPr>
          <w:p w14:paraId="7683D133">
            <w:pPr>
              <w:pStyle w:val="16"/>
              <w:spacing w:line="360" w:lineRule="auto"/>
              <w:jc w:val="center"/>
              <w:rPr>
                <w:rFonts w:hAnsi="宋体"/>
                <w:b/>
                <w:color w:val="auto"/>
                <w:szCs w:val="21"/>
                <w:highlight w:val="none"/>
              </w:rPr>
            </w:pPr>
            <w:r>
              <w:rPr>
                <w:rFonts w:hAnsi="宋体"/>
                <w:b/>
                <w:color w:val="auto"/>
                <w:szCs w:val="21"/>
                <w:highlight w:val="none"/>
              </w:rPr>
              <w:t>服务期限</w:t>
            </w:r>
          </w:p>
        </w:tc>
        <w:tc>
          <w:tcPr>
            <w:tcW w:w="1751" w:type="dxa"/>
            <w:vAlign w:val="center"/>
          </w:tcPr>
          <w:p w14:paraId="44A91300">
            <w:pPr>
              <w:pStyle w:val="16"/>
              <w:spacing w:line="360" w:lineRule="auto"/>
              <w:jc w:val="center"/>
              <w:rPr>
                <w:rFonts w:hAnsi="宋体"/>
                <w:b/>
                <w:color w:val="auto"/>
                <w:szCs w:val="21"/>
                <w:highlight w:val="none"/>
              </w:rPr>
            </w:pPr>
            <w:r>
              <w:rPr>
                <w:rFonts w:hAnsi="宋体"/>
                <w:b/>
                <w:color w:val="auto"/>
                <w:szCs w:val="21"/>
                <w:highlight w:val="none"/>
              </w:rPr>
              <w:t>合同金额</w:t>
            </w:r>
          </w:p>
        </w:tc>
      </w:tr>
      <w:tr w14:paraId="308B2E7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78" w:hRule="atLeast"/>
          <w:jc w:val="center"/>
        </w:trPr>
        <w:tc>
          <w:tcPr>
            <w:tcW w:w="2282" w:type="dxa"/>
            <w:vAlign w:val="center"/>
          </w:tcPr>
          <w:p w14:paraId="1B2655AC">
            <w:pPr>
              <w:pStyle w:val="16"/>
              <w:spacing w:line="360" w:lineRule="auto"/>
              <w:jc w:val="center"/>
              <w:rPr>
                <w:rFonts w:hAnsi="宋体"/>
                <w:b/>
                <w:color w:val="auto"/>
                <w:szCs w:val="21"/>
                <w:highlight w:val="none"/>
              </w:rPr>
            </w:pPr>
          </w:p>
        </w:tc>
        <w:tc>
          <w:tcPr>
            <w:tcW w:w="1592" w:type="dxa"/>
            <w:vAlign w:val="center"/>
          </w:tcPr>
          <w:p w14:paraId="0ADB826D">
            <w:pPr>
              <w:pStyle w:val="16"/>
              <w:spacing w:line="360" w:lineRule="auto"/>
              <w:jc w:val="center"/>
              <w:rPr>
                <w:rFonts w:hAnsi="宋体"/>
                <w:b/>
                <w:color w:val="auto"/>
                <w:szCs w:val="21"/>
                <w:highlight w:val="none"/>
              </w:rPr>
            </w:pPr>
          </w:p>
        </w:tc>
        <w:tc>
          <w:tcPr>
            <w:tcW w:w="1592" w:type="dxa"/>
            <w:vAlign w:val="center"/>
          </w:tcPr>
          <w:p w14:paraId="6A486FA6">
            <w:pPr>
              <w:pStyle w:val="16"/>
              <w:spacing w:line="360" w:lineRule="auto"/>
              <w:jc w:val="center"/>
              <w:rPr>
                <w:rFonts w:hAnsi="宋体"/>
                <w:b/>
                <w:color w:val="auto"/>
                <w:szCs w:val="21"/>
                <w:highlight w:val="none"/>
              </w:rPr>
            </w:pPr>
          </w:p>
        </w:tc>
        <w:tc>
          <w:tcPr>
            <w:tcW w:w="2069" w:type="dxa"/>
            <w:vAlign w:val="center"/>
          </w:tcPr>
          <w:p w14:paraId="711D4B0F">
            <w:pPr>
              <w:pStyle w:val="16"/>
              <w:spacing w:line="360" w:lineRule="auto"/>
              <w:jc w:val="center"/>
              <w:rPr>
                <w:rFonts w:hAnsi="宋体"/>
                <w:b/>
                <w:color w:val="auto"/>
                <w:szCs w:val="21"/>
                <w:highlight w:val="none"/>
              </w:rPr>
            </w:pPr>
          </w:p>
        </w:tc>
        <w:tc>
          <w:tcPr>
            <w:tcW w:w="1751" w:type="dxa"/>
            <w:vAlign w:val="center"/>
          </w:tcPr>
          <w:p w14:paraId="0F11987B">
            <w:pPr>
              <w:pStyle w:val="16"/>
              <w:spacing w:line="360" w:lineRule="auto"/>
              <w:jc w:val="center"/>
              <w:rPr>
                <w:rFonts w:hAnsi="宋体"/>
                <w:b/>
                <w:color w:val="auto"/>
                <w:szCs w:val="21"/>
                <w:highlight w:val="none"/>
              </w:rPr>
            </w:pPr>
          </w:p>
        </w:tc>
      </w:tr>
      <w:tr w14:paraId="12EB56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78" w:hRule="atLeast"/>
          <w:jc w:val="center"/>
        </w:trPr>
        <w:tc>
          <w:tcPr>
            <w:tcW w:w="2282" w:type="dxa"/>
            <w:vAlign w:val="center"/>
          </w:tcPr>
          <w:p w14:paraId="7CE6F314">
            <w:pPr>
              <w:pStyle w:val="16"/>
              <w:spacing w:line="360" w:lineRule="auto"/>
              <w:jc w:val="center"/>
              <w:rPr>
                <w:rFonts w:hAnsi="宋体"/>
                <w:b/>
                <w:color w:val="auto"/>
                <w:szCs w:val="21"/>
                <w:highlight w:val="none"/>
              </w:rPr>
            </w:pPr>
          </w:p>
        </w:tc>
        <w:tc>
          <w:tcPr>
            <w:tcW w:w="1592" w:type="dxa"/>
            <w:vAlign w:val="center"/>
          </w:tcPr>
          <w:p w14:paraId="7369AD4E">
            <w:pPr>
              <w:pStyle w:val="16"/>
              <w:spacing w:line="360" w:lineRule="auto"/>
              <w:jc w:val="center"/>
              <w:rPr>
                <w:rFonts w:hAnsi="宋体"/>
                <w:b/>
                <w:color w:val="auto"/>
                <w:szCs w:val="21"/>
                <w:highlight w:val="none"/>
              </w:rPr>
            </w:pPr>
          </w:p>
        </w:tc>
        <w:tc>
          <w:tcPr>
            <w:tcW w:w="1592" w:type="dxa"/>
            <w:vAlign w:val="center"/>
          </w:tcPr>
          <w:p w14:paraId="3628E4F9">
            <w:pPr>
              <w:pStyle w:val="16"/>
              <w:spacing w:line="360" w:lineRule="auto"/>
              <w:jc w:val="center"/>
              <w:rPr>
                <w:rFonts w:hAnsi="宋体"/>
                <w:b/>
                <w:color w:val="auto"/>
                <w:szCs w:val="21"/>
                <w:highlight w:val="none"/>
              </w:rPr>
            </w:pPr>
          </w:p>
        </w:tc>
        <w:tc>
          <w:tcPr>
            <w:tcW w:w="2069" w:type="dxa"/>
            <w:vAlign w:val="center"/>
          </w:tcPr>
          <w:p w14:paraId="1F8C0E62">
            <w:pPr>
              <w:pStyle w:val="16"/>
              <w:spacing w:line="360" w:lineRule="auto"/>
              <w:jc w:val="center"/>
              <w:rPr>
                <w:rFonts w:hAnsi="宋体"/>
                <w:b/>
                <w:color w:val="auto"/>
                <w:szCs w:val="21"/>
                <w:highlight w:val="none"/>
              </w:rPr>
            </w:pPr>
          </w:p>
        </w:tc>
        <w:tc>
          <w:tcPr>
            <w:tcW w:w="1751" w:type="dxa"/>
            <w:vAlign w:val="center"/>
          </w:tcPr>
          <w:p w14:paraId="3F0255A0">
            <w:pPr>
              <w:pStyle w:val="16"/>
              <w:spacing w:line="360" w:lineRule="auto"/>
              <w:jc w:val="center"/>
              <w:rPr>
                <w:rFonts w:hAnsi="宋体"/>
                <w:b/>
                <w:color w:val="auto"/>
                <w:szCs w:val="21"/>
                <w:highlight w:val="none"/>
              </w:rPr>
            </w:pPr>
          </w:p>
        </w:tc>
      </w:tr>
      <w:tr w14:paraId="46CB76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78" w:hRule="atLeast"/>
          <w:jc w:val="center"/>
        </w:trPr>
        <w:tc>
          <w:tcPr>
            <w:tcW w:w="2282" w:type="dxa"/>
            <w:vAlign w:val="center"/>
          </w:tcPr>
          <w:p w14:paraId="1260CD16">
            <w:pPr>
              <w:pStyle w:val="16"/>
              <w:spacing w:line="360" w:lineRule="auto"/>
              <w:jc w:val="center"/>
              <w:rPr>
                <w:rFonts w:hAnsi="宋体"/>
                <w:b/>
                <w:color w:val="auto"/>
                <w:szCs w:val="21"/>
                <w:highlight w:val="none"/>
              </w:rPr>
            </w:pPr>
          </w:p>
        </w:tc>
        <w:tc>
          <w:tcPr>
            <w:tcW w:w="1592" w:type="dxa"/>
            <w:vAlign w:val="center"/>
          </w:tcPr>
          <w:p w14:paraId="7B35BBD2">
            <w:pPr>
              <w:pStyle w:val="16"/>
              <w:spacing w:line="360" w:lineRule="auto"/>
              <w:jc w:val="center"/>
              <w:rPr>
                <w:rFonts w:hAnsi="宋体"/>
                <w:b/>
                <w:color w:val="auto"/>
                <w:szCs w:val="21"/>
                <w:highlight w:val="none"/>
              </w:rPr>
            </w:pPr>
          </w:p>
        </w:tc>
        <w:tc>
          <w:tcPr>
            <w:tcW w:w="1592" w:type="dxa"/>
            <w:vAlign w:val="center"/>
          </w:tcPr>
          <w:p w14:paraId="77E170BD">
            <w:pPr>
              <w:pStyle w:val="16"/>
              <w:spacing w:line="360" w:lineRule="auto"/>
              <w:jc w:val="center"/>
              <w:rPr>
                <w:rFonts w:hAnsi="宋体"/>
                <w:b/>
                <w:color w:val="auto"/>
                <w:szCs w:val="21"/>
                <w:highlight w:val="none"/>
              </w:rPr>
            </w:pPr>
          </w:p>
        </w:tc>
        <w:tc>
          <w:tcPr>
            <w:tcW w:w="2069" w:type="dxa"/>
            <w:vAlign w:val="center"/>
          </w:tcPr>
          <w:p w14:paraId="4DDA4808">
            <w:pPr>
              <w:pStyle w:val="16"/>
              <w:spacing w:line="360" w:lineRule="auto"/>
              <w:jc w:val="center"/>
              <w:rPr>
                <w:rFonts w:hAnsi="宋体"/>
                <w:b/>
                <w:color w:val="auto"/>
                <w:szCs w:val="21"/>
                <w:highlight w:val="none"/>
              </w:rPr>
            </w:pPr>
          </w:p>
        </w:tc>
        <w:tc>
          <w:tcPr>
            <w:tcW w:w="1751" w:type="dxa"/>
            <w:vAlign w:val="center"/>
          </w:tcPr>
          <w:p w14:paraId="5F6074F1">
            <w:pPr>
              <w:pStyle w:val="16"/>
              <w:spacing w:line="360" w:lineRule="auto"/>
              <w:jc w:val="center"/>
              <w:rPr>
                <w:rFonts w:hAnsi="宋体"/>
                <w:b/>
                <w:color w:val="auto"/>
                <w:szCs w:val="21"/>
                <w:highlight w:val="none"/>
              </w:rPr>
            </w:pPr>
          </w:p>
        </w:tc>
      </w:tr>
    </w:tbl>
    <w:p w14:paraId="53DB8CAF">
      <w:pPr>
        <w:spacing w:line="360" w:lineRule="auto"/>
        <w:rPr>
          <w:rFonts w:ascii="宋体" w:hAnsi="宋体"/>
          <w:b/>
          <w:color w:val="auto"/>
          <w:kern w:val="0"/>
          <w:sz w:val="32"/>
          <w:szCs w:val="21"/>
          <w:highlight w:val="none"/>
        </w:rPr>
      </w:pPr>
      <w:r>
        <w:rPr>
          <w:rFonts w:hint="eastAsia" w:hAnsi="宋体" w:cs="宋体"/>
          <w:color w:val="auto"/>
          <w:highlight w:val="none"/>
          <w:lang w:val="zh-CN"/>
        </w:rPr>
        <w:t>注：后需附</w:t>
      </w:r>
      <w:r>
        <w:rPr>
          <w:rFonts w:hint="eastAsia" w:ascii="宋体" w:hAnsi="宋体"/>
          <w:color w:val="auto"/>
          <w:szCs w:val="21"/>
          <w:highlight w:val="none"/>
        </w:rPr>
        <w:t>中标（成交）通知书复印件/扫描件或合同复印件/扫描件</w:t>
      </w:r>
      <w:r>
        <w:rPr>
          <w:rFonts w:hint="eastAsia" w:hAnsi="宋体" w:cs="宋体"/>
          <w:color w:val="auto"/>
          <w:highlight w:val="none"/>
          <w:lang w:val="zh-CN"/>
        </w:rPr>
        <w:t>。</w:t>
      </w:r>
    </w:p>
    <w:p w14:paraId="1BF3D6C3">
      <w:pPr>
        <w:widowControl/>
        <w:jc w:val="left"/>
        <w:rPr>
          <w:rFonts w:ascii="宋体" w:hAnsi="宋体"/>
          <w:b/>
          <w:color w:val="auto"/>
          <w:sz w:val="28"/>
          <w:szCs w:val="28"/>
          <w:highlight w:val="none"/>
        </w:rPr>
      </w:pPr>
      <w:r>
        <w:rPr>
          <w:rFonts w:ascii="宋体" w:hAnsi="宋体"/>
          <w:b/>
          <w:color w:val="auto"/>
          <w:sz w:val="28"/>
          <w:szCs w:val="28"/>
          <w:highlight w:val="none"/>
        </w:rPr>
        <w:br w:type="page"/>
      </w:r>
    </w:p>
    <w:p w14:paraId="44A1C35C">
      <w:pPr>
        <w:spacing w:line="360" w:lineRule="auto"/>
        <w:rPr>
          <w:rFonts w:ascii="宋体" w:hAnsi="宋体"/>
          <w:b/>
          <w:color w:val="auto"/>
          <w:sz w:val="28"/>
          <w:szCs w:val="28"/>
          <w:highlight w:val="none"/>
        </w:rPr>
      </w:pPr>
      <w:r>
        <w:rPr>
          <w:rFonts w:hint="eastAsia" w:ascii="宋体" w:hAnsi="宋体"/>
          <w:b/>
          <w:color w:val="auto"/>
          <w:sz w:val="28"/>
          <w:szCs w:val="28"/>
          <w:highlight w:val="none"/>
        </w:rPr>
        <w:t>格式</w:t>
      </w:r>
      <w:r>
        <w:rPr>
          <w:rFonts w:hint="eastAsia" w:ascii="宋体" w:hAnsi="宋体"/>
          <w:b/>
          <w:color w:val="auto"/>
          <w:sz w:val="28"/>
          <w:szCs w:val="28"/>
          <w:highlight w:val="none"/>
          <w:lang w:val="en-US" w:eastAsia="zh-CN"/>
        </w:rPr>
        <w:t>13</w:t>
      </w:r>
      <w:r>
        <w:rPr>
          <w:rFonts w:hint="eastAsia" w:ascii="宋体" w:hAnsi="宋体"/>
          <w:b/>
          <w:color w:val="auto"/>
          <w:sz w:val="28"/>
          <w:szCs w:val="28"/>
          <w:highlight w:val="none"/>
        </w:rPr>
        <w:t>：</w:t>
      </w:r>
    </w:p>
    <w:p w14:paraId="66D71C91">
      <w:pPr>
        <w:numPr>
          <w:ilvl w:val="2"/>
          <w:numId w:val="0"/>
        </w:numPr>
        <w:tabs>
          <w:tab w:val="left" w:pos="900"/>
        </w:tabs>
        <w:adjustRightInd w:val="0"/>
        <w:spacing w:line="360" w:lineRule="auto"/>
        <w:jc w:val="center"/>
        <w:textAlignment w:val="baseline"/>
        <w:outlineLvl w:val="2"/>
        <w:rPr>
          <w:rFonts w:ascii="宋体" w:hAnsi="宋体"/>
          <w:b/>
          <w:color w:val="auto"/>
          <w:kern w:val="0"/>
          <w:sz w:val="32"/>
          <w:szCs w:val="21"/>
          <w:highlight w:val="none"/>
        </w:rPr>
      </w:pPr>
      <w:bookmarkStart w:id="137" w:name="_Toc523832882"/>
      <w:bookmarkStart w:id="138" w:name="_Toc507408991"/>
      <w:bookmarkStart w:id="139" w:name="_Toc493600039"/>
      <w:r>
        <w:rPr>
          <w:rFonts w:ascii="宋体" w:hAnsi="宋体"/>
          <w:b/>
          <w:color w:val="auto"/>
          <w:kern w:val="0"/>
          <w:sz w:val="32"/>
          <w:szCs w:val="21"/>
          <w:highlight w:val="none"/>
        </w:rPr>
        <w:t>构成投标文件</w:t>
      </w:r>
      <w:r>
        <w:rPr>
          <w:rFonts w:hint="eastAsia" w:ascii="宋体" w:hAnsi="宋体"/>
          <w:b/>
          <w:color w:val="auto"/>
          <w:kern w:val="0"/>
          <w:sz w:val="32"/>
          <w:szCs w:val="21"/>
          <w:highlight w:val="none"/>
        </w:rPr>
        <w:t>商务</w:t>
      </w:r>
      <w:r>
        <w:rPr>
          <w:rFonts w:ascii="宋体" w:hAnsi="宋体"/>
          <w:b/>
          <w:color w:val="auto"/>
          <w:kern w:val="0"/>
          <w:sz w:val="32"/>
          <w:szCs w:val="21"/>
          <w:highlight w:val="none"/>
        </w:rPr>
        <w:t>部分的其</w:t>
      </w:r>
      <w:r>
        <w:rPr>
          <w:rFonts w:hint="eastAsia" w:ascii="宋体" w:hAnsi="宋体"/>
          <w:b/>
          <w:color w:val="auto"/>
          <w:kern w:val="0"/>
          <w:sz w:val="32"/>
          <w:szCs w:val="21"/>
          <w:highlight w:val="none"/>
        </w:rPr>
        <w:t>他</w:t>
      </w:r>
      <w:r>
        <w:rPr>
          <w:rFonts w:ascii="宋体" w:hAnsi="宋体"/>
          <w:b/>
          <w:color w:val="auto"/>
          <w:kern w:val="0"/>
          <w:sz w:val="32"/>
          <w:szCs w:val="21"/>
          <w:highlight w:val="none"/>
        </w:rPr>
        <w:t>资料</w:t>
      </w:r>
      <w:bookmarkEnd w:id="137"/>
      <w:bookmarkEnd w:id="138"/>
      <w:bookmarkEnd w:id="139"/>
    </w:p>
    <w:p w14:paraId="67535CA7">
      <w:pPr>
        <w:pStyle w:val="16"/>
        <w:spacing w:line="360" w:lineRule="auto"/>
        <w:ind w:firstLine="240" w:firstLineChars="100"/>
        <w:jc w:val="left"/>
        <w:rPr>
          <w:rFonts w:hAnsi="宋体"/>
          <w:b/>
          <w:bCs/>
          <w:color w:val="auto"/>
          <w:sz w:val="24"/>
          <w:highlight w:val="none"/>
        </w:rPr>
      </w:pPr>
    </w:p>
    <w:p w14:paraId="4BAFC3E0">
      <w:pPr>
        <w:spacing w:line="360" w:lineRule="auto"/>
        <w:jc w:val="center"/>
        <w:rPr>
          <w:rFonts w:ascii="宋体" w:hAnsi="宋体"/>
          <w:color w:val="auto"/>
          <w:highlight w:val="none"/>
        </w:rPr>
      </w:pPr>
      <w:r>
        <w:rPr>
          <w:rFonts w:ascii="宋体" w:hAnsi="宋体"/>
          <w:color w:val="auto"/>
          <w:highlight w:val="none"/>
        </w:rPr>
        <w:t>详见第二章“投标人须知前附表”第13.1.3条，请自拟格式。</w:t>
      </w:r>
    </w:p>
    <w:p w14:paraId="6617B0B8">
      <w:pPr>
        <w:pStyle w:val="16"/>
        <w:spacing w:line="600" w:lineRule="exact"/>
        <w:rPr>
          <w:rFonts w:hAnsi="宋体"/>
          <w:color w:val="auto"/>
          <w:sz w:val="24"/>
          <w:szCs w:val="24"/>
          <w:highlight w:val="none"/>
          <w:u w:val="single"/>
        </w:rPr>
      </w:pPr>
    </w:p>
    <w:p w14:paraId="73DF3AF3">
      <w:pPr>
        <w:pStyle w:val="4"/>
        <w:numPr>
          <w:ilvl w:val="0"/>
          <w:numId w:val="0"/>
        </w:numPr>
        <w:ind w:left="425"/>
        <w:jc w:val="center"/>
        <w:rPr>
          <w:rFonts w:ascii="宋体" w:hAnsi="宋体" w:eastAsia="宋体"/>
          <w:color w:val="auto"/>
          <w:sz w:val="32"/>
          <w:szCs w:val="32"/>
          <w:highlight w:val="none"/>
        </w:rPr>
      </w:pPr>
      <w:r>
        <w:rPr>
          <w:rFonts w:hint="eastAsia" w:ascii="宋体" w:hAnsi="宋体" w:eastAsia="宋体"/>
          <w:color w:val="auto"/>
          <w:sz w:val="24"/>
          <w:szCs w:val="24"/>
          <w:highlight w:val="none"/>
        </w:rPr>
        <w:br w:type="page"/>
      </w:r>
      <w:bookmarkStart w:id="140" w:name="_Toc496122212"/>
      <w:bookmarkStart w:id="141" w:name="_Toc71666349"/>
      <w:r>
        <w:rPr>
          <w:rFonts w:hint="eastAsia" w:ascii="宋体" w:hAnsi="宋体" w:eastAsia="宋体"/>
          <w:color w:val="auto"/>
          <w:sz w:val="32"/>
          <w:szCs w:val="32"/>
          <w:highlight w:val="none"/>
        </w:rPr>
        <w:t>三、技术部分</w:t>
      </w:r>
      <w:bookmarkEnd w:id="140"/>
      <w:bookmarkEnd w:id="141"/>
    </w:p>
    <w:p w14:paraId="66559CDC">
      <w:pPr>
        <w:numPr>
          <w:ilvl w:val="2"/>
          <w:numId w:val="0"/>
        </w:numPr>
        <w:tabs>
          <w:tab w:val="left" w:pos="900"/>
        </w:tabs>
        <w:adjustRightInd w:val="0"/>
        <w:spacing w:line="360" w:lineRule="auto"/>
        <w:jc w:val="both"/>
        <w:textAlignment w:val="baseline"/>
        <w:outlineLvl w:val="2"/>
        <w:rPr>
          <w:rFonts w:hint="eastAsia" w:hAnsi="宋体"/>
          <w:b/>
          <w:color w:val="auto"/>
          <w:sz w:val="28"/>
          <w:szCs w:val="28"/>
          <w:highlight w:val="none"/>
        </w:rPr>
      </w:pPr>
      <w:bookmarkStart w:id="142" w:name="_Toc493600044"/>
      <w:bookmarkStart w:id="143" w:name="_Toc523832887"/>
      <w:bookmarkStart w:id="144" w:name="_Toc87521536"/>
      <w:bookmarkStart w:id="145" w:name="_Toc63070522"/>
      <w:bookmarkStart w:id="146" w:name="_Toc71666351"/>
      <w:bookmarkStart w:id="147" w:name="_Toc70446119"/>
      <w:r>
        <w:rPr>
          <w:rFonts w:hint="eastAsia" w:hAnsi="宋体"/>
          <w:b/>
          <w:color w:val="auto"/>
          <w:sz w:val="28"/>
          <w:szCs w:val="28"/>
          <w:highlight w:val="none"/>
        </w:rPr>
        <w:t>格式1：</w:t>
      </w:r>
    </w:p>
    <w:p w14:paraId="65E43F94">
      <w:pPr>
        <w:numPr>
          <w:ilvl w:val="2"/>
          <w:numId w:val="0"/>
        </w:numPr>
        <w:tabs>
          <w:tab w:val="left" w:pos="900"/>
        </w:tabs>
        <w:adjustRightInd w:val="0"/>
        <w:spacing w:line="360" w:lineRule="auto"/>
        <w:jc w:val="center"/>
        <w:textAlignment w:val="baseline"/>
        <w:outlineLvl w:val="2"/>
        <w:rPr>
          <w:rFonts w:ascii="宋体" w:hAnsi="宋体"/>
          <w:b/>
          <w:color w:val="auto"/>
          <w:kern w:val="0"/>
          <w:sz w:val="32"/>
          <w:szCs w:val="21"/>
          <w:highlight w:val="none"/>
        </w:rPr>
      </w:pPr>
      <w:r>
        <w:rPr>
          <w:rFonts w:ascii="宋体" w:hAnsi="宋体"/>
          <w:b/>
          <w:color w:val="auto"/>
          <w:kern w:val="0"/>
          <w:sz w:val="32"/>
          <w:szCs w:val="21"/>
          <w:highlight w:val="none"/>
        </w:rPr>
        <w:t>技术规格偏离表</w:t>
      </w:r>
    </w:p>
    <w:p w14:paraId="7B643DA3">
      <w:pPr>
        <w:spacing w:line="360" w:lineRule="auto"/>
        <w:ind w:firstLine="420" w:firstLineChars="200"/>
        <w:rPr>
          <w:rFonts w:ascii="宋体" w:hAnsi="宋体"/>
          <w:color w:val="auto"/>
          <w:szCs w:val="21"/>
          <w:highlight w:val="none"/>
        </w:rPr>
      </w:pPr>
      <w:r>
        <w:rPr>
          <w:rFonts w:ascii="宋体" w:hAnsi="宋体"/>
          <w:color w:val="auto"/>
          <w:szCs w:val="21"/>
          <w:highlight w:val="none"/>
        </w:rPr>
        <w:t>投标人应按所投</w:t>
      </w:r>
      <w:r>
        <w:rPr>
          <w:rFonts w:hint="eastAsia" w:ascii="宋体" w:hAnsi="宋体"/>
          <w:color w:val="auto"/>
          <w:szCs w:val="21"/>
          <w:highlight w:val="none"/>
        </w:rPr>
        <w:t>服务</w:t>
      </w:r>
      <w:r>
        <w:rPr>
          <w:rFonts w:ascii="宋体" w:hAnsi="宋体"/>
          <w:color w:val="auto"/>
          <w:szCs w:val="21"/>
          <w:highlight w:val="none"/>
        </w:rPr>
        <w:t>的</w:t>
      </w:r>
      <w:r>
        <w:rPr>
          <w:rFonts w:hint="eastAsia" w:ascii="宋体" w:hAnsi="宋体"/>
          <w:color w:val="auto"/>
          <w:szCs w:val="21"/>
          <w:highlight w:val="none"/>
          <w:lang w:val="en-US" w:eastAsia="zh-CN"/>
        </w:rPr>
        <w:t>要求</w:t>
      </w:r>
      <w:r>
        <w:rPr>
          <w:rFonts w:ascii="宋体" w:hAnsi="宋体"/>
          <w:color w:val="auto"/>
          <w:szCs w:val="21"/>
          <w:highlight w:val="none"/>
        </w:rPr>
        <w:t>，对应招标文件的第五章“</w:t>
      </w:r>
      <w:r>
        <w:rPr>
          <w:rFonts w:hint="eastAsia" w:ascii="宋体" w:hAnsi="宋体"/>
          <w:color w:val="auto"/>
          <w:szCs w:val="21"/>
          <w:highlight w:val="none"/>
          <w:lang w:eastAsia="zh-CN"/>
        </w:rPr>
        <w:t>采购需求</w:t>
      </w:r>
      <w:r>
        <w:rPr>
          <w:rFonts w:ascii="宋体" w:hAnsi="宋体"/>
          <w:color w:val="auto"/>
          <w:szCs w:val="21"/>
          <w:highlight w:val="none"/>
        </w:rPr>
        <w:t>”中要求的</w:t>
      </w:r>
      <w:r>
        <w:rPr>
          <w:rFonts w:hint="eastAsia" w:ascii="宋体" w:hAnsi="宋体"/>
          <w:color w:val="auto"/>
          <w:szCs w:val="21"/>
          <w:highlight w:val="none"/>
          <w:lang w:val="en-US" w:eastAsia="zh-CN"/>
        </w:rPr>
        <w:t>内容</w:t>
      </w:r>
      <w:r>
        <w:rPr>
          <w:rFonts w:ascii="宋体" w:hAnsi="宋体"/>
          <w:color w:val="auto"/>
          <w:szCs w:val="21"/>
          <w:highlight w:val="none"/>
        </w:rPr>
        <w:t>如实、完整、准确的填写该表。</w:t>
      </w:r>
    </w:p>
    <w:p w14:paraId="76290543">
      <w:pPr>
        <w:pStyle w:val="16"/>
        <w:spacing w:line="360" w:lineRule="auto"/>
        <w:ind w:firstLine="210" w:firstLineChars="100"/>
        <w:rPr>
          <w:rFonts w:hAnsi="宋体"/>
          <w:b/>
          <w:color w:val="auto"/>
          <w:szCs w:val="21"/>
          <w:highlight w:val="none"/>
          <w:u w:val="single"/>
        </w:rPr>
      </w:pPr>
      <w:r>
        <w:rPr>
          <w:rFonts w:hAnsi="宋体"/>
          <w:b/>
          <w:color w:val="auto"/>
          <w:szCs w:val="21"/>
          <w:highlight w:val="none"/>
        </w:rPr>
        <w:t>项目名称：</w:t>
      </w:r>
      <w:r>
        <w:rPr>
          <w:rFonts w:hint="eastAsia" w:hAnsi="宋体"/>
          <w:b/>
          <w:color w:val="auto"/>
          <w:szCs w:val="21"/>
          <w:highlight w:val="none"/>
          <w:u w:val="single"/>
        </w:rPr>
        <w:t xml:space="preserve"> </w:t>
      </w:r>
      <w:r>
        <w:rPr>
          <w:rFonts w:hAnsi="宋体"/>
          <w:b/>
          <w:color w:val="auto"/>
          <w:szCs w:val="21"/>
          <w:highlight w:val="none"/>
          <w:u w:val="single"/>
        </w:rPr>
        <w:t xml:space="preserve">               </w:t>
      </w:r>
      <w:r>
        <w:rPr>
          <w:rFonts w:hAnsi="宋体"/>
          <w:b/>
          <w:color w:val="auto"/>
          <w:szCs w:val="21"/>
          <w:highlight w:val="none"/>
        </w:rPr>
        <w:t xml:space="preserve">                             </w:t>
      </w:r>
    </w:p>
    <w:tbl>
      <w:tblPr>
        <w:tblStyle w:val="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7"/>
        <w:gridCol w:w="1145"/>
        <w:gridCol w:w="1790"/>
        <w:gridCol w:w="2141"/>
        <w:gridCol w:w="2520"/>
        <w:gridCol w:w="1035"/>
      </w:tblGrid>
      <w:tr w14:paraId="7AF78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94" w:hRule="atLeast"/>
        </w:trPr>
        <w:tc>
          <w:tcPr>
            <w:tcW w:w="827" w:type="dxa"/>
            <w:vAlign w:val="center"/>
          </w:tcPr>
          <w:p w14:paraId="5D04C462">
            <w:pPr>
              <w:spacing w:line="400" w:lineRule="exact"/>
              <w:rPr>
                <w:rFonts w:ascii="宋体" w:hAnsi="宋体"/>
                <w:color w:val="auto"/>
                <w:sz w:val="20"/>
                <w:szCs w:val="20"/>
                <w:highlight w:val="none"/>
              </w:rPr>
            </w:pPr>
            <w:r>
              <w:rPr>
                <w:rFonts w:hint="eastAsia" w:ascii="宋体" w:hAnsi="宋体"/>
                <w:b/>
                <w:color w:val="auto"/>
                <w:sz w:val="20"/>
                <w:szCs w:val="20"/>
                <w:highlight w:val="none"/>
              </w:rPr>
              <w:t>序号</w:t>
            </w:r>
          </w:p>
        </w:tc>
        <w:tc>
          <w:tcPr>
            <w:tcW w:w="1145" w:type="dxa"/>
            <w:vAlign w:val="center"/>
          </w:tcPr>
          <w:p w14:paraId="19074106">
            <w:pPr>
              <w:spacing w:line="400" w:lineRule="exact"/>
              <w:jc w:val="left"/>
              <w:rPr>
                <w:rFonts w:ascii="宋体" w:hAnsi="宋体"/>
                <w:b/>
                <w:color w:val="auto"/>
                <w:sz w:val="20"/>
                <w:szCs w:val="20"/>
                <w:highlight w:val="none"/>
              </w:rPr>
            </w:pPr>
            <w:r>
              <w:rPr>
                <w:rFonts w:hint="eastAsia" w:ascii="宋体" w:hAnsi="宋体"/>
                <w:b/>
                <w:color w:val="auto"/>
                <w:sz w:val="20"/>
                <w:szCs w:val="20"/>
                <w:highlight w:val="none"/>
              </w:rPr>
              <w:t>产品名称</w:t>
            </w:r>
          </w:p>
        </w:tc>
        <w:tc>
          <w:tcPr>
            <w:tcW w:w="1790" w:type="dxa"/>
            <w:vAlign w:val="center"/>
          </w:tcPr>
          <w:p w14:paraId="3A256ECB">
            <w:pPr>
              <w:spacing w:line="400" w:lineRule="exact"/>
              <w:rPr>
                <w:rFonts w:ascii="宋体" w:hAnsi="宋体"/>
                <w:b/>
                <w:color w:val="auto"/>
                <w:sz w:val="20"/>
                <w:szCs w:val="20"/>
                <w:highlight w:val="none"/>
              </w:rPr>
            </w:pPr>
            <w:r>
              <w:rPr>
                <w:rFonts w:hint="eastAsia" w:ascii="宋体" w:hAnsi="宋体"/>
                <w:b/>
                <w:color w:val="auto"/>
                <w:sz w:val="20"/>
                <w:szCs w:val="20"/>
                <w:highlight w:val="none"/>
              </w:rPr>
              <w:t>品牌/型号/规格</w:t>
            </w:r>
          </w:p>
        </w:tc>
        <w:tc>
          <w:tcPr>
            <w:tcW w:w="2141" w:type="dxa"/>
            <w:vAlign w:val="center"/>
          </w:tcPr>
          <w:p w14:paraId="559B1B64">
            <w:pPr>
              <w:spacing w:line="400" w:lineRule="exact"/>
              <w:rPr>
                <w:rFonts w:ascii="宋体" w:hAnsi="宋体"/>
                <w:b/>
                <w:color w:val="auto"/>
                <w:sz w:val="20"/>
                <w:szCs w:val="20"/>
                <w:highlight w:val="none"/>
              </w:rPr>
            </w:pPr>
            <w:r>
              <w:rPr>
                <w:rFonts w:hint="eastAsia" w:ascii="宋体" w:hAnsi="宋体"/>
                <w:b/>
                <w:color w:val="auto"/>
                <w:sz w:val="20"/>
                <w:szCs w:val="20"/>
                <w:highlight w:val="none"/>
              </w:rPr>
              <w:t>招标文件详细参数及性能指标</w:t>
            </w:r>
          </w:p>
        </w:tc>
        <w:tc>
          <w:tcPr>
            <w:tcW w:w="2520" w:type="dxa"/>
            <w:vAlign w:val="center"/>
          </w:tcPr>
          <w:p w14:paraId="4082B58E">
            <w:pPr>
              <w:spacing w:line="400" w:lineRule="exact"/>
              <w:rPr>
                <w:rFonts w:ascii="宋体" w:hAnsi="宋体"/>
                <w:b/>
                <w:color w:val="auto"/>
                <w:sz w:val="20"/>
                <w:szCs w:val="20"/>
                <w:highlight w:val="none"/>
              </w:rPr>
            </w:pPr>
            <w:r>
              <w:rPr>
                <w:rFonts w:hint="eastAsia" w:ascii="宋体" w:hAnsi="宋体"/>
                <w:b/>
                <w:color w:val="auto"/>
                <w:sz w:val="20"/>
                <w:szCs w:val="20"/>
                <w:highlight w:val="none"/>
              </w:rPr>
              <w:t>投标详细参数及性能指标</w:t>
            </w:r>
          </w:p>
        </w:tc>
        <w:tc>
          <w:tcPr>
            <w:tcW w:w="1035" w:type="dxa"/>
            <w:vAlign w:val="center"/>
          </w:tcPr>
          <w:p w14:paraId="3D72FFFB">
            <w:pPr>
              <w:spacing w:line="400" w:lineRule="exact"/>
              <w:rPr>
                <w:rFonts w:ascii="宋体" w:hAnsi="宋体"/>
                <w:b/>
                <w:color w:val="auto"/>
                <w:sz w:val="20"/>
                <w:szCs w:val="20"/>
                <w:highlight w:val="none"/>
              </w:rPr>
            </w:pPr>
            <w:r>
              <w:rPr>
                <w:rFonts w:hint="eastAsia" w:ascii="宋体" w:hAnsi="宋体"/>
                <w:b/>
                <w:color w:val="auto"/>
                <w:sz w:val="20"/>
                <w:szCs w:val="20"/>
                <w:highlight w:val="none"/>
              </w:rPr>
              <w:t>偏离情况</w:t>
            </w:r>
          </w:p>
        </w:tc>
      </w:tr>
      <w:tr w14:paraId="46E3AB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827" w:type="dxa"/>
            <w:vAlign w:val="center"/>
          </w:tcPr>
          <w:p w14:paraId="2216819D">
            <w:pPr>
              <w:spacing w:line="500" w:lineRule="exact"/>
              <w:rPr>
                <w:rFonts w:ascii="宋体" w:hAnsi="宋体"/>
                <w:color w:val="auto"/>
                <w:sz w:val="24"/>
                <w:szCs w:val="24"/>
                <w:highlight w:val="none"/>
              </w:rPr>
            </w:pPr>
          </w:p>
        </w:tc>
        <w:tc>
          <w:tcPr>
            <w:tcW w:w="1145" w:type="dxa"/>
            <w:vAlign w:val="center"/>
          </w:tcPr>
          <w:p w14:paraId="3985A88D">
            <w:pPr>
              <w:spacing w:line="500" w:lineRule="exact"/>
              <w:rPr>
                <w:rFonts w:ascii="宋体" w:hAnsi="宋体"/>
                <w:color w:val="auto"/>
                <w:sz w:val="24"/>
                <w:szCs w:val="24"/>
                <w:highlight w:val="none"/>
              </w:rPr>
            </w:pPr>
          </w:p>
        </w:tc>
        <w:tc>
          <w:tcPr>
            <w:tcW w:w="1790" w:type="dxa"/>
            <w:vAlign w:val="center"/>
          </w:tcPr>
          <w:p w14:paraId="7217F507">
            <w:pPr>
              <w:spacing w:line="500" w:lineRule="exact"/>
              <w:rPr>
                <w:rFonts w:ascii="宋体" w:hAnsi="宋体"/>
                <w:color w:val="auto"/>
                <w:sz w:val="24"/>
                <w:szCs w:val="24"/>
                <w:highlight w:val="none"/>
              </w:rPr>
            </w:pPr>
          </w:p>
        </w:tc>
        <w:tc>
          <w:tcPr>
            <w:tcW w:w="2141" w:type="dxa"/>
            <w:vAlign w:val="center"/>
          </w:tcPr>
          <w:p w14:paraId="0F7259C6">
            <w:pPr>
              <w:spacing w:line="500" w:lineRule="exact"/>
              <w:rPr>
                <w:rFonts w:ascii="宋体" w:hAnsi="宋体"/>
                <w:color w:val="auto"/>
                <w:sz w:val="24"/>
                <w:szCs w:val="24"/>
                <w:highlight w:val="none"/>
              </w:rPr>
            </w:pPr>
          </w:p>
        </w:tc>
        <w:tc>
          <w:tcPr>
            <w:tcW w:w="2520" w:type="dxa"/>
            <w:vAlign w:val="center"/>
          </w:tcPr>
          <w:p w14:paraId="65E9715A">
            <w:pPr>
              <w:spacing w:line="500" w:lineRule="exact"/>
              <w:rPr>
                <w:rFonts w:ascii="宋体" w:hAnsi="宋体"/>
                <w:color w:val="auto"/>
                <w:sz w:val="24"/>
                <w:szCs w:val="24"/>
                <w:highlight w:val="none"/>
              </w:rPr>
            </w:pPr>
          </w:p>
        </w:tc>
        <w:tc>
          <w:tcPr>
            <w:tcW w:w="1035" w:type="dxa"/>
          </w:tcPr>
          <w:p w14:paraId="14865F41">
            <w:pPr>
              <w:spacing w:line="500" w:lineRule="exact"/>
              <w:rPr>
                <w:rFonts w:ascii="宋体" w:hAnsi="宋体"/>
                <w:color w:val="auto"/>
                <w:sz w:val="24"/>
                <w:szCs w:val="24"/>
                <w:highlight w:val="none"/>
              </w:rPr>
            </w:pPr>
          </w:p>
        </w:tc>
      </w:tr>
      <w:tr w14:paraId="4598A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827" w:type="dxa"/>
            <w:vAlign w:val="center"/>
          </w:tcPr>
          <w:p w14:paraId="791C8A9B">
            <w:pPr>
              <w:spacing w:line="500" w:lineRule="exact"/>
              <w:rPr>
                <w:rFonts w:ascii="宋体" w:hAnsi="宋体"/>
                <w:color w:val="auto"/>
                <w:sz w:val="24"/>
                <w:szCs w:val="24"/>
                <w:highlight w:val="none"/>
              </w:rPr>
            </w:pPr>
          </w:p>
        </w:tc>
        <w:tc>
          <w:tcPr>
            <w:tcW w:w="1145" w:type="dxa"/>
            <w:vAlign w:val="center"/>
          </w:tcPr>
          <w:p w14:paraId="5B2DB44D">
            <w:pPr>
              <w:spacing w:line="500" w:lineRule="exact"/>
              <w:rPr>
                <w:rFonts w:ascii="宋体" w:hAnsi="宋体"/>
                <w:color w:val="auto"/>
                <w:sz w:val="24"/>
                <w:szCs w:val="24"/>
                <w:highlight w:val="none"/>
              </w:rPr>
            </w:pPr>
          </w:p>
        </w:tc>
        <w:tc>
          <w:tcPr>
            <w:tcW w:w="1790" w:type="dxa"/>
            <w:vAlign w:val="center"/>
          </w:tcPr>
          <w:p w14:paraId="7EE11460">
            <w:pPr>
              <w:spacing w:line="500" w:lineRule="exact"/>
              <w:rPr>
                <w:rFonts w:ascii="宋体" w:hAnsi="宋体"/>
                <w:color w:val="auto"/>
                <w:sz w:val="24"/>
                <w:szCs w:val="24"/>
                <w:highlight w:val="none"/>
              </w:rPr>
            </w:pPr>
          </w:p>
        </w:tc>
        <w:tc>
          <w:tcPr>
            <w:tcW w:w="2141" w:type="dxa"/>
            <w:vAlign w:val="center"/>
          </w:tcPr>
          <w:p w14:paraId="7FCDD22D">
            <w:pPr>
              <w:spacing w:line="500" w:lineRule="exact"/>
              <w:rPr>
                <w:rFonts w:ascii="宋体" w:hAnsi="宋体"/>
                <w:color w:val="auto"/>
                <w:sz w:val="24"/>
                <w:szCs w:val="24"/>
                <w:highlight w:val="none"/>
              </w:rPr>
            </w:pPr>
          </w:p>
        </w:tc>
        <w:tc>
          <w:tcPr>
            <w:tcW w:w="2520" w:type="dxa"/>
            <w:vAlign w:val="center"/>
          </w:tcPr>
          <w:p w14:paraId="3245ED2D">
            <w:pPr>
              <w:spacing w:line="500" w:lineRule="exact"/>
              <w:rPr>
                <w:rFonts w:ascii="宋体" w:hAnsi="宋体"/>
                <w:color w:val="auto"/>
                <w:sz w:val="24"/>
                <w:szCs w:val="24"/>
                <w:highlight w:val="none"/>
              </w:rPr>
            </w:pPr>
          </w:p>
        </w:tc>
        <w:tc>
          <w:tcPr>
            <w:tcW w:w="1035" w:type="dxa"/>
          </w:tcPr>
          <w:p w14:paraId="081AE421">
            <w:pPr>
              <w:spacing w:line="500" w:lineRule="exact"/>
              <w:rPr>
                <w:rFonts w:ascii="宋体" w:hAnsi="宋体"/>
                <w:color w:val="auto"/>
                <w:sz w:val="24"/>
                <w:szCs w:val="24"/>
                <w:highlight w:val="none"/>
              </w:rPr>
            </w:pPr>
          </w:p>
        </w:tc>
      </w:tr>
      <w:tr w14:paraId="6279E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827" w:type="dxa"/>
            <w:vAlign w:val="center"/>
          </w:tcPr>
          <w:p w14:paraId="50A6622B">
            <w:pPr>
              <w:spacing w:line="500" w:lineRule="exact"/>
              <w:rPr>
                <w:rFonts w:ascii="宋体" w:hAnsi="宋体"/>
                <w:color w:val="auto"/>
                <w:sz w:val="24"/>
                <w:szCs w:val="24"/>
                <w:highlight w:val="none"/>
              </w:rPr>
            </w:pPr>
          </w:p>
        </w:tc>
        <w:tc>
          <w:tcPr>
            <w:tcW w:w="1145" w:type="dxa"/>
            <w:vAlign w:val="center"/>
          </w:tcPr>
          <w:p w14:paraId="65CAA3F0">
            <w:pPr>
              <w:spacing w:line="500" w:lineRule="exact"/>
              <w:rPr>
                <w:rFonts w:ascii="宋体" w:hAnsi="宋体"/>
                <w:color w:val="auto"/>
                <w:sz w:val="24"/>
                <w:szCs w:val="24"/>
                <w:highlight w:val="none"/>
              </w:rPr>
            </w:pPr>
          </w:p>
        </w:tc>
        <w:tc>
          <w:tcPr>
            <w:tcW w:w="1790" w:type="dxa"/>
            <w:vAlign w:val="center"/>
          </w:tcPr>
          <w:p w14:paraId="757BE599">
            <w:pPr>
              <w:spacing w:line="500" w:lineRule="exact"/>
              <w:rPr>
                <w:rFonts w:ascii="宋体" w:hAnsi="宋体"/>
                <w:color w:val="auto"/>
                <w:sz w:val="24"/>
                <w:szCs w:val="24"/>
                <w:highlight w:val="none"/>
              </w:rPr>
            </w:pPr>
          </w:p>
        </w:tc>
        <w:tc>
          <w:tcPr>
            <w:tcW w:w="2141" w:type="dxa"/>
            <w:vAlign w:val="center"/>
          </w:tcPr>
          <w:p w14:paraId="0C453D6C">
            <w:pPr>
              <w:spacing w:line="500" w:lineRule="exact"/>
              <w:rPr>
                <w:rFonts w:ascii="宋体" w:hAnsi="宋体"/>
                <w:color w:val="auto"/>
                <w:sz w:val="24"/>
                <w:szCs w:val="24"/>
                <w:highlight w:val="none"/>
              </w:rPr>
            </w:pPr>
          </w:p>
        </w:tc>
        <w:tc>
          <w:tcPr>
            <w:tcW w:w="2520" w:type="dxa"/>
            <w:vAlign w:val="center"/>
          </w:tcPr>
          <w:p w14:paraId="022C0770">
            <w:pPr>
              <w:spacing w:line="500" w:lineRule="exact"/>
              <w:rPr>
                <w:rFonts w:ascii="宋体" w:hAnsi="宋体"/>
                <w:color w:val="auto"/>
                <w:sz w:val="24"/>
                <w:szCs w:val="24"/>
                <w:highlight w:val="none"/>
              </w:rPr>
            </w:pPr>
          </w:p>
        </w:tc>
        <w:tc>
          <w:tcPr>
            <w:tcW w:w="1035" w:type="dxa"/>
          </w:tcPr>
          <w:p w14:paraId="68E9578C">
            <w:pPr>
              <w:spacing w:line="500" w:lineRule="exact"/>
              <w:rPr>
                <w:rFonts w:ascii="宋体" w:hAnsi="宋体"/>
                <w:color w:val="auto"/>
                <w:sz w:val="24"/>
                <w:szCs w:val="24"/>
                <w:highlight w:val="none"/>
              </w:rPr>
            </w:pPr>
          </w:p>
        </w:tc>
      </w:tr>
      <w:tr w14:paraId="4F3D6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trPr>
        <w:tc>
          <w:tcPr>
            <w:tcW w:w="827" w:type="dxa"/>
            <w:vAlign w:val="center"/>
          </w:tcPr>
          <w:p w14:paraId="6F151DB4">
            <w:pPr>
              <w:spacing w:line="500" w:lineRule="exact"/>
              <w:rPr>
                <w:rFonts w:ascii="宋体" w:hAnsi="宋体"/>
                <w:color w:val="auto"/>
                <w:sz w:val="24"/>
                <w:szCs w:val="24"/>
                <w:highlight w:val="none"/>
              </w:rPr>
            </w:pPr>
          </w:p>
        </w:tc>
        <w:tc>
          <w:tcPr>
            <w:tcW w:w="1145" w:type="dxa"/>
            <w:vAlign w:val="center"/>
          </w:tcPr>
          <w:p w14:paraId="26D87E1D">
            <w:pPr>
              <w:spacing w:line="500" w:lineRule="exact"/>
              <w:rPr>
                <w:rFonts w:ascii="宋体" w:hAnsi="宋体"/>
                <w:color w:val="auto"/>
                <w:sz w:val="24"/>
                <w:szCs w:val="24"/>
                <w:highlight w:val="none"/>
              </w:rPr>
            </w:pPr>
          </w:p>
        </w:tc>
        <w:tc>
          <w:tcPr>
            <w:tcW w:w="1790" w:type="dxa"/>
            <w:vAlign w:val="center"/>
          </w:tcPr>
          <w:p w14:paraId="4BB96B39">
            <w:pPr>
              <w:spacing w:line="500" w:lineRule="exact"/>
              <w:rPr>
                <w:rFonts w:ascii="宋体" w:hAnsi="宋体"/>
                <w:color w:val="auto"/>
                <w:sz w:val="24"/>
                <w:szCs w:val="24"/>
                <w:highlight w:val="none"/>
              </w:rPr>
            </w:pPr>
          </w:p>
        </w:tc>
        <w:tc>
          <w:tcPr>
            <w:tcW w:w="2141" w:type="dxa"/>
            <w:vAlign w:val="center"/>
          </w:tcPr>
          <w:p w14:paraId="05DD6D47">
            <w:pPr>
              <w:spacing w:line="500" w:lineRule="exact"/>
              <w:rPr>
                <w:rFonts w:ascii="宋体" w:hAnsi="宋体"/>
                <w:color w:val="auto"/>
                <w:sz w:val="24"/>
                <w:szCs w:val="24"/>
                <w:highlight w:val="none"/>
              </w:rPr>
            </w:pPr>
          </w:p>
        </w:tc>
        <w:tc>
          <w:tcPr>
            <w:tcW w:w="2520" w:type="dxa"/>
            <w:vAlign w:val="center"/>
          </w:tcPr>
          <w:p w14:paraId="69605C4A">
            <w:pPr>
              <w:spacing w:line="500" w:lineRule="exact"/>
              <w:rPr>
                <w:rFonts w:ascii="宋体" w:hAnsi="宋体"/>
                <w:color w:val="auto"/>
                <w:sz w:val="24"/>
                <w:szCs w:val="24"/>
                <w:highlight w:val="none"/>
              </w:rPr>
            </w:pPr>
          </w:p>
        </w:tc>
        <w:tc>
          <w:tcPr>
            <w:tcW w:w="1035" w:type="dxa"/>
          </w:tcPr>
          <w:p w14:paraId="4235FA01">
            <w:pPr>
              <w:spacing w:line="500" w:lineRule="exact"/>
              <w:rPr>
                <w:rFonts w:ascii="宋体" w:hAnsi="宋体"/>
                <w:color w:val="auto"/>
                <w:sz w:val="24"/>
                <w:szCs w:val="24"/>
                <w:highlight w:val="none"/>
              </w:rPr>
            </w:pPr>
          </w:p>
        </w:tc>
      </w:tr>
    </w:tbl>
    <w:p w14:paraId="55B02C61">
      <w:pPr>
        <w:pStyle w:val="16"/>
        <w:spacing w:line="360" w:lineRule="auto"/>
        <w:ind w:firstLine="420" w:firstLineChars="200"/>
        <w:rPr>
          <w:rFonts w:hAnsi="宋体"/>
          <w:color w:val="auto"/>
          <w:szCs w:val="21"/>
          <w:highlight w:val="none"/>
        </w:rPr>
      </w:pPr>
      <w:r>
        <w:rPr>
          <w:rFonts w:hAnsi="宋体"/>
          <w:b/>
          <w:color w:val="auto"/>
          <w:szCs w:val="21"/>
          <w:highlight w:val="none"/>
        </w:rPr>
        <w:t>表格填写说明：</w:t>
      </w:r>
      <w:r>
        <w:rPr>
          <w:rFonts w:hAnsi="宋体"/>
          <w:color w:val="auto"/>
          <w:szCs w:val="21"/>
          <w:highlight w:val="none"/>
        </w:rPr>
        <w:t>“偏离</w:t>
      </w:r>
      <w:r>
        <w:rPr>
          <w:rFonts w:hint="eastAsia" w:hAnsi="宋体"/>
          <w:color w:val="auto"/>
          <w:szCs w:val="21"/>
          <w:highlight w:val="none"/>
          <w:lang w:val="en-US" w:eastAsia="zh-CN"/>
        </w:rPr>
        <w:t>情况</w:t>
      </w:r>
      <w:r>
        <w:rPr>
          <w:rFonts w:hAnsi="宋体"/>
          <w:color w:val="auto"/>
          <w:szCs w:val="21"/>
          <w:highlight w:val="none"/>
        </w:rPr>
        <w:t>”系指“正偏离”、“负偏离”或“无偏离”。</w:t>
      </w:r>
      <w:r>
        <w:rPr>
          <w:rFonts w:hint="eastAsia" w:hAnsi="宋体"/>
          <w:color w:val="auto"/>
          <w:highlight w:val="none"/>
        </w:rPr>
        <w:t>凡投标内容高于招标文件要求的，按“正偏离”填写；低于招标文件要求的，按“负偏离”填写；满足招标文件要求的，按“无偏离”填写。</w:t>
      </w:r>
      <w:r>
        <w:rPr>
          <w:rFonts w:hint="eastAsia" w:ascii="宋体" w:hAnsi="宋体" w:eastAsia="宋体" w:cs="Times New Roman"/>
          <w:color w:val="auto"/>
          <w:highlight w:val="none"/>
        </w:rPr>
        <w:t>并在“</w:t>
      </w:r>
      <w:r>
        <w:rPr>
          <w:rFonts w:hint="eastAsia" w:ascii="宋体" w:hAnsi="宋体" w:eastAsia="宋体" w:cs="Times New Roman"/>
          <w:b/>
          <w:bCs/>
          <w:color w:val="auto"/>
          <w:highlight w:val="none"/>
        </w:rPr>
        <w:t>投标详细参数及性能指标</w:t>
      </w:r>
      <w:r>
        <w:rPr>
          <w:rFonts w:hint="eastAsia" w:ascii="宋体" w:hAnsi="宋体" w:eastAsia="宋体" w:cs="Times New Roman"/>
          <w:color w:val="auto"/>
          <w:highlight w:val="none"/>
        </w:rPr>
        <w:t>”一列</w:t>
      </w:r>
      <w:r>
        <w:rPr>
          <w:rFonts w:hint="eastAsia" w:hAnsi="宋体"/>
          <w:color w:val="auto"/>
          <w:highlight w:val="none"/>
        </w:rPr>
        <w:t>中写明投标单位投标具体技术参数。</w:t>
      </w:r>
    </w:p>
    <w:p w14:paraId="38314A49">
      <w:pPr>
        <w:spacing w:line="360" w:lineRule="auto"/>
        <w:ind w:firstLine="424" w:firstLineChars="202"/>
        <w:rPr>
          <w:rFonts w:ascii="宋体" w:hAnsi="宋体"/>
          <w:color w:val="auto"/>
          <w:szCs w:val="21"/>
          <w:highlight w:val="none"/>
        </w:rPr>
      </w:pPr>
    </w:p>
    <w:p w14:paraId="05DDBAB7">
      <w:pPr>
        <w:spacing w:line="360" w:lineRule="auto"/>
        <w:ind w:firstLine="424" w:firstLineChars="202"/>
        <w:rPr>
          <w:rFonts w:ascii="宋体" w:hAnsi="宋体"/>
          <w:color w:val="auto"/>
          <w:szCs w:val="21"/>
          <w:highlight w:val="none"/>
        </w:rPr>
      </w:pPr>
      <w:r>
        <w:rPr>
          <w:rFonts w:ascii="宋体" w:hAnsi="宋体"/>
          <w:color w:val="auto"/>
          <w:szCs w:val="21"/>
          <w:highlight w:val="none"/>
        </w:rPr>
        <w:t>投标人（</w:t>
      </w:r>
      <w:r>
        <w:rPr>
          <w:rFonts w:hint="eastAsia" w:ascii="宋体" w:hAnsi="宋体"/>
          <w:color w:val="auto"/>
          <w:szCs w:val="21"/>
          <w:highlight w:val="none"/>
          <w:lang w:eastAsia="zh-CN"/>
        </w:rPr>
        <w:t>电子签章</w:t>
      </w:r>
      <w:r>
        <w:rPr>
          <w:rFonts w:ascii="宋体" w:hAnsi="宋体"/>
          <w:color w:val="auto"/>
          <w:szCs w:val="21"/>
          <w:highlight w:val="none"/>
        </w:rPr>
        <w:t>）：</w:t>
      </w:r>
      <w:r>
        <w:rPr>
          <w:rFonts w:ascii="宋体" w:hAnsi="宋体"/>
          <w:color w:val="auto"/>
          <w:szCs w:val="21"/>
          <w:highlight w:val="none"/>
          <w:u w:val="single"/>
        </w:rPr>
        <w:t>　　　　　　　　　　　　</w:t>
      </w:r>
    </w:p>
    <w:p w14:paraId="144FE1C2">
      <w:pPr>
        <w:spacing w:line="360" w:lineRule="auto"/>
        <w:ind w:firstLine="424" w:firstLineChars="202"/>
        <w:rPr>
          <w:rFonts w:ascii="宋体" w:hAnsi="宋体"/>
          <w:color w:val="auto"/>
          <w:szCs w:val="21"/>
          <w:highlight w:val="none"/>
        </w:rPr>
      </w:pPr>
      <w:r>
        <w:rPr>
          <w:rFonts w:ascii="宋体" w:hAnsi="宋体"/>
          <w:color w:val="auto"/>
          <w:szCs w:val="21"/>
          <w:highlight w:val="none"/>
        </w:rPr>
        <w:t>法定代表人或其委托代理人（</w:t>
      </w:r>
      <w:r>
        <w:rPr>
          <w:rFonts w:hint="eastAsia" w:ascii="宋体" w:hAnsi="宋体"/>
          <w:color w:val="auto"/>
          <w:szCs w:val="21"/>
          <w:highlight w:val="none"/>
          <w:lang w:eastAsia="zh-CN"/>
        </w:rPr>
        <w:t>电子签章</w:t>
      </w:r>
      <w:r>
        <w:rPr>
          <w:rFonts w:hint="eastAsia" w:ascii="宋体" w:hAnsi="宋体"/>
          <w:color w:val="auto"/>
          <w:szCs w:val="21"/>
          <w:highlight w:val="none"/>
          <w:lang w:val="en-US" w:eastAsia="zh-CN"/>
        </w:rPr>
        <w:t>或签名</w:t>
      </w:r>
      <w:r>
        <w:rPr>
          <w:rFonts w:ascii="宋体" w:hAnsi="宋体"/>
          <w:color w:val="auto"/>
          <w:szCs w:val="21"/>
          <w:highlight w:val="none"/>
        </w:rPr>
        <w:t>）：</w:t>
      </w:r>
      <w:r>
        <w:rPr>
          <w:rFonts w:ascii="宋体" w:hAnsi="宋体"/>
          <w:color w:val="auto"/>
          <w:szCs w:val="21"/>
          <w:highlight w:val="none"/>
          <w:u w:val="single"/>
        </w:rPr>
        <w:t>　　　　　　　　　　</w:t>
      </w:r>
    </w:p>
    <w:p w14:paraId="743104D4">
      <w:pPr>
        <w:pStyle w:val="16"/>
        <w:spacing w:line="360" w:lineRule="auto"/>
        <w:ind w:firstLine="424" w:firstLineChars="202"/>
        <w:rPr>
          <w:rFonts w:hAnsi="宋体"/>
          <w:b/>
          <w:color w:val="auto"/>
          <w:szCs w:val="21"/>
          <w:highlight w:val="none"/>
        </w:rPr>
      </w:pPr>
      <w:r>
        <w:rPr>
          <w:rFonts w:hAnsi="宋体"/>
          <w:color w:val="auto"/>
          <w:szCs w:val="21"/>
          <w:highlight w:val="none"/>
        </w:rPr>
        <w:t>日期：</w:t>
      </w:r>
      <w:r>
        <w:rPr>
          <w:rFonts w:hAnsi="宋体"/>
          <w:color w:val="auto"/>
          <w:szCs w:val="21"/>
          <w:highlight w:val="none"/>
          <w:u w:val="single"/>
        </w:rPr>
        <w:t>　　　</w:t>
      </w:r>
      <w:r>
        <w:rPr>
          <w:rFonts w:hAnsi="宋体"/>
          <w:color w:val="auto"/>
          <w:szCs w:val="21"/>
          <w:highlight w:val="none"/>
        </w:rPr>
        <w:t>年</w:t>
      </w:r>
      <w:r>
        <w:rPr>
          <w:rFonts w:hAnsi="宋体"/>
          <w:color w:val="auto"/>
          <w:szCs w:val="21"/>
          <w:highlight w:val="none"/>
          <w:u w:val="single"/>
        </w:rPr>
        <w:t>　　</w:t>
      </w:r>
      <w:r>
        <w:rPr>
          <w:rFonts w:hAnsi="宋体"/>
          <w:color w:val="auto"/>
          <w:szCs w:val="21"/>
          <w:highlight w:val="none"/>
        </w:rPr>
        <w:t>月</w:t>
      </w:r>
      <w:r>
        <w:rPr>
          <w:rFonts w:hAnsi="宋体"/>
          <w:color w:val="auto"/>
          <w:szCs w:val="21"/>
          <w:highlight w:val="none"/>
          <w:u w:val="single"/>
        </w:rPr>
        <w:t>　　</w:t>
      </w:r>
      <w:r>
        <w:rPr>
          <w:rFonts w:hAnsi="宋体"/>
          <w:color w:val="auto"/>
          <w:szCs w:val="21"/>
          <w:highlight w:val="none"/>
        </w:rPr>
        <w:t>日</w:t>
      </w:r>
    </w:p>
    <w:p w14:paraId="4315D27A">
      <w:pPr>
        <w:pStyle w:val="16"/>
        <w:spacing w:line="360" w:lineRule="auto"/>
        <w:ind w:firstLine="424" w:firstLineChars="202"/>
        <w:rPr>
          <w:rFonts w:hAnsi="宋体"/>
          <w:color w:val="auto"/>
          <w:szCs w:val="21"/>
          <w:highlight w:val="none"/>
        </w:rPr>
      </w:pPr>
    </w:p>
    <w:p w14:paraId="701592E7">
      <w:pPr>
        <w:rPr>
          <w:rFonts w:hint="eastAsia" w:hAnsi="宋体"/>
          <w:b/>
          <w:color w:val="auto"/>
          <w:sz w:val="28"/>
          <w:szCs w:val="28"/>
          <w:highlight w:val="none"/>
        </w:rPr>
      </w:pPr>
      <w:r>
        <w:rPr>
          <w:rFonts w:hint="eastAsia" w:hAnsi="宋体"/>
          <w:b/>
          <w:color w:val="auto"/>
          <w:sz w:val="28"/>
          <w:szCs w:val="28"/>
          <w:highlight w:val="none"/>
        </w:rPr>
        <w:br w:type="page"/>
      </w:r>
    </w:p>
    <w:p w14:paraId="7ECD32BE">
      <w:pPr>
        <w:pStyle w:val="16"/>
        <w:spacing w:line="360" w:lineRule="auto"/>
        <w:outlineLvl w:val="2"/>
        <w:rPr>
          <w:rFonts w:hAnsi="宋体"/>
          <w:b/>
          <w:color w:val="auto"/>
          <w:sz w:val="28"/>
          <w:szCs w:val="28"/>
          <w:highlight w:val="none"/>
        </w:rPr>
      </w:pPr>
      <w:r>
        <w:rPr>
          <w:rFonts w:hint="eastAsia" w:hAnsi="宋体"/>
          <w:b/>
          <w:color w:val="auto"/>
          <w:sz w:val="28"/>
          <w:szCs w:val="28"/>
          <w:highlight w:val="none"/>
        </w:rPr>
        <w:t>格式</w:t>
      </w:r>
      <w:r>
        <w:rPr>
          <w:rFonts w:hint="eastAsia" w:hAnsi="宋体"/>
          <w:b/>
          <w:color w:val="auto"/>
          <w:sz w:val="28"/>
          <w:szCs w:val="28"/>
          <w:highlight w:val="none"/>
          <w:lang w:val="en-US" w:eastAsia="zh-CN"/>
        </w:rPr>
        <w:t>2</w:t>
      </w:r>
      <w:r>
        <w:rPr>
          <w:rFonts w:hint="eastAsia" w:hAnsi="宋体"/>
          <w:b/>
          <w:color w:val="auto"/>
          <w:sz w:val="28"/>
          <w:szCs w:val="28"/>
          <w:highlight w:val="none"/>
        </w:rPr>
        <w:t>：</w:t>
      </w:r>
    </w:p>
    <w:p w14:paraId="6C748432">
      <w:pPr>
        <w:numPr>
          <w:ilvl w:val="2"/>
          <w:numId w:val="0"/>
        </w:numPr>
        <w:tabs>
          <w:tab w:val="left" w:pos="900"/>
        </w:tabs>
        <w:adjustRightInd w:val="0"/>
        <w:spacing w:line="360" w:lineRule="auto"/>
        <w:jc w:val="center"/>
        <w:textAlignment w:val="baseline"/>
        <w:outlineLvl w:val="2"/>
        <w:rPr>
          <w:rFonts w:hint="default" w:ascii="宋体" w:hAnsi="宋体" w:cs="Times New Roman"/>
          <w:b/>
          <w:color w:val="auto"/>
          <w:kern w:val="0"/>
          <w:sz w:val="32"/>
          <w:szCs w:val="21"/>
          <w:highlight w:val="none"/>
          <w:lang w:val="en-US" w:eastAsia="zh-CN"/>
        </w:rPr>
      </w:pPr>
      <w:r>
        <w:rPr>
          <w:rFonts w:hint="eastAsia" w:ascii="宋体" w:hAnsi="宋体" w:cs="Times New Roman"/>
          <w:b/>
          <w:color w:val="auto"/>
          <w:kern w:val="0"/>
          <w:sz w:val="32"/>
          <w:szCs w:val="21"/>
          <w:highlight w:val="none"/>
          <w:lang w:val="en-US" w:eastAsia="zh-CN"/>
        </w:rPr>
        <w:t>项目实施方案</w:t>
      </w:r>
    </w:p>
    <w:p w14:paraId="6AAA041E">
      <w:pPr>
        <w:numPr>
          <w:ilvl w:val="2"/>
          <w:numId w:val="0"/>
        </w:numPr>
        <w:tabs>
          <w:tab w:val="left" w:pos="900"/>
        </w:tabs>
        <w:adjustRightInd w:val="0"/>
        <w:spacing w:line="360" w:lineRule="auto"/>
        <w:jc w:val="center"/>
        <w:textAlignment w:val="baseline"/>
        <w:outlineLvl w:val="2"/>
        <w:rPr>
          <w:rFonts w:ascii="宋体" w:hAnsi="宋体"/>
          <w:color w:val="auto"/>
          <w:highlight w:val="none"/>
        </w:rPr>
      </w:pPr>
      <w:r>
        <w:rPr>
          <w:rFonts w:hint="eastAsia" w:ascii="宋体" w:hAnsi="宋体"/>
          <w:color w:val="auto"/>
          <w:highlight w:val="none"/>
        </w:rPr>
        <w:t>（投标人按照招标文件的内容及评标办法的规定</w:t>
      </w:r>
      <w:r>
        <w:rPr>
          <w:rFonts w:hint="eastAsia" w:ascii="宋体" w:hAnsi="宋体" w:eastAsia="宋体" w:cs="Times New Roman"/>
          <w:color w:val="auto"/>
          <w:kern w:val="2"/>
          <w:sz w:val="21"/>
          <w:szCs w:val="21"/>
          <w:highlight w:val="none"/>
          <w:lang w:val="en-US" w:eastAsia="zh-CN" w:bidi="ar-SA"/>
        </w:rPr>
        <w:t>分别进行编写</w:t>
      </w:r>
      <w:r>
        <w:rPr>
          <w:rFonts w:hint="eastAsia" w:ascii="宋体" w:hAnsi="宋体"/>
          <w:color w:val="auto"/>
          <w:highlight w:val="none"/>
        </w:rPr>
        <w:t>，格式自拟）</w:t>
      </w:r>
    </w:p>
    <w:p w14:paraId="2446FE66">
      <w:pPr>
        <w:widowControl/>
        <w:jc w:val="left"/>
        <w:rPr>
          <w:rFonts w:hint="eastAsia" w:ascii="宋体" w:hAnsi="宋体"/>
          <w:b/>
          <w:color w:val="auto"/>
          <w:sz w:val="28"/>
          <w:szCs w:val="28"/>
          <w:highlight w:val="none"/>
        </w:rPr>
      </w:pPr>
      <w:r>
        <w:rPr>
          <w:rFonts w:hint="eastAsia" w:ascii="宋体" w:hAnsi="宋体"/>
          <w:b/>
          <w:color w:val="auto"/>
          <w:sz w:val="28"/>
          <w:szCs w:val="28"/>
          <w:highlight w:val="none"/>
        </w:rPr>
        <w:br w:type="page"/>
      </w:r>
    </w:p>
    <w:p w14:paraId="20AB53C3">
      <w:pPr>
        <w:pStyle w:val="16"/>
        <w:spacing w:line="360" w:lineRule="auto"/>
        <w:outlineLvl w:val="2"/>
        <w:rPr>
          <w:rFonts w:hAnsi="宋体"/>
          <w:b/>
          <w:color w:val="auto"/>
          <w:sz w:val="28"/>
          <w:szCs w:val="28"/>
          <w:highlight w:val="none"/>
        </w:rPr>
      </w:pPr>
      <w:r>
        <w:rPr>
          <w:rFonts w:hint="eastAsia" w:hAnsi="宋体"/>
          <w:b/>
          <w:color w:val="auto"/>
          <w:sz w:val="28"/>
          <w:szCs w:val="28"/>
          <w:highlight w:val="none"/>
        </w:rPr>
        <w:t>格式</w:t>
      </w:r>
      <w:r>
        <w:rPr>
          <w:rFonts w:hint="eastAsia" w:hAnsi="宋体"/>
          <w:b/>
          <w:color w:val="auto"/>
          <w:sz w:val="28"/>
          <w:szCs w:val="28"/>
          <w:highlight w:val="none"/>
          <w:lang w:val="en-US" w:eastAsia="zh-CN"/>
        </w:rPr>
        <w:t>3</w:t>
      </w:r>
      <w:r>
        <w:rPr>
          <w:rFonts w:hint="eastAsia" w:hAnsi="宋体"/>
          <w:b/>
          <w:color w:val="auto"/>
          <w:sz w:val="28"/>
          <w:szCs w:val="28"/>
          <w:highlight w:val="none"/>
        </w:rPr>
        <w:t>：</w:t>
      </w:r>
    </w:p>
    <w:p w14:paraId="54A96F72">
      <w:pPr>
        <w:numPr>
          <w:ilvl w:val="2"/>
          <w:numId w:val="0"/>
        </w:numPr>
        <w:tabs>
          <w:tab w:val="left" w:pos="900"/>
        </w:tabs>
        <w:adjustRightInd w:val="0"/>
        <w:spacing w:line="360" w:lineRule="auto"/>
        <w:jc w:val="center"/>
        <w:textAlignment w:val="baseline"/>
        <w:outlineLvl w:val="2"/>
        <w:rPr>
          <w:rFonts w:ascii="宋体" w:hAnsi="宋体" w:eastAsia="宋体" w:cs="Times New Roman"/>
          <w:b/>
          <w:color w:val="auto"/>
          <w:kern w:val="0"/>
          <w:sz w:val="32"/>
          <w:szCs w:val="21"/>
          <w:highlight w:val="none"/>
        </w:rPr>
      </w:pPr>
      <w:r>
        <w:rPr>
          <w:rFonts w:hint="eastAsia" w:ascii="宋体" w:hAnsi="宋体" w:cs="Times New Roman"/>
          <w:b/>
          <w:color w:val="auto"/>
          <w:kern w:val="0"/>
          <w:sz w:val="32"/>
          <w:szCs w:val="21"/>
          <w:highlight w:val="none"/>
          <w:lang w:val="en-US" w:eastAsia="zh-CN"/>
        </w:rPr>
        <w:t>安装调试保障服务方案</w:t>
      </w:r>
    </w:p>
    <w:p w14:paraId="7DEDDBFB">
      <w:pPr>
        <w:numPr>
          <w:ilvl w:val="2"/>
          <w:numId w:val="0"/>
        </w:numPr>
        <w:tabs>
          <w:tab w:val="left" w:pos="900"/>
        </w:tabs>
        <w:adjustRightInd w:val="0"/>
        <w:spacing w:line="360" w:lineRule="auto"/>
        <w:jc w:val="center"/>
        <w:textAlignment w:val="baseline"/>
        <w:outlineLvl w:val="2"/>
        <w:rPr>
          <w:rFonts w:ascii="宋体" w:hAnsi="宋体"/>
          <w:color w:val="auto"/>
          <w:highlight w:val="none"/>
        </w:rPr>
      </w:pPr>
      <w:r>
        <w:rPr>
          <w:rFonts w:hint="eastAsia" w:ascii="宋体" w:hAnsi="宋体"/>
          <w:color w:val="auto"/>
          <w:highlight w:val="none"/>
        </w:rPr>
        <w:t>（投标人按照招标文件的内容及评标办法的规定</w:t>
      </w:r>
      <w:r>
        <w:rPr>
          <w:rFonts w:hint="eastAsia" w:ascii="宋体" w:hAnsi="宋体" w:eastAsia="宋体" w:cs="Times New Roman"/>
          <w:color w:val="auto"/>
          <w:kern w:val="2"/>
          <w:sz w:val="21"/>
          <w:szCs w:val="21"/>
          <w:highlight w:val="none"/>
          <w:lang w:val="en-US" w:eastAsia="zh-CN" w:bidi="ar-SA"/>
        </w:rPr>
        <w:t>分别进行编写</w:t>
      </w:r>
      <w:r>
        <w:rPr>
          <w:rFonts w:hint="eastAsia" w:ascii="宋体" w:hAnsi="宋体"/>
          <w:color w:val="auto"/>
          <w:highlight w:val="none"/>
        </w:rPr>
        <w:t>，格式自拟）</w:t>
      </w:r>
    </w:p>
    <w:p w14:paraId="48EBD1F9">
      <w:pPr>
        <w:rPr>
          <w:rFonts w:hint="eastAsia" w:ascii="宋体" w:hAnsi="宋体"/>
          <w:b/>
          <w:color w:val="auto"/>
          <w:sz w:val="28"/>
          <w:szCs w:val="28"/>
          <w:highlight w:val="none"/>
        </w:rPr>
      </w:pPr>
      <w:r>
        <w:rPr>
          <w:rFonts w:hint="eastAsia" w:ascii="宋体" w:hAnsi="宋体"/>
          <w:b/>
          <w:color w:val="auto"/>
          <w:sz w:val="28"/>
          <w:szCs w:val="28"/>
          <w:highlight w:val="none"/>
        </w:rPr>
        <w:br w:type="page"/>
      </w:r>
    </w:p>
    <w:p w14:paraId="61A99739">
      <w:pPr>
        <w:outlineLvl w:val="2"/>
        <w:rPr>
          <w:rFonts w:hint="eastAsia" w:ascii="宋体" w:hAnsi="宋体"/>
          <w:b/>
          <w:color w:val="auto"/>
          <w:sz w:val="28"/>
          <w:szCs w:val="28"/>
          <w:highlight w:val="none"/>
        </w:rPr>
      </w:pPr>
      <w:r>
        <w:rPr>
          <w:rFonts w:hint="eastAsia" w:ascii="宋体" w:hAnsi="宋体"/>
          <w:b/>
          <w:color w:val="auto"/>
          <w:sz w:val="28"/>
          <w:szCs w:val="28"/>
          <w:highlight w:val="none"/>
        </w:rPr>
        <w:t>格式</w:t>
      </w:r>
      <w:r>
        <w:rPr>
          <w:rFonts w:hint="eastAsia" w:ascii="宋体" w:hAnsi="宋体"/>
          <w:b/>
          <w:color w:val="auto"/>
          <w:sz w:val="28"/>
          <w:szCs w:val="28"/>
          <w:highlight w:val="none"/>
          <w:lang w:val="en-US" w:eastAsia="zh-CN"/>
        </w:rPr>
        <w:t>4</w:t>
      </w:r>
      <w:r>
        <w:rPr>
          <w:rFonts w:hint="eastAsia" w:ascii="宋体" w:hAnsi="宋体"/>
          <w:b/>
          <w:color w:val="auto"/>
          <w:sz w:val="28"/>
          <w:szCs w:val="28"/>
          <w:highlight w:val="none"/>
        </w:rPr>
        <w:t>：</w:t>
      </w:r>
    </w:p>
    <w:p w14:paraId="1259E87F">
      <w:pPr>
        <w:pStyle w:val="8"/>
        <w:ind w:firstLine="0"/>
        <w:jc w:val="center"/>
        <w:rPr>
          <w:rFonts w:hint="eastAsia" w:ascii="宋体" w:hAnsi="宋体" w:cs="Times New Roman"/>
          <w:b/>
          <w:bCs/>
          <w:color w:val="auto"/>
          <w:sz w:val="32"/>
          <w:szCs w:val="21"/>
          <w:highlight w:val="none"/>
          <w:lang w:val="en-US" w:eastAsia="zh-CN"/>
        </w:rPr>
      </w:pPr>
      <w:r>
        <w:rPr>
          <w:rFonts w:hint="eastAsia" w:ascii="宋体" w:hAnsi="宋体" w:cs="Times New Roman"/>
          <w:b/>
          <w:bCs/>
          <w:color w:val="auto"/>
          <w:sz w:val="32"/>
          <w:szCs w:val="21"/>
          <w:highlight w:val="none"/>
          <w:lang w:val="en-US" w:eastAsia="zh-CN"/>
        </w:rPr>
        <w:t>培训方案</w:t>
      </w:r>
    </w:p>
    <w:p w14:paraId="2D23C25C">
      <w:pPr>
        <w:pStyle w:val="8"/>
        <w:ind w:firstLine="0"/>
        <w:jc w:val="center"/>
        <w:rPr>
          <w:rFonts w:ascii="宋体" w:hAnsi="宋体"/>
          <w:color w:val="auto"/>
          <w:highlight w:val="none"/>
        </w:rPr>
      </w:pPr>
      <w:r>
        <w:rPr>
          <w:rFonts w:hint="eastAsia" w:ascii="宋体" w:hAnsi="宋体"/>
          <w:color w:val="auto"/>
          <w:highlight w:val="none"/>
        </w:rPr>
        <w:t>（投标人按照招标文件的内容及评标办法的规定</w:t>
      </w:r>
      <w:r>
        <w:rPr>
          <w:rFonts w:hint="eastAsia" w:ascii="宋体" w:hAnsi="宋体" w:eastAsia="宋体" w:cs="Times New Roman"/>
          <w:color w:val="auto"/>
          <w:kern w:val="2"/>
          <w:sz w:val="21"/>
          <w:szCs w:val="21"/>
          <w:highlight w:val="none"/>
          <w:lang w:val="en-US" w:eastAsia="zh-CN" w:bidi="ar-SA"/>
        </w:rPr>
        <w:t>分别进行编写</w:t>
      </w:r>
      <w:r>
        <w:rPr>
          <w:rFonts w:hint="eastAsia" w:ascii="宋体" w:hAnsi="宋体"/>
          <w:color w:val="auto"/>
          <w:highlight w:val="none"/>
        </w:rPr>
        <w:t>，格式自拟）</w:t>
      </w:r>
    </w:p>
    <w:p w14:paraId="3A381BFF">
      <w:pPr>
        <w:rPr>
          <w:rFonts w:hint="eastAsia" w:ascii="宋体" w:hAnsi="宋体"/>
          <w:b/>
          <w:color w:val="auto"/>
          <w:sz w:val="28"/>
          <w:szCs w:val="28"/>
          <w:highlight w:val="none"/>
        </w:rPr>
      </w:pPr>
    </w:p>
    <w:p w14:paraId="7E607313">
      <w:pPr>
        <w:rPr>
          <w:rFonts w:hint="eastAsia" w:ascii="宋体" w:hAnsi="宋体"/>
          <w:b/>
          <w:color w:val="auto"/>
          <w:sz w:val="28"/>
          <w:szCs w:val="28"/>
          <w:highlight w:val="none"/>
        </w:rPr>
      </w:pPr>
      <w:r>
        <w:rPr>
          <w:rFonts w:hint="eastAsia" w:ascii="宋体" w:hAnsi="宋体"/>
          <w:b/>
          <w:color w:val="auto"/>
          <w:sz w:val="28"/>
          <w:szCs w:val="28"/>
          <w:highlight w:val="none"/>
        </w:rPr>
        <w:br w:type="page"/>
      </w:r>
    </w:p>
    <w:p w14:paraId="575E881A">
      <w:pPr>
        <w:outlineLvl w:val="2"/>
        <w:rPr>
          <w:rFonts w:hint="eastAsia" w:ascii="宋体" w:hAnsi="宋体"/>
          <w:b/>
          <w:color w:val="auto"/>
          <w:sz w:val="28"/>
          <w:szCs w:val="28"/>
          <w:highlight w:val="none"/>
        </w:rPr>
      </w:pPr>
      <w:r>
        <w:rPr>
          <w:rFonts w:hint="eastAsia" w:ascii="宋体" w:hAnsi="宋体"/>
          <w:b/>
          <w:color w:val="auto"/>
          <w:sz w:val="28"/>
          <w:szCs w:val="28"/>
          <w:highlight w:val="none"/>
        </w:rPr>
        <w:t>格式</w:t>
      </w:r>
      <w:r>
        <w:rPr>
          <w:rFonts w:hint="eastAsia" w:ascii="宋体" w:hAnsi="宋体"/>
          <w:b/>
          <w:color w:val="auto"/>
          <w:sz w:val="28"/>
          <w:szCs w:val="28"/>
          <w:highlight w:val="none"/>
          <w:lang w:val="en-US" w:eastAsia="zh-CN"/>
        </w:rPr>
        <w:t>5</w:t>
      </w:r>
      <w:r>
        <w:rPr>
          <w:rFonts w:hint="eastAsia" w:ascii="宋体" w:hAnsi="宋体"/>
          <w:b/>
          <w:color w:val="auto"/>
          <w:sz w:val="28"/>
          <w:szCs w:val="28"/>
          <w:highlight w:val="none"/>
        </w:rPr>
        <w:t>：</w:t>
      </w:r>
    </w:p>
    <w:p w14:paraId="43EBDA72">
      <w:pPr>
        <w:pStyle w:val="8"/>
        <w:ind w:firstLine="0"/>
        <w:jc w:val="center"/>
        <w:rPr>
          <w:rFonts w:hint="eastAsia" w:ascii="宋体" w:hAnsi="宋体" w:cs="Times New Roman"/>
          <w:b/>
          <w:bCs/>
          <w:color w:val="auto"/>
          <w:sz w:val="32"/>
          <w:szCs w:val="21"/>
          <w:highlight w:val="none"/>
          <w:lang w:val="en-US" w:eastAsia="zh-CN"/>
        </w:rPr>
      </w:pPr>
      <w:r>
        <w:rPr>
          <w:rFonts w:hint="eastAsia" w:ascii="宋体" w:hAnsi="宋体" w:cs="Times New Roman"/>
          <w:b/>
          <w:bCs/>
          <w:color w:val="auto"/>
          <w:sz w:val="32"/>
          <w:szCs w:val="21"/>
          <w:highlight w:val="none"/>
          <w:lang w:val="en-US" w:eastAsia="zh-CN"/>
        </w:rPr>
        <w:t>应急方案</w:t>
      </w:r>
    </w:p>
    <w:p w14:paraId="5392A029">
      <w:pPr>
        <w:pStyle w:val="8"/>
        <w:ind w:firstLine="0"/>
        <w:jc w:val="center"/>
        <w:rPr>
          <w:rFonts w:ascii="宋体" w:hAnsi="宋体"/>
          <w:color w:val="auto"/>
          <w:highlight w:val="none"/>
        </w:rPr>
      </w:pPr>
      <w:r>
        <w:rPr>
          <w:rFonts w:hint="eastAsia" w:ascii="宋体" w:hAnsi="宋体"/>
          <w:color w:val="auto"/>
          <w:highlight w:val="none"/>
        </w:rPr>
        <w:t>（投标人按照招标文件的内容及评标办法的规定</w:t>
      </w:r>
      <w:r>
        <w:rPr>
          <w:rFonts w:hint="eastAsia" w:ascii="宋体" w:hAnsi="宋体" w:eastAsia="宋体" w:cs="Times New Roman"/>
          <w:color w:val="auto"/>
          <w:kern w:val="2"/>
          <w:sz w:val="21"/>
          <w:szCs w:val="21"/>
          <w:highlight w:val="none"/>
          <w:lang w:val="en-US" w:eastAsia="zh-CN" w:bidi="ar-SA"/>
        </w:rPr>
        <w:t>分别进行编写</w:t>
      </w:r>
      <w:r>
        <w:rPr>
          <w:rFonts w:hint="eastAsia" w:ascii="宋体" w:hAnsi="宋体"/>
          <w:color w:val="auto"/>
          <w:highlight w:val="none"/>
        </w:rPr>
        <w:t>，格式自拟）</w:t>
      </w:r>
    </w:p>
    <w:p w14:paraId="79537A40">
      <w:pPr>
        <w:rPr>
          <w:rFonts w:hint="eastAsia" w:ascii="宋体" w:hAnsi="宋体"/>
          <w:b/>
          <w:color w:val="auto"/>
          <w:sz w:val="28"/>
          <w:szCs w:val="28"/>
          <w:highlight w:val="none"/>
        </w:rPr>
      </w:pPr>
      <w:r>
        <w:rPr>
          <w:rFonts w:hint="eastAsia" w:ascii="宋体" w:hAnsi="宋体"/>
          <w:b/>
          <w:color w:val="auto"/>
          <w:sz w:val="28"/>
          <w:szCs w:val="28"/>
          <w:highlight w:val="none"/>
        </w:rPr>
        <w:br w:type="page"/>
      </w:r>
    </w:p>
    <w:p w14:paraId="66C32871">
      <w:pPr>
        <w:widowControl/>
        <w:jc w:val="left"/>
        <w:outlineLvl w:val="2"/>
        <w:rPr>
          <w:rFonts w:ascii="宋体" w:hAnsi="宋体"/>
          <w:color w:val="auto"/>
          <w:highlight w:val="none"/>
        </w:rPr>
      </w:pPr>
      <w:r>
        <w:rPr>
          <w:rFonts w:hint="eastAsia" w:ascii="宋体" w:hAnsi="宋体"/>
          <w:b/>
          <w:color w:val="auto"/>
          <w:sz w:val="28"/>
          <w:szCs w:val="28"/>
          <w:highlight w:val="none"/>
        </w:rPr>
        <w:t>格式</w:t>
      </w:r>
      <w:r>
        <w:rPr>
          <w:rFonts w:hint="eastAsia" w:ascii="宋体" w:hAnsi="宋体"/>
          <w:b/>
          <w:color w:val="auto"/>
          <w:sz w:val="28"/>
          <w:szCs w:val="28"/>
          <w:highlight w:val="none"/>
          <w:lang w:val="en-US" w:eastAsia="zh-CN"/>
        </w:rPr>
        <w:t>6</w:t>
      </w:r>
      <w:r>
        <w:rPr>
          <w:rFonts w:hint="eastAsia" w:ascii="宋体" w:hAnsi="宋体"/>
          <w:b/>
          <w:color w:val="auto"/>
          <w:sz w:val="28"/>
          <w:szCs w:val="28"/>
          <w:highlight w:val="none"/>
        </w:rPr>
        <w:t>：</w:t>
      </w:r>
    </w:p>
    <w:p w14:paraId="2A80B7C7">
      <w:pPr>
        <w:numPr>
          <w:ilvl w:val="2"/>
          <w:numId w:val="0"/>
        </w:numPr>
        <w:tabs>
          <w:tab w:val="left" w:pos="900"/>
        </w:tabs>
        <w:adjustRightInd w:val="0"/>
        <w:spacing w:line="360" w:lineRule="auto"/>
        <w:jc w:val="center"/>
        <w:textAlignment w:val="baseline"/>
        <w:outlineLvl w:val="2"/>
        <w:rPr>
          <w:rFonts w:ascii="宋体" w:hAnsi="宋体"/>
          <w:b/>
          <w:color w:val="auto"/>
          <w:kern w:val="0"/>
          <w:sz w:val="32"/>
          <w:szCs w:val="21"/>
          <w:highlight w:val="none"/>
        </w:rPr>
      </w:pPr>
      <w:r>
        <w:rPr>
          <w:rFonts w:ascii="宋体" w:hAnsi="宋体"/>
          <w:b/>
          <w:color w:val="auto"/>
          <w:kern w:val="0"/>
          <w:sz w:val="32"/>
          <w:szCs w:val="21"/>
          <w:highlight w:val="none"/>
        </w:rPr>
        <w:t>构成投标文件技术部分的其</w:t>
      </w:r>
      <w:r>
        <w:rPr>
          <w:rFonts w:hint="eastAsia" w:ascii="宋体" w:hAnsi="宋体"/>
          <w:b/>
          <w:color w:val="auto"/>
          <w:kern w:val="0"/>
          <w:sz w:val="32"/>
          <w:szCs w:val="21"/>
          <w:highlight w:val="none"/>
        </w:rPr>
        <w:t>他</w:t>
      </w:r>
      <w:r>
        <w:rPr>
          <w:rFonts w:ascii="宋体" w:hAnsi="宋体"/>
          <w:b/>
          <w:color w:val="auto"/>
          <w:kern w:val="0"/>
          <w:sz w:val="32"/>
          <w:szCs w:val="21"/>
          <w:highlight w:val="none"/>
        </w:rPr>
        <w:t>资料</w:t>
      </w:r>
      <w:bookmarkEnd w:id="142"/>
      <w:bookmarkEnd w:id="143"/>
    </w:p>
    <w:p w14:paraId="510A0A78">
      <w:pPr>
        <w:pStyle w:val="16"/>
        <w:spacing w:line="500" w:lineRule="exact"/>
        <w:jc w:val="center"/>
        <w:rPr>
          <w:rFonts w:hAnsi="宋体"/>
          <w:color w:val="auto"/>
          <w:highlight w:val="none"/>
        </w:rPr>
      </w:pPr>
      <w:r>
        <w:rPr>
          <w:rFonts w:hAnsi="宋体"/>
          <w:color w:val="auto"/>
          <w:highlight w:val="none"/>
        </w:rPr>
        <w:t>详见第二章“投标人须知前附表”第13.1.4条，请自拟格式。</w:t>
      </w:r>
    </w:p>
    <w:p w14:paraId="1BACB3D9">
      <w:pPr>
        <w:rPr>
          <w:rFonts w:ascii="宋体" w:hAnsi="宋体"/>
          <w:color w:val="auto"/>
          <w:sz w:val="28"/>
          <w:szCs w:val="28"/>
          <w:highlight w:val="none"/>
        </w:rPr>
      </w:pPr>
      <w:r>
        <w:rPr>
          <w:rFonts w:ascii="宋体" w:hAnsi="宋体" w:eastAsia="宋体"/>
          <w:bCs/>
          <w:color w:val="auto"/>
          <w:sz w:val="36"/>
          <w:highlight w:val="none"/>
        </w:rPr>
        <w:br w:type="page"/>
      </w:r>
      <w:bookmarkEnd w:id="144"/>
    </w:p>
    <w:p w14:paraId="0E2BA32D">
      <w:pPr>
        <w:numPr>
          <w:ilvl w:val="0"/>
          <w:numId w:val="0"/>
        </w:numPr>
        <w:spacing w:line="360" w:lineRule="auto"/>
        <w:ind w:firstLine="480" w:firstLineChars="200"/>
        <w:rPr>
          <w:rFonts w:hint="eastAsia" w:ascii="宋体" w:hAnsi="宋体" w:eastAsia="宋体" w:cs="@仿宋_GB2312"/>
          <w:b w:val="0"/>
          <w:bCs/>
          <w:color w:val="auto"/>
          <w:kern w:val="0"/>
          <w:sz w:val="24"/>
          <w:szCs w:val="28"/>
          <w:highlight w:val="none"/>
          <w:lang w:val="zh-CN" w:eastAsia="zh-CN" w:bidi="ar-SA"/>
        </w:rPr>
        <w:sectPr>
          <w:pgSz w:w="11906" w:h="16838"/>
          <w:pgMar w:top="1134" w:right="851" w:bottom="1304" w:left="1276" w:header="720" w:footer="720" w:gutter="0"/>
          <w:pgBorders>
            <w:top w:val="none" w:sz="0" w:space="0"/>
            <w:left w:val="none" w:sz="0" w:space="0"/>
            <w:bottom w:val="none" w:sz="0" w:space="0"/>
            <w:right w:val="none" w:sz="0" w:space="0"/>
          </w:pgBorders>
          <w:cols w:space="720" w:num="1"/>
          <w:docGrid w:type="linesAndChars" w:linePitch="331" w:charSpace="0"/>
        </w:sectPr>
      </w:pPr>
    </w:p>
    <w:p w14:paraId="370EB0F1">
      <w:pPr>
        <w:pStyle w:val="42"/>
        <w:rPr>
          <w:rFonts w:hint="eastAsia"/>
          <w:color w:val="auto"/>
          <w:lang w:val="zh-CN" w:eastAsia="zh-CN"/>
        </w:rPr>
      </w:pPr>
    </w:p>
    <w:p w14:paraId="295FA2FD">
      <w:pPr>
        <w:pStyle w:val="3"/>
        <w:numPr>
          <w:ilvl w:val="0"/>
          <w:numId w:val="0"/>
        </w:numPr>
        <w:spacing w:before="0"/>
        <w:jc w:val="center"/>
        <w:rPr>
          <w:rFonts w:ascii="宋体" w:hAnsi="宋体"/>
          <w:color w:val="auto"/>
          <w:sz w:val="28"/>
          <w:szCs w:val="28"/>
          <w:highlight w:val="none"/>
        </w:rPr>
      </w:pPr>
      <w:r>
        <w:rPr>
          <w:rFonts w:ascii="宋体" w:hAnsi="宋体" w:eastAsia="宋体"/>
          <w:bCs/>
          <w:color w:val="auto"/>
          <w:sz w:val="36"/>
          <w:highlight w:val="none"/>
        </w:rPr>
        <w:t>第五章</w:t>
      </w:r>
      <w:r>
        <w:rPr>
          <w:rFonts w:hint="eastAsia" w:ascii="宋体" w:hAnsi="宋体" w:eastAsia="宋体"/>
          <w:bCs/>
          <w:color w:val="auto"/>
          <w:sz w:val="36"/>
          <w:highlight w:val="none"/>
        </w:rPr>
        <w:t xml:space="preserve"> </w:t>
      </w:r>
      <w:r>
        <w:rPr>
          <w:rFonts w:hint="eastAsia" w:ascii="宋体" w:hAnsi="宋体" w:eastAsia="宋体"/>
          <w:bCs/>
          <w:color w:val="auto"/>
          <w:sz w:val="36"/>
          <w:highlight w:val="none"/>
          <w:lang w:eastAsia="zh-CN"/>
        </w:rPr>
        <w:t>采购需求</w:t>
      </w:r>
    </w:p>
    <w:p w14:paraId="35F825A0">
      <w:pPr>
        <w:pStyle w:val="3"/>
        <w:numPr>
          <w:ilvl w:val="0"/>
          <w:numId w:val="0"/>
        </w:numPr>
        <w:spacing w:line="360" w:lineRule="auto"/>
        <w:ind w:leftChars="0"/>
        <w:jc w:val="both"/>
        <w:rPr>
          <w:rFonts w:hint="eastAsia" w:ascii="宋体" w:hAnsi="宋体" w:eastAsia="宋体" w:cs="宋体"/>
          <w:b/>
          <w:bCs/>
          <w:color w:val="auto"/>
          <w:sz w:val="22"/>
          <w:szCs w:val="22"/>
          <w:lang w:val="en-US" w:eastAsia="zh-CN"/>
        </w:rPr>
      </w:pPr>
      <w:r>
        <w:rPr>
          <w:rFonts w:hint="eastAsia" w:ascii="宋体" w:hAnsi="宋体" w:eastAsia="宋体" w:cs="宋体"/>
          <w:b/>
          <w:bCs/>
          <w:color w:val="auto"/>
          <w:sz w:val="22"/>
          <w:szCs w:val="22"/>
        </w:rPr>
        <w:t>一、</w:t>
      </w:r>
      <w:r>
        <w:rPr>
          <w:rFonts w:hint="eastAsia" w:ascii="宋体" w:hAnsi="宋体" w:eastAsia="宋体" w:cs="宋体"/>
          <w:b/>
          <w:bCs/>
          <w:color w:val="auto"/>
          <w:sz w:val="22"/>
          <w:szCs w:val="22"/>
          <w:lang w:val="en-US" w:eastAsia="zh-CN"/>
        </w:rPr>
        <w:t>项目概况</w:t>
      </w:r>
    </w:p>
    <w:p w14:paraId="520E0289">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（一）本项目为：</w:t>
      </w:r>
      <w:r>
        <w:rPr>
          <w:rFonts w:hint="eastAsia" w:ascii="宋体" w:hAnsi="宋体" w:cs="宋体"/>
          <w:i w:val="0"/>
          <w:iCs w:val="0"/>
          <w:color w:val="auto"/>
          <w:kern w:val="0"/>
          <w:sz w:val="20"/>
          <w:szCs w:val="20"/>
          <w:u w:val="none"/>
          <w:lang w:val="en-US" w:eastAsia="zh-CN" w:bidi="ar"/>
        </w:rPr>
        <w:t>2025年防爆安检设备租赁</w:t>
      </w:r>
      <w:r>
        <w:rPr>
          <w:rFonts w:hint="eastAsia" w:ascii="宋体" w:hAnsi="宋体" w:eastAsia="宋体" w:cs="宋体"/>
          <w:i w:val="0"/>
          <w:iCs w:val="0"/>
          <w:color w:val="auto"/>
          <w:kern w:val="0"/>
          <w:sz w:val="20"/>
          <w:szCs w:val="20"/>
          <w:u w:val="none"/>
          <w:lang w:val="en-US" w:eastAsia="zh-CN" w:bidi="ar"/>
        </w:rPr>
        <w:t xml:space="preserve">，本项目共计一个包。 </w:t>
      </w:r>
    </w:p>
    <w:p w14:paraId="63E65540">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 xml:space="preserve">（二）本项目采购预算金额：人民币400.00万元。 </w:t>
      </w:r>
    </w:p>
    <w:p w14:paraId="17861E21">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（三）合同履行期限：合同签订后按照一事一结原则 ，对每次租赁产生的费用据实结算；合同签订之日起计算有效期为壹年。一采三年，合同一年一签。</w:t>
      </w:r>
    </w:p>
    <w:p w14:paraId="04FE38F6">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 xml:space="preserve">（四）项目属性：服务类。 </w:t>
      </w:r>
    </w:p>
    <w:p w14:paraId="256532DA">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 xml:space="preserve">（五）是否专门面向中小企业：本项目非专门面向中小企业采购的项目。 </w:t>
      </w:r>
    </w:p>
    <w:p w14:paraId="00AE4901">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（六）项目标的对应的所属行业：租赁和商务服务业。</w:t>
      </w:r>
    </w:p>
    <w:p w14:paraId="29D8965A">
      <w:pPr>
        <w:numPr>
          <w:ilvl w:val="0"/>
          <w:numId w:val="0"/>
        </w:numPr>
        <w:rPr>
          <w:rFonts w:hint="eastAsia" w:ascii="宋体" w:hAnsi="宋体" w:eastAsia="宋体" w:cs="宋体"/>
          <w:b/>
          <w:bCs/>
          <w:color w:val="auto"/>
          <w:sz w:val="22"/>
          <w:szCs w:val="22"/>
        </w:rPr>
      </w:pPr>
      <w:r>
        <w:rPr>
          <w:rFonts w:hint="eastAsia" w:ascii="宋体" w:hAnsi="宋体" w:eastAsia="宋体" w:cs="宋体"/>
          <w:b/>
          <w:bCs/>
          <w:color w:val="auto"/>
          <w:kern w:val="44"/>
          <w:sz w:val="22"/>
          <w:szCs w:val="22"/>
          <w:lang w:val="en-US" w:eastAsia="zh-CN" w:bidi="ar-SA"/>
        </w:rPr>
        <w:t>二、</w:t>
      </w:r>
      <w:r>
        <w:rPr>
          <w:rFonts w:hint="eastAsia" w:ascii="宋体" w:hAnsi="宋体" w:eastAsia="宋体" w:cs="宋体"/>
          <w:b/>
          <w:bCs/>
          <w:color w:val="auto"/>
          <w:sz w:val="22"/>
          <w:szCs w:val="22"/>
        </w:rPr>
        <w:t>服务内容及要求</w:t>
      </w:r>
    </w:p>
    <w:p w14:paraId="76EECBD0">
      <w:pPr>
        <w:pStyle w:val="24"/>
        <w:rPr>
          <w:rFonts w:hint="default"/>
          <w:color w:val="auto"/>
          <w:lang w:val="en-US" w:eastAsia="zh-CN"/>
        </w:rPr>
      </w:pPr>
    </w:p>
    <w:tbl>
      <w:tblPr>
        <w:tblStyle w:val="32"/>
        <w:tblW w:w="9398" w:type="dxa"/>
        <w:jc w:val="center"/>
        <w:tblLayout w:type="fixed"/>
        <w:tblCellMar>
          <w:top w:w="0" w:type="dxa"/>
          <w:left w:w="108" w:type="dxa"/>
          <w:bottom w:w="0" w:type="dxa"/>
          <w:right w:w="108" w:type="dxa"/>
        </w:tblCellMar>
      </w:tblPr>
      <w:tblGrid>
        <w:gridCol w:w="638"/>
        <w:gridCol w:w="1305"/>
        <w:gridCol w:w="660"/>
        <w:gridCol w:w="5377"/>
        <w:gridCol w:w="1418"/>
      </w:tblGrid>
      <w:tr w14:paraId="5D83CD56">
        <w:tblPrEx>
          <w:tblCellMar>
            <w:top w:w="0" w:type="dxa"/>
            <w:left w:w="108" w:type="dxa"/>
            <w:bottom w:w="0" w:type="dxa"/>
            <w:right w:w="108" w:type="dxa"/>
          </w:tblCellMar>
        </w:tblPrEx>
        <w:trPr>
          <w:trHeight w:val="506" w:hRule="atLeast"/>
          <w:jc w:val="center"/>
        </w:trPr>
        <w:tc>
          <w:tcPr>
            <w:tcW w:w="638" w:type="dxa"/>
            <w:tcBorders>
              <w:top w:val="single" w:color="auto" w:sz="4" w:space="0"/>
              <w:left w:val="single" w:color="auto" w:sz="4" w:space="0"/>
              <w:bottom w:val="single" w:color="auto" w:sz="4" w:space="0"/>
              <w:right w:val="single" w:color="auto" w:sz="4" w:space="0"/>
            </w:tcBorders>
            <w:vAlign w:val="center"/>
          </w:tcPr>
          <w:p w14:paraId="6C10E0C2">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序号</w:t>
            </w:r>
          </w:p>
        </w:tc>
        <w:tc>
          <w:tcPr>
            <w:tcW w:w="1305" w:type="dxa"/>
            <w:tcBorders>
              <w:top w:val="single" w:color="auto" w:sz="4" w:space="0"/>
              <w:left w:val="nil"/>
              <w:bottom w:val="single" w:color="auto" w:sz="4" w:space="0"/>
              <w:right w:val="single" w:color="auto" w:sz="4" w:space="0"/>
            </w:tcBorders>
            <w:vAlign w:val="center"/>
          </w:tcPr>
          <w:p w14:paraId="4CC4F7AF">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设备名称</w:t>
            </w:r>
          </w:p>
          <w:p w14:paraId="41D0F4D1">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(租赁服务)</w:t>
            </w:r>
          </w:p>
        </w:tc>
        <w:tc>
          <w:tcPr>
            <w:tcW w:w="660" w:type="dxa"/>
            <w:tcBorders>
              <w:top w:val="single" w:color="auto" w:sz="4" w:space="0"/>
              <w:left w:val="nil"/>
              <w:bottom w:val="single" w:color="auto" w:sz="4" w:space="0"/>
              <w:right w:val="single" w:color="auto" w:sz="4" w:space="0"/>
            </w:tcBorders>
            <w:vAlign w:val="center"/>
          </w:tcPr>
          <w:p w14:paraId="1B7CB118">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计量单位</w:t>
            </w:r>
          </w:p>
        </w:tc>
        <w:tc>
          <w:tcPr>
            <w:tcW w:w="5377" w:type="dxa"/>
            <w:tcBorders>
              <w:top w:val="single" w:color="auto" w:sz="4" w:space="0"/>
              <w:left w:val="nil"/>
              <w:bottom w:val="single" w:color="auto" w:sz="4" w:space="0"/>
              <w:right w:val="single" w:color="auto" w:sz="4" w:space="0"/>
            </w:tcBorders>
            <w:vAlign w:val="center"/>
          </w:tcPr>
          <w:p w14:paraId="33F6CA8F">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设备详细参数及性能指标</w:t>
            </w:r>
          </w:p>
        </w:tc>
        <w:tc>
          <w:tcPr>
            <w:tcW w:w="1418" w:type="dxa"/>
            <w:tcBorders>
              <w:top w:val="single" w:color="auto" w:sz="4" w:space="0"/>
              <w:left w:val="nil"/>
              <w:bottom w:val="single" w:color="auto" w:sz="4" w:space="0"/>
              <w:right w:val="single" w:color="auto" w:sz="4" w:space="0"/>
            </w:tcBorders>
            <w:vAlign w:val="center"/>
          </w:tcPr>
          <w:p w14:paraId="30B026B1">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★单价</w:t>
            </w:r>
          </w:p>
          <w:p w14:paraId="58AAAA42">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最高限价</w:t>
            </w:r>
          </w:p>
          <w:p w14:paraId="15F46AC0">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（元/天）</w:t>
            </w:r>
          </w:p>
        </w:tc>
      </w:tr>
      <w:tr w14:paraId="21B5E0E7">
        <w:tblPrEx>
          <w:tblCellMar>
            <w:top w:w="0" w:type="dxa"/>
            <w:left w:w="108" w:type="dxa"/>
            <w:bottom w:w="0" w:type="dxa"/>
            <w:right w:w="108" w:type="dxa"/>
          </w:tblCellMar>
        </w:tblPrEx>
        <w:trPr>
          <w:trHeight w:val="643" w:hRule="atLeast"/>
          <w:jc w:val="center"/>
        </w:trPr>
        <w:tc>
          <w:tcPr>
            <w:tcW w:w="638" w:type="dxa"/>
            <w:tcBorders>
              <w:top w:val="single" w:color="auto" w:sz="4" w:space="0"/>
              <w:left w:val="single" w:color="auto" w:sz="4" w:space="0"/>
              <w:bottom w:val="single" w:color="auto" w:sz="4" w:space="0"/>
              <w:right w:val="single" w:color="auto" w:sz="4" w:space="0"/>
            </w:tcBorders>
            <w:vAlign w:val="center"/>
          </w:tcPr>
          <w:p w14:paraId="0F5AE749">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1</w:t>
            </w:r>
          </w:p>
        </w:tc>
        <w:tc>
          <w:tcPr>
            <w:tcW w:w="1305" w:type="dxa"/>
            <w:tcBorders>
              <w:top w:val="single" w:color="auto" w:sz="4" w:space="0"/>
              <w:left w:val="single" w:color="auto" w:sz="4" w:space="0"/>
              <w:bottom w:val="single" w:color="auto" w:sz="4" w:space="0"/>
              <w:right w:val="single" w:color="auto" w:sz="4" w:space="0"/>
            </w:tcBorders>
            <w:vAlign w:val="center"/>
          </w:tcPr>
          <w:p w14:paraId="534460B7">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安检折叠梯</w:t>
            </w:r>
          </w:p>
        </w:tc>
        <w:tc>
          <w:tcPr>
            <w:tcW w:w="660" w:type="dxa"/>
            <w:tcBorders>
              <w:top w:val="single" w:color="auto" w:sz="4" w:space="0"/>
              <w:left w:val="single" w:color="auto" w:sz="4" w:space="0"/>
              <w:bottom w:val="single" w:color="auto" w:sz="4" w:space="0"/>
              <w:right w:val="single" w:color="auto" w:sz="4" w:space="0"/>
            </w:tcBorders>
            <w:vAlign w:val="center"/>
          </w:tcPr>
          <w:p w14:paraId="55640E05">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套</w:t>
            </w:r>
          </w:p>
        </w:tc>
        <w:tc>
          <w:tcPr>
            <w:tcW w:w="5377" w:type="dxa"/>
            <w:tcBorders>
              <w:top w:val="single" w:color="auto" w:sz="4" w:space="0"/>
              <w:left w:val="single" w:color="auto" w:sz="4" w:space="0"/>
              <w:bottom w:val="single" w:color="auto" w:sz="4" w:space="0"/>
              <w:right w:val="single" w:color="auto" w:sz="4" w:space="0"/>
            </w:tcBorders>
            <w:vAlign w:val="center"/>
          </w:tcPr>
          <w:p w14:paraId="3F34236B">
            <w:pPr>
              <w:keepNext w:val="0"/>
              <w:keepLines w:val="0"/>
              <w:widowControl/>
              <w:suppressLineNumbers w:val="0"/>
              <w:jc w:val="left"/>
              <w:textAlignment w:val="center"/>
              <w:rPr>
                <w:rFonts w:hint="default" w:ascii="宋体" w:hAnsi="宋体" w:eastAsia="宋体" w:cs="宋体"/>
                <w:color w:val="auto"/>
                <w:szCs w:val="21"/>
                <w:highlight w:val="none"/>
                <w:lang w:val="en-US" w:eastAsia="zh-CN"/>
              </w:rPr>
            </w:pPr>
            <w:r>
              <w:rPr>
                <w:rFonts w:hint="eastAsia" w:ascii="宋体" w:hAnsi="宋体" w:eastAsia="宋体" w:cs="宋体"/>
                <w:i w:val="0"/>
                <w:iCs w:val="0"/>
                <w:color w:val="auto"/>
                <w:kern w:val="0"/>
                <w:sz w:val="20"/>
                <w:szCs w:val="20"/>
                <w:u w:val="none"/>
                <w:lang w:val="en-US" w:eastAsia="zh-CN" w:bidi="ar"/>
              </w:rPr>
              <w:t>1.外形：人字梯；可折叠收存，用时展开；</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2.材质：铝合金制；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3.展开高度≥1.5米；</w:t>
            </w:r>
          </w:p>
        </w:tc>
        <w:tc>
          <w:tcPr>
            <w:tcW w:w="1418" w:type="dxa"/>
            <w:tcBorders>
              <w:top w:val="single" w:color="auto" w:sz="4" w:space="0"/>
              <w:left w:val="single" w:color="auto" w:sz="4" w:space="0"/>
              <w:bottom w:val="single" w:color="auto" w:sz="4" w:space="0"/>
              <w:right w:val="single" w:color="auto" w:sz="4" w:space="0"/>
            </w:tcBorders>
            <w:vAlign w:val="center"/>
          </w:tcPr>
          <w:p w14:paraId="5628E56C">
            <w:pPr>
              <w:keepNext w:val="0"/>
              <w:keepLines w:val="0"/>
              <w:widowControl/>
              <w:suppressLineNumbers w:val="0"/>
              <w:jc w:val="center"/>
              <w:textAlignment w:val="center"/>
              <w:rPr>
                <w:rFonts w:ascii="宋体" w:hAnsi="宋体" w:cs="宋体"/>
                <w:color w:val="auto"/>
                <w:sz w:val="21"/>
                <w:szCs w:val="21"/>
                <w:highlight w:val="none"/>
              </w:rPr>
            </w:pPr>
            <w:r>
              <w:rPr>
                <w:rFonts w:hint="eastAsia" w:ascii="宋体" w:hAnsi="宋体" w:eastAsia="宋体" w:cs="宋体"/>
                <w:i w:val="0"/>
                <w:iCs w:val="0"/>
                <w:color w:val="auto"/>
                <w:kern w:val="0"/>
                <w:sz w:val="20"/>
                <w:szCs w:val="20"/>
                <w:u w:val="none"/>
                <w:lang w:val="en-US" w:eastAsia="zh-CN" w:bidi="ar"/>
              </w:rPr>
              <w:t>37</w:t>
            </w:r>
          </w:p>
        </w:tc>
      </w:tr>
      <w:tr w14:paraId="113FA725">
        <w:tblPrEx>
          <w:tblCellMar>
            <w:top w:w="0" w:type="dxa"/>
            <w:left w:w="108" w:type="dxa"/>
            <w:bottom w:w="0" w:type="dxa"/>
            <w:right w:w="108" w:type="dxa"/>
          </w:tblCellMar>
        </w:tblPrEx>
        <w:trPr>
          <w:trHeight w:val="540" w:hRule="atLeast"/>
          <w:jc w:val="center"/>
        </w:trPr>
        <w:tc>
          <w:tcPr>
            <w:tcW w:w="638" w:type="dxa"/>
            <w:tcBorders>
              <w:top w:val="single" w:color="auto" w:sz="4" w:space="0"/>
              <w:left w:val="single" w:color="auto" w:sz="4" w:space="0"/>
              <w:bottom w:val="single" w:color="auto" w:sz="4" w:space="0"/>
              <w:right w:val="single" w:color="auto" w:sz="4" w:space="0"/>
            </w:tcBorders>
            <w:vAlign w:val="center"/>
          </w:tcPr>
          <w:p w14:paraId="3A5CD88A">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2</w:t>
            </w:r>
          </w:p>
        </w:tc>
        <w:tc>
          <w:tcPr>
            <w:tcW w:w="1305" w:type="dxa"/>
            <w:tcBorders>
              <w:top w:val="single" w:color="auto" w:sz="4" w:space="0"/>
              <w:left w:val="single" w:color="auto" w:sz="4" w:space="0"/>
              <w:bottom w:val="single" w:color="auto" w:sz="4" w:space="0"/>
              <w:right w:val="single" w:color="auto" w:sz="4" w:space="0"/>
            </w:tcBorders>
            <w:vAlign w:val="center"/>
          </w:tcPr>
          <w:p w14:paraId="2137A4AA">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探雷器</w:t>
            </w:r>
          </w:p>
        </w:tc>
        <w:tc>
          <w:tcPr>
            <w:tcW w:w="660" w:type="dxa"/>
            <w:tcBorders>
              <w:top w:val="single" w:color="auto" w:sz="4" w:space="0"/>
              <w:left w:val="single" w:color="auto" w:sz="4" w:space="0"/>
              <w:bottom w:val="single" w:color="auto" w:sz="4" w:space="0"/>
              <w:right w:val="single" w:color="auto" w:sz="4" w:space="0"/>
            </w:tcBorders>
            <w:vAlign w:val="center"/>
          </w:tcPr>
          <w:p w14:paraId="6EBDC97B">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套</w:t>
            </w:r>
          </w:p>
        </w:tc>
        <w:tc>
          <w:tcPr>
            <w:tcW w:w="5377" w:type="dxa"/>
            <w:tcBorders>
              <w:top w:val="single" w:color="auto" w:sz="4" w:space="0"/>
              <w:left w:val="single" w:color="auto" w:sz="4" w:space="0"/>
              <w:bottom w:val="single" w:color="auto" w:sz="4" w:space="0"/>
              <w:right w:val="single" w:color="auto" w:sz="4" w:space="0"/>
            </w:tcBorders>
            <w:vAlign w:val="center"/>
          </w:tcPr>
          <w:p w14:paraId="7A361701">
            <w:pPr>
              <w:keepNext w:val="0"/>
              <w:keepLines w:val="0"/>
              <w:widowControl/>
              <w:suppressLineNumbers w:val="0"/>
              <w:jc w:val="left"/>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 xml:space="preserve">1.具备定位准确、分辨力强、操作简单等特点，探盘防水设计，可在1米深的水里正常工作，仪器探测灵敏，液晶屏显示信号强度与金属类别，显示清晰，智能化的识别模式能区分有色金属同黑色金属。主要用于探测地下可能存在的可疑物，通过辐射的电磁场在埋藏的金属物体中产生涡流，感应到这种涡流，以发现和定位可疑物。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2.一键式操作：简化操作，开机就可使用，无需调试。</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3.防水设计：可在一米深的水里工作。</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4.可使用任意一只手进行操作，并可在俯卧、跪或站立时使用。</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5.智能化识别模式：可有效区分有色金属和黑色金属。</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6.探测深度：探测一元硬币，探测距离≥30cm 。以60*60*1cm铁板为例：可探测到2米。</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7.其他要求：配备足量的电池。</w:t>
            </w:r>
          </w:p>
        </w:tc>
        <w:tc>
          <w:tcPr>
            <w:tcW w:w="1418" w:type="dxa"/>
            <w:tcBorders>
              <w:top w:val="single" w:color="auto" w:sz="4" w:space="0"/>
              <w:left w:val="single" w:color="auto" w:sz="4" w:space="0"/>
              <w:bottom w:val="single" w:color="auto" w:sz="4" w:space="0"/>
              <w:right w:val="single" w:color="auto" w:sz="4" w:space="0"/>
            </w:tcBorders>
            <w:vAlign w:val="center"/>
          </w:tcPr>
          <w:p w14:paraId="1DB8389E">
            <w:pPr>
              <w:keepNext w:val="0"/>
              <w:keepLines w:val="0"/>
              <w:widowControl/>
              <w:suppressLineNumbers w:val="0"/>
              <w:jc w:val="center"/>
              <w:textAlignment w:val="center"/>
              <w:rPr>
                <w:rFonts w:ascii="宋体" w:hAnsi="宋体" w:cs="宋体"/>
                <w:color w:val="auto"/>
                <w:sz w:val="21"/>
                <w:szCs w:val="21"/>
                <w:highlight w:val="none"/>
              </w:rPr>
            </w:pPr>
            <w:r>
              <w:rPr>
                <w:rFonts w:hint="eastAsia" w:ascii="宋体" w:hAnsi="宋体" w:eastAsia="宋体" w:cs="宋体"/>
                <w:i w:val="0"/>
                <w:iCs w:val="0"/>
                <w:color w:val="auto"/>
                <w:kern w:val="0"/>
                <w:sz w:val="20"/>
                <w:szCs w:val="20"/>
                <w:u w:val="none"/>
                <w:lang w:val="en-US" w:eastAsia="zh-CN" w:bidi="ar"/>
              </w:rPr>
              <w:t>720</w:t>
            </w:r>
          </w:p>
        </w:tc>
      </w:tr>
      <w:tr w14:paraId="6B06F925">
        <w:tblPrEx>
          <w:tblCellMar>
            <w:top w:w="0" w:type="dxa"/>
            <w:left w:w="108" w:type="dxa"/>
            <w:bottom w:w="0" w:type="dxa"/>
            <w:right w:w="108" w:type="dxa"/>
          </w:tblCellMar>
        </w:tblPrEx>
        <w:trPr>
          <w:trHeight w:val="540" w:hRule="atLeast"/>
          <w:jc w:val="center"/>
        </w:trPr>
        <w:tc>
          <w:tcPr>
            <w:tcW w:w="638" w:type="dxa"/>
            <w:tcBorders>
              <w:top w:val="single" w:color="auto" w:sz="4" w:space="0"/>
              <w:left w:val="single" w:color="auto" w:sz="4" w:space="0"/>
              <w:bottom w:val="single" w:color="auto" w:sz="4" w:space="0"/>
              <w:right w:val="single" w:color="auto" w:sz="4" w:space="0"/>
            </w:tcBorders>
            <w:vAlign w:val="center"/>
          </w:tcPr>
          <w:p w14:paraId="685DFEBE">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3</w:t>
            </w:r>
          </w:p>
        </w:tc>
        <w:tc>
          <w:tcPr>
            <w:tcW w:w="1305" w:type="dxa"/>
            <w:tcBorders>
              <w:top w:val="single" w:color="auto" w:sz="4" w:space="0"/>
              <w:left w:val="single" w:color="auto" w:sz="4" w:space="0"/>
              <w:bottom w:val="single" w:color="auto" w:sz="4" w:space="0"/>
              <w:right w:val="single" w:color="auto" w:sz="4" w:space="0"/>
            </w:tcBorders>
            <w:vAlign w:val="center"/>
          </w:tcPr>
          <w:p w14:paraId="409E340A">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无磁探针</w:t>
            </w:r>
          </w:p>
        </w:tc>
        <w:tc>
          <w:tcPr>
            <w:tcW w:w="660" w:type="dxa"/>
            <w:tcBorders>
              <w:top w:val="single" w:color="auto" w:sz="4" w:space="0"/>
              <w:left w:val="single" w:color="auto" w:sz="4" w:space="0"/>
              <w:bottom w:val="single" w:color="auto" w:sz="4" w:space="0"/>
              <w:right w:val="single" w:color="auto" w:sz="4" w:space="0"/>
            </w:tcBorders>
            <w:vAlign w:val="center"/>
          </w:tcPr>
          <w:p w14:paraId="79C0A9D0">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支</w:t>
            </w:r>
          </w:p>
        </w:tc>
        <w:tc>
          <w:tcPr>
            <w:tcW w:w="5377" w:type="dxa"/>
            <w:tcBorders>
              <w:top w:val="single" w:color="auto" w:sz="4" w:space="0"/>
              <w:left w:val="single" w:color="auto" w:sz="4" w:space="0"/>
              <w:bottom w:val="single" w:color="auto" w:sz="4" w:space="0"/>
              <w:right w:val="single" w:color="auto" w:sz="4" w:space="0"/>
            </w:tcBorders>
            <w:vAlign w:val="center"/>
          </w:tcPr>
          <w:p w14:paraId="6549DF01">
            <w:pPr>
              <w:keepNext w:val="0"/>
              <w:keepLines w:val="0"/>
              <w:widowControl/>
              <w:suppressLineNumbers w:val="0"/>
              <w:jc w:val="left"/>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1.采用特殊无磁材料，用于地下或储运货物的检查，适用于场地安检排查使用</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2.各个部件都具有无磁性且需螺纹结构连接固定，拆卸方便。</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3.探针头可以反装进支撑杆里，塑料手柄符合人体工程学，而且可以转角90度竖握，探针上可以配备手电筒。</w:t>
            </w:r>
          </w:p>
        </w:tc>
        <w:tc>
          <w:tcPr>
            <w:tcW w:w="1418" w:type="dxa"/>
            <w:tcBorders>
              <w:top w:val="single" w:color="auto" w:sz="4" w:space="0"/>
              <w:left w:val="single" w:color="auto" w:sz="4" w:space="0"/>
              <w:bottom w:val="single" w:color="auto" w:sz="4" w:space="0"/>
              <w:right w:val="single" w:color="auto" w:sz="4" w:space="0"/>
            </w:tcBorders>
            <w:vAlign w:val="center"/>
          </w:tcPr>
          <w:p w14:paraId="5ED170DD">
            <w:pPr>
              <w:keepNext w:val="0"/>
              <w:keepLines w:val="0"/>
              <w:widowControl/>
              <w:suppressLineNumbers w:val="0"/>
              <w:jc w:val="center"/>
              <w:textAlignment w:val="center"/>
              <w:rPr>
                <w:rFonts w:ascii="宋体" w:hAnsi="宋体" w:cs="宋体"/>
                <w:color w:val="auto"/>
                <w:sz w:val="21"/>
                <w:szCs w:val="21"/>
                <w:highlight w:val="none"/>
              </w:rPr>
            </w:pPr>
            <w:r>
              <w:rPr>
                <w:rFonts w:hint="eastAsia" w:ascii="宋体" w:hAnsi="宋体" w:eastAsia="宋体" w:cs="宋体"/>
                <w:i w:val="0"/>
                <w:iCs w:val="0"/>
                <w:color w:val="auto"/>
                <w:kern w:val="0"/>
                <w:sz w:val="20"/>
                <w:szCs w:val="20"/>
                <w:u w:val="none"/>
                <w:lang w:val="en-US" w:eastAsia="zh-CN" w:bidi="ar"/>
              </w:rPr>
              <w:t>30</w:t>
            </w:r>
          </w:p>
        </w:tc>
      </w:tr>
      <w:tr w14:paraId="10A790D5">
        <w:tblPrEx>
          <w:tblCellMar>
            <w:top w:w="0" w:type="dxa"/>
            <w:left w:w="108" w:type="dxa"/>
            <w:bottom w:w="0" w:type="dxa"/>
            <w:right w:w="108" w:type="dxa"/>
          </w:tblCellMar>
        </w:tblPrEx>
        <w:trPr>
          <w:trHeight w:val="540" w:hRule="atLeast"/>
          <w:jc w:val="center"/>
        </w:trPr>
        <w:tc>
          <w:tcPr>
            <w:tcW w:w="638" w:type="dxa"/>
            <w:tcBorders>
              <w:top w:val="single" w:color="auto" w:sz="4" w:space="0"/>
              <w:left w:val="single" w:color="auto" w:sz="4" w:space="0"/>
              <w:bottom w:val="single" w:color="auto" w:sz="4" w:space="0"/>
              <w:right w:val="single" w:color="auto" w:sz="4" w:space="0"/>
            </w:tcBorders>
            <w:vAlign w:val="center"/>
          </w:tcPr>
          <w:p w14:paraId="3D356291">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4</w:t>
            </w:r>
          </w:p>
        </w:tc>
        <w:tc>
          <w:tcPr>
            <w:tcW w:w="1305" w:type="dxa"/>
            <w:tcBorders>
              <w:top w:val="single" w:color="auto" w:sz="4" w:space="0"/>
              <w:left w:val="single" w:color="auto" w:sz="4" w:space="0"/>
              <w:bottom w:val="single" w:color="auto" w:sz="4" w:space="0"/>
              <w:right w:val="single" w:color="auto" w:sz="4" w:space="0"/>
            </w:tcBorders>
            <w:vAlign w:val="center"/>
          </w:tcPr>
          <w:p w14:paraId="6DAC9EAD">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红外伸缩检查镜</w:t>
            </w:r>
          </w:p>
        </w:tc>
        <w:tc>
          <w:tcPr>
            <w:tcW w:w="660" w:type="dxa"/>
            <w:tcBorders>
              <w:top w:val="single" w:color="auto" w:sz="4" w:space="0"/>
              <w:left w:val="single" w:color="auto" w:sz="4" w:space="0"/>
              <w:bottom w:val="single" w:color="auto" w:sz="4" w:space="0"/>
              <w:right w:val="single" w:color="auto" w:sz="4" w:space="0"/>
            </w:tcBorders>
            <w:vAlign w:val="center"/>
          </w:tcPr>
          <w:p w14:paraId="14347B07">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套</w:t>
            </w:r>
          </w:p>
        </w:tc>
        <w:tc>
          <w:tcPr>
            <w:tcW w:w="5377" w:type="dxa"/>
            <w:tcBorders>
              <w:top w:val="single" w:color="auto" w:sz="4" w:space="0"/>
              <w:left w:val="single" w:color="auto" w:sz="4" w:space="0"/>
              <w:bottom w:val="single" w:color="auto" w:sz="4" w:space="0"/>
              <w:right w:val="single" w:color="auto" w:sz="4" w:space="0"/>
            </w:tcBorders>
            <w:vAlign w:val="center"/>
          </w:tcPr>
          <w:p w14:paraId="1EB3439F">
            <w:pPr>
              <w:keepNext w:val="0"/>
              <w:keepLines w:val="0"/>
              <w:widowControl/>
              <w:suppressLineNumbers w:val="0"/>
              <w:jc w:val="left"/>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1.用于观察人眼直观难以观察的部位。通过使用上下控制开关，可将进口高清线CCD加镜头转换到检查的任何位置。</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2.杆式伸缩臂可以在1-3m之间任意调整</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3.便于携带，灵活性强，操作简便</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4.红外照明装置，可确保在全黑环境下工作</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5.连续工作时间≥3h</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6.电动驱动的高清线CCD镜头，可在300度转动，最大限度减小死角</w:t>
            </w:r>
          </w:p>
        </w:tc>
        <w:tc>
          <w:tcPr>
            <w:tcW w:w="1418" w:type="dxa"/>
            <w:tcBorders>
              <w:top w:val="single" w:color="auto" w:sz="4" w:space="0"/>
              <w:left w:val="single" w:color="auto" w:sz="4" w:space="0"/>
              <w:bottom w:val="single" w:color="auto" w:sz="4" w:space="0"/>
              <w:right w:val="single" w:color="auto" w:sz="4" w:space="0"/>
            </w:tcBorders>
            <w:vAlign w:val="center"/>
          </w:tcPr>
          <w:p w14:paraId="4768F02D">
            <w:pPr>
              <w:keepNext w:val="0"/>
              <w:keepLines w:val="0"/>
              <w:widowControl/>
              <w:suppressLineNumbers w:val="0"/>
              <w:jc w:val="center"/>
              <w:textAlignment w:val="center"/>
              <w:rPr>
                <w:rFonts w:ascii="宋体" w:hAnsi="宋体" w:cs="宋体"/>
                <w:color w:val="auto"/>
                <w:sz w:val="21"/>
                <w:szCs w:val="21"/>
                <w:highlight w:val="none"/>
              </w:rPr>
            </w:pPr>
            <w:r>
              <w:rPr>
                <w:rFonts w:hint="eastAsia" w:ascii="宋体" w:hAnsi="宋体" w:eastAsia="宋体" w:cs="宋体"/>
                <w:i w:val="0"/>
                <w:iCs w:val="0"/>
                <w:color w:val="auto"/>
                <w:kern w:val="0"/>
                <w:sz w:val="20"/>
                <w:szCs w:val="20"/>
                <w:u w:val="none"/>
                <w:lang w:val="en-US" w:eastAsia="zh-CN" w:bidi="ar"/>
              </w:rPr>
              <w:t>1040</w:t>
            </w:r>
          </w:p>
        </w:tc>
      </w:tr>
      <w:tr w14:paraId="1FF6696B">
        <w:tblPrEx>
          <w:tblCellMar>
            <w:top w:w="0" w:type="dxa"/>
            <w:left w:w="108" w:type="dxa"/>
            <w:bottom w:w="0" w:type="dxa"/>
            <w:right w:w="108" w:type="dxa"/>
          </w:tblCellMar>
        </w:tblPrEx>
        <w:trPr>
          <w:trHeight w:val="540" w:hRule="atLeast"/>
          <w:jc w:val="center"/>
        </w:trPr>
        <w:tc>
          <w:tcPr>
            <w:tcW w:w="638" w:type="dxa"/>
            <w:tcBorders>
              <w:top w:val="single" w:color="auto" w:sz="4" w:space="0"/>
              <w:left w:val="single" w:color="auto" w:sz="4" w:space="0"/>
              <w:bottom w:val="single" w:color="auto" w:sz="4" w:space="0"/>
              <w:right w:val="single" w:color="auto" w:sz="4" w:space="0"/>
            </w:tcBorders>
            <w:vAlign w:val="center"/>
          </w:tcPr>
          <w:p w14:paraId="283D090C">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5</w:t>
            </w:r>
          </w:p>
        </w:tc>
        <w:tc>
          <w:tcPr>
            <w:tcW w:w="1305" w:type="dxa"/>
            <w:tcBorders>
              <w:top w:val="single" w:color="auto" w:sz="4" w:space="0"/>
              <w:left w:val="single" w:color="auto" w:sz="4" w:space="0"/>
              <w:bottom w:val="single" w:color="auto" w:sz="4" w:space="0"/>
              <w:right w:val="single" w:color="auto" w:sz="4" w:space="0"/>
            </w:tcBorders>
            <w:vAlign w:val="center"/>
          </w:tcPr>
          <w:p w14:paraId="09021D80">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安检门</w:t>
            </w:r>
          </w:p>
        </w:tc>
        <w:tc>
          <w:tcPr>
            <w:tcW w:w="660" w:type="dxa"/>
            <w:tcBorders>
              <w:top w:val="single" w:color="auto" w:sz="4" w:space="0"/>
              <w:left w:val="single" w:color="auto" w:sz="4" w:space="0"/>
              <w:bottom w:val="single" w:color="auto" w:sz="4" w:space="0"/>
              <w:right w:val="single" w:color="auto" w:sz="4" w:space="0"/>
            </w:tcBorders>
            <w:vAlign w:val="center"/>
          </w:tcPr>
          <w:p w14:paraId="6B339D62">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道</w:t>
            </w:r>
          </w:p>
        </w:tc>
        <w:tc>
          <w:tcPr>
            <w:tcW w:w="5377" w:type="dxa"/>
            <w:tcBorders>
              <w:top w:val="single" w:color="auto" w:sz="4" w:space="0"/>
              <w:left w:val="single" w:color="auto" w:sz="4" w:space="0"/>
              <w:bottom w:val="single" w:color="auto" w:sz="4" w:space="0"/>
              <w:right w:val="single" w:color="auto" w:sz="4" w:space="0"/>
            </w:tcBorders>
            <w:vAlign w:val="center"/>
          </w:tcPr>
          <w:p w14:paraId="17CD8A96">
            <w:pPr>
              <w:keepNext w:val="0"/>
              <w:keepLines w:val="0"/>
              <w:widowControl/>
              <w:suppressLineNumbers w:val="0"/>
              <w:jc w:val="left"/>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1.▲设备须具备国家安全防范报警系统产品质量监督检验中心或公安部安全与警用电子产品质量检测中心出具的检验报告；</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2.符合标准</w:t>
            </w:r>
            <w:r>
              <w:rPr>
                <w:rFonts w:hint="eastAsia" w:ascii="宋体" w:hAnsi="宋体" w:cs="宋体"/>
                <w:i w:val="0"/>
                <w:iCs w:val="0"/>
                <w:color w:val="auto"/>
                <w:kern w:val="0"/>
                <w:sz w:val="20"/>
                <w:szCs w:val="20"/>
                <w:u w:val="none"/>
                <w:lang w:val="en-US" w:eastAsia="zh-CN" w:bidi="ar"/>
              </w:rPr>
              <w:t>：</w:t>
            </w:r>
            <w:r>
              <w:rPr>
                <w:rFonts w:hint="eastAsia" w:ascii="宋体" w:hAnsi="宋体" w:eastAsia="宋体" w:cs="宋体"/>
                <w:i w:val="0"/>
                <w:iCs w:val="0"/>
                <w:color w:val="auto"/>
                <w:kern w:val="0"/>
                <w:sz w:val="20"/>
                <w:szCs w:val="20"/>
                <w:u w:val="none"/>
                <w:lang w:val="en-US" w:eastAsia="zh-CN" w:bidi="ar"/>
              </w:rPr>
              <w:t>应符合“GB 15210-2018 《通过式金属探测门通用技术规范》”的相关要求；（须在检测报告中体现）</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3.外壳防护等级</w:t>
            </w:r>
            <w:r>
              <w:rPr>
                <w:rFonts w:hint="eastAsia" w:ascii="宋体" w:hAnsi="宋体" w:cs="宋体"/>
                <w:i w:val="0"/>
                <w:iCs w:val="0"/>
                <w:color w:val="auto"/>
                <w:kern w:val="0"/>
                <w:sz w:val="20"/>
                <w:szCs w:val="20"/>
                <w:u w:val="none"/>
                <w:lang w:val="en-US" w:eastAsia="zh-CN" w:bidi="ar"/>
              </w:rPr>
              <w:t>：</w:t>
            </w:r>
            <w:r>
              <w:rPr>
                <w:rFonts w:hint="eastAsia" w:ascii="宋体" w:hAnsi="宋体" w:eastAsia="宋体" w:cs="宋体"/>
                <w:i w:val="0"/>
                <w:iCs w:val="0"/>
                <w:color w:val="auto"/>
                <w:kern w:val="0"/>
                <w:sz w:val="20"/>
                <w:szCs w:val="20"/>
                <w:u w:val="none"/>
                <w:lang w:val="en-US" w:eastAsia="zh-CN" w:bidi="ar"/>
              </w:rPr>
              <w:t>室内工作型：应符合GB/T 4208-2017中IP41；室外工作型（有遮蔽）：应符合GB/T 4208-2017中IP53。</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4.基本探测功能</w:t>
            </w:r>
            <w:r>
              <w:rPr>
                <w:rFonts w:hint="eastAsia" w:ascii="宋体" w:hAnsi="宋体" w:cs="宋体"/>
                <w:i w:val="0"/>
                <w:iCs w:val="0"/>
                <w:color w:val="auto"/>
                <w:kern w:val="0"/>
                <w:sz w:val="20"/>
                <w:szCs w:val="20"/>
                <w:u w:val="none"/>
                <w:lang w:val="en-US" w:eastAsia="zh-CN" w:bidi="ar"/>
              </w:rPr>
              <w:t>：</w:t>
            </w:r>
            <w:r>
              <w:rPr>
                <w:rFonts w:hint="eastAsia" w:ascii="宋体" w:hAnsi="宋体" w:eastAsia="宋体" w:cs="宋体"/>
                <w:i w:val="0"/>
                <w:iCs w:val="0"/>
                <w:color w:val="auto"/>
                <w:kern w:val="0"/>
                <w:sz w:val="20"/>
                <w:szCs w:val="20"/>
                <w:u w:val="none"/>
                <w:lang w:val="en-US" w:eastAsia="zh-CN" w:bidi="ar"/>
              </w:rPr>
              <w:t>金属门应能对达到或超过限定量的金属进行报警，不应出现漏报警</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探测灵敏度范围检查</w:t>
            </w:r>
            <w:r>
              <w:rPr>
                <w:rFonts w:hint="eastAsia" w:ascii="宋体" w:hAnsi="宋体" w:cs="宋体"/>
                <w:i w:val="0"/>
                <w:iCs w:val="0"/>
                <w:color w:val="auto"/>
                <w:kern w:val="0"/>
                <w:sz w:val="20"/>
                <w:szCs w:val="20"/>
                <w:u w:val="none"/>
                <w:lang w:val="en-US" w:eastAsia="zh-CN" w:bidi="ar"/>
              </w:rPr>
              <w:t>：</w:t>
            </w:r>
            <w:r>
              <w:rPr>
                <w:rFonts w:hint="eastAsia" w:ascii="宋体" w:hAnsi="宋体" w:eastAsia="宋体" w:cs="宋体"/>
                <w:i w:val="0"/>
                <w:iCs w:val="0"/>
                <w:color w:val="auto"/>
                <w:kern w:val="0"/>
                <w:sz w:val="20"/>
                <w:szCs w:val="20"/>
                <w:u w:val="none"/>
                <w:lang w:val="en-US" w:eastAsia="zh-CN" w:bidi="ar"/>
              </w:rPr>
              <w:t>金属门的探测灵敏度应能从低到高方便地调节，灵敏度调节应大于等于50个级别。</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5.探测灵敏度</w:t>
            </w:r>
            <w:r>
              <w:rPr>
                <w:rFonts w:hint="eastAsia" w:ascii="宋体" w:hAnsi="宋体" w:cs="宋体"/>
                <w:i w:val="0"/>
                <w:iCs w:val="0"/>
                <w:color w:val="auto"/>
                <w:kern w:val="0"/>
                <w:sz w:val="20"/>
                <w:szCs w:val="20"/>
                <w:u w:val="none"/>
                <w:lang w:val="en-US" w:eastAsia="zh-CN" w:bidi="ar"/>
              </w:rPr>
              <w:t>：</w:t>
            </w:r>
            <w:r>
              <w:rPr>
                <w:rFonts w:hint="eastAsia" w:ascii="宋体" w:hAnsi="宋体" w:eastAsia="宋体" w:cs="宋体"/>
                <w:i w:val="0"/>
                <w:iCs w:val="0"/>
                <w:color w:val="auto"/>
                <w:kern w:val="0"/>
                <w:sz w:val="20"/>
                <w:szCs w:val="20"/>
                <w:u w:val="none"/>
                <w:lang w:val="en-US" w:eastAsia="zh-CN" w:bidi="ar"/>
              </w:rPr>
              <w:t>探测能力应能同时达到I类、II类、III类、混合类的四类标准要求。（须在检测报告中体现）</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6.稳定工作时间</w:t>
            </w:r>
            <w:r>
              <w:rPr>
                <w:rFonts w:hint="eastAsia" w:ascii="宋体" w:hAnsi="宋体" w:cs="宋体"/>
                <w:i w:val="0"/>
                <w:iCs w:val="0"/>
                <w:color w:val="auto"/>
                <w:kern w:val="0"/>
                <w:sz w:val="20"/>
                <w:szCs w:val="20"/>
                <w:u w:val="none"/>
                <w:lang w:val="en-US" w:eastAsia="zh-CN" w:bidi="ar"/>
              </w:rPr>
              <w:t>：</w:t>
            </w:r>
            <w:r>
              <w:rPr>
                <w:rFonts w:hint="eastAsia" w:ascii="宋体" w:hAnsi="宋体" w:eastAsia="宋体" w:cs="宋体"/>
                <w:i w:val="0"/>
                <w:iCs w:val="0"/>
                <w:color w:val="auto"/>
                <w:kern w:val="0"/>
                <w:sz w:val="20"/>
                <w:szCs w:val="20"/>
                <w:u w:val="none"/>
                <w:lang w:val="en-US" w:eastAsia="zh-CN" w:bidi="ar"/>
              </w:rPr>
              <w:t xml:space="preserve"> 稳定工作时间应大于等于24h，待机期间不应出现误报警。</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7.报警声音</w:t>
            </w:r>
            <w:r>
              <w:rPr>
                <w:rFonts w:hint="eastAsia" w:ascii="宋体" w:hAnsi="宋体" w:cs="宋体"/>
                <w:i w:val="0"/>
                <w:iCs w:val="0"/>
                <w:color w:val="auto"/>
                <w:kern w:val="0"/>
                <w:sz w:val="20"/>
                <w:szCs w:val="20"/>
                <w:u w:val="none"/>
                <w:lang w:val="en-US" w:eastAsia="zh-CN" w:bidi="ar"/>
              </w:rPr>
              <w:t>：</w:t>
            </w:r>
            <w:r>
              <w:rPr>
                <w:rFonts w:hint="eastAsia" w:ascii="宋体" w:hAnsi="宋体" w:eastAsia="宋体" w:cs="宋体"/>
                <w:i w:val="0"/>
                <w:iCs w:val="0"/>
                <w:color w:val="auto"/>
                <w:kern w:val="0"/>
                <w:sz w:val="20"/>
                <w:szCs w:val="20"/>
                <w:u w:val="none"/>
                <w:lang w:val="en-US" w:eastAsia="zh-CN" w:bidi="ar"/>
              </w:rPr>
              <w:t>＞90dB。</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8.抗相互干扰</w:t>
            </w:r>
            <w:r>
              <w:rPr>
                <w:rFonts w:hint="eastAsia" w:ascii="宋体" w:hAnsi="宋体" w:cs="宋体"/>
                <w:i w:val="0"/>
                <w:iCs w:val="0"/>
                <w:color w:val="auto"/>
                <w:kern w:val="0"/>
                <w:sz w:val="20"/>
                <w:szCs w:val="20"/>
                <w:u w:val="none"/>
                <w:lang w:val="en-US" w:eastAsia="zh-CN" w:bidi="ar"/>
              </w:rPr>
              <w:t>：</w:t>
            </w:r>
            <w:r>
              <w:rPr>
                <w:rFonts w:hint="eastAsia" w:ascii="宋体" w:hAnsi="宋体" w:eastAsia="宋体" w:cs="宋体"/>
                <w:i w:val="0"/>
                <w:iCs w:val="0"/>
                <w:color w:val="auto"/>
                <w:kern w:val="0"/>
                <w:sz w:val="20"/>
                <w:szCs w:val="20"/>
                <w:u w:val="none"/>
                <w:lang w:val="en-US" w:eastAsia="zh-CN" w:bidi="ar"/>
              </w:rPr>
              <w:t>以大于等于0.5m外沿间距，并排安置多台金属门时，各金属门均应能正常工作。</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9.磁感应强度限制</w:t>
            </w:r>
            <w:r>
              <w:rPr>
                <w:rFonts w:hint="eastAsia" w:ascii="宋体" w:hAnsi="宋体" w:cs="宋体"/>
                <w:i w:val="0"/>
                <w:iCs w:val="0"/>
                <w:color w:val="auto"/>
                <w:kern w:val="0"/>
                <w:sz w:val="20"/>
                <w:szCs w:val="20"/>
                <w:u w:val="none"/>
                <w:lang w:val="en-US" w:eastAsia="zh-CN" w:bidi="ar"/>
              </w:rPr>
              <w:t>：</w:t>
            </w:r>
            <w:r>
              <w:rPr>
                <w:rFonts w:hint="eastAsia" w:ascii="宋体" w:hAnsi="宋体" w:eastAsia="宋体" w:cs="宋体"/>
                <w:i w:val="0"/>
                <w:iCs w:val="0"/>
                <w:color w:val="auto"/>
                <w:kern w:val="0"/>
                <w:sz w:val="20"/>
                <w:szCs w:val="20"/>
                <w:u w:val="none"/>
                <w:lang w:val="en-US" w:eastAsia="zh-CN" w:bidi="ar"/>
              </w:rPr>
              <w:t>在探测区左右边界各向内150mm的区域中，任意一点的磁感应强度均应小于等于10T。（须在检测报告中体现）</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10.抗静止金属物影响</w:t>
            </w:r>
            <w:r>
              <w:rPr>
                <w:rFonts w:hint="eastAsia" w:ascii="宋体" w:hAnsi="宋体" w:cs="宋体"/>
                <w:i w:val="0"/>
                <w:iCs w:val="0"/>
                <w:color w:val="auto"/>
                <w:kern w:val="0"/>
                <w:sz w:val="20"/>
                <w:szCs w:val="20"/>
                <w:u w:val="none"/>
                <w:lang w:val="en-US" w:eastAsia="zh-CN" w:bidi="ar"/>
              </w:rPr>
              <w:t>：</w:t>
            </w:r>
            <w:r>
              <w:rPr>
                <w:rFonts w:hint="eastAsia" w:ascii="宋体" w:hAnsi="宋体" w:eastAsia="宋体" w:cs="宋体"/>
                <w:i w:val="0"/>
                <w:iCs w:val="0"/>
                <w:color w:val="auto"/>
                <w:kern w:val="0"/>
                <w:sz w:val="20"/>
                <w:szCs w:val="20"/>
                <w:u w:val="none"/>
                <w:lang w:val="en-US" w:eastAsia="zh-CN" w:bidi="ar"/>
              </w:rPr>
              <w:t>1.抗周围静止金属物影响：金属门探测性能应不受门体四周1m范围以外的大静止金属物体的影响；2.抗地面内部金属结构影响：金属探测门性能应不受地面0.1m以下的金属结构的影响。</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11.抗周围运动金属物干扰</w:t>
            </w:r>
            <w:r>
              <w:rPr>
                <w:rFonts w:hint="eastAsia" w:ascii="宋体" w:hAnsi="宋体" w:cs="宋体"/>
                <w:i w:val="0"/>
                <w:iCs w:val="0"/>
                <w:color w:val="auto"/>
                <w:kern w:val="0"/>
                <w:sz w:val="20"/>
                <w:szCs w:val="20"/>
                <w:u w:val="none"/>
                <w:lang w:val="en-US" w:eastAsia="zh-CN" w:bidi="ar"/>
              </w:rPr>
              <w:t>：</w:t>
            </w:r>
            <w:r>
              <w:rPr>
                <w:rFonts w:hint="eastAsia" w:ascii="宋体" w:hAnsi="宋体" w:eastAsia="宋体" w:cs="宋体"/>
                <w:i w:val="0"/>
                <w:iCs w:val="0"/>
                <w:color w:val="auto"/>
                <w:kern w:val="0"/>
                <w:sz w:val="20"/>
                <w:szCs w:val="20"/>
                <w:u w:val="none"/>
                <w:lang w:val="en-US" w:eastAsia="zh-CN" w:bidi="ar"/>
              </w:rPr>
              <w:t>金属门不应对门体四周1.5m范围以外的运动金属物产生报警信号。（须在检测报告中体现）</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12.工作环境要求</w:t>
            </w:r>
            <w:r>
              <w:rPr>
                <w:rFonts w:hint="eastAsia" w:ascii="宋体" w:hAnsi="宋体" w:cs="宋体"/>
                <w:i w:val="0"/>
                <w:iCs w:val="0"/>
                <w:color w:val="auto"/>
                <w:kern w:val="0"/>
                <w:sz w:val="20"/>
                <w:szCs w:val="20"/>
                <w:u w:val="none"/>
                <w:lang w:val="en-US" w:eastAsia="zh-CN" w:bidi="ar"/>
              </w:rPr>
              <w:t>：</w:t>
            </w:r>
            <w:r>
              <w:rPr>
                <w:rFonts w:hint="eastAsia" w:ascii="宋体" w:hAnsi="宋体" w:eastAsia="宋体" w:cs="宋体"/>
                <w:i w:val="0"/>
                <w:iCs w:val="0"/>
                <w:color w:val="auto"/>
                <w:kern w:val="0"/>
                <w:sz w:val="20"/>
                <w:szCs w:val="20"/>
                <w:u w:val="none"/>
                <w:lang w:val="en-US" w:eastAsia="zh-CN" w:bidi="ar"/>
              </w:rPr>
              <w:t>1.高温试验：室外型：+70℃±2℃、2h；2.低温试验：室外型：-30℃±3℃、2h；3.恒定湿热试验：室外型：（55±2）℃、RH(95)℃、48h；（需在检测报告中体现，需提供检测报告原件）</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13.自学习功能检查</w:t>
            </w:r>
            <w:r>
              <w:rPr>
                <w:rFonts w:hint="eastAsia" w:ascii="宋体" w:hAnsi="宋体" w:cs="宋体"/>
                <w:i w:val="0"/>
                <w:iCs w:val="0"/>
                <w:color w:val="auto"/>
                <w:kern w:val="0"/>
                <w:sz w:val="20"/>
                <w:szCs w:val="20"/>
                <w:u w:val="none"/>
                <w:lang w:val="en-US" w:eastAsia="zh-CN" w:bidi="ar"/>
              </w:rPr>
              <w:t>：</w:t>
            </w:r>
            <w:r>
              <w:rPr>
                <w:rFonts w:hint="eastAsia" w:ascii="宋体" w:hAnsi="宋体" w:eastAsia="宋体" w:cs="宋体"/>
                <w:i w:val="0"/>
                <w:iCs w:val="0"/>
                <w:color w:val="auto"/>
                <w:kern w:val="0"/>
                <w:sz w:val="20"/>
                <w:szCs w:val="20"/>
                <w:u w:val="none"/>
                <w:lang w:val="en-US" w:eastAsia="zh-CN" w:bidi="ar"/>
              </w:rPr>
              <w:t>设备应有自学习功能，当用某个金属作为标准测试物进行学习测试记录后，后续携带金属量大于该测试物才报警，如小于或等于则不报警。（须在检测报告中体现）</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14.飞物报警功能</w:t>
            </w:r>
            <w:r>
              <w:rPr>
                <w:rFonts w:hint="eastAsia" w:ascii="宋体" w:hAnsi="宋体" w:cs="宋体"/>
                <w:i w:val="0"/>
                <w:iCs w:val="0"/>
                <w:color w:val="auto"/>
                <w:kern w:val="0"/>
                <w:sz w:val="20"/>
                <w:szCs w:val="20"/>
                <w:u w:val="none"/>
                <w:lang w:val="en-US" w:eastAsia="zh-CN" w:bidi="ar"/>
              </w:rPr>
              <w:t>：</w:t>
            </w:r>
            <w:r>
              <w:rPr>
                <w:rFonts w:hint="eastAsia" w:ascii="宋体" w:hAnsi="宋体" w:eastAsia="宋体" w:cs="宋体"/>
                <w:i w:val="0"/>
                <w:iCs w:val="0"/>
                <w:color w:val="auto"/>
                <w:kern w:val="0"/>
                <w:sz w:val="20"/>
                <w:szCs w:val="20"/>
                <w:u w:val="none"/>
                <w:lang w:val="en-US" w:eastAsia="zh-CN" w:bidi="ar"/>
              </w:rPr>
              <w:t>安检门应具有飞物报警功能，在飞物探测模式下，以一元硬币为测试物，抛过探测区域时，安检门应报警，试验50次，准确率应大于90%。</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15.功耗检测</w:t>
            </w:r>
            <w:r>
              <w:rPr>
                <w:rFonts w:hint="eastAsia" w:ascii="宋体" w:hAnsi="宋体" w:cs="宋体"/>
                <w:i w:val="0"/>
                <w:iCs w:val="0"/>
                <w:color w:val="auto"/>
                <w:kern w:val="0"/>
                <w:sz w:val="20"/>
                <w:szCs w:val="20"/>
                <w:u w:val="none"/>
                <w:lang w:val="en-US" w:eastAsia="zh-CN" w:bidi="ar"/>
              </w:rPr>
              <w:t>：</w:t>
            </w:r>
            <w:r>
              <w:rPr>
                <w:rFonts w:hint="eastAsia" w:ascii="宋体" w:hAnsi="宋体" w:eastAsia="宋体" w:cs="宋体"/>
                <w:i w:val="0"/>
                <w:iCs w:val="0"/>
                <w:color w:val="auto"/>
                <w:kern w:val="0"/>
                <w:sz w:val="20"/>
                <w:szCs w:val="20"/>
                <w:u w:val="none"/>
                <w:lang w:val="en-US" w:eastAsia="zh-CN" w:bidi="ar"/>
              </w:rPr>
              <w:t>设备启动后待机功率应小于等于9W。</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16.计数功能</w:t>
            </w:r>
            <w:r>
              <w:rPr>
                <w:rFonts w:hint="eastAsia" w:ascii="宋体" w:hAnsi="宋体" w:cs="宋体"/>
                <w:i w:val="0"/>
                <w:iCs w:val="0"/>
                <w:color w:val="auto"/>
                <w:kern w:val="0"/>
                <w:sz w:val="20"/>
                <w:szCs w:val="20"/>
                <w:u w:val="none"/>
                <w:lang w:val="en-US" w:eastAsia="zh-CN" w:bidi="ar"/>
              </w:rPr>
              <w:t>：</w:t>
            </w:r>
            <w:r>
              <w:rPr>
                <w:rFonts w:hint="eastAsia" w:ascii="宋体" w:hAnsi="宋体" w:eastAsia="宋体" w:cs="宋体"/>
                <w:i w:val="0"/>
                <w:iCs w:val="0"/>
                <w:color w:val="auto"/>
                <w:kern w:val="0"/>
                <w:sz w:val="20"/>
                <w:szCs w:val="20"/>
                <w:u w:val="none"/>
                <w:lang w:val="en-US" w:eastAsia="zh-CN" w:bidi="ar"/>
              </w:rPr>
              <w:t>安检门应具有双向计数统计功能，能可靠记录受检人数和报警人次。通过人数应有3种统计方法可选：1）从前往后通过的人数和从后往前通过的人数相加；2）从前往后通过的人数和从后往前通过的人数分别统计显示；3）指定某个方向进入时统计人数增加，反向进入时统计人数递减。</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17.休眠功能</w:t>
            </w:r>
            <w:r>
              <w:rPr>
                <w:rFonts w:hint="eastAsia" w:ascii="宋体" w:hAnsi="宋体" w:cs="宋体"/>
                <w:i w:val="0"/>
                <w:iCs w:val="0"/>
                <w:color w:val="auto"/>
                <w:kern w:val="0"/>
                <w:sz w:val="20"/>
                <w:szCs w:val="20"/>
                <w:u w:val="none"/>
                <w:lang w:val="en-US" w:eastAsia="zh-CN" w:bidi="ar"/>
              </w:rPr>
              <w:t>：</w:t>
            </w:r>
            <w:r>
              <w:rPr>
                <w:rFonts w:hint="eastAsia" w:ascii="宋体" w:hAnsi="宋体" w:eastAsia="宋体" w:cs="宋体"/>
                <w:i w:val="0"/>
                <w:iCs w:val="0"/>
                <w:color w:val="auto"/>
                <w:kern w:val="0"/>
                <w:sz w:val="20"/>
                <w:szCs w:val="20"/>
                <w:u w:val="none"/>
                <w:lang w:val="en-US" w:eastAsia="zh-CN" w:bidi="ar"/>
              </w:rPr>
              <w:t>安检门应具有自检功能，在开机时进行自检并显示检测结果。应可设定休眠时间,在5~59分钟内无人或物体通过安检门,设备应自动进入休眠状态;当有人或物体通过时,设备应自动开启检测功能。在休眠状态下超过60分钟无人或物体通过安检门,设备应自动进入深度休眠状态，需单次触摸开机按钮唤醒后，设备进入检测状态。（须在检测报告中体现）</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18.金属量显示功能</w:t>
            </w:r>
            <w:r>
              <w:rPr>
                <w:rFonts w:hint="eastAsia" w:ascii="宋体" w:hAnsi="宋体" w:cs="宋体"/>
                <w:i w:val="0"/>
                <w:iCs w:val="0"/>
                <w:color w:val="auto"/>
                <w:kern w:val="0"/>
                <w:sz w:val="20"/>
                <w:szCs w:val="20"/>
                <w:u w:val="none"/>
                <w:lang w:val="en-US" w:eastAsia="zh-CN" w:bidi="ar"/>
              </w:rPr>
              <w:t>：</w:t>
            </w:r>
            <w:r>
              <w:rPr>
                <w:rFonts w:hint="eastAsia" w:ascii="宋体" w:hAnsi="宋体" w:eastAsia="宋体" w:cs="宋体"/>
                <w:i w:val="0"/>
                <w:iCs w:val="0"/>
                <w:color w:val="auto"/>
                <w:kern w:val="0"/>
                <w:sz w:val="20"/>
                <w:szCs w:val="20"/>
                <w:u w:val="none"/>
                <w:lang w:val="en-US" w:eastAsia="zh-CN" w:bidi="ar"/>
              </w:rPr>
              <w:t>7寸显示屏幕上应能以条状图形来显示通过系统的金属量。（须在检测报告中体现）</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19.数据存储与查询功能</w:t>
            </w:r>
            <w:r>
              <w:rPr>
                <w:rFonts w:hint="eastAsia" w:ascii="宋体" w:hAnsi="宋体" w:cs="宋体"/>
                <w:i w:val="0"/>
                <w:iCs w:val="0"/>
                <w:color w:val="auto"/>
                <w:kern w:val="0"/>
                <w:sz w:val="20"/>
                <w:szCs w:val="20"/>
                <w:u w:val="none"/>
                <w:lang w:val="en-US" w:eastAsia="zh-CN" w:bidi="ar"/>
              </w:rPr>
              <w:t>：</w:t>
            </w:r>
            <w:r>
              <w:rPr>
                <w:rFonts w:hint="eastAsia" w:ascii="宋体" w:hAnsi="宋体" w:eastAsia="宋体" w:cs="宋体"/>
                <w:i w:val="0"/>
                <w:iCs w:val="0"/>
                <w:color w:val="auto"/>
                <w:kern w:val="0"/>
                <w:sz w:val="20"/>
                <w:szCs w:val="20"/>
                <w:u w:val="none"/>
                <w:lang w:val="en-US" w:eastAsia="zh-CN" w:bidi="ar"/>
              </w:rPr>
              <w:t>安检门应能存储每天通过的通过人数、报警次数、报警信息等数据，并能够查询历史记录；存储数据不小于100000条。</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20.有色、黑色金属探测模式</w:t>
            </w:r>
            <w:r>
              <w:rPr>
                <w:rFonts w:hint="eastAsia" w:ascii="宋体" w:hAnsi="宋体" w:cs="宋体"/>
                <w:i w:val="0"/>
                <w:iCs w:val="0"/>
                <w:color w:val="auto"/>
                <w:kern w:val="0"/>
                <w:sz w:val="20"/>
                <w:szCs w:val="20"/>
                <w:u w:val="none"/>
                <w:lang w:val="en-US" w:eastAsia="zh-CN" w:bidi="ar"/>
              </w:rPr>
              <w:t>：</w:t>
            </w:r>
            <w:r>
              <w:rPr>
                <w:rFonts w:hint="eastAsia" w:ascii="宋体" w:hAnsi="宋体" w:eastAsia="宋体" w:cs="宋体"/>
                <w:i w:val="0"/>
                <w:iCs w:val="0"/>
                <w:color w:val="auto"/>
                <w:kern w:val="0"/>
                <w:sz w:val="20"/>
                <w:szCs w:val="20"/>
                <w:u w:val="none"/>
                <w:lang w:val="en-US" w:eastAsia="zh-CN" w:bidi="ar"/>
              </w:rPr>
              <w:t>安检门应可在有色或黑色金属探测模式间切换。（须在检测报告中体现）</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21.最低探测高度</w:t>
            </w:r>
            <w:r>
              <w:rPr>
                <w:rFonts w:hint="eastAsia" w:ascii="宋体" w:hAnsi="宋体" w:cs="宋体"/>
                <w:i w:val="0"/>
                <w:iCs w:val="0"/>
                <w:color w:val="auto"/>
                <w:kern w:val="0"/>
                <w:sz w:val="20"/>
                <w:szCs w:val="20"/>
                <w:u w:val="none"/>
                <w:lang w:val="en-US" w:eastAsia="zh-CN" w:bidi="ar"/>
              </w:rPr>
              <w:t>：</w:t>
            </w:r>
            <w:r>
              <w:rPr>
                <w:rFonts w:hint="eastAsia" w:ascii="宋体" w:hAnsi="宋体" w:eastAsia="宋体" w:cs="宋体"/>
                <w:i w:val="0"/>
                <w:iCs w:val="0"/>
                <w:color w:val="auto"/>
                <w:kern w:val="0"/>
                <w:sz w:val="20"/>
                <w:szCs w:val="20"/>
                <w:u w:val="none"/>
                <w:lang w:val="en-US" w:eastAsia="zh-CN" w:bidi="ar"/>
              </w:rPr>
              <w:t>在离地2cm高度处以一个直径20mm铁球为测试物，以接近1m/s的速度通过安检门，系统应报警。（须在检测报告中体现）</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22.回形针探测能力</w:t>
            </w:r>
            <w:r>
              <w:rPr>
                <w:rFonts w:hint="eastAsia" w:ascii="宋体" w:hAnsi="宋体" w:cs="宋体"/>
                <w:i w:val="0"/>
                <w:iCs w:val="0"/>
                <w:color w:val="auto"/>
                <w:kern w:val="0"/>
                <w:sz w:val="20"/>
                <w:szCs w:val="20"/>
                <w:u w:val="none"/>
                <w:lang w:val="en-US" w:eastAsia="zh-CN" w:bidi="ar"/>
              </w:rPr>
              <w:t>：</w:t>
            </w:r>
            <w:r>
              <w:rPr>
                <w:rFonts w:hint="eastAsia" w:ascii="宋体" w:hAnsi="宋体" w:eastAsia="宋体" w:cs="宋体"/>
                <w:i w:val="0"/>
                <w:iCs w:val="0"/>
                <w:color w:val="auto"/>
                <w:kern w:val="0"/>
                <w:sz w:val="20"/>
                <w:szCs w:val="20"/>
                <w:u w:val="none"/>
                <w:lang w:val="en-US" w:eastAsia="zh-CN" w:bidi="ar"/>
              </w:rPr>
              <w:t>以3cm的回形针为测试物，以接近1m/s的速度通过安检门，系统应报警。（须在检测报告中体现）</w:t>
            </w:r>
          </w:p>
        </w:tc>
        <w:tc>
          <w:tcPr>
            <w:tcW w:w="1418" w:type="dxa"/>
            <w:tcBorders>
              <w:top w:val="single" w:color="auto" w:sz="4" w:space="0"/>
              <w:left w:val="single" w:color="auto" w:sz="4" w:space="0"/>
              <w:bottom w:val="single" w:color="auto" w:sz="4" w:space="0"/>
              <w:right w:val="single" w:color="auto" w:sz="4" w:space="0"/>
            </w:tcBorders>
            <w:vAlign w:val="center"/>
          </w:tcPr>
          <w:p w14:paraId="3AB2EA6C">
            <w:pPr>
              <w:keepNext w:val="0"/>
              <w:keepLines w:val="0"/>
              <w:widowControl/>
              <w:suppressLineNumbers w:val="0"/>
              <w:jc w:val="center"/>
              <w:textAlignment w:val="center"/>
              <w:rPr>
                <w:rFonts w:ascii="宋体" w:hAnsi="宋体" w:cs="宋体"/>
                <w:color w:val="auto"/>
                <w:sz w:val="21"/>
                <w:szCs w:val="21"/>
                <w:highlight w:val="none"/>
              </w:rPr>
            </w:pPr>
            <w:r>
              <w:rPr>
                <w:rFonts w:hint="eastAsia" w:ascii="宋体" w:hAnsi="宋体" w:eastAsia="宋体" w:cs="宋体"/>
                <w:i w:val="0"/>
                <w:iCs w:val="0"/>
                <w:color w:val="auto"/>
                <w:kern w:val="0"/>
                <w:sz w:val="20"/>
                <w:szCs w:val="20"/>
                <w:u w:val="none"/>
                <w:lang w:val="en-US" w:eastAsia="zh-CN" w:bidi="ar"/>
              </w:rPr>
              <w:t>455</w:t>
            </w:r>
          </w:p>
        </w:tc>
      </w:tr>
      <w:tr w14:paraId="0C13F2A9">
        <w:tblPrEx>
          <w:tblCellMar>
            <w:top w:w="0" w:type="dxa"/>
            <w:left w:w="108" w:type="dxa"/>
            <w:bottom w:w="0" w:type="dxa"/>
            <w:right w:w="108" w:type="dxa"/>
          </w:tblCellMar>
        </w:tblPrEx>
        <w:trPr>
          <w:trHeight w:val="540" w:hRule="atLeast"/>
          <w:jc w:val="center"/>
        </w:trPr>
        <w:tc>
          <w:tcPr>
            <w:tcW w:w="638" w:type="dxa"/>
            <w:tcBorders>
              <w:top w:val="single" w:color="auto" w:sz="4" w:space="0"/>
              <w:left w:val="single" w:color="auto" w:sz="4" w:space="0"/>
              <w:bottom w:val="single" w:color="auto" w:sz="4" w:space="0"/>
              <w:right w:val="single" w:color="auto" w:sz="4" w:space="0"/>
            </w:tcBorders>
            <w:vAlign w:val="center"/>
          </w:tcPr>
          <w:p w14:paraId="7CD2D762">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6</w:t>
            </w:r>
          </w:p>
        </w:tc>
        <w:tc>
          <w:tcPr>
            <w:tcW w:w="1305" w:type="dxa"/>
            <w:tcBorders>
              <w:top w:val="single" w:color="auto" w:sz="4" w:space="0"/>
              <w:left w:val="single" w:color="auto" w:sz="4" w:space="0"/>
              <w:bottom w:val="single" w:color="auto" w:sz="4" w:space="0"/>
              <w:right w:val="single" w:color="auto" w:sz="4" w:space="0"/>
            </w:tcBorders>
            <w:vAlign w:val="center"/>
          </w:tcPr>
          <w:p w14:paraId="7E3A41EF">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手持金属探测器</w:t>
            </w:r>
          </w:p>
        </w:tc>
        <w:tc>
          <w:tcPr>
            <w:tcW w:w="660" w:type="dxa"/>
            <w:tcBorders>
              <w:top w:val="single" w:color="auto" w:sz="4" w:space="0"/>
              <w:left w:val="single" w:color="auto" w:sz="4" w:space="0"/>
              <w:bottom w:val="single" w:color="auto" w:sz="4" w:space="0"/>
              <w:right w:val="single" w:color="auto" w:sz="4" w:space="0"/>
            </w:tcBorders>
            <w:vAlign w:val="center"/>
          </w:tcPr>
          <w:p w14:paraId="70D01200">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支</w:t>
            </w:r>
          </w:p>
        </w:tc>
        <w:tc>
          <w:tcPr>
            <w:tcW w:w="5377" w:type="dxa"/>
            <w:tcBorders>
              <w:top w:val="single" w:color="auto" w:sz="4" w:space="0"/>
              <w:left w:val="single" w:color="auto" w:sz="4" w:space="0"/>
              <w:bottom w:val="single" w:color="auto" w:sz="4" w:space="0"/>
              <w:right w:val="single" w:color="auto" w:sz="4" w:space="0"/>
            </w:tcBorders>
            <w:vAlign w:val="center"/>
          </w:tcPr>
          <w:p w14:paraId="69CC7F5F">
            <w:pPr>
              <w:keepNext w:val="0"/>
              <w:keepLines w:val="0"/>
              <w:widowControl/>
              <w:suppressLineNumbers w:val="0"/>
              <w:jc w:val="left"/>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1.▲设备须具备国家安全防范报警系统产品质量监督检验中心或公安部安全与警用电子产品质量检测中心出具的检验报告；</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2.应符合“GB 12899-2018《手持式金属探测器通用技术规范》”的相关要求；</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3.整机重量：≤270g（不含电池）；</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4.外壳防护等级：应符合GB/T4208-2017中IP31；</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5.应采用常见型号的电池供电，供电电压应小于等于15V，并应具有欠压提示功能；（须在检测报告中体现）</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6.工作时间：至少应能连续正常工作24h而无需更换电池或重新充电；</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7.探测器应能对达到或者超过限定量的金属进行报警，不应出现漏报警；</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8.探测灵敏度：按GB 12899-2018中表1规定的测试无及对应探测距离进行测试，不应出现漏报警。T1测试物：5.5cm、T2测试物：6.0cm、T3测试物：9.5cm；（须在检测报告中体现）</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9.运动速度按GB 12899-2018中表2规定的测试无及对应探测距离进行测试，不应出现漏报警。符合A级；（须在检测报告中体现）</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10.探测器离开报警测试物规定距离后，报警指示应立即停止；</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11.温度试验：高温试验：室外型:+60℃±2℃、2h试验期间功能应正常；低温试验：室外型:-30℃±3℃、2h试验期间功能应正常；（须在检测报告中体现）</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12.自有跌落标准：跌落高度2m，6个面分别朝下，每面2次。（须在检测报告中体现）</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13.多台探测器相隔间距0.6m同时使用时，各探测器均能正常工作。</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14.探测器距离大金属物大于等于0.5m运动时，不应产生报警信号；靠近大金属物体的探测器，在离开大金属物体以后1min内应能自动恢复其探测性能；</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15.休眠功能：设备应具有休眠功能，当设备在开机状态下超过2分钟不使用时，应进入休眠状态；在休眠状态下10分钟内有金属靠近时，设备会自动唤醒；在休眠状态下超过10分钟没有金属靠近时，设备应自动关机。（须在检测报告中体现）</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16.探测的到金属时，金属含量越大，设备的声、光、振动越强。</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17.探测器的线圈探测面板应采用PCB板敷铜制作。（须在检测报告中体现）</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18.探测器应具有3种探测模式：1.在黑色金属和有色金属混合探测模式下：对半片不锈钢剃须刀片、金银首饰、铝（37 mm *10 mm *0.5mm)和铜（37 mm *10 mm *0.5mm)进行测试应均可报警。2.在黑色金属探测模式下：对半片不锈钢剃须刀片测试应报警，对有色金属金银首饰、铝（37 mm *10 mm *0.5mm)、铜（37 mm *10 mm *0.5mm)进行测试应不报警。3.在有色金属探测模式下：对金银首饰、铝（37 mm *10 mm *0.5mm)和铜（37 mm *10 mm *0.5mm），测试应可报警。在高灵敏度状态下，距离探测物铝（37 mm *10 mm *0.5mm)和铜（37 mm *10 mm *0.5mm）65mm应可报警，对黑色金属样品不锈钢剃须刀片测试应不报警；（须在检测报告中体现）</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19.以回形针为探测物，探测器以接近1m/s的速度在测试平面上方0.5m处沿Z轴向下运动，直至接触到测试平面,然后以同样的速度迅速提起回到初试位置。从距Z轴0.5m处开始,沿着Y轴平行的方向从探测器一侧穿过Z轴到另一侧距Z轴0.5m处,不出现漏报警或误报警。（须在检测报告中体现）</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20.工作环境:-20℃- +45℃。</w:t>
            </w:r>
          </w:p>
        </w:tc>
        <w:tc>
          <w:tcPr>
            <w:tcW w:w="1418" w:type="dxa"/>
            <w:tcBorders>
              <w:top w:val="single" w:color="auto" w:sz="4" w:space="0"/>
              <w:left w:val="single" w:color="auto" w:sz="4" w:space="0"/>
              <w:bottom w:val="single" w:color="auto" w:sz="4" w:space="0"/>
              <w:right w:val="single" w:color="auto" w:sz="4" w:space="0"/>
            </w:tcBorders>
            <w:vAlign w:val="center"/>
          </w:tcPr>
          <w:p w14:paraId="2642CF60">
            <w:pPr>
              <w:keepNext w:val="0"/>
              <w:keepLines w:val="0"/>
              <w:widowControl/>
              <w:suppressLineNumbers w:val="0"/>
              <w:jc w:val="center"/>
              <w:textAlignment w:val="center"/>
              <w:rPr>
                <w:rFonts w:ascii="宋体" w:hAnsi="宋体" w:cs="宋体"/>
                <w:color w:val="auto"/>
                <w:sz w:val="21"/>
                <w:szCs w:val="21"/>
                <w:highlight w:val="none"/>
              </w:rPr>
            </w:pPr>
            <w:r>
              <w:rPr>
                <w:rFonts w:hint="eastAsia" w:ascii="宋体" w:hAnsi="宋体" w:eastAsia="宋体" w:cs="宋体"/>
                <w:i w:val="0"/>
                <w:iCs w:val="0"/>
                <w:color w:val="auto"/>
                <w:kern w:val="0"/>
                <w:sz w:val="20"/>
                <w:szCs w:val="20"/>
                <w:u w:val="none"/>
                <w:lang w:val="en-US" w:eastAsia="zh-CN" w:bidi="ar"/>
              </w:rPr>
              <w:t>26</w:t>
            </w:r>
          </w:p>
        </w:tc>
      </w:tr>
      <w:tr w14:paraId="0D5FE8D1">
        <w:tblPrEx>
          <w:tblCellMar>
            <w:top w:w="0" w:type="dxa"/>
            <w:left w:w="108" w:type="dxa"/>
            <w:bottom w:w="0" w:type="dxa"/>
            <w:right w:w="108" w:type="dxa"/>
          </w:tblCellMar>
        </w:tblPrEx>
        <w:trPr>
          <w:trHeight w:val="540" w:hRule="atLeast"/>
          <w:jc w:val="center"/>
        </w:trPr>
        <w:tc>
          <w:tcPr>
            <w:tcW w:w="638" w:type="dxa"/>
            <w:tcBorders>
              <w:top w:val="single" w:color="auto" w:sz="4" w:space="0"/>
              <w:left w:val="single" w:color="auto" w:sz="4" w:space="0"/>
              <w:bottom w:val="single" w:color="auto" w:sz="4" w:space="0"/>
              <w:right w:val="single" w:color="auto" w:sz="4" w:space="0"/>
            </w:tcBorders>
            <w:vAlign w:val="center"/>
          </w:tcPr>
          <w:p w14:paraId="64D00E2B">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7</w:t>
            </w:r>
          </w:p>
        </w:tc>
        <w:tc>
          <w:tcPr>
            <w:tcW w:w="1305" w:type="dxa"/>
            <w:tcBorders>
              <w:top w:val="single" w:color="auto" w:sz="4" w:space="0"/>
              <w:left w:val="single" w:color="auto" w:sz="4" w:space="0"/>
              <w:bottom w:val="single" w:color="auto" w:sz="4" w:space="0"/>
              <w:right w:val="single" w:color="auto" w:sz="4" w:space="0"/>
            </w:tcBorders>
            <w:vAlign w:val="center"/>
          </w:tcPr>
          <w:p w14:paraId="3F3412F1">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防爆毯</w:t>
            </w:r>
          </w:p>
        </w:tc>
        <w:tc>
          <w:tcPr>
            <w:tcW w:w="660" w:type="dxa"/>
            <w:tcBorders>
              <w:top w:val="single" w:color="auto" w:sz="4" w:space="0"/>
              <w:left w:val="single" w:color="auto" w:sz="4" w:space="0"/>
              <w:bottom w:val="single" w:color="auto" w:sz="4" w:space="0"/>
              <w:right w:val="single" w:color="auto" w:sz="4" w:space="0"/>
            </w:tcBorders>
            <w:vAlign w:val="center"/>
          </w:tcPr>
          <w:p w14:paraId="3EE5D6CE">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套</w:t>
            </w:r>
          </w:p>
        </w:tc>
        <w:tc>
          <w:tcPr>
            <w:tcW w:w="5377" w:type="dxa"/>
            <w:tcBorders>
              <w:top w:val="single" w:color="auto" w:sz="4" w:space="0"/>
              <w:left w:val="single" w:color="auto" w:sz="4" w:space="0"/>
              <w:bottom w:val="single" w:color="auto" w:sz="4" w:space="0"/>
              <w:right w:val="single" w:color="auto" w:sz="4" w:space="0"/>
            </w:tcBorders>
            <w:vAlign w:val="center"/>
          </w:tcPr>
          <w:p w14:paraId="75295CAA">
            <w:pPr>
              <w:keepNext w:val="0"/>
              <w:keepLines w:val="0"/>
              <w:widowControl/>
              <w:suppressLineNumbers w:val="0"/>
              <w:jc w:val="left"/>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1.▲设备须具备国家安全防范报警系统产品质量监督检验中心或公安部安全与警用电子产品质量检测中心出具的检验报告；</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2.盖毯和围栏由内胆和外套等制成。外套平整、无抽丝、破损、撕裂和腐蚀污垢，缝制线迹顺直、规整、松紧适宜、均匀、无跳线、断线，缝制牢固。</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3.盖毯外形尺寸不小于1500mm×1500mm。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3)材料的径向和纬向的防断裂强力不小于1200N。</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4.材料的径向和纬向的抗撕破强力不小于120N。</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5.能有效阻拦82-2式手榴弹爆炸后产生的冲击波和碎片的横向效应。</w:t>
            </w:r>
          </w:p>
        </w:tc>
        <w:tc>
          <w:tcPr>
            <w:tcW w:w="1418" w:type="dxa"/>
            <w:tcBorders>
              <w:top w:val="single" w:color="auto" w:sz="4" w:space="0"/>
              <w:left w:val="single" w:color="auto" w:sz="4" w:space="0"/>
              <w:bottom w:val="single" w:color="auto" w:sz="4" w:space="0"/>
              <w:right w:val="single" w:color="auto" w:sz="4" w:space="0"/>
            </w:tcBorders>
            <w:vAlign w:val="center"/>
          </w:tcPr>
          <w:p w14:paraId="48B1A1B2">
            <w:pPr>
              <w:keepNext w:val="0"/>
              <w:keepLines w:val="0"/>
              <w:widowControl/>
              <w:suppressLineNumbers w:val="0"/>
              <w:jc w:val="center"/>
              <w:textAlignment w:val="center"/>
              <w:rPr>
                <w:rFonts w:ascii="宋体" w:hAnsi="宋体" w:cs="宋体"/>
                <w:color w:val="auto"/>
                <w:sz w:val="21"/>
                <w:szCs w:val="21"/>
                <w:highlight w:val="none"/>
              </w:rPr>
            </w:pPr>
            <w:r>
              <w:rPr>
                <w:rFonts w:hint="eastAsia" w:ascii="宋体" w:hAnsi="宋体" w:eastAsia="宋体" w:cs="宋体"/>
                <w:i w:val="0"/>
                <w:iCs w:val="0"/>
                <w:color w:val="auto"/>
                <w:kern w:val="0"/>
                <w:sz w:val="20"/>
                <w:szCs w:val="20"/>
                <w:u w:val="none"/>
                <w:lang w:val="en-US" w:eastAsia="zh-CN" w:bidi="ar"/>
              </w:rPr>
              <w:t>557</w:t>
            </w:r>
          </w:p>
        </w:tc>
      </w:tr>
      <w:tr w14:paraId="50F138BD">
        <w:tblPrEx>
          <w:tblCellMar>
            <w:top w:w="0" w:type="dxa"/>
            <w:left w:w="108" w:type="dxa"/>
            <w:bottom w:w="0" w:type="dxa"/>
            <w:right w:w="108" w:type="dxa"/>
          </w:tblCellMar>
        </w:tblPrEx>
        <w:trPr>
          <w:trHeight w:val="540" w:hRule="atLeast"/>
          <w:jc w:val="center"/>
        </w:trPr>
        <w:tc>
          <w:tcPr>
            <w:tcW w:w="638" w:type="dxa"/>
            <w:tcBorders>
              <w:top w:val="single" w:color="auto" w:sz="4" w:space="0"/>
              <w:left w:val="single" w:color="auto" w:sz="4" w:space="0"/>
              <w:bottom w:val="single" w:color="auto" w:sz="4" w:space="0"/>
              <w:right w:val="single" w:color="auto" w:sz="4" w:space="0"/>
            </w:tcBorders>
            <w:vAlign w:val="center"/>
          </w:tcPr>
          <w:p w14:paraId="14AF9F4D">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8</w:t>
            </w:r>
          </w:p>
        </w:tc>
        <w:tc>
          <w:tcPr>
            <w:tcW w:w="1305" w:type="dxa"/>
            <w:tcBorders>
              <w:top w:val="single" w:color="auto" w:sz="4" w:space="0"/>
              <w:left w:val="single" w:color="auto" w:sz="4" w:space="0"/>
              <w:bottom w:val="single" w:color="auto" w:sz="4" w:space="0"/>
              <w:right w:val="single" w:color="auto" w:sz="4" w:space="0"/>
            </w:tcBorders>
            <w:vAlign w:val="center"/>
          </w:tcPr>
          <w:p w14:paraId="0D1B99E3">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小型单视角X光机</w:t>
            </w:r>
          </w:p>
        </w:tc>
        <w:tc>
          <w:tcPr>
            <w:tcW w:w="660" w:type="dxa"/>
            <w:tcBorders>
              <w:top w:val="single" w:color="auto" w:sz="4" w:space="0"/>
              <w:left w:val="single" w:color="auto" w:sz="4" w:space="0"/>
              <w:bottom w:val="single" w:color="auto" w:sz="4" w:space="0"/>
              <w:right w:val="single" w:color="auto" w:sz="4" w:space="0"/>
            </w:tcBorders>
            <w:vAlign w:val="center"/>
          </w:tcPr>
          <w:p w14:paraId="403ADB24">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台</w:t>
            </w:r>
          </w:p>
        </w:tc>
        <w:tc>
          <w:tcPr>
            <w:tcW w:w="5377" w:type="dxa"/>
            <w:tcBorders>
              <w:top w:val="single" w:color="auto" w:sz="4" w:space="0"/>
              <w:left w:val="single" w:color="auto" w:sz="4" w:space="0"/>
              <w:bottom w:val="single" w:color="auto" w:sz="4" w:space="0"/>
              <w:right w:val="single" w:color="auto" w:sz="4" w:space="0"/>
            </w:tcBorders>
            <w:vAlign w:val="center"/>
          </w:tcPr>
          <w:p w14:paraId="4F202538">
            <w:pPr>
              <w:keepNext w:val="0"/>
              <w:keepLines w:val="0"/>
              <w:widowControl/>
              <w:suppressLineNumbers w:val="0"/>
              <w:jc w:val="left"/>
              <w:textAlignment w:val="center"/>
              <w:rPr>
                <w:rFonts w:hint="eastAsia" w:ascii="宋体" w:hAnsi="宋体" w:cs="宋体"/>
                <w:color w:val="auto"/>
                <w:sz w:val="18"/>
                <w:szCs w:val="18"/>
                <w:highlight w:val="none"/>
              </w:rPr>
            </w:pPr>
            <w:r>
              <w:rPr>
                <w:rFonts w:hint="eastAsia" w:ascii="宋体" w:hAnsi="宋体" w:cs="宋体"/>
                <w:color w:val="auto"/>
                <w:sz w:val="18"/>
                <w:szCs w:val="18"/>
                <w:highlight w:val="none"/>
              </w:rPr>
              <w:t>1.</w:t>
            </w:r>
            <w:r>
              <w:rPr>
                <w:rFonts w:hint="eastAsia" w:ascii="宋体" w:hAnsi="宋体" w:eastAsia="宋体" w:cs="宋体"/>
                <w:i w:val="0"/>
                <w:iCs w:val="0"/>
                <w:color w:val="auto"/>
                <w:kern w:val="0"/>
                <w:sz w:val="18"/>
                <w:szCs w:val="18"/>
                <w:u w:val="none"/>
                <w:lang w:val="en-US" w:eastAsia="zh-CN" w:bidi="ar"/>
              </w:rPr>
              <w:t>▲</w:t>
            </w:r>
            <w:r>
              <w:rPr>
                <w:rFonts w:hint="eastAsia" w:ascii="宋体" w:hAnsi="宋体" w:cs="宋体"/>
                <w:color w:val="auto"/>
                <w:sz w:val="18"/>
                <w:szCs w:val="18"/>
                <w:highlight w:val="none"/>
              </w:rPr>
              <w:t>提供检测报告：</w:t>
            </w:r>
            <w:r>
              <w:rPr>
                <w:rFonts w:hint="eastAsia" w:ascii="宋体" w:hAnsi="宋体" w:cs="宋体"/>
                <w:color w:val="auto"/>
                <w:sz w:val="18"/>
                <w:szCs w:val="18"/>
                <w:highlight w:val="none"/>
                <w:lang w:val="en-US" w:eastAsia="zh-CN"/>
              </w:rPr>
              <w:t>需提供公安部门检测机构出具的检</w:t>
            </w:r>
            <w:r>
              <w:rPr>
                <w:rFonts w:hint="eastAsia" w:ascii="宋体" w:hAnsi="宋体" w:cs="宋体"/>
                <w:color w:val="auto"/>
                <w:sz w:val="18"/>
                <w:szCs w:val="18"/>
                <w:highlight w:val="none"/>
              </w:rPr>
              <w:t>测报告复印件并加盖投标人公章。</w:t>
            </w:r>
          </w:p>
          <w:p w14:paraId="2745CC16">
            <w:pPr>
              <w:keepNext w:val="0"/>
              <w:keepLines w:val="0"/>
              <w:widowControl/>
              <w:suppressLineNumbers w:val="0"/>
              <w:jc w:val="left"/>
              <w:textAlignment w:val="center"/>
              <w:rPr>
                <w:rFonts w:hint="eastAsia" w:ascii="宋体" w:hAnsi="宋体" w:cs="宋体"/>
                <w:color w:val="auto"/>
                <w:sz w:val="18"/>
                <w:szCs w:val="18"/>
                <w:highlight w:val="none"/>
              </w:rPr>
            </w:pPr>
            <w:r>
              <w:rPr>
                <w:rFonts w:hint="eastAsia" w:ascii="宋体" w:hAnsi="宋体" w:cs="宋体"/>
                <w:color w:val="auto"/>
                <w:sz w:val="18"/>
                <w:szCs w:val="18"/>
                <w:highlight w:val="none"/>
              </w:rPr>
              <w:t>2.通道尺寸：不低于500（宽）×300（高）毫米±50毫米；</w:t>
            </w:r>
          </w:p>
          <w:p w14:paraId="57C84B0C">
            <w:pPr>
              <w:keepNext w:val="0"/>
              <w:keepLines w:val="0"/>
              <w:widowControl/>
              <w:suppressLineNumbers w:val="0"/>
              <w:jc w:val="left"/>
              <w:textAlignment w:val="center"/>
              <w:rPr>
                <w:rFonts w:hint="eastAsia" w:ascii="宋体" w:hAnsi="宋体" w:cs="宋体"/>
                <w:color w:val="auto"/>
                <w:sz w:val="18"/>
                <w:szCs w:val="18"/>
                <w:highlight w:val="none"/>
              </w:rPr>
            </w:pPr>
            <w:r>
              <w:rPr>
                <w:rFonts w:hint="eastAsia" w:ascii="宋体" w:hAnsi="宋体" w:cs="宋体"/>
                <w:color w:val="auto"/>
                <w:sz w:val="18"/>
                <w:szCs w:val="18"/>
                <w:highlight w:val="none"/>
              </w:rPr>
              <w:t>3.</w:t>
            </w:r>
            <w:r>
              <w:rPr>
                <w:rFonts w:hint="eastAsia" w:ascii="宋体" w:hAnsi="宋体" w:eastAsia="宋体" w:cs="宋体"/>
                <w:i w:val="0"/>
                <w:iCs w:val="0"/>
                <w:color w:val="auto"/>
                <w:kern w:val="0"/>
                <w:sz w:val="18"/>
                <w:szCs w:val="18"/>
                <w:u w:val="none"/>
                <w:lang w:val="en-US" w:eastAsia="zh-CN" w:bidi="ar"/>
              </w:rPr>
              <w:t>▲</w:t>
            </w:r>
            <w:r>
              <w:rPr>
                <w:rFonts w:hint="eastAsia" w:ascii="宋体" w:hAnsi="宋体" w:cs="宋体"/>
                <w:color w:val="auto"/>
                <w:sz w:val="18"/>
                <w:szCs w:val="18"/>
                <w:highlight w:val="none"/>
              </w:rPr>
              <w:t>传送装置试验：（1）设备检查状态下的输送速度≥0.2m/s；（2）设备输送带正反向运转不应跑偏。正向连续运转10min内，横向位移≤5mm；（3）设备反向连续运转30s内，横向位移≤10mm；</w:t>
            </w:r>
          </w:p>
          <w:p w14:paraId="5127C2EE">
            <w:pPr>
              <w:keepNext w:val="0"/>
              <w:keepLines w:val="0"/>
              <w:widowControl/>
              <w:suppressLineNumbers w:val="0"/>
              <w:jc w:val="left"/>
              <w:textAlignment w:val="center"/>
              <w:rPr>
                <w:rFonts w:hint="eastAsia" w:ascii="宋体" w:hAnsi="宋体" w:cs="宋体"/>
                <w:color w:val="auto"/>
                <w:sz w:val="18"/>
                <w:szCs w:val="18"/>
                <w:highlight w:val="none"/>
              </w:rPr>
            </w:pPr>
            <w:r>
              <w:rPr>
                <w:rFonts w:hint="eastAsia" w:ascii="宋体" w:hAnsi="宋体" w:cs="宋体"/>
                <w:color w:val="auto"/>
                <w:sz w:val="18"/>
                <w:szCs w:val="18"/>
                <w:highlight w:val="none"/>
              </w:rPr>
              <w:t>4.最大负载：≥60kg；</w:t>
            </w:r>
          </w:p>
          <w:p w14:paraId="562B9460">
            <w:pPr>
              <w:keepNext w:val="0"/>
              <w:keepLines w:val="0"/>
              <w:widowControl/>
              <w:suppressLineNumbers w:val="0"/>
              <w:jc w:val="left"/>
              <w:textAlignment w:val="center"/>
              <w:rPr>
                <w:rFonts w:hint="eastAsia" w:ascii="宋体" w:hAnsi="宋体" w:cs="宋体"/>
                <w:color w:val="auto"/>
                <w:sz w:val="18"/>
                <w:szCs w:val="18"/>
                <w:highlight w:val="none"/>
              </w:rPr>
            </w:pPr>
            <w:r>
              <w:rPr>
                <w:rFonts w:hint="eastAsia" w:ascii="宋体" w:hAnsi="宋体" w:cs="宋体"/>
                <w:color w:val="auto"/>
                <w:sz w:val="18"/>
                <w:szCs w:val="18"/>
                <w:highlight w:val="none"/>
              </w:rPr>
              <w:t>5.X射线源数量：1；</w:t>
            </w:r>
          </w:p>
          <w:p w14:paraId="4DA64292">
            <w:pPr>
              <w:keepNext w:val="0"/>
              <w:keepLines w:val="0"/>
              <w:widowControl/>
              <w:suppressLineNumbers w:val="0"/>
              <w:jc w:val="left"/>
              <w:textAlignment w:val="center"/>
              <w:rPr>
                <w:rFonts w:hint="eastAsia" w:ascii="宋体" w:hAnsi="宋体" w:cs="宋体"/>
                <w:color w:val="auto"/>
                <w:sz w:val="18"/>
                <w:szCs w:val="18"/>
                <w:highlight w:val="none"/>
              </w:rPr>
            </w:pPr>
            <w:r>
              <w:rPr>
                <w:rFonts w:hint="eastAsia" w:ascii="宋体" w:hAnsi="宋体" w:cs="宋体"/>
                <w:color w:val="auto"/>
                <w:sz w:val="18"/>
                <w:szCs w:val="18"/>
                <w:highlight w:val="none"/>
              </w:rPr>
              <w:t>6.线分辨力：在0.2m/s下≤φ0.0787㎜（AWG40）；</w:t>
            </w:r>
          </w:p>
          <w:p w14:paraId="29D26569">
            <w:pPr>
              <w:keepNext w:val="0"/>
              <w:keepLines w:val="0"/>
              <w:widowControl/>
              <w:suppressLineNumbers w:val="0"/>
              <w:jc w:val="left"/>
              <w:textAlignment w:val="center"/>
              <w:rPr>
                <w:rFonts w:hint="eastAsia" w:ascii="宋体" w:hAnsi="宋体" w:cs="宋体"/>
                <w:color w:val="auto"/>
                <w:sz w:val="18"/>
                <w:szCs w:val="18"/>
                <w:highlight w:val="none"/>
              </w:rPr>
            </w:pPr>
            <w:r>
              <w:rPr>
                <w:rFonts w:hint="eastAsia" w:ascii="宋体" w:hAnsi="宋体" w:cs="宋体"/>
                <w:color w:val="auto"/>
                <w:sz w:val="18"/>
                <w:szCs w:val="18"/>
                <w:highlight w:val="none"/>
              </w:rPr>
              <w:t>7.</w:t>
            </w:r>
            <w:r>
              <w:rPr>
                <w:rFonts w:hint="eastAsia" w:ascii="宋体" w:hAnsi="宋体" w:eastAsia="宋体" w:cs="宋体"/>
                <w:i w:val="0"/>
                <w:iCs w:val="0"/>
                <w:color w:val="auto"/>
                <w:kern w:val="0"/>
                <w:sz w:val="18"/>
                <w:szCs w:val="18"/>
                <w:u w:val="none"/>
                <w:lang w:val="en-US" w:eastAsia="zh-CN" w:bidi="ar"/>
              </w:rPr>
              <w:t>▲</w:t>
            </w:r>
            <w:r>
              <w:rPr>
                <w:rFonts w:hint="eastAsia" w:ascii="宋体" w:hAnsi="宋体" w:cs="宋体"/>
                <w:color w:val="auto"/>
                <w:sz w:val="18"/>
                <w:szCs w:val="18"/>
                <w:highlight w:val="none"/>
              </w:rPr>
              <w:t>空间分辨力：在0.2m/s下≤0.8mm；</w:t>
            </w:r>
          </w:p>
          <w:p w14:paraId="49C3E93B">
            <w:pPr>
              <w:keepNext w:val="0"/>
              <w:keepLines w:val="0"/>
              <w:widowControl/>
              <w:suppressLineNumbers w:val="0"/>
              <w:jc w:val="left"/>
              <w:textAlignment w:val="center"/>
              <w:rPr>
                <w:rFonts w:hint="eastAsia" w:ascii="宋体" w:hAnsi="宋体" w:cs="宋体"/>
                <w:color w:val="auto"/>
                <w:sz w:val="18"/>
                <w:szCs w:val="18"/>
                <w:highlight w:val="none"/>
              </w:rPr>
            </w:pPr>
            <w:r>
              <w:rPr>
                <w:rFonts w:hint="eastAsia" w:ascii="宋体" w:hAnsi="宋体" w:cs="宋体"/>
                <w:color w:val="auto"/>
                <w:sz w:val="18"/>
                <w:szCs w:val="18"/>
                <w:highlight w:val="none"/>
              </w:rPr>
              <w:t>8.穿透分辨力：在0.2m/s下≤φ0.203㎜（AWG32）；</w:t>
            </w:r>
          </w:p>
          <w:p w14:paraId="30C36ED0">
            <w:pPr>
              <w:keepNext w:val="0"/>
              <w:keepLines w:val="0"/>
              <w:widowControl/>
              <w:suppressLineNumbers w:val="0"/>
              <w:jc w:val="left"/>
              <w:textAlignment w:val="center"/>
              <w:rPr>
                <w:rFonts w:hint="eastAsia" w:ascii="宋体" w:hAnsi="宋体" w:cs="宋体"/>
                <w:color w:val="auto"/>
                <w:sz w:val="18"/>
                <w:szCs w:val="18"/>
                <w:highlight w:val="none"/>
              </w:rPr>
            </w:pPr>
            <w:r>
              <w:rPr>
                <w:rFonts w:hint="eastAsia" w:ascii="宋体" w:hAnsi="宋体" w:cs="宋体"/>
                <w:color w:val="auto"/>
                <w:sz w:val="18"/>
                <w:szCs w:val="18"/>
                <w:highlight w:val="none"/>
              </w:rPr>
              <w:t>9.穿透力：在0.2m/s下穿透≥34㎜钢板；</w:t>
            </w:r>
          </w:p>
          <w:p w14:paraId="32376F06">
            <w:pPr>
              <w:keepNext w:val="0"/>
              <w:keepLines w:val="0"/>
              <w:widowControl/>
              <w:suppressLineNumbers w:val="0"/>
              <w:jc w:val="left"/>
              <w:textAlignment w:val="center"/>
              <w:rPr>
                <w:rFonts w:hint="eastAsia" w:ascii="宋体" w:hAnsi="宋体" w:cs="宋体"/>
                <w:color w:val="auto"/>
                <w:sz w:val="18"/>
                <w:szCs w:val="18"/>
                <w:highlight w:val="none"/>
              </w:rPr>
            </w:pPr>
            <w:r>
              <w:rPr>
                <w:rFonts w:hint="eastAsia" w:ascii="宋体" w:hAnsi="宋体" w:cs="宋体"/>
                <w:color w:val="auto"/>
                <w:sz w:val="18"/>
                <w:szCs w:val="18"/>
                <w:highlight w:val="none"/>
              </w:rPr>
              <w:t>10.单次检查剂量检验：单个X射线产生装置0.2m/s下≤2μGy；</w:t>
            </w:r>
          </w:p>
          <w:p w14:paraId="38EAF9B5">
            <w:pPr>
              <w:keepNext w:val="0"/>
              <w:keepLines w:val="0"/>
              <w:widowControl/>
              <w:suppressLineNumbers w:val="0"/>
              <w:jc w:val="left"/>
              <w:textAlignment w:val="center"/>
              <w:rPr>
                <w:rFonts w:ascii="宋体" w:hAnsi="宋体" w:cs="宋体"/>
                <w:color w:val="auto"/>
                <w:szCs w:val="21"/>
                <w:highlight w:val="none"/>
              </w:rPr>
            </w:pPr>
            <w:r>
              <w:rPr>
                <w:rFonts w:hint="eastAsia" w:ascii="宋体" w:hAnsi="宋体" w:cs="宋体"/>
                <w:color w:val="auto"/>
                <w:sz w:val="18"/>
                <w:szCs w:val="18"/>
                <w:highlight w:val="none"/>
              </w:rPr>
              <w:t>11.</w:t>
            </w:r>
            <w:r>
              <w:rPr>
                <w:rFonts w:hint="eastAsia" w:ascii="宋体" w:hAnsi="宋体" w:eastAsia="宋体" w:cs="宋体"/>
                <w:i w:val="0"/>
                <w:iCs w:val="0"/>
                <w:color w:val="auto"/>
                <w:kern w:val="0"/>
                <w:sz w:val="18"/>
                <w:szCs w:val="18"/>
                <w:u w:val="none"/>
                <w:lang w:val="en-US" w:eastAsia="zh-CN" w:bidi="ar"/>
              </w:rPr>
              <w:t>▲</w:t>
            </w:r>
            <w:r>
              <w:rPr>
                <w:rFonts w:hint="eastAsia" w:ascii="宋体" w:hAnsi="宋体" w:cs="宋体"/>
                <w:color w:val="auto"/>
                <w:sz w:val="18"/>
                <w:szCs w:val="18"/>
                <w:highlight w:val="none"/>
              </w:rPr>
              <w:t>泄露射线剂量率检验：（1）设备正常工作时，封闭式设备在距设备的任何可达表面0.1m处（包括设备的入口、出口处）周围剂量当量率在0.2m/s下＜0.05μSv/h；（2）工作人员位置的周围剂量当量率在0.2m/s下＜0.05µSv/h。</w:t>
            </w:r>
          </w:p>
        </w:tc>
        <w:tc>
          <w:tcPr>
            <w:tcW w:w="1418" w:type="dxa"/>
            <w:tcBorders>
              <w:top w:val="single" w:color="auto" w:sz="4" w:space="0"/>
              <w:left w:val="single" w:color="auto" w:sz="4" w:space="0"/>
              <w:bottom w:val="single" w:color="auto" w:sz="4" w:space="0"/>
              <w:right w:val="single" w:color="auto" w:sz="4" w:space="0"/>
            </w:tcBorders>
            <w:vAlign w:val="center"/>
          </w:tcPr>
          <w:p w14:paraId="6A2CAE94">
            <w:pPr>
              <w:keepNext w:val="0"/>
              <w:keepLines w:val="0"/>
              <w:widowControl/>
              <w:suppressLineNumbers w:val="0"/>
              <w:jc w:val="center"/>
              <w:textAlignment w:val="center"/>
              <w:rPr>
                <w:rFonts w:ascii="宋体" w:hAnsi="宋体" w:cs="宋体"/>
                <w:color w:val="auto"/>
                <w:sz w:val="21"/>
                <w:szCs w:val="21"/>
                <w:highlight w:val="none"/>
              </w:rPr>
            </w:pPr>
            <w:r>
              <w:rPr>
                <w:rFonts w:hint="eastAsia" w:ascii="宋体" w:hAnsi="宋体" w:eastAsia="宋体" w:cs="宋体"/>
                <w:i w:val="0"/>
                <w:iCs w:val="0"/>
                <w:color w:val="auto"/>
                <w:kern w:val="0"/>
                <w:sz w:val="20"/>
                <w:szCs w:val="20"/>
                <w:u w:val="none"/>
                <w:lang w:val="en-US" w:eastAsia="zh-CN" w:bidi="ar"/>
              </w:rPr>
              <w:t>3157</w:t>
            </w:r>
          </w:p>
        </w:tc>
      </w:tr>
      <w:tr w14:paraId="69E68637">
        <w:tblPrEx>
          <w:tblCellMar>
            <w:top w:w="0" w:type="dxa"/>
            <w:left w:w="108" w:type="dxa"/>
            <w:bottom w:w="0" w:type="dxa"/>
            <w:right w:w="108" w:type="dxa"/>
          </w:tblCellMar>
        </w:tblPrEx>
        <w:trPr>
          <w:trHeight w:val="540" w:hRule="atLeast"/>
          <w:jc w:val="center"/>
        </w:trPr>
        <w:tc>
          <w:tcPr>
            <w:tcW w:w="638" w:type="dxa"/>
            <w:tcBorders>
              <w:top w:val="single" w:color="auto" w:sz="4" w:space="0"/>
              <w:left w:val="single" w:color="auto" w:sz="4" w:space="0"/>
              <w:bottom w:val="single" w:color="auto" w:sz="4" w:space="0"/>
              <w:right w:val="single" w:color="auto" w:sz="4" w:space="0"/>
            </w:tcBorders>
            <w:vAlign w:val="center"/>
          </w:tcPr>
          <w:p w14:paraId="4D84DF79">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9</w:t>
            </w:r>
          </w:p>
        </w:tc>
        <w:tc>
          <w:tcPr>
            <w:tcW w:w="1305" w:type="dxa"/>
            <w:tcBorders>
              <w:top w:val="single" w:color="auto" w:sz="4" w:space="0"/>
              <w:left w:val="single" w:color="auto" w:sz="4" w:space="0"/>
              <w:bottom w:val="single" w:color="auto" w:sz="4" w:space="0"/>
              <w:right w:val="single" w:color="auto" w:sz="4" w:space="0"/>
            </w:tcBorders>
            <w:vAlign w:val="center"/>
          </w:tcPr>
          <w:p w14:paraId="41C427F0">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中型单视角X光机</w:t>
            </w:r>
          </w:p>
        </w:tc>
        <w:tc>
          <w:tcPr>
            <w:tcW w:w="660" w:type="dxa"/>
            <w:tcBorders>
              <w:top w:val="single" w:color="auto" w:sz="4" w:space="0"/>
              <w:left w:val="single" w:color="auto" w:sz="4" w:space="0"/>
              <w:bottom w:val="single" w:color="auto" w:sz="4" w:space="0"/>
              <w:right w:val="single" w:color="auto" w:sz="4" w:space="0"/>
            </w:tcBorders>
            <w:vAlign w:val="center"/>
          </w:tcPr>
          <w:p w14:paraId="065DDC63">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台</w:t>
            </w:r>
          </w:p>
        </w:tc>
        <w:tc>
          <w:tcPr>
            <w:tcW w:w="5377" w:type="dxa"/>
            <w:tcBorders>
              <w:top w:val="single" w:color="auto" w:sz="4" w:space="0"/>
              <w:left w:val="single" w:color="auto" w:sz="4" w:space="0"/>
              <w:bottom w:val="single" w:color="auto" w:sz="4" w:space="0"/>
              <w:right w:val="single" w:color="auto" w:sz="4" w:space="0"/>
            </w:tcBorders>
            <w:vAlign w:val="center"/>
          </w:tcPr>
          <w:p w14:paraId="16171789">
            <w:pPr>
              <w:keepNext w:val="0"/>
              <w:keepLines w:val="0"/>
              <w:widowControl/>
              <w:suppressLineNumbers w:val="0"/>
              <w:jc w:val="left"/>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1.▲设备须具备国家安全防范报警系统产品质量监督检验中心或公安部安全与警用电子产品质量检测中心出具的检验报告；</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2.通道尺寸：不低于600（宽）×500（高）毫米±50毫米；</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3.输送带带速：0.2m/s；</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4.最大负载：≥160kg；</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5.X射线源数量：1；</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6.线分辨力：底视角能分辨标称直径≤0.0787mm的单根实芯铜线；</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7.空间分辨力：底视角能分辨直径≤0.8mm的线对；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8.穿透分辨力：底视角能分辨直径≤0.16mm的单根实芯铜线；</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9.穿透力：底视角能穿透≥40mm厚钢板；</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10.单次检查剂量：≤5μGy；</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11.周围剂量当量率：≤1μSv/h（距设备任何可达表面10厘米处）、≤1μSv/h（工作人员位置）；</w:t>
            </w:r>
          </w:p>
        </w:tc>
        <w:tc>
          <w:tcPr>
            <w:tcW w:w="1418" w:type="dxa"/>
            <w:tcBorders>
              <w:top w:val="single" w:color="auto" w:sz="4" w:space="0"/>
              <w:left w:val="single" w:color="auto" w:sz="4" w:space="0"/>
              <w:bottom w:val="single" w:color="auto" w:sz="4" w:space="0"/>
              <w:right w:val="single" w:color="auto" w:sz="4" w:space="0"/>
            </w:tcBorders>
            <w:vAlign w:val="center"/>
          </w:tcPr>
          <w:p w14:paraId="38CE7626">
            <w:pPr>
              <w:keepNext w:val="0"/>
              <w:keepLines w:val="0"/>
              <w:widowControl/>
              <w:suppressLineNumbers w:val="0"/>
              <w:jc w:val="center"/>
              <w:textAlignment w:val="center"/>
              <w:rPr>
                <w:rFonts w:ascii="宋体" w:hAnsi="宋体" w:cs="宋体"/>
                <w:color w:val="auto"/>
                <w:sz w:val="21"/>
                <w:szCs w:val="21"/>
                <w:highlight w:val="none"/>
              </w:rPr>
            </w:pPr>
            <w:r>
              <w:rPr>
                <w:rFonts w:hint="eastAsia" w:ascii="宋体" w:hAnsi="宋体" w:eastAsia="宋体" w:cs="宋体"/>
                <w:i w:val="0"/>
                <w:iCs w:val="0"/>
                <w:color w:val="auto"/>
                <w:kern w:val="0"/>
                <w:sz w:val="20"/>
                <w:szCs w:val="20"/>
                <w:u w:val="none"/>
                <w:lang w:val="en-US" w:eastAsia="zh-CN" w:bidi="ar"/>
              </w:rPr>
              <w:t>3306</w:t>
            </w:r>
          </w:p>
        </w:tc>
      </w:tr>
      <w:tr w14:paraId="7CA7A449">
        <w:tblPrEx>
          <w:tblCellMar>
            <w:top w:w="0" w:type="dxa"/>
            <w:left w:w="108" w:type="dxa"/>
            <w:bottom w:w="0" w:type="dxa"/>
            <w:right w:w="108" w:type="dxa"/>
          </w:tblCellMar>
        </w:tblPrEx>
        <w:trPr>
          <w:trHeight w:val="540" w:hRule="atLeast"/>
          <w:jc w:val="center"/>
        </w:trPr>
        <w:tc>
          <w:tcPr>
            <w:tcW w:w="638" w:type="dxa"/>
            <w:tcBorders>
              <w:top w:val="single" w:color="auto" w:sz="4" w:space="0"/>
              <w:left w:val="single" w:color="auto" w:sz="4" w:space="0"/>
              <w:bottom w:val="single" w:color="auto" w:sz="4" w:space="0"/>
              <w:right w:val="single" w:color="auto" w:sz="4" w:space="0"/>
            </w:tcBorders>
            <w:vAlign w:val="center"/>
          </w:tcPr>
          <w:p w14:paraId="51DA64D2">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10</w:t>
            </w:r>
          </w:p>
        </w:tc>
        <w:tc>
          <w:tcPr>
            <w:tcW w:w="1305" w:type="dxa"/>
            <w:tcBorders>
              <w:top w:val="single" w:color="auto" w:sz="4" w:space="0"/>
              <w:left w:val="single" w:color="auto" w:sz="4" w:space="0"/>
              <w:bottom w:val="single" w:color="auto" w:sz="4" w:space="0"/>
              <w:right w:val="single" w:color="auto" w:sz="4" w:space="0"/>
            </w:tcBorders>
            <w:vAlign w:val="center"/>
          </w:tcPr>
          <w:p w14:paraId="28374E8F">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中型双视角X光机</w:t>
            </w:r>
          </w:p>
        </w:tc>
        <w:tc>
          <w:tcPr>
            <w:tcW w:w="660" w:type="dxa"/>
            <w:tcBorders>
              <w:top w:val="single" w:color="auto" w:sz="4" w:space="0"/>
              <w:left w:val="single" w:color="auto" w:sz="4" w:space="0"/>
              <w:bottom w:val="single" w:color="auto" w:sz="4" w:space="0"/>
              <w:right w:val="single" w:color="auto" w:sz="4" w:space="0"/>
            </w:tcBorders>
            <w:vAlign w:val="center"/>
          </w:tcPr>
          <w:p w14:paraId="548F0DB4">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台</w:t>
            </w:r>
          </w:p>
        </w:tc>
        <w:tc>
          <w:tcPr>
            <w:tcW w:w="5377" w:type="dxa"/>
            <w:tcBorders>
              <w:top w:val="single" w:color="auto" w:sz="4" w:space="0"/>
              <w:left w:val="single" w:color="auto" w:sz="4" w:space="0"/>
              <w:bottom w:val="single" w:color="auto" w:sz="4" w:space="0"/>
              <w:right w:val="single" w:color="auto" w:sz="4" w:space="0"/>
            </w:tcBorders>
            <w:vAlign w:val="center"/>
          </w:tcPr>
          <w:p w14:paraId="3811F4E9">
            <w:pPr>
              <w:keepNext w:val="0"/>
              <w:keepLines w:val="0"/>
              <w:widowControl/>
              <w:suppressLineNumbers w:val="0"/>
              <w:jc w:val="left"/>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1.▲设备须具备国家安全防范报警系统产品质量监督检验中心或公安部安全与警用电子产品质量检测中心出具的检验报告；</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2.通道尺寸：不低于600（宽）×500（高）毫米±50毫米；</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3.输送带带速：0.2m/s；</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4.最大负载：≥160kg；</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5.X射线源数量：2；</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6.X射线投照方向：垂直视角为底视角，水平视角为侧视角；</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7.线分辨力：底视角及侧视角均应能分辨标称直径≤0.0787mm的单根实芯铜线；</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8.空间分辨力：底视角及侧视角均应能分辨直径≤0.8mm的线对；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9.穿透分辨力：底视角及侧视角均应能分辨直径≤0.16mm的单根实芯铜线；</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10.穿透力：底视角及侧视角均应能穿透≥40mm厚钢板；</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11.单次检查剂量：≤5μGy；</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12.周围剂量当量率：≤1μSv/h（距设备任何可达表面10厘米处）、≤1μSv/h（工作人员位置）；</w:t>
            </w:r>
          </w:p>
        </w:tc>
        <w:tc>
          <w:tcPr>
            <w:tcW w:w="1418" w:type="dxa"/>
            <w:tcBorders>
              <w:top w:val="single" w:color="auto" w:sz="4" w:space="0"/>
              <w:left w:val="single" w:color="auto" w:sz="4" w:space="0"/>
              <w:bottom w:val="single" w:color="auto" w:sz="4" w:space="0"/>
              <w:right w:val="single" w:color="auto" w:sz="4" w:space="0"/>
            </w:tcBorders>
            <w:vAlign w:val="center"/>
          </w:tcPr>
          <w:p w14:paraId="4359F158">
            <w:pPr>
              <w:keepNext w:val="0"/>
              <w:keepLines w:val="0"/>
              <w:widowControl/>
              <w:suppressLineNumbers w:val="0"/>
              <w:jc w:val="center"/>
              <w:textAlignment w:val="center"/>
              <w:rPr>
                <w:rFonts w:ascii="宋体" w:hAnsi="宋体" w:cs="宋体"/>
                <w:color w:val="auto"/>
                <w:sz w:val="21"/>
                <w:szCs w:val="21"/>
                <w:highlight w:val="none"/>
              </w:rPr>
            </w:pPr>
            <w:r>
              <w:rPr>
                <w:rFonts w:hint="eastAsia" w:ascii="宋体" w:hAnsi="宋体" w:eastAsia="宋体" w:cs="宋体"/>
                <w:i w:val="0"/>
                <w:iCs w:val="0"/>
                <w:color w:val="auto"/>
                <w:kern w:val="0"/>
                <w:sz w:val="20"/>
                <w:szCs w:val="20"/>
                <w:u w:val="none"/>
                <w:lang w:val="en-US" w:eastAsia="zh-CN" w:bidi="ar"/>
              </w:rPr>
              <w:t>3900</w:t>
            </w:r>
          </w:p>
        </w:tc>
      </w:tr>
      <w:tr w14:paraId="1211D87B">
        <w:tblPrEx>
          <w:tblCellMar>
            <w:top w:w="0" w:type="dxa"/>
            <w:left w:w="108" w:type="dxa"/>
            <w:bottom w:w="0" w:type="dxa"/>
            <w:right w:w="108" w:type="dxa"/>
          </w:tblCellMar>
        </w:tblPrEx>
        <w:trPr>
          <w:trHeight w:val="540" w:hRule="atLeast"/>
          <w:jc w:val="center"/>
        </w:trPr>
        <w:tc>
          <w:tcPr>
            <w:tcW w:w="638" w:type="dxa"/>
            <w:tcBorders>
              <w:top w:val="single" w:color="auto" w:sz="4" w:space="0"/>
              <w:left w:val="single" w:color="auto" w:sz="4" w:space="0"/>
              <w:bottom w:val="single" w:color="auto" w:sz="4" w:space="0"/>
              <w:right w:val="single" w:color="auto" w:sz="4" w:space="0"/>
            </w:tcBorders>
            <w:vAlign w:val="center"/>
          </w:tcPr>
          <w:p w14:paraId="1037BEBD">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11</w:t>
            </w:r>
          </w:p>
        </w:tc>
        <w:tc>
          <w:tcPr>
            <w:tcW w:w="1305" w:type="dxa"/>
            <w:tcBorders>
              <w:top w:val="single" w:color="auto" w:sz="4" w:space="0"/>
              <w:left w:val="single" w:color="auto" w:sz="4" w:space="0"/>
              <w:bottom w:val="single" w:color="auto" w:sz="4" w:space="0"/>
              <w:right w:val="single" w:color="auto" w:sz="4" w:space="0"/>
            </w:tcBorders>
            <w:vAlign w:val="center"/>
          </w:tcPr>
          <w:p w14:paraId="33A1FD47">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大型双视角X光机</w:t>
            </w:r>
          </w:p>
        </w:tc>
        <w:tc>
          <w:tcPr>
            <w:tcW w:w="660" w:type="dxa"/>
            <w:tcBorders>
              <w:top w:val="single" w:color="auto" w:sz="4" w:space="0"/>
              <w:left w:val="single" w:color="auto" w:sz="4" w:space="0"/>
              <w:bottom w:val="single" w:color="auto" w:sz="4" w:space="0"/>
              <w:right w:val="single" w:color="auto" w:sz="4" w:space="0"/>
            </w:tcBorders>
            <w:vAlign w:val="center"/>
          </w:tcPr>
          <w:p w14:paraId="02B2EDBF">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台</w:t>
            </w:r>
          </w:p>
        </w:tc>
        <w:tc>
          <w:tcPr>
            <w:tcW w:w="5377" w:type="dxa"/>
            <w:tcBorders>
              <w:top w:val="single" w:color="auto" w:sz="4" w:space="0"/>
              <w:left w:val="single" w:color="auto" w:sz="4" w:space="0"/>
              <w:bottom w:val="single" w:color="auto" w:sz="4" w:space="0"/>
              <w:right w:val="single" w:color="auto" w:sz="4" w:space="0"/>
            </w:tcBorders>
            <w:vAlign w:val="center"/>
          </w:tcPr>
          <w:p w14:paraId="2C53CF33">
            <w:pPr>
              <w:keepNext w:val="0"/>
              <w:keepLines w:val="0"/>
              <w:widowControl/>
              <w:suppressLineNumbers w:val="0"/>
              <w:jc w:val="left"/>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1.▲设备须具备国家安全防范报警系统产品质量监督检验中心或公安部安全与警用电子产品质量检测中心出具的检验报告；</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2.通道尺寸：不低于1000（宽）×1000（高）毫米±50毫米；</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3.输送带带速：0.2m/s；</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4.最大负载：≥200kg；</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5.X射线源数量：2</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6.X射线投照方向：垂直视角为顶视角，水平视角为侧视角；</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7.线分辨力：顶视角及侧视角均应能分辨标称直径≤0.0787mm的单根实芯铜线；</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8.空间分辨力：顶视角及侧视角均应能分辨直径≤0.8mm的线对；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9.穿透分辨力：顶视角及侧视角均应能分辨直径≤0.160mm的单根实芯铜线；</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10.穿透力：顶视角及侧视角均应能穿透≥40mm厚钢板；</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11.单次检查剂量：≤5μGy；</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12.周围剂量当量率：≤1μSv/h（距设备任何可达表面10厘米处）、≤1μSv/h（工作人员位置）；</w:t>
            </w:r>
          </w:p>
        </w:tc>
        <w:tc>
          <w:tcPr>
            <w:tcW w:w="1418" w:type="dxa"/>
            <w:tcBorders>
              <w:top w:val="single" w:color="auto" w:sz="4" w:space="0"/>
              <w:left w:val="single" w:color="auto" w:sz="4" w:space="0"/>
              <w:bottom w:val="single" w:color="auto" w:sz="4" w:space="0"/>
              <w:right w:val="single" w:color="auto" w:sz="4" w:space="0"/>
            </w:tcBorders>
            <w:vAlign w:val="center"/>
          </w:tcPr>
          <w:p w14:paraId="2DB9BA9E">
            <w:pPr>
              <w:keepNext w:val="0"/>
              <w:keepLines w:val="0"/>
              <w:widowControl/>
              <w:suppressLineNumbers w:val="0"/>
              <w:jc w:val="center"/>
              <w:textAlignment w:val="center"/>
              <w:rPr>
                <w:rFonts w:ascii="宋体" w:hAnsi="宋体" w:cs="宋体"/>
                <w:color w:val="auto"/>
                <w:sz w:val="21"/>
                <w:szCs w:val="21"/>
                <w:highlight w:val="none"/>
              </w:rPr>
            </w:pPr>
            <w:r>
              <w:rPr>
                <w:rFonts w:hint="eastAsia" w:ascii="宋体" w:hAnsi="宋体" w:eastAsia="宋体" w:cs="宋体"/>
                <w:i w:val="0"/>
                <w:iCs w:val="0"/>
                <w:color w:val="auto"/>
                <w:kern w:val="0"/>
                <w:sz w:val="20"/>
                <w:szCs w:val="20"/>
                <w:u w:val="none"/>
                <w:lang w:val="en-US" w:eastAsia="zh-CN" w:bidi="ar"/>
              </w:rPr>
              <w:t>6500</w:t>
            </w:r>
          </w:p>
        </w:tc>
      </w:tr>
      <w:tr w14:paraId="2B99C6CF">
        <w:tblPrEx>
          <w:tblCellMar>
            <w:top w:w="0" w:type="dxa"/>
            <w:left w:w="108" w:type="dxa"/>
            <w:bottom w:w="0" w:type="dxa"/>
            <w:right w:w="108" w:type="dxa"/>
          </w:tblCellMar>
        </w:tblPrEx>
        <w:trPr>
          <w:trHeight w:val="540" w:hRule="atLeast"/>
          <w:jc w:val="center"/>
        </w:trPr>
        <w:tc>
          <w:tcPr>
            <w:tcW w:w="638" w:type="dxa"/>
            <w:tcBorders>
              <w:top w:val="single" w:color="auto" w:sz="4" w:space="0"/>
              <w:left w:val="single" w:color="auto" w:sz="4" w:space="0"/>
              <w:bottom w:val="single" w:color="auto" w:sz="4" w:space="0"/>
              <w:right w:val="single" w:color="auto" w:sz="4" w:space="0"/>
            </w:tcBorders>
            <w:vAlign w:val="center"/>
          </w:tcPr>
          <w:p w14:paraId="022FCD93">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12</w:t>
            </w:r>
          </w:p>
        </w:tc>
        <w:tc>
          <w:tcPr>
            <w:tcW w:w="1305" w:type="dxa"/>
            <w:tcBorders>
              <w:top w:val="single" w:color="auto" w:sz="4" w:space="0"/>
              <w:left w:val="single" w:color="auto" w:sz="4" w:space="0"/>
              <w:bottom w:val="single" w:color="auto" w:sz="4" w:space="0"/>
              <w:right w:val="single" w:color="auto" w:sz="4" w:space="0"/>
            </w:tcBorders>
            <w:vAlign w:val="center"/>
          </w:tcPr>
          <w:p w14:paraId="1BF5132F">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防爆围栏</w:t>
            </w:r>
          </w:p>
        </w:tc>
        <w:tc>
          <w:tcPr>
            <w:tcW w:w="660" w:type="dxa"/>
            <w:tcBorders>
              <w:top w:val="single" w:color="auto" w:sz="4" w:space="0"/>
              <w:left w:val="single" w:color="auto" w:sz="4" w:space="0"/>
              <w:bottom w:val="single" w:color="auto" w:sz="4" w:space="0"/>
              <w:right w:val="single" w:color="auto" w:sz="4" w:space="0"/>
            </w:tcBorders>
            <w:vAlign w:val="center"/>
          </w:tcPr>
          <w:p w14:paraId="2C693F9D">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米</w:t>
            </w:r>
          </w:p>
        </w:tc>
        <w:tc>
          <w:tcPr>
            <w:tcW w:w="5377" w:type="dxa"/>
            <w:tcBorders>
              <w:top w:val="single" w:color="auto" w:sz="4" w:space="0"/>
              <w:left w:val="single" w:color="auto" w:sz="4" w:space="0"/>
              <w:bottom w:val="single" w:color="auto" w:sz="4" w:space="0"/>
              <w:right w:val="single" w:color="auto" w:sz="4" w:space="0"/>
            </w:tcBorders>
            <w:vAlign w:val="center"/>
          </w:tcPr>
          <w:p w14:paraId="4F9D5E6A">
            <w:pPr>
              <w:keepNext w:val="0"/>
              <w:keepLines w:val="0"/>
              <w:widowControl/>
              <w:suppressLineNumbers w:val="0"/>
              <w:jc w:val="left"/>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1.硬隔离整体高度为1200mm，长度为2000mm。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2.采用冷拔低碳钢材，钢材材质为Q235及冲孔板组成经电阻焊焊接而成，表面热镀锌处理，热镀锌是一种有效的金属防腐方式，从而起到防腐的目的，然后整体做静电喷涂。</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3.应采用冷拔低碳钢材，钢材材质为Q235及冲孔板组成经电阻焊焊接而成，上端横梁圆钢管直径大于等于60mm，壁厚大于等于2mm，竖梁方钢长40 mm *宽40 mm，壁厚大于等于2mm，底梁方钢长40mm*宽60mm，壁厚大于等于2mm，斜支撑方钢长40mm*宽40mm，壁厚大于等于2mm，孔格栅厚度大于等于1mm，整体抗拉强度≥600Mpa；</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格栅允许尺寸偏差±5mm，格栅焊点抗剪力应不小于3000N，脱焊点数应不小于焊点总数的百分之一。防冲闯护栏焊接须采用自动数控专用焊接装备电阻焊焊制成，各焊接部位要求焊接圆润，无焊渣等缺陷，钢材不应有裂纹、斑痕，折叠及明显纵拉痕。</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5.格栅为整张，不允许孔板拼接。防冲闯护栏含上下三个横梁，斜撑四根，使孔板更加结实，牢固，孔板绷直，不易弯曲，底部配有轮子。</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6.防冲闯护栏表面不得有气泡、裂缝、结疤、折叠等缺陷。</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7.格栅与底座之间通过M8*80mm镀锌防盗螺栓连接，斜支撑和横梁通过螺栓连接。</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8.格栅与立柱及其他连接部位应有效防止从外部进行拆卸，并保证连接部位的牢固性。格栅上需安装刀刺，整体可以折叠。</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9.硬隔离整体应当具有较好的整体强度和抗冲击以及防攀越、防拆卸、防破坏、防一般民用车辆低于每小时40公里时速撞击。</w:t>
            </w:r>
          </w:p>
        </w:tc>
        <w:tc>
          <w:tcPr>
            <w:tcW w:w="1418" w:type="dxa"/>
            <w:tcBorders>
              <w:top w:val="single" w:color="auto" w:sz="4" w:space="0"/>
              <w:left w:val="single" w:color="auto" w:sz="4" w:space="0"/>
              <w:bottom w:val="single" w:color="auto" w:sz="4" w:space="0"/>
              <w:right w:val="single" w:color="auto" w:sz="4" w:space="0"/>
            </w:tcBorders>
            <w:vAlign w:val="center"/>
          </w:tcPr>
          <w:p w14:paraId="00B571F5">
            <w:pPr>
              <w:keepNext w:val="0"/>
              <w:keepLines w:val="0"/>
              <w:widowControl/>
              <w:suppressLineNumbers w:val="0"/>
              <w:jc w:val="center"/>
              <w:textAlignment w:val="center"/>
              <w:rPr>
                <w:rFonts w:ascii="宋体" w:hAnsi="宋体" w:cs="宋体"/>
                <w:color w:val="auto"/>
                <w:sz w:val="21"/>
                <w:szCs w:val="21"/>
                <w:highlight w:val="none"/>
              </w:rPr>
            </w:pPr>
            <w:r>
              <w:rPr>
                <w:rFonts w:hint="eastAsia" w:ascii="宋体" w:hAnsi="宋体" w:eastAsia="宋体" w:cs="宋体"/>
                <w:i w:val="0"/>
                <w:iCs w:val="0"/>
                <w:color w:val="auto"/>
                <w:kern w:val="0"/>
                <w:sz w:val="20"/>
                <w:szCs w:val="20"/>
                <w:u w:val="none"/>
                <w:lang w:val="en-US" w:eastAsia="zh-CN" w:bidi="ar"/>
              </w:rPr>
              <w:t xml:space="preserve">18.60 </w:t>
            </w:r>
          </w:p>
        </w:tc>
      </w:tr>
      <w:tr w14:paraId="44809B10">
        <w:tblPrEx>
          <w:tblCellMar>
            <w:top w:w="0" w:type="dxa"/>
            <w:left w:w="108" w:type="dxa"/>
            <w:bottom w:w="0" w:type="dxa"/>
            <w:right w:w="108" w:type="dxa"/>
          </w:tblCellMar>
        </w:tblPrEx>
        <w:trPr>
          <w:trHeight w:val="540" w:hRule="atLeast"/>
          <w:jc w:val="center"/>
        </w:trPr>
        <w:tc>
          <w:tcPr>
            <w:tcW w:w="638" w:type="dxa"/>
            <w:tcBorders>
              <w:top w:val="single" w:color="auto" w:sz="4" w:space="0"/>
              <w:left w:val="single" w:color="auto" w:sz="4" w:space="0"/>
              <w:bottom w:val="single" w:color="auto" w:sz="4" w:space="0"/>
              <w:right w:val="single" w:color="auto" w:sz="4" w:space="0"/>
            </w:tcBorders>
            <w:vAlign w:val="center"/>
          </w:tcPr>
          <w:p w14:paraId="15579EE2">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13</w:t>
            </w:r>
          </w:p>
        </w:tc>
        <w:tc>
          <w:tcPr>
            <w:tcW w:w="1305" w:type="dxa"/>
            <w:tcBorders>
              <w:top w:val="single" w:color="auto" w:sz="4" w:space="0"/>
              <w:left w:val="single" w:color="auto" w:sz="4" w:space="0"/>
              <w:bottom w:val="single" w:color="auto" w:sz="4" w:space="0"/>
              <w:right w:val="single" w:color="auto" w:sz="4" w:space="0"/>
            </w:tcBorders>
            <w:vAlign w:val="center"/>
          </w:tcPr>
          <w:p w14:paraId="3E7D7F7E">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2米围栏</w:t>
            </w:r>
          </w:p>
        </w:tc>
        <w:tc>
          <w:tcPr>
            <w:tcW w:w="660" w:type="dxa"/>
            <w:tcBorders>
              <w:top w:val="single" w:color="auto" w:sz="4" w:space="0"/>
              <w:left w:val="single" w:color="auto" w:sz="4" w:space="0"/>
              <w:bottom w:val="single" w:color="auto" w:sz="4" w:space="0"/>
              <w:right w:val="single" w:color="auto" w:sz="4" w:space="0"/>
            </w:tcBorders>
            <w:vAlign w:val="center"/>
          </w:tcPr>
          <w:p w14:paraId="1BA4963D">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米</w:t>
            </w:r>
          </w:p>
        </w:tc>
        <w:tc>
          <w:tcPr>
            <w:tcW w:w="5377" w:type="dxa"/>
            <w:tcBorders>
              <w:top w:val="single" w:color="auto" w:sz="4" w:space="0"/>
              <w:left w:val="single" w:color="auto" w:sz="4" w:space="0"/>
              <w:bottom w:val="single" w:color="auto" w:sz="4" w:space="0"/>
              <w:right w:val="single" w:color="auto" w:sz="4" w:space="0"/>
            </w:tcBorders>
            <w:vAlign w:val="center"/>
          </w:tcPr>
          <w:p w14:paraId="5ED24780">
            <w:pPr>
              <w:keepNext w:val="0"/>
              <w:keepLines w:val="0"/>
              <w:widowControl/>
              <w:suppressLineNumbers w:val="0"/>
              <w:jc w:val="left"/>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1.围栏高度为1.2m，宽度为2m。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2.围栏采用Q235钢管经电阻焊焊接而成，横纵向外边框钢管直径为32mm；塑前厚度2mm；内钢管的直径为12mm；塑前厚度1.5mm，内管12根，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原材料采用优质钢管焊接而成，整体热镀锌，上锌量达270g/㎡，再整体做浸塑处理；各焊接部位要求满焊，焊接圆滑，无焊渣、虚焊、气孔、脱焊等缺陷；整个硬隔离应平整，钢管无明显歪斜，钢管不得有裂纹、斑痕、折叠、竹节及明显的纵向拉痕。</w:t>
            </w:r>
          </w:p>
        </w:tc>
        <w:tc>
          <w:tcPr>
            <w:tcW w:w="1418" w:type="dxa"/>
            <w:tcBorders>
              <w:top w:val="single" w:color="auto" w:sz="4" w:space="0"/>
              <w:left w:val="single" w:color="auto" w:sz="4" w:space="0"/>
              <w:bottom w:val="single" w:color="auto" w:sz="4" w:space="0"/>
              <w:right w:val="single" w:color="auto" w:sz="4" w:space="0"/>
            </w:tcBorders>
            <w:vAlign w:val="center"/>
          </w:tcPr>
          <w:p w14:paraId="18FFFB0E">
            <w:pPr>
              <w:keepNext w:val="0"/>
              <w:keepLines w:val="0"/>
              <w:widowControl/>
              <w:suppressLineNumbers w:val="0"/>
              <w:jc w:val="center"/>
              <w:textAlignment w:val="center"/>
              <w:rPr>
                <w:rFonts w:ascii="宋体" w:hAnsi="宋体" w:cs="宋体"/>
                <w:color w:val="auto"/>
                <w:sz w:val="21"/>
                <w:szCs w:val="21"/>
                <w:highlight w:val="none"/>
              </w:rPr>
            </w:pPr>
            <w:r>
              <w:rPr>
                <w:rFonts w:hint="eastAsia" w:ascii="宋体" w:hAnsi="宋体" w:eastAsia="宋体" w:cs="宋体"/>
                <w:i w:val="0"/>
                <w:iCs w:val="0"/>
                <w:color w:val="auto"/>
                <w:kern w:val="0"/>
                <w:sz w:val="20"/>
                <w:szCs w:val="20"/>
                <w:u w:val="none"/>
                <w:lang w:val="en-US" w:eastAsia="zh-CN" w:bidi="ar"/>
              </w:rPr>
              <w:t xml:space="preserve">9.30 </w:t>
            </w:r>
          </w:p>
        </w:tc>
      </w:tr>
      <w:tr w14:paraId="17DF26F9">
        <w:tblPrEx>
          <w:tblCellMar>
            <w:top w:w="0" w:type="dxa"/>
            <w:left w:w="108" w:type="dxa"/>
            <w:bottom w:w="0" w:type="dxa"/>
            <w:right w:w="108" w:type="dxa"/>
          </w:tblCellMar>
        </w:tblPrEx>
        <w:trPr>
          <w:trHeight w:val="540" w:hRule="atLeast"/>
          <w:jc w:val="center"/>
        </w:trPr>
        <w:tc>
          <w:tcPr>
            <w:tcW w:w="638" w:type="dxa"/>
            <w:tcBorders>
              <w:top w:val="single" w:color="auto" w:sz="4" w:space="0"/>
              <w:left w:val="single" w:color="auto" w:sz="4" w:space="0"/>
              <w:bottom w:val="single" w:color="auto" w:sz="4" w:space="0"/>
              <w:right w:val="single" w:color="auto" w:sz="4" w:space="0"/>
            </w:tcBorders>
            <w:vAlign w:val="center"/>
          </w:tcPr>
          <w:p w14:paraId="6C4C4078">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14</w:t>
            </w:r>
          </w:p>
        </w:tc>
        <w:tc>
          <w:tcPr>
            <w:tcW w:w="1305" w:type="dxa"/>
            <w:tcBorders>
              <w:top w:val="single" w:color="auto" w:sz="4" w:space="0"/>
              <w:left w:val="single" w:color="auto" w:sz="4" w:space="0"/>
              <w:bottom w:val="single" w:color="auto" w:sz="4" w:space="0"/>
              <w:right w:val="single" w:color="auto" w:sz="4" w:space="0"/>
            </w:tcBorders>
            <w:vAlign w:val="center"/>
          </w:tcPr>
          <w:p w14:paraId="5C6EA87F">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车底检测系统</w:t>
            </w:r>
          </w:p>
        </w:tc>
        <w:tc>
          <w:tcPr>
            <w:tcW w:w="660" w:type="dxa"/>
            <w:tcBorders>
              <w:top w:val="single" w:color="auto" w:sz="4" w:space="0"/>
              <w:left w:val="single" w:color="auto" w:sz="4" w:space="0"/>
              <w:bottom w:val="single" w:color="auto" w:sz="4" w:space="0"/>
              <w:right w:val="single" w:color="auto" w:sz="4" w:space="0"/>
            </w:tcBorders>
            <w:vAlign w:val="center"/>
          </w:tcPr>
          <w:p w14:paraId="50F78864">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套</w:t>
            </w:r>
          </w:p>
        </w:tc>
        <w:tc>
          <w:tcPr>
            <w:tcW w:w="5377" w:type="dxa"/>
            <w:tcBorders>
              <w:top w:val="single" w:color="auto" w:sz="4" w:space="0"/>
              <w:left w:val="single" w:color="auto" w:sz="4" w:space="0"/>
              <w:bottom w:val="single" w:color="auto" w:sz="4" w:space="0"/>
              <w:right w:val="single" w:color="auto" w:sz="4" w:space="0"/>
            </w:tcBorders>
            <w:vAlign w:val="center"/>
          </w:tcPr>
          <w:p w14:paraId="59757535">
            <w:pPr>
              <w:keepNext w:val="0"/>
              <w:keepLines w:val="0"/>
              <w:widowControl/>
              <w:suppressLineNumbers w:val="0"/>
              <w:jc w:val="left"/>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1.设备须具备国家安全防范报警系统产品质量监督检验中心或公安部安全与警用电子产品质量检测中心出具的检验报告。</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2.车底成像安全检查系统（以下简称系统）应至少包括车底图像采集组件、感应照明控制组件、车牌图像/车辆外观图像采集组件和图像显示组件。</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3.应采用彩色CCD线阵扫描技术成像。</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4.当车辆以（1~80km/h）的速度通过扫描装置时，系统的车底图像采集组件应能自动扫描并显示清晰完整车底盘图像。</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5.系统全部组件的启动总时间应小于等于30s。</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6.车底图像分辨率:≥12000×7500，≥9000万，A级。</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7.成像像素：≥2048像素。</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8.系统可扫描车辆宽度应为1cm～400cm，可扫描车辆长度应大于等于30m。（须在检测报告中体现）</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9.系统可扫描车辆高度应为5cm～200cm。（须在检测报告中体现）</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10.扫描装置与设计安装地平面的垂直高差小于等于2.5cm。（须在检测报告中体现）</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11.系统扫描装置的外壳防护等级，应符合GB</w:t>
            </w:r>
            <w:r>
              <w:rPr>
                <w:rFonts w:hint="eastAsia" w:ascii="宋体" w:hAnsi="宋体" w:cs="宋体"/>
                <w:i w:val="0"/>
                <w:iCs w:val="0"/>
                <w:color w:val="auto"/>
                <w:kern w:val="0"/>
                <w:sz w:val="20"/>
                <w:szCs w:val="20"/>
                <w:u w:val="none"/>
                <w:lang w:val="en-US" w:eastAsia="zh-CN" w:bidi="ar"/>
              </w:rPr>
              <w:t>/T</w:t>
            </w:r>
            <w:r>
              <w:rPr>
                <w:rFonts w:hint="eastAsia" w:ascii="宋体" w:hAnsi="宋体" w:eastAsia="宋体" w:cs="宋体"/>
                <w:i w:val="0"/>
                <w:iCs w:val="0"/>
                <w:color w:val="auto"/>
                <w:kern w:val="0"/>
                <w:sz w:val="20"/>
                <w:szCs w:val="20"/>
                <w:u w:val="none"/>
                <w:lang w:val="en-US" w:eastAsia="zh-CN" w:bidi="ar"/>
              </w:rPr>
              <w:t xml:space="preserve"> 4208-20</w:t>
            </w:r>
            <w:r>
              <w:rPr>
                <w:rFonts w:hint="eastAsia" w:ascii="宋体" w:hAnsi="宋体" w:cs="宋体"/>
                <w:i w:val="0"/>
                <w:iCs w:val="0"/>
                <w:color w:val="auto"/>
                <w:kern w:val="0"/>
                <w:sz w:val="20"/>
                <w:szCs w:val="20"/>
                <w:u w:val="none"/>
                <w:lang w:val="en-US" w:eastAsia="zh-CN" w:bidi="ar"/>
              </w:rPr>
              <w:t>17</w:t>
            </w:r>
            <w:r>
              <w:rPr>
                <w:rFonts w:hint="eastAsia" w:ascii="宋体" w:hAnsi="宋体" w:eastAsia="宋体" w:cs="宋体"/>
                <w:i w:val="0"/>
                <w:iCs w:val="0"/>
                <w:color w:val="auto"/>
                <w:kern w:val="0"/>
                <w:sz w:val="20"/>
                <w:szCs w:val="20"/>
                <w:u w:val="none"/>
                <w:lang w:val="en-US" w:eastAsia="zh-CN" w:bidi="ar"/>
              </w:rPr>
              <w:t>中IP68（水下1m，持续60h）；系统补光灯、扫描相机的外壳防护等级，应符合GB</w:t>
            </w:r>
            <w:r>
              <w:rPr>
                <w:rFonts w:hint="eastAsia" w:ascii="宋体" w:hAnsi="宋体" w:cs="宋体"/>
                <w:i w:val="0"/>
                <w:iCs w:val="0"/>
                <w:color w:val="auto"/>
                <w:kern w:val="0"/>
                <w:sz w:val="20"/>
                <w:szCs w:val="20"/>
                <w:u w:val="none"/>
                <w:lang w:val="en-US" w:eastAsia="zh-CN" w:bidi="ar"/>
              </w:rPr>
              <w:t>/T</w:t>
            </w:r>
            <w:r>
              <w:rPr>
                <w:rFonts w:hint="eastAsia" w:ascii="宋体" w:hAnsi="宋体" w:eastAsia="宋体" w:cs="宋体"/>
                <w:i w:val="0"/>
                <w:iCs w:val="0"/>
                <w:color w:val="auto"/>
                <w:kern w:val="0"/>
                <w:sz w:val="20"/>
                <w:szCs w:val="20"/>
                <w:u w:val="none"/>
                <w:lang w:val="en-US" w:eastAsia="zh-CN" w:bidi="ar"/>
              </w:rPr>
              <w:t xml:space="preserve"> 4208-20</w:t>
            </w:r>
            <w:r>
              <w:rPr>
                <w:rFonts w:hint="eastAsia" w:ascii="宋体" w:hAnsi="宋体" w:cs="宋体"/>
                <w:i w:val="0"/>
                <w:iCs w:val="0"/>
                <w:color w:val="auto"/>
                <w:kern w:val="0"/>
                <w:sz w:val="20"/>
                <w:szCs w:val="20"/>
                <w:u w:val="none"/>
                <w:lang w:val="en-US" w:eastAsia="zh-CN" w:bidi="ar"/>
              </w:rPr>
              <w:t>17</w:t>
            </w:r>
            <w:r>
              <w:rPr>
                <w:rFonts w:hint="eastAsia" w:ascii="宋体" w:hAnsi="宋体" w:eastAsia="宋体" w:cs="宋体"/>
                <w:i w:val="0"/>
                <w:iCs w:val="0"/>
                <w:color w:val="auto"/>
                <w:kern w:val="0"/>
                <w:sz w:val="20"/>
                <w:szCs w:val="20"/>
                <w:u w:val="none"/>
                <w:lang w:val="en-US" w:eastAsia="zh-CN" w:bidi="ar"/>
              </w:rPr>
              <w:t>中IP68（水下1m，持续48h）。</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12.系统扫描装置应采用双层防水设计。（须在检测报告中体现）</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13.系统扫描装置外壳承重框架应采用蜂巢型设计，以分散压力和增加抗压能力，外壳材质采用30mm厚的304不锈钢板。整体应能承重50吨的车辆通过。（须在检测报告中体现）</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14.系统应配有空气干燥循环系统，以达到防起雾的目的。（须在检测报告中体现）</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15.系统应配有空气真空泵，温湿度传感器，可在配电箱内显示屏上显示温度、相对湿度、大气压等环境参数，且满足：当温度≥25℃时，显示屏应提示报警。空气真空泵应启动；当相对湿度≥35%时，显示屏应提示报警。空气真空泵应启动。</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16.根据车辆长度不同，系统应能自动选择长车或者普通两种图像显模式。</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17.系统应可设置黑名单、白名单；当检测到黑名单车辆车牌时，系统应能提示。</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18.当扫描到的车底盘图像颜色异于正常车底盘图像时，系统显示部分应出现辅助报警框。</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19.当车辆以非匀速、或暂停后再行驶通过扫描装置时，系统成像应完整清晰。</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20.系统应支持车辆双向通行扫描功能，正向或逆向行驶时均能扫描出车底图像。</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21.当同一车牌车辆第2次通过时，系统显示部分应自动弹出已存储的相同车牌号码的历史图像。</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22.系统应能自动存储生成的车底或车牌图像，并应能自动删除过期图片。以jpg格式存储时，存储容量应大于等于100万张。</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23.具备车牌识别功能，其车牌识别率应达到100%。</w:t>
            </w:r>
          </w:p>
        </w:tc>
        <w:tc>
          <w:tcPr>
            <w:tcW w:w="1418" w:type="dxa"/>
            <w:tcBorders>
              <w:top w:val="single" w:color="auto" w:sz="4" w:space="0"/>
              <w:left w:val="single" w:color="auto" w:sz="4" w:space="0"/>
              <w:bottom w:val="single" w:color="auto" w:sz="4" w:space="0"/>
              <w:right w:val="single" w:color="auto" w:sz="4" w:space="0"/>
            </w:tcBorders>
            <w:vAlign w:val="center"/>
          </w:tcPr>
          <w:p w14:paraId="32BE702B">
            <w:pPr>
              <w:keepNext w:val="0"/>
              <w:keepLines w:val="0"/>
              <w:widowControl/>
              <w:suppressLineNumbers w:val="0"/>
              <w:jc w:val="center"/>
              <w:textAlignment w:val="center"/>
              <w:rPr>
                <w:rFonts w:ascii="宋体" w:hAnsi="宋体" w:cs="宋体"/>
                <w:color w:val="auto"/>
                <w:sz w:val="21"/>
                <w:szCs w:val="21"/>
                <w:highlight w:val="none"/>
              </w:rPr>
            </w:pPr>
            <w:r>
              <w:rPr>
                <w:rFonts w:hint="eastAsia" w:ascii="宋体" w:hAnsi="宋体" w:eastAsia="宋体" w:cs="宋体"/>
                <w:i w:val="0"/>
                <w:iCs w:val="0"/>
                <w:color w:val="auto"/>
                <w:kern w:val="0"/>
                <w:sz w:val="20"/>
                <w:szCs w:val="20"/>
                <w:u w:val="none"/>
                <w:lang w:val="en-US" w:eastAsia="zh-CN" w:bidi="ar"/>
              </w:rPr>
              <w:t>2066</w:t>
            </w:r>
          </w:p>
        </w:tc>
      </w:tr>
      <w:tr w14:paraId="6FC29E4D">
        <w:tblPrEx>
          <w:tblCellMar>
            <w:top w:w="0" w:type="dxa"/>
            <w:left w:w="108" w:type="dxa"/>
            <w:bottom w:w="0" w:type="dxa"/>
            <w:right w:w="108" w:type="dxa"/>
          </w:tblCellMar>
        </w:tblPrEx>
        <w:trPr>
          <w:trHeight w:val="540" w:hRule="atLeast"/>
          <w:jc w:val="center"/>
        </w:trPr>
        <w:tc>
          <w:tcPr>
            <w:tcW w:w="638" w:type="dxa"/>
            <w:tcBorders>
              <w:top w:val="single" w:color="auto" w:sz="4" w:space="0"/>
              <w:left w:val="single" w:color="auto" w:sz="4" w:space="0"/>
              <w:bottom w:val="single" w:color="auto" w:sz="4" w:space="0"/>
              <w:right w:val="single" w:color="auto" w:sz="4" w:space="0"/>
            </w:tcBorders>
            <w:vAlign w:val="center"/>
          </w:tcPr>
          <w:p w14:paraId="3DAD3B86">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15</w:t>
            </w:r>
          </w:p>
        </w:tc>
        <w:tc>
          <w:tcPr>
            <w:tcW w:w="1305" w:type="dxa"/>
            <w:tcBorders>
              <w:top w:val="single" w:color="auto" w:sz="4" w:space="0"/>
              <w:left w:val="single" w:color="auto" w:sz="4" w:space="0"/>
              <w:bottom w:val="single" w:color="auto" w:sz="4" w:space="0"/>
              <w:right w:val="single" w:color="auto" w:sz="4" w:space="0"/>
            </w:tcBorders>
            <w:vAlign w:val="center"/>
          </w:tcPr>
          <w:p w14:paraId="2D6389C7">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柔性阻车系统</w:t>
            </w:r>
          </w:p>
        </w:tc>
        <w:tc>
          <w:tcPr>
            <w:tcW w:w="660" w:type="dxa"/>
            <w:tcBorders>
              <w:top w:val="single" w:color="auto" w:sz="4" w:space="0"/>
              <w:left w:val="single" w:color="auto" w:sz="4" w:space="0"/>
              <w:bottom w:val="single" w:color="auto" w:sz="4" w:space="0"/>
              <w:right w:val="single" w:color="auto" w:sz="4" w:space="0"/>
            </w:tcBorders>
            <w:vAlign w:val="center"/>
          </w:tcPr>
          <w:p w14:paraId="4A3B324B">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套</w:t>
            </w:r>
          </w:p>
        </w:tc>
        <w:tc>
          <w:tcPr>
            <w:tcW w:w="5377" w:type="dxa"/>
            <w:tcBorders>
              <w:top w:val="single" w:color="auto" w:sz="4" w:space="0"/>
              <w:left w:val="single" w:color="auto" w:sz="4" w:space="0"/>
              <w:bottom w:val="single" w:color="auto" w:sz="4" w:space="0"/>
              <w:right w:val="single" w:color="auto" w:sz="4" w:space="0"/>
            </w:tcBorders>
            <w:vAlign w:val="center"/>
          </w:tcPr>
          <w:p w14:paraId="03C040F5">
            <w:pPr>
              <w:keepNext w:val="0"/>
              <w:keepLines w:val="0"/>
              <w:widowControl/>
              <w:suppressLineNumbers w:val="0"/>
              <w:jc w:val="left"/>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1.拦截网尺寸约宽450cm×高100-150cm；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2.升网干数量不少于2根；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3.整体重量&lt;105kg；</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4.拦截带最大破断力&gt;7000kgf；</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5.底座与地面锚定力&gt;5000kgf；</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6.吸能器制动力&gt;1000kgf；</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7.起网机构≥165cm×10cm×10cm；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8.起网动力≥10Kgf；</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9.拦截网起升响应时间&lt;1.5s；</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10.拦截高度≥120cm；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11.系统供电电压：&lt;DC12v；</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12.无线遥控距离空旷地≥100M。</w:t>
            </w:r>
          </w:p>
        </w:tc>
        <w:tc>
          <w:tcPr>
            <w:tcW w:w="1418" w:type="dxa"/>
            <w:tcBorders>
              <w:top w:val="single" w:color="auto" w:sz="4" w:space="0"/>
              <w:left w:val="single" w:color="auto" w:sz="4" w:space="0"/>
              <w:bottom w:val="single" w:color="auto" w:sz="4" w:space="0"/>
              <w:right w:val="single" w:color="auto" w:sz="4" w:space="0"/>
            </w:tcBorders>
            <w:vAlign w:val="center"/>
          </w:tcPr>
          <w:p w14:paraId="4CDF7593">
            <w:pPr>
              <w:keepNext w:val="0"/>
              <w:keepLines w:val="0"/>
              <w:widowControl/>
              <w:suppressLineNumbers w:val="0"/>
              <w:jc w:val="center"/>
              <w:textAlignment w:val="center"/>
              <w:rPr>
                <w:rFonts w:ascii="宋体" w:hAnsi="宋体" w:cs="宋体"/>
                <w:color w:val="auto"/>
                <w:sz w:val="21"/>
                <w:szCs w:val="21"/>
                <w:highlight w:val="none"/>
              </w:rPr>
            </w:pPr>
            <w:r>
              <w:rPr>
                <w:rFonts w:hint="eastAsia" w:ascii="宋体" w:hAnsi="宋体" w:eastAsia="宋体" w:cs="宋体"/>
                <w:i w:val="0"/>
                <w:iCs w:val="0"/>
                <w:color w:val="auto"/>
                <w:kern w:val="0"/>
                <w:sz w:val="20"/>
                <w:szCs w:val="20"/>
                <w:u w:val="none"/>
                <w:lang w:val="en-US" w:eastAsia="zh-CN" w:bidi="ar"/>
              </w:rPr>
              <w:t>2786</w:t>
            </w:r>
          </w:p>
        </w:tc>
      </w:tr>
      <w:tr w14:paraId="506B74DD">
        <w:tblPrEx>
          <w:tblCellMar>
            <w:top w:w="0" w:type="dxa"/>
            <w:left w:w="108" w:type="dxa"/>
            <w:bottom w:w="0" w:type="dxa"/>
            <w:right w:w="108" w:type="dxa"/>
          </w:tblCellMar>
        </w:tblPrEx>
        <w:trPr>
          <w:trHeight w:val="540" w:hRule="atLeast"/>
          <w:jc w:val="center"/>
        </w:trPr>
        <w:tc>
          <w:tcPr>
            <w:tcW w:w="638" w:type="dxa"/>
            <w:tcBorders>
              <w:top w:val="single" w:color="auto" w:sz="4" w:space="0"/>
              <w:left w:val="single" w:color="auto" w:sz="4" w:space="0"/>
              <w:bottom w:val="single" w:color="auto" w:sz="4" w:space="0"/>
              <w:right w:val="single" w:color="auto" w:sz="4" w:space="0"/>
            </w:tcBorders>
            <w:vAlign w:val="center"/>
          </w:tcPr>
          <w:p w14:paraId="24530CA6">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16</w:t>
            </w:r>
          </w:p>
        </w:tc>
        <w:tc>
          <w:tcPr>
            <w:tcW w:w="1305" w:type="dxa"/>
            <w:tcBorders>
              <w:top w:val="single" w:color="auto" w:sz="4" w:space="0"/>
              <w:left w:val="single" w:color="auto" w:sz="4" w:space="0"/>
              <w:bottom w:val="single" w:color="auto" w:sz="4" w:space="0"/>
              <w:right w:val="single" w:color="auto" w:sz="4" w:space="0"/>
            </w:tcBorders>
            <w:vAlign w:val="center"/>
          </w:tcPr>
          <w:p w14:paraId="6F5020FC">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窨井潜望镜</w:t>
            </w:r>
          </w:p>
        </w:tc>
        <w:tc>
          <w:tcPr>
            <w:tcW w:w="660" w:type="dxa"/>
            <w:tcBorders>
              <w:top w:val="single" w:color="auto" w:sz="4" w:space="0"/>
              <w:left w:val="single" w:color="auto" w:sz="4" w:space="0"/>
              <w:bottom w:val="single" w:color="auto" w:sz="4" w:space="0"/>
              <w:right w:val="single" w:color="auto" w:sz="4" w:space="0"/>
            </w:tcBorders>
            <w:vAlign w:val="center"/>
          </w:tcPr>
          <w:p w14:paraId="36E681DA">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台</w:t>
            </w:r>
          </w:p>
        </w:tc>
        <w:tc>
          <w:tcPr>
            <w:tcW w:w="5377" w:type="dxa"/>
            <w:tcBorders>
              <w:top w:val="single" w:color="auto" w:sz="4" w:space="0"/>
              <w:left w:val="single" w:color="auto" w:sz="4" w:space="0"/>
              <w:bottom w:val="single" w:color="auto" w:sz="4" w:space="0"/>
              <w:right w:val="single" w:color="auto" w:sz="4" w:space="0"/>
            </w:tcBorders>
            <w:vAlign w:val="center"/>
          </w:tcPr>
          <w:p w14:paraId="40D1353B">
            <w:pPr>
              <w:keepNext w:val="0"/>
              <w:keepLines w:val="0"/>
              <w:widowControl/>
              <w:suppressLineNumbers w:val="0"/>
              <w:jc w:val="left"/>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1.尺寸≥150 * 150 * 350mm（不含探针），重量≤2.7kg；</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2.适用管径：DN150-3000；</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3.工作温度：-10℃~55℃；</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4.防护等级：Ip68，不低于10m防水，防尘；</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5.远光灯：≥10w*2颗高亮LED冷光灯；中灯：≥3w*2颗高亮LED冷光灯；近光灯：≥3w*2颗高亮LED冷光灯；</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6.摄像机芯：≥214万像素高清网络相机，≥1920*1080分辨率，≥36倍光学变倍，≥12倍数字变倍；</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7.图像变形：图象趋近无变形；</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8.俯仰控制：仰视≥20°，俯视≥90°；</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9.电源：单颗电池续航≥2h，标配≥4颗电池；</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10.无线通信数据传输：图像传输与数据传输采用定向wifi无线通信技术；</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11.伸缩杆：长度≥5m+3m延长杆（含防撞杆）；材料为高强度碳纤维；探针长度≥0.8m，具备减震缓冲弹性机构；</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12.激光测距：测量距离为1.5 - 100m；测量精度为±5mm；防护等级为Ip68；</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13.控制终端：平板电脑终端，储存容量≥32GB；</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14.平板终端控制软件：信息显示为实时显示内部环境、时间、俯仰角等信息，可显示与编辑缺陷图片；控制功能可以控制主机摄像头的俯仰动作，变倍变焦，远近灯光，控制激光测距，录像与抓拍功能等；</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15.手机终端控制软件：信息显示为实时显示内部环境、时间等信息；控制功能可以控制主机摄像头的俯仰动作，变倍变焦，远近灯光，录像与抓拍功能等；</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16.报告软件：具备视频回放功能、截取缺陷图片功能、对缺陷图片进行缺陷描述及自动生成检测报告功能。</w:t>
            </w:r>
          </w:p>
        </w:tc>
        <w:tc>
          <w:tcPr>
            <w:tcW w:w="1418" w:type="dxa"/>
            <w:tcBorders>
              <w:top w:val="single" w:color="auto" w:sz="4" w:space="0"/>
              <w:left w:val="single" w:color="auto" w:sz="4" w:space="0"/>
              <w:bottom w:val="single" w:color="auto" w:sz="4" w:space="0"/>
              <w:right w:val="single" w:color="auto" w:sz="4" w:space="0"/>
            </w:tcBorders>
            <w:vAlign w:val="center"/>
          </w:tcPr>
          <w:p w14:paraId="13F8DF8D">
            <w:pPr>
              <w:keepNext w:val="0"/>
              <w:keepLines w:val="0"/>
              <w:widowControl/>
              <w:suppressLineNumbers w:val="0"/>
              <w:jc w:val="center"/>
              <w:textAlignment w:val="center"/>
              <w:rPr>
                <w:rFonts w:ascii="宋体" w:hAnsi="宋体" w:cs="宋体"/>
                <w:color w:val="auto"/>
                <w:sz w:val="21"/>
                <w:szCs w:val="21"/>
                <w:highlight w:val="none"/>
              </w:rPr>
            </w:pPr>
            <w:r>
              <w:rPr>
                <w:rFonts w:hint="eastAsia" w:ascii="宋体" w:hAnsi="宋体" w:eastAsia="宋体" w:cs="宋体"/>
                <w:i w:val="0"/>
                <w:iCs w:val="0"/>
                <w:color w:val="auto"/>
                <w:kern w:val="0"/>
                <w:sz w:val="20"/>
                <w:szCs w:val="20"/>
                <w:u w:val="none"/>
                <w:lang w:val="en-US" w:eastAsia="zh-CN" w:bidi="ar"/>
              </w:rPr>
              <w:t>1040</w:t>
            </w:r>
          </w:p>
        </w:tc>
      </w:tr>
      <w:tr w14:paraId="13F332D8">
        <w:tblPrEx>
          <w:tblCellMar>
            <w:top w:w="0" w:type="dxa"/>
            <w:left w:w="108" w:type="dxa"/>
            <w:bottom w:w="0" w:type="dxa"/>
            <w:right w:w="108" w:type="dxa"/>
          </w:tblCellMar>
        </w:tblPrEx>
        <w:trPr>
          <w:trHeight w:val="540" w:hRule="atLeast"/>
          <w:jc w:val="center"/>
        </w:trPr>
        <w:tc>
          <w:tcPr>
            <w:tcW w:w="638" w:type="dxa"/>
            <w:tcBorders>
              <w:top w:val="single" w:color="auto" w:sz="4" w:space="0"/>
              <w:left w:val="single" w:color="auto" w:sz="4" w:space="0"/>
              <w:bottom w:val="single" w:color="auto" w:sz="4" w:space="0"/>
              <w:right w:val="single" w:color="auto" w:sz="4" w:space="0"/>
            </w:tcBorders>
            <w:vAlign w:val="center"/>
          </w:tcPr>
          <w:p w14:paraId="0ABA80EC">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17</w:t>
            </w:r>
          </w:p>
        </w:tc>
        <w:tc>
          <w:tcPr>
            <w:tcW w:w="1305" w:type="dxa"/>
            <w:tcBorders>
              <w:top w:val="single" w:color="auto" w:sz="4" w:space="0"/>
              <w:left w:val="single" w:color="auto" w:sz="4" w:space="0"/>
              <w:bottom w:val="single" w:color="auto" w:sz="4" w:space="0"/>
              <w:right w:val="single" w:color="auto" w:sz="4" w:space="0"/>
            </w:tcBorders>
            <w:vAlign w:val="center"/>
          </w:tcPr>
          <w:p w14:paraId="0E2533B4">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炸药探测器</w:t>
            </w:r>
          </w:p>
        </w:tc>
        <w:tc>
          <w:tcPr>
            <w:tcW w:w="660" w:type="dxa"/>
            <w:tcBorders>
              <w:top w:val="single" w:color="auto" w:sz="4" w:space="0"/>
              <w:left w:val="single" w:color="auto" w:sz="4" w:space="0"/>
              <w:bottom w:val="single" w:color="auto" w:sz="4" w:space="0"/>
              <w:right w:val="single" w:color="auto" w:sz="4" w:space="0"/>
            </w:tcBorders>
            <w:vAlign w:val="center"/>
          </w:tcPr>
          <w:p w14:paraId="74ABAD49">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台</w:t>
            </w:r>
          </w:p>
        </w:tc>
        <w:tc>
          <w:tcPr>
            <w:tcW w:w="5377" w:type="dxa"/>
            <w:tcBorders>
              <w:top w:val="single" w:color="auto" w:sz="4" w:space="0"/>
              <w:left w:val="single" w:color="auto" w:sz="4" w:space="0"/>
              <w:bottom w:val="single" w:color="auto" w:sz="4" w:space="0"/>
              <w:right w:val="single" w:color="auto" w:sz="4" w:space="0"/>
            </w:tcBorders>
            <w:vAlign w:val="center"/>
          </w:tcPr>
          <w:p w14:paraId="2D27E84B">
            <w:pPr>
              <w:keepNext w:val="0"/>
              <w:keepLines w:val="0"/>
              <w:widowControl/>
              <w:suppressLineNumbers w:val="0"/>
              <w:jc w:val="left"/>
              <w:textAlignment w:val="center"/>
              <w:rPr>
                <w:rFonts w:hint="eastAsia" w:ascii="宋体" w:hAnsi="宋体" w:eastAsia="宋体" w:cs="宋体"/>
                <w:color w:val="auto"/>
                <w:sz w:val="18"/>
                <w:szCs w:val="18"/>
                <w:highlight w:val="none"/>
                <w:lang w:eastAsia="zh-CN"/>
              </w:rPr>
            </w:pPr>
            <w:r>
              <w:rPr>
                <w:rFonts w:hint="eastAsia" w:ascii="宋体" w:hAnsi="宋体" w:cs="宋体"/>
                <w:color w:val="auto"/>
                <w:sz w:val="18"/>
                <w:szCs w:val="18"/>
                <w:highlight w:val="none"/>
              </w:rPr>
              <w:t>1.</w:t>
            </w:r>
            <w:r>
              <w:rPr>
                <w:rFonts w:hint="eastAsia" w:ascii="宋体" w:hAnsi="宋体" w:eastAsia="宋体" w:cs="宋体"/>
                <w:i w:val="0"/>
                <w:iCs w:val="0"/>
                <w:color w:val="auto"/>
                <w:kern w:val="0"/>
                <w:sz w:val="18"/>
                <w:szCs w:val="18"/>
                <w:u w:val="none"/>
                <w:lang w:val="en-US" w:eastAsia="zh-CN" w:bidi="ar"/>
              </w:rPr>
              <w:t>▲</w:t>
            </w:r>
            <w:r>
              <w:rPr>
                <w:rFonts w:hint="eastAsia" w:ascii="宋体" w:hAnsi="宋体" w:cs="宋体"/>
                <w:color w:val="auto"/>
                <w:sz w:val="18"/>
                <w:szCs w:val="18"/>
                <w:highlight w:val="none"/>
              </w:rPr>
              <w:t>提供检测报告：</w:t>
            </w:r>
            <w:r>
              <w:rPr>
                <w:rFonts w:hint="eastAsia" w:ascii="宋体" w:hAnsi="宋体" w:cs="宋体"/>
                <w:color w:val="auto"/>
                <w:sz w:val="18"/>
                <w:szCs w:val="18"/>
                <w:highlight w:val="none"/>
                <w:lang w:val="en-US" w:eastAsia="zh-CN"/>
              </w:rPr>
              <w:t>需</w:t>
            </w:r>
            <w:r>
              <w:rPr>
                <w:rFonts w:hint="eastAsia" w:ascii="宋体" w:hAnsi="宋体" w:eastAsia="宋体" w:cs="宋体"/>
                <w:i w:val="0"/>
                <w:iCs w:val="0"/>
                <w:color w:val="auto"/>
                <w:kern w:val="0"/>
                <w:sz w:val="20"/>
                <w:szCs w:val="20"/>
                <w:u w:val="none"/>
                <w:lang w:val="en-US" w:eastAsia="zh-CN" w:bidi="ar"/>
              </w:rPr>
              <w:t>提供</w:t>
            </w:r>
            <w:r>
              <w:rPr>
                <w:rFonts w:hint="default" w:ascii="宋体" w:hAnsi="宋体" w:cs="宋体"/>
                <w:i w:val="0"/>
                <w:iCs w:val="0"/>
                <w:color w:val="auto"/>
                <w:kern w:val="0"/>
                <w:sz w:val="20"/>
                <w:szCs w:val="20"/>
                <w:u w:val="none"/>
                <w:lang w:val="en-US" w:eastAsia="zh-CN" w:bidi="ar"/>
              </w:rPr>
              <w:t>公安</w:t>
            </w:r>
            <w:r>
              <w:rPr>
                <w:rFonts w:hint="eastAsia" w:ascii="宋体" w:hAnsi="宋体" w:cs="宋体"/>
                <w:i w:val="0"/>
                <w:iCs w:val="0"/>
                <w:color w:val="auto"/>
                <w:kern w:val="0"/>
                <w:sz w:val="20"/>
                <w:szCs w:val="20"/>
                <w:u w:val="none"/>
                <w:lang w:val="en-US" w:eastAsia="zh-CN" w:bidi="ar"/>
              </w:rPr>
              <w:t>部门</w:t>
            </w:r>
            <w:r>
              <w:rPr>
                <w:rFonts w:hint="default" w:ascii="宋体" w:hAnsi="宋体" w:eastAsia="宋体" w:cs="宋体"/>
                <w:i w:val="0"/>
                <w:iCs w:val="0"/>
                <w:color w:val="auto"/>
                <w:kern w:val="0"/>
                <w:sz w:val="20"/>
                <w:szCs w:val="20"/>
                <w:u w:val="none"/>
                <w:lang w:val="en-US" w:eastAsia="zh-CN" w:bidi="ar"/>
              </w:rPr>
              <w:t>检测机构出具的</w:t>
            </w:r>
            <w:r>
              <w:rPr>
                <w:rFonts w:hint="eastAsia" w:ascii="宋体" w:hAnsi="宋体" w:cs="宋体"/>
                <w:color w:val="auto"/>
                <w:sz w:val="18"/>
                <w:szCs w:val="18"/>
                <w:highlight w:val="none"/>
              </w:rPr>
              <w:t>检测报告复印件并加盖投标人公章</w:t>
            </w:r>
            <w:r>
              <w:rPr>
                <w:rFonts w:hint="eastAsia" w:ascii="宋体" w:hAnsi="宋体" w:cs="宋体"/>
                <w:color w:val="auto"/>
                <w:sz w:val="18"/>
                <w:szCs w:val="18"/>
                <w:highlight w:val="none"/>
                <w:lang w:eastAsia="zh-CN"/>
              </w:rPr>
              <w:t>；</w:t>
            </w:r>
          </w:p>
          <w:p w14:paraId="27AB57F1">
            <w:pPr>
              <w:keepNext w:val="0"/>
              <w:keepLines w:val="0"/>
              <w:widowControl/>
              <w:suppressLineNumbers w:val="0"/>
              <w:jc w:val="left"/>
              <w:textAlignment w:val="center"/>
              <w:rPr>
                <w:rFonts w:hint="eastAsia" w:ascii="宋体" w:hAnsi="宋体" w:cs="宋体"/>
                <w:color w:val="auto"/>
                <w:sz w:val="18"/>
                <w:szCs w:val="18"/>
                <w:highlight w:val="none"/>
              </w:rPr>
            </w:pPr>
            <w:r>
              <w:rPr>
                <w:rFonts w:hint="eastAsia" w:ascii="宋体" w:hAnsi="宋体" w:cs="宋体"/>
                <w:color w:val="auto"/>
                <w:sz w:val="18"/>
                <w:szCs w:val="18"/>
                <w:highlight w:val="none"/>
              </w:rPr>
              <w:t>2.设备应具备吸气采样和擦拭采样两种样品采集方式，空气采样收集受检对象内部挥发，擦拭采样收集表面残留的炸药成分进行检测，判定受检对象内部是否藏匿炸药或外表是否接触过炸药；</w:t>
            </w:r>
          </w:p>
          <w:p w14:paraId="60EA4B99">
            <w:pPr>
              <w:keepNext w:val="0"/>
              <w:keepLines w:val="0"/>
              <w:widowControl/>
              <w:suppressLineNumbers w:val="0"/>
              <w:jc w:val="left"/>
              <w:textAlignment w:val="center"/>
              <w:rPr>
                <w:rFonts w:hint="eastAsia" w:ascii="宋体" w:hAnsi="宋体" w:cs="宋体"/>
                <w:color w:val="auto"/>
                <w:sz w:val="18"/>
                <w:szCs w:val="18"/>
                <w:highlight w:val="none"/>
              </w:rPr>
            </w:pPr>
            <w:r>
              <w:rPr>
                <w:rFonts w:hint="eastAsia" w:ascii="宋体" w:hAnsi="宋体" w:cs="宋体"/>
                <w:color w:val="auto"/>
                <w:sz w:val="18"/>
                <w:szCs w:val="18"/>
                <w:highlight w:val="none"/>
              </w:rPr>
              <w:t>3.</w:t>
            </w:r>
            <w:r>
              <w:rPr>
                <w:rFonts w:hint="eastAsia" w:ascii="宋体" w:hAnsi="宋体" w:eastAsia="宋体" w:cs="宋体"/>
                <w:i w:val="0"/>
                <w:iCs w:val="0"/>
                <w:color w:val="auto"/>
                <w:kern w:val="0"/>
                <w:sz w:val="18"/>
                <w:szCs w:val="18"/>
                <w:u w:val="none"/>
                <w:lang w:val="en-US" w:eastAsia="zh-CN" w:bidi="ar"/>
              </w:rPr>
              <w:t>▲</w:t>
            </w:r>
            <w:r>
              <w:rPr>
                <w:rFonts w:hint="eastAsia" w:ascii="宋体" w:hAnsi="宋体" w:cs="宋体"/>
                <w:color w:val="auto"/>
                <w:sz w:val="18"/>
                <w:szCs w:val="18"/>
                <w:highlight w:val="none"/>
              </w:rPr>
              <w:t>设备应能够检测出绝大多数的炸药，在采样质量为纳克级或更优、探测率为100%的前提下，应能检测出以下炸药：1.</w:t>
            </w:r>
            <w:r>
              <w:rPr>
                <w:rFonts w:hint="eastAsia" w:ascii="宋体" w:hAnsi="宋体" w:cs="宋体"/>
                <w:color w:val="auto"/>
                <w:sz w:val="18"/>
                <w:szCs w:val="18"/>
                <w:highlight w:val="none"/>
                <w:lang w:eastAsia="zh-CN"/>
              </w:rPr>
              <w:t>三硝基甲苯</w:t>
            </w:r>
            <w:r>
              <w:rPr>
                <w:rFonts w:hint="eastAsia" w:ascii="宋体" w:hAnsi="宋体" w:cs="宋体"/>
                <w:color w:val="auto"/>
                <w:sz w:val="18"/>
                <w:szCs w:val="18"/>
                <w:highlight w:val="none"/>
              </w:rPr>
              <w:t>（TNT）  2.硝化甘油（NG） 3.黑火药（BP） 4.硝酸铵（AN）5.黑索金（RDX）6.太</w:t>
            </w:r>
            <w:r>
              <w:rPr>
                <w:rFonts w:hint="eastAsia" w:ascii="宋体" w:hAnsi="宋体" w:cs="宋体"/>
                <w:color w:val="auto"/>
                <w:sz w:val="18"/>
                <w:szCs w:val="18"/>
                <w:highlight w:val="none"/>
                <w:lang w:eastAsia="zh-CN"/>
              </w:rPr>
              <w:t>安</w:t>
            </w:r>
            <w:r>
              <w:rPr>
                <w:rFonts w:hint="eastAsia" w:ascii="宋体" w:hAnsi="宋体" w:cs="宋体"/>
                <w:color w:val="auto"/>
                <w:sz w:val="18"/>
                <w:szCs w:val="18"/>
                <w:highlight w:val="none"/>
              </w:rPr>
              <w:t>（PETN）7.二硝基甲苯（DNT）8.三丙酮三过氧化物（TATP）9.特屈儿（TETRYL）10.塑性炸药C4；</w:t>
            </w:r>
          </w:p>
          <w:p w14:paraId="4A897E9B">
            <w:pPr>
              <w:keepNext w:val="0"/>
              <w:keepLines w:val="0"/>
              <w:widowControl/>
              <w:suppressLineNumbers w:val="0"/>
              <w:jc w:val="left"/>
              <w:textAlignment w:val="center"/>
              <w:rPr>
                <w:rFonts w:hint="eastAsia" w:ascii="宋体" w:hAnsi="宋体" w:cs="宋体"/>
                <w:color w:val="auto"/>
                <w:sz w:val="18"/>
                <w:szCs w:val="18"/>
                <w:highlight w:val="none"/>
              </w:rPr>
            </w:pPr>
            <w:r>
              <w:rPr>
                <w:rFonts w:hint="eastAsia" w:ascii="宋体" w:hAnsi="宋体" w:cs="宋体"/>
                <w:color w:val="auto"/>
                <w:sz w:val="18"/>
                <w:szCs w:val="18"/>
                <w:highlight w:val="none"/>
              </w:rPr>
              <w:t>4.设备不含放射源；</w:t>
            </w:r>
          </w:p>
          <w:p w14:paraId="37BF182E">
            <w:pPr>
              <w:keepNext w:val="0"/>
              <w:keepLines w:val="0"/>
              <w:widowControl/>
              <w:suppressLineNumbers w:val="0"/>
              <w:jc w:val="left"/>
              <w:textAlignment w:val="center"/>
              <w:rPr>
                <w:rFonts w:hint="eastAsia" w:ascii="宋体" w:hAnsi="宋体" w:cs="宋体"/>
                <w:color w:val="auto"/>
                <w:sz w:val="18"/>
                <w:szCs w:val="18"/>
                <w:highlight w:val="none"/>
              </w:rPr>
            </w:pPr>
            <w:r>
              <w:rPr>
                <w:rFonts w:hint="eastAsia" w:ascii="宋体" w:hAnsi="宋体" w:cs="宋体"/>
                <w:color w:val="auto"/>
                <w:sz w:val="18"/>
                <w:szCs w:val="18"/>
                <w:highlight w:val="none"/>
              </w:rPr>
              <w:t>5.设备具有良好的外壳防护，防护等级符合GB</w:t>
            </w:r>
            <w:r>
              <w:rPr>
                <w:rFonts w:hint="eastAsia" w:ascii="宋体" w:hAnsi="宋体" w:cs="宋体"/>
                <w:color w:val="auto"/>
                <w:sz w:val="18"/>
                <w:szCs w:val="18"/>
                <w:highlight w:val="none"/>
                <w:lang w:val="en-US" w:eastAsia="zh-CN"/>
              </w:rPr>
              <w:t>/T</w:t>
            </w:r>
            <w:r>
              <w:rPr>
                <w:rFonts w:hint="eastAsia" w:ascii="宋体" w:hAnsi="宋体" w:cs="宋体"/>
                <w:color w:val="auto"/>
                <w:sz w:val="18"/>
                <w:szCs w:val="18"/>
                <w:highlight w:val="none"/>
              </w:rPr>
              <w:t>4208-20</w:t>
            </w:r>
            <w:r>
              <w:rPr>
                <w:rFonts w:hint="eastAsia" w:ascii="宋体" w:hAnsi="宋体" w:cs="宋体"/>
                <w:color w:val="auto"/>
                <w:sz w:val="18"/>
                <w:szCs w:val="18"/>
                <w:highlight w:val="none"/>
                <w:lang w:val="en-US" w:eastAsia="zh-CN"/>
              </w:rPr>
              <w:t>17</w:t>
            </w:r>
            <w:r>
              <w:rPr>
                <w:rFonts w:hint="eastAsia" w:ascii="宋体" w:hAnsi="宋体" w:cs="宋体"/>
                <w:color w:val="auto"/>
                <w:sz w:val="18"/>
                <w:szCs w:val="18"/>
                <w:highlight w:val="none"/>
              </w:rPr>
              <w:t>中IP50的要求；</w:t>
            </w:r>
          </w:p>
          <w:p w14:paraId="12FCC759">
            <w:pPr>
              <w:keepNext w:val="0"/>
              <w:keepLines w:val="0"/>
              <w:widowControl/>
              <w:suppressLineNumbers w:val="0"/>
              <w:jc w:val="left"/>
              <w:textAlignment w:val="center"/>
              <w:rPr>
                <w:rFonts w:hint="eastAsia" w:ascii="宋体" w:hAnsi="宋体" w:cs="宋体"/>
                <w:color w:val="auto"/>
                <w:sz w:val="18"/>
                <w:szCs w:val="18"/>
                <w:highlight w:val="none"/>
              </w:rPr>
            </w:pPr>
            <w:r>
              <w:rPr>
                <w:rFonts w:hint="eastAsia" w:ascii="宋体" w:hAnsi="宋体" w:cs="宋体"/>
                <w:color w:val="auto"/>
                <w:sz w:val="18"/>
                <w:szCs w:val="18"/>
                <w:highlight w:val="none"/>
              </w:rPr>
              <w:t>6.</w:t>
            </w:r>
            <w:r>
              <w:rPr>
                <w:rFonts w:hint="eastAsia" w:ascii="宋体" w:hAnsi="宋体" w:eastAsia="宋体" w:cs="宋体"/>
                <w:i w:val="0"/>
                <w:iCs w:val="0"/>
                <w:color w:val="auto"/>
                <w:kern w:val="0"/>
                <w:sz w:val="18"/>
                <w:szCs w:val="18"/>
                <w:u w:val="none"/>
                <w:lang w:val="en-US" w:eastAsia="zh-CN" w:bidi="ar"/>
              </w:rPr>
              <w:t>▲</w:t>
            </w:r>
            <w:r>
              <w:rPr>
                <w:rFonts w:hint="eastAsia" w:ascii="宋体" w:hAnsi="宋体" w:cs="宋体"/>
                <w:color w:val="auto"/>
                <w:sz w:val="18"/>
                <w:szCs w:val="18"/>
                <w:highlight w:val="none"/>
              </w:rPr>
              <w:t>设备启动时间：吸气模式≤10s，擦拭模式≤2min；</w:t>
            </w:r>
          </w:p>
          <w:p w14:paraId="2B4185C6">
            <w:pPr>
              <w:keepNext w:val="0"/>
              <w:keepLines w:val="0"/>
              <w:widowControl/>
              <w:suppressLineNumbers w:val="0"/>
              <w:jc w:val="left"/>
              <w:textAlignment w:val="center"/>
              <w:rPr>
                <w:rFonts w:hint="eastAsia" w:ascii="宋体" w:hAnsi="宋体" w:cs="宋体"/>
                <w:color w:val="auto"/>
                <w:sz w:val="18"/>
                <w:szCs w:val="18"/>
                <w:highlight w:val="none"/>
              </w:rPr>
            </w:pPr>
            <w:r>
              <w:rPr>
                <w:rFonts w:hint="eastAsia" w:ascii="宋体" w:hAnsi="宋体" w:cs="宋体"/>
                <w:color w:val="auto"/>
                <w:sz w:val="18"/>
                <w:szCs w:val="18"/>
                <w:highlight w:val="none"/>
              </w:rPr>
              <w:t>7.</w:t>
            </w:r>
            <w:r>
              <w:rPr>
                <w:rFonts w:hint="eastAsia" w:ascii="宋体" w:hAnsi="宋体" w:eastAsia="宋体" w:cs="宋体"/>
                <w:i w:val="0"/>
                <w:iCs w:val="0"/>
                <w:color w:val="auto"/>
                <w:kern w:val="0"/>
                <w:sz w:val="18"/>
                <w:szCs w:val="18"/>
                <w:u w:val="none"/>
                <w:lang w:val="en-US" w:eastAsia="zh-CN" w:bidi="ar"/>
              </w:rPr>
              <w:t>▲</w:t>
            </w:r>
            <w:r>
              <w:rPr>
                <w:rFonts w:hint="eastAsia" w:ascii="宋体" w:hAnsi="宋体" w:cs="宋体"/>
                <w:color w:val="auto"/>
                <w:sz w:val="18"/>
                <w:szCs w:val="18"/>
                <w:highlight w:val="none"/>
              </w:rPr>
              <w:t>误报警率：对空白采样载体或洁净空气样品进行采样分析，仪器的误报警率应≤1%；</w:t>
            </w:r>
          </w:p>
          <w:p w14:paraId="63E7A1F1">
            <w:pPr>
              <w:keepNext w:val="0"/>
              <w:keepLines w:val="0"/>
              <w:widowControl/>
              <w:suppressLineNumbers w:val="0"/>
              <w:jc w:val="left"/>
              <w:textAlignment w:val="center"/>
              <w:rPr>
                <w:rFonts w:hint="eastAsia" w:ascii="宋体" w:hAnsi="宋体" w:cs="宋体"/>
                <w:color w:val="auto"/>
                <w:sz w:val="18"/>
                <w:szCs w:val="18"/>
                <w:highlight w:val="none"/>
              </w:rPr>
            </w:pPr>
            <w:r>
              <w:rPr>
                <w:rFonts w:hint="eastAsia" w:ascii="宋体" w:hAnsi="宋体" w:cs="宋体"/>
                <w:color w:val="auto"/>
                <w:sz w:val="18"/>
                <w:szCs w:val="18"/>
                <w:highlight w:val="none"/>
              </w:rPr>
              <w:t>8.</w:t>
            </w:r>
            <w:r>
              <w:rPr>
                <w:rFonts w:hint="eastAsia" w:ascii="宋体" w:hAnsi="宋体" w:eastAsia="宋体" w:cs="宋体"/>
                <w:i w:val="0"/>
                <w:iCs w:val="0"/>
                <w:color w:val="auto"/>
                <w:kern w:val="0"/>
                <w:sz w:val="18"/>
                <w:szCs w:val="18"/>
                <w:u w:val="none"/>
                <w:lang w:val="en-US" w:eastAsia="zh-CN" w:bidi="ar"/>
              </w:rPr>
              <w:t>▲</w:t>
            </w:r>
            <w:r>
              <w:rPr>
                <w:rFonts w:hint="eastAsia" w:ascii="宋体" w:hAnsi="宋体" w:cs="宋体"/>
                <w:color w:val="auto"/>
                <w:sz w:val="18"/>
                <w:szCs w:val="18"/>
                <w:highlight w:val="none"/>
              </w:rPr>
              <w:t>设备报警响应时间≤6秒；</w:t>
            </w:r>
          </w:p>
          <w:p w14:paraId="526863FA">
            <w:pPr>
              <w:keepNext w:val="0"/>
              <w:keepLines w:val="0"/>
              <w:widowControl/>
              <w:suppressLineNumbers w:val="0"/>
              <w:jc w:val="left"/>
              <w:textAlignment w:val="center"/>
              <w:rPr>
                <w:rFonts w:hint="eastAsia" w:ascii="宋体" w:hAnsi="宋体" w:cs="宋体"/>
                <w:color w:val="auto"/>
                <w:sz w:val="18"/>
                <w:szCs w:val="18"/>
                <w:highlight w:val="none"/>
              </w:rPr>
            </w:pPr>
            <w:r>
              <w:rPr>
                <w:rFonts w:hint="eastAsia" w:ascii="宋体" w:hAnsi="宋体" w:cs="宋体"/>
                <w:color w:val="auto"/>
                <w:sz w:val="18"/>
                <w:szCs w:val="18"/>
                <w:highlight w:val="none"/>
              </w:rPr>
              <w:t>9.</w:t>
            </w:r>
            <w:r>
              <w:rPr>
                <w:rFonts w:hint="eastAsia" w:ascii="宋体" w:hAnsi="宋体" w:eastAsia="宋体" w:cs="宋体"/>
                <w:i w:val="0"/>
                <w:iCs w:val="0"/>
                <w:color w:val="auto"/>
                <w:kern w:val="0"/>
                <w:sz w:val="18"/>
                <w:szCs w:val="18"/>
                <w:u w:val="none"/>
                <w:lang w:val="en-US" w:eastAsia="zh-CN" w:bidi="ar"/>
              </w:rPr>
              <w:t>▲</w:t>
            </w:r>
            <w:r>
              <w:rPr>
                <w:rFonts w:hint="eastAsia" w:ascii="宋体" w:hAnsi="宋体" w:cs="宋体"/>
                <w:color w:val="auto"/>
                <w:sz w:val="18"/>
                <w:szCs w:val="18"/>
                <w:highlight w:val="none"/>
              </w:rPr>
              <w:t>设备报警后恢复时间≤10秒；</w:t>
            </w:r>
          </w:p>
          <w:p w14:paraId="116AB94D">
            <w:pPr>
              <w:keepNext w:val="0"/>
              <w:keepLines w:val="0"/>
              <w:widowControl/>
              <w:suppressLineNumbers w:val="0"/>
              <w:jc w:val="left"/>
              <w:textAlignment w:val="center"/>
              <w:rPr>
                <w:rFonts w:hint="eastAsia" w:ascii="宋体" w:hAnsi="宋体" w:cs="宋体"/>
                <w:color w:val="auto"/>
                <w:sz w:val="18"/>
                <w:szCs w:val="18"/>
                <w:highlight w:val="none"/>
              </w:rPr>
            </w:pPr>
            <w:r>
              <w:rPr>
                <w:rFonts w:hint="eastAsia" w:ascii="宋体" w:hAnsi="宋体" w:cs="宋体"/>
                <w:color w:val="auto"/>
                <w:sz w:val="18"/>
                <w:szCs w:val="18"/>
                <w:highlight w:val="none"/>
              </w:rPr>
              <w:t>10.设备能够提供炸药检测结果存储及查询功能，存储量≥</w:t>
            </w:r>
            <w:r>
              <w:rPr>
                <w:rFonts w:hint="eastAsia" w:ascii="宋体" w:hAnsi="宋体" w:cs="宋体"/>
                <w:color w:val="auto"/>
                <w:sz w:val="18"/>
                <w:szCs w:val="18"/>
                <w:highlight w:val="none"/>
                <w:lang w:val="en-US" w:eastAsia="zh-CN"/>
              </w:rPr>
              <w:t>10</w:t>
            </w:r>
            <w:r>
              <w:rPr>
                <w:rFonts w:hint="eastAsia" w:ascii="宋体" w:hAnsi="宋体" w:cs="宋体"/>
                <w:color w:val="auto"/>
                <w:sz w:val="18"/>
                <w:szCs w:val="18"/>
                <w:highlight w:val="none"/>
              </w:rPr>
              <w:t>万条；</w:t>
            </w:r>
          </w:p>
          <w:p w14:paraId="1ED1E96B">
            <w:pPr>
              <w:keepNext w:val="0"/>
              <w:keepLines w:val="0"/>
              <w:widowControl/>
              <w:suppressLineNumbers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rPr>
              <w:t>11.设备主机重量（包含电池）≤1.</w:t>
            </w:r>
            <w:r>
              <w:rPr>
                <w:rFonts w:hint="eastAsia" w:ascii="宋体" w:hAnsi="宋体" w:cs="宋体"/>
                <w:color w:val="auto"/>
                <w:sz w:val="18"/>
                <w:szCs w:val="18"/>
                <w:highlight w:val="none"/>
                <w:lang w:val="en-US" w:eastAsia="zh-CN"/>
              </w:rPr>
              <w:t>5</w:t>
            </w:r>
            <w:r>
              <w:rPr>
                <w:rFonts w:hint="eastAsia" w:ascii="宋体" w:hAnsi="宋体" w:cs="宋体"/>
                <w:color w:val="auto"/>
                <w:sz w:val="18"/>
                <w:szCs w:val="18"/>
                <w:highlight w:val="none"/>
              </w:rPr>
              <w:t>kg；</w:t>
            </w:r>
          </w:p>
        </w:tc>
        <w:tc>
          <w:tcPr>
            <w:tcW w:w="1418" w:type="dxa"/>
            <w:tcBorders>
              <w:top w:val="single" w:color="auto" w:sz="4" w:space="0"/>
              <w:left w:val="single" w:color="auto" w:sz="4" w:space="0"/>
              <w:bottom w:val="single" w:color="auto" w:sz="4" w:space="0"/>
              <w:right w:val="single" w:color="auto" w:sz="4" w:space="0"/>
            </w:tcBorders>
            <w:vAlign w:val="center"/>
          </w:tcPr>
          <w:p w14:paraId="018651A3">
            <w:pPr>
              <w:keepNext w:val="0"/>
              <w:keepLines w:val="0"/>
              <w:widowControl/>
              <w:suppressLineNumbers w:val="0"/>
              <w:jc w:val="center"/>
              <w:textAlignment w:val="center"/>
              <w:rPr>
                <w:rFonts w:ascii="宋体" w:hAnsi="宋体" w:cs="宋体"/>
                <w:color w:val="auto"/>
                <w:sz w:val="21"/>
                <w:szCs w:val="21"/>
                <w:highlight w:val="none"/>
              </w:rPr>
            </w:pPr>
            <w:r>
              <w:rPr>
                <w:rFonts w:hint="eastAsia" w:ascii="宋体" w:hAnsi="宋体" w:eastAsia="宋体" w:cs="宋体"/>
                <w:i w:val="0"/>
                <w:iCs w:val="0"/>
                <w:color w:val="auto"/>
                <w:kern w:val="0"/>
                <w:sz w:val="20"/>
                <w:szCs w:val="20"/>
                <w:u w:val="none"/>
                <w:lang w:val="en-US" w:eastAsia="zh-CN" w:bidi="ar"/>
              </w:rPr>
              <w:t>1857</w:t>
            </w:r>
          </w:p>
        </w:tc>
      </w:tr>
      <w:tr w14:paraId="0BDA8BF5">
        <w:tblPrEx>
          <w:tblCellMar>
            <w:top w:w="0" w:type="dxa"/>
            <w:left w:w="108" w:type="dxa"/>
            <w:bottom w:w="0" w:type="dxa"/>
            <w:right w:w="108" w:type="dxa"/>
          </w:tblCellMar>
        </w:tblPrEx>
        <w:trPr>
          <w:trHeight w:val="540" w:hRule="atLeast"/>
          <w:jc w:val="center"/>
        </w:trPr>
        <w:tc>
          <w:tcPr>
            <w:tcW w:w="638" w:type="dxa"/>
            <w:tcBorders>
              <w:top w:val="single" w:color="auto" w:sz="4" w:space="0"/>
              <w:left w:val="single" w:color="auto" w:sz="4" w:space="0"/>
              <w:bottom w:val="single" w:color="auto" w:sz="4" w:space="0"/>
              <w:right w:val="single" w:color="auto" w:sz="4" w:space="0"/>
            </w:tcBorders>
            <w:vAlign w:val="center"/>
          </w:tcPr>
          <w:p w14:paraId="37BBA819">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18</w:t>
            </w:r>
          </w:p>
        </w:tc>
        <w:tc>
          <w:tcPr>
            <w:tcW w:w="1305" w:type="dxa"/>
            <w:tcBorders>
              <w:top w:val="single" w:color="auto" w:sz="4" w:space="0"/>
              <w:left w:val="single" w:color="auto" w:sz="4" w:space="0"/>
              <w:bottom w:val="single" w:color="auto" w:sz="4" w:space="0"/>
              <w:right w:val="single" w:color="auto" w:sz="4" w:space="0"/>
            </w:tcBorders>
            <w:vAlign w:val="center"/>
          </w:tcPr>
          <w:p w14:paraId="058C8654">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液体检查仪</w:t>
            </w:r>
          </w:p>
        </w:tc>
        <w:tc>
          <w:tcPr>
            <w:tcW w:w="660" w:type="dxa"/>
            <w:tcBorders>
              <w:top w:val="single" w:color="auto" w:sz="4" w:space="0"/>
              <w:left w:val="single" w:color="auto" w:sz="4" w:space="0"/>
              <w:bottom w:val="single" w:color="auto" w:sz="4" w:space="0"/>
              <w:right w:val="single" w:color="auto" w:sz="4" w:space="0"/>
            </w:tcBorders>
            <w:vAlign w:val="center"/>
          </w:tcPr>
          <w:p w14:paraId="03B3E8F3">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台</w:t>
            </w:r>
          </w:p>
        </w:tc>
        <w:tc>
          <w:tcPr>
            <w:tcW w:w="5377" w:type="dxa"/>
            <w:tcBorders>
              <w:top w:val="single" w:color="auto" w:sz="4" w:space="0"/>
              <w:left w:val="single" w:color="auto" w:sz="4" w:space="0"/>
              <w:bottom w:val="single" w:color="auto" w:sz="4" w:space="0"/>
              <w:right w:val="single" w:color="auto" w:sz="4" w:space="0"/>
            </w:tcBorders>
            <w:vAlign w:val="center"/>
          </w:tcPr>
          <w:p w14:paraId="133ACC75">
            <w:pPr>
              <w:keepNext w:val="0"/>
              <w:keepLines w:val="0"/>
              <w:widowControl/>
              <w:suppressLineNumbers w:val="0"/>
              <w:jc w:val="left"/>
              <w:textAlignment w:val="center"/>
              <w:rPr>
                <w:rFonts w:hint="eastAsia" w:ascii="宋体" w:hAnsi="宋体" w:cs="宋体"/>
                <w:color w:val="auto"/>
                <w:sz w:val="18"/>
                <w:szCs w:val="18"/>
                <w:highlight w:val="none"/>
              </w:rPr>
            </w:pPr>
            <w:r>
              <w:rPr>
                <w:rFonts w:hint="eastAsia" w:ascii="宋体" w:hAnsi="宋体" w:cs="宋体"/>
                <w:color w:val="auto"/>
                <w:sz w:val="18"/>
                <w:szCs w:val="18"/>
                <w:highlight w:val="none"/>
              </w:rPr>
              <w:t>1.</w:t>
            </w:r>
            <w:r>
              <w:rPr>
                <w:rFonts w:hint="eastAsia" w:ascii="宋体" w:hAnsi="宋体" w:eastAsia="宋体" w:cs="宋体"/>
                <w:i w:val="0"/>
                <w:iCs w:val="0"/>
                <w:color w:val="auto"/>
                <w:kern w:val="0"/>
                <w:sz w:val="18"/>
                <w:szCs w:val="18"/>
                <w:u w:val="none"/>
                <w:lang w:val="en-US" w:eastAsia="zh-CN" w:bidi="ar"/>
              </w:rPr>
              <w:t>▲</w:t>
            </w:r>
            <w:r>
              <w:rPr>
                <w:rFonts w:hint="eastAsia" w:ascii="宋体" w:hAnsi="宋体" w:cs="宋体"/>
                <w:color w:val="auto"/>
                <w:sz w:val="18"/>
                <w:szCs w:val="18"/>
                <w:highlight w:val="none"/>
              </w:rPr>
              <w:t>能够检测易燃易爆液体、易制毒化学品、液态危险品、农药类有毒液体，包括但不限于：汽油、煤油、柴油、硫酸、盐酸、硝酸、香蕉水、松节油、正戊烷、40%乙醛、油酸、30%环氧水、乙醚、异丙醚、石油醚、70%乙醇、二硫化碳、甲醇、硝基甲烷、70%异丙醇、油漆稀料、乙醛、乙二醇、硝基苯、环氧丙烷、正庚烷、松香水、丙酮、苯、甲苯、二甲苯、二氯乙烷、乙醇、异丙醇、三氯甲烷、四氢呋喃、油漆、正己烷、乙酸、正辛烷、甲基环己烷、溴代异丙烷、二甲氧基甲烷、乙烯基乙醚 、2-过氧化丁酮、乳酸；</w:t>
            </w:r>
          </w:p>
          <w:p w14:paraId="7EB1DF35">
            <w:pPr>
              <w:keepNext w:val="0"/>
              <w:keepLines w:val="0"/>
              <w:widowControl/>
              <w:suppressLineNumbers w:val="0"/>
              <w:jc w:val="left"/>
              <w:textAlignment w:val="center"/>
              <w:rPr>
                <w:rFonts w:hint="eastAsia" w:ascii="宋体" w:hAnsi="宋体" w:cs="宋体"/>
                <w:color w:val="auto"/>
                <w:sz w:val="18"/>
                <w:szCs w:val="18"/>
                <w:highlight w:val="none"/>
              </w:rPr>
            </w:pPr>
            <w:r>
              <w:rPr>
                <w:rFonts w:hint="eastAsia" w:ascii="宋体" w:hAnsi="宋体" w:cs="宋体"/>
                <w:color w:val="auto"/>
                <w:sz w:val="18"/>
                <w:szCs w:val="18"/>
                <w:highlight w:val="none"/>
              </w:rPr>
              <w:t>2.无需打开容器，即可对塑料、玻璃、瓷瓶和金属易拉罐等容器内的液体进行检测，并对分析结果进行同步显示。</w:t>
            </w:r>
          </w:p>
          <w:p w14:paraId="73C7098A">
            <w:pPr>
              <w:keepNext w:val="0"/>
              <w:keepLines w:val="0"/>
              <w:widowControl/>
              <w:suppressLineNumbers w:val="0"/>
              <w:jc w:val="left"/>
              <w:textAlignment w:val="center"/>
              <w:rPr>
                <w:rFonts w:hint="eastAsia" w:ascii="宋体" w:hAnsi="宋体" w:cs="宋体"/>
                <w:color w:val="auto"/>
                <w:sz w:val="18"/>
                <w:szCs w:val="18"/>
                <w:highlight w:val="none"/>
              </w:rPr>
            </w:pPr>
            <w:r>
              <w:rPr>
                <w:rFonts w:hint="eastAsia" w:ascii="宋体" w:hAnsi="宋体" w:cs="宋体"/>
                <w:color w:val="auto"/>
                <w:sz w:val="18"/>
                <w:szCs w:val="18"/>
                <w:highlight w:val="none"/>
              </w:rPr>
              <w:t>3.应有自动计数功能，对接受检查的每一件液态物品及报警液态物品分别进行计数；</w:t>
            </w:r>
          </w:p>
          <w:p w14:paraId="159EA99A">
            <w:pPr>
              <w:keepNext w:val="0"/>
              <w:keepLines w:val="0"/>
              <w:widowControl/>
              <w:suppressLineNumbers w:val="0"/>
              <w:jc w:val="left"/>
              <w:textAlignment w:val="center"/>
              <w:rPr>
                <w:rFonts w:hint="eastAsia" w:ascii="宋体" w:hAnsi="宋体" w:cs="宋体"/>
                <w:color w:val="auto"/>
                <w:sz w:val="18"/>
                <w:szCs w:val="18"/>
                <w:highlight w:val="none"/>
              </w:rPr>
            </w:pPr>
            <w:r>
              <w:rPr>
                <w:rFonts w:hint="eastAsia" w:ascii="宋体" w:hAnsi="宋体" w:cs="宋体"/>
                <w:color w:val="auto"/>
                <w:sz w:val="18"/>
                <w:szCs w:val="18"/>
                <w:highlight w:val="none"/>
              </w:rPr>
              <w:t>4.应有操作人员身份认证功能，能够通过密码验证来限制设备被非授权人员操作；</w:t>
            </w:r>
          </w:p>
          <w:p w14:paraId="49BE2E1F">
            <w:pPr>
              <w:keepNext w:val="0"/>
              <w:keepLines w:val="0"/>
              <w:widowControl/>
              <w:suppressLineNumbers w:val="0"/>
              <w:jc w:val="left"/>
              <w:textAlignment w:val="center"/>
              <w:rPr>
                <w:rFonts w:hint="eastAsia" w:ascii="宋体" w:hAnsi="宋体" w:cs="宋体"/>
                <w:color w:val="auto"/>
                <w:sz w:val="18"/>
                <w:szCs w:val="18"/>
                <w:highlight w:val="none"/>
              </w:rPr>
            </w:pPr>
            <w:r>
              <w:rPr>
                <w:rFonts w:hint="eastAsia" w:ascii="宋体" w:hAnsi="宋体" w:cs="宋体"/>
                <w:color w:val="auto"/>
                <w:sz w:val="18"/>
                <w:szCs w:val="18"/>
                <w:highlight w:val="none"/>
              </w:rPr>
              <w:t>5.应有液体检查结果存储及检索功能，并能够通过接口将数据传出；</w:t>
            </w:r>
          </w:p>
          <w:p w14:paraId="5CFABBC1">
            <w:pPr>
              <w:keepNext w:val="0"/>
              <w:keepLines w:val="0"/>
              <w:widowControl/>
              <w:suppressLineNumbers w:val="0"/>
              <w:jc w:val="left"/>
              <w:textAlignment w:val="center"/>
              <w:rPr>
                <w:rFonts w:hint="eastAsia" w:ascii="宋体" w:hAnsi="宋体" w:cs="宋体"/>
                <w:color w:val="auto"/>
                <w:sz w:val="18"/>
                <w:szCs w:val="18"/>
                <w:highlight w:val="none"/>
              </w:rPr>
            </w:pPr>
            <w:r>
              <w:rPr>
                <w:rFonts w:hint="eastAsia" w:ascii="宋体" w:hAnsi="宋体" w:cs="宋体"/>
                <w:color w:val="auto"/>
                <w:sz w:val="18"/>
                <w:szCs w:val="18"/>
                <w:highlight w:val="none"/>
              </w:rPr>
              <w:t>6.系统冷启动时间≤60秒；</w:t>
            </w:r>
          </w:p>
          <w:p w14:paraId="50EC8FF0">
            <w:pPr>
              <w:keepNext w:val="0"/>
              <w:keepLines w:val="0"/>
              <w:widowControl/>
              <w:suppressLineNumbers w:val="0"/>
              <w:jc w:val="left"/>
              <w:textAlignment w:val="center"/>
              <w:rPr>
                <w:rFonts w:hint="eastAsia" w:ascii="宋体" w:hAnsi="宋体" w:cs="宋体"/>
                <w:color w:val="auto"/>
                <w:sz w:val="18"/>
                <w:szCs w:val="18"/>
                <w:highlight w:val="none"/>
              </w:rPr>
            </w:pPr>
            <w:r>
              <w:rPr>
                <w:rFonts w:hint="eastAsia" w:ascii="宋体" w:hAnsi="宋体" w:cs="宋体"/>
                <w:color w:val="auto"/>
                <w:sz w:val="18"/>
                <w:szCs w:val="18"/>
                <w:highlight w:val="none"/>
              </w:rPr>
              <w:t>7.单件液态物品检查时间：非金属瓶≤1秒，金属瓶＜4秒；</w:t>
            </w:r>
          </w:p>
          <w:p w14:paraId="7C35BB65">
            <w:pPr>
              <w:keepNext w:val="0"/>
              <w:keepLines w:val="0"/>
              <w:widowControl/>
              <w:suppressLineNumbers w:val="0"/>
              <w:jc w:val="left"/>
              <w:textAlignment w:val="center"/>
              <w:rPr>
                <w:rFonts w:hint="eastAsia" w:ascii="宋体" w:hAnsi="宋体" w:cs="宋体"/>
                <w:color w:val="auto"/>
                <w:sz w:val="18"/>
                <w:szCs w:val="18"/>
                <w:highlight w:val="none"/>
              </w:rPr>
            </w:pPr>
            <w:r>
              <w:rPr>
                <w:rFonts w:hint="eastAsia" w:ascii="宋体" w:hAnsi="宋体" w:cs="宋体"/>
                <w:color w:val="auto"/>
                <w:sz w:val="18"/>
                <w:szCs w:val="18"/>
                <w:highlight w:val="none"/>
              </w:rPr>
              <w:t>8.</w:t>
            </w:r>
            <w:r>
              <w:rPr>
                <w:rFonts w:hint="eastAsia" w:ascii="宋体" w:hAnsi="宋体" w:eastAsia="宋体" w:cs="宋体"/>
                <w:i w:val="0"/>
                <w:iCs w:val="0"/>
                <w:color w:val="auto"/>
                <w:kern w:val="0"/>
                <w:sz w:val="18"/>
                <w:szCs w:val="18"/>
                <w:u w:val="none"/>
                <w:lang w:val="en-US" w:eastAsia="zh-CN" w:bidi="ar"/>
              </w:rPr>
              <w:t>▲</w:t>
            </w:r>
            <w:r>
              <w:rPr>
                <w:rFonts w:hint="eastAsia" w:ascii="宋体" w:hAnsi="宋体" w:cs="宋体"/>
                <w:color w:val="auto"/>
                <w:sz w:val="18"/>
                <w:szCs w:val="18"/>
                <w:highlight w:val="none"/>
              </w:rPr>
              <w:t>误报警率试验：对水、牛奶、非酒精饮料等非危险液态物品进行检查，安全检查仪的误报警率应≤5%；</w:t>
            </w:r>
          </w:p>
          <w:p w14:paraId="22DA1871">
            <w:pPr>
              <w:keepNext w:val="0"/>
              <w:keepLines w:val="0"/>
              <w:widowControl/>
              <w:suppressLineNumbers w:val="0"/>
              <w:jc w:val="left"/>
              <w:textAlignment w:val="center"/>
              <w:rPr>
                <w:rFonts w:hint="eastAsia" w:ascii="宋体" w:hAnsi="宋体" w:cs="宋体"/>
                <w:color w:val="auto"/>
                <w:sz w:val="18"/>
                <w:szCs w:val="18"/>
                <w:highlight w:val="none"/>
              </w:rPr>
            </w:pPr>
            <w:r>
              <w:rPr>
                <w:rFonts w:hint="eastAsia" w:ascii="宋体" w:hAnsi="宋体" w:cs="宋体"/>
                <w:color w:val="auto"/>
                <w:sz w:val="18"/>
                <w:szCs w:val="18"/>
                <w:highlight w:val="none"/>
              </w:rPr>
              <w:t>9.</w:t>
            </w:r>
            <w:r>
              <w:rPr>
                <w:rFonts w:hint="eastAsia" w:ascii="宋体" w:hAnsi="宋体" w:eastAsia="宋体" w:cs="宋体"/>
                <w:i w:val="0"/>
                <w:iCs w:val="0"/>
                <w:color w:val="auto"/>
                <w:kern w:val="0"/>
                <w:sz w:val="18"/>
                <w:szCs w:val="18"/>
                <w:u w:val="none"/>
                <w:lang w:val="en-US" w:eastAsia="zh-CN" w:bidi="ar"/>
              </w:rPr>
              <w:t>▲</w:t>
            </w:r>
            <w:r>
              <w:rPr>
                <w:rFonts w:hint="eastAsia" w:ascii="宋体" w:hAnsi="宋体" w:cs="宋体"/>
                <w:color w:val="auto"/>
                <w:sz w:val="18"/>
                <w:szCs w:val="18"/>
                <w:highlight w:val="none"/>
              </w:rPr>
              <w:t>漏报警率试验：对汽油、柴油、70%乙醇等液态危险化学品进行检查,安全检查仪的漏报警率应≤5%、对硝酸和4%氢氧化钠水溶液的漏报警率应≤0.5%。</w:t>
            </w:r>
          </w:p>
          <w:p w14:paraId="57007F9B">
            <w:pPr>
              <w:keepNext w:val="0"/>
              <w:keepLines w:val="0"/>
              <w:widowControl/>
              <w:suppressLineNumbers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rPr>
              <w:t>10.</w:t>
            </w:r>
            <w:r>
              <w:rPr>
                <w:rFonts w:hint="eastAsia" w:ascii="宋体" w:hAnsi="宋体" w:eastAsia="宋体" w:cs="宋体"/>
                <w:i w:val="0"/>
                <w:iCs w:val="0"/>
                <w:color w:val="auto"/>
                <w:kern w:val="0"/>
                <w:sz w:val="18"/>
                <w:szCs w:val="18"/>
                <w:u w:val="none"/>
                <w:lang w:val="en-US" w:eastAsia="zh-CN" w:bidi="ar"/>
              </w:rPr>
              <w:t>▲</w:t>
            </w:r>
            <w:r>
              <w:rPr>
                <w:rFonts w:hint="eastAsia" w:ascii="宋体" w:hAnsi="宋体" w:cs="宋体"/>
                <w:color w:val="auto"/>
                <w:sz w:val="18"/>
                <w:szCs w:val="18"/>
                <w:highlight w:val="none"/>
              </w:rPr>
              <w:t>提供检测报告</w:t>
            </w:r>
            <w:r>
              <w:rPr>
                <w:rFonts w:hint="eastAsia" w:ascii="宋体" w:hAnsi="宋体" w:eastAsia="宋体" w:cs="宋体"/>
                <w:color w:val="auto"/>
                <w:sz w:val="18"/>
                <w:szCs w:val="18"/>
                <w:highlight w:val="none"/>
              </w:rPr>
              <w:t>：</w:t>
            </w:r>
            <w:r>
              <w:rPr>
                <w:rFonts w:hint="eastAsia" w:ascii="宋体" w:hAnsi="宋体" w:eastAsia="宋体" w:cs="宋体"/>
                <w:color w:val="auto"/>
                <w:sz w:val="18"/>
                <w:szCs w:val="18"/>
                <w:highlight w:val="none"/>
                <w:lang w:val="en-US" w:eastAsia="zh-CN"/>
              </w:rPr>
              <w:t>需公安</w:t>
            </w:r>
            <w:r>
              <w:rPr>
                <w:rFonts w:hint="eastAsia" w:ascii="宋体" w:hAnsi="宋体" w:cs="宋体"/>
                <w:color w:val="auto"/>
                <w:sz w:val="18"/>
                <w:szCs w:val="18"/>
                <w:highlight w:val="none"/>
                <w:lang w:val="en-US" w:eastAsia="zh-CN"/>
              </w:rPr>
              <w:t>部门</w:t>
            </w:r>
            <w:r>
              <w:rPr>
                <w:rFonts w:hint="eastAsia" w:ascii="宋体" w:hAnsi="宋体" w:eastAsia="宋体" w:cs="宋体"/>
                <w:color w:val="auto"/>
                <w:sz w:val="18"/>
                <w:szCs w:val="18"/>
                <w:highlight w:val="none"/>
                <w:lang w:val="en-US" w:eastAsia="zh-CN"/>
              </w:rPr>
              <w:t>检测机构出具的</w:t>
            </w:r>
            <w:r>
              <w:rPr>
                <w:rFonts w:hint="eastAsia" w:ascii="宋体" w:hAnsi="宋体" w:eastAsia="宋体" w:cs="宋体"/>
                <w:color w:val="auto"/>
                <w:sz w:val="18"/>
                <w:szCs w:val="18"/>
                <w:highlight w:val="none"/>
              </w:rPr>
              <w:t>检测报告复印件并加盖投标人公章。</w:t>
            </w:r>
          </w:p>
        </w:tc>
        <w:tc>
          <w:tcPr>
            <w:tcW w:w="1418" w:type="dxa"/>
            <w:tcBorders>
              <w:top w:val="single" w:color="auto" w:sz="4" w:space="0"/>
              <w:left w:val="single" w:color="auto" w:sz="4" w:space="0"/>
              <w:bottom w:val="single" w:color="auto" w:sz="4" w:space="0"/>
              <w:right w:val="single" w:color="auto" w:sz="4" w:space="0"/>
            </w:tcBorders>
            <w:vAlign w:val="center"/>
          </w:tcPr>
          <w:p w14:paraId="73EE6883">
            <w:pPr>
              <w:keepNext w:val="0"/>
              <w:keepLines w:val="0"/>
              <w:widowControl/>
              <w:suppressLineNumbers w:val="0"/>
              <w:jc w:val="center"/>
              <w:textAlignment w:val="center"/>
              <w:rPr>
                <w:rFonts w:ascii="宋体" w:hAnsi="宋体" w:cs="宋体"/>
                <w:color w:val="auto"/>
                <w:sz w:val="21"/>
                <w:szCs w:val="21"/>
                <w:highlight w:val="none"/>
              </w:rPr>
            </w:pPr>
            <w:r>
              <w:rPr>
                <w:rFonts w:hint="eastAsia" w:ascii="宋体" w:hAnsi="宋体" w:eastAsia="宋体" w:cs="宋体"/>
                <w:i w:val="0"/>
                <w:iCs w:val="0"/>
                <w:color w:val="auto"/>
                <w:kern w:val="0"/>
                <w:sz w:val="20"/>
                <w:szCs w:val="20"/>
                <w:u w:val="none"/>
                <w:lang w:val="en-US" w:eastAsia="zh-CN" w:bidi="ar"/>
              </w:rPr>
              <w:t>1300</w:t>
            </w:r>
          </w:p>
        </w:tc>
      </w:tr>
      <w:tr w14:paraId="2E115E6F">
        <w:tblPrEx>
          <w:tblCellMar>
            <w:top w:w="0" w:type="dxa"/>
            <w:left w:w="108" w:type="dxa"/>
            <w:bottom w:w="0" w:type="dxa"/>
            <w:right w:w="108" w:type="dxa"/>
          </w:tblCellMar>
        </w:tblPrEx>
        <w:trPr>
          <w:trHeight w:val="540" w:hRule="atLeast"/>
          <w:jc w:val="center"/>
        </w:trPr>
        <w:tc>
          <w:tcPr>
            <w:tcW w:w="638" w:type="dxa"/>
            <w:tcBorders>
              <w:top w:val="single" w:color="auto" w:sz="4" w:space="0"/>
              <w:left w:val="single" w:color="auto" w:sz="4" w:space="0"/>
              <w:bottom w:val="single" w:color="auto" w:sz="4" w:space="0"/>
              <w:right w:val="single" w:color="auto" w:sz="4" w:space="0"/>
            </w:tcBorders>
            <w:vAlign w:val="center"/>
          </w:tcPr>
          <w:p w14:paraId="4194499A">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19</w:t>
            </w:r>
          </w:p>
        </w:tc>
        <w:tc>
          <w:tcPr>
            <w:tcW w:w="1305" w:type="dxa"/>
            <w:tcBorders>
              <w:top w:val="single" w:color="auto" w:sz="4" w:space="0"/>
              <w:left w:val="single" w:color="auto" w:sz="4" w:space="0"/>
              <w:bottom w:val="single" w:color="auto" w:sz="4" w:space="0"/>
              <w:right w:val="single" w:color="auto" w:sz="4" w:space="0"/>
            </w:tcBorders>
            <w:vAlign w:val="center"/>
          </w:tcPr>
          <w:p w14:paraId="7314DF27">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安检大篷</w:t>
            </w:r>
          </w:p>
        </w:tc>
        <w:tc>
          <w:tcPr>
            <w:tcW w:w="660" w:type="dxa"/>
            <w:tcBorders>
              <w:top w:val="single" w:color="auto" w:sz="4" w:space="0"/>
              <w:left w:val="single" w:color="auto" w:sz="4" w:space="0"/>
              <w:bottom w:val="single" w:color="auto" w:sz="4" w:space="0"/>
              <w:right w:val="single" w:color="auto" w:sz="4" w:space="0"/>
            </w:tcBorders>
            <w:vAlign w:val="center"/>
          </w:tcPr>
          <w:p w14:paraId="1AD95032">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顶</w:t>
            </w:r>
          </w:p>
        </w:tc>
        <w:tc>
          <w:tcPr>
            <w:tcW w:w="5377" w:type="dxa"/>
            <w:tcBorders>
              <w:top w:val="single" w:color="auto" w:sz="4" w:space="0"/>
              <w:left w:val="single" w:color="auto" w:sz="4" w:space="0"/>
              <w:bottom w:val="single" w:color="auto" w:sz="4" w:space="0"/>
              <w:right w:val="single" w:color="auto" w:sz="4" w:space="0"/>
            </w:tcBorders>
            <w:vAlign w:val="center"/>
          </w:tcPr>
          <w:p w14:paraId="28487E3F">
            <w:pPr>
              <w:keepNext w:val="0"/>
              <w:keepLines w:val="0"/>
              <w:widowControl/>
              <w:suppressLineNumbers w:val="0"/>
              <w:jc w:val="left"/>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1.用于人员、车辆安检工作使用或工作人员休息使用的篷房建筑</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2.规格尺寸10米*15米；内部净高和边高均不少于4米；</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3.抗风级别：≥8级</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4.安检大蓬地面为硬质平坦地面，需高出安检大棚外围地面10厘米，以防止棚内进水。</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5.安检大蓬地面必须稳固、防滑，承重符合设备重量。</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6.安检大蓬采用隔热、防水的材质搭建，具备遮阳、防雨的条件。</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7.安检大蓬内要有充足的照明设施和相应桌椅。</w:t>
            </w:r>
          </w:p>
        </w:tc>
        <w:tc>
          <w:tcPr>
            <w:tcW w:w="1418" w:type="dxa"/>
            <w:tcBorders>
              <w:top w:val="single" w:color="auto" w:sz="4" w:space="0"/>
              <w:left w:val="single" w:color="auto" w:sz="4" w:space="0"/>
              <w:bottom w:val="single" w:color="auto" w:sz="4" w:space="0"/>
              <w:right w:val="single" w:color="auto" w:sz="4" w:space="0"/>
            </w:tcBorders>
            <w:vAlign w:val="center"/>
          </w:tcPr>
          <w:p w14:paraId="6301FE7A">
            <w:pPr>
              <w:keepNext w:val="0"/>
              <w:keepLines w:val="0"/>
              <w:widowControl/>
              <w:suppressLineNumbers w:val="0"/>
              <w:jc w:val="center"/>
              <w:textAlignment w:val="center"/>
              <w:rPr>
                <w:rFonts w:ascii="宋体" w:hAnsi="宋体" w:cs="宋体"/>
                <w:color w:val="auto"/>
                <w:sz w:val="21"/>
                <w:szCs w:val="21"/>
                <w:highlight w:val="none"/>
              </w:rPr>
            </w:pPr>
            <w:r>
              <w:rPr>
                <w:rFonts w:hint="eastAsia" w:ascii="宋体" w:hAnsi="宋体" w:eastAsia="宋体" w:cs="宋体"/>
                <w:i w:val="0"/>
                <w:iCs w:val="0"/>
                <w:color w:val="auto"/>
                <w:kern w:val="0"/>
                <w:sz w:val="20"/>
                <w:szCs w:val="20"/>
                <w:u w:val="none"/>
                <w:lang w:val="en-US" w:eastAsia="zh-CN" w:bidi="ar"/>
              </w:rPr>
              <w:t>5571</w:t>
            </w:r>
          </w:p>
        </w:tc>
      </w:tr>
      <w:tr w14:paraId="2C8DE4AC">
        <w:tblPrEx>
          <w:tblCellMar>
            <w:top w:w="0" w:type="dxa"/>
            <w:left w:w="108" w:type="dxa"/>
            <w:bottom w:w="0" w:type="dxa"/>
            <w:right w:w="108" w:type="dxa"/>
          </w:tblCellMar>
        </w:tblPrEx>
        <w:trPr>
          <w:trHeight w:val="540" w:hRule="atLeast"/>
          <w:jc w:val="center"/>
        </w:trPr>
        <w:tc>
          <w:tcPr>
            <w:tcW w:w="638" w:type="dxa"/>
            <w:tcBorders>
              <w:top w:val="single" w:color="auto" w:sz="4" w:space="0"/>
              <w:left w:val="single" w:color="auto" w:sz="4" w:space="0"/>
              <w:bottom w:val="single" w:color="auto" w:sz="4" w:space="0"/>
              <w:right w:val="single" w:color="auto" w:sz="4" w:space="0"/>
            </w:tcBorders>
            <w:vAlign w:val="center"/>
          </w:tcPr>
          <w:p w14:paraId="0D0CEE4A">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20</w:t>
            </w:r>
          </w:p>
        </w:tc>
        <w:tc>
          <w:tcPr>
            <w:tcW w:w="1305" w:type="dxa"/>
            <w:tcBorders>
              <w:top w:val="single" w:color="auto" w:sz="4" w:space="0"/>
              <w:left w:val="single" w:color="auto" w:sz="4" w:space="0"/>
              <w:bottom w:val="single" w:color="auto" w:sz="4" w:space="0"/>
              <w:right w:val="single" w:color="auto" w:sz="4" w:space="0"/>
            </w:tcBorders>
            <w:vAlign w:val="center"/>
          </w:tcPr>
          <w:p w14:paraId="116A1BA9">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安检大篷</w:t>
            </w:r>
          </w:p>
        </w:tc>
        <w:tc>
          <w:tcPr>
            <w:tcW w:w="660" w:type="dxa"/>
            <w:tcBorders>
              <w:top w:val="single" w:color="auto" w:sz="4" w:space="0"/>
              <w:left w:val="single" w:color="auto" w:sz="4" w:space="0"/>
              <w:bottom w:val="single" w:color="auto" w:sz="4" w:space="0"/>
              <w:right w:val="single" w:color="auto" w:sz="4" w:space="0"/>
            </w:tcBorders>
            <w:vAlign w:val="center"/>
          </w:tcPr>
          <w:p w14:paraId="1AD96B0A">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顶</w:t>
            </w:r>
          </w:p>
        </w:tc>
        <w:tc>
          <w:tcPr>
            <w:tcW w:w="5377" w:type="dxa"/>
            <w:tcBorders>
              <w:top w:val="single" w:color="auto" w:sz="4" w:space="0"/>
              <w:left w:val="single" w:color="auto" w:sz="4" w:space="0"/>
              <w:bottom w:val="single" w:color="auto" w:sz="4" w:space="0"/>
              <w:right w:val="single" w:color="auto" w:sz="4" w:space="0"/>
            </w:tcBorders>
            <w:vAlign w:val="center"/>
          </w:tcPr>
          <w:p w14:paraId="7628A901">
            <w:pPr>
              <w:keepNext w:val="0"/>
              <w:keepLines w:val="0"/>
              <w:widowControl/>
              <w:suppressLineNumbers w:val="0"/>
              <w:jc w:val="left"/>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1.用于人员、车辆安检工作使用或工作人员休息使用的篷房建筑；</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2.规格尺寸10米*10米；内部净高和边高均不少于4米；</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3.抗风级别：≥8级；</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4.安检大蓬地面为硬质平坦地面，需高出安检大棚外围地面10厘米，以防止棚内进水；</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5.安检大蓬地面必须稳固、防滑，承重符合设备重量；</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6.安检大蓬采用隔热、防水的材质搭建，具备遮阳、防雨的条件；</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7.安检大蓬内要有充足的照明设施和相应桌椅。</w:t>
            </w:r>
          </w:p>
        </w:tc>
        <w:tc>
          <w:tcPr>
            <w:tcW w:w="1418" w:type="dxa"/>
            <w:tcBorders>
              <w:top w:val="single" w:color="auto" w:sz="4" w:space="0"/>
              <w:left w:val="single" w:color="auto" w:sz="4" w:space="0"/>
              <w:bottom w:val="single" w:color="auto" w:sz="4" w:space="0"/>
              <w:right w:val="single" w:color="auto" w:sz="4" w:space="0"/>
            </w:tcBorders>
            <w:vAlign w:val="center"/>
          </w:tcPr>
          <w:p w14:paraId="21210144">
            <w:pPr>
              <w:keepNext w:val="0"/>
              <w:keepLines w:val="0"/>
              <w:widowControl/>
              <w:suppressLineNumbers w:val="0"/>
              <w:jc w:val="center"/>
              <w:textAlignment w:val="center"/>
              <w:rPr>
                <w:rFonts w:ascii="宋体" w:hAnsi="宋体" w:cs="宋体"/>
                <w:color w:val="auto"/>
                <w:sz w:val="21"/>
                <w:szCs w:val="21"/>
                <w:highlight w:val="none"/>
              </w:rPr>
            </w:pPr>
            <w:r>
              <w:rPr>
                <w:rFonts w:hint="eastAsia" w:ascii="宋体" w:hAnsi="宋体" w:eastAsia="宋体" w:cs="宋体"/>
                <w:i w:val="0"/>
                <w:iCs w:val="0"/>
                <w:color w:val="auto"/>
                <w:kern w:val="0"/>
                <w:sz w:val="20"/>
                <w:szCs w:val="20"/>
                <w:u w:val="none"/>
                <w:lang w:val="en-US" w:eastAsia="zh-CN" w:bidi="ar"/>
              </w:rPr>
              <w:t>4643</w:t>
            </w:r>
          </w:p>
        </w:tc>
      </w:tr>
      <w:tr w14:paraId="4464F8ED">
        <w:tblPrEx>
          <w:tblCellMar>
            <w:top w:w="0" w:type="dxa"/>
            <w:left w:w="108" w:type="dxa"/>
            <w:bottom w:w="0" w:type="dxa"/>
            <w:right w:w="108" w:type="dxa"/>
          </w:tblCellMar>
        </w:tblPrEx>
        <w:trPr>
          <w:trHeight w:val="540" w:hRule="atLeast"/>
          <w:jc w:val="center"/>
        </w:trPr>
        <w:tc>
          <w:tcPr>
            <w:tcW w:w="638" w:type="dxa"/>
            <w:tcBorders>
              <w:top w:val="single" w:color="auto" w:sz="4" w:space="0"/>
              <w:left w:val="single" w:color="auto" w:sz="4" w:space="0"/>
              <w:bottom w:val="single" w:color="auto" w:sz="4" w:space="0"/>
              <w:right w:val="single" w:color="auto" w:sz="4" w:space="0"/>
            </w:tcBorders>
            <w:vAlign w:val="center"/>
          </w:tcPr>
          <w:p w14:paraId="068FBD03">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21</w:t>
            </w:r>
          </w:p>
        </w:tc>
        <w:tc>
          <w:tcPr>
            <w:tcW w:w="1305" w:type="dxa"/>
            <w:tcBorders>
              <w:top w:val="single" w:color="auto" w:sz="4" w:space="0"/>
              <w:left w:val="single" w:color="auto" w:sz="4" w:space="0"/>
              <w:bottom w:val="single" w:color="auto" w:sz="4" w:space="0"/>
              <w:right w:val="single" w:color="auto" w:sz="4" w:space="0"/>
            </w:tcBorders>
            <w:vAlign w:val="center"/>
          </w:tcPr>
          <w:p w14:paraId="3916986C">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安检大篷</w:t>
            </w:r>
          </w:p>
        </w:tc>
        <w:tc>
          <w:tcPr>
            <w:tcW w:w="660" w:type="dxa"/>
            <w:tcBorders>
              <w:top w:val="single" w:color="auto" w:sz="4" w:space="0"/>
              <w:left w:val="single" w:color="auto" w:sz="4" w:space="0"/>
              <w:bottom w:val="single" w:color="auto" w:sz="4" w:space="0"/>
              <w:right w:val="single" w:color="auto" w:sz="4" w:space="0"/>
            </w:tcBorders>
            <w:vAlign w:val="center"/>
          </w:tcPr>
          <w:p w14:paraId="04D4071A">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顶</w:t>
            </w:r>
          </w:p>
        </w:tc>
        <w:tc>
          <w:tcPr>
            <w:tcW w:w="5377" w:type="dxa"/>
            <w:tcBorders>
              <w:top w:val="single" w:color="auto" w:sz="4" w:space="0"/>
              <w:left w:val="single" w:color="auto" w:sz="4" w:space="0"/>
              <w:bottom w:val="single" w:color="auto" w:sz="4" w:space="0"/>
              <w:right w:val="single" w:color="auto" w:sz="4" w:space="0"/>
            </w:tcBorders>
            <w:vAlign w:val="center"/>
          </w:tcPr>
          <w:p w14:paraId="6BE9DFEB">
            <w:pPr>
              <w:keepNext w:val="0"/>
              <w:keepLines w:val="0"/>
              <w:widowControl/>
              <w:suppressLineNumbers w:val="0"/>
              <w:jc w:val="left"/>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1.用于人员安检工作使用或工作人员休息使用的篷房建筑；</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2.规格尺寸5米*5米；</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3.抗风级别：≥8级</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4.安检大蓬地面为硬质平坦地面，需高出安检大棚外围地面10厘米，以防止棚内进水。</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5.安检大蓬地面必须稳固、防滑，承重符合设备重量。</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6.安检大蓬采用隔热、防水的材质搭建，具备遮阳、防雨的条件。</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7.安检大蓬内要有充足的照明设施和相应桌椅；</w:t>
            </w:r>
          </w:p>
        </w:tc>
        <w:tc>
          <w:tcPr>
            <w:tcW w:w="1418" w:type="dxa"/>
            <w:tcBorders>
              <w:top w:val="single" w:color="auto" w:sz="4" w:space="0"/>
              <w:left w:val="single" w:color="auto" w:sz="4" w:space="0"/>
              <w:bottom w:val="single" w:color="auto" w:sz="4" w:space="0"/>
              <w:right w:val="single" w:color="auto" w:sz="4" w:space="0"/>
            </w:tcBorders>
            <w:vAlign w:val="center"/>
          </w:tcPr>
          <w:p w14:paraId="72B17260">
            <w:pPr>
              <w:keepNext w:val="0"/>
              <w:keepLines w:val="0"/>
              <w:widowControl/>
              <w:suppressLineNumbers w:val="0"/>
              <w:jc w:val="center"/>
              <w:textAlignment w:val="center"/>
              <w:rPr>
                <w:rFonts w:ascii="宋体" w:hAnsi="宋体" w:cs="宋体"/>
                <w:color w:val="auto"/>
                <w:sz w:val="21"/>
                <w:szCs w:val="21"/>
                <w:highlight w:val="none"/>
              </w:rPr>
            </w:pPr>
            <w:r>
              <w:rPr>
                <w:rFonts w:hint="eastAsia" w:ascii="宋体" w:hAnsi="宋体" w:eastAsia="宋体" w:cs="宋体"/>
                <w:i w:val="0"/>
                <w:iCs w:val="0"/>
                <w:color w:val="auto"/>
                <w:kern w:val="0"/>
                <w:sz w:val="20"/>
                <w:szCs w:val="20"/>
                <w:u w:val="none"/>
                <w:lang w:val="en-US" w:eastAsia="zh-CN" w:bidi="ar"/>
              </w:rPr>
              <w:t>929</w:t>
            </w:r>
          </w:p>
        </w:tc>
      </w:tr>
      <w:tr w14:paraId="165468CB">
        <w:tblPrEx>
          <w:tblCellMar>
            <w:top w:w="0" w:type="dxa"/>
            <w:left w:w="108" w:type="dxa"/>
            <w:bottom w:w="0" w:type="dxa"/>
            <w:right w:w="108" w:type="dxa"/>
          </w:tblCellMar>
        </w:tblPrEx>
        <w:trPr>
          <w:trHeight w:val="540" w:hRule="atLeast"/>
          <w:jc w:val="center"/>
        </w:trPr>
        <w:tc>
          <w:tcPr>
            <w:tcW w:w="638" w:type="dxa"/>
            <w:tcBorders>
              <w:top w:val="single" w:color="auto" w:sz="4" w:space="0"/>
              <w:left w:val="single" w:color="auto" w:sz="4" w:space="0"/>
              <w:bottom w:val="single" w:color="auto" w:sz="4" w:space="0"/>
              <w:right w:val="single" w:color="auto" w:sz="4" w:space="0"/>
            </w:tcBorders>
            <w:vAlign w:val="center"/>
          </w:tcPr>
          <w:p w14:paraId="078FE291">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22</w:t>
            </w:r>
          </w:p>
        </w:tc>
        <w:tc>
          <w:tcPr>
            <w:tcW w:w="1305" w:type="dxa"/>
            <w:tcBorders>
              <w:top w:val="single" w:color="auto" w:sz="4" w:space="0"/>
              <w:left w:val="single" w:color="auto" w:sz="4" w:space="0"/>
              <w:bottom w:val="single" w:color="auto" w:sz="4" w:space="0"/>
              <w:right w:val="single" w:color="auto" w:sz="4" w:space="0"/>
            </w:tcBorders>
            <w:vAlign w:val="center"/>
          </w:tcPr>
          <w:p w14:paraId="1AA83EA9">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多功能光学天棚检查镜</w:t>
            </w:r>
          </w:p>
        </w:tc>
        <w:tc>
          <w:tcPr>
            <w:tcW w:w="660" w:type="dxa"/>
            <w:tcBorders>
              <w:top w:val="single" w:color="auto" w:sz="4" w:space="0"/>
              <w:left w:val="single" w:color="auto" w:sz="4" w:space="0"/>
              <w:bottom w:val="single" w:color="auto" w:sz="4" w:space="0"/>
              <w:right w:val="single" w:color="auto" w:sz="4" w:space="0"/>
            </w:tcBorders>
            <w:vAlign w:val="center"/>
          </w:tcPr>
          <w:p w14:paraId="3889058E">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支</w:t>
            </w:r>
          </w:p>
        </w:tc>
        <w:tc>
          <w:tcPr>
            <w:tcW w:w="5377" w:type="dxa"/>
            <w:tcBorders>
              <w:top w:val="single" w:color="auto" w:sz="4" w:space="0"/>
              <w:left w:val="single" w:color="auto" w:sz="4" w:space="0"/>
              <w:bottom w:val="single" w:color="auto" w:sz="4" w:space="0"/>
              <w:right w:val="single" w:color="auto" w:sz="4" w:space="0"/>
            </w:tcBorders>
            <w:vAlign w:val="center"/>
          </w:tcPr>
          <w:p w14:paraId="33FE0224">
            <w:pPr>
              <w:keepNext w:val="0"/>
              <w:keepLines w:val="0"/>
              <w:widowControl/>
              <w:suppressLineNumbers w:val="0"/>
              <w:jc w:val="left"/>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 xml:space="preserve">1.组成：检查镜由伸缩式手握杆、翻转机构、连接板、镜面、探针、LED手电等组成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2.重量：检查镜总重量应小于1KG；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3.镜面尺寸：检查镜面直径应为15cm±10cm；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4.展开长度：检查镜最大展开长度应为185cm±10cm；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5.收缩长度：检查镜最小收缩场地为60cm±5cm；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6.镜面材质：镜面应采用亚克力；</w:t>
            </w:r>
          </w:p>
        </w:tc>
        <w:tc>
          <w:tcPr>
            <w:tcW w:w="1418" w:type="dxa"/>
            <w:tcBorders>
              <w:top w:val="single" w:color="auto" w:sz="4" w:space="0"/>
              <w:left w:val="single" w:color="auto" w:sz="4" w:space="0"/>
              <w:bottom w:val="single" w:color="auto" w:sz="4" w:space="0"/>
              <w:right w:val="single" w:color="auto" w:sz="4" w:space="0"/>
            </w:tcBorders>
            <w:vAlign w:val="center"/>
          </w:tcPr>
          <w:p w14:paraId="62F40CE2">
            <w:pPr>
              <w:keepNext w:val="0"/>
              <w:keepLines w:val="0"/>
              <w:widowControl/>
              <w:suppressLineNumbers w:val="0"/>
              <w:jc w:val="center"/>
              <w:textAlignment w:val="center"/>
              <w:rPr>
                <w:rFonts w:ascii="宋体" w:hAnsi="宋体" w:cs="宋体"/>
                <w:color w:val="auto"/>
                <w:sz w:val="21"/>
                <w:szCs w:val="21"/>
                <w:highlight w:val="none"/>
              </w:rPr>
            </w:pPr>
            <w:r>
              <w:rPr>
                <w:rFonts w:hint="eastAsia" w:ascii="宋体" w:hAnsi="宋体" w:eastAsia="宋体" w:cs="宋体"/>
                <w:i w:val="0"/>
                <w:iCs w:val="0"/>
                <w:color w:val="auto"/>
                <w:kern w:val="0"/>
                <w:sz w:val="20"/>
                <w:szCs w:val="20"/>
                <w:u w:val="none"/>
                <w:lang w:val="en-US" w:eastAsia="zh-CN" w:bidi="ar"/>
              </w:rPr>
              <w:t>130</w:t>
            </w:r>
          </w:p>
        </w:tc>
      </w:tr>
      <w:tr w14:paraId="6903703D">
        <w:tblPrEx>
          <w:tblCellMar>
            <w:top w:w="0" w:type="dxa"/>
            <w:left w:w="108" w:type="dxa"/>
            <w:bottom w:w="0" w:type="dxa"/>
            <w:right w:w="108" w:type="dxa"/>
          </w:tblCellMar>
        </w:tblPrEx>
        <w:trPr>
          <w:trHeight w:val="540" w:hRule="atLeast"/>
          <w:jc w:val="center"/>
        </w:trPr>
        <w:tc>
          <w:tcPr>
            <w:tcW w:w="638" w:type="dxa"/>
            <w:tcBorders>
              <w:top w:val="single" w:color="auto" w:sz="4" w:space="0"/>
              <w:left w:val="single" w:color="auto" w:sz="4" w:space="0"/>
              <w:bottom w:val="single" w:color="auto" w:sz="4" w:space="0"/>
              <w:right w:val="single" w:color="auto" w:sz="4" w:space="0"/>
            </w:tcBorders>
            <w:vAlign w:val="center"/>
          </w:tcPr>
          <w:p w14:paraId="3B94EC5E">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23</w:t>
            </w:r>
          </w:p>
        </w:tc>
        <w:tc>
          <w:tcPr>
            <w:tcW w:w="1305" w:type="dxa"/>
            <w:tcBorders>
              <w:top w:val="single" w:color="auto" w:sz="4" w:space="0"/>
              <w:left w:val="single" w:color="auto" w:sz="4" w:space="0"/>
              <w:bottom w:val="single" w:color="auto" w:sz="4" w:space="0"/>
              <w:right w:val="single" w:color="auto" w:sz="4" w:space="0"/>
            </w:tcBorders>
            <w:vAlign w:val="center"/>
          </w:tcPr>
          <w:p w14:paraId="7CA6C08A">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电子听音器</w:t>
            </w:r>
          </w:p>
        </w:tc>
        <w:tc>
          <w:tcPr>
            <w:tcW w:w="660" w:type="dxa"/>
            <w:tcBorders>
              <w:top w:val="single" w:color="auto" w:sz="4" w:space="0"/>
              <w:left w:val="single" w:color="auto" w:sz="4" w:space="0"/>
              <w:bottom w:val="single" w:color="auto" w:sz="4" w:space="0"/>
              <w:right w:val="single" w:color="auto" w:sz="4" w:space="0"/>
            </w:tcBorders>
            <w:vAlign w:val="center"/>
          </w:tcPr>
          <w:p w14:paraId="40071691">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套</w:t>
            </w:r>
          </w:p>
        </w:tc>
        <w:tc>
          <w:tcPr>
            <w:tcW w:w="5377" w:type="dxa"/>
            <w:tcBorders>
              <w:top w:val="single" w:color="auto" w:sz="4" w:space="0"/>
              <w:left w:val="single" w:color="auto" w:sz="4" w:space="0"/>
              <w:bottom w:val="single" w:color="auto" w:sz="4" w:space="0"/>
              <w:right w:val="single" w:color="auto" w:sz="4" w:space="0"/>
            </w:tcBorders>
            <w:vAlign w:val="center"/>
          </w:tcPr>
          <w:p w14:paraId="7F4492ED">
            <w:pPr>
              <w:keepNext w:val="0"/>
              <w:keepLines w:val="0"/>
              <w:widowControl/>
              <w:suppressLineNumbers w:val="0"/>
              <w:jc w:val="left"/>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1.▲设备须具备国家安全防范报警系统产品质量监督检验中心或公安部安全与警用电子产品质量检测中心出具的检验报告</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2.产品采用X波段微波探测技术具有高精度定位的特点。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3.可以探测到多种含有机械/电子、计时装置的危险品及爆炸物。</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4.探测器连续发射和接收微波信号，探测到机械/电子装置时能够实时报警。</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5.▲探测距离无遮挡物（须在检测报告中体现）</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机械指针式计时器≥3.8m；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电子指针式计时器≥1.0m；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电子数显式计时器≥1.0m；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6.▲穿透能力（须在检测报告中体现）</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（1）100mm厚聚乙烯泡沫及200mm厚70gA纸机械指针式计时器；</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（2）100mm厚聚乙烯泡沫及200mm厚70gA纸电子指针式计时器；</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（3）100mm厚聚乙烯泡沫及200mm厚70gA纸电子数显式计时器；</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7.▲主机质量：≤1.1kg。（须在检测报告中体现）</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8.可通过显示屏显示探测目标物发出的声音波形,并可通过按键调节波形扫描显示。速率,调节档位4档。</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9.可通过按键调节探测信号音量大小。</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10.在无遮挡和电磁干扰的情况下，距探测器主机不小于30m。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11.连续工作时间：电池工作时间不小于12h。</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12.可靠性:使用外置电源适配器供电,样机连续工作300h,无故障,设备正常工作。</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13.静电放电抗扰度：符合GB/T30148-2013中第9章的规定。</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14.射频电磁场辐射抗扰度：符合 GB/T30148-2013中第10章的规定。</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15.电快速瞬变脉冲群抗扰度：符合GB/T30148-2013中第12章的规定。</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16.浪涌（冲击）抗扰度：符合GB/T30148-2013中第13章的规定。</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外壳防护等级：IP65。</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高温：55±2℃，持续时间2h工作状态，设备能正常工作。</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低温：-35±3℃，持续时间2h工作状态，设备能正常工作。</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振动：频率10-150Hz、加速度5m/S²，X,Y,Z三个方向各振动1个周期。处于工作状态，设备能正常工作。</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抗电强度：电源插头或电源引入端与外壳裸露金属部件之间,能承受GB</w:t>
            </w:r>
            <w:r>
              <w:rPr>
                <w:rFonts w:hint="eastAsia" w:ascii="宋体" w:hAnsi="宋体" w:cs="宋体"/>
                <w:i w:val="0"/>
                <w:iCs w:val="0"/>
                <w:color w:val="auto"/>
                <w:kern w:val="0"/>
                <w:sz w:val="20"/>
                <w:szCs w:val="20"/>
                <w:u w:val="none"/>
                <w:lang w:val="en-US" w:eastAsia="zh-CN" w:bidi="ar"/>
              </w:rPr>
              <w:t xml:space="preserve"> </w:t>
            </w:r>
            <w:r>
              <w:rPr>
                <w:rFonts w:hint="eastAsia" w:ascii="宋体" w:hAnsi="宋体" w:eastAsia="宋体" w:cs="宋体"/>
                <w:i w:val="0"/>
                <w:iCs w:val="0"/>
                <w:color w:val="auto"/>
                <w:kern w:val="0"/>
                <w:sz w:val="20"/>
                <w:szCs w:val="20"/>
                <w:u w:val="none"/>
                <w:lang w:val="en-US" w:eastAsia="zh-CN" w:bidi="ar"/>
              </w:rPr>
              <w:t>16796-20</w:t>
            </w:r>
            <w:r>
              <w:rPr>
                <w:rFonts w:hint="eastAsia" w:ascii="宋体" w:hAnsi="宋体" w:cs="宋体"/>
                <w:i w:val="0"/>
                <w:iCs w:val="0"/>
                <w:color w:val="auto"/>
                <w:kern w:val="0"/>
                <w:sz w:val="20"/>
                <w:szCs w:val="20"/>
                <w:u w:val="none"/>
                <w:lang w:val="en-US" w:eastAsia="zh-CN" w:bidi="ar"/>
              </w:rPr>
              <w:t>12</w:t>
            </w:r>
            <w:r>
              <w:rPr>
                <w:rFonts w:hint="eastAsia" w:ascii="宋体" w:hAnsi="宋体" w:eastAsia="宋体" w:cs="宋体"/>
                <w:i w:val="0"/>
                <w:iCs w:val="0"/>
                <w:color w:val="auto"/>
                <w:kern w:val="0"/>
                <w:sz w:val="20"/>
                <w:szCs w:val="20"/>
                <w:u w:val="none"/>
                <w:lang w:val="en-US" w:eastAsia="zh-CN" w:bidi="ar"/>
              </w:rPr>
              <w:t>中表1规定的45Hz</w:t>
            </w:r>
            <w:r>
              <w:rPr>
                <w:rFonts w:hint="eastAsia" w:ascii="宋体" w:hAnsi="宋体" w:cs="宋体"/>
                <w:i w:val="0"/>
                <w:iCs w:val="0"/>
                <w:color w:val="auto"/>
                <w:kern w:val="0"/>
                <w:sz w:val="20"/>
                <w:szCs w:val="20"/>
                <w:u w:val="none"/>
                <w:lang w:val="en-US" w:eastAsia="zh-CN" w:bidi="ar"/>
              </w:rPr>
              <w:t>~</w:t>
            </w:r>
            <w:r>
              <w:rPr>
                <w:rFonts w:hint="eastAsia" w:ascii="宋体" w:hAnsi="宋体" w:eastAsia="宋体" w:cs="宋体"/>
                <w:i w:val="0"/>
                <w:iCs w:val="0"/>
                <w:color w:val="auto"/>
                <w:kern w:val="0"/>
                <w:sz w:val="20"/>
                <w:szCs w:val="20"/>
                <w:u w:val="none"/>
                <w:lang w:val="en-US" w:eastAsia="zh-CN" w:bidi="ar"/>
              </w:rPr>
              <w:t>65Hz交流电压的抗电强度试验,历时1min无击穿和飞弧现象。</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绝缘电阻：电源插头或电源引入端与外壳裸露金属部件之间的绝缘电阻,经相对湿热度为91%~95%、温度为40℃、48h的受潮预处理后,加强绝缘的设各不小于5MΩ,基本绝缘的设备不小于2MΩ,III类设各不小于1MΩ。工作电压超过500V的设备,上述绝缘电阻的阻值数应乘以一个系数,该系数等于工作电压除以500V。</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漏电电流;I、II类设备工作时的泄漏电流应符合GB16796-20</w:t>
            </w:r>
            <w:r>
              <w:rPr>
                <w:rFonts w:hint="eastAsia" w:ascii="宋体" w:hAnsi="宋体" w:cs="宋体"/>
                <w:i w:val="0"/>
                <w:iCs w:val="0"/>
                <w:color w:val="auto"/>
                <w:kern w:val="0"/>
                <w:sz w:val="20"/>
                <w:szCs w:val="20"/>
                <w:u w:val="none"/>
                <w:lang w:val="en-US" w:eastAsia="zh-CN" w:bidi="ar"/>
              </w:rPr>
              <w:t>12</w:t>
            </w:r>
            <w:r>
              <w:rPr>
                <w:rFonts w:hint="eastAsia" w:ascii="宋体" w:hAnsi="宋体" w:eastAsia="宋体" w:cs="宋体"/>
                <w:i w:val="0"/>
                <w:iCs w:val="0"/>
                <w:color w:val="auto"/>
                <w:kern w:val="0"/>
                <w:sz w:val="20"/>
                <w:szCs w:val="20"/>
                <w:u w:val="none"/>
                <w:lang w:val="en-US" w:eastAsia="zh-CN" w:bidi="ar"/>
              </w:rPr>
              <w:t>中表2的规定,III类设备不做泄漏电流检验。</w:t>
            </w:r>
          </w:p>
        </w:tc>
        <w:tc>
          <w:tcPr>
            <w:tcW w:w="1418" w:type="dxa"/>
            <w:tcBorders>
              <w:top w:val="single" w:color="auto" w:sz="4" w:space="0"/>
              <w:left w:val="single" w:color="auto" w:sz="4" w:space="0"/>
              <w:bottom w:val="single" w:color="auto" w:sz="4" w:space="0"/>
              <w:right w:val="single" w:color="auto" w:sz="4" w:space="0"/>
            </w:tcBorders>
            <w:vAlign w:val="center"/>
          </w:tcPr>
          <w:p w14:paraId="0C3C8117">
            <w:pPr>
              <w:keepNext w:val="0"/>
              <w:keepLines w:val="0"/>
              <w:widowControl/>
              <w:suppressLineNumbers w:val="0"/>
              <w:jc w:val="center"/>
              <w:textAlignment w:val="center"/>
              <w:rPr>
                <w:rFonts w:ascii="宋体" w:hAnsi="宋体" w:cs="宋体"/>
                <w:color w:val="auto"/>
                <w:sz w:val="21"/>
                <w:szCs w:val="21"/>
                <w:highlight w:val="none"/>
              </w:rPr>
            </w:pPr>
            <w:r>
              <w:rPr>
                <w:rFonts w:hint="eastAsia" w:ascii="宋体" w:hAnsi="宋体" w:eastAsia="宋体" w:cs="宋体"/>
                <w:i w:val="0"/>
                <w:iCs w:val="0"/>
                <w:color w:val="auto"/>
                <w:kern w:val="0"/>
                <w:sz w:val="20"/>
                <w:szCs w:val="20"/>
                <w:u w:val="none"/>
                <w:lang w:val="en-US" w:eastAsia="zh-CN" w:bidi="ar"/>
              </w:rPr>
              <w:t>929</w:t>
            </w:r>
          </w:p>
        </w:tc>
      </w:tr>
      <w:tr w14:paraId="4A6ECDE9">
        <w:tblPrEx>
          <w:tblCellMar>
            <w:top w:w="0" w:type="dxa"/>
            <w:left w:w="108" w:type="dxa"/>
            <w:bottom w:w="0" w:type="dxa"/>
            <w:right w:w="108" w:type="dxa"/>
          </w:tblCellMar>
        </w:tblPrEx>
        <w:trPr>
          <w:trHeight w:val="540" w:hRule="atLeast"/>
          <w:jc w:val="center"/>
        </w:trPr>
        <w:tc>
          <w:tcPr>
            <w:tcW w:w="638" w:type="dxa"/>
            <w:tcBorders>
              <w:top w:val="single" w:color="auto" w:sz="4" w:space="0"/>
              <w:left w:val="single" w:color="auto" w:sz="4" w:space="0"/>
              <w:bottom w:val="single" w:color="auto" w:sz="4" w:space="0"/>
              <w:right w:val="single" w:color="auto" w:sz="4" w:space="0"/>
            </w:tcBorders>
            <w:vAlign w:val="center"/>
          </w:tcPr>
          <w:p w14:paraId="4014C595">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24</w:t>
            </w:r>
          </w:p>
        </w:tc>
        <w:tc>
          <w:tcPr>
            <w:tcW w:w="1305" w:type="dxa"/>
            <w:tcBorders>
              <w:top w:val="single" w:color="auto" w:sz="4" w:space="0"/>
              <w:left w:val="single" w:color="auto" w:sz="4" w:space="0"/>
              <w:bottom w:val="single" w:color="auto" w:sz="4" w:space="0"/>
              <w:right w:val="single" w:color="auto" w:sz="4" w:space="0"/>
            </w:tcBorders>
            <w:vAlign w:val="center"/>
          </w:tcPr>
          <w:p w14:paraId="54DE15C2">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多功能节点探测仪</w:t>
            </w:r>
          </w:p>
        </w:tc>
        <w:tc>
          <w:tcPr>
            <w:tcW w:w="660" w:type="dxa"/>
            <w:tcBorders>
              <w:top w:val="single" w:color="auto" w:sz="4" w:space="0"/>
              <w:left w:val="single" w:color="auto" w:sz="4" w:space="0"/>
              <w:bottom w:val="single" w:color="auto" w:sz="4" w:space="0"/>
              <w:right w:val="single" w:color="auto" w:sz="4" w:space="0"/>
            </w:tcBorders>
            <w:vAlign w:val="center"/>
          </w:tcPr>
          <w:p w14:paraId="05879248">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套</w:t>
            </w:r>
          </w:p>
        </w:tc>
        <w:tc>
          <w:tcPr>
            <w:tcW w:w="5377" w:type="dxa"/>
            <w:tcBorders>
              <w:top w:val="single" w:color="auto" w:sz="4" w:space="0"/>
              <w:left w:val="single" w:color="auto" w:sz="4" w:space="0"/>
              <w:bottom w:val="single" w:color="auto" w:sz="4" w:space="0"/>
              <w:right w:val="single" w:color="auto" w:sz="4" w:space="0"/>
            </w:tcBorders>
            <w:vAlign w:val="center"/>
          </w:tcPr>
          <w:p w14:paraId="718E0BAE">
            <w:pPr>
              <w:keepNext w:val="0"/>
              <w:keepLines w:val="0"/>
              <w:widowControl/>
              <w:suppressLineNumbers w:val="0"/>
              <w:jc w:val="left"/>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1.▲设备须具备国家安全防范报警系统产品质量监督检验中心或公安部安全与警用电子产品质量检测中心出具的检验报告；</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2.设备是用于探测、定位处于任何状态的目标电子元件（半导体）的探测设备同时也是一种集成辐射探测功能的仪器。</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3.电池：内置高容量锂电池。</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4.工作时间：单块电池工作时间≥2h；电池配备数量≥2块。</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5.电量指示：开机状态下，电压低于80%时有报警提示。</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6.探测距离：达到A级要求。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7.穿透能力：达到B级要求。</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8.▲报警声级：≥65dB。（须在检测报告中体现）</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9.▲辐射探测功能：设备应内置辐射探测模块，能对外界阔围剂量当量率进行探测。（须在检测报告中体现）</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10.▲设备具有辐射报警功能，当周围剂量当量率超出设备报警阈值时，应发出声光报警提示。（须在检测报告中体现）</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11.设备应能依据周围剂量当量率分级报警。</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12.产品稳定性：连续工作120h不出现电器或机械故障。</w:t>
            </w:r>
          </w:p>
        </w:tc>
        <w:tc>
          <w:tcPr>
            <w:tcW w:w="1418" w:type="dxa"/>
            <w:tcBorders>
              <w:top w:val="single" w:color="auto" w:sz="4" w:space="0"/>
              <w:left w:val="single" w:color="auto" w:sz="4" w:space="0"/>
              <w:bottom w:val="single" w:color="auto" w:sz="4" w:space="0"/>
              <w:right w:val="single" w:color="auto" w:sz="4" w:space="0"/>
            </w:tcBorders>
            <w:vAlign w:val="center"/>
          </w:tcPr>
          <w:p w14:paraId="1514657B">
            <w:pPr>
              <w:keepNext w:val="0"/>
              <w:keepLines w:val="0"/>
              <w:widowControl/>
              <w:suppressLineNumbers w:val="0"/>
              <w:jc w:val="center"/>
              <w:textAlignment w:val="center"/>
              <w:rPr>
                <w:rFonts w:ascii="宋体" w:hAnsi="宋体" w:cs="宋体"/>
                <w:color w:val="auto"/>
                <w:sz w:val="21"/>
                <w:szCs w:val="21"/>
                <w:highlight w:val="none"/>
              </w:rPr>
            </w:pPr>
            <w:r>
              <w:rPr>
                <w:rFonts w:hint="eastAsia" w:ascii="宋体" w:hAnsi="宋体" w:eastAsia="宋体" w:cs="宋体"/>
                <w:i w:val="0"/>
                <w:iCs w:val="0"/>
                <w:color w:val="auto"/>
                <w:kern w:val="0"/>
                <w:sz w:val="20"/>
                <w:szCs w:val="20"/>
                <w:u w:val="none"/>
                <w:lang w:val="en-US" w:eastAsia="zh-CN" w:bidi="ar"/>
              </w:rPr>
              <w:t>2229</w:t>
            </w:r>
          </w:p>
        </w:tc>
      </w:tr>
      <w:tr w14:paraId="432F15D9">
        <w:tblPrEx>
          <w:tblCellMar>
            <w:top w:w="0" w:type="dxa"/>
            <w:left w:w="108" w:type="dxa"/>
            <w:bottom w:w="0" w:type="dxa"/>
            <w:right w:w="108" w:type="dxa"/>
          </w:tblCellMar>
        </w:tblPrEx>
        <w:trPr>
          <w:trHeight w:val="540" w:hRule="atLeast"/>
          <w:jc w:val="center"/>
        </w:trPr>
        <w:tc>
          <w:tcPr>
            <w:tcW w:w="638" w:type="dxa"/>
            <w:tcBorders>
              <w:top w:val="single" w:color="auto" w:sz="4" w:space="0"/>
              <w:left w:val="single" w:color="auto" w:sz="4" w:space="0"/>
              <w:bottom w:val="single" w:color="auto" w:sz="4" w:space="0"/>
              <w:right w:val="single" w:color="auto" w:sz="4" w:space="0"/>
            </w:tcBorders>
            <w:vAlign w:val="center"/>
          </w:tcPr>
          <w:p w14:paraId="6D1E164D">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25</w:t>
            </w:r>
          </w:p>
        </w:tc>
        <w:tc>
          <w:tcPr>
            <w:tcW w:w="1305" w:type="dxa"/>
            <w:tcBorders>
              <w:top w:val="single" w:color="auto" w:sz="4" w:space="0"/>
              <w:left w:val="single" w:color="auto" w:sz="4" w:space="0"/>
              <w:bottom w:val="single" w:color="auto" w:sz="4" w:space="0"/>
              <w:right w:val="single" w:color="auto" w:sz="4" w:space="0"/>
            </w:tcBorders>
            <w:vAlign w:val="center"/>
          </w:tcPr>
          <w:p w14:paraId="10EB5B77">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强光手电</w:t>
            </w:r>
          </w:p>
        </w:tc>
        <w:tc>
          <w:tcPr>
            <w:tcW w:w="660" w:type="dxa"/>
            <w:tcBorders>
              <w:top w:val="single" w:color="auto" w:sz="4" w:space="0"/>
              <w:left w:val="single" w:color="auto" w:sz="4" w:space="0"/>
              <w:bottom w:val="single" w:color="auto" w:sz="4" w:space="0"/>
              <w:right w:val="single" w:color="auto" w:sz="4" w:space="0"/>
            </w:tcBorders>
            <w:vAlign w:val="center"/>
          </w:tcPr>
          <w:p w14:paraId="2FC99F89">
            <w:pPr>
              <w:keepNext w:val="0"/>
              <w:keepLines w:val="0"/>
              <w:widowControl/>
              <w:suppressLineNumbers w:val="0"/>
              <w:jc w:val="center"/>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支</w:t>
            </w:r>
          </w:p>
        </w:tc>
        <w:tc>
          <w:tcPr>
            <w:tcW w:w="5377" w:type="dxa"/>
            <w:tcBorders>
              <w:top w:val="single" w:color="auto" w:sz="4" w:space="0"/>
              <w:left w:val="single" w:color="auto" w:sz="4" w:space="0"/>
              <w:bottom w:val="single" w:color="auto" w:sz="4" w:space="0"/>
              <w:right w:val="single" w:color="auto" w:sz="4" w:space="0"/>
            </w:tcBorders>
            <w:vAlign w:val="center"/>
          </w:tcPr>
          <w:p w14:paraId="0FA04F33">
            <w:pPr>
              <w:keepNext w:val="0"/>
              <w:keepLines w:val="0"/>
              <w:widowControl/>
              <w:suppressLineNumbers w:val="0"/>
              <w:jc w:val="left"/>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1.亮度：＞140流明；</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2.电源：采用可充电锂电池；</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3.持续照明时间：5%弱光使用时间：＞6500分钟；</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4.100%强光使用时间：＞450分钟；10Hzx闪使用时间：＞500分钟</w:t>
            </w:r>
          </w:p>
        </w:tc>
        <w:tc>
          <w:tcPr>
            <w:tcW w:w="1418" w:type="dxa"/>
            <w:tcBorders>
              <w:top w:val="single" w:color="auto" w:sz="4" w:space="0"/>
              <w:left w:val="single" w:color="auto" w:sz="4" w:space="0"/>
              <w:bottom w:val="single" w:color="auto" w:sz="4" w:space="0"/>
              <w:right w:val="single" w:color="auto" w:sz="4" w:space="0"/>
            </w:tcBorders>
            <w:vAlign w:val="center"/>
          </w:tcPr>
          <w:p w14:paraId="2874572F">
            <w:pPr>
              <w:keepNext w:val="0"/>
              <w:keepLines w:val="0"/>
              <w:widowControl/>
              <w:suppressLineNumbers w:val="0"/>
              <w:jc w:val="center"/>
              <w:textAlignment w:val="center"/>
              <w:rPr>
                <w:rFonts w:ascii="宋体" w:hAnsi="宋体" w:cs="宋体"/>
                <w:color w:val="auto"/>
                <w:sz w:val="21"/>
                <w:szCs w:val="21"/>
                <w:highlight w:val="none"/>
              </w:rPr>
            </w:pPr>
            <w:r>
              <w:rPr>
                <w:rFonts w:hint="eastAsia" w:ascii="宋体" w:hAnsi="宋体" w:eastAsia="宋体" w:cs="宋体"/>
                <w:i w:val="0"/>
                <w:iCs w:val="0"/>
                <w:color w:val="auto"/>
                <w:kern w:val="0"/>
                <w:sz w:val="20"/>
                <w:szCs w:val="20"/>
                <w:u w:val="none"/>
                <w:lang w:val="en-US" w:eastAsia="zh-CN" w:bidi="ar"/>
              </w:rPr>
              <w:t>4</w:t>
            </w:r>
          </w:p>
        </w:tc>
      </w:tr>
      <w:tr w14:paraId="10B46BD9">
        <w:tblPrEx>
          <w:tblCellMar>
            <w:top w:w="0" w:type="dxa"/>
            <w:left w:w="108" w:type="dxa"/>
            <w:bottom w:w="0" w:type="dxa"/>
            <w:right w:w="108" w:type="dxa"/>
          </w:tblCellMar>
        </w:tblPrEx>
        <w:trPr>
          <w:trHeight w:val="540" w:hRule="atLeast"/>
          <w:jc w:val="center"/>
        </w:trPr>
        <w:tc>
          <w:tcPr>
            <w:tcW w:w="638" w:type="dxa"/>
            <w:tcBorders>
              <w:top w:val="single" w:color="auto" w:sz="4" w:space="0"/>
              <w:left w:val="single" w:color="auto" w:sz="4" w:space="0"/>
              <w:bottom w:val="single" w:color="auto" w:sz="4" w:space="0"/>
              <w:right w:val="single" w:color="auto" w:sz="4" w:space="0"/>
            </w:tcBorders>
            <w:vAlign w:val="center"/>
          </w:tcPr>
          <w:p w14:paraId="41758142">
            <w:pPr>
              <w:spacing w:line="360" w:lineRule="auto"/>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26</w:t>
            </w:r>
          </w:p>
        </w:tc>
        <w:tc>
          <w:tcPr>
            <w:tcW w:w="1305" w:type="dxa"/>
            <w:tcBorders>
              <w:top w:val="single" w:color="auto" w:sz="4" w:space="0"/>
              <w:left w:val="single" w:color="auto" w:sz="4" w:space="0"/>
              <w:bottom w:val="single" w:color="auto" w:sz="4" w:space="0"/>
              <w:right w:val="single" w:color="auto" w:sz="4" w:space="0"/>
            </w:tcBorders>
            <w:vAlign w:val="center"/>
          </w:tcPr>
          <w:p w14:paraId="3EBE786A">
            <w:pPr>
              <w:keepNext w:val="0"/>
              <w:keepLines w:val="0"/>
              <w:widowControl/>
              <w:suppressLineNumbers w:val="0"/>
              <w:jc w:val="center"/>
              <w:textAlignment w:val="center"/>
              <w:rPr>
                <w:rFonts w:hint="eastAsia" w:ascii="宋体" w:hAnsi="宋体" w:cs="宋体"/>
                <w:color w:val="auto"/>
                <w:kern w:val="0"/>
                <w:szCs w:val="21"/>
                <w:highlight w:val="none"/>
              </w:rPr>
            </w:pPr>
            <w:r>
              <w:rPr>
                <w:rFonts w:hint="eastAsia" w:ascii="宋体" w:hAnsi="宋体" w:eastAsia="宋体" w:cs="宋体"/>
                <w:i w:val="0"/>
                <w:iCs w:val="0"/>
                <w:color w:val="auto"/>
                <w:kern w:val="0"/>
                <w:sz w:val="20"/>
                <w:szCs w:val="20"/>
                <w:u w:val="none"/>
                <w:lang w:val="en-US" w:eastAsia="zh-CN" w:bidi="ar"/>
              </w:rPr>
              <w:t>软管窥镜</w:t>
            </w:r>
          </w:p>
        </w:tc>
        <w:tc>
          <w:tcPr>
            <w:tcW w:w="660" w:type="dxa"/>
            <w:tcBorders>
              <w:top w:val="single" w:color="auto" w:sz="4" w:space="0"/>
              <w:left w:val="single" w:color="auto" w:sz="4" w:space="0"/>
              <w:bottom w:val="single" w:color="auto" w:sz="4" w:space="0"/>
              <w:right w:val="single" w:color="auto" w:sz="4" w:space="0"/>
            </w:tcBorders>
            <w:vAlign w:val="center"/>
          </w:tcPr>
          <w:p w14:paraId="3770B4E7">
            <w:pPr>
              <w:keepNext w:val="0"/>
              <w:keepLines w:val="0"/>
              <w:widowControl/>
              <w:suppressLineNumbers w:val="0"/>
              <w:jc w:val="center"/>
              <w:textAlignment w:val="center"/>
              <w:rPr>
                <w:rFonts w:hint="eastAsia" w:ascii="宋体" w:hAnsi="宋体" w:cs="宋体"/>
                <w:color w:val="auto"/>
                <w:kern w:val="0"/>
                <w:szCs w:val="21"/>
                <w:highlight w:val="none"/>
              </w:rPr>
            </w:pPr>
            <w:r>
              <w:rPr>
                <w:rFonts w:hint="eastAsia" w:ascii="宋体" w:hAnsi="宋体" w:eastAsia="宋体" w:cs="宋体"/>
                <w:i w:val="0"/>
                <w:iCs w:val="0"/>
                <w:color w:val="auto"/>
                <w:kern w:val="0"/>
                <w:sz w:val="20"/>
                <w:szCs w:val="20"/>
                <w:u w:val="none"/>
                <w:lang w:val="en-US" w:eastAsia="zh-CN" w:bidi="ar"/>
              </w:rPr>
              <w:t>套</w:t>
            </w:r>
          </w:p>
        </w:tc>
        <w:tc>
          <w:tcPr>
            <w:tcW w:w="5377" w:type="dxa"/>
            <w:tcBorders>
              <w:top w:val="single" w:color="auto" w:sz="4" w:space="0"/>
              <w:left w:val="single" w:color="auto" w:sz="4" w:space="0"/>
              <w:bottom w:val="single" w:color="auto" w:sz="4" w:space="0"/>
              <w:right w:val="single" w:color="auto" w:sz="4" w:space="0"/>
            </w:tcBorders>
            <w:vAlign w:val="center"/>
          </w:tcPr>
          <w:p w14:paraId="51AB6E5A">
            <w:pPr>
              <w:keepNext w:val="0"/>
              <w:keepLines w:val="0"/>
              <w:widowControl/>
              <w:suppressLineNumbers w:val="0"/>
              <w:jc w:val="left"/>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1.显示屏≥3.5英寸高清显示屏；</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2.管线直径：≤6mm；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3.像素≥100万；</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4.管线长度≥1.5米；</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5.图像放大：支持实时5倍放大，图片回看时可6倍局部放大；</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6.LED亮度等级：≥5级亮度调节；</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7.图像显示：具备原始色彩模式、黑白模式、负片模式至少三种模式；</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8.屏幕背光亮度：可调节；</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9.图像记录：可拍照和录像，录像时可抓拍；</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10.文件格式：图像JPEG/BMP，录像MP4；</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11.水印设置：支持时间/图片/目录水印；</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12.爆闪灯光：5级可调；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13.支持十字标尺、无线蓝牙和USB接口；</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14.输出端口：HDMI（标配）/VGA（选配）；</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15.储存介质：≥32G容量SD卡；</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16.主机重量：≤1.45kg（含电池，不含仪器箱及附件）；</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17.照明光源：白光/红外光/紫外UV光（默认白光及红外光）；</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18.探头导向能力：360°全方位任意导向；</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19.探头材质：钛合金保护外壳；</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20.导向控制方式：机械式控制；</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21.管线兼容性：可更换；</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22.保护装置：主机与耐磨管连接用缓冲保护装置；</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23.管线耐油、防腐蚀性：防腐蚀，可定制耐油型管线；</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24.探头防水等级：≥IP67；</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25.工作时间：主机电池+备用电池≥10小时；</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26.整机工作温度：-10-50°C；</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27.探头工作温度：-20-60°C。</w:t>
            </w:r>
          </w:p>
        </w:tc>
        <w:tc>
          <w:tcPr>
            <w:tcW w:w="1418" w:type="dxa"/>
            <w:tcBorders>
              <w:top w:val="single" w:color="auto" w:sz="4" w:space="0"/>
              <w:left w:val="single" w:color="auto" w:sz="4" w:space="0"/>
              <w:bottom w:val="single" w:color="auto" w:sz="4" w:space="0"/>
              <w:right w:val="single" w:color="auto" w:sz="4" w:space="0"/>
            </w:tcBorders>
            <w:vAlign w:val="center"/>
          </w:tcPr>
          <w:p w14:paraId="3BFE3CD8">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0"/>
                <w:szCs w:val="20"/>
                <w:u w:val="none"/>
                <w:lang w:val="en-US" w:eastAsia="zh-CN" w:bidi="ar"/>
              </w:rPr>
              <w:t>500</w:t>
            </w:r>
          </w:p>
        </w:tc>
      </w:tr>
      <w:tr w14:paraId="209A2D96">
        <w:tblPrEx>
          <w:tblCellMar>
            <w:top w:w="0" w:type="dxa"/>
            <w:left w:w="108" w:type="dxa"/>
            <w:bottom w:w="0" w:type="dxa"/>
            <w:right w:w="108" w:type="dxa"/>
          </w:tblCellMar>
        </w:tblPrEx>
        <w:trPr>
          <w:trHeight w:val="540" w:hRule="atLeast"/>
          <w:jc w:val="center"/>
        </w:trPr>
        <w:tc>
          <w:tcPr>
            <w:tcW w:w="638" w:type="dxa"/>
            <w:tcBorders>
              <w:top w:val="single" w:color="auto" w:sz="4" w:space="0"/>
              <w:left w:val="single" w:color="auto" w:sz="4" w:space="0"/>
              <w:bottom w:val="single" w:color="auto" w:sz="4" w:space="0"/>
              <w:right w:val="single" w:color="auto" w:sz="4" w:space="0"/>
            </w:tcBorders>
            <w:vAlign w:val="center"/>
          </w:tcPr>
          <w:p w14:paraId="4C29A831">
            <w:pPr>
              <w:spacing w:line="360" w:lineRule="auto"/>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27</w:t>
            </w:r>
          </w:p>
        </w:tc>
        <w:tc>
          <w:tcPr>
            <w:tcW w:w="1305" w:type="dxa"/>
            <w:tcBorders>
              <w:top w:val="single" w:color="auto" w:sz="4" w:space="0"/>
              <w:left w:val="single" w:color="auto" w:sz="4" w:space="0"/>
              <w:bottom w:val="single" w:color="auto" w:sz="4" w:space="0"/>
              <w:right w:val="single" w:color="auto" w:sz="4" w:space="0"/>
            </w:tcBorders>
            <w:vAlign w:val="center"/>
          </w:tcPr>
          <w:p w14:paraId="3A5CB4EC">
            <w:pPr>
              <w:keepNext w:val="0"/>
              <w:keepLines w:val="0"/>
              <w:widowControl/>
              <w:suppressLineNumbers w:val="0"/>
              <w:jc w:val="center"/>
              <w:textAlignment w:val="center"/>
              <w:rPr>
                <w:rFonts w:hint="eastAsia" w:ascii="宋体" w:hAnsi="宋体" w:cs="宋体"/>
                <w:color w:val="auto"/>
                <w:kern w:val="0"/>
                <w:szCs w:val="21"/>
                <w:highlight w:val="none"/>
              </w:rPr>
            </w:pPr>
            <w:r>
              <w:rPr>
                <w:rFonts w:hint="eastAsia" w:ascii="宋体" w:hAnsi="宋体" w:eastAsia="宋体" w:cs="宋体"/>
                <w:i w:val="0"/>
                <w:iCs w:val="0"/>
                <w:color w:val="auto"/>
                <w:kern w:val="0"/>
                <w:sz w:val="20"/>
                <w:szCs w:val="20"/>
                <w:u w:val="none"/>
                <w:lang w:val="en-US" w:eastAsia="zh-CN" w:bidi="ar"/>
              </w:rPr>
              <w:t>安检无人机</w:t>
            </w:r>
          </w:p>
        </w:tc>
        <w:tc>
          <w:tcPr>
            <w:tcW w:w="660" w:type="dxa"/>
            <w:tcBorders>
              <w:top w:val="single" w:color="auto" w:sz="4" w:space="0"/>
              <w:left w:val="single" w:color="auto" w:sz="4" w:space="0"/>
              <w:bottom w:val="single" w:color="auto" w:sz="4" w:space="0"/>
              <w:right w:val="single" w:color="auto" w:sz="4" w:space="0"/>
            </w:tcBorders>
            <w:vAlign w:val="center"/>
          </w:tcPr>
          <w:p w14:paraId="7798C1AD">
            <w:pPr>
              <w:keepNext w:val="0"/>
              <w:keepLines w:val="0"/>
              <w:widowControl/>
              <w:suppressLineNumbers w:val="0"/>
              <w:jc w:val="center"/>
              <w:textAlignment w:val="center"/>
              <w:rPr>
                <w:rFonts w:hint="eastAsia" w:ascii="宋体" w:hAnsi="宋体" w:cs="宋体"/>
                <w:color w:val="auto"/>
                <w:kern w:val="0"/>
                <w:szCs w:val="21"/>
                <w:highlight w:val="none"/>
              </w:rPr>
            </w:pPr>
            <w:r>
              <w:rPr>
                <w:rFonts w:hint="eastAsia" w:ascii="宋体" w:hAnsi="宋体" w:eastAsia="宋体" w:cs="宋体"/>
                <w:i w:val="0"/>
                <w:iCs w:val="0"/>
                <w:color w:val="auto"/>
                <w:kern w:val="0"/>
                <w:sz w:val="20"/>
                <w:szCs w:val="20"/>
                <w:u w:val="none"/>
                <w:lang w:val="en-US" w:eastAsia="zh-CN" w:bidi="ar"/>
              </w:rPr>
              <w:t>套</w:t>
            </w:r>
          </w:p>
        </w:tc>
        <w:tc>
          <w:tcPr>
            <w:tcW w:w="5377" w:type="dxa"/>
            <w:tcBorders>
              <w:top w:val="single" w:color="auto" w:sz="4" w:space="0"/>
              <w:left w:val="single" w:color="auto" w:sz="4" w:space="0"/>
              <w:bottom w:val="single" w:color="auto" w:sz="4" w:space="0"/>
              <w:right w:val="single" w:color="auto" w:sz="4" w:space="0"/>
            </w:tcBorders>
            <w:vAlign w:val="center"/>
          </w:tcPr>
          <w:p w14:paraId="0AB95676">
            <w:pPr>
              <w:keepNext w:val="0"/>
              <w:keepLines w:val="0"/>
              <w:widowControl/>
              <w:suppressLineNumbers w:val="0"/>
              <w:jc w:val="left"/>
              <w:textAlignment w:val="center"/>
              <w:rPr>
                <w:rFonts w:ascii="宋体" w:hAnsi="宋体" w:cs="宋体"/>
                <w:color w:val="auto"/>
                <w:szCs w:val="21"/>
                <w:highlight w:val="none"/>
              </w:rPr>
            </w:pPr>
            <w:r>
              <w:rPr>
                <w:rFonts w:hint="eastAsia" w:ascii="宋体" w:hAnsi="宋体" w:eastAsia="宋体" w:cs="宋体"/>
                <w:i w:val="0"/>
                <w:iCs w:val="0"/>
                <w:color w:val="auto"/>
                <w:kern w:val="0"/>
                <w:sz w:val="20"/>
                <w:szCs w:val="20"/>
                <w:u w:val="none"/>
                <w:lang w:val="en-US" w:eastAsia="zh-CN" w:bidi="ar"/>
              </w:rPr>
              <w:t>1.总体要求：</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1）起飞重量：≥895 克；</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2）尺寸折叠（不带桨）：≤长230 毫米，宽 100 毫米，高 95 毫米；</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3）展开（不带桨）：≤长350 毫米，宽 300毫米，高 110毫米；</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4）最大上升速度：≥8 米/秒；</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5）最大下降速度：≥6 米/秒；</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6）最大水平飞行速度（海平面附近无风）：≥21 米/秒；</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7）最大起飞海拔高度：≥6000 米；</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8）最长飞行时间：≥46 分钟；</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9）最长悬停时间：≥40 分钟；</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10）最大续航里程：≥30 公里；</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11）最大抗风速度：≥12 米/秒；</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12）最大可倾斜角度：≥35°；</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13）工作环境温度-：10℃ 至 40℃；</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14）卫星导航系统：GPS + Galileo + BeiDou；</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15）机载内存：≥32GB；</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2.影像传感器相机：</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1)4/3 CMOS，有效像素 2000 万；</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2)视角：≥80°；</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3)等效焦距：≥24 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4)光圈：f/2.8 至 f/11；</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5)对焦点：1 米至无穷远；</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3.长焦相机：</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1)1/2 英寸 CMOS，有效像素 1200 万；</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2)视角：≥15°；</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3)等效焦距：≥160 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4)光圈：f/4.4；</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5)对焦点：3 米至无穷远；</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4.云台</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1)稳定系统三轴机械云台（俯仰、横滚、偏航）：结构设计范围俯仰：-135°至 100°；横滚：-45°至 45°；偏航：-27°至 27°；可控转动范围俯仰：-90°至 35°；偏航：-5°至 5°；最大控制转速（俯仰）100°/秒；</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2）感知：感知系统类型全向双目视觉系统，辅以机身底部红外传感器，前视测距范围：0.5 米至 20 米；可探测范围：0.5 米至 200 米；有效避障速度：飞行速度 ≤15 米/秒；</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5.图传</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1)实时图传质量遥控器：1080p/30fps，1080p/60fps；</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2)工作频段2.400GHz至2.4835GHz，5.725GHz至 5.850GHz；</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3)发射功率（EIRP）2.400 GHz 至 2.4835 GHz：&lt;33 dBm（FCC）；&lt;20 dBm（CE/SRRC/MIC）。</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5.725 GHz 至 5.850 GHz：&lt;33 dBm（FCC）；&lt;30 dBm（SRRC）；&lt;14 dBm（CE）</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4)最大信号有效距离（无干扰）FCC：≥15 公里，CE：≥8 公里，SRRC：≥8 公里，MIC：≥8 公里；</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5)最大信号有效距离（有干扰）强干扰：都市中心1.5公里至3公里；中干扰：近郊县城3公里至9公里；微干扰：远郊/海边约9公里至15公里；</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6.电池</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1)容量：≥5000 毫安时；</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2)标称电压：≤15.4 伏；</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3)充电限制电压：≤17.6 伏；</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4)充电环境温度：5℃至40℃；</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5)充电耗时：≤96分钟。</w:t>
            </w:r>
          </w:p>
        </w:tc>
        <w:tc>
          <w:tcPr>
            <w:tcW w:w="1418" w:type="dxa"/>
            <w:tcBorders>
              <w:top w:val="single" w:color="auto" w:sz="4" w:space="0"/>
              <w:left w:val="single" w:color="auto" w:sz="4" w:space="0"/>
              <w:bottom w:val="single" w:color="auto" w:sz="4" w:space="0"/>
              <w:right w:val="single" w:color="auto" w:sz="4" w:space="0"/>
            </w:tcBorders>
            <w:vAlign w:val="center"/>
          </w:tcPr>
          <w:p w14:paraId="2600CA31">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0"/>
                <w:szCs w:val="20"/>
                <w:u w:val="none"/>
                <w:lang w:val="en-US" w:eastAsia="zh-CN" w:bidi="ar"/>
              </w:rPr>
              <w:t>500</w:t>
            </w:r>
          </w:p>
        </w:tc>
      </w:tr>
    </w:tbl>
    <w:p w14:paraId="4EA0CBAC">
      <w:pPr>
        <w:numPr>
          <w:ilvl w:val="0"/>
          <w:numId w:val="0"/>
        </w:numPr>
        <w:spacing w:line="360" w:lineRule="auto"/>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注：1.各项规格或性能要求如出现引用品牌、型号、图片、某一特定的专利技术、商标、名称、设计、原产地或供应者等情况，仅起参考作用。投标人可选用实质上“相当于”或“优于”该参考规格或性能要求的产品投标，同时填写规格或性能要求偏离说明。</w:t>
      </w:r>
    </w:p>
    <w:p w14:paraId="0BB3252F">
      <w:pPr>
        <w:numPr>
          <w:ilvl w:val="0"/>
          <w:numId w:val="0"/>
        </w:numPr>
        <w:spacing w:line="360" w:lineRule="auto"/>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2.具体设备数量及天数根据实际使用情况，据实结算。</w:t>
      </w:r>
    </w:p>
    <w:p w14:paraId="0CC49CF8">
      <w:pPr>
        <w:numPr>
          <w:ilvl w:val="0"/>
          <w:numId w:val="0"/>
        </w:numPr>
        <w:spacing w:line="360" w:lineRule="auto"/>
        <w:rPr>
          <w:rFonts w:hint="default"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3.</w:t>
      </w:r>
      <w:r>
        <w:rPr>
          <w:rFonts w:hint="eastAsia" w:ascii="宋体" w:hAnsi="宋体"/>
          <w:color w:val="auto"/>
          <w:szCs w:val="21"/>
          <w:highlight w:val="none"/>
          <w:lang w:val="en-US" w:eastAsia="zh-CN"/>
        </w:rPr>
        <w:t>如涉及东川区、磨憨开发区按</w:t>
      </w:r>
      <w:r>
        <w:rPr>
          <w:rFonts w:hint="default" w:ascii="宋体" w:hAnsi="宋体"/>
          <w:color w:val="auto"/>
          <w:szCs w:val="21"/>
          <w:highlight w:val="none"/>
          <w:lang w:val="en-US" w:eastAsia="zh-CN"/>
        </w:rPr>
        <w:t>物流</w:t>
      </w:r>
      <w:r>
        <w:rPr>
          <w:rFonts w:hint="eastAsia" w:ascii="宋体" w:hAnsi="宋体"/>
          <w:color w:val="auto"/>
          <w:szCs w:val="21"/>
          <w:highlight w:val="none"/>
          <w:lang w:val="en-US" w:eastAsia="zh-CN"/>
        </w:rPr>
        <w:t>标准</w:t>
      </w:r>
      <w:r>
        <w:rPr>
          <w:rFonts w:hint="default" w:ascii="宋体" w:hAnsi="宋体"/>
          <w:color w:val="auto"/>
          <w:szCs w:val="21"/>
          <w:highlight w:val="none"/>
          <w:lang w:val="en-US" w:eastAsia="zh-CN"/>
        </w:rPr>
        <w:t>适当</w:t>
      </w:r>
      <w:r>
        <w:rPr>
          <w:rFonts w:hint="eastAsia" w:ascii="宋体" w:hAnsi="宋体"/>
          <w:color w:val="auto"/>
          <w:szCs w:val="21"/>
          <w:highlight w:val="none"/>
          <w:lang w:val="en-US" w:eastAsia="zh-CN"/>
        </w:rPr>
        <w:t>增加设备运输费用和差旅费（参照采购人差旅费标准）。</w:t>
      </w:r>
    </w:p>
    <w:p w14:paraId="6C24B286">
      <w:pPr>
        <w:numPr>
          <w:ilvl w:val="0"/>
          <w:numId w:val="0"/>
        </w:numPr>
        <w:spacing w:line="360" w:lineRule="auto"/>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三、商务要求</w:t>
      </w:r>
    </w:p>
    <w:p w14:paraId="626EAA18">
      <w:pPr>
        <w:numPr>
          <w:ilvl w:val="0"/>
          <w:numId w:val="0"/>
        </w:numPr>
        <w:spacing w:line="360" w:lineRule="auto"/>
        <w:rPr>
          <w:rFonts w:hint="default"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1.服务地点：昆明市（采购人指定地点）。</w:t>
      </w:r>
    </w:p>
    <w:p w14:paraId="163BF1CE">
      <w:pPr>
        <w:numPr>
          <w:ilvl w:val="0"/>
          <w:numId w:val="0"/>
        </w:numPr>
        <w:spacing w:line="360" w:lineRule="auto"/>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2.付款方式：银行转账；本项目合同总金额限价400万元，根据每次租赁产生的费用（实际使用设备数量、使用天数和合同中所列固定单价）×（1-优惠率）据实结算。</w:t>
      </w:r>
    </w:p>
    <w:p w14:paraId="409169AA">
      <w:pPr>
        <w:numPr>
          <w:ilvl w:val="0"/>
          <w:numId w:val="0"/>
        </w:numPr>
        <w:spacing w:line="360" w:lineRule="auto"/>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3.验收标准：按照财政部关于进一步加强政府采购需求和屦约验收管理的指导意见》(财库(2016)205号)的要求进行验收。按国家有关规定以及采购人招标文件的质量要求和技术指标、中标人的投标文件及承诺与签约合同约定标准进行验收；双方如对质量要求和技术指标的约定标准有相互抵触或异议的事项,由采购人在招标与投标文件中按质量要求和技术指标比较优胜的原则确定该项的约定标准进行验收。</w:t>
      </w:r>
    </w:p>
    <w:p w14:paraId="5ADFE9D6">
      <w:pPr>
        <w:numPr>
          <w:ilvl w:val="0"/>
          <w:numId w:val="0"/>
        </w:numPr>
        <w:spacing w:line="360" w:lineRule="auto"/>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5.验收方法:采购人代表对每次租赁设备器材种类、数量、运行情况初验合格后，由双方签署书面确认单，书面确认单由采购人保管”任务完成后，由采购人代表对单次总租赁器材时间、数量、种类、服务质量形成履约验收报告，并签字确认；履约验收报告应列明验收评价结果，由项目双方共同签署。</w:t>
      </w:r>
    </w:p>
    <w:p w14:paraId="1046BB99">
      <w:pPr>
        <w:numPr>
          <w:ilvl w:val="0"/>
          <w:numId w:val="0"/>
        </w:numPr>
        <w:spacing w:line="360" w:lineRule="auto"/>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四、其他要求</w:t>
      </w:r>
    </w:p>
    <w:p w14:paraId="32916F70">
      <w:pPr>
        <w:numPr>
          <w:ilvl w:val="0"/>
          <w:numId w:val="0"/>
        </w:numPr>
        <w:spacing w:line="360" w:lineRule="auto"/>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1、供应商应对其所提供的设备租赁服务负责备品备件的供应、提供维修、维护服务并提供技术咨询等服务。服务期内</w:t>
      </w:r>
      <w:r>
        <w:rPr>
          <w:rFonts w:hint="default" w:ascii="宋体" w:hAnsi="宋体" w:eastAsia="宋体" w:cs="宋体"/>
          <w:i w:val="0"/>
          <w:iCs w:val="0"/>
          <w:color w:val="auto"/>
          <w:kern w:val="0"/>
          <w:sz w:val="21"/>
          <w:szCs w:val="21"/>
          <w:highlight w:val="none"/>
          <w:u w:val="none"/>
          <w:lang w:val="en-US" w:eastAsia="zh-CN"/>
        </w:rPr>
        <w:t>设备移交后</w:t>
      </w:r>
      <w:r>
        <w:rPr>
          <w:rFonts w:hint="eastAsia" w:ascii="宋体" w:hAnsi="宋体" w:eastAsia="宋体" w:cs="宋体"/>
          <w:i w:val="0"/>
          <w:iCs w:val="0"/>
          <w:color w:val="auto"/>
          <w:kern w:val="0"/>
          <w:sz w:val="21"/>
          <w:szCs w:val="21"/>
          <w:highlight w:val="none"/>
          <w:u w:val="none"/>
          <w:lang w:val="en-US" w:eastAsia="zh-CN"/>
        </w:rPr>
        <w:t>因采购人保管不善造成设备损坏</w:t>
      </w:r>
      <w:r>
        <w:rPr>
          <w:rFonts w:hint="default" w:ascii="宋体" w:hAnsi="宋体" w:eastAsia="宋体" w:cs="宋体"/>
          <w:i w:val="0"/>
          <w:iCs w:val="0"/>
          <w:color w:val="auto"/>
          <w:kern w:val="0"/>
          <w:sz w:val="21"/>
          <w:szCs w:val="21"/>
          <w:highlight w:val="none"/>
          <w:u w:val="none"/>
          <w:lang w:val="en-US" w:eastAsia="zh-CN"/>
        </w:rPr>
        <w:t>、丢失的由</w:t>
      </w:r>
      <w:r>
        <w:rPr>
          <w:rFonts w:hint="eastAsia" w:ascii="宋体" w:hAnsi="宋体" w:eastAsia="宋体" w:cs="宋体"/>
          <w:i w:val="0"/>
          <w:iCs w:val="0"/>
          <w:color w:val="auto"/>
          <w:kern w:val="0"/>
          <w:sz w:val="21"/>
          <w:szCs w:val="21"/>
          <w:highlight w:val="none"/>
          <w:u w:val="none"/>
          <w:lang w:val="en-US" w:eastAsia="zh-CN"/>
        </w:rPr>
        <w:t>采购人承担</w:t>
      </w:r>
      <w:r>
        <w:rPr>
          <w:rFonts w:hint="default" w:ascii="宋体" w:hAnsi="宋体" w:eastAsia="宋体" w:cs="宋体"/>
          <w:i w:val="0"/>
          <w:iCs w:val="0"/>
          <w:color w:val="auto"/>
          <w:kern w:val="0"/>
          <w:sz w:val="21"/>
          <w:szCs w:val="21"/>
          <w:highlight w:val="none"/>
          <w:u w:val="none"/>
          <w:lang w:val="en-US" w:eastAsia="zh-CN"/>
        </w:rPr>
        <w:t>相应的</w:t>
      </w:r>
      <w:r>
        <w:rPr>
          <w:rFonts w:hint="eastAsia" w:ascii="宋体" w:hAnsi="宋体" w:eastAsia="宋体" w:cs="宋体"/>
          <w:i w:val="0"/>
          <w:iCs w:val="0"/>
          <w:color w:val="auto"/>
          <w:kern w:val="0"/>
          <w:sz w:val="21"/>
          <w:szCs w:val="21"/>
          <w:highlight w:val="none"/>
          <w:u w:val="none"/>
          <w:lang w:val="en-US" w:eastAsia="zh-CN"/>
        </w:rPr>
        <w:t>赔偿；因设备自身原因（运输损耗、安装调试不当等）造成的故障和损坏，由供应商</w:t>
      </w:r>
      <w:r>
        <w:rPr>
          <w:rFonts w:hint="eastAsia" w:ascii="宋体" w:hAnsi="宋体" w:cs="宋体"/>
          <w:i w:val="0"/>
          <w:iCs w:val="0"/>
          <w:color w:val="auto"/>
          <w:kern w:val="0"/>
          <w:sz w:val="21"/>
          <w:szCs w:val="21"/>
          <w:highlight w:val="none"/>
          <w:u w:val="none"/>
          <w:lang w:val="en-US" w:eastAsia="zh-CN"/>
        </w:rPr>
        <w:t>无偿</w:t>
      </w:r>
      <w:r>
        <w:rPr>
          <w:rFonts w:hint="eastAsia" w:ascii="宋体" w:hAnsi="宋体" w:eastAsia="宋体" w:cs="宋体"/>
          <w:i w:val="0"/>
          <w:iCs w:val="0"/>
          <w:color w:val="auto"/>
          <w:kern w:val="0"/>
          <w:sz w:val="21"/>
          <w:szCs w:val="21"/>
          <w:highlight w:val="none"/>
          <w:u w:val="none"/>
          <w:lang w:val="en-US" w:eastAsia="zh-CN"/>
        </w:rPr>
        <w:t>负责维修和替换，确保服务期内设备正常使用。</w:t>
      </w:r>
    </w:p>
    <w:p w14:paraId="2F010410">
      <w:pPr>
        <w:numPr>
          <w:ilvl w:val="0"/>
          <w:numId w:val="0"/>
        </w:numPr>
        <w:spacing w:line="360" w:lineRule="auto"/>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2.供应商应保证在设备使用过程中例行检查维修服务和突发的故障维修服务妥善处置。根据采购人需求指派专职技术工程师跟踪服务，技术服务电话将将提供7*24小时故障受理，60分钟内到达现场开展服务。</w:t>
      </w:r>
    </w:p>
    <w:p w14:paraId="7BB3C034">
      <w:pPr>
        <w:numPr>
          <w:ilvl w:val="0"/>
          <w:numId w:val="0"/>
        </w:numPr>
        <w:spacing w:line="360" w:lineRule="auto"/>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3.供应商须根据在规定时限前完成对每次所提供设备的现场安装调试，直至符合采购人使用要求。</w:t>
      </w:r>
    </w:p>
    <w:p w14:paraId="13DED346">
      <w:pPr>
        <w:numPr>
          <w:ilvl w:val="0"/>
          <w:numId w:val="0"/>
        </w:numPr>
        <w:spacing w:line="360" w:lineRule="auto"/>
        <w:rPr>
          <w:rFonts w:hint="eastAsia" w:ascii="宋体" w:hAnsi="宋体"/>
          <w:b/>
          <w:bCs/>
          <w:color w:val="auto"/>
          <w:kern w:val="44"/>
          <w:sz w:val="36"/>
          <w:szCs w:val="20"/>
          <w:highlight w:val="none"/>
        </w:rPr>
      </w:pPr>
      <w:r>
        <w:rPr>
          <w:rFonts w:hint="eastAsia" w:ascii="宋体" w:hAnsi="宋体" w:eastAsia="宋体" w:cs="宋体"/>
          <w:i w:val="0"/>
          <w:iCs w:val="0"/>
          <w:color w:val="auto"/>
          <w:kern w:val="0"/>
          <w:sz w:val="21"/>
          <w:szCs w:val="21"/>
          <w:highlight w:val="none"/>
          <w:u w:val="none"/>
          <w:lang w:val="en-US" w:eastAsia="zh-CN"/>
        </w:rPr>
        <w:t>4.供应商需派技术人员对现场工作人员进行操作培训，直到其能操作使用。</w:t>
      </w:r>
    </w:p>
    <w:p w14:paraId="1D394CB7">
      <w:pPr>
        <w:rPr>
          <w:rFonts w:hint="eastAsia" w:ascii="宋体" w:hAnsi="宋体"/>
          <w:b/>
          <w:bCs/>
          <w:color w:val="auto"/>
          <w:kern w:val="44"/>
          <w:sz w:val="36"/>
          <w:szCs w:val="20"/>
          <w:highlight w:val="none"/>
        </w:rPr>
      </w:pPr>
      <w:r>
        <w:rPr>
          <w:rFonts w:hint="eastAsia" w:ascii="宋体" w:hAnsi="宋体"/>
          <w:b/>
          <w:bCs/>
          <w:color w:val="auto"/>
          <w:kern w:val="44"/>
          <w:sz w:val="36"/>
          <w:szCs w:val="20"/>
          <w:highlight w:val="none"/>
        </w:rPr>
        <w:br w:type="page"/>
      </w:r>
    </w:p>
    <w:p w14:paraId="72591866">
      <w:pPr>
        <w:keepNext/>
        <w:keepLines/>
        <w:tabs>
          <w:tab w:val="left" w:pos="360"/>
        </w:tabs>
        <w:adjustRightInd w:val="0"/>
        <w:spacing w:before="120" w:line="360" w:lineRule="auto"/>
        <w:ind w:left="284"/>
        <w:jc w:val="center"/>
        <w:textAlignment w:val="baseline"/>
        <w:outlineLvl w:val="0"/>
        <w:rPr>
          <w:rFonts w:ascii="宋体" w:hAnsi="宋体"/>
          <w:b/>
          <w:bCs/>
          <w:color w:val="auto"/>
          <w:kern w:val="44"/>
          <w:sz w:val="36"/>
          <w:szCs w:val="20"/>
          <w:highlight w:val="none"/>
        </w:rPr>
      </w:pPr>
      <w:r>
        <w:rPr>
          <w:rFonts w:hint="eastAsia" w:ascii="宋体" w:hAnsi="宋体"/>
          <w:b/>
          <w:bCs/>
          <w:color w:val="auto"/>
          <w:kern w:val="44"/>
          <w:sz w:val="36"/>
          <w:szCs w:val="20"/>
          <w:highlight w:val="none"/>
        </w:rPr>
        <w:t>第六章 资格评审标准</w:t>
      </w:r>
      <w:bookmarkEnd w:id="145"/>
      <w:bookmarkEnd w:id="146"/>
      <w:bookmarkEnd w:id="147"/>
    </w:p>
    <w:p w14:paraId="1D5AA516">
      <w:pPr>
        <w:pStyle w:val="16"/>
        <w:tabs>
          <w:tab w:val="left" w:pos="2472"/>
        </w:tabs>
        <w:rPr>
          <w:rFonts w:hAnsi="宋体"/>
          <w:color w:val="auto"/>
          <w:szCs w:val="21"/>
          <w:highlight w:val="none"/>
        </w:rPr>
      </w:pPr>
      <w:bookmarkStart w:id="148" w:name="_Toc71666352"/>
      <w:bookmarkStart w:id="149" w:name="_Toc70446120"/>
      <w:bookmarkStart w:id="150" w:name="_Toc32158"/>
      <w:r>
        <w:rPr>
          <w:rFonts w:hint="eastAsia" w:hAnsi="宋体"/>
          <w:color w:val="auto"/>
          <w:szCs w:val="21"/>
          <w:highlight w:val="none"/>
        </w:rPr>
        <w:t>依据法律法规和招标文件的规定，采购人或采购代理机构将在开标结束后对投标文件中的资格证明文件进行审查，具体详见评审内容及标准。若存在任意一条评审内容不符合标准，则资格审查不合格，不进入到下一步符合性评审。合格投标人不足3家的，不得评标。</w:t>
      </w:r>
    </w:p>
    <w:tbl>
      <w:tblPr>
        <w:tblStyle w:val="32"/>
        <w:tblW w:w="9286"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55"/>
        <w:gridCol w:w="563"/>
        <w:gridCol w:w="8068"/>
      </w:tblGrid>
      <w:tr w14:paraId="0E292DD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55" w:type="dxa"/>
            <w:vAlign w:val="center"/>
          </w:tcPr>
          <w:p w14:paraId="70DA143C">
            <w:pPr>
              <w:spacing w:before="100" w:beforeAutospacing="1" w:after="100" w:afterAutospacing="1"/>
              <w:jc w:val="center"/>
              <w:rPr>
                <w:rFonts w:ascii="宋体" w:hAnsi="宋体"/>
                <w:b/>
                <w:color w:val="auto"/>
                <w:szCs w:val="21"/>
                <w:highlight w:val="none"/>
              </w:rPr>
            </w:pPr>
            <w:r>
              <w:rPr>
                <w:rFonts w:hint="eastAsia" w:ascii="宋体" w:hAnsi="宋体"/>
                <w:b/>
                <w:color w:val="auto"/>
                <w:szCs w:val="21"/>
                <w:highlight w:val="none"/>
              </w:rPr>
              <w:t>评审程序</w:t>
            </w:r>
          </w:p>
        </w:tc>
        <w:tc>
          <w:tcPr>
            <w:tcW w:w="8631" w:type="dxa"/>
            <w:gridSpan w:val="2"/>
            <w:vAlign w:val="center"/>
          </w:tcPr>
          <w:p w14:paraId="6678674A">
            <w:pPr>
              <w:spacing w:before="100" w:beforeAutospacing="1" w:after="100" w:afterAutospacing="1"/>
              <w:jc w:val="center"/>
              <w:rPr>
                <w:rFonts w:ascii="宋体" w:hAnsi="宋体"/>
                <w:b/>
                <w:color w:val="auto"/>
                <w:szCs w:val="21"/>
                <w:highlight w:val="none"/>
              </w:rPr>
            </w:pPr>
            <w:r>
              <w:rPr>
                <w:rFonts w:hint="eastAsia" w:ascii="宋体" w:hAnsi="宋体"/>
                <w:b/>
                <w:color w:val="auto"/>
                <w:szCs w:val="21"/>
                <w:highlight w:val="none"/>
              </w:rPr>
              <w:t>评 审 内 容 及 标 准</w:t>
            </w:r>
          </w:p>
        </w:tc>
      </w:tr>
      <w:tr w14:paraId="2A5740C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3" w:hRule="atLeast"/>
          <w:jc w:val="center"/>
        </w:trPr>
        <w:tc>
          <w:tcPr>
            <w:tcW w:w="655" w:type="dxa"/>
            <w:vMerge w:val="restart"/>
            <w:vAlign w:val="center"/>
          </w:tcPr>
          <w:p w14:paraId="3F9DEF15">
            <w:pPr>
              <w:spacing w:before="100" w:beforeAutospacing="1" w:after="100" w:afterAutospacing="1"/>
              <w:jc w:val="center"/>
              <w:rPr>
                <w:rFonts w:ascii="宋体" w:hAnsi="宋体"/>
                <w:b/>
                <w:color w:val="auto"/>
                <w:szCs w:val="21"/>
                <w:highlight w:val="none"/>
              </w:rPr>
            </w:pPr>
            <w:r>
              <w:rPr>
                <w:rFonts w:hint="eastAsia" w:ascii="宋体" w:hAnsi="宋体"/>
                <w:color w:val="auto"/>
                <w:szCs w:val="21"/>
                <w:highlight w:val="none"/>
              </w:rPr>
              <w:t>资格评审标准</w:t>
            </w:r>
          </w:p>
        </w:tc>
        <w:tc>
          <w:tcPr>
            <w:tcW w:w="8631" w:type="dxa"/>
            <w:gridSpan w:val="2"/>
            <w:vAlign w:val="center"/>
          </w:tcPr>
          <w:p w14:paraId="16BACB4C">
            <w:pPr>
              <w:spacing w:before="100" w:beforeAutospacing="1" w:after="100" w:afterAutospacing="1"/>
              <w:jc w:val="left"/>
              <w:rPr>
                <w:rFonts w:ascii="宋体" w:hAnsi="宋体"/>
                <w:b/>
                <w:color w:val="auto"/>
                <w:szCs w:val="21"/>
                <w:highlight w:val="none"/>
              </w:rPr>
            </w:pPr>
            <w:r>
              <w:rPr>
                <w:rFonts w:hint="eastAsia" w:ascii="宋体" w:hAnsi="宋体"/>
                <w:b/>
                <w:bCs/>
                <w:color w:val="auto"/>
                <w:szCs w:val="21"/>
                <w:highlight w:val="none"/>
              </w:rPr>
              <w:t>满足《中华人民共和国政府采购法》第二十二条规定</w:t>
            </w:r>
            <w:r>
              <w:rPr>
                <w:rFonts w:hint="eastAsia" w:ascii="宋体" w:hAnsi="宋体"/>
                <w:b/>
                <w:color w:val="auto"/>
                <w:szCs w:val="21"/>
                <w:highlight w:val="none"/>
              </w:rPr>
              <w:t>，并提供下列材料：</w:t>
            </w:r>
          </w:p>
        </w:tc>
      </w:tr>
      <w:tr w14:paraId="66E585F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98" w:hRule="atLeast"/>
          <w:jc w:val="center"/>
        </w:trPr>
        <w:tc>
          <w:tcPr>
            <w:tcW w:w="655" w:type="dxa"/>
            <w:vMerge w:val="continue"/>
            <w:vAlign w:val="center"/>
          </w:tcPr>
          <w:p w14:paraId="45D7C430">
            <w:pPr>
              <w:widowControl/>
              <w:jc w:val="left"/>
              <w:rPr>
                <w:rFonts w:ascii="宋体" w:hAnsi="宋体"/>
                <w:b/>
                <w:color w:val="auto"/>
                <w:szCs w:val="21"/>
                <w:highlight w:val="none"/>
              </w:rPr>
            </w:pPr>
          </w:p>
        </w:tc>
        <w:tc>
          <w:tcPr>
            <w:tcW w:w="563" w:type="dxa"/>
            <w:vAlign w:val="center"/>
          </w:tcPr>
          <w:p w14:paraId="5AC60719">
            <w:pPr>
              <w:spacing w:before="100" w:beforeAutospacing="1" w:after="100" w:afterAutospacing="1"/>
              <w:jc w:val="center"/>
              <w:rPr>
                <w:rFonts w:ascii="宋体" w:hAnsi="宋体"/>
                <w:color w:val="auto"/>
                <w:szCs w:val="21"/>
                <w:highlight w:val="none"/>
              </w:rPr>
            </w:pPr>
            <w:r>
              <w:rPr>
                <w:rFonts w:ascii="宋体" w:hAnsi="宋体"/>
                <w:bCs/>
                <w:color w:val="auto"/>
                <w:szCs w:val="21"/>
                <w:highlight w:val="none"/>
              </w:rPr>
              <w:t>1.1</w:t>
            </w:r>
          </w:p>
        </w:tc>
        <w:tc>
          <w:tcPr>
            <w:tcW w:w="8068" w:type="dxa"/>
            <w:vAlign w:val="center"/>
          </w:tcPr>
          <w:p w14:paraId="53DF1E9D">
            <w:pPr>
              <w:pStyle w:val="16"/>
              <w:rPr>
                <w:rFonts w:hAnsi="宋体"/>
                <w:color w:val="auto"/>
                <w:szCs w:val="21"/>
                <w:highlight w:val="none"/>
              </w:rPr>
            </w:pPr>
            <w:r>
              <w:rPr>
                <w:rFonts w:hint="eastAsia" w:hAnsi="宋体"/>
                <w:color w:val="auto"/>
                <w:szCs w:val="21"/>
                <w:highlight w:val="none"/>
              </w:rPr>
              <w:t xml:space="preserve">投标人必须是具有独立承担民事责任能力的法人或其他组织或自然人；提供营业执照或自然人的身份证明（扫描件）； </w:t>
            </w:r>
          </w:p>
        </w:tc>
      </w:tr>
      <w:tr w14:paraId="1077E37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655" w:type="dxa"/>
            <w:vMerge w:val="continue"/>
            <w:vAlign w:val="center"/>
          </w:tcPr>
          <w:p w14:paraId="5F109C6F">
            <w:pPr>
              <w:widowControl/>
              <w:jc w:val="left"/>
              <w:rPr>
                <w:rFonts w:ascii="宋体" w:hAnsi="宋体"/>
                <w:b/>
                <w:color w:val="auto"/>
                <w:szCs w:val="21"/>
                <w:highlight w:val="none"/>
              </w:rPr>
            </w:pPr>
          </w:p>
        </w:tc>
        <w:tc>
          <w:tcPr>
            <w:tcW w:w="563" w:type="dxa"/>
            <w:vAlign w:val="center"/>
          </w:tcPr>
          <w:p w14:paraId="042E2475">
            <w:pPr>
              <w:spacing w:before="100" w:beforeAutospacing="1" w:after="100" w:afterAutospacing="1"/>
              <w:jc w:val="center"/>
              <w:rPr>
                <w:rFonts w:ascii="宋体" w:hAnsi="宋体"/>
                <w:color w:val="auto"/>
                <w:szCs w:val="21"/>
                <w:highlight w:val="none"/>
              </w:rPr>
            </w:pPr>
            <w:r>
              <w:rPr>
                <w:rFonts w:ascii="宋体" w:hAnsi="宋体"/>
                <w:color w:val="auto"/>
                <w:szCs w:val="21"/>
                <w:highlight w:val="none"/>
              </w:rPr>
              <w:t>1.2</w:t>
            </w:r>
          </w:p>
        </w:tc>
        <w:tc>
          <w:tcPr>
            <w:tcW w:w="8068" w:type="dxa"/>
            <w:vAlign w:val="center"/>
          </w:tcPr>
          <w:p w14:paraId="2144E9A7">
            <w:pPr>
              <w:rPr>
                <w:rFonts w:hint="eastAsia" w:ascii="宋体" w:hAnsi="宋体" w:eastAsia="宋体"/>
                <w:color w:val="auto"/>
                <w:highlight w:val="none"/>
                <w:lang w:eastAsia="zh-CN"/>
              </w:rPr>
            </w:pPr>
            <w:r>
              <w:rPr>
                <w:rFonts w:hint="eastAsia" w:ascii="宋体" w:hAnsi="宋体"/>
                <w:color w:val="auto"/>
                <w:highlight w:val="none"/>
              </w:rPr>
              <w:t>1）</w:t>
            </w:r>
            <w:r>
              <w:rPr>
                <w:rFonts w:hint="eastAsia" w:ascii="宋体" w:hAnsi="宋体"/>
                <w:color w:val="auto"/>
                <w:szCs w:val="21"/>
                <w:highlight w:val="none"/>
              </w:rPr>
              <w:t>可提供</w:t>
            </w:r>
            <w:r>
              <w:rPr>
                <w:rFonts w:hint="eastAsia" w:ascii="宋体" w:hAnsi="宋体"/>
                <w:b/>
                <w:bCs/>
                <w:color w:val="auto"/>
                <w:szCs w:val="21"/>
                <w:highlight w:val="none"/>
                <w:lang w:val="en-US" w:eastAsia="zh-CN"/>
              </w:rPr>
              <w:t>2023年或2024年度</w:t>
            </w:r>
            <w:r>
              <w:rPr>
                <w:rFonts w:hint="eastAsia" w:ascii="宋体" w:hAnsi="宋体"/>
                <w:color w:val="auto"/>
                <w:szCs w:val="21"/>
                <w:highlight w:val="none"/>
              </w:rPr>
              <w:t>经第三方会计师事务所或审计机构审计的财务会计报表，包括财务审计报告、资产负债表、利润表（损益表）、现金流量表、所有者权益变动表（执行小企业会计准则的供应商可不提供所有者权益变动表）及附注（非营利性单位或者社会团体或者其他机关事业单位以符合财务会计制度为准）</w:t>
            </w:r>
            <w:r>
              <w:rPr>
                <w:rFonts w:hint="eastAsia" w:ascii="宋体" w:hAnsi="宋体"/>
                <w:b/>
                <w:bCs/>
                <w:color w:val="auto"/>
                <w:szCs w:val="21"/>
                <w:highlight w:val="none"/>
                <w:lang w:eastAsia="zh-CN"/>
              </w:rPr>
              <w:t>（</w:t>
            </w:r>
            <w:r>
              <w:rPr>
                <w:rFonts w:hint="eastAsia" w:ascii="宋体" w:hAnsi="宋体"/>
                <w:b/>
                <w:bCs/>
                <w:color w:val="auto"/>
                <w:szCs w:val="21"/>
                <w:highlight w:val="none"/>
                <w:lang w:val="en-US" w:eastAsia="zh-CN"/>
              </w:rPr>
              <w:t>投标人</w:t>
            </w:r>
            <w:r>
              <w:rPr>
                <w:rFonts w:hint="eastAsia" w:ascii="宋体" w:hAnsi="宋体"/>
                <w:b/>
                <w:bCs/>
                <w:color w:val="auto"/>
                <w:szCs w:val="21"/>
                <w:highlight w:val="none"/>
              </w:rPr>
              <w:t>成立时间不足1年的，可提供财务状况说明或财务会计制度</w:t>
            </w:r>
            <w:r>
              <w:rPr>
                <w:rFonts w:hint="eastAsia" w:ascii="宋体" w:hAnsi="宋体"/>
                <w:b/>
                <w:bCs/>
                <w:color w:val="auto"/>
                <w:szCs w:val="21"/>
                <w:highlight w:val="none"/>
                <w:lang w:eastAsia="zh-CN"/>
              </w:rPr>
              <w:t>）</w:t>
            </w:r>
            <w:r>
              <w:rPr>
                <w:rFonts w:ascii="宋体" w:hAnsi="宋体"/>
                <w:color w:val="auto"/>
                <w:highlight w:val="none"/>
              </w:rPr>
              <w:t>；</w:t>
            </w:r>
          </w:p>
          <w:p w14:paraId="635944E7">
            <w:pPr>
              <w:rPr>
                <w:rFonts w:ascii="宋体" w:hAnsi="宋体"/>
                <w:color w:val="auto"/>
                <w:highlight w:val="none"/>
              </w:rPr>
            </w:pPr>
            <w:r>
              <w:rPr>
                <w:rFonts w:ascii="宋体" w:hAnsi="宋体"/>
                <w:color w:val="auto"/>
                <w:highlight w:val="none"/>
              </w:rPr>
              <w:t>2</w:t>
            </w:r>
            <w:r>
              <w:rPr>
                <w:rFonts w:hint="eastAsia" w:ascii="宋体" w:hAnsi="宋体"/>
                <w:color w:val="auto"/>
                <w:highlight w:val="none"/>
              </w:rPr>
              <w:t>）</w:t>
            </w:r>
            <w:r>
              <w:rPr>
                <w:rFonts w:ascii="宋体" w:hAnsi="宋体"/>
                <w:color w:val="auto"/>
                <w:highlight w:val="none"/>
              </w:rPr>
              <w:t>可提供自响应文件提交截止时间前三个月内基本开户银行出具的资信证明；</w:t>
            </w:r>
          </w:p>
          <w:p w14:paraId="46BAA8A3">
            <w:pPr>
              <w:overflowPunct w:val="0"/>
              <w:rPr>
                <w:rFonts w:hAnsi="宋体"/>
                <w:color w:val="auto"/>
                <w:highlight w:val="none"/>
              </w:rPr>
            </w:pPr>
            <w:r>
              <w:rPr>
                <w:rFonts w:hAnsi="宋体"/>
                <w:color w:val="auto"/>
                <w:highlight w:val="none"/>
              </w:rPr>
              <w:t>3</w:t>
            </w:r>
            <w:r>
              <w:rPr>
                <w:rFonts w:hint="eastAsia" w:hAnsi="宋体"/>
                <w:color w:val="auto"/>
                <w:highlight w:val="none"/>
              </w:rPr>
              <w:t>）</w:t>
            </w:r>
            <w:r>
              <w:rPr>
                <w:rFonts w:hAnsi="宋体"/>
                <w:color w:val="auto"/>
                <w:highlight w:val="none"/>
              </w:rPr>
              <w:t>可提供财政部门认可的政府采购专业担保机构出具的投标担保函。</w:t>
            </w:r>
          </w:p>
          <w:p w14:paraId="677911F3">
            <w:pPr>
              <w:pStyle w:val="16"/>
              <w:rPr>
                <w:rFonts w:hAnsi="宋体"/>
                <w:b/>
                <w:bCs/>
                <w:color w:val="auto"/>
                <w:szCs w:val="21"/>
                <w:highlight w:val="none"/>
              </w:rPr>
            </w:pPr>
            <w:r>
              <w:rPr>
                <w:rFonts w:hint="eastAsia" w:hAnsi="宋体"/>
                <w:color w:val="auto"/>
                <w:highlight w:val="none"/>
              </w:rPr>
              <w:t>注：</w:t>
            </w:r>
            <w:r>
              <w:rPr>
                <w:rFonts w:hAnsi="宋体"/>
                <w:color w:val="auto"/>
                <w:highlight w:val="none"/>
              </w:rPr>
              <w:t>投标人可根据自身情况提供上述</w:t>
            </w:r>
            <w:r>
              <w:rPr>
                <w:rFonts w:hint="eastAsia" w:hAnsi="宋体"/>
                <w:color w:val="auto"/>
                <w:highlight w:val="none"/>
              </w:rPr>
              <w:t>序号1）、2）、3）</w:t>
            </w:r>
            <w:r>
              <w:rPr>
                <w:rFonts w:hAnsi="宋体"/>
                <w:color w:val="auto"/>
                <w:highlight w:val="none"/>
              </w:rPr>
              <w:t>任意一种证明材料</w:t>
            </w:r>
            <w:r>
              <w:rPr>
                <w:rFonts w:hint="eastAsia" w:hAnsi="宋体"/>
                <w:color w:val="auto"/>
                <w:highlight w:val="none"/>
                <w:lang w:val="en-US" w:eastAsia="zh-CN"/>
              </w:rPr>
              <w:t>扫描件</w:t>
            </w:r>
            <w:r>
              <w:rPr>
                <w:rFonts w:hint="eastAsia" w:hAnsi="宋体"/>
                <w:bCs/>
                <w:color w:val="auto"/>
                <w:szCs w:val="21"/>
                <w:highlight w:val="none"/>
              </w:rPr>
              <w:t>。</w:t>
            </w:r>
          </w:p>
        </w:tc>
      </w:tr>
      <w:tr w14:paraId="0D22F0A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21" w:hRule="atLeast"/>
          <w:jc w:val="center"/>
        </w:trPr>
        <w:tc>
          <w:tcPr>
            <w:tcW w:w="655" w:type="dxa"/>
            <w:vMerge w:val="continue"/>
            <w:vAlign w:val="center"/>
          </w:tcPr>
          <w:p w14:paraId="6E096B13">
            <w:pPr>
              <w:widowControl/>
              <w:jc w:val="left"/>
              <w:rPr>
                <w:rFonts w:ascii="宋体" w:hAnsi="宋体"/>
                <w:b/>
                <w:color w:val="auto"/>
                <w:szCs w:val="21"/>
                <w:highlight w:val="none"/>
              </w:rPr>
            </w:pPr>
          </w:p>
        </w:tc>
        <w:tc>
          <w:tcPr>
            <w:tcW w:w="563" w:type="dxa"/>
            <w:vAlign w:val="center"/>
          </w:tcPr>
          <w:p w14:paraId="0C26F82B">
            <w:pPr>
              <w:spacing w:before="100" w:beforeAutospacing="1" w:after="100" w:afterAutospacing="1"/>
              <w:jc w:val="center"/>
              <w:rPr>
                <w:rFonts w:ascii="宋体" w:hAnsi="宋体"/>
                <w:color w:val="auto"/>
                <w:szCs w:val="21"/>
                <w:highlight w:val="none"/>
              </w:rPr>
            </w:pPr>
            <w:r>
              <w:rPr>
                <w:rFonts w:ascii="宋体" w:hAnsi="宋体"/>
                <w:color w:val="auto"/>
                <w:szCs w:val="21"/>
                <w:highlight w:val="none"/>
              </w:rPr>
              <w:t>1.3</w:t>
            </w:r>
          </w:p>
        </w:tc>
        <w:tc>
          <w:tcPr>
            <w:tcW w:w="8068" w:type="dxa"/>
            <w:vAlign w:val="center"/>
          </w:tcPr>
          <w:p w14:paraId="1A93D7BB">
            <w:pPr>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缴税所属时间在</w:t>
            </w:r>
            <w:r>
              <w:rPr>
                <w:rFonts w:hint="eastAsia" w:ascii="宋体" w:hAnsi="宋体" w:eastAsia="宋体" w:cs="Times New Roman"/>
                <w:b/>
                <w:bCs/>
                <w:color w:val="auto"/>
                <w:szCs w:val="21"/>
                <w:highlight w:val="none"/>
              </w:rPr>
              <w:t>202</w:t>
            </w:r>
            <w:r>
              <w:rPr>
                <w:rFonts w:hint="eastAsia" w:ascii="宋体" w:hAnsi="宋体" w:cs="Times New Roman"/>
                <w:b/>
                <w:bCs/>
                <w:color w:val="auto"/>
                <w:szCs w:val="21"/>
                <w:highlight w:val="none"/>
                <w:lang w:val="en-US" w:eastAsia="zh-CN"/>
              </w:rPr>
              <w:t>4</w:t>
            </w:r>
            <w:r>
              <w:rPr>
                <w:rFonts w:hint="eastAsia" w:ascii="宋体" w:hAnsi="宋体" w:eastAsia="宋体" w:cs="Times New Roman"/>
                <w:b/>
                <w:bCs/>
                <w:color w:val="auto"/>
                <w:szCs w:val="21"/>
                <w:highlight w:val="none"/>
              </w:rPr>
              <w:t>年</w:t>
            </w:r>
            <w:r>
              <w:rPr>
                <w:rFonts w:hint="eastAsia" w:ascii="宋体" w:hAnsi="宋体" w:cs="Times New Roman"/>
                <w:b/>
                <w:bCs/>
                <w:color w:val="auto"/>
                <w:szCs w:val="21"/>
                <w:highlight w:val="none"/>
                <w:lang w:val="en-US" w:eastAsia="zh-CN"/>
              </w:rPr>
              <w:t>08</w:t>
            </w:r>
            <w:r>
              <w:rPr>
                <w:rFonts w:hint="eastAsia" w:ascii="宋体" w:hAnsi="宋体" w:eastAsia="宋体" w:cs="Times New Roman"/>
                <w:b/>
                <w:bCs/>
                <w:color w:val="auto"/>
                <w:szCs w:val="21"/>
                <w:highlight w:val="none"/>
              </w:rPr>
              <w:t>月</w:t>
            </w:r>
            <w:r>
              <w:rPr>
                <w:rFonts w:hint="eastAsia" w:ascii="宋体" w:hAnsi="宋体" w:eastAsia="宋体" w:cs="Times New Roman"/>
                <w:color w:val="auto"/>
                <w:szCs w:val="21"/>
                <w:highlight w:val="none"/>
              </w:rPr>
              <w:t>至投标截止日期前</w:t>
            </w:r>
            <w:r>
              <w:rPr>
                <w:rFonts w:hint="eastAsia" w:ascii="宋体" w:hAnsi="宋体" w:eastAsia="宋体" w:cs="Times New Roman"/>
                <w:b/>
                <w:bCs/>
                <w:color w:val="auto"/>
                <w:szCs w:val="21"/>
                <w:highlight w:val="none"/>
              </w:rPr>
              <w:t>任意</w:t>
            </w:r>
            <w:r>
              <w:rPr>
                <w:rFonts w:hint="eastAsia" w:ascii="宋体" w:hAnsi="宋体" w:eastAsia="宋体" w:cs="Times New Roman"/>
                <w:b/>
                <w:bCs/>
                <w:color w:val="auto"/>
                <w:szCs w:val="21"/>
                <w:highlight w:val="none"/>
                <w:lang w:val="en-US" w:eastAsia="zh-CN"/>
              </w:rPr>
              <w:t>1</w:t>
            </w:r>
            <w:r>
              <w:rPr>
                <w:rFonts w:hint="eastAsia" w:ascii="宋体" w:hAnsi="宋体" w:eastAsia="宋体" w:cs="Times New Roman"/>
                <w:b/>
                <w:bCs/>
                <w:color w:val="auto"/>
                <w:szCs w:val="21"/>
                <w:highlight w:val="none"/>
              </w:rPr>
              <w:t>个月</w:t>
            </w:r>
            <w:r>
              <w:rPr>
                <w:rFonts w:hint="eastAsia" w:ascii="宋体" w:hAnsi="宋体" w:eastAsia="宋体" w:cs="Times New Roman"/>
                <w:color w:val="auto"/>
                <w:szCs w:val="21"/>
                <w:highlight w:val="none"/>
              </w:rPr>
              <w:t>的税务局税收通用缴款书扫描件或银行电子缴税（费）凭证扫描件或税务局出具纳税情况的相关证明扫描件。（成立未满</w:t>
            </w:r>
            <w:r>
              <w:rPr>
                <w:rFonts w:hint="eastAsia" w:ascii="宋体" w:hAnsi="宋体" w:eastAsia="宋体" w:cs="Times New Roman"/>
                <w:color w:val="auto"/>
                <w:szCs w:val="21"/>
                <w:highlight w:val="none"/>
                <w:lang w:val="en-US" w:eastAsia="zh-CN"/>
              </w:rPr>
              <w:t>1</w:t>
            </w:r>
            <w:r>
              <w:rPr>
                <w:rFonts w:hint="eastAsia" w:ascii="宋体" w:hAnsi="宋体" w:eastAsia="宋体" w:cs="Times New Roman"/>
                <w:color w:val="auto"/>
                <w:szCs w:val="21"/>
                <w:highlight w:val="none"/>
              </w:rPr>
              <w:t>个月的提供成立以来的相关证明或相关情况说明；依法免税的，应提供相应文件证明其依法免税）</w:t>
            </w:r>
          </w:p>
        </w:tc>
      </w:tr>
      <w:tr w14:paraId="2286C07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01" w:hRule="atLeast"/>
          <w:jc w:val="center"/>
        </w:trPr>
        <w:tc>
          <w:tcPr>
            <w:tcW w:w="655" w:type="dxa"/>
            <w:vMerge w:val="continue"/>
            <w:vAlign w:val="center"/>
          </w:tcPr>
          <w:p w14:paraId="696A5124">
            <w:pPr>
              <w:widowControl/>
              <w:jc w:val="left"/>
              <w:rPr>
                <w:rFonts w:ascii="宋体" w:hAnsi="宋体"/>
                <w:b/>
                <w:color w:val="auto"/>
                <w:szCs w:val="21"/>
                <w:highlight w:val="none"/>
              </w:rPr>
            </w:pPr>
          </w:p>
        </w:tc>
        <w:tc>
          <w:tcPr>
            <w:tcW w:w="563" w:type="dxa"/>
            <w:vAlign w:val="center"/>
          </w:tcPr>
          <w:p w14:paraId="44FBD59E">
            <w:pPr>
              <w:spacing w:before="100" w:beforeAutospacing="1" w:after="100" w:afterAutospacing="1"/>
              <w:jc w:val="center"/>
              <w:rPr>
                <w:rFonts w:ascii="宋体" w:hAnsi="宋体"/>
                <w:color w:val="auto"/>
                <w:szCs w:val="21"/>
                <w:highlight w:val="none"/>
              </w:rPr>
            </w:pPr>
            <w:r>
              <w:rPr>
                <w:rFonts w:ascii="宋体" w:hAnsi="宋体"/>
                <w:color w:val="auto"/>
                <w:szCs w:val="21"/>
                <w:highlight w:val="none"/>
              </w:rPr>
              <w:t>1.4</w:t>
            </w:r>
          </w:p>
        </w:tc>
        <w:tc>
          <w:tcPr>
            <w:tcW w:w="8068" w:type="dxa"/>
            <w:vAlign w:val="center"/>
          </w:tcPr>
          <w:p w14:paraId="31BFD889">
            <w:pPr>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缴费所属时间在</w:t>
            </w:r>
            <w:r>
              <w:rPr>
                <w:rFonts w:hint="eastAsia" w:ascii="宋体" w:hAnsi="宋体" w:eastAsia="宋体" w:cs="Times New Roman"/>
                <w:b/>
                <w:bCs/>
                <w:color w:val="auto"/>
                <w:szCs w:val="21"/>
                <w:highlight w:val="none"/>
              </w:rPr>
              <w:t>202</w:t>
            </w:r>
            <w:r>
              <w:rPr>
                <w:rFonts w:hint="eastAsia" w:ascii="宋体" w:hAnsi="宋体" w:cs="Times New Roman"/>
                <w:b/>
                <w:bCs/>
                <w:color w:val="auto"/>
                <w:szCs w:val="21"/>
                <w:highlight w:val="none"/>
                <w:lang w:val="en-US" w:eastAsia="zh-CN"/>
              </w:rPr>
              <w:t>4</w:t>
            </w:r>
            <w:r>
              <w:rPr>
                <w:rFonts w:hint="eastAsia" w:ascii="宋体" w:hAnsi="宋体" w:eastAsia="宋体" w:cs="Times New Roman"/>
                <w:b/>
                <w:bCs/>
                <w:color w:val="auto"/>
                <w:szCs w:val="21"/>
                <w:highlight w:val="none"/>
              </w:rPr>
              <w:t>年</w:t>
            </w:r>
            <w:r>
              <w:rPr>
                <w:rFonts w:hint="eastAsia" w:ascii="宋体" w:hAnsi="宋体" w:cs="Times New Roman"/>
                <w:b/>
                <w:bCs/>
                <w:color w:val="auto"/>
                <w:szCs w:val="21"/>
                <w:highlight w:val="none"/>
                <w:lang w:val="en-US" w:eastAsia="zh-CN"/>
              </w:rPr>
              <w:t>08</w:t>
            </w:r>
            <w:r>
              <w:rPr>
                <w:rFonts w:hint="eastAsia" w:ascii="宋体" w:hAnsi="宋体" w:eastAsia="宋体" w:cs="Times New Roman"/>
                <w:b/>
                <w:bCs/>
                <w:color w:val="auto"/>
                <w:szCs w:val="21"/>
                <w:highlight w:val="none"/>
              </w:rPr>
              <w:t>月</w:t>
            </w:r>
            <w:r>
              <w:rPr>
                <w:rFonts w:hint="eastAsia" w:ascii="宋体" w:hAnsi="宋体" w:eastAsia="宋体" w:cs="Times New Roman"/>
                <w:color w:val="auto"/>
                <w:szCs w:val="21"/>
                <w:highlight w:val="none"/>
              </w:rPr>
              <w:t>至投标截止日期前</w:t>
            </w:r>
            <w:r>
              <w:rPr>
                <w:rFonts w:hint="eastAsia" w:ascii="宋体" w:hAnsi="宋体" w:eastAsia="宋体" w:cs="Times New Roman"/>
                <w:b/>
                <w:bCs/>
                <w:color w:val="auto"/>
                <w:szCs w:val="21"/>
                <w:highlight w:val="none"/>
              </w:rPr>
              <w:t>任意</w:t>
            </w:r>
            <w:r>
              <w:rPr>
                <w:rFonts w:hint="eastAsia" w:ascii="宋体" w:hAnsi="宋体" w:eastAsia="宋体" w:cs="Times New Roman"/>
                <w:b/>
                <w:bCs/>
                <w:color w:val="auto"/>
                <w:szCs w:val="21"/>
                <w:highlight w:val="none"/>
                <w:lang w:val="en-US" w:eastAsia="zh-CN"/>
              </w:rPr>
              <w:t>1</w:t>
            </w:r>
            <w:r>
              <w:rPr>
                <w:rFonts w:hint="eastAsia" w:ascii="宋体" w:hAnsi="宋体" w:eastAsia="宋体" w:cs="Times New Roman"/>
                <w:b/>
                <w:bCs/>
                <w:color w:val="auto"/>
                <w:szCs w:val="21"/>
                <w:highlight w:val="none"/>
              </w:rPr>
              <w:t>个月</w:t>
            </w:r>
            <w:r>
              <w:rPr>
                <w:rFonts w:hint="eastAsia" w:ascii="宋体" w:hAnsi="宋体" w:eastAsia="宋体" w:cs="Times New Roman"/>
                <w:color w:val="auto"/>
                <w:szCs w:val="21"/>
                <w:highlight w:val="none"/>
              </w:rPr>
              <w:t>的社会保险费缴款书扫描件或银行电子缴税（费）凭证扫描件或社保管理部门出具的有效的缴款证明扫描件。（成立未满</w:t>
            </w:r>
            <w:r>
              <w:rPr>
                <w:rFonts w:hint="eastAsia" w:ascii="宋体" w:hAnsi="宋体" w:eastAsia="宋体" w:cs="Times New Roman"/>
                <w:color w:val="auto"/>
                <w:szCs w:val="21"/>
                <w:highlight w:val="none"/>
                <w:lang w:val="en-US" w:eastAsia="zh-CN"/>
              </w:rPr>
              <w:t>1</w:t>
            </w:r>
            <w:r>
              <w:rPr>
                <w:rFonts w:hint="eastAsia" w:ascii="宋体" w:hAnsi="宋体" w:eastAsia="宋体" w:cs="Times New Roman"/>
                <w:color w:val="auto"/>
                <w:szCs w:val="21"/>
                <w:highlight w:val="none"/>
              </w:rPr>
              <w:t>个月的提供成立以来的社会保险费缴纳证明或相关情况说明；不需要缴纳社会保险费的，应提供相应文件证明其不需要缴纳社会保险费）</w:t>
            </w:r>
          </w:p>
        </w:tc>
      </w:tr>
      <w:tr w14:paraId="000E70E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655" w:type="dxa"/>
            <w:vMerge w:val="continue"/>
            <w:vAlign w:val="center"/>
          </w:tcPr>
          <w:p w14:paraId="558777E6">
            <w:pPr>
              <w:widowControl/>
              <w:jc w:val="left"/>
              <w:rPr>
                <w:rFonts w:ascii="宋体" w:hAnsi="宋体"/>
                <w:b/>
                <w:color w:val="auto"/>
                <w:szCs w:val="21"/>
                <w:highlight w:val="none"/>
              </w:rPr>
            </w:pPr>
          </w:p>
        </w:tc>
        <w:tc>
          <w:tcPr>
            <w:tcW w:w="563" w:type="dxa"/>
            <w:vAlign w:val="center"/>
          </w:tcPr>
          <w:p w14:paraId="2C7B50FE">
            <w:pPr>
              <w:spacing w:before="100" w:beforeAutospacing="1" w:after="100" w:afterAutospacing="1"/>
              <w:jc w:val="center"/>
              <w:rPr>
                <w:rFonts w:ascii="宋体" w:hAnsi="宋体"/>
                <w:color w:val="auto"/>
                <w:szCs w:val="21"/>
                <w:highlight w:val="none"/>
              </w:rPr>
            </w:pPr>
            <w:r>
              <w:rPr>
                <w:rFonts w:ascii="宋体" w:hAnsi="宋体"/>
                <w:color w:val="auto"/>
                <w:szCs w:val="21"/>
                <w:highlight w:val="none"/>
              </w:rPr>
              <w:t>1.5</w:t>
            </w:r>
          </w:p>
        </w:tc>
        <w:tc>
          <w:tcPr>
            <w:tcW w:w="8068" w:type="dxa"/>
            <w:vAlign w:val="center"/>
          </w:tcPr>
          <w:p w14:paraId="6B3ABE82">
            <w:pPr>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投标人须提供具备履行合同所必需的设备和专业技术能力的证明材料。（提供说明承诺或其他证明材料）</w:t>
            </w:r>
          </w:p>
        </w:tc>
      </w:tr>
      <w:tr w14:paraId="6DC32D2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55" w:type="dxa"/>
            <w:vMerge w:val="continue"/>
            <w:vAlign w:val="center"/>
          </w:tcPr>
          <w:p w14:paraId="1F695CF2">
            <w:pPr>
              <w:widowControl/>
              <w:jc w:val="left"/>
              <w:rPr>
                <w:rFonts w:ascii="宋体" w:hAnsi="宋体"/>
                <w:b/>
                <w:color w:val="auto"/>
                <w:szCs w:val="21"/>
                <w:highlight w:val="none"/>
              </w:rPr>
            </w:pPr>
          </w:p>
        </w:tc>
        <w:tc>
          <w:tcPr>
            <w:tcW w:w="563" w:type="dxa"/>
            <w:vAlign w:val="center"/>
          </w:tcPr>
          <w:p w14:paraId="6D1C9EBB">
            <w:pPr>
              <w:spacing w:before="100" w:beforeAutospacing="1" w:after="100" w:afterAutospacing="1"/>
              <w:jc w:val="center"/>
              <w:rPr>
                <w:rFonts w:ascii="宋体" w:hAnsi="宋体"/>
                <w:color w:val="auto"/>
                <w:szCs w:val="21"/>
                <w:highlight w:val="none"/>
              </w:rPr>
            </w:pPr>
            <w:r>
              <w:rPr>
                <w:rFonts w:ascii="宋体" w:hAnsi="宋体"/>
                <w:color w:val="auto"/>
                <w:szCs w:val="21"/>
                <w:highlight w:val="none"/>
              </w:rPr>
              <w:t>1.6</w:t>
            </w:r>
          </w:p>
        </w:tc>
        <w:tc>
          <w:tcPr>
            <w:tcW w:w="8068" w:type="dxa"/>
            <w:vAlign w:val="center"/>
          </w:tcPr>
          <w:p w14:paraId="3CB89522">
            <w:pPr>
              <w:jc w:val="left"/>
              <w:rPr>
                <w:rFonts w:ascii="宋体" w:hAnsi="宋体"/>
                <w:color w:val="auto"/>
                <w:szCs w:val="21"/>
                <w:highlight w:val="none"/>
              </w:rPr>
            </w:pPr>
            <w:r>
              <w:rPr>
                <w:rFonts w:ascii="宋体" w:hAnsi="宋体"/>
                <w:color w:val="auto"/>
                <w:szCs w:val="21"/>
                <w:highlight w:val="none"/>
              </w:rPr>
              <w:t>投标人必须提供参加政府采购活动前3年内在经营活动中没有重大违法记录的书面声明（重大违法记录，是指</w:t>
            </w:r>
            <w:r>
              <w:rPr>
                <w:rFonts w:hint="eastAsia" w:ascii="宋体" w:hAnsi="宋体"/>
                <w:color w:val="auto"/>
                <w:szCs w:val="21"/>
                <w:highlight w:val="none"/>
              </w:rPr>
              <w:t>投标人</w:t>
            </w:r>
            <w:r>
              <w:rPr>
                <w:rFonts w:ascii="宋体" w:hAnsi="宋体"/>
                <w:color w:val="auto"/>
                <w:szCs w:val="21"/>
                <w:highlight w:val="none"/>
              </w:rPr>
              <w:t>因违法经营受到刑事处罚或者责令停产停业、吊销许可证或者执照、较大数额罚款等行政处罚）</w:t>
            </w:r>
            <w:r>
              <w:rPr>
                <w:rFonts w:hint="eastAsia" w:ascii="宋体" w:hAnsi="宋体"/>
                <w:color w:val="auto"/>
                <w:szCs w:val="21"/>
                <w:highlight w:val="none"/>
              </w:rPr>
              <w:t>。</w:t>
            </w:r>
          </w:p>
        </w:tc>
      </w:tr>
      <w:tr w14:paraId="59DC70D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15" w:hRule="atLeast"/>
          <w:jc w:val="center"/>
        </w:trPr>
        <w:tc>
          <w:tcPr>
            <w:tcW w:w="655" w:type="dxa"/>
            <w:vMerge w:val="continue"/>
            <w:vAlign w:val="center"/>
          </w:tcPr>
          <w:p w14:paraId="2F391EE8">
            <w:pPr>
              <w:widowControl/>
              <w:jc w:val="left"/>
              <w:rPr>
                <w:rFonts w:ascii="宋体" w:hAnsi="宋体"/>
                <w:b/>
                <w:color w:val="auto"/>
                <w:szCs w:val="21"/>
                <w:highlight w:val="none"/>
              </w:rPr>
            </w:pPr>
          </w:p>
        </w:tc>
        <w:tc>
          <w:tcPr>
            <w:tcW w:w="8631" w:type="dxa"/>
            <w:gridSpan w:val="2"/>
            <w:vAlign w:val="center"/>
          </w:tcPr>
          <w:p w14:paraId="0036CE84">
            <w:pPr>
              <w:jc w:val="left"/>
              <w:rPr>
                <w:rFonts w:ascii="宋体" w:hAnsi="宋体"/>
                <w:b/>
                <w:bCs/>
                <w:color w:val="auto"/>
                <w:szCs w:val="21"/>
                <w:highlight w:val="none"/>
              </w:rPr>
            </w:pPr>
            <w:r>
              <w:rPr>
                <w:rFonts w:hint="eastAsia" w:ascii="宋体" w:hAnsi="宋体"/>
                <w:b/>
                <w:color w:val="auto"/>
                <w:szCs w:val="21"/>
                <w:highlight w:val="none"/>
              </w:rPr>
              <w:t>落实政府采购政策需满足的资格要求：</w:t>
            </w:r>
            <w:r>
              <w:rPr>
                <w:rFonts w:hint="eastAsia" w:ascii="宋体" w:hAnsi="宋体" w:eastAsia="宋体" w:cs="Times New Roman"/>
                <w:b/>
                <w:bCs/>
                <w:color w:val="auto"/>
                <w:szCs w:val="21"/>
                <w:highlight w:val="none"/>
              </w:rPr>
              <w:t>本项目非专门面向中小企业采购的项目</w:t>
            </w:r>
            <w:r>
              <w:rPr>
                <w:rFonts w:hint="eastAsia" w:ascii="宋体" w:hAnsi="宋体"/>
                <w:color w:val="auto"/>
                <w:szCs w:val="21"/>
                <w:highlight w:val="none"/>
              </w:rPr>
              <w:t>。</w:t>
            </w:r>
          </w:p>
        </w:tc>
      </w:tr>
      <w:tr w14:paraId="649C39B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1" w:hRule="atLeast"/>
          <w:jc w:val="center"/>
        </w:trPr>
        <w:tc>
          <w:tcPr>
            <w:tcW w:w="655" w:type="dxa"/>
            <w:vMerge w:val="continue"/>
            <w:vAlign w:val="center"/>
          </w:tcPr>
          <w:p w14:paraId="2568BC9B">
            <w:pPr>
              <w:widowControl/>
              <w:jc w:val="left"/>
              <w:rPr>
                <w:rFonts w:ascii="宋体" w:hAnsi="宋体"/>
                <w:b/>
                <w:color w:val="auto"/>
                <w:szCs w:val="21"/>
                <w:highlight w:val="none"/>
              </w:rPr>
            </w:pPr>
          </w:p>
        </w:tc>
        <w:tc>
          <w:tcPr>
            <w:tcW w:w="8631" w:type="dxa"/>
            <w:gridSpan w:val="2"/>
            <w:vAlign w:val="center"/>
          </w:tcPr>
          <w:p w14:paraId="0646985A">
            <w:pPr>
              <w:rPr>
                <w:rFonts w:ascii="宋体" w:hAnsi="宋体"/>
                <w:b/>
                <w:color w:val="auto"/>
                <w:szCs w:val="21"/>
                <w:highlight w:val="none"/>
              </w:rPr>
            </w:pPr>
            <w:r>
              <w:rPr>
                <w:rFonts w:hint="eastAsia" w:ascii="宋体" w:hAnsi="宋体"/>
                <w:b/>
                <w:color w:val="auto"/>
                <w:szCs w:val="21"/>
                <w:highlight w:val="none"/>
              </w:rPr>
              <w:t>本项目的特定资格要求：</w:t>
            </w:r>
          </w:p>
        </w:tc>
      </w:tr>
      <w:tr w14:paraId="3C17F51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655" w:type="dxa"/>
            <w:vMerge w:val="continue"/>
            <w:vAlign w:val="center"/>
          </w:tcPr>
          <w:p w14:paraId="001E8371">
            <w:pPr>
              <w:widowControl/>
              <w:jc w:val="left"/>
              <w:rPr>
                <w:rFonts w:ascii="宋体" w:hAnsi="宋体"/>
                <w:b/>
                <w:color w:val="auto"/>
                <w:szCs w:val="21"/>
                <w:highlight w:val="none"/>
              </w:rPr>
            </w:pPr>
          </w:p>
        </w:tc>
        <w:tc>
          <w:tcPr>
            <w:tcW w:w="563" w:type="dxa"/>
            <w:vAlign w:val="center"/>
          </w:tcPr>
          <w:p w14:paraId="371CE704">
            <w:pPr>
              <w:spacing w:before="100" w:beforeAutospacing="1" w:after="100" w:afterAutospacing="1"/>
              <w:jc w:val="center"/>
              <w:rPr>
                <w:rFonts w:hint="eastAsia" w:ascii="宋体" w:hAnsi="宋体"/>
                <w:color w:val="auto"/>
                <w:szCs w:val="21"/>
                <w:highlight w:val="none"/>
              </w:rPr>
            </w:pPr>
            <w:r>
              <w:rPr>
                <w:rFonts w:hint="eastAsia" w:ascii="宋体" w:hAnsi="宋体"/>
                <w:color w:val="auto"/>
                <w:szCs w:val="21"/>
                <w:highlight w:val="none"/>
              </w:rPr>
              <w:t>3.</w:t>
            </w:r>
            <w:r>
              <w:rPr>
                <w:rFonts w:hint="eastAsia" w:ascii="宋体" w:hAnsi="宋体"/>
                <w:color w:val="auto"/>
                <w:szCs w:val="21"/>
                <w:highlight w:val="none"/>
                <w:lang w:val="en-US" w:eastAsia="zh-CN"/>
              </w:rPr>
              <w:t>1</w:t>
            </w:r>
          </w:p>
        </w:tc>
        <w:tc>
          <w:tcPr>
            <w:tcW w:w="8068" w:type="dxa"/>
            <w:vAlign w:val="center"/>
          </w:tcPr>
          <w:p w14:paraId="376628EA">
            <w:pPr>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投标人未被列入“信用中国”网站（www.creditchina.gov.cn）失信被执行人、重大税收违法失信主体、政府采购严重违法失信行为记录名单，及未被列入中国政府采购网（www.ccgp.gov.cn）“政府采购严重违法失信行为信息记录”。（以开标结束后代理机构对上述信用信息进行查询核对的结果为准）。</w:t>
            </w:r>
          </w:p>
        </w:tc>
      </w:tr>
      <w:tr w14:paraId="2257E11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655" w:type="dxa"/>
            <w:vMerge w:val="continue"/>
            <w:vAlign w:val="center"/>
          </w:tcPr>
          <w:p w14:paraId="6BF204EF">
            <w:pPr>
              <w:widowControl/>
              <w:jc w:val="left"/>
              <w:rPr>
                <w:rFonts w:ascii="宋体" w:hAnsi="宋体"/>
                <w:b/>
                <w:color w:val="auto"/>
                <w:szCs w:val="21"/>
                <w:highlight w:val="none"/>
              </w:rPr>
            </w:pPr>
          </w:p>
        </w:tc>
        <w:tc>
          <w:tcPr>
            <w:tcW w:w="563" w:type="dxa"/>
            <w:vAlign w:val="center"/>
          </w:tcPr>
          <w:p w14:paraId="0740B289">
            <w:pPr>
              <w:spacing w:before="100" w:beforeAutospacing="1" w:after="100" w:afterAutospacing="1"/>
              <w:jc w:val="center"/>
              <w:rPr>
                <w:rFonts w:hint="eastAsia" w:ascii="宋体" w:hAnsi="宋体" w:eastAsia="宋体"/>
                <w:color w:val="auto"/>
                <w:szCs w:val="21"/>
                <w:highlight w:val="none"/>
                <w:lang w:eastAsia="zh-CN"/>
              </w:rPr>
            </w:pPr>
            <w:r>
              <w:rPr>
                <w:rFonts w:hint="eastAsia" w:ascii="宋体" w:hAnsi="宋体"/>
                <w:color w:val="auto"/>
                <w:szCs w:val="21"/>
                <w:highlight w:val="none"/>
              </w:rPr>
              <w:t>3</w:t>
            </w:r>
            <w:r>
              <w:rPr>
                <w:rFonts w:ascii="宋体" w:hAnsi="宋体"/>
                <w:color w:val="auto"/>
                <w:szCs w:val="21"/>
                <w:highlight w:val="none"/>
              </w:rPr>
              <w:t>.</w:t>
            </w:r>
            <w:r>
              <w:rPr>
                <w:rFonts w:hint="eastAsia" w:ascii="宋体" w:hAnsi="宋体"/>
                <w:color w:val="auto"/>
                <w:szCs w:val="21"/>
                <w:highlight w:val="none"/>
                <w:lang w:val="en-US" w:eastAsia="zh-CN"/>
              </w:rPr>
              <w:t>2</w:t>
            </w:r>
          </w:p>
        </w:tc>
        <w:tc>
          <w:tcPr>
            <w:tcW w:w="8068" w:type="dxa"/>
            <w:vAlign w:val="center"/>
          </w:tcPr>
          <w:p w14:paraId="21D0E40A">
            <w:pPr>
              <w:jc w:val="left"/>
              <w:rPr>
                <w:rFonts w:ascii="宋体" w:hAnsi="宋体"/>
                <w:color w:val="auto"/>
                <w:szCs w:val="21"/>
                <w:highlight w:val="none"/>
              </w:rPr>
            </w:pPr>
            <w:r>
              <w:rPr>
                <w:rFonts w:hint="eastAsia" w:ascii="宋体" w:hAnsi="宋体" w:eastAsia="宋体" w:cs="Times New Roman"/>
                <w:color w:val="auto"/>
                <w:szCs w:val="21"/>
              </w:rPr>
              <w:t>单位负责人为同一人或者存在直接控股、管理关系的不同供应商，不得参加同一合同项下的政府采购活动</w:t>
            </w:r>
            <w:r>
              <w:rPr>
                <w:rFonts w:hint="eastAsia" w:ascii="宋体" w:hAnsi="宋体" w:eastAsia="宋体" w:cs="Times New Roman"/>
                <w:color w:val="auto"/>
                <w:szCs w:val="21"/>
                <w:lang w:eastAsia="zh-CN"/>
              </w:rPr>
              <w:t>；</w:t>
            </w:r>
            <w:r>
              <w:rPr>
                <w:rFonts w:hint="eastAsia" w:ascii="宋体" w:hAnsi="宋体" w:eastAsia="宋体" w:cs="Times New Roman"/>
                <w:color w:val="auto"/>
                <w:szCs w:val="21"/>
              </w:rPr>
              <w:t>为采购项目提供整体设计、规范编制或者项目管理、监理、检测等服务的投标人，不得再参加</w:t>
            </w:r>
            <w:r>
              <w:rPr>
                <w:rFonts w:hint="eastAsia" w:ascii="宋体" w:hAnsi="宋体" w:eastAsia="宋体" w:cs="Times New Roman"/>
                <w:color w:val="auto"/>
                <w:szCs w:val="21"/>
                <w:lang w:val="en-US" w:eastAsia="zh-CN"/>
              </w:rPr>
              <w:t>本</w:t>
            </w:r>
            <w:r>
              <w:rPr>
                <w:rFonts w:hint="eastAsia" w:ascii="宋体" w:hAnsi="宋体" w:eastAsia="宋体" w:cs="Times New Roman"/>
                <w:color w:val="auto"/>
                <w:szCs w:val="21"/>
              </w:rPr>
              <w:t>项目的采购活动</w:t>
            </w:r>
            <w:r>
              <w:rPr>
                <w:rFonts w:hint="eastAsia" w:ascii="宋体" w:hAnsi="宋体"/>
                <w:color w:val="auto"/>
                <w:szCs w:val="21"/>
                <w:highlight w:val="none"/>
              </w:rPr>
              <w:t>。</w:t>
            </w:r>
          </w:p>
        </w:tc>
      </w:tr>
      <w:tr w14:paraId="0707EA2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655" w:type="dxa"/>
            <w:vMerge w:val="continue"/>
            <w:vAlign w:val="center"/>
          </w:tcPr>
          <w:p w14:paraId="02B45C06">
            <w:pPr>
              <w:widowControl/>
              <w:jc w:val="left"/>
              <w:rPr>
                <w:rFonts w:ascii="宋体" w:hAnsi="宋体"/>
                <w:b/>
                <w:color w:val="auto"/>
                <w:szCs w:val="21"/>
                <w:highlight w:val="none"/>
              </w:rPr>
            </w:pPr>
          </w:p>
        </w:tc>
        <w:tc>
          <w:tcPr>
            <w:tcW w:w="563" w:type="dxa"/>
            <w:vAlign w:val="center"/>
          </w:tcPr>
          <w:p w14:paraId="22C13E58">
            <w:pPr>
              <w:spacing w:before="100" w:beforeAutospacing="1" w:after="100" w:afterAutospacing="1"/>
              <w:jc w:val="center"/>
              <w:rPr>
                <w:rFonts w:hint="eastAsia" w:ascii="宋体" w:hAnsi="宋体" w:eastAsia="宋体"/>
                <w:color w:val="auto"/>
                <w:szCs w:val="21"/>
                <w:highlight w:val="none"/>
                <w:lang w:eastAsia="zh-CN"/>
              </w:rPr>
            </w:pPr>
            <w:r>
              <w:rPr>
                <w:rFonts w:hint="eastAsia" w:ascii="宋体" w:hAnsi="宋体"/>
                <w:color w:val="auto"/>
                <w:szCs w:val="21"/>
                <w:highlight w:val="none"/>
              </w:rPr>
              <w:t>3</w:t>
            </w:r>
            <w:r>
              <w:rPr>
                <w:rFonts w:ascii="宋体" w:hAnsi="宋体"/>
                <w:color w:val="auto"/>
                <w:szCs w:val="21"/>
                <w:highlight w:val="none"/>
              </w:rPr>
              <w:t>.</w:t>
            </w:r>
            <w:r>
              <w:rPr>
                <w:rFonts w:hint="eastAsia" w:ascii="宋体" w:hAnsi="宋体"/>
                <w:color w:val="auto"/>
                <w:szCs w:val="21"/>
                <w:highlight w:val="none"/>
                <w:lang w:val="en-US" w:eastAsia="zh-CN"/>
              </w:rPr>
              <w:t>3</w:t>
            </w:r>
          </w:p>
        </w:tc>
        <w:tc>
          <w:tcPr>
            <w:tcW w:w="8068" w:type="dxa"/>
            <w:vAlign w:val="center"/>
          </w:tcPr>
          <w:p w14:paraId="416B955A">
            <w:pPr>
              <w:jc w:val="left"/>
              <w:rPr>
                <w:rFonts w:ascii="宋体" w:hAnsi="宋体"/>
                <w:color w:val="auto"/>
                <w:szCs w:val="21"/>
                <w:highlight w:val="none"/>
              </w:rPr>
            </w:pPr>
            <w:r>
              <w:rPr>
                <w:rFonts w:hint="eastAsia" w:ascii="宋体" w:hAnsi="宋体"/>
                <w:color w:val="auto"/>
                <w:szCs w:val="21"/>
                <w:highlight w:val="none"/>
              </w:rPr>
              <w:t>本项目</w:t>
            </w:r>
            <w:r>
              <w:rPr>
                <w:rFonts w:hint="eastAsia" w:ascii="宋体" w:hAnsi="宋体"/>
                <w:b/>
                <w:bCs/>
                <w:color w:val="auto"/>
                <w:szCs w:val="21"/>
                <w:highlight w:val="none"/>
              </w:rPr>
              <w:t>不接受</w:t>
            </w:r>
            <w:r>
              <w:rPr>
                <w:rFonts w:hint="eastAsia" w:ascii="宋体" w:hAnsi="宋体"/>
                <w:color w:val="auto"/>
                <w:szCs w:val="21"/>
                <w:highlight w:val="none"/>
              </w:rPr>
              <w:t>联合体投标。</w:t>
            </w:r>
          </w:p>
        </w:tc>
      </w:tr>
    </w:tbl>
    <w:p w14:paraId="059E2A2E">
      <w:pPr>
        <w:keepNext/>
        <w:tabs>
          <w:tab w:val="left" w:pos="360"/>
          <w:tab w:val="left" w:pos="1021"/>
        </w:tabs>
        <w:adjustRightInd w:val="0"/>
        <w:spacing w:line="360" w:lineRule="auto"/>
        <w:ind w:firstLine="210" w:firstLineChars="100"/>
        <w:textAlignment w:val="baseline"/>
        <w:outlineLvl w:val="1"/>
        <w:rPr>
          <w:rFonts w:hint="eastAsia" w:ascii="宋体" w:hAnsi="宋体" w:cs="宋体"/>
          <w:b/>
          <w:color w:val="auto"/>
          <w:kern w:val="0"/>
          <w:szCs w:val="21"/>
          <w:highlight w:val="none"/>
        </w:rPr>
      </w:pPr>
    </w:p>
    <w:p w14:paraId="2EB6A8FB">
      <w:pPr>
        <w:keepNext/>
        <w:tabs>
          <w:tab w:val="left" w:pos="360"/>
          <w:tab w:val="left" w:pos="1021"/>
        </w:tabs>
        <w:adjustRightInd w:val="0"/>
        <w:spacing w:line="360" w:lineRule="auto"/>
        <w:ind w:firstLine="210" w:firstLineChars="100"/>
        <w:textAlignment w:val="baseline"/>
        <w:outlineLvl w:val="1"/>
        <w:rPr>
          <w:rFonts w:ascii="宋体" w:hAnsi="宋体" w:cs="宋体"/>
          <w:b/>
          <w:color w:val="auto"/>
          <w:kern w:val="0"/>
          <w:szCs w:val="21"/>
          <w:highlight w:val="none"/>
        </w:rPr>
      </w:pPr>
      <w:r>
        <w:rPr>
          <w:rFonts w:hint="eastAsia" w:ascii="宋体" w:hAnsi="宋体" w:cs="宋体"/>
          <w:b/>
          <w:color w:val="auto"/>
          <w:kern w:val="0"/>
          <w:szCs w:val="21"/>
          <w:highlight w:val="none"/>
        </w:rPr>
        <w:t>1. 资格审查</w:t>
      </w:r>
      <w:bookmarkEnd w:id="148"/>
      <w:bookmarkEnd w:id="149"/>
      <w:bookmarkEnd w:id="150"/>
    </w:p>
    <w:p w14:paraId="452386D6">
      <w:pPr>
        <w:ind w:firstLine="420" w:firstLineChars="200"/>
        <w:rPr>
          <w:rFonts w:ascii="宋体" w:hAnsi="宋体" w:cs="宋体"/>
          <w:color w:val="auto"/>
          <w:szCs w:val="21"/>
          <w:highlight w:val="none"/>
        </w:rPr>
      </w:pPr>
      <w:r>
        <w:rPr>
          <w:rFonts w:hint="eastAsia" w:ascii="宋体" w:hAnsi="宋体" w:cs="宋体"/>
          <w:color w:val="auto"/>
          <w:szCs w:val="21"/>
          <w:highlight w:val="none"/>
        </w:rPr>
        <w:t>公开招标采购项目开标结束后，采购人或者采购代理机构依法对投标人的资格进行审查。</w:t>
      </w:r>
    </w:p>
    <w:p w14:paraId="40B8986D">
      <w:pPr>
        <w:keepNext/>
        <w:tabs>
          <w:tab w:val="left" w:pos="360"/>
          <w:tab w:val="left" w:pos="1021"/>
        </w:tabs>
        <w:adjustRightInd w:val="0"/>
        <w:spacing w:line="360" w:lineRule="auto"/>
        <w:ind w:firstLine="210" w:firstLineChars="100"/>
        <w:textAlignment w:val="baseline"/>
        <w:outlineLvl w:val="1"/>
        <w:rPr>
          <w:rFonts w:ascii="宋体" w:hAnsi="宋体" w:cs="宋体"/>
          <w:b/>
          <w:color w:val="auto"/>
          <w:kern w:val="0"/>
          <w:szCs w:val="21"/>
          <w:highlight w:val="none"/>
        </w:rPr>
      </w:pPr>
      <w:bookmarkStart w:id="151" w:name="_Toc30004"/>
      <w:bookmarkStart w:id="152" w:name="_Toc71666353"/>
      <w:bookmarkStart w:id="153" w:name="_Toc70446121"/>
      <w:r>
        <w:rPr>
          <w:rFonts w:hint="eastAsia" w:ascii="宋体" w:hAnsi="宋体" w:cs="宋体"/>
          <w:b/>
          <w:color w:val="auto"/>
          <w:kern w:val="0"/>
          <w:szCs w:val="21"/>
          <w:highlight w:val="none"/>
        </w:rPr>
        <w:t>2. 资格审查标准</w:t>
      </w:r>
      <w:bookmarkEnd w:id="151"/>
      <w:bookmarkEnd w:id="152"/>
      <w:bookmarkEnd w:id="153"/>
    </w:p>
    <w:p w14:paraId="17F9A659">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资格审查标准：依据法律法规和招标文件的规定，对投标文件中的资格条件以及证明文件等进行审查，以确定投标人是否具备投标资格；见资格审查前附表。</w:t>
      </w:r>
    </w:p>
    <w:p w14:paraId="12FDCAE7">
      <w:pPr>
        <w:keepNext/>
        <w:tabs>
          <w:tab w:val="left" w:pos="360"/>
          <w:tab w:val="left" w:pos="1021"/>
        </w:tabs>
        <w:adjustRightInd w:val="0"/>
        <w:spacing w:line="360" w:lineRule="auto"/>
        <w:ind w:firstLine="210" w:firstLineChars="100"/>
        <w:textAlignment w:val="baseline"/>
        <w:outlineLvl w:val="1"/>
        <w:rPr>
          <w:rFonts w:ascii="宋体" w:hAnsi="宋体" w:cs="宋体"/>
          <w:b/>
          <w:color w:val="auto"/>
          <w:kern w:val="0"/>
          <w:szCs w:val="21"/>
          <w:highlight w:val="none"/>
        </w:rPr>
      </w:pPr>
      <w:bookmarkStart w:id="154" w:name="_Toc71666354"/>
      <w:bookmarkStart w:id="155" w:name="_Toc17507"/>
      <w:bookmarkStart w:id="156" w:name="_Toc70446122"/>
      <w:r>
        <w:rPr>
          <w:rFonts w:hint="eastAsia" w:ascii="宋体" w:hAnsi="宋体" w:cs="宋体"/>
          <w:b/>
          <w:color w:val="auto"/>
          <w:kern w:val="0"/>
          <w:szCs w:val="21"/>
          <w:highlight w:val="none"/>
        </w:rPr>
        <w:t>3. 资格审查程序</w:t>
      </w:r>
      <w:bookmarkEnd w:id="154"/>
      <w:bookmarkEnd w:id="155"/>
      <w:bookmarkEnd w:id="156"/>
    </w:p>
    <w:p w14:paraId="5AF2B662">
      <w:pPr>
        <w:tabs>
          <w:tab w:val="left" w:pos="2472"/>
        </w:tabs>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采购人或采购代理机构依据本章规定的标准对投标文件进行资格审查。有一项不符合审查标准的，投标无效。</w:t>
      </w:r>
    </w:p>
    <w:p w14:paraId="764D7615">
      <w:pPr>
        <w:spacing w:before="100" w:beforeAutospacing="1" w:after="100" w:afterAutospacing="1" w:line="360" w:lineRule="auto"/>
        <w:ind w:firstLine="420" w:firstLineChars="200"/>
        <w:jc w:val="left"/>
        <w:rPr>
          <w:rFonts w:ascii="宋体" w:hAnsi="宋体" w:cs="宋体"/>
          <w:b/>
          <w:color w:val="auto"/>
          <w:szCs w:val="21"/>
          <w:highlight w:val="none"/>
          <w:u w:val="single"/>
        </w:rPr>
      </w:pPr>
      <w:r>
        <w:rPr>
          <w:rFonts w:hint="eastAsia" w:ascii="宋体" w:hAnsi="宋体" w:cs="宋体"/>
          <w:b/>
          <w:color w:val="auto"/>
          <w:szCs w:val="21"/>
          <w:highlight w:val="none"/>
          <w:u w:val="single"/>
        </w:rPr>
        <w:t>注：合格投标人不足3家的，不再进入评标程序，作废标处理。</w:t>
      </w:r>
    </w:p>
    <w:p w14:paraId="148BCEF1">
      <w:pPr>
        <w:spacing w:before="100" w:beforeAutospacing="1" w:after="100" w:afterAutospacing="1" w:line="360" w:lineRule="auto"/>
        <w:ind w:firstLine="480" w:firstLineChars="200"/>
        <w:jc w:val="left"/>
        <w:rPr>
          <w:rFonts w:ascii="宋体" w:hAnsi="宋体"/>
          <w:b/>
          <w:color w:val="auto"/>
          <w:sz w:val="24"/>
          <w:highlight w:val="none"/>
        </w:rPr>
      </w:pPr>
    </w:p>
    <w:p w14:paraId="21AB546F">
      <w:pPr>
        <w:keepNext/>
        <w:keepLines/>
        <w:tabs>
          <w:tab w:val="left" w:pos="360"/>
        </w:tabs>
        <w:adjustRightInd w:val="0"/>
        <w:spacing w:before="120" w:line="360" w:lineRule="auto"/>
        <w:ind w:left="284"/>
        <w:jc w:val="center"/>
        <w:textAlignment w:val="baseline"/>
        <w:outlineLvl w:val="0"/>
        <w:rPr>
          <w:rFonts w:ascii="宋体" w:hAnsi="宋体"/>
          <w:b/>
          <w:color w:val="auto"/>
          <w:szCs w:val="21"/>
          <w:highlight w:val="none"/>
        </w:rPr>
      </w:pPr>
      <w:r>
        <w:rPr>
          <w:rFonts w:ascii="宋体" w:hAnsi="宋体"/>
          <w:b/>
          <w:bCs/>
          <w:color w:val="auto"/>
          <w:kern w:val="44"/>
          <w:sz w:val="36"/>
          <w:szCs w:val="20"/>
          <w:highlight w:val="none"/>
        </w:rPr>
        <w:br w:type="page"/>
      </w:r>
      <w:bookmarkStart w:id="157" w:name="_Toc71666355"/>
      <w:r>
        <w:rPr>
          <w:rFonts w:hint="eastAsia" w:ascii="宋体" w:hAnsi="宋体"/>
          <w:b/>
          <w:bCs/>
          <w:color w:val="auto"/>
          <w:kern w:val="44"/>
          <w:sz w:val="36"/>
          <w:szCs w:val="20"/>
          <w:highlight w:val="none"/>
        </w:rPr>
        <w:t>第七章 评标方法（综合评分法）</w:t>
      </w:r>
      <w:bookmarkEnd w:id="157"/>
    </w:p>
    <w:p w14:paraId="5E4039D8">
      <w:pPr>
        <w:pStyle w:val="4"/>
        <w:numPr>
          <w:ilvl w:val="1"/>
          <w:numId w:val="0"/>
        </w:numPr>
        <w:tabs>
          <w:tab w:val="left" w:pos="360"/>
        </w:tabs>
        <w:spacing w:before="0"/>
        <w:jc w:val="center"/>
        <w:rPr>
          <w:rFonts w:ascii="宋体" w:hAnsi="宋体" w:eastAsia="宋体"/>
          <w:color w:val="auto"/>
          <w:highlight w:val="none"/>
        </w:rPr>
      </w:pPr>
      <w:bookmarkStart w:id="158" w:name="_Toc326218110"/>
      <w:bookmarkStart w:id="159" w:name="_Toc87521539"/>
      <w:r>
        <w:rPr>
          <w:rFonts w:ascii="宋体" w:hAnsi="宋体" w:eastAsia="宋体"/>
          <w:color w:val="auto"/>
          <w:highlight w:val="none"/>
        </w:rPr>
        <w:t>评标办法前附表</w:t>
      </w:r>
      <w:bookmarkEnd w:id="158"/>
      <w:bookmarkEnd w:id="159"/>
    </w:p>
    <w:tbl>
      <w:tblPr>
        <w:tblStyle w:val="32"/>
        <w:tblW w:w="10181" w:type="dxa"/>
        <w:jc w:val="cente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680"/>
        <w:gridCol w:w="1521"/>
        <w:gridCol w:w="1560"/>
        <w:gridCol w:w="6420"/>
      </w:tblGrid>
      <w:tr w14:paraId="78DA8837">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2201" w:type="dxa"/>
            <w:gridSpan w:val="2"/>
            <w:vAlign w:val="center"/>
          </w:tcPr>
          <w:p w14:paraId="1DA26D4D">
            <w:pPr>
              <w:spacing w:line="360" w:lineRule="auto"/>
              <w:jc w:val="center"/>
              <w:rPr>
                <w:rFonts w:ascii="宋体" w:hAnsi="宋体"/>
                <w:b/>
                <w:color w:val="auto"/>
                <w:szCs w:val="21"/>
                <w:highlight w:val="none"/>
              </w:rPr>
            </w:pPr>
            <w:bookmarkStart w:id="160" w:name="_Toc87521540"/>
            <w:r>
              <w:rPr>
                <w:rFonts w:ascii="宋体" w:hAnsi="宋体"/>
                <w:b/>
                <w:color w:val="auto"/>
                <w:szCs w:val="21"/>
                <w:highlight w:val="none"/>
              </w:rPr>
              <w:t>条款号</w:t>
            </w:r>
          </w:p>
        </w:tc>
        <w:tc>
          <w:tcPr>
            <w:tcW w:w="1560" w:type="dxa"/>
            <w:vAlign w:val="center"/>
          </w:tcPr>
          <w:p w14:paraId="0F38A5EE">
            <w:pPr>
              <w:spacing w:line="360" w:lineRule="auto"/>
              <w:jc w:val="center"/>
              <w:rPr>
                <w:rFonts w:ascii="宋体" w:hAnsi="宋体"/>
                <w:b/>
                <w:color w:val="auto"/>
                <w:szCs w:val="21"/>
                <w:highlight w:val="none"/>
              </w:rPr>
            </w:pPr>
            <w:r>
              <w:rPr>
                <w:rFonts w:ascii="宋体" w:hAnsi="宋体"/>
                <w:b/>
                <w:color w:val="auto"/>
                <w:szCs w:val="21"/>
                <w:highlight w:val="none"/>
              </w:rPr>
              <w:t>评审因素</w:t>
            </w:r>
          </w:p>
        </w:tc>
        <w:tc>
          <w:tcPr>
            <w:tcW w:w="6420" w:type="dxa"/>
            <w:vAlign w:val="center"/>
          </w:tcPr>
          <w:p w14:paraId="4BB48D75">
            <w:pPr>
              <w:spacing w:line="360" w:lineRule="auto"/>
              <w:jc w:val="center"/>
              <w:rPr>
                <w:rFonts w:ascii="宋体" w:hAnsi="宋体"/>
                <w:b/>
                <w:color w:val="auto"/>
                <w:szCs w:val="21"/>
                <w:highlight w:val="none"/>
              </w:rPr>
            </w:pPr>
            <w:r>
              <w:rPr>
                <w:rFonts w:ascii="宋体" w:hAnsi="宋体"/>
                <w:b/>
                <w:color w:val="auto"/>
                <w:szCs w:val="21"/>
                <w:highlight w:val="none"/>
              </w:rPr>
              <w:t>评审标准</w:t>
            </w:r>
          </w:p>
        </w:tc>
      </w:tr>
      <w:tr w14:paraId="52DD5DE7">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58" w:hRule="atLeast"/>
          <w:jc w:val="center"/>
        </w:trPr>
        <w:tc>
          <w:tcPr>
            <w:tcW w:w="680" w:type="dxa"/>
            <w:vMerge w:val="restart"/>
            <w:vAlign w:val="center"/>
          </w:tcPr>
          <w:p w14:paraId="7B04AF44">
            <w:pPr>
              <w:spacing w:line="360" w:lineRule="auto"/>
              <w:jc w:val="center"/>
              <w:rPr>
                <w:rFonts w:ascii="宋体" w:hAnsi="宋体"/>
                <w:color w:val="auto"/>
                <w:szCs w:val="21"/>
                <w:highlight w:val="none"/>
              </w:rPr>
            </w:pPr>
            <w:r>
              <w:rPr>
                <w:rFonts w:hint="eastAsia" w:ascii="宋体" w:hAnsi="宋体"/>
                <w:color w:val="auto"/>
                <w:szCs w:val="21"/>
                <w:highlight w:val="none"/>
              </w:rPr>
              <w:t>3</w:t>
            </w:r>
            <w:r>
              <w:rPr>
                <w:rFonts w:ascii="宋体" w:hAnsi="宋体"/>
                <w:color w:val="auto"/>
                <w:szCs w:val="21"/>
                <w:highlight w:val="none"/>
              </w:rPr>
              <w:t>.1</w:t>
            </w:r>
          </w:p>
        </w:tc>
        <w:tc>
          <w:tcPr>
            <w:tcW w:w="1521" w:type="dxa"/>
            <w:vMerge w:val="restart"/>
            <w:vAlign w:val="center"/>
          </w:tcPr>
          <w:p w14:paraId="20D430D0">
            <w:pPr>
              <w:spacing w:line="360" w:lineRule="auto"/>
              <w:jc w:val="center"/>
              <w:rPr>
                <w:rFonts w:ascii="宋体" w:hAnsi="宋体"/>
                <w:color w:val="auto"/>
                <w:szCs w:val="21"/>
                <w:highlight w:val="none"/>
              </w:rPr>
            </w:pPr>
            <w:r>
              <w:rPr>
                <w:rFonts w:ascii="宋体" w:hAnsi="宋体"/>
                <w:color w:val="auto"/>
                <w:szCs w:val="21"/>
                <w:highlight w:val="none"/>
              </w:rPr>
              <w:t>符合性评审标准</w:t>
            </w:r>
          </w:p>
        </w:tc>
        <w:tc>
          <w:tcPr>
            <w:tcW w:w="7980" w:type="dxa"/>
            <w:gridSpan w:val="2"/>
            <w:vAlign w:val="center"/>
          </w:tcPr>
          <w:p w14:paraId="74FC5D3E">
            <w:pPr>
              <w:spacing w:line="360" w:lineRule="auto"/>
              <w:jc w:val="left"/>
              <w:rPr>
                <w:rFonts w:ascii="宋体" w:hAnsi="宋体"/>
                <w:color w:val="auto"/>
                <w:szCs w:val="21"/>
                <w:highlight w:val="none"/>
              </w:rPr>
            </w:pPr>
            <w:r>
              <w:rPr>
                <w:rFonts w:ascii="宋体" w:hAnsi="宋体"/>
                <w:b/>
                <w:color w:val="auto"/>
                <w:szCs w:val="21"/>
                <w:highlight w:val="none"/>
              </w:rPr>
              <w:t>投标人存在下列情况之一的，投标无效</w:t>
            </w:r>
            <w:r>
              <w:rPr>
                <w:rFonts w:hint="eastAsia" w:ascii="宋体" w:hAnsi="宋体"/>
                <w:b/>
                <w:color w:val="auto"/>
                <w:szCs w:val="21"/>
                <w:highlight w:val="none"/>
              </w:rPr>
              <w:t>：</w:t>
            </w:r>
          </w:p>
        </w:tc>
      </w:tr>
      <w:tr w14:paraId="6D2BBCD1">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65" w:hRule="atLeast"/>
          <w:jc w:val="center"/>
        </w:trPr>
        <w:tc>
          <w:tcPr>
            <w:tcW w:w="680" w:type="dxa"/>
            <w:vMerge w:val="continue"/>
            <w:vAlign w:val="center"/>
          </w:tcPr>
          <w:p w14:paraId="6B778A8F">
            <w:pPr>
              <w:spacing w:line="360" w:lineRule="auto"/>
              <w:jc w:val="center"/>
              <w:rPr>
                <w:rFonts w:ascii="宋体" w:hAnsi="宋体"/>
                <w:color w:val="auto"/>
                <w:szCs w:val="21"/>
                <w:highlight w:val="none"/>
              </w:rPr>
            </w:pPr>
          </w:p>
        </w:tc>
        <w:tc>
          <w:tcPr>
            <w:tcW w:w="1521" w:type="dxa"/>
            <w:vMerge w:val="continue"/>
            <w:vAlign w:val="center"/>
          </w:tcPr>
          <w:p w14:paraId="27D7FF9A">
            <w:pPr>
              <w:spacing w:line="360" w:lineRule="auto"/>
              <w:jc w:val="center"/>
              <w:rPr>
                <w:rFonts w:ascii="宋体" w:hAnsi="宋体"/>
                <w:color w:val="auto"/>
                <w:szCs w:val="21"/>
                <w:highlight w:val="none"/>
              </w:rPr>
            </w:pPr>
          </w:p>
        </w:tc>
        <w:tc>
          <w:tcPr>
            <w:tcW w:w="1560" w:type="dxa"/>
            <w:vAlign w:val="center"/>
          </w:tcPr>
          <w:p w14:paraId="7B80E6C7">
            <w:pPr>
              <w:spacing w:line="360" w:lineRule="auto"/>
              <w:jc w:val="center"/>
              <w:rPr>
                <w:rFonts w:ascii="宋体" w:hAnsi="宋体"/>
                <w:color w:val="auto"/>
                <w:szCs w:val="21"/>
                <w:highlight w:val="none"/>
              </w:rPr>
            </w:pPr>
            <w:r>
              <w:rPr>
                <w:rFonts w:hint="eastAsia" w:ascii="宋体" w:hAnsi="宋体"/>
                <w:color w:val="auto"/>
                <w:szCs w:val="21"/>
                <w:highlight w:val="none"/>
              </w:rPr>
              <w:t>保证金</w:t>
            </w:r>
          </w:p>
        </w:tc>
        <w:tc>
          <w:tcPr>
            <w:tcW w:w="6420" w:type="dxa"/>
            <w:vAlign w:val="center"/>
          </w:tcPr>
          <w:p w14:paraId="05161AC3">
            <w:pPr>
              <w:spacing w:line="360" w:lineRule="auto"/>
              <w:jc w:val="center"/>
              <w:rPr>
                <w:rFonts w:ascii="宋体" w:hAnsi="宋体"/>
                <w:color w:val="auto"/>
                <w:szCs w:val="21"/>
                <w:highlight w:val="none"/>
              </w:rPr>
            </w:pPr>
            <w:r>
              <w:rPr>
                <w:rFonts w:ascii="宋体" w:hAnsi="宋体"/>
                <w:color w:val="auto"/>
                <w:szCs w:val="21"/>
                <w:highlight w:val="none"/>
              </w:rPr>
              <w:t>未</w:t>
            </w:r>
            <w:bookmarkStart w:id="161" w:name="OLE_LINK28"/>
            <w:r>
              <w:rPr>
                <w:rFonts w:ascii="宋体" w:hAnsi="宋体"/>
                <w:color w:val="auto"/>
                <w:szCs w:val="21"/>
                <w:highlight w:val="none"/>
              </w:rPr>
              <w:t>按照招标文件的规定提交投标保证金的</w:t>
            </w:r>
            <w:bookmarkEnd w:id="161"/>
            <w:r>
              <w:rPr>
                <w:rFonts w:hint="eastAsia" w:ascii="宋体" w:hAnsi="宋体"/>
                <w:color w:val="auto"/>
                <w:szCs w:val="21"/>
                <w:highlight w:val="none"/>
              </w:rPr>
              <w:t>；</w:t>
            </w:r>
          </w:p>
        </w:tc>
      </w:tr>
      <w:tr w14:paraId="3C56C812">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31" w:hRule="atLeast"/>
          <w:jc w:val="center"/>
        </w:trPr>
        <w:tc>
          <w:tcPr>
            <w:tcW w:w="680" w:type="dxa"/>
            <w:vMerge w:val="continue"/>
            <w:vAlign w:val="center"/>
          </w:tcPr>
          <w:p w14:paraId="4F68E967">
            <w:pPr>
              <w:spacing w:line="360" w:lineRule="auto"/>
              <w:rPr>
                <w:rFonts w:ascii="宋体" w:hAnsi="宋体"/>
                <w:color w:val="auto"/>
                <w:highlight w:val="none"/>
              </w:rPr>
            </w:pPr>
          </w:p>
        </w:tc>
        <w:tc>
          <w:tcPr>
            <w:tcW w:w="1521" w:type="dxa"/>
            <w:vMerge w:val="continue"/>
            <w:vAlign w:val="center"/>
          </w:tcPr>
          <w:p w14:paraId="60DC3856">
            <w:pPr>
              <w:spacing w:line="360" w:lineRule="auto"/>
              <w:rPr>
                <w:rFonts w:ascii="宋体" w:hAnsi="宋体"/>
                <w:color w:val="auto"/>
                <w:highlight w:val="none"/>
              </w:rPr>
            </w:pPr>
          </w:p>
        </w:tc>
        <w:tc>
          <w:tcPr>
            <w:tcW w:w="1560" w:type="dxa"/>
            <w:vAlign w:val="center"/>
          </w:tcPr>
          <w:p w14:paraId="5CA100FF">
            <w:pPr>
              <w:spacing w:line="360" w:lineRule="auto"/>
              <w:jc w:val="center"/>
              <w:rPr>
                <w:rFonts w:ascii="宋体" w:hAnsi="宋体"/>
                <w:color w:val="auto"/>
                <w:szCs w:val="21"/>
                <w:highlight w:val="none"/>
              </w:rPr>
            </w:pPr>
            <w:r>
              <w:rPr>
                <w:rFonts w:ascii="宋体" w:hAnsi="宋体"/>
                <w:color w:val="auto"/>
                <w:szCs w:val="21"/>
                <w:highlight w:val="none"/>
              </w:rPr>
              <w:t>签署、盖章</w:t>
            </w:r>
          </w:p>
        </w:tc>
        <w:tc>
          <w:tcPr>
            <w:tcW w:w="6420" w:type="dxa"/>
            <w:vAlign w:val="center"/>
          </w:tcPr>
          <w:p w14:paraId="21A9D391">
            <w:pPr>
              <w:spacing w:line="360" w:lineRule="auto"/>
              <w:jc w:val="center"/>
              <w:rPr>
                <w:rFonts w:ascii="宋体" w:hAnsi="宋体"/>
                <w:color w:val="auto"/>
                <w:szCs w:val="21"/>
                <w:highlight w:val="none"/>
              </w:rPr>
            </w:pPr>
            <w:r>
              <w:rPr>
                <w:rFonts w:ascii="宋体" w:hAnsi="宋体"/>
                <w:color w:val="auto"/>
                <w:szCs w:val="21"/>
                <w:highlight w:val="none"/>
              </w:rPr>
              <w:t>投标文件未按招标文件要求签署、盖章的；</w:t>
            </w:r>
          </w:p>
        </w:tc>
      </w:tr>
      <w:tr w14:paraId="5D9462B0">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64" w:hRule="atLeast"/>
          <w:jc w:val="center"/>
        </w:trPr>
        <w:tc>
          <w:tcPr>
            <w:tcW w:w="680" w:type="dxa"/>
            <w:vMerge w:val="continue"/>
            <w:vAlign w:val="center"/>
          </w:tcPr>
          <w:p w14:paraId="17C070C1">
            <w:pPr>
              <w:spacing w:line="360" w:lineRule="auto"/>
              <w:rPr>
                <w:rFonts w:ascii="宋体" w:hAnsi="宋体"/>
                <w:color w:val="auto"/>
                <w:highlight w:val="none"/>
              </w:rPr>
            </w:pPr>
          </w:p>
        </w:tc>
        <w:tc>
          <w:tcPr>
            <w:tcW w:w="1521" w:type="dxa"/>
            <w:vMerge w:val="continue"/>
            <w:vAlign w:val="center"/>
          </w:tcPr>
          <w:p w14:paraId="4CC13413">
            <w:pPr>
              <w:spacing w:line="360" w:lineRule="auto"/>
              <w:rPr>
                <w:rFonts w:ascii="宋体" w:hAnsi="宋体"/>
                <w:color w:val="auto"/>
                <w:highlight w:val="none"/>
              </w:rPr>
            </w:pPr>
          </w:p>
        </w:tc>
        <w:tc>
          <w:tcPr>
            <w:tcW w:w="1560" w:type="dxa"/>
            <w:vAlign w:val="center"/>
          </w:tcPr>
          <w:p w14:paraId="19FC0DE8">
            <w:pPr>
              <w:spacing w:line="360" w:lineRule="auto"/>
              <w:jc w:val="center"/>
              <w:rPr>
                <w:rFonts w:ascii="宋体" w:hAnsi="宋体"/>
                <w:color w:val="auto"/>
                <w:highlight w:val="none"/>
              </w:rPr>
            </w:pPr>
            <w:r>
              <w:rPr>
                <w:rFonts w:ascii="宋体" w:hAnsi="宋体"/>
                <w:color w:val="auto"/>
                <w:szCs w:val="21"/>
                <w:highlight w:val="none"/>
              </w:rPr>
              <w:t>投标报价</w:t>
            </w:r>
          </w:p>
        </w:tc>
        <w:tc>
          <w:tcPr>
            <w:tcW w:w="6420" w:type="dxa"/>
            <w:vAlign w:val="center"/>
          </w:tcPr>
          <w:p w14:paraId="1BEFE135">
            <w:pPr>
              <w:spacing w:line="360" w:lineRule="auto"/>
              <w:jc w:val="center"/>
              <w:rPr>
                <w:rFonts w:ascii="宋体" w:hAnsi="宋体"/>
                <w:color w:val="auto"/>
                <w:szCs w:val="21"/>
                <w:highlight w:val="none"/>
              </w:rPr>
            </w:pPr>
            <w:r>
              <w:rPr>
                <w:rFonts w:ascii="宋体" w:hAnsi="宋体"/>
                <w:color w:val="auto"/>
                <w:szCs w:val="21"/>
                <w:highlight w:val="none"/>
              </w:rPr>
              <w:t>报价超过招标文件中规定的预算金额或者最高限价的；</w:t>
            </w:r>
          </w:p>
        </w:tc>
      </w:tr>
      <w:tr w14:paraId="37360314">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64" w:hRule="atLeast"/>
          <w:jc w:val="center"/>
        </w:trPr>
        <w:tc>
          <w:tcPr>
            <w:tcW w:w="680" w:type="dxa"/>
            <w:vMerge w:val="continue"/>
            <w:vAlign w:val="center"/>
          </w:tcPr>
          <w:p w14:paraId="35D4D45F">
            <w:pPr>
              <w:spacing w:line="360" w:lineRule="auto"/>
              <w:rPr>
                <w:rFonts w:ascii="宋体" w:hAnsi="宋体"/>
                <w:color w:val="auto"/>
                <w:highlight w:val="none"/>
              </w:rPr>
            </w:pPr>
          </w:p>
        </w:tc>
        <w:tc>
          <w:tcPr>
            <w:tcW w:w="1521" w:type="dxa"/>
            <w:vMerge w:val="continue"/>
            <w:vAlign w:val="center"/>
          </w:tcPr>
          <w:p w14:paraId="71483807">
            <w:pPr>
              <w:spacing w:line="360" w:lineRule="auto"/>
              <w:rPr>
                <w:rFonts w:ascii="宋体" w:hAnsi="宋体"/>
                <w:color w:val="auto"/>
                <w:highlight w:val="none"/>
              </w:rPr>
            </w:pPr>
          </w:p>
        </w:tc>
        <w:tc>
          <w:tcPr>
            <w:tcW w:w="1560" w:type="dxa"/>
            <w:vAlign w:val="center"/>
          </w:tcPr>
          <w:p w14:paraId="23A0FE4A">
            <w:pPr>
              <w:spacing w:line="360" w:lineRule="auto"/>
              <w:jc w:val="center"/>
              <w:rPr>
                <w:rFonts w:ascii="宋体" w:hAnsi="宋体"/>
                <w:color w:val="auto"/>
                <w:szCs w:val="21"/>
                <w:highlight w:val="none"/>
              </w:rPr>
            </w:pPr>
            <w:r>
              <w:rPr>
                <w:rFonts w:ascii="宋体" w:hAnsi="宋体"/>
                <w:color w:val="auto"/>
                <w:szCs w:val="21"/>
                <w:highlight w:val="none"/>
              </w:rPr>
              <w:t>实质性条件</w:t>
            </w:r>
          </w:p>
        </w:tc>
        <w:tc>
          <w:tcPr>
            <w:tcW w:w="6420" w:type="dxa"/>
            <w:vAlign w:val="center"/>
          </w:tcPr>
          <w:p w14:paraId="3315F58B">
            <w:pPr>
              <w:spacing w:line="360" w:lineRule="auto"/>
              <w:jc w:val="center"/>
              <w:rPr>
                <w:rFonts w:ascii="宋体" w:hAnsi="宋体"/>
                <w:color w:val="auto"/>
                <w:szCs w:val="21"/>
                <w:highlight w:val="none"/>
              </w:rPr>
            </w:pPr>
            <w:r>
              <w:rPr>
                <w:rFonts w:ascii="宋体" w:hAnsi="宋体"/>
                <w:color w:val="auto"/>
                <w:szCs w:val="21"/>
                <w:highlight w:val="none"/>
              </w:rPr>
              <w:t>未实质性响应招标文件中标注</w:t>
            </w:r>
            <w:r>
              <w:rPr>
                <w:rFonts w:ascii="宋体" w:hAnsi="宋体" w:cs="Segoe UI Symbol"/>
                <w:color w:val="auto"/>
                <w:szCs w:val="21"/>
                <w:highlight w:val="none"/>
              </w:rPr>
              <w:t>★</w:t>
            </w:r>
            <w:r>
              <w:rPr>
                <w:rFonts w:ascii="宋体" w:hAnsi="宋体"/>
                <w:color w:val="auto"/>
                <w:szCs w:val="21"/>
                <w:highlight w:val="none"/>
              </w:rPr>
              <w:t>条款内容的；</w:t>
            </w:r>
          </w:p>
        </w:tc>
      </w:tr>
      <w:tr w14:paraId="17696FD3">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680" w:type="dxa"/>
            <w:vMerge w:val="continue"/>
            <w:vAlign w:val="center"/>
          </w:tcPr>
          <w:p w14:paraId="0812E02A">
            <w:pPr>
              <w:spacing w:line="360" w:lineRule="auto"/>
              <w:rPr>
                <w:rFonts w:ascii="宋体" w:hAnsi="宋体"/>
                <w:color w:val="auto"/>
                <w:highlight w:val="none"/>
              </w:rPr>
            </w:pPr>
          </w:p>
        </w:tc>
        <w:tc>
          <w:tcPr>
            <w:tcW w:w="1521" w:type="dxa"/>
            <w:vMerge w:val="continue"/>
            <w:vAlign w:val="center"/>
          </w:tcPr>
          <w:p w14:paraId="226A6379">
            <w:pPr>
              <w:spacing w:line="360" w:lineRule="auto"/>
              <w:rPr>
                <w:rFonts w:ascii="宋体" w:hAnsi="宋体"/>
                <w:color w:val="auto"/>
                <w:highlight w:val="none"/>
              </w:rPr>
            </w:pPr>
          </w:p>
        </w:tc>
        <w:tc>
          <w:tcPr>
            <w:tcW w:w="1560" w:type="dxa"/>
            <w:vAlign w:val="center"/>
          </w:tcPr>
          <w:p w14:paraId="48D9A0DC">
            <w:pPr>
              <w:spacing w:line="360" w:lineRule="auto"/>
              <w:jc w:val="center"/>
              <w:rPr>
                <w:rFonts w:ascii="宋体" w:hAnsi="宋体"/>
                <w:color w:val="auto"/>
                <w:szCs w:val="21"/>
                <w:highlight w:val="none"/>
              </w:rPr>
            </w:pPr>
            <w:r>
              <w:rPr>
                <w:rFonts w:ascii="宋体" w:hAnsi="宋体"/>
                <w:color w:val="auto"/>
                <w:szCs w:val="21"/>
                <w:highlight w:val="none"/>
              </w:rPr>
              <w:t>其他要求</w:t>
            </w:r>
          </w:p>
        </w:tc>
        <w:tc>
          <w:tcPr>
            <w:tcW w:w="6420" w:type="dxa"/>
            <w:vAlign w:val="center"/>
          </w:tcPr>
          <w:p w14:paraId="240BBA98">
            <w:pPr>
              <w:spacing w:line="360" w:lineRule="auto"/>
              <w:jc w:val="center"/>
              <w:rPr>
                <w:rFonts w:ascii="宋体" w:hAnsi="宋体"/>
                <w:color w:val="auto"/>
                <w:szCs w:val="21"/>
                <w:highlight w:val="none"/>
              </w:rPr>
            </w:pPr>
            <w:r>
              <w:rPr>
                <w:rFonts w:ascii="宋体" w:hAnsi="宋体"/>
                <w:color w:val="auto"/>
                <w:szCs w:val="21"/>
                <w:highlight w:val="none"/>
              </w:rPr>
              <w:t>投标文件含有采购人不能接受的附加条件的</w:t>
            </w:r>
            <w:r>
              <w:rPr>
                <w:rFonts w:hint="eastAsia" w:ascii="宋体" w:hAnsi="宋体"/>
                <w:color w:val="auto"/>
                <w:szCs w:val="21"/>
                <w:highlight w:val="none"/>
              </w:rPr>
              <w:t>，</w:t>
            </w:r>
            <w:r>
              <w:rPr>
                <w:rFonts w:ascii="宋体" w:hAnsi="宋体"/>
                <w:color w:val="auto"/>
                <w:szCs w:val="21"/>
                <w:highlight w:val="none"/>
              </w:rPr>
              <w:t>法律、法规和招标文件规定的其他无效情形</w:t>
            </w:r>
            <w:r>
              <w:rPr>
                <w:rFonts w:hint="eastAsia" w:ascii="宋体" w:hAnsi="宋体"/>
                <w:color w:val="auto"/>
                <w:szCs w:val="21"/>
                <w:highlight w:val="none"/>
              </w:rPr>
              <w:t>。</w:t>
            </w:r>
          </w:p>
        </w:tc>
      </w:tr>
      <w:tr w14:paraId="1C78F79A">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2201" w:type="dxa"/>
            <w:gridSpan w:val="2"/>
            <w:vAlign w:val="center"/>
          </w:tcPr>
          <w:p w14:paraId="40AE41A0">
            <w:pPr>
              <w:spacing w:line="360" w:lineRule="auto"/>
              <w:jc w:val="center"/>
              <w:rPr>
                <w:rFonts w:ascii="宋体" w:hAnsi="宋体"/>
                <w:color w:val="auto"/>
                <w:szCs w:val="21"/>
                <w:highlight w:val="none"/>
              </w:rPr>
            </w:pPr>
            <w:r>
              <w:rPr>
                <w:rFonts w:ascii="宋体" w:hAnsi="宋体"/>
                <w:b/>
                <w:color w:val="auto"/>
                <w:szCs w:val="21"/>
                <w:highlight w:val="none"/>
              </w:rPr>
              <w:t>条款号</w:t>
            </w:r>
          </w:p>
        </w:tc>
        <w:tc>
          <w:tcPr>
            <w:tcW w:w="1560" w:type="dxa"/>
            <w:vAlign w:val="center"/>
          </w:tcPr>
          <w:p w14:paraId="6ACDA6DE">
            <w:pPr>
              <w:spacing w:line="360" w:lineRule="auto"/>
              <w:jc w:val="center"/>
              <w:rPr>
                <w:rFonts w:ascii="宋体" w:hAnsi="宋体"/>
                <w:b/>
                <w:color w:val="auto"/>
                <w:szCs w:val="21"/>
                <w:highlight w:val="none"/>
              </w:rPr>
            </w:pPr>
            <w:r>
              <w:rPr>
                <w:rFonts w:ascii="宋体" w:hAnsi="宋体"/>
                <w:b/>
                <w:color w:val="auto"/>
                <w:szCs w:val="21"/>
                <w:highlight w:val="none"/>
              </w:rPr>
              <w:t>条款内容</w:t>
            </w:r>
          </w:p>
        </w:tc>
        <w:tc>
          <w:tcPr>
            <w:tcW w:w="6420" w:type="dxa"/>
            <w:vAlign w:val="center"/>
          </w:tcPr>
          <w:p w14:paraId="2F5B4AEC">
            <w:pPr>
              <w:spacing w:line="360" w:lineRule="auto"/>
              <w:jc w:val="center"/>
              <w:rPr>
                <w:rFonts w:ascii="宋体" w:hAnsi="宋体"/>
                <w:b/>
                <w:color w:val="auto"/>
                <w:szCs w:val="21"/>
                <w:highlight w:val="none"/>
              </w:rPr>
            </w:pPr>
            <w:r>
              <w:rPr>
                <w:rFonts w:ascii="宋体" w:hAnsi="宋体"/>
                <w:b/>
                <w:color w:val="auto"/>
                <w:szCs w:val="21"/>
                <w:highlight w:val="none"/>
              </w:rPr>
              <w:t>编列内容</w:t>
            </w:r>
          </w:p>
        </w:tc>
      </w:tr>
      <w:tr w14:paraId="3D0AD7D3">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1349" w:hRule="atLeast"/>
          <w:jc w:val="center"/>
        </w:trPr>
        <w:tc>
          <w:tcPr>
            <w:tcW w:w="2201" w:type="dxa"/>
            <w:gridSpan w:val="2"/>
            <w:vMerge w:val="restart"/>
            <w:vAlign w:val="center"/>
          </w:tcPr>
          <w:p w14:paraId="2009D767">
            <w:pPr>
              <w:spacing w:line="360" w:lineRule="auto"/>
              <w:jc w:val="center"/>
              <w:rPr>
                <w:rFonts w:ascii="宋体" w:hAnsi="宋体"/>
                <w:color w:val="auto"/>
                <w:szCs w:val="21"/>
                <w:highlight w:val="none"/>
              </w:rPr>
            </w:pPr>
            <w:r>
              <w:rPr>
                <w:rFonts w:hint="eastAsia" w:ascii="宋体" w:hAnsi="宋体"/>
                <w:color w:val="auto"/>
                <w:szCs w:val="21"/>
                <w:highlight w:val="none"/>
              </w:rPr>
              <w:t>3</w:t>
            </w:r>
            <w:r>
              <w:rPr>
                <w:rFonts w:ascii="宋体" w:hAnsi="宋体"/>
                <w:color w:val="auto"/>
                <w:szCs w:val="21"/>
                <w:highlight w:val="none"/>
              </w:rPr>
              <w:t>.2.1</w:t>
            </w:r>
          </w:p>
        </w:tc>
        <w:tc>
          <w:tcPr>
            <w:tcW w:w="1560" w:type="dxa"/>
            <w:vMerge w:val="restart"/>
            <w:vAlign w:val="center"/>
          </w:tcPr>
          <w:p w14:paraId="7861E845">
            <w:pPr>
              <w:spacing w:line="360" w:lineRule="auto"/>
              <w:jc w:val="center"/>
              <w:rPr>
                <w:rFonts w:ascii="宋体" w:hAnsi="宋体"/>
                <w:color w:val="auto"/>
                <w:szCs w:val="21"/>
                <w:highlight w:val="none"/>
              </w:rPr>
            </w:pPr>
            <w:r>
              <w:rPr>
                <w:rFonts w:ascii="宋体" w:hAnsi="宋体"/>
                <w:color w:val="auto"/>
                <w:szCs w:val="21"/>
                <w:highlight w:val="none"/>
              </w:rPr>
              <w:t>分值构成</w:t>
            </w:r>
          </w:p>
          <w:p w14:paraId="341A08A1">
            <w:pPr>
              <w:spacing w:line="360" w:lineRule="auto"/>
              <w:jc w:val="center"/>
              <w:rPr>
                <w:rFonts w:ascii="宋体" w:hAnsi="宋体"/>
                <w:color w:val="auto"/>
                <w:szCs w:val="21"/>
                <w:highlight w:val="none"/>
              </w:rPr>
            </w:pPr>
            <w:r>
              <w:rPr>
                <w:rFonts w:ascii="宋体" w:hAnsi="宋体"/>
                <w:color w:val="auto"/>
                <w:szCs w:val="21"/>
                <w:highlight w:val="none"/>
              </w:rPr>
              <w:t>（满分100分）</w:t>
            </w:r>
          </w:p>
        </w:tc>
        <w:tc>
          <w:tcPr>
            <w:tcW w:w="6420" w:type="dxa"/>
            <w:vAlign w:val="center"/>
          </w:tcPr>
          <w:p w14:paraId="4A51B7C4">
            <w:pPr>
              <w:spacing w:line="360" w:lineRule="auto"/>
              <w:rPr>
                <w:rFonts w:ascii="宋体" w:hAnsi="宋体"/>
                <w:color w:val="auto"/>
                <w:szCs w:val="21"/>
                <w:highlight w:val="none"/>
              </w:rPr>
            </w:pPr>
            <w:r>
              <w:rPr>
                <w:rFonts w:ascii="宋体" w:hAnsi="宋体"/>
                <w:color w:val="auto"/>
                <w:szCs w:val="21"/>
                <w:highlight w:val="none"/>
              </w:rPr>
              <w:t>投标人的评标总得分＝</w:t>
            </w:r>
            <w:r>
              <w:rPr>
                <w:rFonts w:hint="eastAsia" w:ascii="宋体" w:hAnsi="宋体"/>
                <w:color w:val="auto"/>
                <w:szCs w:val="21"/>
                <w:highlight w:val="none"/>
              </w:rPr>
              <w:t>F1＋F2＋F3</w:t>
            </w:r>
          </w:p>
          <w:p w14:paraId="1EB6A324">
            <w:pPr>
              <w:spacing w:line="360" w:lineRule="auto"/>
              <w:rPr>
                <w:rFonts w:ascii="宋体" w:hAnsi="宋体"/>
                <w:color w:val="auto"/>
                <w:szCs w:val="21"/>
                <w:highlight w:val="none"/>
              </w:rPr>
            </w:pPr>
            <w:r>
              <w:rPr>
                <w:rFonts w:ascii="宋体" w:hAnsi="宋体"/>
                <w:color w:val="auto"/>
                <w:szCs w:val="21"/>
                <w:highlight w:val="none"/>
              </w:rPr>
              <w:t>其中：F1、F2、F3分别为投标报价、技术部分、商务部分3项评分因素的汇总得分；</w:t>
            </w:r>
          </w:p>
        </w:tc>
      </w:tr>
      <w:tr w14:paraId="0EC3E895">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2201" w:type="dxa"/>
            <w:gridSpan w:val="2"/>
            <w:vMerge w:val="continue"/>
            <w:vAlign w:val="center"/>
          </w:tcPr>
          <w:p w14:paraId="744AD56F">
            <w:pPr>
              <w:spacing w:line="360" w:lineRule="auto"/>
              <w:jc w:val="center"/>
              <w:rPr>
                <w:rFonts w:ascii="宋体" w:hAnsi="宋体"/>
                <w:color w:val="auto"/>
                <w:szCs w:val="21"/>
                <w:highlight w:val="none"/>
              </w:rPr>
            </w:pPr>
          </w:p>
        </w:tc>
        <w:tc>
          <w:tcPr>
            <w:tcW w:w="1560" w:type="dxa"/>
            <w:vMerge w:val="continue"/>
            <w:vAlign w:val="center"/>
          </w:tcPr>
          <w:p w14:paraId="6D1F522D">
            <w:pPr>
              <w:spacing w:line="360" w:lineRule="auto"/>
              <w:jc w:val="center"/>
              <w:rPr>
                <w:rFonts w:ascii="宋体" w:hAnsi="宋体"/>
                <w:color w:val="auto"/>
                <w:szCs w:val="21"/>
                <w:highlight w:val="none"/>
              </w:rPr>
            </w:pPr>
          </w:p>
        </w:tc>
        <w:tc>
          <w:tcPr>
            <w:tcW w:w="6420" w:type="dxa"/>
            <w:vAlign w:val="center"/>
          </w:tcPr>
          <w:p w14:paraId="29FC58E9">
            <w:pPr>
              <w:spacing w:line="360" w:lineRule="auto"/>
              <w:rPr>
                <w:rFonts w:ascii="宋体" w:hAnsi="宋体"/>
                <w:color w:val="auto"/>
                <w:szCs w:val="21"/>
                <w:highlight w:val="none"/>
              </w:rPr>
            </w:pPr>
            <w:r>
              <w:rPr>
                <w:rFonts w:ascii="宋体" w:hAnsi="宋体"/>
                <w:color w:val="auto"/>
                <w:szCs w:val="21"/>
                <w:highlight w:val="none"/>
              </w:rPr>
              <w:t>投标报价F1：满分</w:t>
            </w:r>
            <w:r>
              <w:rPr>
                <w:rFonts w:hint="eastAsia" w:ascii="宋体" w:hAnsi="宋体"/>
                <w:color w:val="auto"/>
                <w:szCs w:val="21"/>
                <w:highlight w:val="none"/>
                <w:lang w:val="en-US" w:eastAsia="zh-CN"/>
              </w:rPr>
              <w:t>10</w:t>
            </w:r>
            <w:r>
              <w:rPr>
                <w:rFonts w:ascii="宋体" w:hAnsi="宋体"/>
                <w:color w:val="auto"/>
                <w:szCs w:val="21"/>
                <w:highlight w:val="none"/>
              </w:rPr>
              <w:t>分</w:t>
            </w:r>
            <w:r>
              <w:rPr>
                <w:rFonts w:hint="eastAsia" w:ascii="宋体" w:hAnsi="宋体"/>
                <w:color w:val="auto"/>
                <w:szCs w:val="21"/>
                <w:highlight w:val="none"/>
              </w:rPr>
              <w:t>；</w:t>
            </w:r>
          </w:p>
          <w:p w14:paraId="1C904895">
            <w:pPr>
              <w:spacing w:line="360" w:lineRule="auto"/>
              <w:rPr>
                <w:rFonts w:ascii="宋体" w:hAnsi="宋体"/>
                <w:color w:val="auto"/>
                <w:szCs w:val="21"/>
                <w:highlight w:val="none"/>
              </w:rPr>
            </w:pPr>
            <w:r>
              <w:rPr>
                <w:rFonts w:ascii="宋体" w:hAnsi="宋体"/>
                <w:color w:val="auto"/>
                <w:szCs w:val="21"/>
                <w:highlight w:val="none"/>
              </w:rPr>
              <w:t>技术部分F2：满分</w:t>
            </w:r>
            <w:r>
              <w:rPr>
                <w:rFonts w:hint="eastAsia" w:ascii="宋体" w:hAnsi="宋体"/>
                <w:color w:val="auto"/>
                <w:szCs w:val="21"/>
                <w:highlight w:val="none"/>
                <w:lang w:val="en-US" w:eastAsia="zh-CN"/>
              </w:rPr>
              <w:t>87</w:t>
            </w:r>
            <w:r>
              <w:rPr>
                <w:rFonts w:ascii="宋体" w:hAnsi="宋体"/>
                <w:color w:val="auto"/>
                <w:szCs w:val="21"/>
                <w:highlight w:val="none"/>
              </w:rPr>
              <w:t>分</w:t>
            </w:r>
            <w:r>
              <w:rPr>
                <w:rFonts w:hint="eastAsia" w:ascii="宋体" w:hAnsi="宋体"/>
                <w:color w:val="auto"/>
                <w:szCs w:val="21"/>
                <w:highlight w:val="none"/>
              </w:rPr>
              <w:t>；</w:t>
            </w:r>
          </w:p>
          <w:p w14:paraId="2F27DA81">
            <w:pPr>
              <w:spacing w:line="360" w:lineRule="auto"/>
              <w:rPr>
                <w:rFonts w:hint="eastAsia" w:ascii="宋体" w:hAnsi="宋体" w:eastAsia="宋体"/>
                <w:color w:val="auto"/>
                <w:szCs w:val="21"/>
                <w:highlight w:val="none"/>
                <w:lang w:val="en-US" w:eastAsia="zh-CN"/>
              </w:rPr>
            </w:pPr>
            <w:r>
              <w:rPr>
                <w:rFonts w:hint="eastAsia" w:ascii="宋体" w:hAnsi="宋体"/>
                <w:color w:val="auto"/>
                <w:szCs w:val="21"/>
                <w:highlight w:val="none"/>
              </w:rPr>
              <w:t>商务部分F3：</w:t>
            </w:r>
            <w:r>
              <w:rPr>
                <w:rFonts w:ascii="宋体" w:hAnsi="宋体"/>
                <w:color w:val="auto"/>
                <w:szCs w:val="21"/>
                <w:highlight w:val="none"/>
              </w:rPr>
              <w:t>满分</w:t>
            </w:r>
            <w:r>
              <w:rPr>
                <w:rFonts w:hint="eastAsia" w:ascii="宋体" w:hAnsi="宋体"/>
                <w:color w:val="auto"/>
                <w:szCs w:val="21"/>
                <w:highlight w:val="none"/>
                <w:lang w:val="en-US" w:eastAsia="zh-CN"/>
              </w:rPr>
              <w:t>3</w:t>
            </w:r>
            <w:r>
              <w:rPr>
                <w:rFonts w:ascii="宋体" w:hAnsi="宋体"/>
                <w:color w:val="auto"/>
                <w:szCs w:val="21"/>
                <w:highlight w:val="none"/>
              </w:rPr>
              <w:t>分</w:t>
            </w:r>
            <w:r>
              <w:rPr>
                <w:rFonts w:hint="eastAsia" w:ascii="宋体" w:hAnsi="宋体"/>
                <w:color w:val="auto"/>
                <w:szCs w:val="21"/>
                <w:highlight w:val="none"/>
                <w:lang w:eastAsia="zh-CN"/>
              </w:rPr>
              <w:t>。</w:t>
            </w:r>
          </w:p>
        </w:tc>
      </w:tr>
      <w:tr w14:paraId="28C9FE98">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1013" w:hRule="atLeast"/>
          <w:jc w:val="center"/>
        </w:trPr>
        <w:tc>
          <w:tcPr>
            <w:tcW w:w="680" w:type="dxa"/>
            <w:vAlign w:val="center"/>
          </w:tcPr>
          <w:p w14:paraId="5AF962CB">
            <w:pPr>
              <w:spacing w:line="360" w:lineRule="auto"/>
              <w:rPr>
                <w:rFonts w:ascii="宋体" w:hAnsi="宋体"/>
                <w:color w:val="auto"/>
                <w:highlight w:val="none"/>
              </w:rPr>
            </w:pPr>
            <w:r>
              <w:rPr>
                <w:rFonts w:hint="eastAsia" w:ascii="宋体" w:hAnsi="宋体"/>
                <w:color w:val="auto"/>
                <w:szCs w:val="21"/>
                <w:highlight w:val="none"/>
              </w:rPr>
              <w:t>3</w:t>
            </w:r>
            <w:r>
              <w:rPr>
                <w:rFonts w:ascii="宋体" w:hAnsi="宋体"/>
                <w:color w:val="auto"/>
                <w:szCs w:val="21"/>
                <w:highlight w:val="none"/>
              </w:rPr>
              <w:t>.2.2（1）</w:t>
            </w:r>
          </w:p>
        </w:tc>
        <w:tc>
          <w:tcPr>
            <w:tcW w:w="1521" w:type="dxa"/>
            <w:vAlign w:val="center"/>
          </w:tcPr>
          <w:p w14:paraId="0347CBB9">
            <w:pPr>
              <w:spacing w:line="360" w:lineRule="auto"/>
              <w:jc w:val="center"/>
              <w:rPr>
                <w:rFonts w:ascii="宋体" w:hAnsi="宋体"/>
                <w:color w:val="auto"/>
                <w:szCs w:val="21"/>
                <w:highlight w:val="none"/>
              </w:rPr>
            </w:pPr>
            <w:r>
              <w:rPr>
                <w:rFonts w:ascii="宋体" w:hAnsi="宋体"/>
                <w:color w:val="auto"/>
                <w:szCs w:val="21"/>
                <w:highlight w:val="none"/>
              </w:rPr>
              <w:t>投标报价F1评分标准</w:t>
            </w:r>
          </w:p>
          <w:p w14:paraId="04229F85">
            <w:pPr>
              <w:spacing w:line="360" w:lineRule="auto"/>
              <w:jc w:val="center"/>
              <w:rPr>
                <w:rFonts w:ascii="宋体" w:hAnsi="宋体"/>
                <w:color w:val="auto"/>
                <w:szCs w:val="21"/>
                <w:highlight w:val="none"/>
              </w:rPr>
            </w:pPr>
            <w:r>
              <w:rPr>
                <w:rFonts w:ascii="宋体" w:hAnsi="宋体"/>
                <w:color w:val="auto"/>
                <w:szCs w:val="21"/>
                <w:highlight w:val="none"/>
              </w:rPr>
              <w:t>（满分</w:t>
            </w:r>
            <w:r>
              <w:rPr>
                <w:rFonts w:hint="eastAsia" w:ascii="宋体" w:hAnsi="宋体"/>
                <w:color w:val="auto"/>
                <w:szCs w:val="21"/>
                <w:highlight w:val="none"/>
                <w:lang w:val="en-US" w:eastAsia="zh-CN"/>
              </w:rPr>
              <w:t>10</w:t>
            </w:r>
            <w:r>
              <w:rPr>
                <w:rFonts w:ascii="宋体" w:hAnsi="宋体"/>
                <w:color w:val="auto"/>
                <w:szCs w:val="21"/>
                <w:highlight w:val="none"/>
              </w:rPr>
              <w:t>分）</w:t>
            </w:r>
          </w:p>
        </w:tc>
        <w:tc>
          <w:tcPr>
            <w:tcW w:w="1560" w:type="dxa"/>
            <w:vAlign w:val="center"/>
          </w:tcPr>
          <w:p w14:paraId="1034BE8A">
            <w:pPr>
              <w:spacing w:line="360" w:lineRule="auto"/>
              <w:jc w:val="center"/>
              <w:rPr>
                <w:rFonts w:ascii="宋体" w:hAnsi="宋体"/>
                <w:color w:val="auto"/>
                <w:szCs w:val="21"/>
                <w:highlight w:val="none"/>
              </w:rPr>
            </w:pPr>
            <w:r>
              <w:rPr>
                <w:rFonts w:ascii="宋体" w:hAnsi="宋体"/>
                <w:color w:val="auto"/>
                <w:szCs w:val="21"/>
                <w:highlight w:val="none"/>
              </w:rPr>
              <w:t>投标报价评分计算公式</w:t>
            </w:r>
          </w:p>
          <w:p w14:paraId="1D7CBA85">
            <w:pPr>
              <w:spacing w:line="360" w:lineRule="auto"/>
              <w:rPr>
                <w:rFonts w:ascii="宋体" w:hAnsi="宋体"/>
                <w:color w:val="auto"/>
                <w:highlight w:val="none"/>
              </w:rPr>
            </w:pPr>
            <w:r>
              <w:rPr>
                <w:rFonts w:ascii="宋体" w:hAnsi="宋体"/>
                <w:color w:val="auto"/>
                <w:szCs w:val="21"/>
                <w:highlight w:val="none"/>
              </w:rPr>
              <w:t>（满分</w:t>
            </w:r>
            <w:r>
              <w:rPr>
                <w:rFonts w:hint="eastAsia" w:ascii="宋体" w:hAnsi="宋体"/>
                <w:color w:val="auto"/>
                <w:szCs w:val="21"/>
                <w:highlight w:val="none"/>
                <w:lang w:val="en-US" w:eastAsia="zh-CN"/>
              </w:rPr>
              <w:t>10</w:t>
            </w:r>
            <w:r>
              <w:rPr>
                <w:rFonts w:ascii="宋体" w:hAnsi="宋体"/>
                <w:color w:val="auto"/>
                <w:szCs w:val="21"/>
                <w:highlight w:val="none"/>
              </w:rPr>
              <w:t>分）</w:t>
            </w:r>
          </w:p>
        </w:tc>
        <w:tc>
          <w:tcPr>
            <w:tcW w:w="6420" w:type="dxa"/>
            <w:vAlign w:val="center"/>
          </w:tcPr>
          <w:p w14:paraId="70DEEEB2">
            <w:pPr>
              <w:spacing w:line="360" w:lineRule="auto"/>
              <w:rPr>
                <w:rFonts w:hint="eastAsia"/>
                <w:color w:val="auto"/>
              </w:rPr>
            </w:pPr>
            <w:r>
              <w:rPr>
                <w:rFonts w:hint="eastAsia"/>
                <w:color w:val="auto"/>
              </w:rPr>
              <w:t>投标报价的计算方式：</w:t>
            </w:r>
          </w:p>
          <w:p w14:paraId="33A32CD4">
            <w:pPr>
              <w:spacing w:line="360" w:lineRule="auto"/>
              <w:rPr>
                <w:rFonts w:hint="default" w:ascii="宋体" w:hAnsi="宋体" w:eastAsia="宋体" w:cs="Times New Roman"/>
                <w:color w:val="auto"/>
                <w:sz w:val="21"/>
                <w:szCs w:val="21"/>
                <w:lang w:val="en-US" w:bidi="en-US"/>
              </w:rPr>
            </w:pPr>
            <w:r>
              <w:rPr>
                <w:rFonts w:hint="eastAsia"/>
                <w:color w:val="auto"/>
                <w:lang w:val="en-US" w:eastAsia="zh-CN"/>
              </w:rPr>
              <w:t>经初步审查合格且</w:t>
            </w:r>
            <w:r>
              <w:rPr>
                <w:rFonts w:hint="eastAsia" w:ascii="宋体" w:hAnsi="宋体" w:eastAsia="宋体" w:cs="Times New Roman"/>
                <w:color w:val="auto"/>
                <w:sz w:val="21"/>
                <w:szCs w:val="21"/>
                <w:lang w:bidi="en-US"/>
              </w:rPr>
              <w:t>优惠率</w:t>
            </w:r>
            <w:r>
              <w:rPr>
                <w:rFonts w:hint="eastAsia" w:ascii="宋体" w:hAnsi="宋体" w:eastAsia="宋体" w:cs="Times New Roman"/>
                <w:color w:val="auto"/>
                <w:sz w:val="21"/>
                <w:szCs w:val="21"/>
                <w:lang w:val="en-US" w:eastAsia="zh-CN" w:bidi="en-US"/>
              </w:rPr>
              <w:t>报价</w:t>
            </w:r>
            <w:r>
              <w:rPr>
                <w:rFonts w:hint="eastAsia" w:ascii="宋体" w:hAnsi="宋体" w:eastAsia="宋体" w:cs="Times New Roman"/>
                <w:color w:val="auto"/>
                <w:sz w:val="21"/>
                <w:szCs w:val="21"/>
                <w:lang w:bidi="en-US"/>
              </w:rPr>
              <w:t>最</w:t>
            </w:r>
            <w:r>
              <w:rPr>
                <w:rFonts w:hint="eastAsia" w:ascii="宋体" w:hAnsi="宋体" w:eastAsia="宋体" w:cs="Times New Roman"/>
                <w:color w:val="auto"/>
                <w:sz w:val="21"/>
                <w:szCs w:val="21"/>
                <w:lang w:val="en-US" w:eastAsia="zh-CN" w:bidi="en-US"/>
              </w:rPr>
              <w:t>高</w:t>
            </w:r>
            <w:r>
              <w:rPr>
                <w:rFonts w:hint="eastAsia" w:ascii="宋体" w:hAnsi="宋体" w:eastAsia="宋体" w:cs="Times New Roman"/>
                <w:color w:val="auto"/>
                <w:sz w:val="21"/>
                <w:szCs w:val="21"/>
                <w:lang w:bidi="en-US"/>
              </w:rPr>
              <w:t>的为</w:t>
            </w:r>
            <w:r>
              <w:rPr>
                <w:rFonts w:hint="eastAsia" w:ascii="宋体" w:hAnsi="宋体" w:eastAsia="宋体"/>
                <w:b w:val="0"/>
                <w:bCs w:val="0"/>
                <w:color w:val="auto"/>
                <w:szCs w:val="21"/>
                <w:highlight w:val="none"/>
              </w:rPr>
              <w:t>评标基准</w:t>
            </w:r>
            <w:r>
              <w:rPr>
                <w:rFonts w:hint="eastAsia" w:ascii="宋体" w:hAnsi="宋体" w:eastAsia="宋体"/>
                <w:color w:val="auto"/>
                <w:szCs w:val="21"/>
                <w:highlight w:val="none"/>
                <w:lang w:val="en-US" w:eastAsia="zh-CN"/>
              </w:rPr>
              <w:t>优惠</w:t>
            </w:r>
            <w:r>
              <w:rPr>
                <w:rFonts w:hint="eastAsia" w:ascii="宋体" w:hAnsi="宋体"/>
                <w:color w:val="auto"/>
                <w:szCs w:val="21"/>
                <w:highlight w:val="none"/>
                <w:lang w:val="en-US" w:eastAsia="zh-CN"/>
              </w:rPr>
              <w:t>率</w:t>
            </w:r>
            <w:r>
              <w:rPr>
                <w:rFonts w:hint="eastAsia" w:ascii="宋体" w:hAnsi="宋体" w:eastAsia="宋体" w:cs="Times New Roman"/>
                <w:color w:val="auto"/>
                <w:sz w:val="21"/>
                <w:szCs w:val="21"/>
                <w:lang w:bidi="en-US"/>
              </w:rPr>
              <w:t>，其价格分为满分。其他</w:t>
            </w:r>
            <w:r>
              <w:rPr>
                <w:rFonts w:hint="eastAsia" w:ascii="宋体" w:hAnsi="宋体" w:eastAsia="宋体" w:cs="Times New Roman"/>
                <w:color w:val="auto"/>
                <w:sz w:val="21"/>
                <w:szCs w:val="21"/>
                <w:lang w:val="en-US" w:eastAsia="zh-CN" w:bidi="en-US"/>
              </w:rPr>
              <w:t>投标人</w:t>
            </w:r>
            <w:r>
              <w:rPr>
                <w:rFonts w:hint="eastAsia" w:ascii="宋体" w:hAnsi="宋体" w:eastAsia="宋体" w:cs="Times New Roman"/>
                <w:color w:val="auto"/>
                <w:sz w:val="21"/>
                <w:szCs w:val="21"/>
                <w:lang w:bidi="en-US"/>
              </w:rPr>
              <w:t>的</w:t>
            </w:r>
            <w:r>
              <w:rPr>
                <w:rFonts w:ascii="宋体" w:hAnsi="宋体"/>
                <w:color w:val="auto"/>
                <w:szCs w:val="21"/>
                <w:highlight w:val="none"/>
              </w:rPr>
              <w:t>投标报价</w:t>
            </w:r>
            <w:r>
              <w:rPr>
                <w:rFonts w:hint="eastAsia" w:ascii="宋体" w:hAnsi="宋体" w:eastAsia="宋体" w:cs="Times New Roman"/>
                <w:color w:val="auto"/>
                <w:sz w:val="21"/>
                <w:szCs w:val="21"/>
                <w:lang w:bidi="en-US"/>
              </w:rPr>
              <w:t>分统一</w:t>
            </w:r>
            <w:r>
              <w:rPr>
                <w:rFonts w:hint="eastAsia" w:ascii="宋体" w:hAnsi="宋体" w:eastAsia="宋体" w:cs="Times New Roman"/>
                <w:color w:val="auto"/>
                <w:szCs w:val="21"/>
                <w:highlight w:val="none"/>
                <w:lang w:val="en-US" w:eastAsia="zh-CN"/>
              </w:rPr>
              <w:t>按照下列公式计算： 投标报价得分=[(1-评标基准优惠率)／(1-优惠率报价)]×10</w:t>
            </w:r>
          </w:p>
          <w:p w14:paraId="5DE2AD68">
            <w:pPr>
              <w:spacing w:line="360" w:lineRule="auto"/>
              <w:rPr>
                <w:rFonts w:hint="eastAsia" w:eastAsia="宋体"/>
                <w:b/>
                <w:bCs/>
                <w:color w:val="auto"/>
                <w:lang w:eastAsia="zh-CN"/>
              </w:rPr>
            </w:pPr>
            <w:r>
              <w:rPr>
                <w:rFonts w:hint="eastAsia"/>
                <w:b/>
                <w:bCs/>
                <w:color w:val="auto"/>
              </w:rPr>
              <w:t>注：在计算报价得分时，对小型或微型企业的价格给予</w:t>
            </w:r>
            <w:r>
              <w:rPr>
                <w:rFonts w:hint="eastAsia"/>
                <w:b/>
                <w:bCs/>
                <w:color w:val="auto"/>
                <w:lang w:val="en-US" w:eastAsia="zh-CN"/>
              </w:rPr>
              <w:t>10</w:t>
            </w:r>
            <w:r>
              <w:rPr>
                <w:rFonts w:hint="eastAsia"/>
                <w:b/>
                <w:bCs/>
                <w:color w:val="auto"/>
              </w:rPr>
              <w:t>%的扣除，监狱企业、残疾人福利性单位均视同小型或微型企业（不重复享受优惠政策）。</w:t>
            </w:r>
            <w:r>
              <w:rPr>
                <w:rFonts w:hint="eastAsia" w:ascii="宋体" w:hAnsi="宋体" w:eastAsia="宋体" w:cs="Times New Roman"/>
                <w:b/>
                <w:bCs/>
                <w:color w:val="auto"/>
                <w:sz w:val="21"/>
                <w:szCs w:val="21"/>
                <w:lang w:bidi="en-US"/>
              </w:rPr>
              <w:t>即：评标价=</w:t>
            </w:r>
            <w:r>
              <w:rPr>
                <w:rFonts w:hint="eastAsia" w:ascii="宋体" w:hAnsi="宋体" w:eastAsia="宋体" w:cs="Times New Roman"/>
                <w:b/>
                <w:bCs/>
                <w:color w:val="auto"/>
                <w:sz w:val="21"/>
                <w:szCs w:val="21"/>
                <w:lang w:eastAsia="zh-CN" w:bidi="en-US"/>
              </w:rPr>
              <w:t>（</w:t>
            </w:r>
            <w:r>
              <w:rPr>
                <w:rFonts w:hint="eastAsia" w:ascii="宋体" w:hAnsi="宋体" w:eastAsia="宋体" w:cs="Times New Roman"/>
                <w:b/>
                <w:bCs/>
                <w:color w:val="auto"/>
                <w:sz w:val="21"/>
                <w:szCs w:val="21"/>
                <w:lang w:val="en-US" w:eastAsia="zh-CN" w:bidi="en-US"/>
              </w:rPr>
              <w:t>1-优惠率报价）</w:t>
            </w:r>
            <w:r>
              <w:rPr>
                <w:rFonts w:hint="eastAsia" w:ascii="宋体" w:hAnsi="宋体" w:eastAsia="宋体" w:cs="Times New Roman"/>
                <w:b/>
                <w:bCs/>
                <w:color w:val="auto"/>
                <w:sz w:val="21"/>
                <w:szCs w:val="21"/>
                <w:lang w:bidi="en-US"/>
              </w:rPr>
              <w:t>×</w:t>
            </w:r>
            <w:r>
              <w:rPr>
                <w:rFonts w:hint="eastAsia" w:ascii="宋体" w:hAnsi="宋体" w:eastAsia="宋体" w:cs="Times New Roman"/>
                <w:b/>
                <w:bCs/>
                <w:color w:val="auto"/>
                <w:sz w:val="21"/>
                <w:szCs w:val="21"/>
                <w:lang w:eastAsia="zh-CN" w:bidi="en-US"/>
              </w:rPr>
              <w:t>（</w:t>
            </w:r>
            <w:r>
              <w:rPr>
                <w:rFonts w:hint="eastAsia" w:ascii="宋体" w:hAnsi="宋体" w:eastAsia="宋体" w:cs="Times New Roman"/>
                <w:b/>
                <w:bCs/>
                <w:color w:val="auto"/>
                <w:sz w:val="21"/>
                <w:szCs w:val="21"/>
                <w:lang w:bidi="en-US"/>
              </w:rPr>
              <w:t>1-10%</w:t>
            </w:r>
            <w:r>
              <w:rPr>
                <w:rFonts w:hint="eastAsia" w:ascii="宋体" w:hAnsi="宋体" w:eastAsia="宋体" w:cs="Times New Roman"/>
                <w:b/>
                <w:bCs/>
                <w:color w:val="auto"/>
                <w:sz w:val="21"/>
                <w:szCs w:val="21"/>
                <w:lang w:eastAsia="zh-CN" w:bidi="en-US"/>
              </w:rPr>
              <w:t>）</w:t>
            </w:r>
          </w:p>
          <w:p w14:paraId="5EC60BD0">
            <w:pPr>
              <w:spacing w:line="360" w:lineRule="auto"/>
              <w:rPr>
                <w:rFonts w:ascii="宋体" w:hAnsi="宋体" w:eastAsia="宋体" w:cs="Times New Roman"/>
                <w:color w:val="auto"/>
                <w:szCs w:val="21"/>
                <w:highlight w:val="none"/>
              </w:rPr>
            </w:pPr>
            <w:r>
              <w:rPr>
                <w:rFonts w:hint="eastAsia"/>
                <w:b/>
                <w:bCs/>
                <w:color w:val="auto"/>
              </w:rPr>
              <w:t>请投标人根据自身情况提供声明函，无声明函的在计算报价得分时不予扣除报价。</w:t>
            </w:r>
          </w:p>
        </w:tc>
      </w:tr>
      <w:tr w14:paraId="0F6D5DD7">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680" w:type="dxa"/>
            <w:vMerge w:val="restart"/>
            <w:vAlign w:val="center"/>
          </w:tcPr>
          <w:p w14:paraId="06595782">
            <w:pPr>
              <w:spacing w:line="360" w:lineRule="auto"/>
              <w:rPr>
                <w:rFonts w:ascii="宋体" w:hAnsi="宋体"/>
                <w:color w:val="auto"/>
                <w:szCs w:val="21"/>
                <w:highlight w:val="none"/>
              </w:rPr>
            </w:pPr>
            <w:r>
              <w:rPr>
                <w:rFonts w:hint="eastAsia" w:ascii="宋体" w:hAnsi="宋体"/>
                <w:color w:val="auto"/>
                <w:szCs w:val="21"/>
                <w:highlight w:val="none"/>
              </w:rPr>
              <w:t>3</w:t>
            </w:r>
            <w:r>
              <w:rPr>
                <w:rFonts w:ascii="宋体" w:hAnsi="宋体"/>
                <w:color w:val="auto"/>
                <w:szCs w:val="21"/>
                <w:highlight w:val="none"/>
              </w:rPr>
              <w:t>.2.2（2）</w:t>
            </w:r>
          </w:p>
        </w:tc>
        <w:tc>
          <w:tcPr>
            <w:tcW w:w="1521" w:type="dxa"/>
            <w:vMerge w:val="restart"/>
            <w:vAlign w:val="center"/>
          </w:tcPr>
          <w:p w14:paraId="3F023283">
            <w:pPr>
              <w:spacing w:line="360" w:lineRule="auto"/>
              <w:jc w:val="center"/>
              <w:rPr>
                <w:rFonts w:ascii="宋体" w:hAnsi="宋体"/>
                <w:color w:val="auto"/>
                <w:szCs w:val="21"/>
                <w:highlight w:val="none"/>
              </w:rPr>
            </w:pPr>
            <w:r>
              <w:rPr>
                <w:rFonts w:ascii="宋体" w:hAnsi="宋体"/>
                <w:color w:val="auto"/>
                <w:szCs w:val="21"/>
                <w:highlight w:val="none"/>
              </w:rPr>
              <w:t>技术部分</w:t>
            </w:r>
          </w:p>
          <w:p w14:paraId="5795D2D6">
            <w:pPr>
              <w:spacing w:line="360" w:lineRule="auto"/>
              <w:jc w:val="center"/>
              <w:rPr>
                <w:rFonts w:ascii="宋体" w:hAnsi="宋体"/>
                <w:color w:val="auto"/>
                <w:szCs w:val="21"/>
                <w:highlight w:val="none"/>
              </w:rPr>
            </w:pPr>
            <w:r>
              <w:rPr>
                <w:rFonts w:ascii="宋体" w:hAnsi="宋体"/>
                <w:color w:val="auto"/>
                <w:szCs w:val="21"/>
                <w:highlight w:val="none"/>
              </w:rPr>
              <w:t>F2</w:t>
            </w:r>
          </w:p>
          <w:p w14:paraId="22FAB859">
            <w:pPr>
              <w:spacing w:line="360" w:lineRule="auto"/>
              <w:jc w:val="center"/>
              <w:rPr>
                <w:rFonts w:ascii="宋体" w:hAnsi="宋体"/>
                <w:color w:val="auto"/>
                <w:szCs w:val="21"/>
                <w:highlight w:val="none"/>
              </w:rPr>
            </w:pPr>
            <w:r>
              <w:rPr>
                <w:rFonts w:ascii="宋体" w:hAnsi="宋体"/>
                <w:color w:val="auto"/>
                <w:szCs w:val="21"/>
                <w:highlight w:val="none"/>
              </w:rPr>
              <w:t>评分标准</w:t>
            </w:r>
          </w:p>
          <w:p w14:paraId="65B7BAB8">
            <w:pPr>
              <w:spacing w:line="360" w:lineRule="auto"/>
              <w:jc w:val="center"/>
              <w:rPr>
                <w:rFonts w:ascii="宋体" w:hAnsi="宋体"/>
                <w:color w:val="auto"/>
                <w:szCs w:val="21"/>
                <w:highlight w:val="none"/>
              </w:rPr>
            </w:pPr>
            <w:r>
              <w:rPr>
                <w:rFonts w:ascii="宋体" w:hAnsi="宋体"/>
                <w:color w:val="auto"/>
                <w:szCs w:val="21"/>
                <w:highlight w:val="none"/>
              </w:rPr>
              <w:t>（满分</w:t>
            </w:r>
            <w:r>
              <w:rPr>
                <w:rFonts w:hint="eastAsia" w:ascii="宋体" w:hAnsi="宋体"/>
                <w:color w:val="auto"/>
                <w:szCs w:val="21"/>
                <w:highlight w:val="none"/>
                <w:lang w:val="en-US" w:eastAsia="zh-CN"/>
              </w:rPr>
              <w:t>87</w:t>
            </w:r>
            <w:r>
              <w:rPr>
                <w:rFonts w:ascii="宋体" w:hAnsi="宋体"/>
                <w:color w:val="auto"/>
                <w:szCs w:val="21"/>
                <w:highlight w:val="none"/>
              </w:rPr>
              <w:t>分）</w:t>
            </w:r>
          </w:p>
        </w:tc>
        <w:tc>
          <w:tcPr>
            <w:tcW w:w="1560" w:type="dxa"/>
            <w:vAlign w:val="center"/>
          </w:tcPr>
          <w:p w14:paraId="51648729">
            <w:pPr>
              <w:spacing w:line="360" w:lineRule="auto"/>
              <w:rPr>
                <w:rFonts w:hint="default" w:ascii="Times New Roman" w:hAnsi="Times New Roman" w:eastAsia="宋体" w:cs="Times New Roman"/>
                <w:color w:val="auto"/>
                <w:highlight w:val="none"/>
                <w:lang w:val="en-US" w:eastAsia="zh-CN"/>
              </w:rPr>
            </w:pPr>
            <w:r>
              <w:rPr>
                <w:rFonts w:hint="eastAsia" w:ascii="宋体" w:hAnsi="宋体" w:cs="宋体"/>
                <w:color w:val="auto"/>
                <w:szCs w:val="21"/>
                <w:highlight w:val="none"/>
                <w:lang w:val="en-US" w:eastAsia="zh-CN"/>
              </w:rPr>
              <w:t>技术</w:t>
            </w:r>
            <w:r>
              <w:rPr>
                <w:rFonts w:hint="eastAsia" w:ascii="宋体" w:hAnsi="宋体" w:cs="宋体"/>
                <w:color w:val="auto"/>
                <w:szCs w:val="21"/>
                <w:highlight w:val="none"/>
              </w:rPr>
              <w:t>参数</w:t>
            </w:r>
            <w:r>
              <w:rPr>
                <w:rFonts w:hint="eastAsia" w:ascii="宋体" w:hAnsi="宋体" w:cs="宋体"/>
                <w:color w:val="auto"/>
                <w:szCs w:val="21"/>
                <w:highlight w:val="none"/>
                <w:lang w:val="en-US" w:eastAsia="zh-CN"/>
              </w:rPr>
              <w:t>响应评审（41分）</w:t>
            </w:r>
          </w:p>
        </w:tc>
        <w:tc>
          <w:tcPr>
            <w:tcW w:w="6420" w:type="dxa"/>
            <w:vAlign w:val="center"/>
          </w:tcPr>
          <w:p w14:paraId="6364393E">
            <w:pPr>
              <w:tabs>
                <w:tab w:val="center" w:pos="4153"/>
                <w:tab w:val="right" w:pos="8306"/>
              </w:tabs>
              <w:spacing w:line="360" w:lineRule="auto"/>
              <w:rPr>
                <w:rFonts w:hint="eastAsia" w:ascii="宋体" w:hAnsi="宋体" w:eastAsia="宋体" w:cs="Times New Roman"/>
                <w:color w:val="auto"/>
                <w:kern w:val="2"/>
                <w:sz w:val="21"/>
                <w:szCs w:val="21"/>
                <w:lang w:val="en-US" w:eastAsia="zh-CN" w:bidi="ar-SA"/>
              </w:rPr>
            </w:pPr>
            <w:r>
              <w:rPr>
                <w:rFonts w:hint="default" w:ascii="宋体" w:hAnsi="宋体" w:eastAsia="宋体" w:cs="Times New Roman"/>
                <w:color w:val="auto"/>
                <w:kern w:val="2"/>
                <w:sz w:val="21"/>
                <w:szCs w:val="21"/>
                <w:lang w:val="en-US" w:eastAsia="zh-CN" w:bidi="ar-SA"/>
              </w:rPr>
              <w:t>完全符合招标文件要求没有负偏离</w:t>
            </w:r>
            <w:r>
              <w:rPr>
                <w:rFonts w:hint="eastAsia" w:ascii="宋体" w:hAnsi="宋体" w:eastAsia="宋体" w:cs="Times New Roman"/>
                <w:color w:val="auto"/>
                <w:kern w:val="2"/>
                <w:sz w:val="21"/>
                <w:szCs w:val="21"/>
                <w:lang w:val="en-US" w:eastAsia="zh-CN" w:bidi="ar-SA"/>
              </w:rPr>
              <w:t>的</w:t>
            </w:r>
            <w:r>
              <w:rPr>
                <w:rFonts w:hint="default" w:ascii="宋体" w:hAnsi="宋体" w:eastAsia="宋体" w:cs="Times New Roman"/>
                <w:color w:val="auto"/>
                <w:kern w:val="2"/>
                <w:sz w:val="21"/>
                <w:szCs w:val="21"/>
                <w:lang w:val="en-US" w:eastAsia="zh-CN" w:bidi="ar-SA"/>
              </w:rPr>
              <w:t>得</w:t>
            </w:r>
            <w:r>
              <w:rPr>
                <w:rFonts w:hint="eastAsia" w:ascii="宋体" w:hAnsi="宋体" w:eastAsia="宋体" w:cs="Times New Roman"/>
                <w:color w:val="auto"/>
                <w:kern w:val="2"/>
                <w:sz w:val="21"/>
                <w:szCs w:val="21"/>
                <w:lang w:val="en-US" w:eastAsia="zh-CN" w:bidi="ar-SA"/>
              </w:rPr>
              <w:t>4</w:t>
            </w:r>
            <w:r>
              <w:rPr>
                <w:rFonts w:hint="eastAsia" w:ascii="宋体" w:hAnsi="宋体" w:cs="Times New Roman"/>
                <w:color w:val="auto"/>
                <w:kern w:val="2"/>
                <w:sz w:val="21"/>
                <w:szCs w:val="21"/>
                <w:lang w:val="en-US" w:eastAsia="zh-CN" w:bidi="ar-SA"/>
              </w:rPr>
              <w:t>1</w:t>
            </w:r>
            <w:r>
              <w:rPr>
                <w:rFonts w:hint="default" w:ascii="宋体" w:hAnsi="宋体" w:eastAsia="宋体" w:cs="Times New Roman"/>
                <w:color w:val="auto"/>
                <w:kern w:val="2"/>
                <w:sz w:val="21"/>
                <w:szCs w:val="21"/>
                <w:lang w:val="en-US" w:eastAsia="zh-CN" w:bidi="ar-SA"/>
              </w:rPr>
              <w:t>分</w:t>
            </w:r>
            <w:r>
              <w:rPr>
                <w:rFonts w:hint="eastAsia" w:ascii="宋体" w:hAnsi="宋体" w:eastAsia="宋体" w:cs="Times New Roman"/>
                <w:color w:val="auto"/>
                <w:kern w:val="2"/>
                <w:sz w:val="21"/>
                <w:szCs w:val="21"/>
                <w:lang w:val="en-US" w:eastAsia="zh-CN" w:bidi="ar-SA"/>
              </w:rPr>
              <w:t>；投标人所投租赁设备的技术参数不完全符合招标文件要求的，则在41分的基础上，按以下原则扣分：</w:t>
            </w:r>
          </w:p>
          <w:p w14:paraId="047C7211">
            <w:pPr>
              <w:tabs>
                <w:tab w:val="center" w:pos="4153"/>
                <w:tab w:val="right" w:pos="8306"/>
              </w:tabs>
              <w:spacing w:line="360" w:lineRule="auto"/>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带“▲”项的技术参数为重要技术参数（</w:t>
            </w:r>
            <w:r>
              <w:rPr>
                <w:rFonts w:hint="eastAsia" w:ascii="宋体" w:hAnsi="宋体" w:cs="Times New Roman"/>
                <w:color w:val="auto"/>
                <w:kern w:val="2"/>
                <w:sz w:val="21"/>
                <w:szCs w:val="21"/>
                <w:lang w:val="en-US" w:eastAsia="zh-CN" w:bidi="ar-SA"/>
              </w:rPr>
              <w:t>28</w:t>
            </w:r>
            <w:r>
              <w:rPr>
                <w:rFonts w:hint="eastAsia" w:ascii="宋体" w:hAnsi="宋体" w:eastAsia="宋体" w:cs="Times New Roman"/>
                <w:color w:val="auto"/>
                <w:kern w:val="2"/>
                <w:sz w:val="21"/>
                <w:szCs w:val="21"/>
                <w:lang w:val="en-US" w:eastAsia="zh-CN" w:bidi="ar-SA"/>
              </w:rPr>
              <w:t>项），每有一项负偏离扣</w:t>
            </w:r>
            <w:r>
              <w:rPr>
                <w:rFonts w:hint="eastAsia" w:ascii="宋体" w:hAnsi="宋体" w:cs="Times New Roman"/>
                <w:color w:val="auto"/>
                <w:kern w:val="2"/>
                <w:sz w:val="21"/>
                <w:szCs w:val="21"/>
                <w:lang w:val="en-US" w:eastAsia="zh-CN" w:bidi="ar-SA"/>
              </w:rPr>
              <w:t>1</w:t>
            </w:r>
            <w:r>
              <w:rPr>
                <w:rFonts w:hint="eastAsia" w:ascii="宋体" w:hAnsi="宋体" w:eastAsia="宋体" w:cs="Times New Roman"/>
                <w:color w:val="auto"/>
                <w:kern w:val="2"/>
                <w:sz w:val="21"/>
                <w:szCs w:val="21"/>
                <w:lang w:val="en-US" w:eastAsia="zh-CN" w:bidi="ar-SA"/>
              </w:rPr>
              <w:t>分，最多扣</w:t>
            </w:r>
            <w:r>
              <w:rPr>
                <w:rFonts w:hint="eastAsia" w:ascii="宋体" w:hAnsi="宋体" w:cs="Times New Roman"/>
                <w:color w:val="auto"/>
                <w:kern w:val="2"/>
                <w:sz w:val="21"/>
                <w:szCs w:val="21"/>
                <w:lang w:val="en-US" w:eastAsia="zh-CN" w:bidi="ar-SA"/>
              </w:rPr>
              <w:t>28</w:t>
            </w:r>
            <w:r>
              <w:rPr>
                <w:rFonts w:hint="eastAsia" w:ascii="宋体" w:hAnsi="宋体" w:eastAsia="宋体" w:cs="Times New Roman"/>
                <w:color w:val="auto"/>
                <w:kern w:val="2"/>
                <w:sz w:val="21"/>
                <w:szCs w:val="21"/>
                <w:lang w:val="en-US" w:eastAsia="zh-CN" w:bidi="ar-SA"/>
              </w:rPr>
              <w:t>分；非“▲”项的技术参数为一般指标（2</w:t>
            </w:r>
            <w:r>
              <w:rPr>
                <w:rFonts w:hint="eastAsia" w:ascii="宋体" w:hAnsi="宋体" w:cs="Times New Roman"/>
                <w:color w:val="auto"/>
                <w:kern w:val="2"/>
                <w:sz w:val="21"/>
                <w:szCs w:val="21"/>
                <w:lang w:val="en-US" w:eastAsia="zh-CN" w:bidi="ar-SA"/>
              </w:rPr>
              <w:t>60</w:t>
            </w:r>
            <w:r>
              <w:rPr>
                <w:rFonts w:hint="eastAsia" w:ascii="宋体" w:hAnsi="宋体" w:eastAsia="宋体" w:cs="Times New Roman"/>
                <w:color w:val="auto"/>
                <w:kern w:val="2"/>
                <w:sz w:val="21"/>
                <w:szCs w:val="21"/>
                <w:lang w:val="en-US" w:eastAsia="zh-CN" w:bidi="ar-SA"/>
              </w:rPr>
              <w:t>项），每有一项负偏离扣0.0</w:t>
            </w:r>
            <w:r>
              <w:rPr>
                <w:rFonts w:hint="eastAsia" w:ascii="宋体" w:hAnsi="宋体" w:cs="Times New Roman"/>
                <w:color w:val="auto"/>
                <w:kern w:val="2"/>
                <w:sz w:val="21"/>
                <w:szCs w:val="21"/>
                <w:lang w:val="en-US" w:eastAsia="zh-CN" w:bidi="ar-SA"/>
              </w:rPr>
              <w:t>5</w:t>
            </w:r>
            <w:r>
              <w:rPr>
                <w:rFonts w:hint="eastAsia" w:ascii="宋体" w:hAnsi="宋体" w:eastAsia="宋体" w:cs="Times New Roman"/>
                <w:color w:val="auto"/>
                <w:kern w:val="2"/>
                <w:sz w:val="21"/>
                <w:szCs w:val="21"/>
                <w:lang w:val="en-US" w:eastAsia="zh-CN" w:bidi="ar-SA"/>
              </w:rPr>
              <w:t>分，最多扣</w:t>
            </w:r>
            <w:r>
              <w:rPr>
                <w:rFonts w:hint="eastAsia" w:ascii="宋体" w:hAnsi="宋体" w:cs="Times New Roman"/>
                <w:color w:val="auto"/>
                <w:kern w:val="2"/>
                <w:sz w:val="21"/>
                <w:szCs w:val="21"/>
                <w:lang w:val="en-US" w:eastAsia="zh-CN" w:bidi="ar-SA"/>
              </w:rPr>
              <w:t>13</w:t>
            </w:r>
            <w:r>
              <w:rPr>
                <w:rFonts w:hint="eastAsia" w:ascii="宋体" w:hAnsi="宋体" w:eastAsia="宋体" w:cs="Times New Roman"/>
                <w:color w:val="auto"/>
                <w:kern w:val="2"/>
                <w:sz w:val="21"/>
                <w:szCs w:val="21"/>
                <w:lang w:val="en-US" w:eastAsia="zh-CN" w:bidi="ar-SA"/>
              </w:rPr>
              <w:t>分。</w:t>
            </w:r>
          </w:p>
          <w:p w14:paraId="7C2882A1">
            <w:pPr>
              <w:tabs>
                <w:tab w:val="center" w:pos="4153"/>
                <w:tab w:val="right" w:pos="8306"/>
              </w:tabs>
              <w:spacing w:line="360" w:lineRule="auto"/>
              <w:rPr>
                <w:rFonts w:hint="default"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注：1.非▲号技术参数以招标文件第五章“采购需求”/二、服务内容及要求/设备详细参数及性能指标中的数字序号（1.、2.、3......）各为一项，共2</w:t>
            </w:r>
            <w:r>
              <w:rPr>
                <w:rFonts w:hint="eastAsia" w:ascii="宋体" w:hAnsi="宋体" w:cs="Times New Roman"/>
                <w:color w:val="auto"/>
                <w:kern w:val="2"/>
                <w:sz w:val="21"/>
                <w:szCs w:val="21"/>
                <w:lang w:val="en-US" w:eastAsia="zh-CN" w:bidi="ar-SA"/>
              </w:rPr>
              <w:t>60</w:t>
            </w:r>
            <w:r>
              <w:rPr>
                <w:rFonts w:hint="eastAsia" w:ascii="宋体" w:hAnsi="宋体" w:eastAsia="宋体" w:cs="Times New Roman"/>
                <w:color w:val="auto"/>
                <w:kern w:val="2"/>
                <w:sz w:val="21"/>
                <w:szCs w:val="21"/>
                <w:lang w:val="en-US" w:eastAsia="zh-CN" w:bidi="ar-SA"/>
              </w:rPr>
              <w:t>项；2.技术参数中有证明材料要求的须按要求提供证明材料（未提供证明材料的视为负偏离），技术参数中无证明</w:t>
            </w:r>
            <w:r>
              <w:rPr>
                <w:rFonts w:hint="eastAsia" w:ascii="Times New Roman" w:hAnsi="Times New Roman" w:eastAsia="宋体" w:cs="Times New Roman"/>
                <w:color w:val="auto"/>
                <w:highlight w:val="none"/>
                <w:lang w:val="en-US" w:eastAsia="zh-CN"/>
              </w:rPr>
              <w:t>材料要求的在技术要求偏离表中按实际情况响应即可；</w:t>
            </w:r>
            <w:r>
              <w:rPr>
                <w:rFonts w:hint="eastAsia" w:eastAsia="宋体" w:cs="Times New Roman"/>
                <w:color w:val="auto"/>
                <w:highlight w:val="none"/>
                <w:lang w:val="en-US" w:eastAsia="zh-CN"/>
              </w:rPr>
              <w:t>3</w:t>
            </w:r>
            <w:r>
              <w:rPr>
                <w:rFonts w:hint="eastAsia" w:ascii="Times New Roman" w:hAnsi="Times New Roman" w:eastAsia="宋体" w:cs="Times New Roman"/>
                <w:color w:val="auto"/>
                <w:highlight w:val="none"/>
                <w:lang w:val="en-US" w:eastAsia="zh-CN"/>
              </w:rPr>
              <w:t>.若出现虚假响应的情况，如通过修改相关检验报告及证明材料来满足招标文件性能参数等行为，一经发现则应按《中华人民共和国政府采购法》第七十七条进行相应处罚。</w:t>
            </w:r>
          </w:p>
        </w:tc>
      </w:tr>
      <w:tr w14:paraId="57AA36E1">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90" w:hRule="atLeast"/>
          <w:jc w:val="center"/>
        </w:trPr>
        <w:tc>
          <w:tcPr>
            <w:tcW w:w="680" w:type="dxa"/>
            <w:vMerge w:val="continue"/>
            <w:vAlign w:val="center"/>
          </w:tcPr>
          <w:p w14:paraId="68869063">
            <w:pPr>
              <w:spacing w:line="360" w:lineRule="auto"/>
              <w:rPr>
                <w:rFonts w:ascii="宋体" w:hAnsi="宋体"/>
                <w:color w:val="auto"/>
                <w:szCs w:val="21"/>
                <w:highlight w:val="none"/>
              </w:rPr>
            </w:pPr>
            <w:bookmarkStart w:id="162" w:name="OLE_LINK10" w:colFirst="2" w:colLast="3"/>
          </w:p>
        </w:tc>
        <w:tc>
          <w:tcPr>
            <w:tcW w:w="1521" w:type="dxa"/>
            <w:vMerge w:val="continue"/>
            <w:vAlign w:val="center"/>
          </w:tcPr>
          <w:p w14:paraId="4F21D2B4">
            <w:pPr>
              <w:spacing w:line="360" w:lineRule="auto"/>
              <w:jc w:val="center"/>
              <w:rPr>
                <w:rFonts w:ascii="宋体" w:hAnsi="宋体"/>
                <w:color w:val="auto"/>
                <w:szCs w:val="21"/>
                <w:highlight w:val="none"/>
              </w:rPr>
            </w:pPr>
          </w:p>
        </w:tc>
        <w:tc>
          <w:tcPr>
            <w:tcW w:w="1560" w:type="dxa"/>
            <w:vAlign w:val="center"/>
          </w:tcPr>
          <w:p w14:paraId="1572B1FF">
            <w:pPr>
              <w:spacing w:line="360" w:lineRule="auto"/>
              <w:jc w:val="center"/>
              <w:rPr>
                <w:rFonts w:hint="default"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项目实施方案（</w:t>
            </w:r>
            <w:r>
              <w:rPr>
                <w:rFonts w:hint="eastAsia" w:ascii="宋体" w:hAnsi="宋体" w:cs="Times New Roman"/>
                <w:color w:val="auto"/>
                <w:kern w:val="2"/>
                <w:sz w:val="21"/>
                <w:szCs w:val="21"/>
                <w:lang w:val="en-US" w:eastAsia="zh-CN" w:bidi="ar-SA"/>
              </w:rPr>
              <w:t>25</w:t>
            </w:r>
            <w:r>
              <w:rPr>
                <w:rFonts w:hint="eastAsia" w:ascii="宋体" w:hAnsi="宋体" w:eastAsia="宋体" w:cs="Times New Roman"/>
                <w:color w:val="auto"/>
                <w:kern w:val="2"/>
                <w:sz w:val="21"/>
                <w:szCs w:val="21"/>
                <w:lang w:val="en-US" w:eastAsia="zh-CN" w:bidi="ar-SA"/>
              </w:rPr>
              <w:t>分）</w:t>
            </w:r>
          </w:p>
        </w:tc>
        <w:tc>
          <w:tcPr>
            <w:tcW w:w="6420" w:type="dxa"/>
            <w:vAlign w:val="center"/>
          </w:tcPr>
          <w:p w14:paraId="2452295E">
            <w:pPr>
              <w:spacing w:line="360" w:lineRule="auto"/>
              <w:jc w:val="left"/>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根据投标人针对本项目提供的项目实施方案</w:t>
            </w:r>
            <w:r>
              <w:rPr>
                <w:rFonts w:hint="eastAsia" w:ascii="宋体" w:hAnsi="宋体" w:cs="Times New Roman"/>
                <w:color w:val="auto"/>
                <w:kern w:val="2"/>
                <w:sz w:val="21"/>
                <w:szCs w:val="21"/>
                <w:lang w:val="en-US" w:eastAsia="zh-CN" w:bidi="ar-SA"/>
              </w:rPr>
              <w:t>，</w:t>
            </w:r>
            <w:r>
              <w:rPr>
                <w:rFonts w:hint="eastAsia" w:ascii="宋体" w:hAnsi="宋体" w:eastAsia="宋体" w:cs="Times New Roman"/>
                <w:color w:val="auto"/>
                <w:kern w:val="2"/>
                <w:sz w:val="21"/>
                <w:szCs w:val="21"/>
                <w:lang w:val="en-US" w:eastAsia="zh-CN" w:bidi="ar-SA"/>
              </w:rPr>
              <w:t>包括但不限于①</w:t>
            </w:r>
            <w:r>
              <w:rPr>
                <w:rFonts w:hint="eastAsia" w:ascii="宋体" w:hAnsi="宋体" w:cs="Times New Roman"/>
                <w:color w:val="auto"/>
                <w:kern w:val="2"/>
                <w:sz w:val="21"/>
                <w:szCs w:val="21"/>
                <w:lang w:val="en-US" w:eastAsia="zh-CN" w:bidi="ar-SA"/>
              </w:rPr>
              <w:t>项目实际情况分析和</w:t>
            </w:r>
            <w:r>
              <w:rPr>
                <w:rFonts w:hint="eastAsia" w:ascii="宋体" w:hAnsi="宋体" w:eastAsia="宋体" w:cs="Times New Roman"/>
                <w:color w:val="auto"/>
                <w:kern w:val="2"/>
                <w:sz w:val="21"/>
                <w:szCs w:val="21"/>
                <w:lang w:val="en-US" w:eastAsia="zh-CN" w:bidi="ar-SA"/>
              </w:rPr>
              <w:t>保障服务计划方案②设备</w:t>
            </w:r>
            <w:r>
              <w:rPr>
                <w:rFonts w:hint="eastAsia" w:ascii="宋体" w:hAnsi="宋体" w:cs="Times New Roman"/>
                <w:color w:val="auto"/>
                <w:kern w:val="2"/>
                <w:sz w:val="21"/>
                <w:szCs w:val="21"/>
                <w:lang w:val="en-US" w:eastAsia="zh-CN" w:bidi="ar-SA"/>
              </w:rPr>
              <w:t>租赁</w:t>
            </w:r>
            <w:r>
              <w:rPr>
                <w:rFonts w:hint="eastAsia" w:ascii="宋体" w:hAnsi="宋体" w:eastAsia="宋体" w:cs="Times New Roman"/>
                <w:color w:val="auto"/>
                <w:kern w:val="2"/>
                <w:sz w:val="21"/>
                <w:szCs w:val="21"/>
                <w:lang w:val="en-US" w:eastAsia="zh-CN" w:bidi="ar-SA"/>
              </w:rPr>
              <w:t>管理方案</w:t>
            </w:r>
            <w:r>
              <w:rPr>
                <w:rFonts w:hint="eastAsia" w:ascii="宋体" w:hAnsi="宋体" w:cs="Times New Roman"/>
                <w:color w:val="auto"/>
                <w:kern w:val="2"/>
                <w:sz w:val="21"/>
                <w:szCs w:val="21"/>
                <w:lang w:val="en-US" w:eastAsia="zh-CN" w:bidi="ar-SA"/>
              </w:rPr>
              <w:t>③</w:t>
            </w:r>
            <w:r>
              <w:rPr>
                <w:rFonts w:hint="eastAsia" w:ascii="宋体" w:hAnsi="宋体" w:eastAsia="宋体" w:cs="Times New Roman"/>
                <w:color w:val="auto"/>
                <w:kern w:val="2"/>
                <w:sz w:val="21"/>
                <w:szCs w:val="21"/>
                <w:lang w:val="en-US" w:eastAsia="zh-CN" w:bidi="ar-SA"/>
              </w:rPr>
              <w:t>维护及技术保障服务方案</w:t>
            </w:r>
            <w:r>
              <w:rPr>
                <w:rFonts w:hint="eastAsia" w:ascii="宋体" w:hAnsi="宋体" w:cs="Times New Roman"/>
                <w:color w:val="auto"/>
                <w:kern w:val="2"/>
                <w:sz w:val="21"/>
                <w:szCs w:val="21"/>
                <w:lang w:val="en-US" w:eastAsia="zh-CN" w:bidi="ar-SA"/>
              </w:rPr>
              <w:t>④</w:t>
            </w:r>
            <w:r>
              <w:rPr>
                <w:rFonts w:hint="eastAsia" w:ascii="宋体" w:hAnsi="宋体" w:eastAsia="宋体" w:cs="Times New Roman"/>
                <w:color w:val="auto"/>
                <w:kern w:val="2"/>
                <w:sz w:val="21"/>
                <w:szCs w:val="21"/>
                <w:lang w:val="en-US" w:eastAsia="zh-CN" w:bidi="ar-SA"/>
              </w:rPr>
              <w:t>保障团队</w:t>
            </w:r>
            <w:r>
              <w:rPr>
                <w:rFonts w:hint="eastAsia" w:ascii="宋体" w:hAnsi="宋体" w:cs="Times New Roman"/>
                <w:color w:val="auto"/>
                <w:kern w:val="2"/>
                <w:sz w:val="21"/>
                <w:szCs w:val="21"/>
                <w:lang w:val="en-US" w:eastAsia="zh-CN" w:bidi="ar-SA"/>
              </w:rPr>
              <w:t>配置情况⑤</w:t>
            </w:r>
            <w:r>
              <w:rPr>
                <w:rFonts w:hint="eastAsia" w:ascii="宋体" w:hAnsi="宋体" w:cs="宋体"/>
                <w:color w:val="auto"/>
                <w:szCs w:val="21"/>
                <w:highlight w:val="none"/>
              </w:rPr>
              <w:t>每次租赁</w:t>
            </w:r>
            <w:r>
              <w:rPr>
                <w:rFonts w:hint="eastAsia" w:ascii="宋体" w:hAnsi="宋体" w:eastAsia="宋体" w:cs="Times New Roman"/>
                <w:color w:val="auto"/>
                <w:kern w:val="2"/>
                <w:sz w:val="21"/>
                <w:szCs w:val="21"/>
                <w:lang w:val="en-US" w:eastAsia="zh-CN" w:bidi="ar-SA"/>
              </w:rPr>
              <w:t>服务信息和结算情况报送方案等内容进行综合评分。方案完整，思路清晰，充分考虑项目实际情况，且完整详细的得</w:t>
            </w:r>
            <w:r>
              <w:rPr>
                <w:rFonts w:hint="eastAsia" w:ascii="宋体" w:hAnsi="宋体" w:cs="Times New Roman"/>
                <w:color w:val="auto"/>
                <w:kern w:val="2"/>
                <w:sz w:val="21"/>
                <w:szCs w:val="21"/>
                <w:lang w:val="en-US" w:eastAsia="zh-CN" w:bidi="ar-SA"/>
              </w:rPr>
              <w:t>25</w:t>
            </w:r>
            <w:r>
              <w:rPr>
                <w:rFonts w:hint="eastAsia" w:ascii="宋体" w:hAnsi="宋体" w:eastAsia="宋体" w:cs="Times New Roman"/>
                <w:color w:val="auto"/>
                <w:kern w:val="2"/>
                <w:sz w:val="21"/>
                <w:szCs w:val="21"/>
                <w:lang w:val="en-US" w:eastAsia="zh-CN" w:bidi="ar-SA"/>
              </w:rPr>
              <w:t>分。每有一项内容缺失扣</w:t>
            </w:r>
            <w:r>
              <w:rPr>
                <w:rFonts w:hint="eastAsia" w:ascii="宋体" w:hAnsi="宋体" w:cs="Times New Roman"/>
                <w:color w:val="auto"/>
                <w:kern w:val="2"/>
                <w:sz w:val="21"/>
                <w:szCs w:val="21"/>
                <w:lang w:val="en-US" w:eastAsia="zh-CN" w:bidi="ar-SA"/>
              </w:rPr>
              <w:t>5</w:t>
            </w:r>
            <w:r>
              <w:rPr>
                <w:rFonts w:hint="eastAsia" w:ascii="宋体" w:hAnsi="宋体" w:eastAsia="宋体" w:cs="Times New Roman"/>
                <w:color w:val="auto"/>
                <w:kern w:val="2"/>
                <w:sz w:val="21"/>
                <w:szCs w:val="21"/>
                <w:lang w:val="en-US" w:eastAsia="zh-CN" w:bidi="ar-SA"/>
              </w:rPr>
              <w:t>分；每</w:t>
            </w:r>
            <w:r>
              <w:rPr>
                <w:rFonts w:hint="eastAsia" w:ascii="宋体" w:hAnsi="宋体" w:cs="Times New Roman"/>
                <w:color w:val="auto"/>
                <w:kern w:val="2"/>
                <w:sz w:val="21"/>
                <w:szCs w:val="21"/>
                <w:lang w:val="en-US" w:eastAsia="zh-CN" w:bidi="ar-SA"/>
              </w:rPr>
              <w:t>有一项</w:t>
            </w:r>
            <w:r>
              <w:rPr>
                <w:rFonts w:hint="eastAsia" w:ascii="宋体" w:hAnsi="宋体" w:eastAsia="宋体" w:cs="Times New Roman"/>
                <w:color w:val="auto"/>
                <w:kern w:val="2"/>
                <w:sz w:val="21"/>
                <w:szCs w:val="21"/>
                <w:lang w:val="en-US" w:eastAsia="zh-CN" w:bidi="ar-SA"/>
              </w:rPr>
              <w:t>内容存在缺陷（缺陷包含内容与实际情况不符或存在偏差或过于简略或内容错误或不满足要求)的扣</w:t>
            </w:r>
            <w:r>
              <w:rPr>
                <w:rFonts w:hint="eastAsia" w:ascii="宋体" w:hAnsi="宋体" w:cs="Times New Roman"/>
                <w:color w:val="auto"/>
                <w:kern w:val="2"/>
                <w:sz w:val="21"/>
                <w:szCs w:val="21"/>
                <w:lang w:val="en-US" w:eastAsia="zh-CN" w:bidi="ar-SA"/>
              </w:rPr>
              <w:t>2.5</w:t>
            </w:r>
            <w:r>
              <w:rPr>
                <w:rFonts w:hint="eastAsia" w:ascii="宋体" w:hAnsi="宋体" w:eastAsia="宋体" w:cs="Times New Roman"/>
                <w:color w:val="auto"/>
                <w:kern w:val="2"/>
                <w:sz w:val="21"/>
                <w:szCs w:val="21"/>
                <w:lang w:val="en-US" w:eastAsia="zh-CN" w:bidi="ar-SA"/>
              </w:rPr>
              <w:t>分。未提供不得分。</w:t>
            </w:r>
          </w:p>
        </w:tc>
      </w:tr>
      <w:tr w14:paraId="0F7BF578">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90" w:hRule="atLeast"/>
          <w:jc w:val="center"/>
        </w:trPr>
        <w:tc>
          <w:tcPr>
            <w:tcW w:w="680" w:type="dxa"/>
            <w:vMerge w:val="continue"/>
            <w:vAlign w:val="center"/>
          </w:tcPr>
          <w:p w14:paraId="7DA9F25C">
            <w:pPr>
              <w:spacing w:line="360" w:lineRule="auto"/>
              <w:rPr>
                <w:rFonts w:ascii="宋体" w:hAnsi="宋体"/>
                <w:color w:val="auto"/>
                <w:szCs w:val="21"/>
                <w:highlight w:val="none"/>
              </w:rPr>
            </w:pPr>
          </w:p>
        </w:tc>
        <w:tc>
          <w:tcPr>
            <w:tcW w:w="1521" w:type="dxa"/>
            <w:vMerge w:val="continue"/>
            <w:vAlign w:val="center"/>
          </w:tcPr>
          <w:p w14:paraId="4FF53519">
            <w:pPr>
              <w:spacing w:line="360" w:lineRule="auto"/>
              <w:jc w:val="center"/>
              <w:rPr>
                <w:rFonts w:ascii="宋体" w:hAnsi="宋体"/>
                <w:color w:val="auto"/>
                <w:szCs w:val="21"/>
                <w:highlight w:val="none"/>
              </w:rPr>
            </w:pPr>
          </w:p>
        </w:tc>
        <w:tc>
          <w:tcPr>
            <w:tcW w:w="1560" w:type="dxa"/>
            <w:vAlign w:val="center"/>
          </w:tcPr>
          <w:p w14:paraId="5FF7E7BB">
            <w:pPr>
              <w:spacing w:line="360" w:lineRule="auto"/>
              <w:jc w:val="center"/>
              <w:rPr>
                <w:rFonts w:hint="eastAsia" w:ascii="宋体" w:hAnsi="宋体" w:cs="Times New Roman"/>
                <w:color w:val="auto"/>
                <w:kern w:val="2"/>
                <w:sz w:val="21"/>
                <w:szCs w:val="21"/>
                <w:lang w:val="en-US" w:eastAsia="zh-CN" w:bidi="ar-SA"/>
              </w:rPr>
            </w:pPr>
            <w:r>
              <w:rPr>
                <w:rFonts w:hint="eastAsia" w:ascii="宋体" w:hAnsi="宋体" w:cs="Times New Roman"/>
                <w:color w:val="auto"/>
                <w:kern w:val="2"/>
                <w:sz w:val="21"/>
                <w:szCs w:val="21"/>
                <w:lang w:val="en-US" w:eastAsia="zh-CN" w:bidi="ar-SA"/>
              </w:rPr>
              <w:t>安装调试保障服务方案</w:t>
            </w:r>
          </w:p>
          <w:p w14:paraId="262CBAD7">
            <w:pPr>
              <w:spacing w:line="360" w:lineRule="auto"/>
              <w:jc w:val="center"/>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w:t>
            </w:r>
            <w:r>
              <w:rPr>
                <w:rFonts w:hint="eastAsia" w:ascii="宋体" w:hAnsi="宋体" w:cs="Times New Roman"/>
                <w:color w:val="auto"/>
                <w:kern w:val="2"/>
                <w:sz w:val="21"/>
                <w:szCs w:val="21"/>
                <w:lang w:val="en-US" w:eastAsia="zh-CN" w:bidi="ar-SA"/>
              </w:rPr>
              <w:t>10</w:t>
            </w:r>
            <w:r>
              <w:rPr>
                <w:rFonts w:hint="eastAsia" w:ascii="宋体" w:hAnsi="宋体" w:eastAsia="宋体" w:cs="Times New Roman"/>
                <w:color w:val="auto"/>
                <w:kern w:val="2"/>
                <w:sz w:val="21"/>
                <w:szCs w:val="21"/>
                <w:lang w:val="en-US" w:eastAsia="zh-CN" w:bidi="ar-SA"/>
              </w:rPr>
              <w:t>分）</w:t>
            </w:r>
          </w:p>
        </w:tc>
        <w:tc>
          <w:tcPr>
            <w:tcW w:w="6420" w:type="dxa"/>
            <w:vAlign w:val="center"/>
          </w:tcPr>
          <w:p w14:paraId="53BE6A61">
            <w:pPr>
              <w:spacing w:line="360" w:lineRule="auto"/>
              <w:jc w:val="left"/>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根据投标人针对本项目提供的安装调试保障服务方案，包括但不限于①安调人员数量②响应时间③专业施工器材④特种施工车辆⑤专业调试工具等内容进行综合评分。方案完整，思路清晰，充分考虑项目实际情况，且完整详细的得</w:t>
            </w:r>
            <w:r>
              <w:rPr>
                <w:rFonts w:hint="eastAsia" w:ascii="宋体" w:hAnsi="宋体" w:cs="Times New Roman"/>
                <w:color w:val="auto"/>
                <w:kern w:val="2"/>
                <w:sz w:val="21"/>
                <w:szCs w:val="21"/>
                <w:lang w:val="en-US" w:eastAsia="zh-CN" w:bidi="ar-SA"/>
              </w:rPr>
              <w:t>10</w:t>
            </w:r>
            <w:r>
              <w:rPr>
                <w:rFonts w:hint="eastAsia" w:ascii="宋体" w:hAnsi="宋体" w:eastAsia="宋体" w:cs="Times New Roman"/>
                <w:color w:val="auto"/>
                <w:kern w:val="2"/>
                <w:sz w:val="21"/>
                <w:szCs w:val="21"/>
                <w:lang w:val="en-US" w:eastAsia="zh-CN" w:bidi="ar-SA"/>
              </w:rPr>
              <w:t>分。每有一项内容缺失扣</w:t>
            </w:r>
            <w:r>
              <w:rPr>
                <w:rFonts w:hint="eastAsia" w:ascii="宋体" w:hAnsi="宋体" w:cs="Times New Roman"/>
                <w:color w:val="auto"/>
                <w:kern w:val="2"/>
                <w:sz w:val="21"/>
                <w:szCs w:val="21"/>
                <w:lang w:val="en-US" w:eastAsia="zh-CN" w:bidi="ar-SA"/>
              </w:rPr>
              <w:t>2</w:t>
            </w:r>
            <w:r>
              <w:rPr>
                <w:rFonts w:hint="eastAsia" w:ascii="宋体" w:hAnsi="宋体" w:eastAsia="宋体" w:cs="Times New Roman"/>
                <w:color w:val="auto"/>
                <w:kern w:val="2"/>
                <w:sz w:val="21"/>
                <w:szCs w:val="21"/>
                <w:lang w:val="en-US" w:eastAsia="zh-CN" w:bidi="ar-SA"/>
              </w:rPr>
              <w:t>分；每</w:t>
            </w:r>
            <w:r>
              <w:rPr>
                <w:rFonts w:hint="eastAsia" w:ascii="宋体" w:hAnsi="宋体" w:cs="Times New Roman"/>
                <w:color w:val="auto"/>
                <w:kern w:val="2"/>
                <w:sz w:val="21"/>
                <w:szCs w:val="21"/>
                <w:lang w:val="en-US" w:eastAsia="zh-CN" w:bidi="ar-SA"/>
              </w:rPr>
              <w:t>有一项</w:t>
            </w:r>
            <w:r>
              <w:rPr>
                <w:rFonts w:hint="eastAsia" w:ascii="宋体" w:hAnsi="宋体" w:eastAsia="宋体" w:cs="Times New Roman"/>
                <w:color w:val="auto"/>
                <w:kern w:val="2"/>
                <w:sz w:val="21"/>
                <w:szCs w:val="21"/>
                <w:lang w:val="en-US" w:eastAsia="zh-CN" w:bidi="ar-SA"/>
              </w:rPr>
              <w:t>内容存在缺陷（缺陷包含内容与实际情况不符或存在偏差或过于简略或内容错误或不满足要求)的扣</w:t>
            </w:r>
            <w:r>
              <w:rPr>
                <w:rFonts w:hint="eastAsia" w:ascii="宋体" w:hAnsi="宋体" w:cs="Times New Roman"/>
                <w:color w:val="auto"/>
                <w:kern w:val="2"/>
                <w:sz w:val="21"/>
                <w:szCs w:val="21"/>
                <w:lang w:val="en-US" w:eastAsia="zh-CN" w:bidi="ar-SA"/>
              </w:rPr>
              <w:t>1</w:t>
            </w:r>
            <w:r>
              <w:rPr>
                <w:rFonts w:hint="eastAsia" w:ascii="宋体" w:hAnsi="宋体" w:eastAsia="宋体" w:cs="Times New Roman"/>
                <w:color w:val="auto"/>
                <w:kern w:val="2"/>
                <w:sz w:val="21"/>
                <w:szCs w:val="21"/>
                <w:lang w:val="en-US" w:eastAsia="zh-CN" w:bidi="ar-SA"/>
              </w:rPr>
              <w:t>分。未提供不得分。</w:t>
            </w:r>
          </w:p>
        </w:tc>
      </w:tr>
      <w:tr w14:paraId="2A439523">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90" w:hRule="atLeast"/>
          <w:jc w:val="center"/>
        </w:trPr>
        <w:tc>
          <w:tcPr>
            <w:tcW w:w="680" w:type="dxa"/>
            <w:vMerge w:val="continue"/>
            <w:vAlign w:val="center"/>
          </w:tcPr>
          <w:p w14:paraId="245A8713">
            <w:pPr>
              <w:spacing w:line="360" w:lineRule="auto"/>
              <w:rPr>
                <w:rFonts w:ascii="宋体" w:hAnsi="宋体"/>
                <w:color w:val="auto"/>
                <w:szCs w:val="21"/>
                <w:highlight w:val="none"/>
              </w:rPr>
            </w:pPr>
          </w:p>
        </w:tc>
        <w:tc>
          <w:tcPr>
            <w:tcW w:w="1521" w:type="dxa"/>
            <w:vMerge w:val="continue"/>
            <w:vAlign w:val="center"/>
          </w:tcPr>
          <w:p w14:paraId="6C97F10B">
            <w:pPr>
              <w:spacing w:line="360" w:lineRule="auto"/>
              <w:jc w:val="center"/>
              <w:rPr>
                <w:rFonts w:ascii="宋体" w:hAnsi="宋体"/>
                <w:color w:val="auto"/>
                <w:szCs w:val="21"/>
                <w:highlight w:val="none"/>
              </w:rPr>
            </w:pPr>
          </w:p>
        </w:tc>
        <w:tc>
          <w:tcPr>
            <w:tcW w:w="1560" w:type="dxa"/>
            <w:vAlign w:val="center"/>
          </w:tcPr>
          <w:p w14:paraId="1001BC45">
            <w:pPr>
              <w:spacing w:line="360" w:lineRule="auto"/>
              <w:jc w:val="center"/>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培训方案</w:t>
            </w:r>
          </w:p>
          <w:p w14:paraId="59114DB7">
            <w:pPr>
              <w:spacing w:line="360" w:lineRule="auto"/>
              <w:jc w:val="center"/>
              <w:rPr>
                <w:rFonts w:hint="default"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（8分）</w:t>
            </w:r>
          </w:p>
        </w:tc>
        <w:tc>
          <w:tcPr>
            <w:tcW w:w="6420" w:type="dxa"/>
            <w:vAlign w:val="center"/>
          </w:tcPr>
          <w:p w14:paraId="1023455D">
            <w:pPr>
              <w:spacing w:line="360" w:lineRule="auto"/>
              <w:jc w:val="left"/>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根据投标人针对本项目提供的各设备培训方案方案</w:t>
            </w:r>
            <w:r>
              <w:rPr>
                <w:rFonts w:hint="eastAsia" w:ascii="宋体" w:hAnsi="宋体" w:cs="Times New Roman"/>
                <w:color w:val="auto"/>
                <w:kern w:val="2"/>
                <w:sz w:val="21"/>
                <w:szCs w:val="21"/>
                <w:lang w:val="en-US" w:eastAsia="zh-CN" w:bidi="ar-SA"/>
              </w:rPr>
              <w:t>，</w:t>
            </w:r>
            <w:r>
              <w:rPr>
                <w:rFonts w:hint="eastAsia" w:ascii="宋体" w:hAnsi="宋体" w:eastAsia="宋体" w:cs="Times New Roman"/>
                <w:color w:val="auto"/>
                <w:kern w:val="2"/>
                <w:sz w:val="21"/>
                <w:szCs w:val="21"/>
                <w:lang w:val="en-US" w:eastAsia="zh-CN" w:bidi="ar-SA"/>
              </w:rPr>
              <w:t>包括但不限于①培训计划②培训时间安排③培训系统及软件④操作人员培训⑤培训人员配置</w:t>
            </w:r>
            <w:r>
              <w:rPr>
                <w:rFonts w:hint="eastAsia" w:ascii="宋体" w:hAnsi="宋体" w:cs="Times New Roman"/>
                <w:color w:val="auto"/>
                <w:kern w:val="2"/>
                <w:sz w:val="21"/>
                <w:szCs w:val="21"/>
                <w:lang w:val="en-US" w:eastAsia="zh-CN" w:bidi="ar-SA"/>
              </w:rPr>
              <w:t>⑥</w:t>
            </w:r>
            <w:r>
              <w:rPr>
                <w:rFonts w:hint="eastAsia" w:ascii="宋体" w:hAnsi="宋体" w:eastAsia="宋体" w:cs="Times New Roman"/>
                <w:color w:val="auto"/>
                <w:kern w:val="2"/>
                <w:sz w:val="21"/>
                <w:szCs w:val="21"/>
                <w:lang w:val="en-US" w:eastAsia="zh-CN" w:bidi="ar-SA"/>
              </w:rPr>
              <w:t>质量保障培训</w:t>
            </w:r>
            <w:r>
              <w:rPr>
                <w:rFonts w:hint="eastAsia" w:ascii="宋体" w:hAnsi="宋体" w:cs="Times New Roman"/>
                <w:color w:val="auto"/>
                <w:kern w:val="2"/>
                <w:sz w:val="21"/>
                <w:szCs w:val="21"/>
                <w:lang w:val="en-US" w:eastAsia="zh-CN" w:bidi="ar-SA"/>
              </w:rPr>
              <w:t>⑦</w:t>
            </w:r>
            <w:r>
              <w:rPr>
                <w:rFonts w:hint="eastAsia" w:ascii="宋体" w:hAnsi="宋体" w:eastAsia="宋体" w:cs="Times New Roman"/>
                <w:color w:val="auto"/>
                <w:kern w:val="2"/>
                <w:sz w:val="21"/>
                <w:szCs w:val="21"/>
                <w:lang w:val="en-US" w:eastAsia="zh-CN" w:bidi="ar-SA"/>
              </w:rPr>
              <w:t>故障排查培训</w:t>
            </w:r>
            <w:r>
              <w:rPr>
                <w:rFonts w:hint="eastAsia" w:ascii="宋体" w:hAnsi="宋体" w:cs="Times New Roman"/>
                <w:color w:val="auto"/>
                <w:kern w:val="2"/>
                <w:sz w:val="21"/>
                <w:szCs w:val="21"/>
                <w:lang w:val="en-US" w:eastAsia="zh-CN" w:bidi="ar-SA"/>
              </w:rPr>
              <w:t>⑧</w:t>
            </w:r>
            <w:r>
              <w:rPr>
                <w:rFonts w:hint="eastAsia" w:ascii="宋体" w:hAnsi="宋体" w:eastAsia="宋体" w:cs="Times New Roman"/>
                <w:color w:val="auto"/>
                <w:kern w:val="2"/>
                <w:sz w:val="21"/>
                <w:szCs w:val="21"/>
                <w:lang w:val="en-US" w:eastAsia="zh-CN" w:bidi="ar-SA"/>
              </w:rPr>
              <w:t>对使用和维护人员的规范技术培训等内容进行综合评分。方案完整，思路清晰，充分考虑项目实际情况，且完整详细的得</w:t>
            </w:r>
            <w:r>
              <w:rPr>
                <w:rFonts w:hint="eastAsia" w:ascii="宋体" w:hAnsi="宋体" w:cs="Times New Roman"/>
                <w:color w:val="auto"/>
                <w:kern w:val="2"/>
                <w:sz w:val="21"/>
                <w:szCs w:val="21"/>
                <w:lang w:val="en-US" w:eastAsia="zh-CN" w:bidi="ar-SA"/>
              </w:rPr>
              <w:t>8</w:t>
            </w:r>
            <w:r>
              <w:rPr>
                <w:rFonts w:hint="eastAsia" w:ascii="宋体" w:hAnsi="宋体" w:eastAsia="宋体" w:cs="Times New Roman"/>
                <w:color w:val="auto"/>
                <w:kern w:val="2"/>
                <w:sz w:val="21"/>
                <w:szCs w:val="21"/>
                <w:lang w:val="en-US" w:eastAsia="zh-CN" w:bidi="ar-SA"/>
              </w:rPr>
              <w:t>分。每有一项内容缺失扣</w:t>
            </w:r>
            <w:r>
              <w:rPr>
                <w:rFonts w:hint="eastAsia" w:ascii="宋体" w:hAnsi="宋体" w:cs="Times New Roman"/>
                <w:color w:val="auto"/>
                <w:kern w:val="2"/>
                <w:sz w:val="21"/>
                <w:szCs w:val="21"/>
                <w:lang w:val="en-US" w:eastAsia="zh-CN" w:bidi="ar-SA"/>
              </w:rPr>
              <w:t>1</w:t>
            </w:r>
            <w:r>
              <w:rPr>
                <w:rFonts w:hint="eastAsia" w:ascii="宋体" w:hAnsi="宋体" w:eastAsia="宋体" w:cs="Times New Roman"/>
                <w:color w:val="auto"/>
                <w:kern w:val="2"/>
                <w:sz w:val="21"/>
                <w:szCs w:val="21"/>
                <w:lang w:val="en-US" w:eastAsia="zh-CN" w:bidi="ar-SA"/>
              </w:rPr>
              <w:t>分；每</w:t>
            </w:r>
            <w:r>
              <w:rPr>
                <w:rFonts w:hint="eastAsia" w:ascii="宋体" w:hAnsi="宋体" w:cs="Times New Roman"/>
                <w:color w:val="auto"/>
                <w:kern w:val="2"/>
                <w:sz w:val="21"/>
                <w:szCs w:val="21"/>
                <w:lang w:val="en-US" w:eastAsia="zh-CN" w:bidi="ar-SA"/>
              </w:rPr>
              <w:t>有一项</w:t>
            </w:r>
            <w:r>
              <w:rPr>
                <w:rFonts w:hint="eastAsia" w:ascii="宋体" w:hAnsi="宋体" w:eastAsia="宋体" w:cs="Times New Roman"/>
                <w:color w:val="auto"/>
                <w:kern w:val="2"/>
                <w:sz w:val="21"/>
                <w:szCs w:val="21"/>
                <w:lang w:val="en-US" w:eastAsia="zh-CN" w:bidi="ar-SA"/>
              </w:rPr>
              <w:t>内容存在缺陷（缺陷包含内容与实际情况不符或存在偏差或过于简略或内容错误或不满足要求)的扣</w:t>
            </w:r>
            <w:r>
              <w:rPr>
                <w:rFonts w:hint="eastAsia" w:ascii="宋体" w:hAnsi="宋体" w:cs="Times New Roman"/>
                <w:color w:val="auto"/>
                <w:kern w:val="2"/>
                <w:sz w:val="21"/>
                <w:szCs w:val="21"/>
                <w:lang w:val="en-US" w:eastAsia="zh-CN" w:bidi="ar-SA"/>
              </w:rPr>
              <w:t>0.5</w:t>
            </w:r>
            <w:r>
              <w:rPr>
                <w:rFonts w:hint="eastAsia" w:ascii="宋体" w:hAnsi="宋体" w:eastAsia="宋体" w:cs="Times New Roman"/>
                <w:color w:val="auto"/>
                <w:kern w:val="2"/>
                <w:sz w:val="21"/>
                <w:szCs w:val="21"/>
                <w:lang w:val="en-US" w:eastAsia="zh-CN" w:bidi="ar-SA"/>
              </w:rPr>
              <w:t>分。未提供不得分。</w:t>
            </w:r>
          </w:p>
        </w:tc>
      </w:tr>
      <w:tr w14:paraId="525269DB">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90" w:hRule="atLeast"/>
          <w:jc w:val="center"/>
        </w:trPr>
        <w:tc>
          <w:tcPr>
            <w:tcW w:w="680" w:type="dxa"/>
            <w:vMerge w:val="continue"/>
            <w:vAlign w:val="center"/>
          </w:tcPr>
          <w:p w14:paraId="5C94F8EC">
            <w:pPr>
              <w:spacing w:line="360" w:lineRule="auto"/>
              <w:rPr>
                <w:rFonts w:ascii="宋体" w:hAnsi="宋体"/>
                <w:color w:val="auto"/>
                <w:szCs w:val="21"/>
                <w:highlight w:val="none"/>
              </w:rPr>
            </w:pPr>
          </w:p>
        </w:tc>
        <w:tc>
          <w:tcPr>
            <w:tcW w:w="1521" w:type="dxa"/>
            <w:vMerge w:val="continue"/>
            <w:vAlign w:val="center"/>
          </w:tcPr>
          <w:p w14:paraId="723D8ACE">
            <w:pPr>
              <w:spacing w:line="360" w:lineRule="auto"/>
              <w:jc w:val="center"/>
              <w:rPr>
                <w:rFonts w:ascii="宋体" w:hAnsi="宋体"/>
                <w:color w:val="auto"/>
                <w:szCs w:val="21"/>
                <w:highlight w:val="none"/>
              </w:rPr>
            </w:pPr>
          </w:p>
        </w:tc>
        <w:tc>
          <w:tcPr>
            <w:tcW w:w="1560" w:type="dxa"/>
            <w:vAlign w:val="center"/>
          </w:tcPr>
          <w:p w14:paraId="45CDE31D">
            <w:pPr>
              <w:pStyle w:val="362"/>
              <w:jc w:val="center"/>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应急方案</w:t>
            </w:r>
          </w:p>
          <w:p w14:paraId="213C0460">
            <w:pPr>
              <w:pStyle w:val="362"/>
              <w:jc w:val="center"/>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（3分）</w:t>
            </w:r>
          </w:p>
        </w:tc>
        <w:tc>
          <w:tcPr>
            <w:tcW w:w="6420" w:type="dxa"/>
            <w:vAlign w:val="top"/>
          </w:tcPr>
          <w:p w14:paraId="0A9FD824">
            <w:pPr>
              <w:pStyle w:val="362"/>
              <w:spacing w:line="360" w:lineRule="auto"/>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根据投标人针对本项目提供的应急方案，包括但不限于①突发事件响应时间②应急处理③能够充分说明保证项目应急状况下所采取的措施和计划等内容进行综合评分。方案完整，思路清晰，充分考虑项目实际情况，且完整详细的得</w:t>
            </w:r>
            <w:r>
              <w:rPr>
                <w:rFonts w:hint="eastAsia" w:ascii="宋体" w:hAnsi="宋体" w:cs="Times New Roman"/>
                <w:color w:val="auto"/>
                <w:kern w:val="2"/>
                <w:sz w:val="21"/>
                <w:szCs w:val="21"/>
                <w:lang w:val="en-US" w:eastAsia="zh-CN" w:bidi="ar-SA"/>
              </w:rPr>
              <w:t>3</w:t>
            </w:r>
            <w:r>
              <w:rPr>
                <w:rFonts w:hint="eastAsia" w:ascii="宋体" w:hAnsi="宋体" w:eastAsia="宋体" w:cs="Times New Roman"/>
                <w:color w:val="auto"/>
                <w:kern w:val="2"/>
                <w:sz w:val="21"/>
                <w:szCs w:val="21"/>
                <w:lang w:val="en-US" w:eastAsia="zh-CN" w:bidi="ar-SA"/>
              </w:rPr>
              <w:t>分。每有一项内容缺失扣</w:t>
            </w:r>
            <w:r>
              <w:rPr>
                <w:rFonts w:hint="eastAsia" w:ascii="宋体" w:hAnsi="宋体" w:cs="Times New Roman"/>
                <w:color w:val="auto"/>
                <w:kern w:val="2"/>
                <w:sz w:val="21"/>
                <w:szCs w:val="21"/>
                <w:lang w:val="en-US" w:eastAsia="zh-CN" w:bidi="ar-SA"/>
              </w:rPr>
              <w:t>1</w:t>
            </w:r>
            <w:r>
              <w:rPr>
                <w:rFonts w:hint="eastAsia" w:ascii="宋体" w:hAnsi="宋体" w:eastAsia="宋体" w:cs="Times New Roman"/>
                <w:color w:val="auto"/>
                <w:kern w:val="2"/>
                <w:sz w:val="21"/>
                <w:szCs w:val="21"/>
                <w:lang w:val="en-US" w:eastAsia="zh-CN" w:bidi="ar-SA"/>
              </w:rPr>
              <w:t>分；每</w:t>
            </w:r>
            <w:r>
              <w:rPr>
                <w:rFonts w:hint="eastAsia" w:ascii="宋体" w:hAnsi="宋体" w:cs="Times New Roman"/>
                <w:color w:val="auto"/>
                <w:kern w:val="2"/>
                <w:sz w:val="21"/>
                <w:szCs w:val="21"/>
                <w:lang w:val="en-US" w:eastAsia="zh-CN" w:bidi="ar-SA"/>
              </w:rPr>
              <w:t>有一项</w:t>
            </w:r>
            <w:r>
              <w:rPr>
                <w:rFonts w:hint="eastAsia" w:ascii="宋体" w:hAnsi="宋体" w:eastAsia="宋体" w:cs="Times New Roman"/>
                <w:color w:val="auto"/>
                <w:kern w:val="2"/>
                <w:sz w:val="21"/>
                <w:szCs w:val="21"/>
                <w:lang w:val="en-US" w:eastAsia="zh-CN" w:bidi="ar-SA"/>
              </w:rPr>
              <w:t>内容存在缺陷（缺陷包含内容与实际情况不符或存在偏差或过于简略或内容错误或不满足要求)的扣</w:t>
            </w:r>
            <w:r>
              <w:rPr>
                <w:rFonts w:hint="eastAsia" w:ascii="宋体" w:hAnsi="宋体" w:cs="Times New Roman"/>
                <w:color w:val="auto"/>
                <w:kern w:val="2"/>
                <w:sz w:val="21"/>
                <w:szCs w:val="21"/>
                <w:lang w:val="en-US" w:eastAsia="zh-CN" w:bidi="ar-SA"/>
              </w:rPr>
              <w:t>0.5</w:t>
            </w:r>
            <w:r>
              <w:rPr>
                <w:rFonts w:hint="eastAsia" w:ascii="宋体" w:hAnsi="宋体" w:eastAsia="宋体" w:cs="Times New Roman"/>
                <w:color w:val="auto"/>
                <w:kern w:val="2"/>
                <w:sz w:val="21"/>
                <w:szCs w:val="21"/>
                <w:lang w:val="en-US" w:eastAsia="zh-CN" w:bidi="ar-SA"/>
              </w:rPr>
              <w:t>分。未提供不得分。</w:t>
            </w:r>
          </w:p>
        </w:tc>
      </w:tr>
      <w:bookmarkEnd w:id="162"/>
      <w:tr w14:paraId="2D89F32D">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3110" w:hRule="atLeast"/>
          <w:jc w:val="center"/>
        </w:trPr>
        <w:tc>
          <w:tcPr>
            <w:tcW w:w="680" w:type="dxa"/>
            <w:vAlign w:val="center"/>
          </w:tcPr>
          <w:p w14:paraId="36743E6F">
            <w:pPr>
              <w:spacing w:line="360" w:lineRule="auto"/>
              <w:rPr>
                <w:rFonts w:ascii="宋体" w:hAnsi="宋体"/>
                <w:color w:val="auto"/>
                <w:szCs w:val="21"/>
                <w:highlight w:val="none"/>
              </w:rPr>
            </w:pPr>
            <w:r>
              <w:rPr>
                <w:rFonts w:hint="eastAsia" w:ascii="宋体" w:hAnsi="宋体"/>
                <w:color w:val="auto"/>
                <w:highlight w:val="none"/>
              </w:rPr>
              <w:t>3</w:t>
            </w:r>
            <w:r>
              <w:rPr>
                <w:rFonts w:ascii="宋体" w:hAnsi="宋体"/>
                <w:color w:val="auto"/>
                <w:highlight w:val="none"/>
              </w:rPr>
              <w:t>.2.2（3）</w:t>
            </w:r>
          </w:p>
        </w:tc>
        <w:tc>
          <w:tcPr>
            <w:tcW w:w="1521" w:type="dxa"/>
            <w:vAlign w:val="center"/>
          </w:tcPr>
          <w:p w14:paraId="67DCE4E0">
            <w:pPr>
              <w:spacing w:line="360" w:lineRule="auto"/>
              <w:jc w:val="center"/>
              <w:rPr>
                <w:rFonts w:ascii="宋体" w:hAnsi="宋体"/>
                <w:color w:val="auto"/>
                <w:szCs w:val="21"/>
                <w:highlight w:val="none"/>
              </w:rPr>
            </w:pPr>
            <w:r>
              <w:rPr>
                <w:rFonts w:ascii="宋体" w:hAnsi="宋体"/>
                <w:color w:val="auto"/>
                <w:szCs w:val="21"/>
                <w:highlight w:val="none"/>
              </w:rPr>
              <w:t>商务部分</w:t>
            </w:r>
          </w:p>
          <w:p w14:paraId="428BB6A1">
            <w:pPr>
              <w:spacing w:line="360" w:lineRule="auto"/>
              <w:jc w:val="center"/>
              <w:rPr>
                <w:rFonts w:ascii="宋体" w:hAnsi="宋体"/>
                <w:color w:val="auto"/>
                <w:szCs w:val="21"/>
                <w:highlight w:val="none"/>
              </w:rPr>
            </w:pPr>
            <w:r>
              <w:rPr>
                <w:rFonts w:ascii="宋体" w:hAnsi="宋体"/>
                <w:color w:val="auto"/>
                <w:szCs w:val="21"/>
                <w:highlight w:val="none"/>
              </w:rPr>
              <w:t>F3</w:t>
            </w:r>
          </w:p>
          <w:p w14:paraId="625F60CD">
            <w:pPr>
              <w:spacing w:line="360" w:lineRule="auto"/>
              <w:jc w:val="center"/>
              <w:rPr>
                <w:rFonts w:ascii="宋体" w:hAnsi="宋体"/>
                <w:color w:val="auto"/>
                <w:szCs w:val="21"/>
                <w:highlight w:val="none"/>
              </w:rPr>
            </w:pPr>
            <w:r>
              <w:rPr>
                <w:rFonts w:ascii="宋体" w:hAnsi="宋体"/>
                <w:color w:val="auto"/>
                <w:szCs w:val="21"/>
                <w:highlight w:val="none"/>
              </w:rPr>
              <w:t>评分标准</w:t>
            </w:r>
          </w:p>
          <w:p w14:paraId="7264EFF3">
            <w:pPr>
              <w:spacing w:line="360" w:lineRule="auto"/>
              <w:jc w:val="center"/>
              <w:rPr>
                <w:rFonts w:ascii="宋体" w:hAnsi="宋体"/>
                <w:color w:val="auto"/>
                <w:szCs w:val="21"/>
                <w:highlight w:val="none"/>
              </w:rPr>
            </w:pPr>
            <w:r>
              <w:rPr>
                <w:rFonts w:ascii="宋体" w:hAnsi="宋体"/>
                <w:color w:val="auto"/>
                <w:szCs w:val="21"/>
                <w:highlight w:val="none"/>
              </w:rPr>
              <w:t>（满分</w:t>
            </w:r>
            <w:r>
              <w:rPr>
                <w:rFonts w:hint="eastAsia" w:ascii="宋体" w:hAnsi="宋体"/>
                <w:color w:val="auto"/>
                <w:szCs w:val="21"/>
                <w:highlight w:val="none"/>
                <w:lang w:val="en-US" w:eastAsia="zh-CN"/>
              </w:rPr>
              <w:t>3</w:t>
            </w:r>
            <w:r>
              <w:rPr>
                <w:rFonts w:ascii="宋体" w:hAnsi="宋体"/>
                <w:color w:val="auto"/>
                <w:szCs w:val="21"/>
                <w:highlight w:val="none"/>
              </w:rPr>
              <w:t>分）</w:t>
            </w:r>
          </w:p>
        </w:tc>
        <w:tc>
          <w:tcPr>
            <w:tcW w:w="1560" w:type="dxa"/>
            <w:vAlign w:val="center"/>
          </w:tcPr>
          <w:p w14:paraId="0C8B3EFA">
            <w:pPr>
              <w:spacing w:line="360" w:lineRule="auto"/>
              <w:jc w:val="center"/>
              <w:rPr>
                <w:rFonts w:ascii="宋体" w:hAnsi="宋体"/>
                <w:color w:val="auto"/>
                <w:szCs w:val="21"/>
                <w:highlight w:val="none"/>
              </w:rPr>
            </w:pPr>
            <w:bookmarkStart w:id="163" w:name="OLE_LINK32"/>
            <w:r>
              <w:rPr>
                <w:rFonts w:hint="eastAsia" w:ascii="宋体" w:hAnsi="宋体"/>
                <w:color w:val="auto"/>
                <w:szCs w:val="21"/>
                <w:highlight w:val="none"/>
              </w:rPr>
              <w:t>业绩</w:t>
            </w:r>
          </w:p>
          <w:p w14:paraId="49CB5F3E">
            <w:pPr>
              <w:spacing w:line="360" w:lineRule="auto"/>
              <w:jc w:val="center"/>
              <w:rPr>
                <w:rFonts w:ascii="宋体" w:hAnsi="宋体"/>
                <w:color w:val="auto"/>
                <w:szCs w:val="21"/>
                <w:highlight w:val="none"/>
              </w:rPr>
            </w:pPr>
            <w:r>
              <w:rPr>
                <w:rFonts w:hint="eastAsia" w:ascii="宋体" w:hAnsi="宋体"/>
                <w:color w:val="auto"/>
                <w:szCs w:val="21"/>
                <w:highlight w:val="none"/>
              </w:rPr>
              <w:t>（</w:t>
            </w:r>
            <w:r>
              <w:rPr>
                <w:rFonts w:hint="eastAsia" w:ascii="宋体" w:hAnsi="宋体"/>
                <w:color w:val="auto"/>
                <w:szCs w:val="21"/>
                <w:highlight w:val="none"/>
                <w:lang w:val="en-US" w:eastAsia="zh-CN"/>
              </w:rPr>
              <w:t>3</w:t>
            </w:r>
            <w:r>
              <w:rPr>
                <w:rFonts w:hint="eastAsia" w:ascii="宋体" w:hAnsi="宋体"/>
                <w:color w:val="auto"/>
                <w:szCs w:val="21"/>
                <w:highlight w:val="none"/>
              </w:rPr>
              <w:t>分）</w:t>
            </w:r>
            <w:bookmarkEnd w:id="163"/>
          </w:p>
        </w:tc>
        <w:tc>
          <w:tcPr>
            <w:tcW w:w="6420" w:type="dxa"/>
            <w:vAlign w:val="center"/>
          </w:tcPr>
          <w:p w14:paraId="1A062EEB">
            <w:pPr>
              <w:spacing w:line="360" w:lineRule="auto"/>
              <w:jc w:val="left"/>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每提供2022年至今的一个类似项目的有效业绩证明材料的得1分，该项分数加满为止，未提供相应证明材料的不得分。</w:t>
            </w:r>
          </w:p>
          <w:p w14:paraId="700C937C">
            <w:pPr>
              <w:spacing w:line="360" w:lineRule="auto"/>
              <w:jc w:val="left"/>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注：1）有效业绩证明材料是指：投标人2022年至今完成的类似项目业绩的中标（成交）通知书复印件/扫描件或合同复印件/扫描件；</w:t>
            </w:r>
          </w:p>
          <w:p w14:paraId="5D69F116">
            <w:pPr>
              <w:spacing w:line="360" w:lineRule="auto"/>
              <w:jc w:val="left"/>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2）未提供类似项目业绩证明材料或提供的证明材料不能明确反映其为类似项目业绩的不得分。</w:t>
            </w:r>
          </w:p>
        </w:tc>
      </w:tr>
      <w:bookmarkEnd w:id="160"/>
    </w:tbl>
    <w:p w14:paraId="7C9BF5B0">
      <w:pPr>
        <w:widowControl/>
        <w:jc w:val="left"/>
        <w:rPr>
          <w:rFonts w:asciiTheme="minorEastAsia" w:hAnsiTheme="minorEastAsia" w:eastAsiaTheme="minorEastAsia"/>
          <w:b/>
          <w:bCs/>
          <w:color w:val="auto"/>
          <w:sz w:val="22"/>
          <w:szCs w:val="22"/>
          <w:highlight w:val="none"/>
        </w:rPr>
      </w:pPr>
      <w:r>
        <w:rPr>
          <w:rFonts w:hint="eastAsia" w:asciiTheme="minorEastAsia" w:hAnsiTheme="minorEastAsia" w:eastAsiaTheme="minorEastAsia"/>
          <w:b/>
          <w:bCs/>
          <w:color w:val="auto"/>
          <w:sz w:val="22"/>
          <w:szCs w:val="22"/>
          <w:highlight w:val="none"/>
        </w:rPr>
        <w:t>1.评标方法：</w:t>
      </w:r>
    </w:p>
    <w:p w14:paraId="478EA6FC">
      <w:pPr>
        <w:tabs>
          <w:tab w:val="left" w:pos="2472"/>
        </w:tabs>
        <w:spacing w:line="480" w:lineRule="exact"/>
        <w:rPr>
          <w:rFonts w:ascii="宋体" w:hAnsi="宋体"/>
          <w:color w:val="auto"/>
          <w:sz w:val="22"/>
          <w:szCs w:val="18"/>
          <w:highlight w:val="none"/>
        </w:rPr>
      </w:pPr>
      <w:r>
        <w:rPr>
          <w:rFonts w:hint="eastAsia" w:ascii="宋体" w:hAnsi="宋体"/>
          <w:b/>
          <w:bCs/>
          <w:color w:val="auto"/>
          <w:sz w:val="22"/>
          <w:szCs w:val="18"/>
          <w:highlight w:val="none"/>
        </w:rPr>
        <w:t>1.1本次评标采用综合评分法。</w:t>
      </w:r>
      <w:r>
        <w:rPr>
          <w:rFonts w:hint="eastAsia" w:ascii="宋体" w:hAnsi="宋体"/>
          <w:color w:val="auto"/>
          <w:sz w:val="22"/>
          <w:szCs w:val="18"/>
          <w:highlight w:val="none"/>
        </w:rPr>
        <w:t>评标委员会对满足招标文件全部实质性要求（即通过资格性评审及符合性评审）的投标文件，按照本章前附表规定的评分标准进行打分，并按评标总得分计算公式计算评标总得分，按总得分由高到低的顺序推荐3名中标候选人；</w:t>
      </w:r>
    </w:p>
    <w:p w14:paraId="321991BA">
      <w:pPr>
        <w:pStyle w:val="16"/>
        <w:tabs>
          <w:tab w:val="left" w:pos="2472"/>
        </w:tabs>
        <w:spacing w:line="480" w:lineRule="exact"/>
        <w:rPr>
          <w:rFonts w:asciiTheme="minorEastAsia" w:hAnsiTheme="minorEastAsia" w:eastAsiaTheme="minorEastAsia"/>
          <w:color w:val="auto"/>
          <w:sz w:val="22"/>
          <w:szCs w:val="18"/>
          <w:highlight w:val="none"/>
        </w:rPr>
      </w:pPr>
      <w:r>
        <w:rPr>
          <w:rFonts w:ascii="Times New Roman" w:hAnsi="宋体"/>
          <w:b/>
          <w:bCs/>
          <w:color w:val="auto"/>
          <w:sz w:val="22"/>
          <w:szCs w:val="22"/>
          <w:highlight w:val="none"/>
        </w:rPr>
        <w:t>1.2</w:t>
      </w:r>
      <w:r>
        <w:rPr>
          <w:rFonts w:hint="eastAsia" w:ascii="Times New Roman" w:hAnsi="宋体"/>
          <w:b/>
          <w:bCs/>
          <w:color w:val="auto"/>
          <w:sz w:val="22"/>
          <w:szCs w:val="22"/>
          <w:highlight w:val="none"/>
        </w:rPr>
        <w:t>评标总得分相同时的推荐原则：</w:t>
      </w:r>
      <w:r>
        <w:rPr>
          <w:rFonts w:hint="eastAsia" w:ascii="Times New Roman" w:hAnsi="宋体"/>
          <w:color w:val="auto"/>
          <w:sz w:val="22"/>
          <w:szCs w:val="22"/>
          <w:highlight w:val="none"/>
        </w:rPr>
        <w:t>得分相同的，按投标报价</w:t>
      </w:r>
      <w:r>
        <w:rPr>
          <w:rFonts w:hint="eastAsia" w:ascii="Times New Roman" w:hAnsi="宋体"/>
          <w:color w:val="auto"/>
          <w:sz w:val="22"/>
          <w:szCs w:val="22"/>
          <w:highlight w:val="none"/>
          <w:lang w:val="en-US" w:eastAsia="zh-CN"/>
        </w:rPr>
        <w:t>得分</w:t>
      </w:r>
      <w:r>
        <w:rPr>
          <w:rFonts w:hint="eastAsia" w:ascii="Times New Roman" w:hAnsi="宋体"/>
          <w:color w:val="auto"/>
          <w:sz w:val="22"/>
          <w:szCs w:val="22"/>
          <w:highlight w:val="none"/>
        </w:rPr>
        <w:t>由</w:t>
      </w:r>
      <w:r>
        <w:rPr>
          <w:rFonts w:hint="eastAsia" w:ascii="Times New Roman" w:hAnsi="宋体"/>
          <w:color w:val="auto"/>
          <w:sz w:val="22"/>
          <w:szCs w:val="22"/>
          <w:highlight w:val="none"/>
          <w:lang w:val="en-US" w:eastAsia="zh-CN"/>
        </w:rPr>
        <w:t>高</w:t>
      </w:r>
      <w:r>
        <w:rPr>
          <w:rFonts w:hint="eastAsia" w:ascii="Times New Roman" w:hAnsi="宋体"/>
          <w:color w:val="auto"/>
          <w:sz w:val="22"/>
          <w:szCs w:val="22"/>
          <w:highlight w:val="none"/>
        </w:rPr>
        <w:t>到</w:t>
      </w:r>
      <w:r>
        <w:rPr>
          <w:rFonts w:hint="eastAsia" w:ascii="Times New Roman" w:hAnsi="宋体"/>
          <w:color w:val="auto"/>
          <w:sz w:val="22"/>
          <w:szCs w:val="22"/>
          <w:highlight w:val="none"/>
          <w:lang w:val="en-US" w:eastAsia="zh-CN"/>
        </w:rPr>
        <w:t>低</w:t>
      </w:r>
      <w:r>
        <w:rPr>
          <w:rFonts w:hint="eastAsia" w:ascii="Times New Roman" w:hAnsi="宋体"/>
          <w:color w:val="auto"/>
          <w:sz w:val="22"/>
          <w:szCs w:val="22"/>
          <w:highlight w:val="none"/>
        </w:rPr>
        <w:t>顺序推荐</w:t>
      </w:r>
      <w:r>
        <w:rPr>
          <w:rFonts w:hint="eastAsia" w:ascii="Times New Roman" w:hAnsi="宋体"/>
          <w:color w:val="auto"/>
          <w:sz w:val="22"/>
          <w:szCs w:val="22"/>
          <w:highlight w:val="none"/>
          <w:lang w:eastAsia="zh-CN"/>
        </w:rPr>
        <w:t>；</w:t>
      </w:r>
      <w:r>
        <w:rPr>
          <w:rFonts w:hint="eastAsia" w:ascii="Times New Roman" w:hAnsi="宋体"/>
          <w:color w:val="auto"/>
          <w:sz w:val="22"/>
          <w:szCs w:val="22"/>
          <w:highlight w:val="none"/>
        </w:rPr>
        <w:t>评标总得分及投标报价</w:t>
      </w:r>
      <w:r>
        <w:rPr>
          <w:rFonts w:hint="eastAsia" w:ascii="Times New Roman" w:hAnsi="宋体"/>
          <w:color w:val="auto"/>
          <w:sz w:val="22"/>
          <w:szCs w:val="22"/>
          <w:highlight w:val="none"/>
          <w:lang w:val="en-US" w:eastAsia="zh-CN"/>
        </w:rPr>
        <w:t>得分</w:t>
      </w:r>
      <w:r>
        <w:rPr>
          <w:rFonts w:hint="eastAsia" w:ascii="Times New Roman" w:hAnsi="宋体"/>
          <w:color w:val="auto"/>
          <w:sz w:val="22"/>
          <w:szCs w:val="22"/>
          <w:highlight w:val="none"/>
        </w:rPr>
        <w:t>相等</w:t>
      </w:r>
      <w:r>
        <w:rPr>
          <w:rFonts w:hint="eastAsia" w:hAnsi="宋体"/>
          <w:color w:val="auto"/>
          <w:sz w:val="22"/>
          <w:szCs w:val="18"/>
          <w:highlight w:val="none"/>
        </w:rPr>
        <w:t>时，评标委员会将依次按技术部分得分高优先、商务部分得分高优先的顺序推荐；所有得分均相等的，按优先采购优质优价的可追溯产品，优先采购监狱企业、残疾人福利性单位、劳动关系和谐企业、新兴</w:t>
      </w:r>
      <w:r>
        <w:rPr>
          <w:rFonts w:hint="eastAsia" w:ascii="Times New Roman" w:hAnsi="宋体"/>
          <w:color w:val="auto"/>
          <w:sz w:val="22"/>
          <w:szCs w:val="22"/>
          <w:highlight w:val="none"/>
        </w:rPr>
        <w:t>业态企业的产品和服务的原则推荐中标候选人；所有得分均相等且政府采购政策条件也相等的，按主要技术指标高优先、服务时间长优先、</w:t>
      </w:r>
      <w:r>
        <w:rPr>
          <w:rFonts w:hint="eastAsia" w:ascii="Times New Roman" w:hAnsi="宋体"/>
          <w:color w:val="auto"/>
          <w:sz w:val="22"/>
          <w:szCs w:val="22"/>
          <w:highlight w:val="none"/>
          <w:lang w:val="en-US" w:eastAsia="zh-CN"/>
        </w:rPr>
        <w:t>应急响应</w:t>
      </w:r>
      <w:r>
        <w:rPr>
          <w:rFonts w:hint="eastAsia" w:ascii="Times New Roman" w:hAnsi="宋体"/>
          <w:color w:val="auto"/>
          <w:sz w:val="22"/>
          <w:szCs w:val="22"/>
          <w:highlight w:val="none"/>
        </w:rPr>
        <w:t>时间短优先的顺序推荐中标候选人。</w:t>
      </w:r>
    </w:p>
    <w:p w14:paraId="2BF79F87">
      <w:pPr>
        <w:pStyle w:val="18"/>
        <w:tabs>
          <w:tab w:val="left" w:pos="540"/>
        </w:tabs>
        <w:adjustRightInd w:val="0"/>
        <w:spacing w:before="240" w:line="360" w:lineRule="auto"/>
        <w:ind w:left="0" w:leftChars="0"/>
        <w:rPr>
          <w:rFonts w:asciiTheme="minorEastAsia" w:hAnsiTheme="minorEastAsia"/>
          <w:b/>
          <w:color w:val="auto"/>
          <w:sz w:val="22"/>
          <w:szCs w:val="22"/>
          <w:highlight w:val="none"/>
        </w:rPr>
      </w:pPr>
      <w:bookmarkStart w:id="164" w:name="_Toc63070525"/>
      <w:bookmarkStart w:id="165" w:name="_Toc48742770"/>
      <w:r>
        <w:rPr>
          <w:rFonts w:hint="eastAsia" w:asciiTheme="minorEastAsia" w:hAnsiTheme="minorEastAsia"/>
          <w:b/>
          <w:color w:val="auto"/>
          <w:sz w:val="22"/>
          <w:szCs w:val="22"/>
          <w:highlight w:val="none"/>
        </w:rPr>
        <w:t>2.政府采购政策：</w:t>
      </w:r>
      <w:bookmarkEnd w:id="164"/>
      <w:bookmarkEnd w:id="165"/>
    </w:p>
    <w:p w14:paraId="0613EEF8">
      <w:pPr>
        <w:spacing w:line="360" w:lineRule="auto"/>
        <w:rPr>
          <w:rFonts w:asciiTheme="minorEastAsia" w:hAnsiTheme="minorEastAsia" w:eastAsiaTheme="minorEastAsia"/>
          <w:b/>
          <w:color w:val="auto"/>
          <w:sz w:val="22"/>
          <w:szCs w:val="22"/>
          <w:highlight w:val="none"/>
        </w:rPr>
      </w:pPr>
      <w:r>
        <w:rPr>
          <w:rFonts w:asciiTheme="minorEastAsia" w:hAnsiTheme="minorEastAsia" w:eastAsiaTheme="minorEastAsia"/>
          <w:b/>
          <w:color w:val="auto"/>
          <w:sz w:val="22"/>
          <w:szCs w:val="22"/>
          <w:highlight w:val="none"/>
        </w:rPr>
        <w:t>2.1</w:t>
      </w:r>
      <w:r>
        <w:rPr>
          <w:rFonts w:hint="eastAsia" w:asciiTheme="minorEastAsia" w:hAnsiTheme="minorEastAsia" w:eastAsiaTheme="minorEastAsia"/>
          <w:b/>
          <w:color w:val="auto"/>
          <w:sz w:val="22"/>
          <w:szCs w:val="22"/>
          <w:highlight w:val="none"/>
        </w:rPr>
        <w:t>中小企业</w:t>
      </w:r>
    </w:p>
    <w:p w14:paraId="43E7EA29">
      <w:pPr>
        <w:spacing w:line="360" w:lineRule="auto"/>
        <w:rPr>
          <w:rFonts w:asciiTheme="minorEastAsia" w:hAnsiTheme="minorEastAsia" w:eastAsiaTheme="minorEastAsia"/>
          <w:color w:val="auto"/>
          <w:sz w:val="22"/>
          <w:szCs w:val="22"/>
          <w:highlight w:val="none"/>
        </w:rPr>
      </w:pPr>
      <w:r>
        <w:rPr>
          <w:rFonts w:asciiTheme="minorEastAsia" w:hAnsiTheme="minorEastAsia" w:eastAsiaTheme="minorEastAsia"/>
          <w:color w:val="auto"/>
          <w:sz w:val="22"/>
          <w:szCs w:val="22"/>
          <w:highlight w:val="none"/>
        </w:rPr>
        <w:t>2</w:t>
      </w:r>
      <w:r>
        <w:rPr>
          <w:rFonts w:hint="eastAsia" w:asciiTheme="minorEastAsia" w:hAnsiTheme="minorEastAsia" w:eastAsiaTheme="minorEastAsia"/>
          <w:color w:val="auto"/>
          <w:sz w:val="22"/>
          <w:szCs w:val="22"/>
          <w:highlight w:val="none"/>
        </w:rPr>
        <w:t>.</w:t>
      </w:r>
      <w:r>
        <w:rPr>
          <w:rFonts w:asciiTheme="minorEastAsia" w:hAnsiTheme="minorEastAsia" w:eastAsiaTheme="minorEastAsia"/>
          <w:color w:val="auto"/>
          <w:sz w:val="22"/>
          <w:szCs w:val="22"/>
          <w:highlight w:val="none"/>
        </w:rPr>
        <w:t>1</w:t>
      </w:r>
      <w:r>
        <w:rPr>
          <w:rFonts w:hint="eastAsia" w:asciiTheme="minorEastAsia" w:hAnsiTheme="minorEastAsia" w:eastAsiaTheme="minorEastAsia"/>
          <w:color w:val="auto"/>
          <w:sz w:val="22"/>
          <w:szCs w:val="22"/>
          <w:highlight w:val="none"/>
        </w:rPr>
        <w:t>.1根据《关于印发《政府采购促进中小企业发展管理办法》的通知》（财库〔2020〕46号）的规定，在政府采购活动中，供应商提供的货物、工程或者服务符合下列情形的，享受本办法规定的中小企业扶持政策：</w:t>
      </w:r>
    </w:p>
    <w:p w14:paraId="6A5A990B">
      <w:pPr>
        <w:spacing w:line="360" w:lineRule="auto"/>
        <w:ind w:firstLine="387" w:firstLineChars="176"/>
        <w:rPr>
          <w:rFonts w:asciiTheme="minorEastAsia" w:hAnsiTheme="minorEastAsia" w:eastAsiaTheme="minorEastAsia"/>
          <w:color w:val="auto"/>
          <w:sz w:val="22"/>
          <w:szCs w:val="22"/>
          <w:highlight w:val="none"/>
        </w:rPr>
      </w:pPr>
      <w:r>
        <w:rPr>
          <w:rFonts w:hint="eastAsia" w:asciiTheme="minorEastAsia" w:hAnsiTheme="minorEastAsia" w:eastAsiaTheme="minorEastAsia"/>
          <w:color w:val="auto"/>
          <w:sz w:val="22"/>
          <w:szCs w:val="22"/>
          <w:highlight w:val="none"/>
        </w:rPr>
        <w:t>（一）在货物采购项目中，货物由中小企业制造，即货物由中小企业生产且使用该中小企业商号或者注册商标；</w:t>
      </w:r>
    </w:p>
    <w:p w14:paraId="59D9F25C">
      <w:pPr>
        <w:spacing w:line="360" w:lineRule="auto"/>
        <w:ind w:firstLine="387" w:firstLineChars="176"/>
        <w:rPr>
          <w:rFonts w:asciiTheme="minorEastAsia" w:hAnsiTheme="minorEastAsia" w:eastAsiaTheme="minorEastAsia"/>
          <w:color w:val="auto"/>
          <w:sz w:val="22"/>
          <w:szCs w:val="22"/>
          <w:highlight w:val="none"/>
        </w:rPr>
      </w:pPr>
      <w:r>
        <w:rPr>
          <w:rFonts w:hint="eastAsia" w:asciiTheme="minorEastAsia" w:hAnsiTheme="minorEastAsia" w:eastAsiaTheme="minorEastAsia"/>
          <w:color w:val="auto"/>
          <w:sz w:val="22"/>
          <w:szCs w:val="22"/>
          <w:highlight w:val="none"/>
        </w:rPr>
        <w:t>（二）在工程采购项目中，工程由中小企业承建，即工程施工单位为中小企业；</w:t>
      </w:r>
    </w:p>
    <w:p w14:paraId="3F1AE239">
      <w:pPr>
        <w:spacing w:line="360" w:lineRule="auto"/>
        <w:ind w:firstLine="387" w:firstLineChars="176"/>
        <w:rPr>
          <w:rFonts w:asciiTheme="minorEastAsia" w:hAnsiTheme="minorEastAsia" w:eastAsiaTheme="minorEastAsia"/>
          <w:color w:val="auto"/>
          <w:sz w:val="22"/>
          <w:szCs w:val="22"/>
          <w:highlight w:val="none"/>
        </w:rPr>
      </w:pPr>
      <w:r>
        <w:rPr>
          <w:rFonts w:hint="eastAsia" w:asciiTheme="minorEastAsia" w:hAnsiTheme="minorEastAsia" w:eastAsiaTheme="minorEastAsia"/>
          <w:color w:val="auto"/>
          <w:sz w:val="22"/>
          <w:szCs w:val="22"/>
          <w:highlight w:val="none"/>
        </w:rPr>
        <w:t>（三）在服务采购项目中，服务由中小企业承接，即提供服务的人员为中小企业依照《中华人民共和国劳动合同法》订立劳动合同的从业人员。</w:t>
      </w:r>
    </w:p>
    <w:p w14:paraId="7BA7EEC9">
      <w:pPr>
        <w:spacing w:line="360" w:lineRule="auto"/>
        <w:ind w:firstLine="387" w:firstLineChars="176"/>
        <w:rPr>
          <w:rFonts w:asciiTheme="minorEastAsia" w:hAnsiTheme="minorEastAsia" w:eastAsiaTheme="minorEastAsia"/>
          <w:color w:val="auto"/>
          <w:sz w:val="22"/>
          <w:szCs w:val="22"/>
          <w:highlight w:val="none"/>
        </w:rPr>
      </w:pPr>
      <w:r>
        <w:rPr>
          <w:rFonts w:hint="eastAsia" w:asciiTheme="minorEastAsia" w:hAnsiTheme="minorEastAsia" w:eastAsiaTheme="minorEastAsia"/>
          <w:color w:val="auto"/>
          <w:sz w:val="22"/>
          <w:szCs w:val="22"/>
          <w:highlight w:val="none"/>
        </w:rPr>
        <w:t>在货物采购项目中，供应商提供的货物既有中小企业制造货物，也有大型企业制造货物的，不享受本办法规定的中小企业扶持政策。</w:t>
      </w:r>
    </w:p>
    <w:p w14:paraId="004C8EFD">
      <w:pPr>
        <w:spacing w:line="360" w:lineRule="auto"/>
        <w:ind w:firstLine="387" w:firstLineChars="176"/>
        <w:rPr>
          <w:rFonts w:asciiTheme="minorEastAsia" w:hAnsiTheme="minorEastAsia" w:eastAsiaTheme="minorEastAsia"/>
          <w:color w:val="auto"/>
          <w:sz w:val="22"/>
          <w:szCs w:val="22"/>
          <w:highlight w:val="none"/>
        </w:rPr>
      </w:pPr>
      <w:r>
        <w:rPr>
          <w:rFonts w:hint="eastAsia" w:asciiTheme="minorEastAsia" w:hAnsiTheme="minorEastAsia" w:eastAsiaTheme="minorEastAsia"/>
          <w:color w:val="auto"/>
          <w:sz w:val="22"/>
          <w:szCs w:val="22"/>
          <w:highlight w:val="none"/>
        </w:rPr>
        <w:t>以联合体形式参加政府采购活动，联合体各方均为中小企业的，联合体视同中小企业。其中，联合体各方均为小微企业的，联合体视同小微企业。</w:t>
      </w:r>
    </w:p>
    <w:p w14:paraId="6E8155C6">
      <w:pPr>
        <w:spacing w:line="360" w:lineRule="auto"/>
        <w:rPr>
          <w:rFonts w:asciiTheme="minorEastAsia" w:hAnsiTheme="minorEastAsia" w:eastAsiaTheme="minorEastAsia"/>
          <w:color w:val="auto"/>
          <w:sz w:val="22"/>
          <w:szCs w:val="22"/>
          <w:highlight w:val="none"/>
        </w:rPr>
      </w:pPr>
      <w:r>
        <w:rPr>
          <w:rFonts w:asciiTheme="minorEastAsia" w:hAnsiTheme="minorEastAsia" w:eastAsiaTheme="minorEastAsia"/>
          <w:color w:val="auto"/>
          <w:sz w:val="22"/>
          <w:szCs w:val="22"/>
          <w:highlight w:val="none"/>
        </w:rPr>
        <w:t>2</w:t>
      </w:r>
      <w:r>
        <w:rPr>
          <w:rFonts w:hint="eastAsia" w:asciiTheme="minorEastAsia" w:hAnsiTheme="minorEastAsia" w:eastAsiaTheme="minorEastAsia"/>
          <w:color w:val="auto"/>
          <w:sz w:val="22"/>
          <w:szCs w:val="22"/>
          <w:highlight w:val="none"/>
        </w:rPr>
        <w:t>.</w:t>
      </w:r>
      <w:r>
        <w:rPr>
          <w:rFonts w:asciiTheme="minorEastAsia" w:hAnsiTheme="minorEastAsia" w:eastAsiaTheme="minorEastAsia"/>
          <w:color w:val="auto"/>
          <w:sz w:val="22"/>
          <w:szCs w:val="22"/>
          <w:highlight w:val="none"/>
        </w:rPr>
        <w:t>1</w:t>
      </w:r>
      <w:r>
        <w:rPr>
          <w:rFonts w:hint="eastAsia" w:asciiTheme="minorEastAsia" w:hAnsiTheme="minorEastAsia" w:eastAsiaTheme="minorEastAsia"/>
          <w:color w:val="auto"/>
          <w:sz w:val="22"/>
          <w:szCs w:val="22"/>
          <w:highlight w:val="none"/>
        </w:rPr>
        <w:t>.2</w:t>
      </w:r>
      <w:r>
        <w:rPr>
          <w:rFonts w:asciiTheme="minorEastAsia" w:hAnsiTheme="minorEastAsia" w:eastAsiaTheme="minorEastAsia"/>
          <w:color w:val="auto"/>
          <w:sz w:val="22"/>
          <w:szCs w:val="22"/>
          <w:highlight w:val="none"/>
        </w:rPr>
        <w:t>本</w:t>
      </w:r>
      <w:r>
        <w:rPr>
          <w:rFonts w:hint="eastAsia" w:asciiTheme="minorEastAsia" w:hAnsiTheme="minorEastAsia" w:eastAsiaTheme="minorEastAsia"/>
          <w:color w:val="auto"/>
          <w:sz w:val="22"/>
          <w:szCs w:val="22"/>
          <w:highlight w:val="none"/>
        </w:rPr>
        <w:t>规定</w:t>
      </w:r>
      <w:r>
        <w:rPr>
          <w:rFonts w:asciiTheme="minorEastAsia" w:hAnsiTheme="minorEastAsia" w:eastAsiaTheme="minorEastAsia"/>
          <w:color w:val="auto"/>
          <w:sz w:val="22"/>
          <w:szCs w:val="22"/>
          <w:highlight w:val="none"/>
        </w:rPr>
        <w:t>所称中小企业</w:t>
      </w:r>
      <w:r>
        <w:rPr>
          <w:rFonts w:hint="eastAsia" w:asciiTheme="minorEastAsia" w:hAnsiTheme="minorEastAsia" w:eastAsiaTheme="minorEastAsia"/>
          <w:color w:val="auto"/>
          <w:sz w:val="22"/>
          <w:szCs w:val="22"/>
          <w:highlight w:val="none"/>
        </w:rPr>
        <w:t>，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rFonts w:asciiTheme="minorEastAsia" w:hAnsiTheme="minorEastAsia" w:eastAsiaTheme="minorEastAsia"/>
          <w:color w:val="auto"/>
          <w:sz w:val="22"/>
          <w:szCs w:val="22"/>
          <w:highlight w:val="none"/>
        </w:rPr>
        <w:t>。</w:t>
      </w:r>
    </w:p>
    <w:p w14:paraId="64834D08">
      <w:pPr>
        <w:spacing w:line="360" w:lineRule="auto"/>
        <w:rPr>
          <w:rFonts w:asciiTheme="minorEastAsia" w:hAnsiTheme="minorEastAsia" w:eastAsiaTheme="minorEastAsia"/>
          <w:color w:val="auto"/>
          <w:sz w:val="22"/>
          <w:szCs w:val="22"/>
          <w:highlight w:val="none"/>
        </w:rPr>
      </w:pPr>
      <w:r>
        <w:rPr>
          <w:rFonts w:asciiTheme="minorEastAsia" w:hAnsiTheme="minorEastAsia" w:eastAsiaTheme="minorEastAsia"/>
          <w:color w:val="auto"/>
          <w:sz w:val="22"/>
          <w:szCs w:val="22"/>
          <w:highlight w:val="none"/>
        </w:rPr>
        <w:t>2</w:t>
      </w:r>
      <w:r>
        <w:rPr>
          <w:rFonts w:hint="eastAsia" w:asciiTheme="minorEastAsia" w:hAnsiTheme="minorEastAsia" w:eastAsiaTheme="minorEastAsia"/>
          <w:color w:val="auto"/>
          <w:sz w:val="22"/>
          <w:szCs w:val="22"/>
          <w:highlight w:val="none"/>
        </w:rPr>
        <w:t>.</w:t>
      </w:r>
      <w:r>
        <w:rPr>
          <w:rFonts w:asciiTheme="minorEastAsia" w:hAnsiTheme="minorEastAsia" w:eastAsiaTheme="minorEastAsia"/>
          <w:color w:val="auto"/>
          <w:sz w:val="22"/>
          <w:szCs w:val="22"/>
          <w:highlight w:val="none"/>
        </w:rPr>
        <w:t>1</w:t>
      </w:r>
      <w:r>
        <w:rPr>
          <w:rFonts w:hint="eastAsia" w:asciiTheme="minorEastAsia" w:hAnsiTheme="minorEastAsia" w:eastAsiaTheme="minorEastAsia"/>
          <w:color w:val="auto"/>
          <w:sz w:val="22"/>
          <w:szCs w:val="22"/>
          <w:highlight w:val="none"/>
        </w:rPr>
        <w:t>.3</w:t>
      </w:r>
      <w:r>
        <w:rPr>
          <w:rFonts w:asciiTheme="minorEastAsia" w:hAnsiTheme="minorEastAsia" w:eastAsiaTheme="minorEastAsia"/>
          <w:color w:val="auto"/>
          <w:sz w:val="22"/>
          <w:szCs w:val="22"/>
          <w:highlight w:val="none"/>
        </w:rPr>
        <w:t>小型、微型企业提供中型企业制造的货物的，视同为中型企业。</w:t>
      </w:r>
    </w:p>
    <w:p w14:paraId="35B61784">
      <w:pPr>
        <w:spacing w:line="360" w:lineRule="auto"/>
        <w:rPr>
          <w:rFonts w:asciiTheme="minorEastAsia" w:hAnsiTheme="minorEastAsia" w:eastAsiaTheme="minorEastAsia"/>
          <w:color w:val="auto"/>
          <w:sz w:val="22"/>
          <w:szCs w:val="22"/>
          <w:highlight w:val="none"/>
        </w:rPr>
      </w:pPr>
      <w:r>
        <w:rPr>
          <w:rFonts w:asciiTheme="minorEastAsia" w:hAnsiTheme="minorEastAsia" w:eastAsiaTheme="minorEastAsia"/>
          <w:color w:val="auto"/>
          <w:sz w:val="22"/>
          <w:szCs w:val="22"/>
          <w:highlight w:val="none"/>
        </w:rPr>
        <w:t>2</w:t>
      </w:r>
      <w:r>
        <w:rPr>
          <w:rFonts w:hint="eastAsia" w:asciiTheme="minorEastAsia" w:hAnsiTheme="minorEastAsia" w:eastAsiaTheme="minorEastAsia"/>
          <w:color w:val="auto"/>
          <w:sz w:val="22"/>
          <w:szCs w:val="22"/>
          <w:highlight w:val="none"/>
        </w:rPr>
        <w:t>.</w:t>
      </w:r>
      <w:r>
        <w:rPr>
          <w:rFonts w:asciiTheme="minorEastAsia" w:hAnsiTheme="minorEastAsia" w:eastAsiaTheme="minorEastAsia"/>
          <w:color w:val="auto"/>
          <w:sz w:val="22"/>
          <w:szCs w:val="22"/>
          <w:highlight w:val="none"/>
        </w:rPr>
        <w:t>1</w:t>
      </w:r>
      <w:r>
        <w:rPr>
          <w:rFonts w:hint="eastAsia" w:asciiTheme="minorEastAsia" w:hAnsiTheme="minorEastAsia" w:eastAsiaTheme="minorEastAsia"/>
          <w:color w:val="auto"/>
          <w:sz w:val="22"/>
          <w:szCs w:val="22"/>
          <w:highlight w:val="none"/>
        </w:rPr>
        <w:t>.4中小企业</w:t>
      </w:r>
      <w:r>
        <w:rPr>
          <w:rFonts w:asciiTheme="minorEastAsia" w:hAnsiTheme="minorEastAsia" w:eastAsiaTheme="minorEastAsia"/>
          <w:color w:val="auto"/>
          <w:sz w:val="22"/>
          <w:szCs w:val="22"/>
          <w:highlight w:val="none"/>
        </w:rPr>
        <w:t>提供本企业制造的货物</w:t>
      </w:r>
      <w:r>
        <w:rPr>
          <w:rFonts w:hint="eastAsia" w:asciiTheme="minorEastAsia" w:hAnsiTheme="minorEastAsia" w:eastAsiaTheme="minorEastAsia"/>
          <w:color w:val="auto"/>
          <w:sz w:val="22"/>
          <w:szCs w:val="22"/>
          <w:highlight w:val="none"/>
        </w:rPr>
        <w:t>参与投标时，须提供本企业的《中小企业声明函》；中小企业</w:t>
      </w:r>
      <w:r>
        <w:rPr>
          <w:rFonts w:asciiTheme="minorEastAsia" w:hAnsiTheme="minorEastAsia" w:eastAsiaTheme="minorEastAsia"/>
          <w:color w:val="auto"/>
          <w:sz w:val="22"/>
          <w:szCs w:val="22"/>
          <w:highlight w:val="none"/>
        </w:rPr>
        <w:t>提供其他中小企业制造的货物</w:t>
      </w:r>
      <w:r>
        <w:rPr>
          <w:rFonts w:hint="eastAsia" w:asciiTheme="minorEastAsia" w:hAnsiTheme="minorEastAsia" w:eastAsiaTheme="minorEastAsia"/>
          <w:color w:val="auto"/>
          <w:sz w:val="22"/>
          <w:szCs w:val="22"/>
          <w:highlight w:val="none"/>
        </w:rPr>
        <w:t>参与投标时，须在《中小企业声明函》中如实填报制造商信息。</w:t>
      </w:r>
    </w:p>
    <w:p w14:paraId="245F8527">
      <w:pPr>
        <w:pStyle w:val="16"/>
        <w:tabs>
          <w:tab w:val="left" w:pos="2472"/>
        </w:tabs>
        <w:spacing w:line="480" w:lineRule="exact"/>
        <w:rPr>
          <w:rFonts w:asciiTheme="minorEastAsia" w:hAnsiTheme="minorEastAsia" w:eastAsiaTheme="minorEastAsia"/>
          <w:b/>
          <w:color w:val="auto"/>
          <w:sz w:val="22"/>
          <w:szCs w:val="22"/>
          <w:highlight w:val="none"/>
        </w:rPr>
      </w:pPr>
      <w:r>
        <w:rPr>
          <w:rFonts w:asciiTheme="minorEastAsia" w:hAnsiTheme="minorEastAsia" w:eastAsiaTheme="minorEastAsia"/>
          <w:b/>
          <w:color w:val="auto"/>
          <w:sz w:val="22"/>
          <w:szCs w:val="22"/>
          <w:highlight w:val="none"/>
        </w:rPr>
        <w:t>2</w:t>
      </w:r>
      <w:r>
        <w:rPr>
          <w:rFonts w:hint="eastAsia" w:asciiTheme="minorEastAsia" w:hAnsiTheme="minorEastAsia" w:eastAsiaTheme="minorEastAsia"/>
          <w:b/>
          <w:color w:val="auto"/>
          <w:sz w:val="22"/>
          <w:szCs w:val="22"/>
          <w:highlight w:val="none"/>
        </w:rPr>
        <w:t>.</w:t>
      </w:r>
      <w:r>
        <w:rPr>
          <w:rFonts w:asciiTheme="minorEastAsia" w:hAnsiTheme="minorEastAsia" w:eastAsiaTheme="minorEastAsia"/>
          <w:b/>
          <w:color w:val="auto"/>
          <w:sz w:val="22"/>
          <w:szCs w:val="22"/>
          <w:highlight w:val="none"/>
        </w:rPr>
        <w:t>2</w:t>
      </w:r>
      <w:r>
        <w:rPr>
          <w:rFonts w:hint="eastAsia" w:asciiTheme="minorEastAsia" w:hAnsiTheme="minorEastAsia" w:eastAsiaTheme="minorEastAsia"/>
          <w:b/>
          <w:color w:val="auto"/>
          <w:sz w:val="22"/>
          <w:szCs w:val="22"/>
          <w:highlight w:val="none"/>
        </w:rPr>
        <w:t>监狱企业</w:t>
      </w:r>
    </w:p>
    <w:p w14:paraId="1928E82B">
      <w:pPr>
        <w:pStyle w:val="16"/>
        <w:tabs>
          <w:tab w:val="left" w:pos="2472"/>
        </w:tabs>
        <w:spacing w:line="480" w:lineRule="exact"/>
        <w:rPr>
          <w:rFonts w:asciiTheme="minorEastAsia" w:hAnsiTheme="minorEastAsia" w:eastAsiaTheme="minorEastAsia"/>
          <w:color w:val="auto"/>
          <w:sz w:val="22"/>
          <w:szCs w:val="22"/>
          <w:highlight w:val="none"/>
        </w:rPr>
      </w:pPr>
      <w:r>
        <w:rPr>
          <w:rFonts w:asciiTheme="minorEastAsia" w:hAnsiTheme="minorEastAsia" w:eastAsiaTheme="minorEastAsia"/>
          <w:color w:val="auto"/>
          <w:sz w:val="22"/>
          <w:szCs w:val="22"/>
          <w:highlight w:val="none"/>
        </w:rPr>
        <w:t>2</w:t>
      </w:r>
      <w:r>
        <w:rPr>
          <w:rFonts w:hint="eastAsia" w:asciiTheme="minorEastAsia" w:hAnsiTheme="minorEastAsia" w:eastAsiaTheme="minorEastAsia"/>
          <w:color w:val="auto"/>
          <w:sz w:val="22"/>
          <w:szCs w:val="22"/>
          <w:highlight w:val="none"/>
        </w:rPr>
        <w:t>.</w:t>
      </w:r>
      <w:r>
        <w:rPr>
          <w:rFonts w:asciiTheme="minorEastAsia" w:hAnsiTheme="minorEastAsia" w:eastAsiaTheme="minorEastAsia"/>
          <w:color w:val="auto"/>
          <w:sz w:val="22"/>
          <w:szCs w:val="22"/>
          <w:highlight w:val="none"/>
        </w:rPr>
        <w:t>2</w:t>
      </w:r>
      <w:r>
        <w:rPr>
          <w:rFonts w:hint="eastAsia" w:asciiTheme="minorEastAsia" w:hAnsiTheme="minorEastAsia" w:eastAsiaTheme="minorEastAsia"/>
          <w:color w:val="auto"/>
          <w:sz w:val="22"/>
          <w:szCs w:val="22"/>
          <w:highlight w:val="none"/>
        </w:rPr>
        <w:t>.1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4A1D6F86">
      <w:pPr>
        <w:pStyle w:val="16"/>
        <w:tabs>
          <w:tab w:val="left" w:pos="2472"/>
        </w:tabs>
        <w:spacing w:line="480" w:lineRule="exact"/>
        <w:rPr>
          <w:rFonts w:asciiTheme="minorEastAsia" w:hAnsiTheme="minorEastAsia" w:eastAsiaTheme="minorEastAsia"/>
          <w:b/>
          <w:color w:val="auto"/>
          <w:sz w:val="22"/>
          <w:szCs w:val="22"/>
          <w:highlight w:val="none"/>
        </w:rPr>
      </w:pPr>
      <w:r>
        <w:rPr>
          <w:rFonts w:hint="eastAsia" w:asciiTheme="minorEastAsia" w:hAnsiTheme="minorEastAsia" w:eastAsiaTheme="minorEastAsia"/>
          <w:b/>
          <w:color w:val="auto"/>
          <w:sz w:val="22"/>
          <w:szCs w:val="22"/>
          <w:highlight w:val="none"/>
        </w:rPr>
        <w:t>2.3残疾人福利性单位</w:t>
      </w:r>
    </w:p>
    <w:p w14:paraId="532F75D2">
      <w:pPr>
        <w:pStyle w:val="16"/>
        <w:tabs>
          <w:tab w:val="left" w:pos="2472"/>
        </w:tabs>
        <w:spacing w:line="480" w:lineRule="exact"/>
        <w:rPr>
          <w:rFonts w:asciiTheme="minorEastAsia" w:hAnsiTheme="minorEastAsia" w:eastAsiaTheme="minorEastAsia"/>
          <w:color w:val="auto"/>
          <w:sz w:val="22"/>
          <w:szCs w:val="22"/>
          <w:highlight w:val="none"/>
        </w:rPr>
      </w:pPr>
      <w:r>
        <w:rPr>
          <w:rFonts w:asciiTheme="minorEastAsia" w:hAnsiTheme="minorEastAsia" w:eastAsiaTheme="minorEastAsia"/>
          <w:color w:val="auto"/>
          <w:sz w:val="22"/>
          <w:szCs w:val="22"/>
          <w:highlight w:val="none"/>
        </w:rPr>
        <w:t>2.3</w:t>
      </w:r>
      <w:r>
        <w:rPr>
          <w:rFonts w:hint="eastAsia" w:asciiTheme="minorEastAsia" w:hAnsiTheme="minorEastAsia" w:eastAsiaTheme="minorEastAsia"/>
          <w:color w:val="auto"/>
          <w:sz w:val="22"/>
          <w:szCs w:val="22"/>
          <w:highlight w:val="none"/>
        </w:rPr>
        <w:t>.1根据《关于促进残疾人就业政府采购政策的通知》（财库【2017】141号）的规定，符合条件的残疾人福利性单位在参加政府采购活动时，应当提供《残疾人福利性单位声明函》，声明函格式参照《关于促进残疾人就业政府采购政策的通知》（财库【2017】141号）的规定，并对声明的真实性负责。</w:t>
      </w:r>
    </w:p>
    <w:p w14:paraId="2049A36B">
      <w:pPr>
        <w:pStyle w:val="16"/>
        <w:tabs>
          <w:tab w:val="left" w:pos="2472"/>
        </w:tabs>
        <w:spacing w:line="480" w:lineRule="exact"/>
        <w:rPr>
          <w:rFonts w:asciiTheme="minorEastAsia" w:hAnsiTheme="minorEastAsia" w:eastAsiaTheme="minorEastAsia"/>
          <w:color w:val="auto"/>
          <w:sz w:val="22"/>
          <w:szCs w:val="22"/>
          <w:highlight w:val="none"/>
        </w:rPr>
      </w:pPr>
      <w:r>
        <w:rPr>
          <w:rFonts w:asciiTheme="minorEastAsia" w:hAnsiTheme="minorEastAsia" w:eastAsiaTheme="minorEastAsia"/>
          <w:color w:val="auto"/>
          <w:sz w:val="22"/>
          <w:szCs w:val="22"/>
          <w:highlight w:val="none"/>
        </w:rPr>
        <w:t>2.3</w:t>
      </w:r>
      <w:r>
        <w:rPr>
          <w:rFonts w:hint="eastAsia" w:asciiTheme="minorEastAsia" w:hAnsiTheme="minorEastAsia" w:eastAsiaTheme="minorEastAsia"/>
          <w:color w:val="auto"/>
          <w:sz w:val="22"/>
          <w:szCs w:val="22"/>
          <w:highlight w:val="none"/>
        </w:rPr>
        <w:t>.2在政府采购活动中，残疾人福利性单位视同小型、微型企业。</w:t>
      </w:r>
    </w:p>
    <w:p w14:paraId="518C5324">
      <w:pPr>
        <w:pStyle w:val="16"/>
        <w:tabs>
          <w:tab w:val="left" w:pos="2472"/>
        </w:tabs>
        <w:spacing w:line="480" w:lineRule="exact"/>
        <w:rPr>
          <w:rFonts w:asciiTheme="minorEastAsia" w:hAnsiTheme="minorEastAsia" w:eastAsiaTheme="minorEastAsia"/>
          <w:color w:val="auto"/>
          <w:sz w:val="22"/>
          <w:szCs w:val="22"/>
          <w:highlight w:val="none"/>
        </w:rPr>
      </w:pPr>
      <w:r>
        <w:rPr>
          <w:rFonts w:asciiTheme="minorEastAsia" w:hAnsiTheme="minorEastAsia" w:eastAsiaTheme="minorEastAsia"/>
          <w:color w:val="auto"/>
          <w:sz w:val="22"/>
          <w:szCs w:val="22"/>
          <w:highlight w:val="none"/>
        </w:rPr>
        <w:t>2.3</w:t>
      </w:r>
      <w:r>
        <w:rPr>
          <w:rFonts w:hint="eastAsia" w:asciiTheme="minorEastAsia" w:hAnsiTheme="minorEastAsia" w:eastAsiaTheme="minorEastAsia"/>
          <w:color w:val="auto"/>
          <w:sz w:val="22"/>
          <w:szCs w:val="22"/>
          <w:highlight w:val="none"/>
        </w:rPr>
        <w:t>.3中标、成交供应商为残疾人福利性单位的，采购人或者其委托的采购代理机构应当随中标、成交结果同时公告其《残疾人福利性单位声明函》，接受社会监督。供应商提供的《残疾人福利性单位声明函》与事实不符的，依照《政府采购法》第七十七条第一款的规定追究法律责任。</w:t>
      </w:r>
    </w:p>
    <w:p w14:paraId="1B3103C1">
      <w:pPr>
        <w:tabs>
          <w:tab w:val="left" w:pos="2472"/>
        </w:tabs>
        <w:spacing w:line="480" w:lineRule="exact"/>
        <w:rPr>
          <w:rFonts w:hint="eastAsia" w:ascii="宋体" w:hAnsi="宋体"/>
          <w:b/>
          <w:color w:val="auto"/>
          <w:sz w:val="22"/>
          <w:szCs w:val="22"/>
          <w:highlight w:val="none"/>
        </w:rPr>
      </w:pPr>
      <w:r>
        <w:rPr>
          <w:rFonts w:hint="eastAsia" w:ascii="宋体" w:hAnsi="宋体"/>
          <w:b/>
          <w:color w:val="auto"/>
          <w:sz w:val="22"/>
          <w:szCs w:val="22"/>
          <w:highlight w:val="none"/>
        </w:rPr>
        <w:t>2.4</w:t>
      </w:r>
      <w:bookmarkStart w:id="166" w:name="OLE_LINK21"/>
      <w:r>
        <w:rPr>
          <w:rFonts w:hint="eastAsia" w:ascii="宋体" w:hAnsi="宋体"/>
          <w:b/>
          <w:color w:val="auto"/>
          <w:sz w:val="22"/>
          <w:szCs w:val="22"/>
          <w:highlight w:val="none"/>
        </w:rPr>
        <w:t>小微企业（监狱企业、残疾人福利性单位视同小型或微型企业）应考虑的优先条件和价格折扣10%。</w:t>
      </w:r>
      <w:bookmarkEnd w:id="166"/>
    </w:p>
    <w:p w14:paraId="3E55F620">
      <w:pPr>
        <w:pStyle w:val="16"/>
        <w:tabs>
          <w:tab w:val="left" w:pos="2472"/>
        </w:tabs>
        <w:spacing w:line="480" w:lineRule="exact"/>
        <w:rPr>
          <w:rFonts w:asciiTheme="minorEastAsia" w:hAnsiTheme="minorEastAsia" w:eastAsiaTheme="minorEastAsia"/>
          <w:b/>
          <w:bCs/>
          <w:color w:val="auto"/>
          <w:sz w:val="22"/>
          <w:szCs w:val="18"/>
          <w:highlight w:val="none"/>
        </w:rPr>
      </w:pPr>
      <w:bookmarkStart w:id="167" w:name="_Toc48742771"/>
      <w:bookmarkStart w:id="168" w:name="_Toc63070526"/>
      <w:r>
        <w:rPr>
          <w:rFonts w:hint="eastAsia" w:asciiTheme="minorEastAsia" w:hAnsiTheme="minorEastAsia" w:eastAsiaTheme="minorEastAsia"/>
          <w:b/>
          <w:bCs/>
          <w:color w:val="auto"/>
          <w:sz w:val="22"/>
          <w:szCs w:val="18"/>
          <w:highlight w:val="none"/>
        </w:rPr>
        <w:t>3. 评标程序及标准</w:t>
      </w:r>
      <w:bookmarkEnd w:id="167"/>
      <w:bookmarkEnd w:id="168"/>
    </w:p>
    <w:p w14:paraId="1C9E07D1">
      <w:pPr>
        <w:pStyle w:val="16"/>
        <w:tabs>
          <w:tab w:val="left" w:pos="2472"/>
        </w:tabs>
        <w:spacing w:line="480" w:lineRule="exact"/>
        <w:rPr>
          <w:rFonts w:asciiTheme="minorEastAsia" w:hAnsiTheme="minorEastAsia" w:eastAsiaTheme="minorEastAsia"/>
          <w:b/>
          <w:color w:val="auto"/>
          <w:sz w:val="22"/>
          <w:szCs w:val="22"/>
          <w:highlight w:val="none"/>
        </w:rPr>
      </w:pPr>
      <w:r>
        <w:rPr>
          <w:rFonts w:hint="eastAsia" w:asciiTheme="minorEastAsia" w:hAnsiTheme="minorEastAsia" w:eastAsiaTheme="minorEastAsia"/>
          <w:b/>
          <w:bCs/>
          <w:color w:val="auto"/>
          <w:sz w:val="22"/>
          <w:szCs w:val="18"/>
          <w:highlight w:val="none"/>
        </w:rPr>
        <w:t>3.1</w:t>
      </w:r>
      <w:r>
        <w:rPr>
          <w:rFonts w:hint="eastAsia" w:asciiTheme="minorEastAsia" w:hAnsiTheme="minorEastAsia" w:eastAsiaTheme="minorEastAsia"/>
          <w:b/>
          <w:color w:val="auto"/>
          <w:sz w:val="22"/>
          <w:szCs w:val="22"/>
          <w:highlight w:val="none"/>
        </w:rPr>
        <w:t>符合性评审</w:t>
      </w:r>
    </w:p>
    <w:p w14:paraId="1F46EABE">
      <w:pPr>
        <w:pStyle w:val="16"/>
        <w:tabs>
          <w:tab w:val="left" w:pos="2472"/>
        </w:tabs>
        <w:spacing w:line="480" w:lineRule="exact"/>
        <w:rPr>
          <w:rFonts w:asciiTheme="minorEastAsia" w:hAnsiTheme="minorEastAsia" w:eastAsiaTheme="minorEastAsia"/>
          <w:color w:val="auto"/>
          <w:sz w:val="22"/>
          <w:szCs w:val="22"/>
          <w:highlight w:val="none"/>
        </w:rPr>
      </w:pPr>
      <w:r>
        <w:rPr>
          <w:rFonts w:hint="eastAsia" w:asciiTheme="minorEastAsia" w:hAnsiTheme="minorEastAsia" w:eastAsiaTheme="minorEastAsia"/>
          <w:color w:val="auto"/>
          <w:sz w:val="22"/>
          <w:szCs w:val="22"/>
          <w:highlight w:val="none"/>
        </w:rPr>
        <w:t>3.1.1依据招标文件的规定，评标委员会对符合资格的投标人的投标文件从有效性、完整性和对招标文件的实质性响应程度等方面进行审查，见评标方法前附表。</w:t>
      </w:r>
    </w:p>
    <w:p w14:paraId="16046963">
      <w:pPr>
        <w:pStyle w:val="16"/>
        <w:tabs>
          <w:tab w:val="left" w:pos="2472"/>
        </w:tabs>
        <w:spacing w:line="480" w:lineRule="exact"/>
        <w:rPr>
          <w:rFonts w:asciiTheme="minorEastAsia" w:hAnsiTheme="minorEastAsia" w:eastAsiaTheme="minorEastAsia"/>
          <w:color w:val="auto"/>
          <w:sz w:val="22"/>
          <w:szCs w:val="22"/>
          <w:highlight w:val="none"/>
        </w:rPr>
      </w:pPr>
      <w:r>
        <w:rPr>
          <w:rFonts w:hint="eastAsia" w:asciiTheme="minorEastAsia" w:hAnsiTheme="minorEastAsia" w:eastAsiaTheme="minorEastAsia"/>
          <w:color w:val="auto"/>
          <w:sz w:val="22"/>
          <w:szCs w:val="22"/>
          <w:highlight w:val="none"/>
        </w:rPr>
        <w:t>3.1.2按上述条款执行后，投标人不足3家的，本项目应予废标。</w:t>
      </w:r>
    </w:p>
    <w:p w14:paraId="6C59D9E3">
      <w:pPr>
        <w:spacing w:line="360" w:lineRule="auto"/>
        <w:jc w:val="left"/>
        <w:rPr>
          <w:rFonts w:asciiTheme="minorEastAsia" w:hAnsiTheme="minorEastAsia" w:eastAsiaTheme="minorEastAsia"/>
          <w:b/>
          <w:color w:val="auto"/>
          <w:sz w:val="22"/>
          <w:szCs w:val="22"/>
          <w:highlight w:val="none"/>
        </w:rPr>
      </w:pPr>
      <w:r>
        <w:rPr>
          <w:rFonts w:hint="eastAsia" w:asciiTheme="minorEastAsia" w:hAnsiTheme="minorEastAsia" w:eastAsiaTheme="minorEastAsia"/>
          <w:b/>
          <w:color w:val="auto"/>
          <w:sz w:val="22"/>
          <w:szCs w:val="22"/>
          <w:highlight w:val="none"/>
        </w:rPr>
        <w:t>3.2详细评审</w:t>
      </w:r>
    </w:p>
    <w:p w14:paraId="3EF67A2F">
      <w:pPr>
        <w:pStyle w:val="16"/>
        <w:tabs>
          <w:tab w:val="left" w:pos="2472"/>
        </w:tabs>
        <w:spacing w:line="360" w:lineRule="auto"/>
        <w:rPr>
          <w:rFonts w:asciiTheme="minorEastAsia" w:hAnsiTheme="minorEastAsia" w:eastAsiaTheme="minorEastAsia"/>
          <w:color w:val="auto"/>
          <w:sz w:val="22"/>
          <w:szCs w:val="22"/>
          <w:highlight w:val="none"/>
        </w:rPr>
      </w:pPr>
      <w:bookmarkStart w:id="169" w:name="_Toc321836408"/>
      <w:r>
        <w:rPr>
          <w:rFonts w:hint="eastAsia" w:asciiTheme="minorEastAsia" w:hAnsiTheme="minorEastAsia" w:eastAsiaTheme="minorEastAsia"/>
          <w:color w:val="auto"/>
          <w:sz w:val="22"/>
          <w:szCs w:val="22"/>
          <w:highlight w:val="none"/>
        </w:rPr>
        <w:t>3</w:t>
      </w:r>
      <w:r>
        <w:rPr>
          <w:rFonts w:asciiTheme="minorEastAsia" w:hAnsiTheme="minorEastAsia" w:eastAsiaTheme="minorEastAsia"/>
          <w:color w:val="auto"/>
          <w:sz w:val="22"/>
          <w:szCs w:val="22"/>
          <w:highlight w:val="none"/>
        </w:rPr>
        <w:t>.</w:t>
      </w:r>
      <w:r>
        <w:rPr>
          <w:rFonts w:hint="eastAsia" w:asciiTheme="minorEastAsia" w:hAnsiTheme="minorEastAsia" w:eastAsiaTheme="minorEastAsia"/>
          <w:color w:val="auto"/>
          <w:sz w:val="22"/>
          <w:szCs w:val="22"/>
          <w:highlight w:val="none"/>
        </w:rPr>
        <w:t>2</w:t>
      </w:r>
      <w:r>
        <w:rPr>
          <w:rFonts w:asciiTheme="minorEastAsia" w:hAnsiTheme="minorEastAsia" w:eastAsiaTheme="minorEastAsia"/>
          <w:color w:val="auto"/>
          <w:sz w:val="22"/>
          <w:szCs w:val="22"/>
          <w:highlight w:val="none"/>
        </w:rPr>
        <w:t>.1</w:t>
      </w:r>
      <w:bookmarkEnd w:id="169"/>
      <w:r>
        <w:rPr>
          <w:rFonts w:cs="宋体" w:asciiTheme="minorEastAsia" w:hAnsiTheme="minorEastAsia" w:eastAsiaTheme="minorEastAsia"/>
          <w:color w:val="auto"/>
          <w:kern w:val="0"/>
          <w:sz w:val="22"/>
          <w:szCs w:val="22"/>
          <w:highlight w:val="none"/>
        </w:rPr>
        <w:t>评标委员会按照招标文件中规定的评标方法和标准，对符合性审查合格的投标文件进行商务和技术评估，综合比较与评价</w:t>
      </w:r>
      <w:r>
        <w:rPr>
          <w:rFonts w:asciiTheme="minorEastAsia" w:hAnsiTheme="minorEastAsia" w:eastAsiaTheme="minorEastAsia"/>
          <w:color w:val="auto"/>
          <w:sz w:val="22"/>
          <w:szCs w:val="22"/>
          <w:highlight w:val="none"/>
        </w:rPr>
        <w:t>, 见评标方法前附表。</w:t>
      </w:r>
    </w:p>
    <w:p w14:paraId="34E5A0FC">
      <w:pPr>
        <w:pStyle w:val="16"/>
        <w:tabs>
          <w:tab w:val="left" w:pos="2472"/>
        </w:tabs>
        <w:spacing w:line="360" w:lineRule="auto"/>
        <w:rPr>
          <w:rFonts w:asciiTheme="minorEastAsia" w:hAnsiTheme="minorEastAsia" w:eastAsiaTheme="minorEastAsia"/>
          <w:color w:val="auto"/>
          <w:sz w:val="22"/>
          <w:szCs w:val="22"/>
          <w:highlight w:val="none"/>
        </w:rPr>
      </w:pPr>
      <w:r>
        <w:rPr>
          <w:rFonts w:hint="eastAsia" w:asciiTheme="minorEastAsia" w:hAnsiTheme="minorEastAsia" w:eastAsiaTheme="minorEastAsia"/>
          <w:color w:val="auto"/>
          <w:sz w:val="22"/>
          <w:szCs w:val="22"/>
          <w:highlight w:val="none"/>
        </w:rPr>
        <w:t>3</w:t>
      </w:r>
      <w:r>
        <w:rPr>
          <w:rFonts w:asciiTheme="minorEastAsia" w:hAnsiTheme="minorEastAsia" w:eastAsiaTheme="minorEastAsia"/>
          <w:color w:val="auto"/>
          <w:sz w:val="22"/>
          <w:szCs w:val="22"/>
          <w:highlight w:val="none"/>
        </w:rPr>
        <w:t>.</w:t>
      </w:r>
      <w:r>
        <w:rPr>
          <w:rFonts w:hint="eastAsia" w:asciiTheme="minorEastAsia" w:hAnsiTheme="minorEastAsia" w:eastAsiaTheme="minorEastAsia"/>
          <w:color w:val="auto"/>
          <w:sz w:val="22"/>
          <w:szCs w:val="22"/>
          <w:highlight w:val="none"/>
        </w:rPr>
        <w:t>2</w:t>
      </w:r>
      <w:r>
        <w:rPr>
          <w:rFonts w:asciiTheme="minorEastAsia" w:hAnsiTheme="minorEastAsia" w:eastAsiaTheme="minorEastAsia"/>
          <w:color w:val="auto"/>
          <w:sz w:val="22"/>
          <w:szCs w:val="22"/>
          <w:highlight w:val="none"/>
        </w:rPr>
        <w:t>.2</w:t>
      </w:r>
      <w:r>
        <w:rPr>
          <w:rFonts w:hint="eastAsia" w:asciiTheme="minorEastAsia" w:hAnsiTheme="minorEastAsia" w:eastAsiaTheme="minorEastAsia"/>
          <w:color w:val="auto"/>
          <w:sz w:val="22"/>
          <w:szCs w:val="18"/>
          <w:highlight w:val="none"/>
        </w:rPr>
        <w:t>评标委员会各成员要依法独立评审，并对评审意见承担个人责任。</w:t>
      </w:r>
      <w:r>
        <w:rPr>
          <w:rFonts w:hint="eastAsia" w:asciiTheme="minorEastAsia" w:hAnsiTheme="minorEastAsia" w:eastAsiaTheme="minorEastAsia"/>
          <w:color w:val="auto"/>
          <w:sz w:val="22"/>
          <w:szCs w:val="22"/>
          <w:highlight w:val="none"/>
        </w:rPr>
        <w:t>对投标人的客观评分项的评分应当一致，对其他需要借助专业知识评判的主观评分项，应当严格按照评分细则公正评分。</w:t>
      </w:r>
    </w:p>
    <w:p w14:paraId="4CDA66B0">
      <w:pPr>
        <w:pStyle w:val="16"/>
        <w:tabs>
          <w:tab w:val="left" w:pos="2472"/>
        </w:tabs>
        <w:spacing w:line="360" w:lineRule="auto"/>
        <w:rPr>
          <w:rFonts w:asciiTheme="minorEastAsia" w:hAnsiTheme="minorEastAsia" w:eastAsiaTheme="minorEastAsia"/>
          <w:color w:val="auto"/>
          <w:sz w:val="22"/>
          <w:szCs w:val="22"/>
          <w:highlight w:val="none"/>
        </w:rPr>
      </w:pPr>
      <w:r>
        <w:rPr>
          <w:rFonts w:hint="eastAsia" w:asciiTheme="minorEastAsia" w:hAnsiTheme="minorEastAsia" w:eastAsiaTheme="minorEastAsia"/>
          <w:color w:val="auto"/>
          <w:sz w:val="22"/>
          <w:szCs w:val="22"/>
          <w:highlight w:val="none"/>
        </w:rPr>
        <w:t>3</w:t>
      </w:r>
      <w:r>
        <w:rPr>
          <w:rFonts w:asciiTheme="minorEastAsia" w:hAnsiTheme="minorEastAsia" w:eastAsiaTheme="minorEastAsia"/>
          <w:color w:val="auto"/>
          <w:sz w:val="22"/>
          <w:szCs w:val="22"/>
          <w:highlight w:val="none"/>
        </w:rPr>
        <w:t>.</w:t>
      </w:r>
      <w:r>
        <w:rPr>
          <w:rFonts w:hint="eastAsia" w:asciiTheme="minorEastAsia" w:hAnsiTheme="minorEastAsia" w:eastAsiaTheme="minorEastAsia"/>
          <w:color w:val="auto"/>
          <w:sz w:val="22"/>
          <w:szCs w:val="22"/>
          <w:highlight w:val="none"/>
        </w:rPr>
        <w:t>2</w:t>
      </w:r>
      <w:r>
        <w:rPr>
          <w:rFonts w:asciiTheme="minorEastAsia" w:hAnsiTheme="minorEastAsia" w:eastAsiaTheme="minorEastAsia"/>
          <w:color w:val="auto"/>
          <w:sz w:val="22"/>
          <w:szCs w:val="22"/>
          <w:highlight w:val="none"/>
        </w:rPr>
        <w:t>.3</w:t>
      </w:r>
      <w:r>
        <w:rPr>
          <w:rFonts w:hint="eastAsia" w:asciiTheme="minorEastAsia" w:hAnsiTheme="minorEastAsia" w:eastAsiaTheme="minorEastAsia"/>
          <w:color w:val="auto"/>
          <w:sz w:val="22"/>
          <w:szCs w:val="18"/>
          <w:highlight w:val="none"/>
        </w:rPr>
        <w:t>评标委员会成员对需要共同认定的事项存在争议的，按照少数服从多数的原则做出结论。持不同意见的评标委员会成员应当在评标报告上签署不同意见并说明理由，否则视为同意。</w:t>
      </w:r>
    </w:p>
    <w:p w14:paraId="29102927">
      <w:pPr>
        <w:pStyle w:val="16"/>
        <w:tabs>
          <w:tab w:val="left" w:pos="2472"/>
        </w:tabs>
        <w:spacing w:line="360" w:lineRule="auto"/>
        <w:rPr>
          <w:rFonts w:asciiTheme="minorEastAsia" w:hAnsiTheme="minorEastAsia" w:eastAsiaTheme="minorEastAsia"/>
          <w:color w:val="auto"/>
          <w:sz w:val="22"/>
          <w:szCs w:val="22"/>
          <w:highlight w:val="none"/>
        </w:rPr>
      </w:pPr>
      <w:r>
        <w:rPr>
          <w:rFonts w:hint="eastAsia" w:asciiTheme="minorEastAsia" w:hAnsiTheme="minorEastAsia" w:eastAsiaTheme="minorEastAsia"/>
          <w:color w:val="auto"/>
          <w:sz w:val="22"/>
          <w:szCs w:val="22"/>
          <w:highlight w:val="none"/>
        </w:rPr>
        <w:t>3</w:t>
      </w:r>
      <w:r>
        <w:rPr>
          <w:rFonts w:asciiTheme="minorEastAsia" w:hAnsiTheme="minorEastAsia" w:eastAsiaTheme="minorEastAsia"/>
          <w:color w:val="auto"/>
          <w:sz w:val="22"/>
          <w:szCs w:val="22"/>
          <w:highlight w:val="none"/>
        </w:rPr>
        <w:t>.</w:t>
      </w:r>
      <w:r>
        <w:rPr>
          <w:rFonts w:hint="eastAsia" w:asciiTheme="minorEastAsia" w:hAnsiTheme="minorEastAsia" w:eastAsiaTheme="minorEastAsia"/>
          <w:color w:val="auto"/>
          <w:sz w:val="22"/>
          <w:szCs w:val="22"/>
          <w:highlight w:val="none"/>
        </w:rPr>
        <w:t>2</w:t>
      </w:r>
      <w:r>
        <w:rPr>
          <w:rFonts w:asciiTheme="minorEastAsia" w:hAnsiTheme="minorEastAsia" w:eastAsiaTheme="minorEastAsia"/>
          <w:color w:val="auto"/>
          <w:sz w:val="22"/>
          <w:szCs w:val="22"/>
          <w:highlight w:val="none"/>
        </w:rPr>
        <w:t>.4</w:t>
      </w:r>
      <w:r>
        <w:rPr>
          <w:rFonts w:cs="宋体" w:asciiTheme="minorEastAsia" w:hAnsiTheme="minorEastAsia" w:eastAsiaTheme="minorEastAsia"/>
          <w:color w:val="auto"/>
          <w:kern w:val="0"/>
          <w:sz w:val="22"/>
          <w:szCs w:val="22"/>
          <w:highlight w:val="none"/>
        </w:rPr>
        <w:t>投标文件报价出现前后不一致的，按照下列规定修正</w:t>
      </w:r>
      <w:r>
        <w:rPr>
          <w:rFonts w:asciiTheme="minorEastAsia" w:hAnsiTheme="minorEastAsia" w:eastAsiaTheme="minorEastAsia"/>
          <w:color w:val="auto"/>
          <w:sz w:val="22"/>
          <w:szCs w:val="22"/>
          <w:highlight w:val="none"/>
        </w:rPr>
        <w:t>：</w:t>
      </w:r>
    </w:p>
    <w:p w14:paraId="13E4233D">
      <w:pPr>
        <w:pStyle w:val="16"/>
        <w:tabs>
          <w:tab w:val="left" w:pos="2472"/>
        </w:tabs>
        <w:spacing w:line="360" w:lineRule="auto"/>
        <w:ind w:firstLine="440" w:firstLineChars="200"/>
        <w:rPr>
          <w:rFonts w:asciiTheme="minorEastAsia" w:hAnsiTheme="minorEastAsia" w:eastAsiaTheme="minorEastAsia"/>
          <w:color w:val="auto"/>
          <w:sz w:val="22"/>
          <w:szCs w:val="22"/>
          <w:highlight w:val="none"/>
        </w:rPr>
      </w:pPr>
      <w:r>
        <w:rPr>
          <w:rFonts w:hint="eastAsia" w:asciiTheme="minorEastAsia" w:hAnsiTheme="minorEastAsia" w:eastAsiaTheme="minorEastAsia"/>
          <w:color w:val="auto"/>
          <w:sz w:val="22"/>
          <w:szCs w:val="22"/>
          <w:highlight w:val="none"/>
        </w:rPr>
        <w:t>（一）投标文件中开标一览表（报价表）内容与投标文件中相应内容不一致的，以开标一览表（报价表）为准；</w:t>
      </w:r>
    </w:p>
    <w:p w14:paraId="56C76561">
      <w:pPr>
        <w:pStyle w:val="16"/>
        <w:tabs>
          <w:tab w:val="left" w:pos="2472"/>
        </w:tabs>
        <w:spacing w:line="360" w:lineRule="auto"/>
        <w:ind w:firstLine="440" w:firstLineChars="200"/>
        <w:rPr>
          <w:rFonts w:asciiTheme="minorEastAsia" w:hAnsiTheme="minorEastAsia" w:eastAsiaTheme="minorEastAsia"/>
          <w:color w:val="auto"/>
          <w:sz w:val="22"/>
          <w:szCs w:val="22"/>
          <w:highlight w:val="none"/>
        </w:rPr>
      </w:pPr>
      <w:r>
        <w:rPr>
          <w:rFonts w:hint="eastAsia" w:asciiTheme="minorEastAsia" w:hAnsiTheme="minorEastAsia" w:eastAsiaTheme="minorEastAsia"/>
          <w:color w:val="auto"/>
          <w:sz w:val="22"/>
          <w:szCs w:val="22"/>
          <w:highlight w:val="none"/>
        </w:rPr>
        <w:t>（二）大写金额和小写金额不一致的，以大写金额为准；</w:t>
      </w:r>
    </w:p>
    <w:p w14:paraId="36BF3683">
      <w:pPr>
        <w:pStyle w:val="16"/>
        <w:tabs>
          <w:tab w:val="left" w:pos="2472"/>
        </w:tabs>
        <w:spacing w:line="360" w:lineRule="auto"/>
        <w:ind w:firstLine="440" w:firstLineChars="200"/>
        <w:rPr>
          <w:rFonts w:asciiTheme="minorEastAsia" w:hAnsiTheme="minorEastAsia" w:eastAsiaTheme="minorEastAsia"/>
          <w:color w:val="auto"/>
          <w:sz w:val="22"/>
          <w:szCs w:val="22"/>
          <w:highlight w:val="none"/>
        </w:rPr>
      </w:pPr>
      <w:r>
        <w:rPr>
          <w:rFonts w:hint="eastAsia" w:asciiTheme="minorEastAsia" w:hAnsiTheme="minorEastAsia" w:eastAsiaTheme="minorEastAsia"/>
          <w:color w:val="auto"/>
          <w:sz w:val="22"/>
          <w:szCs w:val="22"/>
          <w:highlight w:val="none"/>
        </w:rPr>
        <w:t>（三）单价金额小数点或者百分比有明显错位的，以开标一览表的总价为准，并修改单价；</w:t>
      </w:r>
    </w:p>
    <w:p w14:paraId="52CD302D">
      <w:pPr>
        <w:pStyle w:val="16"/>
        <w:tabs>
          <w:tab w:val="left" w:pos="2472"/>
        </w:tabs>
        <w:spacing w:line="360" w:lineRule="auto"/>
        <w:ind w:firstLine="440" w:firstLineChars="200"/>
        <w:rPr>
          <w:rFonts w:asciiTheme="minorEastAsia" w:hAnsiTheme="minorEastAsia" w:eastAsiaTheme="minorEastAsia"/>
          <w:color w:val="auto"/>
          <w:sz w:val="22"/>
          <w:szCs w:val="22"/>
          <w:highlight w:val="none"/>
        </w:rPr>
      </w:pPr>
      <w:r>
        <w:rPr>
          <w:rFonts w:hint="eastAsia" w:asciiTheme="minorEastAsia" w:hAnsiTheme="minorEastAsia" w:eastAsiaTheme="minorEastAsia"/>
          <w:color w:val="auto"/>
          <w:sz w:val="22"/>
          <w:szCs w:val="22"/>
          <w:highlight w:val="none"/>
        </w:rPr>
        <w:t>（四）总价金额与按单价汇总金额不一致的，以单价金额计算结果为准。</w:t>
      </w:r>
    </w:p>
    <w:p w14:paraId="611F8EF2">
      <w:pPr>
        <w:pStyle w:val="16"/>
        <w:tabs>
          <w:tab w:val="left" w:pos="2472"/>
        </w:tabs>
        <w:spacing w:line="360" w:lineRule="auto"/>
        <w:ind w:firstLine="440" w:firstLineChars="200"/>
        <w:rPr>
          <w:rFonts w:asciiTheme="minorEastAsia" w:hAnsiTheme="minorEastAsia" w:eastAsiaTheme="minorEastAsia"/>
          <w:color w:val="auto"/>
          <w:sz w:val="22"/>
          <w:szCs w:val="22"/>
          <w:highlight w:val="none"/>
        </w:rPr>
      </w:pPr>
      <w:r>
        <w:rPr>
          <w:rFonts w:hint="eastAsia" w:asciiTheme="minorEastAsia" w:hAnsiTheme="minorEastAsia" w:eastAsiaTheme="minorEastAsia"/>
          <w:color w:val="auto"/>
          <w:sz w:val="22"/>
          <w:szCs w:val="22"/>
          <w:highlight w:val="none"/>
        </w:rPr>
        <w:t>★同时出现两种以上不一致的，按照前款规定的顺序修正。修正后的报价按照本章4.2款的规定经投标人确认后产生约束力，投标人不确认的，其投标无效。</w:t>
      </w:r>
    </w:p>
    <w:p w14:paraId="6D7B7960">
      <w:pPr>
        <w:pStyle w:val="16"/>
        <w:tabs>
          <w:tab w:val="left" w:pos="2472"/>
        </w:tabs>
        <w:spacing w:line="360" w:lineRule="auto"/>
        <w:rPr>
          <w:rFonts w:asciiTheme="minorEastAsia" w:hAnsiTheme="minorEastAsia" w:eastAsiaTheme="minorEastAsia"/>
          <w:color w:val="auto"/>
          <w:sz w:val="22"/>
          <w:szCs w:val="18"/>
          <w:highlight w:val="none"/>
        </w:rPr>
      </w:pPr>
      <w:r>
        <w:rPr>
          <w:rFonts w:hint="eastAsia" w:asciiTheme="minorEastAsia" w:hAnsiTheme="minorEastAsia" w:eastAsiaTheme="minorEastAsia"/>
          <w:color w:val="auto"/>
          <w:sz w:val="22"/>
          <w:szCs w:val="22"/>
          <w:highlight w:val="none"/>
        </w:rPr>
        <w:t>3.2.5技术部分得分（F2）和</w:t>
      </w:r>
      <w:r>
        <w:rPr>
          <w:rFonts w:hint="eastAsia" w:asciiTheme="minorEastAsia" w:hAnsiTheme="minorEastAsia" w:eastAsiaTheme="minorEastAsia"/>
          <w:color w:val="auto"/>
          <w:sz w:val="22"/>
          <w:szCs w:val="22"/>
          <w:highlight w:val="none"/>
          <w:lang w:eastAsia="zh-CN"/>
        </w:rPr>
        <w:t>商务部分</w:t>
      </w:r>
      <w:r>
        <w:rPr>
          <w:rFonts w:hint="eastAsia" w:asciiTheme="minorEastAsia" w:hAnsiTheme="minorEastAsia" w:eastAsiaTheme="minorEastAsia"/>
          <w:color w:val="auto"/>
          <w:sz w:val="22"/>
          <w:szCs w:val="22"/>
          <w:highlight w:val="none"/>
        </w:rPr>
        <w:t>得分（F3）得分由评标委员会成员独立评分，投标人各项评分因素得分为该项因素各评委评分的算术平均值。所</w:t>
      </w:r>
      <w:r>
        <w:rPr>
          <w:rFonts w:hint="eastAsia" w:asciiTheme="minorEastAsia" w:hAnsiTheme="minorEastAsia" w:eastAsiaTheme="minorEastAsia"/>
          <w:bCs/>
          <w:color w:val="auto"/>
          <w:sz w:val="22"/>
          <w:szCs w:val="18"/>
          <w:highlight w:val="none"/>
        </w:rPr>
        <w:t>有计算结果均保留小数点后两位</w:t>
      </w:r>
      <w:r>
        <w:rPr>
          <w:rFonts w:asciiTheme="minorEastAsia" w:hAnsiTheme="minorEastAsia" w:eastAsiaTheme="minorEastAsia"/>
          <w:color w:val="auto"/>
          <w:sz w:val="22"/>
          <w:szCs w:val="18"/>
          <w:highlight w:val="none"/>
        </w:rPr>
        <w:t>，小数点后第三位“四舍五入”。</w:t>
      </w:r>
    </w:p>
    <w:p w14:paraId="30BDB6A3">
      <w:pPr>
        <w:spacing w:line="360" w:lineRule="auto"/>
        <w:jc w:val="left"/>
        <w:rPr>
          <w:rFonts w:asciiTheme="minorEastAsia" w:hAnsiTheme="minorEastAsia" w:eastAsiaTheme="minorEastAsia"/>
          <w:b/>
          <w:color w:val="auto"/>
          <w:sz w:val="22"/>
          <w:szCs w:val="22"/>
          <w:highlight w:val="none"/>
        </w:rPr>
      </w:pPr>
      <w:r>
        <w:rPr>
          <w:rFonts w:hint="eastAsia" w:asciiTheme="minorEastAsia" w:hAnsiTheme="minorEastAsia" w:eastAsiaTheme="minorEastAsia"/>
          <w:b/>
          <w:color w:val="auto"/>
          <w:sz w:val="22"/>
          <w:szCs w:val="22"/>
          <w:highlight w:val="none"/>
        </w:rPr>
        <w:t>★3.2.6</w:t>
      </w:r>
      <w:r>
        <w:rPr>
          <w:rFonts w:cs="宋体" w:asciiTheme="minorEastAsia" w:hAnsiTheme="minorEastAsia" w:eastAsiaTheme="minorEastAsia"/>
          <w:b/>
          <w:color w:val="auto"/>
          <w:kern w:val="0"/>
          <w:sz w:val="22"/>
          <w:szCs w:val="22"/>
          <w:highlight w:val="none"/>
        </w:rPr>
        <w:t>评标委员会认为投标人的报价明显低于其他通过符合性审查投标人的报价，有可能影响</w:t>
      </w:r>
      <w:r>
        <w:rPr>
          <w:rFonts w:hint="eastAsia" w:cs="宋体" w:asciiTheme="minorEastAsia" w:hAnsiTheme="minorEastAsia" w:eastAsiaTheme="minorEastAsia"/>
          <w:b/>
          <w:color w:val="auto"/>
          <w:kern w:val="0"/>
          <w:sz w:val="22"/>
          <w:szCs w:val="22"/>
          <w:highlight w:val="none"/>
        </w:rPr>
        <w:t>服务</w:t>
      </w:r>
      <w:r>
        <w:rPr>
          <w:rFonts w:cs="宋体" w:asciiTheme="minorEastAsia" w:hAnsiTheme="minorEastAsia" w:eastAsiaTheme="minorEastAsia"/>
          <w:b/>
          <w:color w:val="auto"/>
          <w:kern w:val="0"/>
          <w:sz w:val="22"/>
          <w:szCs w:val="22"/>
          <w:highlight w:val="none"/>
        </w:rPr>
        <w:t>质量或者不能诚信履约的，应当要求其在评标现场合理的时间内提供书面说明，必要时提交相关证明材料；投标人不能证明其报价合理性的，评标委员会应当将其作为无效投标处理。</w:t>
      </w:r>
    </w:p>
    <w:p w14:paraId="4F9DBE36">
      <w:pPr>
        <w:pStyle w:val="16"/>
        <w:tabs>
          <w:tab w:val="left" w:pos="2472"/>
        </w:tabs>
        <w:spacing w:line="480" w:lineRule="exact"/>
        <w:rPr>
          <w:rFonts w:asciiTheme="minorEastAsia" w:hAnsiTheme="minorEastAsia" w:eastAsiaTheme="minorEastAsia"/>
          <w:b/>
          <w:bCs/>
          <w:color w:val="auto"/>
          <w:sz w:val="22"/>
          <w:szCs w:val="18"/>
          <w:highlight w:val="none"/>
        </w:rPr>
      </w:pPr>
      <w:bookmarkStart w:id="170" w:name="_Toc48742772"/>
      <w:bookmarkStart w:id="171" w:name="_Toc321836412"/>
      <w:bookmarkStart w:id="172" w:name="_Toc63070527"/>
      <w:r>
        <w:rPr>
          <w:rFonts w:hint="eastAsia" w:asciiTheme="minorEastAsia" w:hAnsiTheme="minorEastAsia" w:eastAsiaTheme="minorEastAsia"/>
          <w:b/>
          <w:bCs/>
          <w:color w:val="auto"/>
          <w:sz w:val="22"/>
          <w:szCs w:val="18"/>
          <w:highlight w:val="none"/>
        </w:rPr>
        <w:t>4</w:t>
      </w:r>
      <w:r>
        <w:rPr>
          <w:rFonts w:asciiTheme="minorEastAsia" w:hAnsiTheme="minorEastAsia" w:eastAsiaTheme="minorEastAsia"/>
          <w:b/>
          <w:bCs/>
          <w:color w:val="auto"/>
          <w:sz w:val="22"/>
          <w:szCs w:val="18"/>
          <w:highlight w:val="none"/>
        </w:rPr>
        <w:t>. 投标文件的澄清</w:t>
      </w:r>
      <w:bookmarkEnd w:id="170"/>
      <w:bookmarkEnd w:id="171"/>
      <w:bookmarkEnd w:id="172"/>
      <w:r>
        <w:rPr>
          <w:rFonts w:asciiTheme="minorEastAsia" w:hAnsiTheme="minorEastAsia" w:eastAsiaTheme="minorEastAsia"/>
          <w:b/>
          <w:bCs/>
          <w:color w:val="auto"/>
          <w:sz w:val="22"/>
          <w:szCs w:val="18"/>
          <w:highlight w:val="none"/>
        </w:rPr>
        <w:t xml:space="preserve"> </w:t>
      </w:r>
    </w:p>
    <w:p w14:paraId="6AA7DB25">
      <w:pPr>
        <w:spacing w:line="360" w:lineRule="auto"/>
        <w:jc w:val="left"/>
        <w:rPr>
          <w:rFonts w:asciiTheme="minorEastAsia" w:hAnsiTheme="minorEastAsia" w:eastAsiaTheme="minorEastAsia"/>
          <w:color w:val="auto"/>
          <w:sz w:val="22"/>
          <w:szCs w:val="22"/>
          <w:highlight w:val="none"/>
        </w:rPr>
      </w:pPr>
      <w:r>
        <w:rPr>
          <w:rFonts w:hint="eastAsia" w:asciiTheme="minorEastAsia" w:hAnsiTheme="minorEastAsia" w:eastAsiaTheme="minorEastAsia"/>
          <w:color w:val="auto"/>
          <w:sz w:val="22"/>
          <w:szCs w:val="22"/>
          <w:highlight w:val="none"/>
        </w:rPr>
        <w:t>4</w:t>
      </w:r>
      <w:r>
        <w:rPr>
          <w:rFonts w:asciiTheme="minorEastAsia" w:hAnsiTheme="minorEastAsia" w:eastAsiaTheme="minorEastAsia"/>
          <w:color w:val="auto"/>
          <w:sz w:val="22"/>
          <w:szCs w:val="22"/>
          <w:highlight w:val="none"/>
        </w:rPr>
        <w:t>.1 在评标过程中，评标委员会可以书面形式要求投标人对所提交的投标文件中含义不明确、同类问题表述不一致或者有明显文字和计算错误的内容，进行书面澄清或说明。评标委员会不接受投标人主动提出的澄清、说明。</w:t>
      </w:r>
    </w:p>
    <w:p w14:paraId="103C7C7C">
      <w:pPr>
        <w:spacing w:line="360" w:lineRule="auto"/>
        <w:jc w:val="left"/>
        <w:rPr>
          <w:rFonts w:asciiTheme="minorEastAsia" w:hAnsiTheme="minorEastAsia" w:eastAsiaTheme="minorEastAsia"/>
          <w:color w:val="auto"/>
          <w:sz w:val="22"/>
          <w:szCs w:val="22"/>
          <w:highlight w:val="none"/>
        </w:rPr>
      </w:pPr>
      <w:r>
        <w:rPr>
          <w:rFonts w:hint="eastAsia" w:asciiTheme="minorEastAsia" w:hAnsiTheme="minorEastAsia" w:eastAsiaTheme="minorEastAsia"/>
          <w:color w:val="auto"/>
          <w:sz w:val="22"/>
          <w:szCs w:val="22"/>
          <w:highlight w:val="none"/>
        </w:rPr>
        <w:t>4</w:t>
      </w:r>
      <w:r>
        <w:rPr>
          <w:rFonts w:asciiTheme="minorEastAsia" w:hAnsiTheme="minorEastAsia" w:eastAsiaTheme="minorEastAsia"/>
          <w:color w:val="auto"/>
          <w:sz w:val="22"/>
          <w:szCs w:val="22"/>
          <w:highlight w:val="none"/>
        </w:rPr>
        <w:t>.2 投标人的澄清、说明应当采用书面形式，由法定代表人或其授权的代表签字，</w:t>
      </w:r>
      <w:r>
        <w:rPr>
          <w:rFonts w:hint="eastAsia" w:asciiTheme="minorEastAsia" w:hAnsiTheme="minorEastAsia" w:eastAsiaTheme="minorEastAsia"/>
          <w:color w:val="auto"/>
          <w:sz w:val="22"/>
          <w:szCs w:val="22"/>
          <w:highlight w:val="none"/>
        </w:rPr>
        <w:t>澄清事项不得超出投标文件的范围</w:t>
      </w:r>
      <w:r>
        <w:rPr>
          <w:rFonts w:asciiTheme="minorEastAsia" w:hAnsiTheme="minorEastAsia" w:eastAsiaTheme="minorEastAsia"/>
          <w:color w:val="auto"/>
          <w:sz w:val="22"/>
          <w:szCs w:val="22"/>
          <w:highlight w:val="none"/>
        </w:rPr>
        <w:t>并不得改变投标文件的实质性内容（算术性错误修正的除外）。投标人的书面澄清、说明属于投标文件的组成部分。</w:t>
      </w:r>
    </w:p>
    <w:p w14:paraId="7348153C">
      <w:pPr>
        <w:spacing w:line="360" w:lineRule="auto"/>
        <w:jc w:val="left"/>
        <w:rPr>
          <w:rFonts w:asciiTheme="minorEastAsia" w:hAnsiTheme="minorEastAsia" w:eastAsiaTheme="minorEastAsia"/>
          <w:color w:val="auto"/>
          <w:sz w:val="22"/>
          <w:szCs w:val="22"/>
          <w:highlight w:val="none"/>
        </w:rPr>
      </w:pPr>
      <w:r>
        <w:rPr>
          <w:rFonts w:hint="eastAsia" w:asciiTheme="minorEastAsia" w:hAnsiTheme="minorEastAsia" w:eastAsiaTheme="minorEastAsia"/>
          <w:color w:val="auto"/>
          <w:sz w:val="22"/>
          <w:szCs w:val="22"/>
          <w:highlight w:val="none"/>
        </w:rPr>
        <w:t>4</w:t>
      </w:r>
      <w:r>
        <w:rPr>
          <w:rFonts w:asciiTheme="minorEastAsia" w:hAnsiTheme="minorEastAsia" w:eastAsiaTheme="minorEastAsia"/>
          <w:color w:val="auto"/>
          <w:sz w:val="22"/>
          <w:szCs w:val="22"/>
          <w:highlight w:val="none"/>
        </w:rPr>
        <w:t>.3 评标委员会对投标人提交的澄清、说明有疑问的，可以要求投标人进一步澄清、说明。</w:t>
      </w:r>
    </w:p>
    <w:p w14:paraId="537D8A62">
      <w:pPr>
        <w:pStyle w:val="16"/>
        <w:tabs>
          <w:tab w:val="left" w:pos="2472"/>
        </w:tabs>
        <w:spacing w:line="480" w:lineRule="exact"/>
        <w:rPr>
          <w:rFonts w:asciiTheme="minorEastAsia" w:hAnsiTheme="minorEastAsia" w:eastAsiaTheme="minorEastAsia"/>
          <w:b/>
          <w:bCs/>
          <w:color w:val="auto"/>
          <w:sz w:val="22"/>
          <w:szCs w:val="18"/>
          <w:highlight w:val="none"/>
        </w:rPr>
      </w:pPr>
      <w:bookmarkStart w:id="173" w:name="_Toc48742773"/>
      <w:bookmarkStart w:id="174" w:name="_Toc63070528"/>
      <w:bookmarkStart w:id="175" w:name="_Toc321836413"/>
      <w:r>
        <w:rPr>
          <w:rFonts w:hint="eastAsia" w:asciiTheme="minorEastAsia" w:hAnsiTheme="minorEastAsia" w:eastAsiaTheme="minorEastAsia"/>
          <w:b/>
          <w:bCs/>
          <w:color w:val="auto"/>
          <w:sz w:val="22"/>
          <w:szCs w:val="18"/>
          <w:highlight w:val="none"/>
        </w:rPr>
        <w:t>5</w:t>
      </w:r>
      <w:r>
        <w:rPr>
          <w:rFonts w:asciiTheme="minorEastAsia" w:hAnsiTheme="minorEastAsia" w:eastAsiaTheme="minorEastAsia"/>
          <w:b/>
          <w:bCs/>
          <w:color w:val="auto"/>
          <w:sz w:val="22"/>
          <w:szCs w:val="18"/>
          <w:highlight w:val="none"/>
        </w:rPr>
        <w:t>.评标结果</w:t>
      </w:r>
      <w:bookmarkEnd w:id="173"/>
      <w:bookmarkEnd w:id="174"/>
      <w:bookmarkEnd w:id="175"/>
    </w:p>
    <w:p w14:paraId="5CF0ED18">
      <w:pPr>
        <w:spacing w:line="360" w:lineRule="auto"/>
        <w:jc w:val="left"/>
        <w:rPr>
          <w:rFonts w:ascii="宋体" w:hAnsi="宋体"/>
          <w:color w:val="auto"/>
          <w:sz w:val="22"/>
          <w:szCs w:val="22"/>
          <w:highlight w:val="none"/>
        </w:rPr>
      </w:pPr>
      <w:r>
        <w:rPr>
          <w:rFonts w:hint="eastAsia" w:ascii="宋体" w:hAnsi="宋体"/>
          <w:color w:val="auto"/>
          <w:sz w:val="22"/>
          <w:szCs w:val="22"/>
          <w:highlight w:val="none"/>
        </w:rPr>
        <w:t>5</w:t>
      </w:r>
      <w:r>
        <w:rPr>
          <w:rFonts w:ascii="宋体" w:hAnsi="宋体"/>
          <w:color w:val="auto"/>
          <w:sz w:val="22"/>
          <w:szCs w:val="22"/>
          <w:highlight w:val="none"/>
        </w:rPr>
        <w:t>.1</w:t>
      </w:r>
      <w:r>
        <w:rPr>
          <w:rFonts w:hint="eastAsia" w:ascii="宋体" w:hAnsi="宋体"/>
          <w:color w:val="auto"/>
          <w:sz w:val="22"/>
          <w:szCs w:val="22"/>
          <w:highlight w:val="none"/>
        </w:rPr>
        <w:t>评标委员会按最终得分由高到低顺序推荐3名中标候选人，并提出书面评标报告</w:t>
      </w:r>
      <w:r>
        <w:rPr>
          <w:rFonts w:ascii="宋体" w:hAnsi="宋体"/>
          <w:color w:val="auto"/>
          <w:sz w:val="22"/>
          <w:szCs w:val="22"/>
          <w:highlight w:val="none"/>
        </w:rPr>
        <w:t>。</w:t>
      </w:r>
    </w:p>
    <w:p w14:paraId="068D26E9">
      <w:pPr>
        <w:spacing w:line="360" w:lineRule="auto"/>
        <w:jc w:val="left"/>
        <w:rPr>
          <w:rFonts w:ascii="宋体" w:hAnsi="宋体"/>
          <w:color w:val="auto"/>
          <w:sz w:val="22"/>
          <w:szCs w:val="22"/>
          <w:highlight w:val="none"/>
        </w:rPr>
      </w:pPr>
      <w:r>
        <w:rPr>
          <w:rFonts w:hint="eastAsia" w:ascii="宋体" w:hAnsi="宋体"/>
          <w:color w:val="auto"/>
          <w:sz w:val="22"/>
          <w:szCs w:val="22"/>
          <w:highlight w:val="none"/>
        </w:rPr>
        <w:t>5</w:t>
      </w:r>
      <w:r>
        <w:rPr>
          <w:rFonts w:ascii="宋体" w:hAnsi="宋体"/>
          <w:color w:val="auto"/>
          <w:sz w:val="22"/>
          <w:szCs w:val="22"/>
          <w:highlight w:val="none"/>
        </w:rPr>
        <w:t>.2 采购人根据评标委员会提出的书面评标报告和推荐的中标候选人名单，确定中标人。</w:t>
      </w:r>
    </w:p>
    <w:p w14:paraId="7471C911">
      <w:pPr>
        <w:spacing w:line="360" w:lineRule="auto"/>
        <w:jc w:val="left"/>
        <w:rPr>
          <w:rFonts w:ascii="宋体" w:hAnsi="宋体"/>
          <w:color w:val="auto"/>
          <w:sz w:val="22"/>
          <w:szCs w:val="22"/>
          <w:highlight w:val="none"/>
        </w:rPr>
      </w:pPr>
      <w:r>
        <w:rPr>
          <w:rFonts w:hint="eastAsia" w:ascii="宋体" w:hAnsi="宋体"/>
          <w:color w:val="auto"/>
          <w:sz w:val="22"/>
          <w:szCs w:val="22"/>
          <w:highlight w:val="none"/>
        </w:rPr>
        <w:t>5</w:t>
      </w:r>
      <w:r>
        <w:rPr>
          <w:rFonts w:ascii="宋体" w:hAnsi="宋体"/>
          <w:color w:val="auto"/>
          <w:sz w:val="22"/>
          <w:szCs w:val="22"/>
          <w:highlight w:val="none"/>
        </w:rPr>
        <w:t>.</w:t>
      </w:r>
      <w:r>
        <w:rPr>
          <w:rFonts w:hint="eastAsia" w:ascii="宋体" w:hAnsi="宋体"/>
          <w:color w:val="auto"/>
          <w:sz w:val="22"/>
          <w:szCs w:val="22"/>
          <w:highlight w:val="none"/>
        </w:rPr>
        <w:t>3评审委员会发现采购文件存在歧义、重大缺陷导致评审工作无法进行，或者采购文件内容</w:t>
      </w:r>
      <w:r>
        <w:rPr>
          <w:rFonts w:hint="eastAsia" w:hAnsi="宋体"/>
          <w:color w:val="auto"/>
          <w:sz w:val="22"/>
          <w:szCs w:val="22"/>
          <w:highlight w:val="none"/>
        </w:rPr>
        <w:t>违反国家有关规定的，要停止评审工作并向采购人或采购代理机构书面说明情况，采购人或采购代理机构应当修改采购文件后重新组织采购活动；发现投标人提供虚假材料、串通等</w:t>
      </w:r>
      <w:r>
        <w:rPr>
          <w:rFonts w:hint="eastAsia" w:ascii="宋体" w:hAnsi="宋体"/>
          <w:color w:val="auto"/>
          <w:sz w:val="22"/>
          <w:szCs w:val="22"/>
          <w:highlight w:val="none"/>
        </w:rPr>
        <w:t>违法违规行为的，要及时向采购人或采购代理机构报告。</w:t>
      </w:r>
    </w:p>
    <w:p w14:paraId="77B83285">
      <w:pPr>
        <w:spacing w:line="360" w:lineRule="auto"/>
        <w:ind w:firstLine="440" w:firstLineChars="200"/>
        <w:jc w:val="left"/>
        <w:rPr>
          <w:rFonts w:hAnsi="宋体"/>
          <w:color w:val="auto"/>
          <w:szCs w:val="21"/>
          <w:highlight w:val="none"/>
        </w:rPr>
      </w:pPr>
      <w:r>
        <w:rPr>
          <w:rFonts w:hint="eastAsia" w:ascii="宋体" w:hAnsi="宋体"/>
          <w:color w:val="auto"/>
          <w:sz w:val="22"/>
          <w:szCs w:val="22"/>
          <w:highlight w:val="none"/>
        </w:rPr>
        <w:t>5</w:t>
      </w:r>
      <w:r>
        <w:rPr>
          <w:rFonts w:ascii="宋体" w:hAnsi="宋体"/>
          <w:color w:val="auto"/>
          <w:sz w:val="22"/>
          <w:szCs w:val="22"/>
          <w:highlight w:val="none"/>
        </w:rPr>
        <w:t>.</w:t>
      </w:r>
      <w:r>
        <w:rPr>
          <w:rFonts w:hint="eastAsia" w:ascii="宋体" w:hAnsi="宋体"/>
          <w:color w:val="auto"/>
          <w:sz w:val="22"/>
          <w:szCs w:val="22"/>
          <w:highlight w:val="none"/>
        </w:rPr>
        <w:t>4评审委员会发现采购文件存在歧义、重大缺陷导致评审工作无法进行，或者采购文件内容违反国家有关规定的，要停止评审工作并向采购人或采购代理机构书面说明情况，采购人或采购代理机构应当修改采购文件后重新组织采购活动；发现投标人提供虚假材料、串通等违法违规行为的，要及时向采购人或采购代理机构报告。</w:t>
      </w:r>
    </w:p>
    <w:sectPr>
      <w:pgSz w:w="11906" w:h="16838"/>
      <w:pgMar w:top="1134" w:right="851" w:bottom="1304" w:left="1276" w:header="720" w:footer="720" w:gutter="0"/>
      <w:pgBorders>
        <w:top w:val="none" w:sz="0" w:space="0"/>
        <w:left w:val="none" w:sz="0" w:space="0"/>
        <w:bottom w:val="none" w:sz="0" w:space="0"/>
        <w:right w:val="none" w:sz="0" w:space="0"/>
      </w:pgBorders>
      <w:cols w:space="720" w:num="1"/>
      <w:docGrid w:type="linesAndChars" w:linePitch="33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font-weight : 400">
    <w:altName w:val="Arial"/>
    <w:panose1 w:val="00000000000000000000"/>
    <w:charset w:val="00"/>
    <w:family w:val="auto"/>
    <w:pitch w:val="default"/>
    <w:sig w:usb0="00000000" w:usb1="00000000" w:usb2="00000000" w:usb3="00000000" w:csb0="00040001"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ˎ̥">
    <w:altName w:val="Times New Roman"/>
    <w:panose1 w:val="00000000000000000000"/>
    <w:charset w:val="00"/>
    <w:family w:val="roman"/>
    <w:pitch w:val="default"/>
    <w:sig w:usb0="00000000" w:usb1="00000000" w:usb2="00000000"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entury Gothic">
    <w:panose1 w:val="020B0502020202020204"/>
    <w:charset w:val="00"/>
    <w:family w:val="swiss"/>
    <w:pitch w:val="default"/>
    <w:sig w:usb0="00000287" w:usb1="00000000" w:usb2="00000000" w:usb3="00000000" w:csb0="2000009F" w:csb1="DFD70000"/>
  </w:font>
  <w:font w:name="Arial Unicode MS">
    <w:altName w:val="宋体"/>
    <w:panose1 w:val="020B0604020202020204"/>
    <w:charset w:val="86"/>
    <w:family w:val="swiss"/>
    <w:pitch w:val="default"/>
    <w:sig w:usb0="00000000" w:usb1="00000000" w:usb2="0000003F" w:usb3="00000000" w:csb0="603F01FF" w:csb1="FFFF0000"/>
  </w:font>
  <w:font w:name="Segoe UI Symbol">
    <w:panose1 w:val="020B0502040204020203"/>
    <w:charset w:val="00"/>
    <w:family w:val="swiss"/>
    <w:pitch w:val="default"/>
    <w:sig w:usb0="800001E3" w:usb1="1200FFEF" w:usb2="00040000" w:usb3="04000000" w:csb0="00000001" w:csb1="4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CDD5B4">
    <w:pPr>
      <w:pStyle w:val="21"/>
      <w:ind w:right="360"/>
      <w:jc w:val="both"/>
    </w:pPr>
    <w:r>
      <w:rPr>
        <w:sz w:val="21"/>
        <w:szCs w:val="21"/>
      </w:rPr>
      <w:drawing>
        <wp:inline distT="0" distB="0" distL="114300" distR="114300">
          <wp:extent cx="0" cy="0"/>
          <wp:effectExtent l="0" t="0" r="0" b="0"/>
          <wp:docPr id="3" name="123" descr="381228446826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23" descr="381228446826312"/>
                  <pic:cNvPicPr>
                    <a:picLocks noChangeAspect="1"/>
                  </pic:cNvPicPr>
                </pic:nvPicPr>
                <pic:blipFill>
                  <a:blip r:embed="rId1"/>
                  <a:srcRect r="100000" b="100000"/>
                  <a:stretch>
                    <a:fillRect/>
                  </a:stretch>
                </pic:blipFill>
                <pic:spPr>
                  <a:xfrm>
                    <a:off x="0" y="0"/>
                    <a:ext cx="0" cy="0"/>
                  </a:xfrm>
                  <a:prstGeom prst="rect">
                    <a:avLst/>
                  </a:prstGeom>
                  <a:noFill/>
                  <a:ln>
                    <a:noFill/>
                  </a:ln>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58B4E6">
    <w:pPr>
      <w:pStyle w:val="21"/>
      <w:framePr w:wrap="around" w:vAnchor="text" w:hAnchor="margin" w:xAlign="center" w:y="1"/>
      <w:rPr>
        <w:rStyle w:val="37"/>
      </w:rPr>
    </w:pPr>
    <w:r>
      <w:fldChar w:fldCharType="begin"/>
    </w:r>
    <w:r>
      <w:rPr>
        <w:rStyle w:val="37"/>
      </w:rPr>
      <w:instrText xml:space="preserve">PAGE  </w:instrText>
    </w:r>
    <w:r>
      <w:fldChar w:fldCharType="separate"/>
    </w:r>
    <w:r>
      <w:rPr>
        <w:rStyle w:val="37"/>
      </w:rPr>
      <w:t>59</w:t>
    </w:r>
    <w:r>
      <w:fldChar w:fldCharType="end"/>
    </w:r>
  </w:p>
  <w:p w14:paraId="143ABD0C">
    <w:pPr>
      <w:pStyle w:val="21"/>
      <w:ind w:right="360"/>
      <w:rPr>
        <w:sz w:val="21"/>
      </w:rPr>
    </w:pPr>
    <w:r>
      <mc:AlternateContent>
        <mc:Choice Requires="wps">
          <w:drawing>
            <wp:anchor distT="0" distB="0" distL="0" distR="0" simplePos="0" relativeHeight="251659264" behindDoc="0" locked="0" layoutInCell="1" allowOverlap="1">
              <wp:simplePos x="0" y="0"/>
              <wp:positionH relativeFrom="margin">
                <wp:align>right</wp:align>
              </wp:positionH>
              <wp:positionV relativeFrom="paragraph">
                <wp:posOffset>0</wp:posOffset>
              </wp:positionV>
              <wp:extent cx="66675" cy="172720"/>
              <wp:effectExtent l="0" t="0" r="0" b="0"/>
              <wp:wrapSquare wrapText="bothSides"/>
              <wp:docPr id="1" name="文本框 1"/>
              <wp:cNvGraphicFramePr/>
              <a:graphic xmlns:a="http://schemas.openxmlformats.org/drawingml/2006/main">
                <a:graphicData uri="http://schemas.microsoft.com/office/word/2010/wordprocessingShape">
                  <wps:wsp>
                    <wps:cNvSpPr txBox="1"/>
                    <wps:spPr>
                      <a:xfrm>
                        <a:off x="0" y="0"/>
                        <a:ext cx="66675" cy="172720"/>
                      </a:xfrm>
                      <a:prstGeom prst="rect">
                        <a:avLst/>
                      </a:prstGeom>
                      <a:noFill/>
                      <a:ln>
                        <a:noFill/>
                      </a:ln>
                      <a:effectLst/>
                    </wps:spPr>
                    <wps:txbx>
                      <w:txbxContent>
                        <w:p w14:paraId="65927845">
                          <w:pPr>
                            <w:pStyle w:val="21"/>
                            <w:rPr>
                              <w:rStyle w:val="37"/>
                              <w:sz w:val="21"/>
                            </w:rPr>
                          </w:pPr>
                          <w:r>
                            <w:rPr>
                              <w:sz w:val="21"/>
                            </w:rPr>
                            <w:fldChar w:fldCharType="begin"/>
                          </w:r>
                          <w:r>
                            <w:rPr>
                              <w:rStyle w:val="37"/>
                              <w:sz w:val="21"/>
                            </w:rPr>
                            <w:instrText xml:space="preserve">Page</w:instrText>
                          </w:r>
                          <w:r>
                            <w:rPr>
                              <w:sz w:val="21"/>
                            </w:rPr>
                            <w:fldChar w:fldCharType="separate"/>
                          </w:r>
                          <w:r>
                            <w:rPr>
                              <w:rStyle w:val="37"/>
                              <w:sz w:val="21"/>
                            </w:rPr>
                            <w:t>59</w:t>
                          </w:r>
                          <w:r>
                            <w:rPr>
                              <w:sz w:val="21"/>
                            </w:rPr>
                            <w:fldChar w:fldCharType="end"/>
                          </w:r>
                        </w:p>
                      </w:txbxContent>
                    </wps:txbx>
                    <wps:bodyPr wrap="square" lIns="0" tIns="0" rIns="0" bIns="0" upright="1"/>
                  </wps:wsp>
                </a:graphicData>
              </a:graphic>
            </wp:anchor>
          </w:drawing>
        </mc:Choice>
        <mc:Fallback>
          <w:pict>
            <v:shape id="_x0000_s1026" o:spid="_x0000_s1026" o:spt="202" type="#_x0000_t202" style="position:absolute;left:0pt;margin-top:0pt;height:13.6pt;width:5.25pt;mso-position-horizontal:right;mso-position-horizontal-relative:margin;mso-wrap-distance-bottom:0pt;mso-wrap-distance-left:0pt;mso-wrap-distance-right:0pt;mso-wrap-distance-top:0pt;z-index:251659264;mso-width-relative:page;mso-height-relative:page;" filled="f" stroked="f" coordsize="21600,21600" o:gfxdata="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bSfsK9MAAAADAQAADwAAAAAAAAABACAAAAAiAAAAZHJzL2Rvd25yZXYu&#10;eG1sUEsBAhQAFAAAAAgAh07iQFlMBX7HAQAAjAMAAA4AAAAAAAAAAQAgAAAAIgEAAGRycy9lMm9E&#10;b2MueG1sUEsFBgAAAAAGAAYAWQEAAFsFAAAAAA==&#10;">
              <v:fill on="f" focussize="0,0"/>
              <v:stroke on="f"/>
              <v:imagedata o:title=""/>
              <o:lock v:ext="edit" aspectratio="f"/>
              <v:textbox inset="0mm,0mm,0mm,0mm">
                <w:txbxContent>
                  <w:p w14:paraId="65927845">
                    <w:pPr>
                      <w:pStyle w:val="21"/>
                      <w:rPr>
                        <w:rStyle w:val="37"/>
                        <w:sz w:val="21"/>
                      </w:rPr>
                    </w:pPr>
                    <w:r>
                      <w:rPr>
                        <w:sz w:val="21"/>
                      </w:rPr>
                      <w:fldChar w:fldCharType="begin"/>
                    </w:r>
                    <w:r>
                      <w:rPr>
                        <w:rStyle w:val="37"/>
                        <w:sz w:val="21"/>
                      </w:rPr>
                      <w:instrText xml:space="preserve">Page</w:instrText>
                    </w:r>
                    <w:r>
                      <w:rPr>
                        <w:sz w:val="21"/>
                      </w:rPr>
                      <w:fldChar w:fldCharType="separate"/>
                    </w:r>
                    <w:r>
                      <w:rPr>
                        <w:rStyle w:val="37"/>
                        <w:sz w:val="21"/>
                      </w:rPr>
                      <w:t>59</w:t>
                    </w:r>
                    <w:r>
                      <w:rPr>
                        <w:sz w:val="21"/>
                      </w:rPr>
                      <w:fldChar w:fldCharType="end"/>
                    </w:r>
                  </w:p>
                </w:txbxContent>
              </v:textbox>
              <w10:wrap type="squar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C40F4E">
    <w:pPr>
      <w:pStyle w:val="2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F32D7C">
    <w:pPr>
      <w:pStyle w:val="21"/>
      <w:tabs>
        <w:tab w:val="left" w:pos="1373"/>
        <w:tab w:val="clear" w:pos="4153"/>
      </w:tabs>
      <w:ind w:right="360"/>
      <w:jc w:val="both"/>
      <w:rPr>
        <w:rFonts w:hint="eastAsia" w:eastAsia="宋体"/>
        <w:lang w:eastAsia="zh-CN"/>
      </w:rPr>
    </w:pPr>
    <w:r>
      <w:rPr>
        <w:rFonts w:hint="eastAsia"/>
        <w:lang w:eastAsia="zh-CN"/>
      </w:rPr>
      <w:tab/>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A98354">
    <w:pPr>
      <w:pStyle w:val="21"/>
      <w:ind w:right="360"/>
      <w:jc w:val="both"/>
    </w:pPr>
    <w:r>
      <mc:AlternateContent>
        <mc:Choice Requires="wps">
          <w:drawing>
            <wp:anchor distT="0" distB="0" distL="0" distR="0" simplePos="0" relativeHeight="251660288" behindDoc="0" locked="0" layoutInCell="1" allowOverlap="1">
              <wp:simplePos x="0" y="0"/>
              <wp:positionH relativeFrom="margin">
                <wp:posOffset>2957830</wp:posOffset>
              </wp:positionH>
              <wp:positionV relativeFrom="paragraph">
                <wp:posOffset>0</wp:posOffset>
              </wp:positionV>
              <wp:extent cx="175260" cy="164465"/>
              <wp:effectExtent l="0" t="0" r="0" b="0"/>
              <wp:wrapNone/>
              <wp:docPr id="2" name="文本框 5"/>
              <wp:cNvGraphicFramePr/>
              <a:graphic xmlns:a="http://schemas.openxmlformats.org/drawingml/2006/main">
                <a:graphicData uri="http://schemas.microsoft.com/office/word/2010/wordprocessingShape">
                  <wps:wsp>
                    <wps:cNvSpPr txBox="1"/>
                    <wps:spPr>
                      <a:xfrm>
                        <a:off x="0" y="0"/>
                        <a:ext cx="175260" cy="164465"/>
                      </a:xfrm>
                      <a:prstGeom prst="rect">
                        <a:avLst/>
                      </a:prstGeom>
                      <a:noFill/>
                      <a:ln>
                        <a:noFill/>
                      </a:ln>
                      <a:effectLst/>
                    </wps:spPr>
                    <wps:txbx>
                      <w:txbxContent>
                        <w:p w14:paraId="3115F4EB">
                          <w:pPr>
                            <w:pStyle w:val="21"/>
                            <w:jc w:val="center"/>
                            <w:rPr>
                              <w:rStyle w:val="37"/>
                            </w:rPr>
                          </w:pPr>
                          <w:r>
                            <w:fldChar w:fldCharType="begin"/>
                          </w:r>
                          <w:r>
                            <w:rPr>
                              <w:rStyle w:val="37"/>
                            </w:rPr>
                            <w:instrText xml:space="preserve">Page</w:instrText>
                          </w:r>
                          <w:r>
                            <w:fldChar w:fldCharType="separate"/>
                          </w:r>
                          <w:r>
                            <w:rPr>
                              <w:rStyle w:val="37"/>
                            </w:rPr>
                            <w:t>3</w:t>
                          </w:r>
                          <w:r>
                            <w:fldChar w:fldCharType="end"/>
                          </w:r>
                        </w:p>
                      </w:txbxContent>
                    </wps:txbx>
                    <wps:bodyPr wrap="square" lIns="0" tIns="0" rIns="0" bIns="0" upright="1"/>
                  </wps:wsp>
                </a:graphicData>
              </a:graphic>
            </wp:anchor>
          </w:drawing>
        </mc:Choice>
        <mc:Fallback>
          <w:pict>
            <v:shape id="文本框 5" o:spid="_x0000_s1026" o:spt="202" type="#_x0000_t202" style="position:absolute;left:0pt;margin-left:232.9pt;margin-top:0pt;height:12.95pt;width:13.8pt;mso-position-horizontal-relative:margin;z-index:251660288;mso-width-relative:page;mso-height-relative:page;" filled="f" stroked="f" coordsize="21600,21600" o:gfxdata="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OWJ8OLXAAAABwEAAA8AAAAAAAAAAQAgAAAAIgAAAGRycy9kb3du&#10;cmV2LnhtbFBLAQIUABQAAAAIAIdO4kDyXM3UxwEAAI0DAAAOAAAAAAAAAAEAIAAAACYBAABkcnMv&#10;ZTJvRG9jLnhtbFBLBQYAAAAABgAGAFkBAABfBQAAAAA=&#10;">
              <v:fill on="f" focussize="0,0"/>
              <v:stroke on="f"/>
              <v:imagedata o:title=""/>
              <o:lock v:ext="edit" aspectratio="f"/>
              <v:textbox inset="0mm,0mm,0mm,0mm">
                <w:txbxContent>
                  <w:p w14:paraId="3115F4EB">
                    <w:pPr>
                      <w:pStyle w:val="21"/>
                      <w:jc w:val="center"/>
                      <w:rPr>
                        <w:rStyle w:val="37"/>
                      </w:rPr>
                    </w:pPr>
                    <w:r>
                      <w:fldChar w:fldCharType="begin"/>
                    </w:r>
                    <w:r>
                      <w:rPr>
                        <w:rStyle w:val="37"/>
                      </w:rPr>
                      <w:instrText xml:space="preserve">Page</w:instrText>
                    </w:r>
                    <w:r>
                      <w:fldChar w:fldCharType="separate"/>
                    </w:r>
                    <w:r>
                      <w:rPr>
                        <w:rStyle w:val="37"/>
                      </w:rPr>
                      <w:t>3</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AD2E02">
    <w:pPr>
      <w:pStyle w:val="21"/>
      <w:jc w:val="right"/>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5126C2">
                          <w:pPr>
                            <w:pStyle w:val="21"/>
                            <w:jc w:val="right"/>
                          </w:pPr>
                          <w:r>
                            <w:fldChar w:fldCharType="begin"/>
                          </w:r>
                          <w:r>
                            <w:instrText xml:space="preserve"> PAGE   \* MERGEFORMAT </w:instrText>
                          </w:r>
                          <w:r>
                            <w:fldChar w:fldCharType="separate"/>
                          </w:r>
                          <w:r>
                            <w:rPr>
                              <w:lang w:val="zh-CN"/>
                            </w:rP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295126C2">
                    <w:pPr>
                      <w:pStyle w:val="21"/>
                      <w:jc w:val="right"/>
                    </w:pPr>
                    <w:r>
                      <w:fldChar w:fldCharType="begin"/>
                    </w:r>
                    <w:r>
                      <w:instrText xml:space="preserve"> PAGE   \* MERGEFORMAT </w:instrText>
                    </w:r>
                    <w:r>
                      <w:fldChar w:fldCharType="separate"/>
                    </w:r>
                    <w:r>
                      <w:rPr>
                        <w:lang w:val="zh-CN"/>
                      </w:rPr>
                      <w:t>1</w:t>
                    </w:r>
                    <w:r>
                      <w:fldChar w:fldCharType="end"/>
                    </w:r>
                  </w:p>
                </w:txbxContent>
              </v:textbox>
            </v:shape>
          </w:pict>
        </mc:Fallback>
      </mc:AlternateContent>
    </w:r>
  </w:p>
  <w:p w14:paraId="3A69826D">
    <w:pPr>
      <w:pStyle w:val="2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55C1CE">
    <w:pPr>
      <w:pStyle w:val="22"/>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6F6258">
    <w:pPr>
      <w:pStyle w:val="22"/>
      <w:pBdr>
        <w:bottom w:val="none" w:color="auto" w:sz="0" w:space="1"/>
      </w:pBd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6"/>
    <w:multiLevelType w:val="multilevel"/>
    <w:tmpl w:val="00000006"/>
    <w:lvl w:ilvl="0" w:tentative="0">
      <w:start w:val="1"/>
      <w:numFmt w:val="decimal"/>
      <w:lvlText w:val="%1."/>
      <w:legacy w:legacy="1" w:legacySpace="0" w:legacyIndent="425"/>
      <w:lvlJc w:val="left"/>
      <w:pPr>
        <w:ind w:left="425" w:hanging="425"/>
      </w:pPr>
    </w:lvl>
    <w:lvl w:ilvl="1" w:tentative="0">
      <w:start w:val="1"/>
      <w:numFmt w:val="decimal"/>
      <w:lvlText w:val="%1.%2."/>
      <w:legacy w:legacy="1" w:legacySpace="0" w:legacyIndent="425"/>
      <w:lvlJc w:val="left"/>
      <w:pPr>
        <w:ind w:left="850" w:hanging="425"/>
      </w:pPr>
    </w:lvl>
    <w:lvl w:ilvl="2" w:tentative="0">
      <w:start w:val="1"/>
      <w:numFmt w:val="decimal"/>
      <w:lvlText w:val="%1.%2.%3."/>
      <w:legacy w:legacy="1" w:legacySpace="0" w:legacyIndent="425"/>
      <w:lvlJc w:val="left"/>
      <w:pPr>
        <w:ind w:left="1275" w:hanging="425"/>
      </w:pPr>
    </w:lvl>
    <w:lvl w:ilvl="3" w:tentative="0">
      <w:start w:val="1"/>
      <w:numFmt w:val="decimal"/>
      <w:lvlText w:val="%1.%2.%3.%4."/>
      <w:legacy w:legacy="1" w:legacySpace="0" w:legacyIndent="425"/>
      <w:lvlJc w:val="left"/>
      <w:pPr>
        <w:ind w:left="1700" w:hanging="425"/>
      </w:pPr>
    </w:lvl>
    <w:lvl w:ilvl="4" w:tentative="0">
      <w:start w:val="1"/>
      <w:numFmt w:val="decimal"/>
      <w:pStyle w:val="7"/>
      <w:lvlText w:val="%1.%2.%3.%4.%5."/>
      <w:legacy w:legacy="1" w:legacySpace="0" w:legacyIndent="425"/>
      <w:lvlJc w:val="left"/>
      <w:pPr>
        <w:ind w:left="2125" w:hanging="425"/>
      </w:pPr>
    </w:lvl>
    <w:lvl w:ilvl="5" w:tentative="0">
      <w:start w:val="1"/>
      <w:numFmt w:val="decimal"/>
      <w:lvlText w:val="%1.%2.%3.%4.%5.%6."/>
      <w:legacy w:legacy="1" w:legacySpace="0" w:legacyIndent="425"/>
      <w:lvlJc w:val="left"/>
      <w:pPr>
        <w:ind w:left="2550" w:hanging="425"/>
      </w:pPr>
    </w:lvl>
    <w:lvl w:ilvl="6" w:tentative="0">
      <w:start w:val="1"/>
      <w:numFmt w:val="decimal"/>
      <w:lvlText w:val="%1.%2.%3.%4.%5.%6.%7."/>
      <w:legacy w:legacy="1" w:legacySpace="0" w:legacyIndent="425"/>
      <w:lvlJc w:val="left"/>
      <w:pPr>
        <w:ind w:left="2975" w:hanging="425"/>
      </w:pPr>
    </w:lvl>
    <w:lvl w:ilvl="7" w:tentative="0">
      <w:start w:val="1"/>
      <w:numFmt w:val="decimal"/>
      <w:lvlText w:val="%1.%2.%3.%4.%5.%6.%7.%8."/>
      <w:legacy w:legacy="1" w:legacySpace="0" w:legacyIndent="425"/>
      <w:lvlJc w:val="left"/>
      <w:pPr>
        <w:ind w:left="3400" w:hanging="425"/>
      </w:pPr>
    </w:lvl>
    <w:lvl w:ilvl="8" w:tentative="0">
      <w:start w:val="1"/>
      <w:numFmt w:val="decimal"/>
      <w:lvlText w:val="%1.%2.%3.%4.%5.%6.%7.%8.%9."/>
      <w:legacy w:legacy="1" w:legacySpace="0" w:legacyIndent="425"/>
      <w:lvlJc w:val="left"/>
      <w:pPr>
        <w:ind w:left="3825" w:hanging="425"/>
      </w:pPr>
    </w:lvl>
  </w:abstractNum>
  <w:abstractNum w:abstractNumId="1">
    <w:nsid w:val="00000008"/>
    <w:multiLevelType w:val="multilevel"/>
    <w:tmpl w:val="00000008"/>
    <w:lvl w:ilvl="0" w:tentative="0">
      <w:start w:val="1"/>
      <w:numFmt w:val="decimal"/>
      <w:pStyle w:val="3"/>
      <w:lvlText w:val="%1"/>
      <w:lvlJc w:val="left"/>
      <w:pPr>
        <w:tabs>
          <w:tab w:val="left" w:pos="360"/>
        </w:tabs>
        <w:ind w:left="284" w:hanging="284"/>
      </w:pPr>
      <w:rPr>
        <w:rFonts w:hint="default" w:ascii="Times New Roman" w:hAnsi="Times New Roman"/>
        <w:b/>
        <w:i w:val="0"/>
        <w:sz w:val="28"/>
      </w:rPr>
    </w:lvl>
    <w:lvl w:ilvl="1" w:tentative="0">
      <w:start w:val="1"/>
      <w:numFmt w:val="decimal"/>
      <w:pStyle w:val="4"/>
      <w:lvlText w:val="%1.%2"/>
      <w:lvlJc w:val="left"/>
      <w:pPr>
        <w:tabs>
          <w:tab w:val="left" w:pos="1021"/>
        </w:tabs>
        <w:ind w:left="1021" w:hanging="596"/>
      </w:pPr>
      <w:rPr>
        <w:rFonts w:hint="default" w:ascii="Times New Roman" w:hAnsi="Times New Roman"/>
        <w:b/>
        <w:i w:val="0"/>
        <w:sz w:val="28"/>
      </w:rPr>
    </w:lvl>
    <w:lvl w:ilvl="2" w:tentative="0">
      <w:start w:val="1"/>
      <w:numFmt w:val="decimal"/>
      <w:pStyle w:val="5"/>
      <w:lvlText w:val="%1.%2.%3"/>
      <w:lvlJc w:val="left"/>
      <w:pPr>
        <w:tabs>
          <w:tab w:val="left" w:pos="1588"/>
        </w:tabs>
        <w:ind w:left="1588" w:hanging="737"/>
      </w:pPr>
      <w:rPr>
        <w:rFonts w:hint="default" w:ascii="Times New Roman" w:hAnsi="Times New Roman"/>
        <w:b/>
        <w:i w:val="0"/>
        <w:sz w:val="24"/>
      </w:rPr>
    </w:lvl>
    <w:lvl w:ilvl="3" w:tentative="0">
      <w:start w:val="1"/>
      <w:numFmt w:val="decimal"/>
      <w:pStyle w:val="6"/>
      <w:lvlText w:val="%1.%2.%3.%4"/>
      <w:lvlJc w:val="left"/>
      <w:pPr>
        <w:tabs>
          <w:tab w:val="left" w:pos="2155"/>
        </w:tabs>
        <w:ind w:left="2155"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2">
    <w:nsid w:val="0000000E"/>
    <w:multiLevelType w:val="singleLevel"/>
    <w:tmpl w:val="0000000E"/>
    <w:lvl w:ilvl="0" w:tentative="0">
      <w:start w:val="18"/>
      <w:numFmt w:val="decimal"/>
      <w:suff w:val="nothing"/>
      <w:lvlText w:val="%1."/>
      <w:lvlJc w:val="left"/>
    </w:lvl>
  </w:abstractNum>
  <w:abstractNum w:abstractNumId="3">
    <w:nsid w:val="0000000F"/>
    <w:multiLevelType w:val="multilevel"/>
    <w:tmpl w:val="0000000F"/>
    <w:lvl w:ilvl="0" w:tentative="0">
      <w:start w:val="1"/>
      <w:numFmt w:val="decimal"/>
      <w:lvlText w:val="(%1)"/>
      <w:lvlJc w:val="left"/>
      <w:pPr>
        <w:tabs>
          <w:tab w:val="left" w:pos="840"/>
        </w:tabs>
        <w:ind w:left="840" w:hanging="420"/>
      </w:pPr>
      <w:rPr>
        <w:rFonts w:hint="eastAsia"/>
      </w:rPr>
    </w:lvl>
    <w:lvl w:ilvl="1" w:tentative="0">
      <w:start w:val="1"/>
      <w:numFmt w:val="lowerLetter"/>
      <w:pStyle w:val="84"/>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00000011"/>
    <w:multiLevelType w:val="multilevel"/>
    <w:tmpl w:val="00000011"/>
    <w:lvl w:ilvl="0" w:tentative="0">
      <w:start w:val="1"/>
      <w:numFmt w:val="decimal"/>
      <w:lvlText w:val="%1."/>
      <w:lvlJc w:val="left"/>
      <w:pPr>
        <w:tabs>
          <w:tab w:val="left" w:pos="360"/>
        </w:tabs>
        <w:ind w:left="360" w:hanging="360"/>
      </w:pPr>
      <w:rPr>
        <w:rFonts w:hint="default"/>
      </w:rPr>
    </w:lvl>
    <w:lvl w:ilvl="1" w:tentative="0">
      <w:start w:val="1"/>
      <w:numFmt w:val="decimal"/>
      <w:lvlText w:val="%2)"/>
      <w:lvlJc w:val="left"/>
      <w:pPr>
        <w:tabs>
          <w:tab w:val="left" w:pos="840"/>
        </w:tabs>
        <w:ind w:left="840" w:hanging="42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pStyle w:val="329"/>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1F776051"/>
    <w:multiLevelType w:val="multilevel"/>
    <w:tmpl w:val="1F776051"/>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204D65AB"/>
    <w:multiLevelType w:val="multilevel"/>
    <w:tmpl w:val="204D65AB"/>
    <w:lvl w:ilvl="0" w:tentative="0">
      <w:start w:val="1"/>
      <w:numFmt w:val="decimal"/>
      <w:lvlText w:val="%1."/>
      <w:lvlJc w:val="left"/>
      <w:pPr>
        <w:tabs>
          <w:tab w:val="left" w:pos="870"/>
        </w:tabs>
        <w:ind w:left="870" w:hanging="420"/>
      </w:pPr>
    </w:lvl>
    <w:lvl w:ilvl="1" w:tentative="0">
      <w:start w:val="1"/>
      <w:numFmt w:val="decimal"/>
      <w:lvlText w:val="%2)"/>
      <w:lvlJc w:val="left"/>
      <w:pPr>
        <w:tabs>
          <w:tab w:val="left" w:pos="1186"/>
        </w:tabs>
        <w:ind w:left="1186"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356"/>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8">
    <w:nsid w:val="57BF716D"/>
    <w:multiLevelType w:val="multilevel"/>
    <w:tmpl w:val="57BF716D"/>
    <w:lvl w:ilvl="0" w:tentative="0">
      <w:start w:val="1"/>
      <w:numFmt w:val="decimal"/>
      <w:lvlText w:val="%1."/>
      <w:lvlJc w:val="left"/>
      <w:pPr>
        <w:tabs>
          <w:tab w:val="left" w:pos="780"/>
        </w:tabs>
        <w:ind w:left="780" w:hanging="360"/>
      </w:pPr>
      <w:rPr>
        <w:rFonts w:hint="default" w:ascii="宋体" w:hAnsi="宋体"/>
      </w:r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9">
    <w:nsid w:val="5F965495"/>
    <w:multiLevelType w:val="multilevel"/>
    <w:tmpl w:val="5F965495"/>
    <w:lvl w:ilvl="0" w:tentative="0">
      <w:start w:val="1"/>
      <w:numFmt w:val="decimal"/>
      <w:lvlText w:val="%1."/>
      <w:lvlJc w:val="left"/>
      <w:pPr>
        <w:tabs>
          <w:tab w:val="left" w:pos="826"/>
        </w:tabs>
        <w:ind w:left="826" w:hanging="420"/>
      </w:pPr>
    </w:lvl>
    <w:lvl w:ilvl="1" w:tentative="0">
      <w:start w:val="1"/>
      <w:numFmt w:val="lowerLetter"/>
      <w:lvlText w:val="%2)"/>
      <w:lvlJc w:val="left"/>
      <w:pPr>
        <w:tabs>
          <w:tab w:val="left" w:pos="1246"/>
        </w:tabs>
        <w:ind w:left="1246" w:hanging="420"/>
      </w:pPr>
    </w:lvl>
    <w:lvl w:ilvl="2" w:tentative="0">
      <w:start w:val="1"/>
      <w:numFmt w:val="lowerRoman"/>
      <w:lvlText w:val="%3."/>
      <w:lvlJc w:val="right"/>
      <w:pPr>
        <w:tabs>
          <w:tab w:val="left" w:pos="1666"/>
        </w:tabs>
        <w:ind w:left="1666" w:hanging="420"/>
      </w:pPr>
    </w:lvl>
    <w:lvl w:ilvl="3" w:tentative="0">
      <w:start w:val="1"/>
      <w:numFmt w:val="decimal"/>
      <w:lvlText w:val="%4."/>
      <w:lvlJc w:val="left"/>
      <w:pPr>
        <w:tabs>
          <w:tab w:val="left" w:pos="2086"/>
        </w:tabs>
        <w:ind w:left="2086" w:hanging="420"/>
      </w:pPr>
    </w:lvl>
    <w:lvl w:ilvl="4" w:tentative="0">
      <w:start w:val="1"/>
      <w:numFmt w:val="lowerLetter"/>
      <w:lvlText w:val="%5)"/>
      <w:lvlJc w:val="left"/>
      <w:pPr>
        <w:tabs>
          <w:tab w:val="left" w:pos="2506"/>
        </w:tabs>
        <w:ind w:left="2506" w:hanging="420"/>
      </w:pPr>
    </w:lvl>
    <w:lvl w:ilvl="5" w:tentative="0">
      <w:start w:val="1"/>
      <w:numFmt w:val="lowerRoman"/>
      <w:lvlText w:val="%6."/>
      <w:lvlJc w:val="right"/>
      <w:pPr>
        <w:tabs>
          <w:tab w:val="left" w:pos="2926"/>
        </w:tabs>
        <w:ind w:left="2926" w:hanging="420"/>
      </w:pPr>
    </w:lvl>
    <w:lvl w:ilvl="6" w:tentative="0">
      <w:start w:val="1"/>
      <w:numFmt w:val="decimal"/>
      <w:lvlText w:val="%7."/>
      <w:lvlJc w:val="left"/>
      <w:pPr>
        <w:tabs>
          <w:tab w:val="left" w:pos="3346"/>
        </w:tabs>
        <w:ind w:left="3346" w:hanging="420"/>
      </w:pPr>
    </w:lvl>
    <w:lvl w:ilvl="7" w:tentative="0">
      <w:start w:val="1"/>
      <w:numFmt w:val="lowerLetter"/>
      <w:lvlText w:val="%8)"/>
      <w:lvlJc w:val="left"/>
      <w:pPr>
        <w:tabs>
          <w:tab w:val="left" w:pos="3766"/>
        </w:tabs>
        <w:ind w:left="3766" w:hanging="420"/>
      </w:pPr>
    </w:lvl>
    <w:lvl w:ilvl="8" w:tentative="0">
      <w:start w:val="1"/>
      <w:numFmt w:val="lowerRoman"/>
      <w:lvlText w:val="%9."/>
      <w:lvlJc w:val="right"/>
      <w:pPr>
        <w:tabs>
          <w:tab w:val="left" w:pos="4186"/>
        </w:tabs>
        <w:ind w:left="4186" w:hanging="420"/>
      </w:pPr>
    </w:lvl>
  </w:abstractNum>
  <w:abstractNum w:abstractNumId="10">
    <w:nsid w:val="6CE37FED"/>
    <w:multiLevelType w:val="multilevel"/>
    <w:tmpl w:val="6CE37FED"/>
    <w:lvl w:ilvl="0" w:tentative="0">
      <w:start w:val="1"/>
      <w:numFmt w:val="decimal"/>
      <w:lvlText w:val="%1."/>
      <w:lvlJc w:val="left"/>
      <w:pPr>
        <w:tabs>
          <w:tab w:val="left" w:pos="840"/>
        </w:tabs>
        <w:ind w:left="840" w:hanging="420"/>
      </w:p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11">
    <w:nsid w:val="730A21A6"/>
    <w:multiLevelType w:val="multilevel"/>
    <w:tmpl w:val="730A21A6"/>
    <w:lvl w:ilvl="0" w:tentative="0">
      <w:start w:val="1"/>
      <w:numFmt w:val="decimal"/>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7561664A"/>
    <w:multiLevelType w:val="multilevel"/>
    <w:tmpl w:val="7561664A"/>
    <w:lvl w:ilvl="0" w:tentative="0">
      <w:start w:val="1"/>
      <w:numFmt w:val="decimal"/>
      <w:lvlText w:val="%1."/>
      <w:lvlJc w:val="left"/>
      <w:pPr>
        <w:tabs>
          <w:tab w:val="left" w:pos="810"/>
        </w:tabs>
        <w:ind w:left="810" w:hanging="360"/>
      </w:pPr>
      <w:rPr>
        <w:rFonts w:hint="default"/>
      </w:rPr>
    </w:lvl>
    <w:lvl w:ilvl="1" w:tentative="0">
      <w:start w:val="1"/>
      <w:numFmt w:val="decimal"/>
      <w:lvlText w:val="%2、"/>
      <w:lvlJc w:val="left"/>
      <w:pPr>
        <w:tabs>
          <w:tab w:val="left" w:pos="1186"/>
        </w:tabs>
        <w:ind w:left="1186" w:hanging="360"/>
      </w:pPr>
      <w:rPr>
        <w:rFonts w:hint="default"/>
      </w:rPr>
    </w:lvl>
    <w:lvl w:ilvl="2" w:tentative="0">
      <w:start w:val="1"/>
      <w:numFmt w:val="bullet"/>
      <w:lvlText w:val=""/>
      <w:lvlJc w:val="left"/>
      <w:pPr>
        <w:tabs>
          <w:tab w:val="left" w:pos="1606"/>
        </w:tabs>
        <w:ind w:left="1586" w:hanging="340"/>
      </w:pPr>
      <w:rPr>
        <w:rFonts w:hint="default" w:ascii="Wingdings" w:hAnsi="Wingdings"/>
      </w:rPr>
    </w:lvl>
    <w:lvl w:ilvl="3" w:tentative="0">
      <w:start w:val="1"/>
      <w:numFmt w:val="decimal"/>
      <w:lvlText w:val="%4."/>
      <w:lvlJc w:val="left"/>
      <w:pPr>
        <w:tabs>
          <w:tab w:val="left" w:pos="2086"/>
        </w:tabs>
        <w:ind w:left="2086" w:hanging="420"/>
      </w:pPr>
    </w:lvl>
    <w:lvl w:ilvl="4" w:tentative="0">
      <w:start w:val="1"/>
      <w:numFmt w:val="lowerLetter"/>
      <w:lvlText w:val="%5)"/>
      <w:lvlJc w:val="left"/>
      <w:pPr>
        <w:tabs>
          <w:tab w:val="left" w:pos="2506"/>
        </w:tabs>
        <w:ind w:left="2506" w:hanging="420"/>
      </w:pPr>
    </w:lvl>
    <w:lvl w:ilvl="5" w:tentative="0">
      <w:start w:val="1"/>
      <w:numFmt w:val="lowerRoman"/>
      <w:lvlText w:val="%6."/>
      <w:lvlJc w:val="right"/>
      <w:pPr>
        <w:tabs>
          <w:tab w:val="left" w:pos="2926"/>
        </w:tabs>
        <w:ind w:left="2926" w:hanging="420"/>
      </w:pPr>
    </w:lvl>
    <w:lvl w:ilvl="6" w:tentative="0">
      <w:start w:val="1"/>
      <w:numFmt w:val="decimal"/>
      <w:lvlText w:val="%7."/>
      <w:lvlJc w:val="left"/>
      <w:pPr>
        <w:tabs>
          <w:tab w:val="left" w:pos="3346"/>
        </w:tabs>
        <w:ind w:left="3346" w:hanging="420"/>
      </w:pPr>
    </w:lvl>
    <w:lvl w:ilvl="7" w:tentative="0">
      <w:start w:val="1"/>
      <w:numFmt w:val="lowerLetter"/>
      <w:lvlText w:val="%8)"/>
      <w:lvlJc w:val="left"/>
      <w:pPr>
        <w:tabs>
          <w:tab w:val="left" w:pos="3766"/>
        </w:tabs>
        <w:ind w:left="3766" w:hanging="420"/>
      </w:pPr>
    </w:lvl>
    <w:lvl w:ilvl="8" w:tentative="0">
      <w:start w:val="1"/>
      <w:numFmt w:val="lowerRoman"/>
      <w:lvlText w:val="%9."/>
      <w:lvlJc w:val="right"/>
      <w:pPr>
        <w:tabs>
          <w:tab w:val="left" w:pos="4186"/>
        </w:tabs>
        <w:ind w:left="4186" w:hanging="420"/>
      </w:pPr>
    </w:lvl>
  </w:abstractNum>
  <w:abstractNum w:abstractNumId="13">
    <w:nsid w:val="7938300D"/>
    <w:multiLevelType w:val="multilevel"/>
    <w:tmpl w:val="7938300D"/>
    <w:lvl w:ilvl="0" w:tentative="0">
      <w:start w:val="2"/>
      <w:numFmt w:val="decimal"/>
      <w:lvlText w:val="%1、"/>
      <w:lvlJc w:val="left"/>
      <w:pPr>
        <w:tabs>
          <w:tab w:val="left" w:pos="360"/>
        </w:tabs>
        <w:ind w:left="360" w:hanging="36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1"/>
  </w:num>
  <w:num w:numId="2">
    <w:abstractNumId w:val="0"/>
  </w:num>
  <w:num w:numId="3">
    <w:abstractNumId w:val="3"/>
  </w:num>
  <w:num w:numId="4">
    <w:abstractNumId w:val="4"/>
  </w:num>
  <w:num w:numId="5">
    <w:abstractNumId w:val="7"/>
  </w:num>
  <w:num w:numId="6">
    <w:abstractNumId w:val="2"/>
  </w:num>
  <w:num w:numId="7">
    <w:abstractNumId w:val="13"/>
  </w:num>
  <w:num w:numId="8">
    <w:abstractNumId w:val="12"/>
  </w:num>
  <w:num w:numId="9">
    <w:abstractNumId w:val="8"/>
  </w:num>
  <w:num w:numId="10">
    <w:abstractNumId w:val="9"/>
  </w:num>
  <w:num w:numId="11">
    <w:abstractNumId w:val="10"/>
  </w:num>
  <w:num w:numId="12">
    <w:abstractNumId w:val="6"/>
  </w:num>
  <w:num w:numId="13">
    <w:abstractNumId w:val="11"/>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hideSpellingErrors/>
  <w:documentProtection w:enforcement="0"/>
  <w:defaultTabStop w:val="420"/>
  <w:drawingGridHorizontalSpacing w:val="105"/>
  <w:drawingGridVerticalSpacing w:val="331"/>
  <w:displayHorizontalDrawingGridEvery w:val="1"/>
  <w:displayVerticalDrawingGridEvery w:val="1"/>
  <w:doNotShadeFormData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liMDkyMDhiODM4MTZiODVhNDMwNjc3ZjgyNWJlOGEifQ=="/>
    <w:docVar w:name="KSO_WPS_MARK_KEY" w:val="fa5411ad-8331-4f7d-9bd0-819ed7522a46"/>
  </w:docVars>
  <w:rsids>
    <w:rsidRoot w:val="00172A27"/>
    <w:rsid w:val="0000103B"/>
    <w:rsid w:val="000031E9"/>
    <w:rsid w:val="00004CC6"/>
    <w:rsid w:val="000058FC"/>
    <w:rsid w:val="00005EE6"/>
    <w:rsid w:val="00011C68"/>
    <w:rsid w:val="000129FE"/>
    <w:rsid w:val="0001552D"/>
    <w:rsid w:val="00016CDA"/>
    <w:rsid w:val="000174B5"/>
    <w:rsid w:val="0002062D"/>
    <w:rsid w:val="00021549"/>
    <w:rsid w:val="00021B8B"/>
    <w:rsid w:val="00021C0E"/>
    <w:rsid w:val="00022B4D"/>
    <w:rsid w:val="00024992"/>
    <w:rsid w:val="00025655"/>
    <w:rsid w:val="00025B7E"/>
    <w:rsid w:val="00025EC8"/>
    <w:rsid w:val="00025F47"/>
    <w:rsid w:val="00026092"/>
    <w:rsid w:val="000270F5"/>
    <w:rsid w:val="00027984"/>
    <w:rsid w:val="00035D7D"/>
    <w:rsid w:val="00037064"/>
    <w:rsid w:val="0003721B"/>
    <w:rsid w:val="00037354"/>
    <w:rsid w:val="00041615"/>
    <w:rsid w:val="00041CCD"/>
    <w:rsid w:val="00041CD4"/>
    <w:rsid w:val="000434F3"/>
    <w:rsid w:val="0004378B"/>
    <w:rsid w:val="00043E58"/>
    <w:rsid w:val="0004495E"/>
    <w:rsid w:val="000450E8"/>
    <w:rsid w:val="000454C8"/>
    <w:rsid w:val="000455BE"/>
    <w:rsid w:val="000460CE"/>
    <w:rsid w:val="00046B89"/>
    <w:rsid w:val="00052567"/>
    <w:rsid w:val="00053174"/>
    <w:rsid w:val="0005341A"/>
    <w:rsid w:val="000547B4"/>
    <w:rsid w:val="00054C2F"/>
    <w:rsid w:val="000557B5"/>
    <w:rsid w:val="00055A5E"/>
    <w:rsid w:val="00056B76"/>
    <w:rsid w:val="00056B8D"/>
    <w:rsid w:val="00057B63"/>
    <w:rsid w:val="00060767"/>
    <w:rsid w:val="00060938"/>
    <w:rsid w:val="00064207"/>
    <w:rsid w:val="00065825"/>
    <w:rsid w:val="00067876"/>
    <w:rsid w:val="000708B4"/>
    <w:rsid w:val="00071944"/>
    <w:rsid w:val="0007322E"/>
    <w:rsid w:val="000734E5"/>
    <w:rsid w:val="00075CFB"/>
    <w:rsid w:val="00077097"/>
    <w:rsid w:val="00080147"/>
    <w:rsid w:val="00082DC3"/>
    <w:rsid w:val="00082E5A"/>
    <w:rsid w:val="00084620"/>
    <w:rsid w:val="00085774"/>
    <w:rsid w:val="000862BE"/>
    <w:rsid w:val="0008747C"/>
    <w:rsid w:val="00087B24"/>
    <w:rsid w:val="00087CE4"/>
    <w:rsid w:val="00090E9F"/>
    <w:rsid w:val="00090EDA"/>
    <w:rsid w:val="00091EE3"/>
    <w:rsid w:val="00092DEF"/>
    <w:rsid w:val="00093FE7"/>
    <w:rsid w:val="0009605E"/>
    <w:rsid w:val="00096DC1"/>
    <w:rsid w:val="00096FC1"/>
    <w:rsid w:val="00097175"/>
    <w:rsid w:val="000A1643"/>
    <w:rsid w:val="000B0985"/>
    <w:rsid w:val="000B0991"/>
    <w:rsid w:val="000B420B"/>
    <w:rsid w:val="000B4B02"/>
    <w:rsid w:val="000B6FBB"/>
    <w:rsid w:val="000C3EC4"/>
    <w:rsid w:val="000C4574"/>
    <w:rsid w:val="000C4E8E"/>
    <w:rsid w:val="000C5390"/>
    <w:rsid w:val="000D25C1"/>
    <w:rsid w:val="000D7E04"/>
    <w:rsid w:val="000E0D9D"/>
    <w:rsid w:val="000E2D31"/>
    <w:rsid w:val="000E2F42"/>
    <w:rsid w:val="000E3693"/>
    <w:rsid w:val="000E4487"/>
    <w:rsid w:val="000E5EDE"/>
    <w:rsid w:val="000E6BB1"/>
    <w:rsid w:val="000E742B"/>
    <w:rsid w:val="000F06B5"/>
    <w:rsid w:val="000F5EB7"/>
    <w:rsid w:val="000F669F"/>
    <w:rsid w:val="000F6AA2"/>
    <w:rsid w:val="000F6BA1"/>
    <w:rsid w:val="000F6C5D"/>
    <w:rsid w:val="001014CF"/>
    <w:rsid w:val="001016B0"/>
    <w:rsid w:val="00101E88"/>
    <w:rsid w:val="00104250"/>
    <w:rsid w:val="0010466E"/>
    <w:rsid w:val="001047A5"/>
    <w:rsid w:val="0011206F"/>
    <w:rsid w:val="00113AC4"/>
    <w:rsid w:val="00114052"/>
    <w:rsid w:val="00116352"/>
    <w:rsid w:val="00116598"/>
    <w:rsid w:val="001176F5"/>
    <w:rsid w:val="001207B3"/>
    <w:rsid w:val="001219DF"/>
    <w:rsid w:val="0012397B"/>
    <w:rsid w:val="00124A52"/>
    <w:rsid w:val="00125907"/>
    <w:rsid w:val="00126007"/>
    <w:rsid w:val="00127249"/>
    <w:rsid w:val="0013207F"/>
    <w:rsid w:val="00133C96"/>
    <w:rsid w:val="001346F1"/>
    <w:rsid w:val="00134A5E"/>
    <w:rsid w:val="00134ADD"/>
    <w:rsid w:val="00134C23"/>
    <w:rsid w:val="00136A58"/>
    <w:rsid w:val="00137BFE"/>
    <w:rsid w:val="00141A81"/>
    <w:rsid w:val="00143116"/>
    <w:rsid w:val="00144ACD"/>
    <w:rsid w:val="00146736"/>
    <w:rsid w:val="001524C0"/>
    <w:rsid w:val="001562FD"/>
    <w:rsid w:val="001570AB"/>
    <w:rsid w:val="00157BBC"/>
    <w:rsid w:val="00160319"/>
    <w:rsid w:val="00160C26"/>
    <w:rsid w:val="00160FB2"/>
    <w:rsid w:val="00163365"/>
    <w:rsid w:val="001660BE"/>
    <w:rsid w:val="0016615C"/>
    <w:rsid w:val="00166444"/>
    <w:rsid w:val="00167CFF"/>
    <w:rsid w:val="001712EB"/>
    <w:rsid w:val="001713CD"/>
    <w:rsid w:val="00172A27"/>
    <w:rsid w:val="00174369"/>
    <w:rsid w:val="0017571C"/>
    <w:rsid w:val="001764A3"/>
    <w:rsid w:val="0017687F"/>
    <w:rsid w:val="00177EDE"/>
    <w:rsid w:val="00180A58"/>
    <w:rsid w:val="00181538"/>
    <w:rsid w:val="00182954"/>
    <w:rsid w:val="0018436B"/>
    <w:rsid w:val="00187ED5"/>
    <w:rsid w:val="0019549C"/>
    <w:rsid w:val="00195C5C"/>
    <w:rsid w:val="0019710B"/>
    <w:rsid w:val="00197763"/>
    <w:rsid w:val="001A1223"/>
    <w:rsid w:val="001A1AE4"/>
    <w:rsid w:val="001A2A9B"/>
    <w:rsid w:val="001A440C"/>
    <w:rsid w:val="001A4C01"/>
    <w:rsid w:val="001A51D5"/>
    <w:rsid w:val="001A5762"/>
    <w:rsid w:val="001A6B1D"/>
    <w:rsid w:val="001A7FE4"/>
    <w:rsid w:val="001B0AB8"/>
    <w:rsid w:val="001B4A9E"/>
    <w:rsid w:val="001B5CAD"/>
    <w:rsid w:val="001B641B"/>
    <w:rsid w:val="001C0C50"/>
    <w:rsid w:val="001C1ABF"/>
    <w:rsid w:val="001C238B"/>
    <w:rsid w:val="001C3CCC"/>
    <w:rsid w:val="001C3E77"/>
    <w:rsid w:val="001C40C4"/>
    <w:rsid w:val="001C4DF3"/>
    <w:rsid w:val="001C578D"/>
    <w:rsid w:val="001C58FE"/>
    <w:rsid w:val="001C75CF"/>
    <w:rsid w:val="001D1364"/>
    <w:rsid w:val="001D19A6"/>
    <w:rsid w:val="001D2047"/>
    <w:rsid w:val="001D56D3"/>
    <w:rsid w:val="001D57F7"/>
    <w:rsid w:val="001D6C88"/>
    <w:rsid w:val="001E0A5D"/>
    <w:rsid w:val="001E1A69"/>
    <w:rsid w:val="001E20EB"/>
    <w:rsid w:val="001E44CE"/>
    <w:rsid w:val="001E7DA6"/>
    <w:rsid w:val="001F0768"/>
    <w:rsid w:val="001F1042"/>
    <w:rsid w:val="001F4832"/>
    <w:rsid w:val="001F57E6"/>
    <w:rsid w:val="001F60D3"/>
    <w:rsid w:val="001F67BF"/>
    <w:rsid w:val="001F7671"/>
    <w:rsid w:val="00200B11"/>
    <w:rsid w:val="00200FCD"/>
    <w:rsid w:val="002036BD"/>
    <w:rsid w:val="00204BC6"/>
    <w:rsid w:val="002054C2"/>
    <w:rsid w:val="00205D31"/>
    <w:rsid w:val="002064AC"/>
    <w:rsid w:val="00206EC3"/>
    <w:rsid w:val="00207D00"/>
    <w:rsid w:val="002145FA"/>
    <w:rsid w:val="002172DE"/>
    <w:rsid w:val="00217C16"/>
    <w:rsid w:val="00222B6E"/>
    <w:rsid w:val="00223C1B"/>
    <w:rsid w:val="00225CDA"/>
    <w:rsid w:val="0022721C"/>
    <w:rsid w:val="00230B60"/>
    <w:rsid w:val="002324D0"/>
    <w:rsid w:val="00232F32"/>
    <w:rsid w:val="0023393D"/>
    <w:rsid w:val="00235416"/>
    <w:rsid w:val="00237AC4"/>
    <w:rsid w:val="00241753"/>
    <w:rsid w:val="0024211B"/>
    <w:rsid w:val="00242A93"/>
    <w:rsid w:val="002439DE"/>
    <w:rsid w:val="00243BE3"/>
    <w:rsid w:val="002453FD"/>
    <w:rsid w:val="00245DB1"/>
    <w:rsid w:val="00251F6C"/>
    <w:rsid w:val="0025409A"/>
    <w:rsid w:val="00256350"/>
    <w:rsid w:val="002565ED"/>
    <w:rsid w:val="0026138C"/>
    <w:rsid w:val="00261622"/>
    <w:rsid w:val="00262D2A"/>
    <w:rsid w:val="00264DB5"/>
    <w:rsid w:val="00265DF2"/>
    <w:rsid w:val="00267246"/>
    <w:rsid w:val="0027041F"/>
    <w:rsid w:val="00271145"/>
    <w:rsid w:val="00271562"/>
    <w:rsid w:val="002725FA"/>
    <w:rsid w:val="00272777"/>
    <w:rsid w:val="002741DF"/>
    <w:rsid w:val="002763E0"/>
    <w:rsid w:val="00277026"/>
    <w:rsid w:val="00277A9D"/>
    <w:rsid w:val="0028222B"/>
    <w:rsid w:val="00282F51"/>
    <w:rsid w:val="002841AE"/>
    <w:rsid w:val="0029080B"/>
    <w:rsid w:val="00292984"/>
    <w:rsid w:val="00293626"/>
    <w:rsid w:val="00294B9E"/>
    <w:rsid w:val="00295C03"/>
    <w:rsid w:val="002965A0"/>
    <w:rsid w:val="002A36E4"/>
    <w:rsid w:val="002A71DA"/>
    <w:rsid w:val="002B1069"/>
    <w:rsid w:val="002B7F62"/>
    <w:rsid w:val="002C0ADE"/>
    <w:rsid w:val="002C0E37"/>
    <w:rsid w:val="002C6057"/>
    <w:rsid w:val="002D1213"/>
    <w:rsid w:val="002D12C5"/>
    <w:rsid w:val="002D3DFD"/>
    <w:rsid w:val="002D43AD"/>
    <w:rsid w:val="002D43F0"/>
    <w:rsid w:val="002D7C8B"/>
    <w:rsid w:val="002E0777"/>
    <w:rsid w:val="002E0CF3"/>
    <w:rsid w:val="002E0D55"/>
    <w:rsid w:val="002E1D72"/>
    <w:rsid w:val="002E2233"/>
    <w:rsid w:val="002E5209"/>
    <w:rsid w:val="002E6A4A"/>
    <w:rsid w:val="002F0B3F"/>
    <w:rsid w:val="002F21D5"/>
    <w:rsid w:val="002F2592"/>
    <w:rsid w:val="002F3EAE"/>
    <w:rsid w:val="002F4A31"/>
    <w:rsid w:val="002F58ED"/>
    <w:rsid w:val="00301E56"/>
    <w:rsid w:val="00302EA2"/>
    <w:rsid w:val="00302FD2"/>
    <w:rsid w:val="00303463"/>
    <w:rsid w:val="00305871"/>
    <w:rsid w:val="00307094"/>
    <w:rsid w:val="00307A82"/>
    <w:rsid w:val="00307AEC"/>
    <w:rsid w:val="00311A0E"/>
    <w:rsid w:val="00312F84"/>
    <w:rsid w:val="00314310"/>
    <w:rsid w:val="00314A23"/>
    <w:rsid w:val="00317D8E"/>
    <w:rsid w:val="00320552"/>
    <w:rsid w:val="0032226B"/>
    <w:rsid w:val="0032233E"/>
    <w:rsid w:val="0032379F"/>
    <w:rsid w:val="00324CA6"/>
    <w:rsid w:val="00325BA6"/>
    <w:rsid w:val="0032776A"/>
    <w:rsid w:val="003317B7"/>
    <w:rsid w:val="00331A2B"/>
    <w:rsid w:val="00333332"/>
    <w:rsid w:val="00334C9D"/>
    <w:rsid w:val="00336C0E"/>
    <w:rsid w:val="00337C70"/>
    <w:rsid w:val="0034060E"/>
    <w:rsid w:val="003445B7"/>
    <w:rsid w:val="0034688A"/>
    <w:rsid w:val="003507DA"/>
    <w:rsid w:val="00351EED"/>
    <w:rsid w:val="00353CA9"/>
    <w:rsid w:val="00360447"/>
    <w:rsid w:val="0036081A"/>
    <w:rsid w:val="003628A0"/>
    <w:rsid w:val="00363482"/>
    <w:rsid w:val="00364406"/>
    <w:rsid w:val="00364B8F"/>
    <w:rsid w:val="0036776D"/>
    <w:rsid w:val="003677A9"/>
    <w:rsid w:val="00367B75"/>
    <w:rsid w:val="00371CBE"/>
    <w:rsid w:val="00372A69"/>
    <w:rsid w:val="00373723"/>
    <w:rsid w:val="00374D4C"/>
    <w:rsid w:val="003755C7"/>
    <w:rsid w:val="003774C4"/>
    <w:rsid w:val="00380954"/>
    <w:rsid w:val="003810A2"/>
    <w:rsid w:val="00382E0D"/>
    <w:rsid w:val="00382F18"/>
    <w:rsid w:val="00390692"/>
    <w:rsid w:val="00392D63"/>
    <w:rsid w:val="003939E0"/>
    <w:rsid w:val="003A034F"/>
    <w:rsid w:val="003A20D4"/>
    <w:rsid w:val="003B1752"/>
    <w:rsid w:val="003B3205"/>
    <w:rsid w:val="003B34FC"/>
    <w:rsid w:val="003B7C92"/>
    <w:rsid w:val="003C27DA"/>
    <w:rsid w:val="003C3578"/>
    <w:rsid w:val="003C74B1"/>
    <w:rsid w:val="003D0DC1"/>
    <w:rsid w:val="003D0FAF"/>
    <w:rsid w:val="003D33CE"/>
    <w:rsid w:val="003D3C00"/>
    <w:rsid w:val="003D4151"/>
    <w:rsid w:val="003D41D1"/>
    <w:rsid w:val="003D7B72"/>
    <w:rsid w:val="003E0AB8"/>
    <w:rsid w:val="003E4E77"/>
    <w:rsid w:val="003E6AE2"/>
    <w:rsid w:val="003E7561"/>
    <w:rsid w:val="003F043B"/>
    <w:rsid w:val="003F3840"/>
    <w:rsid w:val="003F3EB5"/>
    <w:rsid w:val="003F48C9"/>
    <w:rsid w:val="003F64AA"/>
    <w:rsid w:val="003F6B27"/>
    <w:rsid w:val="00400C03"/>
    <w:rsid w:val="004029D6"/>
    <w:rsid w:val="00402E47"/>
    <w:rsid w:val="004053E4"/>
    <w:rsid w:val="0041103C"/>
    <w:rsid w:val="004141AA"/>
    <w:rsid w:val="00415876"/>
    <w:rsid w:val="004228DD"/>
    <w:rsid w:val="0042308A"/>
    <w:rsid w:val="00423869"/>
    <w:rsid w:val="004243A6"/>
    <w:rsid w:val="00424598"/>
    <w:rsid w:val="0042586A"/>
    <w:rsid w:val="00426EAC"/>
    <w:rsid w:val="00427CD4"/>
    <w:rsid w:val="00432155"/>
    <w:rsid w:val="00432BDE"/>
    <w:rsid w:val="00433665"/>
    <w:rsid w:val="004352F4"/>
    <w:rsid w:val="004363DE"/>
    <w:rsid w:val="004408C2"/>
    <w:rsid w:val="0044215A"/>
    <w:rsid w:val="00442F16"/>
    <w:rsid w:val="00443F07"/>
    <w:rsid w:val="00444FE3"/>
    <w:rsid w:val="004453FA"/>
    <w:rsid w:val="00445E48"/>
    <w:rsid w:val="004464A6"/>
    <w:rsid w:val="0045072D"/>
    <w:rsid w:val="00454EF8"/>
    <w:rsid w:val="00460293"/>
    <w:rsid w:val="00460FAB"/>
    <w:rsid w:val="00466164"/>
    <w:rsid w:val="004677BE"/>
    <w:rsid w:val="00471CF2"/>
    <w:rsid w:val="004749DE"/>
    <w:rsid w:val="004750F4"/>
    <w:rsid w:val="004761BA"/>
    <w:rsid w:val="00483255"/>
    <w:rsid w:val="00484237"/>
    <w:rsid w:val="004855E7"/>
    <w:rsid w:val="0048678F"/>
    <w:rsid w:val="00487FC9"/>
    <w:rsid w:val="00491C29"/>
    <w:rsid w:val="00493655"/>
    <w:rsid w:val="00493F3A"/>
    <w:rsid w:val="0049728B"/>
    <w:rsid w:val="004A15C5"/>
    <w:rsid w:val="004A53AF"/>
    <w:rsid w:val="004B0EB0"/>
    <w:rsid w:val="004B180E"/>
    <w:rsid w:val="004B6B0F"/>
    <w:rsid w:val="004B7250"/>
    <w:rsid w:val="004C0DAD"/>
    <w:rsid w:val="004C4401"/>
    <w:rsid w:val="004C64D7"/>
    <w:rsid w:val="004D1367"/>
    <w:rsid w:val="004D1A08"/>
    <w:rsid w:val="004D4153"/>
    <w:rsid w:val="004D4412"/>
    <w:rsid w:val="004D7A84"/>
    <w:rsid w:val="004D7C0A"/>
    <w:rsid w:val="004E090F"/>
    <w:rsid w:val="004E1EB7"/>
    <w:rsid w:val="004E237E"/>
    <w:rsid w:val="004E2978"/>
    <w:rsid w:val="004E2CDE"/>
    <w:rsid w:val="004E3290"/>
    <w:rsid w:val="004E3AF3"/>
    <w:rsid w:val="004E4F6B"/>
    <w:rsid w:val="004E7BED"/>
    <w:rsid w:val="004F0023"/>
    <w:rsid w:val="004F0B49"/>
    <w:rsid w:val="004F28EA"/>
    <w:rsid w:val="004F3F7B"/>
    <w:rsid w:val="004F4399"/>
    <w:rsid w:val="004F442A"/>
    <w:rsid w:val="004F5D33"/>
    <w:rsid w:val="004F7334"/>
    <w:rsid w:val="00504AB8"/>
    <w:rsid w:val="00507EB6"/>
    <w:rsid w:val="00510158"/>
    <w:rsid w:val="00511409"/>
    <w:rsid w:val="005126FB"/>
    <w:rsid w:val="00512FE8"/>
    <w:rsid w:val="005133AA"/>
    <w:rsid w:val="00514B1B"/>
    <w:rsid w:val="00514EE9"/>
    <w:rsid w:val="00515A7C"/>
    <w:rsid w:val="00515AED"/>
    <w:rsid w:val="00521502"/>
    <w:rsid w:val="00524E1C"/>
    <w:rsid w:val="00525672"/>
    <w:rsid w:val="005261B6"/>
    <w:rsid w:val="00531D5A"/>
    <w:rsid w:val="005324CE"/>
    <w:rsid w:val="00533182"/>
    <w:rsid w:val="00533DD5"/>
    <w:rsid w:val="00533EDD"/>
    <w:rsid w:val="00534023"/>
    <w:rsid w:val="00534BD7"/>
    <w:rsid w:val="00534BDC"/>
    <w:rsid w:val="00534CEF"/>
    <w:rsid w:val="00535F58"/>
    <w:rsid w:val="0053740D"/>
    <w:rsid w:val="00537B07"/>
    <w:rsid w:val="005411A5"/>
    <w:rsid w:val="0054271C"/>
    <w:rsid w:val="00543308"/>
    <w:rsid w:val="00543ECB"/>
    <w:rsid w:val="005530CF"/>
    <w:rsid w:val="00554F08"/>
    <w:rsid w:val="00555167"/>
    <w:rsid w:val="00557570"/>
    <w:rsid w:val="00561402"/>
    <w:rsid w:val="005616FA"/>
    <w:rsid w:val="005619BA"/>
    <w:rsid w:val="0056264C"/>
    <w:rsid w:val="00562769"/>
    <w:rsid w:val="005632BD"/>
    <w:rsid w:val="005635AB"/>
    <w:rsid w:val="00565C7F"/>
    <w:rsid w:val="005661B8"/>
    <w:rsid w:val="005670FD"/>
    <w:rsid w:val="005725C6"/>
    <w:rsid w:val="00574038"/>
    <w:rsid w:val="00577486"/>
    <w:rsid w:val="0058023A"/>
    <w:rsid w:val="00582FDB"/>
    <w:rsid w:val="005830FE"/>
    <w:rsid w:val="005832C3"/>
    <w:rsid w:val="00583A63"/>
    <w:rsid w:val="00584263"/>
    <w:rsid w:val="005859B3"/>
    <w:rsid w:val="0058616B"/>
    <w:rsid w:val="005875D3"/>
    <w:rsid w:val="00590B5C"/>
    <w:rsid w:val="00591AE0"/>
    <w:rsid w:val="005931AE"/>
    <w:rsid w:val="00593481"/>
    <w:rsid w:val="005937B8"/>
    <w:rsid w:val="00594141"/>
    <w:rsid w:val="0059509E"/>
    <w:rsid w:val="00595196"/>
    <w:rsid w:val="00597475"/>
    <w:rsid w:val="005A099B"/>
    <w:rsid w:val="005A3A53"/>
    <w:rsid w:val="005A7203"/>
    <w:rsid w:val="005A7384"/>
    <w:rsid w:val="005A7B6A"/>
    <w:rsid w:val="005B0B44"/>
    <w:rsid w:val="005B0C70"/>
    <w:rsid w:val="005B1596"/>
    <w:rsid w:val="005B2419"/>
    <w:rsid w:val="005B4BA4"/>
    <w:rsid w:val="005B5ABC"/>
    <w:rsid w:val="005B69CC"/>
    <w:rsid w:val="005B6D74"/>
    <w:rsid w:val="005C3732"/>
    <w:rsid w:val="005C441A"/>
    <w:rsid w:val="005C5A7C"/>
    <w:rsid w:val="005C6102"/>
    <w:rsid w:val="005C67AD"/>
    <w:rsid w:val="005D2261"/>
    <w:rsid w:val="005D3646"/>
    <w:rsid w:val="005D40B1"/>
    <w:rsid w:val="005D45C0"/>
    <w:rsid w:val="005D5502"/>
    <w:rsid w:val="005E0285"/>
    <w:rsid w:val="005E1BBB"/>
    <w:rsid w:val="005E2BEA"/>
    <w:rsid w:val="005E41CE"/>
    <w:rsid w:val="005E634D"/>
    <w:rsid w:val="005F0CF5"/>
    <w:rsid w:val="005F27A7"/>
    <w:rsid w:val="005F3312"/>
    <w:rsid w:val="005F4BD0"/>
    <w:rsid w:val="005F5717"/>
    <w:rsid w:val="005F6A1C"/>
    <w:rsid w:val="005F6CB4"/>
    <w:rsid w:val="00601E75"/>
    <w:rsid w:val="006025E8"/>
    <w:rsid w:val="006037EE"/>
    <w:rsid w:val="006065DF"/>
    <w:rsid w:val="0060758E"/>
    <w:rsid w:val="00610957"/>
    <w:rsid w:val="0061403A"/>
    <w:rsid w:val="006144AB"/>
    <w:rsid w:val="00615554"/>
    <w:rsid w:val="00615F58"/>
    <w:rsid w:val="00616D20"/>
    <w:rsid w:val="00620214"/>
    <w:rsid w:val="00620918"/>
    <w:rsid w:val="00622E88"/>
    <w:rsid w:val="006255CE"/>
    <w:rsid w:val="00630F07"/>
    <w:rsid w:val="00633CBA"/>
    <w:rsid w:val="00634F66"/>
    <w:rsid w:val="006350D2"/>
    <w:rsid w:val="00636314"/>
    <w:rsid w:val="00636FB4"/>
    <w:rsid w:val="00640CE0"/>
    <w:rsid w:val="00643CBC"/>
    <w:rsid w:val="006444E9"/>
    <w:rsid w:val="006459F8"/>
    <w:rsid w:val="006462DE"/>
    <w:rsid w:val="006506C7"/>
    <w:rsid w:val="00650E5A"/>
    <w:rsid w:val="00651AFC"/>
    <w:rsid w:val="006546AB"/>
    <w:rsid w:val="00654735"/>
    <w:rsid w:val="00655AB8"/>
    <w:rsid w:val="00656881"/>
    <w:rsid w:val="00656A9B"/>
    <w:rsid w:val="00657809"/>
    <w:rsid w:val="00662064"/>
    <w:rsid w:val="006661B1"/>
    <w:rsid w:val="006677E5"/>
    <w:rsid w:val="00667D48"/>
    <w:rsid w:val="00667EAE"/>
    <w:rsid w:val="00670A51"/>
    <w:rsid w:val="00673E01"/>
    <w:rsid w:val="00674995"/>
    <w:rsid w:val="0068036D"/>
    <w:rsid w:val="006813B3"/>
    <w:rsid w:val="006817C6"/>
    <w:rsid w:val="00682420"/>
    <w:rsid w:val="00684131"/>
    <w:rsid w:val="00684D20"/>
    <w:rsid w:val="006855ED"/>
    <w:rsid w:val="0069034C"/>
    <w:rsid w:val="0069360F"/>
    <w:rsid w:val="006950C5"/>
    <w:rsid w:val="0069666D"/>
    <w:rsid w:val="006A119A"/>
    <w:rsid w:val="006A2CDE"/>
    <w:rsid w:val="006A303E"/>
    <w:rsid w:val="006A359B"/>
    <w:rsid w:val="006A53B4"/>
    <w:rsid w:val="006A558F"/>
    <w:rsid w:val="006B0989"/>
    <w:rsid w:val="006B1E9E"/>
    <w:rsid w:val="006B26ED"/>
    <w:rsid w:val="006B2DBB"/>
    <w:rsid w:val="006B3541"/>
    <w:rsid w:val="006B3C96"/>
    <w:rsid w:val="006B4084"/>
    <w:rsid w:val="006B52E8"/>
    <w:rsid w:val="006B5739"/>
    <w:rsid w:val="006B7A6B"/>
    <w:rsid w:val="006C099C"/>
    <w:rsid w:val="006C5778"/>
    <w:rsid w:val="006C70EC"/>
    <w:rsid w:val="006C7FFB"/>
    <w:rsid w:val="006D0B96"/>
    <w:rsid w:val="006D2A2B"/>
    <w:rsid w:val="006D36A9"/>
    <w:rsid w:val="006D5475"/>
    <w:rsid w:val="006D5FAB"/>
    <w:rsid w:val="006E16B6"/>
    <w:rsid w:val="006E1829"/>
    <w:rsid w:val="006E1971"/>
    <w:rsid w:val="006E2883"/>
    <w:rsid w:val="006E2DA5"/>
    <w:rsid w:val="006E354B"/>
    <w:rsid w:val="006E44CD"/>
    <w:rsid w:val="006E4DFE"/>
    <w:rsid w:val="006E7061"/>
    <w:rsid w:val="006E71E6"/>
    <w:rsid w:val="006F217A"/>
    <w:rsid w:val="006F3A86"/>
    <w:rsid w:val="006F5E8B"/>
    <w:rsid w:val="006F79AF"/>
    <w:rsid w:val="00701062"/>
    <w:rsid w:val="00706507"/>
    <w:rsid w:val="00706CB9"/>
    <w:rsid w:val="00706F93"/>
    <w:rsid w:val="00711A01"/>
    <w:rsid w:val="0071215D"/>
    <w:rsid w:val="007158F8"/>
    <w:rsid w:val="00715B59"/>
    <w:rsid w:val="00716331"/>
    <w:rsid w:val="00724D51"/>
    <w:rsid w:val="00725545"/>
    <w:rsid w:val="007271A1"/>
    <w:rsid w:val="00730896"/>
    <w:rsid w:val="00730982"/>
    <w:rsid w:val="00732461"/>
    <w:rsid w:val="007327FE"/>
    <w:rsid w:val="00732B8F"/>
    <w:rsid w:val="00732C72"/>
    <w:rsid w:val="00734B34"/>
    <w:rsid w:val="007374A2"/>
    <w:rsid w:val="0074366F"/>
    <w:rsid w:val="0074699C"/>
    <w:rsid w:val="00750A2B"/>
    <w:rsid w:val="00752E95"/>
    <w:rsid w:val="007531B7"/>
    <w:rsid w:val="007562B3"/>
    <w:rsid w:val="007615FB"/>
    <w:rsid w:val="00762CC1"/>
    <w:rsid w:val="00763850"/>
    <w:rsid w:val="007653CA"/>
    <w:rsid w:val="00765E1F"/>
    <w:rsid w:val="00767F62"/>
    <w:rsid w:val="00770D7A"/>
    <w:rsid w:val="0077108E"/>
    <w:rsid w:val="0077146F"/>
    <w:rsid w:val="00771945"/>
    <w:rsid w:val="00771FBB"/>
    <w:rsid w:val="00772198"/>
    <w:rsid w:val="00775DBB"/>
    <w:rsid w:val="00775F00"/>
    <w:rsid w:val="00781DD5"/>
    <w:rsid w:val="0078210C"/>
    <w:rsid w:val="0078232C"/>
    <w:rsid w:val="00784133"/>
    <w:rsid w:val="007859D5"/>
    <w:rsid w:val="00785C3E"/>
    <w:rsid w:val="00787ABF"/>
    <w:rsid w:val="007903CE"/>
    <w:rsid w:val="007912C7"/>
    <w:rsid w:val="007960DE"/>
    <w:rsid w:val="00796D98"/>
    <w:rsid w:val="007A2FFA"/>
    <w:rsid w:val="007A3308"/>
    <w:rsid w:val="007A3435"/>
    <w:rsid w:val="007A3C61"/>
    <w:rsid w:val="007A4FF8"/>
    <w:rsid w:val="007B018F"/>
    <w:rsid w:val="007B2E7C"/>
    <w:rsid w:val="007B3E00"/>
    <w:rsid w:val="007B4FD6"/>
    <w:rsid w:val="007B5631"/>
    <w:rsid w:val="007B56CD"/>
    <w:rsid w:val="007B5836"/>
    <w:rsid w:val="007B6D5C"/>
    <w:rsid w:val="007B74A9"/>
    <w:rsid w:val="007B7656"/>
    <w:rsid w:val="007B7C41"/>
    <w:rsid w:val="007C01B6"/>
    <w:rsid w:val="007C20D4"/>
    <w:rsid w:val="007C2A1F"/>
    <w:rsid w:val="007C4F5E"/>
    <w:rsid w:val="007C64C3"/>
    <w:rsid w:val="007C69CF"/>
    <w:rsid w:val="007C7D7A"/>
    <w:rsid w:val="007D0C49"/>
    <w:rsid w:val="007D0C65"/>
    <w:rsid w:val="007D1888"/>
    <w:rsid w:val="007D3375"/>
    <w:rsid w:val="007D4FCA"/>
    <w:rsid w:val="007D5FC5"/>
    <w:rsid w:val="007D61C8"/>
    <w:rsid w:val="007D6CBC"/>
    <w:rsid w:val="007D6E8E"/>
    <w:rsid w:val="007D7D8C"/>
    <w:rsid w:val="007E00F9"/>
    <w:rsid w:val="007E026E"/>
    <w:rsid w:val="007E5120"/>
    <w:rsid w:val="007E5D80"/>
    <w:rsid w:val="007E6D22"/>
    <w:rsid w:val="007E6D51"/>
    <w:rsid w:val="007E70A7"/>
    <w:rsid w:val="007F06B7"/>
    <w:rsid w:val="007F2640"/>
    <w:rsid w:val="007F2AF7"/>
    <w:rsid w:val="007F3B7F"/>
    <w:rsid w:val="007F3C8C"/>
    <w:rsid w:val="007F4D97"/>
    <w:rsid w:val="007F6513"/>
    <w:rsid w:val="007F7410"/>
    <w:rsid w:val="007F77E3"/>
    <w:rsid w:val="00800CD6"/>
    <w:rsid w:val="008035D9"/>
    <w:rsid w:val="00804031"/>
    <w:rsid w:val="0080546A"/>
    <w:rsid w:val="00807313"/>
    <w:rsid w:val="00807C55"/>
    <w:rsid w:val="00811064"/>
    <w:rsid w:val="008113E1"/>
    <w:rsid w:val="00812548"/>
    <w:rsid w:val="00812A84"/>
    <w:rsid w:val="00815DE8"/>
    <w:rsid w:val="00816201"/>
    <w:rsid w:val="008168AA"/>
    <w:rsid w:val="008241E3"/>
    <w:rsid w:val="008249B0"/>
    <w:rsid w:val="0082589A"/>
    <w:rsid w:val="00831BB9"/>
    <w:rsid w:val="0083415B"/>
    <w:rsid w:val="0083444B"/>
    <w:rsid w:val="008365AE"/>
    <w:rsid w:val="00837263"/>
    <w:rsid w:val="0083770E"/>
    <w:rsid w:val="0083788A"/>
    <w:rsid w:val="00837E00"/>
    <w:rsid w:val="00842AA4"/>
    <w:rsid w:val="00842C2A"/>
    <w:rsid w:val="008433EB"/>
    <w:rsid w:val="00844743"/>
    <w:rsid w:val="00844F1F"/>
    <w:rsid w:val="008453EE"/>
    <w:rsid w:val="008472A7"/>
    <w:rsid w:val="008477B0"/>
    <w:rsid w:val="00850D1B"/>
    <w:rsid w:val="00851069"/>
    <w:rsid w:val="008510D9"/>
    <w:rsid w:val="00851CE9"/>
    <w:rsid w:val="00851F52"/>
    <w:rsid w:val="00852788"/>
    <w:rsid w:val="0085289D"/>
    <w:rsid w:val="008539DE"/>
    <w:rsid w:val="0085446F"/>
    <w:rsid w:val="00854E83"/>
    <w:rsid w:val="00855393"/>
    <w:rsid w:val="008567CD"/>
    <w:rsid w:val="00857993"/>
    <w:rsid w:val="00857CFF"/>
    <w:rsid w:val="008616A9"/>
    <w:rsid w:val="008659D3"/>
    <w:rsid w:val="008670CF"/>
    <w:rsid w:val="00867D5F"/>
    <w:rsid w:val="00867E75"/>
    <w:rsid w:val="00870274"/>
    <w:rsid w:val="0087050F"/>
    <w:rsid w:val="00870CD0"/>
    <w:rsid w:val="00870ECB"/>
    <w:rsid w:val="0087282A"/>
    <w:rsid w:val="00873280"/>
    <w:rsid w:val="00874AC3"/>
    <w:rsid w:val="00875B1B"/>
    <w:rsid w:val="00876172"/>
    <w:rsid w:val="00880C7D"/>
    <w:rsid w:val="008810A7"/>
    <w:rsid w:val="00881675"/>
    <w:rsid w:val="00882EF2"/>
    <w:rsid w:val="0088695A"/>
    <w:rsid w:val="0088750F"/>
    <w:rsid w:val="008907D2"/>
    <w:rsid w:val="008918FD"/>
    <w:rsid w:val="00893AB4"/>
    <w:rsid w:val="008A05D7"/>
    <w:rsid w:val="008A1AFF"/>
    <w:rsid w:val="008A1EF1"/>
    <w:rsid w:val="008A6BA8"/>
    <w:rsid w:val="008B0346"/>
    <w:rsid w:val="008B3C94"/>
    <w:rsid w:val="008B470E"/>
    <w:rsid w:val="008B4AC8"/>
    <w:rsid w:val="008B58E4"/>
    <w:rsid w:val="008C0C55"/>
    <w:rsid w:val="008C3403"/>
    <w:rsid w:val="008C417D"/>
    <w:rsid w:val="008C4611"/>
    <w:rsid w:val="008C5146"/>
    <w:rsid w:val="008C74CC"/>
    <w:rsid w:val="008C76AA"/>
    <w:rsid w:val="008C7813"/>
    <w:rsid w:val="008D1C99"/>
    <w:rsid w:val="008D231B"/>
    <w:rsid w:val="008D3FFA"/>
    <w:rsid w:val="008D42F0"/>
    <w:rsid w:val="008D5303"/>
    <w:rsid w:val="008D5427"/>
    <w:rsid w:val="008D6804"/>
    <w:rsid w:val="008D7E36"/>
    <w:rsid w:val="008D7EE1"/>
    <w:rsid w:val="008E62C9"/>
    <w:rsid w:val="008E7AAD"/>
    <w:rsid w:val="008F1B83"/>
    <w:rsid w:val="008F2C37"/>
    <w:rsid w:val="008F437C"/>
    <w:rsid w:val="008F4A37"/>
    <w:rsid w:val="008F7374"/>
    <w:rsid w:val="0090163C"/>
    <w:rsid w:val="00903E24"/>
    <w:rsid w:val="00906702"/>
    <w:rsid w:val="009110D9"/>
    <w:rsid w:val="00912949"/>
    <w:rsid w:val="00913092"/>
    <w:rsid w:val="00915E34"/>
    <w:rsid w:val="009173F4"/>
    <w:rsid w:val="0092059D"/>
    <w:rsid w:val="00923CBF"/>
    <w:rsid w:val="00923E42"/>
    <w:rsid w:val="00924E83"/>
    <w:rsid w:val="00924FDD"/>
    <w:rsid w:val="00930459"/>
    <w:rsid w:val="0093046E"/>
    <w:rsid w:val="009306FB"/>
    <w:rsid w:val="0093418C"/>
    <w:rsid w:val="00936CFF"/>
    <w:rsid w:val="00940550"/>
    <w:rsid w:val="00941BB9"/>
    <w:rsid w:val="00941DD3"/>
    <w:rsid w:val="009521EB"/>
    <w:rsid w:val="00955F15"/>
    <w:rsid w:val="009567CC"/>
    <w:rsid w:val="00960380"/>
    <w:rsid w:val="009607EA"/>
    <w:rsid w:val="00961430"/>
    <w:rsid w:val="00962029"/>
    <w:rsid w:val="00964776"/>
    <w:rsid w:val="00964DE5"/>
    <w:rsid w:val="0096632C"/>
    <w:rsid w:val="00967AF4"/>
    <w:rsid w:val="00971E26"/>
    <w:rsid w:val="0097324E"/>
    <w:rsid w:val="00973BCC"/>
    <w:rsid w:val="009742C1"/>
    <w:rsid w:val="00974703"/>
    <w:rsid w:val="009750BC"/>
    <w:rsid w:val="00975C4E"/>
    <w:rsid w:val="00975D1D"/>
    <w:rsid w:val="00982BB5"/>
    <w:rsid w:val="00983FFF"/>
    <w:rsid w:val="009870F2"/>
    <w:rsid w:val="009871E0"/>
    <w:rsid w:val="00987E8F"/>
    <w:rsid w:val="00990393"/>
    <w:rsid w:val="00990E8E"/>
    <w:rsid w:val="00991265"/>
    <w:rsid w:val="009968CC"/>
    <w:rsid w:val="00997352"/>
    <w:rsid w:val="00997CE2"/>
    <w:rsid w:val="009A0F20"/>
    <w:rsid w:val="009A0F4D"/>
    <w:rsid w:val="009A2336"/>
    <w:rsid w:val="009A24AB"/>
    <w:rsid w:val="009A2DDE"/>
    <w:rsid w:val="009A44E0"/>
    <w:rsid w:val="009A7405"/>
    <w:rsid w:val="009A775E"/>
    <w:rsid w:val="009B0867"/>
    <w:rsid w:val="009B09AF"/>
    <w:rsid w:val="009B2AFE"/>
    <w:rsid w:val="009B2F87"/>
    <w:rsid w:val="009B3297"/>
    <w:rsid w:val="009B7479"/>
    <w:rsid w:val="009C0C31"/>
    <w:rsid w:val="009C1994"/>
    <w:rsid w:val="009C5BEC"/>
    <w:rsid w:val="009C6182"/>
    <w:rsid w:val="009C624F"/>
    <w:rsid w:val="009C7069"/>
    <w:rsid w:val="009C74BD"/>
    <w:rsid w:val="009D032E"/>
    <w:rsid w:val="009D06D5"/>
    <w:rsid w:val="009D1465"/>
    <w:rsid w:val="009D6126"/>
    <w:rsid w:val="009E0623"/>
    <w:rsid w:val="009E1CCD"/>
    <w:rsid w:val="009F19B4"/>
    <w:rsid w:val="009F1AFA"/>
    <w:rsid w:val="009F23DA"/>
    <w:rsid w:val="009F2D2A"/>
    <w:rsid w:val="009F4606"/>
    <w:rsid w:val="009F4FFB"/>
    <w:rsid w:val="009F7467"/>
    <w:rsid w:val="00A01363"/>
    <w:rsid w:val="00A016A1"/>
    <w:rsid w:val="00A035E6"/>
    <w:rsid w:val="00A05212"/>
    <w:rsid w:val="00A067D7"/>
    <w:rsid w:val="00A07026"/>
    <w:rsid w:val="00A1111D"/>
    <w:rsid w:val="00A11431"/>
    <w:rsid w:val="00A11FDE"/>
    <w:rsid w:val="00A1241B"/>
    <w:rsid w:val="00A12BAB"/>
    <w:rsid w:val="00A146C3"/>
    <w:rsid w:val="00A1532F"/>
    <w:rsid w:val="00A16480"/>
    <w:rsid w:val="00A17338"/>
    <w:rsid w:val="00A1758D"/>
    <w:rsid w:val="00A2028E"/>
    <w:rsid w:val="00A22B38"/>
    <w:rsid w:val="00A23132"/>
    <w:rsid w:val="00A23499"/>
    <w:rsid w:val="00A24609"/>
    <w:rsid w:val="00A24C30"/>
    <w:rsid w:val="00A26D35"/>
    <w:rsid w:val="00A27F5F"/>
    <w:rsid w:val="00A30928"/>
    <w:rsid w:val="00A35588"/>
    <w:rsid w:val="00A362F9"/>
    <w:rsid w:val="00A36F38"/>
    <w:rsid w:val="00A372C7"/>
    <w:rsid w:val="00A37C5E"/>
    <w:rsid w:val="00A401E2"/>
    <w:rsid w:val="00A4312E"/>
    <w:rsid w:val="00A467E9"/>
    <w:rsid w:val="00A47538"/>
    <w:rsid w:val="00A475E1"/>
    <w:rsid w:val="00A504C7"/>
    <w:rsid w:val="00A52E52"/>
    <w:rsid w:val="00A54A62"/>
    <w:rsid w:val="00A553F2"/>
    <w:rsid w:val="00A57A5C"/>
    <w:rsid w:val="00A618F3"/>
    <w:rsid w:val="00A619AE"/>
    <w:rsid w:val="00A61AE4"/>
    <w:rsid w:val="00A62EDC"/>
    <w:rsid w:val="00A62F4C"/>
    <w:rsid w:val="00A63481"/>
    <w:rsid w:val="00A642AF"/>
    <w:rsid w:val="00A73EB8"/>
    <w:rsid w:val="00A7547C"/>
    <w:rsid w:val="00A76825"/>
    <w:rsid w:val="00A77748"/>
    <w:rsid w:val="00A77EA1"/>
    <w:rsid w:val="00A83DD8"/>
    <w:rsid w:val="00A85778"/>
    <w:rsid w:val="00A86143"/>
    <w:rsid w:val="00A87152"/>
    <w:rsid w:val="00A878F0"/>
    <w:rsid w:val="00A87B12"/>
    <w:rsid w:val="00A9370C"/>
    <w:rsid w:val="00A94E8A"/>
    <w:rsid w:val="00A9788F"/>
    <w:rsid w:val="00AA1B8B"/>
    <w:rsid w:val="00AA20C3"/>
    <w:rsid w:val="00AA3D23"/>
    <w:rsid w:val="00AA3FEA"/>
    <w:rsid w:val="00AA5B08"/>
    <w:rsid w:val="00AA6104"/>
    <w:rsid w:val="00AA6B96"/>
    <w:rsid w:val="00AB0007"/>
    <w:rsid w:val="00AB28B8"/>
    <w:rsid w:val="00AB2CCA"/>
    <w:rsid w:val="00AB36CC"/>
    <w:rsid w:val="00AB51C9"/>
    <w:rsid w:val="00AB7370"/>
    <w:rsid w:val="00AB7C8B"/>
    <w:rsid w:val="00AC1087"/>
    <w:rsid w:val="00AC2943"/>
    <w:rsid w:val="00AC4124"/>
    <w:rsid w:val="00AC43B2"/>
    <w:rsid w:val="00AC4A78"/>
    <w:rsid w:val="00AC4FC5"/>
    <w:rsid w:val="00AC4FFC"/>
    <w:rsid w:val="00AD0D44"/>
    <w:rsid w:val="00AD2294"/>
    <w:rsid w:val="00AE1D37"/>
    <w:rsid w:val="00AE3EB6"/>
    <w:rsid w:val="00AE4371"/>
    <w:rsid w:val="00AE5927"/>
    <w:rsid w:val="00AE5D20"/>
    <w:rsid w:val="00AE5F64"/>
    <w:rsid w:val="00AF104D"/>
    <w:rsid w:val="00AF11C9"/>
    <w:rsid w:val="00AF1912"/>
    <w:rsid w:val="00AF21F2"/>
    <w:rsid w:val="00AF28E2"/>
    <w:rsid w:val="00AF2BC5"/>
    <w:rsid w:val="00AF321C"/>
    <w:rsid w:val="00AF4012"/>
    <w:rsid w:val="00AF4CA5"/>
    <w:rsid w:val="00AF70F0"/>
    <w:rsid w:val="00AF7B3E"/>
    <w:rsid w:val="00AF7CC0"/>
    <w:rsid w:val="00B02E59"/>
    <w:rsid w:val="00B03D8F"/>
    <w:rsid w:val="00B04BC5"/>
    <w:rsid w:val="00B04D62"/>
    <w:rsid w:val="00B071B9"/>
    <w:rsid w:val="00B14C1D"/>
    <w:rsid w:val="00B16713"/>
    <w:rsid w:val="00B20E4E"/>
    <w:rsid w:val="00B23893"/>
    <w:rsid w:val="00B24011"/>
    <w:rsid w:val="00B25C5A"/>
    <w:rsid w:val="00B25F89"/>
    <w:rsid w:val="00B265BE"/>
    <w:rsid w:val="00B276A5"/>
    <w:rsid w:val="00B27C4C"/>
    <w:rsid w:val="00B354BD"/>
    <w:rsid w:val="00B36E62"/>
    <w:rsid w:val="00B3770E"/>
    <w:rsid w:val="00B41E20"/>
    <w:rsid w:val="00B42166"/>
    <w:rsid w:val="00B4248D"/>
    <w:rsid w:val="00B4778B"/>
    <w:rsid w:val="00B50323"/>
    <w:rsid w:val="00B51C14"/>
    <w:rsid w:val="00B526C7"/>
    <w:rsid w:val="00B545BD"/>
    <w:rsid w:val="00B54F33"/>
    <w:rsid w:val="00B55873"/>
    <w:rsid w:val="00B56221"/>
    <w:rsid w:val="00B56411"/>
    <w:rsid w:val="00B56DE1"/>
    <w:rsid w:val="00B62228"/>
    <w:rsid w:val="00B63DA4"/>
    <w:rsid w:val="00B63E88"/>
    <w:rsid w:val="00B64FE1"/>
    <w:rsid w:val="00B70546"/>
    <w:rsid w:val="00B7502E"/>
    <w:rsid w:val="00B805B2"/>
    <w:rsid w:val="00B813CC"/>
    <w:rsid w:val="00B8152D"/>
    <w:rsid w:val="00B82DC5"/>
    <w:rsid w:val="00B83B9F"/>
    <w:rsid w:val="00B84277"/>
    <w:rsid w:val="00B84CE9"/>
    <w:rsid w:val="00B86010"/>
    <w:rsid w:val="00B86BDB"/>
    <w:rsid w:val="00B8715E"/>
    <w:rsid w:val="00B87833"/>
    <w:rsid w:val="00B90213"/>
    <w:rsid w:val="00B9190A"/>
    <w:rsid w:val="00B92D90"/>
    <w:rsid w:val="00B93303"/>
    <w:rsid w:val="00B93702"/>
    <w:rsid w:val="00B95934"/>
    <w:rsid w:val="00B96114"/>
    <w:rsid w:val="00BA3B69"/>
    <w:rsid w:val="00BA47AC"/>
    <w:rsid w:val="00BA4E29"/>
    <w:rsid w:val="00BA5BE0"/>
    <w:rsid w:val="00BA6C4A"/>
    <w:rsid w:val="00BA7AC8"/>
    <w:rsid w:val="00BB0ECE"/>
    <w:rsid w:val="00BB15EC"/>
    <w:rsid w:val="00BB277E"/>
    <w:rsid w:val="00BB369B"/>
    <w:rsid w:val="00BB3738"/>
    <w:rsid w:val="00BB3F28"/>
    <w:rsid w:val="00BB3F7D"/>
    <w:rsid w:val="00BB4948"/>
    <w:rsid w:val="00BB548D"/>
    <w:rsid w:val="00BC25E5"/>
    <w:rsid w:val="00BC42EE"/>
    <w:rsid w:val="00BC4FEB"/>
    <w:rsid w:val="00BC632F"/>
    <w:rsid w:val="00BC713F"/>
    <w:rsid w:val="00BD0EF6"/>
    <w:rsid w:val="00BD25DE"/>
    <w:rsid w:val="00BD70FE"/>
    <w:rsid w:val="00BD76E3"/>
    <w:rsid w:val="00BD7EBB"/>
    <w:rsid w:val="00BE0277"/>
    <w:rsid w:val="00BE02E7"/>
    <w:rsid w:val="00BE07AA"/>
    <w:rsid w:val="00BE0DA8"/>
    <w:rsid w:val="00BE0E7D"/>
    <w:rsid w:val="00BE246C"/>
    <w:rsid w:val="00BE4A0E"/>
    <w:rsid w:val="00BF2087"/>
    <w:rsid w:val="00BF29FC"/>
    <w:rsid w:val="00BF2B02"/>
    <w:rsid w:val="00BF32B8"/>
    <w:rsid w:val="00BF37DD"/>
    <w:rsid w:val="00BF59A6"/>
    <w:rsid w:val="00C008E9"/>
    <w:rsid w:val="00C01F6C"/>
    <w:rsid w:val="00C036EC"/>
    <w:rsid w:val="00C04753"/>
    <w:rsid w:val="00C102AA"/>
    <w:rsid w:val="00C11AF3"/>
    <w:rsid w:val="00C134DC"/>
    <w:rsid w:val="00C14193"/>
    <w:rsid w:val="00C1457B"/>
    <w:rsid w:val="00C148BF"/>
    <w:rsid w:val="00C15AA4"/>
    <w:rsid w:val="00C2076B"/>
    <w:rsid w:val="00C20DDF"/>
    <w:rsid w:val="00C2223B"/>
    <w:rsid w:val="00C2319D"/>
    <w:rsid w:val="00C23536"/>
    <w:rsid w:val="00C23B46"/>
    <w:rsid w:val="00C24BD4"/>
    <w:rsid w:val="00C2553B"/>
    <w:rsid w:val="00C25B8A"/>
    <w:rsid w:val="00C3058D"/>
    <w:rsid w:val="00C31FC0"/>
    <w:rsid w:val="00C32122"/>
    <w:rsid w:val="00C34A78"/>
    <w:rsid w:val="00C34B1F"/>
    <w:rsid w:val="00C35001"/>
    <w:rsid w:val="00C352A1"/>
    <w:rsid w:val="00C3544B"/>
    <w:rsid w:val="00C35D01"/>
    <w:rsid w:val="00C36D34"/>
    <w:rsid w:val="00C42E19"/>
    <w:rsid w:val="00C47E5E"/>
    <w:rsid w:val="00C47FF9"/>
    <w:rsid w:val="00C52380"/>
    <w:rsid w:val="00C52595"/>
    <w:rsid w:val="00C52846"/>
    <w:rsid w:val="00C529FD"/>
    <w:rsid w:val="00C5432E"/>
    <w:rsid w:val="00C5441D"/>
    <w:rsid w:val="00C54B6F"/>
    <w:rsid w:val="00C54CE2"/>
    <w:rsid w:val="00C57DC7"/>
    <w:rsid w:val="00C601CF"/>
    <w:rsid w:val="00C60973"/>
    <w:rsid w:val="00C60FFB"/>
    <w:rsid w:val="00C6157E"/>
    <w:rsid w:val="00C64A03"/>
    <w:rsid w:val="00C65C0A"/>
    <w:rsid w:val="00C66FC3"/>
    <w:rsid w:val="00C67C03"/>
    <w:rsid w:val="00C73FD1"/>
    <w:rsid w:val="00C777A8"/>
    <w:rsid w:val="00C77C8A"/>
    <w:rsid w:val="00C800DE"/>
    <w:rsid w:val="00C810A3"/>
    <w:rsid w:val="00C81A71"/>
    <w:rsid w:val="00C83D27"/>
    <w:rsid w:val="00C856BB"/>
    <w:rsid w:val="00C86083"/>
    <w:rsid w:val="00C9137E"/>
    <w:rsid w:val="00C93B8E"/>
    <w:rsid w:val="00C93CAF"/>
    <w:rsid w:val="00C941FC"/>
    <w:rsid w:val="00C95116"/>
    <w:rsid w:val="00CA0379"/>
    <w:rsid w:val="00CA3757"/>
    <w:rsid w:val="00CA38F2"/>
    <w:rsid w:val="00CA4806"/>
    <w:rsid w:val="00CA4B60"/>
    <w:rsid w:val="00CA510C"/>
    <w:rsid w:val="00CA5512"/>
    <w:rsid w:val="00CA62B8"/>
    <w:rsid w:val="00CA6BCA"/>
    <w:rsid w:val="00CA70FF"/>
    <w:rsid w:val="00CA71FD"/>
    <w:rsid w:val="00CA7265"/>
    <w:rsid w:val="00CB1B8F"/>
    <w:rsid w:val="00CB3AE9"/>
    <w:rsid w:val="00CB40AA"/>
    <w:rsid w:val="00CB41E6"/>
    <w:rsid w:val="00CB6E6F"/>
    <w:rsid w:val="00CB784F"/>
    <w:rsid w:val="00CC1892"/>
    <w:rsid w:val="00CC52F8"/>
    <w:rsid w:val="00CC7674"/>
    <w:rsid w:val="00CC7824"/>
    <w:rsid w:val="00CC7DA7"/>
    <w:rsid w:val="00CD0AA5"/>
    <w:rsid w:val="00CD1831"/>
    <w:rsid w:val="00CD1F8E"/>
    <w:rsid w:val="00CD411C"/>
    <w:rsid w:val="00CD5BCD"/>
    <w:rsid w:val="00CE2E79"/>
    <w:rsid w:val="00CE6334"/>
    <w:rsid w:val="00CE767B"/>
    <w:rsid w:val="00CE787E"/>
    <w:rsid w:val="00CF0E70"/>
    <w:rsid w:val="00CF1FDA"/>
    <w:rsid w:val="00CF3A24"/>
    <w:rsid w:val="00CF5BBF"/>
    <w:rsid w:val="00CF63D9"/>
    <w:rsid w:val="00D013F3"/>
    <w:rsid w:val="00D03F59"/>
    <w:rsid w:val="00D04203"/>
    <w:rsid w:val="00D04B73"/>
    <w:rsid w:val="00D06738"/>
    <w:rsid w:val="00D0756D"/>
    <w:rsid w:val="00D10FB6"/>
    <w:rsid w:val="00D134C4"/>
    <w:rsid w:val="00D15A78"/>
    <w:rsid w:val="00D17823"/>
    <w:rsid w:val="00D1796F"/>
    <w:rsid w:val="00D17DB8"/>
    <w:rsid w:val="00D21451"/>
    <w:rsid w:val="00D23091"/>
    <w:rsid w:val="00D2317B"/>
    <w:rsid w:val="00D24F00"/>
    <w:rsid w:val="00D265D2"/>
    <w:rsid w:val="00D269CB"/>
    <w:rsid w:val="00D3100E"/>
    <w:rsid w:val="00D31AC3"/>
    <w:rsid w:val="00D32DFE"/>
    <w:rsid w:val="00D337EA"/>
    <w:rsid w:val="00D33FF8"/>
    <w:rsid w:val="00D3679E"/>
    <w:rsid w:val="00D36F14"/>
    <w:rsid w:val="00D37699"/>
    <w:rsid w:val="00D4041F"/>
    <w:rsid w:val="00D41B65"/>
    <w:rsid w:val="00D430C2"/>
    <w:rsid w:val="00D45886"/>
    <w:rsid w:val="00D50FF5"/>
    <w:rsid w:val="00D51778"/>
    <w:rsid w:val="00D5256B"/>
    <w:rsid w:val="00D52D21"/>
    <w:rsid w:val="00D546B1"/>
    <w:rsid w:val="00D569D6"/>
    <w:rsid w:val="00D5719F"/>
    <w:rsid w:val="00D57E43"/>
    <w:rsid w:val="00D60A90"/>
    <w:rsid w:val="00D614B7"/>
    <w:rsid w:val="00D61E63"/>
    <w:rsid w:val="00D61E71"/>
    <w:rsid w:val="00D6281D"/>
    <w:rsid w:val="00D6397E"/>
    <w:rsid w:val="00D64734"/>
    <w:rsid w:val="00D65343"/>
    <w:rsid w:val="00D66A7E"/>
    <w:rsid w:val="00D708B3"/>
    <w:rsid w:val="00D70C3A"/>
    <w:rsid w:val="00D70CDA"/>
    <w:rsid w:val="00D712FC"/>
    <w:rsid w:val="00D74903"/>
    <w:rsid w:val="00D75D62"/>
    <w:rsid w:val="00D7620D"/>
    <w:rsid w:val="00D770C9"/>
    <w:rsid w:val="00D80142"/>
    <w:rsid w:val="00D8021F"/>
    <w:rsid w:val="00D8112F"/>
    <w:rsid w:val="00D84507"/>
    <w:rsid w:val="00D849FF"/>
    <w:rsid w:val="00D84AB3"/>
    <w:rsid w:val="00D84AD6"/>
    <w:rsid w:val="00D86A61"/>
    <w:rsid w:val="00D86EDE"/>
    <w:rsid w:val="00D9038C"/>
    <w:rsid w:val="00D90A05"/>
    <w:rsid w:val="00D90BCA"/>
    <w:rsid w:val="00D9392F"/>
    <w:rsid w:val="00D95209"/>
    <w:rsid w:val="00D955E7"/>
    <w:rsid w:val="00D97A5A"/>
    <w:rsid w:val="00D97C96"/>
    <w:rsid w:val="00D97FB6"/>
    <w:rsid w:val="00DA09C2"/>
    <w:rsid w:val="00DA1E46"/>
    <w:rsid w:val="00DA2D3F"/>
    <w:rsid w:val="00DA6618"/>
    <w:rsid w:val="00DA724B"/>
    <w:rsid w:val="00DA7379"/>
    <w:rsid w:val="00DA7D4E"/>
    <w:rsid w:val="00DB03B9"/>
    <w:rsid w:val="00DB123B"/>
    <w:rsid w:val="00DB1D48"/>
    <w:rsid w:val="00DB2046"/>
    <w:rsid w:val="00DB3FB3"/>
    <w:rsid w:val="00DB441B"/>
    <w:rsid w:val="00DB5C4E"/>
    <w:rsid w:val="00DB6E75"/>
    <w:rsid w:val="00DC0AA6"/>
    <w:rsid w:val="00DC2BE7"/>
    <w:rsid w:val="00DC363B"/>
    <w:rsid w:val="00DC655F"/>
    <w:rsid w:val="00DC711E"/>
    <w:rsid w:val="00DD065B"/>
    <w:rsid w:val="00DD1A7E"/>
    <w:rsid w:val="00DD2CF1"/>
    <w:rsid w:val="00DD778C"/>
    <w:rsid w:val="00DE10AE"/>
    <w:rsid w:val="00DE25AA"/>
    <w:rsid w:val="00DE3E06"/>
    <w:rsid w:val="00DE5C65"/>
    <w:rsid w:val="00DE64AB"/>
    <w:rsid w:val="00DE7596"/>
    <w:rsid w:val="00DE7DBD"/>
    <w:rsid w:val="00DF000D"/>
    <w:rsid w:val="00DF216C"/>
    <w:rsid w:val="00DF5372"/>
    <w:rsid w:val="00DF5397"/>
    <w:rsid w:val="00DF572B"/>
    <w:rsid w:val="00DF5A76"/>
    <w:rsid w:val="00DF65DD"/>
    <w:rsid w:val="00DF6E01"/>
    <w:rsid w:val="00E01539"/>
    <w:rsid w:val="00E0160D"/>
    <w:rsid w:val="00E03781"/>
    <w:rsid w:val="00E04764"/>
    <w:rsid w:val="00E0495C"/>
    <w:rsid w:val="00E06041"/>
    <w:rsid w:val="00E1043D"/>
    <w:rsid w:val="00E107BA"/>
    <w:rsid w:val="00E115A8"/>
    <w:rsid w:val="00E120FB"/>
    <w:rsid w:val="00E12746"/>
    <w:rsid w:val="00E13054"/>
    <w:rsid w:val="00E133CF"/>
    <w:rsid w:val="00E1370A"/>
    <w:rsid w:val="00E1652B"/>
    <w:rsid w:val="00E21316"/>
    <w:rsid w:val="00E26245"/>
    <w:rsid w:val="00E26A84"/>
    <w:rsid w:val="00E27BBA"/>
    <w:rsid w:val="00E311CA"/>
    <w:rsid w:val="00E32738"/>
    <w:rsid w:val="00E36017"/>
    <w:rsid w:val="00E36C43"/>
    <w:rsid w:val="00E36DDE"/>
    <w:rsid w:val="00E3759A"/>
    <w:rsid w:val="00E37791"/>
    <w:rsid w:val="00E41B3B"/>
    <w:rsid w:val="00E44B0E"/>
    <w:rsid w:val="00E465D6"/>
    <w:rsid w:val="00E52E2E"/>
    <w:rsid w:val="00E5418B"/>
    <w:rsid w:val="00E55054"/>
    <w:rsid w:val="00E63876"/>
    <w:rsid w:val="00E63F0B"/>
    <w:rsid w:val="00E7343B"/>
    <w:rsid w:val="00E75925"/>
    <w:rsid w:val="00E76E38"/>
    <w:rsid w:val="00E82A74"/>
    <w:rsid w:val="00E83299"/>
    <w:rsid w:val="00E837CA"/>
    <w:rsid w:val="00E844A6"/>
    <w:rsid w:val="00E91434"/>
    <w:rsid w:val="00E91A6A"/>
    <w:rsid w:val="00E92106"/>
    <w:rsid w:val="00E94853"/>
    <w:rsid w:val="00E95A84"/>
    <w:rsid w:val="00EA19F2"/>
    <w:rsid w:val="00EA6575"/>
    <w:rsid w:val="00EA682F"/>
    <w:rsid w:val="00EA6B76"/>
    <w:rsid w:val="00EA75E1"/>
    <w:rsid w:val="00EB01A2"/>
    <w:rsid w:val="00EB1217"/>
    <w:rsid w:val="00EB15CF"/>
    <w:rsid w:val="00EB284B"/>
    <w:rsid w:val="00EB3A54"/>
    <w:rsid w:val="00EB5063"/>
    <w:rsid w:val="00EC1F85"/>
    <w:rsid w:val="00EC247F"/>
    <w:rsid w:val="00EC2C48"/>
    <w:rsid w:val="00EC5942"/>
    <w:rsid w:val="00EC6088"/>
    <w:rsid w:val="00EC6650"/>
    <w:rsid w:val="00ED5E41"/>
    <w:rsid w:val="00ED7DCC"/>
    <w:rsid w:val="00EE0B62"/>
    <w:rsid w:val="00EE0DAF"/>
    <w:rsid w:val="00EE0DB5"/>
    <w:rsid w:val="00EE5D34"/>
    <w:rsid w:val="00EE67AC"/>
    <w:rsid w:val="00EF03A6"/>
    <w:rsid w:val="00EF085A"/>
    <w:rsid w:val="00EF3241"/>
    <w:rsid w:val="00EF3CDE"/>
    <w:rsid w:val="00EF5845"/>
    <w:rsid w:val="00EF5F78"/>
    <w:rsid w:val="00F01F51"/>
    <w:rsid w:val="00F02071"/>
    <w:rsid w:val="00F0289F"/>
    <w:rsid w:val="00F03220"/>
    <w:rsid w:val="00F062ED"/>
    <w:rsid w:val="00F06556"/>
    <w:rsid w:val="00F12DF2"/>
    <w:rsid w:val="00F152E9"/>
    <w:rsid w:val="00F15783"/>
    <w:rsid w:val="00F1674D"/>
    <w:rsid w:val="00F16E8D"/>
    <w:rsid w:val="00F22275"/>
    <w:rsid w:val="00F22A9C"/>
    <w:rsid w:val="00F25316"/>
    <w:rsid w:val="00F303A0"/>
    <w:rsid w:val="00F32151"/>
    <w:rsid w:val="00F32235"/>
    <w:rsid w:val="00F32374"/>
    <w:rsid w:val="00F32C58"/>
    <w:rsid w:val="00F33A8F"/>
    <w:rsid w:val="00F34564"/>
    <w:rsid w:val="00F37A77"/>
    <w:rsid w:val="00F37FD7"/>
    <w:rsid w:val="00F41902"/>
    <w:rsid w:val="00F45A74"/>
    <w:rsid w:val="00F52C06"/>
    <w:rsid w:val="00F5300E"/>
    <w:rsid w:val="00F5450C"/>
    <w:rsid w:val="00F5610F"/>
    <w:rsid w:val="00F565DF"/>
    <w:rsid w:val="00F56BAB"/>
    <w:rsid w:val="00F56C2B"/>
    <w:rsid w:val="00F56CFD"/>
    <w:rsid w:val="00F60E72"/>
    <w:rsid w:val="00F615EC"/>
    <w:rsid w:val="00F642BE"/>
    <w:rsid w:val="00F652D9"/>
    <w:rsid w:val="00F65CDA"/>
    <w:rsid w:val="00F6680A"/>
    <w:rsid w:val="00F674BE"/>
    <w:rsid w:val="00F714F5"/>
    <w:rsid w:val="00F748D2"/>
    <w:rsid w:val="00F7546C"/>
    <w:rsid w:val="00F75879"/>
    <w:rsid w:val="00F800C3"/>
    <w:rsid w:val="00F80ADB"/>
    <w:rsid w:val="00F82E65"/>
    <w:rsid w:val="00F8389E"/>
    <w:rsid w:val="00F83A02"/>
    <w:rsid w:val="00F862EC"/>
    <w:rsid w:val="00F96D6B"/>
    <w:rsid w:val="00F97C56"/>
    <w:rsid w:val="00FA050F"/>
    <w:rsid w:val="00FA2F15"/>
    <w:rsid w:val="00FA3F7F"/>
    <w:rsid w:val="00FA4077"/>
    <w:rsid w:val="00FA40CD"/>
    <w:rsid w:val="00FA5958"/>
    <w:rsid w:val="00FA6111"/>
    <w:rsid w:val="00FA6242"/>
    <w:rsid w:val="00FB1198"/>
    <w:rsid w:val="00FB3544"/>
    <w:rsid w:val="00FB3932"/>
    <w:rsid w:val="00FB3D2B"/>
    <w:rsid w:val="00FB47AC"/>
    <w:rsid w:val="00FB5C7F"/>
    <w:rsid w:val="00FB6417"/>
    <w:rsid w:val="00FB6FF9"/>
    <w:rsid w:val="00FC42D5"/>
    <w:rsid w:val="00FC4CA0"/>
    <w:rsid w:val="00FC7E85"/>
    <w:rsid w:val="00FD1EBD"/>
    <w:rsid w:val="00FD3B87"/>
    <w:rsid w:val="00FD58C0"/>
    <w:rsid w:val="00FD64F8"/>
    <w:rsid w:val="00FD717E"/>
    <w:rsid w:val="00FE2C0F"/>
    <w:rsid w:val="00FE4C33"/>
    <w:rsid w:val="00FE4D91"/>
    <w:rsid w:val="00FE5B37"/>
    <w:rsid w:val="00FE7365"/>
    <w:rsid w:val="00FF05B6"/>
    <w:rsid w:val="00FF070D"/>
    <w:rsid w:val="00FF5DD5"/>
    <w:rsid w:val="00FF6060"/>
    <w:rsid w:val="00FF6667"/>
    <w:rsid w:val="00FF67D9"/>
    <w:rsid w:val="00FF6CAB"/>
    <w:rsid w:val="02977DD6"/>
    <w:rsid w:val="03D166CA"/>
    <w:rsid w:val="040054E6"/>
    <w:rsid w:val="04C572BD"/>
    <w:rsid w:val="051A46EA"/>
    <w:rsid w:val="05EC3B49"/>
    <w:rsid w:val="06B04E89"/>
    <w:rsid w:val="06EB7C5A"/>
    <w:rsid w:val="07B003AA"/>
    <w:rsid w:val="089917A2"/>
    <w:rsid w:val="099A78CF"/>
    <w:rsid w:val="0A271766"/>
    <w:rsid w:val="0AD571F2"/>
    <w:rsid w:val="0B635D6A"/>
    <w:rsid w:val="0D7311B1"/>
    <w:rsid w:val="0D795844"/>
    <w:rsid w:val="0DA45978"/>
    <w:rsid w:val="0E4D41F7"/>
    <w:rsid w:val="0F07753B"/>
    <w:rsid w:val="102D167B"/>
    <w:rsid w:val="10571FBA"/>
    <w:rsid w:val="10B10908"/>
    <w:rsid w:val="110F261A"/>
    <w:rsid w:val="11F77E2E"/>
    <w:rsid w:val="12665599"/>
    <w:rsid w:val="1276037B"/>
    <w:rsid w:val="13363593"/>
    <w:rsid w:val="137058C4"/>
    <w:rsid w:val="13F71F93"/>
    <w:rsid w:val="149D4D18"/>
    <w:rsid w:val="14A85436"/>
    <w:rsid w:val="153E6249"/>
    <w:rsid w:val="159D570A"/>
    <w:rsid w:val="15BD2CD8"/>
    <w:rsid w:val="16737604"/>
    <w:rsid w:val="17567867"/>
    <w:rsid w:val="1782479D"/>
    <w:rsid w:val="17A92967"/>
    <w:rsid w:val="18756296"/>
    <w:rsid w:val="187E40F6"/>
    <w:rsid w:val="191268B7"/>
    <w:rsid w:val="19307BCC"/>
    <w:rsid w:val="19584E9B"/>
    <w:rsid w:val="1959773E"/>
    <w:rsid w:val="199E3C84"/>
    <w:rsid w:val="1A6111C5"/>
    <w:rsid w:val="1B0654C8"/>
    <w:rsid w:val="1B6E0EC5"/>
    <w:rsid w:val="1B8B6070"/>
    <w:rsid w:val="1C454CB0"/>
    <w:rsid w:val="1C8063F0"/>
    <w:rsid w:val="1CF9506A"/>
    <w:rsid w:val="1D074209"/>
    <w:rsid w:val="1D274BFB"/>
    <w:rsid w:val="1DB64089"/>
    <w:rsid w:val="1DE12E70"/>
    <w:rsid w:val="1E017893"/>
    <w:rsid w:val="1E7D4396"/>
    <w:rsid w:val="1F5705A7"/>
    <w:rsid w:val="1F79005A"/>
    <w:rsid w:val="1FBD1A42"/>
    <w:rsid w:val="202165E8"/>
    <w:rsid w:val="203E5377"/>
    <w:rsid w:val="20BB30F3"/>
    <w:rsid w:val="20E747D8"/>
    <w:rsid w:val="20FA1CCE"/>
    <w:rsid w:val="213E62B1"/>
    <w:rsid w:val="22B60B0C"/>
    <w:rsid w:val="22FE6237"/>
    <w:rsid w:val="23AC53A8"/>
    <w:rsid w:val="23FB42F0"/>
    <w:rsid w:val="241E6C30"/>
    <w:rsid w:val="25165D98"/>
    <w:rsid w:val="251678F2"/>
    <w:rsid w:val="25170BD8"/>
    <w:rsid w:val="25730974"/>
    <w:rsid w:val="25753227"/>
    <w:rsid w:val="25BB0379"/>
    <w:rsid w:val="263F569D"/>
    <w:rsid w:val="269D0FED"/>
    <w:rsid w:val="273D128C"/>
    <w:rsid w:val="27B07337"/>
    <w:rsid w:val="27CE7A89"/>
    <w:rsid w:val="280E42B1"/>
    <w:rsid w:val="286B2FBB"/>
    <w:rsid w:val="290057D3"/>
    <w:rsid w:val="295E7AEF"/>
    <w:rsid w:val="2AC65DEB"/>
    <w:rsid w:val="2AC71C80"/>
    <w:rsid w:val="2B313770"/>
    <w:rsid w:val="2BD13EDF"/>
    <w:rsid w:val="2C4B68AC"/>
    <w:rsid w:val="2CB27A39"/>
    <w:rsid w:val="2D13322B"/>
    <w:rsid w:val="2E3A1482"/>
    <w:rsid w:val="2EDA5105"/>
    <w:rsid w:val="2F141D40"/>
    <w:rsid w:val="2F890181"/>
    <w:rsid w:val="301D26A5"/>
    <w:rsid w:val="30E4698F"/>
    <w:rsid w:val="3262460E"/>
    <w:rsid w:val="32C232AC"/>
    <w:rsid w:val="338A714F"/>
    <w:rsid w:val="33E914B0"/>
    <w:rsid w:val="34964768"/>
    <w:rsid w:val="34B4649E"/>
    <w:rsid w:val="34BB4077"/>
    <w:rsid w:val="354F1269"/>
    <w:rsid w:val="35BA7008"/>
    <w:rsid w:val="36015283"/>
    <w:rsid w:val="3606612A"/>
    <w:rsid w:val="36F87E3A"/>
    <w:rsid w:val="37664CD1"/>
    <w:rsid w:val="379E4DA1"/>
    <w:rsid w:val="37C2178A"/>
    <w:rsid w:val="38497F81"/>
    <w:rsid w:val="38672BB8"/>
    <w:rsid w:val="38CC575B"/>
    <w:rsid w:val="39002DFE"/>
    <w:rsid w:val="39B636C3"/>
    <w:rsid w:val="39ED7115"/>
    <w:rsid w:val="3A1848F7"/>
    <w:rsid w:val="3A715768"/>
    <w:rsid w:val="3A97770D"/>
    <w:rsid w:val="3B5D363B"/>
    <w:rsid w:val="3BD5356D"/>
    <w:rsid w:val="3BF03CC2"/>
    <w:rsid w:val="3CAA4F7D"/>
    <w:rsid w:val="3CC441B1"/>
    <w:rsid w:val="3D380960"/>
    <w:rsid w:val="3DFE01FF"/>
    <w:rsid w:val="3E002AFC"/>
    <w:rsid w:val="3E27201D"/>
    <w:rsid w:val="3E274FF5"/>
    <w:rsid w:val="3ECE611B"/>
    <w:rsid w:val="3F112386"/>
    <w:rsid w:val="3F93231D"/>
    <w:rsid w:val="40704ECC"/>
    <w:rsid w:val="407373DC"/>
    <w:rsid w:val="4093153B"/>
    <w:rsid w:val="40A71D1A"/>
    <w:rsid w:val="40A76027"/>
    <w:rsid w:val="40B21C41"/>
    <w:rsid w:val="41620D12"/>
    <w:rsid w:val="41730E50"/>
    <w:rsid w:val="429709CE"/>
    <w:rsid w:val="42E73A20"/>
    <w:rsid w:val="435C7492"/>
    <w:rsid w:val="4377028C"/>
    <w:rsid w:val="43797AD7"/>
    <w:rsid w:val="43DF7E12"/>
    <w:rsid w:val="43E030E1"/>
    <w:rsid w:val="44122587"/>
    <w:rsid w:val="44122FA9"/>
    <w:rsid w:val="44A52CAC"/>
    <w:rsid w:val="44FB40C0"/>
    <w:rsid w:val="45730201"/>
    <w:rsid w:val="46707845"/>
    <w:rsid w:val="46F90C27"/>
    <w:rsid w:val="47341E5C"/>
    <w:rsid w:val="480B38DC"/>
    <w:rsid w:val="480D7C89"/>
    <w:rsid w:val="48A8638D"/>
    <w:rsid w:val="48EF7741"/>
    <w:rsid w:val="49524613"/>
    <w:rsid w:val="495E079C"/>
    <w:rsid w:val="4982796A"/>
    <w:rsid w:val="4993337E"/>
    <w:rsid w:val="49B977B0"/>
    <w:rsid w:val="4A99664F"/>
    <w:rsid w:val="4A9A1A3B"/>
    <w:rsid w:val="4AFA617A"/>
    <w:rsid w:val="4B1162F2"/>
    <w:rsid w:val="4C342663"/>
    <w:rsid w:val="4C96510A"/>
    <w:rsid w:val="4D5B7E1D"/>
    <w:rsid w:val="4E130DF2"/>
    <w:rsid w:val="4E1F0743"/>
    <w:rsid w:val="4E36492F"/>
    <w:rsid w:val="4E735469"/>
    <w:rsid w:val="4EFB0369"/>
    <w:rsid w:val="4F206C73"/>
    <w:rsid w:val="5013686C"/>
    <w:rsid w:val="50633DF0"/>
    <w:rsid w:val="50D56CEF"/>
    <w:rsid w:val="519A7D3A"/>
    <w:rsid w:val="51D16CE6"/>
    <w:rsid w:val="5227510E"/>
    <w:rsid w:val="52463C4A"/>
    <w:rsid w:val="52887670"/>
    <w:rsid w:val="52B644A8"/>
    <w:rsid w:val="52E224AB"/>
    <w:rsid w:val="52F25E72"/>
    <w:rsid w:val="53401532"/>
    <w:rsid w:val="53F30106"/>
    <w:rsid w:val="54187D50"/>
    <w:rsid w:val="544B746B"/>
    <w:rsid w:val="54680721"/>
    <w:rsid w:val="548E176B"/>
    <w:rsid w:val="56187F25"/>
    <w:rsid w:val="56594A37"/>
    <w:rsid w:val="56D179A0"/>
    <w:rsid w:val="56D72D3C"/>
    <w:rsid w:val="56DA2651"/>
    <w:rsid w:val="573250B6"/>
    <w:rsid w:val="58711142"/>
    <w:rsid w:val="59EF6837"/>
    <w:rsid w:val="5AE903DC"/>
    <w:rsid w:val="5B4A6DD2"/>
    <w:rsid w:val="5C3D63E1"/>
    <w:rsid w:val="5DA765AA"/>
    <w:rsid w:val="5E2E79CA"/>
    <w:rsid w:val="5E966468"/>
    <w:rsid w:val="5EFD1A48"/>
    <w:rsid w:val="5FCB60F2"/>
    <w:rsid w:val="5FCE2238"/>
    <w:rsid w:val="5FE13494"/>
    <w:rsid w:val="60410503"/>
    <w:rsid w:val="607B17DC"/>
    <w:rsid w:val="608215E4"/>
    <w:rsid w:val="60A93105"/>
    <w:rsid w:val="60B53DBD"/>
    <w:rsid w:val="612042E3"/>
    <w:rsid w:val="61543576"/>
    <w:rsid w:val="61C453B2"/>
    <w:rsid w:val="61E763BA"/>
    <w:rsid w:val="61EA4DF3"/>
    <w:rsid w:val="63AA671E"/>
    <w:rsid w:val="63C95A9D"/>
    <w:rsid w:val="643C5164"/>
    <w:rsid w:val="64572560"/>
    <w:rsid w:val="648C001C"/>
    <w:rsid w:val="64C82F0C"/>
    <w:rsid w:val="653D03E7"/>
    <w:rsid w:val="654973EF"/>
    <w:rsid w:val="65A55C83"/>
    <w:rsid w:val="65FC58CD"/>
    <w:rsid w:val="665B4451"/>
    <w:rsid w:val="67895D6B"/>
    <w:rsid w:val="684A4251"/>
    <w:rsid w:val="68A45AFA"/>
    <w:rsid w:val="69430F0E"/>
    <w:rsid w:val="69566F37"/>
    <w:rsid w:val="696D6F68"/>
    <w:rsid w:val="698B3DAE"/>
    <w:rsid w:val="69925649"/>
    <w:rsid w:val="69A70AE2"/>
    <w:rsid w:val="6A3C4E77"/>
    <w:rsid w:val="6A830F0C"/>
    <w:rsid w:val="6AF27976"/>
    <w:rsid w:val="6B0709DA"/>
    <w:rsid w:val="6BDE0897"/>
    <w:rsid w:val="6C40711A"/>
    <w:rsid w:val="6CD4722D"/>
    <w:rsid w:val="6D65184A"/>
    <w:rsid w:val="6D945E2B"/>
    <w:rsid w:val="6DCD6524"/>
    <w:rsid w:val="6DDF073E"/>
    <w:rsid w:val="6E0A23F1"/>
    <w:rsid w:val="6ECD1505"/>
    <w:rsid w:val="6F7414E8"/>
    <w:rsid w:val="701837AE"/>
    <w:rsid w:val="706D7F38"/>
    <w:rsid w:val="70981F36"/>
    <w:rsid w:val="712D20F6"/>
    <w:rsid w:val="73154050"/>
    <w:rsid w:val="7324707C"/>
    <w:rsid w:val="73570AA2"/>
    <w:rsid w:val="736E61E9"/>
    <w:rsid w:val="73C42A3C"/>
    <w:rsid w:val="751A237B"/>
    <w:rsid w:val="75A9395E"/>
    <w:rsid w:val="76703A17"/>
    <w:rsid w:val="76B51F9E"/>
    <w:rsid w:val="76BA4160"/>
    <w:rsid w:val="76BD5F1C"/>
    <w:rsid w:val="772C3DF1"/>
    <w:rsid w:val="775206F3"/>
    <w:rsid w:val="78DF1828"/>
    <w:rsid w:val="792D38DD"/>
    <w:rsid w:val="79495A28"/>
    <w:rsid w:val="796A552D"/>
    <w:rsid w:val="79A2649F"/>
    <w:rsid w:val="7A320D06"/>
    <w:rsid w:val="7A3E3498"/>
    <w:rsid w:val="7A645B58"/>
    <w:rsid w:val="7A687DE1"/>
    <w:rsid w:val="7AC817F3"/>
    <w:rsid w:val="7B5E02D8"/>
    <w:rsid w:val="7B8155A2"/>
    <w:rsid w:val="7C46529B"/>
    <w:rsid w:val="7C6063F8"/>
    <w:rsid w:val="7CAA3A22"/>
    <w:rsid w:val="7CFB3467"/>
    <w:rsid w:val="7D150368"/>
    <w:rsid w:val="7D370D3F"/>
    <w:rsid w:val="7E5E71E6"/>
    <w:rsid w:val="7EA428D2"/>
    <w:rsid w:val="7EAC7010"/>
    <w:rsid w:val="7ED464D9"/>
    <w:rsid w:val="7EE3775C"/>
    <w:rsid w:val="7F214F0E"/>
    <w:rsid w:val="7F502F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qFormat="1" w:unhideWhenUsed="0" w:uiPriority="39" w:semiHidden="0" w:name="toc 5"/>
    <w:lsdException w:uiPriority="39" w:name="toc 6"/>
    <w:lsdException w:uiPriority="39" w:name="toc 7"/>
    <w:lsdException w:uiPriority="39" w:name="toc 8"/>
    <w:lsdException w:qFormat="1" w:unhideWhenUsed="0" w:uiPriority="0" w:semiHidden="0" w:name="toc 9"/>
    <w:lsdException w:qFormat="1" w:unhideWhenUsed="0" w:uiPriority="0" w:semiHidden="0" w:name="Normal Indent"/>
    <w:lsdException w:qFormat="1" w:uiPriority="99"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semiHidden="0" w:name="footnote reference"/>
    <w:lsdException w:qFormat="1" w:unhideWhenUsed="0" w:uiPriority="99" w:semiHidden="0" w:name="annotation reference"/>
    <w:lsdException w:uiPriority="99" w:name="line number"/>
    <w:lsdException w:qFormat="1" w:unhideWhenUsed="0" w:uiPriority="0" w:semiHidden="0" w:name="page number"/>
    <w:lsdException w:qFormat="1" w:uiPriority="99" w:semiHidden="0" w:name="endnote reference"/>
    <w:lsdException w:qFormat="1" w:uiPriority="99" w:semiHidden="0"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uiPriority="99"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44"/>
    <w:qFormat/>
    <w:uiPriority w:val="0"/>
    <w:pPr>
      <w:keepNext/>
      <w:keepLines/>
      <w:numPr>
        <w:ilvl w:val="0"/>
        <w:numId w:val="1"/>
      </w:numPr>
      <w:adjustRightInd w:val="0"/>
      <w:spacing w:before="120" w:line="360" w:lineRule="auto"/>
      <w:textAlignment w:val="baseline"/>
      <w:outlineLvl w:val="0"/>
    </w:pPr>
    <w:rPr>
      <w:rFonts w:eastAsia="黑体"/>
      <w:b/>
      <w:kern w:val="44"/>
      <w:sz w:val="28"/>
      <w:szCs w:val="20"/>
    </w:rPr>
  </w:style>
  <w:style w:type="paragraph" w:styleId="4">
    <w:name w:val="heading 2"/>
    <w:basedOn w:val="1"/>
    <w:next w:val="1"/>
    <w:link w:val="45"/>
    <w:qFormat/>
    <w:uiPriority w:val="0"/>
    <w:pPr>
      <w:keepNext/>
      <w:numPr>
        <w:ilvl w:val="1"/>
        <w:numId w:val="1"/>
      </w:numPr>
      <w:adjustRightInd w:val="0"/>
      <w:spacing w:before="120" w:line="360" w:lineRule="auto"/>
      <w:textAlignment w:val="baseline"/>
      <w:outlineLvl w:val="1"/>
    </w:pPr>
    <w:rPr>
      <w:rFonts w:eastAsia="黑体"/>
      <w:b/>
      <w:kern w:val="0"/>
      <w:sz w:val="28"/>
      <w:szCs w:val="20"/>
    </w:rPr>
  </w:style>
  <w:style w:type="paragraph" w:styleId="5">
    <w:name w:val="heading 3"/>
    <w:basedOn w:val="1"/>
    <w:next w:val="1"/>
    <w:link w:val="46"/>
    <w:qFormat/>
    <w:uiPriority w:val="0"/>
    <w:pPr>
      <w:numPr>
        <w:ilvl w:val="2"/>
        <w:numId w:val="1"/>
      </w:numPr>
      <w:tabs>
        <w:tab w:val="left" w:pos="900"/>
      </w:tabs>
      <w:adjustRightInd w:val="0"/>
      <w:spacing w:before="120" w:line="360" w:lineRule="auto"/>
      <w:textAlignment w:val="baseline"/>
      <w:outlineLvl w:val="2"/>
    </w:pPr>
    <w:rPr>
      <w:b/>
      <w:bCs/>
      <w:sz w:val="32"/>
      <w:szCs w:val="32"/>
    </w:rPr>
  </w:style>
  <w:style w:type="paragraph" w:styleId="6">
    <w:name w:val="heading 4"/>
    <w:basedOn w:val="1"/>
    <w:next w:val="1"/>
    <w:link w:val="47"/>
    <w:qFormat/>
    <w:uiPriority w:val="0"/>
    <w:pPr>
      <w:numPr>
        <w:ilvl w:val="3"/>
        <w:numId w:val="1"/>
      </w:numPr>
      <w:adjustRightInd w:val="0"/>
      <w:spacing w:before="120" w:line="360" w:lineRule="auto"/>
      <w:textAlignment w:val="baseline"/>
      <w:outlineLvl w:val="3"/>
    </w:pPr>
    <w:rPr>
      <w:rFonts w:ascii="Arial" w:hAnsi="Arial" w:eastAsia="黑体"/>
      <w:kern w:val="0"/>
      <w:sz w:val="28"/>
      <w:szCs w:val="20"/>
    </w:rPr>
  </w:style>
  <w:style w:type="paragraph" w:styleId="7">
    <w:name w:val="heading 5"/>
    <w:basedOn w:val="1"/>
    <w:next w:val="1"/>
    <w:link w:val="48"/>
    <w:qFormat/>
    <w:uiPriority w:val="0"/>
    <w:pPr>
      <w:keepNext/>
      <w:keepLines/>
      <w:numPr>
        <w:ilvl w:val="4"/>
        <w:numId w:val="2"/>
      </w:numPr>
      <w:adjustRightInd w:val="0"/>
      <w:spacing w:before="280" w:after="290" w:line="376" w:lineRule="atLeast"/>
      <w:textAlignment w:val="baseline"/>
      <w:outlineLvl w:val="4"/>
    </w:pPr>
    <w:rPr>
      <w:b/>
      <w:kern w:val="0"/>
      <w:sz w:val="28"/>
    </w:rPr>
  </w:style>
  <w:style w:type="character" w:default="1" w:styleId="34">
    <w:name w:val="Default Paragraph Font"/>
    <w:unhideWhenUsed/>
    <w:qFormat/>
    <w:uiPriority w:val="1"/>
  </w:style>
  <w:style w:type="table" w:default="1" w:styleId="32">
    <w:name w:val="Normal Table"/>
    <w:unhideWhenUsed/>
    <w:qFormat/>
    <w:uiPriority w:val="99"/>
    <w:tblPr>
      <w:tblCellMar>
        <w:top w:w="0" w:type="dxa"/>
        <w:left w:w="108" w:type="dxa"/>
        <w:bottom w:w="0" w:type="dxa"/>
        <w:right w:w="108" w:type="dxa"/>
      </w:tblCellMar>
    </w:tblPr>
  </w:style>
  <w:style w:type="paragraph" w:styleId="2">
    <w:name w:val="Body Text"/>
    <w:basedOn w:val="1"/>
    <w:next w:val="1"/>
    <w:link w:val="43"/>
    <w:qFormat/>
    <w:uiPriority w:val="0"/>
    <w:pPr>
      <w:spacing w:after="120"/>
    </w:pPr>
  </w:style>
  <w:style w:type="paragraph" w:styleId="8">
    <w:name w:val="Normal Indent"/>
    <w:basedOn w:val="1"/>
    <w:link w:val="49"/>
    <w:qFormat/>
    <w:uiPriority w:val="0"/>
    <w:pPr>
      <w:widowControl/>
      <w:ind w:firstLine="420" w:firstLineChars="200"/>
      <w:jc w:val="left"/>
    </w:pPr>
  </w:style>
  <w:style w:type="paragraph" w:styleId="9">
    <w:name w:val="Document Map"/>
    <w:basedOn w:val="1"/>
    <w:link w:val="50"/>
    <w:qFormat/>
    <w:uiPriority w:val="0"/>
    <w:pPr>
      <w:shd w:val="clear" w:color="auto" w:fill="000080"/>
    </w:pPr>
    <w:rPr>
      <w:shd w:val="clear" w:color="auto" w:fill="000080"/>
    </w:rPr>
  </w:style>
  <w:style w:type="paragraph" w:styleId="10">
    <w:name w:val="toa heading"/>
    <w:basedOn w:val="1"/>
    <w:next w:val="1"/>
    <w:qFormat/>
    <w:uiPriority w:val="0"/>
    <w:pPr>
      <w:spacing w:before="120"/>
    </w:pPr>
    <w:rPr>
      <w:rFonts w:ascii="Arial" w:hAnsi="Arial" w:cs="Arial"/>
      <w:sz w:val="24"/>
    </w:rPr>
  </w:style>
  <w:style w:type="paragraph" w:styleId="11">
    <w:name w:val="annotation text"/>
    <w:basedOn w:val="1"/>
    <w:link w:val="51"/>
    <w:qFormat/>
    <w:uiPriority w:val="99"/>
    <w:pPr>
      <w:jc w:val="left"/>
    </w:pPr>
  </w:style>
  <w:style w:type="paragraph" w:styleId="12">
    <w:name w:val="Body Text 3"/>
    <w:basedOn w:val="1"/>
    <w:link w:val="52"/>
    <w:qFormat/>
    <w:uiPriority w:val="0"/>
    <w:pPr>
      <w:spacing w:after="120"/>
    </w:pPr>
    <w:rPr>
      <w:sz w:val="16"/>
      <w:szCs w:val="16"/>
    </w:rPr>
  </w:style>
  <w:style w:type="paragraph" w:styleId="13">
    <w:name w:val="Body Text Indent"/>
    <w:basedOn w:val="1"/>
    <w:next w:val="14"/>
    <w:qFormat/>
    <w:uiPriority w:val="0"/>
    <w:pPr>
      <w:spacing w:after="120"/>
      <w:ind w:left="420" w:leftChars="200"/>
    </w:pPr>
  </w:style>
  <w:style w:type="paragraph" w:styleId="14">
    <w:name w:val="Normal (Web)"/>
    <w:basedOn w:val="1"/>
    <w:qFormat/>
    <w:uiPriority w:val="99"/>
    <w:pPr>
      <w:widowControl/>
      <w:spacing w:before="100" w:beforeAutospacing="1" w:after="100" w:afterAutospacing="1"/>
      <w:jc w:val="left"/>
    </w:pPr>
    <w:rPr>
      <w:rFonts w:ascii="宋体" w:hAnsi="宋体"/>
      <w:kern w:val="0"/>
      <w:sz w:val="24"/>
    </w:rPr>
  </w:style>
  <w:style w:type="paragraph" w:styleId="15">
    <w:name w:val="toc 5"/>
    <w:basedOn w:val="1"/>
    <w:next w:val="1"/>
    <w:qFormat/>
    <w:uiPriority w:val="39"/>
    <w:pPr>
      <w:ind w:left="800" w:leftChars="800"/>
    </w:pPr>
  </w:style>
  <w:style w:type="paragraph" w:styleId="16">
    <w:name w:val="Plain Text"/>
    <w:basedOn w:val="1"/>
    <w:next w:val="1"/>
    <w:link w:val="53"/>
    <w:qFormat/>
    <w:uiPriority w:val="0"/>
    <w:rPr>
      <w:rFonts w:ascii="宋体"/>
      <w:szCs w:val="20"/>
    </w:rPr>
  </w:style>
  <w:style w:type="paragraph" w:styleId="17">
    <w:name w:val="Date"/>
    <w:basedOn w:val="1"/>
    <w:next w:val="1"/>
    <w:link w:val="54"/>
    <w:qFormat/>
    <w:uiPriority w:val="0"/>
    <w:pPr>
      <w:ind w:left="100" w:leftChars="2500"/>
    </w:pPr>
  </w:style>
  <w:style w:type="paragraph" w:styleId="18">
    <w:name w:val="Body Text Indent 2"/>
    <w:basedOn w:val="1"/>
    <w:link w:val="55"/>
    <w:qFormat/>
    <w:uiPriority w:val="0"/>
    <w:pPr>
      <w:spacing w:after="120" w:line="480" w:lineRule="auto"/>
      <w:ind w:left="200" w:leftChars="200"/>
    </w:pPr>
  </w:style>
  <w:style w:type="paragraph" w:styleId="19">
    <w:name w:val="endnote text"/>
    <w:basedOn w:val="1"/>
    <w:link w:val="56"/>
    <w:unhideWhenUsed/>
    <w:qFormat/>
    <w:uiPriority w:val="99"/>
    <w:pPr>
      <w:snapToGrid w:val="0"/>
      <w:jc w:val="left"/>
    </w:pPr>
  </w:style>
  <w:style w:type="paragraph" w:styleId="20">
    <w:name w:val="Balloon Text"/>
    <w:basedOn w:val="1"/>
    <w:link w:val="57"/>
    <w:qFormat/>
    <w:uiPriority w:val="0"/>
    <w:rPr>
      <w:sz w:val="18"/>
      <w:szCs w:val="18"/>
    </w:rPr>
  </w:style>
  <w:style w:type="paragraph" w:styleId="21">
    <w:name w:val="footer"/>
    <w:basedOn w:val="1"/>
    <w:link w:val="58"/>
    <w:qFormat/>
    <w:uiPriority w:val="99"/>
    <w:pPr>
      <w:tabs>
        <w:tab w:val="center" w:pos="4153"/>
        <w:tab w:val="right" w:pos="8306"/>
      </w:tabs>
      <w:snapToGrid w:val="0"/>
      <w:jc w:val="left"/>
    </w:pPr>
    <w:rPr>
      <w:rFonts w:ascii="宋体"/>
      <w:sz w:val="18"/>
    </w:rPr>
  </w:style>
  <w:style w:type="paragraph" w:styleId="22">
    <w:name w:val="header"/>
    <w:basedOn w:val="1"/>
    <w:next w:val="2"/>
    <w:link w:val="59"/>
    <w:qFormat/>
    <w:uiPriority w:val="0"/>
    <w:pPr>
      <w:pBdr>
        <w:bottom w:val="single" w:color="auto" w:sz="6" w:space="1"/>
      </w:pBdr>
      <w:tabs>
        <w:tab w:val="center" w:pos="4153"/>
        <w:tab w:val="right" w:pos="8306"/>
      </w:tabs>
      <w:snapToGrid w:val="0"/>
      <w:jc w:val="center"/>
    </w:pPr>
    <w:rPr>
      <w:sz w:val="18"/>
      <w:szCs w:val="18"/>
    </w:rPr>
  </w:style>
  <w:style w:type="paragraph" w:styleId="23">
    <w:name w:val="toc 1"/>
    <w:basedOn w:val="1"/>
    <w:next w:val="1"/>
    <w:qFormat/>
    <w:uiPriority w:val="39"/>
    <w:pPr>
      <w:tabs>
        <w:tab w:val="right" w:leader="dot" w:pos="9628"/>
      </w:tabs>
      <w:spacing w:before="120" w:after="120"/>
      <w:ind w:firstLine="74" w:firstLineChars="74"/>
      <w:jc w:val="left"/>
    </w:pPr>
    <w:rPr>
      <w:b/>
      <w:bCs/>
      <w:caps/>
      <w:sz w:val="20"/>
      <w:szCs w:val="20"/>
    </w:rPr>
  </w:style>
  <w:style w:type="paragraph" w:styleId="24">
    <w:name w:val="footnote text"/>
    <w:basedOn w:val="1"/>
    <w:link w:val="60"/>
    <w:unhideWhenUsed/>
    <w:qFormat/>
    <w:uiPriority w:val="99"/>
    <w:pPr>
      <w:snapToGrid w:val="0"/>
      <w:jc w:val="left"/>
    </w:pPr>
    <w:rPr>
      <w:sz w:val="18"/>
      <w:szCs w:val="18"/>
    </w:rPr>
  </w:style>
  <w:style w:type="paragraph" w:styleId="25">
    <w:name w:val="toc 2"/>
    <w:basedOn w:val="1"/>
    <w:next w:val="1"/>
    <w:qFormat/>
    <w:uiPriority w:val="39"/>
    <w:pPr>
      <w:tabs>
        <w:tab w:val="right" w:leader="dot" w:pos="9628"/>
      </w:tabs>
      <w:spacing w:line="260" w:lineRule="exact"/>
      <w:ind w:left="210"/>
      <w:jc w:val="left"/>
    </w:pPr>
    <w:rPr>
      <w:smallCaps/>
      <w:sz w:val="20"/>
      <w:szCs w:val="20"/>
    </w:rPr>
  </w:style>
  <w:style w:type="paragraph" w:styleId="26">
    <w:name w:val="toc 9"/>
    <w:basedOn w:val="1"/>
    <w:next w:val="1"/>
    <w:qFormat/>
    <w:uiPriority w:val="0"/>
    <w:pPr>
      <w:ind w:left="1680"/>
      <w:jc w:val="left"/>
    </w:pPr>
    <w:rPr>
      <w:sz w:val="18"/>
      <w:szCs w:val="18"/>
    </w:rPr>
  </w:style>
  <w:style w:type="paragraph" w:styleId="27">
    <w:name w:val="Body Text 2"/>
    <w:basedOn w:val="1"/>
    <w:link w:val="61"/>
    <w:qFormat/>
    <w:uiPriority w:val="0"/>
    <w:pPr>
      <w:spacing w:after="120" w:line="480" w:lineRule="auto"/>
    </w:pPr>
  </w:style>
  <w:style w:type="paragraph" w:styleId="28">
    <w:name w:val="Title"/>
    <w:basedOn w:val="1"/>
    <w:next w:val="1"/>
    <w:link w:val="62"/>
    <w:qFormat/>
    <w:uiPriority w:val="0"/>
    <w:pPr>
      <w:spacing w:before="240" w:after="60"/>
      <w:jc w:val="center"/>
      <w:outlineLvl w:val="0"/>
    </w:pPr>
    <w:rPr>
      <w:rFonts w:ascii="Cambria" w:hAnsi="Cambria"/>
      <w:b/>
      <w:bCs/>
      <w:sz w:val="32"/>
      <w:szCs w:val="32"/>
    </w:rPr>
  </w:style>
  <w:style w:type="paragraph" w:styleId="29">
    <w:name w:val="annotation subject"/>
    <w:basedOn w:val="11"/>
    <w:next w:val="11"/>
    <w:link w:val="63"/>
    <w:qFormat/>
    <w:uiPriority w:val="0"/>
    <w:rPr>
      <w:b/>
      <w:bCs/>
    </w:rPr>
  </w:style>
  <w:style w:type="paragraph" w:styleId="30">
    <w:name w:val="Body Text First Indent"/>
    <w:basedOn w:val="2"/>
    <w:qFormat/>
    <w:uiPriority w:val="0"/>
    <w:pPr>
      <w:ind w:firstLine="420" w:firstLineChars="100"/>
    </w:pPr>
    <w:rPr>
      <w:sz w:val="18"/>
      <w:szCs w:val="18"/>
    </w:rPr>
  </w:style>
  <w:style w:type="paragraph" w:styleId="31">
    <w:name w:val="Body Text First Indent 2"/>
    <w:basedOn w:val="13"/>
    <w:next w:val="1"/>
    <w:qFormat/>
    <w:uiPriority w:val="0"/>
    <w:pPr>
      <w:ind w:firstLine="420" w:firstLineChars="200"/>
    </w:pPr>
    <w:rPr>
      <w:szCs w:val="24"/>
    </w:rPr>
  </w:style>
  <w:style w:type="table" w:styleId="33">
    <w:name w:val="Table Grid"/>
    <w:basedOn w:val="3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5">
    <w:name w:val="Strong"/>
    <w:qFormat/>
    <w:uiPriority w:val="0"/>
    <w:rPr>
      <w:b/>
      <w:bCs/>
    </w:rPr>
  </w:style>
  <w:style w:type="character" w:styleId="36">
    <w:name w:val="endnote reference"/>
    <w:unhideWhenUsed/>
    <w:qFormat/>
    <w:uiPriority w:val="99"/>
    <w:rPr>
      <w:vertAlign w:val="superscript"/>
    </w:rPr>
  </w:style>
  <w:style w:type="character" w:styleId="37">
    <w:name w:val="page number"/>
    <w:qFormat/>
    <w:uiPriority w:val="0"/>
  </w:style>
  <w:style w:type="character" w:styleId="38">
    <w:name w:val="FollowedHyperlink"/>
    <w:qFormat/>
    <w:uiPriority w:val="99"/>
    <w:rPr>
      <w:color w:val="800080"/>
      <w:u w:val="single"/>
    </w:rPr>
  </w:style>
  <w:style w:type="character" w:styleId="39">
    <w:name w:val="Hyperlink"/>
    <w:qFormat/>
    <w:uiPriority w:val="99"/>
    <w:rPr>
      <w:color w:val="0000FF"/>
      <w:u w:val="single"/>
    </w:rPr>
  </w:style>
  <w:style w:type="character" w:styleId="40">
    <w:name w:val="annotation reference"/>
    <w:qFormat/>
    <w:uiPriority w:val="99"/>
    <w:rPr>
      <w:sz w:val="21"/>
      <w:szCs w:val="21"/>
    </w:rPr>
  </w:style>
  <w:style w:type="character" w:styleId="41">
    <w:name w:val="footnote reference"/>
    <w:unhideWhenUsed/>
    <w:qFormat/>
    <w:uiPriority w:val="99"/>
    <w:rPr>
      <w:vertAlign w:val="superscript"/>
    </w:rPr>
  </w:style>
  <w:style w:type="paragraph" w:customStyle="1" w:styleId="42">
    <w:name w:val="Default"/>
    <w:next w:val="1"/>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43">
    <w:name w:val="正文文本 Char"/>
    <w:link w:val="2"/>
    <w:qFormat/>
    <w:uiPriority w:val="0"/>
    <w:rPr>
      <w:kern w:val="2"/>
      <w:sz w:val="21"/>
      <w:szCs w:val="24"/>
    </w:rPr>
  </w:style>
  <w:style w:type="character" w:customStyle="1" w:styleId="44">
    <w:name w:val="标题 1 Char"/>
    <w:link w:val="3"/>
    <w:qFormat/>
    <w:uiPriority w:val="0"/>
    <w:rPr>
      <w:rFonts w:eastAsia="黑体"/>
      <w:b/>
      <w:kern w:val="44"/>
      <w:sz w:val="28"/>
    </w:rPr>
  </w:style>
  <w:style w:type="character" w:customStyle="1" w:styleId="45">
    <w:name w:val="标题 2 Char"/>
    <w:link w:val="4"/>
    <w:qFormat/>
    <w:uiPriority w:val="0"/>
    <w:rPr>
      <w:rFonts w:eastAsia="黑体"/>
      <w:b/>
      <w:sz w:val="28"/>
    </w:rPr>
  </w:style>
  <w:style w:type="character" w:customStyle="1" w:styleId="46">
    <w:name w:val="标题 3 Char"/>
    <w:link w:val="5"/>
    <w:qFormat/>
    <w:uiPriority w:val="0"/>
    <w:rPr>
      <w:b/>
      <w:bCs/>
      <w:kern w:val="2"/>
      <w:sz w:val="32"/>
      <w:szCs w:val="32"/>
    </w:rPr>
  </w:style>
  <w:style w:type="character" w:customStyle="1" w:styleId="47">
    <w:name w:val="标题 4 Char"/>
    <w:link w:val="6"/>
    <w:qFormat/>
    <w:uiPriority w:val="0"/>
    <w:rPr>
      <w:rFonts w:ascii="Arial" w:hAnsi="Arial" w:eastAsia="黑体"/>
      <w:sz w:val="28"/>
    </w:rPr>
  </w:style>
  <w:style w:type="character" w:customStyle="1" w:styleId="48">
    <w:name w:val="标题 5 Char"/>
    <w:link w:val="7"/>
    <w:qFormat/>
    <w:uiPriority w:val="0"/>
    <w:rPr>
      <w:b/>
      <w:sz w:val="28"/>
      <w:szCs w:val="24"/>
    </w:rPr>
  </w:style>
  <w:style w:type="character" w:customStyle="1" w:styleId="49">
    <w:name w:val="正文缩进 Char"/>
    <w:link w:val="8"/>
    <w:qFormat/>
    <w:uiPriority w:val="0"/>
  </w:style>
  <w:style w:type="character" w:customStyle="1" w:styleId="50">
    <w:name w:val="文档结构图 Char"/>
    <w:link w:val="9"/>
    <w:qFormat/>
    <w:uiPriority w:val="0"/>
    <w:rPr>
      <w:kern w:val="2"/>
      <w:sz w:val="21"/>
      <w:szCs w:val="24"/>
      <w:shd w:val="clear" w:color="auto" w:fill="000080"/>
    </w:rPr>
  </w:style>
  <w:style w:type="character" w:customStyle="1" w:styleId="51">
    <w:name w:val="批注文字 Char"/>
    <w:link w:val="11"/>
    <w:qFormat/>
    <w:uiPriority w:val="99"/>
    <w:rPr>
      <w:kern w:val="2"/>
      <w:sz w:val="21"/>
      <w:szCs w:val="24"/>
    </w:rPr>
  </w:style>
  <w:style w:type="character" w:customStyle="1" w:styleId="52">
    <w:name w:val="正文文本 3 Char"/>
    <w:link w:val="12"/>
    <w:qFormat/>
    <w:uiPriority w:val="0"/>
    <w:rPr>
      <w:kern w:val="2"/>
      <w:sz w:val="16"/>
      <w:szCs w:val="16"/>
    </w:rPr>
  </w:style>
  <w:style w:type="character" w:customStyle="1" w:styleId="53">
    <w:name w:val="纯文本 Char"/>
    <w:link w:val="16"/>
    <w:qFormat/>
    <w:uiPriority w:val="0"/>
    <w:rPr>
      <w:rFonts w:ascii="宋体" w:eastAsia="宋体"/>
      <w:kern w:val="2"/>
      <w:sz w:val="21"/>
      <w:lang w:val="en-US" w:eastAsia="zh-CN" w:bidi="ar-SA"/>
    </w:rPr>
  </w:style>
  <w:style w:type="character" w:customStyle="1" w:styleId="54">
    <w:name w:val="日期 Char"/>
    <w:link w:val="17"/>
    <w:qFormat/>
    <w:uiPriority w:val="0"/>
    <w:rPr>
      <w:kern w:val="2"/>
      <w:sz w:val="21"/>
      <w:szCs w:val="24"/>
    </w:rPr>
  </w:style>
  <w:style w:type="character" w:customStyle="1" w:styleId="55">
    <w:name w:val="正文文本缩进 2 Char"/>
    <w:link w:val="18"/>
    <w:qFormat/>
    <w:uiPriority w:val="0"/>
    <w:rPr>
      <w:kern w:val="2"/>
      <w:sz w:val="21"/>
      <w:szCs w:val="24"/>
    </w:rPr>
  </w:style>
  <w:style w:type="character" w:customStyle="1" w:styleId="56">
    <w:name w:val="尾注文本 Char"/>
    <w:link w:val="19"/>
    <w:semiHidden/>
    <w:qFormat/>
    <w:uiPriority w:val="99"/>
    <w:rPr>
      <w:kern w:val="2"/>
      <w:sz w:val="21"/>
      <w:szCs w:val="24"/>
    </w:rPr>
  </w:style>
  <w:style w:type="character" w:customStyle="1" w:styleId="57">
    <w:name w:val="批注框文本 Char"/>
    <w:link w:val="20"/>
    <w:qFormat/>
    <w:uiPriority w:val="0"/>
    <w:rPr>
      <w:kern w:val="2"/>
      <w:sz w:val="18"/>
      <w:szCs w:val="18"/>
    </w:rPr>
  </w:style>
  <w:style w:type="character" w:customStyle="1" w:styleId="58">
    <w:name w:val="页脚 Char"/>
    <w:link w:val="21"/>
    <w:qFormat/>
    <w:uiPriority w:val="99"/>
    <w:rPr>
      <w:rFonts w:ascii="宋体"/>
      <w:kern w:val="2"/>
      <w:sz w:val="18"/>
      <w:szCs w:val="24"/>
    </w:rPr>
  </w:style>
  <w:style w:type="character" w:customStyle="1" w:styleId="59">
    <w:name w:val="页眉 Char"/>
    <w:link w:val="22"/>
    <w:qFormat/>
    <w:uiPriority w:val="0"/>
    <w:rPr>
      <w:kern w:val="2"/>
      <w:sz w:val="18"/>
      <w:szCs w:val="18"/>
    </w:rPr>
  </w:style>
  <w:style w:type="character" w:customStyle="1" w:styleId="60">
    <w:name w:val="脚注文本 Char"/>
    <w:link w:val="24"/>
    <w:semiHidden/>
    <w:qFormat/>
    <w:uiPriority w:val="99"/>
    <w:rPr>
      <w:kern w:val="2"/>
      <w:sz w:val="18"/>
      <w:szCs w:val="18"/>
    </w:rPr>
  </w:style>
  <w:style w:type="character" w:customStyle="1" w:styleId="61">
    <w:name w:val="正文文本 2 Char"/>
    <w:link w:val="27"/>
    <w:qFormat/>
    <w:uiPriority w:val="0"/>
    <w:rPr>
      <w:kern w:val="2"/>
      <w:sz w:val="21"/>
      <w:szCs w:val="24"/>
    </w:rPr>
  </w:style>
  <w:style w:type="character" w:customStyle="1" w:styleId="62">
    <w:name w:val="标题 Char"/>
    <w:link w:val="28"/>
    <w:qFormat/>
    <w:uiPriority w:val="0"/>
    <w:rPr>
      <w:rFonts w:ascii="Cambria" w:hAnsi="Cambria" w:cs="Times New Roman"/>
      <w:b/>
      <w:bCs/>
      <w:kern w:val="2"/>
      <w:sz w:val="32"/>
      <w:szCs w:val="32"/>
    </w:rPr>
  </w:style>
  <w:style w:type="character" w:customStyle="1" w:styleId="63">
    <w:name w:val="批注主题 Char"/>
    <w:link w:val="29"/>
    <w:qFormat/>
    <w:uiPriority w:val="0"/>
    <w:rPr>
      <w:b/>
      <w:bCs/>
      <w:kern w:val="2"/>
      <w:sz w:val="21"/>
      <w:szCs w:val="24"/>
    </w:rPr>
  </w:style>
  <w:style w:type="character" w:customStyle="1" w:styleId="64">
    <w:name w:val="页脚 字符"/>
    <w:qFormat/>
    <w:uiPriority w:val="0"/>
    <w:rPr>
      <w:kern w:val="2"/>
      <w:sz w:val="18"/>
      <w:szCs w:val="18"/>
    </w:rPr>
  </w:style>
  <w:style w:type="character" w:customStyle="1" w:styleId="65">
    <w:name w:val="页脚 Char Char"/>
    <w:qFormat/>
    <w:uiPriority w:val="0"/>
    <w:rPr>
      <w:rFonts w:ascii="宋体"/>
      <w:kern w:val="2"/>
      <w:sz w:val="18"/>
    </w:rPr>
  </w:style>
  <w:style w:type="character" w:customStyle="1" w:styleId="66">
    <w:name w:val="标题 3 Char_0"/>
    <w:link w:val="67"/>
    <w:qFormat/>
    <w:uiPriority w:val="0"/>
    <w:rPr>
      <w:b/>
      <w:sz w:val="32"/>
    </w:rPr>
  </w:style>
  <w:style w:type="paragraph" w:customStyle="1" w:styleId="67">
    <w:name w:val="标题 3_0"/>
    <w:basedOn w:val="68"/>
    <w:next w:val="68"/>
    <w:link w:val="66"/>
    <w:qFormat/>
    <w:uiPriority w:val="0"/>
    <w:pPr>
      <w:keepNext/>
      <w:keepLines/>
      <w:spacing w:before="260" w:after="260" w:line="413" w:lineRule="auto"/>
      <w:outlineLvl w:val="2"/>
    </w:pPr>
    <w:rPr>
      <w:b/>
      <w:kern w:val="0"/>
      <w:sz w:val="32"/>
    </w:rPr>
  </w:style>
  <w:style w:type="paragraph" w:customStyle="1" w:styleId="68">
    <w:name w:val="正文_1"/>
    <w:qFormat/>
    <w:uiPriority w:val="0"/>
    <w:pPr>
      <w:widowControl w:val="0"/>
      <w:jc w:val="both"/>
    </w:pPr>
    <w:rPr>
      <w:rFonts w:ascii="Times New Roman" w:hAnsi="Times New Roman" w:eastAsia="宋体" w:cs="Times New Roman"/>
      <w:kern w:val="2"/>
      <w:sz w:val="21"/>
      <w:lang w:val="en-US" w:eastAsia="zh-CN" w:bidi="ar-SA"/>
    </w:rPr>
  </w:style>
  <w:style w:type="character" w:customStyle="1" w:styleId="69">
    <w:name w:val="纯文本 Char1"/>
    <w:qFormat/>
    <w:uiPriority w:val="0"/>
    <w:rPr>
      <w:rFonts w:ascii="宋体" w:eastAsia="宋体"/>
      <w:kern w:val="2"/>
      <w:sz w:val="21"/>
      <w:lang w:val="en-US" w:eastAsia="zh-CN" w:bidi="ar-SA"/>
    </w:rPr>
  </w:style>
  <w:style w:type="character" w:customStyle="1" w:styleId="70">
    <w:name w:val="grame"/>
    <w:qFormat/>
    <w:uiPriority w:val="0"/>
  </w:style>
  <w:style w:type="character" w:customStyle="1" w:styleId="71">
    <w:name w:val="孙普文字 Char"/>
    <w:qFormat/>
    <w:uiPriority w:val="0"/>
    <w:rPr>
      <w:rFonts w:ascii="宋体" w:hAnsi="Times New Roman" w:eastAsia="宋体" w:cs="Times New Roman"/>
      <w:szCs w:val="20"/>
    </w:rPr>
  </w:style>
  <w:style w:type="character" w:customStyle="1" w:styleId="72">
    <w:name w:val="标题 3 Char1"/>
    <w:qFormat/>
    <w:uiPriority w:val="0"/>
    <w:rPr>
      <w:rFonts w:eastAsia="宋体"/>
      <w:b/>
      <w:bCs/>
      <w:kern w:val="2"/>
      <w:sz w:val="32"/>
      <w:szCs w:val="32"/>
      <w:lang w:val="en-US" w:eastAsia="zh-CN" w:bidi="ar-SA"/>
    </w:rPr>
  </w:style>
  <w:style w:type="character" w:customStyle="1" w:styleId="73">
    <w:name w:val="dy_biao_content1"/>
    <w:qFormat/>
    <w:uiPriority w:val="0"/>
    <w:rPr>
      <w:rFonts w:hint="eastAsia" w:ascii="宋体" w:hAnsi="宋体" w:eastAsia="宋体"/>
      <w:sz w:val="24"/>
      <w:szCs w:val="24"/>
    </w:rPr>
  </w:style>
  <w:style w:type="character" w:customStyle="1" w:styleId="74">
    <w:name w:val="style10"/>
    <w:qFormat/>
    <w:uiPriority w:val="0"/>
  </w:style>
  <w:style w:type="character" w:customStyle="1" w:styleId="75">
    <w:name w:val="font81"/>
    <w:qFormat/>
    <w:uiPriority w:val="0"/>
    <w:rPr>
      <w:rFonts w:ascii="font-weight : 400" w:hAnsi="font-weight : 400" w:eastAsia="Times New Roman" w:cs="Times New Roman"/>
      <w:color w:val="000000"/>
      <w:sz w:val="20"/>
      <w:szCs w:val="20"/>
      <w:u w:val="none"/>
    </w:rPr>
  </w:style>
  <w:style w:type="character" w:customStyle="1" w:styleId="76">
    <w:name w:val="font71"/>
    <w:qFormat/>
    <w:uiPriority w:val="0"/>
    <w:rPr>
      <w:rFonts w:ascii="微软雅黑" w:hAnsi="微软雅黑" w:eastAsia="微软雅黑" w:cs="微软雅黑"/>
      <w:b/>
      <w:color w:val="000000"/>
      <w:sz w:val="24"/>
      <w:szCs w:val="24"/>
      <w:u w:val="none"/>
    </w:rPr>
  </w:style>
  <w:style w:type="character" w:customStyle="1" w:styleId="77">
    <w:name w:val="列出段落 Char"/>
    <w:link w:val="78"/>
    <w:qFormat/>
    <w:uiPriority w:val="0"/>
    <w:rPr>
      <w:kern w:val="2"/>
      <w:sz w:val="21"/>
      <w:szCs w:val="24"/>
    </w:rPr>
  </w:style>
  <w:style w:type="paragraph" w:customStyle="1" w:styleId="78">
    <w:name w:val="List Paragraph"/>
    <w:basedOn w:val="1"/>
    <w:link w:val="77"/>
    <w:qFormat/>
    <w:uiPriority w:val="0"/>
    <w:pPr>
      <w:ind w:firstLine="420" w:firstLineChars="200"/>
    </w:pPr>
  </w:style>
  <w:style w:type="character" w:customStyle="1" w:styleId="79">
    <w:name w:val="纯文本 Char2"/>
    <w:qFormat/>
    <w:uiPriority w:val="0"/>
    <w:rPr>
      <w:rFonts w:ascii="宋体" w:hAnsi="Times New Roman" w:eastAsia="宋体" w:cs="Times New Roman"/>
      <w:kern w:val="2"/>
      <w:sz w:val="21"/>
      <w:lang w:val="en-US" w:eastAsia="zh-CN" w:bidi="ar-SA"/>
    </w:rPr>
  </w:style>
  <w:style w:type="character" w:customStyle="1" w:styleId="80">
    <w:name w:val="font121"/>
    <w:qFormat/>
    <w:uiPriority w:val="0"/>
    <w:rPr>
      <w:rFonts w:hint="eastAsia" w:ascii="宋体" w:hAnsi="宋体" w:eastAsia="宋体"/>
      <w:color w:val="000000"/>
      <w:sz w:val="20"/>
      <w:szCs w:val="20"/>
      <w:u w:val="none"/>
    </w:rPr>
  </w:style>
  <w:style w:type="character" w:customStyle="1" w:styleId="81">
    <w:name w:val="承康医疗 Char Char"/>
    <w:link w:val="82"/>
    <w:qFormat/>
    <w:uiPriority w:val="0"/>
    <w:rPr>
      <w:rFonts w:ascii="微软雅黑" w:hAnsi="微软雅黑" w:eastAsia="微软雅黑"/>
      <w:sz w:val="21"/>
      <w:szCs w:val="21"/>
    </w:rPr>
  </w:style>
  <w:style w:type="paragraph" w:customStyle="1" w:styleId="82">
    <w:name w:val="承康医疗"/>
    <w:basedOn w:val="1"/>
    <w:link w:val="81"/>
    <w:qFormat/>
    <w:uiPriority w:val="0"/>
    <w:pPr>
      <w:widowControl/>
      <w:jc w:val="left"/>
    </w:pPr>
    <w:rPr>
      <w:rFonts w:ascii="微软雅黑" w:hAnsi="微软雅黑" w:eastAsia="微软雅黑"/>
      <w:kern w:val="0"/>
      <w:szCs w:val="21"/>
    </w:rPr>
  </w:style>
  <w:style w:type="character" w:customStyle="1" w:styleId="83">
    <w:name w:val="标题 2 Char_0"/>
    <w:link w:val="84"/>
    <w:qFormat/>
    <w:uiPriority w:val="0"/>
    <w:rPr>
      <w:rFonts w:eastAsia="黑体"/>
      <w:b/>
      <w:sz w:val="28"/>
    </w:rPr>
  </w:style>
  <w:style w:type="paragraph" w:customStyle="1" w:styleId="84">
    <w:name w:val="标题 2_0"/>
    <w:basedOn w:val="85"/>
    <w:next w:val="85"/>
    <w:link w:val="83"/>
    <w:qFormat/>
    <w:uiPriority w:val="0"/>
    <w:pPr>
      <w:keepNext/>
      <w:numPr>
        <w:ilvl w:val="1"/>
        <w:numId w:val="3"/>
      </w:numPr>
      <w:tabs>
        <w:tab w:val="left" w:pos="1021"/>
        <w:tab w:val="clear" w:pos="840"/>
      </w:tabs>
      <w:adjustRightInd w:val="0"/>
      <w:spacing w:before="120" w:line="360" w:lineRule="auto"/>
      <w:textAlignment w:val="baseline"/>
      <w:outlineLvl w:val="1"/>
    </w:pPr>
    <w:rPr>
      <w:rFonts w:ascii="Times New Roman" w:hAnsi="Times New Roman" w:eastAsia="黑体"/>
      <w:b/>
      <w:kern w:val="0"/>
      <w:sz w:val="28"/>
      <w:szCs w:val="20"/>
    </w:rPr>
  </w:style>
  <w:style w:type="paragraph" w:customStyle="1" w:styleId="85">
    <w:name w:val="正文_0"/>
    <w:qFormat/>
    <w:uiPriority w:val="0"/>
    <w:pPr>
      <w:widowControl w:val="0"/>
      <w:jc w:val="both"/>
    </w:pPr>
    <w:rPr>
      <w:rFonts w:ascii="Calibri" w:hAnsi="Calibri" w:eastAsia="宋体" w:cs="Times New Roman"/>
      <w:kern w:val="2"/>
      <w:sz w:val="21"/>
      <w:szCs w:val="22"/>
      <w:lang w:val="en-US" w:eastAsia="zh-CN" w:bidi="ar-SA"/>
    </w:rPr>
  </w:style>
  <w:style w:type="character" w:customStyle="1" w:styleId="86">
    <w:name w:val="标题 2 Char_1"/>
    <w:link w:val="87"/>
    <w:qFormat/>
    <w:uiPriority w:val="0"/>
    <w:rPr>
      <w:rFonts w:ascii="Arial" w:hAnsi="Arial" w:eastAsia="黑体"/>
      <w:b/>
      <w:sz w:val="32"/>
    </w:rPr>
  </w:style>
  <w:style w:type="paragraph" w:customStyle="1" w:styleId="87">
    <w:name w:val="标题 2_1"/>
    <w:basedOn w:val="68"/>
    <w:next w:val="68"/>
    <w:link w:val="86"/>
    <w:qFormat/>
    <w:uiPriority w:val="0"/>
    <w:pPr>
      <w:keepNext/>
      <w:keepLines/>
      <w:spacing w:before="260" w:after="260" w:line="413" w:lineRule="auto"/>
      <w:outlineLvl w:val="1"/>
    </w:pPr>
    <w:rPr>
      <w:rFonts w:ascii="Arial" w:hAnsi="Arial" w:eastAsia="黑体"/>
      <w:b/>
      <w:kern w:val="0"/>
      <w:sz w:val="32"/>
    </w:rPr>
  </w:style>
  <w:style w:type="character" w:customStyle="1" w:styleId="88">
    <w:name w:val="Date Char Char"/>
    <w:link w:val="89"/>
    <w:qFormat/>
    <w:uiPriority w:val="0"/>
    <w:rPr>
      <w:kern w:val="2"/>
      <w:sz w:val="21"/>
    </w:rPr>
  </w:style>
  <w:style w:type="paragraph" w:customStyle="1" w:styleId="89">
    <w:name w:val="日期1"/>
    <w:basedOn w:val="1"/>
    <w:next w:val="1"/>
    <w:link w:val="88"/>
    <w:qFormat/>
    <w:uiPriority w:val="0"/>
    <w:rPr>
      <w:szCs w:val="20"/>
    </w:rPr>
  </w:style>
  <w:style w:type="character" w:customStyle="1" w:styleId="90">
    <w:name w:val="font11"/>
    <w:qFormat/>
    <w:uiPriority w:val="0"/>
    <w:rPr>
      <w:rFonts w:hint="eastAsia" w:ascii="宋体" w:hAnsi="宋体" w:eastAsia="宋体" w:cs="宋体"/>
      <w:color w:val="000000"/>
      <w:sz w:val="21"/>
      <w:szCs w:val="21"/>
      <w:u w:val="none"/>
    </w:rPr>
  </w:style>
  <w:style w:type="character" w:customStyle="1" w:styleId="91">
    <w:name w:val="font101"/>
    <w:qFormat/>
    <w:uiPriority w:val="0"/>
    <w:rPr>
      <w:rFonts w:hint="default" w:ascii="Times New Roman" w:hAnsi="Times New Roman" w:cs="Times New Roman"/>
      <w:color w:val="000000"/>
      <w:sz w:val="20"/>
      <w:szCs w:val="20"/>
      <w:u w:val="none"/>
    </w:rPr>
  </w:style>
  <w:style w:type="character" w:customStyle="1" w:styleId="92">
    <w:name w:val="font41"/>
    <w:qFormat/>
    <w:uiPriority w:val="0"/>
    <w:rPr>
      <w:rFonts w:hint="eastAsia" w:ascii="宋体" w:hAnsi="宋体" w:eastAsia="宋体"/>
      <w:color w:val="000000"/>
      <w:sz w:val="20"/>
      <w:szCs w:val="20"/>
      <w:u w:val="none"/>
    </w:rPr>
  </w:style>
  <w:style w:type="character" w:customStyle="1" w:styleId="93">
    <w:name w:val="纯文本 Char_0"/>
    <w:link w:val="94"/>
    <w:qFormat/>
    <w:uiPriority w:val="0"/>
    <w:rPr>
      <w:rFonts w:ascii="宋体"/>
    </w:rPr>
  </w:style>
  <w:style w:type="paragraph" w:customStyle="1" w:styleId="94">
    <w:name w:val="纯文本_0"/>
    <w:basedOn w:val="85"/>
    <w:link w:val="93"/>
    <w:qFormat/>
    <w:uiPriority w:val="0"/>
    <w:rPr>
      <w:rFonts w:ascii="宋体" w:hAnsi="Times New Roman"/>
      <w:kern w:val="0"/>
      <w:sz w:val="20"/>
      <w:szCs w:val="20"/>
    </w:rPr>
  </w:style>
  <w:style w:type="character" w:customStyle="1" w:styleId="95">
    <w:name w:val="apple-converted-space"/>
    <w:qFormat/>
    <w:uiPriority w:val="0"/>
  </w:style>
  <w:style w:type="character" w:customStyle="1" w:styleId="96">
    <w:name w:val="_Style 91"/>
    <w:qFormat/>
    <w:uiPriority w:val="0"/>
    <w:rPr>
      <w:rFonts w:eastAsia="仿宋_GB2312"/>
      <w:iCs/>
      <w:color w:val="auto"/>
      <w:sz w:val="24"/>
    </w:rPr>
  </w:style>
  <w:style w:type="character" w:customStyle="1" w:styleId="97">
    <w:name w:val="grame_0"/>
    <w:qFormat/>
    <w:uiPriority w:val="0"/>
    <w:rPr>
      <w:rFonts w:ascii="Calibri" w:hAnsi="Calibri"/>
    </w:rPr>
  </w:style>
  <w:style w:type="character" w:customStyle="1" w:styleId="98">
    <w:name w:val="NormalCharacter"/>
    <w:qFormat/>
    <w:uiPriority w:val="0"/>
  </w:style>
  <w:style w:type="character" w:customStyle="1" w:styleId="99">
    <w:name w:val="纯文本 字符1"/>
    <w:qFormat/>
    <w:uiPriority w:val="0"/>
    <w:rPr>
      <w:rFonts w:ascii="宋体" w:eastAsia="宋体"/>
      <w:kern w:val="2"/>
      <w:sz w:val="21"/>
      <w:lang w:val="en-US" w:eastAsia="zh-CN" w:bidi="ar-SA"/>
    </w:rPr>
  </w:style>
  <w:style w:type="character" w:customStyle="1" w:styleId="100">
    <w:name w:val="font01"/>
    <w:qFormat/>
    <w:uiPriority w:val="0"/>
    <w:rPr>
      <w:rFonts w:hint="eastAsia" w:ascii="宋体" w:hAnsi="宋体" w:eastAsia="宋体" w:cs="宋体"/>
      <w:b/>
      <w:color w:val="000000"/>
      <w:sz w:val="18"/>
      <w:szCs w:val="18"/>
      <w:u w:val="none"/>
    </w:rPr>
  </w:style>
  <w:style w:type="character" w:customStyle="1" w:styleId="101">
    <w:name w:val="font61"/>
    <w:qFormat/>
    <w:uiPriority w:val="0"/>
    <w:rPr>
      <w:rFonts w:hint="eastAsia" w:ascii="宋体" w:hAnsi="宋体" w:eastAsia="宋体" w:cs="宋体"/>
      <w:color w:val="000000"/>
      <w:sz w:val="18"/>
      <w:szCs w:val="18"/>
      <w:u w:val="none"/>
      <w:vertAlign w:val="superscript"/>
    </w:rPr>
  </w:style>
  <w:style w:type="character" w:customStyle="1" w:styleId="102">
    <w:name w:val="纯文本 Char_1"/>
    <w:link w:val="103"/>
    <w:qFormat/>
    <w:uiPriority w:val="0"/>
    <w:rPr>
      <w:rFonts w:ascii="宋体"/>
    </w:rPr>
  </w:style>
  <w:style w:type="paragraph" w:customStyle="1" w:styleId="103">
    <w:name w:val="纯文本_1"/>
    <w:basedOn w:val="68"/>
    <w:link w:val="102"/>
    <w:qFormat/>
    <w:uiPriority w:val="0"/>
    <w:rPr>
      <w:rFonts w:ascii="宋体"/>
      <w:kern w:val="0"/>
      <w:sz w:val="20"/>
    </w:rPr>
  </w:style>
  <w:style w:type="paragraph" w:customStyle="1" w:styleId="104">
    <w:name w:val="正文1"/>
    <w:basedOn w:val="68"/>
    <w:qFormat/>
    <w:uiPriority w:val="0"/>
    <w:pPr>
      <w:ind w:firstLine="420" w:firstLineChars="200"/>
    </w:pPr>
    <w:rPr>
      <w:rFonts w:cs="宋体"/>
      <w:szCs w:val="24"/>
    </w:rPr>
  </w:style>
  <w:style w:type="paragraph" w:customStyle="1" w:styleId="105">
    <w:name w:val="Char Char Char Char Char Char"/>
    <w:basedOn w:val="1"/>
    <w:qFormat/>
    <w:uiPriority w:val="0"/>
    <w:rPr>
      <w:rFonts w:ascii="Tahoma" w:hAnsi="Tahoma"/>
      <w:sz w:val="24"/>
      <w:szCs w:val="20"/>
    </w:rPr>
  </w:style>
  <w:style w:type="paragraph" w:customStyle="1" w:styleId="106">
    <w:name w:val="et29"/>
    <w:basedOn w:val="1"/>
    <w:qFormat/>
    <w:uiPriority w:val="0"/>
    <w:pPr>
      <w:widowControl/>
      <w:spacing w:before="100" w:beforeAutospacing="1" w:after="100" w:afterAutospacing="1"/>
      <w:jc w:val="left"/>
      <w:textAlignment w:val="center"/>
    </w:pPr>
    <w:rPr>
      <w:rFonts w:ascii="宋体" w:hAnsi="宋体" w:cs="宋体"/>
      <w:color w:val="000000"/>
      <w:kern w:val="0"/>
      <w:sz w:val="22"/>
      <w:szCs w:val="22"/>
    </w:rPr>
  </w:style>
  <w:style w:type="paragraph" w:customStyle="1" w:styleId="107">
    <w:name w:val="button"/>
    <w:basedOn w:val="1"/>
    <w:qFormat/>
    <w:uiPriority w:val="0"/>
    <w:pPr>
      <w:widowControl/>
      <w:pBdr>
        <w:top w:val="single" w:color="56A7EE" w:sz="6" w:space="2"/>
        <w:left w:val="single" w:color="56A7EE" w:sz="6" w:space="2"/>
        <w:bottom w:val="single" w:color="56A7EE" w:sz="6" w:space="0"/>
        <w:right w:val="single" w:color="56A7EE" w:sz="6" w:space="2"/>
      </w:pBdr>
      <w:spacing w:before="100" w:beforeAutospacing="1" w:after="100" w:afterAutospacing="1"/>
      <w:jc w:val="left"/>
    </w:pPr>
    <w:rPr>
      <w:rFonts w:ascii="宋体" w:hAnsi="宋体" w:cs="宋体"/>
      <w:color w:val="000000"/>
      <w:kern w:val="0"/>
      <w:sz w:val="18"/>
      <w:szCs w:val="18"/>
    </w:rPr>
  </w:style>
  <w:style w:type="paragraph" w:customStyle="1" w:styleId="108">
    <w:name w:val="font5"/>
    <w:basedOn w:val="1"/>
    <w:qFormat/>
    <w:uiPriority w:val="0"/>
    <w:pPr>
      <w:widowControl/>
      <w:spacing w:before="100" w:beforeAutospacing="1" w:after="100" w:afterAutospacing="1"/>
      <w:jc w:val="left"/>
    </w:pPr>
    <w:rPr>
      <w:rFonts w:ascii="宋体" w:hAnsi="宋体" w:cs="宋体"/>
      <w:b/>
      <w:bCs/>
      <w:color w:val="000000"/>
      <w:kern w:val="0"/>
      <w:sz w:val="18"/>
      <w:szCs w:val="18"/>
    </w:rPr>
  </w:style>
  <w:style w:type="paragraph" w:customStyle="1" w:styleId="109">
    <w:name w:val="默认段落字体 Char Char Char"/>
    <w:basedOn w:val="1"/>
    <w:qFormat/>
    <w:uiPriority w:val="0"/>
    <w:rPr>
      <w:rFonts w:ascii="Calibri" w:hAnsi="Calibri"/>
      <w:szCs w:val="22"/>
    </w:rPr>
  </w:style>
  <w:style w:type="paragraph" w:customStyle="1" w:styleId="110">
    <w:name w:val="maintd1"/>
    <w:basedOn w:val="1"/>
    <w:qFormat/>
    <w:uiPriority w:val="0"/>
    <w:pPr>
      <w:widowControl/>
      <w:pBdr>
        <w:left w:val="single" w:color="A7A7A7" w:sz="6" w:space="0"/>
        <w:right w:val="single" w:color="A7A7A7" w:sz="6" w:space="0"/>
      </w:pBdr>
      <w:spacing w:before="100" w:beforeAutospacing="1" w:after="100" w:afterAutospacing="1"/>
      <w:jc w:val="left"/>
    </w:pPr>
    <w:rPr>
      <w:rFonts w:ascii="宋体" w:hAnsi="宋体" w:cs="宋体"/>
      <w:kern w:val="0"/>
      <w:sz w:val="24"/>
    </w:rPr>
  </w:style>
  <w:style w:type="paragraph" w:customStyle="1" w:styleId="111">
    <w:name w:val="wallbg1"/>
    <w:basedOn w:val="1"/>
    <w:qFormat/>
    <w:uiPriority w:val="0"/>
    <w:pPr>
      <w:widowControl/>
      <w:spacing w:before="100" w:beforeAutospacing="1" w:after="100" w:afterAutospacing="1"/>
      <w:jc w:val="left"/>
    </w:pPr>
    <w:rPr>
      <w:rFonts w:ascii="宋体" w:hAnsi="宋体" w:cs="宋体"/>
      <w:kern w:val="0"/>
      <w:sz w:val="24"/>
    </w:rPr>
  </w:style>
  <w:style w:type="paragraph" w:customStyle="1" w:styleId="112">
    <w:name w:val="wall_font1"/>
    <w:basedOn w:val="1"/>
    <w:qFormat/>
    <w:uiPriority w:val="0"/>
    <w:pPr>
      <w:widowControl/>
      <w:spacing w:before="100" w:beforeAutospacing="1" w:after="100" w:afterAutospacing="1"/>
      <w:jc w:val="left"/>
    </w:pPr>
    <w:rPr>
      <w:rFonts w:ascii="ˎ̥" w:hAnsi="ˎ̥" w:cs="宋体"/>
      <w:color w:val="000000"/>
      <w:kern w:val="0"/>
      <w:sz w:val="18"/>
      <w:szCs w:val="18"/>
    </w:rPr>
  </w:style>
  <w:style w:type="paragraph" w:customStyle="1" w:styleId="113">
    <w:name w:val="List Paragraph*"/>
    <w:basedOn w:val="1"/>
    <w:qFormat/>
    <w:uiPriority w:val="0"/>
    <w:pPr>
      <w:ind w:firstLine="420"/>
    </w:pPr>
    <w:rPr>
      <w:rFonts w:ascii="Calibri" w:hAnsi="Calibri"/>
      <w:color w:val="000000"/>
      <w:kern w:val="1"/>
      <w:szCs w:val="21"/>
    </w:rPr>
  </w:style>
  <w:style w:type="paragraph" w:customStyle="1" w:styleId="114">
    <w:name w:val="cgdlbtn"/>
    <w:basedOn w:val="1"/>
    <w:qFormat/>
    <w:uiPriority w:val="0"/>
    <w:pPr>
      <w:widowControl/>
      <w:spacing w:before="100" w:beforeAutospacing="1" w:after="100" w:afterAutospacing="1"/>
      <w:jc w:val="left"/>
    </w:pPr>
    <w:rPr>
      <w:rFonts w:ascii="ˎ̥" w:hAnsi="ˎ̥" w:cs="宋体"/>
      <w:color w:val="000000"/>
      <w:kern w:val="0"/>
      <w:sz w:val="18"/>
      <w:szCs w:val="18"/>
    </w:rPr>
  </w:style>
  <w:style w:type="paragraph" w:customStyle="1" w:styleId="115">
    <w:name w:val="maintd3"/>
    <w:basedOn w:val="1"/>
    <w:qFormat/>
    <w:uiPriority w:val="0"/>
    <w:pPr>
      <w:widowControl/>
      <w:pBdr>
        <w:top w:val="single" w:color="A7A7A7" w:sz="6" w:space="4"/>
        <w:left w:val="single" w:color="A7A7A7" w:sz="6" w:space="4"/>
        <w:bottom w:val="single" w:color="A7A7A7" w:sz="6" w:space="4"/>
        <w:right w:val="single" w:color="A7A7A7" w:sz="6" w:space="4"/>
      </w:pBdr>
      <w:spacing w:before="100" w:beforeAutospacing="1" w:after="100" w:afterAutospacing="1"/>
      <w:jc w:val="left"/>
    </w:pPr>
    <w:rPr>
      <w:rFonts w:ascii="宋体" w:hAnsi="宋体" w:cs="宋体"/>
      <w:kern w:val="0"/>
      <w:sz w:val="24"/>
    </w:rPr>
  </w:style>
  <w:style w:type="paragraph" w:customStyle="1" w:styleId="116">
    <w:name w:val="cvsleft2"/>
    <w:basedOn w:val="1"/>
    <w:qFormat/>
    <w:uiPriority w:val="0"/>
    <w:pPr>
      <w:widowControl/>
      <w:spacing w:before="100" w:beforeAutospacing="1" w:after="100" w:afterAutospacing="1"/>
      <w:jc w:val="left"/>
    </w:pPr>
    <w:rPr>
      <w:rFonts w:ascii="宋体" w:hAnsi="宋体" w:cs="宋体"/>
      <w:kern w:val="0"/>
      <w:sz w:val="24"/>
    </w:rPr>
  </w:style>
  <w:style w:type="paragraph" w:customStyle="1" w:styleId="117">
    <w:name w:val="black"/>
    <w:basedOn w:val="1"/>
    <w:qFormat/>
    <w:uiPriority w:val="0"/>
    <w:pPr>
      <w:widowControl/>
      <w:spacing w:before="100" w:beforeAutospacing="1" w:after="100" w:afterAutospacing="1"/>
      <w:jc w:val="left"/>
    </w:pPr>
    <w:rPr>
      <w:rFonts w:ascii="ˎ̥" w:hAnsi="ˎ̥" w:cs="宋体"/>
      <w:color w:val="333333"/>
      <w:kern w:val="0"/>
      <w:sz w:val="18"/>
      <w:szCs w:val="18"/>
    </w:rPr>
  </w:style>
  <w:style w:type="paragraph" w:customStyle="1" w:styleId="118">
    <w:name w:val="et32"/>
    <w:basedOn w:val="1"/>
    <w:qFormat/>
    <w:uiPriority w:val="0"/>
    <w:pPr>
      <w:widowControl/>
      <w:spacing w:before="100" w:beforeAutospacing="1" w:after="100" w:afterAutospacing="1"/>
      <w:jc w:val="left"/>
      <w:textAlignment w:val="center"/>
    </w:pPr>
    <w:rPr>
      <w:rFonts w:ascii="宋体" w:hAnsi="宋体" w:cs="宋体"/>
      <w:color w:val="000000"/>
      <w:kern w:val="0"/>
      <w:sz w:val="22"/>
      <w:szCs w:val="22"/>
    </w:rPr>
  </w:style>
  <w:style w:type="paragraph" w:customStyle="1" w:styleId="119">
    <w:name w:val="Char Char Char"/>
    <w:basedOn w:val="1"/>
    <w:qFormat/>
    <w:uiPriority w:val="0"/>
    <w:pPr>
      <w:ind w:firstLine="200" w:firstLineChars="200"/>
    </w:pPr>
    <w:rPr>
      <w:sz w:val="24"/>
    </w:rPr>
  </w:style>
  <w:style w:type="paragraph" w:customStyle="1" w:styleId="120">
    <w:name w:val="抬头"/>
    <w:basedOn w:val="1"/>
    <w:qFormat/>
    <w:uiPriority w:val="0"/>
    <w:pPr>
      <w:spacing w:beforeLines="50" w:line="360" w:lineRule="auto"/>
    </w:pPr>
    <w:rPr>
      <w:rFonts w:ascii="宋体"/>
      <w:sz w:val="24"/>
    </w:rPr>
  </w:style>
  <w:style w:type="paragraph" w:customStyle="1" w:styleId="121">
    <w:name w:val="wall_cg6"/>
    <w:basedOn w:val="1"/>
    <w:qFormat/>
    <w:uiPriority w:val="0"/>
    <w:pPr>
      <w:widowControl/>
      <w:spacing w:before="100" w:beforeAutospacing="1" w:after="100" w:afterAutospacing="1"/>
      <w:jc w:val="left"/>
    </w:pPr>
    <w:rPr>
      <w:rFonts w:ascii="宋体" w:hAnsi="宋体" w:cs="宋体"/>
      <w:kern w:val="0"/>
      <w:sz w:val="24"/>
    </w:rPr>
  </w:style>
  <w:style w:type="paragraph" w:customStyle="1" w:styleId="122">
    <w:name w:val="subsearch"/>
    <w:basedOn w:val="1"/>
    <w:qFormat/>
    <w:uiPriority w:val="0"/>
    <w:pPr>
      <w:widowControl/>
      <w:pBdr>
        <w:top w:val="single" w:color="BED4F4" w:sz="6" w:space="0"/>
        <w:left w:val="single" w:color="BED4F4" w:sz="6" w:space="0"/>
        <w:bottom w:val="single" w:color="BED4F4" w:sz="6" w:space="0"/>
        <w:right w:val="single" w:color="BED4F4" w:sz="6" w:space="0"/>
      </w:pBdr>
      <w:shd w:val="clear" w:color="auto" w:fill="F5FCFF"/>
      <w:spacing w:before="100" w:beforeAutospacing="1" w:after="100" w:afterAutospacing="1"/>
      <w:jc w:val="left"/>
    </w:pPr>
    <w:rPr>
      <w:rFonts w:ascii="宋体" w:hAnsi="宋体" w:cs="宋体"/>
      <w:kern w:val="0"/>
      <w:sz w:val="24"/>
    </w:rPr>
  </w:style>
  <w:style w:type="paragraph" w:customStyle="1" w:styleId="123">
    <w:name w:val="et46"/>
    <w:basedOn w:val="1"/>
    <w:qFormat/>
    <w:uiPriority w:val="0"/>
    <w:pPr>
      <w:widowControl/>
      <w:spacing w:before="100" w:beforeAutospacing="1" w:after="100" w:afterAutospacing="1"/>
      <w:jc w:val="left"/>
      <w:textAlignment w:val="center"/>
    </w:pPr>
    <w:rPr>
      <w:rFonts w:ascii="宋体" w:hAnsi="宋体" w:cs="宋体"/>
      <w:color w:val="000000"/>
      <w:kern w:val="0"/>
      <w:sz w:val="22"/>
      <w:szCs w:val="22"/>
    </w:rPr>
  </w:style>
  <w:style w:type="paragraph" w:customStyle="1" w:styleId="124">
    <w:name w:val="adminline2"/>
    <w:basedOn w:val="1"/>
    <w:qFormat/>
    <w:uiPriority w:val="0"/>
    <w:pPr>
      <w:widowControl/>
      <w:pBdr>
        <w:bottom w:val="dashed" w:color="auto" w:sz="6" w:space="0"/>
      </w:pBdr>
      <w:spacing w:before="100" w:beforeAutospacing="1" w:after="100" w:afterAutospacing="1"/>
      <w:jc w:val="left"/>
    </w:pPr>
    <w:rPr>
      <w:rFonts w:ascii="宋体" w:hAnsi="宋体" w:cs="宋体"/>
      <w:kern w:val="0"/>
      <w:sz w:val="24"/>
    </w:rPr>
  </w:style>
  <w:style w:type="paragraph" w:customStyle="1" w:styleId="125">
    <w:name w:val="titlebtblue"/>
    <w:basedOn w:val="1"/>
    <w:qFormat/>
    <w:uiPriority w:val="0"/>
    <w:pPr>
      <w:widowControl/>
      <w:spacing w:before="100" w:beforeAutospacing="1" w:after="100" w:afterAutospacing="1"/>
      <w:jc w:val="left"/>
    </w:pPr>
    <w:rPr>
      <w:rFonts w:ascii="ˎ̥" w:hAnsi="ˎ̥" w:cs="宋体"/>
      <w:b/>
      <w:bCs/>
      <w:color w:val="0029DB"/>
      <w:kern w:val="0"/>
      <w:sz w:val="18"/>
      <w:szCs w:val="18"/>
    </w:rPr>
  </w:style>
  <w:style w:type="paragraph" w:customStyle="1" w:styleId="126">
    <w:name w:val="yjjl2"/>
    <w:basedOn w:val="1"/>
    <w:qFormat/>
    <w:uiPriority w:val="0"/>
    <w:pPr>
      <w:widowControl/>
      <w:pBdr>
        <w:bottom w:val="single" w:color="D2D4FD" w:sz="6" w:space="0"/>
      </w:pBdr>
      <w:shd w:val="clear" w:color="auto" w:fill="EBF2FF"/>
      <w:spacing w:before="100" w:beforeAutospacing="1" w:after="100" w:afterAutospacing="1"/>
      <w:jc w:val="center"/>
    </w:pPr>
    <w:rPr>
      <w:rFonts w:ascii="ˎ̥" w:hAnsi="ˎ̥" w:cs="宋体"/>
      <w:kern w:val="0"/>
      <w:sz w:val="18"/>
      <w:szCs w:val="18"/>
    </w:rPr>
  </w:style>
  <w:style w:type="paragraph" w:customStyle="1" w:styleId="127">
    <w:name w:val="wall_cg5"/>
    <w:basedOn w:val="1"/>
    <w:qFormat/>
    <w:uiPriority w:val="0"/>
    <w:pPr>
      <w:widowControl/>
      <w:spacing w:before="100" w:beforeAutospacing="1" w:after="100" w:afterAutospacing="1"/>
      <w:jc w:val="left"/>
    </w:pPr>
    <w:rPr>
      <w:rFonts w:ascii="宋体" w:hAnsi="宋体" w:cs="宋体"/>
      <w:kern w:val="0"/>
      <w:sz w:val="24"/>
    </w:rPr>
  </w:style>
  <w:style w:type="paragraph" w:customStyle="1" w:styleId="128">
    <w:name w:val="et10"/>
    <w:basedOn w:val="1"/>
    <w:qFormat/>
    <w:uiPriority w:val="0"/>
    <w:pPr>
      <w:widowControl/>
      <w:spacing w:before="100" w:beforeAutospacing="1" w:after="100" w:afterAutospacing="1"/>
      <w:jc w:val="left"/>
      <w:textAlignment w:val="center"/>
    </w:pPr>
    <w:rPr>
      <w:rFonts w:ascii="宋体" w:hAnsi="宋体" w:cs="宋体"/>
      <w:color w:val="000000"/>
      <w:kern w:val="0"/>
      <w:sz w:val="22"/>
      <w:szCs w:val="22"/>
    </w:rPr>
  </w:style>
  <w:style w:type="paragraph" w:customStyle="1" w:styleId="129">
    <w:name w:val="et42"/>
    <w:basedOn w:val="1"/>
    <w:qFormat/>
    <w:uiPriority w:val="0"/>
    <w:pPr>
      <w:widowControl/>
      <w:spacing w:before="100" w:beforeAutospacing="1" w:after="100" w:afterAutospacing="1"/>
      <w:jc w:val="left"/>
      <w:textAlignment w:val="center"/>
    </w:pPr>
    <w:rPr>
      <w:rFonts w:ascii="宋体" w:hAnsi="宋体" w:cs="宋体"/>
      <w:color w:val="000000"/>
      <w:kern w:val="0"/>
      <w:sz w:val="22"/>
      <w:szCs w:val="22"/>
    </w:rPr>
  </w:style>
  <w:style w:type="paragraph" w:customStyle="1" w:styleId="130">
    <w:name w:val="adminright_bg"/>
    <w:basedOn w:val="1"/>
    <w:qFormat/>
    <w:uiPriority w:val="0"/>
    <w:pPr>
      <w:widowControl/>
      <w:pBdr>
        <w:bottom w:val="single" w:color="auto" w:sz="6" w:space="0"/>
      </w:pBdr>
      <w:spacing w:before="100" w:beforeAutospacing="1" w:after="100" w:afterAutospacing="1"/>
      <w:jc w:val="left"/>
    </w:pPr>
    <w:rPr>
      <w:rFonts w:ascii="宋体" w:hAnsi="宋体" w:cs="宋体"/>
      <w:kern w:val="0"/>
      <w:sz w:val="24"/>
    </w:rPr>
  </w:style>
  <w:style w:type="paragraph" w:customStyle="1" w:styleId="131">
    <w:name w:val="et22"/>
    <w:basedOn w:val="1"/>
    <w:qFormat/>
    <w:uiPriority w:val="0"/>
    <w:pPr>
      <w:widowControl/>
      <w:spacing w:before="100" w:beforeAutospacing="1" w:after="100" w:afterAutospacing="1"/>
      <w:jc w:val="left"/>
      <w:textAlignment w:val="center"/>
    </w:pPr>
    <w:rPr>
      <w:rFonts w:ascii="宋体" w:hAnsi="宋体" w:cs="宋体"/>
      <w:color w:val="000000"/>
      <w:kern w:val="0"/>
      <w:sz w:val="22"/>
      <w:szCs w:val="22"/>
    </w:rPr>
  </w:style>
  <w:style w:type="paragraph" w:customStyle="1" w:styleId="132">
    <w:name w:val="btn"/>
    <w:basedOn w:val="1"/>
    <w:qFormat/>
    <w:uiPriority w:val="0"/>
    <w:pPr>
      <w:widowControl/>
      <w:shd w:val="clear" w:color="auto" w:fill="3294C5"/>
      <w:jc w:val="center"/>
    </w:pPr>
    <w:rPr>
      <w:rFonts w:ascii="ˎ̥" w:hAnsi="ˎ̥" w:cs="宋体"/>
      <w:color w:val="000000"/>
      <w:kern w:val="0"/>
      <w:sz w:val="18"/>
      <w:szCs w:val="18"/>
    </w:rPr>
  </w:style>
  <w:style w:type="paragraph" w:customStyle="1" w:styleId="133">
    <w:name w:val="lunshu"/>
    <w:basedOn w:val="1"/>
    <w:qFormat/>
    <w:uiPriority w:val="0"/>
    <w:pPr>
      <w:widowControl/>
      <w:pBdr>
        <w:bottom w:val="single" w:color="D2D4FD" w:sz="6" w:space="0"/>
        <w:right w:val="single" w:color="D2D4FD" w:sz="6" w:space="0"/>
      </w:pBdr>
      <w:shd w:val="clear" w:color="auto" w:fill="FFFFFF"/>
      <w:spacing w:before="100" w:beforeAutospacing="1" w:after="100" w:afterAutospacing="1"/>
      <w:jc w:val="center"/>
    </w:pPr>
    <w:rPr>
      <w:rFonts w:ascii="ˎ̥" w:hAnsi="ˎ̥" w:cs="宋体"/>
      <w:b/>
      <w:bCs/>
      <w:color w:val="3E489F"/>
      <w:kern w:val="0"/>
      <w:sz w:val="18"/>
      <w:szCs w:val="18"/>
    </w:rPr>
  </w:style>
  <w:style w:type="paragraph" w:customStyle="1" w:styleId="134">
    <w:name w:val="navgation_pic3"/>
    <w:basedOn w:val="1"/>
    <w:qFormat/>
    <w:uiPriority w:val="0"/>
    <w:pPr>
      <w:widowControl/>
      <w:spacing w:before="100" w:beforeAutospacing="1" w:after="100" w:afterAutospacing="1"/>
      <w:jc w:val="left"/>
    </w:pPr>
    <w:rPr>
      <w:rFonts w:ascii="宋体" w:hAnsi="宋体" w:cs="宋体"/>
      <w:kern w:val="0"/>
      <w:sz w:val="24"/>
    </w:rPr>
  </w:style>
  <w:style w:type="paragraph" w:customStyle="1" w:styleId="135">
    <w:name w:val="et30"/>
    <w:basedOn w:val="1"/>
    <w:qFormat/>
    <w:uiPriority w:val="0"/>
    <w:pPr>
      <w:widowControl/>
      <w:spacing w:before="100" w:beforeAutospacing="1" w:after="100" w:afterAutospacing="1"/>
      <w:jc w:val="left"/>
      <w:textAlignment w:val="center"/>
    </w:pPr>
    <w:rPr>
      <w:rFonts w:ascii="宋体" w:hAnsi="宋体" w:cs="宋体"/>
      <w:color w:val="000000"/>
      <w:kern w:val="0"/>
      <w:sz w:val="22"/>
      <w:szCs w:val="22"/>
    </w:rPr>
  </w:style>
  <w:style w:type="paragraph" w:customStyle="1" w:styleId="136">
    <w:name w:val="admin_bg"/>
    <w:basedOn w:val="1"/>
    <w:qFormat/>
    <w:uiPriority w:val="0"/>
    <w:pPr>
      <w:widowControl/>
      <w:spacing w:before="100" w:beforeAutospacing="1" w:after="100" w:afterAutospacing="1" w:line="288" w:lineRule="auto"/>
      <w:jc w:val="left"/>
    </w:pPr>
    <w:rPr>
      <w:rFonts w:ascii="宋体" w:hAnsi="宋体" w:cs="宋体"/>
      <w:color w:val="000000"/>
      <w:kern w:val="0"/>
      <w:sz w:val="24"/>
    </w:rPr>
  </w:style>
  <w:style w:type="paragraph" w:customStyle="1" w:styleId="137">
    <w:name w:val="lefsubmenutd2"/>
    <w:basedOn w:val="1"/>
    <w:qFormat/>
    <w:uiPriority w:val="0"/>
    <w:pPr>
      <w:widowControl/>
      <w:pBdr>
        <w:bottom w:val="single" w:color="C5D6F4" w:sz="6" w:space="2"/>
      </w:pBdr>
      <w:shd w:val="clear" w:color="auto" w:fill="F5FFEA"/>
      <w:spacing w:before="100" w:beforeAutospacing="1" w:after="100" w:afterAutospacing="1"/>
      <w:jc w:val="left"/>
    </w:pPr>
    <w:rPr>
      <w:rFonts w:ascii="宋体" w:hAnsi="宋体" w:cs="宋体"/>
      <w:kern w:val="0"/>
      <w:sz w:val="24"/>
    </w:rPr>
  </w:style>
  <w:style w:type="paragraph" w:customStyle="1" w:styleId="138">
    <w:name w:val="titlebthui"/>
    <w:basedOn w:val="1"/>
    <w:qFormat/>
    <w:uiPriority w:val="0"/>
    <w:pPr>
      <w:widowControl/>
      <w:spacing w:before="100" w:beforeAutospacing="1" w:after="100" w:afterAutospacing="1"/>
      <w:jc w:val="left"/>
    </w:pPr>
    <w:rPr>
      <w:rFonts w:ascii="ˎ̥" w:hAnsi="ˎ̥" w:cs="宋体"/>
      <w:b/>
      <w:bCs/>
      <w:color w:val="828282"/>
      <w:kern w:val="0"/>
      <w:sz w:val="18"/>
      <w:szCs w:val="18"/>
    </w:rPr>
  </w:style>
  <w:style w:type="paragraph" w:customStyle="1" w:styleId="139">
    <w:name w:val="Absatz2AL"/>
    <w:basedOn w:val="2"/>
    <w:next w:val="1"/>
    <w:qFormat/>
    <w:uiPriority w:val="0"/>
    <w:pPr>
      <w:widowControl/>
      <w:overflowPunct w:val="0"/>
      <w:autoSpaceDE w:val="0"/>
      <w:autoSpaceDN w:val="0"/>
      <w:adjustRightInd w:val="0"/>
      <w:spacing w:after="0"/>
      <w:textAlignment w:val="baseline"/>
    </w:pPr>
    <w:rPr>
      <w:rFonts w:eastAsia="楷体_GB2312"/>
      <w:kern w:val="0"/>
      <w:sz w:val="24"/>
      <w:szCs w:val="20"/>
      <w:lang w:val="de-DE" w:eastAsia="de-DE"/>
    </w:rPr>
  </w:style>
  <w:style w:type="paragraph" w:customStyle="1" w:styleId="140">
    <w:name w:val="lawfont3"/>
    <w:basedOn w:val="1"/>
    <w:qFormat/>
    <w:uiPriority w:val="0"/>
    <w:pPr>
      <w:widowControl/>
      <w:spacing w:before="100" w:beforeAutospacing="1" w:after="100" w:afterAutospacing="1" w:line="345" w:lineRule="atLeast"/>
      <w:jc w:val="left"/>
    </w:pPr>
    <w:rPr>
      <w:rFonts w:ascii="ˎ̥" w:hAnsi="ˎ̥" w:cs="宋体"/>
      <w:color w:val="000000"/>
      <w:kern w:val="0"/>
      <w:sz w:val="18"/>
      <w:szCs w:val="18"/>
    </w:rPr>
  </w:style>
  <w:style w:type="paragraph" w:customStyle="1" w:styleId="141">
    <w:name w:val="et14"/>
    <w:basedOn w:val="1"/>
    <w:qFormat/>
    <w:uiPriority w:val="0"/>
    <w:pPr>
      <w:widowControl/>
      <w:spacing w:before="100" w:beforeAutospacing="1" w:after="100" w:afterAutospacing="1"/>
      <w:jc w:val="left"/>
      <w:textAlignment w:val="center"/>
    </w:pPr>
    <w:rPr>
      <w:rFonts w:ascii="宋体" w:hAnsi="宋体" w:cs="宋体"/>
      <w:color w:val="000000"/>
      <w:kern w:val="0"/>
      <w:sz w:val="22"/>
      <w:szCs w:val="22"/>
    </w:rPr>
  </w:style>
  <w:style w:type="paragraph" w:customStyle="1" w:styleId="142">
    <w:name w:val="xl6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18"/>
      <w:szCs w:val="18"/>
    </w:rPr>
  </w:style>
  <w:style w:type="paragraph" w:customStyle="1" w:styleId="143">
    <w:name w:val="font_n"/>
    <w:basedOn w:val="1"/>
    <w:qFormat/>
    <w:uiPriority w:val="0"/>
    <w:pPr>
      <w:widowControl/>
      <w:spacing w:before="100" w:beforeAutospacing="1" w:after="100" w:afterAutospacing="1" w:line="315" w:lineRule="atLeast"/>
      <w:jc w:val="left"/>
    </w:pPr>
    <w:rPr>
      <w:rFonts w:ascii="ˎ̥" w:hAnsi="ˎ̥" w:cs="宋体"/>
      <w:color w:val="000000"/>
      <w:kern w:val="0"/>
      <w:sz w:val="18"/>
      <w:szCs w:val="18"/>
    </w:rPr>
  </w:style>
  <w:style w:type="paragraph" w:customStyle="1" w:styleId="144">
    <w:name w:val="列出段落1"/>
    <w:basedOn w:val="1"/>
    <w:qFormat/>
    <w:uiPriority w:val="0"/>
    <w:pPr>
      <w:ind w:firstLine="420" w:firstLineChars="200"/>
    </w:pPr>
    <w:rPr>
      <w:szCs w:val="21"/>
    </w:rPr>
  </w:style>
  <w:style w:type="paragraph" w:customStyle="1" w:styleId="145">
    <w:name w:val="et39"/>
    <w:basedOn w:val="1"/>
    <w:qFormat/>
    <w:uiPriority w:val="0"/>
    <w:pPr>
      <w:widowControl/>
      <w:spacing w:before="100" w:beforeAutospacing="1" w:after="100" w:afterAutospacing="1"/>
      <w:jc w:val="left"/>
      <w:textAlignment w:val="center"/>
    </w:pPr>
    <w:rPr>
      <w:rFonts w:ascii="宋体" w:hAnsi="宋体" w:cs="宋体"/>
      <w:color w:val="000000"/>
      <w:kern w:val="0"/>
      <w:sz w:val="22"/>
      <w:szCs w:val="22"/>
    </w:rPr>
  </w:style>
  <w:style w:type="paragraph" w:customStyle="1" w:styleId="146">
    <w:name w:val="wall_cg3"/>
    <w:basedOn w:val="1"/>
    <w:qFormat/>
    <w:uiPriority w:val="0"/>
    <w:pPr>
      <w:widowControl/>
      <w:spacing w:before="100" w:beforeAutospacing="1" w:after="100" w:afterAutospacing="1"/>
      <w:jc w:val="left"/>
    </w:pPr>
    <w:rPr>
      <w:rFonts w:ascii="宋体" w:hAnsi="宋体" w:cs="宋体"/>
      <w:kern w:val="0"/>
      <w:sz w:val="24"/>
    </w:rPr>
  </w:style>
  <w:style w:type="paragraph" w:customStyle="1" w:styleId="147">
    <w:name w:val="baobiao4"/>
    <w:basedOn w:val="1"/>
    <w:qFormat/>
    <w:uiPriority w:val="0"/>
    <w:pPr>
      <w:widowControl/>
      <w:pBdr>
        <w:top w:val="single" w:color="D5E4FD" w:sz="6" w:space="2"/>
        <w:left w:val="single" w:color="D5E4FD" w:sz="6" w:space="2"/>
        <w:bottom w:val="single" w:color="D5E4FD" w:sz="6" w:space="2"/>
        <w:right w:val="single" w:color="D5E4FD" w:sz="6" w:space="2"/>
      </w:pBdr>
      <w:spacing w:before="100" w:beforeAutospacing="1" w:after="100" w:afterAutospacing="1"/>
      <w:jc w:val="left"/>
    </w:pPr>
    <w:rPr>
      <w:rFonts w:ascii="宋体" w:hAnsi="宋体" w:cs="宋体"/>
      <w:kern w:val="0"/>
      <w:sz w:val="24"/>
    </w:rPr>
  </w:style>
  <w:style w:type="paragraph" w:customStyle="1" w:styleId="148">
    <w:name w:val="cvsfont3"/>
    <w:basedOn w:val="1"/>
    <w:qFormat/>
    <w:uiPriority w:val="0"/>
    <w:pPr>
      <w:widowControl/>
      <w:spacing w:before="100" w:beforeAutospacing="1" w:after="100" w:afterAutospacing="1"/>
      <w:jc w:val="left"/>
    </w:pPr>
    <w:rPr>
      <w:rFonts w:ascii="ˎ̥" w:hAnsi="ˎ̥" w:cs="宋体"/>
      <w:kern w:val="0"/>
      <w:sz w:val="20"/>
      <w:szCs w:val="20"/>
    </w:rPr>
  </w:style>
  <w:style w:type="paragraph" w:customStyle="1" w:styleId="149">
    <w:name w:val="btn3"/>
    <w:basedOn w:val="1"/>
    <w:qFormat/>
    <w:uiPriority w:val="0"/>
    <w:pPr>
      <w:widowControl/>
      <w:spacing w:before="100" w:beforeAutospacing="1" w:after="100" w:afterAutospacing="1" w:line="285" w:lineRule="atLeast"/>
      <w:jc w:val="center"/>
    </w:pPr>
    <w:rPr>
      <w:rFonts w:ascii="ˎ̥" w:hAnsi="ˎ̥" w:cs="宋体"/>
      <w:color w:val="000000"/>
      <w:kern w:val="0"/>
      <w:sz w:val="18"/>
      <w:szCs w:val="18"/>
    </w:rPr>
  </w:style>
  <w:style w:type="paragraph" w:customStyle="1" w:styleId="150">
    <w:name w:val="表格"/>
    <w:basedOn w:val="1"/>
    <w:qFormat/>
    <w:uiPriority w:val="0"/>
    <w:pPr>
      <w:tabs>
        <w:tab w:val="left" w:pos="1200"/>
      </w:tabs>
      <w:spacing w:line="500" w:lineRule="exact"/>
      <w:jc w:val="center"/>
    </w:pPr>
    <w:rPr>
      <w:rFonts w:ascii="宋体"/>
      <w:sz w:val="24"/>
      <w:szCs w:val="18"/>
    </w:rPr>
  </w:style>
  <w:style w:type="paragraph" w:customStyle="1" w:styleId="151">
    <w:name w:val="titlebt"/>
    <w:basedOn w:val="1"/>
    <w:qFormat/>
    <w:uiPriority w:val="0"/>
    <w:pPr>
      <w:widowControl/>
      <w:spacing w:before="100" w:beforeAutospacing="1" w:after="100" w:afterAutospacing="1"/>
      <w:jc w:val="left"/>
    </w:pPr>
    <w:rPr>
      <w:rFonts w:ascii="ˎ̥" w:hAnsi="ˎ̥" w:cs="宋体"/>
      <w:b/>
      <w:bCs/>
      <w:color w:val="3294C5"/>
      <w:kern w:val="0"/>
      <w:sz w:val="18"/>
      <w:szCs w:val="18"/>
    </w:rPr>
  </w:style>
  <w:style w:type="paragraph" w:customStyle="1" w:styleId="152">
    <w:name w:val="baobiao"/>
    <w:basedOn w:val="1"/>
    <w:qFormat/>
    <w:uiPriority w:val="0"/>
    <w:pPr>
      <w:widowControl/>
      <w:pBdr>
        <w:top w:val="single" w:color="D2D4FD" w:sz="6" w:space="4"/>
        <w:left w:val="single" w:color="D2D4FD" w:sz="6" w:space="4"/>
        <w:bottom w:val="single" w:color="D2D4FD" w:sz="6" w:space="4"/>
        <w:right w:val="single" w:color="D2D4FD" w:sz="6" w:space="4"/>
      </w:pBdr>
      <w:spacing w:before="100" w:beforeAutospacing="1" w:after="100" w:afterAutospacing="1"/>
      <w:jc w:val="left"/>
    </w:pPr>
    <w:rPr>
      <w:rFonts w:ascii="宋体" w:hAnsi="宋体" w:cs="宋体"/>
      <w:kern w:val="0"/>
      <w:sz w:val="24"/>
    </w:rPr>
  </w:style>
  <w:style w:type="paragraph" w:customStyle="1" w:styleId="153">
    <w:name w:val="adminiright1"/>
    <w:basedOn w:val="1"/>
    <w:qFormat/>
    <w:uiPriority w:val="0"/>
    <w:pPr>
      <w:widowControl/>
      <w:spacing w:before="100" w:beforeAutospacing="1" w:after="100" w:afterAutospacing="1"/>
      <w:jc w:val="left"/>
    </w:pPr>
    <w:rPr>
      <w:rFonts w:ascii="宋体" w:hAnsi="宋体" w:cs="宋体"/>
      <w:kern w:val="0"/>
      <w:sz w:val="24"/>
    </w:rPr>
  </w:style>
  <w:style w:type="paragraph" w:customStyle="1" w:styleId="154">
    <w:name w:val="et44"/>
    <w:basedOn w:val="1"/>
    <w:qFormat/>
    <w:uiPriority w:val="0"/>
    <w:pPr>
      <w:widowControl/>
      <w:spacing w:before="100" w:beforeAutospacing="1" w:after="100" w:afterAutospacing="1"/>
      <w:jc w:val="left"/>
      <w:textAlignment w:val="center"/>
    </w:pPr>
    <w:rPr>
      <w:rFonts w:ascii="宋体" w:hAnsi="宋体" w:cs="宋体"/>
      <w:color w:val="000000"/>
      <w:kern w:val="0"/>
      <w:sz w:val="22"/>
      <w:szCs w:val="22"/>
    </w:rPr>
  </w:style>
  <w:style w:type="paragraph" w:customStyle="1" w:styleId="155">
    <w:name w:val="lunshu2"/>
    <w:basedOn w:val="1"/>
    <w:qFormat/>
    <w:uiPriority w:val="0"/>
    <w:pPr>
      <w:widowControl/>
      <w:pBdr>
        <w:bottom w:val="single" w:color="D2D4FD" w:sz="6" w:space="0"/>
        <w:right w:val="single" w:color="D2D4FD" w:sz="6" w:space="0"/>
      </w:pBdr>
      <w:shd w:val="clear" w:color="auto" w:fill="EBF2FF"/>
      <w:spacing w:before="100" w:beforeAutospacing="1" w:after="100" w:afterAutospacing="1"/>
      <w:jc w:val="center"/>
    </w:pPr>
    <w:rPr>
      <w:rFonts w:ascii="ˎ̥" w:hAnsi="ˎ̥" w:cs="宋体"/>
      <w:b/>
      <w:bCs/>
      <w:color w:val="3E489F"/>
      <w:kern w:val="0"/>
      <w:sz w:val="18"/>
      <w:szCs w:val="18"/>
    </w:rPr>
  </w:style>
  <w:style w:type="paragraph" w:customStyle="1" w:styleId="156">
    <w:name w:val="button_align"/>
    <w:basedOn w:val="1"/>
    <w:qFormat/>
    <w:uiPriority w:val="0"/>
    <w:pPr>
      <w:widowControl/>
      <w:spacing w:before="100" w:beforeAutospacing="1" w:after="100" w:afterAutospacing="1"/>
      <w:jc w:val="left"/>
    </w:pPr>
    <w:rPr>
      <w:rFonts w:ascii="宋体" w:hAnsi="宋体" w:cs="宋体"/>
      <w:kern w:val="0"/>
      <w:sz w:val="24"/>
    </w:rPr>
  </w:style>
  <w:style w:type="paragraph" w:customStyle="1" w:styleId="157">
    <w:name w:val="ysxxtr1"/>
    <w:basedOn w:val="1"/>
    <w:qFormat/>
    <w:uiPriority w:val="0"/>
    <w:pPr>
      <w:widowControl/>
      <w:pBdr>
        <w:bottom w:val="dashed" w:color="BECBDB" w:sz="6" w:space="0"/>
      </w:pBdr>
      <w:spacing w:before="100" w:beforeAutospacing="1" w:after="100" w:afterAutospacing="1"/>
      <w:jc w:val="left"/>
    </w:pPr>
    <w:rPr>
      <w:rFonts w:ascii="ˎ̥" w:hAnsi="ˎ̥" w:cs="宋体"/>
      <w:kern w:val="0"/>
      <w:sz w:val="18"/>
      <w:szCs w:val="18"/>
    </w:rPr>
  </w:style>
  <w:style w:type="paragraph" w:customStyle="1" w:styleId="158">
    <w:name w:val="columnhead"/>
    <w:basedOn w:val="1"/>
    <w:qFormat/>
    <w:uiPriority w:val="0"/>
    <w:pPr>
      <w:widowControl/>
      <w:shd w:val="clear" w:color="auto" w:fill="E5E5FF"/>
      <w:spacing w:before="100" w:beforeAutospacing="1" w:after="100" w:afterAutospacing="1"/>
      <w:jc w:val="center"/>
    </w:pPr>
    <w:rPr>
      <w:rFonts w:ascii="ˎ̥" w:hAnsi="ˎ̥" w:cs="宋体"/>
      <w:color w:val="000000"/>
      <w:kern w:val="0"/>
      <w:sz w:val="18"/>
      <w:szCs w:val="18"/>
    </w:rPr>
  </w:style>
  <w:style w:type="paragraph" w:customStyle="1" w:styleId="159">
    <w:name w:val="wall_cg8"/>
    <w:basedOn w:val="1"/>
    <w:qFormat/>
    <w:uiPriority w:val="0"/>
    <w:pPr>
      <w:widowControl/>
      <w:spacing w:before="100" w:beforeAutospacing="1" w:after="100" w:afterAutospacing="1"/>
      <w:jc w:val="left"/>
    </w:pPr>
    <w:rPr>
      <w:rFonts w:ascii="宋体" w:hAnsi="宋体" w:cs="宋体"/>
      <w:kern w:val="0"/>
      <w:sz w:val="24"/>
    </w:rPr>
  </w:style>
  <w:style w:type="paragraph" w:customStyle="1" w:styleId="160">
    <w:name w:val="titlebtred"/>
    <w:basedOn w:val="1"/>
    <w:qFormat/>
    <w:uiPriority w:val="0"/>
    <w:pPr>
      <w:widowControl/>
      <w:spacing w:before="100" w:beforeAutospacing="1" w:after="100" w:afterAutospacing="1"/>
      <w:jc w:val="left"/>
    </w:pPr>
    <w:rPr>
      <w:rFonts w:ascii="ˎ̥" w:hAnsi="ˎ̥" w:cs="宋体"/>
      <w:b/>
      <w:bCs/>
      <w:color w:val="E90101"/>
      <w:kern w:val="0"/>
      <w:sz w:val="18"/>
      <w:szCs w:val="18"/>
    </w:rPr>
  </w:style>
  <w:style w:type="paragraph" w:customStyle="1" w:styleId="161">
    <w:name w:val="et27"/>
    <w:basedOn w:val="1"/>
    <w:qFormat/>
    <w:uiPriority w:val="0"/>
    <w:pPr>
      <w:widowControl/>
      <w:spacing w:before="100" w:beforeAutospacing="1" w:after="100" w:afterAutospacing="1"/>
      <w:jc w:val="left"/>
      <w:textAlignment w:val="center"/>
    </w:pPr>
    <w:rPr>
      <w:rFonts w:ascii="宋体" w:hAnsi="宋体" w:cs="宋体"/>
      <w:color w:val="000000"/>
      <w:kern w:val="0"/>
      <w:sz w:val="22"/>
      <w:szCs w:val="22"/>
    </w:rPr>
  </w:style>
  <w:style w:type="paragraph" w:customStyle="1" w:styleId="162">
    <w:name w:val="bgtr2"/>
    <w:basedOn w:val="1"/>
    <w:qFormat/>
    <w:uiPriority w:val="0"/>
    <w:pPr>
      <w:widowControl/>
      <w:pBdr>
        <w:bottom w:val="single" w:color="BADBEC" w:sz="6" w:space="0"/>
      </w:pBdr>
      <w:shd w:val="clear" w:color="auto" w:fill="F2F8FD"/>
      <w:spacing w:before="100" w:beforeAutospacing="1" w:after="100" w:afterAutospacing="1"/>
      <w:jc w:val="center"/>
    </w:pPr>
    <w:rPr>
      <w:rFonts w:ascii="ˎ̥" w:hAnsi="ˎ̥" w:cs="宋体"/>
      <w:kern w:val="0"/>
      <w:sz w:val="18"/>
      <w:szCs w:val="18"/>
    </w:rPr>
  </w:style>
  <w:style w:type="paragraph" w:customStyle="1" w:styleId="163">
    <w:name w:val="et31"/>
    <w:basedOn w:val="1"/>
    <w:qFormat/>
    <w:uiPriority w:val="0"/>
    <w:pPr>
      <w:widowControl/>
      <w:spacing w:before="100" w:beforeAutospacing="1" w:after="100" w:afterAutospacing="1"/>
      <w:jc w:val="left"/>
      <w:textAlignment w:val="center"/>
    </w:pPr>
    <w:rPr>
      <w:rFonts w:ascii="宋体" w:hAnsi="宋体" w:cs="宋体"/>
      <w:color w:val="000000"/>
      <w:kern w:val="0"/>
      <w:sz w:val="22"/>
      <w:szCs w:val="22"/>
    </w:rPr>
  </w:style>
  <w:style w:type="paragraph" w:customStyle="1" w:styleId="164">
    <w:name w:val="_Style 4"/>
    <w:basedOn w:val="68"/>
    <w:qFormat/>
    <w:uiPriority w:val="0"/>
    <w:pPr>
      <w:ind w:firstLine="420" w:firstLineChars="200"/>
    </w:pPr>
    <w:rPr>
      <w:szCs w:val="24"/>
    </w:rPr>
  </w:style>
  <w:style w:type="paragraph" w:customStyle="1" w:styleId="165">
    <w:name w:val="et20"/>
    <w:basedOn w:val="1"/>
    <w:qFormat/>
    <w:uiPriority w:val="0"/>
    <w:pPr>
      <w:widowControl/>
      <w:spacing w:before="100" w:beforeAutospacing="1" w:after="100" w:afterAutospacing="1"/>
      <w:jc w:val="left"/>
      <w:textAlignment w:val="center"/>
    </w:pPr>
    <w:rPr>
      <w:rFonts w:ascii="宋体" w:hAnsi="宋体" w:cs="宋体"/>
      <w:color w:val="000000"/>
      <w:kern w:val="0"/>
      <w:sz w:val="22"/>
      <w:szCs w:val="22"/>
    </w:rPr>
  </w:style>
  <w:style w:type="paragraph" w:customStyle="1" w:styleId="166">
    <w:name w:val="et34"/>
    <w:basedOn w:val="1"/>
    <w:qFormat/>
    <w:uiPriority w:val="0"/>
    <w:pPr>
      <w:widowControl/>
      <w:spacing w:before="100" w:beforeAutospacing="1" w:after="100" w:afterAutospacing="1"/>
      <w:jc w:val="left"/>
      <w:textAlignment w:val="center"/>
    </w:pPr>
    <w:rPr>
      <w:rFonts w:ascii="宋体" w:hAnsi="宋体" w:cs="宋体"/>
      <w:color w:val="000000"/>
      <w:kern w:val="0"/>
      <w:sz w:val="22"/>
      <w:szCs w:val="22"/>
    </w:rPr>
  </w:style>
  <w:style w:type="paragraph" w:customStyle="1" w:styleId="167">
    <w:name w:val="5th"/>
    <w:basedOn w:val="1"/>
    <w:qFormat/>
    <w:uiPriority w:val="0"/>
    <w:pPr>
      <w:spacing w:line="440" w:lineRule="exact"/>
      <w:outlineLvl w:val="4"/>
    </w:pPr>
    <w:rPr>
      <w:rFonts w:ascii="宋体" w:hAnsi="宋体"/>
      <w:sz w:val="28"/>
      <w:szCs w:val="28"/>
    </w:rPr>
  </w:style>
  <w:style w:type="paragraph" w:customStyle="1" w:styleId="168">
    <w:name w:val="et26"/>
    <w:basedOn w:val="1"/>
    <w:qFormat/>
    <w:uiPriority w:val="0"/>
    <w:pPr>
      <w:widowControl/>
      <w:spacing w:before="100" w:beforeAutospacing="1" w:after="100" w:afterAutospacing="1"/>
      <w:jc w:val="left"/>
      <w:textAlignment w:val="center"/>
    </w:pPr>
    <w:rPr>
      <w:rFonts w:ascii="宋体" w:hAnsi="宋体" w:cs="宋体"/>
      <w:color w:val="000000"/>
      <w:kern w:val="0"/>
      <w:sz w:val="24"/>
    </w:rPr>
  </w:style>
  <w:style w:type="paragraph" w:customStyle="1" w:styleId="169">
    <w:name w:val="style5"/>
    <w:basedOn w:val="1"/>
    <w:qFormat/>
    <w:uiPriority w:val="0"/>
    <w:pPr>
      <w:widowControl/>
      <w:spacing w:before="100" w:beforeAutospacing="1" w:after="100" w:afterAutospacing="1"/>
      <w:jc w:val="left"/>
    </w:pPr>
    <w:rPr>
      <w:rFonts w:ascii="宋体" w:hAnsi="宋体" w:cs="宋体"/>
      <w:color w:val="666666"/>
      <w:kern w:val="0"/>
      <w:sz w:val="18"/>
      <w:szCs w:val="18"/>
    </w:rPr>
  </w:style>
  <w:style w:type="paragraph" w:customStyle="1" w:styleId="170">
    <w:name w:val="列出段落11"/>
    <w:basedOn w:val="1"/>
    <w:qFormat/>
    <w:uiPriority w:val="0"/>
    <w:pPr>
      <w:ind w:firstLine="420" w:firstLineChars="200"/>
    </w:pPr>
    <w:rPr>
      <w:szCs w:val="21"/>
    </w:rPr>
  </w:style>
  <w:style w:type="paragraph" w:customStyle="1" w:styleId="171">
    <w:name w:val="kuang"/>
    <w:basedOn w:val="1"/>
    <w:qFormat/>
    <w:uiPriority w:val="0"/>
    <w:pPr>
      <w:widowControl/>
      <w:spacing w:before="100" w:beforeAutospacing="1" w:after="100" w:afterAutospacing="1"/>
      <w:jc w:val="left"/>
    </w:pPr>
    <w:rPr>
      <w:rFonts w:ascii="Arial" w:hAnsi="Arial" w:cs="Arial"/>
      <w:kern w:val="0"/>
      <w:sz w:val="18"/>
      <w:szCs w:val="18"/>
    </w:rPr>
  </w:style>
  <w:style w:type="paragraph" w:customStyle="1" w:styleId="172">
    <w:name w:val="btline"/>
    <w:basedOn w:val="1"/>
    <w:qFormat/>
    <w:uiPriority w:val="0"/>
    <w:pPr>
      <w:widowControl/>
      <w:shd w:val="clear" w:color="auto" w:fill="DFBD5F"/>
      <w:spacing w:before="100" w:beforeAutospacing="1" w:after="100" w:afterAutospacing="1"/>
      <w:jc w:val="left"/>
    </w:pPr>
    <w:rPr>
      <w:rFonts w:ascii="宋体" w:hAnsi="宋体" w:cs="宋体"/>
      <w:kern w:val="0"/>
      <w:sz w:val="24"/>
    </w:rPr>
  </w:style>
  <w:style w:type="paragraph" w:customStyle="1" w:styleId="173">
    <w:name w:val="wall_cg2"/>
    <w:basedOn w:val="1"/>
    <w:qFormat/>
    <w:uiPriority w:val="0"/>
    <w:pPr>
      <w:widowControl/>
      <w:spacing w:before="100" w:beforeAutospacing="1" w:after="100" w:afterAutospacing="1"/>
      <w:jc w:val="left"/>
    </w:pPr>
    <w:rPr>
      <w:rFonts w:ascii="宋体" w:hAnsi="宋体" w:cs="宋体"/>
      <w:kern w:val="0"/>
      <w:sz w:val="24"/>
    </w:rPr>
  </w:style>
  <w:style w:type="paragraph" w:customStyle="1" w:styleId="174">
    <w:name w:val="yellowtitle"/>
    <w:basedOn w:val="1"/>
    <w:qFormat/>
    <w:uiPriority w:val="0"/>
    <w:pPr>
      <w:widowControl/>
      <w:pBdr>
        <w:top w:val="single" w:color="FEE4B1" w:sz="6" w:space="0"/>
      </w:pBdr>
      <w:shd w:val="clear" w:color="auto" w:fill="FFFAD2"/>
      <w:spacing w:before="100" w:beforeAutospacing="1" w:after="100" w:afterAutospacing="1"/>
      <w:jc w:val="center"/>
    </w:pPr>
    <w:rPr>
      <w:rFonts w:ascii="ˎ̥" w:hAnsi="ˎ̥" w:cs="宋体"/>
      <w:color w:val="000000"/>
      <w:kern w:val="0"/>
      <w:sz w:val="18"/>
      <w:szCs w:val="18"/>
    </w:rPr>
  </w:style>
  <w:style w:type="paragraph" w:customStyle="1" w:styleId="175">
    <w:name w:val="et40"/>
    <w:basedOn w:val="1"/>
    <w:qFormat/>
    <w:uiPriority w:val="0"/>
    <w:pPr>
      <w:widowControl/>
      <w:spacing w:before="100" w:beforeAutospacing="1" w:after="100" w:afterAutospacing="1"/>
      <w:jc w:val="left"/>
      <w:textAlignment w:val="center"/>
    </w:pPr>
    <w:rPr>
      <w:rFonts w:ascii="宋体" w:hAnsi="宋体" w:cs="宋体"/>
      <w:color w:val="000000"/>
      <w:kern w:val="0"/>
      <w:sz w:val="22"/>
      <w:szCs w:val="22"/>
    </w:rPr>
  </w:style>
  <w:style w:type="paragraph" w:customStyle="1" w:styleId="176">
    <w:name w:val="newtableborder"/>
    <w:basedOn w:val="1"/>
    <w:qFormat/>
    <w:uiPriority w:val="0"/>
    <w:pPr>
      <w:widowControl/>
      <w:pBdr>
        <w:left w:val="single" w:color="BADBEC" w:sz="6" w:space="0"/>
        <w:right w:val="single" w:color="BADBEC" w:sz="6" w:space="0"/>
      </w:pBdr>
      <w:spacing w:before="100" w:beforeAutospacing="1" w:after="100" w:afterAutospacing="1"/>
      <w:jc w:val="left"/>
    </w:pPr>
    <w:rPr>
      <w:rFonts w:ascii="宋体" w:hAnsi="宋体" w:cs="宋体"/>
      <w:kern w:val="0"/>
      <w:sz w:val="24"/>
    </w:rPr>
  </w:style>
  <w:style w:type="paragraph" w:customStyle="1" w:styleId="177">
    <w:name w:val="lawfont2"/>
    <w:basedOn w:val="1"/>
    <w:qFormat/>
    <w:uiPriority w:val="0"/>
    <w:pPr>
      <w:widowControl/>
      <w:spacing w:before="100" w:beforeAutospacing="1" w:after="100" w:afterAutospacing="1"/>
      <w:jc w:val="left"/>
    </w:pPr>
    <w:rPr>
      <w:rFonts w:ascii="宋体" w:hAnsi="宋体" w:cs="宋体"/>
      <w:b/>
      <w:bCs/>
      <w:kern w:val="0"/>
      <w:sz w:val="24"/>
    </w:rPr>
  </w:style>
  <w:style w:type="paragraph" w:customStyle="1" w:styleId="178">
    <w:name w:val="Char Char1 Char Char"/>
    <w:basedOn w:val="1"/>
    <w:qFormat/>
    <w:uiPriority w:val="0"/>
    <w:pPr>
      <w:tabs>
        <w:tab w:val="left" w:pos="360"/>
      </w:tabs>
    </w:pPr>
    <w:rPr>
      <w:szCs w:val="20"/>
    </w:rPr>
  </w:style>
  <w:style w:type="paragraph" w:customStyle="1" w:styleId="179">
    <w:name w:val="wall_cg"/>
    <w:basedOn w:val="1"/>
    <w:qFormat/>
    <w:uiPriority w:val="0"/>
    <w:pPr>
      <w:widowControl/>
      <w:spacing w:before="100" w:beforeAutospacing="1" w:after="100" w:afterAutospacing="1"/>
      <w:jc w:val="left"/>
    </w:pPr>
    <w:rPr>
      <w:rFonts w:ascii="宋体" w:hAnsi="宋体" w:cs="宋体"/>
      <w:kern w:val="0"/>
      <w:sz w:val="24"/>
    </w:rPr>
  </w:style>
  <w:style w:type="paragraph" w:customStyle="1" w:styleId="180">
    <w:name w:val="submenu"/>
    <w:basedOn w:val="1"/>
    <w:qFormat/>
    <w:uiPriority w:val="0"/>
    <w:pPr>
      <w:widowControl/>
      <w:pBdr>
        <w:top w:val="single" w:color="BED4F4" w:sz="6" w:space="0"/>
        <w:left w:val="single" w:color="BED4F4" w:sz="6" w:space="0"/>
        <w:bottom w:val="single" w:color="BED4F4" w:sz="6" w:space="0"/>
        <w:right w:val="single" w:color="BED4F4" w:sz="6" w:space="0"/>
      </w:pBdr>
      <w:shd w:val="clear" w:color="auto" w:fill="F1F3FF"/>
      <w:spacing w:before="100" w:beforeAutospacing="1" w:after="100" w:afterAutospacing="1"/>
      <w:jc w:val="left"/>
    </w:pPr>
    <w:rPr>
      <w:rFonts w:ascii="宋体" w:hAnsi="宋体" w:cs="宋体"/>
      <w:kern w:val="0"/>
      <w:sz w:val="24"/>
    </w:rPr>
  </w:style>
  <w:style w:type="paragraph" w:customStyle="1" w:styleId="181">
    <w:name w:val="wallzi4"/>
    <w:basedOn w:val="1"/>
    <w:qFormat/>
    <w:uiPriority w:val="0"/>
    <w:pPr>
      <w:widowControl/>
      <w:spacing w:before="100" w:beforeAutospacing="1" w:after="100" w:afterAutospacing="1"/>
      <w:jc w:val="left"/>
    </w:pPr>
    <w:rPr>
      <w:rFonts w:ascii="宋体" w:hAnsi="宋体" w:cs="宋体"/>
      <w:kern w:val="0"/>
      <w:sz w:val="24"/>
    </w:rPr>
  </w:style>
  <w:style w:type="paragraph" w:customStyle="1" w:styleId="182">
    <w:name w:val="et13"/>
    <w:basedOn w:val="1"/>
    <w:qFormat/>
    <w:uiPriority w:val="0"/>
    <w:pPr>
      <w:widowControl/>
      <w:spacing w:before="100" w:beforeAutospacing="1" w:after="100" w:afterAutospacing="1"/>
      <w:jc w:val="left"/>
      <w:textAlignment w:val="center"/>
    </w:pPr>
    <w:rPr>
      <w:rFonts w:ascii="宋体" w:hAnsi="宋体" w:cs="宋体"/>
      <w:color w:val="000000"/>
      <w:kern w:val="0"/>
      <w:sz w:val="22"/>
      <w:szCs w:val="22"/>
    </w:rPr>
  </w:style>
  <w:style w:type="paragraph" w:customStyle="1" w:styleId="183">
    <w:name w:val="无间隔1"/>
    <w:basedOn w:val="1"/>
    <w:qFormat/>
    <w:uiPriority w:val="0"/>
    <w:pPr>
      <w:widowControl/>
      <w:jc w:val="left"/>
    </w:pPr>
    <w:rPr>
      <w:kern w:val="0"/>
      <w:sz w:val="22"/>
      <w:szCs w:val="20"/>
      <w:lang w:eastAsia="en-US" w:bidi="en-US"/>
    </w:rPr>
  </w:style>
  <w:style w:type="paragraph" w:customStyle="1" w:styleId="184">
    <w:name w:val="green"/>
    <w:basedOn w:val="1"/>
    <w:qFormat/>
    <w:uiPriority w:val="0"/>
    <w:pPr>
      <w:widowControl/>
      <w:spacing w:before="100" w:beforeAutospacing="1" w:after="100" w:afterAutospacing="1"/>
      <w:jc w:val="left"/>
    </w:pPr>
    <w:rPr>
      <w:rFonts w:ascii="ˎ̥" w:hAnsi="ˎ̥" w:cs="宋体"/>
      <w:b/>
      <w:bCs/>
      <w:kern w:val="0"/>
      <w:szCs w:val="21"/>
    </w:rPr>
  </w:style>
  <w:style w:type="paragraph" w:customStyle="1" w:styleId="185">
    <w:name w:val="navigationtop1"/>
    <w:basedOn w:val="1"/>
    <w:qFormat/>
    <w:uiPriority w:val="0"/>
    <w:pPr>
      <w:widowControl/>
      <w:spacing w:before="100" w:beforeAutospacing="1" w:after="100" w:afterAutospacing="1" w:line="270" w:lineRule="atLeast"/>
      <w:jc w:val="left"/>
    </w:pPr>
    <w:rPr>
      <w:rFonts w:ascii="ˎ̥" w:hAnsi="ˎ̥" w:cs="宋体"/>
      <w:b/>
      <w:bCs/>
      <w:color w:val="FFFFFF"/>
      <w:kern w:val="0"/>
      <w:sz w:val="18"/>
      <w:szCs w:val="18"/>
    </w:rPr>
  </w:style>
  <w:style w:type="paragraph" w:customStyle="1" w:styleId="186">
    <w:name w:val="Char1"/>
    <w:basedOn w:val="1"/>
    <w:qFormat/>
    <w:uiPriority w:val="0"/>
    <w:pPr>
      <w:ind w:firstLine="200" w:firstLineChars="200"/>
    </w:pPr>
  </w:style>
  <w:style w:type="paragraph" w:customStyle="1" w:styleId="187">
    <w:name w:val="et16"/>
    <w:basedOn w:val="1"/>
    <w:qFormat/>
    <w:uiPriority w:val="0"/>
    <w:pPr>
      <w:widowControl/>
      <w:spacing w:before="100" w:beforeAutospacing="1" w:after="100" w:afterAutospacing="1"/>
      <w:jc w:val="left"/>
      <w:textAlignment w:val="center"/>
    </w:pPr>
    <w:rPr>
      <w:rFonts w:ascii="宋体" w:hAnsi="宋体" w:cs="宋体"/>
      <w:color w:val="000000"/>
      <w:kern w:val="0"/>
      <w:sz w:val="22"/>
      <w:szCs w:val="22"/>
    </w:rPr>
  </w:style>
  <w:style w:type="paragraph" w:customStyle="1" w:styleId="188">
    <w:name w:val="正文2"/>
    <w:qFormat/>
    <w:uiPriority w:val="0"/>
    <w:rPr>
      <w:rFonts w:ascii="Times New Roman" w:hAnsi="Times New Roman" w:eastAsia="Times New Roman" w:cs="Times New Roman"/>
      <w:sz w:val="24"/>
      <w:szCs w:val="24"/>
      <w:lang w:val="en-US" w:eastAsia="zh-CN" w:bidi="ar-SA"/>
    </w:rPr>
  </w:style>
  <w:style w:type="paragraph" w:customStyle="1" w:styleId="189">
    <w:name w:val="et48"/>
    <w:basedOn w:val="1"/>
    <w:qFormat/>
    <w:uiPriority w:val="0"/>
    <w:pPr>
      <w:widowControl/>
      <w:spacing w:before="100" w:beforeAutospacing="1" w:after="100" w:afterAutospacing="1"/>
      <w:jc w:val="left"/>
      <w:textAlignment w:val="center"/>
    </w:pPr>
    <w:rPr>
      <w:rFonts w:ascii="宋体" w:hAnsi="宋体" w:cs="宋体"/>
      <w:color w:val="000000"/>
      <w:kern w:val="0"/>
      <w:sz w:val="22"/>
      <w:szCs w:val="22"/>
    </w:rPr>
  </w:style>
  <w:style w:type="paragraph" w:customStyle="1" w:styleId="190">
    <w:name w:val="bluetitle"/>
    <w:basedOn w:val="1"/>
    <w:qFormat/>
    <w:uiPriority w:val="0"/>
    <w:pPr>
      <w:widowControl/>
      <w:pBdr>
        <w:top w:val="single" w:color="A8A9F9" w:sz="6" w:space="0"/>
      </w:pBdr>
      <w:shd w:val="clear" w:color="auto" w:fill="E5E5FF"/>
      <w:spacing w:before="100" w:beforeAutospacing="1" w:after="100" w:afterAutospacing="1"/>
      <w:jc w:val="center"/>
    </w:pPr>
    <w:rPr>
      <w:rFonts w:ascii="ˎ̥" w:hAnsi="ˎ̥" w:cs="宋体"/>
      <w:color w:val="000000"/>
      <w:kern w:val="0"/>
      <w:sz w:val="18"/>
      <w:szCs w:val="18"/>
    </w:rPr>
  </w:style>
  <w:style w:type="paragraph" w:customStyle="1" w:styleId="191">
    <w:name w:val="msonormal"/>
    <w:basedOn w:val="1"/>
    <w:qFormat/>
    <w:uiPriority w:val="0"/>
    <w:pPr>
      <w:widowControl/>
      <w:spacing w:before="100" w:beforeAutospacing="1" w:after="100" w:afterAutospacing="1"/>
      <w:jc w:val="left"/>
    </w:pPr>
    <w:rPr>
      <w:rFonts w:ascii="宋体" w:hAnsi="宋体" w:cs="宋体"/>
      <w:kern w:val="0"/>
      <w:sz w:val="24"/>
    </w:rPr>
  </w:style>
  <w:style w:type="paragraph" w:customStyle="1" w:styleId="192">
    <w:name w:val="body2"/>
    <w:basedOn w:val="1"/>
    <w:qFormat/>
    <w:uiPriority w:val="0"/>
    <w:pPr>
      <w:widowControl/>
      <w:jc w:val="left"/>
    </w:pPr>
    <w:rPr>
      <w:rFonts w:ascii="宋体" w:hAnsi="宋体" w:cs="宋体"/>
      <w:kern w:val="0"/>
      <w:sz w:val="24"/>
    </w:rPr>
  </w:style>
  <w:style w:type="paragraph" w:customStyle="1" w:styleId="193">
    <w:name w:val="baobiao3"/>
    <w:basedOn w:val="1"/>
    <w:qFormat/>
    <w:uiPriority w:val="0"/>
    <w:pPr>
      <w:widowControl/>
      <w:pBdr>
        <w:top w:val="single" w:color="999999" w:sz="6" w:space="0"/>
        <w:left w:val="single" w:color="999999" w:sz="6" w:space="0"/>
        <w:bottom w:val="single" w:color="999999" w:sz="6" w:space="0"/>
        <w:right w:val="single" w:color="999999" w:sz="6" w:space="0"/>
      </w:pBdr>
      <w:spacing w:before="100" w:beforeAutospacing="1" w:after="100" w:afterAutospacing="1"/>
      <w:jc w:val="left"/>
    </w:pPr>
    <w:rPr>
      <w:rFonts w:ascii="宋体" w:hAnsi="宋体" w:cs="宋体"/>
      <w:kern w:val="0"/>
      <w:sz w:val="24"/>
    </w:rPr>
  </w:style>
  <w:style w:type="paragraph" w:customStyle="1" w:styleId="194">
    <w:name w:val="et17"/>
    <w:basedOn w:val="1"/>
    <w:qFormat/>
    <w:uiPriority w:val="0"/>
    <w:pPr>
      <w:widowControl/>
      <w:spacing w:before="100" w:beforeAutospacing="1" w:after="100" w:afterAutospacing="1"/>
      <w:jc w:val="left"/>
      <w:textAlignment w:val="center"/>
    </w:pPr>
    <w:rPr>
      <w:rFonts w:ascii="宋体" w:hAnsi="宋体" w:cs="宋体"/>
      <w:color w:val="000000"/>
      <w:kern w:val="0"/>
      <w:sz w:val="22"/>
      <w:szCs w:val="22"/>
    </w:rPr>
  </w:style>
  <w:style w:type="paragraph" w:customStyle="1" w:styleId="195">
    <w:name w:val="Char Char Char Char Char Char Char Char Char Char Char Char"/>
    <w:basedOn w:val="1"/>
    <w:qFormat/>
    <w:uiPriority w:val="0"/>
    <w:pPr>
      <w:tabs>
        <w:tab w:val="right" w:pos="-2120"/>
      </w:tabs>
      <w:snapToGrid w:val="0"/>
    </w:pPr>
    <w:rPr>
      <w:rFonts w:ascii="Tahoma" w:hAnsi="Tahoma"/>
      <w:spacing w:val="6"/>
      <w:sz w:val="24"/>
      <w:szCs w:val="20"/>
    </w:rPr>
  </w:style>
  <w:style w:type="paragraph" w:customStyle="1" w:styleId="196">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197">
    <w:name w:val="_Style 3"/>
    <w:basedOn w:val="68"/>
    <w:qFormat/>
    <w:uiPriority w:val="0"/>
    <w:pPr>
      <w:ind w:firstLine="420" w:firstLineChars="200"/>
    </w:pPr>
    <w:rPr>
      <w:szCs w:val="24"/>
    </w:rPr>
  </w:style>
  <w:style w:type="paragraph" w:customStyle="1" w:styleId="198">
    <w:name w:val="Char13"/>
    <w:basedOn w:val="1"/>
    <w:qFormat/>
    <w:uiPriority w:val="0"/>
  </w:style>
  <w:style w:type="paragraph" w:customStyle="1" w:styleId="199">
    <w:name w:val="lawfont"/>
    <w:basedOn w:val="1"/>
    <w:qFormat/>
    <w:uiPriority w:val="0"/>
    <w:pPr>
      <w:widowControl/>
      <w:pBdr>
        <w:bottom w:val="dashed" w:color="999999" w:sz="6" w:space="0"/>
      </w:pBdr>
      <w:spacing w:before="100" w:beforeAutospacing="1" w:after="100" w:afterAutospacing="1" w:line="285" w:lineRule="atLeast"/>
      <w:jc w:val="left"/>
    </w:pPr>
    <w:rPr>
      <w:rFonts w:ascii="ˎ̥" w:hAnsi="ˎ̥" w:cs="宋体"/>
      <w:color w:val="000000"/>
      <w:kern w:val="0"/>
      <w:sz w:val="18"/>
      <w:szCs w:val="18"/>
    </w:rPr>
  </w:style>
  <w:style w:type="paragraph" w:customStyle="1" w:styleId="200">
    <w:name w:val="lead_pic"/>
    <w:basedOn w:val="1"/>
    <w:qFormat/>
    <w:uiPriority w:val="0"/>
    <w:pPr>
      <w:widowControl/>
      <w:spacing w:before="100" w:beforeAutospacing="1" w:after="100" w:afterAutospacing="1"/>
      <w:jc w:val="left"/>
    </w:pPr>
    <w:rPr>
      <w:rFonts w:ascii="宋体" w:hAnsi="宋体" w:cs="宋体"/>
      <w:kern w:val="0"/>
      <w:sz w:val="24"/>
    </w:rPr>
  </w:style>
  <w:style w:type="paragraph" w:customStyle="1" w:styleId="201">
    <w:name w:val="navname"/>
    <w:basedOn w:val="1"/>
    <w:qFormat/>
    <w:uiPriority w:val="0"/>
    <w:pPr>
      <w:widowControl/>
      <w:spacing w:before="100" w:beforeAutospacing="1" w:after="100" w:afterAutospacing="1"/>
      <w:jc w:val="left"/>
    </w:pPr>
    <w:rPr>
      <w:rFonts w:ascii="Arial" w:hAnsi="Arial" w:cs="Arial"/>
      <w:b/>
      <w:bCs/>
      <w:color w:val="3294C5"/>
      <w:kern w:val="0"/>
      <w:szCs w:val="21"/>
    </w:rPr>
  </w:style>
  <w:style w:type="paragraph" w:customStyle="1" w:styleId="202">
    <w:name w:val="et11"/>
    <w:basedOn w:val="1"/>
    <w:qFormat/>
    <w:uiPriority w:val="0"/>
    <w:pPr>
      <w:widowControl/>
      <w:spacing w:before="100" w:beforeAutospacing="1" w:after="100" w:afterAutospacing="1"/>
      <w:jc w:val="left"/>
      <w:textAlignment w:val="center"/>
    </w:pPr>
    <w:rPr>
      <w:rFonts w:ascii="宋体" w:hAnsi="宋体" w:cs="宋体"/>
      <w:color w:val="000000"/>
      <w:kern w:val="0"/>
      <w:sz w:val="22"/>
      <w:szCs w:val="22"/>
    </w:rPr>
  </w:style>
  <w:style w:type="paragraph" w:customStyle="1" w:styleId="203">
    <w:name w:val="样式2"/>
    <w:basedOn w:val="1"/>
    <w:qFormat/>
    <w:uiPriority w:val="0"/>
    <w:pPr>
      <w:spacing w:line="360" w:lineRule="auto"/>
    </w:pPr>
    <w:rPr>
      <w:rFonts w:ascii="Century Gothic" w:hAnsi="Century Gothic" w:eastAsia="黑体"/>
      <w:b/>
      <w:sz w:val="32"/>
      <w:szCs w:val="30"/>
    </w:rPr>
  </w:style>
  <w:style w:type="paragraph" w:customStyle="1" w:styleId="204">
    <w:name w:val="p0"/>
    <w:basedOn w:val="1"/>
    <w:qFormat/>
    <w:uiPriority w:val="0"/>
    <w:pPr>
      <w:widowControl/>
    </w:pPr>
    <w:rPr>
      <w:kern w:val="0"/>
      <w:szCs w:val="21"/>
    </w:rPr>
  </w:style>
  <w:style w:type="paragraph" w:customStyle="1" w:styleId="205">
    <w:name w:val="adminright_font"/>
    <w:basedOn w:val="1"/>
    <w:qFormat/>
    <w:uiPriority w:val="0"/>
    <w:pPr>
      <w:widowControl/>
      <w:spacing w:before="100" w:beforeAutospacing="1" w:after="100" w:afterAutospacing="1"/>
      <w:jc w:val="left"/>
    </w:pPr>
    <w:rPr>
      <w:rFonts w:ascii="宋体" w:hAnsi="宋体" w:cs="宋体"/>
      <w:color w:val="000000"/>
      <w:kern w:val="0"/>
      <w:sz w:val="24"/>
    </w:rPr>
  </w:style>
  <w:style w:type="paragraph" w:customStyle="1" w:styleId="206">
    <w:name w:val="adminright2"/>
    <w:basedOn w:val="1"/>
    <w:qFormat/>
    <w:uiPriority w:val="0"/>
    <w:pPr>
      <w:widowControl/>
      <w:pBdr>
        <w:bottom w:val="dashed" w:color="auto" w:sz="6" w:space="0"/>
      </w:pBdr>
      <w:spacing w:before="100" w:beforeAutospacing="1" w:after="100" w:afterAutospacing="1"/>
      <w:jc w:val="left"/>
    </w:pPr>
    <w:rPr>
      <w:rFonts w:ascii="宋体" w:hAnsi="宋体" w:cs="宋体"/>
      <w:kern w:val="0"/>
      <w:sz w:val="24"/>
    </w:rPr>
  </w:style>
  <w:style w:type="paragraph" w:customStyle="1" w:styleId="207">
    <w:name w:val="bgtr1"/>
    <w:basedOn w:val="1"/>
    <w:qFormat/>
    <w:uiPriority w:val="0"/>
    <w:pPr>
      <w:widowControl/>
      <w:pBdr>
        <w:bottom w:val="single" w:color="BADBEC" w:sz="6" w:space="0"/>
      </w:pBdr>
      <w:shd w:val="clear" w:color="auto" w:fill="FFFFFF"/>
      <w:spacing w:before="100" w:beforeAutospacing="1" w:after="100" w:afterAutospacing="1"/>
      <w:jc w:val="center"/>
    </w:pPr>
    <w:rPr>
      <w:rFonts w:ascii="ˎ̥" w:hAnsi="ˎ̥" w:cs="宋体"/>
      <w:kern w:val="0"/>
      <w:sz w:val="18"/>
      <w:szCs w:val="18"/>
    </w:rPr>
  </w:style>
  <w:style w:type="paragraph" w:customStyle="1" w:styleId="208">
    <w:name w:val="et36"/>
    <w:basedOn w:val="1"/>
    <w:qFormat/>
    <w:uiPriority w:val="0"/>
    <w:pPr>
      <w:widowControl/>
      <w:spacing w:before="100" w:beforeAutospacing="1" w:after="100" w:afterAutospacing="1"/>
      <w:jc w:val="left"/>
      <w:textAlignment w:val="center"/>
    </w:pPr>
    <w:rPr>
      <w:color w:val="000000"/>
      <w:kern w:val="0"/>
      <w:sz w:val="22"/>
      <w:szCs w:val="22"/>
    </w:rPr>
  </w:style>
  <w:style w:type="paragraph" w:customStyle="1" w:styleId="209">
    <w:name w:val="font10"/>
    <w:basedOn w:val="1"/>
    <w:qFormat/>
    <w:uiPriority w:val="0"/>
    <w:pPr>
      <w:widowControl/>
      <w:spacing w:before="100" w:beforeAutospacing="1" w:after="100" w:afterAutospacing="1"/>
      <w:jc w:val="left"/>
    </w:pPr>
    <w:rPr>
      <w:color w:val="000000"/>
      <w:kern w:val="0"/>
      <w:sz w:val="20"/>
      <w:szCs w:val="20"/>
    </w:rPr>
  </w:style>
  <w:style w:type="paragraph" w:customStyle="1" w:styleId="210">
    <w:name w:val="正文五号"/>
    <w:basedOn w:val="1"/>
    <w:qFormat/>
    <w:uiPriority w:val="0"/>
    <w:rPr>
      <w:rFonts w:ascii="宋体" w:eastAsia="仿宋_GB2312"/>
      <w:szCs w:val="20"/>
    </w:rPr>
  </w:style>
  <w:style w:type="paragraph" w:customStyle="1" w:styleId="211">
    <w:name w:val="blue"/>
    <w:basedOn w:val="1"/>
    <w:qFormat/>
    <w:uiPriority w:val="0"/>
    <w:pPr>
      <w:widowControl/>
      <w:spacing w:before="100" w:beforeAutospacing="1" w:after="100" w:afterAutospacing="1"/>
      <w:jc w:val="left"/>
    </w:pPr>
    <w:rPr>
      <w:rFonts w:ascii="ˎ̥" w:hAnsi="ˎ̥" w:cs="宋体"/>
      <w:color w:val="0033FF"/>
      <w:kern w:val="0"/>
      <w:sz w:val="18"/>
      <w:szCs w:val="18"/>
    </w:rPr>
  </w:style>
  <w:style w:type="paragraph" w:customStyle="1" w:styleId="212">
    <w:name w:val="biao"/>
    <w:basedOn w:val="1"/>
    <w:qFormat/>
    <w:uiPriority w:val="0"/>
    <w:pPr>
      <w:widowControl/>
      <w:pBdr>
        <w:top w:val="dashed" w:color="C5C5C5" w:sz="6" w:space="0"/>
        <w:left w:val="dashed" w:color="C5C5C5" w:sz="6" w:space="0"/>
        <w:bottom w:val="dashed" w:color="C5C5C5" w:sz="6" w:space="0"/>
        <w:right w:val="dashed" w:color="C5C5C5" w:sz="6" w:space="0"/>
      </w:pBdr>
      <w:spacing w:before="100" w:beforeAutospacing="1" w:after="100" w:afterAutospacing="1"/>
      <w:jc w:val="left"/>
    </w:pPr>
    <w:rPr>
      <w:rFonts w:ascii="宋体" w:hAnsi="宋体" w:cs="宋体"/>
      <w:kern w:val="0"/>
      <w:sz w:val="24"/>
    </w:rPr>
  </w:style>
  <w:style w:type="paragraph" w:customStyle="1" w:styleId="213">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18"/>
      <w:szCs w:val="18"/>
    </w:rPr>
  </w:style>
  <w:style w:type="paragraph" w:customStyle="1" w:styleId="214">
    <w:name w:val="lefsubmenutd3"/>
    <w:basedOn w:val="1"/>
    <w:qFormat/>
    <w:uiPriority w:val="0"/>
    <w:pPr>
      <w:widowControl/>
      <w:pBdr>
        <w:bottom w:val="single" w:color="C5D6F4" w:sz="6" w:space="2"/>
      </w:pBdr>
      <w:shd w:val="clear" w:color="auto" w:fill="E9F1FF"/>
      <w:spacing w:before="100" w:beforeAutospacing="1" w:after="100" w:afterAutospacing="1"/>
      <w:jc w:val="left"/>
    </w:pPr>
    <w:rPr>
      <w:rFonts w:ascii="宋体" w:hAnsi="宋体" w:cs="宋体"/>
      <w:kern w:val="0"/>
      <w:sz w:val="24"/>
    </w:rPr>
  </w:style>
  <w:style w:type="paragraph" w:customStyle="1" w:styleId="215">
    <w:name w:val="wall_cg4"/>
    <w:basedOn w:val="1"/>
    <w:qFormat/>
    <w:uiPriority w:val="0"/>
    <w:pPr>
      <w:widowControl/>
      <w:spacing w:before="100" w:beforeAutospacing="1" w:after="100" w:afterAutospacing="1"/>
      <w:jc w:val="left"/>
    </w:pPr>
    <w:rPr>
      <w:rFonts w:ascii="宋体" w:hAnsi="宋体" w:cs="宋体"/>
      <w:kern w:val="0"/>
      <w:sz w:val="24"/>
    </w:rPr>
  </w:style>
  <w:style w:type="paragraph" w:customStyle="1" w:styleId="216">
    <w:name w:val="wallleft_top"/>
    <w:basedOn w:val="1"/>
    <w:qFormat/>
    <w:uiPriority w:val="0"/>
    <w:pPr>
      <w:widowControl/>
      <w:spacing w:before="100" w:beforeAutospacing="1" w:after="100" w:afterAutospacing="1"/>
      <w:jc w:val="left"/>
    </w:pPr>
    <w:rPr>
      <w:rFonts w:ascii="宋体" w:hAnsi="宋体" w:cs="宋体"/>
      <w:kern w:val="0"/>
      <w:sz w:val="24"/>
    </w:rPr>
  </w:style>
  <w:style w:type="paragraph" w:customStyle="1" w:styleId="217">
    <w:name w:val="beizhu"/>
    <w:basedOn w:val="1"/>
    <w:qFormat/>
    <w:uiPriority w:val="0"/>
    <w:pPr>
      <w:widowControl/>
      <w:spacing w:before="100" w:beforeAutospacing="1" w:after="100" w:afterAutospacing="1"/>
      <w:ind w:firstLine="1350"/>
      <w:jc w:val="left"/>
    </w:pPr>
    <w:rPr>
      <w:rFonts w:ascii="ˎ̥" w:hAnsi="ˎ̥" w:cs="宋体"/>
      <w:color w:val="666666"/>
      <w:kern w:val="0"/>
      <w:sz w:val="18"/>
      <w:szCs w:val="18"/>
    </w:rPr>
  </w:style>
  <w:style w:type="paragraph" w:customStyle="1" w:styleId="218">
    <w:name w:val="缺省文本"/>
    <w:basedOn w:val="1"/>
    <w:qFormat/>
    <w:uiPriority w:val="0"/>
    <w:pPr>
      <w:autoSpaceDE w:val="0"/>
      <w:autoSpaceDN w:val="0"/>
      <w:adjustRightInd w:val="0"/>
      <w:jc w:val="left"/>
    </w:pPr>
    <w:rPr>
      <w:kern w:val="0"/>
      <w:sz w:val="24"/>
      <w:szCs w:val="20"/>
    </w:rPr>
  </w:style>
  <w:style w:type="paragraph" w:customStyle="1" w:styleId="219">
    <w:name w:val="lawfont22"/>
    <w:basedOn w:val="1"/>
    <w:qFormat/>
    <w:uiPriority w:val="0"/>
    <w:pPr>
      <w:widowControl/>
      <w:spacing w:before="100" w:beforeAutospacing="1" w:after="100" w:afterAutospacing="1" w:line="270" w:lineRule="atLeast"/>
      <w:jc w:val="left"/>
    </w:pPr>
    <w:rPr>
      <w:rFonts w:ascii="ˎ̥" w:hAnsi="ˎ̥" w:cs="宋体"/>
      <w:color w:val="000000"/>
      <w:kern w:val="0"/>
      <w:sz w:val="18"/>
      <w:szCs w:val="18"/>
    </w:rPr>
  </w:style>
  <w:style w:type="paragraph" w:customStyle="1" w:styleId="220">
    <w:name w:val="cvsleft5"/>
    <w:basedOn w:val="1"/>
    <w:qFormat/>
    <w:uiPriority w:val="0"/>
    <w:pPr>
      <w:widowControl/>
      <w:spacing w:before="100" w:beforeAutospacing="1" w:after="100" w:afterAutospacing="1"/>
      <w:jc w:val="left"/>
    </w:pPr>
    <w:rPr>
      <w:rFonts w:ascii="宋体" w:hAnsi="宋体" w:cs="宋体"/>
      <w:kern w:val="0"/>
      <w:sz w:val="24"/>
    </w:rPr>
  </w:style>
  <w:style w:type="paragraph" w:customStyle="1" w:styleId="221">
    <w:name w:val="titlebtblue2"/>
    <w:basedOn w:val="1"/>
    <w:qFormat/>
    <w:uiPriority w:val="0"/>
    <w:pPr>
      <w:widowControl/>
      <w:spacing w:before="100" w:beforeAutospacing="1" w:after="100" w:afterAutospacing="1"/>
      <w:jc w:val="left"/>
    </w:pPr>
    <w:rPr>
      <w:rFonts w:ascii="ˎ̥" w:hAnsi="ˎ̥" w:cs="宋体"/>
      <w:b/>
      <w:bCs/>
      <w:color w:val="258CFF"/>
      <w:kern w:val="0"/>
      <w:sz w:val="18"/>
      <w:szCs w:val="18"/>
    </w:rPr>
  </w:style>
  <w:style w:type="paragraph" w:customStyle="1" w:styleId="222">
    <w:name w:val="adminright_bg1"/>
    <w:basedOn w:val="1"/>
    <w:qFormat/>
    <w:uiPriority w:val="0"/>
    <w:pPr>
      <w:widowControl/>
      <w:pBdr>
        <w:bottom w:val="dashed" w:color="auto" w:sz="6" w:space="0"/>
      </w:pBdr>
      <w:spacing w:before="100" w:beforeAutospacing="1" w:after="100" w:afterAutospacing="1"/>
      <w:jc w:val="left"/>
    </w:pPr>
    <w:rPr>
      <w:rFonts w:ascii="宋体" w:hAnsi="宋体" w:cs="宋体"/>
      <w:kern w:val="0"/>
      <w:sz w:val="24"/>
    </w:rPr>
  </w:style>
  <w:style w:type="paragraph" w:customStyle="1" w:styleId="223">
    <w:name w:val="et23"/>
    <w:basedOn w:val="1"/>
    <w:qFormat/>
    <w:uiPriority w:val="0"/>
    <w:pPr>
      <w:widowControl/>
      <w:spacing w:before="100" w:beforeAutospacing="1" w:after="100" w:afterAutospacing="1"/>
      <w:jc w:val="left"/>
      <w:textAlignment w:val="center"/>
    </w:pPr>
    <w:rPr>
      <w:rFonts w:ascii="宋体" w:hAnsi="宋体" w:cs="宋体"/>
      <w:color w:val="000000"/>
      <w:kern w:val="0"/>
      <w:sz w:val="22"/>
      <w:szCs w:val="22"/>
    </w:rPr>
  </w:style>
  <w:style w:type="paragraph" w:customStyle="1" w:styleId="224">
    <w:name w:val="titlebtblack"/>
    <w:basedOn w:val="1"/>
    <w:qFormat/>
    <w:uiPriority w:val="0"/>
    <w:pPr>
      <w:widowControl/>
      <w:spacing w:before="100" w:beforeAutospacing="1" w:after="100" w:afterAutospacing="1"/>
      <w:jc w:val="left"/>
    </w:pPr>
    <w:rPr>
      <w:rFonts w:ascii="ˎ̥" w:hAnsi="ˎ̥" w:cs="宋体"/>
      <w:b/>
      <w:bCs/>
      <w:color w:val="000000"/>
      <w:kern w:val="0"/>
      <w:sz w:val="18"/>
      <w:szCs w:val="18"/>
    </w:rPr>
  </w:style>
  <w:style w:type="paragraph" w:customStyle="1" w:styleId="225">
    <w:name w:val="newinfotr0"/>
    <w:basedOn w:val="1"/>
    <w:qFormat/>
    <w:uiPriority w:val="0"/>
    <w:pPr>
      <w:widowControl/>
      <w:pBdr>
        <w:bottom w:val="single" w:color="BADBEC" w:sz="12" w:space="0"/>
      </w:pBdr>
      <w:shd w:val="clear" w:color="auto" w:fill="F2F8FD"/>
      <w:spacing w:before="100" w:beforeAutospacing="1" w:after="100" w:afterAutospacing="1"/>
      <w:jc w:val="left"/>
    </w:pPr>
    <w:rPr>
      <w:rFonts w:ascii="ˎ̥" w:hAnsi="ˎ̥" w:cs="宋体"/>
      <w:kern w:val="0"/>
      <w:sz w:val="18"/>
      <w:szCs w:val="18"/>
    </w:rPr>
  </w:style>
  <w:style w:type="paragraph" w:customStyle="1" w:styleId="226">
    <w:name w:val="adminfont1"/>
    <w:basedOn w:val="1"/>
    <w:qFormat/>
    <w:uiPriority w:val="0"/>
    <w:pPr>
      <w:widowControl/>
      <w:spacing w:before="100" w:beforeAutospacing="1" w:after="100" w:afterAutospacing="1"/>
      <w:jc w:val="left"/>
    </w:pPr>
    <w:rPr>
      <w:rFonts w:ascii="宋体" w:hAnsi="宋体" w:cs="宋体"/>
      <w:color w:val="000000"/>
      <w:kern w:val="0"/>
      <w:sz w:val="24"/>
    </w:rPr>
  </w:style>
  <w:style w:type="paragraph" w:customStyle="1" w:styleId="227">
    <w:name w:val="titlebtgreen"/>
    <w:basedOn w:val="1"/>
    <w:qFormat/>
    <w:uiPriority w:val="0"/>
    <w:pPr>
      <w:widowControl/>
      <w:spacing w:before="100" w:beforeAutospacing="1" w:after="100" w:afterAutospacing="1"/>
      <w:jc w:val="left"/>
    </w:pPr>
    <w:rPr>
      <w:rFonts w:ascii="ˎ̥" w:hAnsi="ˎ̥" w:cs="宋体"/>
      <w:b/>
      <w:bCs/>
      <w:color w:val="669900"/>
      <w:kern w:val="0"/>
      <w:sz w:val="18"/>
      <w:szCs w:val="18"/>
    </w:rPr>
  </w:style>
  <w:style w:type="paragraph" w:customStyle="1" w:styleId="228">
    <w:name w:val="xl23"/>
    <w:next w:val="26"/>
    <w:qFormat/>
    <w:uiPriority w:val="0"/>
    <w:pPr>
      <w:spacing w:before="100" w:beforeAutospacing="1" w:after="100" w:afterAutospacing="1"/>
      <w:jc w:val="center"/>
    </w:pPr>
    <w:rPr>
      <w:rFonts w:ascii="Arial Unicode MS" w:hAnsi="Arial Unicode MS" w:eastAsia="Arial Unicode MS" w:cs="Times New Roman"/>
      <w:sz w:val="24"/>
      <w:lang w:val="en-US" w:eastAsia="zh-CN" w:bidi="ar-SA"/>
    </w:rPr>
  </w:style>
  <w:style w:type="paragraph" w:customStyle="1" w:styleId="229">
    <w:name w:val="Char"/>
    <w:basedOn w:val="1"/>
    <w:qFormat/>
    <w:uiPriority w:val="0"/>
  </w:style>
  <w:style w:type="paragraph" w:customStyle="1" w:styleId="230">
    <w:name w:val="dibian"/>
    <w:basedOn w:val="1"/>
    <w:qFormat/>
    <w:uiPriority w:val="0"/>
    <w:pPr>
      <w:widowControl/>
      <w:pBdr>
        <w:bottom w:val="single" w:color="C5D6F4" w:sz="6" w:space="2"/>
      </w:pBdr>
      <w:shd w:val="clear" w:color="auto" w:fill="FFFFFF"/>
      <w:spacing w:before="100" w:beforeAutospacing="1" w:after="100" w:afterAutospacing="1"/>
      <w:jc w:val="left"/>
    </w:pPr>
    <w:rPr>
      <w:rFonts w:ascii="宋体" w:hAnsi="宋体" w:cs="宋体"/>
      <w:kern w:val="0"/>
      <w:sz w:val="24"/>
    </w:rPr>
  </w:style>
  <w:style w:type="paragraph" w:customStyle="1" w:styleId="231">
    <w:name w:val="newinfotr2"/>
    <w:basedOn w:val="1"/>
    <w:qFormat/>
    <w:uiPriority w:val="0"/>
    <w:pPr>
      <w:widowControl/>
      <w:pBdr>
        <w:bottom w:val="dashed" w:color="BECBDB" w:sz="6" w:space="0"/>
      </w:pBdr>
      <w:shd w:val="clear" w:color="auto" w:fill="F6F9FE"/>
      <w:spacing w:before="100" w:beforeAutospacing="1" w:after="100" w:afterAutospacing="1"/>
      <w:ind w:firstLine="1500"/>
      <w:jc w:val="left"/>
    </w:pPr>
    <w:rPr>
      <w:rFonts w:ascii="ˎ̥" w:hAnsi="ˎ̥" w:cs="宋体"/>
      <w:kern w:val="0"/>
      <w:sz w:val="18"/>
      <w:szCs w:val="18"/>
    </w:rPr>
  </w:style>
  <w:style w:type="paragraph" w:customStyle="1" w:styleId="232">
    <w:name w:val="lawfont4"/>
    <w:basedOn w:val="1"/>
    <w:qFormat/>
    <w:uiPriority w:val="0"/>
    <w:pPr>
      <w:widowControl/>
      <w:spacing w:before="100" w:beforeAutospacing="1" w:after="100" w:afterAutospacing="1" w:line="330" w:lineRule="atLeast"/>
      <w:jc w:val="left"/>
    </w:pPr>
    <w:rPr>
      <w:rFonts w:ascii="ˎ̥" w:hAnsi="ˎ̥" w:cs="宋体"/>
      <w:b/>
      <w:bCs/>
      <w:color w:val="000000"/>
      <w:kern w:val="0"/>
      <w:sz w:val="18"/>
      <w:szCs w:val="18"/>
    </w:rPr>
  </w:style>
  <w:style w:type="paragraph" w:customStyle="1" w:styleId="233">
    <w:name w:val="style7"/>
    <w:basedOn w:val="1"/>
    <w:qFormat/>
    <w:uiPriority w:val="0"/>
    <w:pPr>
      <w:widowControl/>
      <w:spacing w:before="100" w:beforeAutospacing="1" w:after="100" w:afterAutospacing="1"/>
      <w:jc w:val="left"/>
    </w:pPr>
    <w:rPr>
      <w:rFonts w:ascii="宋体" w:hAnsi="宋体" w:cs="宋体"/>
      <w:b/>
      <w:bCs/>
      <w:color w:val="C1C2C4"/>
      <w:kern w:val="0"/>
      <w:szCs w:val="21"/>
    </w:rPr>
  </w:style>
  <w:style w:type="paragraph" w:customStyle="1" w:styleId="234">
    <w:name w:val="navigationtop"/>
    <w:basedOn w:val="1"/>
    <w:qFormat/>
    <w:uiPriority w:val="0"/>
    <w:pPr>
      <w:widowControl/>
      <w:spacing w:before="100" w:beforeAutospacing="1" w:after="100" w:afterAutospacing="1"/>
      <w:jc w:val="left"/>
    </w:pPr>
    <w:rPr>
      <w:rFonts w:ascii="宋体" w:hAnsi="宋体" w:cs="宋体"/>
      <w:kern w:val="0"/>
      <w:sz w:val="24"/>
    </w:rPr>
  </w:style>
  <w:style w:type="paragraph" w:customStyle="1" w:styleId="235">
    <w:name w:val="et21"/>
    <w:basedOn w:val="1"/>
    <w:qFormat/>
    <w:uiPriority w:val="0"/>
    <w:pPr>
      <w:widowControl/>
      <w:spacing w:before="100" w:beforeAutospacing="1" w:after="100" w:afterAutospacing="1"/>
      <w:jc w:val="left"/>
      <w:textAlignment w:val="center"/>
    </w:pPr>
    <w:rPr>
      <w:rFonts w:ascii="宋体" w:hAnsi="宋体" w:cs="宋体"/>
      <w:color w:val="000000"/>
      <w:kern w:val="0"/>
      <w:sz w:val="22"/>
      <w:szCs w:val="22"/>
    </w:rPr>
  </w:style>
  <w:style w:type="paragraph" w:customStyle="1" w:styleId="236">
    <w:name w:val="ysxxtr2"/>
    <w:basedOn w:val="1"/>
    <w:qFormat/>
    <w:uiPriority w:val="0"/>
    <w:pPr>
      <w:widowControl/>
      <w:pBdr>
        <w:bottom w:val="dashed" w:color="BECBDB" w:sz="6" w:space="0"/>
      </w:pBdr>
      <w:shd w:val="clear" w:color="auto" w:fill="EBF2FF"/>
      <w:spacing w:before="100" w:beforeAutospacing="1" w:after="100" w:afterAutospacing="1"/>
      <w:jc w:val="left"/>
    </w:pPr>
    <w:rPr>
      <w:rFonts w:ascii="ˎ̥" w:hAnsi="ˎ̥" w:cs="宋体"/>
      <w:kern w:val="0"/>
      <w:sz w:val="18"/>
      <w:szCs w:val="18"/>
    </w:rPr>
  </w:style>
  <w:style w:type="paragraph" w:customStyle="1" w:styleId="237">
    <w:name w:val="et8"/>
    <w:basedOn w:val="1"/>
    <w:qFormat/>
    <w:uiPriority w:val="0"/>
    <w:pPr>
      <w:widowControl/>
      <w:spacing w:before="100" w:beforeAutospacing="1" w:after="100" w:afterAutospacing="1"/>
      <w:jc w:val="left"/>
      <w:textAlignment w:val="center"/>
    </w:pPr>
    <w:rPr>
      <w:rFonts w:ascii="宋体" w:hAnsi="宋体" w:cs="宋体"/>
      <w:color w:val="000000"/>
      <w:kern w:val="0"/>
      <w:sz w:val="22"/>
      <w:szCs w:val="22"/>
    </w:rPr>
  </w:style>
  <w:style w:type="paragraph" w:customStyle="1" w:styleId="238">
    <w:name w:val="btn2"/>
    <w:basedOn w:val="1"/>
    <w:qFormat/>
    <w:uiPriority w:val="0"/>
    <w:pPr>
      <w:widowControl/>
      <w:jc w:val="left"/>
    </w:pPr>
    <w:rPr>
      <w:rFonts w:ascii="ˎ̥" w:hAnsi="ˎ̥" w:cs="宋体"/>
      <w:color w:val="FFFFFF"/>
      <w:kern w:val="0"/>
      <w:sz w:val="18"/>
      <w:szCs w:val="18"/>
    </w:rPr>
  </w:style>
  <w:style w:type="paragraph" w:customStyle="1" w:styleId="239">
    <w:name w:val="navnameblue"/>
    <w:basedOn w:val="1"/>
    <w:qFormat/>
    <w:uiPriority w:val="0"/>
    <w:pPr>
      <w:widowControl/>
      <w:spacing w:before="100" w:beforeAutospacing="1" w:after="100" w:afterAutospacing="1"/>
      <w:jc w:val="left"/>
    </w:pPr>
    <w:rPr>
      <w:rFonts w:ascii="Arial" w:hAnsi="Arial" w:cs="Arial"/>
      <w:b/>
      <w:bCs/>
      <w:color w:val="024B82"/>
      <w:kern w:val="0"/>
      <w:szCs w:val="21"/>
    </w:rPr>
  </w:style>
  <w:style w:type="paragraph" w:customStyle="1" w:styleId="240">
    <w:name w:val="font12"/>
    <w:basedOn w:val="1"/>
    <w:qFormat/>
    <w:uiPriority w:val="0"/>
    <w:pPr>
      <w:widowControl/>
      <w:spacing w:before="100" w:beforeAutospacing="1" w:after="100" w:afterAutospacing="1"/>
      <w:jc w:val="left"/>
    </w:pPr>
    <w:rPr>
      <w:rFonts w:ascii="宋体" w:hAnsi="宋体" w:cs="宋体"/>
      <w:color w:val="000000"/>
      <w:kern w:val="0"/>
      <w:sz w:val="20"/>
      <w:szCs w:val="20"/>
    </w:rPr>
  </w:style>
  <w:style w:type="paragraph" w:customStyle="1" w:styleId="241">
    <w:name w:val="wall_cg1"/>
    <w:basedOn w:val="1"/>
    <w:qFormat/>
    <w:uiPriority w:val="0"/>
    <w:pPr>
      <w:widowControl/>
      <w:spacing w:before="100" w:beforeAutospacing="1" w:after="100" w:afterAutospacing="1"/>
      <w:jc w:val="left"/>
    </w:pPr>
    <w:rPr>
      <w:rFonts w:ascii="宋体" w:hAnsi="宋体" w:cs="宋体"/>
      <w:kern w:val="0"/>
      <w:sz w:val="24"/>
    </w:rPr>
  </w:style>
  <w:style w:type="paragraph" w:customStyle="1" w:styleId="242">
    <w:name w:val="submenubt"/>
    <w:basedOn w:val="1"/>
    <w:qFormat/>
    <w:uiPriority w:val="0"/>
    <w:pPr>
      <w:widowControl/>
      <w:pBdr>
        <w:top w:val="single" w:color="BED4F4" w:sz="6" w:space="0"/>
        <w:left w:val="single" w:color="BED4F4" w:sz="6" w:space="0"/>
        <w:bottom w:val="single" w:color="BED4F4" w:sz="6" w:space="0"/>
        <w:right w:val="single" w:color="BED4F4" w:sz="6" w:space="0"/>
      </w:pBdr>
      <w:spacing w:before="100" w:beforeAutospacing="1" w:after="100" w:afterAutospacing="1"/>
      <w:ind w:firstLine="150"/>
      <w:jc w:val="left"/>
    </w:pPr>
    <w:rPr>
      <w:rFonts w:ascii="宋体" w:hAnsi="宋体" w:cs="宋体"/>
      <w:kern w:val="0"/>
      <w:sz w:val="24"/>
    </w:rPr>
  </w:style>
  <w:style w:type="paragraph" w:customStyle="1" w:styleId="243">
    <w:name w:val="maintd2"/>
    <w:basedOn w:val="1"/>
    <w:qFormat/>
    <w:uiPriority w:val="0"/>
    <w:pPr>
      <w:widowControl/>
      <w:pBdr>
        <w:left w:val="single" w:color="A7A7A7" w:sz="6" w:space="0"/>
        <w:bottom w:val="single" w:color="3C98DF" w:sz="12" w:space="0"/>
        <w:right w:val="single" w:color="A7A7A7" w:sz="6" w:space="0"/>
      </w:pBdr>
      <w:spacing w:before="100" w:beforeAutospacing="1" w:after="100" w:afterAutospacing="1"/>
      <w:jc w:val="left"/>
    </w:pPr>
    <w:rPr>
      <w:rFonts w:ascii="宋体" w:hAnsi="宋体" w:cs="宋体"/>
      <w:kern w:val="0"/>
      <w:sz w:val="24"/>
    </w:rPr>
  </w:style>
  <w:style w:type="paragraph" w:customStyle="1" w:styleId="244">
    <w:name w:val="cvsfont"/>
    <w:basedOn w:val="1"/>
    <w:qFormat/>
    <w:uiPriority w:val="0"/>
    <w:pPr>
      <w:widowControl/>
      <w:spacing w:before="100" w:beforeAutospacing="1" w:after="100" w:afterAutospacing="1"/>
      <w:jc w:val="left"/>
    </w:pPr>
    <w:rPr>
      <w:rFonts w:ascii="ˎ̥" w:hAnsi="ˎ̥" w:cs="宋体"/>
      <w:b/>
      <w:bCs/>
      <w:kern w:val="0"/>
      <w:szCs w:val="21"/>
    </w:rPr>
  </w:style>
  <w:style w:type="paragraph" w:customStyle="1" w:styleId="245">
    <w:name w:val="xl6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18"/>
      <w:szCs w:val="18"/>
    </w:rPr>
  </w:style>
  <w:style w:type="paragraph" w:customStyle="1" w:styleId="246">
    <w:name w:val="s4"/>
    <w:basedOn w:val="1"/>
    <w:qFormat/>
    <w:uiPriority w:val="0"/>
    <w:pPr>
      <w:widowControl/>
      <w:spacing w:before="100" w:beforeAutospacing="1" w:after="100" w:afterAutospacing="1"/>
      <w:jc w:val="left"/>
    </w:pPr>
    <w:rPr>
      <w:rFonts w:ascii="ˎ̥" w:hAnsi="ˎ̥" w:cs="宋体"/>
      <w:b/>
      <w:bCs/>
      <w:color w:val="FFFFFF"/>
      <w:kern w:val="0"/>
      <w:szCs w:val="21"/>
    </w:rPr>
  </w:style>
  <w:style w:type="paragraph" w:customStyle="1" w:styleId="247">
    <w:name w:val="cvsleft9"/>
    <w:basedOn w:val="1"/>
    <w:qFormat/>
    <w:uiPriority w:val="0"/>
    <w:pPr>
      <w:widowControl/>
      <w:spacing w:before="100" w:beforeAutospacing="1" w:after="100" w:afterAutospacing="1"/>
      <w:jc w:val="left"/>
    </w:pPr>
    <w:rPr>
      <w:rFonts w:ascii="宋体" w:hAnsi="宋体" w:cs="宋体"/>
      <w:kern w:val="0"/>
      <w:sz w:val="24"/>
    </w:rPr>
  </w:style>
  <w:style w:type="paragraph" w:customStyle="1" w:styleId="248">
    <w:name w:val="blacknr"/>
    <w:basedOn w:val="1"/>
    <w:qFormat/>
    <w:uiPriority w:val="0"/>
    <w:pPr>
      <w:widowControl/>
      <w:spacing w:before="100" w:beforeAutospacing="1" w:after="100" w:afterAutospacing="1"/>
      <w:jc w:val="left"/>
    </w:pPr>
    <w:rPr>
      <w:rFonts w:ascii="ˎ̥" w:hAnsi="ˎ̥" w:cs="宋体"/>
      <w:color w:val="000000"/>
      <w:kern w:val="0"/>
      <w:sz w:val="18"/>
      <w:szCs w:val="18"/>
    </w:rPr>
  </w:style>
  <w:style w:type="paragraph" w:customStyle="1" w:styleId="249">
    <w:name w:val="et38"/>
    <w:basedOn w:val="1"/>
    <w:qFormat/>
    <w:uiPriority w:val="0"/>
    <w:pPr>
      <w:widowControl/>
      <w:spacing w:before="100" w:beforeAutospacing="1" w:after="100" w:afterAutospacing="1"/>
      <w:jc w:val="left"/>
      <w:textAlignment w:val="bottom"/>
    </w:pPr>
    <w:rPr>
      <w:rFonts w:ascii="宋体" w:hAnsi="宋体" w:cs="宋体"/>
      <w:color w:val="000000"/>
      <w:kern w:val="0"/>
      <w:sz w:val="24"/>
    </w:rPr>
  </w:style>
  <w:style w:type="paragraph" w:customStyle="1" w:styleId="250">
    <w:name w:val="btline2"/>
    <w:basedOn w:val="1"/>
    <w:qFormat/>
    <w:uiPriority w:val="0"/>
    <w:pPr>
      <w:widowControl/>
      <w:shd w:val="clear" w:color="auto" w:fill="5FA1DF"/>
      <w:spacing w:before="100" w:beforeAutospacing="1" w:after="100" w:afterAutospacing="1"/>
      <w:jc w:val="left"/>
    </w:pPr>
    <w:rPr>
      <w:rFonts w:ascii="宋体" w:hAnsi="宋体" w:cs="宋体"/>
      <w:kern w:val="0"/>
      <w:sz w:val="24"/>
    </w:rPr>
  </w:style>
  <w:style w:type="paragraph" w:customStyle="1" w:styleId="251">
    <w:name w:val="font6"/>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52">
    <w:name w:val="cvsbg"/>
    <w:basedOn w:val="1"/>
    <w:qFormat/>
    <w:uiPriority w:val="0"/>
    <w:pPr>
      <w:widowControl/>
      <w:spacing w:before="100" w:beforeAutospacing="1" w:after="100" w:afterAutospacing="1"/>
      <w:jc w:val="left"/>
    </w:pPr>
    <w:rPr>
      <w:rFonts w:ascii="ˎ̥" w:hAnsi="ˎ̥" w:cs="宋体"/>
      <w:b/>
      <w:bCs/>
      <w:kern w:val="0"/>
      <w:sz w:val="18"/>
      <w:szCs w:val="18"/>
    </w:rPr>
  </w:style>
  <w:style w:type="paragraph" w:customStyle="1" w:styleId="253">
    <w:name w:val="button2"/>
    <w:basedOn w:val="1"/>
    <w:qFormat/>
    <w:uiPriority w:val="0"/>
    <w:pPr>
      <w:widowControl/>
      <w:pBdr>
        <w:top w:val="single" w:color="B0A06E" w:sz="6" w:space="2"/>
        <w:left w:val="single" w:color="B0A06E" w:sz="6" w:space="2"/>
        <w:bottom w:val="single" w:color="B0A06E" w:sz="6" w:space="0"/>
        <w:right w:val="single" w:color="B0A06E" w:sz="6" w:space="2"/>
      </w:pBdr>
      <w:spacing w:before="100" w:beforeAutospacing="1" w:after="100" w:afterAutospacing="1"/>
      <w:jc w:val="left"/>
    </w:pPr>
    <w:rPr>
      <w:rFonts w:ascii="宋体" w:hAnsi="宋体" w:cs="宋体"/>
      <w:color w:val="000000"/>
      <w:kern w:val="0"/>
      <w:sz w:val="18"/>
      <w:szCs w:val="18"/>
    </w:rPr>
  </w:style>
  <w:style w:type="paragraph" w:customStyle="1" w:styleId="254">
    <w:name w:val="wall_cg7"/>
    <w:basedOn w:val="1"/>
    <w:qFormat/>
    <w:uiPriority w:val="0"/>
    <w:pPr>
      <w:widowControl/>
      <w:spacing w:before="100" w:beforeAutospacing="1" w:after="100" w:afterAutospacing="1"/>
      <w:jc w:val="left"/>
    </w:pPr>
    <w:rPr>
      <w:rFonts w:ascii="宋体" w:hAnsi="宋体" w:cs="宋体"/>
      <w:kern w:val="0"/>
      <w:sz w:val="24"/>
    </w:rPr>
  </w:style>
  <w:style w:type="paragraph" w:customStyle="1" w:styleId="255">
    <w:name w:val="red"/>
    <w:basedOn w:val="1"/>
    <w:qFormat/>
    <w:uiPriority w:val="0"/>
    <w:pPr>
      <w:widowControl/>
      <w:spacing w:before="100" w:beforeAutospacing="1" w:after="100" w:afterAutospacing="1"/>
      <w:jc w:val="left"/>
    </w:pPr>
    <w:rPr>
      <w:rFonts w:ascii="ˎ̥" w:hAnsi="ˎ̥" w:cs="宋体"/>
      <w:color w:val="E32E00"/>
      <w:kern w:val="0"/>
      <w:sz w:val="18"/>
      <w:szCs w:val="18"/>
    </w:rPr>
  </w:style>
  <w:style w:type="paragraph" w:customStyle="1" w:styleId="256">
    <w:name w:val="navgation_pic4"/>
    <w:basedOn w:val="1"/>
    <w:qFormat/>
    <w:uiPriority w:val="0"/>
    <w:pPr>
      <w:widowControl/>
      <w:spacing w:before="100" w:beforeAutospacing="1" w:after="100" w:afterAutospacing="1"/>
      <w:jc w:val="left"/>
    </w:pPr>
    <w:rPr>
      <w:rFonts w:ascii="宋体" w:hAnsi="宋体" w:cs="宋体"/>
      <w:kern w:val="0"/>
      <w:sz w:val="24"/>
    </w:rPr>
  </w:style>
  <w:style w:type="paragraph" w:customStyle="1" w:styleId="257">
    <w:name w:val="newinfotr3"/>
    <w:basedOn w:val="1"/>
    <w:qFormat/>
    <w:uiPriority w:val="0"/>
    <w:pPr>
      <w:widowControl/>
      <w:pBdr>
        <w:bottom w:val="single" w:color="BECBDB" w:sz="6" w:space="0"/>
      </w:pBdr>
      <w:shd w:val="clear" w:color="auto" w:fill="F6F9FE"/>
      <w:spacing w:before="100" w:beforeAutospacing="1" w:after="100" w:afterAutospacing="1"/>
      <w:jc w:val="left"/>
    </w:pPr>
    <w:rPr>
      <w:rFonts w:ascii="宋体" w:hAnsi="宋体" w:cs="宋体"/>
      <w:kern w:val="0"/>
      <w:sz w:val="24"/>
    </w:rPr>
  </w:style>
  <w:style w:type="paragraph" w:customStyle="1" w:styleId="258">
    <w:name w:val="et49"/>
    <w:basedOn w:val="1"/>
    <w:qFormat/>
    <w:uiPriority w:val="0"/>
    <w:pPr>
      <w:widowControl/>
      <w:spacing w:before="100" w:beforeAutospacing="1" w:after="100" w:afterAutospacing="1"/>
      <w:jc w:val="left"/>
      <w:textAlignment w:val="center"/>
    </w:pPr>
    <w:rPr>
      <w:rFonts w:ascii="宋体" w:hAnsi="宋体" w:cs="宋体"/>
      <w:color w:val="000000"/>
      <w:kern w:val="0"/>
      <w:sz w:val="22"/>
      <w:szCs w:val="22"/>
    </w:rPr>
  </w:style>
  <w:style w:type="paragraph" w:customStyle="1" w:styleId="259">
    <w:name w:val="dibian2"/>
    <w:basedOn w:val="1"/>
    <w:qFormat/>
    <w:uiPriority w:val="0"/>
    <w:pPr>
      <w:widowControl/>
      <w:pBdr>
        <w:bottom w:val="single" w:color="C5D6F4" w:sz="6" w:space="2"/>
      </w:pBdr>
      <w:spacing w:before="100" w:beforeAutospacing="1" w:after="100" w:afterAutospacing="1"/>
      <w:jc w:val="left"/>
    </w:pPr>
    <w:rPr>
      <w:rFonts w:ascii="宋体" w:hAnsi="宋体" w:cs="宋体"/>
      <w:kern w:val="0"/>
      <w:sz w:val="24"/>
    </w:rPr>
  </w:style>
  <w:style w:type="paragraph" w:customStyle="1" w:styleId="260">
    <w:name w:val="style4"/>
    <w:basedOn w:val="1"/>
    <w:qFormat/>
    <w:uiPriority w:val="0"/>
    <w:pPr>
      <w:widowControl/>
      <w:spacing w:before="100" w:beforeAutospacing="1" w:after="100" w:afterAutospacing="1"/>
      <w:jc w:val="left"/>
    </w:pPr>
    <w:rPr>
      <w:rFonts w:ascii="宋体" w:hAnsi="宋体" w:cs="宋体"/>
      <w:b/>
      <w:bCs/>
      <w:color w:val="3195C9"/>
      <w:kern w:val="0"/>
      <w:sz w:val="18"/>
      <w:szCs w:val="18"/>
    </w:rPr>
  </w:style>
  <w:style w:type="paragraph" w:customStyle="1" w:styleId="261">
    <w:name w:val="titlebtwhite"/>
    <w:basedOn w:val="1"/>
    <w:qFormat/>
    <w:uiPriority w:val="0"/>
    <w:pPr>
      <w:widowControl/>
      <w:spacing w:before="100" w:beforeAutospacing="1" w:after="100" w:afterAutospacing="1"/>
      <w:jc w:val="left"/>
    </w:pPr>
    <w:rPr>
      <w:rFonts w:ascii="ˎ̥" w:hAnsi="ˎ̥" w:cs="宋体"/>
      <w:b/>
      <w:bCs/>
      <w:color w:val="FFFFFF"/>
      <w:kern w:val="0"/>
      <w:sz w:val="18"/>
      <w:szCs w:val="18"/>
    </w:rPr>
  </w:style>
  <w:style w:type="paragraph" w:customStyle="1" w:styleId="262">
    <w:name w:val="navnamehui"/>
    <w:basedOn w:val="1"/>
    <w:qFormat/>
    <w:uiPriority w:val="0"/>
    <w:pPr>
      <w:widowControl/>
      <w:spacing w:before="100" w:beforeAutospacing="1" w:after="100" w:afterAutospacing="1"/>
      <w:jc w:val="left"/>
    </w:pPr>
    <w:rPr>
      <w:rFonts w:ascii="Arial" w:hAnsi="Arial" w:cs="Arial"/>
      <w:b/>
      <w:bCs/>
      <w:color w:val="828282"/>
      <w:kern w:val="0"/>
      <w:szCs w:val="21"/>
    </w:rPr>
  </w:style>
  <w:style w:type="paragraph" w:customStyle="1" w:styleId="263">
    <w:name w:val="wallleft_bg"/>
    <w:basedOn w:val="1"/>
    <w:qFormat/>
    <w:uiPriority w:val="0"/>
    <w:pPr>
      <w:widowControl/>
      <w:spacing w:before="100" w:beforeAutospacing="1" w:after="100" w:afterAutospacing="1"/>
      <w:jc w:val="left"/>
    </w:pPr>
    <w:rPr>
      <w:rFonts w:ascii="宋体" w:hAnsi="宋体" w:cs="宋体"/>
      <w:kern w:val="0"/>
      <w:sz w:val="24"/>
    </w:rPr>
  </w:style>
  <w:style w:type="paragraph" w:customStyle="1" w:styleId="264">
    <w:name w:val="Char2 Char Char Char Char Char Char"/>
    <w:basedOn w:val="9"/>
    <w:qFormat/>
    <w:uiPriority w:val="0"/>
    <w:rPr>
      <w:rFonts w:ascii="Tahoma" w:hAnsi="Tahoma"/>
      <w:sz w:val="24"/>
    </w:rPr>
  </w:style>
  <w:style w:type="paragraph" w:customStyle="1" w:styleId="265">
    <w:name w:val="et6"/>
    <w:basedOn w:val="1"/>
    <w:qFormat/>
    <w:uiPriority w:val="0"/>
    <w:pPr>
      <w:widowControl/>
      <w:spacing w:before="100" w:beforeAutospacing="1" w:after="100" w:afterAutospacing="1"/>
      <w:jc w:val="left"/>
      <w:textAlignment w:val="center"/>
    </w:pPr>
    <w:rPr>
      <w:rFonts w:ascii="宋体" w:hAnsi="宋体" w:cs="宋体"/>
      <w:color w:val="000000"/>
      <w:kern w:val="0"/>
      <w:sz w:val="22"/>
      <w:szCs w:val="22"/>
    </w:rPr>
  </w:style>
  <w:style w:type="paragraph" w:customStyle="1" w:styleId="266">
    <w:name w:val="adminfont"/>
    <w:basedOn w:val="1"/>
    <w:qFormat/>
    <w:uiPriority w:val="0"/>
    <w:pPr>
      <w:widowControl/>
      <w:spacing w:before="100" w:beforeAutospacing="1" w:after="100" w:afterAutospacing="1"/>
      <w:jc w:val="left"/>
    </w:pPr>
    <w:rPr>
      <w:rFonts w:ascii="ˎ̥" w:hAnsi="ˎ̥" w:cs="宋体"/>
      <w:b/>
      <w:bCs/>
      <w:color w:val="000000"/>
      <w:kern w:val="0"/>
      <w:sz w:val="18"/>
      <w:szCs w:val="18"/>
    </w:rPr>
  </w:style>
  <w:style w:type="paragraph" w:customStyle="1" w:styleId="267">
    <w:name w:val="cvsleft6"/>
    <w:basedOn w:val="1"/>
    <w:qFormat/>
    <w:uiPriority w:val="0"/>
    <w:pPr>
      <w:widowControl/>
      <w:spacing w:before="100" w:beforeAutospacing="1" w:after="100" w:afterAutospacing="1"/>
      <w:jc w:val="left"/>
    </w:pPr>
    <w:rPr>
      <w:rFonts w:ascii="宋体" w:hAnsi="宋体" w:cs="宋体"/>
      <w:kern w:val="0"/>
      <w:sz w:val="24"/>
    </w:rPr>
  </w:style>
  <w:style w:type="paragraph" w:customStyle="1" w:styleId="268">
    <w:name w:val="wallzi2"/>
    <w:basedOn w:val="1"/>
    <w:qFormat/>
    <w:uiPriority w:val="0"/>
    <w:pPr>
      <w:widowControl/>
      <w:spacing w:before="100" w:beforeAutospacing="1" w:after="100" w:afterAutospacing="1"/>
      <w:jc w:val="left"/>
    </w:pPr>
    <w:rPr>
      <w:rFonts w:ascii="宋体" w:hAnsi="宋体" w:cs="宋体"/>
      <w:kern w:val="0"/>
      <w:sz w:val="24"/>
    </w:rPr>
  </w:style>
  <w:style w:type="paragraph" w:customStyle="1" w:styleId="269">
    <w:name w:val="yy"/>
    <w:basedOn w:val="1"/>
    <w:qFormat/>
    <w:uiPriority w:val="0"/>
    <w:pPr>
      <w:widowControl/>
      <w:spacing w:before="100" w:beforeAutospacing="1" w:after="100" w:afterAutospacing="1" w:line="345" w:lineRule="atLeast"/>
      <w:jc w:val="left"/>
    </w:pPr>
    <w:rPr>
      <w:rFonts w:ascii="ˎ̥" w:hAnsi="ˎ̥" w:cs="宋体"/>
      <w:color w:val="000000"/>
      <w:kern w:val="0"/>
      <w:sz w:val="18"/>
      <w:szCs w:val="18"/>
    </w:rPr>
  </w:style>
  <w:style w:type="paragraph" w:customStyle="1" w:styleId="270">
    <w:name w:val="xl6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18"/>
      <w:szCs w:val="18"/>
    </w:rPr>
  </w:style>
  <w:style w:type="paragraph" w:customStyle="1" w:styleId="271">
    <w:name w:val="cvsleft8"/>
    <w:basedOn w:val="1"/>
    <w:qFormat/>
    <w:uiPriority w:val="0"/>
    <w:pPr>
      <w:widowControl/>
      <w:spacing w:before="100" w:beforeAutospacing="1" w:after="100" w:afterAutospacing="1"/>
      <w:jc w:val="left"/>
    </w:pPr>
    <w:rPr>
      <w:rFonts w:ascii="宋体" w:hAnsi="宋体" w:cs="宋体"/>
      <w:kern w:val="0"/>
      <w:sz w:val="24"/>
    </w:rPr>
  </w:style>
  <w:style w:type="paragraph" w:customStyle="1" w:styleId="272">
    <w:name w:val="navgation_pic2"/>
    <w:basedOn w:val="1"/>
    <w:qFormat/>
    <w:uiPriority w:val="0"/>
    <w:pPr>
      <w:widowControl/>
      <w:spacing w:before="100" w:beforeAutospacing="1" w:after="100" w:afterAutospacing="1"/>
      <w:jc w:val="left"/>
    </w:pPr>
    <w:rPr>
      <w:rFonts w:ascii="宋体" w:hAnsi="宋体" w:cs="宋体"/>
      <w:kern w:val="0"/>
      <w:sz w:val="24"/>
    </w:rPr>
  </w:style>
  <w:style w:type="paragraph" w:customStyle="1" w:styleId="273">
    <w:name w:val="style8"/>
    <w:basedOn w:val="1"/>
    <w:qFormat/>
    <w:uiPriority w:val="0"/>
    <w:pPr>
      <w:widowControl/>
      <w:spacing w:before="100" w:beforeAutospacing="1" w:after="100" w:afterAutospacing="1"/>
      <w:jc w:val="left"/>
    </w:pPr>
    <w:rPr>
      <w:rFonts w:ascii="宋体" w:hAnsi="宋体" w:cs="宋体"/>
      <w:b/>
      <w:bCs/>
      <w:color w:val="FFFFFF"/>
      <w:kern w:val="0"/>
      <w:sz w:val="18"/>
      <w:szCs w:val="18"/>
    </w:rPr>
  </w:style>
  <w:style w:type="paragraph" w:customStyle="1" w:styleId="274">
    <w:name w:val="cvsleft4"/>
    <w:basedOn w:val="1"/>
    <w:qFormat/>
    <w:uiPriority w:val="0"/>
    <w:pPr>
      <w:widowControl/>
      <w:spacing w:before="100" w:beforeAutospacing="1" w:after="100" w:afterAutospacing="1"/>
      <w:jc w:val="left"/>
    </w:pPr>
    <w:rPr>
      <w:rFonts w:ascii="宋体" w:hAnsi="宋体" w:cs="宋体"/>
      <w:kern w:val="0"/>
      <w:sz w:val="24"/>
    </w:rPr>
  </w:style>
  <w:style w:type="paragraph" w:customStyle="1" w:styleId="275">
    <w:name w:val="searchbar"/>
    <w:basedOn w:val="1"/>
    <w:qFormat/>
    <w:uiPriority w:val="0"/>
    <w:pPr>
      <w:widowControl/>
      <w:shd w:val="clear" w:color="auto" w:fill="F2F8FD"/>
      <w:spacing w:before="100" w:beforeAutospacing="1" w:after="100" w:afterAutospacing="1"/>
      <w:jc w:val="left"/>
    </w:pPr>
    <w:rPr>
      <w:rFonts w:ascii="宋体" w:hAnsi="宋体" w:cs="宋体"/>
      <w:color w:val="3195C7"/>
      <w:kern w:val="0"/>
      <w:sz w:val="18"/>
      <w:szCs w:val="18"/>
    </w:rPr>
  </w:style>
  <w:style w:type="paragraph" w:customStyle="1" w:styleId="276">
    <w:name w:val="List Paragraph_0"/>
    <w:basedOn w:val="68"/>
    <w:qFormat/>
    <w:uiPriority w:val="0"/>
    <w:pPr>
      <w:ind w:firstLine="420" w:firstLineChars="200"/>
    </w:pPr>
    <w:rPr>
      <w:szCs w:val="24"/>
    </w:rPr>
  </w:style>
  <w:style w:type="paragraph" w:customStyle="1" w:styleId="277">
    <w:name w:val="navnamebai"/>
    <w:basedOn w:val="1"/>
    <w:qFormat/>
    <w:uiPriority w:val="0"/>
    <w:pPr>
      <w:widowControl/>
      <w:spacing w:before="100" w:beforeAutospacing="1" w:after="100" w:afterAutospacing="1"/>
      <w:jc w:val="left"/>
    </w:pPr>
    <w:rPr>
      <w:rFonts w:ascii="Arial" w:hAnsi="Arial" w:cs="Arial"/>
      <w:b/>
      <w:bCs/>
      <w:color w:val="FFFFFF"/>
      <w:kern w:val="0"/>
      <w:szCs w:val="21"/>
    </w:rPr>
  </w:style>
  <w:style w:type="paragraph" w:customStyle="1" w:styleId="278">
    <w:name w:val="adminkuan"/>
    <w:basedOn w:val="1"/>
    <w:qFormat/>
    <w:uiPriority w:val="0"/>
    <w:pPr>
      <w:widowControl/>
      <w:pBdr>
        <w:bottom w:val="single" w:color="auto" w:sz="6" w:space="0"/>
      </w:pBdr>
      <w:spacing w:before="100" w:beforeAutospacing="1" w:after="100" w:afterAutospacing="1"/>
      <w:jc w:val="left"/>
    </w:pPr>
    <w:rPr>
      <w:rFonts w:ascii="宋体" w:hAnsi="宋体" w:cs="宋体"/>
      <w:kern w:val="0"/>
      <w:sz w:val="24"/>
    </w:rPr>
  </w:style>
  <w:style w:type="paragraph" w:customStyle="1" w:styleId="279">
    <w:name w:val="et35"/>
    <w:basedOn w:val="1"/>
    <w:qFormat/>
    <w:uiPriority w:val="0"/>
    <w:pPr>
      <w:widowControl/>
      <w:spacing w:before="100" w:beforeAutospacing="1" w:after="100" w:afterAutospacing="1"/>
      <w:jc w:val="left"/>
      <w:textAlignment w:val="center"/>
    </w:pPr>
    <w:rPr>
      <w:rFonts w:ascii="宋体" w:hAnsi="宋体" w:cs="宋体"/>
      <w:color w:val="000000"/>
      <w:kern w:val="0"/>
      <w:sz w:val="22"/>
      <w:szCs w:val="22"/>
    </w:rPr>
  </w:style>
  <w:style w:type="paragraph" w:customStyle="1" w:styleId="280">
    <w:name w:val="cvsleft_font"/>
    <w:basedOn w:val="1"/>
    <w:qFormat/>
    <w:uiPriority w:val="0"/>
    <w:pPr>
      <w:widowControl/>
      <w:spacing w:before="100" w:beforeAutospacing="1" w:after="100" w:afterAutospacing="1" w:line="225" w:lineRule="atLeast"/>
      <w:jc w:val="left"/>
    </w:pPr>
    <w:rPr>
      <w:rFonts w:ascii="ˎ̥" w:hAnsi="ˎ̥" w:cs="宋体"/>
      <w:b/>
      <w:bCs/>
      <w:color w:val="000000"/>
      <w:kern w:val="0"/>
      <w:sz w:val="18"/>
      <w:szCs w:val="18"/>
    </w:rPr>
  </w:style>
  <w:style w:type="paragraph" w:customStyle="1" w:styleId="281">
    <w:name w:val="btn1"/>
    <w:basedOn w:val="1"/>
    <w:qFormat/>
    <w:uiPriority w:val="0"/>
    <w:pPr>
      <w:widowControl/>
      <w:jc w:val="center"/>
    </w:pPr>
    <w:rPr>
      <w:rFonts w:ascii="ˎ̥" w:hAnsi="ˎ̥" w:cs="宋体"/>
      <w:color w:val="000000"/>
      <w:kern w:val="0"/>
      <w:sz w:val="18"/>
      <w:szCs w:val="18"/>
    </w:rPr>
  </w:style>
  <w:style w:type="paragraph" w:customStyle="1" w:styleId="282">
    <w:name w:val="et12"/>
    <w:basedOn w:val="1"/>
    <w:qFormat/>
    <w:uiPriority w:val="0"/>
    <w:pPr>
      <w:widowControl/>
      <w:spacing w:before="100" w:beforeAutospacing="1" w:after="100" w:afterAutospacing="1"/>
      <w:jc w:val="left"/>
      <w:textAlignment w:val="center"/>
    </w:pPr>
    <w:rPr>
      <w:rFonts w:ascii="宋体" w:hAnsi="宋体" w:cs="宋体"/>
      <w:color w:val="000000"/>
      <w:kern w:val="0"/>
      <w:sz w:val="22"/>
      <w:szCs w:val="22"/>
    </w:rPr>
  </w:style>
  <w:style w:type="paragraph" w:customStyle="1" w:styleId="283">
    <w:name w:val="shadow"/>
    <w:basedOn w:val="1"/>
    <w:qFormat/>
    <w:uiPriority w:val="0"/>
    <w:pPr>
      <w:widowControl/>
      <w:spacing w:before="100" w:beforeAutospacing="1" w:after="100" w:afterAutospacing="1"/>
      <w:jc w:val="left"/>
    </w:pPr>
    <w:rPr>
      <w:rFonts w:ascii="宋体" w:hAnsi="宋体" w:cs="宋体"/>
      <w:b/>
      <w:bCs/>
      <w:color w:val="FFFFFF"/>
      <w:kern w:val="0"/>
      <w:szCs w:val="21"/>
    </w:rPr>
  </w:style>
  <w:style w:type="paragraph" w:customStyle="1" w:styleId="284">
    <w:name w:val="style9"/>
    <w:basedOn w:val="1"/>
    <w:qFormat/>
    <w:uiPriority w:val="0"/>
    <w:pPr>
      <w:widowControl/>
      <w:spacing w:before="100" w:beforeAutospacing="1" w:after="100" w:afterAutospacing="1"/>
      <w:jc w:val="left"/>
    </w:pPr>
    <w:rPr>
      <w:rFonts w:ascii="宋体" w:hAnsi="宋体" w:cs="宋体"/>
      <w:color w:val="3195C7"/>
      <w:kern w:val="0"/>
      <w:sz w:val="18"/>
      <w:szCs w:val="18"/>
    </w:rPr>
  </w:style>
  <w:style w:type="paragraph" w:customStyle="1" w:styleId="285">
    <w:name w:val="greenlink"/>
    <w:basedOn w:val="1"/>
    <w:qFormat/>
    <w:uiPriority w:val="0"/>
    <w:pPr>
      <w:widowControl/>
      <w:spacing w:before="100" w:beforeAutospacing="1" w:after="100" w:afterAutospacing="1"/>
      <w:jc w:val="left"/>
    </w:pPr>
    <w:rPr>
      <w:rFonts w:ascii="ˎ̥" w:hAnsi="ˎ̥" w:cs="宋体"/>
      <w:color w:val="66CC00"/>
      <w:kern w:val="0"/>
      <w:sz w:val="18"/>
      <w:szCs w:val="18"/>
    </w:rPr>
  </w:style>
  <w:style w:type="paragraph" w:customStyle="1" w:styleId="286">
    <w:name w:val="Char131"/>
    <w:basedOn w:val="1"/>
    <w:qFormat/>
    <w:uiPriority w:val="0"/>
  </w:style>
  <w:style w:type="paragraph" w:customStyle="1" w:styleId="287">
    <w:name w:val="et9"/>
    <w:basedOn w:val="1"/>
    <w:qFormat/>
    <w:uiPriority w:val="0"/>
    <w:pPr>
      <w:widowControl/>
      <w:spacing w:before="100" w:beforeAutospacing="1" w:after="100" w:afterAutospacing="1"/>
      <w:jc w:val="left"/>
      <w:textAlignment w:val="center"/>
    </w:pPr>
    <w:rPr>
      <w:rFonts w:ascii="宋体" w:hAnsi="宋体" w:cs="宋体"/>
      <w:color w:val="000000"/>
      <w:kern w:val="0"/>
      <w:sz w:val="22"/>
      <w:szCs w:val="22"/>
    </w:rPr>
  </w:style>
  <w:style w:type="paragraph" w:customStyle="1" w:styleId="288">
    <w:name w:val="newinfotr1"/>
    <w:basedOn w:val="1"/>
    <w:qFormat/>
    <w:uiPriority w:val="0"/>
    <w:pPr>
      <w:widowControl/>
      <w:pBdr>
        <w:bottom w:val="single" w:color="BADBEC" w:sz="12" w:space="0"/>
      </w:pBdr>
      <w:shd w:val="clear" w:color="auto" w:fill="FFFFFF"/>
      <w:spacing w:before="100" w:beforeAutospacing="1" w:after="100" w:afterAutospacing="1"/>
      <w:jc w:val="left"/>
    </w:pPr>
    <w:rPr>
      <w:rFonts w:ascii="ˎ̥" w:hAnsi="ˎ̥" w:cs="宋体"/>
      <w:kern w:val="0"/>
      <w:sz w:val="18"/>
      <w:szCs w:val="18"/>
    </w:rPr>
  </w:style>
  <w:style w:type="paragraph" w:customStyle="1" w:styleId="289">
    <w:name w:val="et33"/>
    <w:basedOn w:val="1"/>
    <w:qFormat/>
    <w:uiPriority w:val="0"/>
    <w:pPr>
      <w:widowControl/>
      <w:spacing w:before="100" w:beforeAutospacing="1" w:after="100" w:afterAutospacing="1"/>
      <w:jc w:val="left"/>
      <w:textAlignment w:val="center"/>
    </w:pPr>
    <w:rPr>
      <w:rFonts w:ascii="宋体" w:hAnsi="宋体" w:cs="宋体"/>
      <w:color w:val="000000"/>
      <w:kern w:val="0"/>
      <w:sz w:val="22"/>
      <w:szCs w:val="22"/>
    </w:rPr>
  </w:style>
  <w:style w:type="paragraph" w:customStyle="1" w:styleId="290">
    <w:name w:val="wallbg_top"/>
    <w:basedOn w:val="1"/>
    <w:qFormat/>
    <w:uiPriority w:val="0"/>
    <w:pPr>
      <w:widowControl/>
      <w:spacing w:before="100" w:beforeAutospacing="1" w:after="100" w:afterAutospacing="1"/>
      <w:jc w:val="left"/>
    </w:pPr>
    <w:rPr>
      <w:rFonts w:ascii="宋体" w:hAnsi="宋体" w:cs="宋体"/>
      <w:kern w:val="0"/>
      <w:sz w:val="24"/>
    </w:rPr>
  </w:style>
  <w:style w:type="paragraph" w:customStyle="1" w:styleId="291">
    <w:name w:val="et28"/>
    <w:basedOn w:val="1"/>
    <w:qFormat/>
    <w:uiPriority w:val="0"/>
    <w:pPr>
      <w:widowControl/>
      <w:spacing w:before="100" w:beforeAutospacing="1" w:after="100" w:afterAutospacing="1"/>
      <w:jc w:val="left"/>
      <w:textAlignment w:val="center"/>
    </w:pPr>
    <w:rPr>
      <w:rFonts w:ascii="宋体" w:hAnsi="宋体" w:cs="宋体"/>
      <w:color w:val="000000"/>
      <w:kern w:val="0"/>
      <w:sz w:val="22"/>
      <w:szCs w:val="22"/>
    </w:rPr>
  </w:style>
  <w:style w:type="paragraph" w:customStyle="1" w:styleId="292">
    <w:name w:val="et19"/>
    <w:basedOn w:val="1"/>
    <w:qFormat/>
    <w:uiPriority w:val="0"/>
    <w:pPr>
      <w:widowControl/>
      <w:spacing w:before="100" w:beforeAutospacing="1" w:after="100" w:afterAutospacing="1"/>
      <w:jc w:val="left"/>
      <w:textAlignment w:val="center"/>
    </w:pPr>
    <w:rPr>
      <w:rFonts w:ascii="宋体" w:hAnsi="宋体" w:cs="宋体"/>
      <w:color w:val="000000"/>
      <w:kern w:val="0"/>
      <w:sz w:val="22"/>
      <w:szCs w:val="22"/>
    </w:rPr>
  </w:style>
  <w:style w:type="paragraph" w:customStyle="1" w:styleId="293">
    <w:name w:val="Char Char Char1"/>
    <w:basedOn w:val="1"/>
    <w:qFormat/>
    <w:uiPriority w:val="0"/>
    <w:pPr>
      <w:ind w:firstLine="200" w:firstLineChars="200"/>
    </w:pPr>
    <w:rPr>
      <w:sz w:val="24"/>
    </w:rPr>
  </w:style>
  <w:style w:type="paragraph" w:customStyle="1" w:styleId="294">
    <w:name w:val="xuxian"/>
    <w:basedOn w:val="1"/>
    <w:qFormat/>
    <w:uiPriority w:val="0"/>
    <w:pPr>
      <w:widowControl/>
      <w:spacing w:before="100" w:beforeAutospacing="1" w:after="100" w:afterAutospacing="1"/>
      <w:jc w:val="left"/>
    </w:pPr>
    <w:rPr>
      <w:rFonts w:ascii="宋体" w:hAnsi="宋体" w:cs="宋体"/>
      <w:b/>
      <w:bCs/>
      <w:color w:val="188DD3"/>
      <w:kern w:val="0"/>
      <w:sz w:val="24"/>
    </w:rPr>
  </w:style>
  <w:style w:type="paragraph" w:customStyle="1" w:styleId="295">
    <w:name w:val="et45"/>
    <w:basedOn w:val="1"/>
    <w:qFormat/>
    <w:uiPriority w:val="0"/>
    <w:pPr>
      <w:widowControl/>
      <w:spacing w:before="100" w:beforeAutospacing="1" w:after="100" w:afterAutospacing="1"/>
      <w:jc w:val="left"/>
      <w:textAlignment w:val="center"/>
    </w:pPr>
    <w:rPr>
      <w:rFonts w:ascii="宋体" w:hAnsi="宋体" w:cs="宋体"/>
      <w:color w:val="000000"/>
      <w:kern w:val="0"/>
      <w:sz w:val="22"/>
      <w:szCs w:val="22"/>
    </w:rPr>
  </w:style>
  <w:style w:type="paragraph" w:customStyle="1" w:styleId="296">
    <w:name w:val="_Style 103"/>
    <w:next w:val="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97">
    <w:name w:val="navnamered"/>
    <w:basedOn w:val="1"/>
    <w:qFormat/>
    <w:uiPriority w:val="0"/>
    <w:pPr>
      <w:widowControl/>
      <w:spacing w:before="100" w:beforeAutospacing="1" w:after="100" w:afterAutospacing="1"/>
      <w:jc w:val="left"/>
    </w:pPr>
    <w:rPr>
      <w:rFonts w:ascii="Arial" w:hAnsi="Arial" w:cs="Arial"/>
      <w:b/>
      <w:bCs/>
      <w:color w:val="FE0405"/>
      <w:kern w:val="0"/>
      <w:szCs w:val="21"/>
    </w:rPr>
  </w:style>
  <w:style w:type="paragraph" w:customStyle="1" w:styleId="298">
    <w:name w:val="cvsbg1"/>
    <w:basedOn w:val="1"/>
    <w:qFormat/>
    <w:uiPriority w:val="0"/>
    <w:pPr>
      <w:widowControl/>
      <w:spacing w:before="100" w:beforeAutospacing="1" w:after="100" w:afterAutospacing="1"/>
      <w:jc w:val="left"/>
    </w:pPr>
    <w:rPr>
      <w:rFonts w:ascii="宋体" w:hAnsi="宋体" w:cs="宋体"/>
      <w:kern w:val="0"/>
      <w:sz w:val="24"/>
    </w:rPr>
  </w:style>
  <w:style w:type="paragraph" w:customStyle="1" w:styleId="299">
    <w:name w:val="baobiao5"/>
    <w:basedOn w:val="1"/>
    <w:qFormat/>
    <w:uiPriority w:val="0"/>
    <w:pPr>
      <w:widowControl/>
      <w:pBdr>
        <w:top w:val="single" w:color="86BFF6" w:sz="6" w:space="2"/>
        <w:left w:val="single" w:color="86BFF6" w:sz="6" w:space="2"/>
        <w:bottom w:val="single" w:color="86BFF6" w:sz="6" w:space="2"/>
        <w:right w:val="single" w:color="86BFF6" w:sz="6" w:space="2"/>
      </w:pBdr>
      <w:spacing w:before="100" w:beforeAutospacing="1" w:after="100" w:afterAutospacing="1"/>
      <w:jc w:val="left"/>
    </w:pPr>
    <w:rPr>
      <w:rFonts w:ascii="宋体" w:hAnsi="宋体" w:cs="宋体"/>
      <w:kern w:val="0"/>
      <w:sz w:val="24"/>
    </w:rPr>
  </w:style>
  <w:style w:type="paragraph" w:customStyle="1" w:styleId="300">
    <w:name w:val="wallzi1"/>
    <w:basedOn w:val="1"/>
    <w:qFormat/>
    <w:uiPriority w:val="0"/>
    <w:pPr>
      <w:widowControl/>
      <w:spacing w:before="100" w:beforeAutospacing="1" w:after="100" w:afterAutospacing="1"/>
      <w:jc w:val="left"/>
    </w:pPr>
    <w:rPr>
      <w:rFonts w:ascii="宋体" w:hAnsi="宋体" w:cs="宋体"/>
      <w:kern w:val="0"/>
      <w:sz w:val="24"/>
    </w:rPr>
  </w:style>
  <w:style w:type="paragraph" w:customStyle="1" w:styleId="301">
    <w:name w:val="ico1"/>
    <w:basedOn w:val="1"/>
    <w:qFormat/>
    <w:uiPriority w:val="0"/>
    <w:pPr>
      <w:widowControl/>
      <w:spacing w:before="100" w:beforeAutospacing="1" w:after="100" w:afterAutospacing="1"/>
      <w:jc w:val="left"/>
    </w:pPr>
    <w:rPr>
      <w:rFonts w:ascii="宋体" w:hAnsi="宋体" w:cs="宋体"/>
      <w:kern w:val="0"/>
      <w:sz w:val="24"/>
    </w:rPr>
  </w:style>
  <w:style w:type="paragraph" w:customStyle="1" w:styleId="302">
    <w:name w:val="admin_bg22"/>
    <w:basedOn w:val="1"/>
    <w:qFormat/>
    <w:uiPriority w:val="0"/>
    <w:pPr>
      <w:widowControl/>
      <w:spacing w:before="100" w:beforeAutospacing="1" w:after="100" w:afterAutospacing="1"/>
      <w:jc w:val="left"/>
    </w:pPr>
    <w:rPr>
      <w:rFonts w:ascii="宋体" w:hAnsi="宋体" w:cs="宋体"/>
      <w:kern w:val="0"/>
      <w:sz w:val="24"/>
    </w:rPr>
  </w:style>
  <w:style w:type="paragraph" w:customStyle="1" w:styleId="303">
    <w:name w:val="maintd4"/>
    <w:basedOn w:val="1"/>
    <w:qFormat/>
    <w:uiPriority w:val="0"/>
    <w:pPr>
      <w:widowControl/>
      <w:pBdr>
        <w:top w:val="single" w:color="8DADE4" w:sz="6" w:space="4"/>
        <w:left w:val="single" w:color="8DADE4" w:sz="6" w:space="4"/>
        <w:bottom w:val="single" w:color="8DADE4" w:sz="6" w:space="4"/>
        <w:right w:val="single" w:color="8DADE4" w:sz="6" w:space="4"/>
      </w:pBdr>
      <w:shd w:val="clear" w:color="auto" w:fill="FFFFFF"/>
      <w:spacing w:before="100" w:beforeAutospacing="1" w:after="100" w:afterAutospacing="1"/>
      <w:jc w:val="left"/>
    </w:pPr>
    <w:rPr>
      <w:rFonts w:ascii="宋体" w:hAnsi="宋体" w:cs="宋体"/>
      <w:kern w:val="0"/>
      <w:sz w:val="24"/>
    </w:rPr>
  </w:style>
  <w:style w:type="paragraph" w:customStyle="1" w:styleId="304">
    <w:name w:val="cvsleft7"/>
    <w:basedOn w:val="1"/>
    <w:qFormat/>
    <w:uiPriority w:val="0"/>
    <w:pPr>
      <w:widowControl/>
      <w:spacing w:before="100" w:beforeAutospacing="1" w:after="100" w:afterAutospacing="1"/>
      <w:jc w:val="left"/>
    </w:pPr>
    <w:rPr>
      <w:rFonts w:ascii="宋体" w:hAnsi="宋体" w:cs="宋体"/>
      <w:kern w:val="0"/>
      <w:sz w:val="24"/>
    </w:rPr>
  </w:style>
  <w:style w:type="paragraph" w:customStyle="1" w:styleId="305">
    <w:name w:val="wallzi3"/>
    <w:basedOn w:val="1"/>
    <w:qFormat/>
    <w:uiPriority w:val="0"/>
    <w:pPr>
      <w:widowControl/>
      <w:spacing w:before="100" w:beforeAutospacing="1" w:after="100" w:afterAutospacing="1"/>
      <w:jc w:val="left"/>
    </w:pPr>
    <w:rPr>
      <w:rFonts w:ascii="宋体" w:hAnsi="宋体" w:cs="宋体"/>
      <w:kern w:val="0"/>
      <w:sz w:val="24"/>
    </w:rPr>
  </w:style>
  <w:style w:type="paragraph" w:customStyle="1" w:styleId="306">
    <w:name w:val="Char Char Char Char Char Char Char Char Char Char Char Char1"/>
    <w:basedOn w:val="1"/>
    <w:qFormat/>
    <w:uiPriority w:val="0"/>
    <w:pPr>
      <w:tabs>
        <w:tab w:val="right" w:pos="-2120"/>
      </w:tabs>
      <w:snapToGrid w:val="0"/>
    </w:pPr>
    <w:rPr>
      <w:rFonts w:ascii="Tahoma" w:hAnsi="Tahoma"/>
      <w:spacing w:val="6"/>
      <w:sz w:val="24"/>
      <w:szCs w:val="20"/>
    </w:rPr>
  </w:style>
  <w:style w:type="paragraph" w:customStyle="1" w:styleId="307">
    <w:name w:val="et41"/>
    <w:basedOn w:val="1"/>
    <w:qFormat/>
    <w:uiPriority w:val="0"/>
    <w:pPr>
      <w:widowControl/>
      <w:spacing w:before="100" w:beforeAutospacing="1" w:after="100" w:afterAutospacing="1"/>
      <w:jc w:val="left"/>
      <w:textAlignment w:val="center"/>
    </w:pPr>
    <w:rPr>
      <w:rFonts w:ascii="宋体" w:hAnsi="宋体" w:cs="宋体"/>
      <w:color w:val="000000"/>
      <w:kern w:val="0"/>
      <w:sz w:val="22"/>
      <w:szCs w:val="22"/>
    </w:rPr>
  </w:style>
  <w:style w:type="paragraph" w:customStyle="1" w:styleId="308">
    <w:name w:val="navigationfont2"/>
    <w:basedOn w:val="1"/>
    <w:qFormat/>
    <w:uiPriority w:val="0"/>
    <w:pPr>
      <w:widowControl/>
      <w:spacing w:before="100" w:beforeAutospacing="1" w:after="100" w:afterAutospacing="1" w:line="345" w:lineRule="atLeast"/>
      <w:jc w:val="left"/>
    </w:pPr>
    <w:rPr>
      <w:rFonts w:ascii="ˎ̥" w:hAnsi="ˎ̥" w:cs="宋体"/>
      <w:color w:val="333333"/>
      <w:kern w:val="0"/>
      <w:sz w:val="18"/>
      <w:szCs w:val="18"/>
    </w:rPr>
  </w:style>
  <w:style w:type="paragraph" w:customStyle="1" w:styleId="309">
    <w:name w:val="style2"/>
    <w:basedOn w:val="1"/>
    <w:qFormat/>
    <w:uiPriority w:val="0"/>
    <w:pPr>
      <w:widowControl/>
      <w:spacing w:before="100" w:beforeAutospacing="1" w:after="100" w:afterAutospacing="1"/>
      <w:jc w:val="left"/>
    </w:pPr>
    <w:rPr>
      <w:rFonts w:ascii="宋体" w:hAnsi="宋体" w:cs="宋体"/>
      <w:b/>
      <w:bCs/>
      <w:color w:val="FFFFFF"/>
      <w:kern w:val="0"/>
      <w:sz w:val="18"/>
      <w:szCs w:val="18"/>
    </w:rPr>
  </w:style>
  <w:style w:type="paragraph" w:customStyle="1" w:styleId="310">
    <w:name w:val="style1"/>
    <w:basedOn w:val="1"/>
    <w:qFormat/>
    <w:uiPriority w:val="0"/>
    <w:pPr>
      <w:widowControl/>
      <w:spacing w:before="100" w:beforeAutospacing="1" w:after="100" w:afterAutospacing="1"/>
      <w:jc w:val="left"/>
    </w:pPr>
    <w:rPr>
      <w:rFonts w:ascii="宋体" w:hAnsi="宋体" w:cs="宋体"/>
      <w:color w:val="3195C9"/>
      <w:kern w:val="0"/>
      <w:sz w:val="18"/>
      <w:szCs w:val="18"/>
    </w:rPr>
  </w:style>
  <w:style w:type="paragraph" w:customStyle="1" w:styleId="311">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12">
    <w:name w:val="et47"/>
    <w:basedOn w:val="1"/>
    <w:qFormat/>
    <w:uiPriority w:val="0"/>
    <w:pPr>
      <w:widowControl/>
      <w:spacing w:before="100" w:beforeAutospacing="1" w:after="100" w:afterAutospacing="1"/>
      <w:jc w:val="left"/>
      <w:textAlignment w:val="center"/>
    </w:pPr>
    <w:rPr>
      <w:rFonts w:ascii="宋体" w:hAnsi="宋体" w:cs="宋体"/>
      <w:color w:val="000000"/>
      <w:kern w:val="0"/>
      <w:sz w:val="22"/>
      <w:szCs w:val="22"/>
    </w:rPr>
  </w:style>
  <w:style w:type="paragraph" w:customStyle="1" w:styleId="313">
    <w:name w:val="adminright_bg2"/>
    <w:basedOn w:val="1"/>
    <w:qFormat/>
    <w:uiPriority w:val="0"/>
    <w:pPr>
      <w:widowControl/>
      <w:pBdr>
        <w:bottom w:val="dashed" w:color="auto" w:sz="6" w:space="0"/>
      </w:pBdr>
      <w:spacing w:before="100" w:beforeAutospacing="1" w:after="100" w:afterAutospacing="1"/>
      <w:jc w:val="left"/>
    </w:pPr>
    <w:rPr>
      <w:rFonts w:ascii="宋体" w:hAnsi="宋体" w:cs="宋体"/>
      <w:kern w:val="0"/>
      <w:sz w:val="24"/>
    </w:rPr>
  </w:style>
  <w:style w:type="paragraph" w:customStyle="1" w:styleId="314">
    <w:name w:val="tabpage1"/>
    <w:basedOn w:val="1"/>
    <w:qFormat/>
    <w:uiPriority w:val="0"/>
    <w:pPr>
      <w:widowControl/>
      <w:spacing w:before="100" w:beforeAutospacing="1" w:after="100" w:afterAutospacing="1"/>
      <w:jc w:val="left"/>
    </w:pPr>
    <w:rPr>
      <w:rFonts w:ascii="ˎ̥" w:hAnsi="ˎ̥" w:cs="宋体"/>
      <w:b/>
      <w:bCs/>
      <w:color w:val="1F4174"/>
      <w:kern w:val="0"/>
      <w:sz w:val="18"/>
      <w:szCs w:val="18"/>
    </w:rPr>
  </w:style>
  <w:style w:type="paragraph" w:customStyle="1" w:styleId="315">
    <w:name w:val="cvsleft"/>
    <w:basedOn w:val="1"/>
    <w:qFormat/>
    <w:uiPriority w:val="0"/>
    <w:pPr>
      <w:widowControl/>
      <w:spacing w:before="100" w:beforeAutospacing="1" w:after="100" w:afterAutospacing="1"/>
      <w:jc w:val="left"/>
    </w:pPr>
    <w:rPr>
      <w:rFonts w:ascii="宋体" w:hAnsi="宋体" w:cs="宋体"/>
      <w:kern w:val="0"/>
      <w:sz w:val="24"/>
    </w:rPr>
  </w:style>
  <w:style w:type="paragraph" w:customStyle="1" w:styleId="316">
    <w:name w:val="body1"/>
    <w:basedOn w:val="1"/>
    <w:qFormat/>
    <w:uiPriority w:val="0"/>
    <w:pPr>
      <w:widowControl/>
      <w:spacing w:before="150" w:after="150"/>
      <w:ind w:left="150" w:right="150"/>
      <w:jc w:val="left"/>
    </w:pPr>
    <w:rPr>
      <w:rFonts w:ascii="宋体" w:hAnsi="宋体" w:cs="宋体"/>
      <w:kern w:val="0"/>
      <w:sz w:val="24"/>
    </w:rPr>
  </w:style>
  <w:style w:type="paragraph" w:customStyle="1" w:styleId="317">
    <w:name w:val="adminline"/>
    <w:basedOn w:val="1"/>
    <w:qFormat/>
    <w:uiPriority w:val="0"/>
    <w:pPr>
      <w:widowControl/>
      <w:pBdr>
        <w:top w:val="single" w:color="B0D5FC" w:sz="6" w:space="0"/>
      </w:pBdr>
      <w:shd w:val="clear" w:color="auto" w:fill="B0D5FC"/>
      <w:spacing w:before="100" w:beforeAutospacing="1" w:after="100" w:afterAutospacing="1"/>
      <w:jc w:val="center"/>
    </w:pPr>
    <w:rPr>
      <w:rFonts w:ascii="ˎ̥" w:hAnsi="ˎ̥" w:cs="宋体"/>
      <w:color w:val="000000"/>
      <w:kern w:val="0"/>
      <w:sz w:val="18"/>
      <w:szCs w:val="18"/>
    </w:rPr>
  </w:style>
  <w:style w:type="paragraph" w:customStyle="1" w:styleId="318">
    <w:name w:val="baobiao7"/>
    <w:basedOn w:val="1"/>
    <w:qFormat/>
    <w:uiPriority w:val="0"/>
    <w:pPr>
      <w:widowControl/>
      <w:pBdr>
        <w:top w:val="single" w:color="7698C3" w:sz="6" w:space="0"/>
        <w:left w:val="single" w:color="7698C3" w:sz="6" w:space="0"/>
        <w:bottom w:val="single" w:color="7698C3" w:sz="6" w:space="0"/>
        <w:right w:val="single" w:color="7698C3" w:sz="6" w:space="0"/>
      </w:pBdr>
      <w:spacing w:before="100" w:beforeAutospacing="1" w:after="100" w:afterAutospacing="1"/>
      <w:jc w:val="left"/>
    </w:pPr>
    <w:rPr>
      <w:rFonts w:ascii="宋体" w:hAnsi="宋体" w:cs="宋体"/>
      <w:kern w:val="0"/>
      <w:sz w:val="24"/>
    </w:rPr>
  </w:style>
  <w:style w:type="paragraph" w:customStyle="1" w:styleId="319">
    <w:name w:val="none"/>
    <w:basedOn w:val="1"/>
    <w:qFormat/>
    <w:uiPriority w:val="0"/>
    <w:pPr>
      <w:widowControl/>
      <w:spacing w:before="100" w:beforeAutospacing="1" w:after="100" w:afterAutospacing="1"/>
      <w:jc w:val="left"/>
    </w:pPr>
    <w:rPr>
      <w:rFonts w:ascii="宋体" w:hAnsi="宋体" w:cs="宋体"/>
      <w:kern w:val="0"/>
      <w:sz w:val="24"/>
    </w:rPr>
  </w:style>
  <w:style w:type="paragraph" w:customStyle="1" w:styleId="320">
    <w:name w:val="lefsubmenutd1"/>
    <w:basedOn w:val="1"/>
    <w:qFormat/>
    <w:uiPriority w:val="0"/>
    <w:pPr>
      <w:widowControl/>
      <w:pBdr>
        <w:bottom w:val="single" w:color="C5D6F4" w:sz="6" w:space="2"/>
      </w:pBdr>
      <w:shd w:val="clear" w:color="auto" w:fill="FFFFFF"/>
      <w:spacing w:before="100" w:beforeAutospacing="1" w:after="100" w:afterAutospacing="1"/>
      <w:jc w:val="left"/>
    </w:pPr>
    <w:rPr>
      <w:rFonts w:ascii="宋体" w:hAnsi="宋体" w:cs="宋体"/>
      <w:kern w:val="0"/>
      <w:sz w:val="24"/>
    </w:rPr>
  </w:style>
  <w:style w:type="paragraph" w:customStyle="1" w:styleId="321">
    <w:name w:val="cvsleft1"/>
    <w:basedOn w:val="1"/>
    <w:qFormat/>
    <w:uiPriority w:val="0"/>
    <w:pPr>
      <w:widowControl/>
      <w:spacing w:before="100" w:beforeAutospacing="1" w:after="100" w:afterAutospacing="1"/>
      <w:jc w:val="left"/>
    </w:pPr>
    <w:rPr>
      <w:rFonts w:ascii="宋体" w:hAnsi="宋体" w:cs="宋体"/>
      <w:kern w:val="0"/>
      <w:sz w:val="24"/>
    </w:rPr>
  </w:style>
  <w:style w:type="paragraph" w:customStyle="1" w:styleId="322">
    <w:name w:val="button4"/>
    <w:basedOn w:val="1"/>
    <w:qFormat/>
    <w:uiPriority w:val="0"/>
    <w:pPr>
      <w:widowControl/>
      <w:pBdr>
        <w:top w:val="single" w:color="ACBBCE" w:sz="6" w:space="2"/>
        <w:left w:val="single" w:color="ACBBCE" w:sz="6" w:space="2"/>
        <w:bottom w:val="single" w:color="ACBBCE" w:sz="6" w:space="0"/>
        <w:right w:val="single" w:color="ACBBCE" w:sz="6" w:space="2"/>
      </w:pBdr>
      <w:spacing w:before="100" w:beforeAutospacing="1" w:after="100" w:afterAutospacing="1"/>
      <w:jc w:val="left"/>
    </w:pPr>
    <w:rPr>
      <w:rFonts w:ascii="宋体" w:hAnsi="宋体" w:cs="宋体"/>
      <w:color w:val="000000"/>
      <w:kern w:val="0"/>
      <w:sz w:val="18"/>
      <w:szCs w:val="18"/>
    </w:rPr>
  </w:style>
  <w:style w:type="paragraph" w:customStyle="1" w:styleId="323">
    <w:name w:val="wallbg"/>
    <w:basedOn w:val="1"/>
    <w:qFormat/>
    <w:uiPriority w:val="0"/>
    <w:pPr>
      <w:widowControl/>
      <w:spacing w:before="100" w:beforeAutospacing="1" w:after="100" w:afterAutospacing="1"/>
      <w:jc w:val="left"/>
    </w:pPr>
    <w:rPr>
      <w:rFonts w:ascii="宋体" w:hAnsi="宋体" w:cs="宋体"/>
      <w:kern w:val="0"/>
      <w:sz w:val="24"/>
    </w:rPr>
  </w:style>
  <w:style w:type="paragraph" w:customStyle="1" w:styleId="324">
    <w:name w:val="style3"/>
    <w:basedOn w:val="1"/>
    <w:qFormat/>
    <w:uiPriority w:val="0"/>
    <w:pPr>
      <w:widowControl/>
      <w:spacing w:before="100" w:beforeAutospacing="1" w:after="100" w:afterAutospacing="1"/>
      <w:jc w:val="left"/>
    </w:pPr>
    <w:rPr>
      <w:rFonts w:ascii="宋体" w:hAnsi="宋体" w:cs="宋体"/>
      <w:color w:val="FFFFFF"/>
      <w:kern w:val="0"/>
      <w:sz w:val="18"/>
      <w:szCs w:val="18"/>
    </w:rPr>
  </w:style>
  <w:style w:type="paragraph" w:customStyle="1" w:styleId="325">
    <w:name w:val="cvsleft10"/>
    <w:basedOn w:val="1"/>
    <w:qFormat/>
    <w:uiPriority w:val="0"/>
    <w:pPr>
      <w:widowControl/>
      <w:spacing w:before="100" w:beforeAutospacing="1" w:after="100" w:afterAutospacing="1"/>
      <w:jc w:val="left"/>
    </w:pPr>
    <w:rPr>
      <w:rFonts w:ascii="宋体" w:hAnsi="宋体" w:cs="宋体"/>
      <w:kern w:val="0"/>
      <w:sz w:val="24"/>
    </w:rPr>
  </w:style>
  <w:style w:type="paragraph" w:customStyle="1" w:styleId="326">
    <w:name w:val="et43"/>
    <w:basedOn w:val="1"/>
    <w:qFormat/>
    <w:uiPriority w:val="0"/>
    <w:pPr>
      <w:widowControl/>
      <w:spacing w:before="100" w:beforeAutospacing="1" w:after="100" w:afterAutospacing="1"/>
      <w:jc w:val="left"/>
      <w:textAlignment w:val="bottom"/>
    </w:pPr>
    <w:rPr>
      <w:rFonts w:ascii="宋体" w:hAnsi="宋体" w:cs="宋体"/>
      <w:color w:val="000000"/>
      <w:kern w:val="0"/>
      <w:sz w:val="24"/>
    </w:rPr>
  </w:style>
  <w:style w:type="paragraph" w:customStyle="1" w:styleId="327">
    <w:name w:val="et15"/>
    <w:basedOn w:val="1"/>
    <w:qFormat/>
    <w:uiPriority w:val="0"/>
    <w:pPr>
      <w:widowControl/>
      <w:spacing w:before="100" w:beforeAutospacing="1" w:after="100" w:afterAutospacing="1"/>
      <w:jc w:val="left"/>
      <w:textAlignment w:val="center"/>
    </w:pPr>
    <w:rPr>
      <w:rFonts w:ascii="宋体" w:hAnsi="宋体" w:cs="宋体"/>
      <w:color w:val="000000"/>
      <w:kern w:val="0"/>
      <w:sz w:val="22"/>
      <w:szCs w:val="22"/>
    </w:rPr>
  </w:style>
  <w:style w:type="paragraph" w:customStyle="1" w:styleId="328">
    <w:name w:val="5"/>
    <w:basedOn w:val="1"/>
    <w:qFormat/>
    <w:uiPriority w:val="0"/>
    <w:pPr>
      <w:tabs>
        <w:tab w:val="right" w:pos="-2120"/>
      </w:tabs>
      <w:snapToGrid w:val="0"/>
    </w:pPr>
    <w:rPr>
      <w:rFonts w:ascii="Tahoma" w:hAnsi="Tahoma"/>
      <w:spacing w:val="6"/>
      <w:sz w:val="24"/>
      <w:szCs w:val="20"/>
    </w:rPr>
  </w:style>
  <w:style w:type="paragraph" w:customStyle="1" w:styleId="329">
    <w:name w:val="6th"/>
    <w:qFormat/>
    <w:uiPriority w:val="0"/>
    <w:pPr>
      <w:numPr>
        <w:ilvl w:val="5"/>
        <w:numId w:val="4"/>
      </w:numPr>
      <w:spacing w:line="440" w:lineRule="exact"/>
      <w:outlineLvl w:val="5"/>
    </w:pPr>
    <w:rPr>
      <w:rFonts w:ascii="Times New Roman" w:hAnsi="Times New Roman" w:eastAsia="宋体" w:cs="Times New Roman"/>
      <w:kern w:val="2"/>
      <w:sz w:val="28"/>
      <w:lang w:val="en-US" w:eastAsia="zh-CN" w:bidi="ar-SA"/>
    </w:rPr>
  </w:style>
  <w:style w:type="paragraph" w:customStyle="1" w:styleId="330">
    <w:name w:val="et25"/>
    <w:basedOn w:val="1"/>
    <w:qFormat/>
    <w:uiPriority w:val="0"/>
    <w:pPr>
      <w:widowControl/>
      <w:spacing w:before="100" w:beforeAutospacing="1" w:after="100" w:afterAutospacing="1"/>
      <w:jc w:val="left"/>
      <w:textAlignment w:val="center"/>
    </w:pPr>
    <w:rPr>
      <w:rFonts w:ascii="宋体" w:hAnsi="宋体" w:cs="宋体"/>
      <w:color w:val="000000"/>
      <w:kern w:val="0"/>
      <w:sz w:val="24"/>
    </w:rPr>
  </w:style>
  <w:style w:type="paragraph" w:customStyle="1" w:styleId="331">
    <w:name w:val="yjjl"/>
    <w:basedOn w:val="1"/>
    <w:qFormat/>
    <w:uiPriority w:val="0"/>
    <w:pPr>
      <w:widowControl/>
      <w:pBdr>
        <w:bottom w:val="single" w:color="D2D4FD" w:sz="6" w:space="0"/>
      </w:pBdr>
      <w:shd w:val="clear" w:color="auto" w:fill="FFFFFF"/>
      <w:spacing w:before="100" w:beforeAutospacing="1" w:after="100" w:afterAutospacing="1"/>
      <w:jc w:val="center"/>
    </w:pPr>
    <w:rPr>
      <w:rFonts w:ascii="ˎ̥" w:hAnsi="ˎ̥" w:cs="宋体"/>
      <w:kern w:val="0"/>
      <w:sz w:val="18"/>
      <w:szCs w:val="18"/>
    </w:rPr>
  </w:style>
  <w:style w:type="paragraph" w:customStyle="1" w:styleId="332">
    <w:name w:val="_Style 54"/>
    <w:next w:val="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33">
    <w:name w:val="style6"/>
    <w:basedOn w:val="1"/>
    <w:qFormat/>
    <w:uiPriority w:val="0"/>
    <w:pPr>
      <w:widowControl/>
      <w:spacing w:before="100" w:beforeAutospacing="1" w:after="100" w:afterAutospacing="1"/>
      <w:jc w:val="left"/>
    </w:pPr>
    <w:rPr>
      <w:rFonts w:ascii="宋体" w:hAnsi="宋体" w:cs="宋体"/>
      <w:b/>
      <w:bCs/>
      <w:color w:val="3294C5"/>
      <w:kern w:val="0"/>
      <w:szCs w:val="21"/>
    </w:rPr>
  </w:style>
  <w:style w:type="paragraph" w:customStyle="1" w:styleId="334">
    <w:name w:val="successfont"/>
    <w:basedOn w:val="1"/>
    <w:qFormat/>
    <w:uiPriority w:val="0"/>
    <w:pPr>
      <w:widowControl/>
      <w:spacing w:before="100" w:beforeAutospacing="1" w:after="100" w:afterAutospacing="1" w:line="300" w:lineRule="atLeast"/>
      <w:jc w:val="left"/>
    </w:pPr>
    <w:rPr>
      <w:rFonts w:ascii="ˎ̥" w:hAnsi="ˎ̥" w:cs="宋体"/>
      <w:b/>
      <w:bCs/>
      <w:kern w:val="0"/>
      <w:szCs w:val="21"/>
    </w:rPr>
  </w:style>
  <w:style w:type="paragraph" w:customStyle="1" w:styleId="335">
    <w:name w:val="tabpage2"/>
    <w:basedOn w:val="1"/>
    <w:qFormat/>
    <w:uiPriority w:val="0"/>
    <w:pPr>
      <w:widowControl/>
      <w:spacing w:before="100" w:beforeAutospacing="1" w:after="100" w:afterAutospacing="1"/>
      <w:jc w:val="left"/>
    </w:pPr>
    <w:rPr>
      <w:rFonts w:ascii="ˎ̥" w:hAnsi="ˎ̥" w:cs="宋体"/>
      <w:b/>
      <w:bCs/>
      <w:kern w:val="0"/>
      <w:sz w:val="18"/>
      <w:szCs w:val="18"/>
    </w:rPr>
  </w:style>
  <w:style w:type="paragraph" w:customStyle="1" w:styleId="336">
    <w:name w:val="Char Char1 Char Char1"/>
    <w:basedOn w:val="1"/>
    <w:qFormat/>
    <w:uiPriority w:val="0"/>
    <w:pPr>
      <w:tabs>
        <w:tab w:val="left" w:pos="360"/>
      </w:tabs>
    </w:pPr>
    <w:rPr>
      <w:szCs w:val="20"/>
    </w:rPr>
  </w:style>
  <w:style w:type="paragraph" w:customStyle="1" w:styleId="337">
    <w:name w:val="adminfont2"/>
    <w:basedOn w:val="1"/>
    <w:qFormat/>
    <w:uiPriority w:val="0"/>
    <w:pPr>
      <w:widowControl/>
      <w:spacing w:before="100" w:beforeAutospacing="1" w:after="100" w:afterAutospacing="1"/>
      <w:jc w:val="left"/>
    </w:pPr>
    <w:rPr>
      <w:rFonts w:ascii="宋体" w:hAnsi="宋体" w:cs="宋体"/>
      <w:kern w:val="0"/>
      <w:sz w:val="24"/>
    </w:rPr>
  </w:style>
  <w:style w:type="paragraph" w:customStyle="1" w:styleId="338">
    <w:name w:val="baobiao2"/>
    <w:basedOn w:val="1"/>
    <w:qFormat/>
    <w:uiPriority w:val="0"/>
    <w:pPr>
      <w:widowControl/>
      <w:pBdr>
        <w:top w:val="single" w:color="D2D4FD" w:sz="6" w:space="4"/>
        <w:left w:val="single" w:color="D2D4FD" w:sz="6" w:space="4"/>
        <w:bottom w:val="single" w:color="D2D4FD" w:sz="6" w:space="4"/>
        <w:right w:val="single" w:color="D2D4FD" w:sz="6" w:space="4"/>
      </w:pBdr>
      <w:shd w:val="clear" w:color="auto" w:fill="EBF2FF"/>
      <w:spacing w:before="100" w:beforeAutospacing="1" w:after="100" w:afterAutospacing="1"/>
      <w:jc w:val="left"/>
    </w:pPr>
    <w:rPr>
      <w:rFonts w:ascii="宋体" w:hAnsi="宋体" w:cs="宋体"/>
      <w:kern w:val="0"/>
      <w:sz w:val="24"/>
    </w:rPr>
  </w:style>
  <w:style w:type="paragraph" w:customStyle="1" w:styleId="339">
    <w:name w:val="cvsf_font1"/>
    <w:basedOn w:val="1"/>
    <w:qFormat/>
    <w:uiPriority w:val="0"/>
    <w:pPr>
      <w:widowControl/>
      <w:spacing w:before="100" w:beforeAutospacing="1" w:after="100" w:afterAutospacing="1" w:line="300" w:lineRule="atLeast"/>
      <w:jc w:val="left"/>
    </w:pPr>
    <w:rPr>
      <w:rFonts w:ascii="宋体" w:hAnsi="宋体" w:cs="宋体"/>
      <w:color w:val="000000"/>
      <w:kern w:val="0"/>
      <w:sz w:val="18"/>
      <w:szCs w:val="18"/>
    </w:rPr>
  </w:style>
  <w:style w:type="paragraph" w:customStyle="1" w:styleId="340">
    <w:name w:val="wall_font"/>
    <w:basedOn w:val="1"/>
    <w:qFormat/>
    <w:uiPriority w:val="0"/>
    <w:pPr>
      <w:widowControl/>
      <w:spacing w:before="100" w:beforeAutospacing="1" w:after="100" w:afterAutospacing="1" w:line="195" w:lineRule="atLeast"/>
      <w:jc w:val="left"/>
    </w:pPr>
    <w:rPr>
      <w:rFonts w:ascii="ˎ̥" w:hAnsi="ˎ̥" w:cs="宋体"/>
      <w:color w:val="000000"/>
      <w:kern w:val="0"/>
      <w:sz w:val="18"/>
      <w:szCs w:val="18"/>
    </w:rPr>
  </w:style>
  <w:style w:type="paragraph" w:customStyle="1" w:styleId="341">
    <w:name w:val="cvsleft3"/>
    <w:basedOn w:val="1"/>
    <w:qFormat/>
    <w:uiPriority w:val="0"/>
    <w:pPr>
      <w:widowControl/>
      <w:spacing w:before="100" w:beforeAutospacing="1" w:after="100" w:afterAutospacing="1"/>
      <w:jc w:val="left"/>
    </w:pPr>
    <w:rPr>
      <w:rFonts w:ascii="宋体" w:hAnsi="宋体" w:cs="宋体"/>
      <w:kern w:val="0"/>
      <w:sz w:val="24"/>
    </w:rPr>
  </w:style>
  <w:style w:type="paragraph" w:customStyle="1" w:styleId="342">
    <w:name w:val="font4"/>
    <w:basedOn w:val="1"/>
    <w:qFormat/>
    <w:uiPriority w:val="0"/>
    <w:pPr>
      <w:widowControl/>
      <w:spacing w:before="100" w:beforeAutospacing="1" w:after="100" w:afterAutospacing="1"/>
      <w:jc w:val="left"/>
    </w:pPr>
    <w:rPr>
      <w:rFonts w:ascii="宋体" w:hAnsi="宋体" w:cs="宋体"/>
      <w:color w:val="000000"/>
      <w:kern w:val="0"/>
      <w:sz w:val="20"/>
      <w:szCs w:val="20"/>
    </w:rPr>
  </w:style>
  <w:style w:type="paragraph" w:customStyle="1" w:styleId="343">
    <w:name w:val="lawfont1"/>
    <w:basedOn w:val="1"/>
    <w:qFormat/>
    <w:uiPriority w:val="0"/>
    <w:pPr>
      <w:widowControl/>
      <w:spacing w:before="100" w:beforeAutospacing="1" w:after="100" w:afterAutospacing="1" w:line="300" w:lineRule="atLeast"/>
      <w:jc w:val="left"/>
    </w:pPr>
    <w:rPr>
      <w:rFonts w:ascii="ˎ̥" w:hAnsi="ˎ̥" w:cs="宋体"/>
      <w:b/>
      <w:bCs/>
      <w:kern w:val="0"/>
      <w:sz w:val="18"/>
      <w:szCs w:val="18"/>
    </w:rPr>
  </w:style>
  <w:style w:type="paragraph" w:customStyle="1" w:styleId="344">
    <w:name w:val="navigation1"/>
    <w:basedOn w:val="1"/>
    <w:qFormat/>
    <w:uiPriority w:val="0"/>
    <w:pPr>
      <w:widowControl/>
      <w:pBdr>
        <w:bottom w:val="dashed" w:color="CCCCCC" w:sz="6" w:space="0"/>
      </w:pBdr>
      <w:spacing w:before="100" w:beforeAutospacing="1" w:after="100" w:afterAutospacing="1"/>
      <w:jc w:val="left"/>
    </w:pPr>
    <w:rPr>
      <w:rFonts w:ascii="宋体" w:hAnsi="宋体" w:cs="宋体"/>
      <w:kern w:val="0"/>
      <w:sz w:val="24"/>
    </w:rPr>
  </w:style>
  <w:style w:type="paragraph" w:customStyle="1" w:styleId="345">
    <w:name w:val="lead_pic1"/>
    <w:basedOn w:val="1"/>
    <w:qFormat/>
    <w:uiPriority w:val="0"/>
    <w:pPr>
      <w:widowControl/>
      <w:spacing w:before="100" w:beforeAutospacing="1" w:after="100" w:afterAutospacing="1"/>
      <w:jc w:val="left"/>
    </w:pPr>
    <w:rPr>
      <w:rFonts w:ascii="宋体" w:hAnsi="宋体" w:cs="宋体"/>
      <w:kern w:val="0"/>
      <w:sz w:val="24"/>
    </w:rPr>
  </w:style>
  <w:style w:type="paragraph" w:customStyle="1" w:styleId="346">
    <w:name w:val="newinfobody"/>
    <w:basedOn w:val="1"/>
    <w:qFormat/>
    <w:uiPriority w:val="0"/>
    <w:pPr>
      <w:widowControl/>
      <w:shd w:val="clear" w:color="auto" w:fill="CFDFFF"/>
      <w:spacing w:before="300" w:after="300"/>
      <w:ind w:left="300" w:right="300"/>
      <w:jc w:val="left"/>
    </w:pPr>
    <w:rPr>
      <w:rFonts w:ascii="宋体" w:hAnsi="宋体" w:cs="宋体"/>
      <w:kern w:val="0"/>
      <w:sz w:val="24"/>
    </w:rPr>
  </w:style>
  <w:style w:type="paragraph" w:customStyle="1" w:styleId="347">
    <w:name w:val="Char2"/>
    <w:basedOn w:val="1"/>
    <w:qFormat/>
    <w:uiPriority w:val="0"/>
    <w:pPr>
      <w:ind w:firstLine="200" w:firstLineChars="200"/>
    </w:pPr>
  </w:style>
  <w:style w:type="paragraph" w:customStyle="1" w:styleId="348">
    <w:name w:val="gray"/>
    <w:basedOn w:val="1"/>
    <w:qFormat/>
    <w:uiPriority w:val="0"/>
    <w:pPr>
      <w:widowControl/>
      <w:spacing w:before="100" w:beforeAutospacing="1" w:after="100" w:afterAutospacing="1"/>
      <w:jc w:val="left"/>
    </w:pPr>
    <w:rPr>
      <w:rFonts w:ascii="ˎ̥" w:hAnsi="ˎ̥" w:cs="宋体"/>
      <w:color w:val="999999"/>
      <w:kern w:val="0"/>
      <w:sz w:val="18"/>
      <w:szCs w:val="18"/>
    </w:rPr>
  </w:style>
  <w:style w:type="paragraph" w:customStyle="1" w:styleId="349">
    <w:name w:val="adminline1"/>
    <w:basedOn w:val="1"/>
    <w:qFormat/>
    <w:uiPriority w:val="0"/>
    <w:pPr>
      <w:widowControl/>
      <w:pBdr>
        <w:bottom w:val="dashed" w:color="C0D1D9" w:sz="6" w:space="0"/>
      </w:pBdr>
      <w:spacing w:before="100" w:beforeAutospacing="1" w:after="100" w:afterAutospacing="1"/>
      <w:jc w:val="left"/>
    </w:pPr>
    <w:rPr>
      <w:rFonts w:ascii="宋体" w:hAnsi="宋体" w:cs="宋体"/>
      <w:kern w:val="0"/>
      <w:sz w:val="24"/>
    </w:rPr>
  </w:style>
  <w:style w:type="paragraph" w:customStyle="1" w:styleId="350">
    <w:name w:val="button3"/>
    <w:basedOn w:val="1"/>
    <w:qFormat/>
    <w:uiPriority w:val="0"/>
    <w:pPr>
      <w:widowControl/>
      <w:pBdr>
        <w:top w:val="single" w:color="B0A06E" w:sz="6" w:space="2"/>
        <w:left w:val="single" w:color="B0A06E" w:sz="6" w:space="2"/>
        <w:bottom w:val="single" w:color="B0A06E" w:sz="6" w:space="0"/>
        <w:right w:val="single" w:color="B0A06E" w:sz="6" w:space="2"/>
      </w:pBdr>
      <w:spacing w:before="100" w:beforeAutospacing="1" w:after="100" w:afterAutospacing="1"/>
      <w:jc w:val="left"/>
    </w:pPr>
    <w:rPr>
      <w:rFonts w:ascii="宋体" w:hAnsi="宋体" w:cs="宋体"/>
      <w:color w:val="000000"/>
      <w:kern w:val="0"/>
      <w:sz w:val="18"/>
      <w:szCs w:val="18"/>
    </w:rPr>
  </w:style>
  <w:style w:type="paragraph" w:customStyle="1" w:styleId="351">
    <w:name w:val="et37"/>
    <w:basedOn w:val="1"/>
    <w:qFormat/>
    <w:uiPriority w:val="0"/>
    <w:pPr>
      <w:widowControl/>
      <w:spacing w:before="100" w:beforeAutospacing="1" w:after="100" w:afterAutospacing="1"/>
      <w:jc w:val="left"/>
      <w:textAlignment w:val="center"/>
    </w:pPr>
    <w:rPr>
      <w:color w:val="000000"/>
      <w:kern w:val="0"/>
      <w:sz w:val="22"/>
      <w:szCs w:val="22"/>
    </w:rPr>
  </w:style>
  <w:style w:type="paragraph" w:customStyle="1" w:styleId="352">
    <w:name w:val="navigation_pic"/>
    <w:basedOn w:val="1"/>
    <w:qFormat/>
    <w:uiPriority w:val="0"/>
    <w:pPr>
      <w:widowControl/>
      <w:spacing w:before="100" w:beforeAutospacing="1" w:after="100" w:afterAutospacing="1"/>
      <w:jc w:val="left"/>
    </w:pPr>
    <w:rPr>
      <w:rFonts w:ascii="宋体" w:hAnsi="宋体" w:cs="宋体"/>
      <w:kern w:val="0"/>
      <w:sz w:val="24"/>
    </w:rPr>
  </w:style>
  <w:style w:type="paragraph" w:customStyle="1" w:styleId="353">
    <w:name w:val="et18"/>
    <w:basedOn w:val="1"/>
    <w:qFormat/>
    <w:uiPriority w:val="0"/>
    <w:pPr>
      <w:widowControl/>
      <w:spacing w:before="100" w:beforeAutospacing="1" w:after="100" w:afterAutospacing="1"/>
      <w:jc w:val="left"/>
      <w:textAlignment w:val="center"/>
    </w:pPr>
    <w:rPr>
      <w:rFonts w:ascii="宋体" w:hAnsi="宋体" w:cs="宋体"/>
      <w:color w:val="000000"/>
      <w:kern w:val="0"/>
      <w:sz w:val="22"/>
      <w:szCs w:val="22"/>
    </w:rPr>
  </w:style>
  <w:style w:type="paragraph" w:customStyle="1" w:styleId="354">
    <w:name w:val="msolistparagraph"/>
    <w:basedOn w:val="1"/>
    <w:qFormat/>
    <w:uiPriority w:val="0"/>
    <w:pPr>
      <w:ind w:firstLine="420" w:firstLineChars="200"/>
    </w:pPr>
    <w:rPr>
      <w:rFonts w:ascii="Calibri" w:hAnsi="Calibri"/>
      <w:szCs w:val="22"/>
    </w:rPr>
  </w:style>
  <w:style w:type="paragraph" w:customStyle="1" w:styleId="355">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356">
    <w:name w:val="标题 5（有编号）（绿盟科技）"/>
    <w:basedOn w:val="1"/>
    <w:next w:val="357"/>
    <w:qFormat/>
    <w:uiPriority w:val="0"/>
    <w:pPr>
      <w:keepNext/>
      <w:keepLines/>
      <w:numPr>
        <w:ilvl w:val="4"/>
        <w:numId w:val="5"/>
      </w:numPr>
      <w:tabs>
        <w:tab w:val="left" w:pos="0"/>
      </w:tabs>
      <w:spacing w:before="280" w:after="156" w:line="377" w:lineRule="auto"/>
      <w:jc w:val="left"/>
      <w:outlineLvl w:val="4"/>
    </w:pPr>
    <w:rPr>
      <w:rFonts w:ascii="Arial" w:hAnsi="Arial" w:eastAsia="黑体"/>
      <w:b/>
      <w:kern w:val="0"/>
      <w:sz w:val="24"/>
      <w:szCs w:val="28"/>
    </w:rPr>
  </w:style>
  <w:style w:type="paragraph" w:customStyle="1" w:styleId="357">
    <w:name w:val="正文（绿盟科技）"/>
    <w:qFormat/>
    <w:uiPriority w:val="0"/>
    <w:pPr>
      <w:spacing w:after="200" w:line="300" w:lineRule="auto"/>
    </w:pPr>
    <w:rPr>
      <w:rFonts w:ascii="Arial" w:hAnsi="Arial" w:eastAsia="宋体" w:cs="黑体"/>
      <w:sz w:val="21"/>
      <w:szCs w:val="21"/>
      <w:lang w:val="en-US" w:eastAsia="zh-CN" w:bidi="ar-SA"/>
    </w:rPr>
  </w:style>
  <w:style w:type="paragraph" w:customStyle="1" w:styleId="358">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359">
    <w:name w:val="_Style 1"/>
    <w:basedOn w:val="1"/>
    <w:qFormat/>
    <w:uiPriority w:val="0"/>
    <w:pPr>
      <w:ind w:firstLine="420" w:firstLineChars="200"/>
    </w:pPr>
    <w:rPr>
      <w:rFonts w:ascii="Calibri" w:hAnsi="Calibri"/>
    </w:rPr>
  </w:style>
  <w:style w:type="paragraph" w:customStyle="1" w:styleId="360">
    <w:name w:val="段落"/>
    <w:qFormat/>
    <w:uiPriority w:val="0"/>
    <w:pPr>
      <w:adjustRightInd w:val="0"/>
      <w:snapToGrid w:val="0"/>
      <w:spacing w:before="120" w:after="120" w:line="360" w:lineRule="auto"/>
      <w:ind w:firstLine="560" w:firstLineChars="200"/>
      <w:jc w:val="both"/>
    </w:pPr>
    <w:rPr>
      <w:rFonts w:ascii="Times New Roman" w:hAnsi="Times New Roman" w:eastAsia="仿宋_GB2312" w:cs="Times New Roman"/>
      <w:kern w:val="2"/>
      <w:sz w:val="28"/>
      <w:szCs w:val="24"/>
      <w:lang w:val="en-US" w:eastAsia="zh-CN" w:bidi="ar-SA"/>
    </w:rPr>
  </w:style>
  <w:style w:type="paragraph" w:customStyle="1" w:styleId="361">
    <w:name w:val="_正文"/>
    <w:basedOn w:val="1"/>
    <w:qFormat/>
    <w:uiPriority w:val="0"/>
    <w:pPr>
      <w:snapToGrid w:val="0"/>
      <w:spacing w:after="160" w:line="360" w:lineRule="auto"/>
      <w:ind w:firstLine="200" w:firstLineChars="200"/>
    </w:pPr>
    <w:rPr>
      <w:sz w:val="24"/>
    </w:rPr>
  </w:style>
  <w:style w:type="paragraph" w:customStyle="1" w:styleId="362">
    <w:name w:val="null3"/>
    <w:hidden/>
    <w:qFormat/>
    <w:uiPriority w:val="0"/>
    <w:rPr>
      <w:rFonts w:hint="eastAsia" w:asciiTheme="minorHAnsi" w:hAnsiTheme="minorHAnsi" w:eastAsiaTheme="minorEastAsia" w:cstheme="minorBidi"/>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83</Pages>
  <Words>5899</Words>
  <Characters>6505</Characters>
  <Lines>233</Lines>
  <Paragraphs>65</Paragraphs>
  <TotalTime>22</TotalTime>
  <ScaleCrop>false</ScaleCrop>
  <LinksUpToDate>false</LinksUpToDate>
  <CharactersWithSpaces>6608</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2022-08-31T23:53:00Z</dcterms:created>
  <dc:creator>YY</dc:creator>
  <cp:lastModifiedBy>Emily</cp:lastModifiedBy>
  <cp:lastPrinted>2020-07-23T09:38:00Z</cp:lastPrinted>
  <dcterms:modified xsi:type="dcterms:W3CDTF">2025-10-22T10:07:30Z</dcterms:modified>
  <dc:title>云南招标股份有限公司</dc:title>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2CC05298395448C582D585B4444A4267_13</vt:lpwstr>
  </property>
  <property fmtid="{D5CDD505-2E9C-101B-9397-08002B2CF9AE}" pid="4" name="commondata">
    <vt:lpwstr>eyJoZGlkIjoiNjliMzIyYjUzNGRlM2U3ZjUwMDlmYjE3ZThiNDAyYzAifQ==</vt:lpwstr>
  </property>
  <property fmtid="{D5CDD505-2E9C-101B-9397-08002B2CF9AE}" pid="5" name="KSOTemplateDocerSaveRecord">
    <vt:lpwstr>eyJoZGlkIjoiMDliMDkyMDhiODM4MTZiODVhNDMwNjc3ZjgyNWJlOGEiLCJ1c2VySWQiOiIzNjk0OTQ2ODUifQ==</vt:lpwstr>
  </property>
</Properties>
</file>