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440001-2025-58403</w:t>
      </w:r>
    </w:p>
    <w:p>
      <w:pPr>
        <w:pStyle w:val="null3"/>
        <w:jc w:val="center"/>
        <w:outlineLvl w:val="3"/>
      </w:pPr>
      <w:r>
        <w:rPr>
          <w:sz w:val="24"/>
          <w:b/>
        </w:rPr>
        <w:t>采购项目编号：</w:t>
      </w:r>
      <w:r>
        <w:rPr>
          <w:sz w:val="24"/>
          <w:b/>
        </w:rPr>
        <w:t>GPCGD251156GC517J</w:t>
      </w:r>
    </w:p>
    <w:p>
      <w:pPr>
        <w:pStyle w:val="null3"/>
        <w:jc w:val="center"/>
        <w:outlineLvl w:val="3"/>
      </w:pPr>
      <w:r>
        <w:rPr>
          <w:sz w:val="24"/>
          <w:b/>
        </w:rPr>
        <w:t>项目名称：</w:t>
      </w:r>
      <w:r>
        <w:rPr>
          <w:sz w:val="24"/>
          <w:b/>
        </w:rPr>
        <w:t>华南农业大学生科院生物智造研究院实验室装修项目</w:t>
      </w:r>
    </w:p>
    <w:p>
      <w:pPr>
        <w:pStyle w:val="null3"/>
        <w:jc w:val="center"/>
        <w:outlineLvl w:val="3"/>
      </w:pPr>
      <w:r>
        <w:rPr>
          <w:sz w:val="24"/>
          <w:b/>
        </w:rPr>
        <w:t>采购人：</w:t>
      </w:r>
      <w:r>
        <w:rPr>
          <w:sz w:val="24"/>
          <w:b/>
        </w:rPr>
        <w:t>华南农业大学</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华南农业大学</w:t>
      </w:r>
      <w:r>
        <w:rPr/>
        <w:t>的委托，采用</w:t>
      </w:r>
      <w:r>
        <w:rPr/>
        <w:t>竞争性磋商</w:t>
      </w:r>
      <w:r>
        <w:rPr/>
        <w:t>方式组织采购</w:t>
      </w:r>
      <w:r>
        <w:rPr/>
        <w:t>华南农业大学生科院生物智造研究院实验室装修项目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华南农业大学生科院生物智造研究院实验室装修项目</w:t>
      </w:r>
    </w:p>
    <w:p>
      <w:pPr>
        <w:pStyle w:val="null3"/>
        <w:ind w:firstLine="480"/>
      </w:pPr>
      <w:r>
        <w:rPr/>
        <w:t>采购计划编号：</w:t>
      </w:r>
      <w:r>
        <w:rPr/>
        <w:t>440001-2025-58403</w:t>
      </w:r>
    </w:p>
    <w:p>
      <w:pPr>
        <w:pStyle w:val="null3"/>
        <w:ind w:firstLine="480"/>
      </w:pPr>
      <w:r>
        <w:rPr/>
        <w:t>采购项目编号：</w:t>
      </w:r>
      <w:r>
        <w:rPr/>
        <w:t>GPCGD251156GC517J</w:t>
      </w:r>
    </w:p>
    <w:p>
      <w:pPr>
        <w:pStyle w:val="null3"/>
        <w:ind w:firstLine="480"/>
      </w:pPr>
      <w:r>
        <w:rPr/>
        <w:t>采购方式：</w:t>
      </w:r>
      <w:r>
        <w:rPr/>
        <w:t>竞争性磋商</w:t>
      </w:r>
    </w:p>
    <w:p>
      <w:pPr>
        <w:pStyle w:val="null3"/>
        <w:ind w:firstLine="480"/>
      </w:pPr>
      <w:r>
        <w:rPr/>
        <w:t>预算金额：</w:t>
      </w:r>
      <w:r>
        <w:rPr/>
        <w:t>947,330.16</w:t>
      </w:r>
      <w:r>
        <w:rPr/>
        <w:t>元</w:t>
      </w:r>
    </w:p>
    <w:p>
      <w:pPr>
        <w:pStyle w:val="null3"/>
        <w:outlineLvl w:val="3"/>
      </w:pPr>
      <w:r>
        <w:rPr>
          <w:sz w:val="24"/>
          <w:b/>
        </w:rPr>
        <w:t>2.项目内容及需求情况（采购项目技术规格、参数及要求）</w:t>
      </w:r>
    </w:p>
    <w:p>
      <w:pPr>
        <w:pStyle w:val="null3"/>
      </w:pPr>
      <w:r>
        <w:rPr/>
        <w:t>采购包1(华南农业大学生科院生物智造研究院实验室装修项目):</w:t>
      </w:r>
    </w:p>
    <w:p>
      <w:pPr>
        <w:pStyle w:val="null3"/>
      </w:pPr>
      <w:r>
        <w:rPr/>
        <w:t>采购包预算金额：947,330.16元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装修工程</w:t>
            </w:r>
          </w:p>
        </w:tc>
        <w:tc>
          <w:tcPr>
            <w:tcW w:type="dxa" w:w="2136"/>
          </w:tcPr>
          <w:p>
            <w:pPr>
              <w:pStyle w:val="null3"/>
            </w:pPr>
            <w:r>
              <w:rPr/>
              <w:t>生科院生物智造研究院实验室装修项目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合同履行期限：具体详见用户需求书。</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 2024年度经会计师事务所审计的财务状况报告；2.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采购包1（华南农业大学生科院生物智造研究院实验室装修项目）：</w:t>
      </w: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 《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采购包1（华南农业大学生科院生物智造研究院实验室装修项目）：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3)供应商必须具有有效期内的建筑装修装饰工程专业承包资质。首次响应文件提供证书复印件。</w:t>
      </w:r>
    </w:p>
    <w:p>
      <w:pPr>
        <w:pStyle w:val="null3"/>
      </w:pPr>
      <w:r>
        <w:rPr/>
        <w:t>4)供应商必须具有建设行政主管部门颁发的安全生产许可证，首次响应文件提供证书复印件。</w:t>
      </w:r>
    </w:p>
    <w:p>
      <w:pPr>
        <w:pStyle w:val="null3"/>
      </w:pPr>
      <w:r>
        <w:rPr/>
        <w:t>5)供应商拟担任本工程项目负责人的人员, 首次响应文件提供以下证书复印件: 项目负责人应具备建筑工程专业二级（或以上）注册建造师执业资格证书，并持有项目负责人安全生产考核合格证（B类）或能够提供建筑施工企业管理人员安全生产考核信息系统安全生产管理人员证书信息的打印页； 注1：建造师的专业及等级标准按《注册建造师执业管理办法（试行）》及《注册建造师执业工程规模标准（试行）》。 注2：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注3：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p>
      <w:pPr>
        <w:pStyle w:val="null3"/>
      </w:pPr>
      <w:r>
        <w:rPr/>
        <w:t>6)专职安全员须具有在有效期内的安全生产考核合格证(C类)或建筑施工企业专职安全生产管理人员安全生产考核合格证(综合类C3)，提供证书复印件。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项目负责人在任职期间不得担任专职安全员，项目专职安全员在任职期间也不得担任项目负责人，项目负责人和安全员不为同一人。首次响应文件提供承诺函。</w:t>
      </w:r>
    </w:p>
    <w:p>
      <w:pPr>
        <w:pStyle w:val="null3"/>
      </w:pPr>
      <w:r>
        <w:rPr/>
        <w:t>7)已获取本项目采购文件。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华南农业大学</w:t>
      </w:r>
    </w:p>
    <w:p>
      <w:pPr>
        <w:pStyle w:val="null3"/>
        <w:ind w:firstLine="480"/>
      </w:pPr>
      <w:r>
        <w:rPr/>
        <w:t>地址：</w:t>
      </w:r>
      <w:r>
        <w:rPr/>
        <w:t>五山路483号</w:t>
      </w:r>
    </w:p>
    <w:p>
      <w:pPr>
        <w:pStyle w:val="null3"/>
        <w:ind w:firstLine="480"/>
      </w:pPr>
      <w:r>
        <w:rPr/>
        <w:t>联系方式：</w:t>
      </w:r>
      <w:r>
        <w:rPr/>
        <w:t>13521741122</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020-83187190（邮箱：gpcgd_zcl@gd.gov.cn）</w:t>
      </w:r>
    </w:p>
    <w:p>
      <w:pPr>
        <w:pStyle w:val="null3"/>
        <w:outlineLvl w:val="3"/>
      </w:pPr>
      <w:r>
        <w:rPr>
          <w:sz w:val="24"/>
          <w:b/>
        </w:rPr>
        <w:t xml:space="preserve"> 3.项目联系方式</w:t>
      </w:r>
    </w:p>
    <w:p>
      <w:pPr>
        <w:pStyle w:val="null3"/>
        <w:ind w:firstLine="480"/>
      </w:pPr>
      <w:r>
        <w:rPr/>
        <w:t xml:space="preserve"> 项目联系人：</w:t>
      </w:r>
      <w:r>
        <w:rPr/>
        <w:t>庄先生</w:t>
      </w:r>
    </w:p>
    <w:p>
      <w:pPr>
        <w:pStyle w:val="null3"/>
        <w:ind w:firstLine="480"/>
      </w:pPr>
      <w:r>
        <w:rPr/>
        <w:t xml:space="preserve"> 电话：</w:t>
      </w:r>
      <w:r>
        <w:rPr/>
        <w:t>020-83187190（邮箱：gpcgd_zcl@gd.gov.cn）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用户需求书</w:t>
      </w:r>
    </w:p>
    <w:p>
      <w:pPr>
        <w:pStyle w:val="null3"/>
        <w:ind w:firstLine="422"/>
        <w:jc w:val="both"/>
      </w:pPr>
      <w:r>
        <w:rPr>
          <w:sz w:val="21"/>
          <w:b/>
        </w:rPr>
        <w:t>项目须知</w:t>
      </w:r>
    </w:p>
    <w:p>
      <w:pPr>
        <w:pStyle w:val="null3"/>
        <w:ind w:firstLine="420"/>
        <w:jc w:val="both"/>
      </w:pPr>
      <w:r>
        <w:rPr>
          <w:sz w:val="21"/>
        </w:rPr>
        <w:t>1</w:t>
      </w:r>
      <w:r>
        <w:rPr>
          <w:sz w:val="21"/>
        </w:rPr>
        <w:t>、《用户需求书》中标注有“★”号的条款必须实质性响应，负偏离（不满足要求）将导致投标无效。</w:t>
      </w:r>
    </w:p>
    <w:p>
      <w:pPr>
        <w:pStyle w:val="null3"/>
        <w:ind w:firstLine="420"/>
        <w:jc w:val="both"/>
      </w:pPr>
      <w:r>
        <w:rPr>
          <w:sz w:val="21"/>
        </w:rPr>
        <w:t>本项目属于工程类项目，采购标的对应的中小企业划分标准所属行业：建筑业。</w:t>
      </w:r>
    </w:p>
    <w:p>
      <w:pPr>
        <w:pStyle w:val="null3"/>
        <w:ind w:firstLine="420"/>
        <w:jc w:val="both"/>
      </w:pPr>
      <w:r>
        <w:rPr>
          <w:sz w:val="21"/>
        </w:rPr>
        <w:t>注：供应商须按项目类型选择对应格式的《中小企业声明函（工程）》。</w:t>
      </w:r>
    </w:p>
    <w:p>
      <w:pPr>
        <w:pStyle w:val="null3"/>
        <w:ind w:firstLine="422"/>
        <w:jc w:val="both"/>
      </w:pPr>
      <w:r>
        <w:rPr>
          <w:sz w:val="21"/>
          <w:b/>
        </w:rPr>
        <w:t>★</w:t>
      </w:r>
      <w:r>
        <w:rPr>
          <w:sz w:val="21"/>
          <w:b/>
        </w:rPr>
        <w:t>2</w:t>
      </w:r>
      <w:r>
        <w:rPr>
          <w:sz w:val="21"/>
          <w:b/>
        </w:rPr>
        <w:t>、本项目不允许合同分包。如供应商在响应文件中未出现《分包协议意向书》，则视为未采取合同分包。</w:t>
      </w:r>
    </w:p>
    <w:p>
      <w:pPr>
        <w:pStyle w:val="null3"/>
        <w:ind w:firstLine="422"/>
      </w:pPr>
      <w:r>
        <w:rPr>
          <w:sz w:val="21"/>
          <w:b/>
        </w:rPr>
        <w:t>★</w:t>
      </w:r>
      <w:r>
        <w:rPr>
          <w:sz w:val="21"/>
          <w:b/>
        </w:rPr>
        <w:t>3</w:t>
      </w:r>
      <w:r>
        <w:rPr>
          <w:sz w:val="21"/>
          <w:b/>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格式见用户需求书后附）</w:t>
      </w:r>
    </w:p>
    <w:p>
      <w:pPr>
        <w:pStyle w:val="null3"/>
        <w:ind w:firstLine="422"/>
      </w:pPr>
      <w:r>
        <w:rPr>
          <w:sz w:val="21"/>
          <w:b/>
        </w:rPr>
        <w:t>4</w:t>
      </w:r>
      <w:r>
        <w:rPr>
          <w:sz w:val="21"/>
          <w:b/>
        </w:rPr>
        <w:t>、采购文件所要求的证书、资质等材料，如有有效期限制的，供应商所提供的资质、证书等材料均应处于有效期内，否则按无效材料处理。</w:t>
      </w:r>
    </w:p>
    <w:p>
      <w:pPr>
        <w:pStyle w:val="null3"/>
        <w:ind w:firstLine="422"/>
      </w:pPr>
      <w:r>
        <w:rPr>
          <w:sz w:val="21"/>
          <w:b/>
        </w:rPr>
        <w:t>5</w:t>
      </w:r>
      <w:r>
        <w:rPr>
          <w:sz w:val="21"/>
          <w:b/>
        </w:rPr>
        <w:t>、因同一项目负责人不得同时兼管多项建设工程施工，请供应商不要同时指派同一人作为多个工程的项目负责人参加建设工程项目（包组）参与项目（包组）竞争，以免同时成交而违反相关规定。一经发现成交供应商拟派本项目（包组）的项目负责人同时担任两个或以上在建工程项目，采购人有权取消其成交资格。</w:t>
      </w:r>
    </w:p>
    <w:p>
      <w:pPr>
        <w:pStyle w:val="null3"/>
        <w:ind w:firstLine="422"/>
      </w:pPr>
      <w:r>
        <w:rPr>
          <w:sz w:val="21"/>
          <w:b/>
        </w:rPr>
        <w:t>6</w:t>
      </w:r>
      <w:r>
        <w:rPr>
          <w:sz w:val="21"/>
          <w:b/>
        </w:rPr>
        <w:t>、本项目属于政府采购支持绿色建材促进建筑品质提升政策实施项目。本项目采购需求如与《绿色建筑和绿色建材政府采购需求标准（</w:t>
      </w:r>
      <w:r>
        <w:rPr>
          <w:sz w:val="21"/>
          <w:b/>
        </w:rPr>
        <w:t>2025</w:t>
      </w:r>
      <w:r>
        <w:rPr>
          <w:sz w:val="21"/>
          <w:b/>
        </w:rPr>
        <w:t>年版）》（下简称：《需求标准》，见公告附件）相矛盾或不一致的，以《需求标准》为准。</w:t>
      </w:r>
    </w:p>
    <w:p>
      <w:pPr>
        <w:pStyle w:val="null3"/>
        <w:ind w:firstLine="422"/>
      </w:pPr>
      <w:r>
        <w:rPr>
          <w:sz w:val="21"/>
          <w:b/>
        </w:rPr>
        <w:t>★供应商须提供以下承诺（首次响应时提供承诺函，格式见用户需求书后附）：</w:t>
      </w:r>
    </w:p>
    <w:p>
      <w:pPr>
        <w:pStyle w:val="null3"/>
        <w:ind w:firstLine="422"/>
      </w:pPr>
      <w:r>
        <w:rPr>
          <w:sz w:val="21"/>
          <w:b/>
        </w:rPr>
        <w:t>①供应商须满足《需求标准》的要求。</w:t>
      </w:r>
    </w:p>
    <w:p>
      <w:pPr>
        <w:pStyle w:val="null3"/>
        <w:ind w:firstLine="422"/>
      </w:pPr>
      <w:r>
        <w:rPr>
          <w:sz w:val="21"/>
          <w:b/>
        </w:rPr>
        <w:t>②本项目（包组）中所涉及建材如属于《需求标准》中必选类产品的，供应商所提供的产品品质属性要求应满足《需求标准》对应产品的品质属性要求。本项目（包组）中所涉及建材如属于《需求标准》中可选类产品时，供应商所提供的绿色建材选用量应不低于建筑项目所涉及的建材小类的</w:t>
      </w:r>
      <w:r>
        <w:rPr>
          <w:sz w:val="21"/>
          <w:b/>
        </w:rPr>
        <w:t>40%</w:t>
      </w:r>
      <w:r>
        <w:rPr>
          <w:sz w:val="21"/>
          <w:b/>
        </w:rPr>
        <w:t>。具体比例的计算见《需求标准》。</w:t>
      </w:r>
    </w:p>
    <w:p>
      <w:pPr>
        <w:pStyle w:val="null3"/>
        <w:ind w:firstLine="422"/>
      </w:pPr>
      <w:r>
        <w:rPr>
          <w:sz w:val="21"/>
          <w:b/>
        </w:rPr>
        <w:t>③供应商提供产品、材料及设备除应符合《需求标准》技术指标外，还应符合现行国家法律法规、强制性标准及使用地的地方标准要求。</w:t>
      </w:r>
    </w:p>
    <w:p>
      <w:pPr>
        <w:pStyle w:val="null3"/>
        <w:ind w:firstLine="422"/>
      </w:pPr>
      <w:r>
        <w:rPr>
          <w:sz w:val="21"/>
          <w:b/>
        </w:rPr>
        <w:t>④供应商不得使用《需求标准》附录</w:t>
      </w:r>
      <w:r>
        <w:rPr>
          <w:sz w:val="21"/>
          <w:b/>
        </w:rPr>
        <w:t>A</w:t>
      </w:r>
      <w:r>
        <w:rPr>
          <w:sz w:val="21"/>
          <w:b/>
        </w:rPr>
        <w:t>中规定的禁止使用的产品。</w:t>
      </w:r>
    </w:p>
    <w:p>
      <w:pPr>
        <w:pStyle w:val="null3"/>
        <w:ind w:firstLine="422"/>
      </w:pPr>
      <w:r>
        <w:rPr>
          <w:sz w:val="21"/>
          <w:b/>
        </w:rPr>
        <w:t>7</w:t>
      </w:r>
      <w:r>
        <w:rPr>
          <w:sz w:val="21"/>
          <w:b/>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22"/>
      </w:pPr>
      <w:r>
        <w:rPr>
          <w:sz w:val="21"/>
          <w:b/>
        </w:rPr>
        <w:t>★</w:t>
      </w:r>
      <w:r>
        <w:rPr>
          <w:sz w:val="21"/>
          <w:b/>
        </w:rPr>
        <w:t>8</w:t>
      </w:r>
      <w:r>
        <w:rPr>
          <w:sz w:val="21"/>
          <w:b/>
        </w:rPr>
        <w:t>、报价人必须按照工程量清单在首次报价时提供报价清单。</w:t>
      </w:r>
    </w:p>
    <w:p>
      <w:pPr>
        <w:pStyle w:val="null3"/>
        <w:ind w:firstLine="422"/>
      </w:pPr>
      <w:r>
        <w:rPr>
          <w:sz w:val="21"/>
          <w:b/>
        </w:rPr>
        <w:t>★</w:t>
      </w:r>
      <w:r>
        <w:rPr>
          <w:sz w:val="21"/>
          <w:b/>
        </w:rPr>
        <w:t>9</w:t>
      </w:r>
      <w:r>
        <w:rPr>
          <w:sz w:val="21"/>
          <w:b/>
        </w:rPr>
        <w:t>、投标（首次响应）截止时间之日起至本项目完工前，项目负责人未担任其他在建工程项目的项目负责人（投标（首次响应）提交承诺，承诺可参照“投标文件格式”中《承诺函》格式）。</w:t>
      </w:r>
    </w:p>
    <w:p>
      <w:pPr>
        <w:pStyle w:val="null3"/>
        <w:ind w:firstLine="420"/>
      </w:pPr>
      <w:r>
        <w:rPr>
          <w:sz w:val="21"/>
        </w:rPr>
        <w:t>10</w:t>
      </w:r>
      <w:r>
        <w:rPr>
          <w:sz w:val="21"/>
        </w:rPr>
        <w:t>、本需求涉及的各项规范、标准，如国家和行业有最新的修改版或停用的，则按最新规定执行。</w:t>
      </w:r>
    </w:p>
    <w:p>
      <w:pPr>
        <w:pStyle w:val="null3"/>
        <w:ind w:firstLine="422"/>
      </w:pPr>
      <w:r>
        <w:rPr>
          <w:sz w:val="21"/>
          <w:b/>
        </w:rPr>
        <w:t>★</w:t>
      </w:r>
      <w:r>
        <w:rPr>
          <w:sz w:val="21"/>
        </w:rPr>
        <w:t>11</w:t>
      </w:r>
      <w:r>
        <w:rPr>
          <w:sz w:val="21"/>
        </w:rPr>
        <w:t>、供应商所投水龙头必须提供国家确定的认证机构出具的、处于有效期之内的节能（节水）产品认证证书（认证标准须符合《节能产品政府采购品目清单》中对应产品所依据的标准，认证型号须与所投产品型号一致）。</w:t>
      </w:r>
    </w:p>
    <w:p>
      <w:pPr>
        <w:pStyle w:val="null3"/>
        <w:ind w:firstLine="420"/>
      </w:pPr>
      <w:r>
        <w:rPr>
          <w:sz w:val="21"/>
        </w:rPr>
        <w:t>为避免漏评，请供应商按需求附件《节能环保政策适用性说明》规定的格式进行填写及提交认证证书，并留意其中的“填写注意事项”。</w:t>
      </w:r>
    </w:p>
    <w:p>
      <w:pPr>
        <w:pStyle w:val="null3"/>
        <w:jc w:val="both"/>
      </w:pPr>
      <w:r>
        <w:rPr>
          <w:sz w:val="21"/>
          <w:b/>
        </w:rPr>
        <w:t>一、项目概况与采购内容</w:t>
      </w:r>
    </w:p>
    <w:p>
      <w:pPr>
        <w:pStyle w:val="null3"/>
        <w:ind w:firstLine="372"/>
        <w:jc w:val="both"/>
      </w:pPr>
      <w:r>
        <w:rPr>
          <w:sz w:val="21"/>
        </w:rPr>
        <w:t>1.1</w:t>
      </w:r>
      <w:r>
        <w:rPr>
          <w:sz w:val="21"/>
        </w:rPr>
        <w:t>采购项目名称：华南农业大学生科院生物智造研究院实验室装修项目</w:t>
      </w:r>
    </w:p>
    <w:p>
      <w:pPr>
        <w:pStyle w:val="null3"/>
        <w:ind w:firstLine="372"/>
        <w:jc w:val="both"/>
      </w:pPr>
      <w:r>
        <w:rPr>
          <w:sz w:val="21"/>
        </w:rPr>
        <w:t>1.2</w:t>
      </w:r>
      <w:r>
        <w:rPr>
          <w:sz w:val="21"/>
        </w:rPr>
        <w:t>工程建设地点：广东省广州市天河区五山路</w:t>
      </w:r>
      <w:r>
        <w:rPr>
          <w:sz w:val="21"/>
        </w:rPr>
        <w:t>483</w:t>
      </w:r>
      <w:r>
        <w:rPr>
          <w:sz w:val="21"/>
        </w:rPr>
        <w:t>号（华南农业大学生科院）</w:t>
      </w:r>
    </w:p>
    <w:p>
      <w:pPr>
        <w:pStyle w:val="null3"/>
        <w:ind w:firstLine="372"/>
        <w:jc w:val="both"/>
      </w:pPr>
      <w:r>
        <w:rPr>
          <w:sz w:val="21"/>
        </w:rPr>
        <w:t>1.3</w:t>
      </w:r>
      <w:r>
        <w:rPr>
          <w:sz w:val="21"/>
          <w:shd w:fill="FFFFFF" w:val="clear"/>
        </w:rPr>
        <w:t>工程预算</w:t>
      </w:r>
      <w:r>
        <w:rPr>
          <w:sz w:val="21"/>
          <w:shd w:fill="FFFFFF" w:val="clear"/>
        </w:rPr>
        <w:t>947330.16</w:t>
      </w:r>
      <w:r>
        <w:rPr>
          <w:sz w:val="21"/>
          <w:shd w:fill="FFFFFF" w:val="clear"/>
        </w:rPr>
        <w:t>元，</w:t>
      </w:r>
      <w:r>
        <w:rPr>
          <w:sz w:val="21"/>
          <w:shd w:fill="FFFFFF" w:val="clear"/>
        </w:rPr>
        <w:t>其中包括：安全生产措施费</w:t>
      </w:r>
      <w:r>
        <w:rPr>
          <w:sz w:val="21"/>
          <w:shd w:fill="FFFFFF" w:val="clear"/>
        </w:rPr>
        <w:t>24888.4</w:t>
      </w:r>
      <w:r>
        <w:rPr>
          <w:sz w:val="21"/>
          <w:shd w:fill="FFFFFF" w:val="clear"/>
        </w:rPr>
        <w:t>元（建筑装饰部分</w:t>
      </w:r>
      <w:r>
        <w:rPr>
          <w:sz w:val="21"/>
          <w:shd w:fill="FFFFFF" w:val="clear"/>
        </w:rPr>
        <w:t>8053.72</w:t>
      </w:r>
      <w:r>
        <w:rPr>
          <w:sz w:val="21"/>
          <w:shd w:fill="FFFFFF" w:val="clear"/>
        </w:rPr>
        <w:t>元，安装部分</w:t>
      </w:r>
      <w:r>
        <w:rPr>
          <w:sz w:val="21"/>
          <w:shd w:fill="FFFFFF" w:val="clear"/>
        </w:rPr>
        <w:t>16834.68</w:t>
      </w:r>
      <w:r>
        <w:rPr>
          <w:sz w:val="21"/>
          <w:shd w:fill="FFFFFF" w:val="clear"/>
        </w:rPr>
        <w:t>元），暂列金额</w:t>
      </w:r>
      <w:r>
        <w:rPr>
          <w:sz w:val="21"/>
          <w:shd w:fill="FFFFFF" w:val="clear"/>
        </w:rPr>
        <w:t>15635.41</w:t>
      </w:r>
      <w:r>
        <w:rPr>
          <w:sz w:val="21"/>
          <w:shd w:fill="FFFFFF" w:val="clear"/>
        </w:rPr>
        <w:t>元</w:t>
      </w:r>
      <w:r>
        <w:rPr>
          <w:sz w:val="21"/>
          <w:shd w:fill="FFFFFF" w:val="clear"/>
        </w:rPr>
        <w:t>。</w:t>
      </w:r>
    </w:p>
    <w:p>
      <w:pPr>
        <w:pStyle w:val="null3"/>
        <w:ind w:firstLine="372"/>
        <w:jc w:val="both"/>
      </w:pPr>
      <w:r>
        <w:rPr>
          <w:sz w:val="21"/>
          <w:shd w:fill="FFFFFF" w:val="clear"/>
        </w:rPr>
        <w:t>★说明：安全生产措施费</w:t>
      </w:r>
      <w:r>
        <w:rPr>
          <w:sz w:val="21"/>
          <w:shd w:fill="FFFFFF" w:val="clear"/>
        </w:rPr>
        <w:t>24888.4</w:t>
      </w:r>
      <w:r>
        <w:rPr>
          <w:sz w:val="21"/>
          <w:shd w:fill="FFFFFF" w:val="clear"/>
        </w:rPr>
        <w:t>元，其中建筑装饰部分</w:t>
      </w:r>
      <w:r>
        <w:rPr>
          <w:sz w:val="21"/>
          <w:shd w:fill="FFFFFF" w:val="clear"/>
        </w:rPr>
        <w:t>8053.72</w:t>
      </w:r>
      <w:r>
        <w:rPr>
          <w:sz w:val="21"/>
          <w:shd w:fill="FFFFFF" w:val="clear"/>
        </w:rPr>
        <w:t>元，安装部分</w:t>
      </w:r>
      <w:r>
        <w:rPr>
          <w:sz w:val="21"/>
          <w:shd w:fill="FFFFFF" w:val="clear"/>
        </w:rPr>
        <w:t>16834.68</w:t>
      </w:r>
      <w:r>
        <w:rPr>
          <w:sz w:val="21"/>
          <w:shd w:fill="FFFFFF" w:val="clear"/>
        </w:rPr>
        <w:t>元，</w:t>
      </w:r>
      <w:r>
        <w:rPr>
          <w:sz w:val="21"/>
          <w:shd w:fill="FFFFFF" w:val="clear"/>
        </w:rPr>
        <w:t>暂列金额</w:t>
      </w:r>
      <w:r>
        <w:rPr>
          <w:sz w:val="21"/>
          <w:shd w:fill="FFFFFF" w:val="clear"/>
        </w:rPr>
        <w:t>15635.41</w:t>
      </w:r>
      <w:r>
        <w:rPr>
          <w:sz w:val="21"/>
          <w:shd w:fill="FFFFFF" w:val="clear"/>
        </w:rPr>
        <w:t>元，均</w:t>
      </w:r>
      <w:r>
        <w:rPr>
          <w:sz w:val="21"/>
          <w:shd w:fill="FFFFFF" w:val="clear"/>
        </w:rPr>
        <w:t>不作为竞争性费用，供应商须按需求固定价报价。</w:t>
      </w:r>
    </w:p>
    <w:p>
      <w:pPr>
        <w:pStyle w:val="null3"/>
        <w:ind w:firstLine="372"/>
        <w:jc w:val="both"/>
      </w:pPr>
      <w:r>
        <w:rPr>
          <w:sz w:val="21"/>
        </w:rPr>
        <w:t>1.4</w:t>
      </w:r>
      <w:r>
        <w:rPr>
          <w:sz w:val="21"/>
        </w:rPr>
        <w:t>采购内容：</w:t>
      </w:r>
      <w:r>
        <w:rPr>
          <w:sz w:val="21"/>
          <w:shd w:fill="FFFFFF" w:val="clear"/>
        </w:rPr>
        <w:t>完成</w:t>
      </w:r>
      <w:r>
        <w:rPr>
          <w:sz w:val="21"/>
          <w:shd w:fill="FFFFFF" w:val="clear"/>
        </w:rPr>
        <w:t>408</w:t>
      </w:r>
      <w:r>
        <w:rPr>
          <w:sz w:val="21"/>
          <w:shd w:fill="FFFFFF" w:val="clear"/>
        </w:rPr>
        <w:t>方米的科研实验室室内装修建设，包括吊顶、地面铺设瓷砖、水电安装等，具体以施工图设计文件及招标工程量清单为准。</w:t>
      </w:r>
    </w:p>
    <w:p>
      <w:pPr>
        <w:pStyle w:val="null3"/>
        <w:ind w:firstLine="420"/>
        <w:jc w:val="both"/>
      </w:pPr>
      <w:r>
        <w:rPr>
          <w:sz w:val="21"/>
          <w:b/>
        </w:rPr>
        <w:t>二、采购要求</w:t>
      </w:r>
    </w:p>
    <w:p>
      <w:pPr>
        <w:pStyle w:val="null3"/>
        <w:ind w:firstLine="372"/>
        <w:jc w:val="both"/>
      </w:pPr>
      <w:r>
        <w:rPr>
          <w:sz w:val="21"/>
          <w:shd w:fill="FFFFFF" w:val="clear"/>
        </w:rPr>
        <w:t>1.</w:t>
      </w:r>
      <w:r>
        <w:rPr>
          <w:sz w:val="21"/>
          <w:shd w:fill="FFFFFF" w:val="clear"/>
        </w:rPr>
        <w:t>采购内容：完成</w:t>
      </w:r>
      <w:r>
        <w:rPr>
          <w:sz w:val="21"/>
          <w:shd w:fill="FFFFFF" w:val="clear"/>
        </w:rPr>
        <w:t>408</w:t>
      </w:r>
      <w:r>
        <w:rPr>
          <w:sz w:val="21"/>
          <w:shd w:fill="FFFFFF" w:val="clear"/>
        </w:rPr>
        <w:t>平方米的科研实验室室内装修建设，提升科研工作环境等需求，具体以施工图设计文件及招标工程量清单为准。</w:t>
      </w:r>
    </w:p>
    <w:p>
      <w:pPr>
        <w:pStyle w:val="null3"/>
        <w:ind w:firstLine="372"/>
        <w:jc w:val="both"/>
      </w:pPr>
      <w:r>
        <w:rPr>
          <w:sz w:val="21"/>
        </w:rPr>
        <w:t>2.</w:t>
      </w:r>
      <w:r>
        <w:rPr>
          <w:sz w:val="21"/>
        </w:rPr>
        <w:t>建设工期：</w:t>
      </w:r>
      <w:r>
        <w:rPr>
          <w:sz w:val="21"/>
        </w:rPr>
        <w:t>60</w:t>
      </w:r>
      <w:r>
        <w:rPr>
          <w:sz w:val="21"/>
        </w:rPr>
        <w:t>天</w:t>
      </w:r>
    </w:p>
    <w:p>
      <w:pPr>
        <w:pStyle w:val="null3"/>
        <w:ind w:firstLine="372"/>
        <w:jc w:val="both"/>
      </w:pPr>
      <w:r>
        <w:rPr>
          <w:sz w:val="21"/>
        </w:rPr>
        <w:t>3.</w:t>
      </w:r>
      <w:r>
        <w:rPr>
          <w:sz w:val="21"/>
        </w:rPr>
        <w:t>工程付款方式：</w:t>
      </w:r>
    </w:p>
    <w:p>
      <w:pPr>
        <w:pStyle w:val="null3"/>
        <w:ind w:firstLine="372"/>
        <w:jc w:val="both"/>
      </w:pPr>
      <w:r>
        <w:rPr>
          <w:sz w:val="21"/>
        </w:rPr>
        <w:t>（</w:t>
      </w:r>
      <w:r>
        <w:rPr>
          <w:sz w:val="21"/>
        </w:rPr>
        <w:t>1</w:t>
      </w:r>
      <w:r>
        <w:rPr>
          <w:sz w:val="21"/>
        </w:rPr>
        <w:t>）在供应商无任何违约行为的情况下，合同签订后五个工作日内，采购人按合同价（需扣除暂列金额后）的</w:t>
      </w:r>
      <w:r>
        <w:rPr>
          <w:sz w:val="21"/>
        </w:rPr>
        <w:t>30%</w:t>
      </w:r>
      <w:r>
        <w:rPr>
          <w:sz w:val="21"/>
        </w:rPr>
        <w:t>作为预付款拨给供应商；</w:t>
      </w:r>
    </w:p>
    <w:p>
      <w:pPr>
        <w:pStyle w:val="null3"/>
        <w:ind w:firstLine="372"/>
        <w:jc w:val="both"/>
      </w:pPr>
      <w:r>
        <w:rPr>
          <w:sz w:val="21"/>
        </w:rPr>
        <w:t>（</w:t>
      </w:r>
      <w:r>
        <w:rPr>
          <w:sz w:val="21"/>
        </w:rPr>
        <w:t>2</w:t>
      </w:r>
      <w:r>
        <w:rPr>
          <w:sz w:val="21"/>
        </w:rPr>
        <w:t>）工程全部完工并经采购人验收合格后五个工作日内，采购人向供应商再支付合同价（扣除暂列金额）的</w:t>
      </w:r>
      <w:r>
        <w:rPr>
          <w:sz w:val="21"/>
        </w:rPr>
        <w:t>50%</w:t>
      </w:r>
      <w:r>
        <w:rPr>
          <w:sz w:val="21"/>
        </w:rPr>
        <w:t>（即支付至扣除暂列金的合同价的</w:t>
      </w:r>
      <w:r>
        <w:rPr>
          <w:sz w:val="21"/>
        </w:rPr>
        <w:t>80%</w:t>
      </w:r>
      <w:r>
        <w:rPr>
          <w:sz w:val="21"/>
        </w:rPr>
        <w:t>）；</w:t>
      </w:r>
    </w:p>
    <w:p>
      <w:pPr>
        <w:pStyle w:val="null3"/>
        <w:ind w:firstLine="372"/>
        <w:jc w:val="both"/>
      </w:pPr>
      <w:r>
        <w:rPr>
          <w:sz w:val="21"/>
        </w:rPr>
        <w:t>（</w:t>
      </w:r>
      <w:r>
        <w:rPr>
          <w:sz w:val="21"/>
        </w:rPr>
        <w:t>3</w:t>
      </w:r>
      <w:r>
        <w:rPr>
          <w:sz w:val="21"/>
        </w:rPr>
        <w:t>）工程结算经采购人书面审定后，采购人预留工程结算价款</w:t>
      </w:r>
      <w:r>
        <w:rPr>
          <w:sz w:val="21"/>
        </w:rPr>
        <w:t>3%</w:t>
      </w:r>
      <w:r>
        <w:rPr>
          <w:sz w:val="21"/>
        </w:rPr>
        <w:t>（或供应商以保函形式提交），作为本项目质量保证金，采购人办理完结算手续后七个工作日内向供应商支付工程款至结算价的</w:t>
      </w:r>
      <w:r>
        <w:rPr>
          <w:sz w:val="21"/>
        </w:rPr>
        <w:t>97%</w:t>
      </w:r>
      <w:r>
        <w:rPr>
          <w:sz w:val="21"/>
        </w:rPr>
        <w:t>（供应商以保函形式提交质量保证金的，支付至结算价的</w:t>
      </w:r>
      <w:r>
        <w:rPr>
          <w:sz w:val="21"/>
        </w:rPr>
        <w:t>100%</w:t>
      </w:r>
      <w:r>
        <w:rPr>
          <w:sz w:val="21"/>
        </w:rPr>
        <w:t>）。余下</w:t>
      </w:r>
      <w:r>
        <w:rPr>
          <w:sz w:val="21"/>
        </w:rPr>
        <w:t>3%</w:t>
      </w:r>
      <w:r>
        <w:rPr>
          <w:sz w:val="21"/>
        </w:rPr>
        <w:t>作为工程质量保证金在工程质量验收合格之日起满贰年后</w:t>
      </w:r>
      <w:r>
        <w:rPr>
          <w:sz w:val="21"/>
        </w:rPr>
        <w:t>7</w:t>
      </w:r>
      <w:r>
        <w:rPr>
          <w:sz w:val="21"/>
        </w:rPr>
        <w:t>天内一次性支付给供应商。</w:t>
      </w:r>
    </w:p>
    <w:p>
      <w:pPr>
        <w:pStyle w:val="null3"/>
        <w:ind w:firstLine="368"/>
        <w:jc w:val="both"/>
      </w:pPr>
      <w:r>
        <w:rPr>
          <w:sz w:val="21"/>
        </w:rPr>
        <w:t>在采购人付款前，供应商应当向采购人提供等额合法发票，采购人自收到发票后</w:t>
      </w:r>
      <w:r>
        <w:rPr>
          <w:sz w:val="21"/>
        </w:rPr>
        <w:t>10</w:t>
      </w:r>
      <w:r>
        <w:rPr>
          <w:sz w:val="21"/>
        </w:rPr>
        <w:t>个工作日内将资金支付。如因供应商未能及时提供前述发票而造成付款延误，不属采购人违约。</w:t>
      </w:r>
    </w:p>
    <w:p>
      <w:pPr>
        <w:pStyle w:val="null3"/>
        <w:jc w:val="both"/>
      </w:pPr>
      <w:r>
        <w:rPr>
          <w:sz w:val="21"/>
        </w:rPr>
        <w:t xml:space="preserve"> 4.</w:t>
      </w:r>
      <w:r>
        <w:rPr>
          <w:sz w:val="21"/>
        </w:rPr>
        <w:t>报价要求：</w:t>
      </w:r>
    </w:p>
    <w:p>
      <w:pPr>
        <w:pStyle w:val="null3"/>
        <w:jc w:val="both"/>
      </w:pPr>
      <w:r>
        <w:rPr>
          <w:sz w:val="21"/>
        </w:rPr>
        <w:t>本工程实行工程量清单计价，固定综合单价、措施项目费总价包干，工程量按实际完成的工程量结算。按照施工图和招标工程量清单内容，要求包工、包料、包机械、包工期、包质量、包安全生产、包文明施工、包劳保、包验收、包保修等。包配合主体建筑的施工单位组织项目整体竣工验收（含资料汇总、整理、政府申报）等，并取得相关部门认可的验收合格证明文件。本工程执行《建设工程工程量清单计价标准》</w:t>
      </w:r>
      <w:r>
        <w:rPr>
          <w:sz w:val="21"/>
        </w:rPr>
        <w:t>GB/T50500-2024</w:t>
      </w:r>
      <w:r>
        <w:rPr>
          <w:sz w:val="21"/>
        </w:rPr>
        <w:t>、《关于调整</w:t>
      </w:r>
      <w:r>
        <w:rPr>
          <w:sz w:val="21"/>
        </w:rPr>
        <w:t>&lt;</w:t>
      </w:r>
      <w:r>
        <w:rPr>
          <w:sz w:val="21"/>
        </w:rPr>
        <w:t>广东省建设工程计价依据</w:t>
      </w:r>
      <w:r>
        <w:rPr>
          <w:sz w:val="21"/>
        </w:rPr>
        <w:t xml:space="preserve">2018 </w:t>
      </w:r>
      <w:r>
        <w:rPr>
          <w:sz w:val="21"/>
        </w:rPr>
        <w:t>计价规则</w:t>
      </w:r>
      <w:r>
        <w:rPr>
          <w:sz w:val="21"/>
        </w:rPr>
        <w:t>&gt;</w:t>
      </w:r>
      <w:r>
        <w:rPr>
          <w:sz w:val="21"/>
        </w:rPr>
        <w:t>的通知》</w:t>
      </w:r>
      <w:r>
        <w:rPr>
          <w:sz w:val="21"/>
        </w:rPr>
        <w:t>(</w:t>
      </w:r>
      <w:r>
        <w:rPr>
          <w:sz w:val="21"/>
        </w:rPr>
        <w:t>粤标定函〔</w:t>
      </w:r>
      <w:r>
        <w:rPr>
          <w:sz w:val="21"/>
        </w:rPr>
        <w:t>2025</w:t>
      </w:r>
      <w:r>
        <w:rPr>
          <w:sz w:val="21"/>
        </w:rPr>
        <w:t>〕</w:t>
      </w:r>
      <w:r>
        <w:rPr>
          <w:sz w:val="21"/>
        </w:rPr>
        <w:t>22</w:t>
      </w:r>
      <w:r>
        <w:rPr>
          <w:sz w:val="21"/>
        </w:rPr>
        <w:t>号</w:t>
      </w:r>
      <w:r>
        <w:rPr>
          <w:sz w:val="21"/>
        </w:rPr>
        <w:t>)</w:t>
      </w:r>
      <w:r>
        <w:rPr>
          <w:sz w:val="21"/>
        </w:rPr>
        <w:t>、《关于贯彻执行建设工程工程量清单计价标准及九项专业工程工程量计算标准的实施意见》（粤标定函〔</w:t>
      </w:r>
      <w:r>
        <w:rPr>
          <w:sz w:val="21"/>
        </w:rPr>
        <w:t>2025</w:t>
      </w:r>
      <w:r>
        <w:rPr>
          <w:sz w:val="21"/>
        </w:rPr>
        <w:t>〕</w:t>
      </w:r>
      <w:r>
        <w:rPr>
          <w:sz w:val="21"/>
        </w:rPr>
        <w:t>24</w:t>
      </w:r>
      <w:r>
        <w:rPr>
          <w:sz w:val="21"/>
        </w:rPr>
        <w:t>号），《广东省房屋建筑与装饰工程综合定额》</w:t>
      </w:r>
      <w:r>
        <w:rPr>
          <w:sz w:val="21"/>
        </w:rPr>
        <w:t>(2018)</w:t>
      </w:r>
      <w:r>
        <w:rPr>
          <w:sz w:val="21"/>
        </w:rPr>
        <w:t>，《广东省市政工程综合定额》（</w:t>
      </w:r>
      <w:r>
        <w:rPr>
          <w:sz w:val="21"/>
        </w:rPr>
        <w:t>2018</w:t>
      </w:r>
      <w:r>
        <w:rPr>
          <w:sz w:val="21"/>
        </w:rPr>
        <w:t>），《广东省通用安装工程综合定额》（</w:t>
      </w:r>
      <w:r>
        <w:rPr>
          <w:sz w:val="21"/>
        </w:rPr>
        <w:t>2018</w:t>
      </w:r>
      <w:r>
        <w:rPr>
          <w:sz w:val="21"/>
        </w:rPr>
        <w:t>）。</w:t>
      </w:r>
    </w:p>
    <w:p>
      <w:pPr>
        <w:pStyle w:val="null3"/>
        <w:ind w:firstLine="420"/>
        <w:jc w:val="both"/>
      </w:pPr>
      <w:r>
        <w:rPr>
          <w:sz w:val="21"/>
        </w:rPr>
        <w:t>工程量清单的成交综合单价</w:t>
      </w:r>
      <w:r>
        <w:rPr>
          <w:sz w:val="21"/>
        </w:rPr>
        <w:t>=</w:t>
      </w:r>
      <w:r>
        <w:rPr>
          <w:sz w:val="21"/>
        </w:rPr>
        <w:t>第一轮报价的单价×（竞争性磋商最终报价</w:t>
      </w:r>
      <w:r>
        <w:rPr>
          <w:sz w:val="21"/>
        </w:rPr>
        <w:t>-</w:t>
      </w:r>
      <w:r>
        <w:rPr>
          <w:sz w:val="21"/>
        </w:rPr>
        <w:t>不参与调价项目合计）</w:t>
      </w:r>
      <w:r>
        <w:rPr>
          <w:sz w:val="21"/>
        </w:rPr>
        <w:t>/</w:t>
      </w:r>
      <w:r>
        <w:rPr>
          <w:sz w:val="21"/>
        </w:rPr>
        <w:t>（第一轮报价</w:t>
      </w:r>
      <w:r>
        <w:rPr>
          <w:sz w:val="21"/>
        </w:rPr>
        <w:t>-</w:t>
      </w:r>
      <w:r>
        <w:rPr>
          <w:sz w:val="21"/>
        </w:rPr>
        <w:t>不参与调价项目合计）×</w:t>
      </w:r>
      <w:r>
        <w:rPr>
          <w:sz w:val="21"/>
        </w:rPr>
        <w:t>100%</w:t>
      </w:r>
      <w:r>
        <w:rPr>
          <w:sz w:val="21"/>
        </w:rPr>
        <w:t>；不参与调价项目包括：暂列金额、按系数计算的</w:t>
      </w:r>
      <w:r>
        <w:rPr>
          <w:sz w:val="20"/>
        </w:rPr>
        <w:t>绿色施工安全防护措施费</w:t>
      </w:r>
      <w:r>
        <w:rPr>
          <w:sz w:val="21"/>
        </w:rPr>
        <w:t>，项目范围和计费按国家、省市相关文件和采购文件的约定执行。</w:t>
      </w:r>
    </w:p>
    <w:p>
      <w:pPr>
        <w:pStyle w:val="null3"/>
        <w:ind w:firstLine="420"/>
        <w:jc w:val="both"/>
      </w:pPr>
      <w:r>
        <w:rPr>
          <w:sz w:val="21"/>
        </w:rPr>
        <w:t>5.</w:t>
      </w:r>
      <w:r>
        <w:rPr>
          <w:sz w:val="21"/>
        </w:rPr>
        <w:t>进度保障要求：</w:t>
      </w:r>
    </w:p>
    <w:p>
      <w:pPr>
        <w:pStyle w:val="null3"/>
        <w:ind w:firstLine="420"/>
        <w:jc w:val="both"/>
      </w:pPr>
      <w:r>
        <w:rPr>
          <w:sz w:val="21"/>
        </w:rPr>
        <w:t>项目进度控制需制定并执行详细计划，合理安排工序，调配人力物力，强化监督与协调，及时纠偏，确保项目按时按质完成。</w:t>
      </w:r>
    </w:p>
    <w:p>
      <w:pPr>
        <w:pStyle w:val="null3"/>
        <w:ind w:firstLine="420"/>
        <w:jc w:val="both"/>
      </w:pPr>
      <w:r>
        <w:rPr>
          <w:sz w:val="21"/>
        </w:rPr>
        <w:t>6.</w:t>
      </w:r>
      <w:r>
        <w:rPr>
          <w:sz w:val="21"/>
        </w:rPr>
        <w:t>质量保障要求：</w:t>
      </w:r>
    </w:p>
    <w:p>
      <w:pPr>
        <w:pStyle w:val="null3"/>
        <w:ind w:firstLine="420"/>
        <w:jc w:val="both"/>
      </w:pPr>
      <w:r>
        <w:rPr>
          <w:sz w:val="21"/>
        </w:rPr>
        <w:t>质保期：按照《建设工程质量管理条例》规定及使用需求调整为如下</w:t>
      </w:r>
      <w:r>
        <w:rPr>
          <w:sz w:val="21"/>
        </w:rPr>
        <w:t>:</w:t>
      </w:r>
    </w:p>
    <w:p>
      <w:pPr>
        <w:pStyle w:val="null3"/>
        <w:ind w:firstLine="420"/>
        <w:jc w:val="both"/>
      </w:pPr>
      <w:r>
        <w:rPr>
          <w:sz w:val="21"/>
        </w:rPr>
        <w:t>质量标准：按《</w:t>
      </w:r>
      <w:r>
        <w:rPr>
          <w:sz w:val="21"/>
          <w:b/>
          <w:shd w:fill="FFFFFF" w:val="clear"/>
        </w:rPr>
        <w:t>建筑与市政工程施工质量控制通用规范</w:t>
      </w:r>
      <w:r>
        <w:rPr>
          <w:sz w:val="21"/>
        </w:rPr>
        <w:t>》</w:t>
      </w:r>
      <w:r>
        <w:rPr>
          <w:sz w:val="21"/>
        </w:rPr>
        <w:t>GB 55032-2022</w:t>
      </w:r>
      <w:r>
        <w:rPr>
          <w:sz w:val="21"/>
        </w:rPr>
        <w:t>。符合国家和行业现行质量验收标准，一次性验收合格。</w:t>
      </w:r>
    </w:p>
    <w:p>
      <w:pPr>
        <w:pStyle w:val="null3"/>
        <w:ind w:firstLine="420"/>
        <w:jc w:val="both"/>
      </w:pPr>
      <w:r>
        <w:rPr>
          <w:sz w:val="21"/>
        </w:rPr>
        <w:t>质保要求：</w:t>
      </w:r>
    </w:p>
    <w:p>
      <w:pPr>
        <w:pStyle w:val="null3"/>
        <w:ind w:firstLine="420"/>
        <w:jc w:val="both"/>
      </w:pPr>
      <w:r>
        <w:rPr>
          <w:sz w:val="21"/>
        </w:rPr>
        <w:t>6.1</w:t>
      </w:r>
      <w:r>
        <w:rPr>
          <w:sz w:val="21"/>
        </w:rPr>
        <w:t>工程质量标准按国家现行施工及验收规范、工程质量标准为合格。</w:t>
      </w:r>
    </w:p>
    <w:p>
      <w:pPr>
        <w:pStyle w:val="null3"/>
        <w:ind w:firstLine="420"/>
        <w:jc w:val="both"/>
      </w:pPr>
      <w:r>
        <w:rPr>
          <w:sz w:val="21"/>
        </w:rPr>
        <w:t>6.2</w:t>
      </w:r>
      <w:r>
        <w:rPr>
          <w:sz w:val="21"/>
        </w:rPr>
        <w:t>施工中如采购人发现工程上存在问题时，应及时通知供应商，供应商在收到通知二天内采取有效措施纠正。否则，采购人有权采取措施，直至终止合同，由此造成的损失由供应商承担。</w:t>
      </w:r>
    </w:p>
    <w:p>
      <w:pPr>
        <w:pStyle w:val="null3"/>
        <w:ind w:firstLine="420"/>
        <w:jc w:val="both"/>
      </w:pPr>
      <w:r>
        <w:rPr>
          <w:sz w:val="21"/>
        </w:rPr>
        <w:t>6.3</w:t>
      </w:r>
      <w:r>
        <w:rPr>
          <w:sz w:val="21"/>
        </w:rPr>
        <w:t>保修期按中华人民共和国国务院令第</w:t>
      </w:r>
      <w:r>
        <w:rPr>
          <w:sz w:val="21"/>
        </w:rPr>
        <w:t>279</w:t>
      </w:r>
      <w:r>
        <w:rPr>
          <w:sz w:val="21"/>
        </w:rPr>
        <w:t>号《建设工程质量管理条例》第四十条规定，在正常使用条件下，建设工程的最低保修期限自竣工验收合格双方签字确认之日起计算。</w:t>
      </w:r>
    </w:p>
    <w:p>
      <w:pPr>
        <w:pStyle w:val="null3"/>
        <w:ind w:firstLine="420"/>
        <w:jc w:val="both"/>
      </w:pPr>
      <w:r>
        <w:rPr>
          <w:sz w:val="21"/>
        </w:rPr>
        <w:t>（</w:t>
      </w:r>
      <w:r>
        <w:rPr>
          <w:sz w:val="21"/>
        </w:rPr>
        <w:t>1</w:t>
      </w:r>
      <w:r>
        <w:rPr>
          <w:sz w:val="21"/>
        </w:rPr>
        <w:t>）屋面防水工程、有防水要求的卫生间、房间和外墙面的防渗漏，为</w:t>
      </w:r>
      <w:r>
        <w:rPr>
          <w:sz w:val="21"/>
        </w:rPr>
        <w:t xml:space="preserve"> 5 </w:t>
      </w:r>
      <w:r>
        <w:rPr>
          <w:sz w:val="21"/>
        </w:rPr>
        <w:t>年。</w:t>
      </w:r>
    </w:p>
    <w:p>
      <w:pPr>
        <w:pStyle w:val="null3"/>
        <w:ind w:firstLine="420"/>
        <w:jc w:val="both"/>
      </w:pPr>
      <w:r>
        <w:rPr>
          <w:sz w:val="21"/>
        </w:rPr>
        <w:t>（</w:t>
      </w:r>
      <w:r>
        <w:rPr>
          <w:sz w:val="21"/>
        </w:rPr>
        <w:t>2</w:t>
      </w:r>
      <w:r>
        <w:rPr>
          <w:sz w:val="21"/>
        </w:rPr>
        <w:t>）供热与供冷系统，为</w:t>
      </w:r>
      <w:r>
        <w:rPr>
          <w:sz w:val="21"/>
        </w:rPr>
        <w:t xml:space="preserve"> 2 </w:t>
      </w:r>
      <w:r>
        <w:rPr>
          <w:sz w:val="21"/>
        </w:rPr>
        <w:t>个采暖期、供冷期。</w:t>
      </w:r>
    </w:p>
    <w:p>
      <w:pPr>
        <w:pStyle w:val="null3"/>
        <w:ind w:firstLine="420"/>
        <w:jc w:val="both"/>
      </w:pPr>
      <w:r>
        <w:rPr>
          <w:sz w:val="21"/>
        </w:rPr>
        <w:t>（</w:t>
      </w:r>
      <w:r>
        <w:rPr>
          <w:sz w:val="21"/>
        </w:rPr>
        <w:t>3</w:t>
      </w:r>
      <w:r>
        <w:rPr>
          <w:sz w:val="21"/>
        </w:rPr>
        <w:t>）电气管线、给排水管道、设备安装和装修工程，为</w:t>
      </w:r>
      <w:r>
        <w:rPr>
          <w:sz w:val="21"/>
        </w:rPr>
        <w:t xml:space="preserve"> 2 </w:t>
      </w:r>
      <w:r>
        <w:rPr>
          <w:sz w:val="21"/>
        </w:rPr>
        <w:t>年。</w:t>
      </w:r>
    </w:p>
    <w:p>
      <w:pPr>
        <w:pStyle w:val="null3"/>
        <w:ind w:firstLine="420"/>
        <w:jc w:val="both"/>
      </w:pPr>
      <w:r>
        <w:rPr>
          <w:sz w:val="21"/>
        </w:rPr>
        <w:t>（</w:t>
      </w:r>
      <w:r>
        <w:rPr>
          <w:sz w:val="21"/>
        </w:rPr>
        <w:t>4</w:t>
      </w:r>
      <w:r>
        <w:rPr>
          <w:sz w:val="21"/>
        </w:rPr>
        <w:t>）基础设施工程、房屋建筑的地基基础工程和主体结构工程，为设计文件规定的该工程的合理使用年限。</w:t>
      </w:r>
    </w:p>
    <w:p>
      <w:pPr>
        <w:pStyle w:val="null3"/>
        <w:ind w:firstLine="420"/>
        <w:jc w:val="both"/>
      </w:pPr>
      <w:r>
        <w:rPr>
          <w:sz w:val="21"/>
        </w:rPr>
        <w:t>（</w:t>
      </w:r>
      <w:r>
        <w:rPr>
          <w:sz w:val="21"/>
        </w:rPr>
        <w:t>5</w:t>
      </w:r>
      <w:r>
        <w:rPr>
          <w:sz w:val="21"/>
        </w:rPr>
        <w:t>）其他项目的保修期限由发包方与承包方约定。</w:t>
      </w:r>
    </w:p>
    <w:p>
      <w:pPr>
        <w:pStyle w:val="null3"/>
        <w:ind w:firstLine="420"/>
        <w:jc w:val="both"/>
      </w:pPr>
      <w:r>
        <w:rPr>
          <w:sz w:val="21"/>
        </w:rPr>
        <w:t>保修期限内出现的质量问题，供应商在接到采购人通知后两天内进行检查，经双方鉴定，属供应商施工或材料质量问题，由供应商进行修复，修复费由供应商负责；属采购人使用不当造成的，修复费用由采购人负责。如对质量问题有争议，由相关质监部门裁定。</w:t>
      </w:r>
    </w:p>
    <w:p>
      <w:pPr>
        <w:pStyle w:val="null3"/>
        <w:ind w:firstLine="420"/>
        <w:jc w:val="both"/>
      </w:pPr>
      <w:r>
        <w:rPr>
          <w:sz w:val="21"/>
        </w:rPr>
        <w:t>7.</w:t>
      </w:r>
      <w:r>
        <w:rPr>
          <w:sz w:val="21"/>
        </w:rPr>
        <w:t>安全保障要求：</w:t>
      </w:r>
    </w:p>
    <w:p>
      <w:pPr>
        <w:pStyle w:val="null3"/>
        <w:ind w:firstLine="420"/>
        <w:jc w:val="both"/>
      </w:pPr>
      <w:r>
        <w:rPr>
          <w:sz w:val="21"/>
        </w:rPr>
        <w:t>项目安全控制需建立完善的安全保障体系，加强人员安全培训和现场安全监督，严格施工设备和材料的安全管理，做好风险评估与应急处理，确保项目施工安全无事故。</w:t>
      </w:r>
    </w:p>
    <w:p>
      <w:pPr>
        <w:pStyle w:val="null3"/>
        <w:ind w:firstLine="420"/>
        <w:jc w:val="both"/>
      </w:pPr>
      <w:r>
        <w:rPr>
          <w:sz w:val="21"/>
        </w:rPr>
        <w:t xml:space="preserve">8. </w:t>
      </w:r>
      <w:r>
        <w:rPr>
          <w:sz w:val="21"/>
        </w:rPr>
        <w:t>施工实施要求：</w:t>
      </w:r>
    </w:p>
    <w:p>
      <w:pPr>
        <w:pStyle w:val="null3"/>
        <w:ind w:firstLine="316"/>
        <w:jc w:val="both"/>
      </w:pPr>
      <w:r>
        <w:rPr>
          <w:sz w:val="21"/>
        </w:rPr>
        <w:t xml:space="preserve"> (1)</w:t>
      </w:r>
      <w:r>
        <w:rPr>
          <w:sz w:val="21"/>
        </w:rPr>
        <w:t>供应商应当遵守建设单位施工现场驻场人员管理的规定，安全生产，文明施工。自觉接受检查，无证人员一律不得进入施工现场，施工人员不得在施工现场留宿。施工人员未经批准不得进入其他区域。</w:t>
      </w:r>
    </w:p>
    <w:p>
      <w:pPr>
        <w:pStyle w:val="null3"/>
        <w:ind w:firstLine="316"/>
        <w:jc w:val="both"/>
      </w:pPr>
      <w:r>
        <w:rPr>
          <w:sz w:val="21"/>
        </w:rPr>
        <w:t>(2)</w:t>
      </w:r>
      <w:r>
        <w:rPr>
          <w:sz w:val="21"/>
        </w:rPr>
        <w:t>施工期间，所有材料转运费、保管费用由供应商自行负责。在工程进行中</w:t>
      </w:r>
      <w:r>
        <w:rPr>
          <w:sz w:val="21"/>
        </w:rPr>
        <w:t>,</w:t>
      </w:r>
      <w:r>
        <w:rPr>
          <w:sz w:val="21"/>
        </w:rPr>
        <w:t>供应商要注意保护场内的各种管线和设施。若有任何损坏，须立即通知有关部门，并由损坏责任单位承担损失和修复费用。</w:t>
      </w:r>
    </w:p>
    <w:p>
      <w:pPr>
        <w:pStyle w:val="null3"/>
        <w:ind w:firstLine="316"/>
        <w:jc w:val="both"/>
      </w:pPr>
      <w:r>
        <w:rPr>
          <w:sz w:val="21"/>
        </w:rPr>
        <w:t>(3)</w:t>
      </w:r>
      <w:r>
        <w:rPr>
          <w:sz w:val="21"/>
        </w:rPr>
        <w:t>供应商应当严格按照已经确认的施工方案组织施工，并接受采购人或其委托的监理单位对工程质量、工期、安全、文明施工、环保及工地纪律的监督和管理。</w:t>
      </w:r>
    </w:p>
    <w:p>
      <w:pPr>
        <w:pStyle w:val="null3"/>
        <w:ind w:firstLine="316"/>
        <w:jc w:val="both"/>
      </w:pPr>
      <w:r>
        <w:rPr>
          <w:sz w:val="21"/>
        </w:rPr>
        <w:t>(4)</w:t>
      </w:r>
      <w:r>
        <w:rPr>
          <w:sz w:val="21"/>
        </w:rPr>
        <w:t>供应商在施工期间应严格遵守国家、省、市有关防火、防爆和施工安全以及文明施工，深夜施工、环卫、治安与城管等规定，应建立规章制度和防护、防范措施，并承担由于自身措施不力造成事故责任和发生的费用。施工期间，应当建立施工安全用电制度，确保施工用电设备的完好无损，并设置漏电保护装置。施工用水、用电由采购人指定驳接点，由供应商自行布线管、加表计量，并向采购人交付水、电费。</w:t>
      </w:r>
    </w:p>
    <w:p>
      <w:pPr>
        <w:pStyle w:val="null3"/>
        <w:ind w:firstLine="316"/>
        <w:jc w:val="both"/>
      </w:pPr>
      <w:r>
        <w:rPr>
          <w:sz w:val="21"/>
        </w:rPr>
        <w:t>(5)</w:t>
      </w:r>
      <w:r>
        <w:rPr>
          <w:sz w:val="21"/>
        </w:rPr>
        <w:t>供应商须自行解决工人宿舍、食堂与生活设施等问题。</w:t>
      </w:r>
    </w:p>
    <w:p>
      <w:pPr>
        <w:pStyle w:val="null3"/>
        <w:ind w:firstLine="316"/>
        <w:jc w:val="both"/>
      </w:pPr>
      <w:r>
        <w:rPr>
          <w:sz w:val="21"/>
        </w:rPr>
        <w:t>(6)</w:t>
      </w:r>
      <w:r>
        <w:rPr>
          <w:sz w:val="21"/>
        </w:rPr>
        <w:t>施工所用的机械工具由施工队伍自备及自费运到施工工地，进场后进行必要的性能安全检查，完工后从工地自费搬出运走，施工所用的材料及机械工具由采购人提供适当的场所存放并由施工队伍自行保管，不得随便存放，以免造成不必要的丢失、损坏。</w:t>
      </w:r>
    </w:p>
    <w:p>
      <w:pPr>
        <w:pStyle w:val="null3"/>
        <w:ind w:firstLine="316"/>
        <w:jc w:val="both"/>
      </w:pPr>
      <w:r>
        <w:rPr>
          <w:sz w:val="21"/>
        </w:rPr>
        <w:t>(7)</w:t>
      </w:r>
      <w:r>
        <w:rPr>
          <w:sz w:val="21"/>
        </w:rPr>
        <w:t>供应商应当注意施工安全，做好安全文明施工工作，如因措施不当造成人身安全或工伤死亡事故，一切责任由供应商负责。</w:t>
      </w:r>
    </w:p>
    <w:p>
      <w:pPr>
        <w:pStyle w:val="null3"/>
        <w:ind w:firstLine="316"/>
        <w:jc w:val="both"/>
      </w:pPr>
      <w:r>
        <w:rPr>
          <w:sz w:val="21"/>
        </w:rPr>
        <w:t>(8)</w:t>
      </w:r>
      <w:r>
        <w:rPr>
          <w:sz w:val="21"/>
        </w:rPr>
        <w:t>供应商在工程施工期间，须严格遵守政府职能部门的各项规章制度，由于管理不善，导致政府职能部门的罚款和停工整改，由其发生的费用与损失由供应商自行承担，且采购人保留暂缓支付工程款的权利，以确保文明施工有效实行。</w:t>
      </w:r>
    </w:p>
    <w:p>
      <w:pPr>
        <w:pStyle w:val="null3"/>
        <w:jc w:val="both"/>
      </w:pPr>
      <w:r>
        <w:rPr>
          <w:sz w:val="21"/>
        </w:rPr>
        <w:t xml:space="preserve">  (9)</w:t>
      </w:r>
      <w:r>
        <w:rPr>
          <w:sz w:val="21"/>
        </w:rPr>
        <w:t>建筑垃圾应当及时清运干净，施工过程中应采取必要的有效措施减少对施工区域内进出人员的生活、工作造成的影响，并确保各方人员的安全，施工区域内由于供应商的责任造成的一切人员的伤亡，均由供应商承担由此产生的一切赔偿等后果。</w:t>
      </w:r>
    </w:p>
    <w:p>
      <w:pPr>
        <w:pStyle w:val="null3"/>
        <w:ind w:firstLine="420"/>
        <w:jc w:val="both"/>
      </w:pPr>
      <w:r>
        <w:rPr>
          <w:sz w:val="21"/>
        </w:rPr>
        <w:t>9</w:t>
      </w:r>
      <w:r>
        <w:rPr>
          <w:sz w:val="21"/>
        </w:rPr>
        <w:t>、验收要求</w:t>
      </w:r>
    </w:p>
    <w:p>
      <w:pPr>
        <w:pStyle w:val="null3"/>
        <w:ind w:firstLine="420"/>
        <w:jc w:val="both"/>
      </w:pPr>
      <w:r>
        <w:rPr>
          <w:sz w:val="21"/>
        </w:rPr>
        <w:t>（</w:t>
      </w:r>
      <w:r>
        <w:rPr>
          <w:sz w:val="21"/>
        </w:rPr>
        <w:t>1</w:t>
      </w:r>
      <w:r>
        <w:rPr>
          <w:sz w:val="21"/>
        </w:rPr>
        <w:t>）工程验收以施工图及说明书、图纸会审记录、有关变更的书面文件，按国家颁布的施工及验收规范和质量检验标准为依据。</w:t>
      </w:r>
    </w:p>
    <w:p>
      <w:pPr>
        <w:pStyle w:val="null3"/>
        <w:ind w:firstLine="420"/>
        <w:jc w:val="both"/>
      </w:pPr>
      <w:r>
        <w:rPr>
          <w:sz w:val="21"/>
        </w:rPr>
        <w:t>（</w:t>
      </w:r>
      <w:r>
        <w:rPr>
          <w:sz w:val="21"/>
        </w:rPr>
        <w:t>2</w:t>
      </w:r>
      <w:r>
        <w:rPr>
          <w:sz w:val="21"/>
        </w:rPr>
        <w:t>）隐蔽工程在供应商自检后填制记录表（范围、数量、质量等），持表通知采购人进行检查。采购人接到通知后</w:t>
      </w:r>
      <w:r>
        <w:rPr>
          <w:sz w:val="21"/>
        </w:rPr>
        <w:t>2</w:t>
      </w:r>
      <w:r>
        <w:rPr>
          <w:sz w:val="21"/>
        </w:rPr>
        <w:t>天内到场验收，验收合格并符合设计要求时，经双方签字后进行下一工序的施工。隐蔽工程隐蔽前，采购人没有及时检查的，供应商可以要求办理顺延工期，无权自检。</w:t>
      </w:r>
    </w:p>
    <w:p>
      <w:pPr>
        <w:pStyle w:val="null3"/>
        <w:ind w:firstLine="420"/>
        <w:jc w:val="both"/>
      </w:pPr>
      <w:r>
        <w:rPr>
          <w:sz w:val="21"/>
        </w:rPr>
        <w:t>（</w:t>
      </w:r>
      <w:r>
        <w:rPr>
          <w:sz w:val="21"/>
        </w:rPr>
        <w:t>3</w:t>
      </w:r>
      <w:r>
        <w:rPr>
          <w:sz w:val="21"/>
        </w:rPr>
        <w:t>）工程（包括单项工程）竣工前三天，由供应商通知采购人验收，采购人在供应商书面通知竣工后三天内验收完毕。工程内容及质量符合要求的，双方签字并盖章，同时供应商将全部真实有效图纸资料（包括分包工程的竣工验收资料）向采购人移交。如工程内容尚未完成或质量不合格的，由供应商在甲乙双方商定的期限内补建或返修后再进行验收，直到符合要求为止。并按最后验收合格的日期为实际竣工日期，由此发生的费用由供应商承担。工程（含单项工程）未验收，采购人提前使用或擅自动用，视为合格，由此而发生的质量或其他问题，由采购人负责。因供应商的原因致使工程在合理使用期内造成人身伤害（不管是否致命）和财产损失或损坏的，供应商应承担损失赔偿责任。</w:t>
      </w:r>
    </w:p>
    <w:p>
      <w:pPr>
        <w:pStyle w:val="null3"/>
        <w:jc w:val="both"/>
      </w:pPr>
      <w:r>
        <w:rPr>
          <w:sz w:val="21"/>
        </w:rPr>
        <w:t xml:space="preserve">10. </w:t>
      </w:r>
      <w:r>
        <w:rPr>
          <w:sz w:val="21"/>
        </w:rPr>
        <w:t>主要材料参考（或相当于）的品牌</w:t>
      </w:r>
    </w:p>
    <w:tbl>
      <w:tblPr>
        <w:tblW w:w="0" w:type="auto"/>
        <w:tblBorders>
          <w:top w:val="single"/>
          <w:left w:val="single"/>
          <w:bottom w:val="single"/>
          <w:right w:val="single"/>
          <w:insideH w:val="single"/>
          <w:insideV w:val="single"/>
        </w:tblBorders>
      </w:tblPr>
      <w:tblGrid>
        <w:gridCol w:w="1149"/>
        <w:gridCol w:w="2036"/>
        <w:gridCol w:w="843"/>
        <w:gridCol w:w="1411"/>
        <w:gridCol w:w="1411"/>
        <w:gridCol w:w="1440"/>
      </w:tblGrid>
      <w:tr>
        <w:tc>
          <w:tcPr>
            <w:tcW w:type="dxa" w:w="829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主要材料品牌参考表</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材料名称</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品牌（一）</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品牌（二）</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品牌（三）</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夹板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伟业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杰森</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石膏板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伟业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杰森</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伟业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杰森</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乳胶漆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多乐士</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三颗树</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铝扣板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铭斯朗</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迅域</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欧斯龙</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彩钢板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莱润</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通成</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天花</w:t>
            </w:r>
            <w:r>
              <w:rPr>
                <w:sz w:val="21"/>
              </w:rPr>
              <w:t>T</w:t>
            </w:r>
            <w:r>
              <w:rPr>
                <w:sz w:val="21"/>
              </w:rPr>
              <w:t>型铝</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易众</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永龙</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昌隆</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地面防水</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黑豹</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雨虹</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德高</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w:t>
            </w:r>
            <w:r>
              <w:rPr>
                <w:sz w:val="21"/>
              </w:rPr>
              <w:t>地板胶</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LG</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大巨龙</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阿姆斯壮</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架空防静电地板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立美</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惠华</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欧荔</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防滑地砖</w:t>
            </w:r>
            <w:r>
              <w:rPr>
                <w:sz w:val="21"/>
              </w:rPr>
              <w:t>/</w:t>
            </w:r>
            <w:r>
              <w:rPr>
                <w:sz w:val="21"/>
              </w:rPr>
              <w:t>抛光砖</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冠珠</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宏宇</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马可波罗</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水泥</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华润</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涂料</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多乐士</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三颗树</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钢化玻璃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旗滨</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信辉煌</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驰通</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铝合金方通玻璃框架</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坚美</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博尔</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雅隔</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彩钢板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莱润</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通成</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电箱元器件</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德力西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正泰</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变频器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ABB</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德力西</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桥架</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中兴</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侨鑫</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电力电缆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成天泰</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万瑞通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广州电缆</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配管</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中兴</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侨鑫</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面板灯</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亿朗</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君硕</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中电</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筒灯</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三雄极光</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欧普</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雷士</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开关插座</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罗格朗</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熵基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大华</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海康</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实验台柜台面</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富美家</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特耐美</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天润</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实验台水龙，水盆，洗眼器</w:t>
            </w:r>
            <w:r>
              <w:rPr>
                <w:sz w:val="21"/>
              </w:rPr>
              <w:t>，pp水盆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科恩</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润旺达</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无锡台雄</w:t>
            </w:r>
          </w:p>
        </w:tc>
      </w:tr>
    </w:tbl>
    <w:p>
      <w:pPr>
        <w:pStyle w:val="null3"/>
        <w:jc w:val="both"/>
      </w:pPr>
      <w:r>
        <w:rPr>
          <w:sz w:val="21"/>
        </w:rPr>
        <w:t>注：主要材料参考的品牌，供应商可以选择上述列表以外的其他品牌，但应不低于以上对应参考的品牌档次进行填报，质量须符合国标。主要材料须提供样板，经采购单位确认符合工程要求后方可使用。</w:t>
      </w:r>
    </w:p>
    <w:p>
      <w:pPr>
        <w:pStyle w:val="null3"/>
        <w:jc w:val="both"/>
      </w:pPr>
      <w:r>
        <w:rPr>
          <w:sz w:val="21"/>
        </w:rPr>
        <w:t xml:space="preserve">11. </w:t>
      </w:r>
      <w:r>
        <w:rPr>
          <w:sz w:val="21"/>
        </w:rPr>
        <w:t>实验家具材质等相关要求：</w:t>
      </w:r>
    </w:p>
    <w:p>
      <w:pPr>
        <w:pStyle w:val="null3"/>
      </w:pPr>
      <w:r>
        <w:rPr>
          <w:sz w:val="21"/>
        </w:rPr>
        <w:t xml:space="preserve">1) </w:t>
      </w:r>
      <w:r>
        <w:rPr>
          <w:sz w:val="21"/>
        </w:rPr>
        <w:t>实验操作台台面：</w:t>
      </w:r>
    </w:p>
    <w:p>
      <w:pPr>
        <w:pStyle w:val="null3"/>
      </w:pPr>
      <w:r>
        <w:rPr>
          <w:sz w:val="21"/>
        </w:rPr>
        <w:t>选用实验室专用≥12.7mm厚耐腐蚀理化板，要求边缘用同质材料加厚至25.4mm。</w:t>
      </w:r>
    </w:p>
    <w:p>
      <w:pPr>
        <w:pStyle w:val="null3"/>
      </w:pPr>
      <w:r>
        <w:rPr>
          <w:sz w:val="21"/>
        </w:rPr>
        <w:t xml:space="preserve">(1) </w:t>
      </w:r>
      <w:r>
        <w:rPr>
          <w:sz w:val="21"/>
        </w:rPr>
        <w:t>耐化学/耐污测试，参照 GB/T 17657-2022《人造板及饰面人造板理化性能试验方法》中4.43的要求进行测试，接触时间24h，检测结果如下：乙酸戊酯、乙酸乙酯、98%乙酸、丙酮、5%重铬酸、丁醇、乙醇、甲醇、28%氢氧化铵、笨、四氯化碳、氯仿、60%铬酸、甲酚、二氯乙酸、二甲基甲酰胺、二恶烷（二氧六环）、乙醚、37%甲醛、90%甲酸、糖醛、6%~14%次氯酸钠、37%盐酸、≥99.5%乙酸、30%过氧化氢、罗丁酊（碘酊）、丁酮、二氯甲烷、氯苯、石油脑、20%硝酸、30%硝酸、70%硝酸、90%苯酚、85%磷酸、饱和硝酸银、10%氢氧化钠、20%氢氧化钠、40%氢氧化钠、鳞片状氢氧化钠、饱和硫化钠、33%硫酸、77%硫酸、98%硫酸、同比例77%硫酸和70%硝酸混合液、甲苯、三氯乙烯、二甲苯、饱和氯化锌等119项工业化学试剂抗腐蚀检验结果为5级，表面无明显变化。</w:t>
      </w:r>
    </w:p>
    <w:p>
      <w:pPr>
        <w:pStyle w:val="null3"/>
      </w:pPr>
      <w:r>
        <w:rPr>
          <w:sz w:val="21"/>
          <w:b/>
        </w:rPr>
        <w:t>★</w:t>
      </w:r>
      <w:r>
        <w:rPr>
          <w:sz w:val="21"/>
        </w:rPr>
        <w:t xml:space="preserve">(2) </w:t>
      </w:r>
      <w:r>
        <w:rPr>
          <w:sz w:val="21"/>
        </w:rPr>
        <w:t>甲醛释放限量，以GB 18580-2017《室内装饰装修材料人造板及其制品中甲醛释放限量》为判定依据，按照GB/T 17657-2013检测方法，对甲醛释放量，检测结果为：≤0.011mg/m³，符合GB/T 39600-2021判定为ENF级。（首次响应时提供承诺函）</w:t>
      </w:r>
    </w:p>
    <w:p>
      <w:pPr>
        <w:pStyle w:val="null3"/>
      </w:pPr>
      <w:r>
        <w:rPr>
          <w:sz w:val="21"/>
        </w:rPr>
        <w:t xml:space="preserve">2) </w:t>
      </w:r>
      <w:r>
        <w:rPr>
          <w:sz w:val="21"/>
        </w:rPr>
        <w:t>柜体：</w:t>
      </w:r>
    </w:p>
    <w:p>
      <w:pPr>
        <w:pStyle w:val="null3"/>
      </w:pPr>
      <w:r>
        <w:rPr>
          <w:sz w:val="21"/>
        </w:rPr>
        <w:t>采用≥1.0mm高品质一级钢板，经激光切割，数控折弯，高频自动焊接，表面经除油、清洗、去锈、清洗、 中和、表调、磷化、清洗等十一道工序，高温烘干防锈处理。</w:t>
      </w:r>
    </w:p>
    <w:p>
      <w:pPr>
        <w:pStyle w:val="null3"/>
      </w:pPr>
      <w:r>
        <w:rPr>
          <w:sz w:val="21"/>
        </w:rPr>
        <w:t xml:space="preserve">(1) </w:t>
      </w:r>
      <w:r>
        <w:rPr>
          <w:sz w:val="21"/>
        </w:rPr>
        <w:t>门板和抽屉面板：采用≥1.0mm高品质一级钢板，门面板双层结构制作，中间填充隔音材料，起到静音作用。</w:t>
      </w:r>
    </w:p>
    <w:p>
      <w:pPr>
        <w:pStyle w:val="null3"/>
      </w:pPr>
      <w:r>
        <w:rPr>
          <w:sz w:val="21"/>
        </w:rPr>
        <w:t xml:space="preserve">(2) </w:t>
      </w:r>
      <w:r>
        <w:rPr>
          <w:sz w:val="21"/>
        </w:rPr>
        <w:t>金属喷漆涂层：采用环氧树脂粉末喷涂，涂层厚度≥75μm，表面光滑均匀、色泽一致、无流挂、皱皮、鼓泡、 凹陷、压痕、漏喷、锈蚀。</w:t>
      </w:r>
    </w:p>
    <w:p>
      <w:pPr>
        <w:pStyle w:val="null3"/>
      </w:pPr>
      <w:r>
        <w:rPr>
          <w:sz w:val="21"/>
        </w:rPr>
        <w:t xml:space="preserve">3) </w:t>
      </w:r>
      <w:r>
        <w:rPr>
          <w:sz w:val="21"/>
        </w:rPr>
        <w:t>实验室化验水龙头：</w:t>
      </w:r>
    </w:p>
    <w:p>
      <w:pPr>
        <w:pStyle w:val="null3"/>
      </w:pPr>
      <w:r>
        <w:rPr>
          <w:sz w:val="21"/>
        </w:rPr>
        <w:t>龙头选用H63黄铜管，使用红冲锻造工艺，不出现沙眼；涂层经哑光环氧树脂粉末涂料热固处理，防紫外线辐射，耐化学腐蚀；陶瓷阀芯可90度旋转、耐磨、耐腐蚀，开关使用寿命测试可达60万次，静态最大耐压2.5MPa，鹅颈出水管可360度旋转；旋钮把手为PP全新料无添加碳酸钙。</w:t>
      </w:r>
    </w:p>
    <w:p>
      <w:pPr>
        <w:pStyle w:val="null3"/>
      </w:pPr>
      <w:r>
        <w:rPr>
          <w:sz w:val="21"/>
        </w:rPr>
        <w:t>▲ 耐老化测试：通过氙弧灯老化测试（黑标温度计：65℃，循环：102min干燥、18min 喷淋，辐照度：0.51W/（m²·nm），试验时长：≥3500h），色牢度等级≥4-5级，符合相关技术要求。</w:t>
      </w:r>
    </w:p>
    <w:p>
      <w:pPr>
        <w:pStyle w:val="null3"/>
      </w:pPr>
      <w:r>
        <w:rPr>
          <w:sz w:val="21"/>
        </w:rPr>
        <w:t>4) PP</w:t>
      </w:r>
      <w:r>
        <w:rPr>
          <w:sz w:val="21"/>
        </w:rPr>
        <w:t>水槽：</w:t>
      </w:r>
    </w:p>
    <w:p>
      <w:pPr>
        <w:pStyle w:val="null3"/>
      </w:pPr>
      <w:r>
        <w:rPr>
          <w:sz w:val="21"/>
        </w:rPr>
        <w:t>水槽采用全新PP料及色母料，无碳酸钙成分；下水口与水槽一体注塑成型，水槽内壁无缩印，四边平整，表面光滑顺畅，不有划伤、裂纹、气泡、爆边等明显缺陷。水槽壁厚＞5mm；为防止水槽中间或四周有积液，槽体底部有导流线。</w:t>
      </w:r>
    </w:p>
    <w:p>
      <w:pPr>
        <w:pStyle w:val="null3"/>
      </w:pPr>
      <w:r>
        <w:rPr>
          <w:sz w:val="21"/>
        </w:rPr>
        <w:t>▲(1) 耐老化测试：通过氙弧灯老化测试（黑标温度计：65℃，循环：102min干燥、18min 喷淋，辐照度：0.51W/（m²·nm），试验时长：≥3500h），色牢度等级≥4级，符合相关技术要求。</w:t>
      </w:r>
    </w:p>
    <w:p>
      <w:pPr>
        <w:pStyle w:val="null3"/>
      </w:pPr>
      <w:r>
        <w:rPr>
          <w:sz w:val="21"/>
        </w:rPr>
        <w:t xml:space="preserve">(2) </w:t>
      </w:r>
      <w:r>
        <w:rPr>
          <w:sz w:val="21"/>
        </w:rPr>
        <w:t>邵氏硬度：检测结果≥66D。</w:t>
      </w:r>
    </w:p>
    <w:p>
      <w:pPr>
        <w:pStyle w:val="null3"/>
      </w:pPr>
      <w:r>
        <w:rPr>
          <w:sz w:val="21"/>
        </w:rPr>
        <w:t xml:space="preserve">(3) </w:t>
      </w:r>
      <w:r>
        <w:rPr>
          <w:sz w:val="21"/>
        </w:rPr>
        <w:t>拉伸强度：检测结果≥45MPa。</w:t>
      </w:r>
    </w:p>
    <w:p>
      <w:pPr>
        <w:pStyle w:val="null3"/>
        <w:jc w:val="both"/>
      </w:pPr>
      <w:r>
        <w:rPr>
          <w:sz w:val="21"/>
          <w:shd w:fill="FFFFFF" w:val="clear"/>
        </w:rPr>
        <w:t>5</w:t>
      </w:r>
      <w:r>
        <w:rPr>
          <w:sz w:val="21"/>
          <w:shd w:fill="FFFFFF" w:val="clear"/>
        </w:rPr>
        <w:t>）洗眼器</w:t>
      </w:r>
    </w:p>
    <w:p>
      <w:pPr>
        <w:pStyle w:val="null3"/>
        <w:jc w:val="both"/>
      </w:pPr>
      <w:r>
        <w:rPr>
          <w:sz w:val="21"/>
        </w:rPr>
        <w:t>（1）主体：加厚铜质H59-1；洗眼喷头：加厚铜质环氧树脂涂层外加软性橡胶，出水经缓压处理呈泡沫状水柱，防止冲伤眼睛；莲蓬头护罩：Φ70橡胶质护杯，以避免紧急使用时瞬间接触眼部造成碰撞二次伤害；</w:t>
      </w:r>
    </w:p>
    <w:p>
      <w:pPr>
        <w:pStyle w:val="null3"/>
        <w:jc w:val="both"/>
      </w:pPr>
      <w:r>
        <w:rPr>
          <w:sz w:val="21"/>
        </w:rPr>
        <w:t>（2））洗眼量：＞6L/min。</w:t>
      </w:r>
    </w:p>
    <w:p>
      <w:pPr>
        <w:pStyle w:val="null3"/>
        <w:jc w:val="both"/>
      </w:pPr>
      <w:r>
        <w:rPr>
          <w:sz w:val="21"/>
        </w:rPr>
        <w:t>（3）耐污染性能：同一份检测报告需包含40.0%氢氟酸（GR）、冰醋酸（AR）、48%氢溴酸（GR）、50%氟硼酸、氨水（氢氧化铵）（AR）、氢氧化钙（AR）、氢氧化钾（AR，≥85.0%）、L-组氨酸盐一水化合物（≥98. 0%）、次氯酸钠（AR）、碘酸钾（AR，99.8%）、高碘酸钾（AR，99.8%）、环己烷（AR，≥99.5%）、甲苯（AR，≥99.5%）、三氯乙烯（99.9%）、1,2-丙二醇（≥99. 0%）、1-乙氧基-2-丙醇（99%）、糠醛（呋喃甲叉）（AR，99%）、桃醛（0.98）、丙二醇甲醚（≥99.5%）、丙酮（AR，≥99.5%）、2,4,5-三氯苯胺（≥98.0%）、N,N-二甲基甲酰胺（AR，≥99.5%）、苯胺黑（水溶）、丙烯腈（分析纯）等至少150种有机、无机试剂，耐污染接触时间≥48h，覆盖/未覆盖玻璃盖板，检验结果均为5级（无明显变化）。1.抗菌性：依据JC/T 897-2014标准，要求≥14种细菌的检测，检测值≥99.99%（菌种包括粘质沙雷氏菌、鼠伤寒沙门氏菌、恶臭假单胞菌、鲍曼不动杆菌）。</w:t>
      </w:r>
    </w:p>
    <w:p>
      <w:pPr>
        <w:pStyle w:val="null3"/>
      </w:pPr>
      <w:r>
        <w:rPr>
          <w:sz w:val="21"/>
        </w:rPr>
        <w:t>（4））</w:t>
      </w:r>
      <w:r>
        <w:rPr>
          <w:sz w:val="21"/>
        </w:rPr>
        <w:t>金属污染物析出：砷＜</w:t>
      </w:r>
      <w:r>
        <w:rPr>
          <w:sz w:val="21"/>
        </w:rPr>
        <w:t>1.0</w:t>
      </w:r>
      <w:r>
        <w:rPr>
          <w:sz w:val="21"/>
        </w:rPr>
        <w:t>μ</w:t>
      </w:r>
      <w:r>
        <w:rPr>
          <w:sz w:val="21"/>
        </w:rPr>
        <w:t>g/L</w:t>
      </w:r>
      <w:r>
        <w:rPr>
          <w:sz w:val="21"/>
        </w:rPr>
        <w:t>，钡＜</w:t>
      </w:r>
      <w:r>
        <w:rPr>
          <w:sz w:val="21"/>
        </w:rPr>
        <w:t>200</w:t>
      </w:r>
      <w:r>
        <w:rPr>
          <w:sz w:val="21"/>
        </w:rPr>
        <w:t>μ</w:t>
      </w:r>
      <w:r>
        <w:rPr>
          <w:sz w:val="21"/>
        </w:rPr>
        <w:t>g/L</w:t>
      </w:r>
      <w:r>
        <w:rPr>
          <w:sz w:val="21"/>
        </w:rPr>
        <w:t>，硼＜</w:t>
      </w:r>
      <w:r>
        <w:rPr>
          <w:sz w:val="21"/>
        </w:rPr>
        <w:t>500</w:t>
      </w:r>
      <w:r>
        <w:rPr>
          <w:sz w:val="21"/>
        </w:rPr>
        <w:t>μ</w:t>
      </w:r>
      <w:r>
        <w:rPr>
          <w:sz w:val="21"/>
        </w:rPr>
        <w:t>g/L</w:t>
      </w:r>
      <w:r>
        <w:rPr>
          <w:sz w:val="21"/>
        </w:rPr>
        <w:t>、镉＜</w:t>
      </w:r>
      <w:r>
        <w:rPr>
          <w:sz w:val="21"/>
        </w:rPr>
        <w:t>0.5</w:t>
      </w:r>
      <w:r>
        <w:rPr>
          <w:sz w:val="21"/>
        </w:rPr>
        <w:t>μ</w:t>
      </w:r>
      <w:r>
        <w:rPr>
          <w:sz w:val="21"/>
        </w:rPr>
        <w:t>g/L</w:t>
      </w:r>
      <w:r>
        <w:rPr>
          <w:sz w:val="21"/>
        </w:rPr>
        <w:t>、锰＜</w:t>
      </w:r>
      <w:r>
        <w:rPr>
          <w:sz w:val="21"/>
        </w:rPr>
        <w:t>30.0</w:t>
      </w:r>
      <w:r>
        <w:rPr>
          <w:sz w:val="21"/>
        </w:rPr>
        <w:t>μ</w:t>
      </w:r>
      <w:r>
        <w:rPr>
          <w:sz w:val="21"/>
        </w:rPr>
        <w:t>g/L</w:t>
      </w:r>
      <w:r>
        <w:rPr>
          <w:sz w:val="21"/>
        </w:rPr>
        <w:t>、钼＜</w:t>
      </w:r>
      <w:r>
        <w:rPr>
          <w:sz w:val="21"/>
        </w:rPr>
        <w:t>4.0</w:t>
      </w:r>
      <w:r>
        <w:rPr>
          <w:sz w:val="21"/>
        </w:rPr>
        <w:t>μ</w:t>
      </w:r>
      <w:r>
        <w:rPr>
          <w:sz w:val="21"/>
        </w:rPr>
        <w:t>g/L</w:t>
      </w:r>
      <w:r>
        <w:rPr>
          <w:sz w:val="21"/>
        </w:rPr>
        <w:t>，锑、铍、铬、六价铬、铜、汞、硒、铊、铋、镍等均未检出，符合标准要求。</w:t>
      </w:r>
    </w:p>
    <w:p>
      <w:pPr>
        <w:pStyle w:val="null3"/>
        <w:jc w:val="both"/>
      </w:pPr>
      <w:r>
        <w:rPr>
          <w:sz w:val="21"/>
          <w:shd w:fill="FFFFFF" w:val="clear"/>
        </w:rPr>
        <w:t>6</w:t>
      </w:r>
      <w:r>
        <w:rPr>
          <w:sz w:val="21"/>
          <w:shd w:fill="FFFFFF" w:val="clear"/>
        </w:rPr>
        <w:t>）</w:t>
      </w:r>
      <w:r>
        <w:rPr>
          <w:sz w:val="21"/>
          <w:b/>
          <w:shd w:fill="FFFFFF" w:val="clear"/>
        </w:rPr>
        <w:t>通风柜</w:t>
      </w:r>
    </w:p>
    <w:p>
      <w:pPr>
        <w:pStyle w:val="null3"/>
        <w:jc w:val="both"/>
      </w:pPr>
      <w:r>
        <w:rPr>
          <w:sz w:val="21"/>
        </w:rPr>
        <w:t>（1）台面：台面选用成品厚度≥25mm 理化板台面。耐磨抗酸碱；</w:t>
      </w:r>
    </w:p>
    <w:p>
      <w:pPr>
        <w:pStyle w:val="null3"/>
        <w:jc w:val="both"/>
      </w:pPr>
      <w:r>
        <w:rPr>
          <w:sz w:val="21"/>
        </w:rPr>
        <w:t>（2）主体框架：采用≥1.0mm 厚优质冷轧钢板,经过激光数控切割及数控折弯成型焊接而成,焊接部分打磨、抛光，平滑过渡处理，焊点无毛刺漏焊。表面采用环氧树脂粉末静电喷涂,防腐处理，强吸附、抗酸碱；</w:t>
      </w:r>
    </w:p>
    <w:p>
      <w:pPr>
        <w:pStyle w:val="null3"/>
        <w:jc w:val="both"/>
      </w:pPr>
      <w:r>
        <w:rPr>
          <w:sz w:val="21"/>
        </w:rPr>
        <w:t>（3）内衬板：为耐腐蚀的抗倍特板。</w:t>
      </w:r>
    </w:p>
    <w:p>
      <w:pPr>
        <w:pStyle w:val="null3"/>
        <w:jc w:val="both"/>
      </w:pPr>
      <w:r>
        <w:rPr>
          <w:sz w:val="21"/>
        </w:rPr>
        <w:t>（4）视窗：采用铝合金材质与6mm钢化安全玻璃 ,安全移门与前顶面板之间设有边框式固定，方便工作人员操作及柜体内的观察；安全移门升降灵活自由，可以停留在任意位置，有橡胶缓冲限位装置；</w:t>
      </w:r>
    </w:p>
    <w:p>
      <w:pPr>
        <w:pStyle w:val="null3"/>
        <w:jc w:val="both"/>
      </w:pPr>
      <w:r>
        <w:rPr>
          <w:sz w:val="21"/>
        </w:rPr>
        <w:t>（5）视窗框架及轨道：采用≥1.2mm 厚铝合金一体成型经环氧树脂粉体静电烤漆处理制作四面包夹玻璃。调节门左右安装防腐蚀尼龙静音皮带，内附钢丝确保安全耐用，皮带需完全隐藏于轨道内，上下拉动时不与轨道磨擦以确保皮带安全，并避免化学腐蚀问题；表面经环氧树脂粉体静电烤漆处理。</w:t>
      </w:r>
    </w:p>
    <w:p>
      <w:pPr>
        <w:pStyle w:val="null3"/>
        <w:spacing w:before="255" w:after="255"/>
        <w:jc w:val="both"/>
        <w:outlineLvl w:val="1"/>
      </w:pPr>
      <w:r>
        <w:rPr>
          <w:sz w:val="21"/>
          <w:b/>
        </w:rPr>
        <w:t>7</w:t>
      </w:r>
      <w:r>
        <w:rPr>
          <w:sz w:val="21"/>
          <w:b/>
        </w:rPr>
        <w:t>）不锈钢台</w:t>
      </w:r>
    </w:p>
    <w:p>
      <w:pPr>
        <w:pStyle w:val="null3"/>
        <w:jc w:val="both"/>
      </w:pPr>
      <w:r>
        <w:rPr>
          <w:sz w:val="21"/>
        </w:rPr>
        <w:t>（1）</w:t>
      </w:r>
      <w:r>
        <w:rPr>
          <w:sz w:val="21"/>
        </w:rPr>
        <w:t>1.00mm</w:t>
      </w:r>
      <w:r>
        <w:rPr>
          <w:sz w:val="21"/>
        </w:rPr>
        <w:t>厚</w:t>
      </w:r>
      <w:r>
        <w:rPr>
          <w:sz w:val="21"/>
        </w:rPr>
        <w:t>304#</w:t>
      </w:r>
      <w:r>
        <w:rPr>
          <w:sz w:val="21"/>
        </w:rPr>
        <w:t>不锈钢结构</w:t>
      </w:r>
      <w:r>
        <w:rPr>
          <w:sz w:val="21"/>
        </w:rPr>
        <w:t>，</w:t>
      </w:r>
      <w:r>
        <w:rPr>
          <w:sz w:val="21"/>
        </w:rPr>
        <w:t>带柜体及抽屉</w:t>
      </w:r>
      <w:r>
        <w:rPr>
          <w:sz w:val="21"/>
        </w:rPr>
        <w:t>，</w:t>
      </w:r>
      <w:r>
        <w:rPr>
          <w:sz w:val="21"/>
        </w:rPr>
        <w:t>304</w:t>
      </w:r>
      <w:r>
        <w:rPr>
          <w:sz w:val="21"/>
        </w:rPr>
        <w:t>不锈钢</w:t>
      </w:r>
      <w:r>
        <w:rPr>
          <w:sz w:val="21"/>
        </w:rPr>
        <w:t>五金配件。</w:t>
      </w:r>
    </w:p>
    <w:p>
      <w:pPr>
        <w:pStyle w:val="null3"/>
        <w:jc w:val="both"/>
      </w:pPr>
      <w:r>
        <w:rPr>
          <w:sz w:val="21"/>
          <w:b/>
          <w:shd w:fill="FFFFFF" w:val="clear"/>
        </w:rPr>
        <w:t>8</w:t>
      </w:r>
      <w:r>
        <w:rPr>
          <w:sz w:val="21"/>
          <w:b/>
          <w:shd w:fill="FFFFFF" w:val="clear"/>
        </w:rPr>
        <w:t>）茶水台</w:t>
      </w:r>
    </w:p>
    <w:p>
      <w:pPr>
        <w:pStyle w:val="null3"/>
        <w:jc w:val="both"/>
      </w:pPr>
      <w:r>
        <w:rPr>
          <w:sz w:val="21"/>
          <w:shd w:fill="FFFFFF" w:val="clear"/>
        </w:rPr>
        <w:t>（1）</w:t>
      </w:r>
      <w:r>
        <w:rPr>
          <w:sz w:val="21"/>
          <w:shd w:fill="FFFFFF" w:val="clear"/>
        </w:rPr>
        <w:t>麻石柜身、石英石台面 含</w:t>
      </w:r>
      <w:r>
        <w:rPr>
          <w:sz w:val="21"/>
          <w:shd w:fill="FFFFFF" w:val="clear"/>
        </w:rPr>
        <w:t>304</w:t>
      </w:r>
      <w:r>
        <w:rPr>
          <w:sz w:val="21"/>
          <w:shd w:fill="FFFFFF" w:val="clear"/>
        </w:rPr>
        <w:t>不锈钢水盆、</w:t>
      </w:r>
      <w:r>
        <w:rPr>
          <w:sz w:val="21"/>
          <w:shd w:fill="FFFFFF" w:val="clear"/>
        </w:rPr>
        <w:t>304</w:t>
      </w:r>
      <w:r>
        <w:rPr>
          <w:sz w:val="21"/>
          <w:shd w:fill="FFFFFF" w:val="clear"/>
        </w:rPr>
        <w:t>水龙头</w:t>
      </w:r>
      <w:r>
        <w:rPr>
          <w:sz w:val="21"/>
          <w:shd w:fill="FFFFFF" w:val="clear"/>
        </w:rPr>
        <w:t>，</w:t>
      </w:r>
      <w:r>
        <w:rPr>
          <w:sz w:val="21"/>
          <w:shd w:fill="FFFFFF" w:val="clear"/>
        </w:rPr>
        <w:t>E1</w:t>
      </w:r>
      <w:r>
        <w:rPr>
          <w:sz w:val="21"/>
          <w:shd w:fill="FFFFFF" w:val="clear"/>
        </w:rPr>
        <w:t>级优质中纤板</w:t>
      </w:r>
      <w:r>
        <w:rPr>
          <w:sz w:val="21"/>
          <w:shd w:fill="FFFFFF" w:val="clear"/>
        </w:rPr>
        <w:t>3205MM</w:t>
      </w:r>
      <w:r>
        <w:rPr>
          <w:sz w:val="21"/>
          <w:shd w:fill="FFFFFF" w:val="clear"/>
        </w:rPr>
        <w:t>吊柜、优质五金配件</w:t>
      </w:r>
      <w:r>
        <w:rPr>
          <w:sz w:val="21"/>
          <w:shd w:fill="FFFFFF" w:val="clear"/>
        </w:rPr>
        <w:t>。</w:t>
      </w:r>
    </w:p>
    <w:p>
      <w:pPr>
        <w:pStyle w:val="null3"/>
        <w:jc w:val="both"/>
      </w:pPr>
      <w:r>
        <w:rPr>
          <w:sz w:val="21"/>
          <w:shd w:fill="FFFFFF" w:val="clear"/>
        </w:rPr>
        <w:t>9</w:t>
      </w:r>
      <w:r>
        <w:rPr>
          <w:sz w:val="21"/>
          <w:shd w:fill="FFFFFF" w:val="clear"/>
        </w:rPr>
        <w:t>）</w:t>
      </w:r>
      <w:r>
        <w:rPr>
          <w:sz w:val="21"/>
          <w:shd w:fill="FFFFFF" w:val="clear"/>
        </w:rPr>
        <w:t>休闲桌椅</w:t>
      </w:r>
    </w:p>
    <w:p>
      <w:pPr>
        <w:pStyle w:val="null3"/>
        <w:jc w:val="both"/>
      </w:pPr>
      <w:r>
        <w:rPr>
          <w:sz w:val="21"/>
          <w:shd w:fill="FFFFFF" w:val="clear"/>
        </w:rPr>
        <w:t>（1）仿大理石纹桌面，</w:t>
      </w:r>
      <w:r>
        <w:rPr>
          <w:sz w:val="21"/>
          <w:shd w:fill="FFFFFF" w:val="clear"/>
        </w:rPr>
        <w:t>填充高密度原生海绵</w:t>
      </w:r>
      <w:r>
        <w:rPr>
          <w:sz w:val="21"/>
          <w:shd w:fill="FFFFFF" w:val="clear"/>
        </w:rPr>
        <w:t>椅</w:t>
      </w:r>
      <w:r>
        <w:rPr>
          <w:sz w:val="21"/>
          <w:shd w:fill="FFFFFF" w:val="clear"/>
        </w:rPr>
        <w:t>,PU</w:t>
      </w:r>
      <w:r>
        <w:rPr>
          <w:sz w:val="21"/>
          <w:shd w:fill="FFFFFF" w:val="clear"/>
        </w:rPr>
        <w:t>皮</w:t>
      </w:r>
      <w:r>
        <w:rPr>
          <w:sz w:val="21"/>
          <w:shd w:fill="FFFFFF" w:val="clear"/>
        </w:rPr>
        <w:t>,</w:t>
      </w:r>
      <w:r>
        <w:rPr>
          <w:sz w:val="21"/>
          <w:shd w:fill="FFFFFF" w:val="clear"/>
        </w:rPr>
        <w:t>可背靠</w:t>
      </w:r>
      <w:r>
        <w:rPr>
          <w:sz w:val="21"/>
          <w:shd w:fill="FFFFFF" w:val="clear"/>
        </w:rPr>
        <w:t>。</w:t>
      </w:r>
    </w:p>
    <w:p>
      <w:pPr>
        <w:pStyle w:val="null3"/>
        <w:jc w:val="both"/>
      </w:pPr>
      <w:r>
        <w:rPr>
          <w:sz w:val="21"/>
          <w:shd w:fill="FFFFFF" w:val="clear"/>
        </w:rPr>
        <w:t>10</w:t>
      </w:r>
      <w:r>
        <w:rPr>
          <w:sz w:val="21"/>
          <w:shd w:fill="FFFFFF" w:val="clear"/>
        </w:rPr>
        <w:t>）</w:t>
      </w:r>
      <w:r>
        <w:rPr>
          <w:sz w:val="21"/>
          <w:shd w:fill="FFFFFF" w:val="clear"/>
        </w:rPr>
        <w:t>实验凳</w:t>
      </w:r>
    </w:p>
    <w:p>
      <w:pPr>
        <w:pStyle w:val="null3"/>
        <w:ind w:left="1140"/>
        <w:jc w:val="both"/>
      </w:pPr>
      <w:r>
        <w:rPr>
          <w:sz w:val="21"/>
          <w:shd w:fill="FFFFFF" w:val="clear"/>
        </w:rPr>
        <w:t xml:space="preserve">（1）  </w:t>
      </w:r>
      <w:r>
        <w:rPr>
          <w:sz w:val="21"/>
          <w:shd w:fill="FFFFFF" w:val="clear"/>
        </w:rPr>
        <w:t>1</w:t>
      </w:r>
      <w:r>
        <w:rPr>
          <w:sz w:val="21"/>
          <w:shd w:fill="FFFFFF" w:val="clear"/>
        </w:rPr>
        <w:t>、尺寸</w:t>
      </w:r>
      <w:r>
        <w:rPr>
          <w:sz w:val="21"/>
          <w:shd w:fill="FFFFFF" w:val="clear"/>
        </w:rPr>
        <w:t>:</w:t>
      </w:r>
      <w:r>
        <w:rPr>
          <w:sz w:val="21"/>
          <w:shd w:fill="FFFFFF" w:val="clear"/>
        </w:rPr>
        <w:t>≥</w:t>
      </w:r>
      <w:r>
        <w:rPr>
          <w:sz w:val="21"/>
          <w:shd w:fill="FFFFFF" w:val="clear"/>
        </w:rPr>
        <w:t>280mm</w:t>
      </w:r>
      <w:r>
        <w:rPr>
          <w:sz w:val="21"/>
          <w:shd w:fill="FFFFFF" w:val="clear"/>
        </w:rPr>
        <w:t>，</w:t>
      </w:r>
      <w:r>
        <w:rPr>
          <w:sz w:val="21"/>
          <w:shd w:fill="FFFFFF" w:val="clear"/>
        </w:rPr>
        <w:t>304</w:t>
      </w:r>
      <w:r>
        <w:rPr>
          <w:sz w:val="21"/>
          <w:shd w:fill="FFFFFF" w:val="clear"/>
        </w:rPr>
        <w:t>不锈钢凳面</w:t>
      </w:r>
      <w:r>
        <w:rPr>
          <w:sz w:val="21"/>
          <w:shd w:fill="FFFFFF" w:val="clear"/>
        </w:rPr>
        <w:t>,</w:t>
      </w:r>
      <w:r>
        <w:rPr>
          <w:sz w:val="21"/>
          <w:shd w:fill="FFFFFF" w:val="clear"/>
        </w:rPr>
        <w:t>气动升降、带皮套</w:t>
      </w:r>
      <w:r>
        <w:rPr>
          <w:sz w:val="21"/>
          <w:shd w:fill="FFFFFF" w:val="clear"/>
        </w:rPr>
        <w:t>，</w:t>
      </w:r>
      <w:r>
        <w:rPr>
          <w:sz w:val="21"/>
          <w:shd w:fill="FFFFFF" w:val="clear"/>
        </w:rPr>
        <w:t>带靠背</w:t>
      </w:r>
      <w:r>
        <w:rPr>
          <w:sz w:val="21"/>
          <w:shd w:fill="FFFFFF" w:val="clear"/>
        </w:rPr>
        <w:t>。</w:t>
      </w:r>
    </w:p>
    <w:p>
      <w:pPr>
        <w:pStyle w:val="null3"/>
        <w:jc w:val="both"/>
      </w:pPr>
      <w:r>
        <w:rPr>
          <w:sz w:val="21"/>
          <w:shd w:fill="FFFFFF" w:val="clear"/>
        </w:rPr>
        <w:t>12. PVC</w:t>
      </w:r>
      <w:r>
        <w:rPr>
          <w:sz w:val="21"/>
          <w:shd w:fill="FFFFFF" w:val="clear"/>
        </w:rPr>
        <w:t>地板胶地面</w:t>
      </w:r>
    </w:p>
    <w:p>
      <w:pPr>
        <w:pStyle w:val="null3"/>
        <w:ind w:firstLine="420"/>
        <w:jc w:val="both"/>
      </w:pPr>
      <w:r>
        <w:rPr>
          <w:sz w:val="21"/>
        </w:rPr>
        <w:t>（1）</w:t>
      </w:r>
      <w:r>
        <w:rPr>
          <w:sz w:val="21"/>
        </w:rPr>
        <w:t>1.</w:t>
      </w:r>
      <w:r>
        <w:rPr>
          <w:sz w:val="21"/>
        </w:rPr>
        <w:t>实验室专用PVC 卷材无缝焊接耐腐蚀、耐磨塑胶地面，接缝焊接成一体，耐腐蚀、易清洁，厚度≥2.0mm，地面与墙体采用R≥50mm 的圆弧连接，产品规格：≥2m（宽度）*20m（长度）*2.0mm（厚度），产品耐磨等级： T 级，产品重量：≥2750克/平方，防干滑性：≥0.3，残留凹陷度：约等于 0.04MM，防湿滑性：R9，产品尺寸稳定性：≤0.04%，消音率：Approx.4dB，轮压测试：No damage，该产品 VOC 排放量小于 0.5 毫克/立方米，抗菌，无毒无害，该产品为环保产品，防火性能，防静电性能，产品色牢度，柔韧性优越。</w:t>
      </w:r>
    </w:p>
    <w:p>
      <w:pPr>
        <w:pStyle w:val="null3"/>
        <w:jc w:val="both"/>
      </w:pPr>
      <w:r>
        <w:rPr>
          <w:sz w:val="21"/>
          <w:shd w:fill="FFFFFF" w:val="clear"/>
        </w:rPr>
        <w:t xml:space="preserve">13. </w:t>
      </w:r>
      <w:r>
        <w:rPr>
          <w:sz w:val="21"/>
          <w:shd w:fill="FFFFFF" w:val="clear"/>
        </w:rPr>
        <w:t>地面砖</w:t>
      </w:r>
    </w:p>
    <w:p>
      <w:pPr>
        <w:pStyle w:val="null3"/>
        <w:jc w:val="both"/>
      </w:pPr>
      <w:r>
        <w:rPr>
          <w:sz w:val="21"/>
          <w:shd w:fill="FFFFFF" w:val="clear"/>
        </w:rPr>
        <w:t>（1）采用800*800mm/600*600mm，地面砖材料要求，</w:t>
      </w:r>
      <w:r>
        <w:rPr>
          <w:sz w:val="21"/>
          <w:shd w:fill="FFFFFF" w:val="clear"/>
        </w:rPr>
        <w:t>铺贴抛光砖，砂浆配合比</w:t>
      </w:r>
      <w:r>
        <w:rPr>
          <w:sz w:val="21"/>
          <w:shd w:fill="FFFFFF" w:val="clear"/>
        </w:rPr>
        <w:t>:20mm</w:t>
      </w:r>
      <w:r>
        <w:rPr>
          <w:sz w:val="21"/>
          <w:shd w:fill="FFFFFF" w:val="clear"/>
        </w:rPr>
        <w:t>厚</w:t>
      </w:r>
      <w:r>
        <w:rPr>
          <w:sz w:val="21"/>
          <w:shd w:fill="FFFFFF" w:val="clear"/>
        </w:rPr>
        <w:t>1:2</w:t>
      </w:r>
      <w:r>
        <w:rPr>
          <w:sz w:val="21"/>
          <w:shd w:fill="FFFFFF" w:val="clear"/>
        </w:rPr>
        <w:t>预拌水泥砂浆，抛光砖面美缝</w:t>
      </w:r>
      <w:r>
        <w:rPr>
          <w:sz w:val="21"/>
          <w:shd w:fill="FFFFFF" w:val="clear"/>
        </w:rPr>
        <w:t>，抗压抗折强度及规格尺寸符合设计要求，颜色一致，表面平整，无凹凸不平和翘曲现象。</w:t>
      </w:r>
    </w:p>
    <w:p>
      <w:pPr>
        <w:pStyle w:val="null3"/>
        <w:jc w:val="both"/>
      </w:pPr>
      <w:r>
        <w:rPr>
          <w:sz w:val="21"/>
          <w:shd w:fill="FFFFFF" w:val="clear"/>
        </w:rPr>
        <w:t xml:space="preserve">14. </w:t>
      </w:r>
      <w:r>
        <w:rPr>
          <w:sz w:val="21"/>
          <w:shd w:fill="FFFFFF" w:val="clear"/>
        </w:rPr>
        <w:t>成品装饰线条;采用5mm铝合金收边条.</w:t>
      </w:r>
    </w:p>
    <w:p>
      <w:pPr>
        <w:pStyle w:val="null3"/>
        <w:jc w:val="both"/>
      </w:pPr>
      <w:r>
        <w:rPr>
          <w:sz w:val="21"/>
          <w:shd w:fill="FFFFFF" w:val="clear"/>
        </w:rPr>
        <w:t xml:space="preserve">15. </w:t>
      </w:r>
      <w:r>
        <w:rPr>
          <w:sz w:val="21"/>
          <w:shd w:fill="FFFFFF" w:val="clear"/>
        </w:rPr>
        <w:t>彩钢板隔墙</w:t>
      </w:r>
    </w:p>
    <w:p>
      <w:pPr>
        <w:pStyle w:val="null3"/>
        <w:ind w:firstLine="420"/>
        <w:jc w:val="both"/>
      </w:pPr>
      <w:r>
        <w:rPr>
          <w:sz w:val="21"/>
          <w:shd w:fill="FFFFFF" w:val="clear"/>
        </w:rPr>
        <w:t>(1)</w:t>
      </w:r>
      <w:r>
        <w:rPr>
          <w:sz w:val="21"/>
          <w:shd w:fill="FFFFFF" w:val="clear"/>
        </w:rPr>
        <w:t>中</w:t>
      </w:r>
      <w:r>
        <w:rPr>
          <w:sz w:val="21"/>
          <w:shd w:fill="FFFFFF" w:val="clear"/>
        </w:rPr>
        <w:t>空玻镁机制</w:t>
      </w:r>
      <w:r>
        <w:rPr>
          <w:sz w:val="21"/>
          <w:shd w:fill="FFFFFF" w:val="clear"/>
        </w:rPr>
        <w:t>彩钢板总厚度≧50mm；所有缝隙用密封胶密封；彩钢板表面钢板厚度≧0.426mm；壁板四周采用镀锌板钢骨架；壁板之间连接采用铝型材插接方式；板与板之间的缝隙小于3mm；</w:t>
      </w:r>
    </w:p>
    <w:p>
      <w:pPr>
        <w:pStyle w:val="null3"/>
        <w:ind w:firstLine="420"/>
        <w:jc w:val="both"/>
      </w:pPr>
      <w:r>
        <w:rPr>
          <w:sz w:val="21"/>
          <w:shd w:fill="FFFFFF" w:val="clear"/>
        </w:rPr>
        <w:t>▲(2)</w:t>
      </w:r>
      <w:r>
        <w:rPr>
          <w:sz w:val="21"/>
          <w:shd w:fill="FFFFFF" w:val="clear"/>
        </w:rPr>
        <w:t>1.7</w:t>
      </w:r>
      <w:r>
        <w:rPr>
          <w:sz w:val="21"/>
          <w:shd w:fill="FFFFFF" w:val="clear"/>
        </w:rPr>
        <w:t>彩钢板间隔优质铝架驳接式，玻镁彩钢板局部安装采用M型铝合金主立柱，</w:t>
      </w:r>
      <w:r>
        <w:rPr>
          <w:sz w:val="21"/>
          <w:shd w:fill="FFFFFF" w:val="clear"/>
        </w:rPr>
        <w:t>基于国标GB/T 3325-2024检测，“M”型立柱加强；厚度均为≥1.5mm；表面均有防滑凹槽经环氧树脂静电喷涂，耐腐蚀、耐酸碱</w:t>
      </w:r>
      <w:r>
        <w:rPr>
          <w:sz w:val="21"/>
          <w:shd w:fill="FFFFFF" w:val="clear"/>
        </w:rPr>
        <w:t>1.8</w:t>
      </w:r>
      <w:r>
        <w:rPr>
          <w:sz w:val="21"/>
          <w:shd w:fill="FFFFFF" w:val="clear"/>
        </w:rPr>
        <w:t>壁板底部连接方式为铝方通与铝制U型插接件配合连接，便于调整不平整地面的高度调节；墙面与地面平滑连接无凸起；墙体顶部交叉处采用三维空间球连接</w:t>
      </w:r>
    </w:p>
    <w:p>
      <w:pPr>
        <w:pStyle w:val="null3"/>
        <w:ind w:firstLine="420"/>
        <w:jc w:val="both"/>
      </w:pPr>
      <w:r>
        <w:rPr>
          <w:sz w:val="21"/>
          <w:shd w:fill="FFFFFF" w:val="clear"/>
        </w:rPr>
        <w:t>(3)</w:t>
      </w:r>
      <w:r>
        <w:rPr>
          <w:sz w:val="21"/>
          <w:shd w:fill="FFFFFF" w:val="clear"/>
        </w:rPr>
        <w:t>板安装壁板应垂直，立缝要靠紧、均匀，转角板转角处的连接应整齐一致。水平、垂直方向均应成直线，无明显错位。连接处不得出现明显凹陷，室内包角边连接后不得出现波浪形翘曲，组立壁板的同时配合好电气暗敷管线及箱盒安装；</w:t>
      </w:r>
    </w:p>
    <w:p>
      <w:pPr>
        <w:pStyle w:val="null3"/>
        <w:ind w:firstLine="420"/>
        <w:jc w:val="left"/>
      </w:pPr>
      <w:r>
        <w:rPr>
          <w:sz w:val="21"/>
          <w:shd w:fill="FFFFFF" w:val="clear"/>
        </w:rPr>
        <w:t>(4)</w:t>
      </w:r>
      <w:r>
        <w:rPr>
          <w:sz w:val="21"/>
          <w:shd w:fill="FFFFFF" w:val="clear"/>
        </w:rPr>
        <w:t>中空玻镁机制彩钢板尺寸</w:t>
      </w:r>
      <w:r>
        <w:rPr>
          <w:sz w:val="21"/>
          <w:shd w:fill="FFFFFF" w:val="clear"/>
        </w:rPr>
        <w:t>≥</w:t>
      </w:r>
      <w:r>
        <w:rPr>
          <w:sz w:val="21"/>
          <w:shd w:fill="FFFFFF" w:val="clear"/>
        </w:rPr>
        <w:t>1150mm</w:t>
      </w:r>
      <w:r>
        <w:rPr>
          <w:sz w:val="21"/>
          <w:shd w:fill="FFFFFF" w:val="clear"/>
        </w:rPr>
        <w:t>；防火级别高，不易燃，材质坚硬，不容易变形。所有墙体与吊顶、墙体与墙体的拐角均为圆弧连接，1.1mm 厚的铝合金连接，圆弧R≥50mm。</w:t>
      </w:r>
    </w:p>
    <w:p>
      <w:pPr>
        <w:pStyle w:val="null3"/>
        <w:ind w:firstLine="420"/>
        <w:jc w:val="both"/>
      </w:pPr>
      <w:r>
        <w:rPr>
          <w:sz w:val="21"/>
          <w:shd w:fill="FFFFFF" w:val="clear"/>
        </w:rPr>
        <w:t>(5)</w:t>
      </w:r>
      <w:r>
        <w:rPr>
          <w:sz w:val="21"/>
          <w:shd w:fill="FFFFFF" w:val="clear"/>
        </w:rPr>
        <w:t>玻镁彩钢板属于A1级防火材料。</w:t>
      </w:r>
    </w:p>
    <w:p>
      <w:pPr>
        <w:pStyle w:val="null3"/>
        <w:jc w:val="both"/>
      </w:pPr>
      <w:r>
        <w:rPr>
          <w:sz w:val="21"/>
          <w:shd w:fill="FFFFFF" w:val="clear"/>
        </w:rPr>
        <w:t>16.</w:t>
      </w:r>
      <w:r>
        <w:rPr>
          <w:sz w:val="21"/>
          <w:shd w:fill="FFFFFF" w:val="clear"/>
        </w:rPr>
        <w:t>轻钢龙骨轻质隔墙</w:t>
      </w:r>
    </w:p>
    <w:p>
      <w:pPr>
        <w:pStyle w:val="null3"/>
        <w:ind w:firstLine="420"/>
        <w:jc w:val="both"/>
      </w:pPr>
      <w:r>
        <w:rPr>
          <w:sz w:val="21"/>
          <w:shd w:fill="FFFFFF" w:val="clear"/>
        </w:rPr>
        <w:t>(1)</w:t>
      </w:r>
      <w:r>
        <w:rPr>
          <w:sz w:val="21"/>
          <w:shd w:fill="FFFFFF" w:val="clear"/>
        </w:rPr>
        <w:t>硅钙板隔墙9mm硅钙板(双面)，龙骨:75型隔墙轻钢龙骨；内含隔音棉。乳胶漆刷白,</w:t>
      </w:r>
      <w:r>
        <w:rPr>
          <w:sz w:val="21"/>
          <w:shd w:fill="FFFFFF" w:val="clear"/>
        </w:rPr>
        <w:t>100</w:t>
      </w:r>
      <w:r>
        <w:rPr>
          <w:sz w:val="21"/>
          <w:shd w:fill="FFFFFF" w:val="clear"/>
        </w:rPr>
        <w:t>系列铝合金包框玻璃隔断</w:t>
      </w:r>
      <w:r>
        <w:rPr>
          <w:sz w:val="21"/>
          <w:shd w:fill="FFFFFF" w:val="clear"/>
        </w:rPr>
        <w:t>墙</w:t>
      </w:r>
      <w:r>
        <w:rPr>
          <w:sz w:val="21"/>
          <w:shd w:fill="FFFFFF" w:val="clear"/>
        </w:rPr>
        <w:t>,100</w:t>
      </w:r>
      <w:r>
        <w:rPr>
          <w:sz w:val="21"/>
          <w:shd w:fill="FFFFFF" w:val="clear"/>
        </w:rPr>
        <w:t>系列铝合金框</w:t>
      </w:r>
      <w:r>
        <w:rPr>
          <w:sz w:val="21"/>
          <w:shd w:fill="FFFFFF" w:val="clear"/>
        </w:rPr>
        <w:t>；</w:t>
      </w:r>
      <w:r>
        <w:rPr>
          <w:sz w:val="21"/>
          <w:shd w:fill="FFFFFF" w:val="clear"/>
        </w:rPr>
        <w:t xml:space="preserve"> 12</w:t>
      </w:r>
      <w:r>
        <w:rPr>
          <w:sz w:val="21"/>
          <w:shd w:fill="FFFFFF" w:val="clear"/>
        </w:rPr>
        <w:t>厘钢化玻璃</w:t>
      </w:r>
      <w:r>
        <w:rPr>
          <w:sz w:val="21"/>
          <w:shd w:fill="FFFFFF" w:val="clear"/>
        </w:rPr>
        <w:t>；不燃抗菌板</w:t>
      </w:r>
      <w:r>
        <w:rPr>
          <w:sz w:val="21"/>
          <w:shd w:fill="FFFFFF" w:val="clear"/>
        </w:rPr>
        <w:t>墙，</w:t>
      </w:r>
      <w:r>
        <w:rPr>
          <w:sz w:val="21"/>
          <w:shd w:fill="FFFFFF" w:val="clear"/>
        </w:rPr>
        <w:t>不燃抗菌板厚度：≥</w:t>
      </w:r>
      <w:r>
        <w:rPr>
          <w:sz w:val="21"/>
          <w:shd w:fill="FFFFFF" w:val="clear"/>
        </w:rPr>
        <w:t>4.0mm</w:t>
      </w:r>
      <w:r>
        <w:rPr>
          <w:sz w:val="21"/>
          <w:shd w:fill="FFFFFF" w:val="clear"/>
        </w:rPr>
        <w:t>；</w:t>
      </w:r>
    </w:p>
    <w:p>
      <w:pPr>
        <w:pStyle w:val="null3"/>
        <w:ind w:firstLine="420"/>
        <w:jc w:val="both"/>
      </w:pPr>
      <w:r>
        <w:rPr>
          <w:sz w:val="21"/>
          <w:shd w:fill="FFFFFF" w:val="clear"/>
        </w:rPr>
        <w:t>（2）</w:t>
      </w:r>
      <w:r>
        <w:rPr>
          <w:sz w:val="21"/>
          <w:shd w:fill="FFFFFF" w:val="clear"/>
        </w:rPr>
        <w:t>不燃抗菌板燃烧性能：燃烧性能达到建筑材料</w:t>
      </w:r>
      <w:r>
        <w:rPr>
          <w:sz w:val="21"/>
          <w:shd w:fill="FFFFFF" w:val="clear"/>
        </w:rPr>
        <w:t>B1</w:t>
      </w:r>
      <w:r>
        <w:rPr>
          <w:sz w:val="21"/>
          <w:shd w:fill="FFFFFF" w:val="clear"/>
        </w:rPr>
        <w:t>（</w:t>
      </w:r>
      <w:r>
        <w:rPr>
          <w:sz w:val="21"/>
          <w:shd w:fill="FFFFFF" w:val="clear"/>
        </w:rPr>
        <w:t>B-s1,d0</w:t>
      </w:r>
      <w:r>
        <w:rPr>
          <w:sz w:val="21"/>
          <w:shd w:fill="FFFFFF" w:val="clear"/>
        </w:rPr>
        <w:t>）级规定的要求；</w:t>
      </w:r>
    </w:p>
    <w:p>
      <w:pPr>
        <w:pStyle w:val="null3"/>
        <w:ind w:firstLine="420"/>
        <w:jc w:val="both"/>
      </w:pPr>
      <w:r>
        <w:rPr>
          <w:sz w:val="21"/>
          <w:shd w:fill="FFFFFF" w:val="clear"/>
        </w:rPr>
        <w:t>▲</w:t>
      </w:r>
      <w:r>
        <w:rPr>
          <w:sz w:val="21"/>
          <w:shd w:fill="FFFFFF" w:val="clear"/>
        </w:rPr>
        <w:t>（3）</w:t>
      </w:r>
      <w:r>
        <w:rPr>
          <w:sz w:val="21"/>
          <w:shd w:fill="FFFFFF" w:val="clear"/>
        </w:rPr>
        <w:t>不燃抗菌板甲醛释放量≤</w:t>
      </w:r>
      <w:r>
        <w:rPr>
          <w:sz w:val="21"/>
          <w:shd w:fill="FFFFFF" w:val="clear"/>
        </w:rPr>
        <w:t>0.01mg/m</w:t>
      </w:r>
      <w:r>
        <w:rPr>
          <w:sz w:val="21"/>
          <w:shd w:fill="FFFFFF" w:val="clear"/>
        </w:rPr>
        <w:t>³，可溶性重金属钴、锰、锶、铅、镉、汞、铝、铜、六价铬、一溴联苯、二溴联苯、六溴联苯、七溴联苯、一溴二苯醚、二溴二苯醚均未检出；</w:t>
      </w:r>
    </w:p>
    <w:p>
      <w:pPr>
        <w:pStyle w:val="null3"/>
        <w:ind w:firstLine="420"/>
        <w:jc w:val="both"/>
      </w:pPr>
      <w:r>
        <w:rPr>
          <w:sz w:val="21"/>
          <w:shd w:fill="FFFFFF" w:val="clear"/>
        </w:rPr>
        <w:t>（4）</w:t>
      </w:r>
      <w:r>
        <w:rPr>
          <w:sz w:val="21"/>
          <w:shd w:fill="FFFFFF" w:val="clear"/>
        </w:rPr>
        <w:t>不燃抗菌板通过巴西曲霉、球毛壳、绳状青霉、绿色木霉、出芽短梗霉等防霉测试</w:t>
      </w:r>
      <w:r>
        <w:rPr>
          <w:sz w:val="21"/>
          <w:shd w:fill="FFFFFF" w:val="clear"/>
        </w:rPr>
        <w:t>；</w:t>
      </w:r>
      <w:r>
        <w:rPr>
          <w:sz w:val="21"/>
          <w:shd w:fill="FFFFFF" w:val="clear"/>
        </w:rPr>
        <w:t>不燃抗菌板有害物质释放量符合要求；拼缝≤</w:t>
      </w:r>
      <w:r>
        <w:rPr>
          <w:sz w:val="21"/>
          <w:shd w:fill="FFFFFF" w:val="clear"/>
        </w:rPr>
        <w:t>2mm</w:t>
      </w:r>
      <w:r>
        <w:rPr>
          <w:sz w:val="21"/>
          <w:shd w:fill="FFFFFF" w:val="clear"/>
        </w:rPr>
        <w:t>，缝隙均匀；不燃抗菌板防火等级符合建筑材料</w:t>
      </w:r>
      <w:r>
        <w:rPr>
          <w:sz w:val="21"/>
          <w:shd w:fill="FFFFFF" w:val="clear"/>
        </w:rPr>
        <w:t>B1</w:t>
      </w:r>
      <w:r>
        <w:rPr>
          <w:sz w:val="21"/>
          <w:shd w:fill="FFFFFF" w:val="clear"/>
        </w:rPr>
        <w:t>（</w:t>
      </w:r>
      <w:r>
        <w:rPr>
          <w:sz w:val="21"/>
          <w:shd w:fill="FFFFFF" w:val="clear"/>
        </w:rPr>
        <w:t>B-s1,d0</w:t>
      </w:r>
      <w:r>
        <w:rPr>
          <w:sz w:val="21"/>
          <w:shd w:fill="FFFFFF" w:val="clear"/>
        </w:rPr>
        <w:t>）级规定的要求：</w:t>
      </w:r>
      <w:r>
        <w:rPr>
          <w:sz w:val="21"/>
          <w:shd w:fill="FFFFFF" w:val="clear"/>
        </w:rPr>
        <w:t>A</w:t>
      </w:r>
      <w:r>
        <w:rPr>
          <w:sz w:val="21"/>
          <w:shd w:fill="FFFFFF" w:val="clear"/>
        </w:rPr>
        <w:t>级；</w:t>
      </w:r>
      <w:r>
        <w:rPr>
          <w:sz w:val="21"/>
          <w:shd w:fill="FFFFFF" w:val="clear"/>
        </w:rPr>
        <w:t>耐光色牢度≥4级；弯曲强度≥130Mpa重金属含量可溶性铅、可溶性镉、可溶性铬、可溶性汞检测结果为未检出；</w:t>
      </w:r>
    </w:p>
    <w:p>
      <w:pPr>
        <w:pStyle w:val="null3"/>
        <w:jc w:val="both"/>
      </w:pPr>
      <w:r>
        <w:rPr>
          <w:sz w:val="21"/>
          <w:b/>
          <w:shd w:fill="FFFFFF" w:val="clear"/>
        </w:rPr>
        <w:t>17.</w:t>
      </w:r>
      <w:r>
        <w:rPr>
          <w:sz w:val="21"/>
          <w:b/>
          <w:shd w:fill="FFFFFF" w:val="clear"/>
        </w:rPr>
        <w:t>门窗</w:t>
      </w:r>
    </w:p>
    <w:p>
      <w:pPr>
        <w:pStyle w:val="null3"/>
        <w:ind w:firstLine="420"/>
        <w:jc w:val="both"/>
      </w:pPr>
      <w:r>
        <w:rPr>
          <w:sz w:val="21"/>
          <w:shd w:fill="FFFFFF" w:val="clear"/>
        </w:rPr>
        <w:t>（1）实验室专用门，钢制成品门（单开门/双开门）；材质为环保无花镀锌烤漆，配执手锁，开锁孔，含不锈钢五金材料，玻璃门（单开门/双开门）规格：12mm钢化玻璃；50mm304#不锈钢包框；含不锈钢五金材料；</w:t>
      </w:r>
    </w:p>
    <w:p>
      <w:pPr>
        <w:pStyle w:val="null3"/>
        <w:jc w:val="both"/>
      </w:pPr>
      <w:r>
        <w:rPr>
          <w:sz w:val="21"/>
          <w:shd w:fill="FFFFFF" w:val="clear"/>
        </w:rPr>
        <w:t xml:space="preserve">18. </w:t>
      </w:r>
      <w:r>
        <w:rPr>
          <w:sz w:val="21"/>
          <w:b/>
          <w:shd w:fill="FFFFFF" w:val="clear"/>
        </w:rPr>
        <w:t>电气系统</w:t>
      </w:r>
    </w:p>
    <w:p>
      <w:pPr>
        <w:pStyle w:val="null3"/>
        <w:jc w:val="both"/>
      </w:pPr>
      <w:r>
        <w:rPr>
          <w:sz w:val="21"/>
          <w:shd w:fill="FFFFFF" w:val="clear"/>
        </w:rPr>
        <w:t>1</w:t>
      </w:r>
      <w:r>
        <w:rPr>
          <w:sz w:val="21"/>
          <w:shd w:fill="FFFFFF" w:val="clear"/>
        </w:rPr>
        <w:t>）强电</w:t>
      </w:r>
    </w:p>
    <w:p>
      <w:pPr>
        <w:pStyle w:val="null3"/>
        <w:ind w:firstLine="422"/>
        <w:jc w:val="both"/>
      </w:pPr>
      <w:r>
        <w:rPr>
          <w:sz w:val="21"/>
          <w:b/>
          <w:shd w:fill="FFFFFF" w:val="clear"/>
        </w:rPr>
        <w:t>★</w:t>
      </w:r>
      <w:r>
        <w:rPr>
          <w:sz w:val="21"/>
          <w:shd w:fill="FFFFFF" w:val="clear"/>
        </w:rPr>
        <w:t>符合《低压配电设计规范》</w:t>
      </w:r>
      <w:r>
        <w:rPr>
          <w:sz w:val="21"/>
          <w:shd w:fill="FFFFFF" w:val="clear"/>
        </w:rPr>
        <w:t>GB50054-2011</w:t>
      </w:r>
      <w:r>
        <w:rPr>
          <w:sz w:val="21"/>
          <w:shd w:fill="FFFFFF" w:val="clear"/>
        </w:rPr>
        <w:t>、《供配电系统设计规范》</w:t>
      </w:r>
      <w:r>
        <w:rPr>
          <w:sz w:val="21"/>
          <w:shd w:fill="FFFFFF" w:val="clear"/>
        </w:rPr>
        <w:t>GB 50052-2009</w:t>
      </w:r>
      <w:r>
        <w:rPr>
          <w:sz w:val="21"/>
          <w:shd w:fill="FFFFFF" w:val="clear"/>
        </w:rPr>
        <w:t>、《通用用电设备配电设计规范》</w:t>
      </w:r>
      <w:r>
        <w:rPr>
          <w:sz w:val="21"/>
          <w:shd w:fill="FFFFFF" w:val="clear"/>
        </w:rPr>
        <w:t>GB50055-2011</w:t>
      </w:r>
      <w:r>
        <w:rPr>
          <w:sz w:val="21"/>
          <w:shd w:fill="FFFFFF" w:val="clear"/>
        </w:rPr>
        <w:t>等中国国家标准及国际标准；结合实验室仪器及大楼供电设计电路</w:t>
      </w:r>
      <w:r>
        <w:rPr>
          <w:sz w:val="21"/>
          <w:shd w:fill="FFFFFF" w:val="clear"/>
        </w:rPr>
        <w:t>，</w:t>
      </w:r>
      <w:r>
        <w:rPr>
          <w:sz w:val="21"/>
          <w:shd w:fill="FFFFFF" w:val="clear"/>
        </w:rPr>
        <w:t>满足仪器的用电、接地电阻及实验室照度要求。（首次响应时提供承诺函）</w:t>
      </w:r>
    </w:p>
    <w:p>
      <w:pPr>
        <w:pStyle w:val="null3"/>
        <w:jc w:val="both"/>
      </w:pPr>
      <w:r>
        <w:rPr>
          <w:sz w:val="21"/>
          <w:shd w:fill="FFFFFF" w:val="clear"/>
        </w:rPr>
        <w:t>2</w:t>
      </w:r>
      <w:r>
        <w:rPr>
          <w:sz w:val="21"/>
          <w:shd w:fill="FFFFFF" w:val="clear"/>
        </w:rPr>
        <w:t>）</w:t>
      </w:r>
      <w:r>
        <w:rPr>
          <w:sz w:val="21"/>
          <w:shd w:fill="FFFFFF" w:val="clear"/>
        </w:rPr>
        <w:t>动力箱</w:t>
      </w:r>
    </w:p>
    <w:p>
      <w:pPr>
        <w:pStyle w:val="null3"/>
        <w:ind w:firstLine="420"/>
        <w:jc w:val="both"/>
      </w:pPr>
      <w:r>
        <w:rPr>
          <w:sz w:val="21"/>
          <w:shd w:fill="FFFFFF" w:val="clear"/>
        </w:rPr>
        <w:t>（</w:t>
      </w:r>
      <w:r>
        <w:rPr>
          <w:sz w:val="21"/>
          <w:shd w:fill="FFFFFF" w:val="clear"/>
        </w:rPr>
        <w:t>1</w:t>
      </w:r>
      <w:r>
        <w:rPr>
          <w:sz w:val="21"/>
          <w:shd w:fill="FFFFFF" w:val="clear"/>
        </w:rPr>
        <w:t>）元器件（断路器、接触器、热继电器、）所有一次元件的品牌统一。</w:t>
      </w:r>
    </w:p>
    <w:p>
      <w:pPr>
        <w:pStyle w:val="null3"/>
        <w:ind w:firstLine="420"/>
        <w:jc w:val="both"/>
      </w:pPr>
      <w:r>
        <w:rPr>
          <w:sz w:val="21"/>
          <w:shd w:fill="FFFFFF" w:val="clear"/>
        </w:rPr>
        <w:t>（</w:t>
      </w:r>
      <w:r>
        <w:rPr>
          <w:sz w:val="21"/>
          <w:shd w:fill="FFFFFF" w:val="clear"/>
        </w:rPr>
        <w:t>2</w:t>
      </w:r>
      <w:r>
        <w:rPr>
          <w:sz w:val="21"/>
          <w:shd w:fill="FFFFFF" w:val="clear"/>
        </w:rPr>
        <w:t>）箱体材料采用优质冷轧钢板，箱体板材厚度不小于</w:t>
      </w:r>
      <w:r>
        <w:rPr>
          <w:sz w:val="21"/>
          <w:shd w:fill="FFFFFF" w:val="clear"/>
        </w:rPr>
        <w:t>1.0mm</w:t>
      </w:r>
      <w:r>
        <w:rPr>
          <w:sz w:val="21"/>
          <w:shd w:fill="FFFFFF" w:val="clear"/>
        </w:rPr>
        <w:t>，落地柜板材厚度不小于</w:t>
      </w:r>
      <w:r>
        <w:rPr>
          <w:sz w:val="21"/>
          <w:shd w:fill="FFFFFF" w:val="clear"/>
        </w:rPr>
        <w:t>1.0mm</w:t>
      </w:r>
      <w:r>
        <w:rPr>
          <w:sz w:val="21"/>
          <w:shd w:fill="FFFFFF" w:val="clear"/>
        </w:rPr>
        <w:t>，箱体表面经过除油、除锈、磷化处理、喷粉烘烤或喷塑处理。</w:t>
      </w:r>
    </w:p>
    <w:p>
      <w:pPr>
        <w:pStyle w:val="null3"/>
        <w:ind w:firstLine="420"/>
        <w:jc w:val="both"/>
      </w:pPr>
      <w:r>
        <w:rPr>
          <w:sz w:val="21"/>
          <w:shd w:fill="FFFFFF" w:val="clear"/>
        </w:rPr>
        <w:t>（</w:t>
      </w:r>
      <w:r>
        <w:rPr>
          <w:sz w:val="21"/>
          <w:shd w:fill="FFFFFF" w:val="clear"/>
        </w:rPr>
        <w:t>3</w:t>
      </w:r>
      <w:r>
        <w:rPr>
          <w:sz w:val="21"/>
          <w:shd w:fill="FFFFFF" w:val="clear"/>
        </w:rPr>
        <w:t>）箱体须为全封闭型，箱门上须装防尘垫，装以锁扣或其他相同经批准的锁。整个箱体的防护等级不低于</w:t>
      </w:r>
      <w:r>
        <w:rPr>
          <w:sz w:val="21"/>
          <w:shd w:fill="FFFFFF" w:val="clear"/>
        </w:rPr>
        <w:t>IP</w:t>
      </w:r>
      <w:r>
        <w:rPr>
          <w:sz w:val="21"/>
          <w:shd w:fill="FFFFFF" w:val="clear"/>
        </w:rPr>
        <w:t>2</w:t>
      </w:r>
      <w:r>
        <w:rPr>
          <w:sz w:val="21"/>
          <w:shd w:fill="FFFFFF" w:val="clear"/>
        </w:rPr>
        <w:t>1</w:t>
      </w:r>
      <w:r>
        <w:rPr>
          <w:sz w:val="21"/>
          <w:shd w:fill="FFFFFF" w:val="clear"/>
        </w:rPr>
        <w:t>。</w:t>
      </w:r>
    </w:p>
    <w:p>
      <w:pPr>
        <w:pStyle w:val="null3"/>
        <w:ind w:firstLine="420"/>
        <w:jc w:val="both"/>
      </w:pPr>
      <w:r>
        <w:rPr>
          <w:sz w:val="21"/>
          <w:shd w:fill="FFFFFF" w:val="clear"/>
        </w:rPr>
        <w:t>（</w:t>
      </w:r>
      <w:r>
        <w:rPr>
          <w:sz w:val="21"/>
          <w:shd w:fill="FFFFFF" w:val="clear"/>
        </w:rPr>
        <w:t>4</w:t>
      </w:r>
      <w:r>
        <w:rPr>
          <w:sz w:val="21"/>
          <w:shd w:fill="FFFFFF" w:val="clear"/>
        </w:rPr>
        <w:t>）箱内设备须包括所规定额定电流的镀锡铜母线，以及足够截面的多接线端子的中性线和地线母线。</w:t>
      </w:r>
    </w:p>
    <w:p>
      <w:pPr>
        <w:pStyle w:val="null3"/>
        <w:ind w:firstLine="420"/>
        <w:jc w:val="both"/>
      </w:pPr>
      <w:r>
        <w:rPr>
          <w:sz w:val="21"/>
          <w:shd w:fill="FFFFFF" w:val="clear"/>
        </w:rPr>
        <w:t>（</w:t>
      </w:r>
      <w:r>
        <w:rPr>
          <w:sz w:val="21"/>
          <w:shd w:fill="FFFFFF" w:val="clear"/>
        </w:rPr>
        <w:t>5</w:t>
      </w:r>
      <w:r>
        <w:rPr>
          <w:sz w:val="21"/>
          <w:shd w:fill="FFFFFF" w:val="clear"/>
        </w:rPr>
        <w:t>）为了使带电部分和电线在打开前门板时能够完全屏蔽，所有在箱内的电线、母线等都应加以遮护，并应提供一块</w:t>
      </w:r>
      <w:r>
        <w:rPr>
          <w:sz w:val="21"/>
          <w:shd w:fill="FFFFFF" w:val="clear"/>
        </w:rPr>
        <w:t>1.5mm</w:t>
      </w:r>
      <w:r>
        <w:rPr>
          <w:sz w:val="21"/>
          <w:shd w:fill="FFFFFF" w:val="clear"/>
        </w:rPr>
        <w:t>厚的阻燃前护板（控制箱可以例外）。只有断路器的操作手把和其周围的绝缘部分可以突出在阻燃前护板上。</w:t>
      </w:r>
    </w:p>
    <w:p>
      <w:pPr>
        <w:pStyle w:val="null3"/>
        <w:ind w:firstLine="420"/>
        <w:jc w:val="both"/>
      </w:pPr>
      <w:r>
        <w:rPr>
          <w:sz w:val="21"/>
          <w:shd w:fill="FFFFFF" w:val="clear"/>
        </w:rPr>
        <w:t>（</w:t>
      </w:r>
      <w:r>
        <w:rPr>
          <w:sz w:val="21"/>
          <w:shd w:fill="FFFFFF" w:val="clear"/>
        </w:rPr>
        <w:t>6</w:t>
      </w:r>
      <w:r>
        <w:rPr>
          <w:sz w:val="21"/>
          <w:shd w:fill="FFFFFF" w:val="clear"/>
        </w:rPr>
        <w:t>）须配置一个接地端子，使箱体可以接地。装有二次元件的箱门应通过软编制铜带与接地端子相连。</w:t>
      </w:r>
    </w:p>
    <w:p>
      <w:pPr>
        <w:pStyle w:val="null3"/>
        <w:jc w:val="both"/>
      </w:pPr>
      <w:r>
        <w:rPr>
          <w:sz w:val="21"/>
          <w:shd w:fill="FFFFFF" w:val="clear"/>
        </w:rPr>
        <w:t>3</w:t>
      </w:r>
      <w:r>
        <w:rPr>
          <w:sz w:val="21"/>
          <w:shd w:fill="FFFFFF" w:val="clear"/>
        </w:rPr>
        <w:t>）电线电缆</w:t>
      </w:r>
    </w:p>
    <w:p>
      <w:pPr>
        <w:pStyle w:val="null3"/>
        <w:ind w:firstLine="420"/>
        <w:jc w:val="both"/>
      </w:pPr>
      <w:r>
        <w:rPr>
          <w:sz w:val="21"/>
          <w:b/>
          <w:shd w:fill="FFFFFF" w:val="clear"/>
        </w:rPr>
        <w:t>★</w:t>
      </w:r>
      <w:r>
        <w:rPr>
          <w:sz w:val="21"/>
          <w:shd w:fill="FFFFFF" w:val="clear"/>
        </w:rPr>
        <w:t>（</w:t>
      </w:r>
      <w:r>
        <w:rPr>
          <w:sz w:val="21"/>
          <w:shd w:fill="FFFFFF" w:val="clear"/>
        </w:rPr>
        <w:t>1</w:t>
      </w:r>
      <w:r>
        <w:rPr>
          <w:sz w:val="21"/>
          <w:shd w:fill="FFFFFF" w:val="clear"/>
        </w:rPr>
        <w:t>）</w:t>
      </w:r>
      <w:r>
        <w:rPr>
          <w:sz w:val="21"/>
          <w:shd w:fill="FFFFFF" w:val="clear"/>
        </w:rPr>
        <w:t>阻燃、耐火电缆应</w:t>
      </w:r>
      <w:r>
        <w:rPr>
          <w:sz w:val="21"/>
          <w:shd w:fill="FFFFFF" w:val="clear"/>
        </w:rPr>
        <w:t>符合</w:t>
      </w:r>
      <w:r>
        <w:rPr>
          <w:sz w:val="21"/>
          <w:shd w:fill="FFFFFF" w:val="clear"/>
        </w:rPr>
        <w:t>GB/T19666—2019</w:t>
      </w:r>
      <w:r>
        <w:rPr>
          <w:sz w:val="21"/>
          <w:shd w:fill="FFFFFF" w:val="clear"/>
        </w:rPr>
        <w:t>国家标</w:t>
      </w:r>
      <w:r>
        <w:rPr>
          <w:sz w:val="21"/>
          <w:shd w:fill="FFFFFF" w:val="clear"/>
        </w:rPr>
        <w:t>准</w:t>
      </w:r>
      <w:r>
        <w:rPr>
          <w:sz w:val="21"/>
          <w:shd w:fill="FFFFFF" w:val="clear"/>
        </w:rPr>
        <w:t>。（首次响应时提供承诺函）</w:t>
      </w:r>
    </w:p>
    <w:p>
      <w:pPr>
        <w:pStyle w:val="null3"/>
        <w:ind w:firstLine="420"/>
        <w:jc w:val="both"/>
      </w:pPr>
      <w:r>
        <w:rPr>
          <w:sz w:val="21"/>
          <w:shd w:fill="FFFFFF" w:val="clear"/>
        </w:rPr>
        <w:t>（2）</w:t>
      </w:r>
      <w:r>
        <w:rPr>
          <w:sz w:val="21"/>
          <w:shd w:fill="FFFFFF" w:val="clear"/>
        </w:rPr>
        <w:t>电缆盘上应表明电缆型号、规格、电压等级、长度及出厂日期。并与产品合格证相符。电缆盘应完好无损。</w:t>
      </w:r>
    </w:p>
    <w:p>
      <w:pPr>
        <w:pStyle w:val="null3"/>
        <w:ind w:firstLine="420"/>
        <w:jc w:val="both"/>
      </w:pPr>
      <w:r>
        <w:rPr>
          <w:sz w:val="21"/>
          <w:shd w:fill="FFFFFF" w:val="clear"/>
        </w:rPr>
        <w:t>（3）</w:t>
      </w:r>
      <w:r>
        <w:rPr>
          <w:sz w:val="21"/>
          <w:shd w:fill="FFFFFF" w:val="clear"/>
        </w:rPr>
        <w:t>用优质铜材，含铜量不低于</w:t>
      </w:r>
      <w:r>
        <w:rPr>
          <w:sz w:val="21"/>
          <w:shd w:fill="FFFFFF" w:val="clear"/>
        </w:rPr>
        <w:t>99.99%</w:t>
      </w:r>
      <w:r>
        <w:rPr>
          <w:sz w:val="21"/>
          <w:shd w:fill="FFFFFF" w:val="clear"/>
        </w:rPr>
        <w:t>。</w:t>
      </w:r>
    </w:p>
    <w:p>
      <w:pPr>
        <w:pStyle w:val="null3"/>
        <w:ind w:firstLine="420"/>
        <w:jc w:val="both"/>
      </w:pPr>
      <w:r>
        <w:rPr>
          <w:sz w:val="21"/>
          <w:shd w:fill="FFFFFF" w:val="clear"/>
        </w:rPr>
        <w:t>（</w:t>
      </w:r>
      <w:r>
        <w:rPr>
          <w:sz w:val="21"/>
          <w:shd w:fill="FFFFFF" w:val="clear"/>
        </w:rPr>
        <w:t>4</w:t>
      </w:r>
      <w:r>
        <w:rPr>
          <w:sz w:val="21"/>
          <w:shd w:fill="FFFFFF" w:val="clear"/>
        </w:rPr>
        <w:t>）</w:t>
      </w:r>
      <w:r>
        <w:rPr>
          <w:sz w:val="21"/>
          <w:shd w:fill="FFFFFF" w:val="clear"/>
        </w:rPr>
        <w:t>线、电缆的绝缘材链须符合电压等级和设计要求。</w:t>
      </w:r>
    </w:p>
    <w:p>
      <w:pPr>
        <w:pStyle w:val="null3"/>
        <w:ind w:firstLine="420"/>
        <w:jc w:val="both"/>
      </w:pPr>
      <w:r>
        <w:rPr>
          <w:sz w:val="21"/>
          <w:shd w:fill="FFFFFF" w:val="clear"/>
        </w:rPr>
        <w:t>（5）</w:t>
      </w:r>
      <w:r>
        <w:rPr>
          <w:sz w:val="21"/>
          <w:shd w:fill="FFFFFF" w:val="clear"/>
        </w:rPr>
        <w:t>电缆未受到机械外力的损伤，铠装无锈蚀，缆线顺直无皱折和扭曲现象。塑料电缆外皮绝缘层无老化和龟裂现象。</w:t>
      </w:r>
    </w:p>
    <w:p>
      <w:pPr>
        <w:pStyle w:val="null3"/>
        <w:ind w:firstLine="420"/>
        <w:jc w:val="both"/>
      </w:pPr>
      <w:r>
        <w:rPr>
          <w:sz w:val="21"/>
          <w:shd w:fill="FFFFFF" w:val="clear"/>
        </w:rPr>
        <w:t>（</w:t>
      </w:r>
      <w:r>
        <w:rPr>
          <w:sz w:val="21"/>
          <w:shd w:fill="FFFFFF" w:val="clear"/>
        </w:rPr>
        <w:t>6</w:t>
      </w:r>
      <w:r>
        <w:rPr>
          <w:sz w:val="21"/>
          <w:shd w:fill="FFFFFF" w:val="clear"/>
        </w:rPr>
        <w:t>）</w:t>
      </w:r>
      <w:r>
        <w:rPr>
          <w:sz w:val="21"/>
          <w:shd w:fill="FFFFFF" w:val="clear"/>
        </w:rPr>
        <w:t>电缆终端头应是定型产品，与电缆采用同一产品，附件齐全，封套须与电缆规格尺寸匹配，应紧裹电缆及其各条导线。套管应完好无损，不得有裂纹和损伤，并应有合格证和实验数据纪录。</w:t>
      </w:r>
    </w:p>
    <w:p>
      <w:pPr>
        <w:pStyle w:val="null3"/>
        <w:ind w:firstLine="420"/>
        <w:jc w:val="both"/>
      </w:pPr>
      <w:r>
        <w:rPr>
          <w:sz w:val="21"/>
          <w:shd w:fill="FFFFFF" w:val="clear"/>
        </w:rPr>
        <w:t>（7）</w:t>
      </w:r>
      <w:r>
        <w:rPr>
          <w:sz w:val="21"/>
          <w:shd w:fill="FFFFFF" w:val="clear"/>
        </w:rPr>
        <w:t>电缆芯线和电线绝缘层的颜色须满足以下要求：</w:t>
      </w:r>
    </w:p>
    <w:p>
      <w:pPr>
        <w:pStyle w:val="null3"/>
        <w:ind w:firstLine="420"/>
        <w:jc w:val="both"/>
      </w:pPr>
      <w:r>
        <w:rPr>
          <w:sz w:val="21"/>
          <w:shd w:fill="FFFFFF" w:val="clear"/>
        </w:rPr>
        <w:t>相线：黄、绿、红；零线：淡蓝；地线：黄</w:t>
      </w:r>
      <w:r>
        <w:rPr>
          <w:sz w:val="21"/>
          <w:shd w:fill="FFFFFF" w:val="clear"/>
        </w:rPr>
        <w:t>/</w:t>
      </w:r>
      <w:r>
        <w:rPr>
          <w:sz w:val="21"/>
          <w:shd w:fill="FFFFFF" w:val="clear"/>
        </w:rPr>
        <w:t>绿；控制线：白</w:t>
      </w:r>
    </w:p>
    <w:p>
      <w:pPr>
        <w:pStyle w:val="null3"/>
        <w:ind w:firstLine="420"/>
        <w:jc w:val="both"/>
      </w:pPr>
      <w:r>
        <w:rPr>
          <w:sz w:val="21"/>
          <w:shd w:fill="FFFFFF" w:val="clear"/>
        </w:rPr>
        <w:t>（</w:t>
      </w:r>
      <w:r>
        <w:rPr>
          <w:sz w:val="21"/>
          <w:shd w:fill="FFFFFF" w:val="clear"/>
        </w:rPr>
        <w:t>8</w:t>
      </w:r>
      <w:r>
        <w:rPr>
          <w:sz w:val="21"/>
          <w:shd w:fill="FFFFFF" w:val="clear"/>
        </w:rPr>
        <w:t>）</w:t>
      </w:r>
      <w:r>
        <w:rPr>
          <w:sz w:val="21"/>
          <w:shd w:fill="FFFFFF" w:val="clear"/>
        </w:rPr>
        <w:t>与低压柜相连电缆的电缆头制作须用户内热缩式。</w:t>
      </w:r>
    </w:p>
    <w:p>
      <w:pPr>
        <w:pStyle w:val="null3"/>
        <w:ind w:firstLine="420"/>
        <w:jc w:val="both"/>
      </w:pPr>
      <w:r>
        <w:rPr>
          <w:sz w:val="21"/>
          <w:shd w:fill="FFFFFF" w:val="clear"/>
        </w:rPr>
        <w:t>（</w:t>
      </w:r>
      <w:r>
        <w:rPr>
          <w:sz w:val="21"/>
          <w:shd w:fill="FFFFFF" w:val="clear"/>
        </w:rPr>
        <w:t>9</w:t>
      </w:r>
      <w:r>
        <w:rPr>
          <w:sz w:val="21"/>
          <w:shd w:fill="FFFFFF" w:val="clear"/>
        </w:rPr>
        <w:t>）</w:t>
      </w:r>
      <w:r>
        <w:rPr>
          <w:sz w:val="21"/>
          <w:shd w:fill="FFFFFF" w:val="clear"/>
        </w:rPr>
        <w:t>工频额定电压：</w:t>
      </w:r>
      <w:r>
        <w:rPr>
          <w:sz w:val="21"/>
          <w:shd w:fill="FFFFFF" w:val="clear"/>
        </w:rPr>
        <w:t>U0/U</w:t>
      </w:r>
      <w:r>
        <w:rPr>
          <w:sz w:val="21"/>
          <w:shd w:fill="FFFFFF" w:val="clear"/>
        </w:rPr>
        <w:t>：</w:t>
      </w:r>
      <w:r>
        <w:rPr>
          <w:sz w:val="21"/>
          <w:shd w:fill="FFFFFF" w:val="clear"/>
        </w:rPr>
        <w:t>0.6/1kV</w:t>
      </w:r>
      <w:r>
        <w:rPr>
          <w:sz w:val="21"/>
          <w:shd w:fill="FFFFFF" w:val="clear"/>
        </w:rPr>
        <w:t>。工作温度：电缆导体的最高额定温度</w:t>
      </w:r>
      <w:r>
        <w:rPr>
          <w:sz w:val="21"/>
          <w:shd w:fill="FFFFFF" w:val="clear"/>
        </w:rPr>
        <w:t>90</w:t>
      </w:r>
      <w:r>
        <w:rPr>
          <w:sz w:val="21"/>
          <w:shd w:fill="FFFFFF" w:val="clear"/>
        </w:rPr>
        <w:t>℃。线芯短路温度：短路时最长持续时间不超过</w:t>
      </w:r>
      <w:r>
        <w:rPr>
          <w:sz w:val="21"/>
          <w:shd w:fill="FFFFFF" w:val="clear"/>
        </w:rPr>
        <w:t>5s</w:t>
      </w:r>
      <w:r>
        <w:rPr>
          <w:sz w:val="21"/>
          <w:shd w:fill="FFFFFF" w:val="clear"/>
        </w:rPr>
        <w:t>，电缆导体最高温度不超过</w:t>
      </w:r>
      <w:r>
        <w:rPr>
          <w:sz w:val="21"/>
          <w:shd w:fill="FFFFFF" w:val="clear"/>
        </w:rPr>
        <w:t>250</w:t>
      </w:r>
      <w:r>
        <w:rPr>
          <w:sz w:val="21"/>
          <w:shd w:fill="FFFFFF" w:val="clear"/>
        </w:rPr>
        <w:t>℃。电缆应具有无卤、低烟、耐火等特性。</w:t>
      </w:r>
    </w:p>
    <w:p>
      <w:pPr>
        <w:pStyle w:val="null3"/>
        <w:ind w:firstLine="422"/>
        <w:jc w:val="both"/>
      </w:pPr>
      <w:r>
        <w:rPr>
          <w:sz w:val="21"/>
          <w:b/>
          <w:shd w:fill="FFFFFF" w:val="clear"/>
        </w:rPr>
        <w:t>★</w:t>
      </w:r>
      <w:r>
        <w:rPr>
          <w:sz w:val="21"/>
          <w:shd w:fill="FFFFFF" w:val="clear"/>
        </w:rPr>
        <w:t>（</w:t>
      </w:r>
      <w:r>
        <w:rPr>
          <w:sz w:val="21"/>
          <w:shd w:fill="FFFFFF" w:val="clear"/>
        </w:rPr>
        <w:t>1</w:t>
      </w:r>
      <w:r>
        <w:rPr>
          <w:sz w:val="21"/>
          <w:shd w:fill="FFFFFF" w:val="clear"/>
        </w:rPr>
        <w:t>0</w:t>
      </w:r>
      <w:r>
        <w:rPr>
          <w:sz w:val="21"/>
          <w:shd w:fill="FFFFFF" w:val="clear"/>
        </w:rPr>
        <w:t>）</w:t>
      </w:r>
      <w:r>
        <w:rPr>
          <w:sz w:val="21"/>
          <w:shd w:fill="FFFFFF" w:val="clear"/>
        </w:rPr>
        <w:t>电缆燃烧时的阻燃性能应能满足</w:t>
      </w:r>
      <w:r>
        <w:rPr>
          <w:sz w:val="21"/>
          <w:shd w:fill="FFFFFF" w:val="clear"/>
        </w:rPr>
        <w:t>GB18380-2001</w:t>
      </w:r>
      <w:r>
        <w:rPr>
          <w:sz w:val="21"/>
          <w:shd w:fill="FFFFFF" w:val="clear"/>
        </w:rPr>
        <w:t>规定的</w:t>
      </w:r>
      <w:r>
        <w:rPr>
          <w:sz w:val="21"/>
          <w:shd w:fill="FFFFFF" w:val="clear"/>
        </w:rPr>
        <w:t>A</w:t>
      </w:r>
      <w:r>
        <w:rPr>
          <w:sz w:val="21"/>
          <w:shd w:fill="FFFFFF" w:val="clear"/>
        </w:rPr>
        <w:t>类成束电缆垂直燃烧试验。（首次响应时提供承诺函）</w:t>
      </w:r>
    </w:p>
    <w:p>
      <w:pPr>
        <w:pStyle w:val="null3"/>
        <w:ind w:firstLine="420"/>
        <w:jc w:val="both"/>
      </w:pPr>
      <w:r>
        <w:rPr>
          <w:sz w:val="21"/>
          <w:shd w:fill="FFFFFF" w:val="clear"/>
        </w:rPr>
        <w:t>（</w:t>
      </w:r>
      <w:r>
        <w:rPr>
          <w:sz w:val="21"/>
          <w:shd w:fill="FFFFFF" w:val="clear"/>
        </w:rPr>
        <w:t>1</w:t>
      </w:r>
      <w:r>
        <w:rPr>
          <w:sz w:val="21"/>
          <w:shd w:fill="FFFFFF" w:val="clear"/>
        </w:rPr>
        <w:t>1</w:t>
      </w:r>
      <w:r>
        <w:rPr>
          <w:sz w:val="21"/>
          <w:shd w:fill="FFFFFF" w:val="clear"/>
        </w:rPr>
        <w:t>）</w:t>
      </w:r>
      <w:r>
        <w:rPr>
          <w:sz w:val="21"/>
          <w:shd w:fill="FFFFFF" w:val="clear"/>
        </w:rPr>
        <w:t>电缆燃烧时需满足低烟性能，燃烧时产生的烟浓度其最小透光率不小于</w:t>
      </w:r>
      <w:r>
        <w:rPr>
          <w:sz w:val="21"/>
          <w:shd w:fill="FFFFFF" w:val="clear"/>
        </w:rPr>
        <w:t>70%</w:t>
      </w:r>
      <w:r>
        <w:rPr>
          <w:sz w:val="21"/>
          <w:shd w:fill="FFFFFF" w:val="clear"/>
        </w:rPr>
        <w:t>。</w:t>
      </w:r>
    </w:p>
    <w:p>
      <w:pPr>
        <w:pStyle w:val="null3"/>
        <w:ind w:firstLine="420"/>
        <w:jc w:val="both"/>
      </w:pPr>
      <w:r>
        <w:rPr>
          <w:sz w:val="21"/>
          <w:shd w:fill="FFFFFF" w:val="clear"/>
        </w:rPr>
        <w:t>（</w:t>
      </w:r>
      <w:r>
        <w:rPr>
          <w:sz w:val="21"/>
          <w:shd w:fill="FFFFFF" w:val="clear"/>
        </w:rPr>
        <w:t>1</w:t>
      </w:r>
      <w:r>
        <w:rPr>
          <w:sz w:val="21"/>
          <w:shd w:fill="FFFFFF" w:val="clear"/>
        </w:rPr>
        <w:t>2</w:t>
      </w:r>
      <w:r>
        <w:rPr>
          <w:sz w:val="21"/>
          <w:shd w:fill="FFFFFF" w:val="clear"/>
        </w:rPr>
        <w:t>）</w:t>
      </w:r>
      <w:r>
        <w:rPr>
          <w:sz w:val="21"/>
          <w:shd w:fill="FFFFFF" w:val="clear"/>
        </w:rPr>
        <w:t>电缆燃烧时逸出的气体的</w:t>
      </w:r>
      <w:r>
        <w:rPr>
          <w:sz w:val="21"/>
          <w:shd w:fill="FFFFFF" w:val="clear"/>
        </w:rPr>
        <w:t>PH</w:t>
      </w:r>
      <w:r>
        <w:rPr>
          <w:sz w:val="21"/>
          <w:shd w:fill="FFFFFF" w:val="clear"/>
        </w:rPr>
        <w:t>值和导电率测试，</w:t>
      </w:r>
      <w:r>
        <w:rPr>
          <w:sz w:val="21"/>
          <w:shd w:fill="FFFFFF" w:val="clear"/>
        </w:rPr>
        <w:t>PH</w:t>
      </w:r>
      <w:r>
        <w:rPr>
          <w:sz w:val="21"/>
          <w:shd w:fill="FFFFFF" w:val="clear"/>
        </w:rPr>
        <w:t>值不小于</w:t>
      </w:r>
      <w:r>
        <w:rPr>
          <w:sz w:val="21"/>
          <w:shd w:fill="FFFFFF" w:val="clear"/>
        </w:rPr>
        <w:t>4.6</w:t>
      </w:r>
      <w:r>
        <w:rPr>
          <w:sz w:val="21"/>
          <w:shd w:fill="FFFFFF" w:val="clear"/>
        </w:rPr>
        <w:t>，导电率不大于</w:t>
      </w:r>
      <w:r>
        <w:rPr>
          <w:sz w:val="21"/>
          <w:shd w:fill="FFFFFF" w:val="clear"/>
        </w:rPr>
        <w:t>10</w:t>
      </w:r>
      <w:r>
        <w:rPr>
          <w:sz w:val="21"/>
          <w:shd w:fill="FFFFFF" w:val="clear"/>
        </w:rPr>
        <w:t>μ</w:t>
      </w:r>
      <w:r>
        <w:rPr>
          <w:sz w:val="21"/>
          <w:shd w:fill="FFFFFF" w:val="clear"/>
        </w:rPr>
        <w:t>s/mm</w:t>
      </w:r>
      <w:r>
        <w:rPr>
          <w:sz w:val="21"/>
          <w:shd w:fill="FFFFFF" w:val="clear"/>
        </w:rPr>
        <w:t>。</w:t>
      </w:r>
    </w:p>
    <w:p>
      <w:pPr>
        <w:pStyle w:val="null3"/>
        <w:ind w:firstLine="420"/>
        <w:jc w:val="both"/>
      </w:pPr>
      <w:r>
        <w:rPr>
          <w:sz w:val="21"/>
          <w:shd w:fill="FFFFFF" w:val="clear"/>
        </w:rPr>
        <w:t>（</w:t>
      </w:r>
      <w:r>
        <w:rPr>
          <w:sz w:val="21"/>
          <w:shd w:fill="FFFFFF" w:val="clear"/>
        </w:rPr>
        <w:t>1</w:t>
      </w:r>
      <w:r>
        <w:rPr>
          <w:sz w:val="21"/>
          <w:shd w:fill="FFFFFF" w:val="clear"/>
        </w:rPr>
        <w:t>3</w:t>
      </w:r>
      <w:r>
        <w:rPr>
          <w:sz w:val="21"/>
          <w:shd w:fill="FFFFFF" w:val="clear"/>
        </w:rPr>
        <w:t>）</w:t>
      </w:r>
      <w:r>
        <w:rPr>
          <w:sz w:val="21"/>
          <w:shd w:fill="FFFFFF" w:val="clear"/>
        </w:rPr>
        <w:t>在火焰燃烧条件下电缆的线路完整性试验，供火温度</w:t>
      </w:r>
      <w:r>
        <w:rPr>
          <w:sz w:val="21"/>
          <w:shd w:fill="FFFFFF" w:val="clear"/>
        </w:rPr>
        <w:t>750</w:t>
      </w:r>
      <w:r>
        <w:rPr>
          <w:sz w:val="21"/>
          <w:shd w:fill="FFFFFF" w:val="clear"/>
        </w:rPr>
        <w:t>℃、供火时间</w:t>
      </w:r>
      <w:r>
        <w:rPr>
          <w:sz w:val="21"/>
          <w:shd w:fill="FFFFFF" w:val="clear"/>
        </w:rPr>
        <w:t>90</w:t>
      </w:r>
      <w:r>
        <w:rPr>
          <w:sz w:val="21"/>
          <w:shd w:fill="FFFFFF" w:val="clear"/>
        </w:rPr>
        <w:t>分钟，</w:t>
      </w:r>
      <w:r>
        <w:rPr>
          <w:sz w:val="21"/>
          <w:shd w:fill="FFFFFF" w:val="clear"/>
        </w:rPr>
        <w:t>2A</w:t>
      </w:r>
      <w:r>
        <w:rPr>
          <w:sz w:val="21"/>
          <w:shd w:fill="FFFFFF" w:val="clear"/>
        </w:rPr>
        <w:t>熔断器不断；指示灯不熄。</w:t>
      </w:r>
    </w:p>
    <w:p>
      <w:pPr>
        <w:pStyle w:val="null3"/>
        <w:ind w:firstLine="420"/>
        <w:jc w:val="both"/>
      </w:pPr>
      <w:r>
        <w:rPr>
          <w:sz w:val="21"/>
          <w:shd w:fill="FFFFFF" w:val="clear"/>
        </w:rPr>
        <w:t>（</w:t>
      </w:r>
      <w:r>
        <w:rPr>
          <w:sz w:val="21"/>
          <w:shd w:fill="FFFFFF" w:val="clear"/>
        </w:rPr>
        <w:t>1</w:t>
      </w:r>
      <w:r>
        <w:rPr>
          <w:sz w:val="21"/>
          <w:shd w:fill="FFFFFF" w:val="clear"/>
        </w:rPr>
        <w:t>4</w:t>
      </w:r>
      <w:r>
        <w:rPr>
          <w:sz w:val="21"/>
          <w:shd w:fill="FFFFFF" w:val="clear"/>
        </w:rPr>
        <w:t>）</w:t>
      </w:r>
      <w:r>
        <w:rPr>
          <w:sz w:val="21"/>
          <w:shd w:fill="FFFFFF" w:val="clear"/>
        </w:rPr>
        <w:t>电缆导体符合国家标准，多股同现应紧压成导体，其组成、性能和外观应符合</w:t>
      </w:r>
      <w:r>
        <w:rPr>
          <w:sz w:val="21"/>
          <w:shd w:fill="FFFFFF" w:val="clear"/>
        </w:rPr>
        <w:t>GB/T3956-1997</w:t>
      </w:r>
      <w:r>
        <w:rPr>
          <w:sz w:val="21"/>
          <w:shd w:fill="FFFFFF" w:val="clear"/>
        </w:rPr>
        <w:t>标准的规定，紧压系数不小于</w:t>
      </w:r>
      <w:r>
        <w:rPr>
          <w:sz w:val="21"/>
          <w:shd w:fill="FFFFFF" w:val="clear"/>
        </w:rPr>
        <w:t>0.90</w:t>
      </w:r>
      <w:r>
        <w:rPr>
          <w:sz w:val="21"/>
          <w:shd w:fill="FFFFFF" w:val="clear"/>
        </w:rPr>
        <w:t>。</w:t>
      </w:r>
    </w:p>
    <w:p>
      <w:pPr>
        <w:pStyle w:val="null3"/>
        <w:ind w:firstLine="420"/>
        <w:jc w:val="both"/>
      </w:pPr>
      <w:r>
        <w:rPr>
          <w:sz w:val="21"/>
          <w:shd w:fill="FFFFFF" w:val="clear"/>
        </w:rPr>
        <w:t>（</w:t>
      </w:r>
      <w:r>
        <w:rPr>
          <w:sz w:val="21"/>
          <w:shd w:fill="FFFFFF" w:val="clear"/>
        </w:rPr>
        <w:t>1</w:t>
      </w:r>
      <w:r>
        <w:rPr>
          <w:sz w:val="21"/>
          <w:shd w:fill="FFFFFF" w:val="clear"/>
        </w:rPr>
        <w:t>5</w:t>
      </w:r>
      <w:r>
        <w:rPr>
          <w:sz w:val="21"/>
          <w:shd w:fill="FFFFFF" w:val="clear"/>
        </w:rPr>
        <w:t>）</w:t>
      </w:r>
      <w:r>
        <w:rPr>
          <w:sz w:val="21"/>
          <w:shd w:fill="FFFFFF" w:val="clear"/>
        </w:rPr>
        <w:t>多芯电缆成缆线芯应有非吸湿性阻燃填充，填充材料应无卤、低烟、阻燃，并与电缆的工作温度相适应，对绝缘材料有无害影响。</w:t>
      </w:r>
    </w:p>
    <w:p>
      <w:pPr>
        <w:pStyle w:val="null3"/>
        <w:ind w:firstLine="422"/>
        <w:jc w:val="both"/>
      </w:pPr>
      <w:r>
        <w:rPr>
          <w:sz w:val="21"/>
          <w:b/>
          <w:shd w:fill="FFFFFF" w:val="clear"/>
        </w:rPr>
        <w:t>★</w:t>
      </w:r>
      <w:r>
        <w:rPr>
          <w:sz w:val="21"/>
          <w:shd w:fill="FFFFFF" w:val="clear"/>
        </w:rPr>
        <w:t>（</w:t>
      </w:r>
      <w:r>
        <w:rPr>
          <w:sz w:val="21"/>
          <w:shd w:fill="FFFFFF" w:val="clear"/>
        </w:rPr>
        <w:t>1</w:t>
      </w:r>
      <w:r>
        <w:rPr>
          <w:sz w:val="21"/>
          <w:shd w:fill="FFFFFF" w:val="clear"/>
        </w:rPr>
        <w:t>6</w:t>
      </w:r>
      <w:r>
        <w:rPr>
          <w:sz w:val="21"/>
          <w:shd w:fill="FFFFFF" w:val="clear"/>
        </w:rPr>
        <w:t>）</w:t>
      </w:r>
      <w:r>
        <w:rPr>
          <w:sz w:val="21"/>
          <w:shd w:fill="FFFFFF" w:val="clear"/>
        </w:rPr>
        <w:t>护套采用无卤阻燃护套材料，标称厚度按</w:t>
      </w:r>
      <w:r>
        <w:rPr>
          <w:sz w:val="21"/>
          <w:shd w:fill="FFFFFF" w:val="clear"/>
        </w:rPr>
        <w:t>GB2952-89</w:t>
      </w:r>
      <w:r>
        <w:rPr>
          <w:sz w:val="21"/>
          <w:shd w:fill="FFFFFF" w:val="clear"/>
        </w:rPr>
        <w:t>的规定，最薄点的厚度不小于标称值的</w:t>
      </w:r>
      <w:r>
        <w:rPr>
          <w:sz w:val="21"/>
          <w:shd w:fill="FFFFFF" w:val="clear"/>
        </w:rPr>
        <w:t>80%-0.2mm</w:t>
      </w:r>
      <w:r>
        <w:rPr>
          <w:sz w:val="21"/>
          <w:shd w:fill="FFFFFF" w:val="clear"/>
        </w:rPr>
        <w:t>；护套材料应具有良好的抗日照、紫外线老化性能。（首次响应时提供承诺函）</w:t>
      </w:r>
    </w:p>
    <w:p>
      <w:pPr>
        <w:pStyle w:val="null3"/>
        <w:ind w:firstLine="420"/>
        <w:jc w:val="both"/>
      </w:pPr>
      <w:r>
        <w:rPr>
          <w:sz w:val="21"/>
          <w:shd w:fill="FFFFFF" w:val="clear"/>
        </w:rPr>
        <w:t>（17）</w:t>
      </w:r>
      <w:r>
        <w:rPr>
          <w:sz w:val="21"/>
          <w:shd w:fill="FFFFFF" w:val="clear"/>
        </w:rPr>
        <w:t>电缆的护套表面应有生产厂家、电缆型号、额定电压和生产年份的连续标记，标志应字迹清楚、容易辨认、耐擦。</w:t>
      </w:r>
    </w:p>
    <w:p>
      <w:pPr>
        <w:pStyle w:val="null3"/>
        <w:jc w:val="both"/>
      </w:pPr>
      <w:r>
        <w:rPr>
          <w:sz w:val="21"/>
          <w:shd w:fill="FFFFFF" w:val="clear"/>
        </w:rPr>
        <w:t>4</w:t>
      </w:r>
      <w:r>
        <w:rPr>
          <w:sz w:val="21"/>
          <w:shd w:fill="FFFFFF" w:val="clear"/>
        </w:rPr>
        <w:t>）电缆桥架</w:t>
      </w:r>
    </w:p>
    <w:p>
      <w:pPr>
        <w:pStyle w:val="null3"/>
        <w:ind w:firstLine="420"/>
        <w:jc w:val="both"/>
      </w:pPr>
      <w:r>
        <w:rPr>
          <w:sz w:val="21"/>
          <w:shd w:fill="FFFFFF" w:val="clear"/>
        </w:rPr>
        <w:t>（</w:t>
      </w:r>
      <w:r>
        <w:rPr>
          <w:sz w:val="21"/>
          <w:shd w:fill="FFFFFF" w:val="clear"/>
        </w:rPr>
        <w:t>1</w:t>
      </w:r>
      <w:r>
        <w:rPr>
          <w:sz w:val="21"/>
          <w:shd w:fill="FFFFFF" w:val="clear"/>
        </w:rPr>
        <w:t>）电缆桥架含本工程所需的电缆梯架、电缆托盘、金属线槽等电缆承载体。</w:t>
      </w:r>
    </w:p>
    <w:p>
      <w:pPr>
        <w:pStyle w:val="null3"/>
        <w:ind w:firstLine="420"/>
        <w:jc w:val="both"/>
      </w:pPr>
      <w:r>
        <w:rPr>
          <w:sz w:val="21"/>
          <w:shd w:fill="FFFFFF" w:val="clear"/>
        </w:rPr>
        <w:t>（</w:t>
      </w:r>
      <w:r>
        <w:rPr>
          <w:sz w:val="21"/>
          <w:shd w:fill="FFFFFF" w:val="clear"/>
        </w:rPr>
        <w:t>2</w:t>
      </w:r>
      <w:r>
        <w:rPr>
          <w:sz w:val="21"/>
          <w:shd w:fill="FFFFFF" w:val="clear"/>
        </w:rPr>
        <w:t>）符合</w:t>
      </w:r>
      <w:r>
        <w:rPr>
          <w:sz w:val="21"/>
          <w:shd w:fill="FFFFFF" w:val="clear"/>
        </w:rPr>
        <w:t>JB/T10216</w:t>
      </w:r>
      <w:r>
        <w:rPr>
          <w:sz w:val="21"/>
          <w:shd w:fill="FFFFFF" w:val="clear"/>
        </w:rPr>
        <w:t>、</w:t>
      </w:r>
      <w:r>
        <w:rPr>
          <w:sz w:val="21"/>
          <w:shd w:fill="FFFFFF" w:val="clear"/>
        </w:rPr>
        <w:t>CECS 31</w:t>
      </w:r>
      <w:r>
        <w:rPr>
          <w:sz w:val="21"/>
          <w:shd w:fill="FFFFFF" w:val="clear"/>
        </w:rPr>
        <w:t>等标准要求。</w:t>
      </w:r>
    </w:p>
    <w:p>
      <w:pPr>
        <w:pStyle w:val="null3"/>
        <w:ind w:firstLine="420"/>
        <w:jc w:val="both"/>
      </w:pPr>
      <w:r>
        <w:rPr>
          <w:sz w:val="21"/>
          <w:shd w:fill="FFFFFF" w:val="clear"/>
        </w:rPr>
        <w:t>（</w:t>
      </w:r>
      <w:r>
        <w:rPr>
          <w:sz w:val="21"/>
          <w:shd w:fill="FFFFFF" w:val="clear"/>
        </w:rPr>
        <w:t>3</w:t>
      </w:r>
      <w:r>
        <w:rPr>
          <w:sz w:val="21"/>
          <w:shd w:fill="FFFFFF" w:val="clear"/>
        </w:rPr>
        <w:t>）电缆桥架应在工厂加工完成后在运抵施工现场，尽可能减少在工地切割桥架，严禁在工地加工、制作水平弯、垂直弯以及分支接头等桥架的连接段。</w:t>
      </w:r>
    </w:p>
    <w:p>
      <w:pPr>
        <w:pStyle w:val="null3"/>
        <w:ind w:firstLine="420"/>
        <w:jc w:val="both"/>
      </w:pPr>
      <w:r>
        <w:rPr>
          <w:sz w:val="21"/>
          <w:shd w:fill="FFFFFF" w:val="clear"/>
        </w:rPr>
        <w:t>（</w:t>
      </w:r>
      <w:r>
        <w:rPr>
          <w:sz w:val="21"/>
          <w:shd w:fill="FFFFFF" w:val="clear"/>
        </w:rPr>
        <w:t>4</w:t>
      </w:r>
      <w:r>
        <w:rPr>
          <w:sz w:val="21"/>
          <w:shd w:fill="FFFFFF" w:val="clear"/>
        </w:rPr>
        <w:t>）电缆桥架的膨胀节须使用制造厂生产的标准伸缩接合板。</w:t>
      </w:r>
    </w:p>
    <w:p>
      <w:pPr>
        <w:pStyle w:val="null3"/>
        <w:ind w:firstLine="420"/>
        <w:jc w:val="both"/>
      </w:pPr>
      <w:r>
        <w:rPr>
          <w:sz w:val="21"/>
          <w:shd w:fill="FFFFFF" w:val="clear"/>
        </w:rPr>
        <w:t>（</w:t>
      </w:r>
      <w:r>
        <w:rPr>
          <w:sz w:val="21"/>
          <w:shd w:fill="FFFFFF" w:val="clear"/>
        </w:rPr>
        <w:t>5</w:t>
      </w:r>
      <w:r>
        <w:rPr>
          <w:sz w:val="21"/>
          <w:shd w:fill="FFFFFF" w:val="clear"/>
        </w:rPr>
        <w:t>）电缆梯架须由热浸镀锌低碳钢制作。梯级的中心间隔约为</w:t>
      </w:r>
      <w:r>
        <w:rPr>
          <w:sz w:val="21"/>
          <w:shd w:fill="FFFFFF" w:val="clear"/>
        </w:rPr>
        <w:t>300mm</w:t>
      </w:r>
      <w:r>
        <w:rPr>
          <w:sz w:val="21"/>
          <w:shd w:fill="FFFFFF" w:val="clear"/>
        </w:rPr>
        <w:t>，并具一定的宽度以用不同的方法固定电缆，包括尼龙带扣、鞍行夹、冲孔带、电缆夹等。梯架盖板板材厚度不小于</w:t>
      </w:r>
      <w:r>
        <w:rPr>
          <w:sz w:val="21"/>
          <w:shd w:fill="FFFFFF" w:val="clear"/>
        </w:rPr>
        <w:t>1.2mm</w:t>
      </w:r>
      <w:r>
        <w:rPr>
          <w:sz w:val="21"/>
          <w:shd w:fill="FFFFFF" w:val="clear"/>
        </w:rPr>
        <w:t>。</w:t>
      </w:r>
    </w:p>
    <w:p>
      <w:pPr>
        <w:pStyle w:val="null3"/>
        <w:ind w:firstLine="420"/>
        <w:jc w:val="both"/>
      </w:pPr>
      <w:r>
        <w:rPr>
          <w:sz w:val="21"/>
          <w:shd w:fill="FFFFFF" w:val="clear"/>
        </w:rPr>
        <w:t>（</w:t>
      </w:r>
      <w:r>
        <w:rPr>
          <w:sz w:val="21"/>
          <w:shd w:fill="FFFFFF" w:val="clear"/>
        </w:rPr>
        <w:t>6</w:t>
      </w:r>
      <w:r>
        <w:rPr>
          <w:sz w:val="21"/>
          <w:shd w:fill="FFFFFF" w:val="clear"/>
        </w:rPr>
        <w:t>）电缆桥架表面进行热浸镀锌或喷粉烘烤处理。</w:t>
      </w:r>
    </w:p>
    <w:p>
      <w:pPr>
        <w:pStyle w:val="null3"/>
        <w:ind w:firstLine="420"/>
        <w:jc w:val="both"/>
      </w:pPr>
      <w:r>
        <w:rPr>
          <w:sz w:val="21"/>
          <w:shd w:fill="FFFFFF" w:val="clear"/>
        </w:rPr>
        <w:t>（</w:t>
      </w:r>
      <w:r>
        <w:rPr>
          <w:sz w:val="21"/>
          <w:shd w:fill="FFFFFF" w:val="clear"/>
        </w:rPr>
        <w:t>7</w:t>
      </w:r>
      <w:r>
        <w:rPr>
          <w:sz w:val="21"/>
          <w:shd w:fill="FFFFFF" w:val="clear"/>
        </w:rPr>
        <w:t>）电缆托盘须由低碳钢制作，电缆托盘尺寸与板材厚度要求符合规范规定，若规范不一致之处，选用较高标准。</w:t>
      </w:r>
    </w:p>
    <w:p>
      <w:pPr>
        <w:pStyle w:val="null3"/>
        <w:ind w:firstLine="420"/>
        <w:jc w:val="both"/>
      </w:pPr>
      <w:r>
        <w:rPr>
          <w:sz w:val="21"/>
          <w:shd w:fill="FFFFFF" w:val="clear"/>
        </w:rPr>
        <w:t>（</w:t>
      </w:r>
      <w:r>
        <w:rPr>
          <w:sz w:val="21"/>
          <w:shd w:fill="FFFFFF" w:val="clear"/>
        </w:rPr>
        <w:t>8</w:t>
      </w:r>
      <w:r>
        <w:rPr>
          <w:sz w:val="21"/>
          <w:shd w:fill="FFFFFF" w:val="clear"/>
        </w:rPr>
        <w:t>）金属线槽须用镀锌钢板制作，其最小长度为</w:t>
      </w:r>
      <w:r>
        <w:rPr>
          <w:sz w:val="21"/>
          <w:shd w:fill="FFFFFF" w:val="clear"/>
        </w:rPr>
        <w:t>2</w:t>
      </w:r>
      <w:r>
        <w:rPr>
          <w:sz w:val="21"/>
          <w:shd w:fill="FFFFFF" w:val="clear"/>
        </w:rPr>
        <w:t>米。金属线槽内外应无毛刺，配件应齐全。金属线槽镀锌钢板的厚度要求符合规范规定，若规范不一致之处，选用较高标准。</w:t>
      </w:r>
    </w:p>
    <w:p>
      <w:pPr>
        <w:pStyle w:val="null3"/>
        <w:ind w:firstLine="420"/>
        <w:jc w:val="both"/>
      </w:pPr>
      <w:r>
        <w:rPr>
          <w:sz w:val="21"/>
          <w:shd w:fill="FFFFFF" w:val="clear"/>
        </w:rPr>
        <w:t>（</w:t>
      </w:r>
      <w:r>
        <w:rPr>
          <w:sz w:val="21"/>
          <w:shd w:fill="FFFFFF" w:val="clear"/>
        </w:rPr>
        <w:t>9</w:t>
      </w:r>
      <w:r>
        <w:rPr>
          <w:sz w:val="21"/>
          <w:shd w:fill="FFFFFF" w:val="clear"/>
        </w:rPr>
        <w:t>）所有电缆桥架、梯架和金属线槽都须加装盖板，并配置锁扣。</w:t>
      </w:r>
    </w:p>
    <w:p>
      <w:pPr>
        <w:pStyle w:val="null3"/>
        <w:ind w:firstLine="420"/>
        <w:jc w:val="both"/>
      </w:pPr>
      <w:r>
        <w:rPr>
          <w:sz w:val="21"/>
          <w:shd w:fill="FFFFFF" w:val="clear"/>
        </w:rPr>
        <w:t>（</w:t>
      </w:r>
      <w:r>
        <w:rPr>
          <w:sz w:val="21"/>
          <w:shd w:fill="FFFFFF" w:val="clear"/>
        </w:rPr>
        <w:t>10</w:t>
      </w:r>
      <w:r>
        <w:rPr>
          <w:sz w:val="21"/>
          <w:shd w:fill="FFFFFF" w:val="clear"/>
        </w:rPr>
        <w:t>）敷设消防电缆的封闭式线槽应外刷防火涂料，要求在线槽生产厂内完成防火涂料喷涂工作，不允许在现场手工涂刷，耐火时间级别应满足设计要求。</w:t>
      </w:r>
    </w:p>
    <w:p>
      <w:pPr>
        <w:pStyle w:val="null3"/>
        <w:ind w:firstLine="420"/>
        <w:jc w:val="both"/>
      </w:pPr>
      <w:r>
        <w:rPr>
          <w:sz w:val="21"/>
          <w:shd w:fill="FFFFFF" w:val="clear"/>
        </w:rPr>
        <w:t>（</w:t>
      </w:r>
      <w:r>
        <w:rPr>
          <w:sz w:val="21"/>
          <w:shd w:fill="FFFFFF" w:val="clear"/>
        </w:rPr>
        <w:t>11</w:t>
      </w:r>
      <w:r>
        <w:rPr>
          <w:sz w:val="21"/>
          <w:shd w:fill="FFFFFF" w:val="clear"/>
        </w:rPr>
        <w:t>）桥架和金属线槽要求采用无折弯式。</w:t>
      </w:r>
    </w:p>
    <w:p>
      <w:pPr>
        <w:pStyle w:val="null3"/>
        <w:jc w:val="both"/>
      </w:pPr>
      <w:r>
        <w:rPr>
          <w:sz w:val="21"/>
          <w:shd w:fill="FFFFFF" w:val="clear"/>
        </w:rPr>
        <w:t>5</w:t>
      </w:r>
      <w:r>
        <w:rPr>
          <w:sz w:val="21"/>
          <w:shd w:fill="FFFFFF" w:val="clear"/>
        </w:rPr>
        <w:t>）洁净照明灯具</w:t>
      </w:r>
    </w:p>
    <w:p>
      <w:pPr>
        <w:pStyle w:val="null3"/>
        <w:ind w:firstLine="420"/>
        <w:jc w:val="both"/>
      </w:pPr>
      <w:r>
        <w:rPr>
          <w:sz w:val="21"/>
          <w:shd w:fill="FFFFFF" w:val="clear"/>
        </w:rPr>
        <w:t>（</w:t>
      </w:r>
      <w:r>
        <w:rPr>
          <w:sz w:val="21"/>
          <w:shd w:fill="FFFFFF" w:val="clear"/>
        </w:rPr>
        <w:t>1</w:t>
      </w:r>
      <w:r>
        <w:rPr>
          <w:sz w:val="21"/>
          <w:shd w:fill="FFFFFF" w:val="clear"/>
        </w:rPr>
        <w:t>）带透光板的灯具，透光板的透光率在</w:t>
      </w:r>
      <w:r>
        <w:rPr>
          <w:sz w:val="21"/>
          <w:shd w:fill="FFFFFF" w:val="clear"/>
        </w:rPr>
        <w:t>85%</w:t>
      </w:r>
      <w:r>
        <w:rPr>
          <w:sz w:val="21"/>
          <w:shd w:fill="FFFFFF" w:val="clear"/>
        </w:rPr>
        <w:t>以上。</w:t>
      </w:r>
    </w:p>
    <w:p>
      <w:pPr>
        <w:pStyle w:val="null3"/>
        <w:ind w:firstLine="420"/>
        <w:jc w:val="both"/>
      </w:pPr>
      <w:r>
        <w:rPr>
          <w:sz w:val="21"/>
          <w:shd w:fill="FFFFFF" w:val="clear"/>
        </w:rPr>
        <w:t>（2）</w:t>
      </w:r>
      <w:r>
        <w:rPr>
          <w:sz w:val="21"/>
          <w:shd w:fill="FFFFFF" w:val="clear"/>
        </w:rPr>
        <w:t>照明灯具的防护等级不低于</w:t>
      </w:r>
      <w:r>
        <w:rPr>
          <w:sz w:val="21"/>
          <w:shd w:fill="FFFFFF" w:val="clear"/>
        </w:rPr>
        <w:t>IP54</w:t>
      </w:r>
      <w:r>
        <w:rPr>
          <w:sz w:val="21"/>
          <w:shd w:fill="FFFFFF" w:val="clear"/>
        </w:rPr>
        <w:t>；</w:t>
      </w:r>
    </w:p>
    <w:p>
      <w:pPr>
        <w:pStyle w:val="null3"/>
        <w:ind w:firstLine="420"/>
        <w:jc w:val="both"/>
      </w:pPr>
      <w:r>
        <w:rPr>
          <w:sz w:val="21"/>
          <w:shd w:fill="FFFFFF" w:val="clear"/>
        </w:rPr>
        <w:t>（</w:t>
      </w:r>
      <w:r>
        <w:rPr>
          <w:sz w:val="21"/>
          <w:shd w:fill="FFFFFF" w:val="clear"/>
        </w:rPr>
        <w:t>3</w:t>
      </w:r>
      <w:r>
        <w:rPr>
          <w:sz w:val="21"/>
          <w:shd w:fill="FFFFFF" w:val="clear"/>
        </w:rPr>
        <w:t>）</w:t>
      </w:r>
      <w:r>
        <w:rPr>
          <w:sz w:val="21"/>
          <w:shd w:fill="FFFFFF" w:val="clear"/>
        </w:rPr>
        <w:t>灯具外壳有单独的接地端子，且接地牢固。</w:t>
      </w:r>
    </w:p>
    <w:p>
      <w:pPr>
        <w:pStyle w:val="null3"/>
        <w:ind w:firstLine="420"/>
        <w:jc w:val="both"/>
      </w:pPr>
      <w:r>
        <w:rPr>
          <w:sz w:val="21"/>
          <w:shd w:fill="FFFFFF" w:val="clear"/>
        </w:rPr>
        <w:t>（4）</w:t>
      </w:r>
      <w:r>
        <w:rPr>
          <w:sz w:val="21"/>
          <w:shd w:fill="FFFFFF" w:val="clear"/>
        </w:rPr>
        <w:t>灯具、镇流器的保用时间应不少于</w:t>
      </w:r>
      <w:r>
        <w:rPr>
          <w:sz w:val="21"/>
          <w:shd w:fill="FFFFFF" w:val="clear"/>
        </w:rPr>
        <w:t>5</w:t>
      </w:r>
      <w:r>
        <w:rPr>
          <w:sz w:val="21"/>
          <w:shd w:fill="FFFFFF" w:val="clear"/>
        </w:rPr>
        <w:t>年，光源的保用时间应不少于</w:t>
      </w:r>
      <w:r>
        <w:rPr>
          <w:sz w:val="21"/>
          <w:shd w:fill="FFFFFF" w:val="clear"/>
        </w:rPr>
        <w:t>8000</w:t>
      </w:r>
      <w:r>
        <w:rPr>
          <w:sz w:val="21"/>
          <w:shd w:fill="FFFFFF" w:val="clear"/>
        </w:rPr>
        <w:t>小时；</w:t>
      </w:r>
    </w:p>
    <w:p>
      <w:pPr>
        <w:pStyle w:val="null3"/>
        <w:ind w:firstLine="420"/>
        <w:jc w:val="both"/>
      </w:pPr>
      <w:r>
        <w:rPr>
          <w:sz w:val="21"/>
          <w:shd w:fill="FFFFFF" w:val="clear"/>
        </w:rPr>
        <w:t>（</w:t>
      </w:r>
      <w:r>
        <w:rPr>
          <w:sz w:val="21"/>
          <w:shd w:fill="FFFFFF" w:val="clear"/>
        </w:rPr>
        <w:t>5</w:t>
      </w:r>
      <w:r>
        <w:rPr>
          <w:sz w:val="21"/>
          <w:shd w:fill="FFFFFF" w:val="clear"/>
        </w:rPr>
        <w:t>）</w:t>
      </w:r>
      <w:r>
        <w:rPr>
          <w:sz w:val="21"/>
          <w:shd w:fill="FFFFFF" w:val="clear"/>
        </w:rPr>
        <w:t>选用高效节能灯具。</w:t>
      </w:r>
    </w:p>
    <w:p>
      <w:pPr>
        <w:pStyle w:val="null3"/>
        <w:jc w:val="both"/>
      </w:pPr>
      <w:r>
        <w:rPr>
          <w:sz w:val="21"/>
          <w:shd w:fill="FFFFFF" w:val="clear"/>
        </w:rPr>
        <w:t>6</w:t>
      </w:r>
      <w:r>
        <w:rPr>
          <w:sz w:val="21"/>
          <w:shd w:fill="FFFFFF" w:val="clear"/>
        </w:rPr>
        <w:t>）插座</w:t>
      </w:r>
    </w:p>
    <w:p>
      <w:pPr>
        <w:pStyle w:val="null3"/>
        <w:ind w:firstLine="422"/>
        <w:jc w:val="both"/>
      </w:pPr>
      <w:r>
        <w:rPr>
          <w:sz w:val="21"/>
          <w:b/>
          <w:shd w:fill="FFFFFF" w:val="clear"/>
        </w:rPr>
        <w:t>★</w:t>
      </w:r>
      <w:r>
        <w:rPr>
          <w:sz w:val="21"/>
          <w:shd w:fill="FFFFFF" w:val="clear"/>
        </w:rPr>
        <w:t>符合</w:t>
      </w:r>
      <w:r>
        <w:rPr>
          <w:sz w:val="21"/>
          <w:shd w:fill="FFFFFF" w:val="clear"/>
        </w:rPr>
        <w:t>GB6911</w:t>
      </w:r>
      <w:r>
        <w:rPr>
          <w:sz w:val="21"/>
          <w:shd w:fill="FFFFFF" w:val="clear"/>
        </w:rPr>
        <w:t>、</w:t>
      </w:r>
      <w:r>
        <w:rPr>
          <w:sz w:val="21"/>
          <w:shd w:fill="FFFFFF" w:val="clear"/>
        </w:rPr>
        <w:t>GB/T2099.1</w:t>
      </w:r>
      <w:r>
        <w:rPr>
          <w:sz w:val="21"/>
          <w:shd w:fill="FFFFFF" w:val="clear"/>
        </w:rPr>
        <w:t>-</w:t>
      </w:r>
      <w:r>
        <w:rPr>
          <w:sz w:val="21"/>
          <w:shd w:fill="FFFFFF" w:val="clear"/>
        </w:rPr>
        <w:t>2021</w:t>
      </w:r>
      <w:r>
        <w:rPr>
          <w:sz w:val="21"/>
          <w:shd w:fill="FFFFFF" w:val="clear"/>
        </w:rPr>
        <w:t>标准要求。（首次相应时提供承诺函）</w:t>
      </w:r>
      <w:r>
        <w:rPr>
          <w:sz w:val="21"/>
          <w:shd w:fill="FFFFFF" w:val="clear"/>
        </w:rPr>
        <w:t>（</w:t>
      </w:r>
      <w:r>
        <w:rPr>
          <w:sz w:val="21"/>
          <w:shd w:fill="FFFFFF" w:val="clear"/>
        </w:rPr>
        <w:t>1</w:t>
      </w:r>
      <w:r>
        <w:rPr>
          <w:sz w:val="21"/>
          <w:shd w:fill="FFFFFF" w:val="clear"/>
        </w:rPr>
        <w:t>）插座采用磷青铜簧片，银或银合金触点。</w:t>
      </w:r>
    </w:p>
    <w:p>
      <w:pPr>
        <w:pStyle w:val="null3"/>
        <w:ind w:firstLine="420"/>
        <w:jc w:val="both"/>
      </w:pPr>
      <w:r>
        <w:rPr>
          <w:sz w:val="21"/>
          <w:shd w:fill="FFFFFF" w:val="clear"/>
        </w:rPr>
        <w:t>（</w:t>
      </w:r>
      <w:r>
        <w:rPr>
          <w:sz w:val="21"/>
          <w:shd w:fill="FFFFFF" w:val="clear"/>
        </w:rPr>
        <w:t>2</w:t>
      </w:r>
      <w:r>
        <w:rPr>
          <w:sz w:val="21"/>
          <w:shd w:fill="FFFFFF" w:val="clear"/>
        </w:rPr>
        <w:t>）插座的壳体须采用阻燃材料制造。</w:t>
      </w:r>
    </w:p>
    <w:p>
      <w:pPr>
        <w:pStyle w:val="null3"/>
        <w:ind w:firstLine="420"/>
        <w:jc w:val="both"/>
      </w:pPr>
      <w:r>
        <w:rPr>
          <w:sz w:val="21"/>
          <w:shd w:fill="FFFFFF" w:val="clear"/>
        </w:rPr>
        <w:t>（</w:t>
      </w:r>
      <w:r>
        <w:rPr>
          <w:sz w:val="21"/>
          <w:shd w:fill="FFFFFF" w:val="clear"/>
        </w:rPr>
        <w:t>3</w:t>
      </w:r>
      <w:r>
        <w:rPr>
          <w:sz w:val="21"/>
          <w:shd w:fill="FFFFFF" w:val="clear"/>
        </w:rPr>
        <w:t>）工业插座应具有优良的防水、防尘和防爆性能；</w:t>
      </w:r>
    </w:p>
    <w:p>
      <w:pPr>
        <w:pStyle w:val="null3"/>
        <w:jc w:val="both"/>
      </w:pPr>
      <w:r>
        <w:rPr>
          <w:sz w:val="21"/>
          <w:shd w:fill="FFFFFF" w:val="clear"/>
        </w:rPr>
        <w:t>7</w:t>
      </w:r>
      <w:r>
        <w:rPr>
          <w:sz w:val="21"/>
          <w:shd w:fill="FFFFFF" w:val="clear"/>
        </w:rPr>
        <w:t>）</w:t>
      </w:r>
      <w:r>
        <w:rPr>
          <w:sz w:val="21"/>
          <w:shd w:fill="FFFFFF" w:val="clear"/>
        </w:rPr>
        <w:t>照明：彩钢板吊顶区域</w:t>
      </w:r>
      <w:r>
        <w:rPr>
          <w:sz w:val="21"/>
          <w:shd w:fill="FFFFFF" w:val="clear"/>
        </w:rPr>
        <w:t>使</w:t>
      </w:r>
      <w:r>
        <w:rPr>
          <w:sz w:val="21"/>
          <w:shd w:fill="FFFFFF" w:val="clear"/>
        </w:rPr>
        <w:t>用超薄</w:t>
      </w:r>
      <w:r>
        <w:rPr>
          <w:sz w:val="21"/>
          <w:shd w:fill="FFFFFF" w:val="clear"/>
        </w:rPr>
        <w:t>LED</w:t>
      </w:r>
      <w:r>
        <w:rPr>
          <w:sz w:val="21"/>
          <w:shd w:fill="FFFFFF" w:val="clear"/>
        </w:rPr>
        <w:t>洁净</w:t>
      </w:r>
      <w:r>
        <w:rPr>
          <w:sz w:val="21"/>
          <w:shd w:fill="FFFFFF" w:val="clear"/>
        </w:rPr>
        <w:t>灯</w:t>
      </w:r>
      <w:r>
        <w:rPr>
          <w:sz w:val="21"/>
          <w:shd w:fill="FFFFFF" w:val="clear"/>
        </w:rPr>
        <w:t>≥</w:t>
      </w:r>
      <w:r>
        <w:rPr>
          <w:sz w:val="21"/>
          <w:shd w:fill="FFFFFF" w:val="clear"/>
        </w:rPr>
        <w:t>1200x300mm</w:t>
      </w:r>
      <w:r>
        <w:rPr>
          <w:sz w:val="21"/>
          <w:shd w:fill="FFFFFF" w:val="clear"/>
        </w:rPr>
        <w:t>，办公室区域使用</w:t>
      </w:r>
      <w:r>
        <w:rPr>
          <w:sz w:val="21"/>
          <w:shd w:fill="FFFFFF" w:val="clear"/>
        </w:rPr>
        <w:t>≥</w:t>
      </w:r>
      <w:r>
        <w:rPr>
          <w:sz w:val="21"/>
          <w:shd w:fill="FFFFFF" w:val="clear"/>
        </w:rPr>
        <w:t>600x600mmLED</w:t>
      </w:r>
      <w:r>
        <w:rPr>
          <w:sz w:val="21"/>
          <w:shd w:fill="FFFFFF" w:val="clear"/>
        </w:rPr>
        <w:t>平板灯</w:t>
      </w:r>
      <w:r>
        <w:rPr>
          <w:sz w:val="21"/>
          <w:shd w:fill="FFFFFF" w:val="clear"/>
        </w:rPr>
        <w:t>,</w:t>
      </w:r>
      <w:r>
        <w:rPr>
          <w:sz w:val="21"/>
          <w:shd w:fill="FFFFFF" w:val="clear"/>
        </w:rPr>
        <w:t>走廊区域采用LED筒灯及硅胶线性灯，原天花区域使用</w:t>
      </w:r>
      <w:r>
        <w:rPr>
          <w:sz w:val="21"/>
          <w:shd w:fill="FFFFFF" w:val="clear"/>
        </w:rPr>
        <w:t>LED</w:t>
      </w:r>
      <w:r>
        <w:rPr>
          <w:sz w:val="21"/>
          <w:shd w:fill="FFFFFF" w:val="clear"/>
        </w:rPr>
        <w:t>吸顶灯</w:t>
      </w:r>
      <w:r>
        <w:rPr>
          <w:sz w:val="21"/>
          <w:shd w:fill="FFFFFF" w:val="clear"/>
        </w:rPr>
        <w:t>1200x300mm</w:t>
      </w:r>
      <w:r>
        <w:rPr>
          <w:sz w:val="21"/>
          <w:shd w:fill="FFFFFF" w:val="clear"/>
        </w:rPr>
        <w:t>，</w:t>
      </w:r>
      <w:r>
        <w:rPr>
          <w:sz w:val="21"/>
          <w:shd w:fill="FFFFFF" w:val="clear"/>
        </w:rPr>
        <w:t>采用与</w:t>
      </w:r>
      <w:r>
        <w:rPr>
          <w:sz w:val="21"/>
          <w:shd w:fill="FFFFFF" w:val="clear"/>
        </w:rPr>
        <w:t>LED</w:t>
      </w:r>
      <w:r>
        <w:rPr>
          <w:sz w:val="21"/>
          <w:shd w:fill="FFFFFF" w:val="clear"/>
        </w:rPr>
        <w:t>光源配套的性能稳定的适配器（适配器需做防护装置）</w:t>
      </w:r>
      <w:r>
        <w:rPr>
          <w:sz w:val="21"/>
          <w:shd w:fill="FFFFFF" w:val="clear"/>
        </w:rPr>
        <w:t>实验室照度≥</w:t>
      </w:r>
      <w:r>
        <w:rPr>
          <w:sz w:val="21"/>
          <w:shd w:fill="FFFFFF" w:val="clear"/>
        </w:rPr>
        <w:t>300lux</w:t>
      </w:r>
      <w:r>
        <w:rPr>
          <w:sz w:val="21"/>
          <w:shd w:fill="FFFFFF" w:val="clear"/>
        </w:rPr>
        <w:t>；</w:t>
      </w:r>
    </w:p>
    <w:p>
      <w:pPr>
        <w:pStyle w:val="null3"/>
        <w:jc w:val="both"/>
      </w:pPr>
      <w:r>
        <w:rPr>
          <w:sz w:val="21"/>
          <w:shd w:fill="FFFFFF" w:val="clear"/>
        </w:rPr>
        <w:t>8</w:t>
      </w:r>
      <w:r>
        <w:rPr>
          <w:sz w:val="21"/>
          <w:shd w:fill="FFFFFF" w:val="clear"/>
        </w:rPr>
        <w:t>）</w:t>
      </w:r>
      <w:r>
        <w:rPr>
          <w:sz w:val="21"/>
          <w:shd w:fill="FFFFFF" w:val="clear"/>
        </w:rPr>
        <w:t>彩板墙上开关为嵌入式开关，插座表面易于清洁、与壁板连接处良好密封；</w:t>
      </w:r>
    </w:p>
    <w:p>
      <w:pPr>
        <w:pStyle w:val="null3"/>
        <w:jc w:val="both"/>
      </w:pPr>
      <w:r>
        <w:rPr>
          <w:sz w:val="21"/>
          <w:shd w:fill="FFFFFF" w:val="clear"/>
        </w:rPr>
        <w:t>19</w:t>
      </w:r>
      <w:r>
        <w:rPr>
          <w:sz w:val="21"/>
          <w:shd w:fill="FFFFFF" w:val="clear"/>
        </w:rPr>
        <w:t>、弱电、监控</w:t>
      </w:r>
    </w:p>
    <w:p>
      <w:pPr>
        <w:pStyle w:val="null3"/>
        <w:ind w:firstLine="420"/>
        <w:jc w:val="both"/>
      </w:pPr>
      <w:r>
        <w:rPr>
          <w:sz w:val="21"/>
          <w:shd w:fill="FFFFFF" w:val="clear"/>
        </w:rPr>
        <w:t>1</w:t>
      </w:r>
      <w:r>
        <w:rPr>
          <w:sz w:val="21"/>
          <w:shd w:fill="FFFFFF" w:val="clear"/>
        </w:rPr>
        <w:t>）大</w:t>
      </w:r>
      <w:r>
        <w:rPr>
          <w:sz w:val="21"/>
          <w:shd w:fill="FFFFFF" w:val="clear"/>
        </w:rPr>
        <w:t>实验室房间安装摄像头对着操作区、实现全程监控。</w:t>
      </w:r>
    </w:p>
    <w:p>
      <w:pPr>
        <w:pStyle w:val="null3"/>
        <w:ind w:firstLine="420"/>
        <w:jc w:val="both"/>
      </w:pPr>
      <w:r>
        <w:rPr>
          <w:sz w:val="21"/>
          <w:shd w:fill="FFFFFF" w:val="clear"/>
        </w:rPr>
        <w:t>2</w:t>
      </w:r>
      <w:r>
        <w:rPr>
          <w:sz w:val="21"/>
          <w:shd w:fill="FFFFFF" w:val="clear"/>
        </w:rPr>
        <w:t>）</w:t>
      </w:r>
      <w:r>
        <w:rPr>
          <w:sz w:val="21"/>
          <w:shd w:fill="FFFFFF" w:val="clear"/>
        </w:rPr>
        <w:t>指纹门禁机安装于实验室进出通道处，出门按钮触控。</w:t>
      </w:r>
    </w:p>
    <w:p>
      <w:pPr>
        <w:pStyle w:val="null3"/>
        <w:ind w:firstLine="420"/>
        <w:jc w:val="both"/>
      </w:pPr>
      <w:r>
        <w:rPr>
          <w:sz w:val="21"/>
          <w:shd w:fill="FFFFFF" w:val="clear"/>
        </w:rPr>
        <w:t>3</w:t>
      </w:r>
      <w:r>
        <w:rPr>
          <w:sz w:val="21"/>
          <w:shd w:fill="FFFFFF" w:val="clear"/>
        </w:rPr>
        <w:t>）</w:t>
      </w:r>
      <w:r>
        <w:rPr>
          <w:sz w:val="21"/>
          <w:shd w:fill="FFFFFF" w:val="clear"/>
        </w:rPr>
        <w:t>网络、电话插座面板和超五类模块。</w:t>
      </w:r>
    </w:p>
    <w:p>
      <w:pPr>
        <w:pStyle w:val="null3"/>
        <w:ind w:firstLine="420"/>
        <w:jc w:val="both"/>
      </w:pPr>
      <w:r>
        <w:rPr>
          <w:sz w:val="21"/>
          <w:shd w:fill="FFFFFF" w:val="clear"/>
        </w:rPr>
        <w:t>4</w:t>
      </w:r>
      <w:r>
        <w:rPr>
          <w:sz w:val="21"/>
          <w:shd w:fill="FFFFFF" w:val="clear"/>
        </w:rPr>
        <w:t>）</w:t>
      </w:r>
      <w:r>
        <w:rPr>
          <w:sz w:val="21"/>
          <w:shd w:fill="FFFFFF" w:val="clear"/>
        </w:rPr>
        <w:t>高清半球摄像机：带自动增益控制、逆光补偿、电子高亮度控制等（像素</w:t>
      </w:r>
      <w:r>
        <w:rPr>
          <w:sz w:val="21"/>
          <w:shd w:fill="FFFFFF" w:val="clear"/>
        </w:rPr>
        <w:t>400</w:t>
      </w:r>
      <w:r>
        <w:rPr>
          <w:sz w:val="21"/>
          <w:shd w:fill="FFFFFF" w:val="clear"/>
        </w:rPr>
        <w:t>万高清）。</w:t>
      </w:r>
    </w:p>
    <w:p>
      <w:pPr>
        <w:pStyle w:val="null3"/>
        <w:ind w:firstLine="420"/>
        <w:jc w:val="both"/>
      </w:pPr>
      <w:r>
        <w:rPr>
          <w:sz w:val="21"/>
          <w:shd w:fill="FFFFFF" w:val="clear"/>
        </w:rPr>
        <w:t>5</w:t>
      </w:r>
      <w:r>
        <w:rPr>
          <w:sz w:val="21"/>
          <w:shd w:fill="FFFFFF" w:val="clear"/>
        </w:rPr>
        <w:t>）</w:t>
      </w:r>
      <w:r>
        <w:rPr>
          <w:sz w:val="21"/>
          <w:shd w:fill="FFFFFF" w:val="clear"/>
        </w:rPr>
        <w:t>超六类非屏蔽网线：网络、电话、监控、门禁。</w:t>
      </w:r>
    </w:p>
    <w:p>
      <w:pPr>
        <w:pStyle w:val="null3"/>
        <w:ind w:firstLine="420"/>
        <w:jc w:val="both"/>
      </w:pPr>
      <w:r>
        <w:rPr>
          <w:sz w:val="21"/>
          <w:shd w:fill="FFFFFF" w:val="clear"/>
        </w:rPr>
        <w:t>6</w:t>
      </w:r>
      <w:r>
        <w:rPr>
          <w:sz w:val="21"/>
          <w:shd w:fill="FFFFFF" w:val="clear"/>
        </w:rPr>
        <w:t>）网络端口安装离地高</w:t>
      </w:r>
      <w:r>
        <w:rPr>
          <w:sz w:val="21"/>
          <w:shd w:fill="FFFFFF" w:val="clear"/>
        </w:rPr>
        <w:t>1.0</w:t>
      </w:r>
      <w:r>
        <w:rPr>
          <w:sz w:val="21"/>
          <w:shd w:fill="FFFFFF" w:val="clear"/>
        </w:rPr>
        <w:t>米，单网口插座、超五类。</w:t>
      </w:r>
    </w:p>
    <w:p>
      <w:pPr>
        <w:pStyle w:val="null3"/>
        <w:jc w:val="both"/>
      </w:pPr>
      <w:r>
        <w:rPr>
          <w:sz w:val="21"/>
          <w:shd w:fill="FFFFFF" w:val="clear"/>
        </w:rPr>
        <w:t>20</w:t>
      </w:r>
      <w:r>
        <w:rPr>
          <w:sz w:val="21"/>
          <w:shd w:fill="FFFFFF" w:val="clear"/>
        </w:rPr>
        <w:t>、通风管道</w:t>
      </w:r>
    </w:p>
    <w:p>
      <w:pPr>
        <w:pStyle w:val="null3"/>
        <w:ind w:firstLine="420"/>
        <w:jc w:val="both"/>
      </w:pPr>
      <w:r>
        <w:rPr>
          <w:sz w:val="21"/>
          <w:shd w:fill="FFFFFF" w:val="clear"/>
        </w:rPr>
        <w:t>1</w:t>
      </w:r>
      <w:r>
        <w:rPr>
          <w:sz w:val="21"/>
          <w:shd w:fill="FFFFFF" w:val="clear"/>
        </w:rPr>
        <w:t>）实验室的排风管采用PP风管。</w:t>
      </w:r>
    </w:p>
    <w:p>
      <w:pPr>
        <w:pStyle w:val="null3"/>
        <w:ind w:firstLine="420"/>
        <w:jc w:val="both"/>
      </w:pPr>
      <w:r>
        <w:rPr>
          <w:sz w:val="21"/>
          <w:shd w:fill="FFFFFF" w:val="clear"/>
        </w:rPr>
        <w:t>2</w:t>
      </w:r>
      <w:r>
        <w:rPr>
          <w:sz w:val="21"/>
          <w:shd w:fill="FFFFFF" w:val="clear"/>
        </w:rPr>
        <w:t>）风机采用管道定静压变频控制</w:t>
      </w:r>
      <w:r>
        <w:rPr>
          <w:sz w:val="21"/>
          <w:shd w:fill="FFFFFF" w:val="clear"/>
        </w:rPr>
        <w:t>。</w:t>
      </w:r>
    </w:p>
    <w:p>
      <w:pPr>
        <w:pStyle w:val="null3"/>
        <w:ind w:firstLine="420"/>
        <w:jc w:val="both"/>
      </w:pPr>
      <w:r>
        <w:rPr>
          <w:sz w:val="21"/>
          <w:shd w:fill="FFFFFF" w:val="clear"/>
        </w:rPr>
        <w:t>3</w:t>
      </w:r>
      <w:r>
        <w:rPr>
          <w:sz w:val="21"/>
          <w:shd w:fill="FFFFFF" w:val="clear"/>
        </w:rPr>
        <w:t>）通风柜排风要求：在满足通风安全要求的提前下实行风速可调节排风。</w:t>
      </w:r>
    </w:p>
    <w:p>
      <w:pPr>
        <w:pStyle w:val="null3"/>
        <w:ind w:firstLine="420"/>
        <w:jc w:val="both"/>
      </w:pPr>
      <w:r>
        <w:rPr>
          <w:sz w:val="21"/>
          <w:shd w:fill="FFFFFF" w:val="clear"/>
        </w:rPr>
        <w:t>4</w:t>
      </w:r>
      <w:r>
        <w:rPr>
          <w:sz w:val="21"/>
          <w:shd w:fill="FFFFFF" w:val="clear"/>
        </w:rPr>
        <w:t>）</w:t>
      </w:r>
      <w:r>
        <w:rPr>
          <w:sz w:val="21"/>
          <w:shd w:fill="FFFFFF" w:val="clear"/>
        </w:rPr>
        <w:t>补风要求：利用建筑物的现有条件进行机械补风。</w:t>
      </w:r>
    </w:p>
    <w:p>
      <w:pPr>
        <w:pStyle w:val="null3"/>
        <w:ind w:firstLine="420"/>
        <w:jc w:val="both"/>
      </w:pPr>
      <w:r>
        <w:rPr>
          <w:sz w:val="21"/>
          <w:shd w:fill="FFFFFF" w:val="clear"/>
        </w:rPr>
        <w:t>▲</w:t>
      </w:r>
      <w:r>
        <w:rPr>
          <w:sz w:val="21"/>
          <w:shd w:fill="FFFFFF" w:val="clear"/>
        </w:rPr>
        <w:t>5</w:t>
      </w:r>
      <w:r>
        <w:rPr>
          <w:sz w:val="21"/>
          <w:shd w:fill="FFFFFF" w:val="clear"/>
        </w:rPr>
        <w:t>）</w:t>
      </w:r>
      <w:r>
        <w:rPr>
          <w:sz w:val="21"/>
          <w:shd w:fill="FFFFFF" w:val="clear"/>
        </w:rPr>
        <w:t>所有排风系统均采玻璃钢离心式风机排风，该风机的电机与风斗部分完全隔离，可避免腐蚀性气体与电机及电机轴承直接接触造成安全隐患。实验室排风系统设计满足所有排风设备同时使用的要求实验室排风机的选择需满足排风量、全压的要求：风机性能曲线优良，满足风量、风压要求。风机其整体应为防腐材料制作，其叶轮为翼型离心式，风机效率</w:t>
      </w:r>
      <w:r>
        <w:rPr>
          <w:sz w:val="21"/>
          <w:shd w:fill="FFFFFF" w:val="clear"/>
        </w:rPr>
        <w:t>75%</w:t>
      </w:r>
      <w:r>
        <w:rPr>
          <w:sz w:val="21"/>
          <w:shd w:fill="FFFFFF" w:val="clear"/>
        </w:rPr>
        <w:t>以上；其风机安装后运转噪音距离</w:t>
      </w:r>
      <w:r>
        <w:rPr>
          <w:sz w:val="21"/>
          <w:shd w:fill="FFFFFF" w:val="clear"/>
        </w:rPr>
        <w:t>1M</w:t>
      </w:r>
      <w:r>
        <w:rPr>
          <w:sz w:val="21"/>
          <w:shd w:fill="FFFFFF" w:val="clear"/>
        </w:rPr>
        <w:t>处需小于</w:t>
      </w:r>
      <w:r>
        <w:rPr>
          <w:sz w:val="21"/>
          <w:shd w:fill="FFFFFF" w:val="clear"/>
        </w:rPr>
        <w:t>85dBa</w:t>
      </w:r>
      <w:r>
        <w:rPr>
          <w:sz w:val="21"/>
          <w:shd w:fill="FFFFFF" w:val="clear"/>
        </w:rPr>
        <w:t>，室内噪音应控制在</w:t>
      </w:r>
      <w:r>
        <w:rPr>
          <w:sz w:val="21"/>
          <w:shd w:fill="FFFFFF" w:val="clear"/>
        </w:rPr>
        <w:t>60dBa</w:t>
      </w:r>
      <w:r>
        <w:rPr>
          <w:sz w:val="21"/>
          <w:shd w:fill="FFFFFF" w:val="clear"/>
        </w:rPr>
        <w:t>以内。</w:t>
      </w:r>
    </w:p>
    <w:p>
      <w:pPr>
        <w:pStyle w:val="null3"/>
        <w:ind w:firstLine="420"/>
        <w:jc w:val="both"/>
      </w:pPr>
      <w:r>
        <w:rPr>
          <w:sz w:val="21"/>
          <w:shd w:fill="FFFFFF" w:val="clear"/>
        </w:rPr>
        <w:t>6</w:t>
      </w:r>
      <w:r>
        <w:rPr>
          <w:sz w:val="21"/>
          <w:shd w:fill="FFFFFF" w:val="clear"/>
        </w:rPr>
        <w:t>）</w:t>
      </w:r>
      <w:r>
        <w:rPr>
          <w:sz w:val="21"/>
          <w:shd w:fill="FFFFFF" w:val="clear"/>
        </w:rPr>
        <w:t>所有排风系统的大型风机宜采用皮带轮传动，运行平稳、噪音低，使用寿命长。</w:t>
      </w:r>
    </w:p>
    <w:p>
      <w:pPr>
        <w:pStyle w:val="null3"/>
        <w:ind w:firstLine="420"/>
        <w:jc w:val="both"/>
      </w:pPr>
      <w:r>
        <w:rPr>
          <w:sz w:val="21"/>
          <w:shd w:fill="FFFFFF" w:val="clear"/>
        </w:rPr>
        <w:t>7</w:t>
      </w:r>
      <w:r>
        <w:rPr>
          <w:sz w:val="21"/>
          <w:shd w:fill="FFFFFF" w:val="clear"/>
        </w:rPr>
        <w:t>）</w:t>
      </w:r>
      <w:r>
        <w:rPr>
          <w:sz w:val="21"/>
          <w:shd w:fill="FFFFFF" w:val="clear"/>
        </w:rPr>
        <w:t>所有离心排风机安装在楼顶室外，保证所有实验室内管段及通风设备均处于负压状态，不会有气体外溢造成对人员的伤害，排风机安装在楼顶室外，实现高空排放，便于废气扩散，实行废气处理。</w:t>
      </w:r>
    </w:p>
    <w:p>
      <w:pPr>
        <w:pStyle w:val="null3"/>
        <w:ind w:firstLine="420"/>
        <w:jc w:val="both"/>
      </w:pPr>
      <w:r>
        <w:rPr>
          <w:sz w:val="21"/>
          <w:shd w:fill="FFFFFF" w:val="clear"/>
        </w:rPr>
        <w:t>8</w:t>
      </w:r>
      <w:r>
        <w:rPr>
          <w:sz w:val="21"/>
          <w:shd w:fill="FFFFFF" w:val="clear"/>
        </w:rPr>
        <w:t>）</w:t>
      </w:r>
      <w:r>
        <w:rPr>
          <w:sz w:val="21"/>
          <w:shd w:fill="FFFFFF" w:val="clear"/>
        </w:rPr>
        <w:t>排风机风量按设计风量</w:t>
      </w:r>
      <w:r>
        <w:rPr>
          <w:sz w:val="21"/>
          <w:shd w:fill="FFFFFF" w:val="clear"/>
        </w:rPr>
        <w:t>1.2</w:t>
      </w:r>
      <w:r>
        <w:rPr>
          <w:sz w:val="21"/>
          <w:shd w:fill="FFFFFF" w:val="clear"/>
        </w:rPr>
        <w:t>倍，保留足够空间，能满足发展及留用需要。</w:t>
      </w:r>
    </w:p>
    <w:p>
      <w:pPr>
        <w:pStyle w:val="null3"/>
        <w:ind w:firstLine="420"/>
        <w:jc w:val="both"/>
      </w:pPr>
      <w:r>
        <w:rPr>
          <w:sz w:val="21"/>
          <w:shd w:fill="FFFFFF" w:val="clear"/>
        </w:rPr>
        <w:t>9</w:t>
      </w:r>
      <w:r>
        <w:rPr>
          <w:sz w:val="21"/>
          <w:shd w:fill="FFFFFF" w:val="clear"/>
        </w:rPr>
        <w:t>）</w:t>
      </w:r>
      <w:r>
        <w:rPr>
          <w:sz w:val="21"/>
          <w:shd w:fill="FFFFFF" w:val="clear"/>
        </w:rPr>
        <w:t>排风管技术指标：</w:t>
      </w:r>
    </w:p>
    <w:p>
      <w:pPr>
        <w:pStyle w:val="null3"/>
        <w:ind w:firstLine="422"/>
        <w:jc w:val="both"/>
      </w:pPr>
      <w:r>
        <w:rPr>
          <w:sz w:val="21"/>
          <w:b/>
          <w:shd w:fill="FFFFFF" w:val="clear"/>
        </w:rPr>
        <w:t>★</w:t>
      </w:r>
      <w:r>
        <w:rPr>
          <w:sz w:val="21"/>
          <w:shd w:fill="FFFFFF" w:val="clear"/>
        </w:rPr>
        <w:t>（</w:t>
      </w:r>
      <w:r>
        <w:rPr>
          <w:sz w:val="21"/>
          <w:shd w:fill="FFFFFF" w:val="clear"/>
        </w:rPr>
        <w:t>1</w:t>
      </w:r>
      <w:r>
        <w:rPr>
          <w:sz w:val="21"/>
          <w:shd w:fill="FFFFFF" w:val="clear"/>
        </w:rPr>
        <w:t>）</w:t>
      </w:r>
      <w:r>
        <w:rPr>
          <w:sz w:val="21"/>
          <w:shd w:fill="FFFFFF" w:val="clear"/>
        </w:rPr>
        <w:t xml:space="preserve">基于GB/T 26526-2011《热塑性弹性体低烟无卤阻燃材料规范》，GB 8624-2012《建筑材料及制品的燃烧性能等级》检测， </w:t>
      </w:r>
      <w:r>
        <w:rPr>
          <w:sz w:val="21"/>
          <w:shd w:fill="FFFFFF" w:val="clear"/>
        </w:rPr>
        <w:t>PP</w:t>
      </w:r>
      <w:r>
        <w:rPr>
          <w:sz w:val="21"/>
          <w:shd w:fill="FFFFFF" w:val="clear"/>
        </w:rPr>
        <w:t>管道材质要求所采用</w:t>
      </w:r>
      <w:r>
        <w:rPr>
          <w:sz w:val="21"/>
          <w:shd w:fill="FFFFFF" w:val="clear"/>
        </w:rPr>
        <w:t>PP</w:t>
      </w:r>
      <w:r>
        <w:rPr>
          <w:sz w:val="21"/>
          <w:shd w:fill="FFFFFF" w:val="clear"/>
        </w:rPr>
        <w:t>板材应通过如下检测，检测结果符合要求，</w:t>
      </w:r>
      <w:r>
        <w:rPr>
          <w:sz w:val="21"/>
          <w:shd w:fill="FFFFFF" w:val="clear"/>
        </w:rPr>
        <w:t>燃烧性能达到GB 8624-2012标准B1级标准，单体燃烧：燃烧增长速率指数FIGRA 0.2MJ,W/s ，检测结果：≤107；600s的总放热量THR600s，MJ ，检测结果：≤5.8；可燃性：60s；内焰尖高度Fs,mm，检测结果：&lt;150。</w:t>
      </w:r>
      <w:r>
        <w:rPr>
          <w:sz w:val="21"/>
          <w:shd w:fill="FFFFFF" w:val="clear"/>
        </w:rPr>
        <w:t>（首次响应时提供承诺函）</w:t>
      </w:r>
    </w:p>
    <w:p>
      <w:pPr>
        <w:pStyle w:val="null3"/>
        <w:jc w:val="both"/>
      </w:pPr>
      <w:r>
        <w:rPr>
          <w:sz w:val="21"/>
          <w:shd w:fill="FFFFFF" w:val="clear"/>
        </w:rPr>
        <w:t>21</w:t>
      </w:r>
      <w:r>
        <w:rPr>
          <w:sz w:val="21"/>
          <w:shd w:fill="FFFFFF" w:val="clear"/>
        </w:rPr>
        <w:t>、高效过滤单元模组</w:t>
      </w:r>
    </w:p>
    <w:p>
      <w:pPr>
        <w:pStyle w:val="null3"/>
        <w:ind w:firstLine="420"/>
        <w:jc w:val="both"/>
      </w:pPr>
      <w:r>
        <w:rPr>
          <w:sz w:val="21"/>
          <w:shd w:fill="FFFFFF" w:val="clear"/>
        </w:rPr>
        <w:t>（1）</w:t>
      </w:r>
      <w:r>
        <w:rPr>
          <w:sz w:val="21"/>
          <w:shd w:fill="FFFFFF" w:val="clear"/>
        </w:rPr>
        <w:t>将室内有污染气体经过过滤后排出室外可用作鲜风过滤，亦可将机箱内加装加压风机，用作加压过滤送风用。</w:t>
      </w:r>
      <w:r>
        <w:rPr>
          <w:sz w:val="21"/>
          <w:shd w:fill="FFFFFF" w:val="clear"/>
        </w:rPr>
        <w:t>500m3/h</w:t>
      </w:r>
      <w:r>
        <w:rPr>
          <w:sz w:val="21"/>
          <w:shd w:fill="FFFFFF" w:val="clear"/>
        </w:rPr>
        <w:t>风量，外框架采用铝合金材料、箱体表面采用彩钢板制作</w:t>
      </w:r>
      <w:r>
        <w:rPr>
          <w:sz w:val="21"/>
          <w:shd w:fill="FFFFFF" w:val="clear"/>
        </w:rPr>
        <w:t>。</w:t>
      </w:r>
    </w:p>
    <w:p>
      <w:pPr>
        <w:pStyle w:val="null3"/>
        <w:ind w:left="420"/>
        <w:jc w:val="both"/>
      </w:pPr>
      <w:r>
        <w:rPr>
          <w:sz w:val="21"/>
          <w:shd w:fill="FFFFFF" w:val="clear"/>
        </w:rPr>
        <w:t>（2）高效过滤器</w:t>
      </w:r>
    </w:p>
    <w:p>
      <w:pPr>
        <w:pStyle w:val="null3"/>
        <w:ind w:firstLine="420"/>
        <w:jc w:val="both"/>
      </w:pPr>
      <w:r>
        <w:rPr>
          <w:sz w:val="21"/>
          <w:shd w:fill="FFFFFF" w:val="clear"/>
        </w:rPr>
        <w:t>（3）</w:t>
      </w:r>
      <w:r>
        <w:rPr>
          <w:sz w:val="21"/>
          <w:shd w:fill="FFFFFF" w:val="clear"/>
        </w:rPr>
        <w:t>规格：</w:t>
      </w:r>
      <w:r>
        <w:rPr>
          <w:sz w:val="21"/>
          <w:shd w:fill="FFFFFF" w:val="clear"/>
        </w:rPr>
        <w:t>≥</w:t>
      </w:r>
      <w:r>
        <w:rPr>
          <w:sz w:val="21"/>
          <w:shd w:fill="FFFFFF" w:val="clear"/>
        </w:rPr>
        <w:t>320*320</w:t>
      </w:r>
      <w:r>
        <w:rPr>
          <w:sz w:val="21"/>
          <w:shd w:fill="FFFFFF" w:val="clear"/>
        </w:rPr>
        <w:t>mm</w:t>
      </w:r>
      <w:r>
        <w:rPr>
          <w:sz w:val="21"/>
          <w:shd w:fill="FFFFFF" w:val="clear"/>
        </w:rPr>
        <w:t>、</w:t>
      </w:r>
      <w:r>
        <w:rPr>
          <w:sz w:val="21"/>
          <w:shd w:fill="FFFFFF" w:val="clear"/>
        </w:rPr>
        <w:t>L=500m3/h</w:t>
      </w:r>
    </w:p>
    <w:p>
      <w:pPr>
        <w:pStyle w:val="null3"/>
        <w:ind w:firstLine="1470"/>
        <w:jc w:val="both"/>
      </w:pPr>
      <w:r>
        <w:rPr>
          <w:sz w:val="21"/>
          <w:shd w:fill="FFFFFF" w:val="clear"/>
        </w:rPr>
        <w:t>≥</w:t>
      </w:r>
      <w:r>
        <w:rPr>
          <w:sz w:val="21"/>
          <w:shd w:fill="FFFFFF" w:val="clear"/>
        </w:rPr>
        <w:t>484*484</w:t>
      </w:r>
      <w:r>
        <w:rPr>
          <w:sz w:val="21"/>
          <w:shd w:fill="FFFFFF" w:val="clear"/>
        </w:rPr>
        <w:t>mm</w:t>
      </w:r>
      <w:r>
        <w:rPr>
          <w:sz w:val="21"/>
          <w:shd w:fill="FFFFFF" w:val="clear"/>
        </w:rPr>
        <w:t>、</w:t>
      </w:r>
      <w:r>
        <w:rPr>
          <w:sz w:val="21"/>
          <w:shd w:fill="FFFFFF" w:val="clear"/>
        </w:rPr>
        <w:t>L=1000m3/h</w:t>
      </w:r>
    </w:p>
    <w:p>
      <w:pPr>
        <w:pStyle w:val="null3"/>
        <w:ind w:firstLine="420"/>
        <w:jc w:val="both"/>
      </w:pPr>
      <w:r>
        <w:rPr>
          <w:sz w:val="21"/>
          <w:shd w:fill="FFFFFF" w:val="clear"/>
        </w:rPr>
        <w:t>（4）</w:t>
      </w:r>
      <w:r>
        <w:rPr>
          <w:sz w:val="21"/>
          <w:shd w:fill="FFFFFF" w:val="clear"/>
        </w:rPr>
        <w:t>所用滤料：耐高温玻纤；常温可达</w:t>
      </w:r>
      <w:r>
        <w:rPr>
          <w:sz w:val="21"/>
          <w:shd w:fill="FFFFFF" w:val="clear"/>
        </w:rPr>
        <w:t>200</w:t>
      </w:r>
      <w:r>
        <w:rPr>
          <w:sz w:val="21"/>
          <w:shd w:fill="FFFFFF" w:val="clear"/>
        </w:rPr>
        <w:t>℃，瞬间温度达</w:t>
      </w:r>
      <w:r>
        <w:rPr>
          <w:sz w:val="21"/>
          <w:shd w:fill="FFFFFF" w:val="clear"/>
        </w:rPr>
        <w:t>380</w:t>
      </w:r>
      <w:r>
        <w:rPr>
          <w:sz w:val="21"/>
          <w:shd w:fill="FFFFFF" w:val="clear"/>
        </w:rPr>
        <w:t>℃；</w:t>
      </w:r>
    </w:p>
    <w:p>
      <w:pPr>
        <w:pStyle w:val="null3"/>
        <w:ind w:firstLine="420"/>
        <w:jc w:val="both"/>
      </w:pPr>
      <w:r>
        <w:rPr>
          <w:sz w:val="21"/>
          <w:shd w:fill="FFFFFF" w:val="clear"/>
        </w:rPr>
        <w:t>（5）</w:t>
      </w:r>
      <w:r>
        <w:rPr>
          <w:sz w:val="21"/>
          <w:shd w:fill="FFFFFF" w:val="clear"/>
        </w:rPr>
        <w:t>外框材质：铝合金；分隔物：铝箔；密封物：专用耐高温密封胶；</w:t>
      </w:r>
    </w:p>
    <w:p>
      <w:pPr>
        <w:pStyle w:val="null3"/>
        <w:ind w:firstLine="420"/>
        <w:jc w:val="both"/>
      </w:pPr>
      <w:r>
        <w:rPr>
          <w:sz w:val="21"/>
          <w:shd w:fill="FFFFFF" w:val="clear"/>
        </w:rPr>
        <w:t>（6）</w:t>
      </w:r>
      <w:r>
        <w:rPr>
          <w:sz w:val="21"/>
          <w:shd w:fill="FFFFFF" w:val="clear"/>
        </w:rPr>
        <w:t>结构：无隔板结构；过滤效率高、阻力低、容尘量大；</w:t>
      </w:r>
    </w:p>
    <w:p>
      <w:pPr>
        <w:pStyle w:val="null3"/>
        <w:ind w:firstLine="422"/>
        <w:jc w:val="both"/>
      </w:pPr>
      <w:r>
        <w:rPr>
          <w:sz w:val="21"/>
          <w:b/>
          <w:shd w:fill="FFFFFF" w:val="clear"/>
        </w:rPr>
        <w:t>★</w:t>
      </w:r>
      <w:r>
        <w:rPr>
          <w:sz w:val="21"/>
          <w:shd w:fill="FFFFFF" w:val="clear"/>
        </w:rPr>
        <w:t>（7）基于</w:t>
      </w:r>
      <w:r>
        <w:rPr>
          <w:sz w:val="21"/>
          <w:shd w:fill="FFFFFF" w:val="clear"/>
        </w:rPr>
        <w:t>GB/T20944.2-2007</w:t>
      </w:r>
      <w:r>
        <w:rPr>
          <w:sz w:val="21"/>
          <w:shd w:fill="FFFFFF" w:val="clear"/>
        </w:rPr>
        <w:t>《纺织品 抗菌性能的评价 第2部分：吸收法》，</w:t>
      </w:r>
      <w:r>
        <w:rPr>
          <w:sz w:val="21"/>
          <w:shd w:fill="FFFFFF" w:val="clear"/>
        </w:rPr>
        <w:t>抑菌性能：</w:t>
      </w:r>
      <w:r>
        <w:rPr>
          <w:sz w:val="21"/>
          <w:shd w:fill="FFFFFF" w:val="clear"/>
        </w:rPr>
        <w:t>18</w:t>
      </w:r>
      <w:r>
        <w:rPr>
          <w:sz w:val="21"/>
          <w:shd w:fill="FFFFFF" w:val="clear"/>
        </w:rPr>
        <w:t>小时大肠杆菌抑菌效率≧</w:t>
      </w:r>
      <w:r>
        <w:rPr>
          <w:sz w:val="21"/>
          <w:shd w:fill="FFFFFF" w:val="clear"/>
        </w:rPr>
        <w:t>99%</w:t>
      </w:r>
      <w:r>
        <w:rPr>
          <w:sz w:val="21"/>
          <w:shd w:fill="FFFFFF" w:val="clear"/>
        </w:rPr>
        <w:t>（首次响应时提供承诺函）</w:t>
      </w:r>
    </w:p>
    <w:p>
      <w:pPr>
        <w:pStyle w:val="null3"/>
        <w:ind w:firstLine="420"/>
        <w:jc w:val="both"/>
      </w:pPr>
      <w:r>
        <w:rPr>
          <w:sz w:val="21"/>
          <w:shd w:fill="FFFFFF" w:val="clear"/>
        </w:rPr>
        <w:t>（8）</w:t>
      </w:r>
      <w:r>
        <w:rPr>
          <w:sz w:val="21"/>
          <w:shd w:fill="FFFFFF" w:val="clear"/>
        </w:rPr>
        <w:t>采用一体注塑无接缝聚氨酯密封垫、聚氨酯密封胶。</w:t>
      </w:r>
    </w:p>
    <w:p>
      <w:pPr>
        <w:pStyle w:val="null3"/>
        <w:ind w:firstLine="420"/>
        <w:jc w:val="both"/>
      </w:pPr>
      <w:r>
        <w:rPr>
          <w:sz w:val="21"/>
          <w:shd w:fill="FFFFFF" w:val="clear"/>
        </w:rPr>
        <w:t>（9）</w:t>
      </w:r>
      <w:r>
        <w:rPr>
          <w:sz w:val="21"/>
          <w:shd w:fill="FFFFFF" w:val="clear"/>
        </w:rPr>
        <w:t>过滤效率</w:t>
      </w:r>
      <w:r>
        <w:rPr>
          <w:sz w:val="21"/>
          <w:shd w:fill="FFFFFF" w:val="clear"/>
        </w:rPr>
        <w:t>:HEPA</w:t>
      </w:r>
      <w:r>
        <w:rPr>
          <w:sz w:val="21"/>
          <w:shd w:fill="FFFFFF" w:val="clear"/>
        </w:rPr>
        <w:t>，</w:t>
      </w:r>
      <w:r>
        <w:rPr>
          <w:sz w:val="21"/>
          <w:shd w:fill="FFFFFF" w:val="clear"/>
        </w:rPr>
        <w:t>MPPS:</w:t>
      </w:r>
      <w:r>
        <w:rPr>
          <w:sz w:val="21"/>
          <w:shd w:fill="FFFFFF" w:val="clear"/>
        </w:rPr>
        <w:t>≥</w:t>
      </w:r>
      <w:r>
        <w:rPr>
          <w:sz w:val="21"/>
          <w:shd w:fill="FFFFFF" w:val="clear"/>
        </w:rPr>
        <w:t>95%(H11)</w:t>
      </w:r>
      <w:r>
        <w:rPr>
          <w:sz w:val="21"/>
          <w:shd w:fill="FFFFFF" w:val="clear"/>
        </w:rPr>
        <w:t>，</w:t>
      </w:r>
      <w:r>
        <w:rPr>
          <w:sz w:val="21"/>
          <w:shd w:fill="FFFFFF" w:val="clear"/>
        </w:rPr>
        <w:t>MPPS:</w:t>
      </w:r>
      <w:r>
        <w:rPr>
          <w:sz w:val="21"/>
          <w:shd w:fill="FFFFFF" w:val="clear"/>
        </w:rPr>
        <w:t>≥</w:t>
      </w:r>
      <w:r>
        <w:rPr>
          <w:sz w:val="21"/>
          <w:shd w:fill="FFFFFF" w:val="clear"/>
        </w:rPr>
        <w:t>99.995%</w:t>
      </w:r>
      <w:r>
        <w:rPr>
          <w:sz w:val="21"/>
          <w:shd w:fill="FFFFFF" w:val="clear"/>
        </w:rPr>
        <w:t>（</w:t>
      </w:r>
      <w:r>
        <w:rPr>
          <w:sz w:val="21"/>
          <w:shd w:fill="FFFFFF" w:val="clear"/>
        </w:rPr>
        <w:t>H14)</w:t>
      </w:r>
      <w:r>
        <w:rPr>
          <w:sz w:val="21"/>
          <w:shd w:fill="FFFFFF" w:val="clear"/>
        </w:rPr>
        <w:t>，</w:t>
      </w:r>
      <w:r>
        <w:rPr>
          <w:sz w:val="21"/>
          <w:shd w:fill="FFFFFF" w:val="clear"/>
        </w:rPr>
        <w:t>DOP:</w:t>
      </w:r>
      <w:r>
        <w:rPr>
          <w:sz w:val="21"/>
          <w:shd w:fill="FFFFFF" w:val="clear"/>
        </w:rPr>
        <w:t>≥</w:t>
      </w:r>
      <w:r>
        <w:rPr>
          <w:sz w:val="21"/>
          <w:shd w:fill="FFFFFF" w:val="clear"/>
        </w:rPr>
        <w:t>99.999%@0.3</w:t>
      </w:r>
      <w:r>
        <w:rPr>
          <w:sz w:val="21"/>
          <w:shd w:fill="FFFFFF" w:val="clear"/>
        </w:rPr>
        <w:t>μ</w:t>
      </w:r>
      <w:r>
        <w:rPr>
          <w:sz w:val="21"/>
          <w:shd w:fill="FFFFFF" w:val="clear"/>
        </w:rPr>
        <w:t>m</w:t>
      </w:r>
      <w:r>
        <w:rPr>
          <w:sz w:val="21"/>
          <w:shd w:fill="FFFFFF" w:val="clear"/>
        </w:rPr>
        <w:t>。</w:t>
      </w:r>
    </w:p>
    <w:p>
      <w:pPr>
        <w:pStyle w:val="null3"/>
        <w:jc w:val="both"/>
      </w:pPr>
      <w:r>
        <w:rPr>
          <w:sz w:val="21"/>
          <w:shd w:fill="FFFFFF" w:val="clear"/>
        </w:rPr>
        <w:t>2</w:t>
      </w:r>
      <w:r>
        <w:rPr>
          <w:sz w:val="21"/>
          <w:shd w:fill="FFFFFF" w:val="clear"/>
        </w:rPr>
        <w:t>2</w:t>
      </w:r>
      <w:r>
        <w:rPr>
          <w:sz w:val="21"/>
          <w:shd w:fill="FFFFFF" w:val="clear"/>
        </w:rPr>
        <w:t>）铝扣板天花</w:t>
      </w:r>
    </w:p>
    <w:p>
      <w:pPr>
        <w:pStyle w:val="null3"/>
        <w:ind w:firstLine="422"/>
        <w:jc w:val="both"/>
      </w:pPr>
      <w:r>
        <w:rPr>
          <w:sz w:val="21"/>
          <w:b/>
          <w:shd w:fill="FFFFFF" w:val="clear"/>
        </w:rPr>
        <w:t>★</w:t>
      </w:r>
      <w:r>
        <w:rPr>
          <w:sz w:val="21"/>
          <w:shd w:fill="FFFFFF" w:val="clear"/>
        </w:rPr>
        <w:t>检验依据</w:t>
      </w:r>
      <w:r>
        <w:rPr>
          <w:sz w:val="21"/>
          <w:shd w:fill="FFFFFF" w:val="clear"/>
        </w:rPr>
        <w:t>GB/T23444-2021(</w:t>
      </w:r>
      <w:r>
        <w:rPr>
          <w:sz w:val="21"/>
          <w:shd w:fill="FFFFFF" w:val="clear"/>
        </w:rPr>
        <w:t>金属及金属复合材料吊顶板），厚度允许偏差</w:t>
      </w:r>
      <w:r>
        <w:rPr>
          <w:sz w:val="21"/>
          <w:shd w:fill="FFFFFF" w:val="clear"/>
        </w:rPr>
        <w:t>+0.03mm;</w:t>
      </w:r>
      <w:r>
        <w:rPr>
          <w:sz w:val="21"/>
          <w:shd w:fill="FFFFFF" w:val="clear"/>
        </w:rPr>
        <w:t>耐酸性：体积分数</w:t>
      </w:r>
      <w:r>
        <w:rPr>
          <w:sz w:val="21"/>
          <w:shd w:fill="FFFFFF" w:val="clear"/>
        </w:rPr>
        <w:t>2%</w:t>
      </w:r>
      <w:r>
        <w:rPr>
          <w:sz w:val="21"/>
          <w:shd w:fill="FFFFFF" w:val="clear"/>
        </w:rPr>
        <w:t>的盐酸溶液，试验</w:t>
      </w:r>
      <w:r>
        <w:rPr>
          <w:sz w:val="21"/>
          <w:shd w:fill="FFFFFF" w:val="clear"/>
        </w:rPr>
        <w:t>2</w:t>
      </w:r>
      <w:r>
        <w:rPr>
          <w:sz w:val="21"/>
          <w:shd w:fill="FFFFFF" w:val="clear"/>
        </w:rPr>
        <w:t>小时，试验处无变化；耐碱性：饱和氢氧化钙试剂，试验时间</w:t>
      </w:r>
      <w:r>
        <w:rPr>
          <w:sz w:val="21"/>
          <w:shd w:fill="FFFFFF" w:val="clear"/>
        </w:rPr>
        <w:t>24</w:t>
      </w:r>
      <w:r>
        <w:rPr>
          <w:sz w:val="21"/>
          <w:shd w:fill="FFFFFF" w:val="clear"/>
        </w:rPr>
        <w:t>小时，试验处无变化。铝扣板吊顶≥</w:t>
      </w:r>
      <w:r>
        <w:rPr>
          <w:sz w:val="21"/>
          <w:shd w:fill="FFFFFF" w:val="clear"/>
        </w:rPr>
        <w:t>600x600x0.8mm</w:t>
      </w:r>
      <w:r>
        <w:rPr>
          <w:sz w:val="21"/>
          <w:shd w:fill="FFFFFF" w:val="clear"/>
        </w:rPr>
        <w:t>（</w:t>
      </w:r>
      <w:r>
        <w:rPr>
          <w:sz w:val="21"/>
          <w:shd w:fill="FFFFFF" w:val="clear"/>
        </w:rPr>
        <w:t>H=2.8m</w:t>
      </w:r>
      <w:r>
        <w:rPr>
          <w:sz w:val="21"/>
          <w:shd w:fill="FFFFFF" w:val="clear"/>
        </w:rPr>
        <w:t>），龙骨：</w:t>
      </w:r>
      <w:r>
        <w:rPr>
          <w:sz w:val="21"/>
          <w:shd w:fill="FFFFFF" w:val="clear"/>
        </w:rPr>
        <w:t>U</w:t>
      </w:r>
      <w:r>
        <w:rPr>
          <w:sz w:val="21"/>
          <w:shd w:fill="FFFFFF" w:val="clear"/>
        </w:rPr>
        <w:t>型轻钢龙骨、主骨</w:t>
      </w:r>
      <w:r>
        <w:rPr>
          <w:sz w:val="21"/>
          <w:shd w:fill="FFFFFF" w:val="clear"/>
        </w:rPr>
        <w:t>1.0</w:t>
      </w:r>
      <w:r>
        <w:rPr>
          <w:sz w:val="21"/>
          <w:shd w:fill="FFFFFF" w:val="clear"/>
        </w:rPr>
        <w:t>厚、副骨</w:t>
      </w:r>
      <w:r>
        <w:rPr>
          <w:sz w:val="21"/>
          <w:shd w:fill="FFFFFF" w:val="clear"/>
        </w:rPr>
        <w:t>0.6</w:t>
      </w:r>
      <w:r>
        <w:rPr>
          <w:sz w:val="21"/>
          <w:shd w:fill="FFFFFF" w:val="clear"/>
        </w:rPr>
        <w:t>厚。</w:t>
      </w:r>
      <w:r>
        <w:rPr>
          <w:sz w:val="21"/>
          <w:shd w:fill="FFFFFF" w:val="clear"/>
        </w:rPr>
        <w:t>（首次相应时提供承诺函）</w:t>
      </w:r>
    </w:p>
    <w:p>
      <w:pPr>
        <w:pStyle w:val="null3"/>
        <w:jc w:val="both"/>
      </w:pPr>
      <w:r>
        <w:rPr>
          <w:sz w:val="21"/>
        </w:rPr>
        <w:t>附件1: (对于采购需求写明“提供承诺” 的条款，供应商可参照以下格式提供承诺)</w:t>
      </w:r>
    </w:p>
    <w:p>
      <w:pPr>
        <w:pStyle w:val="null3"/>
        <w:ind w:firstLine="640"/>
        <w:jc w:val="center"/>
      </w:pPr>
      <w:r>
        <w:rPr>
          <w:sz w:val="32"/>
        </w:rPr>
        <w:t>承诺函</w:t>
      </w:r>
    </w:p>
    <w:p>
      <w:pPr>
        <w:pStyle w:val="null3"/>
        <w:ind w:firstLine="640"/>
        <w:jc w:val="center"/>
      </w:pPr>
      <w:r>
        <w:rPr>
          <w:sz w:val="21"/>
        </w:rPr>
        <w:t xml:space="preserve">致： </w:t>
      </w:r>
      <w:r>
        <w:rPr>
          <w:sz w:val="21"/>
          <w:b/>
          <w:u w:val="single"/>
        </w:rPr>
        <w:t>采购人名称</w:t>
      </w:r>
    </w:p>
    <w:p>
      <w:pPr>
        <w:pStyle w:val="null3"/>
        <w:ind w:firstLine="420"/>
        <w:jc w:val="both"/>
      </w:pPr>
      <w:r>
        <w:rPr>
          <w:sz w:val="21"/>
        </w:rPr>
        <w:t>对于</w:t>
      </w:r>
      <w:r>
        <w:rPr>
          <w:sz w:val="21"/>
        </w:rPr>
        <w:t>项目（项目编号：         ）</w:t>
      </w:r>
      <w:r>
        <w:rPr>
          <w:sz w:val="21"/>
        </w:rPr>
        <w:t>，我方郑重承诺如下：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left="840"/>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   年   月   日</w:t>
      </w:r>
    </w:p>
    <w:p>
      <w:pPr>
        <w:pStyle w:val="null3"/>
        <w:outlineLvl w:val="1"/>
      </w:pPr>
      <w:r>
        <w:rPr>
          <w:sz w:val="21"/>
          <w:b/>
        </w:rPr>
        <w:t>附件2：首次报价表</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624"/>
        <w:gridCol w:w="1682"/>
      </w:tblGrid>
      <w:tr>
        <w:tc>
          <w:tcPr>
            <w:tcW w:type="dxa" w:w="6624"/>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b/>
              </w:rPr>
              <w:t>总报价（元）</w:t>
            </w:r>
          </w:p>
        </w:tc>
        <w:tc>
          <w:tcPr>
            <w:tcW w:type="dxa" w:w="1682"/>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备注</w:t>
            </w:r>
          </w:p>
        </w:tc>
      </w:tr>
      <w:tr>
        <w:tc>
          <w:tcPr>
            <w:tcW w:type="dxa" w:w="6624"/>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大写：人民币</w:t>
            </w:r>
          </w:p>
        </w:tc>
        <w:tc>
          <w:tcPr>
            <w:tcW w:type="dxa" w:w="1682"/>
            <w:vMerge w:val="restart"/>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b/>
              </w:rPr>
              <w:t>本报价已包规费、税费等工程量清单中的所有费用</w:t>
            </w:r>
          </w:p>
        </w:tc>
      </w:tr>
      <w:tr>
        <w:tc>
          <w:tcPr>
            <w:tcW w:type="dxa" w:w="6624"/>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小写：￥</w:t>
            </w:r>
          </w:p>
          <w:p>
            <w:pPr>
              <w:pStyle w:val="null3"/>
              <w:spacing w:after="120"/>
              <w:jc w:val="both"/>
            </w:pPr>
          </w:p>
        </w:tc>
        <w:tc>
          <w:tcPr>
            <w:tcW w:type="dxa" w:w="1682"/>
            <w:vMerge/>
            <w:tcBorders>
              <w:top w:val="none" w:color="000000" w:sz="4"/>
              <w:left w:val="none" w:color="000000" w:sz="4"/>
              <w:bottom w:val="single" w:color="000000" w:sz="4"/>
              <w:right w:val="single" w:color="000000" w:sz="4"/>
            </w:tcBorders>
          </w:tcPr>
          <w:p/>
        </w:tc>
      </w:tr>
      <w:tr>
        <w:tc>
          <w:tcPr>
            <w:tcW w:type="dxa" w:w="8306"/>
            <w:gridSpan w:val="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其中：固定报价部分如下</w:t>
            </w:r>
          </w:p>
        </w:tc>
      </w:tr>
      <w:tr>
        <w:tc>
          <w:tcPr>
            <w:tcW w:type="dxa" w:w="6624"/>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安全生产措施费    元（建筑装饰部分   元，安装部分   元）；</w:t>
            </w:r>
          </w:p>
          <w:p>
            <w:pPr>
              <w:pStyle w:val="null3"/>
              <w:jc w:val="both"/>
            </w:pPr>
            <w:r>
              <w:rPr>
                <w:sz w:val="21"/>
              </w:rPr>
              <w:t>暂列金</w:t>
            </w:r>
            <w:r>
              <w:rPr>
                <w:sz w:val="21"/>
                <w:b/>
              </w:rPr>
              <w:t xml:space="preserve">    </w:t>
            </w:r>
            <w:r>
              <w:rPr>
                <w:sz w:val="21"/>
                <w:b/>
              </w:rPr>
              <w:t>元。</w:t>
            </w:r>
          </w:p>
        </w:tc>
        <w:tc>
          <w:tcPr>
            <w:tcW w:type="dxa" w:w="168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此处与工程量清单内容一致，最终报价不作变化</w:t>
            </w:r>
          </w:p>
        </w:tc>
      </w:tr>
    </w:tbl>
    <w:p>
      <w:pPr>
        <w:pStyle w:val="null3"/>
        <w:ind w:left="705"/>
        <w:jc w:val="both"/>
      </w:pPr>
      <w:r>
        <w:rPr>
          <w:sz w:val="21"/>
        </w:rPr>
        <w:t>注：1.此表总报价是所有需采购人支付的金额总数，包括《用户需求书》要求的全部内容及采购代理费用。</w:t>
      </w:r>
    </w:p>
    <w:p>
      <w:pPr>
        <w:pStyle w:val="null3"/>
        <w:ind w:left="705"/>
        <w:jc w:val="both"/>
      </w:pPr>
      <w:r>
        <w:rPr>
          <w:sz w:val="21"/>
        </w:rPr>
        <w:t>2.</w:t>
      </w:r>
      <w:r>
        <w:rPr>
          <w:sz w:val="21"/>
        </w:rPr>
        <w:t>总报价中必须包含购置、安装、运输保险、装卸、培训辅导、质保期售后服务、全额含税发票、雇员费用、合同实施过程中应预见和不可预见费用等。所有价格均应予人民币报价，金额单位为元。</w:t>
      </w:r>
    </w:p>
    <w:p>
      <w:pPr>
        <w:pStyle w:val="null3"/>
        <w:ind w:left="705"/>
        <w:jc w:val="both"/>
      </w:pPr>
      <w:r>
        <w:rPr>
          <w:sz w:val="21"/>
        </w:rPr>
        <w:t>3.</w:t>
      </w:r>
      <w:r>
        <w:rPr>
          <w:sz w:val="21"/>
          <w:b/>
        </w:rPr>
        <w:t>温馨提示：</w:t>
      </w:r>
      <w:r>
        <w:rPr>
          <w:sz w:val="21"/>
        </w:rPr>
        <w:t>中文大写金额用汉字，如壹、贰、叁、肆、伍、陆、柒、捌、玖、拾、佰、仟、万、亿、元、角、分、零、整（正）等。</w:t>
      </w:r>
    </w:p>
    <w:p>
      <w:pPr>
        <w:pStyle w:val="null3"/>
        <w:jc w:val="both"/>
      </w:pPr>
      <w:r>
        <w:rPr>
          <w:sz w:val="21"/>
        </w:rPr>
        <w:t>报价供应商名称（盖章）：</w:t>
      </w:r>
    </w:p>
    <w:p>
      <w:pPr>
        <w:pStyle w:val="null3"/>
        <w:ind w:left="705"/>
        <w:jc w:val="both"/>
      </w:pPr>
      <w:r>
        <w:rPr>
          <w:sz w:val="21"/>
        </w:rPr>
        <w:t>日期：   年   月   日</w:t>
      </w:r>
    </w:p>
    <w:p>
      <w:pPr>
        <w:pStyle w:val="null3"/>
        <w:ind w:firstLine="420"/>
        <w:jc w:val="both"/>
      </w:pPr>
      <w:r>
        <w:rPr>
          <w:sz w:val="21"/>
          <w:b/>
        </w:rPr>
        <w:t>附件3：（</w:t>
      </w:r>
      <w:r>
        <w:rPr>
          <w:sz w:val="21"/>
        </w:rPr>
        <w:t>因云平台投标格式中的</w:t>
      </w:r>
      <w:r>
        <w:rPr>
          <w:sz w:val="21"/>
        </w:rPr>
        <w:t>“</w:t>
      </w:r>
      <w:r>
        <w:rPr>
          <w:sz w:val="21"/>
          <w:b/>
        </w:rPr>
        <w:t>政策适用性说明</w:t>
      </w:r>
      <w:r>
        <w:rPr>
          <w:sz w:val="21"/>
        </w:rPr>
        <w:t>”</w:t>
      </w:r>
      <w:r>
        <w:rPr>
          <w:sz w:val="21"/>
        </w:rPr>
        <w:t>无法满足项目实际，请投标</w:t>
      </w:r>
      <w:r>
        <w:rPr>
          <w:sz w:val="21"/>
        </w:rPr>
        <w:t>/</w:t>
      </w:r>
      <w:r>
        <w:rPr>
          <w:sz w:val="21"/>
        </w:rPr>
        <w:t>报价人按此格式填写</w:t>
      </w:r>
      <w:r>
        <w:rPr>
          <w:sz w:val="21"/>
          <w:b/>
        </w:rPr>
        <w:t>政策适用性说明）</w:t>
      </w:r>
    </w:p>
    <w:p>
      <w:pPr>
        <w:pStyle w:val="null3"/>
        <w:jc w:val="both"/>
      </w:pPr>
      <w:r>
        <w:rPr>
          <w:sz w:val="32"/>
        </w:rPr>
        <w:t>《节能环保政策适用性说明》</w:t>
      </w:r>
    </w:p>
    <w:p>
      <w:pPr>
        <w:pStyle w:val="null3"/>
        <w:ind w:firstLine="420"/>
        <w:jc w:val="both"/>
      </w:pPr>
      <w:r>
        <w:rPr>
          <w:sz w:val="21"/>
        </w:rPr>
        <w:t>填写注意事项：</w:t>
      </w:r>
    </w:p>
    <w:p>
      <w:pPr>
        <w:pStyle w:val="null3"/>
        <w:ind w:firstLine="420"/>
        <w:jc w:val="left"/>
      </w:pPr>
      <w:r>
        <w:rPr>
          <w:sz w:val="21"/>
        </w:rPr>
        <w:t>1</w:t>
      </w:r>
      <w:r>
        <w:rPr>
          <w:sz w:val="21"/>
        </w:rPr>
        <w:t>、供应商所投的产品，符合节能产品、环境标志产品政策要求的，按以下格式填写。</w:t>
      </w:r>
    </w:p>
    <w:p>
      <w:pPr>
        <w:pStyle w:val="null3"/>
        <w:ind w:firstLine="420"/>
        <w:jc w:val="left"/>
      </w:pPr>
      <w:r>
        <w:rPr>
          <w:sz w:val="21"/>
        </w:rPr>
        <w:t>2</w:t>
      </w:r>
      <w:r>
        <w:rPr>
          <w:sz w:val="21"/>
        </w:rPr>
        <w:t>、供应商所响应的产品须是《节能产品政府采购品目清单》、《环境标志产品政府采购品目清单》内的产品，该产品由国家确定的认证机构颁发处于有效期内的认证证书（认证标准须符合《清单》中对应产品所依据的标准，认证型号须与所投产品型号一致），才视为符合节能产品、环境标志产品政策要求。</w:t>
      </w:r>
    </w:p>
    <w:p>
      <w:pPr>
        <w:pStyle w:val="null3"/>
        <w:ind w:firstLine="420"/>
        <w:jc w:val="both"/>
      </w:pPr>
      <w:r>
        <w:rPr>
          <w:sz w:val="21"/>
        </w:rPr>
        <w:t>3</w:t>
      </w:r>
      <w:r>
        <w:rPr>
          <w:sz w:val="21"/>
        </w:rPr>
        <w:t>、节能产品包括节水产品。</w:t>
      </w:r>
    </w:p>
    <w:p>
      <w:pPr>
        <w:pStyle w:val="null3"/>
        <w:ind w:firstLine="420"/>
        <w:jc w:val="left"/>
      </w:pPr>
      <w:r>
        <w:rPr>
          <w:sz w:val="21"/>
        </w:rPr>
        <w:t>4</w:t>
      </w:r>
      <w:r>
        <w:rPr>
          <w:sz w:val="21"/>
        </w:rPr>
        <w:t>、在《财政部</w:t>
      </w:r>
      <w:r>
        <w:rPr>
          <w:sz w:val="21"/>
        </w:rPr>
        <w:t>发展改革委</w:t>
      </w:r>
      <w:r>
        <w:rPr>
          <w:sz w:val="21"/>
        </w:rPr>
        <w:t>生态环境部</w:t>
      </w:r>
      <w:r>
        <w:rPr>
          <w:sz w:val="21"/>
        </w:rPr>
        <w:t>市场监管总局关于调整优化节能产品、环境标志产品政府采购执行机制的通知》（财库〔</w:t>
      </w:r>
      <w:r>
        <w:rPr>
          <w:sz w:val="21"/>
        </w:rPr>
        <w:t>2019</w:t>
      </w:r>
      <w:r>
        <w:rPr>
          <w:sz w:val="21"/>
        </w:rPr>
        <w:t>〕</w:t>
      </w:r>
      <w:r>
        <w:rPr>
          <w:sz w:val="21"/>
        </w:rPr>
        <w:t>9</w:t>
      </w:r>
      <w:r>
        <w:rPr>
          <w:sz w:val="21"/>
        </w:rPr>
        <w:t>号）中可查询节能产品、环境标志产品政府采购政策。</w:t>
      </w:r>
    </w:p>
    <w:p>
      <w:pPr>
        <w:pStyle w:val="null3"/>
        <w:ind w:firstLine="420"/>
        <w:jc w:val="left"/>
      </w:pPr>
      <w:r>
        <w:rPr>
          <w:sz w:val="21"/>
        </w:rPr>
        <w:t>查询网址：</w:t>
      </w:r>
      <w:r>
        <w:rPr>
          <w:sz w:val="21"/>
        </w:rPr>
        <w:t>http://www.ccgp.gov.cn/zcfg/mof/201902/t20190213_11628855.htm</w:t>
      </w:r>
      <w:r>
        <w:rPr>
          <w:sz w:val="21"/>
        </w:rPr>
        <w:t>。</w:t>
      </w:r>
    </w:p>
    <w:p>
      <w:pPr>
        <w:pStyle w:val="null3"/>
        <w:ind w:firstLine="420"/>
        <w:jc w:val="left"/>
      </w:pPr>
      <w:r>
        <w:rPr>
          <w:sz w:val="21"/>
        </w:rPr>
        <w:t>5</w:t>
      </w:r>
      <w:r>
        <w:rPr>
          <w:sz w:val="21"/>
        </w:rPr>
        <w:t>、在《关于印发环境标志产品政府采购品目清单的通知》（财库〔</w:t>
      </w:r>
      <w:r>
        <w:rPr>
          <w:sz w:val="21"/>
        </w:rPr>
        <w:t>2019</w:t>
      </w:r>
      <w:r>
        <w:rPr>
          <w:sz w:val="21"/>
        </w:rPr>
        <w:t>〕</w:t>
      </w:r>
      <w:r>
        <w:rPr>
          <w:sz w:val="21"/>
        </w:rPr>
        <w:t>18</w:t>
      </w:r>
      <w:r>
        <w:rPr>
          <w:sz w:val="21"/>
        </w:rPr>
        <w:t>号）、《关于印发节能产品政府采购品目清单的通知》（财库〔</w:t>
      </w:r>
      <w:r>
        <w:rPr>
          <w:sz w:val="21"/>
        </w:rPr>
        <w:t>2019</w:t>
      </w:r>
      <w:r>
        <w:rPr>
          <w:sz w:val="21"/>
        </w:rPr>
        <w:t>〕</w:t>
      </w:r>
      <w:r>
        <w:rPr>
          <w:sz w:val="21"/>
        </w:rPr>
        <w:t>19</w:t>
      </w:r>
      <w:r>
        <w:rPr>
          <w:sz w:val="21"/>
        </w:rPr>
        <w:t>号）中可以查到对应的清单目录。国家确定的认证机构可在《市场监管总局关于发布参与实施政府采购节能产品、环境标志产品认证机构名录的公告》（</w:t>
      </w:r>
      <w:r>
        <w:rPr>
          <w:sz w:val="21"/>
        </w:rPr>
        <w:t>2019</w:t>
      </w:r>
      <w:r>
        <w:rPr>
          <w:sz w:val="21"/>
        </w:rPr>
        <w:t>年第</w:t>
      </w:r>
      <w:r>
        <w:rPr>
          <w:sz w:val="21"/>
        </w:rPr>
        <w:t>16</w:t>
      </w:r>
      <w:r>
        <w:rPr>
          <w:sz w:val="21"/>
        </w:rPr>
        <w:t>号）中查询。</w:t>
      </w:r>
    </w:p>
    <w:p>
      <w:pPr>
        <w:pStyle w:val="null3"/>
        <w:ind w:firstLine="420"/>
        <w:jc w:val="left"/>
      </w:pPr>
      <w:r>
        <w:rPr>
          <w:sz w:val="21"/>
        </w:rPr>
        <w:t>查询网址：</w:t>
      </w:r>
      <w:r>
        <w:rPr>
          <w:sz w:val="21"/>
        </w:rPr>
        <w:t>http://www.ccgp.gov.cn/zcfg/mof/201903/t20190330_11833800.htm</w:t>
      </w:r>
    </w:p>
    <w:p>
      <w:pPr>
        <w:pStyle w:val="null3"/>
        <w:ind w:firstLine="420"/>
        <w:jc w:val="left"/>
      </w:pPr>
      <w:r>
        <w:rPr>
          <w:sz w:val="21"/>
        </w:rPr>
        <w:t>http://www.ccgp.gov.cn/zcfg/mof/201904/t20190403_11849836.htm</w:t>
      </w:r>
    </w:p>
    <w:p>
      <w:pPr>
        <w:pStyle w:val="null3"/>
        <w:ind w:firstLine="420"/>
        <w:jc w:val="left"/>
      </w:pPr>
      <w:r>
        <w:rPr>
          <w:sz w:val="21"/>
        </w:rPr>
        <w:t>http://www.ccgp.gov.cn/zcfg/bwfile/201904/t20190403_11853998.htm</w:t>
      </w:r>
    </w:p>
    <w:p>
      <w:pPr>
        <w:pStyle w:val="null3"/>
        <w:ind w:firstLine="420"/>
        <w:jc w:val="left"/>
      </w:pPr>
      <w:r>
        <w:rPr>
          <w:sz w:val="21"/>
        </w:rPr>
        <w:t>6</w:t>
      </w:r>
      <w:r>
        <w:rPr>
          <w:sz w:val="21"/>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20"/>
        <w:jc w:val="left"/>
      </w:pPr>
      <w:r>
        <w:rPr>
          <w:sz w:val="21"/>
        </w:rPr>
        <w:t>7</w:t>
      </w:r>
      <w:r>
        <w:rPr>
          <w:sz w:val="21"/>
        </w:rPr>
        <w:t>、《政策适用性说明》的货物名称、型号与《分项报价表》（如工程项目，则为《工程量清单》）的货物名称、型号不一致的，以《分项报价表》或《工程量清单》的货物名称、型号为准。</w:t>
      </w:r>
    </w:p>
    <w:p>
      <w:pPr>
        <w:pStyle w:val="null3"/>
        <w:ind w:firstLine="420"/>
        <w:jc w:val="left"/>
      </w:pPr>
      <w:r>
        <w:rPr>
          <w:sz w:val="21"/>
        </w:rPr>
        <w:t xml:space="preserve">8. </w:t>
      </w:r>
      <w:r>
        <w:rPr>
          <w:sz w:val="21"/>
        </w:rPr>
        <w:t>请供应商提供所投产品的节能（水）产品认证证书或环境标志产品认证证书。</w:t>
      </w:r>
    </w:p>
    <w:p>
      <w:pPr>
        <w:pStyle w:val="null3"/>
        <w:ind w:firstLine="420"/>
        <w:jc w:val="left"/>
      </w:pPr>
      <w:r>
        <w:rPr>
          <w:sz w:val="21"/>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0"/>
        <w:gridCol w:w="596"/>
        <w:gridCol w:w="596"/>
        <w:gridCol w:w="1123"/>
        <w:gridCol w:w="693"/>
        <w:gridCol w:w="610"/>
        <w:gridCol w:w="749"/>
        <w:gridCol w:w="541"/>
        <w:gridCol w:w="804"/>
        <w:gridCol w:w="985"/>
        <w:gridCol w:w="1179"/>
      </w:tblGrid>
      <w:tr>
        <w:tc>
          <w:tcPr>
            <w:tcW w:type="dxa" w:w="430"/>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序号</w:t>
            </w:r>
          </w:p>
        </w:tc>
        <w:tc>
          <w:tcPr>
            <w:tcW w:type="dxa" w:w="59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产品名称</w:t>
            </w:r>
          </w:p>
          <w:p>
            <w:pPr>
              <w:pStyle w:val="null3"/>
              <w:spacing w:after="165"/>
              <w:jc w:val="center"/>
            </w:pPr>
          </w:p>
        </w:tc>
        <w:tc>
          <w:tcPr>
            <w:tcW w:type="dxa" w:w="59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对应《节能产品政府采购品目清单》的品目序号</w:t>
            </w:r>
          </w:p>
        </w:tc>
        <w:tc>
          <w:tcPr>
            <w:tcW w:type="dxa" w:w="1123"/>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对应《分项报价表》序号</w:t>
            </w:r>
          </w:p>
          <w:p>
            <w:pPr>
              <w:pStyle w:val="null3"/>
              <w:spacing w:after="165"/>
              <w:jc w:val="center"/>
            </w:pPr>
            <w:r>
              <w:rPr>
                <w:sz w:val="15"/>
              </w:rPr>
              <w:t>（如为工程项目，则填写工程量清单表格名称及对应的序号）</w:t>
            </w:r>
          </w:p>
        </w:tc>
        <w:tc>
          <w:tcPr>
            <w:tcW w:type="dxa" w:w="693"/>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产品品牌</w:t>
            </w:r>
          </w:p>
          <w:p>
            <w:pPr>
              <w:pStyle w:val="null3"/>
              <w:spacing w:after="165"/>
              <w:jc w:val="center"/>
            </w:pPr>
            <w:r>
              <w:rPr>
                <w:sz w:val="15"/>
              </w:rPr>
              <w:t>（如有）</w:t>
            </w:r>
          </w:p>
        </w:tc>
        <w:tc>
          <w:tcPr>
            <w:tcW w:type="dxa" w:w="61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所投产品型号</w:t>
            </w:r>
          </w:p>
        </w:tc>
        <w:tc>
          <w:tcPr>
            <w:tcW w:type="dxa" w:w="74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认证证书上的认证型号</w:t>
            </w:r>
          </w:p>
          <w:p>
            <w:pPr>
              <w:pStyle w:val="null3"/>
              <w:spacing w:after="165"/>
              <w:jc w:val="center"/>
            </w:pPr>
          </w:p>
        </w:tc>
        <w:tc>
          <w:tcPr>
            <w:tcW w:type="dxa" w:w="541"/>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认证证书所在页码</w:t>
            </w:r>
          </w:p>
        </w:tc>
        <w:tc>
          <w:tcPr>
            <w:tcW w:type="dxa" w:w="80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《节能产品政府采购品目清单》所依据的标准</w:t>
            </w:r>
          </w:p>
        </w:tc>
        <w:tc>
          <w:tcPr>
            <w:tcW w:type="dxa" w:w="985"/>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认证证书上的认证标准</w:t>
            </w:r>
          </w:p>
        </w:tc>
        <w:tc>
          <w:tcPr>
            <w:tcW w:type="dxa" w:w="117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产品报价（元）</w:t>
            </w:r>
          </w:p>
          <w:p>
            <w:pPr>
              <w:pStyle w:val="null3"/>
              <w:spacing w:after="165"/>
              <w:jc w:val="center"/>
            </w:p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（一）强制节能产品（即</w:t>
            </w:r>
            <w:r>
              <w:rPr>
                <w:sz w:val="21"/>
              </w:rPr>
              <w:t>《节能产品政府采购品目清单》中标注“★”的产品</w:t>
            </w:r>
            <w:r>
              <w:rPr>
                <w:sz w:val="21"/>
              </w:rPr>
              <w:t>）</w:t>
            </w: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8"/>
              </w:rPr>
              <w:t>强制节能产品，不享受价格扣除或技术加分，故此处无须填报价格</w:t>
            </w: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2</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vMerge/>
            <w:tcBorders>
              <w:top w:val="none" w:color="000000" w:sz="4"/>
              <w:left w:val="none" w:color="000000" w:sz="4"/>
              <w:bottom w:val="single" w:color="000000" w:sz="4"/>
              <w:right w:val="single" w:color="000000" w:sz="4"/>
            </w:tcBorders>
          </w:tcP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vMerge/>
            <w:tcBorders>
              <w:top w:val="none" w:color="000000" w:sz="4"/>
              <w:left w:val="none" w:color="000000" w:sz="4"/>
              <w:bottom w:val="single" w:color="000000" w:sz="4"/>
              <w:right w:val="single" w:color="000000" w:sz="4"/>
            </w:tcBorders>
          </w:tc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（二）优先采购节能产品（即</w:t>
            </w:r>
            <w:r>
              <w:rPr>
                <w:sz w:val="21"/>
              </w:rPr>
              <w:t>《节能产品政府采购品目清单》中未标注“★”的产品</w:t>
            </w:r>
            <w:r>
              <w:rPr>
                <w:sz w:val="21"/>
              </w:rPr>
              <w:t>）</w:t>
            </w: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2</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797"/>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优先节能产品价格合计</w:t>
            </w:r>
          </w:p>
        </w:tc>
        <w:tc>
          <w:tcPr>
            <w:tcW w:type="dxa" w:w="3509"/>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r>
    </w:tbl>
    <w:p>
      <w:pPr>
        <w:pStyle w:val="null3"/>
        <w:jc w:val="right"/>
      </w:pPr>
      <w:r>
        <w:rPr>
          <w:sz w:val="21"/>
          <w:shd w:fill="FFFFFF" w:val="clear"/>
        </w:rPr>
        <w:t>供应商名称（盖章）：__________________</w:t>
      </w:r>
    </w:p>
    <w:p>
      <w:pPr>
        <w:pStyle w:val="null3"/>
        <w:spacing w:after="165"/>
        <w:ind w:firstLine="480"/>
        <w:jc w:val="right"/>
      </w:pPr>
      <w:r>
        <w:rPr>
          <w:sz w:val="21"/>
          <w:shd w:fill="FFFFFF" w:val="clear"/>
        </w:rPr>
        <w:t>日期：年月日</w:t>
      </w:r>
    </w:p>
    <w:p>
      <w:pPr>
        <w:pStyle w:val="null3"/>
        <w:jc w:val="left"/>
      </w:pPr>
      <w:r>
        <w:rPr>
          <w:sz w:val="21"/>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28"/>
        <w:gridCol w:w="608"/>
        <w:gridCol w:w="802"/>
        <w:gridCol w:w="967"/>
        <w:gridCol w:w="732"/>
        <w:gridCol w:w="484"/>
        <w:gridCol w:w="622"/>
        <w:gridCol w:w="719"/>
        <w:gridCol w:w="926"/>
        <w:gridCol w:w="1023"/>
        <w:gridCol w:w="995"/>
      </w:tblGrid>
      <w:tr>
        <w:tc>
          <w:tcPr>
            <w:tcW w:type="dxa" w:w="428"/>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序号</w:t>
            </w:r>
          </w:p>
        </w:tc>
        <w:tc>
          <w:tcPr>
            <w:tcW w:type="dxa" w:w="608"/>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产品名称</w:t>
            </w:r>
          </w:p>
        </w:tc>
        <w:tc>
          <w:tcPr>
            <w:tcW w:type="dxa" w:w="8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75"/>
              <w:jc w:val="left"/>
            </w:pPr>
            <w:r>
              <w:rPr>
                <w:sz w:val="15"/>
              </w:rPr>
              <w:t>对应《环境标志产品政府采购品目清单》的品目序号</w:t>
            </w:r>
          </w:p>
          <w:p>
            <w:pPr>
              <w:pStyle w:val="null3"/>
              <w:spacing w:after="165"/>
              <w:jc w:val="left"/>
            </w:pPr>
          </w:p>
        </w:tc>
        <w:tc>
          <w:tcPr>
            <w:tcW w:type="dxa" w:w="96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对应《分项报价表》序号</w:t>
            </w:r>
          </w:p>
          <w:p>
            <w:pPr>
              <w:pStyle w:val="null3"/>
              <w:spacing w:after="165"/>
              <w:jc w:val="left"/>
            </w:pPr>
            <w:r>
              <w:rPr>
                <w:sz w:val="15"/>
              </w:rPr>
              <w:t>（如为工程项目，则填写工程量清单表格名称及对应的序号）</w:t>
            </w:r>
          </w:p>
        </w:tc>
        <w:tc>
          <w:tcPr>
            <w:tcW w:type="dxa" w:w="73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认证证书所在页码</w:t>
            </w:r>
          </w:p>
        </w:tc>
        <w:tc>
          <w:tcPr>
            <w:tcW w:type="dxa" w:w="48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产品品牌（如有）</w:t>
            </w:r>
          </w:p>
        </w:tc>
        <w:tc>
          <w:tcPr>
            <w:tcW w:type="dxa" w:w="62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所投产品</w:t>
            </w:r>
          </w:p>
          <w:p>
            <w:pPr>
              <w:pStyle w:val="null3"/>
              <w:spacing w:after="165"/>
              <w:jc w:val="left"/>
            </w:pPr>
            <w:r>
              <w:rPr>
                <w:sz w:val="15"/>
              </w:rPr>
              <w:t>型号</w:t>
            </w:r>
          </w:p>
        </w:tc>
        <w:tc>
          <w:tcPr>
            <w:tcW w:type="dxa" w:w="71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认证证书上的认证型号</w:t>
            </w:r>
          </w:p>
        </w:tc>
        <w:tc>
          <w:tcPr>
            <w:tcW w:type="dxa" w:w="92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《环境标志产品政府采购品目清单》所依据的标准</w:t>
            </w:r>
          </w:p>
        </w:tc>
        <w:tc>
          <w:tcPr>
            <w:tcW w:type="dxa" w:w="1023"/>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认证证书上的认证标准</w:t>
            </w:r>
          </w:p>
        </w:tc>
        <w:tc>
          <w:tcPr>
            <w:tcW w:type="dxa" w:w="995"/>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ind w:firstLine="225"/>
              <w:jc w:val="left"/>
            </w:pPr>
            <w:r>
              <w:rPr>
                <w:sz w:val="15"/>
              </w:rPr>
              <w:t>产品报价（元）</w:t>
            </w:r>
          </w:p>
          <w:p>
            <w:pPr>
              <w:pStyle w:val="null3"/>
              <w:spacing w:after="165"/>
              <w:jc w:val="left"/>
            </w:pPr>
          </w:p>
        </w:tc>
      </w:tr>
      <w:tr>
        <w:tc>
          <w:tcPr>
            <w:tcW w:type="dxa" w:w="428"/>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1</w:t>
            </w:r>
          </w:p>
        </w:tc>
        <w:tc>
          <w:tcPr>
            <w:tcW w:type="dxa" w:w="608"/>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8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8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2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2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9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28"/>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608"/>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8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8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2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2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9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28"/>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3</w:t>
            </w:r>
          </w:p>
        </w:tc>
        <w:tc>
          <w:tcPr>
            <w:tcW w:type="dxa" w:w="608"/>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8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8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2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2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9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3537"/>
            <w:gridSpan w:val="5"/>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环境标志产品价格合计</w:t>
            </w:r>
          </w:p>
        </w:tc>
        <w:tc>
          <w:tcPr>
            <w:tcW w:type="dxa" w:w="48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p>
        </w:tc>
        <w:tc>
          <w:tcPr>
            <w:tcW w:type="dxa" w:w="62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2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9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bl>
    <w:p>
      <w:pPr>
        <w:pStyle w:val="null3"/>
        <w:jc w:val="right"/>
      </w:pPr>
      <w:r>
        <w:rPr>
          <w:sz w:val="21"/>
          <w:shd w:fill="FFFFFF" w:val="clear"/>
        </w:rPr>
        <w:t>供应商名称（盖章）：__________________</w:t>
      </w:r>
    </w:p>
    <w:p>
      <w:pPr>
        <w:pStyle w:val="null3"/>
        <w:spacing w:after="165"/>
        <w:ind w:firstLine="480"/>
        <w:jc w:val="center"/>
      </w:pPr>
      <w:r>
        <w:rPr>
          <w:sz w:val="21"/>
          <w:shd w:fill="FFFFFF" w:val="clear"/>
        </w:rPr>
        <w:t xml:space="preserve">                                     </w:t>
      </w:r>
      <w:r>
        <w:rPr>
          <w:sz w:val="21"/>
          <w:shd w:fill="FFFFFF" w:val="clear"/>
        </w:rPr>
        <w:t>日期：年月日</w:t>
      </w:r>
    </w:p>
    <w:p>
      <w:pPr>
        <w:pStyle w:val="null3"/>
        <w:jc w:val="both"/>
      </w:pPr>
      <w:r>
        <w:rPr/>
        <w:t>采购包1（华南农业大学生科院生物智造研究院实验室装修项目）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60天</w:t>
            </w:r>
          </w:p>
        </w:tc>
      </w:tr>
      <w:tr>
        <w:tc>
          <w:tcPr>
            <w:tcW w:type="dxa" w:w="4153"/>
          </w:tcPr>
          <w:p>
            <w:pPr>
              <w:pStyle w:val="null3"/>
            </w:pPr>
            <w:r>
              <w:rPr/>
              <w:t>标的提供的地点</w:t>
            </w:r>
          </w:p>
        </w:tc>
        <w:tc>
          <w:tcPr>
            <w:tcW w:type="dxa" w:w="4153"/>
          </w:tcPr>
          <w:p>
            <w:pPr>
              <w:pStyle w:val="null3"/>
            </w:pPr>
            <w:r>
              <w:rPr/>
              <w:t>广东省广州市天河区五山路483号（华南农业大学生科院）</w:t>
            </w:r>
          </w:p>
        </w:tc>
      </w:tr>
      <w:tr>
        <w:tc>
          <w:tcPr>
            <w:tcW w:type="dxa" w:w="4153"/>
          </w:tcPr>
          <w:p>
            <w:pPr>
              <w:pStyle w:val="null3"/>
            </w:pPr>
            <w:r>
              <w:rPr/>
              <w:t>付款方式</w:t>
            </w:r>
          </w:p>
        </w:tc>
        <w:tc>
          <w:tcPr>
            <w:tcW w:type="dxa" w:w="4153"/>
          </w:tcPr>
          <w:p>
            <w:pPr>
              <w:pStyle w:val="null3"/>
            </w:pPr>
            <w:r>
              <w:rPr/>
              <w:t>1期：支付比例30%,在供应商无任何违约行为的情况下，合同签订后五个工作日内，采购人按合同价（需扣除暂列金额后）的30%作为预付款拨给供应商</w:t>
            </w:r>
          </w:p>
          <w:p>
            <w:pPr>
              <w:pStyle w:val="null3"/>
            </w:pPr>
            <w:r>
              <w:rPr/>
              <w:t>2期：支付比例50%,工程全部完工并经采购人验收合格后五个工作日内，采购人向供应商再支付合同价（扣除暂列金额）的50%（即支付至扣除暂列金的合同价的80%）</w:t>
            </w:r>
          </w:p>
          <w:p>
            <w:pPr>
              <w:pStyle w:val="null3"/>
            </w:pPr>
            <w:r>
              <w:rPr/>
              <w:t>3期：支付比例20%,工程结算经采购人书面审定后，采购人预留工程结算价款3%（或供应商以保函形式提交），作为本项目质量保证金，采购人办理完结算手续后七个工作日内向供应商支付工程款至结算价的97%（供应商以保函形式提交质量保证金的，支付至结算价的100%）。余下3%作为工程质量保证金在工程质量验收合格之日起满贰年后7天内一次性支付给供应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1期：（1）工程验收以施工图及说明书、图纸会审记录、有关变更的书面文件，按国家颁布的施工及验收规范和质量检验标准为依据。 （2）隐蔽工程在供应商自检后填制记录表（范围、数量、质量等），持表通知采购人进行检查。采购人接到通知后2天内到场验收，验收合格并符合设计要求时，经双方签字后进行下一工序的施工。隐蔽工程隐蔽前，采购人没有及时检查的，供应商可以要求办理顺延工期，无权自检。 （3）工程（包括单项工程）竣工前三天，由供应商通知采购人验收，采购人在供应商书面通知竣工后三天内验收完毕。工程内容及质量符合要求的，双方签字并盖章，同时供应商将全部真实有效图纸资料（包括分包工程的竣工验收资料）向采购人移交。如工程内容尚未完成或质量不合格的，由供应商在甲乙双方商定的期限内补建或返修后再进行验收，直到符合要求为止。并按最后验收合格的日期为实际竣工日期，由此发生的费用由供应商承担。工程（含单项工程）未验收，采购人提前使用或擅自动用，视为合格，由此而发生的质量或其他问题，由采购人负责。因供应商的原因致使工程在合理使用期内造成人身伤害（不管是否致命）和财产损失或损坏的，供应商应承担损失赔偿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装修工程</w:t>
            </w:r>
          </w:p>
        </w:tc>
        <w:tc>
          <w:tcPr>
            <w:tcW w:type="dxa" w:w="933"/>
          </w:tcPr>
          <w:p>
            <w:pPr>
              <w:pStyle w:val="null3"/>
              <w:jc w:val="left"/>
            </w:pPr>
            <w:r>
              <w:rPr/>
              <w:t>生科院生物智造研究院实验室装修项目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947,330.16</w:t>
            </w:r>
          </w:p>
        </w:tc>
        <w:tc>
          <w:tcPr>
            <w:tcW w:type="dxa" w:w="933"/>
          </w:tcPr>
          <w:p>
            <w:pPr>
              <w:pStyle w:val="null3"/>
              <w:jc w:val="right"/>
            </w:pPr>
            <w:r>
              <w:rPr/>
              <w:t>947,330.16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生科院生物智造研究院实验室装修项目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（以下★号条款摘自需求内容，具体内容以完整需求部分为准）</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b/>
              </w:rPr>
              <w:t>★2</w:t>
            </w:r>
            <w:r>
              <w:rPr>
                <w:sz w:val="21"/>
                <w:b/>
              </w:rPr>
              <w:t>、本项目不允许合同分包。如供应商在响应文件中未出现《分包协议意向书》，则视为未采取合同分包。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b/>
              </w:rPr>
              <w:t>★3</w:t>
            </w:r>
            <w:r>
              <w:rPr>
                <w:sz w:val="21"/>
                <w:b/>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格式见用户需求书后附）</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2"/>
            </w:pPr>
            <w:r>
              <w:rPr>
                <w:sz w:val="21"/>
                <w:b/>
              </w:rPr>
              <w:t>★供应商须提供以下承诺（首次响应时提供承诺函，格式见用户需求书后附）：</w:t>
            </w:r>
          </w:p>
          <w:p>
            <w:pPr>
              <w:pStyle w:val="null3"/>
              <w:ind w:firstLine="422"/>
            </w:pPr>
            <w:r>
              <w:rPr>
                <w:sz w:val="21"/>
                <w:b/>
              </w:rPr>
              <w:t>①供应商须满足《需求标准》的要求。</w:t>
            </w:r>
          </w:p>
          <w:p>
            <w:pPr>
              <w:pStyle w:val="null3"/>
              <w:ind w:firstLine="422"/>
            </w:pPr>
            <w:r>
              <w:rPr>
                <w:sz w:val="21"/>
                <w:b/>
              </w:rPr>
              <w:t>②本项目（包组）中所涉及建材如属于《需求标准》中必选类产品的，供应商所提供的产品品质属性要求应满足《需求标准》对应产品的品质属性要求。本项目（包组）中所涉及建材如属于《需求标准》中可选类产品时，供应商所提供的绿色建材选用量应不低于建筑项目所涉及的建材小类的</w:t>
            </w:r>
            <w:r>
              <w:rPr>
                <w:sz w:val="21"/>
                <w:b/>
              </w:rPr>
              <w:t>40%</w:t>
            </w:r>
            <w:r>
              <w:rPr>
                <w:sz w:val="21"/>
                <w:b/>
              </w:rPr>
              <w:t>。具体比例的计算见《需求标准》。</w:t>
            </w:r>
          </w:p>
          <w:p>
            <w:pPr>
              <w:pStyle w:val="null3"/>
              <w:ind w:firstLine="422"/>
            </w:pPr>
            <w:r>
              <w:rPr>
                <w:sz w:val="21"/>
                <w:b/>
              </w:rPr>
              <w:t>③供应商提供产品、材料及设备除应符合《需求标准》技术指标外，还应符合现行国家法律法规、强制性标准及使用地的地方标准要求。</w:t>
            </w:r>
          </w:p>
          <w:p>
            <w:pPr>
              <w:pStyle w:val="null3"/>
            </w:pPr>
            <w:r>
              <w:rPr>
                <w:sz w:val="21"/>
                <w:b/>
              </w:rPr>
              <w:t>④</w:t>
            </w:r>
            <w:r>
              <w:rPr>
                <w:sz w:val="21"/>
                <w:b/>
              </w:rPr>
              <w:t>供应商不得使用《需求标准》附录A中规定的禁止使用的产品。</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b/>
              </w:rPr>
              <w:t>★8</w:t>
            </w:r>
            <w:r>
              <w:rPr>
                <w:sz w:val="21"/>
                <w:b/>
              </w:rPr>
              <w:t>、报价人必须按照工程量清单在首次报价时提供报价清单。</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b/>
              </w:rPr>
              <w:t>★9</w:t>
            </w:r>
            <w:r>
              <w:rPr>
                <w:sz w:val="21"/>
                <w:b/>
              </w:rPr>
              <w:t>、投标（首次响应）截止时间之日起至本项目完工前，项目负责人未担任其他在建工程项目的项目负责人（投标（首次响应）提交承诺，承诺可参照“投标文件格式”中《承诺函》格式）。</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b/>
              </w:rPr>
              <w:t>★</w:t>
            </w:r>
            <w:r>
              <w:rPr>
                <w:sz w:val="21"/>
              </w:rPr>
              <w:t>11</w:t>
            </w:r>
            <w:r>
              <w:rPr>
                <w:sz w:val="21"/>
              </w:rPr>
              <w:t>、供应商所投水龙头必须提供国家确定的认证机构出具的、处于有效期之内的节能（节水）产品认证证书（认证标准须符合《节能产品政府采购品目清单》中对应产品所依据的标准，认证型号须与所投产品型号一致）。</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shd w:fill="FFFFFF" w:val="clear"/>
              </w:rPr>
              <w:t>★</w:t>
            </w:r>
            <w:r>
              <w:rPr>
                <w:sz w:val="21"/>
                <w:shd w:fill="FFFFFF" w:val="clear"/>
              </w:rPr>
              <w:t>说明：安全生产措施费24888.4元，其中建筑装饰部分8053.72元，安装部分16834.68元，</w:t>
            </w:r>
            <w:r>
              <w:rPr>
                <w:sz w:val="21"/>
                <w:shd w:fill="FFFFFF" w:val="clear"/>
              </w:rPr>
              <w:t>暂列金额</w:t>
            </w:r>
            <w:r>
              <w:rPr>
                <w:sz w:val="21"/>
                <w:shd w:fill="FFFFFF" w:val="clear"/>
              </w:rPr>
              <w:t>15635.41</w:t>
            </w:r>
            <w:r>
              <w:rPr>
                <w:sz w:val="21"/>
                <w:shd w:fill="FFFFFF" w:val="clear"/>
              </w:rPr>
              <w:t>元，均</w:t>
            </w:r>
            <w:r>
              <w:rPr>
                <w:sz w:val="21"/>
                <w:shd w:fill="FFFFFF" w:val="clear"/>
              </w:rPr>
              <w:t>不作为竞争性费用，供应商须按需求固定价报价。</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b/>
              </w:rPr>
              <w:t>★</w:t>
            </w:r>
            <w:r>
              <w:rPr>
                <w:sz w:val="21"/>
              </w:rPr>
              <w:t xml:space="preserve">(2) </w:t>
            </w:r>
            <w:r>
              <w:rPr>
                <w:sz w:val="21"/>
              </w:rPr>
              <w:t>甲醛释放限量，以GB 18580-2017《室内装饰装修材料人造板及其制品中甲醛释放限量》为判定依据，按照GB/T 17657-2013检测方法，对甲醛释放量，检测结果为：≤0.011mg/m³，符合GB/T 39600-2021判定为ENF级。（首次响应时提供承诺函）</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b/>
              </w:rPr>
              <w:t>★</w:t>
            </w:r>
            <w:r>
              <w:rPr>
                <w:sz w:val="21"/>
              </w:rPr>
              <w:t>符合《低压配电设计规范》</w:t>
            </w:r>
            <w:r>
              <w:rPr>
                <w:sz w:val="21"/>
              </w:rPr>
              <w:t>GB50054-2011</w:t>
            </w:r>
            <w:r>
              <w:rPr>
                <w:sz w:val="21"/>
              </w:rPr>
              <w:t>、《供配电系统设计规范》</w:t>
            </w:r>
            <w:r>
              <w:rPr>
                <w:sz w:val="21"/>
              </w:rPr>
              <w:t>GB 50052-2009</w:t>
            </w:r>
            <w:r>
              <w:rPr>
                <w:sz w:val="21"/>
              </w:rPr>
              <w:t>、《通用用电设备配电设计规范》</w:t>
            </w:r>
            <w:r>
              <w:rPr>
                <w:sz w:val="21"/>
              </w:rPr>
              <w:t>GB50055-2011</w:t>
            </w:r>
            <w:r>
              <w:rPr>
                <w:sz w:val="21"/>
              </w:rPr>
              <w:t>等中国国家标准及国际标准；结合实验室仪器及大楼供电设计电路</w:t>
            </w:r>
            <w:r>
              <w:rPr>
                <w:sz w:val="21"/>
              </w:rPr>
              <w:t>，</w:t>
            </w:r>
            <w:r>
              <w:rPr>
                <w:sz w:val="21"/>
              </w:rPr>
              <w:t>满足仪器的用电、接地电阻及实验室照度要求。（首次响应时提供承诺函）</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b/>
              </w:rPr>
              <w:t>★</w:t>
            </w:r>
            <w:r>
              <w:rPr>
                <w:sz w:val="21"/>
              </w:rPr>
              <w:t>（</w:t>
            </w:r>
            <w:r>
              <w:rPr>
                <w:sz w:val="21"/>
              </w:rPr>
              <w:t>1</w:t>
            </w:r>
            <w:r>
              <w:rPr>
                <w:sz w:val="21"/>
              </w:rPr>
              <w:t>）</w:t>
            </w:r>
            <w:r>
              <w:rPr>
                <w:sz w:val="21"/>
              </w:rPr>
              <w:t>阻燃、耐火电缆应</w:t>
            </w:r>
            <w:r>
              <w:rPr>
                <w:sz w:val="21"/>
              </w:rPr>
              <w:t>符合</w:t>
            </w:r>
            <w:r>
              <w:rPr>
                <w:sz w:val="21"/>
              </w:rPr>
              <w:t>GB/T19666—2019</w:t>
            </w:r>
            <w:r>
              <w:rPr>
                <w:sz w:val="21"/>
              </w:rPr>
              <w:t>国家标</w:t>
            </w:r>
            <w:r>
              <w:rPr>
                <w:sz w:val="21"/>
              </w:rPr>
              <w:t>准</w:t>
            </w:r>
            <w:r>
              <w:rPr>
                <w:sz w:val="21"/>
              </w:rPr>
              <w:t>。（首次响应时提供承诺函）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b/>
              </w:rPr>
              <w:t>★</w:t>
            </w:r>
            <w:r>
              <w:rPr>
                <w:sz w:val="21"/>
              </w:rPr>
              <w:t>（</w:t>
            </w:r>
            <w:r>
              <w:rPr>
                <w:sz w:val="21"/>
              </w:rPr>
              <w:t>1</w:t>
            </w:r>
            <w:r>
              <w:rPr>
                <w:sz w:val="21"/>
              </w:rPr>
              <w:t>0</w:t>
            </w:r>
            <w:r>
              <w:rPr>
                <w:sz w:val="21"/>
              </w:rPr>
              <w:t>）</w:t>
            </w:r>
            <w:r>
              <w:rPr>
                <w:sz w:val="21"/>
              </w:rPr>
              <w:t>电缆燃烧时的阻燃性能应能满足</w:t>
            </w:r>
            <w:r>
              <w:rPr>
                <w:sz w:val="21"/>
              </w:rPr>
              <w:t>GB18380-2001</w:t>
            </w:r>
            <w:r>
              <w:rPr>
                <w:sz w:val="21"/>
              </w:rPr>
              <w:t>规定的</w:t>
            </w:r>
            <w:r>
              <w:rPr>
                <w:sz w:val="21"/>
              </w:rPr>
              <w:t>A</w:t>
            </w:r>
            <w:r>
              <w:rPr>
                <w:sz w:val="21"/>
              </w:rPr>
              <w:t>类成束电缆垂直燃烧试验。（首次响应时提供承诺函）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1"/>
                <w:b/>
              </w:rPr>
              <w:t>★</w:t>
            </w:r>
            <w:r>
              <w:rPr>
                <w:sz w:val="21"/>
              </w:rPr>
              <w:t>（</w:t>
            </w:r>
            <w:r>
              <w:rPr>
                <w:sz w:val="21"/>
              </w:rPr>
              <w:t>1</w:t>
            </w:r>
            <w:r>
              <w:rPr>
                <w:sz w:val="21"/>
              </w:rPr>
              <w:t>6</w:t>
            </w:r>
            <w:r>
              <w:rPr>
                <w:sz w:val="21"/>
              </w:rPr>
              <w:t>）</w:t>
            </w:r>
            <w:r>
              <w:rPr>
                <w:sz w:val="21"/>
              </w:rPr>
              <w:t>护套采用无卤阻燃护套材料，标称厚度按</w:t>
            </w:r>
            <w:r>
              <w:rPr>
                <w:sz w:val="21"/>
              </w:rPr>
              <w:t>GB2952-89</w:t>
            </w:r>
            <w:r>
              <w:rPr>
                <w:sz w:val="21"/>
              </w:rPr>
              <w:t>的规定，最薄点的厚度不小于标称值的</w:t>
            </w:r>
            <w:r>
              <w:rPr>
                <w:sz w:val="21"/>
              </w:rPr>
              <w:t>80%-0.2mm</w:t>
            </w:r>
            <w:r>
              <w:rPr>
                <w:sz w:val="21"/>
              </w:rPr>
              <w:t>；护套材料应具有良好的抗日照、紫外线老化性能。（首次响应时提供承诺函）</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b/>
              </w:rPr>
              <w:t>★</w:t>
            </w:r>
            <w:r>
              <w:rPr>
                <w:sz w:val="21"/>
              </w:rPr>
              <w:t>符合</w:t>
            </w:r>
            <w:r>
              <w:rPr>
                <w:sz w:val="21"/>
              </w:rPr>
              <w:t>GB6911</w:t>
            </w:r>
            <w:r>
              <w:rPr>
                <w:sz w:val="21"/>
              </w:rPr>
              <w:t>、</w:t>
            </w:r>
            <w:r>
              <w:rPr>
                <w:sz w:val="21"/>
              </w:rPr>
              <w:t>GB/T2099.1</w:t>
            </w:r>
            <w:r>
              <w:rPr>
                <w:sz w:val="21"/>
              </w:rPr>
              <w:t>-</w:t>
            </w:r>
            <w:r>
              <w:rPr>
                <w:sz w:val="21"/>
              </w:rPr>
              <w:t>2021</w:t>
            </w:r>
            <w:r>
              <w:rPr>
                <w:sz w:val="21"/>
              </w:rPr>
              <w:t>标准要求。（首次相应时提供承诺函）</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1"/>
                <w:b/>
              </w:rPr>
              <w:t>★</w:t>
            </w:r>
            <w:r>
              <w:rPr>
                <w:sz w:val="21"/>
              </w:rPr>
              <w:t>（</w:t>
            </w:r>
            <w:r>
              <w:rPr>
                <w:sz w:val="21"/>
              </w:rPr>
              <w:t>1</w:t>
            </w:r>
            <w:r>
              <w:rPr>
                <w:sz w:val="21"/>
              </w:rPr>
              <w:t>）</w:t>
            </w:r>
            <w:r>
              <w:rPr>
                <w:sz w:val="21"/>
              </w:rPr>
              <w:t xml:space="preserve">基于GB/T 26526-2011《热塑性弹性体低烟无卤阻燃材料规范》，GB 8624-2012《建筑材料及制品的燃烧性能等级》检测， </w:t>
            </w:r>
            <w:r>
              <w:rPr>
                <w:sz w:val="21"/>
              </w:rPr>
              <w:t>PP</w:t>
            </w:r>
            <w:r>
              <w:rPr>
                <w:sz w:val="21"/>
              </w:rPr>
              <w:t>管道材质要求所采用</w:t>
            </w:r>
            <w:r>
              <w:rPr>
                <w:sz w:val="21"/>
              </w:rPr>
              <w:t>PP</w:t>
            </w:r>
            <w:r>
              <w:rPr>
                <w:sz w:val="21"/>
              </w:rPr>
              <w:t>板材应通过如下检测，检测结果符合要求，</w:t>
            </w:r>
            <w:r>
              <w:rPr>
                <w:sz w:val="21"/>
              </w:rPr>
              <w:t>燃烧性能达到GB 8624-2012标准B1级标准，单体燃烧：燃烧增长速率指数FIGRA 0.2MJ,W/s ，检测结果：≤107；600s的总放热量THR600s，MJ ，检测结果：≤5.8；可燃性：60s；内焰尖高度Fs,mm，检测结果：&lt;150。</w:t>
            </w:r>
            <w:r>
              <w:rPr>
                <w:sz w:val="21"/>
              </w:rPr>
              <w:t>（首次响应时提供承诺函）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1"/>
                <w:b/>
              </w:rPr>
              <w:t>★</w:t>
            </w:r>
            <w:r>
              <w:rPr>
                <w:sz w:val="21"/>
              </w:rPr>
              <w:t>（7）基于</w:t>
            </w:r>
            <w:r>
              <w:rPr>
                <w:sz w:val="21"/>
              </w:rPr>
              <w:t>GB/T20944.2-2007</w:t>
            </w:r>
            <w:r>
              <w:rPr>
                <w:sz w:val="21"/>
              </w:rPr>
              <w:t>《纺织品 抗菌性能的评价 第2部分：吸收法》，</w:t>
            </w:r>
            <w:r>
              <w:rPr>
                <w:sz w:val="21"/>
              </w:rPr>
              <w:t>抑菌性能：</w:t>
            </w:r>
            <w:r>
              <w:rPr>
                <w:sz w:val="21"/>
              </w:rPr>
              <w:t>18</w:t>
            </w:r>
            <w:r>
              <w:rPr>
                <w:sz w:val="21"/>
              </w:rPr>
              <w:t>小时大肠杆菌抑菌效率≧</w:t>
            </w:r>
            <w:r>
              <w:rPr>
                <w:sz w:val="21"/>
              </w:rPr>
              <w:t>99%</w:t>
            </w:r>
            <w:r>
              <w:rPr>
                <w:sz w:val="21"/>
              </w:rPr>
              <w:t>（首次响应时提供承诺函）</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sz w:val="21"/>
                <w:b/>
              </w:rPr>
              <w:t>★</w:t>
            </w:r>
            <w:r>
              <w:rPr>
                <w:sz w:val="21"/>
              </w:rPr>
              <w:t>检验依据</w:t>
            </w:r>
            <w:r>
              <w:rPr>
                <w:sz w:val="21"/>
              </w:rPr>
              <w:t>GB/T23444-2021(</w:t>
            </w:r>
            <w:r>
              <w:rPr>
                <w:sz w:val="21"/>
              </w:rPr>
              <w:t>金属及金属复合材料吊顶板），厚度允许偏差</w:t>
            </w:r>
            <w:r>
              <w:rPr>
                <w:sz w:val="21"/>
              </w:rPr>
              <w:t>+0.03mm;</w:t>
            </w:r>
            <w:r>
              <w:rPr>
                <w:sz w:val="21"/>
              </w:rPr>
              <w:t>耐酸性：体积分数</w:t>
            </w:r>
            <w:r>
              <w:rPr>
                <w:sz w:val="21"/>
              </w:rPr>
              <w:t>2%</w:t>
            </w:r>
            <w:r>
              <w:rPr>
                <w:sz w:val="21"/>
              </w:rPr>
              <w:t>的盐酸溶液，试验</w:t>
            </w:r>
            <w:r>
              <w:rPr>
                <w:sz w:val="21"/>
              </w:rPr>
              <w:t>2</w:t>
            </w:r>
            <w:r>
              <w:rPr>
                <w:sz w:val="21"/>
              </w:rPr>
              <w:t>小时，试验处无变化；耐碱性：饱和氢氧化钙试剂，试验时间</w:t>
            </w:r>
            <w:r>
              <w:rPr>
                <w:sz w:val="21"/>
              </w:rPr>
              <w:t>24</w:t>
            </w:r>
            <w:r>
              <w:rPr>
                <w:sz w:val="21"/>
              </w:rPr>
              <w:t>小时，试验处无变化。铝扣板吊顶≥</w:t>
            </w:r>
            <w:r>
              <w:rPr>
                <w:sz w:val="21"/>
              </w:rPr>
              <w:t>600x600x0.8mm</w:t>
            </w:r>
            <w:r>
              <w:rPr>
                <w:sz w:val="21"/>
              </w:rPr>
              <w:t>（</w:t>
            </w:r>
            <w:r>
              <w:rPr>
                <w:sz w:val="21"/>
              </w:rPr>
              <w:t>H=2.8m</w:t>
            </w:r>
            <w:r>
              <w:rPr>
                <w:sz w:val="21"/>
              </w:rPr>
              <w:t>），龙骨：</w:t>
            </w:r>
            <w:r>
              <w:rPr>
                <w:sz w:val="21"/>
              </w:rPr>
              <w:t>U</w:t>
            </w:r>
            <w:r>
              <w:rPr>
                <w:sz w:val="21"/>
              </w:rPr>
              <w:t>型轻钢龙骨、主骨</w:t>
            </w:r>
            <w:r>
              <w:rPr>
                <w:sz w:val="21"/>
              </w:rPr>
              <w:t>1.0</w:t>
            </w:r>
            <w:r>
              <w:rPr>
                <w:sz w:val="21"/>
              </w:rPr>
              <w:t>厚、副骨</w:t>
            </w:r>
            <w:r>
              <w:rPr>
                <w:sz w:val="21"/>
              </w:rPr>
              <w:t>0.6</w:t>
            </w:r>
            <w:r>
              <w:rPr>
                <w:sz w:val="21"/>
              </w:rPr>
              <w:t>厚。</w:t>
            </w:r>
            <w:r>
              <w:rPr>
                <w:sz w:val="21"/>
              </w:rPr>
              <w:t>（首次相应时提供承诺函）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华南农业大学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采购机构代理服务收费标准：具体详见委托代理协议。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华南农业大学生科院生物智造研究院实验室装修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采购包1（华南农业大学生科院生物智造研究院实验室装修项目）：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采购包1（华南农业大学生科院生物智造研究院实验室装修项目）：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 2024年度经会计师事务所审计的财务状况报告；2.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建筑装修装饰工程专业承包资质</w:t>
            </w:r>
          </w:p>
        </w:tc>
        <w:tc>
          <w:tcPr>
            <w:tcW w:type="dxa" w:w="4238"/>
          </w:tcPr>
          <w:p>
            <w:pPr>
              <w:pStyle w:val="null3"/>
            </w:pPr>
            <w:r>
              <w:rPr/>
              <w:t>供应商必须具有有效期内的建筑装修装饰工程专业承包资质。首次响应文件提供证书复印件。</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供应商必须具有建设行政主管部门颁发的安全生产许可证，首次响应文件提供证书复印件。</w:t>
            </w:r>
          </w:p>
        </w:tc>
      </w:tr>
      <w:tr>
        <w:tc>
          <w:tcPr>
            <w:tcW w:type="dxa" w:w="890"/>
          </w:tcPr>
          <w:p>
            <w:pPr>
              <w:pStyle w:val="null3"/>
            </w:pPr>
            <w:r>
              <w:rPr/>
              <w:t>10</w:t>
            </w:r>
          </w:p>
        </w:tc>
        <w:tc>
          <w:tcPr>
            <w:tcW w:type="dxa" w:w="3178"/>
          </w:tcPr>
          <w:p>
            <w:pPr>
              <w:pStyle w:val="null3"/>
            </w:pPr>
            <w:r>
              <w:rPr/>
              <w:t>项目负责人</w:t>
            </w:r>
          </w:p>
        </w:tc>
        <w:tc>
          <w:tcPr>
            <w:tcW w:type="dxa" w:w="4238"/>
          </w:tcPr>
          <w:p>
            <w:pPr>
              <w:pStyle w:val="null3"/>
            </w:pPr>
            <w:r>
              <w:rPr/>
              <w:t>供应商拟担任本工程项目负责人的人员, 首次响应文件提供以下证书复印件: 项目负责人应具备建筑工程专业二级（或以上）注册建造师执业资格证书，并持有项目负责人安全生产考核合格证（B类）或能够提供建筑施工企业管理人员安全生产考核信息系统安全生产管理人员证书信息的打印页； 注1：建造师的专业及等级标准按《注册建造师执业管理办法（试行）》及《注册建造师执业工程规模标准（试行）》。 注2：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注3：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tc>
      </w:tr>
      <w:tr>
        <w:tc>
          <w:tcPr>
            <w:tcW w:type="dxa" w:w="890"/>
          </w:tcPr>
          <w:p>
            <w:pPr>
              <w:pStyle w:val="null3"/>
            </w:pPr>
            <w:r>
              <w:rPr/>
              <w:t>11</w:t>
            </w:r>
          </w:p>
        </w:tc>
        <w:tc>
          <w:tcPr>
            <w:tcW w:type="dxa" w:w="3178"/>
          </w:tcPr>
          <w:p>
            <w:pPr>
              <w:pStyle w:val="null3"/>
            </w:pPr>
            <w:r>
              <w:rPr/>
              <w:t>专职安全员</w:t>
            </w:r>
          </w:p>
        </w:tc>
        <w:tc>
          <w:tcPr>
            <w:tcW w:type="dxa" w:w="4238"/>
          </w:tcPr>
          <w:p>
            <w:pPr>
              <w:pStyle w:val="null3"/>
            </w:pPr>
            <w:r>
              <w:rPr/>
              <w:t>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项目负责人在任职期间不得担任专职安全员，项目专职安全员在任职期间也不得担任项目负责人，项目负责人和安全员不为同一人。首次响应文件提供承诺函。</w:t>
            </w:r>
          </w:p>
        </w:tc>
      </w:tr>
      <w:tr>
        <w:tc>
          <w:tcPr>
            <w:tcW w:type="dxa" w:w="890"/>
          </w:tcPr>
          <w:p>
            <w:pPr>
              <w:pStyle w:val="null3"/>
            </w:pPr>
            <w:r>
              <w:rPr/>
              <w:t>12</w:t>
            </w:r>
          </w:p>
        </w:tc>
        <w:tc>
          <w:tcPr>
            <w:tcW w:type="dxa" w:w="3178"/>
          </w:tcPr>
          <w:p>
            <w:pPr>
              <w:pStyle w:val="null3"/>
            </w:pPr>
            <w:r>
              <w:rPr/>
              <w:t>已获取本项目采购文件</w:t>
            </w:r>
          </w:p>
        </w:tc>
        <w:tc>
          <w:tcPr>
            <w:tcW w:type="dxa" w:w="4238"/>
          </w:tcPr>
          <w:p>
            <w:pPr>
              <w:pStyle w:val="null3"/>
            </w:pPr>
            <w:r>
              <w:rPr/>
              <w:t>已获取本项目采购文件。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 《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采购包1（华南农业大学生科院生物智造研究院实验室装修项目）：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法定代表人/负责人资格证明书及授权委托书（如为法定代表人/负责人代表单位投标（响应）的，则为法定代表人/负责人资格证明书），按对应格式文件签署、盖章。</w:t>
            </w:r>
          </w:p>
        </w:tc>
      </w:tr>
      <w:tr>
        <w:tc>
          <w:tcPr>
            <w:tcW w:type="dxa" w:w="890"/>
          </w:tcPr>
          <w:p>
            <w:pPr>
              <w:pStyle w:val="null3"/>
            </w:pPr>
            <w:r>
              <w:rPr/>
              <w:t>2</w:t>
            </w:r>
          </w:p>
        </w:tc>
        <w:tc>
          <w:tcPr>
            <w:tcW w:type="dxa" w:w="3178"/>
          </w:tcPr>
          <w:p>
            <w:pPr>
              <w:pStyle w:val="null3"/>
            </w:pPr>
            <w:r>
              <w:rPr/>
              <w:t>“★”号条款</w:t>
            </w:r>
          </w:p>
        </w:tc>
        <w:tc>
          <w:tcPr>
            <w:tcW w:type="dxa" w:w="4238"/>
          </w:tcPr>
          <w:p>
            <w:pPr>
              <w:pStyle w:val="null3"/>
            </w:pPr>
            <w:r>
              <w:rPr/>
              <w:t>“★”号条款满足磋商文件要求。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提交响应承诺函。投标函按规定格式填写，内容完整。</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报价有效期为报价截止日起90天。</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如报价出现修正，报价人按采购文件规定书面确认。</w:t>
            </w:r>
          </w:p>
        </w:tc>
      </w:tr>
      <w:tr>
        <w:tc>
          <w:tcPr>
            <w:tcW w:type="dxa" w:w="890"/>
          </w:tcPr>
          <w:p>
            <w:pPr>
              <w:pStyle w:val="null3"/>
            </w:pPr>
            <w:r>
              <w:rPr/>
              <w:t>6</w:t>
            </w:r>
          </w:p>
        </w:tc>
        <w:tc>
          <w:tcPr>
            <w:tcW w:type="dxa" w:w="3178"/>
          </w:tcPr>
          <w:p>
            <w:pPr>
              <w:pStyle w:val="null3"/>
            </w:pPr>
            <w:r>
              <w:rPr/>
              <w:t>最终报价总金额</w:t>
            </w:r>
          </w:p>
        </w:tc>
        <w:tc>
          <w:tcPr>
            <w:tcW w:type="dxa" w:w="4238"/>
          </w:tcPr>
          <w:p>
            <w:pPr>
              <w:pStyle w:val="null3"/>
            </w:pPr>
            <w:r>
              <w:rPr/>
              <w:t>最终报价总金额是固定价且是唯一的，最终总报价不能超过本项目采购预算价。安全生产措施费、暂列金按固定价报价。</w:t>
            </w:r>
          </w:p>
        </w:tc>
      </w:tr>
      <w:tr>
        <w:tc>
          <w:tcPr>
            <w:tcW w:type="dxa" w:w="890"/>
          </w:tcPr>
          <w:p>
            <w:pPr>
              <w:pStyle w:val="null3"/>
            </w:pPr>
            <w:r>
              <w:rPr/>
              <w:t>7</w:t>
            </w:r>
          </w:p>
        </w:tc>
        <w:tc>
          <w:tcPr>
            <w:tcW w:type="dxa" w:w="3178"/>
          </w:tcPr>
          <w:p>
            <w:pPr>
              <w:pStyle w:val="null3"/>
            </w:pPr>
            <w:r>
              <w:rPr/>
              <w:t>联合体</w:t>
            </w:r>
          </w:p>
        </w:tc>
        <w:tc>
          <w:tcPr>
            <w:tcW w:type="dxa" w:w="4238"/>
          </w:tcPr>
          <w:p>
            <w:pPr>
              <w:pStyle w:val="null3"/>
            </w:pPr>
            <w:r>
              <w:rPr/>
              <w:t>未以联合体形式投标。</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评标现场合理的时间内提供书面说明，必要时提交相关证明材料；报价人应能证明其报价合理性。 注：本项审查在最终报价后进行</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采购包1(华南农业大学生科院生物智造研究院实验室装修项目):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(10.0分)</w:t>
            </w:r>
          </w:p>
        </w:tc>
        <w:tc>
          <w:tcPr>
            <w:tcW w:type="dxa" w:w="5076"/>
          </w:tcPr>
          <w:p>
            <w:pPr>
              <w:pStyle w:val="null3"/>
              <w:jc w:val="left"/>
            </w:pPr>
            <w:r>
              <w:rPr/>
              <w:t>供应商根据需求书的具体要求，提出明确、具体、针对性强、可行性强的整体实施方案： 1.方案完全满足且优于项目需求的得10分； 2.方案完全满足项目需求的得6分； 3.方案不完全满足项目需求的得2分； 4.其他情况不得分。</w:t>
            </w:r>
          </w:p>
        </w:tc>
      </w:tr>
      <w:tr>
        <w:tc>
          <w:tcPr>
            <w:tcW w:type="dxa" w:w="922"/>
            <w:gridSpan w:val="2"/>
            <w:vMerge/>
          </w:tcPr>
          <w:p/>
        </w:tc>
        <w:tc>
          <w:tcPr>
            <w:tcW w:type="dxa" w:w="2307"/>
          </w:tcPr>
          <w:p>
            <w:pPr>
              <w:pStyle w:val="null3"/>
              <w:jc w:val="left"/>
            </w:pPr>
            <w:r>
              <w:rPr/>
              <w:t>项目施工方案 (10.0分)</w:t>
            </w:r>
          </w:p>
        </w:tc>
        <w:tc>
          <w:tcPr>
            <w:tcW w:type="dxa" w:w="5076"/>
          </w:tcPr>
          <w:p>
            <w:pPr>
              <w:pStyle w:val="null3"/>
              <w:jc w:val="left"/>
            </w:pPr>
            <w:r>
              <w:rPr/>
              <w:t>供应商根据需求书的具体要求，提出明确、具体、针对性强、可行性强的项目施工方案： 1.方案完全满足且优于项目需求的得10分； 2.方案完全满足项目需求的得6分； 3.方案不完全满足项目需求的得2分； 4.其他情况不得分。</w:t>
            </w:r>
          </w:p>
        </w:tc>
      </w:tr>
      <w:tr>
        <w:tc>
          <w:tcPr>
            <w:tcW w:type="dxa" w:w="922"/>
            <w:gridSpan w:val="2"/>
            <w:vMerge/>
          </w:tcPr>
          <w:p/>
        </w:tc>
        <w:tc>
          <w:tcPr>
            <w:tcW w:type="dxa" w:w="2307"/>
          </w:tcPr>
          <w:p>
            <w:pPr>
              <w:pStyle w:val="null3"/>
              <w:jc w:val="left"/>
            </w:pPr>
            <w:r>
              <w:rPr/>
              <w:t>质量保障及保修方案 (10.0分)</w:t>
            </w:r>
          </w:p>
        </w:tc>
        <w:tc>
          <w:tcPr>
            <w:tcW w:type="dxa" w:w="5076"/>
          </w:tcPr>
          <w:p>
            <w:pPr>
              <w:pStyle w:val="null3"/>
              <w:jc w:val="left"/>
            </w:pPr>
            <w:r>
              <w:rPr/>
              <w:t>供应商根据需求书的具体要求，提出明确、具体、针对性强、可行性强的质量保障及保修方案： 1.方案完全满足且优于项目需求的得10分； 2.方案完全满足项目需求的得6分； 3.方案不完全满足项目需求的得2分； 4.其他情况不得分。</w:t>
            </w:r>
          </w:p>
        </w:tc>
      </w:tr>
      <w:tr>
        <w:tc>
          <w:tcPr>
            <w:tcW w:type="dxa" w:w="922"/>
            <w:gridSpan w:val="2"/>
            <w:vMerge/>
          </w:tcPr>
          <w:p/>
        </w:tc>
        <w:tc>
          <w:tcPr>
            <w:tcW w:type="dxa" w:w="2307"/>
          </w:tcPr>
          <w:p>
            <w:pPr>
              <w:pStyle w:val="null3"/>
              <w:jc w:val="left"/>
            </w:pPr>
            <w:r>
              <w:rPr/>
              <w:t>进度保障方案 (7.0分)</w:t>
            </w:r>
          </w:p>
        </w:tc>
        <w:tc>
          <w:tcPr>
            <w:tcW w:type="dxa" w:w="5076"/>
          </w:tcPr>
          <w:p>
            <w:pPr>
              <w:pStyle w:val="null3"/>
              <w:jc w:val="left"/>
            </w:pPr>
            <w:r>
              <w:rPr/>
              <w:t>供应商根据需求书的具体要求，提出明确、具体、针对性强、可行性强的进度保障方案： 1.方案完全满足且优于项目需求的得7分； 2.方案完全满足项目需求的得4分； 3.方案不完全满足项目需求的得1分； 4.其他情况不得分。</w:t>
            </w:r>
          </w:p>
        </w:tc>
      </w:tr>
      <w:tr>
        <w:tc>
          <w:tcPr>
            <w:tcW w:type="dxa" w:w="922"/>
            <w:gridSpan w:val="2"/>
            <w:vMerge/>
          </w:tcPr>
          <w:p/>
        </w:tc>
        <w:tc>
          <w:tcPr>
            <w:tcW w:type="dxa" w:w="2307"/>
          </w:tcPr>
          <w:p>
            <w:pPr>
              <w:pStyle w:val="null3"/>
              <w:jc w:val="left"/>
            </w:pPr>
            <w:r>
              <w:rPr/>
              <w:t>节能环保产品 (1.5分)</w:t>
            </w:r>
          </w:p>
        </w:tc>
        <w:tc>
          <w:tcPr>
            <w:tcW w:type="dxa" w:w="5076"/>
          </w:tcPr>
          <w:p>
            <w:pPr>
              <w:pStyle w:val="null3"/>
              <w:jc w:val="left"/>
            </w:pPr>
            <w:r>
              <w:rPr/>
              <w:t>供应商所响应产品属于《节能产品政府采购品目清单》（下简称《清单》）优先采购范围(即清单中非标注星号的产品)或《环境标志产品政府采购品目清单》（下简称《清单》）范围的，且获得国家确定的认证机构颁发的处于有效期内的节能（节水）产品认证证书或环境标志产品认证证书的（认证标准须符合《清单》中对应产品所依据的标准，认证型号须与所投产品型号一致）。每有一个产品符合上述条件得0.75分，本项最高得1.5分。注：为避免漏评，请供应商按需求附件《节能环保政策适用性说明》规定的格式进行填写及提交认证证书，并留意其中的“填写注意事项”。</w:t>
            </w:r>
          </w:p>
        </w:tc>
      </w:tr>
      <w:tr>
        <w:tc>
          <w:tcPr>
            <w:tcW w:type="dxa" w:w="922"/>
            <w:gridSpan w:val="2"/>
            <w:vMerge/>
          </w:tcPr>
          <w:p/>
        </w:tc>
        <w:tc>
          <w:tcPr>
            <w:tcW w:type="dxa" w:w="2307"/>
          </w:tcPr>
          <w:p>
            <w:pPr>
              <w:pStyle w:val="null3"/>
              <w:jc w:val="left"/>
            </w:pPr>
            <w:r>
              <w:rPr/>
              <w:t>重要参数条款 (1.5分)</w:t>
            </w:r>
          </w:p>
        </w:tc>
        <w:tc>
          <w:tcPr>
            <w:tcW w:type="dxa" w:w="5076"/>
          </w:tcPr>
          <w:p>
            <w:pPr>
              <w:pStyle w:val="null3"/>
              <w:jc w:val="left"/>
            </w:pPr>
            <w:r>
              <w:rPr/>
              <w:t>投标人对招标文件项目内容的响应。 “▲”条款：每满足一项得0.3分，需求内容中的5个▲号指标合计最高得1.5分。 注：1.技术参数按《技术和服务要求响应表》进行填写。 2.采购需求书对于技术参数有要求提供证明材料的，还须按要求提供证明材料，否则对应项不得分。为方便评审，建议在证明材料能体现技术参数处进行标识（如增加红色方框并写明对应的参数名称或参数序号）。</w:t>
            </w:r>
          </w:p>
        </w:tc>
      </w:tr>
      <w:tr>
        <w:tc>
          <w:tcPr>
            <w:tcW w:type="dxa" w:w="922"/>
            <w:gridSpan w:val="2"/>
            <w:vMerge w:val="restart"/>
          </w:tcPr>
          <w:p>
            <w:pPr>
              <w:pStyle w:val="null3"/>
              <w:jc w:val="center"/>
            </w:pPr>
            <w:r>
              <w:rPr/>
              <w:t>商务部分</w:t>
            </w:r>
          </w:p>
        </w:tc>
        <w:tc>
          <w:tcPr>
            <w:tcW w:type="dxa" w:w="2307"/>
          </w:tcPr>
          <w:p>
            <w:pPr>
              <w:pStyle w:val="null3"/>
              <w:jc w:val="left"/>
            </w:pPr>
            <w:r>
              <w:rPr/>
              <w:t>认证体系 (4.0分)</w:t>
            </w:r>
          </w:p>
        </w:tc>
        <w:tc>
          <w:tcPr>
            <w:tcW w:type="dxa" w:w="5076"/>
          </w:tcPr>
          <w:p>
            <w:pPr>
              <w:pStyle w:val="null3"/>
              <w:jc w:val="left"/>
            </w:pPr>
            <w:r>
              <w:rPr/>
              <w:t>报价人具有质量管理体系认证（认证范围与建筑工程相关），提供得4分，满分得4分。提供证书复印件，并须同时提供在“全国认证认可信息公共服务平台”对体系证书的信息查询截图作为评审依据，已失效或撤销或暂停的不得分。上述证书如因成立时间不足三个月的原因未能获得的，可对应得分。</w:t>
            </w:r>
          </w:p>
        </w:tc>
      </w:tr>
      <w:tr>
        <w:tc>
          <w:tcPr>
            <w:tcW w:type="dxa" w:w="922"/>
            <w:gridSpan w:val="2"/>
            <w:vMerge/>
          </w:tcPr>
          <w:p/>
        </w:tc>
        <w:tc>
          <w:tcPr>
            <w:tcW w:type="dxa" w:w="2307"/>
          </w:tcPr>
          <w:p>
            <w:pPr>
              <w:pStyle w:val="null3"/>
              <w:jc w:val="left"/>
            </w:pPr>
            <w:r>
              <w:rPr/>
              <w:t>业绩经验 (13.0分)</w:t>
            </w:r>
          </w:p>
        </w:tc>
        <w:tc>
          <w:tcPr>
            <w:tcW w:type="dxa" w:w="5076"/>
          </w:tcPr>
          <w:p>
            <w:pPr>
              <w:pStyle w:val="null3"/>
              <w:jc w:val="left"/>
            </w:pPr>
            <w:r>
              <w:rPr/>
              <w:t>自2021年1月1日至今（以合同签订时间为准）, 报价人完成的装修类工程项目情况。每完成1个项目业绩得1.3分，满分13分。注：须提供合同（含签订合同双方的单位名称、合同项目名称与含签订合同双方的落款盖章、签订日期的关键页）及竣工验收报告复印件，并加盖报价人公章。</w:t>
            </w:r>
          </w:p>
        </w:tc>
      </w:tr>
      <w:tr>
        <w:tc>
          <w:tcPr>
            <w:tcW w:type="dxa" w:w="922"/>
            <w:gridSpan w:val="2"/>
            <w:vMerge/>
          </w:tcPr>
          <w:p/>
        </w:tc>
        <w:tc>
          <w:tcPr>
            <w:tcW w:type="dxa" w:w="2307"/>
          </w:tcPr>
          <w:p>
            <w:pPr>
              <w:pStyle w:val="null3"/>
              <w:jc w:val="left"/>
            </w:pPr>
            <w:r>
              <w:rPr/>
              <w:t>业绩评价 (13.0分)</w:t>
            </w:r>
          </w:p>
        </w:tc>
        <w:tc>
          <w:tcPr>
            <w:tcW w:type="dxa" w:w="5076"/>
          </w:tcPr>
          <w:p>
            <w:pPr>
              <w:pStyle w:val="null3"/>
              <w:jc w:val="left"/>
            </w:pPr>
            <w:r>
              <w:rPr/>
              <w:t>根据供应商在上述提供的有效业绩项目中，获得项目用户考核正面评价（优秀、优良、良好、满意或相当于正面评价）且评价文件须体现评价单位及联系方式（如评价文件无体现的，则供应商须另外提供评价单位及联系方式）。每提供一份得1.3分，最高得13分。注：供应商应提供业主服务评价文件扫描件（上面需有合同甲方或甲方项目主管部门的印章）并加盖投标人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工程施工合同</w:t>
      </w:r>
    </w:p>
    <w:p>
      <w:pPr>
        <w:pStyle w:val="null3"/>
        <w:jc w:val="center"/>
      </w:pPr>
      <w:r>
        <w:rPr>
          <w:sz w:val="32"/>
          <w:b/>
        </w:rPr>
        <w:t>合同编号：</w:t>
      </w:r>
    </w:p>
    <w:p>
      <w:pPr>
        <w:pStyle w:val="null3"/>
        <w:ind w:firstLine="2595"/>
        <w:jc w:val="center"/>
      </w:pPr>
      <w:r>
        <w:rPr>
          <w:sz w:val="28"/>
          <w:b/>
        </w:rPr>
        <w:t>发包方：</w:t>
      </w:r>
      <w:r>
        <w:rPr>
          <w:sz w:val="24"/>
          <w:b/>
        </w:rPr>
        <w:t>华南农业大学</w:t>
      </w:r>
    </w:p>
    <w:p>
      <w:pPr>
        <w:pStyle w:val="null3"/>
        <w:jc w:val="both"/>
      </w:pPr>
      <w:r>
        <w:rPr>
          <w:sz w:val="28"/>
          <w:b/>
        </w:rPr>
        <w:t>承包方：</w:t>
      </w:r>
    </w:p>
    <w:p>
      <w:pPr>
        <w:pStyle w:val="null3"/>
        <w:jc w:val="both"/>
      </w:pPr>
      <w:r>
        <w:rPr>
          <w:sz w:val="28"/>
          <w:b/>
        </w:rPr>
        <w:t>工程名称：</w:t>
      </w:r>
      <w:r>
        <w:rPr>
          <w:sz w:val="26"/>
          <w:b/>
        </w:rPr>
        <w:t>华南农业大学生科院生物智造研究院实验室装修项目</w:t>
      </w:r>
    </w:p>
    <w:p>
      <w:pPr>
        <w:pStyle w:val="null3"/>
        <w:jc w:val="both"/>
      </w:pPr>
      <w:r>
        <w:rPr>
          <w:sz w:val="28"/>
          <w:b/>
        </w:rPr>
        <w:t>工程地点：</w:t>
      </w:r>
      <w:r>
        <w:rPr>
          <w:sz w:val="24"/>
          <w:b/>
        </w:rPr>
        <w:t>广东省广州市天河区五山路</w:t>
      </w:r>
      <w:r>
        <w:rPr>
          <w:sz w:val="24"/>
          <w:b/>
        </w:rPr>
        <w:t>483</w:t>
      </w:r>
      <w:r>
        <w:rPr>
          <w:sz w:val="24"/>
          <w:b/>
        </w:rPr>
        <w:t>号（华南农业大学生科院）</w:t>
      </w:r>
    </w:p>
    <w:p>
      <w:pPr>
        <w:pStyle w:val="null3"/>
        <w:jc w:val="both"/>
      </w:pPr>
      <w:r>
        <w:rPr>
          <w:sz w:val="24"/>
          <w:b/>
        </w:rPr>
        <w:t>发包方（甲方）：</w:t>
      </w:r>
      <w:r>
        <w:rPr>
          <w:sz w:val="24"/>
        </w:rPr>
        <w:t>华南农业大学</w:t>
      </w:r>
    </w:p>
    <w:p>
      <w:pPr>
        <w:pStyle w:val="null3"/>
        <w:ind w:firstLine="480"/>
        <w:jc w:val="both"/>
      </w:pPr>
      <w:r>
        <w:rPr>
          <w:sz w:val="24"/>
        </w:rPr>
        <w:t>通讯地址：广东省广州市天河区五山路</w:t>
      </w:r>
      <w:r>
        <w:rPr>
          <w:sz w:val="24"/>
        </w:rPr>
        <w:t>483</w:t>
      </w:r>
      <w:r>
        <w:rPr>
          <w:sz w:val="24"/>
        </w:rPr>
        <w:t>号</w:t>
      </w:r>
    </w:p>
    <w:p>
      <w:pPr>
        <w:pStyle w:val="null3"/>
        <w:ind w:firstLine="480"/>
        <w:jc w:val="both"/>
      </w:pPr>
      <w:r>
        <w:rPr>
          <w:sz w:val="24"/>
        </w:rPr>
        <w:t>联络人：</w:t>
      </w:r>
    </w:p>
    <w:p>
      <w:pPr>
        <w:pStyle w:val="null3"/>
        <w:ind w:firstLine="480"/>
        <w:jc w:val="both"/>
      </w:pPr>
      <w:r>
        <w:rPr>
          <w:sz w:val="24"/>
        </w:rPr>
        <w:t>联系电话：</w:t>
      </w:r>
      <w:r>
        <w:rPr>
          <w:sz w:val="20"/>
        </w:rPr>
        <w:t xml:space="preserve">  </w:t>
      </w:r>
    </w:p>
    <w:p>
      <w:pPr>
        <w:pStyle w:val="null3"/>
        <w:ind w:firstLine="480"/>
        <w:jc w:val="both"/>
      </w:pPr>
      <w:r>
        <w:rPr>
          <w:sz w:val="24"/>
        </w:rPr>
        <w:t>电子邮箱：</w:t>
      </w:r>
      <w:r>
        <w:rPr>
          <w:sz w:val="20"/>
        </w:rPr>
        <w:t xml:space="preserve">       </w:t>
      </w:r>
    </w:p>
    <w:p>
      <w:pPr>
        <w:pStyle w:val="null3"/>
        <w:ind w:firstLine="472"/>
        <w:jc w:val="both"/>
      </w:pPr>
      <w:r>
        <w:rPr>
          <w:sz w:val="24"/>
          <w:b/>
        </w:rPr>
        <w:t>承包方（乙方）：</w:t>
      </w:r>
    </w:p>
    <w:p>
      <w:pPr>
        <w:pStyle w:val="null3"/>
        <w:ind w:firstLine="470"/>
        <w:jc w:val="both"/>
      </w:pPr>
      <w:r>
        <w:rPr>
          <w:sz w:val="24"/>
        </w:rPr>
        <w:t>通讯地址：</w:t>
      </w:r>
    </w:p>
    <w:p>
      <w:pPr>
        <w:pStyle w:val="null3"/>
        <w:ind w:firstLine="470"/>
        <w:jc w:val="both"/>
      </w:pPr>
      <w:r>
        <w:rPr>
          <w:sz w:val="24"/>
        </w:rPr>
        <w:t>联络人：</w:t>
      </w:r>
    </w:p>
    <w:p>
      <w:pPr>
        <w:pStyle w:val="null3"/>
        <w:ind w:firstLine="470"/>
        <w:jc w:val="both"/>
      </w:pPr>
      <w:r>
        <w:rPr>
          <w:sz w:val="24"/>
        </w:rPr>
        <w:t>联系电话：</w:t>
      </w:r>
    </w:p>
    <w:p>
      <w:pPr>
        <w:pStyle w:val="null3"/>
        <w:ind w:firstLine="470"/>
        <w:jc w:val="both"/>
      </w:pPr>
      <w:r>
        <w:rPr>
          <w:sz w:val="24"/>
        </w:rPr>
        <w:t>电子邮箱：</w:t>
      </w:r>
    </w:p>
    <w:p>
      <w:pPr>
        <w:pStyle w:val="null3"/>
        <w:spacing w:before="120"/>
        <w:ind w:firstLine="480"/>
        <w:jc w:val="both"/>
      </w:pPr>
      <w:r>
        <w:rPr>
          <w:sz w:val="24"/>
        </w:rPr>
        <w:t>根据《中华人民共和国民法典》和《中华人民共和国建筑法》及有关规定，结合工程的具体情况，签订本合同。</w:t>
      </w:r>
    </w:p>
    <w:p>
      <w:pPr>
        <w:pStyle w:val="null3"/>
        <w:jc w:val="both"/>
      </w:pPr>
      <w:r>
        <w:rPr>
          <w:sz w:val="24"/>
          <w:b/>
        </w:rPr>
        <w:t>第一条工程项目</w:t>
      </w:r>
    </w:p>
    <w:p>
      <w:pPr>
        <w:pStyle w:val="null3"/>
        <w:ind w:firstLine="480"/>
        <w:jc w:val="both"/>
      </w:pPr>
      <w:r>
        <w:rPr>
          <w:sz w:val="24"/>
        </w:rPr>
        <w:t>（一）工程名称：</w:t>
      </w:r>
      <w:r>
        <w:rPr>
          <w:sz w:val="25"/>
        </w:rPr>
        <w:t>华南农业大学生科院生物智造研究院实验室装修项目</w:t>
      </w:r>
    </w:p>
    <w:p>
      <w:pPr>
        <w:pStyle w:val="null3"/>
        <w:ind w:firstLine="480"/>
        <w:jc w:val="both"/>
      </w:pPr>
      <w:r>
        <w:rPr>
          <w:sz w:val="24"/>
        </w:rPr>
        <w:t>（二）工程地点：广东省广州市天河区五山路</w:t>
      </w:r>
      <w:r>
        <w:rPr>
          <w:sz w:val="24"/>
        </w:rPr>
        <w:t>483</w:t>
      </w:r>
      <w:r>
        <w:rPr>
          <w:sz w:val="24"/>
        </w:rPr>
        <w:t>号（华南农业大学生科院）</w:t>
      </w:r>
    </w:p>
    <w:p>
      <w:pPr>
        <w:pStyle w:val="null3"/>
        <w:ind w:firstLine="492"/>
        <w:jc w:val="both"/>
      </w:pPr>
      <w:r>
        <w:rPr>
          <w:sz w:val="24"/>
        </w:rPr>
        <w:t>（三）工程内容：完成</w:t>
      </w:r>
      <w:r>
        <w:rPr>
          <w:sz w:val="24"/>
        </w:rPr>
        <w:t>408</w:t>
      </w:r>
      <w:r>
        <w:rPr>
          <w:sz w:val="24"/>
        </w:rPr>
        <w:t>平方米的科研实验室室内装修建设，包括吊顶、地面铺设瓷砖、水电安装等，具体以施工图设计文件及招标工程量清单为准。</w:t>
      </w:r>
      <w:r>
        <w:rPr>
          <w:sz w:val="20"/>
        </w:rPr>
        <w:t xml:space="preserve">           </w:t>
      </w:r>
    </w:p>
    <w:p>
      <w:pPr>
        <w:pStyle w:val="null3"/>
        <w:ind w:firstLine="492"/>
        <w:jc w:val="both"/>
      </w:pPr>
      <w:r>
        <w:rPr>
          <w:sz w:val="24"/>
        </w:rPr>
        <w:t>（四）承包方式：由乙方包工、包料、包水电、包质量、包工期、包安全、包文明施工，达到验收规范标准，不准转包。</w:t>
      </w:r>
    </w:p>
    <w:p>
      <w:pPr>
        <w:pStyle w:val="null3"/>
        <w:ind w:firstLine="480"/>
        <w:jc w:val="both"/>
      </w:pPr>
      <w:r>
        <w:rPr>
          <w:sz w:val="24"/>
        </w:rPr>
        <w:t>（五）经费来源：高水平大学建设计划</w:t>
      </w:r>
      <w:r>
        <w:rPr>
          <w:sz w:val="24"/>
        </w:rPr>
        <w:t>-</w:t>
      </w:r>
      <w:r>
        <w:rPr>
          <w:sz w:val="24"/>
        </w:rPr>
        <w:t>人才引进及师资队伍建设项目</w:t>
      </w:r>
    </w:p>
    <w:p>
      <w:pPr>
        <w:pStyle w:val="null3"/>
        <w:jc w:val="both"/>
      </w:pPr>
      <w:r>
        <w:rPr>
          <w:sz w:val="24"/>
          <w:b/>
        </w:rPr>
        <w:t>第二条工期</w:t>
      </w:r>
    </w:p>
    <w:p>
      <w:pPr>
        <w:pStyle w:val="null3"/>
        <w:ind w:firstLine="435"/>
        <w:jc w:val="both"/>
      </w:pPr>
      <w:r>
        <w:rPr>
          <w:sz w:val="24"/>
        </w:rPr>
        <w:t>（一）本工程总工期为</w:t>
      </w:r>
      <w:r>
        <w:rPr>
          <w:sz w:val="24"/>
          <w:u w:val="single"/>
        </w:rPr>
        <w:t>60</w:t>
      </w:r>
      <w:r>
        <w:rPr>
          <w:sz w:val="24"/>
        </w:rPr>
        <w:t>日历天，实际开工日期以甲方代表在开工申请（或报告或通知）上书面签字为准，从签字的第二天开始起算。</w:t>
      </w:r>
    </w:p>
    <w:p>
      <w:pPr>
        <w:pStyle w:val="null3"/>
        <w:ind w:firstLine="435"/>
        <w:jc w:val="both"/>
      </w:pPr>
      <w:r>
        <w:rPr>
          <w:sz w:val="24"/>
        </w:rPr>
        <w:t>（二）在具备工程施工条件下，乙方向甲方提交书面的开工报告。</w:t>
      </w:r>
    </w:p>
    <w:p>
      <w:pPr>
        <w:pStyle w:val="null3"/>
        <w:ind w:firstLine="435"/>
        <w:jc w:val="both"/>
      </w:pPr>
      <w:r>
        <w:rPr>
          <w:sz w:val="24"/>
        </w:rPr>
        <w:t>（三）在履约过程中，若因甲方原因发生设计变更所影响的工期或因甲方责任、不可抗力等因素所延误的工期，经甲乙双方书面签证认可后调整，以此确定工期以及竣工日期。</w:t>
      </w:r>
    </w:p>
    <w:p>
      <w:pPr>
        <w:pStyle w:val="null3"/>
        <w:jc w:val="both"/>
      </w:pPr>
      <w:r>
        <w:rPr>
          <w:sz w:val="24"/>
          <w:b/>
        </w:rPr>
        <w:t>第三条工程造价、结算原则和付款方式</w:t>
      </w:r>
    </w:p>
    <w:p>
      <w:pPr>
        <w:pStyle w:val="null3"/>
        <w:ind w:firstLine="480"/>
        <w:jc w:val="both"/>
      </w:pPr>
      <w:r>
        <w:rPr>
          <w:sz w:val="24"/>
        </w:rPr>
        <w:t>（一）本工程合同造价为人民币（￥元），最终造价以工程竣工验收后审定的结算为准。</w:t>
      </w:r>
    </w:p>
    <w:p>
      <w:pPr>
        <w:pStyle w:val="null3"/>
        <w:ind w:firstLine="480"/>
        <w:jc w:val="both"/>
      </w:pPr>
      <w:r>
        <w:rPr>
          <w:sz w:val="24"/>
        </w:rPr>
        <w:t>该工程款项包括但不限于完成本项工作所需的人工、材料、水电、管理、维护、保险、利润、税金、政策性文件规定及合同包含的所有风险、责任等各项税费。除本合同明确约定的费用外，甲方无需支付任何额外费用和承担任何额外义务。</w:t>
      </w:r>
    </w:p>
    <w:p>
      <w:pPr>
        <w:pStyle w:val="null3"/>
        <w:ind w:firstLine="480"/>
        <w:jc w:val="both"/>
      </w:pPr>
      <w:r>
        <w:rPr>
          <w:sz w:val="24"/>
        </w:rPr>
        <w:t>（二）工程造价结算原则</w:t>
      </w:r>
      <w:r>
        <w:rPr>
          <w:sz w:val="18"/>
        </w:rPr>
        <w:t>{</w:t>
      </w:r>
      <w:r>
        <w:rPr>
          <w:sz w:val="24"/>
        </w:rPr>
        <w:t>R</w:t>
      </w:r>
      <w:r>
        <w:rPr>
          <w:sz w:val="24"/>
        </w:rPr>
        <w:t>单价合同</w:t>
      </w:r>
    </w:p>
    <w:p>
      <w:pPr>
        <w:pStyle w:val="null3"/>
        <w:ind w:firstLine="200"/>
        <w:jc w:val="both"/>
      </w:pPr>
      <w:r>
        <w:rPr>
          <w:sz w:val="24"/>
          <w:b/>
        </w:rPr>
        <w:t>{</w:t>
      </w:r>
      <w:r>
        <w:rPr>
          <w:sz w:val="18"/>
          <w:b/>
        </w:rPr>
        <w:t>备注</w:t>
      </w:r>
      <w:r>
        <w:rPr>
          <w:sz w:val="18"/>
          <w:b/>
        </w:rPr>
        <w:t>2</w:t>
      </w:r>
      <w:r>
        <w:rPr>
          <w:sz w:val="18"/>
          <w:b/>
        </w:rPr>
        <w:t>：单价合同选</w:t>
      </w:r>
      <w:r>
        <w:rPr>
          <w:sz w:val="24"/>
          <w:b/>
        </w:rPr>
        <w:t>}</w:t>
      </w:r>
    </w:p>
    <w:p>
      <w:pPr>
        <w:pStyle w:val="null3"/>
        <w:ind w:firstLine="198"/>
        <w:jc w:val="both"/>
      </w:pPr>
      <w:r>
        <w:rPr>
          <w:sz w:val="24"/>
        </w:rPr>
        <w:t>1</w:t>
      </w:r>
      <w:r>
        <w:rPr>
          <w:sz w:val="24"/>
        </w:rPr>
        <w:t>、本合同价款采用</w:t>
      </w:r>
      <w:r>
        <w:rPr>
          <w:sz w:val="24"/>
          <w:b/>
        </w:rPr>
        <w:t>单价合同</w:t>
      </w:r>
      <w:r>
        <w:rPr>
          <w:sz w:val="24"/>
        </w:rPr>
        <w:t>方式确定。以已标价工程量清单及其综合单价进行合同价格计算、调整和确认，固定综合单价，措施项目费包干。</w:t>
      </w:r>
    </w:p>
    <w:p>
      <w:pPr>
        <w:pStyle w:val="null3"/>
        <w:ind w:firstLine="482"/>
        <w:jc w:val="both"/>
      </w:pPr>
      <w:r>
        <w:rPr>
          <w:sz w:val="18"/>
          <w:b/>
        </w:rPr>
        <w:t>备注</w:t>
      </w:r>
      <w:r>
        <w:rPr>
          <w:sz w:val="18"/>
          <w:b/>
        </w:rPr>
        <w:t>3</w:t>
      </w:r>
      <w:r>
        <w:rPr>
          <w:sz w:val="18"/>
          <w:b/>
        </w:rPr>
        <w:t>：政府采购</w:t>
      </w:r>
      <w:r>
        <w:rPr>
          <w:sz w:val="18"/>
          <w:b/>
        </w:rPr>
        <w:t>-</w:t>
      </w:r>
      <w:r>
        <w:rPr>
          <w:sz w:val="18"/>
          <w:b/>
        </w:rPr>
        <w:t>竞争性磋商采购方式的，增加以下内容：</w:t>
      </w:r>
      <w:r>
        <w:rPr>
          <w:sz w:val="18"/>
          <w:b/>
        </w:rPr>
        <w:t>{</w:t>
      </w:r>
      <w:r>
        <w:rPr>
          <w:sz w:val="24"/>
        </w:rPr>
        <w:t>根据竞争性磋商的成交供应商的最终报价（总价），调整工程量清单的成交综合单价</w:t>
      </w:r>
      <w:r>
        <w:rPr>
          <w:sz w:val="24"/>
        </w:rPr>
        <w:t>=</w:t>
      </w:r>
      <w:r>
        <w:rPr>
          <w:sz w:val="24"/>
        </w:rPr>
        <w:t>第一轮报价的单价×（竞争性磋商最终报价</w:t>
      </w:r>
      <w:r>
        <w:rPr>
          <w:sz w:val="24"/>
        </w:rPr>
        <w:t>-</w:t>
      </w:r>
      <w:r>
        <w:rPr>
          <w:sz w:val="24"/>
        </w:rPr>
        <w:t>不参与调价项目合计）</w:t>
      </w:r>
      <w:r>
        <w:rPr>
          <w:sz w:val="24"/>
        </w:rPr>
        <w:t>/</w:t>
      </w:r>
      <w:r>
        <w:rPr>
          <w:sz w:val="24"/>
        </w:rPr>
        <w:t>（第一轮报价</w:t>
      </w:r>
      <w:r>
        <w:rPr>
          <w:sz w:val="24"/>
        </w:rPr>
        <w:t>-</w:t>
      </w:r>
      <w:r>
        <w:rPr>
          <w:sz w:val="24"/>
        </w:rPr>
        <w:t>不参与调价项目合计）×</w:t>
      </w:r>
      <w:r>
        <w:rPr>
          <w:sz w:val="24"/>
        </w:rPr>
        <w:t>100%</w:t>
      </w:r>
      <w:r>
        <w:rPr>
          <w:sz w:val="24"/>
        </w:rPr>
        <w:t>＝第一轮报价的单价×；不参与调价项目包括：暂列金额、按系数计算的绿色施工安全防护措施费，项目范围和计费按国家、省市相关文件和采购文件的约定执行。</w:t>
      </w:r>
      <w:r>
        <w:rPr>
          <w:sz w:val="18"/>
        </w:rPr>
        <w:t>}</w:t>
      </w:r>
    </w:p>
    <w:p>
      <w:pPr>
        <w:pStyle w:val="null3"/>
        <w:ind w:firstLine="482"/>
        <w:jc w:val="both"/>
      </w:pPr>
      <w:r>
        <w:rPr>
          <w:sz w:val="24"/>
        </w:rPr>
        <w:t>2</w:t>
      </w:r>
      <w:r>
        <w:rPr>
          <w:sz w:val="24"/>
        </w:rPr>
        <w:t>、双方约定合同价款的其他调整因素：</w:t>
      </w:r>
    </w:p>
    <w:p>
      <w:pPr>
        <w:pStyle w:val="null3"/>
        <w:ind w:firstLine="482"/>
        <w:jc w:val="both"/>
      </w:pPr>
      <w:r>
        <w:rPr>
          <w:sz w:val="24"/>
        </w:rPr>
        <w:t>A</w:t>
      </w:r>
      <w:r>
        <w:rPr>
          <w:sz w:val="24"/>
        </w:rPr>
        <w:t>工程量清单内的项目，按投标报价单价、规费及税金等费用调整工程造价，工程量按实</w:t>
      </w:r>
      <w:r>
        <w:rPr>
          <w:sz w:val="24"/>
        </w:rPr>
        <w:t>(</w:t>
      </w:r>
      <w:r>
        <w:rPr>
          <w:sz w:val="24"/>
        </w:rPr>
        <w:t>监理单位和发包人签认的合格工程量</w:t>
      </w:r>
      <w:r>
        <w:rPr>
          <w:sz w:val="24"/>
        </w:rPr>
        <w:t>)</w:t>
      </w:r>
      <w:r>
        <w:rPr>
          <w:sz w:val="24"/>
        </w:rPr>
        <w:t>结算。</w:t>
      </w:r>
    </w:p>
    <w:p>
      <w:pPr>
        <w:pStyle w:val="null3"/>
        <w:ind w:firstLine="482"/>
        <w:jc w:val="both"/>
      </w:pPr>
      <w:r>
        <w:rPr>
          <w:sz w:val="24"/>
        </w:rPr>
        <w:t>B</w:t>
      </w:r>
      <w:r>
        <w:rPr>
          <w:sz w:val="24"/>
        </w:rPr>
        <w:t>工程量清单外的工程项目（含暂时定价项目、漏项或因图纸修改和设计变更等情况出现的工程变更），按以下方法处理：</w:t>
      </w:r>
    </w:p>
    <w:p>
      <w:pPr>
        <w:pStyle w:val="null3"/>
        <w:ind w:firstLine="482"/>
        <w:jc w:val="both"/>
      </w:pPr>
      <w:r>
        <w:rPr>
          <w:sz w:val="24"/>
        </w:rPr>
        <w:t>（</w:t>
      </w:r>
      <w:r>
        <w:rPr>
          <w:sz w:val="24"/>
        </w:rPr>
        <w:t>1</w:t>
      </w:r>
      <w:r>
        <w:rPr>
          <w:sz w:val="24"/>
        </w:rPr>
        <w:t>）已标价工程量清单中有工作内容相同项目的综合单价，按投标报价单价、规费及税金等费用调整工程造价，工程量按实</w:t>
      </w:r>
      <w:r>
        <w:rPr>
          <w:sz w:val="24"/>
        </w:rPr>
        <w:t>(</w:t>
      </w:r>
      <w:r>
        <w:rPr>
          <w:sz w:val="24"/>
        </w:rPr>
        <w:t>监理单位和发包人签认的合格工程量</w:t>
      </w:r>
      <w:r>
        <w:rPr>
          <w:sz w:val="24"/>
        </w:rPr>
        <w:t>)</w:t>
      </w:r>
      <w:r>
        <w:rPr>
          <w:sz w:val="24"/>
        </w:rPr>
        <w:t>结算。</w:t>
      </w:r>
    </w:p>
    <w:p>
      <w:pPr>
        <w:pStyle w:val="null3"/>
        <w:ind w:firstLine="482"/>
        <w:jc w:val="both"/>
      </w:pPr>
      <w:r>
        <w:rPr>
          <w:sz w:val="24"/>
        </w:rPr>
        <w:t>（</w:t>
      </w:r>
      <w:r>
        <w:rPr>
          <w:sz w:val="24"/>
        </w:rPr>
        <w:t>2</w:t>
      </w:r>
      <w:r>
        <w:rPr>
          <w:sz w:val="24"/>
        </w:rPr>
        <w:t>）已标价工程量清单中有工作内容类似项目的综合单价，仅涉及按相关计价依据并且发包人确认确需调整主材价格的，主材价格以发包人审定的价格为准，与相应投标材料价格的差额调整材料价差。投标报价中已有的材料按投标报价中材料价作为结算材料价；投标报价中没有的材料价按照施工同期广州市造价站公布的《广州地区建设工程常用材料综合价格》</w:t>
      </w:r>
      <w:r>
        <w:rPr>
          <w:sz w:val="24"/>
        </w:rPr>
        <w:t>作为结算材料价；《广州地区建设工程常用材料综合价格》没有的材料，材料按照施工同期《广州市建设工程材料（设备）厂商价格信息》对应品牌、规格、型号的材料价作为结算材料价；《广州市建设工程材料（设备）厂商价格信息》</w:t>
      </w:r>
      <w:r>
        <w:rPr>
          <w:sz w:val="24"/>
        </w:rPr>
        <w:t>没有对应品牌、规格、型号的，按发包人审核的材料单价计算”。</w:t>
      </w:r>
    </w:p>
    <w:p>
      <w:pPr>
        <w:pStyle w:val="null3"/>
        <w:ind w:firstLine="482"/>
        <w:jc w:val="both"/>
      </w:pPr>
      <w:r>
        <w:rPr>
          <w:sz w:val="24"/>
        </w:rPr>
        <w:t>（</w:t>
      </w:r>
      <w:r>
        <w:rPr>
          <w:sz w:val="24"/>
        </w:rPr>
        <w:t>3</w:t>
      </w:r>
      <w:r>
        <w:rPr>
          <w:sz w:val="24"/>
        </w:rPr>
        <w:t>）已标价工程量清单中没有相同项目或类似项目的，即除已标价工程量清单项目中有相同或类似项目之外的新增综合单价计价原则：以相关定额为基数，按粤建市</w:t>
      </w:r>
      <w:r>
        <w:rPr>
          <w:sz w:val="24"/>
        </w:rPr>
        <w:t>[2019]6</w:t>
      </w:r>
      <w:r>
        <w:rPr>
          <w:sz w:val="24"/>
        </w:rPr>
        <w:t>号文及省市有关工程计价办法中的定额计价程序计价，《关于调整</w:t>
      </w:r>
      <w:r>
        <w:rPr>
          <w:sz w:val="24"/>
        </w:rPr>
        <w:t>&lt;</w:t>
      </w:r>
      <w:r>
        <w:rPr>
          <w:sz w:val="24"/>
        </w:rPr>
        <w:t>广东省建设工程计价依据</w:t>
      </w:r>
      <w:r>
        <w:rPr>
          <w:sz w:val="24"/>
        </w:rPr>
        <w:t xml:space="preserve"> 2018&gt;</w:t>
      </w:r>
      <w:r>
        <w:rPr>
          <w:sz w:val="24"/>
        </w:rPr>
        <w:t>计价规则的通知》</w:t>
      </w:r>
      <w:r>
        <w:rPr>
          <w:sz w:val="24"/>
        </w:rPr>
        <w:t>(</w:t>
      </w:r>
      <w:r>
        <w:rPr>
          <w:sz w:val="24"/>
        </w:rPr>
        <w:t>粤标定函</w:t>
      </w:r>
      <w:r>
        <w:rPr>
          <w:sz w:val="24"/>
        </w:rPr>
        <w:t>(2025)22</w:t>
      </w:r>
      <w:r>
        <w:rPr>
          <w:sz w:val="24"/>
        </w:rPr>
        <w:t>号</w:t>
      </w:r>
      <w:r>
        <w:rPr>
          <w:sz w:val="24"/>
        </w:rPr>
        <w:t>)</w:t>
      </w:r>
      <w:r>
        <w:rPr>
          <w:sz w:val="24"/>
        </w:rPr>
        <w:t>，其中措施项目费不再计取；下浮率为中标价相对于招标控制价的下浮率（中标下浮率</w:t>
      </w:r>
      <w:r>
        <w:rPr>
          <w:sz w:val="24"/>
        </w:rPr>
        <w:t>=</w:t>
      </w:r>
      <w:r>
        <w:rPr>
          <w:sz w:val="24"/>
        </w:rPr>
        <w:t>【</w:t>
      </w:r>
      <w:r>
        <w:rPr>
          <w:sz w:val="24"/>
        </w:rPr>
        <w:t>1-</w:t>
      </w:r>
      <w:r>
        <w:rPr>
          <w:sz w:val="24"/>
        </w:rPr>
        <w:t>中标价</w:t>
      </w:r>
      <w:r>
        <w:rPr>
          <w:sz w:val="24"/>
        </w:rPr>
        <w:t>/</w:t>
      </w:r>
      <w:r>
        <w:rPr>
          <w:sz w:val="24"/>
        </w:rPr>
        <w:t>招标控制价】×</w:t>
      </w:r>
      <w:r>
        <w:rPr>
          <w:sz w:val="24"/>
        </w:rPr>
        <w:t>100%</w:t>
      </w:r>
      <w:r>
        <w:rPr>
          <w:sz w:val="24"/>
        </w:rPr>
        <w:t>），下浮率若小于</w:t>
      </w:r>
      <w:r>
        <w:rPr>
          <w:sz w:val="24"/>
        </w:rPr>
        <w:t>10%</w:t>
      </w:r>
      <w:r>
        <w:rPr>
          <w:sz w:val="24"/>
        </w:rPr>
        <w:t>的，按</w:t>
      </w:r>
      <w:r>
        <w:rPr>
          <w:sz w:val="24"/>
        </w:rPr>
        <w:t>10%</w:t>
      </w:r>
      <w:r>
        <w:rPr>
          <w:sz w:val="24"/>
        </w:rPr>
        <w:t>执行。人工、材料和机械单价按照投标文件中相关专业综合单价分析表中的单价套用；投标报价中已有的材料按投标报价中材料价作为结算材料价；投标报价中没有的材料价按照施工同期广州市造价站公布的《广州地区建设工程常用材料综合价格》作为结算材料价；《广州地区建设工程常用材料综合价格》没有的材料，材料按照施工同期《广州市建设工程材料（设备）厂商价格信息》对应品牌、规格、型号的材料价作为结算材料价；《广州市建设工程材料（设备）厂商价格信息》没有对应品牌、规格、型号的，按发包人审核的材料单价计算。</w:t>
      </w:r>
    </w:p>
    <w:p>
      <w:pPr>
        <w:pStyle w:val="null3"/>
        <w:ind w:firstLine="482"/>
        <w:jc w:val="both"/>
      </w:pPr>
      <w:r>
        <w:rPr>
          <w:sz w:val="24"/>
        </w:rPr>
        <w:t>增加及变更项目，承包人应按以上计价方法编制预算，报现场监理工程师和发包人作为增加或变更的审批依据。</w:t>
      </w:r>
    </w:p>
    <w:p>
      <w:pPr>
        <w:pStyle w:val="null3"/>
        <w:ind w:firstLine="482"/>
        <w:jc w:val="both"/>
      </w:pPr>
      <w:r>
        <w:rPr>
          <w:sz w:val="24"/>
        </w:rPr>
        <w:t>C</w:t>
      </w:r>
      <w:r>
        <w:rPr>
          <w:sz w:val="24"/>
        </w:rPr>
        <w:t>工程排污费、施工噪音排污费如实际发生时，暂按工程所在地规定的标准计算，结算时按实际发生费用计算；质监费用由发包人向有关部门交纳。</w:t>
      </w:r>
    </w:p>
    <w:p>
      <w:pPr>
        <w:pStyle w:val="null3"/>
        <w:ind w:firstLine="482"/>
        <w:jc w:val="both"/>
      </w:pPr>
      <w:r>
        <w:rPr>
          <w:sz w:val="24"/>
        </w:rPr>
        <w:t>D</w:t>
      </w:r>
      <w:r>
        <w:rPr>
          <w:sz w:val="24"/>
        </w:rPr>
        <w:t>设计变更、增减工程应于该变更工程完成一个月内办理签证，工程完工后工程量按实计算。</w:t>
      </w:r>
    </w:p>
    <w:p>
      <w:pPr>
        <w:pStyle w:val="null3"/>
        <w:ind w:firstLine="482"/>
        <w:jc w:val="both"/>
      </w:pPr>
      <w:r>
        <w:rPr>
          <w:sz w:val="24"/>
        </w:rPr>
        <w:t>最终书面确认工程结算价不得超过合同价的</w:t>
      </w:r>
      <w:r>
        <w:rPr>
          <w:sz w:val="24"/>
        </w:rPr>
        <w:t>110%</w:t>
      </w:r>
      <w:r>
        <w:rPr>
          <w:sz w:val="24"/>
        </w:rPr>
        <w:t>且不得超过招标控制价。</w:t>
      </w:r>
    </w:p>
    <w:p>
      <w:pPr>
        <w:pStyle w:val="null3"/>
        <w:ind w:left="480"/>
        <w:jc w:val="both"/>
      </w:pPr>
      <w:r>
        <w:rPr>
          <w:sz w:val="24"/>
        </w:rPr>
        <w:t>（三）工程付款方式：在乙方无任何违约行为的情况下，工程开工后七天内</w:t>
      </w:r>
      <w:r>
        <w:rPr>
          <w:sz w:val="24"/>
          <w:b/>
        </w:rPr>
        <w:t>，</w:t>
      </w:r>
      <w:r>
        <w:rPr>
          <w:sz w:val="24"/>
        </w:rPr>
        <w:t>甲方按合同价（扣除暂列金后，下同）的</w:t>
      </w:r>
      <w:r>
        <w:rPr>
          <w:sz w:val="24"/>
        </w:rPr>
        <w:t>30%</w:t>
      </w:r>
      <w:r>
        <w:rPr>
          <w:sz w:val="24"/>
        </w:rPr>
        <w:t>作为预付款拨给乙方，工程全部完工并验收合格后，采购人办理完结算手续后七个工作日内再向供应商支付工程款至结算价的</w:t>
      </w:r>
      <w:r>
        <w:rPr>
          <w:sz w:val="24"/>
        </w:rPr>
        <w:t>97%</w:t>
      </w:r>
      <w:r>
        <w:rPr>
          <w:sz w:val="24"/>
        </w:rPr>
        <w:t>（供应商以保函形式提交质量保证金的，支付至结算价的</w:t>
      </w:r>
      <w:r>
        <w:rPr>
          <w:sz w:val="24"/>
        </w:rPr>
        <w:t>100%</w:t>
      </w:r>
      <w:r>
        <w:rPr>
          <w:sz w:val="24"/>
        </w:rPr>
        <w:t>）。余下</w:t>
      </w:r>
      <w:r>
        <w:rPr>
          <w:sz w:val="24"/>
        </w:rPr>
        <w:t>3%</w:t>
      </w:r>
      <w:r>
        <w:rPr>
          <w:sz w:val="24"/>
        </w:rPr>
        <w:t>作为工程质量保证金在工程质量验收合格之日起满贰年后</w:t>
      </w:r>
      <w:r>
        <w:rPr>
          <w:sz w:val="24"/>
        </w:rPr>
        <w:t>7</w:t>
      </w:r>
      <w:r>
        <w:rPr>
          <w:sz w:val="24"/>
        </w:rPr>
        <w:t>天内一次性支付给供应商。在甲方付款前，乙方应当向甲方提供等额合法发票，</w:t>
      </w:r>
      <w:r>
        <w:rPr>
          <w:sz w:val="21"/>
        </w:rPr>
        <w:t>采购人自收到发票后</w:t>
      </w:r>
      <w:r>
        <w:rPr>
          <w:sz w:val="21"/>
        </w:rPr>
        <w:t>10</w:t>
      </w:r>
      <w:r>
        <w:rPr>
          <w:sz w:val="21"/>
        </w:rPr>
        <w:t>个工作日内将资金支付。</w:t>
      </w:r>
      <w:r>
        <w:rPr>
          <w:sz w:val="24"/>
        </w:rPr>
        <w:t>如因乙方未能及时提供前述发票而造成付款延误，不属甲方违约。</w:t>
      </w:r>
    </w:p>
    <w:p>
      <w:pPr>
        <w:pStyle w:val="null3"/>
        <w:ind w:firstLine="435"/>
        <w:jc w:val="both"/>
      </w:pPr>
      <w:r>
        <w:rPr>
          <w:sz w:val="24"/>
        </w:rPr>
        <w:t>乙方指定以下账户为唯一收款账户：</w:t>
      </w:r>
    </w:p>
    <w:p>
      <w:pPr>
        <w:pStyle w:val="null3"/>
        <w:ind w:firstLine="435"/>
        <w:jc w:val="both"/>
      </w:pPr>
      <w:r>
        <w:rPr>
          <w:sz w:val="24"/>
        </w:rPr>
        <w:t>账户名称：</w:t>
      </w:r>
    </w:p>
    <w:p>
      <w:pPr>
        <w:pStyle w:val="null3"/>
        <w:ind w:firstLine="435"/>
        <w:jc w:val="both"/>
      </w:pPr>
      <w:r>
        <w:rPr>
          <w:sz w:val="24"/>
        </w:rPr>
        <w:t>开户银行：</w:t>
      </w:r>
    </w:p>
    <w:p>
      <w:pPr>
        <w:pStyle w:val="null3"/>
        <w:ind w:firstLine="435"/>
        <w:jc w:val="both"/>
      </w:pPr>
      <w:r>
        <w:rPr>
          <w:sz w:val="24"/>
        </w:rPr>
        <w:t>银行账号：</w:t>
      </w:r>
    </w:p>
    <w:p>
      <w:pPr>
        <w:pStyle w:val="null3"/>
        <w:ind w:firstLine="435"/>
        <w:jc w:val="both"/>
      </w:pPr>
      <w:r>
        <w:rPr>
          <w:sz w:val="24"/>
        </w:rPr>
        <w:t>甲方向上述账户汇出款项后，即视为已履行付款义务，在汇款过程中，因乙方账户的原因（包括但不限于账号被注销、被冻结等）导致其无法收取款项的，由乙方承担相应后果。甲方有权直接在应付款项中扣除乙方应承担违约金或赔偿金等。</w:t>
      </w:r>
    </w:p>
    <w:p>
      <w:pPr>
        <w:pStyle w:val="null3"/>
        <w:jc w:val="both"/>
      </w:pPr>
      <w:r>
        <w:rPr>
          <w:sz w:val="24"/>
          <w:b/>
        </w:rPr>
        <w:t>第四条材料设备供应</w:t>
      </w:r>
    </w:p>
    <w:p>
      <w:pPr>
        <w:pStyle w:val="null3"/>
        <w:jc w:val="both"/>
      </w:pPr>
      <w:r>
        <w:rPr>
          <w:sz w:val="24"/>
        </w:rPr>
        <w:t>（一）工程所需材料设备必须经甲方确认后由乙方自行采购并运至施工现场。</w:t>
      </w:r>
    </w:p>
    <w:p>
      <w:pPr>
        <w:pStyle w:val="null3"/>
        <w:ind w:firstLine="480"/>
        <w:jc w:val="both"/>
      </w:pPr>
      <w:r>
        <w:rPr>
          <w:sz w:val="24"/>
        </w:rPr>
        <w:t>（二）材料设备应附有符合国家标准的出厂合格证明。如一方对材料设备有异议，应提交甲方指定鉴定机构进行检验。如检验合格，检验费由提出异议一方负责；如检验不合格，检验费由乙方负责。</w:t>
      </w:r>
    </w:p>
    <w:p>
      <w:pPr>
        <w:pStyle w:val="null3"/>
        <w:ind w:firstLine="480"/>
        <w:jc w:val="both"/>
      </w:pPr>
      <w:r>
        <w:rPr>
          <w:sz w:val="24"/>
        </w:rPr>
        <w:t>（三）在施工中，由于甲方原因工程设计变更造成乙方采购的材料、设备不适用，甲方需按先前已确认的材料设备的实际采购价格，回收全部不适用的材料设备。或经乙方同意，由甲方给予乙方适当的补偿后，不适用的材料设备由乙方自行处理。</w:t>
      </w:r>
    </w:p>
    <w:p>
      <w:pPr>
        <w:pStyle w:val="null3"/>
        <w:jc w:val="both"/>
      </w:pPr>
      <w:r>
        <w:rPr>
          <w:sz w:val="24"/>
          <w:b/>
        </w:rPr>
        <w:t>第五条工程质量标准和保修期</w:t>
      </w:r>
    </w:p>
    <w:p>
      <w:pPr>
        <w:pStyle w:val="null3"/>
        <w:jc w:val="both"/>
      </w:pPr>
      <w:r>
        <w:rPr>
          <w:sz w:val="24"/>
        </w:rPr>
        <w:t>（一）工程质量标准按国家现行施工及验收规范、工程质量标准为合格。</w:t>
      </w:r>
    </w:p>
    <w:p>
      <w:pPr>
        <w:pStyle w:val="null3"/>
        <w:ind w:firstLine="480"/>
        <w:jc w:val="both"/>
      </w:pPr>
      <w:r>
        <w:rPr>
          <w:sz w:val="24"/>
        </w:rPr>
        <w:t>（二）施工中如甲方发现工程上存在问题时，应及时通知乙方，乙方在收到通知二天内采取有效措施纠正。否则，甲方有权采取措施，直至终止合同，由此造成的损失由乙方承担。</w:t>
      </w:r>
    </w:p>
    <w:p>
      <w:pPr>
        <w:pStyle w:val="null3"/>
        <w:ind w:firstLine="480"/>
        <w:jc w:val="both"/>
      </w:pPr>
      <w:r>
        <w:rPr>
          <w:sz w:val="24"/>
        </w:rPr>
        <w:t>（三）保修期按中华人民共和国国务院令第</w:t>
      </w:r>
      <w:r>
        <w:rPr>
          <w:sz w:val="24"/>
        </w:rPr>
        <w:t>279</w:t>
      </w:r>
      <w:r>
        <w:rPr>
          <w:sz w:val="24"/>
        </w:rPr>
        <w:t>号《建设工程质量管理条例》执行，在正常使用条件下，建设工程的最低保修期自竣工验收合格双方签字确认之日起：</w:t>
      </w:r>
      <w:r>
        <w:br/>
      </w:r>
      <w:r>
        <w:rPr>
          <w:sz w:val="24"/>
        </w:rPr>
        <w:t>（</w:t>
      </w:r>
      <w:r>
        <w:rPr>
          <w:sz w:val="24"/>
        </w:rPr>
        <w:t>1</w:t>
      </w:r>
      <w:r>
        <w:rPr>
          <w:sz w:val="24"/>
        </w:rPr>
        <w:t>）基础设施工程、房屋建筑的地基基础工程和主体结构工程，为设计文件规定的该工程的合理使用年限；如无规定，则保修期为</w:t>
      </w:r>
      <w:r>
        <w:rPr>
          <w:sz w:val="24"/>
        </w:rPr>
        <w:t>2</w:t>
      </w:r>
      <w:r>
        <w:rPr>
          <w:sz w:val="24"/>
        </w:rPr>
        <w:t>年。</w:t>
      </w:r>
      <w:r>
        <w:br/>
      </w:r>
      <w:r>
        <w:rPr>
          <w:sz w:val="24"/>
        </w:rPr>
        <w:t>（</w:t>
      </w:r>
      <w:r>
        <w:rPr>
          <w:sz w:val="24"/>
        </w:rPr>
        <w:t>2</w:t>
      </w:r>
      <w:r>
        <w:rPr>
          <w:sz w:val="24"/>
        </w:rPr>
        <w:t>）屋面防水工程、有防水要求的卫生间、房间和外墙面的防渗漏，为</w:t>
      </w:r>
      <w:r>
        <w:rPr>
          <w:sz w:val="24"/>
        </w:rPr>
        <w:t>5</w:t>
      </w:r>
      <w:r>
        <w:rPr>
          <w:sz w:val="24"/>
        </w:rPr>
        <w:t>年；</w:t>
      </w:r>
      <w:r>
        <w:br/>
      </w:r>
      <w:r>
        <w:rPr>
          <w:sz w:val="24"/>
        </w:rPr>
        <w:t>（</w:t>
      </w:r>
      <w:r>
        <w:rPr>
          <w:sz w:val="24"/>
        </w:rPr>
        <w:t>3</w:t>
      </w:r>
      <w:r>
        <w:rPr>
          <w:sz w:val="24"/>
        </w:rPr>
        <w:t>）供热与供冷系统，为</w:t>
      </w:r>
      <w:r>
        <w:rPr>
          <w:sz w:val="24"/>
        </w:rPr>
        <w:t>2</w:t>
      </w:r>
      <w:r>
        <w:rPr>
          <w:sz w:val="24"/>
        </w:rPr>
        <w:t>个采暖期、供冷期；</w:t>
      </w:r>
      <w:r>
        <w:br/>
      </w:r>
      <w:r>
        <w:rPr>
          <w:sz w:val="24"/>
        </w:rPr>
        <w:t>（</w:t>
      </w:r>
      <w:r>
        <w:rPr>
          <w:sz w:val="24"/>
        </w:rPr>
        <w:t>4</w:t>
      </w:r>
      <w:r>
        <w:rPr>
          <w:sz w:val="24"/>
        </w:rPr>
        <w:t>）电气管线、给排水管道、设备安装和装修工程，为</w:t>
      </w:r>
      <w:r>
        <w:rPr>
          <w:sz w:val="24"/>
        </w:rPr>
        <w:t>2</w:t>
      </w:r>
      <w:r>
        <w:rPr>
          <w:sz w:val="24"/>
        </w:rPr>
        <w:t>年。</w:t>
      </w:r>
    </w:p>
    <w:p>
      <w:pPr>
        <w:pStyle w:val="null3"/>
        <w:ind w:firstLine="480"/>
        <w:jc w:val="both"/>
      </w:pPr>
      <w:r>
        <w:rPr>
          <w:sz w:val="24"/>
        </w:rPr>
        <w:t>保修期限内出现的质量问题，乙方在接到甲方通知后两天内进行检查，经甲方鉴定，属乙方施工或材料质量问题，由乙方即时进行修复，修复费和成本由乙方负责；属甲方使用不当造成的，修复费用由甲方负责。如对质量问题有争议，由相关质监部门裁定。</w:t>
      </w:r>
    </w:p>
    <w:p>
      <w:pPr>
        <w:pStyle w:val="null3"/>
        <w:jc w:val="both"/>
      </w:pPr>
      <w:r>
        <w:rPr>
          <w:sz w:val="24"/>
          <w:b/>
        </w:rPr>
        <w:t>第六条工程验收</w:t>
      </w:r>
    </w:p>
    <w:p>
      <w:pPr>
        <w:pStyle w:val="null3"/>
        <w:jc w:val="both"/>
      </w:pPr>
      <w:r>
        <w:rPr>
          <w:sz w:val="24"/>
        </w:rPr>
        <w:t>（一）工程验收以施工图及说明书、图纸会审记录、有关变更的书面文件，按国家颁布的施工及验收规范和质量检验标准为依据。</w:t>
      </w:r>
    </w:p>
    <w:p>
      <w:pPr>
        <w:pStyle w:val="null3"/>
        <w:ind w:firstLine="480"/>
        <w:jc w:val="both"/>
      </w:pPr>
      <w:r>
        <w:rPr>
          <w:sz w:val="24"/>
        </w:rPr>
        <w:t>（二）隐蔽工程在乙方自检后填制记录表（范围、数量、质量等），持表通知甲方进行检查。甲方接到通知后</w:t>
      </w:r>
      <w:r>
        <w:rPr>
          <w:sz w:val="24"/>
        </w:rPr>
        <w:t>2</w:t>
      </w:r>
      <w:r>
        <w:rPr>
          <w:sz w:val="24"/>
        </w:rPr>
        <w:t>天内到场验收，验收合格并符合设计要求时，经双方签字后进行下一工序的施工。隐蔽工程隐蔽前，甲方没有及时检查的，乙方可以要求办理顺延工期，无权自检。</w:t>
      </w:r>
    </w:p>
    <w:p>
      <w:pPr>
        <w:pStyle w:val="null3"/>
        <w:ind w:firstLine="480"/>
        <w:jc w:val="both"/>
      </w:pPr>
      <w:r>
        <w:rPr>
          <w:sz w:val="24"/>
        </w:rPr>
        <w:t>（三）工程（包括单项工程）竣工前三天，由乙方通知甲方验收，甲方在乙方书面通知竣工后三天内验收完毕。工程内容及质量符合要求的，双方在验收报告（或证明）上面签字并盖章，同时乙方将全部真实有效图纸资料（包括分包工程的竣工验收资料）向甲方移交。如工程内容尚未完成或质量不合格的，由乙方在甲乙双方商定的期限内补建或返修后再进行验收，直到符合要求为止。并按最后验收合格的日期为实际竣工日期，由此发生的费用由乙方承担，且工期不予顺延。。工程（含单项工程）未验收，甲方提前使用或擅自动用，视为合格。因乙方的原因致使工程在合理使用期内造成人身伤害（不管是否致命）和财产损失或损坏的，乙方应承担损失赔偿责任。</w:t>
      </w:r>
    </w:p>
    <w:p>
      <w:pPr>
        <w:pStyle w:val="null3"/>
        <w:jc w:val="both"/>
      </w:pPr>
      <w:r>
        <w:rPr>
          <w:sz w:val="24"/>
          <w:b/>
        </w:rPr>
        <w:t>第七条奖与罚</w:t>
      </w:r>
    </w:p>
    <w:p>
      <w:pPr>
        <w:pStyle w:val="null3"/>
        <w:jc w:val="both"/>
      </w:pPr>
      <w:r>
        <w:rPr>
          <w:sz w:val="24"/>
        </w:rPr>
        <w:t>（一）按合同期竣工不奖不罚。延期竣工（工期延误）的，每逾期</w:t>
      </w:r>
      <w:r>
        <w:rPr>
          <w:sz w:val="24"/>
        </w:rPr>
        <w:t>1</w:t>
      </w:r>
      <w:r>
        <w:rPr>
          <w:sz w:val="24"/>
        </w:rPr>
        <w:t>天，由乙方按工程结算总造价的万分之四向甲方支付违约金。延期竣工超过</w:t>
      </w:r>
      <w:r>
        <w:rPr>
          <w:sz w:val="24"/>
        </w:rPr>
        <w:t>30</w:t>
      </w:r>
      <w:r>
        <w:rPr>
          <w:sz w:val="24"/>
        </w:rPr>
        <w:t>天的，甲方有权解除合同，因此造成的一切损失由乙方承担。</w:t>
      </w:r>
    </w:p>
    <w:p>
      <w:pPr>
        <w:pStyle w:val="null3"/>
        <w:ind w:firstLine="480"/>
        <w:jc w:val="both"/>
      </w:pPr>
      <w:r>
        <w:rPr>
          <w:sz w:val="24"/>
        </w:rPr>
        <w:t>（二）奖罚应在竣工结算时办理。</w:t>
      </w:r>
    </w:p>
    <w:p>
      <w:pPr>
        <w:pStyle w:val="null3"/>
        <w:jc w:val="both"/>
      </w:pPr>
      <w:r>
        <w:rPr>
          <w:sz w:val="24"/>
          <w:b/>
        </w:rPr>
        <w:t>第八条</w:t>
      </w:r>
      <w:r>
        <w:rPr>
          <w:sz w:val="24"/>
        </w:rPr>
        <w:t>本合同自甲乙双方法定代表人或授权代表签字并盖双方公章或合同专用章后生效，正本</w:t>
      </w:r>
      <w:r>
        <w:rPr>
          <w:sz w:val="24"/>
          <w:u w:val="single"/>
        </w:rPr>
        <w:t>两</w:t>
      </w:r>
      <w:r>
        <w:rPr>
          <w:sz w:val="24"/>
        </w:rPr>
        <w:t>份，双方各执</w:t>
      </w:r>
      <w:r>
        <w:rPr>
          <w:sz w:val="24"/>
          <w:u w:val="single"/>
        </w:rPr>
        <w:t>一</w:t>
      </w:r>
      <w:r>
        <w:rPr>
          <w:sz w:val="24"/>
        </w:rPr>
        <w:t>份，副本</w:t>
      </w:r>
      <w:r>
        <w:rPr>
          <w:sz w:val="24"/>
          <w:u w:val="single"/>
        </w:rPr>
        <w:t>八</w:t>
      </w:r>
      <w:r>
        <w:rPr>
          <w:sz w:val="24"/>
        </w:rPr>
        <w:t>份，双方各执</w:t>
      </w:r>
      <w:r>
        <w:rPr>
          <w:sz w:val="24"/>
          <w:u w:val="single"/>
        </w:rPr>
        <w:t>四</w:t>
      </w:r>
      <w:r>
        <w:rPr>
          <w:sz w:val="24"/>
        </w:rPr>
        <w:t>份。</w:t>
      </w:r>
    </w:p>
    <w:p>
      <w:pPr>
        <w:pStyle w:val="null3"/>
        <w:jc w:val="both"/>
      </w:pPr>
      <w:r>
        <w:rPr>
          <w:sz w:val="24"/>
          <w:b/>
        </w:rPr>
        <w:t>第九条其它约定条款</w:t>
      </w:r>
    </w:p>
    <w:p>
      <w:pPr>
        <w:pStyle w:val="null3"/>
        <w:ind w:firstLine="480"/>
        <w:jc w:val="both"/>
      </w:pPr>
      <w:r>
        <w:rPr>
          <w:sz w:val="24"/>
        </w:rPr>
        <w:t>（一）乙方承诺具备履行本合同所必须的资质和条件，该资质和条件指的是工程所在地所要求的资质和条件。若因乙方的资质和条件问题导致本合同不能完全履行，甲方所受到的一切损失由乙方承担。</w:t>
      </w:r>
    </w:p>
    <w:p>
      <w:pPr>
        <w:pStyle w:val="null3"/>
        <w:ind w:firstLine="480"/>
        <w:jc w:val="both"/>
      </w:pPr>
      <w:r>
        <w:rPr>
          <w:sz w:val="24"/>
        </w:rPr>
        <w:t>（二）</w:t>
      </w:r>
      <w:r>
        <w:rPr>
          <w:sz w:val="24"/>
          <w:b/>
        </w:rPr>
        <w:t>现场施工用水用电按华南农业大学水电管理办法执行。</w:t>
      </w:r>
    </w:p>
    <w:p>
      <w:pPr>
        <w:pStyle w:val="null3"/>
        <w:ind w:firstLine="480"/>
        <w:jc w:val="both"/>
      </w:pPr>
      <w:r>
        <w:rPr>
          <w:sz w:val="24"/>
        </w:rPr>
        <w:t>（三）乙方必须在工程竣工后两天内撤离现场。</w:t>
      </w:r>
    </w:p>
    <w:p>
      <w:pPr>
        <w:pStyle w:val="null3"/>
        <w:ind w:firstLine="480"/>
        <w:jc w:val="both"/>
      </w:pPr>
      <w:r>
        <w:rPr>
          <w:sz w:val="24"/>
        </w:rPr>
        <w:t>（四）乙方逾期未提交结算文件，经甲方催促后</w:t>
      </w:r>
      <w:r>
        <w:rPr>
          <w:sz w:val="24"/>
        </w:rPr>
        <w:t>14</w:t>
      </w:r>
      <w:r>
        <w:rPr>
          <w:sz w:val="24"/>
        </w:rPr>
        <w:t>日内仍未提交的，将逾期每天按工程结算价的万分之一计取乙方的违约金。</w:t>
      </w:r>
    </w:p>
    <w:p>
      <w:pPr>
        <w:pStyle w:val="null3"/>
        <w:ind w:firstLine="480"/>
        <w:jc w:val="both"/>
      </w:pPr>
      <w:r>
        <w:rPr>
          <w:sz w:val="24"/>
        </w:rPr>
        <w:t>（五）所有乙方应当承担的违约金、赔偿金等责任，甲方均有权在应支付给乙方的款项中直接扣除，不足以扣除的，甲方有权继续要求乙方支付或赔偿。</w:t>
      </w:r>
    </w:p>
    <w:p>
      <w:pPr>
        <w:pStyle w:val="null3"/>
        <w:ind w:firstLine="482"/>
        <w:jc w:val="both"/>
      </w:pPr>
      <w:r>
        <w:rPr>
          <w:sz w:val="24"/>
        </w:rPr>
        <w:t>当乙方发生违约责任而甲方却无法从应付工程款项中抵扣时，甲方可从乙方履约保证金中扣回。</w:t>
      </w:r>
    </w:p>
    <w:p>
      <w:pPr>
        <w:pStyle w:val="null3"/>
        <w:ind w:firstLine="482"/>
        <w:jc w:val="both"/>
      </w:pPr>
      <w:r>
        <w:rPr>
          <w:sz w:val="24"/>
        </w:rPr>
        <w:t>工程全部完工并验收合格后，在无重大质量问题情况下，乙方办理相关履约担保退还手续后，履约担保十个工作日内无息退回乙方。否则，甲方有权不予退回履约担保。</w:t>
      </w:r>
    </w:p>
    <w:p>
      <w:pPr>
        <w:pStyle w:val="null3"/>
        <w:ind w:firstLine="482"/>
        <w:jc w:val="both"/>
      </w:pPr>
      <w:r>
        <w:rPr>
          <w:sz w:val="24"/>
        </w:rPr>
        <w:t>履约担保的形式：可银行电汇、转账，以及国家法律法规政策允许的其他方式交纳。（以保函方式交到甲方，担保期限至合同工程竣工验收合格后</w:t>
      </w:r>
      <w:r>
        <w:rPr>
          <w:sz w:val="24"/>
        </w:rPr>
        <w:t>30</w:t>
      </w:r>
      <w:r>
        <w:rPr>
          <w:sz w:val="24"/>
        </w:rPr>
        <w:t>天。）</w:t>
      </w:r>
    </w:p>
    <w:p>
      <w:pPr>
        <w:pStyle w:val="null3"/>
        <w:ind w:firstLine="482"/>
        <w:jc w:val="both"/>
      </w:pPr>
      <w:r>
        <w:rPr>
          <w:sz w:val="24"/>
        </w:rPr>
        <w:t>不予退还履约担保的情形：如在合同期内，乙方自行停止合约或违反合同有关规定被甲方终止合约的，则履约保证金全部归甲方所有。若乙方不履行或不适当履行其合同义务导致甲方蒙受损失的，甲方有权直接从履约保证金中获取相应违约金或损失赔偿款项；违约金或给甲方造成的损失超过履约保证金数额的，乙方应对超出部分给予赔偿。其他违约责任按照合同约定。甲方未按照合同约定及时向乙方退回履约保证金的，应按照全国银行间同业拆借中心公布的贷款市场报价利率标准支付利息（但因合同的履行产生争议乙方自身原因导致无法及时退还的除外）。</w:t>
      </w:r>
    </w:p>
    <w:p>
      <w:pPr>
        <w:pStyle w:val="null3"/>
        <w:ind w:firstLine="480"/>
        <w:jc w:val="both"/>
      </w:pPr>
      <w:r>
        <w:rPr>
          <w:sz w:val="24"/>
        </w:rPr>
        <w:t>（六）除本合同另有约定外，一方在本合同履行过程中向另一方发出或者提供的所有通知、文件、文书、资料等，均可以本合同所列明的地址送达；一方如果迁址或者变更电话，应当及时书面通知另一方，未履行通知义务的，另一方按原地址邮寄相关材料即视为已履行送达义务；当面交付上述材料的，在交付之时视为送达。</w:t>
      </w:r>
    </w:p>
    <w:p>
      <w:pPr>
        <w:pStyle w:val="null3"/>
        <w:ind w:firstLine="480"/>
        <w:jc w:val="both"/>
      </w:pPr>
      <w:r>
        <w:rPr>
          <w:sz w:val="24"/>
        </w:rPr>
        <w:t>（七）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4"/>
        </w:rPr>
        <w:t>15</w:t>
      </w:r>
      <w:r>
        <w:rPr>
          <w:sz w:val="24"/>
        </w:rPr>
        <w:t>日内将有关机构出具的不可抗力事件的证明寄交对方。未提供以上证明的，不能免除违约责任。</w:t>
      </w:r>
    </w:p>
    <w:p>
      <w:pPr>
        <w:pStyle w:val="null3"/>
        <w:ind w:firstLine="480"/>
        <w:jc w:val="both"/>
      </w:pPr>
      <w:r>
        <w:rPr>
          <w:sz w:val="24"/>
        </w:rPr>
        <w:t>（八）本合同甲方损失包括但不限于甲方及相关方的实际损失、可得利益损失、甲方为处理违约事件所发生的包括调查费、评估费、公证费、仲裁费、诉讼费、律师费、交通费、差旅费等费用在内的费用和开支等；若乙方违约行为导致甲方遭受第三方的指控时，损失亦包括甲方为应诉等行为和承担其他不利义务而支付的一切费用。</w:t>
      </w:r>
    </w:p>
    <w:p>
      <w:pPr>
        <w:pStyle w:val="null3"/>
        <w:ind w:firstLine="480"/>
        <w:jc w:val="both"/>
      </w:pPr>
      <w:r>
        <w:rPr>
          <w:sz w:val="24"/>
        </w:rPr>
        <w:t>（九）本合同未尽或者争议事宜，双方友好协商解决。协商不成的，任意一方均可向甲方所在地人民法院提起诉讼。</w:t>
      </w:r>
    </w:p>
    <w:p>
      <w:pPr>
        <w:pStyle w:val="null3"/>
        <w:ind w:firstLine="480"/>
        <w:jc w:val="both"/>
      </w:pPr>
      <w:r>
        <w:rPr>
          <w:sz w:val="24"/>
        </w:rPr>
        <w:t>（以下无正文）</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sz w:val="24"/>
                <w:b/>
              </w:rPr>
              <w:t>甲方（盖章）：华南农业大学</w:t>
            </w:r>
          </w:p>
        </w:tc>
        <w:tc>
          <w:tcPr>
            <w:tcW w:type="dxa" w:w="4153"/>
            <w:tcMar>
              <w:top w:type="dxa" w:w="0"/>
              <w:left w:type="dxa" w:w="105"/>
              <w:bottom w:type="dxa" w:w="0"/>
              <w:right w:type="dxa" w:w="105"/>
            </w:tcMar>
            <w:vAlign w:val="top"/>
          </w:tcPr>
          <w:p>
            <w:pPr>
              <w:pStyle w:val="null3"/>
              <w:jc w:val="both"/>
            </w:pPr>
            <w:r>
              <w:rPr>
                <w:sz w:val="24"/>
                <w:b/>
              </w:rPr>
              <w:t>乙方（盖章）：</w:t>
            </w:r>
          </w:p>
          <w:p>
            <w:pPr>
              <w:pStyle w:val="null3"/>
              <w:jc w:val="both"/>
            </w:pPr>
          </w:p>
        </w:tc>
      </w:tr>
      <w:tr>
        <w:tc>
          <w:tcPr>
            <w:tcW w:type="dxa" w:w="4153"/>
            <w:tcMar>
              <w:top w:type="dxa" w:w="0"/>
              <w:left w:type="dxa" w:w="105"/>
              <w:bottom w:type="dxa" w:w="0"/>
              <w:right w:type="dxa" w:w="105"/>
            </w:tcMar>
            <w:vAlign w:val="top"/>
          </w:tcPr>
          <w:p>
            <w:pPr>
              <w:pStyle w:val="null3"/>
              <w:jc w:val="both"/>
            </w:pPr>
            <w:r>
              <w:rPr>
                <w:sz w:val="24"/>
                <w:b/>
              </w:rPr>
              <w:t>法定代表（签字）：</w:t>
            </w:r>
          </w:p>
        </w:tc>
        <w:tc>
          <w:tcPr>
            <w:tcW w:type="dxa" w:w="4153"/>
            <w:tcMar>
              <w:top w:type="dxa" w:w="0"/>
              <w:left w:type="dxa" w:w="105"/>
              <w:bottom w:type="dxa" w:w="0"/>
              <w:right w:type="dxa" w:w="105"/>
            </w:tcMar>
            <w:vAlign w:val="top"/>
          </w:tcPr>
          <w:p>
            <w:pPr>
              <w:pStyle w:val="null3"/>
              <w:jc w:val="both"/>
            </w:pPr>
            <w:r>
              <w:rPr>
                <w:sz w:val="24"/>
                <w:b/>
              </w:rPr>
              <w:t>法定代表（签字）：</w:t>
            </w:r>
          </w:p>
        </w:tc>
      </w:tr>
      <w:tr>
        <w:tc>
          <w:tcPr>
            <w:tcW w:type="dxa" w:w="4153"/>
            <w:tcMar>
              <w:top w:type="dxa" w:w="0"/>
              <w:left w:type="dxa" w:w="105"/>
              <w:bottom w:type="dxa" w:w="0"/>
              <w:right w:type="dxa" w:w="105"/>
            </w:tcMar>
            <w:vAlign w:val="top"/>
          </w:tcPr>
          <w:p>
            <w:pPr>
              <w:pStyle w:val="null3"/>
              <w:jc w:val="both"/>
            </w:pPr>
            <w:r>
              <w:rPr>
                <w:sz w:val="24"/>
                <w:b/>
              </w:rPr>
              <w:t>签约代表（签字）：</w:t>
            </w:r>
          </w:p>
        </w:tc>
        <w:tc>
          <w:tcPr>
            <w:tcW w:type="dxa" w:w="4153"/>
            <w:tcMar>
              <w:top w:type="dxa" w:w="0"/>
              <w:left w:type="dxa" w:w="105"/>
              <w:bottom w:type="dxa" w:w="0"/>
              <w:right w:type="dxa" w:w="105"/>
            </w:tcMar>
            <w:vAlign w:val="top"/>
          </w:tcPr>
          <w:p>
            <w:pPr>
              <w:pStyle w:val="null3"/>
              <w:jc w:val="both"/>
            </w:pPr>
            <w:r>
              <w:rPr>
                <w:sz w:val="24"/>
                <w:b/>
              </w:rPr>
              <w:t>签约代表（签字）：</w:t>
            </w:r>
          </w:p>
        </w:tc>
      </w:tr>
      <w:tr>
        <w:tc>
          <w:tcPr>
            <w:tcW w:type="dxa" w:w="4153"/>
            <w:tcMar>
              <w:top w:type="dxa" w:w="0"/>
              <w:left w:type="dxa" w:w="105"/>
              <w:bottom w:type="dxa" w:w="0"/>
              <w:right w:type="dxa" w:w="105"/>
            </w:tcMar>
            <w:vAlign w:val="top"/>
          </w:tcPr>
          <w:p>
            <w:pPr>
              <w:pStyle w:val="null3"/>
              <w:jc w:val="both"/>
            </w:pPr>
            <w:r>
              <w:rPr>
                <w:sz w:val="24"/>
                <w:b/>
              </w:rPr>
              <w:t>签约日期：</w:t>
            </w:r>
          </w:p>
        </w:tc>
        <w:tc>
          <w:tcPr>
            <w:tcW w:type="dxa" w:w="4153"/>
            <w:tcMar>
              <w:top w:type="dxa" w:w="0"/>
              <w:left w:type="dxa" w:w="105"/>
              <w:bottom w:type="dxa" w:w="0"/>
              <w:right w:type="dxa" w:w="105"/>
            </w:tcMar>
            <w:vAlign w:val="top"/>
          </w:tcPr>
          <w:p>
            <w:pPr>
              <w:pStyle w:val="null3"/>
              <w:jc w:val="both"/>
            </w:pPr>
            <w:r>
              <w:rPr>
                <w:sz w:val="24"/>
                <w:b/>
              </w:rPr>
              <w:t>签约日期：</w:t>
            </w:r>
          </w:p>
        </w:tc>
      </w:tr>
    </w:tbl>
    <w:p>
      <w:pPr>
        <w:pStyle w:val="null3"/>
      </w:pPr>
      <w:r>
        <w:rPr>
          <w:sz w:val="25"/>
          <w:b/>
        </w:rPr>
        <w:t>附件</w:t>
      </w:r>
      <w:r>
        <w:rPr>
          <w:sz w:val="21"/>
          <w:b/>
        </w:rPr>
        <w:t xml:space="preserve">  </w:t>
      </w:r>
      <w:r>
        <w:rPr>
          <w:sz w:val="25"/>
          <w:b/>
        </w:rPr>
        <w:t>政府采购专项统计表—绿色建材</w:t>
      </w:r>
    </w:p>
    <w:p>
      <w:pPr>
        <w:pStyle w:val="null3"/>
        <w:spacing w:before="60"/>
        <w:ind w:left="13590"/>
        <w:jc w:val="both"/>
      </w:pPr>
      <w:r>
        <w:rPr>
          <w:sz w:val="20"/>
        </w:rPr>
        <w:t>采购</w:t>
      </w:r>
      <w:r>
        <w:rPr>
          <w:sz w:val="20"/>
        </w:rPr>
        <w:t>13</w:t>
      </w:r>
      <w:r>
        <w:rPr>
          <w:sz w:val="20"/>
        </w:rPr>
        <w:t>表</w:t>
      </w:r>
    </w:p>
    <w:p>
      <w:pPr>
        <w:pStyle w:val="null3"/>
        <w:spacing w:before="60"/>
        <w:ind w:left="13590"/>
        <w:jc w:val="both"/>
      </w:pPr>
      <w:r>
        <w:rPr>
          <w:sz w:val="19"/>
        </w:rPr>
        <w:t>单位：万元</w:t>
      </w:r>
    </w:p>
    <w:tbl>
      <w:tblPr>
        <w:tblW w:w="0" w:type="auto"/>
        <w:tblBorders>
          <w:top w:val="none" w:color="000000" w:sz="4"/>
          <w:left w:val="none" w:color="000000" w:sz="4"/>
          <w:bottom w:val="none" w:color="000000" w:sz="4"/>
          <w:right w:val="none" w:color="000000" w:sz="4"/>
          <w:insideH w:val="none"/>
          <w:insideV w:val="none"/>
        </w:tblBorders>
      </w:tblPr>
      <w:tblGrid>
        <w:gridCol w:w="480"/>
        <w:gridCol w:w="471"/>
        <w:gridCol w:w="1209"/>
        <w:gridCol w:w="471"/>
        <w:gridCol w:w="934"/>
        <w:gridCol w:w="951"/>
        <w:gridCol w:w="951"/>
        <w:gridCol w:w="943"/>
        <w:gridCol w:w="951"/>
        <w:gridCol w:w="943"/>
      </w:tblGrid>
      <w:tr>
        <w:tc>
          <w:tcPr>
            <w:tcW w:type="dxa" w:w="2160"/>
            <w:gridSpan w:val="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680"/>
              <w:jc w:val="both"/>
            </w:pPr>
            <w:r>
              <w:rPr>
                <w:sz w:val="20"/>
              </w:rPr>
              <w:t>项 目</w:t>
            </w:r>
          </w:p>
        </w:tc>
        <w:tc>
          <w:tcPr>
            <w:tcW w:type="dxa" w:w="471"/>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300"/>
              <w:jc w:val="both"/>
            </w:pPr>
            <w:r>
              <w:rPr>
                <w:sz w:val="20"/>
              </w:rPr>
              <w:t>行</w:t>
            </w:r>
          </w:p>
        </w:tc>
        <w:tc>
          <w:tcPr>
            <w:tcW w:type="dxa" w:w="9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510" w:right="405"/>
              <w:jc w:val="both"/>
            </w:pPr>
            <w:r>
              <w:rPr>
                <w:sz w:val="20"/>
              </w:rPr>
              <w:t>建材采购总数量</w:t>
            </w:r>
          </w:p>
        </w:tc>
        <w:tc>
          <w:tcPr>
            <w:tcW w:type="dxa" w:w="9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30" w:right="345" w:firstLine="100"/>
              <w:jc w:val="both"/>
            </w:pPr>
            <w:r>
              <w:rPr>
                <w:sz w:val="20"/>
              </w:rPr>
              <w:t>绿色建材</w:t>
            </w:r>
            <w:r>
              <w:rPr>
                <w:sz w:val="20"/>
              </w:rPr>
              <w:t>采购总数量</w:t>
            </w:r>
          </w:p>
        </w:tc>
        <w:tc>
          <w:tcPr>
            <w:tcW w:type="dxa" w:w="9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20"/>
              <w:jc w:val="both"/>
            </w:pPr>
            <w:r>
              <w:rPr>
                <w:sz w:val="20"/>
              </w:rPr>
              <w:t>绿色建材</w:t>
            </w:r>
          </w:p>
          <w:p>
            <w:pPr>
              <w:pStyle w:val="null3"/>
              <w:ind w:left="75"/>
              <w:jc w:val="both"/>
            </w:pPr>
            <w:r>
              <w:rPr>
                <w:sz w:val="20"/>
              </w:rPr>
              <w:t>采购数量比重(%)</w:t>
            </w:r>
          </w:p>
        </w:tc>
        <w:tc>
          <w:tcPr>
            <w:tcW w:type="dxa" w:w="9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510" w:right="405"/>
              <w:jc w:val="both"/>
            </w:pPr>
            <w:r>
              <w:rPr>
                <w:sz w:val="20"/>
              </w:rPr>
              <w:t>建材采购总金额</w:t>
            </w:r>
          </w:p>
        </w:tc>
        <w:tc>
          <w:tcPr>
            <w:tcW w:type="dxa" w:w="9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330" w:right="330" w:firstLine="99"/>
              <w:jc w:val="both"/>
            </w:pPr>
            <w:r>
              <w:rPr>
                <w:sz w:val="20"/>
              </w:rPr>
              <w:t>绿色建材</w:t>
            </w:r>
            <w:r>
              <w:rPr>
                <w:sz w:val="20"/>
              </w:rPr>
              <w:t>采购总金额</w:t>
            </w:r>
          </w:p>
        </w:tc>
        <w:tc>
          <w:tcPr>
            <w:tcW w:type="dxa" w:w="9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20"/>
              <w:jc w:val="both"/>
            </w:pPr>
            <w:r>
              <w:rPr>
                <w:sz w:val="20"/>
              </w:rPr>
              <w:t>绿色建材</w:t>
            </w:r>
          </w:p>
          <w:p>
            <w:pPr>
              <w:pStyle w:val="null3"/>
              <w:spacing w:before="15"/>
              <w:ind w:left="75"/>
              <w:jc w:val="both"/>
            </w:pPr>
            <w:r>
              <w:rPr>
                <w:sz w:val="20"/>
              </w:rPr>
              <w:t>采购金额比重(%)</w:t>
            </w:r>
          </w:p>
        </w:tc>
      </w:tr>
      <w:tr>
        <w:tc>
          <w:tcPr>
            <w:tcW w:type="dxa" w:w="2160"/>
            <w:gridSpan w:val="3"/>
            <w:vMerge/>
            <w:tcBorders>
              <w:top w:val="single" w:color="000000" w:sz="4"/>
              <w:left w:val="single" w:color="000000" w:sz="4"/>
              <w:bottom w:val="single" w:color="000000" w:sz="4"/>
              <w:right w:val="single" w:color="000000" w:sz="4"/>
            </w:tcBorders>
          </w:tcPr>
          <w:p/>
        </w:tc>
        <w:tc>
          <w:tcPr>
            <w:tcW w:type="dxa" w:w="471"/>
            <w:vMerge/>
            <w:tcBorders>
              <w:top w:val="single" w:color="000000" w:sz="4"/>
              <w:left w:val="none" w:color="000000" w:sz="4"/>
              <w:bottom w:val="singl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2</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3</w:t>
            </w: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4</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5</w:t>
            </w: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6</w:t>
            </w:r>
          </w:p>
        </w:tc>
      </w:tr>
      <w:tr>
        <w:tc>
          <w:tcPr>
            <w:tcW w:type="dxa" w:w="216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80"/>
              <w:jc w:val="both"/>
            </w:pPr>
            <w:r>
              <w:rPr>
                <w:sz w:val="20"/>
              </w:rPr>
              <w:t>合计</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1</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必选类绿色建材</w:t>
            </w:r>
          </w:p>
        </w:tc>
        <w:tc>
          <w:tcPr>
            <w:tcW w:type="dxa" w:w="4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主体和地</w:t>
            </w:r>
          </w:p>
          <w:p>
            <w:pPr>
              <w:pStyle w:val="null3"/>
              <w:ind w:left="15"/>
              <w:jc w:val="both"/>
            </w:pPr>
            <w:r>
              <w:rPr>
                <w:sz w:val="20"/>
              </w:rPr>
              <w:t>基基础材</w:t>
            </w:r>
          </w:p>
          <w:p>
            <w:pPr>
              <w:pStyle w:val="null3"/>
              <w:ind w:left="300"/>
              <w:jc w:val="both"/>
            </w:pPr>
            <w:r>
              <w:rPr>
                <w:sz w:val="20"/>
              </w:rPr>
              <w:t>料</w:t>
            </w: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sz w:val="20"/>
              </w:rPr>
              <w:t>钢结构构件</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2</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混凝土结构构件</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3</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预拌混凝土</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4</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预拌砂浆</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60"/>
              <w:jc w:val="both"/>
            </w:pPr>
            <w:r>
              <w:rPr>
                <w:sz w:val="20"/>
              </w:rPr>
              <w:t>5</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钢筋</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6</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围护结构</w:t>
            </w:r>
            <w:r>
              <w:rPr>
                <w:sz w:val="20"/>
              </w:rPr>
              <w:t>材料</w:t>
            </w: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sz w:val="20"/>
              </w:rPr>
              <w:t>门窗</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7</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保温隔热材料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60"/>
              <w:jc w:val="both"/>
            </w:pPr>
            <w:r>
              <w:rPr>
                <w:sz w:val="20"/>
              </w:rPr>
              <w:t>8</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建筑装饰</w:t>
            </w:r>
          </w:p>
          <w:p>
            <w:pPr>
              <w:pStyle w:val="null3"/>
              <w:ind w:left="15"/>
              <w:jc w:val="both"/>
            </w:pPr>
            <w:r>
              <w:rPr>
                <w:sz w:val="20"/>
              </w:rPr>
              <w:t>装修材料</w:t>
            </w: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sz w:val="20"/>
              </w:rPr>
              <w:t>隔墙材料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60"/>
              <w:jc w:val="both"/>
            </w:pPr>
            <w:r>
              <w:rPr>
                <w:sz w:val="20"/>
              </w:rPr>
              <w:t>9</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涂料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10</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砌体材料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11</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外墙板</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20"/>
              </w:rPr>
              <w:t>12</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防水卷材</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13</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防水涂料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14</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防火涂料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15</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刚性防水材料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20"/>
              </w:rPr>
              <w:t>16</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464"/>
        <w:gridCol w:w="473"/>
        <w:gridCol w:w="1195"/>
        <w:gridCol w:w="490"/>
        <w:gridCol w:w="954"/>
        <w:gridCol w:w="937"/>
        <w:gridCol w:w="937"/>
        <w:gridCol w:w="946"/>
        <w:gridCol w:w="954"/>
        <w:gridCol w:w="954"/>
      </w:tblGrid>
      <w:tr>
        <w:tc>
          <w:tcPr>
            <w:tcW w:type="dxa" w:w="2132"/>
            <w:gridSpan w:val="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20"/>
              <w:jc w:val="both"/>
            </w:pPr>
            <w:r>
              <w:rPr>
                <w:sz w:val="20"/>
              </w:rPr>
              <w:t>项 目</w:t>
            </w:r>
          </w:p>
        </w:tc>
        <w:tc>
          <w:tcPr>
            <w:tcW w:type="dxa" w:w="49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ind w:left="315"/>
              <w:jc w:val="both"/>
            </w:pPr>
            <w:r>
              <w:rPr>
                <w:sz w:val="20"/>
              </w:rPr>
              <w:t>行</w:t>
            </w:r>
          </w:p>
        </w:tc>
        <w:tc>
          <w:tcPr>
            <w:tcW w:type="dxa" w:w="9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540" w:right="420"/>
              <w:jc w:val="both"/>
            </w:pPr>
            <w:r>
              <w:rPr>
                <w:sz w:val="20"/>
              </w:rPr>
              <w:t>建材采购总数量</w:t>
            </w:r>
          </w:p>
        </w:tc>
        <w:tc>
          <w:tcPr>
            <w:tcW w:type="dxa" w:w="9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300" w:right="315" w:firstLine="99"/>
              <w:jc w:val="both"/>
            </w:pPr>
            <w:r>
              <w:rPr>
                <w:sz w:val="20"/>
              </w:rPr>
              <w:t>绿色建材</w:t>
            </w:r>
            <w:r>
              <w:rPr>
                <w:sz w:val="20"/>
              </w:rPr>
              <w:t>采购总数量</w:t>
            </w:r>
          </w:p>
        </w:tc>
        <w:tc>
          <w:tcPr>
            <w:tcW w:type="dxa" w:w="9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20"/>
              <w:jc w:val="both"/>
            </w:pPr>
            <w:r>
              <w:rPr>
                <w:sz w:val="20"/>
              </w:rPr>
              <w:t>绿色建材</w:t>
            </w:r>
          </w:p>
          <w:p>
            <w:pPr>
              <w:pStyle w:val="null3"/>
              <w:ind w:left="60"/>
              <w:jc w:val="both"/>
            </w:pPr>
            <w:r>
              <w:rPr>
                <w:sz w:val="20"/>
              </w:rPr>
              <w:t>采购数量比重(%)</w:t>
            </w:r>
          </w:p>
        </w:tc>
        <w:tc>
          <w:tcPr>
            <w:tcW w:type="dxa" w:w="9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510" w:right="405"/>
              <w:jc w:val="both"/>
            </w:pPr>
            <w:r>
              <w:rPr>
                <w:sz w:val="20"/>
              </w:rPr>
              <w:t>建材采购总金额</w:t>
            </w:r>
          </w:p>
        </w:tc>
        <w:tc>
          <w:tcPr>
            <w:tcW w:type="dxa" w:w="9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30" w:right="330" w:firstLine="100"/>
              <w:jc w:val="both"/>
            </w:pPr>
            <w:r>
              <w:rPr>
                <w:sz w:val="20"/>
              </w:rPr>
              <w:t>绿色建材</w:t>
            </w:r>
            <w:r>
              <w:rPr>
                <w:sz w:val="20"/>
              </w:rPr>
              <w:t>采购总金额</w:t>
            </w:r>
          </w:p>
        </w:tc>
        <w:tc>
          <w:tcPr>
            <w:tcW w:type="dxa" w:w="9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35"/>
              <w:jc w:val="both"/>
            </w:pPr>
            <w:r>
              <w:rPr>
                <w:sz w:val="20"/>
              </w:rPr>
              <w:t>绿色建材</w:t>
            </w:r>
          </w:p>
          <w:p>
            <w:pPr>
              <w:pStyle w:val="null3"/>
              <w:ind w:left="75"/>
              <w:jc w:val="both"/>
            </w:pPr>
            <w:r>
              <w:rPr>
                <w:sz w:val="20"/>
              </w:rPr>
              <w:t>采购金额比重(%)</w:t>
            </w:r>
          </w:p>
        </w:tc>
      </w:tr>
      <w:tr>
        <w:tc>
          <w:tcPr>
            <w:tcW w:type="dxa" w:w="2132"/>
            <w:gridSpan w:val="3"/>
            <w:vMerge/>
            <w:tcBorders>
              <w:top w:val="single" w:color="000000" w:sz="4"/>
              <w:left w:val="single" w:color="000000" w:sz="4"/>
              <w:bottom w:val="single" w:color="000000" w:sz="4"/>
              <w:right w:val="single" w:color="000000" w:sz="4"/>
            </w:tcBorders>
          </w:tcPr>
          <w:p/>
        </w:tc>
        <w:tc>
          <w:tcPr>
            <w:tcW w:type="dxa" w:w="490"/>
            <w:vMerge/>
            <w:tcBorders>
              <w:top w:val="single" w:color="000000" w:sz="4"/>
              <w:left w:val="none" w:color="000000" w:sz="4"/>
              <w:bottom w:val="single" w:color="000000" w:sz="4"/>
              <w:right w:val="single" w:color="000000" w:sz="4"/>
            </w:tcBorders>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1</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0"/>
              </w:rPr>
              <w:t>2</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3</w:t>
            </w: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4</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5</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6</w:t>
            </w:r>
          </w:p>
        </w:tc>
      </w:tr>
      <w:tr>
        <w:tc>
          <w:tcPr>
            <w:tcW w:type="dxa" w:w="4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围护结构</w:t>
            </w:r>
            <w:r>
              <w:rPr>
                <w:sz w:val="20"/>
              </w:rPr>
              <w:t>材料</w:t>
            </w: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sz w:val="20"/>
              </w:rPr>
              <w:t>防腐材料</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17</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硅酮密封胶</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18</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其它密封胶</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19</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遮阳产品</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20</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混凝土结构外防护材料</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21</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建筑结构加固胶</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22</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工程修复材料</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23</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纸面石膏板</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24</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吊顶材料</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25</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泡沫铝板</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26</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其他隔墙隔断材料</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27</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墙面陶瓷砖(板)</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28</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空气净化材料</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29</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4"/>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反射隔热涂料</w:t>
            </w:r>
          </w:p>
        </w:tc>
        <w:tc>
          <w:tcPr>
            <w:tcW w:type="dxa" w:w="4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30</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472"/>
        <w:gridCol w:w="472"/>
        <w:gridCol w:w="1211"/>
        <w:gridCol w:w="472"/>
        <w:gridCol w:w="936"/>
        <w:gridCol w:w="953"/>
        <w:gridCol w:w="936"/>
        <w:gridCol w:w="953"/>
        <w:gridCol w:w="953"/>
        <w:gridCol w:w="945"/>
      </w:tblGrid>
      <w:tr>
        <w:tc>
          <w:tcPr>
            <w:tcW w:type="dxa" w:w="2155"/>
            <w:gridSpan w:val="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0"/>
              <w:jc w:val="both"/>
            </w:pPr>
            <w:r>
              <w:rPr>
                <w:sz w:val="19"/>
              </w:rPr>
              <w:t>项 目</w:t>
            </w:r>
          </w:p>
        </w:tc>
        <w:tc>
          <w:tcPr>
            <w:tcW w:type="dxa" w:w="47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ind w:left="300"/>
              <w:jc w:val="both"/>
            </w:pPr>
            <w:r>
              <w:rPr>
                <w:sz w:val="19"/>
              </w:rPr>
              <w:t>行</w:t>
            </w:r>
          </w:p>
        </w:tc>
        <w:tc>
          <w:tcPr>
            <w:tcW w:type="dxa" w:w="9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525" w:right="450"/>
              <w:jc w:val="both"/>
            </w:pPr>
            <w:r>
              <w:rPr>
                <w:sz w:val="19"/>
              </w:rPr>
              <w:t>建材采购</w:t>
            </w:r>
            <w:r>
              <w:rPr>
                <w:sz w:val="19"/>
              </w:rPr>
              <w:t>总数量</w:t>
            </w:r>
          </w:p>
        </w:tc>
        <w:tc>
          <w:tcPr>
            <w:tcW w:type="dxa" w:w="9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45" w:right="360" w:firstLine="100"/>
              <w:jc w:val="both"/>
            </w:pPr>
            <w:r>
              <w:rPr>
                <w:sz w:val="19"/>
              </w:rPr>
              <w:t>绿色建材</w:t>
            </w:r>
            <w:r>
              <w:rPr>
                <w:sz w:val="19"/>
              </w:rPr>
              <w:t>采购总数量</w:t>
            </w:r>
          </w:p>
        </w:tc>
        <w:tc>
          <w:tcPr>
            <w:tcW w:type="dxa" w:w="9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435"/>
              <w:jc w:val="both"/>
            </w:pPr>
            <w:r>
              <w:rPr>
                <w:sz w:val="19"/>
              </w:rPr>
              <w:t>绿色建材</w:t>
            </w:r>
          </w:p>
          <w:p>
            <w:pPr>
              <w:pStyle w:val="null3"/>
              <w:spacing w:before="30"/>
              <w:ind w:left="90"/>
              <w:jc w:val="both"/>
            </w:pPr>
            <w:r>
              <w:rPr>
                <w:sz w:val="19"/>
              </w:rPr>
              <w:t>采购数量比重(%)</w:t>
            </w:r>
          </w:p>
        </w:tc>
        <w:tc>
          <w:tcPr>
            <w:tcW w:type="dxa" w:w="9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555" w:right="450"/>
              <w:jc w:val="both"/>
            </w:pPr>
            <w:r>
              <w:rPr>
                <w:sz w:val="19"/>
              </w:rPr>
              <w:t>建材采购</w:t>
            </w:r>
            <w:r>
              <w:rPr>
                <w:sz w:val="19"/>
              </w:rPr>
              <w:t>总金额</w:t>
            </w:r>
          </w:p>
        </w:tc>
        <w:tc>
          <w:tcPr>
            <w:tcW w:type="dxa" w:w="9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45" w:right="360" w:firstLine="100"/>
              <w:jc w:val="both"/>
            </w:pPr>
            <w:r>
              <w:rPr>
                <w:sz w:val="19"/>
              </w:rPr>
              <w:t>绿色建材</w:t>
            </w:r>
            <w:r>
              <w:rPr>
                <w:sz w:val="19"/>
              </w:rPr>
              <w:t>采购总金额</w:t>
            </w:r>
          </w:p>
        </w:tc>
        <w:tc>
          <w:tcPr>
            <w:tcW w:type="dxa" w:w="9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435"/>
              <w:jc w:val="both"/>
            </w:pPr>
            <w:r>
              <w:rPr>
                <w:sz w:val="19"/>
              </w:rPr>
              <w:t>绿色建材</w:t>
            </w:r>
          </w:p>
          <w:p>
            <w:pPr>
              <w:pStyle w:val="null3"/>
              <w:ind w:left="105"/>
              <w:jc w:val="both"/>
            </w:pPr>
            <w:r>
              <w:rPr>
                <w:sz w:val="19"/>
              </w:rPr>
              <w:t>采购金额比重(%)</w:t>
            </w:r>
          </w:p>
        </w:tc>
      </w:tr>
      <w:tr>
        <w:tc>
          <w:tcPr>
            <w:tcW w:type="dxa" w:w="2155"/>
            <w:gridSpan w:val="3"/>
            <w:vMerge/>
            <w:tcBorders>
              <w:top w:val="single" w:color="000000" w:sz="4"/>
              <w:left w:val="single" w:color="000000" w:sz="4"/>
              <w:bottom w:val="single" w:color="000000" w:sz="4"/>
              <w:right w:val="single" w:color="000000" w:sz="4"/>
            </w:tcBorders>
          </w:tcPr>
          <w:p/>
        </w:tc>
        <w:tc>
          <w:tcPr>
            <w:tcW w:type="dxa" w:w="472"/>
            <w:vMerge/>
            <w:tcBorders>
              <w:top w:val="single" w:color="000000" w:sz="4"/>
              <w:left w:val="none" w:color="000000" w:sz="4"/>
              <w:bottom w:val="single" w:color="000000" w:sz="4"/>
              <w:right w:val="single" w:color="000000" w:sz="4"/>
            </w:tcBorders>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19"/>
              </w:rPr>
              <w:t>1</w:t>
            </w: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19"/>
              </w:rPr>
              <w:t>2</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19"/>
              </w:rPr>
              <w:t>3</w:t>
            </w: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19"/>
              </w:rPr>
              <w:t>4</w:t>
            </w: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19"/>
              </w:rPr>
              <w:t>5</w:t>
            </w: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19"/>
              </w:rPr>
              <w:t>6</w:t>
            </w:r>
          </w:p>
        </w:tc>
      </w:tr>
      <w:tr>
        <w:tc>
          <w:tcPr>
            <w:tcW w:type="dxa" w:w="47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765"/>
              <w:jc w:val="both"/>
            </w:pPr>
            <w:r>
              <w:rPr>
                <w:sz w:val="19"/>
              </w:rPr>
              <w:t>可选类绿色建材</w:t>
            </w:r>
          </w:p>
        </w:tc>
        <w:tc>
          <w:tcPr>
            <w:tcW w:type="dxa" w:w="4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建筑装饰</w:t>
            </w:r>
          </w:p>
          <w:p>
            <w:pPr>
              <w:pStyle w:val="null3"/>
              <w:spacing w:before="15"/>
              <w:ind w:left="15"/>
              <w:jc w:val="both"/>
            </w:pPr>
            <w:r>
              <w:rPr>
                <w:sz w:val="19"/>
              </w:rPr>
              <w:t>装修材料</w:t>
            </w: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sz w:val="19"/>
              </w:rPr>
              <w:t>壁纸壁布</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31</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石材</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19"/>
              </w:rPr>
              <w:t>32</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镁质装饰材料</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33</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镀锌轻钢龙骨</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19"/>
              </w:rPr>
              <w:t>34</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重组材</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19"/>
              </w:rPr>
              <w:t>35</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地面陶瓷砖(板)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36</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木地板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37</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竹集成材地板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19"/>
              </w:rPr>
              <w:t>38</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竹材饰面木质地板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39</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弹性地板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40</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透水铺装材料</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41</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卫生洁具</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42</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五金配件</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43</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合成材料面层运动场地</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44</w:t>
            </w: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465"/>
        <w:gridCol w:w="474"/>
        <w:gridCol w:w="1198"/>
        <w:gridCol w:w="491"/>
        <w:gridCol w:w="939"/>
        <w:gridCol w:w="956"/>
        <w:gridCol w:w="939"/>
        <w:gridCol w:w="939"/>
        <w:gridCol w:w="956"/>
        <w:gridCol w:w="948"/>
      </w:tblGrid>
      <w:tr>
        <w:tc>
          <w:tcPr>
            <w:tcW w:type="dxa" w:w="2137"/>
            <w:gridSpan w:val="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20"/>
              <w:jc w:val="both"/>
            </w:pPr>
            <w:r>
              <w:rPr>
                <w:sz w:val="20"/>
              </w:rPr>
              <w:t>项 目</w:t>
            </w:r>
          </w:p>
        </w:tc>
        <w:tc>
          <w:tcPr>
            <w:tcW w:type="dxa" w:w="491"/>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ind w:left="315"/>
              <w:jc w:val="both"/>
            </w:pPr>
            <w:r>
              <w:rPr>
                <w:sz w:val="20"/>
              </w:rPr>
              <w:t>行</w:t>
            </w:r>
          </w:p>
        </w:tc>
        <w:tc>
          <w:tcPr>
            <w:tcW w:type="dxa" w:w="9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540" w:right="405"/>
              <w:jc w:val="both"/>
            </w:pPr>
            <w:r>
              <w:rPr>
                <w:sz w:val="20"/>
              </w:rPr>
              <w:t>建材采购总数量</w:t>
            </w:r>
          </w:p>
        </w:tc>
        <w:tc>
          <w:tcPr>
            <w:tcW w:type="dxa" w:w="9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330" w:right="330" w:firstLine="100"/>
              <w:jc w:val="both"/>
            </w:pPr>
            <w:r>
              <w:rPr>
                <w:sz w:val="20"/>
              </w:rPr>
              <w:t>绿色建材</w:t>
            </w:r>
            <w:r>
              <w:rPr>
                <w:sz w:val="20"/>
              </w:rPr>
              <w:t>采购总数量</w:t>
            </w:r>
          </w:p>
        </w:tc>
        <w:tc>
          <w:tcPr>
            <w:tcW w:type="dxa" w:w="9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20"/>
              <w:jc w:val="both"/>
            </w:pPr>
            <w:r>
              <w:rPr>
                <w:sz w:val="20"/>
              </w:rPr>
              <w:t>绿色建材</w:t>
            </w:r>
          </w:p>
          <w:p>
            <w:pPr>
              <w:pStyle w:val="null3"/>
              <w:ind w:left="60"/>
              <w:jc w:val="both"/>
            </w:pPr>
            <w:r>
              <w:rPr>
                <w:sz w:val="20"/>
              </w:rPr>
              <w:t>采购数量比重(%)</w:t>
            </w:r>
          </w:p>
        </w:tc>
        <w:tc>
          <w:tcPr>
            <w:tcW w:type="dxa" w:w="9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510" w:right="405"/>
              <w:jc w:val="both"/>
            </w:pPr>
            <w:r>
              <w:rPr>
                <w:sz w:val="20"/>
              </w:rPr>
              <w:t>建材采购总金额</w:t>
            </w:r>
          </w:p>
        </w:tc>
        <w:tc>
          <w:tcPr>
            <w:tcW w:type="dxa" w:w="9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30" w:right="330" w:firstLine="100"/>
              <w:jc w:val="both"/>
            </w:pPr>
            <w:r>
              <w:rPr>
                <w:sz w:val="20"/>
              </w:rPr>
              <w:t>绿色建材</w:t>
            </w:r>
            <w:r>
              <w:rPr>
                <w:sz w:val="20"/>
              </w:rPr>
              <w:t>采购总金额</w:t>
            </w:r>
          </w:p>
        </w:tc>
        <w:tc>
          <w:tcPr>
            <w:tcW w:type="dxa" w:w="9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20"/>
              <w:jc w:val="both"/>
            </w:pPr>
            <w:r>
              <w:rPr>
                <w:sz w:val="20"/>
              </w:rPr>
              <w:t>绿色建材</w:t>
            </w:r>
          </w:p>
          <w:p>
            <w:pPr>
              <w:pStyle w:val="null3"/>
              <w:spacing w:before="15"/>
              <w:ind w:left="75"/>
              <w:jc w:val="both"/>
            </w:pPr>
            <w:r>
              <w:rPr>
                <w:sz w:val="20"/>
              </w:rPr>
              <w:t>采购金额比重(%)</w:t>
            </w:r>
          </w:p>
        </w:tc>
      </w:tr>
      <w:tr>
        <w:tc>
          <w:tcPr>
            <w:tcW w:type="dxa" w:w="2137"/>
            <w:gridSpan w:val="3"/>
            <w:vMerge/>
            <w:tcBorders>
              <w:top w:val="single" w:color="000000" w:sz="4"/>
              <w:left w:val="single" w:color="000000" w:sz="4"/>
              <w:bottom w:val="single" w:color="000000" w:sz="4"/>
              <w:right w:val="single" w:color="000000" w:sz="4"/>
            </w:tcBorders>
          </w:tcPr>
          <w:p/>
        </w:tc>
        <w:tc>
          <w:tcPr>
            <w:tcW w:type="dxa" w:w="491"/>
            <w:vMerge/>
            <w:tcBorders>
              <w:top w:val="singl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0"/>
              </w:rPr>
              <w:t>1</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2</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3</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0"/>
              </w:rPr>
              <w:t>4</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5</w:t>
            </w: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6</w:t>
            </w:r>
          </w:p>
        </w:tc>
      </w:tr>
      <w:tr>
        <w:tc>
          <w:tcPr>
            <w:tcW w:type="dxa" w:w="46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7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right"/>
            </w:pPr>
            <w:r>
              <w:rPr>
                <w:sz w:val="20"/>
              </w:rPr>
              <w:t>设施设备</w:t>
            </w: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sz w:val="20"/>
              </w:rPr>
              <w:t>管材管件</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45</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阀门</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46</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中水处理设备</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47</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净水设备</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48</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软化设备</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49</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雨水回收系统</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50</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二次供水设备</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51</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冷热源设备</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52</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通风系统设备</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53</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太阳能光伏发电系统</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54</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电气照明</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55</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高低压配电柜</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56</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母线槽</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57</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3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其他</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58</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440001-2025-58403</w:t>
      </w:r>
    </w:p>
    <w:p>
      <w:pPr>
        <w:pStyle w:val="null3"/>
        <w:jc w:val="center"/>
        <w:outlineLvl w:val="3"/>
      </w:pPr>
      <w:r>
        <w:rPr>
          <w:sz w:val="24"/>
          <w:b/>
        </w:rPr>
        <w:t>采购项目编号：</w:t>
      </w:r>
      <w:r>
        <w:rPr>
          <w:sz w:val="24"/>
          <w:b/>
        </w:rPr>
        <w:t>GPCGD251156GC517J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华南农业大学生科院生物智造研究院实验室装修项目</w:t>
      </w:r>
      <w:r>
        <w:rPr>
          <w:u w:val="single"/>
        </w:rPr>
        <w:t>”</w:t>
      </w:r>
      <w:r>
        <w:rPr/>
        <w:t>项目的竞争性磋商[采购项目编号为：</w:t>
      </w:r>
      <w:r>
        <w:rPr>
          <w:u w:val="single"/>
        </w:rPr>
        <w:t>GPCGD251156GC517J</w:t>
      </w:r>
      <w:r>
        <w:rPr/>
        <w:t>]，我方愿参与响应。</w:t>
      </w:r>
    </w:p>
    <w:p>
      <w:pPr>
        <w:pStyle w:val="null3"/>
        <w:ind w:firstLine="480"/>
      </w:pPr>
      <w:r>
        <w:rPr/>
        <w:t>我方确认收到贵方提供的</w:t>
      </w:r>
      <w:r>
        <w:rPr>
          <w:u w:val="single"/>
        </w:rPr>
        <w:t>“</w:t>
      </w:r>
      <w:r>
        <w:rPr>
          <w:u w:val="single"/>
        </w:rPr>
        <w:t>华南农业大学生科院生物智造研究院实验室装修项目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华南农业大学生科院生物智造研究院实验室装修项目</w:t>
      </w:r>
      <w:r>
        <w:rPr/>
        <w:t>”项目采购[采购项目编号为</w:t>
      </w:r>
      <w:r>
        <w:rPr/>
        <w:t>GPCGD251156GC517J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华南农业大学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华南农业大学生科院生物智造研究院实验室装修项目</w:t>
      </w:r>
      <w:r>
        <w:rPr/>
        <w:t>（采购项目编号：</w:t>
      </w:r>
      <w:r>
        <w:rPr/>
        <w:t>GPCGD251156GC517J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华南农业大学生科院生物智造研究院实验室装修项目</w:t>
      </w:r>
      <w:r>
        <w:rPr/>
        <w:t>”项目（采购项目编号：</w:t>
      </w:r>
      <w:r>
        <w:rPr/>
        <w:t>GPCGD251156GC517J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