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版本号：N511403202600010320260901002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眉山港彭山港区川滇藏货物陆水转运中心进港铁路工程可行性研究报告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N5114032026000103</w:t>
      </w:r>
    </w:p>
    <w:p>
      <w:pPr>
        <w:pStyle w:val="null3"/>
        <w:jc w:val="left"/>
        <w:outlineLvl w:val="2"/>
      </w:pPr>
      <w:r>
        <w:rPr>
          <w:rFonts w:ascii="仿宋_GB2312" w:hAnsi="仿宋_GB2312" w:cs="仿宋_GB2312" w:eastAsia="仿宋_GB2312"/>
          <w:sz w:val="28"/>
          <w:b/>
        </w:rPr>
        <w:t>眉山市彭山区交通运输局</w:t>
      </w:r>
    </w:p>
    <w:p>
      <w:pPr>
        <w:pStyle w:val="null3"/>
        <w:jc w:val="center"/>
        <w:outlineLvl w:val="2"/>
      </w:pPr>
      <w:r>
        <w:rPr>
          <w:rFonts w:ascii="仿宋_GB2312" w:hAnsi="仿宋_GB2312" w:cs="仿宋_GB2312" w:eastAsia="仿宋_GB2312"/>
          <w:sz w:val="28"/>
          <w:b/>
        </w:rPr>
        <w:t>四川恒屹腾建设工程管理有限公司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四川恒屹腾建设工程管理有限公司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眉山市彭山区交通运输局</w:t>
      </w:r>
      <w:r>
        <w:rPr>
          <w:rFonts w:ascii="仿宋_GB2312" w:hAnsi="仿宋_GB2312" w:cs="仿宋_GB2312" w:eastAsia="仿宋_GB2312"/>
        </w:rPr>
        <w:t xml:space="preserve"> 委托，拟对 </w:t>
      </w:r>
      <w:r>
        <w:rPr>
          <w:rFonts w:ascii="仿宋_GB2312" w:hAnsi="仿宋_GB2312" w:cs="仿宋_GB2312" w:eastAsia="仿宋_GB2312"/>
        </w:rPr>
        <w:t>眉山港彭山港区川滇藏货物陆水转运中心进港铁路工程可行性研究报告</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眉山市彭山区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N5114032026000103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眉山港彭山港区川滇藏货物陆水转运中心进港铁路工程可行性研究报告</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项目位于眉山市彭山区观音街道，专用线起点由青龙场站既有器材专用线上引出，沿岷江西岸自北向南布线，下穿既有天眉乐连接线桥跨后，接入本项目陆域范围内，专用线正线长度约3.77km。预估铁路建设用地约252亩（不含转运中心站用地）。预估工程投资约2.9亿。专用线等级为内燃机车铁路专用线，预留电气化条件。科学分析论证眉山港彭山港区川滇藏货物陆水转运中心进港铁路工程的建设规模，建设内容，建设时序，建设资金等方面，完成眉山港彭山港区川滇藏货物陆水转运中心进港铁路工程可行性研究报告编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1、供应商资质要求（描述：1.供应商须具备由建设行政主管部门颁发的工程设计综合甲级资质，或铁道行业甲（Ⅱ）级及以上工程设计资质。 2. 供应商应进入“全国投资项目在线审批监管平台”中的工程咨询单位名录（咨询专业包含“铁路、城市轨道交通”）（提供“全国投资项目在线审批监管平台”的备案信息或查询结果截图）。）</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眉山市彭山区交通运输局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彭山区彭祖大道圣寿街3号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620860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028-37622071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四川恒屹腾建设工程管理有限公司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四川天府新区永兴街道天福社区8组8号附7号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18884258279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国家有关规定，经甲乙双方约定，采购代理服务费支付方式为:参照"发改办价格[2003]857号“要求和"计价格[2002]1980号"文件收费标准收取，由成交供应商在领取成交通知书时一次性向采购代理机构支付代理服务费，本项目采购代理服务费共计10500元整(大写:壹万零伍佰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眉山市彭山区交通运输局</w:t>
      </w:r>
      <w:r>
        <w:rPr>
          <w:rFonts w:ascii="仿宋_GB2312" w:hAnsi="仿宋_GB2312" w:cs="仿宋_GB2312" w:eastAsia="仿宋_GB2312"/>
        </w:rPr>
        <w:t xml:space="preserve"> 和 </w:t>
      </w:r>
      <w:r>
        <w:rPr>
          <w:rFonts w:ascii="仿宋_GB2312" w:hAnsi="仿宋_GB2312" w:cs="仿宋_GB2312" w:eastAsia="仿宋_GB2312"/>
        </w:rPr>
        <w:t>四川恒屹腾建设工程管理有限公司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眉山市彭山区交通运输局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四川恒屹腾建设工程管理有限公司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严格按照《财政部关于进一步加强采购需求和履约验收管理的指导意见》的通知(财库(2016)205号)的要求、采购文件规定的要求和响应文件及合同承诺的内容进行验收。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眉山市彭山区交通运输局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四川恒屹腾建设工程管理有限公司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四川恒屹腾建设工程管理有限公司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联系人：魏老师</w:t>
      </w:r>
    </w:p>
    <w:p>
      <w:pPr>
        <w:pStyle w:val="null3"/>
        <w:jc w:val="left"/>
      </w:pPr>
      <w:r>
        <w:rPr>
          <w:rFonts w:ascii="仿宋_GB2312" w:hAnsi="仿宋_GB2312" w:cs="仿宋_GB2312" w:eastAsia="仿宋_GB2312"/>
        </w:rPr>
        <w:t>联系电话：028-37622071</w:t>
      </w:r>
    </w:p>
    <w:p>
      <w:pPr>
        <w:pStyle w:val="null3"/>
        <w:jc w:val="left"/>
      </w:pPr>
      <w:r>
        <w:rPr>
          <w:rFonts w:ascii="仿宋_GB2312" w:hAnsi="仿宋_GB2312" w:cs="仿宋_GB2312" w:eastAsia="仿宋_GB2312"/>
        </w:rPr>
        <w:t>地址：彭⼭区彭祖⼤道圣寿街3号</w:t>
      </w:r>
    </w:p>
    <w:p>
      <w:pPr>
        <w:pStyle w:val="null3"/>
        <w:jc w:val="left"/>
      </w:pPr>
      <w:r>
        <w:rPr>
          <w:rFonts w:ascii="仿宋_GB2312" w:hAnsi="仿宋_GB2312" w:cs="仿宋_GB2312" w:eastAsia="仿宋_GB2312"/>
        </w:rPr>
        <w:t>邮编：620860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联系电话：18884258279</w:t>
      </w:r>
    </w:p>
    <w:p>
      <w:pPr>
        <w:pStyle w:val="null3"/>
        <w:jc w:val="left"/>
      </w:pPr>
      <w:r>
        <w:rPr>
          <w:rFonts w:ascii="仿宋_GB2312" w:hAnsi="仿宋_GB2312" w:cs="仿宋_GB2312" w:eastAsia="仿宋_GB2312"/>
        </w:rPr>
        <w:t>地址：四川天府新区永兴街道天福社区8组8号附7号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眉山港彭山港区川滇藏货物陆水转运中心进港铁路工程可行性研究报告</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眉山港彭山港区川滇藏货物陆水转运中心进港铁路工程可行性研究报告</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标的名称：眉山港彭山港区川滇藏货物陆水转运中心进港铁路工程可行性研究报告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27"/>
              </w:rPr>
              <w:t>一、项目概述</w:t>
            </w:r>
          </w:p>
          <w:p>
            <w:pPr>
              <w:pStyle w:val="null3"/>
              <w:jc w:val="left"/>
            </w:pPr>
            <w:r>
              <w:rPr>
                <w:rFonts w:ascii="仿宋_GB2312" w:hAnsi="仿宋_GB2312" w:cs="仿宋_GB2312" w:eastAsia="仿宋_GB2312"/>
                <w:sz w:val="27"/>
              </w:rPr>
              <w:t xml:space="preserve">  本项目服务于川滇藏陆水转运中心的铁路专用线接轨于青龙场站。专用线起点由青龙场站既有器材专用线上引出，沿岷江西岸自北向南布线，下穿既有天眉乐连接线桥跨后，接入本项目陆域范围内，专用线正线长度约3.77km。预估铁路建设用地约252亩（不含转运中心站用地）。预估工程投资约2.9亿。专用线等级为内燃机车铁路专用线，预留电气化条件。科学分析论证眉山港彭山港区川滇藏货物陆水转运中心进港铁路工程的建设规模，建设内容，建设时序，建设资金等方面，完成眉山港彭山港区川滇藏货物陆水转运中心进港铁路工程可行性研究报告编制。</w:t>
            </w:r>
            <w:r>
              <w:br/>
            </w:r>
            <w:r>
              <w:rPr>
                <w:rFonts w:ascii="仿宋_GB2312" w:hAnsi="仿宋_GB2312" w:cs="仿宋_GB2312" w:eastAsia="仿宋_GB2312"/>
                <w:sz w:val="27"/>
              </w:rPr>
              <w:t xml:space="preserve"> ★二、服务内容</w:t>
            </w:r>
            <w:r>
              <w:br/>
            </w:r>
            <w:r>
              <w:rPr>
                <w:rFonts w:ascii="仿宋_GB2312" w:hAnsi="仿宋_GB2312" w:cs="仿宋_GB2312" w:eastAsia="仿宋_GB2312"/>
                <w:sz w:val="27"/>
              </w:rPr>
              <w:t xml:space="preserve">    本项目主要研究内容（包括但不限于）：项目背景研判（项目经济与运量）、建设必要性及功能定位、建设方案、运输组织、主要技术设备设计原则和主要工程内容、相关工程及外部协作条件、环境影响及对策、建设工期及预估算、融资方案与经济评价等。</w:t>
            </w:r>
            <w:r>
              <w:br/>
            </w:r>
            <w:r>
              <w:rPr>
                <w:rFonts w:ascii="仿宋_GB2312" w:hAnsi="仿宋_GB2312" w:cs="仿宋_GB2312" w:eastAsia="仿宋_GB2312"/>
                <w:sz w:val="27"/>
              </w:rPr>
              <w:t xml:space="preserve">  1.项目经济与运量。分析项目沿线地区经济、城市、产业等发展基础，总结区域发展对本项目的内生要求。通过项目沿线港口、主要工业园区、重点工矿企业调查，结合区域、城市发展战略及规划、区域人口分布、产业布局等，科学预测项目客货运输需求。 </w:t>
            </w:r>
            <w:r>
              <w:br/>
            </w:r>
            <w:r>
              <w:rPr>
                <w:rFonts w:ascii="仿宋_GB2312" w:hAnsi="仿宋_GB2312" w:cs="仿宋_GB2312" w:eastAsia="仿宋_GB2312"/>
                <w:sz w:val="27"/>
              </w:rPr>
              <w:t xml:space="preserve">  2.建设必要性及功能定位。从国家战略发展要求、沿线城市自身经济产业特点进行分析，在深入研究区域路网构成及合理分工的基础上全面系统的研究项目的功能定位和建设必要性，对项目推动和决策提供科学的支撑。</w:t>
            </w:r>
            <w:r>
              <w:br/>
            </w:r>
            <w:r>
              <w:rPr>
                <w:rFonts w:ascii="仿宋_GB2312" w:hAnsi="仿宋_GB2312" w:cs="仿宋_GB2312" w:eastAsia="仿宋_GB2312"/>
                <w:sz w:val="27"/>
              </w:rPr>
              <w:t xml:space="preserve">  3.建设方案。据项目功能定位及相关区域路网发挥的作用，结合地区自然特征、国土空间规划、相关站点分布等，综合多方面因素多角度分析本项目建设方案。</w:t>
            </w:r>
            <w:r>
              <w:br/>
            </w:r>
            <w:r>
              <w:rPr>
                <w:rFonts w:ascii="仿宋_GB2312" w:hAnsi="仿宋_GB2312" w:cs="仿宋_GB2312" w:eastAsia="仿宋_GB2312"/>
                <w:sz w:val="27"/>
              </w:rPr>
              <w:t xml:space="preserve">  4.运输组织。根据功能定位及运输需求特点，统筹考虑站点分布、运营组织模式及运营管理方式。</w:t>
            </w:r>
            <w:r>
              <w:br/>
            </w:r>
            <w:r>
              <w:rPr>
                <w:rFonts w:ascii="仿宋_GB2312" w:hAnsi="仿宋_GB2312" w:cs="仿宋_GB2312" w:eastAsia="仿宋_GB2312"/>
                <w:sz w:val="27"/>
              </w:rPr>
              <w:t xml:space="preserve">  5.主要技术设备设计原则和主要工程内容。根据国家相关标准和技术要求，结合项目特点，初步研究确定主要技术设备设计原则及主要工程。</w:t>
            </w:r>
            <w:r>
              <w:br/>
            </w:r>
            <w:r>
              <w:rPr>
                <w:rFonts w:ascii="仿宋_GB2312" w:hAnsi="仿宋_GB2312" w:cs="仿宋_GB2312" w:eastAsia="仿宋_GB2312"/>
                <w:sz w:val="27"/>
              </w:rPr>
              <w:t xml:space="preserve">  6.相关工程及外部协作条件。分析地区相关规划政策、路网组成、地形水文、重要交通通道等因素，合理研究初步相关工程及外部协作条件。</w:t>
            </w:r>
            <w:r>
              <w:br/>
            </w:r>
            <w:r>
              <w:rPr>
                <w:rFonts w:ascii="仿宋_GB2312" w:hAnsi="仿宋_GB2312" w:cs="仿宋_GB2312" w:eastAsia="仿宋_GB2312"/>
                <w:sz w:val="27"/>
              </w:rPr>
              <w:t xml:space="preserve">  7.环境影响及对策。通过项目区域环境现状、环境敏感点等调查，初步分析项目对环境影响，并提出环境保护对策。</w:t>
            </w:r>
            <w:r>
              <w:br/>
            </w:r>
            <w:r>
              <w:rPr>
                <w:rFonts w:ascii="仿宋_GB2312" w:hAnsi="仿宋_GB2312" w:cs="仿宋_GB2312" w:eastAsia="仿宋_GB2312"/>
                <w:sz w:val="27"/>
              </w:rPr>
              <w:t xml:space="preserve">  8.建设工期及预估算。根据项目建设方案、主要工程内容和分布情况，初步研究控制工程工程方案，提出项目总工期，同时结合相关标准及规定，合理进行工程预估算。</w:t>
            </w:r>
            <w:r>
              <w:br/>
            </w:r>
            <w:r>
              <w:rPr>
                <w:rFonts w:ascii="仿宋_GB2312" w:hAnsi="仿宋_GB2312" w:cs="仿宋_GB2312" w:eastAsia="仿宋_GB2312"/>
                <w:sz w:val="27"/>
              </w:rPr>
              <w:t xml:space="preserve">  9.融资方案与经济评价等。明确适合本项目的投融资方案。基于运量预测数据，相邻铁路的主要技术标准，估算投资等条件，遵循有无对比原则、费用与效益一致原则、谨慎性原则、增量现金流量原则，以动态分析为主、静态分析为辅的原则，计算出本项目的投资税前税后收益率。</w:t>
            </w:r>
            <w:r>
              <w:br/>
            </w:r>
            <w:r>
              <w:rPr>
                <w:rFonts w:ascii="仿宋_GB2312" w:hAnsi="仿宋_GB2312" w:cs="仿宋_GB2312" w:eastAsia="仿宋_GB2312"/>
                <w:sz w:val="27"/>
              </w:rPr>
              <w:t xml:space="preserve"> ★三、服务要求</w:t>
            </w:r>
            <w:r>
              <w:br/>
            </w:r>
            <w:r>
              <w:rPr>
                <w:rFonts w:ascii="仿宋_GB2312" w:hAnsi="仿宋_GB2312" w:cs="仿宋_GB2312" w:eastAsia="仿宋_GB2312"/>
                <w:sz w:val="27"/>
              </w:rPr>
              <w:t xml:space="preserve"> 1.成果资料：本项目的成果为可行性研究报告、相关图集；经相关铁路部门审查通过后的方案审查批复，以及通过上级主管部门审查后下发的立项批复等文件。</w:t>
            </w:r>
            <w:r>
              <w:br/>
            </w:r>
            <w:r>
              <w:rPr>
                <w:rFonts w:ascii="仿宋_GB2312" w:hAnsi="仿宋_GB2312" w:cs="仿宋_GB2312" w:eastAsia="仿宋_GB2312"/>
                <w:sz w:val="27"/>
              </w:rPr>
              <w:t xml:space="preserve">  2.最终成果为《眉山港彭山港区川滇藏货物陆水转运中心进港铁路工程可行性研究报告》；由相关铁路部门审查通过后的方案审查批复；以及通过上级主管部门审查后下发的立项批复等文件。可行性研究报告将通过相关铁路部门的专家审查，专家审查通过后，通过上级主管部门审查后下发的立项批复等文件，可为眉山港彭山港区川滇藏货物陆水转运中心进港铁路工程建设项目的支撑性文件。</w:t>
            </w:r>
            <w:r>
              <w:br/>
            </w:r>
            <w:r>
              <w:rPr>
                <w:rFonts w:ascii="仿宋_GB2312" w:hAnsi="仿宋_GB2312" w:cs="仿宋_GB2312" w:eastAsia="仿宋_GB2312"/>
                <w:sz w:val="27"/>
              </w:rPr>
              <w:t xml:space="preserve">  3.成果提交：供应商成交后，后期应向采购人提交全套可行性研究文件成果（包括文字报告、图集。以书面和电子文件两种形式提交；纸质8份，电子文档1份（PDF文档格式）），并且须取得由相关铁路部门审查通过后的方案审查批复，以及通过上级主管部门审查后下发的立项批复等文件。</w:t>
            </w:r>
            <w:r>
              <w:br/>
            </w:r>
            <w:r>
              <w:rPr>
                <w:rFonts w:ascii="仿宋_GB2312" w:hAnsi="仿宋_GB2312" w:cs="仿宋_GB2312" w:eastAsia="仿宋_GB2312"/>
                <w:sz w:val="27"/>
              </w:rPr>
              <w:t xml:space="preserve">  4.成果文件，应符合国家、四川省、彭山区及行业相关最新质量标准、技术规范及规程要求。供应商必须遵循独立性、客观性、科学性、公正性原则，依法独立、公正的执行编制任务，遵守职业道德，不得在服务期间向除采购人外的第三方透露任何服务内容。</w:t>
            </w:r>
            <w:r>
              <w:br/>
            </w:r>
            <w:r>
              <w:rPr>
                <w:rFonts w:ascii="仿宋_GB2312" w:hAnsi="仿宋_GB2312" w:cs="仿宋_GB2312" w:eastAsia="仿宋_GB2312"/>
                <w:sz w:val="27"/>
              </w:rPr>
              <w:t xml:space="preserve"> 四、工作依据及资料</w:t>
            </w:r>
            <w:r>
              <w:br/>
            </w:r>
            <w:r>
              <w:rPr>
                <w:rFonts w:ascii="仿宋_GB2312" w:hAnsi="仿宋_GB2312" w:cs="仿宋_GB2312" w:eastAsia="仿宋_GB2312"/>
                <w:sz w:val="27"/>
              </w:rPr>
              <w:t xml:space="preserve"> （一）主要依据</w:t>
            </w:r>
            <w:r>
              <w:br/>
            </w:r>
            <w:r>
              <w:rPr>
                <w:rFonts w:ascii="仿宋_GB2312" w:hAnsi="仿宋_GB2312" w:cs="仿宋_GB2312" w:eastAsia="仿宋_GB2312"/>
                <w:sz w:val="27"/>
              </w:rPr>
              <w:t xml:space="preserve"> 1. 《港口规划管理规定》（2008年交通部颁）</w:t>
            </w:r>
            <w:r>
              <w:br/>
            </w:r>
            <w:r>
              <w:rPr>
                <w:rFonts w:ascii="仿宋_GB2312" w:hAnsi="仿宋_GB2312" w:cs="仿宋_GB2312" w:eastAsia="仿宋_GB2312"/>
                <w:sz w:val="27"/>
              </w:rPr>
              <w:t xml:space="preserve"> 2. 《内河通航标准》（GB50139-2014）</w:t>
            </w:r>
            <w:r>
              <w:br/>
            </w:r>
            <w:r>
              <w:rPr>
                <w:rFonts w:ascii="仿宋_GB2312" w:hAnsi="仿宋_GB2312" w:cs="仿宋_GB2312" w:eastAsia="仿宋_GB2312"/>
                <w:sz w:val="27"/>
              </w:rPr>
              <w:t xml:space="preserve"> 3. 《〈四川省港口管理条例〉实施办法》（2015 年）</w:t>
            </w:r>
            <w:r>
              <w:br/>
            </w:r>
            <w:r>
              <w:rPr>
                <w:rFonts w:ascii="仿宋_GB2312" w:hAnsi="仿宋_GB2312" w:cs="仿宋_GB2312" w:eastAsia="仿宋_GB2312"/>
                <w:sz w:val="27"/>
              </w:rPr>
              <w:t xml:space="preserve"> 4. 《四川省航道条例》（2018年）</w:t>
            </w:r>
            <w:r>
              <w:br/>
            </w:r>
            <w:r>
              <w:rPr>
                <w:rFonts w:ascii="仿宋_GB2312" w:hAnsi="仿宋_GB2312" w:cs="仿宋_GB2312" w:eastAsia="仿宋_GB2312"/>
                <w:sz w:val="27"/>
              </w:rPr>
              <w:t xml:space="preserve"> 5. 《河港总体设计规范》（JTS216-2020）</w:t>
            </w:r>
            <w:r>
              <w:br/>
            </w:r>
            <w:r>
              <w:rPr>
                <w:rFonts w:ascii="仿宋_GB2312" w:hAnsi="仿宋_GB2312" w:cs="仿宋_GB2312" w:eastAsia="仿宋_GB2312"/>
                <w:sz w:val="27"/>
              </w:rPr>
              <w:t xml:space="preserve"> 6. 《公路工程技术标准（JTG B01-2014）》</w:t>
            </w:r>
            <w:r>
              <w:br/>
            </w:r>
            <w:r>
              <w:rPr>
                <w:rFonts w:ascii="仿宋_GB2312" w:hAnsi="仿宋_GB2312" w:cs="仿宋_GB2312" w:eastAsia="仿宋_GB2312"/>
                <w:sz w:val="27"/>
              </w:rPr>
              <w:t xml:space="preserve"> 7. 《民用建筑设计统一标准》（GB50352-2019）</w:t>
            </w:r>
            <w:r>
              <w:br/>
            </w:r>
            <w:r>
              <w:rPr>
                <w:rFonts w:ascii="仿宋_GB2312" w:hAnsi="仿宋_GB2312" w:cs="仿宋_GB2312" w:eastAsia="仿宋_GB2312"/>
                <w:sz w:val="27"/>
              </w:rPr>
              <w:t xml:space="preserve"> 8. 《民用建筑通用规范》（GB55031-2022）</w:t>
            </w:r>
            <w:r>
              <w:br/>
            </w:r>
            <w:r>
              <w:rPr>
                <w:rFonts w:ascii="仿宋_GB2312" w:hAnsi="仿宋_GB2312" w:cs="仿宋_GB2312" w:eastAsia="仿宋_GB2312"/>
                <w:sz w:val="27"/>
              </w:rPr>
              <w:t xml:space="preserve"> 9. 其他有关法律、法规、标准和规范。</w:t>
            </w:r>
            <w:r>
              <w:br/>
            </w:r>
            <w:r>
              <w:rPr>
                <w:rFonts w:ascii="仿宋_GB2312" w:hAnsi="仿宋_GB2312" w:cs="仿宋_GB2312" w:eastAsia="仿宋_GB2312"/>
                <w:sz w:val="27"/>
              </w:rPr>
              <w:t xml:space="preserve"> 注:如本项目所列明的国家标准、行业标准、地方标准若涉及最新标准，则按最新标准执行。</w:t>
            </w:r>
            <w:r>
              <w:br/>
            </w:r>
            <w:r>
              <w:rPr>
                <w:rFonts w:ascii="仿宋_GB2312" w:hAnsi="仿宋_GB2312" w:cs="仿宋_GB2312" w:eastAsia="仿宋_GB2312"/>
                <w:sz w:val="27"/>
              </w:rPr>
              <w:t xml:space="preserve"> （二）有关资料</w:t>
            </w:r>
            <w:r>
              <w:br/>
            </w:r>
            <w:r>
              <w:rPr>
                <w:rFonts w:ascii="仿宋_GB2312" w:hAnsi="仿宋_GB2312" w:cs="仿宋_GB2312" w:eastAsia="仿宋_GB2312"/>
                <w:sz w:val="27"/>
              </w:rPr>
              <w:t xml:space="preserve"> 1.《“畅通一条江”航运振兴发展集中攻坚三年行动方案（2025—2027 年）》（2025 年）</w:t>
            </w:r>
            <w:r>
              <w:br/>
            </w:r>
            <w:r>
              <w:rPr>
                <w:rFonts w:ascii="仿宋_GB2312" w:hAnsi="仿宋_GB2312" w:cs="仿宋_GB2312" w:eastAsia="仿宋_GB2312"/>
                <w:sz w:val="27"/>
              </w:rPr>
              <w:t xml:space="preserve"> 2.《四川省有效降低全社会物流成本实施方案》（2025 年）</w:t>
            </w:r>
            <w:r>
              <w:br/>
            </w:r>
            <w:r>
              <w:rPr>
                <w:rFonts w:ascii="仿宋_GB2312" w:hAnsi="仿宋_GB2312" w:cs="仿宋_GB2312" w:eastAsia="仿宋_GB2312"/>
                <w:sz w:val="27"/>
              </w:rPr>
              <w:t xml:space="preserve"> 3.《四川省推进多式联运高质量发展行动方案》（2025 年）</w:t>
            </w:r>
            <w:r>
              <w:br/>
            </w:r>
            <w:r>
              <w:rPr>
                <w:rFonts w:ascii="仿宋_GB2312" w:hAnsi="仿宋_GB2312" w:cs="仿宋_GB2312" w:eastAsia="仿宋_GB2312"/>
                <w:sz w:val="27"/>
              </w:rPr>
              <w:t xml:space="preserve"> 4.《四川省水路运输提质倍增行动方案(2024—2028 年)》（2024 年）</w:t>
            </w:r>
            <w:r>
              <w:br/>
            </w:r>
            <w:r>
              <w:rPr>
                <w:rFonts w:ascii="仿宋_GB2312" w:hAnsi="仿宋_GB2312" w:cs="仿宋_GB2312" w:eastAsia="仿宋_GB2312"/>
                <w:sz w:val="27"/>
              </w:rPr>
              <w:t xml:space="preserve"> 5.《成都都市圈发展规划》（2021 年）</w:t>
            </w:r>
            <w:r>
              <w:br/>
            </w:r>
            <w:r>
              <w:rPr>
                <w:rFonts w:ascii="仿宋_GB2312" w:hAnsi="仿宋_GB2312" w:cs="仿宋_GB2312" w:eastAsia="仿宋_GB2312"/>
                <w:sz w:val="27"/>
              </w:rPr>
              <w:t xml:space="preserve"> 6.《成都都市圈国土空间规划》（2024 年）</w:t>
            </w:r>
            <w:r>
              <w:br/>
            </w:r>
            <w:r>
              <w:rPr>
                <w:rFonts w:ascii="仿宋_GB2312" w:hAnsi="仿宋_GB2312" w:cs="仿宋_GB2312" w:eastAsia="仿宋_GB2312"/>
                <w:sz w:val="27"/>
              </w:rPr>
              <w:t xml:space="preserve"> 7.《眉山市国土空间总体规划（2021－2035 年）》</w:t>
            </w:r>
            <w:r>
              <w:br/>
            </w:r>
            <w:r>
              <w:rPr>
                <w:rFonts w:ascii="仿宋_GB2312" w:hAnsi="仿宋_GB2312" w:cs="仿宋_GB2312" w:eastAsia="仿宋_GB2312"/>
                <w:sz w:val="27"/>
              </w:rPr>
              <w:t xml:space="preserve"> 8.《眉山港总体规划（修编）》（2025 年）</w:t>
            </w:r>
            <w:r>
              <w:br/>
            </w:r>
            <w:r>
              <w:rPr>
                <w:rFonts w:ascii="仿宋_GB2312" w:hAnsi="仿宋_GB2312" w:cs="仿宋_GB2312" w:eastAsia="仿宋_GB2312"/>
                <w:sz w:val="27"/>
              </w:rPr>
              <w:t xml:space="preserve"> 9.《眉山国际铁路港发展规划（修编）》（2024 年）</w:t>
            </w:r>
            <w:r>
              <w:br/>
            </w:r>
            <w:r>
              <w:rPr>
                <w:rFonts w:ascii="仿宋_GB2312" w:hAnsi="仿宋_GB2312" w:cs="仿宋_GB2312" w:eastAsia="仿宋_GB2312"/>
                <w:sz w:val="27"/>
              </w:rPr>
              <w:t xml:space="preserve"> 10.《眉山市彭山区国土空间总体规划》（2023 年）</w:t>
            </w:r>
            <w:r>
              <w:br/>
            </w:r>
            <w:r>
              <w:rPr>
                <w:rFonts w:ascii="仿宋_GB2312" w:hAnsi="仿宋_GB2312" w:cs="仿宋_GB2312" w:eastAsia="仿宋_GB2312"/>
                <w:sz w:val="27"/>
              </w:rPr>
              <w:t xml:space="preserve"> 11.《眉山市彭山区环城片区国土空间总体规划》（2022 年）</w:t>
            </w:r>
            <w:r>
              <w:br/>
            </w:r>
            <w:r>
              <w:rPr>
                <w:rFonts w:ascii="仿宋_GB2312" w:hAnsi="仿宋_GB2312" w:cs="仿宋_GB2312" w:eastAsia="仿宋_GB2312"/>
                <w:sz w:val="27"/>
              </w:rPr>
              <w:t xml:space="preserve"> 12.《眉山市现代物流体系建设规划》</w:t>
            </w:r>
            <w:r>
              <w:br/>
            </w:r>
            <w:r>
              <w:rPr>
                <w:rFonts w:ascii="仿宋_GB2312" w:hAnsi="仿宋_GB2312" w:cs="仿宋_GB2312" w:eastAsia="仿宋_GB2312"/>
                <w:sz w:val="27"/>
              </w:rPr>
              <w:t xml:space="preserve"> 13.本规划组织单位提供的有关本项目电子地形图及其他相关规划。</w:t>
            </w:r>
            <w:r>
              <w:br/>
            </w:r>
            <w:r>
              <w:rPr>
                <w:rFonts w:ascii="仿宋_GB2312" w:hAnsi="仿宋_GB2312" w:cs="仿宋_GB2312" w:eastAsia="仿宋_GB2312"/>
                <w:sz w:val="27"/>
              </w:rPr>
              <w:t xml:space="preserve"> 注:如本项目所列明的国家标准、行业标准、地方标准若涉及最新标准，则按最新标准执行。</w:t>
            </w:r>
            <w:r>
              <w:br/>
            </w:r>
            <w:r>
              <w:br/>
            </w:r>
            <w:r>
              <w:rPr>
                <w:rFonts w:ascii="仿宋_GB2312" w:hAnsi="仿宋_GB2312" w:cs="仿宋_GB2312" w:eastAsia="仿宋_GB2312"/>
                <w:sz w:val="27"/>
              </w:rPr>
              <w:t xml:space="preserve"> 注：本章节中标注★项为实质性要求，若不满足，则按无效文件处理。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sz w:val="27"/>
                <w:color w:val="000000"/>
              </w:rPr>
              <w:t>1</w:t>
            </w:r>
            <w:r>
              <w:rPr>
                <w:rFonts w:ascii="仿宋_GB2312" w:hAnsi="仿宋_GB2312" w:cs="仿宋_GB2312" w:eastAsia="仿宋_GB2312"/>
                <w:sz w:val="27"/>
                <w:color w:val="000000"/>
              </w:rPr>
              <w:t>、服务期限：自合同签订之日起</w:t>
            </w:r>
            <w:r>
              <w:rPr>
                <w:rFonts w:ascii="仿宋_GB2312" w:hAnsi="仿宋_GB2312" w:cs="仿宋_GB2312" w:eastAsia="仿宋_GB2312"/>
                <w:sz w:val="27"/>
                <w:color w:val="000000"/>
              </w:rPr>
              <w:t>120</w:t>
            </w:r>
            <w:r>
              <w:rPr>
                <w:rFonts w:ascii="仿宋_GB2312" w:hAnsi="仿宋_GB2312" w:cs="仿宋_GB2312" w:eastAsia="仿宋_GB2312"/>
                <w:sz w:val="27"/>
                <w:color w:val="000000"/>
              </w:rPr>
              <w:t>日</w:t>
            </w:r>
            <w:r>
              <w:rPr>
                <w:rFonts w:ascii="仿宋_GB2312" w:hAnsi="仿宋_GB2312" w:cs="仿宋_GB2312" w:eastAsia="仿宋_GB2312"/>
                <w:sz w:val="27"/>
                <w:color w:val="000000"/>
              </w:rPr>
              <w:t>历天。</w:t>
            </w:r>
          </w:p>
          <w:p>
            <w:pPr>
              <w:pStyle w:val="null3"/>
              <w:jc w:val="left"/>
            </w:pPr>
            <w:r>
              <w:rPr>
                <w:rFonts w:ascii="仿宋_GB2312" w:hAnsi="仿宋_GB2312" w:cs="仿宋_GB2312" w:eastAsia="仿宋_GB2312"/>
                <w:sz w:val="27"/>
                <w:color w:val="000000"/>
              </w:rPr>
              <w:t>2</w:t>
            </w:r>
            <w:r>
              <w:rPr>
                <w:rFonts w:ascii="仿宋_GB2312" w:hAnsi="仿宋_GB2312" w:cs="仿宋_GB2312" w:eastAsia="仿宋_GB2312"/>
                <w:sz w:val="27"/>
                <w:color w:val="000000"/>
              </w:rPr>
              <w:t>、服务地点：眉山市彭山区交通运输局（采购人指定地点）。</w:t>
            </w:r>
          </w:p>
          <w:p>
            <w:pPr>
              <w:pStyle w:val="null3"/>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、验收、交付标准和方法：</w:t>
            </w:r>
            <w:r>
              <w:rPr>
                <w:rFonts w:ascii="仿宋_GB2312" w:hAnsi="仿宋_GB2312" w:cs="仿宋_GB2312" w:eastAsia="仿宋_GB2312"/>
                <w:sz w:val="27"/>
              </w:rPr>
              <w:t>采购人按照采购文件的要求、成交供应商的响应文件和承诺、合同相关约定以及国家和行业有关标准进行验收，其他未尽事宜按照《财政部关于进一步加强政府采购需求和履约验收管理的指导意见》(财库(2016)205号)的要求进行验收。</w:t>
            </w:r>
          </w:p>
          <w:p>
            <w:pPr>
              <w:pStyle w:val="null3"/>
              <w:jc w:val="left"/>
            </w:pPr>
            <w:r>
              <w:rPr>
                <w:rFonts w:ascii="仿宋_GB2312" w:hAnsi="仿宋_GB2312" w:cs="仿宋_GB2312" w:eastAsia="仿宋_GB2312"/>
                <w:sz w:val="27"/>
              </w:rPr>
              <w:t>4、付款进度安排：</w:t>
            </w:r>
          </w:p>
          <w:p>
            <w:pPr>
              <w:pStyle w:val="null3"/>
              <w:jc w:val="left"/>
            </w:pPr>
            <w:r>
              <w:rPr>
                <w:rFonts w:ascii="仿宋_GB2312" w:hAnsi="仿宋_GB2312" w:cs="仿宋_GB2312" w:eastAsia="仿宋_GB2312"/>
                <w:sz w:val="27"/>
              </w:rPr>
              <w:t>（1）合同签订生效后，供应商开具有效发票，支付预付款(若成交供应商为民营中小企业，则支付合同金额的40%作为预付款)。达到该付款条件起10个工作日内，支付合同总金额的30.00%。</w:t>
            </w:r>
          </w:p>
          <w:p>
            <w:pPr>
              <w:pStyle w:val="null3"/>
              <w:jc w:val="left"/>
            </w:pPr>
            <w:r>
              <w:rPr>
                <w:rFonts w:ascii="仿宋_GB2312" w:hAnsi="仿宋_GB2312" w:cs="仿宋_GB2312" w:eastAsia="仿宋_GB2312"/>
                <w:sz w:val="27"/>
              </w:rPr>
              <w:t>（2）报告通过相关铁路部门的专家方案评审后，供应商提交按专家意见修改完普的最终成果(可行性研究报告，以及通过相关铁路部门的专家方案批复)给采购人，供应商开具有效发票后。达到该付款条件起10个工作日内，支付合同总金额的30.00%。</w:t>
            </w:r>
          </w:p>
          <w:p>
            <w:pPr>
              <w:pStyle w:val="null3"/>
              <w:jc w:val="left"/>
            </w:pPr>
            <w:r>
              <w:rPr>
                <w:rFonts w:ascii="仿宋_GB2312" w:hAnsi="仿宋_GB2312" w:cs="仿宋_GB2312" w:eastAsia="仿宋_GB2312"/>
                <w:sz w:val="27"/>
              </w:rPr>
              <w:t>（3）采购人取得由上级主管部门出具的立项批复文件后(若成交供应商为民营中小企业，则支付合同金额的30%)。达到该付教条件起10个工作日内，支付合同总金额的40.00%。</w:t>
            </w:r>
          </w:p>
          <w:p>
            <w:pPr>
              <w:pStyle w:val="null3"/>
              <w:jc w:val="left"/>
            </w:pPr>
            <w:r>
              <w:rPr>
                <w:rFonts w:ascii="仿宋_GB2312" w:hAnsi="仿宋_GB2312" w:cs="仿宋_GB2312" w:eastAsia="仿宋_GB2312"/>
                <w:sz w:val="27"/>
                <w:color w:val="000000"/>
              </w:rPr>
              <w:t>5</w:t>
            </w:r>
            <w:r>
              <w:rPr>
                <w:rFonts w:ascii="仿宋_GB2312" w:hAnsi="仿宋_GB2312" w:cs="仿宋_GB2312" w:eastAsia="仿宋_GB2312"/>
                <w:sz w:val="27"/>
                <w:color w:val="000000"/>
              </w:rPr>
              <w:t>、报价要求：本报价是供应商完成本项目全部工作内容的最终报价，包括供应商履约过程中的人工费、资料费、评审费、差旅费、利润、税金等供应商履约完本项目所</w:t>
            </w:r>
            <w:r>
              <w:rPr>
                <w:rFonts w:ascii="仿宋_GB2312" w:hAnsi="仿宋_GB2312" w:cs="仿宋_GB2312" w:eastAsia="仿宋_GB2312"/>
                <w:sz w:val="27"/>
                <w:color w:val="000000"/>
              </w:rPr>
              <w:t>需要的一切费用，采购人不再向成交供应商支付除本项目成交金额外的任何费用。供</w:t>
            </w:r>
            <w:r>
              <w:rPr>
                <w:rFonts w:ascii="仿宋_GB2312" w:hAnsi="仿宋_GB2312" w:cs="仿宋_GB2312" w:eastAsia="仿宋_GB2312"/>
                <w:sz w:val="27"/>
                <w:color w:val="000000"/>
              </w:rPr>
              <w:t>应商如出现的报价估算错误等引起的损失由供应商自行承担。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27"/>
              </w:rPr>
              <w:t xml:space="preserve">1. </w:t>
            </w:r>
            <w:r>
              <w:rPr>
                <w:rFonts w:ascii="仿宋_GB2312" w:hAnsi="仿宋_GB2312" w:cs="仿宋_GB2312" w:eastAsia="仿宋_GB2312"/>
                <w:sz w:val="27"/>
              </w:rPr>
              <w:t>供应商应为本项目配置专业技术服务人员（含项目负责人、技术负责人、其他服务人员等），提供编制服务。</w:t>
            </w:r>
            <w:r>
              <w:rPr>
                <w:rFonts w:ascii="仿宋_GB2312" w:hAnsi="仿宋_GB2312" w:cs="仿宋_GB2312" w:eastAsia="仿宋_GB2312"/>
                <w:sz w:val="27"/>
              </w:rPr>
              <w:t>供应商应保证所提供的服务或其任何一部分均不会侵犯任何第三方的专利权、商标权或著作权。</w:t>
            </w:r>
            <w:r>
              <w:br/>
            </w:r>
            <w:r>
              <w:rPr>
                <w:rFonts w:ascii="仿宋_GB2312" w:hAnsi="仿宋_GB2312" w:cs="仿宋_GB2312" w:eastAsia="仿宋_GB2312"/>
                <w:sz w:val="19"/>
                <w:color w:val="000000"/>
              </w:rPr>
              <w:t>★</w:t>
            </w:r>
            <w:r>
              <w:rPr>
                <w:rFonts w:ascii="仿宋_GB2312" w:hAnsi="仿宋_GB2312" w:cs="仿宋_GB2312" w:eastAsia="仿宋_GB2312"/>
                <w:sz w:val="27"/>
              </w:rPr>
              <w:t xml:space="preserve">2. </w:t>
            </w:r>
            <w:r>
              <w:rPr>
                <w:rFonts w:ascii="仿宋_GB2312" w:hAnsi="仿宋_GB2312" w:cs="仿宋_GB2312" w:eastAsia="仿宋_GB2312"/>
                <w:sz w:val="27"/>
              </w:rPr>
              <w:t>供应商应结合本项目服务内容要求，提供专业技术服务，编制技术服务方案。</w:t>
            </w:r>
            <w:r>
              <w:rPr>
                <w:rFonts w:ascii="仿宋_GB2312" w:hAnsi="仿宋_GB2312" w:cs="仿宋_GB2312" w:eastAsia="仿宋_GB2312"/>
                <w:sz w:val="27"/>
              </w:rPr>
              <w:t>供应商对编制成果负责；提供成果的完整性、准确性出现重大漏项和误差时， 供应商须承担由此带来的损失。</w:t>
            </w:r>
            <w:r>
              <w:br/>
            </w:r>
            <w:r>
              <w:rPr>
                <w:rFonts w:ascii="仿宋_GB2312" w:hAnsi="仿宋_GB2312" w:cs="仿宋_GB2312" w:eastAsia="仿宋_GB2312"/>
                <w:sz w:val="19"/>
                <w:color w:val="000000"/>
              </w:rPr>
              <w:t>★</w:t>
            </w:r>
            <w:r>
              <w:rPr>
                <w:rFonts w:ascii="仿宋_GB2312" w:hAnsi="仿宋_GB2312" w:cs="仿宋_GB2312" w:eastAsia="仿宋_GB2312"/>
                <w:sz w:val="27"/>
              </w:rPr>
              <w:t>3. 供应商在项目编制过程中定期及时向采购人通报本项目进度。接受项目行业管理部门及政府有关部门的指导，接受采购人的监督。</w:t>
            </w:r>
            <w:r>
              <w:rPr>
                <w:rFonts w:ascii="仿宋_GB2312" w:hAnsi="仿宋_GB2312" w:cs="仿宋_GB2312" w:eastAsia="仿宋_GB2312"/>
                <w:sz w:val="27"/>
              </w:rPr>
              <w:t>供应商应按照本采购项目特点提供长期良好的后续跟踪服务。若采购实际需要，应在采购人规定的时间内对成果入库、维护、解释和根据管理要求进行调整。</w:t>
            </w:r>
            <w:r>
              <w:br/>
            </w:r>
            <w:r>
              <w:rPr>
                <w:rFonts w:ascii="仿宋_GB2312" w:hAnsi="仿宋_GB2312" w:cs="仿宋_GB2312" w:eastAsia="仿宋_GB2312"/>
                <w:sz w:val="27"/>
              </w:rPr>
              <w:t xml:space="preserve">  </w:t>
            </w:r>
            <w:r>
              <w:rPr>
                <w:rFonts w:ascii="仿宋_GB2312" w:hAnsi="仿宋_GB2312" w:cs="仿宋_GB2312" w:eastAsia="仿宋_GB2312"/>
                <w:sz w:val="19"/>
                <w:color w:val="000000"/>
              </w:rPr>
              <w:t>★</w:t>
            </w:r>
            <w:r>
              <w:rPr>
                <w:rFonts w:ascii="仿宋_GB2312" w:hAnsi="仿宋_GB2312" w:cs="仿宋_GB2312" w:eastAsia="仿宋_GB2312"/>
                <w:sz w:val="27"/>
              </w:rPr>
              <w:t>4. 供应商在履行合同过程中，因其自身或其工作人员在履行职务过程中的疏忽、失职、过错等故意或者过失原因造成的人员安全责任及事故责任由供应商负责，如对采购人造成损失的，包括但不限于采购人本身的财产损失、由此而导致的采购人对任何第三方的法律责任等，供应商对此应承担相应的责任。</w:t>
            </w:r>
            <w:r>
              <w:br/>
            </w:r>
            <w:r>
              <w:rPr>
                <w:rFonts w:ascii="仿宋_GB2312" w:hAnsi="仿宋_GB2312" w:cs="仿宋_GB2312" w:eastAsia="仿宋_GB2312"/>
                <w:sz w:val="27"/>
              </w:rPr>
              <w:t xml:space="preserve">  </w:t>
            </w:r>
            <w:r>
              <w:rPr>
                <w:rFonts w:ascii="仿宋_GB2312" w:hAnsi="仿宋_GB2312" w:cs="仿宋_GB2312" w:eastAsia="仿宋_GB2312"/>
                <w:sz w:val="19"/>
                <w:color w:val="000000"/>
              </w:rPr>
              <w:t>★</w:t>
            </w:r>
            <w:r>
              <w:rPr>
                <w:rFonts w:ascii="仿宋_GB2312" w:hAnsi="仿宋_GB2312" w:cs="仿宋_GB2312" w:eastAsia="仿宋_GB2312"/>
                <w:sz w:val="27"/>
              </w:rPr>
              <w:t>5.保密要求：成交供应商工作过程中必须严格按照国家保密工作规程操作，以保障对整个工作成果及接触到的相关工作资料进行保密。（投标时须单独提供承诺函，否则作无效投标处理）</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27"/>
              </w:rPr>
              <w:t xml:space="preserve"> 6. 本项目产生的知识产权归采购人所有。</w:t>
            </w:r>
          </w:p>
          <w:p>
            <w:pPr>
              <w:pStyle w:val="null3"/>
              <w:jc w:val="left"/>
            </w:pPr>
            <w:r>
              <w:rPr>
                <w:rFonts w:ascii="仿宋_GB2312" w:hAnsi="仿宋_GB2312" w:cs="仿宋_GB2312" w:eastAsia="仿宋_GB2312"/>
                <w:sz w:val="27"/>
              </w:rPr>
              <w:t xml:space="preserve"> 7、</w:t>
            </w:r>
            <w:r>
              <w:rPr>
                <w:rFonts w:ascii="仿宋_GB2312" w:hAnsi="仿宋_GB2312" w:cs="仿宋_GB2312" w:eastAsia="仿宋_GB2312"/>
                <w:sz w:val="27"/>
                <w:color w:val="000000"/>
              </w:rPr>
              <w:t>投标人针对本项目提供的项目实施方案，方案包括：①项目背景及基本情况分析；②重点、难点分析；③技术可行性分析；④经济可行性分析；⑤社会与环境影响分析等因素进行综合评审；⑥进度计划及保障措施；⑦安全文明保障措施；⑧保密措施。</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7"/>
              </w:rPr>
              <w:t>注：本章节中标注★项为实质性要求，若不满足，则按无效文件处理。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自合同签订之日起120日历天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眉山市彭山区交通运输局（采购人指定地点）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采购文件的要求、成交供应商的响应文件和承诺、合同相关约定以及国家和行业有关标准进行验收，其他未尽事宜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预付款付款条件：合同签订生效后，供应商开具有效发票，支付预付款（若成交供应商为民营中小企业，则支付合同金额的40%作为预付款）。达到该付款条件起10个工作日内，支付合同总金额的30.0%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付款条件：报告通过相关铁路部门的专家方案评审后，供应商提交按专家意见修改完善的最终成果（可行性研究报告，以及通过相关铁路部门的专家方案批复）给采购人，供应商开具有效发票后。达到该付款条件起10个工作日内，支付合同总金额的30.0%</w:t>
            </w:r>
            <w:r>
              <w:br/>
            </w:r>
            <w:r>
              <w:rPr>
                <w:rFonts w:ascii="仿宋_GB2312" w:hAnsi="仿宋_GB2312" w:cs="仿宋_GB2312" w:eastAsia="仿宋_GB2312"/>
              </w:rPr>
              <w:t>3、</w:t>
            </w:r>
            <w:r>
              <w:rPr>
                <w:rFonts w:ascii="仿宋_GB2312" w:hAnsi="仿宋_GB2312" w:cs="仿宋_GB2312" w:eastAsia="仿宋_GB2312"/>
              </w:rPr>
              <w:t>尾款付款条件：采购人取得由上级主管部门出具的立项批复文件后（若成交供应商为民营中小企业，则支付合同金额的30%）。达到该付款条件起10个工作日内，支付合同总金额的40.0%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1.采购方和供应商双方必须遵守本合同并执行合同中的各项规定，保证本合同的正常履行。 2.如因供应商工作人员在履行职务过程中的疏忽、失职、过错等故意或者过失原因给采购方造成损失或侵害，包括但不限于采购方本身的财产损失、由此而导致的采购方对任何第三方的法律责任等，供应商对此均应承担全部的赔偿主责人。3.在执行本合同中发生的或与本合同有关的争端，双方应通过友好协商解决，经协商在 30 天内不能达成协议时，应提交采购人所在地区仲裁委员会仲裁。</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供应商资质要求</w:t>
            </w:r>
          </w:p>
        </w:tc>
        <w:tc>
          <w:tcPr>
            <w:tcW w:type="dxa" w:w="3322"/>
          </w:tcPr>
          <w:p>
            <w:pPr>
              <w:pStyle w:val="null3"/>
              <w:jc w:val="left"/>
            </w:pPr>
            <w:r>
              <w:rPr>
                <w:rFonts w:ascii="仿宋_GB2312" w:hAnsi="仿宋_GB2312" w:cs="仿宋_GB2312" w:eastAsia="仿宋_GB2312"/>
              </w:rPr>
              <w:t>1.供应商须具备由建设行政主管部门颁发的工程设计综合甲级资质，或铁道行业甲（Ⅱ）级及以上工程设计资质。 2. 供应商应进入“全国投资项目在线审批监管平台”中的工程咨询单位名录（咨询专业包含“铁路、城市轨道交通”）（提供“全国投资项目在线审批监管平台”的备案信息或查询结果截图）。</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其他符合采购⽂件的实质性要求</w:t>
            </w:r>
          </w:p>
        </w:tc>
        <w:tc>
          <w:tcPr>
            <w:tcW w:type="dxa" w:w="3322"/>
          </w:tcPr>
          <w:p>
            <w:pPr>
              <w:pStyle w:val="null3"/>
              <w:jc w:val="left"/>
            </w:pPr>
            <w:r>
              <w:rPr>
                <w:rFonts w:ascii="仿宋_GB2312" w:hAnsi="仿宋_GB2312" w:cs="仿宋_GB2312" w:eastAsia="仿宋_GB2312"/>
              </w:rPr>
              <w:t>在评标过程中，供应商提供的投标⽂件应符合采购⽂件所有实质性要求，评标委员会认为投标⼈投标⽂件未响应采购⽂件的实质性要求的，评标委员会应当将其投标⽂件作为⽆效投标处理。</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案，包含但不限于：①项目背景及基本情况分析；②重点、难点分析；③技术可行性分析；④经济可行性分析；⑤社会与环境影响分析等因素进行综合评审；⑥进度计划及保障措施；⑦安全文明保障措施；⑧保密措施等进行综合评分。方案全面详细、完全包含上述内容不缺项，且能与采购需求合理匹配的得56分；每缺失上述⼀项方案内容扣7分；⽅案每存在⼀处缺陷扣3.5分，直到扣完为止，未提供的不得分。 （注：缺陷是指存在项⽬名称错误、地点区域错误、内容与本项⽬实际需求⽆关、⽅案表述前后不⼀致、仅有框架或标题、适⽤的标准（方法）错误、明显复制其他项⽬内容。）</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根据供应商拟投入本项目服务团队人员进行综合评审： 1.项目负责人(1人)：具备注册咨询工程师（投资）证书（铁路专业登记）得2分，同时具备铁路或规划相关专业高级工程师及以上职称加2分；本项最多得4分。 2.技术负责人(1人)：具备铁路相关专业高级工程师及以上职称得2分；本项最多得2分。 3.服务团队其他人员：其他人员中有1人具备经调或行车相关专业高级工程师及以上职称得1分；其他人员中有1名成员具有轨道工程相关专业高级工程师及以上职称得1分；其他人员中有1名成员具有站场相关专业高级工程师及以上职称得1分；其他人员中有1名成员具有桥或涵相关专业高级工程师及以上职称得1分；本项最多得4分。 注：①上述人员不重复任职计分，提供相关证书复印件加盖供应商公章。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供应商⾃2023年1月1日（含1日）起至递交响应文件截止之日具有类似项目履约经验的（类似项目履约经验指：铁路工程可行性研究编制项目咨询服务业绩），每提供⼀个得2分，本项最多得4分。 注：提供中标（成交）通知书或合同协议书（时间以中标通知书载明的时间或者合同签订时间为准）扫描件并加盖供应商单位电子章，未提供不得分。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