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440401-2025-02147</w:t>
      </w:r>
    </w:p>
    <w:p>
      <w:pPr>
        <w:pStyle w:val="null3"/>
        <w:jc w:val="center"/>
        <w:outlineLvl w:val="3"/>
      </w:pPr>
      <w:r>
        <w:rPr>
          <w:sz w:val="24"/>
          <w:b/>
        </w:rPr>
        <w:t>采购项目编号：</w:t>
      </w:r>
      <w:r>
        <w:rPr>
          <w:sz w:val="24"/>
          <w:b/>
        </w:rPr>
        <w:t>ZHZZ2501020</w:t>
      </w:r>
    </w:p>
    <w:p>
      <w:pPr>
        <w:pStyle w:val="null3"/>
        <w:jc w:val="center"/>
        <w:outlineLvl w:val="3"/>
      </w:pPr>
      <w:r>
        <w:rPr>
          <w:sz w:val="24"/>
          <w:b/>
        </w:rPr>
        <w:t>项目名称：</w:t>
      </w:r>
      <w:r>
        <w:rPr>
          <w:sz w:val="24"/>
          <w:b/>
        </w:rPr>
        <w:t>珠海市生态环境局2025年珠海市地表水国考断面水质研判分析服务采购项目</w:t>
      </w:r>
    </w:p>
    <w:p>
      <w:pPr>
        <w:pStyle w:val="null3"/>
        <w:jc w:val="center"/>
        <w:outlineLvl w:val="3"/>
      </w:pPr>
      <w:r>
        <w:rPr>
          <w:sz w:val="24"/>
          <w:b/>
        </w:rPr>
        <w:t>采购人：</w:t>
      </w:r>
      <w:r>
        <w:rPr>
          <w:sz w:val="24"/>
          <w:b/>
        </w:rPr>
        <w:t>珠海市生态环境局</w:t>
      </w:r>
    </w:p>
    <w:p>
      <w:pPr>
        <w:pStyle w:val="null3"/>
        <w:jc w:val="center"/>
        <w:outlineLvl w:val="3"/>
      </w:pPr>
      <w:r>
        <w:rPr>
          <w:sz w:val="24"/>
          <w:b/>
        </w:rPr>
        <w:t>采购代理机构：</w:t>
      </w:r>
      <w:r>
        <w:rPr>
          <w:sz w:val="24"/>
          <w:b/>
        </w:rPr>
        <w:t>珠海市中正咨询服务有限公司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珠海市中正咨询服务有限公司</w:t>
      </w:r>
      <w:r>
        <w:rPr/>
        <w:t>受</w:t>
      </w:r>
      <w:r>
        <w:rPr/>
        <w:t>珠海市生态环境局</w:t>
      </w:r>
      <w:r>
        <w:rPr/>
        <w:t>的委托，采用</w:t>
      </w:r>
      <w:r>
        <w:rPr/>
        <w:t>公开招标</w:t>
      </w:r>
      <w:r>
        <w:rPr/>
        <w:t>方式组织采购</w:t>
      </w:r>
      <w:r>
        <w:rPr/>
        <w:t>珠海市生态环境局2025年珠海市地表水国考断面水质研判分析服务采购项目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珠海市生态环境局2025年珠海市地表水国考断面水质研判分析服务采购项目</w:t>
      </w:r>
    </w:p>
    <w:p>
      <w:pPr>
        <w:pStyle w:val="null3"/>
        <w:ind w:firstLine="480"/>
      </w:pPr>
      <w:r>
        <w:rPr/>
        <w:t>采购计划编号：</w:t>
      </w:r>
      <w:r>
        <w:rPr/>
        <w:t>440401-2025-02147</w:t>
      </w:r>
    </w:p>
    <w:p>
      <w:pPr>
        <w:pStyle w:val="null3"/>
        <w:ind w:firstLine="480"/>
      </w:pPr>
      <w:r>
        <w:rPr/>
        <w:t>采购项目编号：</w:t>
      </w:r>
      <w:r>
        <w:rPr/>
        <w:t>ZHZZ2501020</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采购包1(珠海市生态环境局2025年珠海市地表水国考断面水质研判分析服务采购项目):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环境科学技术研究服务</w:t>
            </w:r>
          </w:p>
        </w:tc>
        <w:tc>
          <w:tcPr>
            <w:tcW w:type="dxa" w:w="2136"/>
          </w:tcPr>
          <w:p>
            <w:pPr>
              <w:pStyle w:val="null3"/>
            </w:pPr>
            <w:r>
              <w:rPr/>
              <w:t>开展珠海市地表水国考断面水质研判分析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合同履行期限：自合同签订生效之日起至2025年12月31日止。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须提供《资格条件承诺函》，格式须按照本项目附件《资格条件承诺函》格式提供。联合体投标的，联合体成员均需满足，由联合体牵头单位代表联合体各方提供。</w:t>
      </w:r>
    </w:p>
    <w:p>
      <w:pPr>
        <w:pStyle w:val="null3"/>
      </w:pPr>
      <w:r>
        <w:rPr/>
        <w:t>3）具有良好的商业信誉和健全的财务会计制度：投标人须提供《资格条件承诺函》，格式须按照本项目附件《资格条件承诺函》格式提供。联合体投标的，联合体成员均需满足，由联合体牵头单位代表联合体各方提供。</w:t>
      </w:r>
    </w:p>
    <w:p>
      <w:pPr>
        <w:pStyle w:val="null3"/>
      </w:pPr>
      <w:r>
        <w:rPr/>
        <w:t>4）履行合同所必需的设备和专业技术能力：投标人须提供《资格条件承诺函》，格式须按照本项目附件《资格条件承诺函》格式提供。联合体投标的，联合体成员均需满足，由联合体牵头单位代表联合体各方提供。</w:t>
      </w:r>
    </w:p>
    <w:p>
      <w:pPr>
        <w:pStyle w:val="null3"/>
      </w:pPr>
      <w:r>
        <w:rPr/>
        <w:t>5）参加采购活动前3年内，在经营活动中没有重大违法记录：投标人须提供《资格条件承诺函》，格式须按照本项目附件《资格条件承诺函》格式提供。“重大违法”是指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联合体成员均需满足，由联合体牵头单位代表联合体各方提供。</w:t>
      </w:r>
    </w:p>
    <w:p>
      <w:pPr>
        <w:pStyle w:val="null3"/>
        <w:outlineLvl w:val="3"/>
      </w:pPr>
      <w:r>
        <w:rPr>
          <w:sz w:val="24"/>
          <w:b/>
        </w:rPr>
        <w:t>2.落实政府采购政策需满足的资格要求：</w:t>
      </w:r>
    </w:p>
    <w:p>
      <w:pPr>
        <w:pStyle w:val="null3"/>
        <w:jc w:val="left"/>
      </w:pPr>
      <w:r>
        <w:rPr/>
        <w:t>采购包1（珠海市生态环境局2025年珠海市地表水国考断面水质研判分析服务采购项目）：</w:t>
      </w:r>
      <w:r>
        <w:rPr/>
        <w:t>预留份额通过以下措施进行,投标人可选择以下其中一种方式参与：①投标人不属于中小企业的，必须与一家或者多家中小企业组成联合体参与投标，中小企业承担的合同份额占合同金额的比例达到40%以上（其中小微企业承担的合同份额不低于合同金额的28%）。组成联合体的中小企业与联合体内其他企业之间不得存在直接控股、管理关系【提供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②投标人属于中型企业的，必须与一家或者多家小微企业组成联合体参与投标，小微企业承担的合同份额不低于合同金额的28%。组成联合体的中小企业与联合体内其他企业之间不得存在直接控股、管理关系【提供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③投标人属于小微企业的，是否组成联合体投标不作强制要求。【提供全部服务的承接方的《中小企业声明函》或由省级以上监狱管理局、戒毒管理局(含新疆生产建设兵团)出具的承接方属于监狱企业的证明文件或承接方的《残疾人福利性单位声明函》】。如以联合体形式参加本项目，则只能与小微企业以联合体形式参加本项目。组成联合体的中小企业与联合体内其他企业之间不得存在直接控股、管理关系。【提供过联合体共同投标协议书、联合体各方全部服务的承接方的《中小企业声明函》或由省级以上监狱管理局、戒毒管理局(含新疆生产建设兵团)出具的联合体各方的承接方属于监狱企业的证明文件或联合体各方的承接方的《残疾人福利性单位声明函》】。3.联合体成员不得超过3家，《联合体共同投标协议书》格式详见招标公告附件。4.本项目采购标的对应的中小企业划分标准所属行业为其他未列明行业。</w:t>
      </w:r>
    </w:p>
    <w:p>
      <w:pPr>
        <w:pStyle w:val="null3"/>
        <w:outlineLvl w:val="3"/>
      </w:pPr>
      <w:r>
        <w:rPr>
          <w:sz w:val="24"/>
          <w:b/>
        </w:rPr>
        <w:t>3.本项目特定的资格要求：</w:t>
      </w:r>
    </w:p>
    <w:p>
      <w:pPr>
        <w:pStyle w:val="null3"/>
      </w:pPr>
      <w:r>
        <w:rPr/>
        <w:t>采购包1（珠海市生态环境局2025年珠海市地表水国考断面水质研判分析服务采购项目）：</w:t>
      </w:r>
    </w:p>
    <w:p>
      <w:pPr>
        <w:pStyle w:val="null3"/>
      </w:pPr>
      <w:r>
        <w:rPr/>
        <w:t>1)投标人未被列入“信用中国”网站(www.creditchina.gov.cn)以下任意记录名单之一：①失信被执行人；②重大税收违法失信主体；③政府采购严重违法失信行为；投标人不处于中国政府采购网(www.ccgp.gov.cn)“政府采购严重违法失信行为信息记录”中的禁止参加政府采购活动期间。投标人未因篡改、伪造监测数据或出具的环境监测数据失实等被记入“信用中国”网站（www.creditchina.gov.cn）“行政处罚”记录名单。说明：1）由负责资格性审查人员于开标当天在“信用中国”网站（www.creditchina.gov.cn）及中国政府采购网(www.ccgp.gov.cn)查询结果为准。2）采购代理机构同时对信用信息查询记录和证据截图或下载存档。因网站原因导致无法查询信用信息的，视为满足招标文件要求。联合体投标的，联合体成员均需满足。</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珠海市生态环境局</w:t>
      </w:r>
    </w:p>
    <w:p>
      <w:pPr>
        <w:pStyle w:val="null3"/>
        <w:ind w:firstLine="480"/>
      </w:pPr>
      <w:r>
        <w:rPr/>
        <w:t xml:space="preserve"> 地址：</w:t>
      </w:r>
      <w:r>
        <w:rPr/>
        <w:t>珠海市香洲区红宝路97号</w:t>
      </w:r>
    </w:p>
    <w:p>
      <w:pPr>
        <w:pStyle w:val="null3"/>
        <w:ind w:firstLine="480"/>
      </w:pPr>
      <w:r>
        <w:rPr/>
        <w:t xml:space="preserve"> 联系方式：</w:t>
      </w:r>
      <w:r>
        <w:rPr/>
        <w:t>0756-2218761</w:t>
      </w:r>
    </w:p>
    <w:p>
      <w:pPr>
        <w:pStyle w:val="null3"/>
        <w:outlineLvl w:val="3"/>
      </w:pPr>
      <w:r>
        <w:rPr>
          <w:sz w:val="24"/>
          <w:b/>
        </w:rPr>
        <w:t xml:space="preserve"> 2.采购代理机构信息</w:t>
      </w:r>
    </w:p>
    <w:p>
      <w:pPr>
        <w:pStyle w:val="null3"/>
        <w:ind w:firstLine="480"/>
      </w:pPr>
      <w:r>
        <w:rPr/>
        <w:t xml:space="preserve"> 名称：</w:t>
      </w:r>
      <w:r>
        <w:rPr/>
        <w:t>珠海市中正咨询服务有限公司</w:t>
      </w:r>
    </w:p>
    <w:p>
      <w:pPr>
        <w:pStyle w:val="null3"/>
        <w:ind w:firstLine="480"/>
      </w:pPr>
      <w:r>
        <w:rPr/>
        <w:t xml:space="preserve"> 地址：</w:t>
      </w:r>
      <w:r>
        <w:rPr/>
        <w:t>广东省珠海市高新区唐家湾镇香山路88号珠海信息港D栋11层1103室</w:t>
      </w:r>
    </w:p>
    <w:p>
      <w:pPr>
        <w:pStyle w:val="null3"/>
        <w:ind w:firstLine="480"/>
      </w:pPr>
      <w:r>
        <w:rPr/>
        <w:t xml:space="preserve"> 联系方式：</w:t>
      </w:r>
      <w:r>
        <w:rPr/>
        <w:t>0756-3622365，15889895605</w:t>
      </w:r>
    </w:p>
    <w:p>
      <w:pPr>
        <w:pStyle w:val="null3"/>
        <w:outlineLvl w:val="3"/>
      </w:pPr>
      <w:r>
        <w:rPr>
          <w:sz w:val="24"/>
          <w:b/>
        </w:rPr>
        <w:t xml:space="preserve"> 3.项目联系方式</w:t>
      </w:r>
    </w:p>
    <w:p>
      <w:pPr>
        <w:pStyle w:val="null3"/>
        <w:ind w:firstLine="480"/>
      </w:pPr>
      <w:r>
        <w:rPr/>
        <w:t xml:space="preserve"> 项目联系人：</w:t>
      </w:r>
      <w:r>
        <w:rPr/>
        <w:t>马林</w:t>
      </w:r>
    </w:p>
    <w:p>
      <w:pPr>
        <w:pStyle w:val="null3"/>
        <w:ind w:firstLine="480"/>
      </w:pPr>
      <w:r>
        <w:rPr/>
        <w:t xml:space="preserve"> 电话：</w:t>
      </w:r>
      <w:r>
        <w:rPr/>
        <w:t>0756-3622365，15889895605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珠海市中正咨询服务有限公司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（一）项目背景</w:t>
      </w:r>
    </w:p>
    <w:p>
      <w:pPr>
        <w:pStyle w:val="null3"/>
        <w:ind w:firstLine="420"/>
        <w:jc w:val="left"/>
      </w:pPr>
      <w:r>
        <w:rPr>
          <w:sz w:val="21"/>
        </w:rPr>
        <w:t>根据《广东省碧水保卫战行动计划（2021-2025年）》要求，“十四五”期间要以水生态环境质量改善为核心目标，坚持精准治污、科学治污、依法治污，统筹做好水环境、水资源和水生态工作，推动水生态环境质量持续改善。珠海市委、市政府高度重视污染防治攻坚战工作，努力推动珠海市在“十四五”期间实现水环境质量大提升，擦亮珠海海上明珠生态名片，助力全省深入打好水污染防治攻坚战。</w:t>
      </w:r>
    </w:p>
    <w:p>
      <w:pPr>
        <w:pStyle w:val="null3"/>
        <w:ind w:firstLine="420"/>
        <w:jc w:val="left"/>
      </w:pPr>
      <w:r>
        <w:rPr>
          <w:sz w:val="21"/>
        </w:rPr>
        <w:t>2020-2024</w:t>
      </w:r>
      <w:r>
        <w:rPr>
          <w:sz w:val="21"/>
        </w:rPr>
        <w:t>年，珠海市国考断面连续五年水质达标，均完成国家下达考核任务。但近年来，受气象条件和石角咀水闸重建施工等影响，珠海市石角咀水闸国考断面在汛期及部分时段出现水质波动，石角咀水闸断面纳入2024年省重点攻坚国考断面。部分指标无法稳定达标，限制了石角咀水闸及前山河流域其他断面水质稳定提升。</w:t>
      </w:r>
    </w:p>
    <w:p>
      <w:pPr>
        <w:pStyle w:val="null3"/>
        <w:ind w:firstLine="420"/>
        <w:jc w:val="left"/>
      </w:pPr>
      <w:r>
        <w:rPr>
          <w:sz w:val="21"/>
        </w:rPr>
        <w:t>石角咀水闸国考断面位于前山河水道，中珠联围末端，前山水道的出海口地区（珠海境内），水闸外江水位主要受潮位影响。前山河流域河网密布，各河涌纵横交错，相互连通，其河流水系主要由天然河涌和人工开挖的渠道构成，在珠海市境内主要有南屏东路排洪渠等32条渠涌，这些渠涌及周边污水厂等重点源对前山河干流水质造成一定压力。此外，针对鸡啼门、磨刀门流域仍存在的农业面源污染问题，虎跳门流域仍存在的生活面源污染问题，需进一步加强摸排，以确保珠海大桥、尖峰大桥、鸡啼门大桥、西炮台等国考断面水质保持稳定达标。</w:t>
      </w:r>
    </w:p>
    <w:p>
      <w:pPr>
        <w:pStyle w:val="null3"/>
        <w:ind w:firstLine="420"/>
        <w:jc w:val="left"/>
      </w:pPr>
      <w:r>
        <w:rPr>
          <w:sz w:val="21"/>
        </w:rPr>
        <w:t>为深入打好水污染防治攻坚战，贯彻落实《中共中央国务院关于深入打好污染防治攻坚战的意见》要求，攻坚重点国考断面水质达标，持续改善前山河水环境质量，亟需针对目前重点攻坚断面，以水质达标为核心，定期开展重点断面现场摸排和沿程监测，强化断面达标形势研判的技术支撑。</w:t>
      </w:r>
    </w:p>
    <w:p>
      <w:pPr>
        <w:pStyle w:val="null3"/>
        <w:ind w:firstLine="420"/>
        <w:jc w:val="left"/>
      </w:pPr>
      <w:r>
        <w:rPr>
          <w:sz w:val="21"/>
        </w:rPr>
        <w:t>（二）立项依据</w:t>
      </w:r>
    </w:p>
    <w:p>
      <w:pPr>
        <w:pStyle w:val="null3"/>
        <w:ind w:firstLine="420"/>
        <w:jc w:val="left"/>
      </w:pPr>
      <w:r>
        <w:rPr>
          <w:sz w:val="21"/>
        </w:rPr>
        <w:t>（1）《中华人民共和国水污染防治法》</w:t>
      </w:r>
    </w:p>
    <w:p>
      <w:pPr>
        <w:pStyle w:val="null3"/>
        <w:ind w:firstLine="420"/>
        <w:jc w:val="left"/>
      </w:pPr>
      <w:r>
        <w:rPr>
          <w:sz w:val="21"/>
        </w:rPr>
        <w:t>（2）《广东省碧水保卫战行动计划（2021-2025年）》</w:t>
      </w:r>
    </w:p>
    <w:p>
      <w:pPr>
        <w:pStyle w:val="null3"/>
        <w:ind w:firstLine="420"/>
        <w:jc w:val="left"/>
      </w:pPr>
      <w:r>
        <w:rPr>
          <w:sz w:val="21"/>
        </w:rPr>
        <w:t>（3）《广东省2024年水污染防治工作方案》</w:t>
      </w:r>
    </w:p>
    <w:p>
      <w:pPr>
        <w:pStyle w:val="null3"/>
        <w:ind w:firstLine="420"/>
        <w:jc w:val="left"/>
      </w:pPr>
      <w:r>
        <w:rPr>
          <w:sz w:val="21"/>
        </w:rPr>
        <w:t>（4）《前山河流域跨界防洪及河涌水污染综合整治规划珠海部分》</w:t>
      </w:r>
    </w:p>
    <w:p>
      <w:pPr>
        <w:pStyle w:val="null3"/>
        <w:ind w:firstLine="420"/>
        <w:jc w:val="left"/>
      </w:pPr>
      <w:r>
        <w:rPr>
          <w:sz w:val="21"/>
        </w:rPr>
        <w:t>（5）《广东省珠江三角洲水质保护条例》</w:t>
      </w:r>
    </w:p>
    <w:p>
      <w:pPr>
        <w:pStyle w:val="null3"/>
      </w:pPr>
      <w:r>
        <w:rPr>
          <w:sz w:val="21"/>
        </w:rPr>
        <w:t xml:space="preserve">       （6）《珠海经济特区前山河流域管理条例》 </w:t>
      </w:r>
    </w:p>
    <w:p>
      <w:pPr>
        <w:pStyle w:val="null3"/>
      </w:pPr>
      <w:r>
        <w:rPr/>
        <w:t>采购包1（珠海市生态环境局2025年珠海市地表水国考断面水质研判分析服务采购项目）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自合同签订生效之日起至2025年12月31日止。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第1期为(预付款)：支付比例70%，合同签订生效，且采购人收到中标人合法有效发票的五个工作日内办理支付手续，支付合同总额70%的费用。。</w:t>
            </w:r>
          </w:p>
          <w:p>
            <w:pPr>
              <w:pStyle w:val="null3"/>
            </w:pPr>
            <w:r>
              <w:rPr/>
              <w:t>第2期为(进度款)：支付比例25%，2025年7月31日前中标人提交4期前山河流域水环境现场问题排查分析研究简报经采购人审核后，且采购人收到中标人合法有效发票五个工作日内办理支付手续，支付合同总额25%的费用。。</w:t>
            </w:r>
          </w:p>
          <w:p>
            <w:pPr>
              <w:pStyle w:val="null3"/>
            </w:pPr>
            <w:r>
              <w:rPr/>
              <w:t>第3期为(尾款)：支付比例5%，2025年12月10日前中标人提交相关成果并通过采购人组织的验收后，且采购人收到中标人的合法有效发票五个工作日内办理支付手续，支付合同总额5%的费用。。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1.项目成果符合《中华人民共和国水污染防治法》、《广东省碧水保卫战行动计划（2021-2025年）》、《广东省2024年水污染防治工作方案》、《前山河流域跨界防洪及河涌水污染综合整治规划珠海部分》、《广东省珠江三角洲水质保护条例》和《珠海经济特区前山河流域管理条例》等相关标准、规范等技术文件，并通过采购人组织的专家评审。2.通过采购人验收后，中标人将相关资料递交并完成备案。3.验收过程中发生的检验检测费、劳务报酬等费用支出，由采购人支付。对于首次验收不合格，重新验收产生的费用，由中标人承担。在验收期间，中标人的交通、住宿、保险等费用自理。4.完成上述步骤，验收工作完成。5.验收期限：技术服务工作完成并提交成果后，采购人收到中标人验收申请后7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价，总价包干，投标总价为合同总价（含税）。合同总价在采购文件及合同约定的风险范围之内不可调整，亦不因后续法律法规的规定或市场物价的浮动或政府相关部门的指导价的变化而得到调整。合同总价应当包含完成项目所需的所有费用以及采购文件及承包合同约定应当由中标人承担的风险因素等费用，采购人不再另行支付。</w:t>
            </w:r>
          </w:p>
          <w:p>
            <w:pPr>
              <w:pStyle w:val="null3"/>
            </w:pPr>
            <w:r>
              <w:rPr/>
              <w:t>违约责任，1.由于中标人原因导致合同不能继续执行或者中标人单方面终止合同，中标人将采购人已经支付给中标人的合同款返还给采购人（返还的合同款扣除已经履行义务部分的费用），并向采购人支付合同总金额的5%违约金。 2.由于采购人政策变化等原因，合同不能继续执行需终止合同的，中标人将采购人已经支付给中标人的合同款返还给采购人（返还的合同款扣除已经履行义务部分的费用）。 3.中标人提供的服务不符合合同约定的，中标人应在采购人规定的时间内予以整改，中标人整改仍不合格或者拒不整改的，采购人有权解除合同，且视为是由于中标人原因导致的合同不能继续执行，中标人应按上述违约责任1承担违约责任。 4.采购人逾期付款的，每日应向中标人偿付逾期款项的千分之二作为违约金, 最高累计不超过合同总金额的3%。</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环境科学技术研究服务</w:t>
            </w:r>
          </w:p>
        </w:tc>
        <w:tc>
          <w:tcPr>
            <w:tcW w:type="dxa" w:w="933"/>
          </w:tcPr>
          <w:p>
            <w:pPr>
              <w:pStyle w:val="null3"/>
              <w:jc w:val="left"/>
            </w:pPr>
            <w:r>
              <w:rPr/>
              <w:t>开展珠海市地表水国考断面水质研判分析</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开展珠海市地表水国考断面水质研判分析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一、项目工作内容</w:t>
            </w:r>
          </w:p>
          <w:p>
            <w:pPr>
              <w:pStyle w:val="null3"/>
              <w:ind w:firstLine="420"/>
              <w:jc w:val="both"/>
            </w:pPr>
            <w:r>
              <w:rPr>
                <w:sz w:val="21"/>
              </w:rPr>
              <w:t>（一）流域水环境现状调查评估</w:t>
            </w:r>
          </w:p>
          <w:p>
            <w:pPr>
              <w:pStyle w:val="null3"/>
              <w:ind w:firstLine="420"/>
              <w:jc w:val="both"/>
            </w:pPr>
            <w:r>
              <w:rPr>
                <w:sz w:val="21"/>
              </w:rPr>
              <w:t>围绕珠海市“十四五”国控断面水质达标的目标，在综合考虑珠海市前山河、磨刀门水道、鸡啼门水道等流域河网密布，水系复杂，考虑闸控、感潮等影响基础上，采用现状数据与近五年长时间序列历史数据调查收集、整理分析等手段，针对珠海市境内国考断面涉及的流域开展全面水质调查，从时间和空间尺度、水量平衡、污染源核算等方面,并运用相关性分析和随机森林等机器学习方法系统研究流域水环境形势，评估水质现状及变化趋势，聚焦限制前山河流域水质提升的溶解氧、氨氮等指标，深入分析问题成因，技术识别关键污染源区及制约水质提升的主要影响因素。</w:t>
            </w:r>
          </w:p>
          <w:p>
            <w:pPr>
              <w:pStyle w:val="null3"/>
              <w:spacing w:after="120"/>
              <w:ind w:firstLine="420"/>
              <w:jc w:val="both"/>
            </w:pPr>
            <w:r>
              <w:rPr>
                <w:sz w:val="21"/>
              </w:rPr>
              <w:t>通过定期跟踪研判珠海市石角咀水闸、珠海大桥、尖峰大桥、鸡啼门大桥、西炮台等断面水质自动监测站数据，结合水位、流速、流量等水文信息和社会经济、污染源、排污口调查数据，依据水质现状和目标，基于污染源与水质响应关系，从跨界源、工业源、生活源、面源、内源等方面分析污染源贡献，并分析各控制单元的水环境问题及其污染负荷贡献。结合工作评估结果、水体改善潜力和现有工程进展，研判影响水质达标的关键制约问题，重点污染区域与主要支流，并向采购人报告反馈有关问题情况，每月不少于两次。</w:t>
            </w:r>
            <w:r>
              <w:rPr>
                <w:sz w:val="21"/>
              </w:rPr>
              <w:t>2025</w:t>
            </w:r>
            <w:r>
              <w:rPr>
                <w:sz w:val="21"/>
              </w:rPr>
              <w:t>年11月31日前完成此项任务。</w:t>
            </w:r>
          </w:p>
          <w:p>
            <w:pPr>
              <w:pStyle w:val="null3"/>
              <w:ind w:firstLine="420"/>
              <w:jc w:val="both"/>
            </w:pPr>
            <w:r>
              <w:rPr>
                <w:sz w:val="21"/>
              </w:rPr>
              <w:t>（二）现场摸排及跟踪监测</w:t>
            </w:r>
          </w:p>
          <w:p>
            <w:pPr>
              <w:pStyle w:val="null3"/>
              <w:ind w:firstLine="420"/>
              <w:jc w:val="both"/>
            </w:pPr>
            <w:r>
              <w:rPr>
                <w:sz w:val="21"/>
              </w:rPr>
              <w:t>根据评估和发现的主要问题，分批、分片开展现场摸排，技术识别突出问题，形成问题清单，对重点河段、主要支流、重点污染来源进行跟踪监测，实时掌握水质变化情况，为系统分析流域水环境问题提供数据支撑。</w:t>
            </w:r>
          </w:p>
          <w:p>
            <w:pPr>
              <w:pStyle w:val="null3"/>
              <w:ind w:firstLine="420"/>
              <w:jc w:val="both"/>
            </w:pPr>
            <w:r>
              <w:rPr>
                <w:sz w:val="21"/>
              </w:rPr>
              <w:t>在省、市生态环境监测方案已经布置的水源地水质监测、国家和省控环境质量监测断面、污染源监测、黑臭水体等专项监测等有关要求的基础上，结合考虑水系汇流情况、采样可达情况、前山流域现有常规监测断面分布以及问题研判需求等各方面因素，开展重点区域和一般区域两级分区的加密跟踪监测和溯源监测。同时，保障及时开展水质分析，响应采购人视水质情况发布临时性监测任务，常规任务需在</w:t>
            </w:r>
            <w:r>
              <w:rPr>
                <w:sz w:val="21"/>
              </w:rPr>
              <w:t xml:space="preserve"> 48</w:t>
            </w:r>
            <w:r>
              <w:rPr>
                <w:sz w:val="21"/>
              </w:rPr>
              <w:t>小时内完成数据报送，紧急任务需在</w:t>
            </w:r>
            <w:r>
              <w:rPr>
                <w:sz w:val="21"/>
              </w:rPr>
              <w:t>4</w:t>
            </w:r>
            <w:r>
              <w:rPr>
                <w:sz w:val="21"/>
              </w:rPr>
              <w:t>小时内到场进行响应监测（限于常规指标，且不计采样准备时间）。</w:t>
            </w:r>
          </w:p>
          <w:p>
            <w:pPr>
              <w:pStyle w:val="null3"/>
              <w:ind w:firstLine="420"/>
              <w:jc w:val="both"/>
            </w:pPr>
            <w:r>
              <w:rPr>
                <w:sz w:val="21"/>
              </w:rPr>
              <w:t>监测点位初步确定石角咀水闸为珠海市水环境现状分析评估重点断面，对其所在的前山河流域进行干支流的加密跟踪监测（与常规监测任务错时开展）评估，其他</w:t>
            </w:r>
            <w:r>
              <w:rPr>
                <w:sz w:val="21"/>
              </w:rPr>
              <w:t>4</w:t>
            </w:r>
            <w:r>
              <w:rPr>
                <w:sz w:val="21"/>
              </w:rPr>
              <w:t>个国考断面重点针对断面所在干流上下游与进行排查监测（与国省控断面错位开展）。按照问题研判需要，结合现场实际情况，初步选定</w:t>
            </w:r>
            <w:r>
              <w:rPr>
                <w:sz w:val="21"/>
              </w:rPr>
              <w:t>29</w:t>
            </w:r>
            <w:r>
              <w:rPr>
                <w:sz w:val="21"/>
              </w:rPr>
              <w:t>个监测点位：其中包括</w:t>
            </w:r>
            <w:r>
              <w:rPr>
                <w:sz w:val="21"/>
              </w:rPr>
              <w:t>22</w:t>
            </w:r>
            <w:r>
              <w:rPr>
                <w:sz w:val="21"/>
              </w:rPr>
              <w:t>个前山河重要干支流点位（</w:t>
            </w:r>
            <w:r>
              <w:rPr>
                <w:sz w:val="21"/>
              </w:rPr>
              <w:t>18</w:t>
            </w:r>
            <w:r>
              <w:rPr>
                <w:sz w:val="21"/>
              </w:rPr>
              <w:t>个历史排查可能存在汛期污水溢流、水质波动等问题隐患点位，</w:t>
            </w:r>
            <w:r>
              <w:rPr>
                <w:sz w:val="21"/>
              </w:rPr>
              <w:t>4</w:t>
            </w:r>
            <w:r>
              <w:rPr>
                <w:sz w:val="21"/>
              </w:rPr>
              <w:t>个重要干流控制性点位），其他国考断面所在水体重要干支流布设</w:t>
            </w:r>
            <w:r>
              <w:rPr>
                <w:sz w:val="21"/>
              </w:rPr>
              <w:t>7</w:t>
            </w:r>
            <w:r>
              <w:rPr>
                <w:sz w:val="21"/>
              </w:rPr>
              <w:t>个监测点位（国考断面上下游及重要支流出入口，且断面均未国省考断面重合）。</w:t>
            </w:r>
          </w:p>
          <w:p>
            <w:pPr>
              <w:pStyle w:val="null3"/>
              <w:ind w:firstLine="420"/>
              <w:jc w:val="both"/>
            </w:pPr>
            <w:r>
              <w:rPr>
                <w:sz w:val="21"/>
              </w:rPr>
              <w:t>针对鹅咀涌、沙心涌等22条前山河流域主要来水支流及干流情况每月开展不少于1次的现场摸排工作</w:t>
            </w:r>
            <w:r>
              <w:rPr>
                <w:sz w:val="21"/>
              </w:rPr>
              <w:t>，针对珠武涌、南屏西排洪渠、金凤排洪渠、造贝排洪渠等问题较为突出的排洪渠开展上下游的沿程监测，每次沿程监测点位选择不少于</w:t>
            </w:r>
            <w:r>
              <w:rPr>
                <w:sz w:val="21"/>
              </w:rPr>
              <w:t>4</w:t>
            </w:r>
            <w:r>
              <w:rPr>
                <w:sz w:val="21"/>
              </w:rPr>
              <w:t>个</w:t>
            </w:r>
            <w:r>
              <w:rPr>
                <w:sz w:val="21"/>
              </w:rPr>
              <w:t>,</w:t>
            </w:r>
            <w:r>
              <w:rPr>
                <w:sz w:val="21"/>
              </w:rPr>
              <w:t>采集不少于</w:t>
            </w:r>
            <w:r>
              <w:rPr>
                <w:sz w:val="21"/>
              </w:rPr>
              <w:t>8</w:t>
            </w:r>
            <w:r>
              <w:rPr>
                <w:sz w:val="21"/>
              </w:rPr>
              <w:t>个水样。</w:t>
            </w:r>
            <w:r>
              <w:rPr>
                <w:sz w:val="21"/>
              </w:rPr>
              <w:t>每年开展2次针对磨刀门水道、鸡啼门水道、虎跳门水道干流（珠海段）的环境情况调查，2025年6月（汛期）及10月（枯水期）分别开展1次，每次调查在各断面设置1-2个点位，</w:t>
            </w:r>
            <w:r>
              <w:rPr>
                <w:sz w:val="21"/>
              </w:rPr>
              <w:t>每次采集不少于</w:t>
            </w:r>
            <w:r>
              <w:rPr>
                <w:sz w:val="21"/>
              </w:rPr>
              <w:t>4</w:t>
            </w:r>
            <w:r>
              <w:rPr>
                <w:sz w:val="21"/>
              </w:rPr>
              <w:t>个水样，水质样品的采集严格执行《水质监测规范》（</w:t>
            </w:r>
            <w:r>
              <w:rPr>
                <w:sz w:val="21"/>
              </w:rPr>
              <w:t>SL219-98</w:t>
            </w:r>
            <w:r>
              <w:rPr>
                <w:sz w:val="21"/>
              </w:rPr>
              <w:t>）。同时，</w:t>
            </w:r>
            <w:r>
              <w:rPr>
                <w:sz w:val="21"/>
              </w:rPr>
              <w:t>对发现存在水环境问题或风险隐患的河道沿岸进行水样加密监测、对问题排污口进行检测，并抽查区域管网关键节点水质、污水厂进出水水质、企业排水水质，以快检结合自动分析仪器，实时掌握周边来水水质动态；现场快检测定指标为化学需氧量、氨氮、总磷、总氮等，对于快检异常水样（化学需氧量总磷≥40mg/L、氨氮≥2mg/L、总磷≥0.4mg/L或总氮≥5mg/L），将采样送实验室分析化学需氧量、五日生化需氧量、氨氮、总磷、总氮等指标</w:t>
            </w:r>
            <w:r>
              <w:rPr>
                <w:sz w:val="21"/>
              </w:rPr>
              <w:t>，现场采用</w:t>
            </w:r>
            <w:r>
              <w:rPr>
                <w:sz w:val="21"/>
              </w:rPr>
              <w:t>YSI</w:t>
            </w:r>
            <w:r>
              <w:rPr>
                <w:sz w:val="21"/>
              </w:rPr>
              <w:t>测量溶解氧、水温、</w:t>
            </w:r>
            <w:r>
              <w:rPr>
                <w:sz w:val="21"/>
              </w:rPr>
              <w:t>pH</w:t>
            </w:r>
            <w:r>
              <w:rPr>
                <w:sz w:val="21"/>
              </w:rPr>
              <w:t>值等指标，水质样品严格按照《水和废水监测分析方法》规定的方法进行样品冷藏、保存和分析，</w:t>
            </w:r>
            <w:r>
              <w:rPr>
                <w:sz w:val="21"/>
              </w:rPr>
              <w:t>复核现场测定结果，通过排查监测，主动服务，从技术方面及时发现流域相关问题，并及时汇总相关情况和水质分析结果，每月形成前山河流域水环境现场问题排查分析研究报告，年底形成珠海市国考断面水环境问题及断面水质提升分析研究报告，支撑采购人决策和调度。</w:t>
            </w:r>
          </w:p>
          <w:p>
            <w:pPr>
              <w:pStyle w:val="null3"/>
              <w:ind w:firstLine="420"/>
              <w:jc w:val="both"/>
            </w:pPr>
            <w:r>
              <w:rPr>
                <w:sz w:val="21"/>
              </w:rPr>
              <w:t>在充分调研、收集、分析流域干支流水质相关数据，形成排查问题图册及清单，以“一图一表”为基础，结合自动站监测数据水质情况和重点工程进度，评估存在的问题，协助珠海市制定并细化达标攻坚行动计划任务清单；依托细化清单倒排工期，定期排查，为采购人开展水环境情势和达标攻坚态势分析提供技术支撑，服务珠海市系统、科学、精准治污与断面水质提升。</w:t>
            </w:r>
            <w:r>
              <w:rPr>
                <w:sz w:val="21"/>
              </w:rPr>
              <w:t>2025</w:t>
            </w:r>
            <w:r>
              <w:rPr>
                <w:sz w:val="21"/>
              </w:rPr>
              <w:t>年11月31日前完成此项任务，并提交珠海市前山河流域现场调研水环境问题台账。</w:t>
            </w:r>
          </w:p>
          <w:p>
            <w:pPr>
              <w:pStyle w:val="null3"/>
              <w:jc w:val="center"/>
            </w:pPr>
            <w:r>
              <w:rPr>
                <w:sz w:val="21"/>
                <w:b/>
              </w:rPr>
              <w:t>珠海市重点排查区域干支流跟踪监测要求</w:t>
            </w:r>
          </w:p>
          <w:tbl>
            <w:tblPr>
              <w:tblBorders>
                <w:top w:val="none" w:color="000000" w:sz="4"/>
                <w:left w:val="none" w:color="000000" w:sz="4"/>
                <w:bottom w:val="none" w:color="000000" w:sz="4"/>
                <w:right w:val="none" w:color="000000" w:sz="4"/>
                <w:insideH w:val="none"/>
                <w:insideV w:val="none"/>
              </w:tblBorders>
            </w:tblPr>
            <w:tblGrid>
              <w:gridCol w:w="800"/>
              <w:gridCol w:w="347"/>
              <w:gridCol w:w="1439"/>
              <w:gridCol w:w="776"/>
              <w:gridCol w:w="674"/>
              <w:gridCol w:w="755"/>
              <w:gridCol w:w="807"/>
            </w:tblGrid>
            <w:tr>
              <w:tc>
                <w:tcPr>
                  <w:tcW w:type="dxa" w:w="80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所属河段</w:t>
                  </w:r>
                </w:p>
              </w:tc>
              <w:tc>
                <w:tcPr>
                  <w:tcW w:type="dxa" w:w="14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断面名称</w:t>
                  </w:r>
                </w:p>
              </w:tc>
              <w:tc>
                <w:tcPr>
                  <w:tcW w:type="dxa" w:w="7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断面属性</w:t>
                  </w:r>
                </w:p>
              </w:tc>
              <w:tc>
                <w:tcPr>
                  <w:tcW w:type="dxa" w:w="6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区域分级</w:t>
                  </w:r>
                </w:p>
              </w:tc>
              <w:tc>
                <w:tcPr>
                  <w:tcW w:type="dxa" w:w="1562"/>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水质监测</w:t>
                  </w:r>
                </w:p>
              </w:tc>
            </w:tr>
            <w:tr>
              <w:tc>
                <w:tcPr>
                  <w:tcW w:type="dxa" w:w="800"/>
                  <w:vMerge/>
                  <w:tcBorders>
                    <w:top w:val="single" w:color="000000" w:sz="4"/>
                    <w:left w:val="singl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1439"/>
                  <w:vMerge/>
                  <w:tcBorders>
                    <w:top w:val="single" w:color="000000" w:sz="4"/>
                    <w:left w:val="none" w:color="000000" w:sz="4"/>
                    <w:bottom w:val="single" w:color="000000" w:sz="4"/>
                    <w:right w:val="single" w:color="000000" w:sz="4"/>
                  </w:tcBorders>
                </w:tcPr>
                <w:p/>
              </w:tc>
              <w:tc>
                <w:tcPr>
                  <w:tcW w:type="dxa" w:w="776"/>
                  <w:vMerge/>
                  <w:tcBorders>
                    <w:top w:val="single" w:color="000000" w:sz="4"/>
                    <w:left w:val="none" w:color="000000" w:sz="4"/>
                    <w:bottom w:val="single" w:color="000000" w:sz="4"/>
                    <w:right w:val="single" w:color="000000" w:sz="4"/>
                  </w:tcBorders>
                </w:tcPr>
                <w:p/>
              </w:tc>
              <w:tc>
                <w:tcPr>
                  <w:tcW w:type="dxa" w:w="674"/>
                  <w:vMerge/>
                  <w:tcBorders>
                    <w:top w:val="single" w:color="000000" w:sz="4"/>
                    <w:left w:val="non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监测频率</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监测指标</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前山河</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前山大桥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重点区域</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每月至少</w:t>
                  </w:r>
                  <w:r>
                    <w:rPr>
                      <w:sz w:val="21"/>
                      <w:b/>
                    </w:rPr>
                    <w:t>1</w:t>
                  </w:r>
                  <w:r>
                    <w:rPr>
                      <w:sz w:val="21"/>
                      <w:b/>
                    </w:rPr>
                    <w:t>次</w:t>
                  </w:r>
                </w:p>
                <w:p>
                  <w:pPr>
                    <w:pStyle w:val="null3"/>
                    <w:ind w:firstLine="361"/>
                    <w:jc w:val="center"/>
                  </w:pPr>
                </w:p>
              </w:tc>
              <w:tc>
                <w:tcPr>
                  <w:tcW w:type="dxa" w:w="8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水温、</w:t>
                  </w:r>
                  <w:r>
                    <w:rPr>
                      <w:sz w:val="21"/>
                      <w:b/>
                    </w:rPr>
                    <w:t>pH</w:t>
                  </w:r>
                  <w:r>
                    <w:rPr>
                      <w:sz w:val="21"/>
                      <w:b/>
                    </w:rPr>
                    <w:t>、溶解氧、化学需氧量、五日生化需氧量、总氮、氨氮、总磷</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南屏大桥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沙心涌</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中山桥（金斗大桥）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5</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鹅咀涌上下游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支流河涌</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6</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南屏西排洪渠上下游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7</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南屏中排洪渠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8</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南屏东排洪渠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9</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造贝排洪渠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10</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中海滨河湾排洪渠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白石路排洪渠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北山村排洪渠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13</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东桥村排洪渠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14</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白石桥下排洪渠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15</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桂花路排洪渠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16</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广昌涌</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支流河涌</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17</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珠武涌上、下游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支流河涌</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18</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永二涌排洪渠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19</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下界涌排洪渠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20</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沥溪排洪渠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21</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金凤排洪渠上、下游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22</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格力仓库珠中市界</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23</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尖峰大桥</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尖峰大桥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一般断面</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一年</w:t>
                  </w:r>
                  <w:r>
                    <w:rPr>
                      <w:sz w:val="21"/>
                      <w:b/>
                    </w:rPr>
                    <w:t>2</w:t>
                  </w:r>
                  <w:r>
                    <w:rPr>
                      <w:sz w:val="21"/>
                      <w:b/>
                    </w:rPr>
                    <w:t>次（汛期、枯水期各</w:t>
                  </w:r>
                  <w:r>
                    <w:rPr>
                      <w:sz w:val="21"/>
                      <w:b/>
                    </w:rPr>
                    <w:t>1</w:t>
                  </w:r>
                  <w:r>
                    <w:rPr>
                      <w:sz w:val="21"/>
                      <w:b/>
                    </w:rPr>
                    <w:t>次）</w:t>
                  </w:r>
                </w:p>
                <w:p>
                  <w:pPr>
                    <w:pStyle w:val="null3"/>
                    <w:ind w:firstLine="361"/>
                    <w:jc w:val="center"/>
                  </w:pPr>
                </w:p>
              </w:tc>
              <w:tc>
                <w:tcPr>
                  <w:tcW w:type="dxa" w:w="8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水温、</w:t>
                  </w:r>
                  <w:r>
                    <w:rPr>
                      <w:sz w:val="21"/>
                      <w:b/>
                    </w:rPr>
                    <w:t>pH</w:t>
                  </w:r>
                  <w:r>
                    <w:rPr>
                      <w:sz w:val="21"/>
                      <w:b/>
                    </w:rPr>
                    <w:t>、溶解氧、化学需氧量、五日生化需氧量、总氮、氨氮、总磷</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24</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尖峰大桥上游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25</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鸡啼门大桥</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鸡啼门大桥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26</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鸡啼门大桥上游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27</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珠海大桥</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珠海大桥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28</w:t>
                  </w:r>
                </w:p>
              </w:tc>
              <w:tc>
                <w:tcPr>
                  <w:tcW w:type="dxa" w:w="347"/>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珠海大桥上游</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西炮台</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西炮台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674"/>
                  <w:vMerge/>
                  <w:tcBorders>
                    <w:top w:val="none" w:color="000000" w:sz="4"/>
                    <w:left w:val="none" w:color="000000" w:sz="4"/>
                    <w:bottom w:val="single" w:color="000000" w:sz="4"/>
                    <w:right w:val="single" w:color="000000" w:sz="4"/>
                  </w:tcBorders>
                </w:tcPr>
                <w:p/>
              </w:tc>
              <w:tc>
                <w:tcPr>
                  <w:tcW w:type="dxa" w:w="755"/>
                  <w:vMerge/>
                  <w:tcBorders>
                    <w:top w:val="none" w:color="000000" w:sz="4"/>
                    <w:left w:val="none" w:color="000000" w:sz="4"/>
                    <w:bottom w:val="single" w:color="000000" w:sz="4"/>
                    <w:right w:val="single" w:color="000000" w:sz="4"/>
                  </w:tcBorders>
                </w:tcPr>
                <w:p/>
              </w:tc>
              <w:tc>
                <w:tcPr>
                  <w:tcW w:type="dxa" w:w="807"/>
                  <w:vMerge/>
                  <w:tcBorders>
                    <w:top w:val="none" w:color="000000" w:sz="4"/>
                    <w:left w:val="none" w:color="000000" w:sz="4"/>
                    <w:bottom w:val="single" w:color="000000" w:sz="4"/>
                    <w:right w:val="single" w:color="000000" w:sz="4"/>
                  </w:tcBorders>
                </w:tcPr>
                <w:p/>
              </w:tc>
            </w:tr>
          </w:tbl>
          <w:p>
            <w:pPr>
              <w:pStyle w:val="null3"/>
              <w:ind w:firstLine="420"/>
              <w:jc w:val="both"/>
            </w:pPr>
            <w:r>
              <w:rPr>
                <w:sz w:val="21"/>
              </w:rPr>
              <w:t>（三）突出水环境问题技术识别及对策建议</w:t>
            </w:r>
          </w:p>
          <w:p>
            <w:pPr>
              <w:pStyle w:val="null3"/>
              <w:ind w:firstLine="420"/>
              <w:jc w:val="both"/>
            </w:pPr>
            <w:r>
              <w:rPr>
                <w:sz w:val="21"/>
              </w:rPr>
              <w:t>在摸排、监测、溯源的基础上，结合水质、污染源分析，聚焦“最痛点”，动态分析重点断面达标形势。采用数学分析法进行定量评价，结合文字分析与描述数学分析法，在分析干流、支流沿程水质变化情况、干支流间的水质联动关系的基础上，注重降雨、基流、潮位、工程污染物削减量等指标对国考断面主要水质指标的影响技术分析，深入挖掘数据，动态分析，找出对各个水质指标的标准指数从大到小排序，排在前</w:t>
            </w:r>
            <w:r>
              <w:rPr>
                <w:sz w:val="21"/>
              </w:rPr>
              <w:t>3</w:t>
            </w:r>
            <w:r>
              <w:rPr>
                <w:sz w:val="21"/>
              </w:rPr>
              <w:t>位的污染物可作为该控制单元的首要污染物（如溶解氧的标准指数较大，可将</w:t>
            </w:r>
            <w:r>
              <w:rPr>
                <w:sz w:val="21"/>
              </w:rPr>
              <w:t>COD</w:t>
            </w:r>
            <w:r>
              <w:rPr>
                <w:sz w:val="21"/>
              </w:rPr>
              <w:t>、氨氮等列入首要污染物），并从技术角度提出国考断面所在水体水质达标的最新形势、短板问题和应抓好的最关键治理措施建议。</w:t>
            </w:r>
          </w:p>
          <w:p>
            <w:pPr>
              <w:pStyle w:val="null3"/>
              <w:ind w:firstLine="420"/>
              <w:jc w:val="both"/>
            </w:pPr>
            <w:r>
              <w:rPr>
                <w:sz w:val="21"/>
              </w:rPr>
              <w:t>针对石角咀水闸断面汛期溶解氧不达标的现实问题，从科学的角度进行低氧问题的技术分析，如断面发生藻类异常增值现象，适当开展水生态环境水华及藻类补充监测，分析水华和生源物质、水动力、气象指标的关联性，定量解析前山河叶绿素</w:t>
            </w:r>
            <w:r>
              <w:rPr>
                <w:sz w:val="21"/>
              </w:rPr>
              <w:t>a</w:t>
            </w:r>
            <w:r>
              <w:rPr>
                <w:sz w:val="21"/>
              </w:rPr>
              <w:t>（</w:t>
            </w:r>
            <w:r>
              <w:rPr>
                <w:sz w:val="21"/>
              </w:rPr>
              <w:t>Chl-a</w:t>
            </w:r>
            <w:r>
              <w:rPr>
                <w:sz w:val="21"/>
              </w:rPr>
              <w:t>）、营养盐、水温、流速以及水生生物变化规律，探讨前山河藻类异常增殖机理。根据必要性开展底泥内源释放研究分析，采集石角咀干支流主要污染河段底泥样品</w:t>
            </w:r>
            <w:r>
              <w:rPr>
                <w:sz w:val="21"/>
              </w:rPr>
              <w:t>(</w:t>
            </w:r>
            <w:r>
              <w:rPr>
                <w:sz w:val="21"/>
              </w:rPr>
              <w:t>柱样</w:t>
            </w:r>
            <w:r>
              <w:rPr>
                <w:sz w:val="21"/>
              </w:rPr>
              <w:t>)</w:t>
            </w:r>
            <w:r>
              <w:rPr>
                <w:sz w:val="21"/>
              </w:rPr>
              <w:t>，开展底泥营养盐释放实验研究，核算泥水交界断面营养盐迁移转化通量，分析其对支流污染负荷贡献，同时为环保清淤提供数据支撑。根据必要性开展泥水界面污染物释放研究，确定环保疏浚的范围，每条河涌按照淤积情况，采集底泥样品，剩余底泥用于污染物释放试验，主要分析指标为物理指标</w:t>
            </w:r>
            <w:r>
              <w:rPr>
                <w:sz w:val="21"/>
              </w:rPr>
              <w:t>(</w:t>
            </w:r>
            <w:r>
              <w:rPr>
                <w:sz w:val="21"/>
              </w:rPr>
              <w:t>含水率、容重、</w:t>
            </w:r>
            <w:r>
              <w:rPr>
                <w:sz w:val="21"/>
              </w:rPr>
              <w:t>pH</w:t>
            </w:r>
            <w:r>
              <w:rPr>
                <w:sz w:val="21"/>
              </w:rPr>
              <w:t>值、氧化还原电位</w:t>
            </w:r>
            <w:r>
              <w:rPr>
                <w:sz w:val="21"/>
              </w:rPr>
              <w:t>),</w:t>
            </w:r>
            <w:r>
              <w:rPr>
                <w:sz w:val="21"/>
              </w:rPr>
              <w:t>营养物</w:t>
            </w:r>
            <w:r>
              <w:rPr>
                <w:sz w:val="21"/>
              </w:rPr>
              <w:t>(</w:t>
            </w:r>
            <w:r>
              <w:rPr>
                <w:sz w:val="21"/>
              </w:rPr>
              <w:t>总氮</w:t>
            </w:r>
            <w:r>
              <w:rPr>
                <w:sz w:val="21"/>
              </w:rPr>
              <w:t>(TN)</w:t>
            </w:r>
            <w:r>
              <w:rPr>
                <w:sz w:val="21"/>
              </w:rPr>
              <w:t>、总磷</w:t>
            </w:r>
            <w:r>
              <w:rPr>
                <w:sz w:val="21"/>
              </w:rPr>
              <w:t>(TP)</w:t>
            </w:r>
            <w:r>
              <w:rPr>
                <w:sz w:val="21"/>
              </w:rPr>
              <w:t>，有机质</w:t>
            </w:r>
            <w:r>
              <w:rPr>
                <w:sz w:val="21"/>
              </w:rPr>
              <w:t>(OM),</w:t>
            </w:r>
            <w:r>
              <w:rPr>
                <w:sz w:val="21"/>
              </w:rPr>
              <w:t>氮形态及磷形态</w:t>
            </w:r>
            <w:r>
              <w:rPr>
                <w:sz w:val="21"/>
              </w:rPr>
              <w:t>)</w:t>
            </w:r>
            <w:r>
              <w:rPr>
                <w:sz w:val="21"/>
              </w:rPr>
              <w:t>和重金属</w:t>
            </w:r>
            <w:r>
              <w:rPr>
                <w:sz w:val="21"/>
              </w:rPr>
              <w:t>(Hg</w:t>
            </w:r>
            <w:r>
              <w:rPr>
                <w:sz w:val="21"/>
              </w:rPr>
              <w:t>、</w:t>
            </w:r>
            <w:r>
              <w:rPr>
                <w:sz w:val="21"/>
              </w:rPr>
              <w:t>As</w:t>
            </w:r>
            <w:r>
              <w:rPr>
                <w:sz w:val="21"/>
              </w:rPr>
              <w:t>、</w:t>
            </w:r>
            <w:r>
              <w:rPr>
                <w:sz w:val="21"/>
              </w:rPr>
              <w:t>Pb</w:t>
            </w:r>
            <w:r>
              <w:rPr>
                <w:sz w:val="21"/>
              </w:rPr>
              <w:t>、</w:t>
            </w:r>
            <w:r>
              <w:rPr>
                <w:sz w:val="21"/>
              </w:rPr>
              <w:t>Cu</w:t>
            </w:r>
            <w:r>
              <w:rPr>
                <w:sz w:val="21"/>
              </w:rPr>
              <w:t>、</w:t>
            </w:r>
            <w:r>
              <w:rPr>
                <w:sz w:val="21"/>
              </w:rPr>
              <w:t>Ni</w:t>
            </w:r>
            <w:r>
              <w:rPr>
                <w:sz w:val="21"/>
              </w:rPr>
              <w:t>、</w:t>
            </w:r>
            <w:r>
              <w:rPr>
                <w:sz w:val="21"/>
              </w:rPr>
              <w:t>Zn</w:t>
            </w:r>
            <w:r>
              <w:rPr>
                <w:sz w:val="21"/>
              </w:rPr>
              <w:t>、</w:t>
            </w:r>
            <w:r>
              <w:rPr>
                <w:sz w:val="21"/>
              </w:rPr>
              <w:t xml:space="preserve">Cr </w:t>
            </w:r>
            <w:r>
              <w:rPr>
                <w:sz w:val="21"/>
              </w:rPr>
              <w:t>和</w:t>
            </w:r>
            <w:r>
              <w:rPr>
                <w:sz w:val="21"/>
              </w:rPr>
              <w:t xml:space="preserve"> Cd</w:t>
            </w:r>
            <w:r>
              <w:rPr>
                <w:sz w:val="21"/>
              </w:rPr>
              <w:t>等</w:t>
            </w:r>
            <w:r>
              <w:rPr>
                <w:sz w:val="21"/>
              </w:rPr>
              <w:t>)</w:t>
            </w:r>
            <w:r>
              <w:rPr>
                <w:sz w:val="21"/>
              </w:rPr>
              <w:t>。针对间隙水样品进行分析测试的营养物指标</w:t>
            </w:r>
            <w:r>
              <w:rPr>
                <w:sz w:val="21"/>
              </w:rPr>
              <w:t>:</w:t>
            </w:r>
            <w:r>
              <w:rPr>
                <w:sz w:val="21"/>
              </w:rPr>
              <w:t>总氮</w:t>
            </w:r>
            <w:r>
              <w:rPr>
                <w:sz w:val="21"/>
              </w:rPr>
              <w:t>(TN)</w:t>
            </w:r>
            <w:r>
              <w:rPr>
                <w:sz w:val="21"/>
              </w:rPr>
              <w:t>、总磷</w:t>
            </w:r>
            <w:r>
              <w:rPr>
                <w:sz w:val="21"/>
              </w:rPr>
              <w:t>(TP)</w:t>
            </w:r>
            <w:r>
              <w:rPr>
                <w:sz w:val="21"/>
              </w:rPr>
              <w:t>、氨氮</w:t>
            </w:r>
            <w:r>
              <w:rPr>
                <w:sz w:val="21"/>
              </w:rPr>
              <w:t>(NH*-N)</w:t>
            </w:r>
            <w:r>
              <w:rPr>
                <w:sz w:val="21"/>
              </w:rPr>
              <w:t>、无机磷</w:t>
            </w:r>
            <w:r>
              <w:rPr>
                <w:sz w:val="21"/>
              </w:rPr>
              <w:t>(IP)</w:t>
            </w:r>
            <w:r>
              <w:rPr>
                <w:sz w:val="21"/>
              </w:rPr>
              <w:t>。此外，对于工程效益评估，可考虑视情况建立干流</w:t>
            </w:r>
            <w:r>
              <w:rPr>
                <w:sz w:val="21"/>
              </w:rPr>
              <w:t>-</w:t>
            </w:r>
            <w:r>
              <w:rPr>
                <w:sz w:val="21"/>
              </w:rPr>
              <w:t>支流、工程</w:t>
            </w:r>
            <w:r>
              <w:rPr>
                <w:sz w:val="21"/>
              </w:rPr>
              <w:t>-</w:t>
            </w:r>
            <w:r>
              <w:rPr>
                <w:sz w:val="21"/>
              </w:rPr>
              <w:t>水质之间的响应关系，评估不同情景下上下游、干支流对国考断面所在水体的污染贡献、工程的减排效益，科学优化组合流域截污治污、河道清淤与生态修复等整治项目，完善重点整治工程年度实施计划，保障每项工程“有内容、有地点、有期限、有概算、有责任人”做到系统治理、有机衔接、因地制宜，用最合理的资金投入与最短的时间实现最大的水质改善效果。全方位深入地技术识别影响珠海市国考断面水质稳定的深层次瓶颈及原因，并提出对策建议和研判分析技术支撑报告，支撑珠海科学精准治污决策。</w:t>
            </w:r>
            <w:r>
              <w:rPr>
                <w:sz w:val="21"/>
              </w:rPr>
              <w:t>2025</w:t>
            </w:r>
            <w:r>
              <w:rPr>
                <w:sz w:val="21"/>
              </w:rPr>
              <w:t>年11月31日前完成此项任务，并每半月至少提交</w:t>
            </w:r>
            <w:r>
              <w:rPr>
                <w:sz w:val="21"/>
              </w:rPr>
              <w:t>前山河流域水环境现场问题排查分析研究简报，年底提交</w:t>
            </w:r>
            <w:r>
              <w:rPr>
                <w:sz w:val="21"/>
              </w:rPr>
              <w:t>1</w:t>
            </w:r>
            <w:r>
              <w:rPr>
                <w:sz w:val="21"/>
              </w:rPr>
              <w:t>份珠海市国考断面水环境问题及断面水质提升分析研究报告与至少</w:t>
            </w:r>
            <w:r>
              <w:rPr>
                <w:sz w:val="21"/>
              </w:rPr>
              <w:t>12</w:t>
            </w:r>
            <w:r>
              <w:rPr>
                <w:sz w:val="21"/>
              </w:rPr>
              <w:t>份排查分析研究简报</w:t>
            </w:r>
            <w:r>
              <w:rPr>
                <w:sz w:val="21"/>
              </w:rPr>
              <w:t>。</w:t>
            </w:r>
          </w:p>
          <w:p>
            <w:pPr>
              <w:pStyle w:val="null3"/>
              <w:ind w:firstLine="422"/>
              <w:jc w:val="both"/>
            </w:pPr>
            <w:r>
              <w:rPr>
                <w:sz w:val="21"/>
                <w:b/>
              </w:rPr>
              <w:t>二、项目成果要求</w:t>
            </w:r>
          </w:p>
          <w:p>
            <w:pPr>
              <w:pStyle w:val="null3"/>
              <w:ind w:firstLine="420"/>
              <w:jc w:val="both"/>
            </w:pPr>
            <w:r>
              <w:rPr>
                <w:sz w:val="21"/>
              </w:rPr>
              <w:t>合同签订生效后，2025年每月底提交前山河流域水环境现场问题排查分析研究简报；</w:t>
            </w:r>
          </w:p>
          <w:p>
            <w:pPr>
              <w:pStyle w:val="null3"/>
              <w:ind w:firstLine="420"/>
              <w:jc w:val="both"/>
            </w:pPr>
            <w:r>
              <w:rPr>
                <w:sz w:val="21"/>
              </w:rPr>
              <w:t>2025</w:t>
            </w:r>
            <w:r>
              <w:rPr>
                <w:sz w:val="21"/>
              </w:rPr>
              <w:t>年12月10日前按采购人要求提交相关成果，提交以下报告电子版与纸质版：</w:t>
            </w:r>
          </w:p>
          <w:p>
            <w:pPr>
              <w:pStyle w:val="null3"/>
              <w:ind w:firstLine="420"/>
              <w:jc w:val="both"/>
            </w:pPr>
            <w:r>
              <w:rPr>
                <w:sz w:val="21"/>
              </w:rPr>
              <w:t>（1）《</w:t>
            </w:r>
            <w:r>
              <w:rPr>
                <w:sz w:val="21"/>
              </w:rPr>
              <w:t>前山河流域水环境现场问题排查分析研究简报</w:t>
            </w:r>
            <w:r>
              <w:rPr>
                <w:sz w:val="21"/>
              </w:rPr>
              <w:t>》12份；</w:t>
            </w:r>
          </w:p>
          <w:p>
            <w:pPr>
              <w:pStyle w:val="null3"/>
              <w:ind w:firstLine="420"/>
              <w:jc w:val="both"/>
            </w:pPr>
            <w:r>
              <w:rPr>
                <w:sz w:val="21"/>
              </w:rPr>
              <w:t>（2）《珠海市国考断面水质研判技术报告及对策建议报告》1份；</w:t>
            </w:r>
          </w:p>
          <w:p>
            <w:pPr>
              <w:pStyle w:val="null3"/>
              <w:ind w:firstLine="420"/>
              <w:jc w:val="both"/>
            </w:pPr>
            <w:r>
              <w:rPr>
                <w:sz w:val="21"/>
              </w:rPr>
              <w:t>（3）《珠海市前山河流域现场调研水环境问题台账》1份；</w:t>
            </w:r>
          </w:p>
          <w:p>
            <w:pPr>
              <w:pStyle w:val="null3"/>
              <w:ind w:firstLine="420"/>
              <w:jc w:val="both"/>
            </w:pPr>
            <w:r>
              <w:rPr>
                <w:sz w:val="21"/>
              </w:rPr>
              <w:t>（4）提供不少于3分钟的宣传视频；</w:t>
            </w:r>
          </w:p>
          <w:p>
            <w:pPr>
              <w:pStyle w:val="null3"/>
            </w:pPr>
            <w:r>
              <w:rPr>
                <w:sz w:val="21"/>
              </w:rPr>
              <w:t xml:space="preserve">       （5）制作整理宣传册。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1.采购代理机构：本项目是指珠海市中正咨询服务有限公司，负责整个采购活动的组织，依法负责编制和发布招标文件，对招标文件拥有最终的解释权，不以任何身份出任评标委员会成员。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本项目的中标金额作为采购代理服务费的计算基数。中标金额的各部分费率如下：中标金额人民币100万元以下部分的服务招标费率为1.8%；中标金额人民币100-500万元部分的服务招标费率为0.96%；500～1000万元部分的服务招标费率为0.54%；按差额累进法计算后的金额收取。采购代理服务费低于5000元的按照5000元计算。2.采购代理服务费由中标人向采购代理机构支付，中标人在《付款通知书》发出后三日内缴纳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20分钟，具体时长以开标工作人员根据现场情况设置为准。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珠海市中正咨询服务有限公司</w:t>
      </w:r>
      <w:r>
        <w:rPr/>
        <w:t>代收。具体操作要求详见</w:t>
      </w:r>
      <w:r>
        <w:rPr/>
        <w:t>珠海市中正咨询服务有限公司</w:t>
      </w:r>
      <w:r>
        <w:rPr/>
        <w:t>有关指引，递交事宜请自行咨询</w:t>
      </w:r>
      <w:r>
        <w:rPr/>
        <w:t>珠海市中正咨询服务有限公司</w:t>
      </w:r>
      <w:r>
        <w:rPr/>
        <w:t>；请各投标人在投标文件递交截止时间前按须知前附表规定的金额递交至</w:t>
      </w:r>
      <w:r>
        <w:rPr/>
        <w:t>珠海市中正咨询服务有限公司</w:t>
      </w:r>
      <w:r>
        <w:rPr/>
        <w:t>，到账情况以开标时</w:t>
      </w:r>
      <w:r>
        <w:rPr/>
        <w:t>珠海市中正咨询服务有限公司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马林</w:t>
      </w:r>
    </w:p>
    <w:p>
      <w:pPr>
        <w:pStyle w:val="null3"/>
        <w:ind w:firstLine="480"/>
      </w:pPr>
      <w:r>
        <w:rPr/>
        <w:t>电话：</w:t>
      </w:r>
      <w:r>
        <w:rPr/>
        <w:t>15889895605</w:t>
      </w:r>
    </w:p>
    <w:p>
      <w:pPr>
        <w:pStyle w:val="null3"/>
        <w:ind w:firstLine="480"/>
      </w:pPr>
      <w:r>
        <w:rPr/>
        <w:t>传真：</w:t>
      </w:r>
      <w:r>
        <w:rPr/>
        <w:t>-</w:t>
      </w:r>
    </w:p>
    <w:p>
      <w:pPr>
        <w:pStyle w:val="null3"/>
        <w:ind w:firstLine="480"/>
      </w:pPr>
      <w:r>
        <w:rPr/>
        <w:t>邮箱：</w:t>
      </w:r>
      <w:r>
        <w:rPr/>
        <w:t>45727342@qq.com</w:t>
      </w:r>
    </w:p>
    <w:p>
      <w:pPr>
        <w:pStyle w:val="null3"/>
        <w:ind w:firstLine="480"/>
      </w:pPr>
      <w:r>
        <w:rPr/>
        <w:t>地址：</w:t>
      </w:r>
      <w:r>
        <w:rPr/>
        <w:t>广东省珠海市高新区唐家湾镇香山路88号珠海信息港D栋11层1103室</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址：珠海市香洲区银桦路102号珠海优特科技大厦B座702室</w:t>
      </w:r>
    </w:p>
    <w:p>
      <w:pPr>
        <w:pStyle w:val="null3"/>
      </w:pPr>
      <w:r>
        <w:rPr/>
        <w:t>电 话：0756-2602078、2653852</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珠海市生态环境局2025年珠海市地表水国考断面水质研判分析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珠海市中正咨询服务有限公司</w:t>
      </w:r>
      <w:r>
        <w:rPr/>
        <w:t>统一对外发布。</w:t>
      </w:r>
    </w:p>
    <w:p>
      <w:pPr>
        <w:pStyle w:val="null3"/>
        <w:ind w:firstLine="480"/>
      </w:pPr>
      <w:r>
        <w:rPr/>
        <w:t>（2）对</w:t>
      </w:r>
      <w:r>
        <w:rPr/>
        <w:t>珠海市中正咨询服务有限公司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采购包1（珠海市生态环境局2025年珠海市地表水国考断面水质研判分析服务采购项目）：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采购包1（珠海市生态环境局2025年珠海市地表水国考断面水质研判分析服务采购项目）：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投标人须提供《资格条件承诺函》，格式须按照本项目附件《资格条件承诺函》格式提供。联合体投标的，联合体成员均需满足，由联合体牵头单位代表联合体各方提供。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投标人须提供《资格条件承诺函》，格式须按照本项目附件《资格条件承诺函》格式提供。联合体投标的，联合体成员均需满足，由联合体牵头单位代表联合体各方提供。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投标人须提供《资格条件承诺函》，格式须按照本项目附件《资格条件承诺函》格式提供。联合体投标的，联合体成员均需满足，由联合体牵头单位代表联合体各方提供。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须提供《资格条件承诺函》，格式须按照本项目附件《资格条件承诺函》格式提供。“重大违法”是指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联合体成员均需满足，由联合体牵头单位代表联合体各方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意记录名单之一：①失信被执行人；②重大税收违法失信主体；③政府采购严重违法失信行为；投标人不处于中国政府采购网(www.ccgp.gov.cn)“政府采购严重违法失信行为信息记录”中的禁止参加政府采购活动期间。投标人未因篡改、伪造监测数据或出具的环境监测数据失实等被记入“信用中国”网站（www.creditchina.gov.cn）“行政处罚”记录名单。说明：1）由负责资格性审查人员于开标当天在“信用中国”网站（www.creditchina.gov.cn）及中国政府采购网(www.ccgp.gov.cn)查询结果为准。2）采购代理机构同时对信用信息查询记录和证据截图或下载存档。因网站原因导致无法查询信用信息的，视为满足招标文件要求。联合体投标的，联合体成员均需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预留份额通过以下措施进行,投标人可选择以下其中一种方式参与：①投标人不属于中小企业的，必须与一家或者多家中小企业组成联合体参与投标，中小企业承担的合同份额占合同金额的比例达到40%以上（其中小微企业承担的合同份额不低于合同金额的28%）。组成联合体的中小企业与联合体内其他企业之间不得存在直接控股、管理关系【提供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②投标人属于中型企业的，必须与一家或者多家小微企业组成联合体参与投标，小微企业承担的合同份额不低于合同金额的28%。组成联合体的中小企业与联合体内其他企业之间不得存在直接控股、管理关系【提供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③投标人属于小微企业的，是否组成联合体投标不作强制要求。【提供全部服务的承接方的《中小企业声明函》或由省级以上监狱管理局、戒毒管理局(含新疆生产建设兵团)出具的承接方属于监狱企业的证明文件或承接方的《残疾人福利性单位声明函》】。如以联合体形式参加本项目，则只能与小微企业以联合体形式参加本项目。组成联合体的中小企业与联合体内其他企业之间不得存在直接控股、管理关系。【提供过联合体共同投标协议书、联合体各方全部服务的承接方的《中小企业声明函》或由省级以上监狱管理局、戒毒管理局(含新疆生产建设兵团)出具的联合体各方的承接方属于监狱企业的证明文件或联合体各方的承接方的《残疾人福利性单位声明函》】。3.联合体成员不得超过3家，《联合体共同投标协议书》格式详见招标公告附件。4.本项目采购标的对应的中小企业划分标准所属行业为其他未列明行业。</w:t>
            </w:r>
          </w:p>
        </w:tc>
      </w:tr>
    </w:tbl>
    <w:p>
      <w:pPr>
        <w:pStyle w:val="null3"/>
        <w:ind w:firstLine="480"/>
      </w:pPr>
      <w:r>
        <w:rPr/>
        <w:t>表二符合性审查表：</w:t>
      </w:r>
    </w:p>
    <w:p>
      <w:pPr>
        <w:pStyle w:val="null3"/>
      </w:pPr>
      <w:r>
        <w:rPr/>
        <w:t>采购包1（珠海市生态环境局2025年珠海市地表水国考断面水质研判分析服务采购项目）：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法定代表人证明书及法定代表人授权委托书</w:t>
            </w:r>
          </w:p>
        </w:tc>
        <w:tc>
          <w:tcPr>
            <w:tcW w:type="dxa" w:w="4238"/>
          </w:tcPr>
          <w:p>
            <w:pPr>
              <w:pStyle w:val="null3"/>
            </w:pPr>
            <w:r>
              <w:rPr/>
              <w:t>投标文件提供有效的法定代表人证明书及法定代表人授权委托书，若法定代表人作为投标人代表参加投标，则只需提供法定代表人证明书（参照对应格式内容）。</w:t>
            </w:r>
          </w:p>
        </w:tc>
      </w:tr>
      <w:tr>
        <w:tc>
          <w:tcPr>
            <w:tcW w:type="dxa" w:w="890"/>
          </w:tcPr>
          <w:p>
            <w:pPr>
              <w:pStyle w:val="null3"/>
            </w:pPr>
            <w:r>
              <w:rPr/>
              <w:t>2</w:t>
            </w:r>
          </w:p>
        </w:tc>
        <w:tc>
          <w:tcPr>
            <w:tcW w:type="dxa" w:w="3178"/>
          </w:tcPr>
          <w:p>
            <w:pPr>
              <w:pStyle w:val="null3"/>
            </w:pPr>
            <w:r>
              <w:rPr/>
              <w:t>投标文件是否有效签署</w:t>
            </w:r>
          </w:p>
        </w:tc>
        <w:tc>
          <w:tcPr>
            <w:tcW w:type="dxa" w:w="4238"/>
          </w:tcPr>
          <w:p>
            <w:pPr>
              <w:pStyle w:val="null3"/>
            </w:pPr>
            <w:r>
              <w:rPr/>
              <w:t>投标文件是否由法定代表人/负责人或授权代表有效签署。</w:t>
            </w:r>
          </w:p>
        </w:tc>
      </w:tr>
      <w:tr>
        <w:tc>
          <w:tcPr>
            <w:tcW w:type="dxa" w:w="890"/>
          </w:tcPr>
          <w:p>
            <w:pPr>
              <w:pStyle w:val="null3"/>
            </w:pPr>
            <w:r>
              <w:rPr/>
              <w:t>3</w:t>
            </w:r>
          </w:p>
        </w:tc>
        <w:tc>
          <w:tcPr>
            <w:tcW w:type="dxa" w:w="3178"/>
          </w:tcPr>
          <w:p>
            <w:pPr>
              <w:pStyle w:val="null3"/>
            </w:pPr>
            <w:r>
              <w:rPr/>
              <w:t>投标有效期是否满足招标文件要求</w:t>
            </w:r>
          </w:p>
        </w:tc>
        <w:tc>
          <w:tcPr>
            <w:tcW w:type="dxa" w:w="4238"/>
          </w:tcPr>
          <w:p>
            <w:pPr>
              <w:pStyle w:val="null3"/>
            </w:pPr>
            <w:r>
              <w:rPr/>
              <w:t>投标有效期是否满足招标文件要求。</w:t>
            </w:r>
          </w:p>
        </w:tc>
      </w:tr>
      <w:tr>
        <w:tc>
          <w:tcPr>
            <w:tcW w:type="dxa" w:w="890"/>
          </w:tcPr>
          <w:p>
            <w:pPr>
              <w:pStyle w:val="null3"/>
            </w:pPr>
            <w:r>
              <w:rPr/>
              <w:t>4</w:t>
            </w:r>
          </w:p>
        </w:tc>
        <w:tc>
          <w:tcPr>
            <w:tcW w:type="dxa" w:w="3178"/>
          </w:tcPr>
          <w:p>
            <w:pPr>
              <w:pStyle w:val="null3"/>
            </w:pPr>
            <w:r>
              <w:rPr/>
              <w:t>《商务条件响应表》是否满足招标文件要求</w:t>
            </w:r>
          </w:p>
        </w:tc>
        <w:tc>
          <w:tcPr>
            <w:tcW w:type="dxa" w:w="4238"/>
          </w:tcPr>
          <w:p>
            <w:pPr>
              <w:pStyle w:val="null3"/>
            </w:pPr>
            <w:r>
              <w:rPr/>
              <w:t>《商务条件响应表》是否满足招标文件要求。</w:t>
            </w:r>
          </w:p>
        </w:tc>
      </w:tr>
      <w:tr>
        <w:tc>
          <w:tcPr>
            <w:tcW w:type="dxa" w:w="890"/>
          </w:tcPr>
          <w:p>
            <w:pPr>
              <w:pStyle w:val="null3"/>
            </w:pPr>
            <w:r>
              <w:rPr/>
              <w:t>5</w:t>
            </w:r>
          </w:p>
        </w:tc>
        <w:tc>
          <w:tcPr>
            <w:tcW w:type="dxa" w:w="3178"/>
          </w:tcPr>
          <w:p>
            <w:pPr>
              <w:pStyle w:val="null3"/>
            </w:pPr>
            <w:r>
              <w:rPr/>
              <w:t>《技术和服务要求响应表》是否满足招标文件要求</w:t>
            </w:r>
          </w:p>
        </w:tc>
        <w:tc>
          <w:tcPr>
            <w:tcW w:type="dxa" w:w="4238"/>
          </w:tcPr>
          <w:p>
            <w:pPr>
              <w:pStyle w:val="null3"/>
            </w:pPr>
            <w:r>
              <w:rPr/>
              <w:t>《技术和服务要求响应表》是否满足招标文件要求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是否响应“★”关键条款（如有） ；是否满足法律、法规和招标文件中规定的其他实质性要求。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采购包1(珠海市生态环境局2025年珠海市地表水国考断面水质研判分析服务采购项目):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技术部分30.0分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对项目背景与目的意义的理解、认识 (10.0分)</w:t>
            </w:r>
          </w:p>
        </w:tc>
        <w:tc>
          <w:tcPr>
            <w:tcW w:type="dxa" w:w="5076"/>
          </w:tcPr>
          <w:p>
            <w:pPr>
              <w:pStyle w:val="null3"/>
              <w:jc w:val="left"/>
            </w:pPr>
            <w:r>
              <w:rPr/>
              <w:t>根据投标人对第二章《采购需求》“项目概况”提供的本项目背景与目的意义理解、认识程度进行评审： 评审内容：（1）对本项目背景与目的意义理解（5分）：①内容完整、全面详细，对本项目的背景与目的意义解读完全到位得5分；②内容基本完整、较为详细，对本项目的背景与目的意义解读基本准确得3分；③内容有部分缺失或不够详细，对本项目的背景与目的意义解读有一定偏差的得1分；④内容有部分缺失或不够详细，对本项目的背景与目的意义解读完全不准确的或没有提供响应方案的不得分；（2）对本项目的认识程度（5分）：①对本项目认识全面，程度深入的得5分；②对本项目认识基本全面，程度较为深入的得3分；③对本项目认识不够全面，程度不深的得1分；④没有提供响应方案的不得分。</w:t>
            </w:r>
          </w:p>
        </w:tc>
      </w:tr>
      <w:tr>
        <w:tc>
          <w:tcPr>
            <w:tcW w:type="dxa" w:w="922"/>
            <w:gridSpan w:val="2"/>
            <w:vMerge/>
          </w:tcPr>
          <w:p/>
        </w:tc>
        <w:tc>
          <w:tcPr>
            <w:tcW w:type="dxa" w:w="2307"/>
          </w:tcPr>
          <w:p>
            <w:pPr>
              <w:pStyle w:val="null3"/>
              <w:jc w:val="left"/>
            </w:pPr>
            <w:r>
              <w:rPr/>
              <w:t>技术服务方案 (15.0分)</w:t>
            </w:r>
          </w:p>
        </w:tc>
        <w:tc>
          <w:tcPr>
            <w:tcW w:type="dxa" w:w="5076"/>
          </w:tcPr>
          <w:p>
            <w:pPr>
              <w:pStyle w:val="null3"/>
              <w:jc w:val="left"/>
            </w:pPr>
            <w:r>
              <w:rPr/>
              <w:t>根据投标人对第二章《采购需求》“项目工作内容”提供的技术服务方案编制情况（包括但不限于对本项目的技术路线与技术方法、工作内容阐述、工作计划等）。 评审内容：（1）对本项目的技术路线与技术方法响应情况（6分）：①方案内容完整、详细，技术服务方案中的技术路线与技术方法具有极强的系统性与科学性，得6分；②方案内容较为完整、详细，技术服务方案中的技术路线与技术方法具有一定的系统性与科学性，得3.5分；③方案内容不够完整和详细，技术服务方案中的技术路线与技术方法系统性与科学性不足，得1分；④方案内容有较多内容缺失，技术服务方案中的技术路线与技术方法不具有系统性与科学性，或没有提供响应方案的不得分；（2）工作内容阐述（6分）：①工作内容阐述十分完整且深入，得6分；②工作内容阐述基本完整，有一定的深入度，得3.5分；③工作内容阐述内容有一定缺失，不够深入，得1分；④工作内容阐述内容有缺失较多或深入度较差或没有提供响应方案的不得分；（3）工作计划（3分）：①工作计划具有充分的合理性和可行性，得3分；②工作计划有一定的合理性和可行性，得1分；③工作计划有没有合理性或可行性或没有提供响应方案的不得分。</w:t>
            </w:r>
          </w:p>
        </w:tc>
      </w:tr>
      <w:tr>
        <w:tc>
          <w:tcPr>
            <w:tcW w:type="dxa" w:w="922"/>
            <w:gridSpan w:val="2"/>
            <w:vMerge/>
          </w:tcPr>
          <w:p/>
        </w:tc>
        <w:tc>
          <w:tcPr>
            <w:tcW w:type="dxa" w:w="2307"/>
          </w:tcPr>
          <w:p>
            <w:pPr>
              <w:pStyle w:val="null3"/>
              <w:jc w:val="left"/>
            </w:pPr>
            <w:r>
              <w:rPr/>
              <w:t>质量保障措施 (5.0分)</w:t>
            </w:r>
          </w:p>
        </w:tc>
        <w:tc>
          <w:tcPr>
            <w:tcW w:type="dxa" w:w="5076"/>
          </w:tcPr>
          <w:p>
            <w:pPr>
              <w:pStyle w:val="null3"/>
              <w:jc w:val="left"/>
            </w:pPr>
            <w:r>
              <w:rPr/>
              <w:t>根据投标人对第二章《采购需求》“项目工作内容”及“项目成果及验收要求”提供的本项目工作质量保障措施进行评审： 评审内容：①保障内容有针对性，内容完整、详细，措施全面细致、科学合理，保障项目质量的措施具有可行性，得5分；②保障内容有针对性，内容较为完整、详细，措施较为全面细致、科学合理，保障项目质量的措施具有一定可行性，得3分； ③保障内容不具有针对性，内容有缺失，保障项目质量的措施不具有可行性，得1分；④未提供相关方案不得分。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根据投标人自2020年1月1日以来(以合同签订时间为准)独立承担过的类似相关业绩（入河排污口排查、溯源，水污染防治，流域水环境整治，水环境驻点技术咨询服务相关项目），每提供一份合同或协议得3分，满分15分。 注：投标文件中须提供合同关键页、项目任务书关键页等相关证明材料（其中一项或多项）扫描件加盖投标人公章，不按照要求提供资料的不得分。联合体投标的，联合体中任一方满足评分项的均可计算相应得分。</w:t>
            </w:r>
          </w:p>
        </w:tc>
      </w:tr>
      <w:tr>
        <w:tc>
          <w:tcPr>
            <w:tcW w:type="dxa" w:w="922"/>
            <w:gridSpan w:val="2"/>
            <w:vMerge/>
          </w:tcPr>
          <w:p/>
        </w:tc>
        <w:tc>
          <w:tcPr>
            <w:tcW w:type="dxa" w:w="2307"/>
          </w:tcPr>
          <w:p>
            <w:pPr>
              <w:pStyle w:val="null3"/>
              <w:jc w:val="left"/>
            </w:pPr>
            <w:r>
              <w:rPr/>
              <w:t>资质认证情况 (5.0分)</w:t>
            </w:r>
          </w:p>
        </w:tc>
        <w:tc>
          <w:tcPr>
            <w:tcW w:type="dxa" w:w="5076"/>
          </w:tcPr>
          <w:p>
            <w:pPr>
              <w:pStyle w:val="null3"/>
              <w:jc w:val="left"/>
            </w:pPr>
            <w:r>
              <w:rPr/>
              <w:t>1.投标人具有有效期内的ISO14001环境管理体系认证证书的，得1分； 2.投标人具有有效期内的ISO9001质量管理体系认证证书的，得1分； 3.投标人具有水污染防治、水环境模拟、环境污染评价评估等相关重点实验室的，每提供1个国家级实验室得2分，每提供1个省部级重点实验室得1.5分，本小项最高得3分。 注：投标文件中须提供相关证书扫描件（第1-2项）、重点实验室批复文件扫描件（第3项），未提供则不得分。联合体投标的，联合体中任一方满足评分项的均可计算相应得分。</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1.项目负责人具有环境类专业职称，正高级职称得4分，副高级职称得2.5分（不重复计分）；本项最高得4分。项目负责人须2020年以来参与过水污染防治、流域水环境整治、水环境驻点技术咨询等服务，否则不得分。 2.项目负责人2020年至今获得过环境保护科学技术奖等省部级或以上行政部门颁发的生态环境类科技奖励且获得的项目涉及水生态环境控制、治理、污染物管控的，每个得2分；获得市级行政部门颁发的水环境污染防治相关的科技奖项的，每个得1分，本项最高得4分。 以上累计最高得8分。 注：投标文件中须提供项目负责人的获奖证书扫描件、职称证书或职称证明文件扫描件以及参与项目合同、社会保障部门出具的近6个月内任意1个月在投标人单位缴纳社会养老保险的有效凭证等证明材料扫描件，无则不得分。联合体投标的，联合体中任一方满足评分项的均可计算相应得分。</w:t>
            </w:r>
          </w:p>
        </w:tc>
      </w:tr>
      <w:tr>
        <w:tc>
          <w:tcPr>
            <w:tcW w:type="dxa" w:w="922"/>
            <w:gridSpan w:val="2"/>
            <w:vMerge/>
          </w:tcPr>
          <w:p/>
        </w:tc>
        <w:tc>
          <w:tcPr>
            <w:tcW w:type="dxa" w:w="2307"/>
          </w:tcPr>
          <w:p>
            <w:pPr>
              <w:pStyle w:val="null3"/>
              <w:jc w:val="left"/>
            </w:pPr>
            <w:r>
              <w:rPr/>
              <w:t>监测响应情况 (5.0分)</w:t>
            </w:r>
          </w:p>
        </w:tc>
        <w:tc>
          <w:tcPr>
            <w:tcW w:type="dxa" w:w="5076"/>
          </w:tcPr>
          <w:p>
            <w:pPr>
              <w:pStyle w:val="null3"/>
              <w:jc w:val="left"/>
            </w:pPr>
            <w:r>
              <w:rPr/>
              <w:t>为保障及时开展对水质分析，需及时响应采购人发布监测任务，承诺响应时间1.5小时内（含1.5小时）得5分，2小时内（含2小时）得3分，2.5小时内（含2.5小时）得1分。其余情况不得分。本项最高得5分。 注：按承诺最高得分项计分，不累计计分；提供承诺书加盖公章，格式自拟。</w:t>
            </w:r>
          </w:p>
        </w:tc>
      </w:tr>
      <w:tr>
        <w:tc>
          <w:tcPr>
            <w:tcW w:type="dxa" w:w="922"/>
            <w:gridSpan w:val="2"/>
            <w:vMerge/>
          </w:tcPr>
          <w:p/>
        </w:tc>
        <w:tc>
          <w:tcPr>
            <w:tcW w:type="dxa" w:w="2307"/>
          </w:tcPr>
          <w:p>
            <w:pPr>
              <w:pStyle w:val="null3"/>
              <w:jc w:val="left"/>
            </w:pPr>
            <w:r>
              <w:rPr/>
              <w:t>项目组成员情况（项目负责人除外） (12.0分)</w:t>
            </w:r>
          </w:p>
        </w:tc>
        <w:tc>
          <w:tcPr>
            <w:tcW w:type="dxa" w:w="5076"/>
          </w:tcPr>
          <w:p>
            <w:pPr>
              <w:pStyle w:val="null3"/>
              <w:jc w:val="left"/>
            </w:pPr>
            <w:r>
              <w:rPr/>
              <w:t>1.项目组成员具有环境类副高级及以上职称的，每人得2分；具有中级职称每人得1分；若一人同时具有多个职称则按最高级别职称计分，本项最高得6分。 2.满足上述要求的项目组成员负责过水生态环境领域相关项目的，每有1人得2分，本项最高得6分。 以上累计最高得12分。 注：1.投标文件中须提供以上相关项目组成员的职称证书或职称证明文件扫描件； 2.投标文件中人员业绩证明需提供参与相关项目的合同/任务书扫描件，合同/任务书中不能体现项目负责人的，需提供报告责任页及批复/专家意见/验收意见扫描件，若项目由政府行政主管部门未以合同形式下达且成果不需要出具报告的需提供政府行政主管部门出具的证明文件扫描件； 3.投标文件中需提供由社会保障部门出具的项目组成员最近6个月内任意1个月在投标人单位缴纳社会养老保险的有效凭证等证明材料扫描件； 4.未提供相关证明材料不得分。联合体投标的，联合体中任一方满足评分项的均可计算相应得分。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按照《关于加强珠海市政府采购供应商诚信管理有关事项的通知》（珠财采通〔2022〕20号）要求，对投标人诚信进行评分：投标人该项得分=诚信记录得分×5%。 说明：1.“诚信记录得分”由采购代理机构在开标前于广东政府采购网“其他监管检查公告”栏和珠海市财政局网站“信用财政”栏查询投标人诚信状况，提供给评审委员会，由评审委员会按照上述公式计 算得分。 2.上述网站查询不到相关投标人扣分记录的，视为该投标人的诚信记录得分为100分。3.两个或以上的自然人、法人或者其他组织组成一个联合体，以一个投标人的身份共同参加政府采购活动的，应当对所有联合体成员进行诚信记录查询，以联合体成员的诚信记录平均得分参与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52"/>
          <w:b/>
        </w:rPr>
        <w:t>广东省政府采购</w:t>
      </w:r>
    </w:p>
    <w:p>
      <w:pPr>
        <w:pStyle w:val="null3"/>
        <w:jc w:val="center"/>
      </w:pPr>
      <w:r>
        <w:rPr>
          <w:sz w:val="52"/>
          <w:b/>
        </w:rPr>
        <w:t>合</w:t>
      </w:r>
      <w:r>
        <w:rPr>
          <w:sz w:val="21"/>
          <w:b/>
        </w:rPr>
        <w:t xml:space="preserve">  </w:t>
      </w:r>
      <w:r>
        <w:rPr>
          <w:sz w:val="52"/>
          <w:b/>
        </w:rPr>
        <w:t>同</w:t>
      </w:r>
      <w:r>
        <w:rPr>
          <w:sz w:val="21"/>
          <w:b/>
        </w:rPr>
        <w:t xml:space="preserve">  </w:t>
      </w:r>
      <w:r>
        <w:rPr>
          <w:sz w:val="52"/>
          <w:b/>
        </w:rPr>
        <w:t>书</w:t>
      </w:r>
    </w:p>
    <w:p>
      <w:pPr>
        <w:pStyle w:val="null3"/>
        <w:jc w:val="center"/>
      </w:pPr>
      <w:r>
        <w:rPr>
          <w:sz w:val="21"/>
        </w:rPr>
        <w:t xml:space="preserve"> </w:t>
      </w:r>
    </w:p>
    <w:p>
      <w:pPr>
        <w:pStyle w:val="null3"/>
        <w:jc w:val="center"/>
      </w:pPr>
      <w:r>
        <w:rPr>
          <w:sz w:val="21"/>
        </w:rPr>
        <w:t xml:space="preserve"> </w:t>
      </w:r>
    </w:p>
    <w:p>
      <w:pPr>
        <w:pStyle w:val="null3"/>
        <w:jc w:val="both"/>
      </w:pPr>
      <w:r>
        <w:rPr>
          <w:sz w:val="24"/>
        </w:rPr>
        <w:t>采购计划编号：</w:t>
      </w:r>
      <w:r>
        <w:rPr>
          <w:sz w:val="21"/>
          <w:u w:val="single"/>
        </w:rPr>
        <w:t xml:space="preserve">                          </w:t>
      </w:r>
    </w:p>
    <w:p>
      <w:pPr>
        <w:pStyle w:val="null3"/>
        <w:jc w:val="both"/>
      </w:pPr>
      <w:r>
        <w:rPr>
          <w:sz w:val="24"/>
        </w:rPr>
        <w:t>项目编号：</w:t>
      </w:r>
      <w:r>
        <w:rPr>
          <w:sz w:val="21"/>
          <w:u w:val="single"/>
        </w:rPr>
        <w:t xml:space="preserve">                               </w:t>
      </w:r>
    </w:p>
    <w:p>
      <w:pPr>
        <w:pStyle w:val="null3"/>
        <w:jc w:val="both"/>
      </w:pPr>
      <w:r>
        <w:rPr>
          <w:sz w:val="24"/>
        </w:rPr>
        <w:t>项目名称：</w:t>
      </w:r>
      <w:r>
        <w:rPr>
          <w:sz w:val="21"/>
          <w:u w:val="single"/>
        </w:rPr>
        <w:t xml:space="preserve">                              </w:t>
      </w:r>
    </w:p>
    <w:p>
      <w:pPr>
        <w:pStyle w:val="null3"/>
        <w:ind w:firstLine="1629"/>
        <w:jc w:val="both"/>
      </w:pPr>
      <w:r>
        <w:rPr>
          <w:sz w:val="21"/>
        </w:rPr>
        <w:t xml:space="preserve"> </w:t>
      </w:r>
    </w:p>
    <w:p>
      <w:pPr>
        <w:pStyle w:val="null3"/>
        <w:jc w:val="both"/>
      </w:pPr>
      <w:r>
        <w:rPr>
          <w:sz w:val="21"/>
        </w:rPr>
        <w:t>注：本合同样本仅供参考，具体条款内容由甲方和</w:t>
      </w:r>
      <w:r>
        <w:rPr>
          <w:sz w:val="21"/>
        </w:rPr>
        <w:t>乙方</w:t>
      </w:r>
      <w:r>
        <w:rPr>
          <w:sz w:val="21"/>
        </w:rPr>
        <w:t>协商确定，但不得对招标文件、投标文件的实质性条款作出变更。</w:t>
      </w:r>
    </w:p>
    <w:p>
      <w:pPr>
        <w:pStyle w:val="null3"/>
        <w:jc w:val="both"/>
      </w:pPr>
      <w:r>
        <w:rPr>
          <w:sz w:val="21"/>
          <w:b/>
        </w:rPr>
        <w:t>甲 方：</w:t>
      </w:r>
      <w:r>
        <w:rPr>
          <w:sz w:val="21"/>
          <w:b/>
          <w:u w:val="single"/>
        </w:rPr>
        <w:t xml:space="preserve">     珠海市生态环境局        </w:t>
      </w:r>
    </w:p>
    <w:p>
      <w:pPr>
        <w:pStyle w:val="null3"/>
        <w:jc w:val="both"/>
      </w:pPr>
      <w:r>
        <w:rPr>
          <w:sz w:val="21"/>
          <w:b/>
        </w:rPr>
        <w:t>电 话：</w:t>
      </w:r>
      <w:r>
        <w:rPr>
          <w:sz w:val="21"/>
          <w:b/>
          <w:u w:val="single"/>
        </w:rPr>
        <w:t xml:space="preserve">                               </w:t>
      </w:r>
    </w:p>
    <w:p>
      <w:pPr>
        <w:pStyle w:val="null3"/>
        <w:jc w:val="both"/>
      </w:pPr>
      <w:r>
        <w:rPr>
          <w:sz w:val="21"/>
          <w:b/>
        </w:rPr>
        <w:t>地 址：</w:t>
      </w:r>
      <w:r>
        <w:rPr>
          <w:sz w:val="21"/>
          <w:b/>
          <w:u w:val="single"/>
        </w:rPr>
        <w:t xml:space="preserve">                               </w:t>
      </w:r>
    </w:p>
    <w:p>
      <w:pPr>
        <w:pStyle w:val="null3"/>
        <w:jc w:val="both"/>
      </w:pPr>
      <w:r>
        <w:rPr>
          <w:sz w:val="21"/>
          <w:b/>
        </w:rPr>
        <w:t>乙 方：</w:t>
      </w:r>
      <w:r>
        <w:rPr>
          <w:sz w:val="21"/>
          <w:b/>
          <w:u w:val="single"/>
        </w:rPr>
        <w:t xml:space="preserve">                               </w:t>
      </w:r>
    </w:p>
    <w:p>
      <w:pPr>
        <w:pStyle w:val="null3"/>
        <w:jc w:val="both"/>
      </w:pPr>
      <w:r>
        <w:rPr>
          <w:sz w:val="21"/>
          <w:b/>
        </w:rPr>
        <w:t>电 话：</w:t>
      </w:r>
      <w:r>
        <w:rPr>
          <w:sz w:val="21"/>
          <w:b/>
          <w:u w:val="single"/>
        </w:rPr>
        <w:t xml:space="preserve">                               </w:t>
      </w:r>
      <w:r>
        <w:rPr>
          <w:sz w:val="21"/>
          <w:b/>
        </w:rPr>
        <w:t xml:space="preserve"> </w:t>
      </w:r>
    </w:p>
    <w:p>
      <w:pPr>
        <w:pStyle w:val="null3"/>
        <w:jc w:val="both"/>
      </w:pPr>
      <w:r>
        <w:rPr>
          <w:sz w:val="21"/>
          <w:b/>
        </w:rPr>
        <w:t>地 址：</w:t>
      </w:r>
      <w:r>
        <w:rPr>
          <w:sz w:val="21"/>
          <w:b/>
          <w:u w:val="single"/>
        </w:rPr>
        <w:t xml:space="preserve">                               </w:t>
      </w:r>
    </w:p>
    <w:p>
      <w:pPr>
        <w:pStyle w:val="null3"/>
        <w:ind w:firstLine="422"/>
        <w:jc w:val="center"/>
      </w:pPr>
      <w:r>
        <w:rPr>
          <w:sz w:val="21"/>
        </w:rPr>
        <w:t>甲、乙双方根据珠海市生态环境局2025年珠海市地表水国考断面水质研判分析服务采购项目【项目编号： 】招标文件和有关投标文件的要求，依照《中华人民共和国民法典》、《中华人民共和国政府采购法》、有关法律、法规，遵循平等、自愿、公平和诚实信用的原则，双方就本采购事项经双方协商一致，订立以下合同：</w:t>
      </w:r>
    </w:p>
    <w:p>
      <w:pPr>
        <w:pStyle w:val="null3"/>
        <w:jc w:val="both"/>
      </w:pPr>
      <w:r>
        <w:rPr>
          <w:sz w:val="21"/>
          <w:b/>
        </w:rPr>
        <w:t>第一条  项目的名称、服务地点、服务时间、服务内容</w:t>
      </w:r>
    </w:p>
    <w:p>
      <w:pPr>
        <w:pStyle w:val="null3"/>
        <w:ind w:firstLine="420"/>
        <w:jc w:val="both"/>
      </w:pPr>
      <w:r>
        <w:rPr>
          <w:sz w:val="21"/>
        </w:rPr>
        <w:t>1.</w:t>
      </w:r>
      <w:r>
        <w:rPr>
          <w:sz w:val="21"/>
        </w:rPr>
        <w:t>项目名称：珠海市生态环境局2025年珠海市地表水国考断面水质研判分析服务采购项目</w:t>
      </w:r>
    </w:p>
    <w:p>
      <w:pPr>
        <w:pStyle w:val="null3"/>
        <w:ind w:firstLine="420"/>
        <w:jc w:val="both"/>
      </w:pPr>
      <w:r>
        <w:rPr>
          <w:sz w:val="21"/>
        </w:rPr>
        <w:t>2.</w:t>
      </w:r>
      <w:r>
        <w:rPr>
          <w:sz w:val="21"/>
        </w:rPr>
        <w:t xml:space="preserve">服务地点：                                </w:t>
      </w:r>
    </w:p>
    <w:p>
      <w:pPr>
        <w:pStyle w:val="null3"/>
        <w:ind w:firstLine="420"/>
        <w:jc w:val="both"/>
      </w:pPr>
      <w:r>
        <w:rPr>
          <w:sz w:val="21"/>
        </w:rPr>
        <w:t>3.</w:t>
      </w:r>
      <w:r>
        <w:rPr>
          <w:sz w:val="21"/>
        </w:rPr>
        <w:t>服务期：</w:t>
      </w:r>
      <w:r>
        <w:rPr>
          <w:sz w:val="21"/>
        </w:rPr>
        <w:t>自合同签订生效之日起至2025年12月31日止。</w:t>
      </w:r>
    </w:p>
    <w:p>
      <w:pPr>
        <w:pStyle w:val="null3"/>
        <w:ind w:firstLine="420"/>
        <w:jc w:val="both"/>
      </w:pPr>
      <w:r>
        <w:rPr>
          <w:sz w:val="21"/>
        </w:rPr>
        <w:t>4.</w:t>
      </w:r>
      <w:r>
        <w:rPr>
          <w:sz w:val="21"/>
        </w:rPr>
        <w:t>服务内容：</w:t>
      </w:r>
    </w:p>
    <w:p>
      <w:pPr>
        <w:pStyle w:val="null3"/>
        <w:ind w:firstLine="420"/>
        <w:jc w:val="both"/>
      </w:pPr>
      <w:r>
        <w:rPr>
          <w:sz w:val="21"/>
        </w:rPr>
        <w:t>（一）流域水环境现状调查评估</w:t>
      </w:r>
    </w:p>
    <w:p>
      <w:pPr>
        <w:pStyle w:val="null3"/>
        <w:ind w:firstLine="420"/>
        <w:jc w:val="both"/>
      </w:pPr>
      <w:r>
        <w:rPr>
          <w:sz w:val="21"/>
        </w:rPr>
        <w:t>围绕珠海市“十四五”国控断面水质达标的目标，在综合考虑珠海市前山河、磨刀门水道、鸡啼门水道等流域河网密布，水系复杂，考虑闸控、感潮等影响基础上，采用现状数据与近五年长时间序列历史数据调查收集、整理分析等手段，针对珠海市境内国考断面涉及的流域开展全面水质调查，从时间和空间尺度、水量平衡、污染源核算等方面,并运用相关性分析和随机森林等机器学习方法系统研究流域水环境形势，评估水质现状及变化趋势，聚焦限制前山河流域水质提升的溶解氧、氨氮等指标，深入分析问题成因，技术识别关键污染源区及制约水质提升的主要影响因素。</w:t>
      </w:r>
    </w:p>
    <w:p>
      <w:pPr>
        <w:pStyle w:val="null3"/>
        <w:spacing w:after="120"/>
        <w:ind w:firstLine="420"/>
        <w:jc w:val="both"/>
      </w:pPr>
      <w:r>
        <w:rPr>
          <w:sz w:val="21"/>
        </w:rPr>
        <w:t>通过定期跟踪研判珠海市石角咀水闸、珠海大桥、尖峰大桥、鸡啼门大桥、西炮台等断面水质自动监测站数据，结合水位、流速、流量等水文信息和社会经济、污染源、排污口调查数据，依据水质现状和目标，基于污染源与水质响应关系，从跨界源、工业源、生活源、面源、内源等方面分析污染源贡献，并分析各控制单元的水环境问题及其污染负荷贡献。结合工作评估结果、水体改善潜力和现有工程进展，研判影响水质达标的关键制约问题，重点污染区域与主要支流，并向甲方报告反馈有关问题情况，每月不少于两次。</w:t>
      </w:r>
      <w:r>
        <w:rPr>
          <w:sz w:val="21"/>
        </w:rPr>
        <w:t>2025</w:t>
      </w:r>
      <w:r>
        <w:rPr>
          <w:sz w:val="21"/>
        </w:rPr>
        <w:t>年11月31日前完成此项任务。</w:t>
      </w:r>
    </w:p>
    <w:p>
      <w:pPr>
        <w:pStyle w:val="null3"/>
        <w:ind w:firstLine="420"/>
        <w:jc w:val="both"/>
      </w:pPr>
      <w:r>
        <w:rPr>
          <w:sz w:val="21"/>
        </w:rPr>
        <w:t>（二）现场摸排及跟踪监测</w:t>
      </w:r>
    </w:p>
    <w:p>
      <w:pPr>
        <w:pStyle w:val="null3"/>
        <w:ind w:firstLine="420"/>
        <w:jc w:val="both"/>
      </w:pPr>
      <w:r>
        <w:rPr>
          <w:sz w:val="21"/>
        </w:rPr>
        <w:t>根据评估和发现的主要问题，分批、分片开展现场摸排，技术识别突出问题，形成问题清单，对重点河段、主要支流、重点污染来源进行跟踪监测，实时掌握水质变化情况，为系统分析流域水环境问题提供数据支撑。</w:t>
      </w:r>
    </w:p>
    <w:p>
      <w:pPr>
        <w:pStyle w:val="null3"/>
        <w:ind w:firstLine="420"/>
        <w:jc w:val="both"/>
      </w:pPr>
      <w:r>
        <w:rPr>
          <w:sz w:val="21"/>
        </w:rPr>
        <w:t>在省、市生态环境监测方案已经布置的水源地水质监测、国家和省控环境质量监测断面、污染源监测、黑臭水体等专项监测等有关要求的基础上，结合考虑水系汇流情况、采样可达情况、前山流域现有常规监测断面分布以及问题研判需求等各方面因素，开展重点区域和一般区域两级分区的加密跟踪监测和溯源监测。同时，保障及时开展水质分析，响应甲方视水质情况发布临时性监测任务，常规任务需在</w:t>
      </w:r>
      <w:r>
        <w:rPr>
          <w:sz w:val="21"/>
        </w:rPr>
        <w:t xml:space="preserve"> 48</w:t>
      </w:r>
      <w:r>
        <w:rPr>
          <w:sz w:val="21"/>
        </w:rPr>
        <w:t>小时内完成数据报送，紧急任务需在</w:t>
      </w:r>
      <w:r>
        <w:rPr>
          <w:sz w:val="21"/>
        </w:rPr>
        <w:t>4</w:t>
      </w:r>
      <w:r>
        <w:rPr>
          <w:sz w:val="21"/>
        </w:rPr>
        <w:t>小时内到场进行响应监测（限于常规指标，且不计采样准备时间）。</w:t>
      </w:r>
    </w:p>
    <w:p>
      <w:pPr>
        <w:pStyle w:val="null3"/>
        <w:ind w:firstLine="420"/>
        <w:jc w:val="both"/>
      </w:pPr>
      <w:r>
        <w:rPr>
          <w:sz w:val="21"/>
        </w:rPr>
        <w:t>监测点位初步确定石角咀水闸为珠海市水环境现状分析评估重点断面，对其所在的前山河流域进行干支流的加密跟踪监测（与常规监测任务错时开展）评估，其他</w:t>
      </w:r>
      <w:r>
        <w:rPr>
          <w:sz w:val="21"/>
        </w:rPr>
        <w:t>4</w:t>
      </w:r>
      <w:r>
        <w:rPr>
          <w:sz w:val="21"/>
        </w:rPr>
        <w:t>个国考断面重点针对断面所在干流上下游与进行排查监测（与国省控断面错位开展）。按照问题研判需要，结合现场实际情况，初步选定</w:t>
      </w:r>
      <w:r>
        <w:rPr>
          <w:sz w:val="21"/>
        </w:rPr>
        <w:t>29</w:t>
      </w:r>
      <w:r>
        <w:rPr>
          <w:sz w:val="21"/>
        </w:rPr>
        <w:t>个监测点位：其中包括</w:t>
      </w:r>
      <w:r>
        <w:rPr>
          <w:sz w:val="21"/>
        </w:rPr>
        <w:t>22</w:t>
      </w:r>
      <w:r>
        <w:rPr>
          <w:sz w:val="21"/>
        </w:rPr>
        <w:t>个前山河重要干支流点位（</w:t>
      </w:r>
      <w:r>
        <w:rPr>
          <w:sz w:val="21"/>
        </w:rPr>
        <w:t>18</w:t>
      </w:r>
      <w:r>
        <w:rPr>
          <w:sz w:val="21"/>
        </w:rPr>
        <w:t>个历史排查可能存在汛期污水溢流、水质波动等问题隐患点位，</w:t>
      </w:r>
      <w:r>
        <w:rPr>
          <w:sz w:val="21"/>
        </w:rPr>
        <w:t>4</w:t>
      </w:r>
      <w:r>
        <w:rPr>
          <w:sz w:val="21"/>
        </w:rPr>
        <w:t>个重要干流控制性点位），其他国考断面所在水体重要干支流布设</w:t>
      </w:r>
      <w:r>
        <w:rPr>
          <w:sz w:val="21"/>
        </w:rPr>
        <w:t>7</w:t>
      </w:r>
      <w:r>
        <w:rPr>
          <w:sz w:val="21"/>
        </w:rPr>
        <w:t>个监测点位（国考断面上下游及重要支流出入口，且断面均未国省考断面重合）。</w:t>
      </w:r>
    </w:p>
    <w:p>
      <w:pPr>
        <w:pStyle w:val="null3"/>
        <w:ind w:firstLine="420"/>
        <w:jc w:val="both"/>
      </w:pPr>
      <w:r>
        <w:rPr>
          <w:sz w:val="21"/>
        </w:rPr>
        <w:t>针对鹅咀涌、沙心涌等22条前山河流域主要来水支流及干流情况每月开展不少于1次的现场摸排工作</w:t>
      </w:r>
      <w:r>
        <w:rPr>
          <w:sz w:val="21"/>
        </w:rPr>
        <w:t>，针对珠武涌、南屏西排洪渠、金凤排洪渠、造贝排洪渠等问题较为突出的排洪渠开展上下游的沿程监测，每次沿程监测点位选择不少于</w:t>
      </w:r>
      <w:r>
        <w:rPr>
          <w:sz w:val="21"/>
        </w:rPr>
        <w:t>4</w:t>
      </w:r>
      <w:r>
        <w:rPr>
          <w:sz w:val="21"/>
        </w:rPr>
        <w:t>个</w:t>
      </w:r>
      <w:r>
        <w:rPr>
          <w:sz w:val="21"/>
        </w:rPr>
        <w:t>,</w:t>
      </w:r>
      <w:r>
        <w:rPr>
          <w:sz w:val="21"/>
        </w:rPr>
        <w:t>采集不少于</w:t>
      </w:r>
      <w:r>
        <w:rPr>
          <w:sz w:val="21"/>
        </w:rPr>
        <w:t>8</w:t>
      </w:r>
      <w:r>
        <w:rPr>
          <w:sz w:val="21"/>
        </w:rPr>
        <w:t>个水样。</w:t>
      </w:r>
      <w:r>
        <w:rPr>
          <w:sz w:val="21"/>
        </w:rPr>
        <w:t>每年开展2次针对磨刀门水道、鸡啼门水道、虎跳门水道干流（珠海段）的环境情况调查，2025年6月（汛期）及10月（枯水期）分别开展1次，每次调查在各断面设置1-2个点位，</w:t>
      </w:r>
      <w:r>
        <w:rPr>
          <w:sz w:val="21"/>
        </w:rPr>
        <w:t>每次采集不少于</w:t>
      </w:r>
      <w:r>
        <w:rPr>
          <w:sz w:val="21"/>
        </w:rPr>
        <w:t>4</w:t>
      </w:r>
      <w:r>
        <w:rPr>
          <w:sz w:val="21"/>
        </w:rPr>
        <w:t>个水样，水质样品的采集严格执行《水质监测规范》（</w:t>
      </w:r>
      <w:r>
        <w:rPr>
          <w:sz w:val="21"/>
        </w:rPr>
        <w:t>SL219-98</w:t>
      </w:r>
      <w:r>
        <w:rPr>
          <w:sz w:val="21"/>
        </w:rPr>
        <w:t>）。同时，</w:t>
      </w:r>
      <w:r>
        <w:rPr>
          <w:sz w:val="21"/>
        </w:rPr>
        <w:t>对发现存在水环境问题或风险隐患的河道沿岸进行水样加密监测、对问题排污口进行检测，并抽查区域管网关键节点水质、污水厂进出水水质、企业排水水质，以快检结合自动分析仪器，实时掌握周边来水水质动态；现场快检测定指标为化学需氧量、氨氮、总磷、总氮等，对于快检异常水样（化学需氧量总磷≥40mg/L、氨氮≥2mg/L、总磷≥0.4mg/L或总氮≥5mg/L），将采样送实验室分析化学需氧量、五日生化需氧量、氨氮、总磷、总氮等指标</w:t>
      </w:r>
      <w:r>
        <w:rPr>
          <w:sz w:val="21"/>
        </w:rPr>
        <w:t>，现场采用</w:t>
      </w:r>
      <w:r>
        <w:rPr>
          <w:sz w:val="21"/>
        </w:rPr>
        <w:t>YSI</w:t>
      </w:r>
      <w:r>
        <w:rPr>
          <w:sz w:val="21"/>
        </w:rPr>
        <w:t>测量溶解氧、水温、</w:t>
      </w:r>
      <w:r>
        <w:rPr>
          <w:sz w:val="21"/>
        </w:rPr>
        <w:t>pH</w:t>
      </w:r>
      <w:r>
        <w:rPr>
          <w:sz w:val="21"/>
        </w:rPr>
        <w:t>值等指标，水质样品严格按照《水和废水监测分析方法》规定的方法进行样品冷藏、保存和分析，</w:t>
      </w:r>
      <w:r>
        <w:rPr>
          <w:sz w:val="21"/>
        </w:rPr>
        <w:t>复核现场测定结果，通过排查监测，主动服务，从技术方面及时发现流域相关问题，并及时汇总相关情况和水质分析结果，每月形成前山河流域水环境现场问题排查分析研究报告，年底形成珠海市国考断面水环境问题及断面水质提升分析研究报告，支撑甲方决策和调度。</w:t>
      </w:r>
    </w:p>
    <w:p>
      <w:pPr>
        <w:pStyle w:val="null3"/>
        <w:ind w:firstLine="420"/>
        <w:jc w:val="both"/>
      </w:pPr>
      <w:r>
        <w:rPr>
          <w:sz w:val="21"/>
        </w:rPr>
        <w:t>在充分调研、收集、分析流域干支流水质相关数据，形成排查问题图册及清单，以“一图一表”为基础，结合自动站监测数据水质情况和重点工程进度，评估存在的问题，协助珠海市制定并细化达标攻坚行动计划任务清单；依托细化清单倒排工期，定期排查，为甲方开展水环境情势和达标攻坚态势分析提供技术支撑，服务珠海市系统、科学、精准治污与断面水质提升。</w:t>
      </w:r>
      <w:r>
        <w:rPr>
          <w:sz w:val="21"/>
        </w:rPr>
        <w:t>2025</w:t>
      </w:r>
      <w:r>
        <w:rPr>
          <w:sz w:val="21"/>
        </w:rPr>
        <w:t>年11月31日前完成此项任务，并提交珠海市前山河流域现场调研水环境问题台账。</w:t>
      </w:r>
    </w:p>
    <w:p>
      <w:pPr>
        <w:pStyle w:val="null3"/>
        <w:jc w:val="both"/>
      </w:pPr>
      <w:r>
        <w:rPr>
          <w:sz w:val="21"/>
          <w:b/>
        </w:rPr>
        <w:t>珠海市重点排查区域干支流跟踪监测要求</w:t>
      </w:r>
    </w:p>
    <w:tbl>
      <w:tblPr>
        <w:tblW w:w="0" w:type="auto"/>
        <w:tblBorders>
          <w:top w:val="none" w:color="000000" w:sz="4"/>
          <w:left w:val="none" w:color="000000" w:sz="4"/>
          <w:bottom w:val="none" w:color="000000" w:sz="4"/>
          <w:right w:val="none" w:color="000000" w:sz="4"/>
          <w:insideH w:val="none"/>
          <w:insideV w:val="none"/>
        </w:tblBorders>
      </w:tblPr>
      <w:tblGrid>
        <w:gridCol w:w="1187"/>
        <w:gridCol w:w="515"/>
        <w:gridCol w:w="2136"/>
        <w:gridCol w:w="1151"/>
        <w:gridCol w:w="1000"/>
        <w:gridCol w:w="1121"/>
        <w:gridCol w:w="1197"/>
      </w:tblGrid>
      <w:tr>
        <w:tc>
          <w:tcPr>
            <w:tcW w:type="dxa" w:w="11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所属河段</w:t>
            </w:r>
          </w:p>
        </w:tc>
        <w:tc>
          <w:tcPr>
            <w:tcW w:type="dxa" w:w="21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断面名称</w:t>
            </w:r>
          </w:p>
        </w:tc>
        <w:tc>
          <w:tcPr>
            <w:tcW w:type="dxa" w:w="11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断面属性</w:t>
            </w:r>
          </w:p>
        </w:tc>
        <w:tc>
          <w:tcPr>
            <w:tcW w:type="dxa" w:w="10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区域分级</w:t>
            </w:r>
          </w:p>
        </w:tc>
        <w:tc>
          <w:tcPr>
            <w:tcW w:type="dxa" w:w="231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水质监测</w:t>
            </w:r>
          </w:p>
        </w:tc>
      </w:tr>
      <w:tr>
        <w:tc>
          <w:tcPr>
            <w:tcW w:type="dxa" w:w="1187"/>
            <w:vMerge/>
            <w:tcBorders>
              <w:top w:val="single" w:color="000000" w:sz="4"/>
              <w:left w:val="single" w:color="000000" w:sz="4"/>
              <w:bottom w:val="single" w:color="000000" w:sz="4"/>
              <w:right w:val="single" w:color="000000" w:sz="4"/>
            </w:tcBorders>
          </w:tcPr>
          <w:p/>
        </w:tc>
        <w:tc>
          <w:tcPr>
            <w:tcW w:type="dxa" w:w="515"/>
            <w:vMerge/>
            <w:tcBorders>
              <w:top w:val="single" w:color="000000" w:sz="4"/>
              <w:left w:val="none" w:color="000000" w:sz="4"/>
              <w:bottom w:val="single" w:color="000000" w:sz="4"/>
              <w:right w:val="single" w:color="000000" w:sz="4"/>
            </w:tcBorders>
          </w:tcPr>
          <w:p/>
        </w:tc>
        <w:tc>
          <w:tcPr>
            <w:tcW w:type="dxa" w:w="2136"/>
            <w:vMerge/>
            <w:tcBorders>
              <w:top w:val="single" w:color="000000" w:sz="4"/>
              <w:left w:val="none" w:color="000000" w:sz="4"/>
              <w:bottom w:val="single" w:color="000000" w:sz="4"/>
              <w:right w:val="single" w:color="000000" w:sz="4"/>
            </w:tcBorders>
          </w:tcPr>
          <w:p/>
        </w:tc>
        <w:tc>
          <w:tcPr>
            <w:tcW w:type="dxa" w:w="1151"/>
            <w:vMerge/>
            <w:tcBorders>
              <w:top w:val="single" w:color="000000" w:sz="4"/>
              <w:left w:val="none" w:color="000000" w:sz="4"/>
              <w:bottom w:val="single" w:color="000000" w:sz="4"/>
              <w:right w:val="single" w:color="000000" w:sz="4"/>
            </w:tcBorders>
          </w:tcPr>
          <w:p/>
        </w:tc>
        <w:tc>
          <w:tcPr>
            <w:tcW w:type="dxa" w:w="1000"/>
            <w:vMerge/>
            <w:tcBorders>
              <w:top w:val="single" w:color="000000" w:sz="4"/>
              <w:left w:val="none" w:color="000000" w:sz="4"/>
              <w:bottom w:val="single" w:color="000000" w:sz="4"/>
              <w:right w:val="single" w:color="000000" w:sz="4"/>
            </w:tcBorders>
          </w:tcP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监测频率</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监测指标</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前山河</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前山大桥</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重点区域</w:t>
            </w:r>
          </w:p>
        </w:tc>
        <w:tc>
          <w:tcPr>
            <w:tcW w:type="dxa" w:w="1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每月至少</w:t>
            </w:r>
            <w:r>
              <w:rPr>
                <w:sz w:val="21"/>
                <w:b/>
              </w:rPr>
              <w:t>1</w:t>
            </w:r>
            <w:r>
              <w:rPr>
                <w:sz w:val="21"/>
                <w:b/>
              </w:rPr>
              <w:t>次</w:t>
            </w:r>
          </w:p>
          <w:p>
            <w:pPr>
              <w:pStyle w:val="null3"/>
              <w:ind w:firstLine="361"/>
              <w:jc w:val="center"/>
            </w:pPr>
          </w:p>
        </w:tc>
        <w:tc>
          <w:tcPr>
            <w:tcW w:type="dxa" w:w="1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水温、</w:t>
            </w:r>
            <w:r>
              <w:rPr>
                <w:sz w:val="21"/>
                <w:b/>
              </w:rPr>
              <w:t>pH</w:t>
            </w:r>
            <w:r>
              <w:rPr>
                <w:sz w:val="21"/>
                <w:b/>
              </w:rPr>
              <w:t>、溶解氧、化学需氧量、五日生化需氧量、总氮、氨氮、总磷</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南屏大桥</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沙心涌</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中山桥（金斗大桥）</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5</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鹅咀涌上下游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支流河涌</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6</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南屏西排洪渠上下游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7</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南屏中排洪渠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8</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南屏东排洪渠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9</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造贝排洪渠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10</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中海滨河湾排洪渠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白石路排洪渠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北山村排洪渠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13</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东桥村排洪渠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14</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白石桥下排洪渠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15</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桂花路排洪渠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16</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广昌涌</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支流河涌</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17</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珠武涌上、下游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支流河涌</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18</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永二涌排洪渠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19</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下界涌排洪渠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20</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沥溪排洪渠</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21</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金凤排洪渠上、下游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22</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格力仓库珠中市界</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支流排渠</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23</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尖峰大桥</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尖峰大桥</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一般断面</w:t>
            </w:r>
          </w:p>
        </w:tc>
        <w:tc>
          <w:tcPr>
            <w:tcW w:type="dxa" w:w="1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一年</w:t>
            </w:r>
            <w:r>
              <w:rPr>
                <w:sz w:val="21"/>
                <w:b/>
              </w:rPr>
              <w:t>2</w:t>
            </w:r>
            <w:r>
              <w:rPr>
                <w:sz w:val="21"/>
                <w:b/>
              </w:rPr>
              <w:t>次（汛期、枯水期各</w:t>
            </w:r>
            <w:r>
              <w:rPr>
                <w:sz w:val="21"/>
                <w:b/>
              </w:rPr>
              <w:t>1</w:t>
            </w:r>
            <w:r>
              <w:rPr>
                <w:sz w:val="21"/>
                <w:b/>
              </w:rPr>
              <w:t>次）</w:t>
            </w:r>
          </w:p>
          <w:p>
            <w:pPr>
              <w:pStyle w:val="null3"/>
              <w:ind w:firstLine="361"/>
              <w:jc w:val="center"/>
            </w:pPr>
          </w:p>
        </w:tc>
        <w:tc>
          <w:tcPr>
            <w:tcW w:type="dxa" w:w="1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水温、</w:t>
            </w:r>
            <w:r>
              <w:rPr>
                <w:sz w:val="21"/>
                <w:b/>
              </w:rPr>
              <w:t>pH</w:t>
            </w:r>
            <w:r>
              <w:rPr>
                <w:sz w:val="21"/>
                <w:b/>
              </w:rPr>
              <w:t>、溶解氧、化学需氧量、五日生化需氧量、总氮、氨氮、总磷</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24</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尖峰大桥上游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25</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鸡啼门大桥</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鸡啼门大桥</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26</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鸡啼门大桥上游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27</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珠海大桥</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珠海大桥</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28</w:t>
            </w:r>
          </w:p>
        </w:tc>
        <w:tc>
          <w:tcPr>
            <w:tcW w:type="dxa" w:w="515"/>
            <w:vMerge/>
            <w:tcBorders>
              <w:top w:val="none" w:color="000000" w:sz="4"/>
              <w:left w:val="none" w:color="000000" w:sz="4"/>
              <w:bottom w:val="single" w:color="000000" w:sz="4"/>
              <w:right w:val="single" w:color="000000" w:sz="4"/>
            </w:tcBorders>
          </w:tcP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珠海大桥上游</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西炮台</w:t>
            </w:r>
          </w:p>
        </w:tc>
        <w:tc>
          <w:tcPr>
            <w:tcW w:type="dxa" w:w="2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西炮台</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干流断面</w:t>
            </w:r>
          </w:p>
        </w:tc>
        <w:tc>
          <w:tcPr>
            <w:tcW w:type="dxa" w:w="1000"/>
            <w:vMerge/>
            <w:tcBorders>
              <w:top w:val="none" w:color="000000" w:sz="4"/>
              <w:left w:val="none" w:color="000000" w:sz="4"/>
              <w:bottom w:val="single" w:color="000000" w:sz="4"/>
              <w:right w:val="single" w:color="000000" w:sz="4"/>
            </w:tcBorders>
          </w:tcPr>
          <w:p/>
        </w:tc>
        <w:tc>
          <w:tcPr>
            <w:tcW w:type="dxa" w:w="1121"/>
            <w:vMerge/>
            <w:tcBorders>
              <w:top w:val="none" w:color="000000" w:sz="4"/>
              <w:left w:val="non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r>
    </w:tbl>
    <w:p>
      <w:pPr>
        <w:pStyle w:val="null3"/>
        <w:jc w:val="both"/>
      </w:pPr>
      <w:r>
        <w:rPr>
          <w:sz w:val="21"/>
        </w:rPr>
        <w:t>（三）突出水环境问题技术识别及对策建议</w:t>
      </w:r>
    </w:p>
    <w:p>
      <w:pPr>
        <w:pStyle w:val="null3"/>
        <w:ind w:firstLine="420"/>
        <w:jc w:val="both"/>
      </w:pPr>
      <w:r>
        <w:rPr>
          <w:sz w:val="21"/>
        </w:rPr>
        <w:t>在摸排、监测、溯源的基础上，结合水质、污染源分析，聚焦“最痛点”，动态分析重点断面达标形势。采用数学分析法进行定量评价，结合文字分析与描述数学分析法，在分析干流、支流沿程水质变化情况、干支流间的水质联动关系的基础上，注重降雨、基流、潮位、工程污染物削减量等指标对国考断面主要水质指标的影响技术分析，深入挖掘数据，动态分析，找出对各个水质指标的标准指数从大到小排序，排在前</w:t>
      </w:r>
      <w:r>
        <w:rPr>
          <w:sz w:val="21"/>
        </w:rPr>
        <w:t>3</w:t>
      </w:r>
      <w:r>
        <w:rPr>
          <w:sz w:val="21"/>
        </w:rPr>
        <w:t>位的污染物可作为该控制单元的首要污染物（如溶解氧的标准指数较大，可将</w:t>
      </w:r>
      <w:r>
        <w:rPr>
          <w:sz w:val="21"/>
        </w:rPr>
        <w:t>COD</w:t>
      </w:r>
      <w:r>
        <w:rPr>
          <w:sz w:val="21"/>
        </w:rPr>
        <w:t>、氨氮等列入首要污染物），并从技术角度提出国考断面所在水体水质达标的最新形势、短板问题和应抓好的最关键治理措施建议。</w:t>
      </w:r>
    </w:p>
    <w:p>
      <w:pPr>
        <w:pStyle w:val="null3"/>
        <w:jc w:val="both"/>
      </w:pPr>
      <w:r>
        <w:rPr>
          <w:sz w:val="21"/>
        </w:rPr>
        <w:t>针对石角咀水闸断面汛期溶解氧不达标的现实问题，从科学的角度进行低氧问题的技术分析，如断面发生藻类异常增值现象，适当开展水生态环境水华及藻类补充监测，分析水华和生源物质、水动力、气象指标的关联性，定量解析前山河叶绿素</w:t>
      </w:r>
      <w:r>
        <w:rPr>
          <w:sz w:val="21"/>
        </w:rPr>
        <w:t>a</w:t>
      </w:r>
      <w:r>
        <w:rPr>
          <w:sz w:val="21"/>
        </w:rPr>
        <w:t>（</w:t>
      </w:r>
      <w:r>
        <w:rPr>
          <w:sz w:val="21"/>
        </w:rPr>
        <w:t>Chl-a</w:t>
      </w:r>
      <w:r>
        <w:rPr>
          <w:sz w:val="21"/>
        </w:rPr>
        <w:t>）、营养盐、水温、流速以及水生生物变化规律，探讨前山河藻类异常增殖机理。根据必要性开展底泥内源释放研究分析，采集石角咀干支流主要污染河段底泥样品</w:t>
      </w:r>
      <w:r>
        <w:rPr>
          <w:sz w:val="21"/>
        </w:rPr>
        <w:t>(</w:t>
      </w:r>
      <w:r>
        <w:rPr>
          <w:sz w:val="21"/>
        </w:rPr>
        <w:t>柱样</w:t>
      </w:r>
      <w:r>
        <w:rPr>
          <w:sz w:val="21"/>
        </w:rPr>
        <w:t>)</w:t>
      </w:r>
      <w:r>
        <w:rPr>
          <w:sz w:val="21"/>
        </w:rPr>
        <w:t>，开展底泥营养盐释放实验研究，核算泥水交界断面营养盐迁移转化通量，分析其对支流污染负荷贡献，同时为环保清淤提供数据支撑。根据必要性开展泥水界面污染物释放研究，确定环保疏浚的范围，每条河涌按照淤积情况，采集底泥样品，剩余底泥用于污染物释放试验，主要分析指标为物理指标</w:t>
      </w:r>
      <w:r>
        <w:rPr>
          <w:sz w:val="21"/>
        </w:rPr>
        <w:t>(</w:t>
      </w:r>
      <w:r>
        <w:rPr>
          <w:sz w:val="21"/>
        </w:rPr>
        <w:t>含水率、容重、</w:t>
      </w:r>
      <w:r>
        <w:rPr>
          <w:sz w:val="21"/>
        </w:rPr>
        <w:t>pH</w:t>
      </w:r>
      <w:r>
        <w:rPr>
          <w:sz w:val="21"/>
        </w:rPr>
        <w:t>值、氧化还原电位</w:t>
      </w:r>
      <w:r>
        <w:rPr>
          <w:sz w:val="21"/>
        </w:rPr>
        <w:t>),</w:t>
      </w:r>
      <w:r>
        <w:rPr>
          <w:sz w:val="21"/>
        </w:rPr>
        <w:t>营养物</w:t>
      </w:r>
      <w:r>
        <w:rPr>
          <w:sz w:val="21"/>
        </w:rPr>
        <w:t>(</w:t>
      </w:r>
      <w:r>
        <w:rPr>
          <w:sz w:val="21"/>
        </w:rPr>
        <w:t>总氮</w:t>
      </w:r>
      <w:r>
        <w:rPr>
          <w:sz w:val="21"/>
        </w:rPr>
        <w:t>(TN)</w:t>
      </w:r>
      <w:r>
        <w:rPr>
          <w:sz w:val="21"/>
        </w:rPr>
        <w:t>、总磷</w:t>
      </w:r>
      <w:r>
        <w:rPr>
          <w:sz w:val="21"/>
        </w:rPr>
        <w:t>(TP)</w:t>
      </w:r>
      <w:r>
        <w:rPr>
          <w:sz w:val="21"/>
        </w:rPr>
        <w:t>，有机质</w:t>
      </w:r>
      <w:r>
        <w:rPr>
          <w:sz w:val="21"/>
        </w:rPr>
        <w:t>(OM),</w:t>
      </w:r>
      <w:r>
        <w:rPr>
          <w:sz w:val="21"/>
        </w:rPr>
        <w:t>氮形态及磷形态</w:t>
      </w:r>
      <w:r>
        <w:rPr>
          <w:sz w:val="21"/>
        </w:rPr>
        <w:t>)</w:t>
      </w:r>
      <w:r>
        <w:rPr>
          <w:sz w:val="21"/>
        </w:rPr>
        <w:t>和重金属</w:t>
      </w:r>
      <w:r>
        <w:rPr>
          <w:sz w:val="21"/>
        </w:rPr>
        <w:t>(Hg</w:t>
      </w:r>
      <w:r>
        <w:rPr>
          <w:sz w:val="21"/>
        </w:rPr>
        <w:t>、</w:t>
      </w:r>
      <w:r>
        <w:rPr>
          <w:sz w:val="21"/>
        </w:rPr>
        <w:t>As</w:t>
      </w:r>
      <w:r>
        <w:rPr>
          <w:sz w:val="21"/>
        </w:rPr>
        <w:t>、</w:t>
      </w:r>
      <w:r>
        <w:rPr>
          <w:sz w:val="21"/>
        </w:rPr>
        <w:t>Pb</w:t>
      </w:r>
      <w:r>
        <w:rPr>
          <w:sz w:val="21"/>
        </w:rPr>
        <w:t>、</w:t>
      </w:r>
      <w:r>
        <w:rPr>
          <w:sz w:val="21"/>
        </w:rPr>
        <w:t>Cu</w:t>
      </w:r>
      <w:r>
        <w:rPr>
          <w:sz w:val="21"/>
        </w:rPr>
        <w:t>、</w:t>
      </w:r>
      <w:r>
        <w:rPr>
          <w:sz w:val="21"/>
        </w:rPr>
        <w:t>Ni</w:t>
      </w:r>
      <w:r>
        <w:rPr>
          <w:sz w:val="21"/>
        </w:rPr>
        <w:t>、</w:t>
      </w:r>
      <w:r>
        <w:rPr>
          <w:sz w:val="21"/>
        </w:rPr>
        <w:t>Zn</w:t>
      </w:r>
      <w:r>
        <w:rPr>
          <w:sz w:val="21"/>
        </w:rPr>
        <w:t>、</w:t>
      </w:r>
      <w:r>
        <w:rPr>
          <w:sz w:val="21"/>
        </w:rPr>
        <w:t xml:space="preserve">Cr </w:t>
      </w:r>
      <w:r>
        <w:rPr>
          <w:sz w:val="21"/>
        </w:rPr>
        <w:t>和</w:t>
      </w:r>
      <w:r>
        <w:rPr>
          <w:sz w:val="21"/>
        </w:rPr>
        <w:t xml:space="preserve"> Cd</w:t>
      </w:r>
      <w:r>
        <w:rPr>
          <w:sz w:val="21"/>
        </w:rPr>
        <w:t>等</w:t>
      </w:r>
      <w:r>
        <w:rPr>
          <w:sz w:val="21"/>
        </w:rPr>
        <w:t>)</w:t>
      </w:r>
      <w:r>
        <w:rPr>
          <w:sz w:val="21"/>
        </w:rPr>
        <w:t>。针对间隙水样品进行分析测试的营养物指标</w:t>
      </w:r>
      <w:r>
        <w:rPr>
          <w:sz w:val="21"/>
        </w:rPr>
        <w:t>:</w:t>
      </w:r>
      <w:r>
        <w:rPr>
          <w:sz w:val="21"/>
        </w:rPr>
        <w:t>总氮</w:t>
      </w:r>
      <w:r>
        <w:rPr>
          <w:sz w:val="21"/>
        </w:rPr>
        <w:t>(TN)</w:t>
      </w:r>
      <w:r>
        <w:rPr>
          <w:sz w:val="21"/>
        </w:rPr>
        <w:t>、总磷</w:t>
      </w:r>
      <w:r>
        <w:rPr>
          <w:sz w:val="21"/>
        </w:rPr>
        <w:t>(TP)</w:t>
      </w:r>
      <w:r>
        <w:rPr>
          <w:sz w:val="21"/>
        </w:rPr>
        <w:t>、氨氮</w:t>
      </w:r>
      <w:r>
        <w:rPr>
          <w:sz w:val="21"/>
        </w:rPr>
        <w:t>(NH*-N)</w:t>
      </w:r>
      <w:r>
        <w:rPr>
          <w:sz w:val="21"/>
        </w:rPr>
        <w:t>、无机磷</w:t>
      </w:r>
      <w:r>
        <w:rPr>
          <w:sz w:val="21"/>
        </w:rPr>
        <w:t>(IP)</w:t>
      </w:r>
      <w:r>
        <w:rPr>
          <w:sz w:val="21"/>
        </w:rPr>
        <w:t>。此外，对于工程效益评估，可考虑视情况建立干流</w:t>
      </w:r>
      <w:r>
        <w:rPr>
          <w:sz w:val="21"/>
        </w:rPr>
        <w:t>-</w:t>
      </w:r>
      <w:r>
        <w:rPr>
          <w:sz w:val="21"/>
        </w:rPr>
        <w:t>支流、工程</w:t>
      </w:r>
      <w:r>
        <w:rPr>
          <w:sz w:val="21"/>
        </w:rPr>
        <w:t>-</w:t>
      </w:r>
      <w:r>
        <w:rPr>
          <w:sz w:val="21"/>
        </w:rPr>
        <w:t>水质之间的响应关系，评估不同情景下上下游、干支流对国考断面所在水体的污染贡献、工程的减排效益，科学优化组合流域截污治污、河道清淤与生态修复等整治项目，完善重点整治工程年度实施计划，保障每项工程“有内容、有地点、有期限、有概算、有责任人”做到系统治理、有机衔接、因地制宜，用最合理的资金投入与最短的时间实现最大的水质改善效果。全方位深入地技术识别影响珠海市国考断面水质稳定的深层次瓶颈及原因，并提出对策建议和研判分析技术支撑报告，支撑珠海科学精准治污决策。</w:t>
      </w:r>
      <w:r>
        <w:rPr>
          <w:sz w:val="21"/>
        </w:rPr>
        <w:t>2025</w:t>
      </w:r>
      <w:r>
        <w:rPr>
          <w:sz w:val="21"/>
        </w:rPr>
        <w:t>年11月31日前完成此项任务，并每半月至少提交</w:t>
      </w:r>
      <w:r>
        <w:rPr>
          <w:sz w:val="21"/>
        </w:rPr>
        <w:t>前山河流域水环境现场问题排查分析研究简报，年底提交</w:t>
      </w:r>
      <w:r>
        <w:rPr>
          <w:sz w:val="21"/>
        </w:rPr>
        <w:t>1</w:t>
      </w:r>
      <w:r>
        <w:rPr>
          <w:sz w:val="21"/>
        </w:rPr>
        <w:t>份珠海市国考断面水环境问题及断面水质提升分析研究报告与至少</w:t>
      </w:r>
      <w:r>
        <w:rPr>
          <w:sz w:val="21"/>
        </w:rPr>
        <w:t>12</w:t>
      </w:r>
      <w:r>
        <w:rPr>
          <w:sz w:val="21"/>
        </w:rPr>
        <w:t>份排查分析研究简报</w:t>
      </w:r>
      <w:r>
        <w:rPr>
          <w:sz w:val="21"/>
        </w:rPr>
        <w:t>。</w:t>
      </w:r>
      <w:r>
        <w:rPr>
          <w:sz w:val="21"/>
          <w:b/>
        </w:rPr>
        <w:t>第二条  签约合同价</w:t>
      </w:r>
    </w:p>
    <w:p>
      <w:pPr>
        <w:pStyle w:val="null3"/>
        <w:ind w:firstLine="420"/>
        <w:jc w:val="both"/>
      </w:pPr>
      <w:r>
        <w:rPr>
          <w:sz w:val="21"/>
        </w:rPr>
        <w:t>1.</w:t>
      </w:r>
      <w:r>
        <w:rPr>
          <w:sz w:val="21"/>
        </w:rPr>
        <w:t xml:space="preserve">中标价格：(小写)                               </w:t>
      </w:r>
    </w:p>
    <w:p>
      <w:pPr>
        <w:pStyle w:val="null3"/>
        <w:ind w:firstLine="1680"/>
        <w:jc w:val="both"/>
      </w:pPr>
      <w:r>
        <w:rPr>
          <w:sz w:val="21"/>
        </w:rPr>
        <w:t>(</w:t>
      </w:r>
      <w:r>
        <w:rPr>
          <w:sz w:val="21"/>
        </w:rPr>
        <w:t xml:space="preserve">大写)                               </w:t>
      </w:r>
    </w:p>
    <w:p>
      <w:pPr>
        <w:pStyle w:val="null3"/>
        <w:ind w:firstLine="420"/>
        <w:jc w:val="both"/>
      </w:pPr>
      <w:r>
        <w:rPr>
          <w:sz w:val="21"/>
        </w:rPr>
        <w:t>2.</w:t>
      </w:r>
      <w:r>
        <w:rPr>
          <w:sz w:val="21"/>
        </w:rPr>
        <w:t xml:space="preserve">合同价格：(小写)                               </w:t>
      </w:r>
    </w:p>
    <w:p>
      <w:pPr>
        <w:pStyle w:val="null3"/>
        <w:ind w:firstLine="1680"/>
        <w:jc w:val="both"/>
      </w:pPr>
      <w:r>
        <w:rPr>
          <w:sz w:val="21"/>
        </w:rPr>
        <w:t>(</w:t>
      </w:r>
      <w:r>
        <w:rPr>
          <w:sz w:val="21"/>
        </w:rPr>
        <w:t xml:space="preserve">大写)                               </w:t>
      </w:r>
    </w:p>
    <w:p>
      <w:pPr>
        <w:pStyle w:val="null3"/>
        <w:ind w:firstLine="420"/>
        <w:jc w:val="both"/>
      </w:pPr>
      <w:r>
        <w:rPr>
          <w:sz w:val="21"/>
        </w:rPr>
        <w:t>总价包干，投标总价为合同总价（含税）。合同总价在采购文件及合同约定的风险范围之内不可调整，亦不因后续法律法规的规定或市场物价的浮动或政府相关部门的指导价的变化而得到调整。合同总价应当包含完成项目所需的所有费用以及采购文件及承包合同约定应当由乙方承担的风险因素等费用，甲方不再另行支付。</w:t>
      </w:r>
    </w:p>
    <w:p>
      <w:pPr>
        <w:pStyle w:val="null3"/>
        <w:jc w:val="both"/>
      </w:pPr>
      <w:r>
        <w:rPr>
          <w:sz w:val="21"/>
          <w:b/>
        </w:rPr>
        <w:t>第三条</w:t>
      </w:r>
      <w:r>
        <w:rPr>
          <w:sz w:val="21"/>
          <w:b/>
        </w:rPr>
        <w:t>项目成果要求</w:t>
      </w:r>
    </w:p>
    <w:p>
      <w:pPr>
        <w:pStyle w:val="null3"/>
        <w:ind w:firstLine="420"/>
        <w:jc w:val="both"/>
      </w:pPr>
      <w:r>
        <w:rPr>
          <w:sz w:val="21"/>
        </w:rPr>
        <w:t>合同签订生效后，乙方于2025年每月底提交前山河流域水环境现场问题排查分析研究简报；</w:t>
      </w:r>
    </w:p>
    <w:p>
      <w:pPr>
        <w:pStyle w:val="null3"/>
        <w:ind w:firstLine="420"/>
        <w:jc w:val="both"/>
      </w:pPr>
      <w:r>
        <w:rPr>
          <w:sz w:val="21"/>
        </w:rPr>
        <w:t>2025</w:t>
      </w:r>
      <w:r>
        <w:rPr>
          <w:sz w:val="21"/>
        </w:rPr>
        <w:t>年12月10日前按甲方要求提交相关成果，提交以下报告电子版与纸质版：</w:t>
      </w:r>
    </w:p>
    <w:p>
      <w:pPr>
        <w:pStyle w:val="null3"/>
        <w:ind w:firstLine="420"/>
        <w:jc w:val="both"/>
      </w:pPr>
      <w:r>
        <w:rPr>
          <w:sz w:val="21"/>
        </w:rPr>
        <w:t>（1）《前山河流域水环境现场问题排查分析研究简报》12份；</w:t>
      </w:r>
    </w:p>
    <w:p>
      <w:pPr>
        <w:pStyle w:val="null3"/>
        <w:ind w:firstLine="420"/>
        <w:jc w:val="both"/>
      </w:pPr>
      <w:r>
        <w:rPr>
          <w:sz w:val="21"/>
        </w:rPr>
        <w:t>（2）《珠海市国考断面水质研判技术报告》1份；</w:t>
      </w:r>
    </w:p>
    <w:p>
      <w:pPr>
        <w:pStyle w:val="null3"/>
        <w:ind w:firstLine="420"/>
        <w:jc w:val="both"/>
      </w:pPr>
      <w:r>
        <w:rPr>
          <w:sz w:val="21"/>
        </w:rPr>
        <w:t>（3）《珠海市前山河流域现场调研水环境问题台账》1份；</w:t>
      </w:r>
    </w:p>
    <w:p>
      <w:pPr>
        <w:pStyle w:val="null3"/>
        <w:ind w:firstLine="420"/>
        <w:jc w:val="both"/>
      </w:pPr>
      <w:r>
        <w:rPr>
          <w:sz w:val="21"/>
        </w:rPr>
        <w:t>（4）提供宣传视频；</w:t>
      </w:r>
    </w:p>
    <w:p>
      <w:pPr>
        <w:pStyle w:val="null3"/>
        <w:spacing w:after="120"/>
        <w:ind w:firstLine="420"/>
        <w:jc w:val="both"/>
      </w:pPr>
      <w:r>
        <w:rPr>
          <w:sz w:val="21"/>
        </w:rPr>
        <w:t>（5）制作整理宣传册。</w:t>
      </w:r>
    </w:p>
    <w:p>
      <w:pPr>
        <w:pStyle w:val="null3"/>
        <w:jc w:val="both"/>
      </w:pPr>
      <w:r>
        <w:rPr>
          <w:sz w:val="21"/>
          <w:b/>
        </w:rPr>
        <w:t>第四条  双方的权利义务</w:t>
      </w:r>
    </w:p>
    <w:p>
      <w:pPr>
        <w:pStyle w:val="null3"/>
        <w:ind w:firstLine="420"/>
        <w:jc w:val="both"/>
      </w:pPr>
      <w:r>
        <w:rPr>
          <w:sz w:val="21"/>
        </w:rPr>
        <w:t>1.</w:t>
      </w:r>
      <w:r>
        <w:rPr>
          <w:sz w:val="21"/>
        </w:rPr>
        <w:t>甲方的权利、义务</w:t>
      </w:r>
    </w:p>
    <w:p>
      <w:pPr>
        <w:pStyle w:val="null3"/>
        <w:ind w:firstLine="420"/>
        <w:jc w:val="both"/>
      </w:pPr>
      <w:r>
        <w:rPr>
          <w:sz w:val="21"/>
        </w:rPr>
        <w:t>（1）有权按合同约定的期限要求乙方完成的全部工作成果；</w:t>
      </w:r>
    </w:p>
    <w:p>
      <w:pPr>
        <w:pStyle w:val="null3"/>
        <w:ind w:firstLine="420"/>
        <w:jc w:val="both"/>
      </w:pPr>
      <w:r>
        <w:rPr>
          <w:sz w:val="21"/>
        </w:rPr>
        <w:t>（2）有权要求乙方传授合同约定的服务项目解决的技术问题的知识、经验、方法；</w:t>
      </w:r>
    </w:p>
    <w:p>
      <w:pPr>
        <w:pStyle w:val="null3"/>
        <w:ind w:firstLine="420"/>
        <w:jc w:val="both"/>
      </w:pPr>
      <w:r>
        <w:rPr>
          <w:sz w:val="21"/>
        </w:rPr>
        <w:t>（3）根据合同约定按时支付服务费用。</w:t>
      </w:r>
    </w:p>
    <w:p>
      <w:pPr>
        <w:pStyle w:val="null3"/>
        <w:ind w:firstLine="420"/>
        <w:jc w:val="both"/>
      </w:pPr>
      <w:r>
        <w:rPr>
          <w:sz w:val="21"/>
        </w:rPr>
        <w:t>（4）法律法规规定的其他权利义务。</w:t>
      </w:r>
    </w:p>
    <w:p>
      <w:pPr>
        <w:pStyle w:val="null3"/>
        <w:ind w:firstLine="420"/>
        <w:jc w:val="both"/>
      </w:pPr>
      <w:r>
        <w:rPr>
          <w:sz w:val="21"/>
        </w:rPr>
        <w:t>2.</w:t>
      </w:r>
      <w:r>
        <w:rPr>
          <w:sz w:val="21"/>
        </w:rPr>
        <w:t>乙方的权利和义务</w:t>
      </w:r>
    </w:p>
    <w:p>
      <w:pPr>
        <w:pStyle w:val="null3"/>
        <w:ind w:firstLine="420"/>
        <w:jc w:val="both"/>
      </w:pPr>
      <w:r>
        <w:rPr>
          <w:sz w:val="21"/>
        </w:rPr>
        <w:t>（1）按期提交服务工作成果。</w:t>
      </w:r>
    </w:p>
    <w:p>
      <w:pPr>
        <w:pStyle w:val="null3"/>
        <w:ind w:firstLine="420"/>
        <w:jc w:val="both"/>
      </w:pPr>
      <w:r>
        <w:rPr>
          <w:sz w:val="21"/>
        </w:rPr>
        <w:t>（2）乙方因违反法律法规、规章制度而造成的一切损失由乙方自负，同时甲方有权保留是否终止合同的权利。</w:t>
      </w:r>
    </w:p>
    <w:p>
      <w:pPr>
        <w:pStyle w:val="null3"/>
        <w:ind w:firstLine="420"/>
        <w:jc w:val="both"/>
      </w:pPr>
      <w:r>
        <w:rPr>
          <w:sz w:val="21"/>
        </w:rPr>
        <w:t>（3）乙方按甲方要求提供项目资料及工作记录，不得弄虚作假。</w:t>
      </w:r>
    </w:p>
    <w:p>
      <w:pPr>
        <w:pStyle w:val="null3"/>
        <w:ind w:firstLine="420"/>
        <w:jc w:val="both"/>
      </w:pPr>
      <w:r>
        <w:rPr>
          <w:sz w:val="21"/>
        </w:rPr>
        <w:t>（4）</w:t>
      </w:r>
      <w:r>
        <w:rPr>
          <w:sz w:val="20"/>
        </w:rPr>
        <w:t>乙方有权依照合同约定按时向甲方收取服务费用</w:t>
      </w:r>
      <w:r>
        <w:rPr>
          <w:sz w:val="21"/>
        </w:rPr>
        <w:t>。</w:t>
      </w:r>
    </w:p>
    <w:p>
      <w:pPr>
        <w:pStyle w:val="null3"/>
        <w:ind w:firstLine="420"/>
        <w:jc w:val="both"/>
      </w:pPr>
      <w:r>
        <w:rPr>
          <w:sz w:val="21"/>
        </w:rPr>
        <w:t>（5）法律法规规定的其他权利义务。</w:t>
      </w:r>
    </w:p>
    <w:p>
      <w:pPr>
        <w:pStyle w:val="null3"/>
        <w:jc w:val="both"/>
      </w:pPr>
      <w:r>
        <w:rPr>
          <w:sz w:val="21"/>
          <w:b/>
        </w:rPr>
        <w:t>第五条  付款方式及计费方式</w:t>
      </w:r>
    </w:p>
    <w:p>
      <w:pPr>
        <w:pStyle w:val="null3"/>
        <w:ind w:firstLine="420"/>
        <w:jc w:val="both"/>
      </w:pPr>
      <w:r>
        <w:rPr>
          <w:sz w:val="21"/>
        </w:rPr>
        <w:t>第1期：支付比例70%，合同签订生效，且甲方收到乙方</w:t>
      </w:r>
      <w:r>
        <w:rPr>
          <w:sz w:val="21"/>
        </w:rPr>
        <w:t>合法有效发票</w:t>
      </w:r>
      <w:r>
        <w:rPr>
          <w:sz w:val="21"/>
        </w:rPr>
        <w:t>的五个工作日内</w:t>
      </w:r>
      <w:r>
        <w:rPr>
          <w:sz w:val="20"/>
        </w:rPr>
        <w:t>办理支付手续</w:t>
      </w:r>
      <w:r>
        <w:rPr>
          <w:sz w:val="21"/>
        </w:rPr>
        <w:t>，支付</w:t>
      </w:r>
      <w:r>
        <w:rPr>
          <w:sz w:val="20"/>
        </w:rPr>
        <w:t>合同总额</w:t>
      </w:r>
      <w:r>
        <w:rPr>
          <w:sz w:val="21"/>
        </w:rPr>
        <w:t>70%</w:t>
      </w:r>
      <w:r>
        <w:rPr>
          <w:sz w:val="21"/>
        </w:rPr>
        <w:t>的费用，</w:t>
      </w:r>
      <w:r>
        <w:rPr>
          <w:sz w:val="21"/>
        </w:rPr>
        <w:t>即人民币</w:t>
      </w:r>
      <w:r>
        <w:rPr>
          <w:sz w:val="21"/>
          <w:u w:val="single"/>
        </w:rPr>
        <w:t xml:space="preserve">                </w:t>
      </w:r>
      <w:r>
        <w:rPr>
          <w:sz w:val="21"/>
        </w:rPr>
        <w:t>元整（¥</w:t>
      </w:r>
      <w:r>
        <w:rPr>
          <w:sz w:val="21"/>
          <w:u w:val="single"/>
        </w:rPr>
        <w:t xml:space="preserve">       </w:t>
      </w:r>
      <w:r>
        <w:rPr>
          <w:sz w:val="21"/>
        </w:rPr>
        <w:t>元）</w:t>
      </w:r>
      <w:r>
        <w:rPr>
          <w:sz w:val="21"/>
        </w:rPr>
        <w:t>。</w:t>
      </w:r>
    </w:p>
    <w:p>
      <w:pPr>
        <w:pStyle w:val="null3"/>
        <w:ind w:firstLine="420"/>
        <w:jc w:val="both"/>
      </w:pPr>
      <w:r>
        <w:rPr>
          <w:sz w:val="21"/>
        </w:rPr>
        <w:t>第2期：</w:t>
      </w:r>
      <w:r>
        <w:rPr>
          <w:sz w:val="21"/>
        </w:rPr>
        <w:t>支付比例25%，2025年7月31日前乙方提交的6期</w:t>
      </w:r>
      <w:r>
        <w:rPr>
          <w:sz w:val="21"/>
        </w:rPr>
        <w:t>前山河流域水环境现场问题排查分析研究简报</w:t>
      </w:r>
      <w:r>
        <w:rPr>
          <w:sz w:val="21"/>
        </w:rPr>
        <w:t>经</w:t>
      </w:r>
      <w:r>
        <w:rPr>
          <w:sz w:val="21"/>
        </w:rPr>
        <w:t>甲方</w:t>
      </w:r>
      <w:r>
        <w:rPr>
          <w:sz w:val="21"/>
        </w:rPr>
        <w:t>审核后，且甲方收到乙方合法有效发票五个工作日内</w:t>
      </w:r>
      <w:r>
        <w:rPr>
          <w:sz w:val="20"/>
        </w:rPr>
        <w:t>办理支付手续</w:t>
      </w:r>
      <w:r>
        <w:rPr>
          <w:sz w:val="21"/>
        </w:rPr>
        <w:t>，支付</w:t>
      </w:r>
      <w:r>
        <w:rPr>
          <w:sz w:val="20"/>
        </w:rPr>
        <w:t>合同总额</w:t>
      </w:r>
      <w:r>
        <w:rPr>
          <w:sz w:val="21"/>
        </w:rPr>
        <w:t>25%</w:t>
      </w:r>
      <w:r>
        <w:rPr>
          <w:sz w:val="21"/>
        </w:rPr>
        <w:t>的费用</w:t>
      </w:r>
      <w:r>
        <w:rPr>
          <w:sz w:val="21"/>
        </w:rPr>
        <w:t>，</w:t>
      </w:r>
      <w:r>
        <w:rPr>
          <w:sz w:val="21"/>
        </w:rPr>
        <w:t>即人民币</w:t>
      </w:r>
      <w:r>
        <w:rPr>
          <w:sz w:val="21"/>
          <w:u w:val="single"/>
        </w:rPr>
        <w:t xml:space="preserve">                </w:t>
      </w:r>
      <w:r>
        <w:rPr>
          <w:sz w:val="21"/>
        </w:rPr>
        <w:t>元整（¥</w:t>
      </w:r>
      <w:r>
        <w:rPr>
          <w:sz w:val="21"/>
          <w:u w:val="single"/>
        </w:rPr>
        <w:t xml:space="preserve">       </w:t>
      </w:r>
      <w:r>
        <w:rPr>
          <w:sz w:val="21"/>
        </w:rPr>
        <w:t>元）</w:t>
      </w:r>
      <w:r>
        <w:rPr>
          <w:sz w:val="21"/>
        </w:rPr>
        <w:t>。</w:t>
      </w:r>
    </w:p>
    <w:p>
      <w:pPr>
        <w:pStyle w:val="null3"/>
        <w:ind w:firstLine="420"/>
        <w:jc w:val="both"/>
      </w:pPr>
      <w:r>
        <w:rPr>
          <w:sz w:val="21"/>
        </w:rPr>
        <w:t>第3期：支付比例5%，2025年12月10日前乙方提交相关成果并通过甲方组织的验收后，且甲方收到乙方</w:t>
      </w:r>
      <w:r>
        <w:rPr>
          <w:sz w:val="21"/>
        </w:rPr>
        <w:t>合法有效发票</w:t>
      </w:r>
      <w:r>
        <w:rPr>
          <w:sz w:val="21"/>
        </w:rPr>
        <w:t>五个工作日内</w:t>
      </w:r>
      <w:r>
        <w:rPr>
          <w:sz w:val="20"/>
        </w:rPr>
        <w:t>办理支付手续</w:t>
      </w:r>
      <w:r>
        <w:rPr>
          <w:sz w:val="21"/>
        </w:rPr>
        <w:t>，支付</w:t>
      </w:r>
      <w:r>
        <w:rPr>
          <w:sz w:val="20"/>
        </w:rPr>
        <w:t>合同总额</w:t>
      </w:r>
      <w:r>
        <w:rPr>
          <w:sz w:val="21"/>
        </w:rPr>
        <w:t>5%</w:t>
      </w:r>
      <w:r>
        <w:rPr>
          <w:sz w:val="21"/>
        </w:rPr>
        <w:t>的费用，</w:t>
      </w:r>
      <w:r>
        <w:rPr>
          <w:sz w:val="21"/>
        </w:rPr>
        <w:t>即人民币</w:t>
      </w:r>
      <w:r>
        <w:rPr>
          <w:sz w:val="21"/>
          <w:u w:val="single"/>
        </w:rPr>
        <w:t xml:space="preserve">                </w:t>
      </w:r>
      <w:r>
        <w:rPr>
          <w:sz w:val="21"/>
        </w:rPr>
        <w:t>元整（¥</w:t>
      </w:r>
      <w:r>
        <w:rPr>
          <w:sz w:val="21"/>
          <w:u w:val="single"/>
        </w:rPr>
        <w:t xml:space="preserve">       </w:t>
      </w:r>
      <w:r>
        <w:rPr>
          <w:sz w:val="21"/>
        </w:rPr>
        <w:t>元）</w:t>
      </w:r>
      <w:r>
        <w:rPr>
          <w:sz w:val="21"/>
        </w:rPr>
        <w:t>。</w:t>
      </w:r>
    </w:p>
    <w:p>
      <w:pPr>
        <w:pStyle w:val="null3"/>
        <w:jc w:val="both"/>
      </w:pPr>
      <w:r>
        <w:rPr>
          <w:sz w:val="21"/>
          <w:b/>
        </w:rPr>
        <w:t>第六条  验收</w:t>
      </w:r>
    </w:p>
    <w:p>
      <w:pPr>
        <w:pStyle w:val="null3"/>
        <w:ind w:firstLine="420"/>
        <w:jc w:val="both"/>
      </w:pPr>
      <w:r>
        <w:rPr>
          <w:sz w:val="21"/>
        </w:rPr>
        <w:t>1</w:t>
      </w:r>
      <w:r>
        <w:rPr>
          <w:sz w:val="19"/>
        </w:rPr>
        <w:t>.</w:t>
      </w:r>
      <w:r>
        <w:rPr>
          <w:sz w:val="21"/>
        </w:rPr>
        <w:t>项目成果符合《中华人民共和国水污染防治法》、《广东省碧水保卫战行动计划（2021-2025年）》、《广东省2024年水污染防治工作方案》、《前山河流域跨界防洪及河涌水污染综合整治规划珠海部分》、《广东省珠江三角洲水质保护条例》和《珠海经济特区前山河流域管理条例》等相关标准、规范等技术文件，并通过</w:t>
      </w:r>
      <w:r>
        <w:rPr>
          <w:sz w:val="21"/>
        </w:rPr>
        <w:t>甲方</w:t>
      </w:r>
      <w:r>
        <w:rPr>
          <w:sz w:val="21"/>
        </w:rPr>
        <w:t>组织的专家评审。</w:t>
      </w:r>
    </w:p>
    <w:p>
      <w:pPr>
        <w:pStyle w:val="null3"/>
        <w:ind w:firstLine="420"/>
        <w:jc w:val="both"/>
      </w:pPr>
      <w:r>
        <w:rPr>
          <w:sz w:val="21"/>
        </w:rPr>
        <w:t>2.</w:t>
      </w:r>
      <w:r>
        <w:rPr>
          <w:sz w:val="21"/>
        </w:rPr>
        <w:t>通过</w:t>
      </w:r>
      <w:r>
        <w:rPr>
          <w:sz w:val="21"/>
        </w:rPr>
        <w:t>甲方</w:t>
      </w:r>
      <w:r>
        <w:rPr>
          <w:sz w:val="21"/>
        </w:rPr>
        <w:t>验收后，乙方将相关资料递交并完成备案。</w:t>
      </w:r>
    </w:p>
    <w:p>
      <w:pPr>
        <w:pStyle w:val="null3"/>
        <w:ind w:firstLine="420"/>
        <w:jc w:val="both"/>
      </w:pPr>
      <w:r>
        <w:rPr>
          <w:sz w:val="21"/>
        </w:rPr>
        <w:t>3.</w:t>
      </w:r>
      <w:r>
        <w:rPr>
          <w:sz w:val="21"/>
        </w:rPr>
        <w:t>验收过程中发生的检验检测费、劳务报酬等费用支出，由</w:t>
      </w:r>
      <w:r>
        <w:rPr>
          <w:sz w:val="21"/>
        </w:rPr>
        <w:t>甲方</w:t>
      </w:r>
      <w:r>
        <w:rPr>
          <w:sz w:val="21"/>
        </w:rPr>
        <w:t>支付。对于首次验收不合格，重新验收产生的费用，由乙方承担。</w:t>
      </w:r>
      <w:r>
        <w:rPr>
          <w:sz w:val="21"/>
        </w:rPr>
        <w:t>在验收期间，</w:t>
      </w:r>
      <w:r>
        <w:rPr>
          <w:sz w:val="21"/>
        </w:rPr>
        <w:t>乙方</w:t>
      </w:r>
      <w:r>
        <w:rPr>
          <w:sz w:val="21"/>
        </w:rPr>
        <w:t>的交通、住宿、保险等费用自理。</w:t>
      </w:r>
    </w:p>
    <w:p>
      <w:pPr>
        <w:pStyle w:val="null3"/>
        <w:ind w:firstLine="420"/>
        <w:jc w:val="both"/>
      </w:pPr>
      <w:r>
        <w:rPr>
          <w:sz w:val="21"/>
        </w:rPr>
        <w:t>4.</w:t>
      </w:r>
      <w:r>
        <w:rPr>
          <w:sz w:val="21"/>
        </w:rPr>
        <w:t>完成上述步骤，验收工作完成。</w:t>
      </w:r>
    </w:p>
    <w:p>
      <w:pPr>
        <w:pStyle w:val="null3"/>
        <w:ind w:firstLine="420"/>
        <w:jc w:val="both"/>
      </w:pPr>
      <w:r>
        <w:rPr>
          <w:sz w:val="21"/>
        </w:rPr>
        <w:t>5.</w:t>
      </w:r>
      <w:r>
        <w:rPr>
          <w:sz w:val="21"/>
        </w:rPr>
        <w:t>验收期限：技术服务工作完成并提交成果后，</w:t>
      </w:r>
      <w:r>
        <w:rPr>
          <w:sz w:val="21"/>
        </w:rPr>
        <w:t>甲方</w:t>
      </w:r>
      <w:r>
        <w:rPr>
          <w:sz w:val="21"/>
        </w:rPr>
        <w:t>收到乙方验收申请后7日内组织履约验收。</w:t>
      </w:r>
    </w:p>
    <w:p>
      <w:pPr>
        <w:pStyle w:val="null3"/>
        <w:jc w:val="both"/>
      </w:pPr>
      <w:r>
        <w:rPr>
          <w:sz w:val="21"/>
          <w:b/>
        </w:rPr>
        <w:t>第七条  合同履行期限</w:t>
      </w:r>
    </w:p>
    <w:p>
      <w:pPr>
        <w:pStyle w:val="null3"/>
        <w:ind w:firstLine="400"/>
        <w:jc w:val="both"/>
      </w:pPr>
      <w:r>
        <w:rPr>
          <w:sz w:val="20"/>
        </w:rPr>
        <w:t>自合同签订生效之日起至2025年12月31日止。</w:t>
      </w:r>
    </w:p>
    <w:p>
      <w:pPr>
        <w:pStyle w:val="null3"/>
        <w:jc w:val="both"/>
      </w:pPr>
      <w:r>
        <w:rPr>
          <w:sz w:val="21"/>
          <w:b/>
        </w:rPr>
        <w:t>第八条  违约责任</w:t>
      </w:r>
    </w:p>
    <w:p>
      <w:pPr>
        <w:pStyle w:val="null3"/>
        <w:ind w:firstLine="420"/>
        <w:jc w:val="both"/>
      </w:pPr>
      <w:r>
        <w:rPr>
          <w:sz w:val="21"/>
        </w:rPr>
        <w:t>1.</w:t>
      </w:r>
      <w:r>
        <w:rPr>
          <w:sz w:val="21"/>
        </w:rPr>
        <w:t>由于乙方原因导致合同不能继续执行或者乙方单方面终止合同，乙方将甲方已经支付给乙方的合同款返还给甲方（返还的合同款扣除已经履行义务部分的费用），并向甲方支付合同总金额的5%违约金。</w:t>
      </w:r>
    </w:p>
    <w:p>
      <w:pPr>
        <w:pStyle w:val="null3"/>
        <w:ind w:firstLine="420"/>
        <w:jc w:val="both"/>
      </w:pPr>
      <w:r>
        <w:rPr>
          <w:sz w:val="21"/>
        </w:rPr>
        <w:t>2.</w:t>
      </w:r>
      <w:r>
        <w:rPr>
          <w:sz w:val="21"/>
        </w:rPr>
        <w:t>由于甲方政策变化等原因，合同不能继续执行需终止合同的，乙方将甲方已经支付给乙方的合同款返还给甲方（返还的合同款扣除已经履行义务部分的费用）。</w:t>
      </w:r>
    </w:p>
    <w:p>
      <w:pPr>
        <w:pStyle w:val="null3"/>
        <w:ind w:firstLine="420"/>
        <w:jc w:val="both"/>
      </w:pPr>
      <w:r>
        <w:rPr>
          <w:sz w:val="21"/>
        </w:rPr>
        <w:t>3.</w:t>
      </w:r>
      <w:r>
        <w:rPr>
          <w:sz w:val="21"/>
        </w:rPr>
        <w:t>乙方提供的服务不符合合同约定的，乙方应在甲方规定的时间内予以整改，乙方整改仍不合格或者拒不整改的，甲方有权解除合同，且视为是由于乙方原因导致的合同不能继续执行，乙方应按上述违约责任1承担违约责任。</w:t>
      </w:r>
    </w:p>
    <w:p>
      <w:pPr>
        <w:pStyle w:val="null3"/>
        <w:ind w:firstLine="420"/>
        <w:jc w:val="both"/>
      </w:pPr>
      <w:r>
        <w:rPr>
          <w:sz w:val="21"/>
        </w:rPr>
        <w:t>4.</w:t>
      </w:r>
      <w:r>
        <w:rPr>
          <w:sz w:val="21"/>
        </w:rPr>
        <w:t>甲方逾期付款的，每日应向乙方偿付逾期款项的千分之二作为违约金，最高累计不超过合同总价的3%。</w:t>
      </w:r>
    </w:p>
    <w:p>
      <w:pPr>
        <w:pStyle w:val="null3"/>
        <w:jc w:val="both"/>
      </w:pPr>
      <w:r>
        <w:rPr>
          <w:sz w:val="21"/>
          <w:b/>
        </w:rPr>
        <w:t>第九条 对服务异议的时间和办法</w:t>
      </w:r>
    </w:p>
    <w:p>
      <w:pPr>
        <w:pStyle w:val="null3"/>
        <w:ind w:firstLine="420"/>
        <w:jc w:val="both"/>
      </w:pPr>
      <w:r>
        <w:rPr>
          <w:sz w:val="21"/>
        </w:rPr>
        <w:t>1.</w:t>
      </w:r>
      <w:r>
        <w:rPr>
          <w:sz w:val="21"/>
        </w:rPr>
        <w:t>甲方在验收中，如果发现提交成果不合规定，应在30日内向乙方提出书面异议，甲方提出的口头异议经乙方书面认可后同样视为有效异议。</w:t>
      </w:r>
    </w:p>
    <w:p>
      <w:pPr>
        <w:pStyle w:val="null3"/>
        <w:ind w:firstLine="420"/>
        <w:jc w:val="both"/>
      </w:pPr>
      <w:r>
        <w:rPr>
          <w:sz w:val="21"/>
        </w:rPr>
        <w:t>2.</w:t>
      </w:r>
      <w:r>
        <w:rPr>
          <w:sz w:val="21"/>
        </w:rPr>
        <w:t>乙方在接到甲方书面异议后，应在3天内响应，否则，即视为默认甲方提出的异议和处理意见。</w:t>
      </w:r>
    </w:p>
    <w:p>
      <w:pPr>
        <w:pStyle w:val="null3"/>
        <w:jc w:val="both"/>
      </w:pPr>
      <w:r>
        <w:rPr>
          <w:sz w:val="21"/>
          <w:b/>
        </w:rPr>
        <w:t>第十条  保密</w:t>
      </w:r>
    </w:p>
    <w:p>
      <w:pPr>
        <w:pStyle w:val="null3"/>
        <w:ind w:firstLine="420"/>
        <w:jc w:val="both"/>
      </w:pPr>
      <w:r>
        <w:rPr>
          <w:sz w:val="21"/>
        </w:rPr>
        <w:t>1.</w:t>
      </w:r>
      <w:r>
        <w:rPr>
          <w:sz w:val="21"/>
        </w:rPr>
        <w:t>乙方需严格遵守国家保密管理工作相关法律法规，保守在服务中所涉及的秘密，对所有数据及相关信息资料保密，未经甲方书面许可不得以任何方式公开展示、发表或透露给第三方。否则甲方可以无条件解除与乙方签订的服务合同，并追溯其连带责任。</w:t>
      </w:r>
    </w:p>
    <w:p>
      <w:pPr>
        <w:pStyle w:val="null3"/>
        <w:ind w:firstLine="420"/>
        <w:jc w:val="both"/>
      </w:pPr>
      <w:r>
        <w:rPr>
          <w:sz w:val="21"/>
        </w:rPr>
        <w:t>2.</w:t>
      </w:r>
      <w:r>
        <w:rPr>
          <w:sz w:val="21"/>
        </w:rPr>
        <w:t>乙方的上述保密义务长期有效，除非上述商业秘密和技术信息已经进入公知领域。</w:t>
      </w:r>
    </w:p>
    <w:p>
      <w:pPr>
        <w:pStyle w:val="null3"/>
        <w:jc w:val="both"/>
      </w:pPr>
      <w:r>
        <w:rPr>
          <w:sz w:val="21"/>
          <w:b/>
        </w:rPr>
        <w:t>第十一条  知识产权</w:t>
      </w:r>
    </w:p>
    <w:p>
      <w:pPr>
        <w:pStyle w:val="null3"/>
        <w:ind w:firstLine="420"/>
        <w:jc w:val="both"/>
      </w:pPr>
      <w:r>
        <w:rPr>
          <w:sz w:val="21"/>
        </w:rPr>
        <w:t>乙方须保障甲方在使用该服务或其任何一部分时不受到第三方关于侵犯专利权、商标权等知识产权的指控。如果任何第三方提出侵权指控与甲方无关，乙方须与第三方交涉并承担可能发生的责任与一切费用。如甲方因此而遭致损失的，乙方赔偿该损失。</w:t>
      </w:r>
    </w:p>
    <w:p>
      <w:pPr>
        <w:pStyle w:val="null3"/>
        <w:jc w:val="both"/>
      </w:pPr>
      <w:r>
        <w:rPr>
          <w:sz w:val="21"/>
          <w:b/>
        </w:rPr>
        <w:t>第十二条  不可抗力</w:t>
      </w:r>
    </w:p>
    <w:p>
      <w:pPr>
        <w:pStyle w:val="null3"/>
        <w:ind w:firstLine="420"/>
        <w:jc w:val="both"/>
      </w:pPr>
      <w:r>
        <w:rPr>
          <w:sz w:val="21"/>
        </w:rPr>
        <w:t>1.</w:t>
      </w:r>
      <w:r>
        <w:rPr>
          <w:sz w:val="21"/>
        </w:rPr>
        <w:t>不可抗力事故系指甲乙双方在缔结合同时所不能预见的，并且它的发生及其后果是无法避免和无法克服的事故。受阻一方应在不可抗力事故发生后尽快用电报、传真或电传通知对方，并于事故发生后14天内将有关当局出具的证明文件用特快专递或挂号信寄给对方审阅确认。</w:t>
      </w:r>
    </w:p>
    <w:p>
      <w:pPr>
        <w:pStyle w:val="null3"/>
        <w:ind w:firstLine="420"/>
        <w:jc w:val="both"/>
      </w:pPr>
      <w:r>
        <w:rPr>
          <w:sz w:val="21"/>
        </w:rPr>
        <w:t>2.</w:t>
      </w:r>
      <w:r>
        <w:rPr>
          <w:sz w:val="21"/>
        </w:rPr>
        <w:t>签约双方任一方由于受诸如战争、严重火灾、洪水、台风、地震等不可抗力事故的影响而不能执行合同时，经确认后，允许延期履行、部分履行或不履行合同，并根据情况可部分或全部免予承担违约责任。</w:t>
      </w:r>
    </w:p>
    <w:p>
      <w:pPr>
        <w:pStyle w:val="null3"/>
        <w:jc w:val="both"/>
      </w:pPr>
      <w:r>
        <w:rPr>
          <w:sz w:val="21"/>
          <w:b/>
        </w:rPr>
        <w:t>第十三条 争议的解决</w:t>
      </w:r>
    </w:p>
    <w:p>
      <w:pPr>
        <w:pStyle w:val="null3"/>
        <w:ind w:firstLine="420"/>
        <w:jc w:val="both"/>
      </w:pPr>
      <w:r>
        <w:rPr>
          <w:sz w:val="21"/>
        </w:rPr>
        <w:t>甲方与乙方双方因履行本协议发生纠纷，由甲方与乙方双方协商解决，协商不成的，甲方与乙方任何一方都可向甲方所在地人民法院提出诉讼。</w:t>
      </w:r>
    </w:p>
    <w:p>
      <w:pPr>
        <w:pStyle w:val="null3"/>
        <w:jc w:val="both"/>
      </w:pPr>
      <w:r>
        <w:rPr>
          <w:sz w:val="21"/>
          <w:b/>
        </w:rPr>
        <w:t>第十四条 无效合同</w:t>
      </w:r>
    </w:p>
    <w:p>
      <w:pPr>
        <w:pStyle w:val="null3"/>
        <w:ind w:firstLine="420"/>
        <w:jc w:val="both"/>
      </w:pPr>
      <w:r>
        <w:rPr>
          <w:sz w:val="21"/>
        </w:rPr>
        <w:t>甲乙双方如因违反国家法律、法规和有关政府采购规定，被珠海市政府采购监管办公室给予宣告合同无效的处罚，责任由过错方承担。</w:t>
      </w:r>
    </w:p>
    <w:p>
      <w:pPr>
        <w:pStyle w:val="null3"/>
        <w:jc w:val="both"/>
      </w:pPr>
      <w:r>
        <w:rPr>
          <w:sz w:val="21"/>
          <w:b/>
        </w:rPr>
        <w:t>第十五条  附则</w:t>
      </w:r>
    </w:p>
    <w:p>
      <w:pPr>
        <w:pStyle w:val="null3"/>
        <w:ind w:firstLine="420"/>
        <w:jc w:val="both"/>
      </w:pPr>
      <w:r>
        <w:rPr>
          <w:sz w:val="21"/>
        </w:rPr>
        <w:t>1.</w:t>
      </w:r>
      <w:r>
        <w:rPr>
          <w:sz w:val="21"/>
        </w:rPr>
        <w:t>本合同经甲乙双方法定代表人或其授权代表签字盖章后生效，本合同一式伍份，甲方存贰份，乙方存贰份，壹份送珠海市中正咨询服务有限公司存档。</w:t>
      </w:r>
    </w:p>
    <w:p>
      <w:pPr>
        <w:pStyle w:val="null3"/>
        <w:ind w:firstLine="420"/>
        <w:jc w:val="both"/>
      </w:pPr>
      <w:r>
        <w:rPr>
          <w:sz w:val="21"/>
        </w:rPr>
        <w:t>2.</w:t>
      </w:r>
      <w:r>
        <w:rPr>
          <w:sz w:val="21"/>
        </w:rPr>
        <w:t>本合同所有附件、招标文件、报价文件、中标通知书均为合同的有效组成部分，与本合同具 有同等法律效力。</w:t>
      </w:r>
    </w:p>
    <w:p>
      <w:pPr>
        <w:pStyle w:val="null3"/>
        <w:ind w:firstLine="420"/>
        <w:jc w:val="both"/>
      </w:pPr>
      <w:r>
        <w:rPr>
          <w:sz w:val="21"/>
        </w:rPr>
        <w:t>3.</w:t>
      </w:r>
      <w:r>
        <w:rPr>
          <w:sz w:val="21"/>
        </w:rPr>
        <w:t>在执行本合同的过程中，所有经双方签署确认的文件(包括会议纪要、补充协议、往来信函) 即成为本合同的有效组成部分。</w:t>
      </w:r>
    </w:p>
    <w:p>
      <w:pPr>
        <w:pStyle w:val="null3"/>
        <w:ind w:firstLine="420"/>
        <w:jc w:val="both"/>
      </w:pPr>
      <w:r>
        <w:rPr>
          <w:sz w:val="21"/>
        </w:rPr>
        <w:t>4.</w:t>
      </w:r>
      <w:r>
        <w:rPr>
          <w:sz w:val="21"/>
        </w:rPr>
        <w:t>当组成本合同的文件内容相互矛盾时，其优先解释顺序如下：</w:t>
      </w:r>
    </w:p>
    <w:p>
      <w:pPr>
        <w:pStyle w:val="null3"/>
        <w:ind w:firstLine="420"/>
        <w:jc w:val="both"/>
      </w:pPr>
      <w:r>
        <w:rPr>
          <w:sz w:val="21"/>
        </w:rPr>
        <w:t>1</w:t>
      </w:r>
      <w:r>
        <w:rPr>
          <w:sz w:val="21"/>
        </w:rPr>
        <w:t>）履行本合同的相关补充协议（含洽商记录、会议纪要等修正文件）</w:t>
      </w:r>
    </w:p>
    <w:p>
      <w:pPr>
        <w:pStyle w:val="null3"/>
        <w:ind w:firstLine="420"/>
        <w:jc w:val="both"/>
      </w:pPr>
      <w:r>
        <w:rPr>
          <w:sz w:val="21"/>
        </w:rPr>
        <w:t>2</w:t>
      </w:r>
      <w:r>
        <w:rPr>
          <w:sz w:val="21"/>
        </w:rPr>
        <w:t>）本合同；</w:t>
      </w:r>
    </w:p>
    <w:p>
      <w:pPr>
        <w:pStyle w:val="null3"/>
        <w:ind w:firstLine="420"/>
        <w:jc w:val="both"/>
      </w:pPr>
      <w:r>
        <w:rPr>
          <w:sz w:val="21"/>
        </w:rPr>
        <w:t>3</w:t>
      </w:r>
      <w:r>
        <w:rPr>
          <w:sz w:val="21"/>
        </w:rPr>
        <w:t>）本项目的采购文件（包括补充、修改、澄清的文件、答疑纪要等）;</w:t>
      </w:r>
    </w:p>
    <w:p>
      <w:pPr>
        <w:pStyle w:val="null3"/>
        <w:ind w:firstLine="420"/>
        <w:jc w:val="both"/>
      </w:pPr>
      <w:r>
        <w:rPr>
          <w:sz w:val="21"/>
        </w:rPr>
        <w:t>4</w:t>
      </w:r>
      <w:r>
        <w:rPr>
          <w:sz w:val="21"/>
        </w:rPr>
        <w:t>）投标（响应）文件及其附件（含采购期间的澄清文件和补充资料）;</w:t>
      </w:r>
    </w:p>
    <w:p>
      <w:pPr>
        <w:pStyle w:val="null3"/>
        <w:ind w:firstLine="420"/>
        <w:jc w:val="both"/>
      </w:pPr>
      <w:r>
        <w:rPr>
          <w:sz w:val="21"/>
        </w:rPr>
        <w:t>5</w:t>
      </w:r>
      <w:r>
        <w:rPr>
          <w:sz w:val="21"/>
        </w:rPr>
        <w:t>）中标（成交）通知书。</w:t>
      </w:r>
    </w:p>
    <w:p>
      <w:pPr>
        <w:pStyle w:val="null3"/>
        <w:ind w:firstLine="420"/>
        <w:jc w:val="both"/>
      </w:pPr>
      <w:r>
        <w:rPr>
          <w:sz w:val="21"/>
        </w:rPr>
        <w:t>上述各项合同文件中属于同一类别的，以最新签署的为准。</w:t>
      </w:r>
    </w:p>
    <w:p>
      <w:pPr>
        <w:pStyle w:val="null3"/>
        <w:ind w:firstLine="420"/>
        <w:jc w:val="both"/>
      </w:pPr>
      <w:r>
        <w:rPr>
          <w:sz w:val="21"/>
        </w:rPr>
        <w:t>5.</w:t>
      </w:r>
      <w:r>
        <w:rPr>
          <w:sz w:val="21"/>
        </w:rPr>
        <w:t>如一方地址、电话、传真号码有变更，应在变更当日内书面通知对方，否则，应承担相应责任。</w:t>
      </w:r>
    </w:p>
    <w:p>
      <w:pPr>
        <w:pStyle w:val="null3"/>
        <w:ind w:firstLine="420"/>
        <w:jc w:val="both"/>
      </w:pPr>
      <w:r>
        <w:rPr>
          <w:sz w:val="21"/>
        </w:rPr>
        <w:t>6.</w:t>
      </w:r>
      <w:r>
        <w:rPr>
          <w:sz w:val="21"/>
        </w:rPr>
        <w:t>除甲方事先书面同意外，乙方不得部分或全部转让其应履行的合同项下的义务。</w:t>
      </w:r>
    </w:p>
    <w:p>
      <w:pPr>
        <w:pStyle w:val="null3"/>
        <w:ind w:firstLine="420"/>
        <w:jc w:val="both"/>
      </w:pPr>
      <w:r>
        <w:rPr>
          <w:sz w:val="21"/>
        </w:rPr>
        <w:t>甲方（盖章） ：                       乙方（盖章） ：</w:t>
      </w:r>
    </w:p>
    <w:p>
      <w:pPr>
        <w:pStyle w:val="null3"/>
        <w:jc w:val="both"/>
      </w:pPr>
      <w:r>
        <w:rPr>
          <w:sz w:val="21"/>
        </w:rPr>
        <w:t>代表：                                代表：</w:t>
      </w:r>
    </w:p>
    <w:p>
      <w:pPr>
        <w:pStyle w:val="null3"/>
        <w:jc w:val="both"/>
      </w:pPr>
      <w:r>
        <w:rPr>
          <w:sz w:val="21"/>
        </w:rPr>
        <w:t>签订地点：</w:t>
      </w:r>
    </w:p>
    <w:p>
      <w:pPr>
        <w:pStyle w:val="null3"/>
        <w:jc w:val="both"/>
      </w:pPr>
      <w:r>
        <w:rPr>
          <w:sz w:val="21"/>
        </w:rPr>
        <w:t>签订日期：    年  月  日              签订日期：    年  月  日</w:t>
      </w:r>
    </w:p>
    <w:p>
      <w:pPr>
        <w:pStyle w:val="null3"/>
        <w:ind w:firstLine="3990"/>
        <w:jc w:val="both"/>
      </w:pPr>
      <w:r>
        <w:rPr>
          <w:sz w:val="21"/>
        </w:rPr>
        <w:t xml:space="preserve">开户名称：                            </w:t>
      </w:r>
    </w:p>
    <w:p>
      <w:pPr>
        <w:pStyle w:val="null3"/>
        <w:ind w:firstLine="3990"/>
        <w:jc w:val="both"/>
      </w:pPr>
      <w:r>
        <w:rPr>
          <w:sz w:val="21"/>
        </w:rPr>
        <w:t>银行账号：</w:t>
      </w:r>
    </w:p>
    <w:p>
      <w:pPr>
        <w:pStyle w:val="null3"/>
        <w:ind w:firstLine="3990"/>
        <w:jc w:val="both"/>
      </w:pPr>
      <w:r>
        <w:rPr>
          <w:sz w:val="21"/>
        </w:rPr>
        <w:t>开 户 行：</w:t>
      </w:r>
    </w:p>
    <w:p>
      <w:pPr>
        <w:pStyle w:val="null3"/>
        <w:jc w:val="both"/>
      </w:pPr>
      <w:r>
        <w:rPr>
          <w:sz w:val="21"/>
        </w:rPr>
        <w:t>见证单位： 珠海市中正咨询服务有限公司</w:t>
      </w:r>
    </w:p>
    <w:p>
      <w:pPr>
        <w:pStyle w:val="null3"/>
        <w:jc w:val="both"/>
      </w:pPr>
      <w:r>
        <w:rPr>
          <w:sz w:val="21"/>
        </w:rPr>
        <w:t>见证意见： 合同主要条款无偏离。</w:t>
      </w:r>
    </w:p>
    <w:p>
      <w:pPr>
        <w:pStyle w:val="null3"/>
        <w:jc w:val="both"/>
      </w:pPr>
      <w:r>
        <w:rPr>
          <w:sz w:val="21"/>
        </w:rPr>
        <w:t>经办人：</w:t>
      </w:r>
    </w:p>
    <w:p>
      <w:pPr>
        <w:pStyle w:val="null3"/>
        <w:jc w:val="both"/>
      </w:pPr>
      <w:r>
        <w:rPr>
          <w:sz w:val="21"/>
        </w:rPr>
        <w:t>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440401-2025-02147</w:t>
      </w:r>
    </w:p>
    <w:p>
      <w:pPr>
        <w:pStyle w:val="null3"/>
        <w:jc w:val="center"/>
        <w:outlineLvl w:val="3"/>
      </w:pPr>
      <w:r>
        <w:rPr>
          <w:sz w:val="24"/>
          <w:b/>
        </w:rPr>
        <w:t>采购项目编号：</w:t>
      </w:r>
      <w:r>
        <w:rPr>
          <w:sz w:val="24"/>
          <w:b/>
        </w:rPr>
        <w:t>ZHZZ2501020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珠海市中正咨询服务有限公司</w:t>
      </w:r>
    </w:p>
    <w:p>
      <w:pPr>
        <w:pStyle w:val="null3"/>
        <w:ind w:firstLine="480"/>
      </w:pPr>
      <w:r>
        <w:rPr/>
        <w:t xml:space="preserve"> 你方组织的</w:t>
      </w:r>
      <w:r>
        <w:rPr>
          <w:u w:val="single"/>
        </w:rPr>
        <w:t>“</w:t>
      </w:r>
      <w:r>
        <w:rPr>
          <w:u w:val="single"/>
        </w:rPr>
        <w:t>珠海市生态环境局2025年珠海市地表水国考断面水质研判分析服务采购项目</w:t>
      </w:r>
      <w:r>
        <w:rPr>
          <w:u w:val="single"/>
        </w:rPr>
        <w:t>”</w:t>
      </w:r>
      <w:r>
        <w:rPr/>
        <w:t>项目的招标[采购项目编号为：</w:t>
      </w:r>
      <w:r>
        <w:rPr>
          <w:u w:val="single"/>
        </w:rPr>
        <w:t>ZHZZ2501020</w:t>
      </w:r>
      <w:r>
        <w:rPr/>
        <w:t>]，我方愿参与投标。</w:t>
      </w:r>
    </w:p>
    <w:p>
      <w:pPr>
        <w:pStyle w:val="null3"/>
        <w:ind w:firstLine="480"/>
      </w:pPr>
      <w:r>
        <w:rPr/>
        <w:t>我方确认收到贵方提供的</w:t>
      </w:r>
      <w:r>
        <w:rPr>
          <w:u w:val="single"/>
        </w:rPr>
        <w:t>“</w:t>
      </w:r>
      <w:r>
        <w:rPr>
          <w:u w:val="single"/>
        </w:rPr>
        <w:t>珠海市生态环境局2025年珠海市地表水国考断面水质研判分析服务采购项目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珠海市中正咨询服务有限公司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珠海市生态环境局2025年珠海市地表水国考断面水质研判分析服务采购项目</w:t>
      </w:r>
      <w:r>
        <w:rPr/>
        <w:t>”项目采购[采购项目编号为</w:t>
      </w:r>
      <w:r>
        <w:rPr/>
        <w:t>ZHZZ2501020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珠海市中正咨询服务有限公司</w:t>
      </w:r>
    </w:p>
    <w:p>
      <w:pPr>
        <w:pStyle w:val="null3"/>
        <w:ind w:firstLine="480"/>
      </w:pPr>
      <w:r>
        <w:rPr/>
        <w:t xml:space="preserve"> 如果我方在贵采购代理机构组织的</w:t>
      </w:r>
      <w:r>
        <w:rPr/>
        <w:t>珠海市生态环境局2025年珠海市地表水国考断面水质研判分析服务采购项目</w:t>
      </w:r>
      <w:r>
        <w:rPr/>
        <w:t>招标中获中标（采购项目编号：</w:t>
      </w:r>
      <w:r>
        <w:rPr/>
        <w:t>ZHZZ2501020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珠海市中正咨询服务有限公司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珠海市中正咨询服务有限公司</w:t>
      </w:r>
    </w:p>
    <w:p>
      <w:pPr>
        <w:pStyle w:val="null3"/>
        <w:ind w:firstLine="480"/>
      </w:pPr>
      <w:r>
        <w:rPr/>
        <w:t>我单位已登记并准备参与“</w:t>
      </w:r>
      <w:r>
        <w:rPr/>
        <w:t>珠海市生态环境局2025年珠海市地表水国考断面水质研判分析服务采购项目</w:t>
      </w:r>
      <w:r>
        <w:rPr/>
        <w:t>”项目（采购项目编号：</w:t>
      </w:r>
      <w:r>
        <w:rPr/>
        <w:t>ZHZZ2501020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