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287872">
      <w:pPr>
        <w:adjustRightInd w:val="0"/>
        <w:snapToGrid w:val="0"/>
        <w:jc w:val="center"/>
        <w:rPr>
          <w:rFonts w:hint="eastAsia" w:ascii="宋体" w:hAnsi="宋体"/>
          <w:b/>
          <w:sz w:val="24"/>
        </w:rPr>
      </w:pPr>
      <w:bookmarkStart w:id="0" w:name="_Toc512937852"/>
    </w:p>
    <w:p w14:paraId="62A8ADCF">
      <w:pPr>
        <w:adjustRightInd w:val="0"/>
        <w:snapToGrid w:val="0"/>
        <w:jc w:val="center"/>
        <w:rPr>
          <w:rFonts w:hint="eastAsia" w:ascii="宋体" w:hAnsi="宋体"/>
          <w:b/>
          <w:sz w:val="24"/>
        </w:rPr>
      </w:pPr>
    </w:p>
    <w:p w14:paraId="45B69B94">
      <w:pPr>
        <w:adjustRightInd w:val="0"/>
        <w:snapToGrid w:val="0"/>
        <w:jc w:val="center"/>
        <w:rPr>
          <w:rFonts w:hint="eastAsia" w:ascii="宋体" w:hAnsi="宋体"/>
          <w:b/>
          <w:sz w:val="24"/>
        </w:rPr>
      </w:pPr>
    </w:p>
    <w:p w14:paraId="061F3CA9">
      <w:pPr>
        <w:adjustRightInd w:val="0"/>
        <w:snapToGrid w:val="0"/>
        <w:jc w:val="center"/>
        <w:rPr>
          <w:rFonts w:hint="eastAsia" w:ascii="宋体" w:hAnsi="宋体"/>
          <w:b/>
          <w:sz w:val="24"/>
        </w:rPr>
      </w:pPr>
    </w:p>
    <w:p w14:paraId="4245D72F">
      <w:pPr>
        <w:adjustRightInd w:val="0"/>
        <w:snapToGrid w:val="0"/>
        <w:jc w:val="center"/>
        <w:rPr>
          <w:rFonts w:hint="eastAsia" w:ascii="宋体" w:hAnsi="宋体"/>
          <w:b/>
          <w:sz w:val="24"/>
        </w:rPr>
      </w:pPr>
    </w:p>
    <w:p w14:paraId="58F66603">
      <w:pPr>
        <w:adjustRightInd w:val="0"/>
        <w:snapToGrid w:val="0"/>
        <w:jc w:val="center"/>
        <w:rPr>
          <w:rFonts w:hint="eastAsia" w:ascii="宋体" w:hAnsi="宋体"/>
          <w:b/>
          <w:sz w:val="24"/>
        </w:rPr>
      </w:pPr>
    </w:p>
    <w:p w14:paraId="71B25205">
      <w:pPr>
        <w:adjustRightInd w:val="0"/>
        <w:snapToGrid w:val="0"/>
        <w:jc w:val="center"/>
        <w:rPr>
          <w:rFonts w:hint="eastAsia" w:ascii="宋体" w:hAnsi="宋体"/>
          <w:b/>
          <w:sz w:val="24"/>
        </w:rPr>
      </w:pPr>
    </w:p>
    <w:p w14:paraId="202D4590">
      <w:pPr>
        <w:adjustRightInd w:val="0"/>
        <w:snapToGrid w:val="0"/>
        <w:jc w:val="center"/>
        <w:rPr>
          <w:rFonts w:hint="eastAsia" w:ascii="宋体" w:hAnsi="宋体"/>
          <w:b/>
          <w:sz w:val="24"/>
        </w:rPr>
      </w:pPr>
    </w:p>
    <w:p w14:paraId="7ACB6EF9">
      <w:pPr>
        <w:adjustRightInd w:val="0"/>
        <w:snapToGrid w:val="0"/>
        <w:jc w:val="center"/>
        <w:rPr>
          <w:rFonts w:hint="eastAsia" w:ascii="宋体" w:hAnsi="宋体"/>
          <w:b/>
          <w:sz w:val="24"/>
        </w:rPr>
      </w:pPr>
    </w:p>
    <w:p w14:paraId="11C4D669">
      <w:pPr>
        <w:adjustRightInd w:val="0"/>
        <w:snapToGrid w:val="0"/>
        <w:jc w:val="center"/>
        <w:rPr>
          <w:rFonts w:hint="eastAsia" w:ascii="宋体" w:hAnsi="宋体"/>
          <w:b/>
          <w:sz w:val="24"/>
        </w:rPr>
      </w:pPr>
    </w:p>
    <w:p w14:paraId="4DC4966A">
      <w:pPr>
        <w:adjustRightInd w:val="0"/>
        <w:snapToGrid w:val="0"/>
        <w:jc w:val="center"/>
        <w:rPr>
          <w:rFonts w:hint="eastAsia" w:ascii="宋体" w:hAnsi="宋体"/>
          <w:b/>
          <w:sz w:val="24"/>
        </w:rPr>
      </w:pPr>
    </w:p>
    <w:p w14:paraId="7D9500D9">
      <w:pPr>
        <w:adjustRightInd w:val="0"/>
        <w:snapToGrid w:val="0"/>
        <w:jc w:val="center"/>
        <w:rPr>
          <w:rFonts w:hint="eastAsia" w:ascii="宋体" w:hAnsi="宋体"/>
          <w:b/>
          <w:sz w:val="24"/>
        </w:rPr>
      </w:pPr>
    </w:p>
    <w:p w14:paraId="7DD38720">
      <w:pPr>
        <w:adjustRightInd w:val="0"/>
        <w:snapToGrid w:val="0"/>
        <w:spacing w:before="936" w:beforeLines="300"/>
        <w:jc w:val="center"/>
        <w:rPr>
          <w:rFonts w:hint="eastAsia" w:ascii="黑体" w:eastAsia="黑体"/>
          <w:b/>
          <w:kern w:val="44"/>
          <w:sz w:val="48"/>
          <w:szCs w:val="20"/>
        </w:rPr>
      </w:pPr>
      <w:bookmarkStart w:id="20" w:name="_GoBack"/>
      <w:bookmarkEnd w:id="20"/>
      <w:r>
        <w:rPr>
          <w:rFonts w:hint="eastAsia" w:ascii="黑体" w:eastAsia="黑体"/>
          <w:b/>
          <w:kern w:val="44"/>
          <w:sz w:val="48"/>
          <w:szCs w:val="20"/>
        </w:rPr>
        <w:t>第八部分  采购需求</w:t>
      </w:r>
      <w:r>
        <w:rPr>
          <w:rFonts w:ascii="黑体" w:eastAsia="黑体"/>
          <w:b/>
          <w:kern w:val="44"/>
          <w:sz w:val="48"/>
          <w:szCs w:val="20"/>
        </w:rPr>
        <w:br w:type="page"/>
      </w:r>
    </w:p>
    <w:bookmarkEnd w:id="0"/>
    <w:p w14:paraId="0331CC71">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14:paraId="415034F1">
      <w:pPr>
        <w:adjustRightInd w:val="0"/>
        <w:snapToGrid w:val="0"/>
        <w:jc w:val="center"/>
        <w:rPr>
          <w:rFonts w:hint="eastAsia" w:ascii="宋体" w:hAnsi="宋体"/>
          <w:b/>
          <w:sz w:val="30"/>
          <w:szCs w:val="30"/>
        </w:rPr>
      </w:pPr>
    </w:p>
    <w:tbl>
      <w:tblPr>
        <w:tblStyle w:val="27"/>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14:paraId="090B7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wBefore w:w="0" w:type="dxa"/>
          <w:wAfter w:w="0" w:type="dxa"/>
          <w:trHeight w:val="602" w:hRule="atLeast"/>
          <w:jc w:val="center"/>
        </w:trPr>
        <w:tc>
          <w:tcPr>
            <w:tcW w:w="762" w:type="dxa"/>
            <w:noWrap w:val="0"/>
            <w:vAlign w:val="center"/>
          </w:tcPr>
          <w:p w14:paraId="57A5BDCD">
            <w:pPr>
              <w:jc w:val="center"/>
              <w:rPr>
                <w:rFonts w:ascii="宋体" w:hAnsi="Bookman Old Style"/>
                <w:sz w:val="24"/>
              </w:rPr>
            </w:pPr>
            <w:r>
              <w:rPr>
                <w:rFonts w:hint="eastAsia" w:ascii="宋体" w:hAnsi="Bookman Old Style"/>
                <w:sz w:val="24"/>
              </w:rPr>
              <w:t>包号</w:t>
            </w:r>
          </w:p>
        </w:tc>
        <w:tc>
          <w:tcPr>
            <w:tcW w:w="2640" w:type="dxa"/>
            <w:noWrap w:val="0"/>
            <w:vAlign w:val="center"/>
          </w:tcPr>
          <w:p w14:paraId="1017D53C">
            <w:pPr>
              <w:jc w:val="center"/>
              <w:rPr>
                <w:rFonts w:ascii="宋体" w:hAnsi="Bookman Old Style"/>
                <w:sz w:val="24"/>
              </w:rPr>
            </w:pPr>
            <w:r>
              <w:rPr>
                <w:rFonts w:hint="eastAsia" w:ascii="宋体" w:hAnsi="Bookman Old Style"/>
                <w:sz w:val="24"/>
              </w:rPr>
              <w:t>货物名称</w:t>
            </w:r>
          </w:p>
        </w:tc>
        <w:tc>
          <w:tcPr>
            <w:tcW w:w="635" w:type="dxa"/>
            <w:noWrap w:val="0"/>
            <w:vAlign w:val="center"/>
          </w:tcPr>
          <w:p w14:paraId="5BFD5BEC">
            <w:pPr>
              <w:jc w:val="center"/>
              <w:rPr>
                <w:rFonts w:ascii="宋体" w:hAnsi="Bookman Old Style"/>
                <w:sz w:val="24"/>
              </w:rPr>
            </w:pPr>
            <w:r>
              <w:rPr>
                <w:rFonts w:hint="eastAsia" w:ascii="宋体" w:hAnsi="Bookman Old Style"/>
                <w:sz w:val="24"/>
              </w:rPr>
              <w:t>数量</w:t>
            </w:r>
          </w:p>
        </w:tc>
        <w:tc>
          <w:tcPr>
            <w:tcW w:w="1320" w:type="dxa"/>
            <w:noWrap w:val="0"/>
            <w:vAlign w:val="center"/>
          </w:tcPr>
          <w:p w14:paraId="03C3E938">
            <w:pPr>
              <w:jc w:val="center"/>
              <w:rPr>
                <w:rFonts w:ascii="宋体" w:hAnsi="Bookman Old Style"/>
                <w:sz w:val="24"/>
              </w:rPr>
            </w:pPr>
            <w:r>
              <w:rPr>
                <w:rFonts w:hint="eastAsia" w:ascii="宋体" w:hAnsi="Bookman Old Style"/>
                <w:sz w:val="24"/>
              </w:rPr>
              <w:t>交货期</w:t>
            </w:r>
          </w:p>
        </w:tc>
        <w:tc>
          <w:tcPr>
            <w:tcW w:w="1765" w:type="dxa"/>
            <w:noWrap w:val="0"/>
            <w:vAlign w:val="center"/>
          </w:tcPr>
          <w:p w14:paraId="54CB2653">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14:paraId="698C0A74">
            <w:pPr>
              <w:jc w:val="center"/>
              <w:rPr>
                <w:rFonts w:ascii="宋体" w:hAnsi="Bookman Old Style"/>
                <w:sz w:val="24"/>
                <w:shd w:val="pct10" w:color="auto" w:fill="FFFFFF"/>
              </w:rPr>
            </w:pPr>
            <w:r>
              <w:rPr>
                <w:rFonts w:hint="eastAsia" w:ascii="宋体" w:hAnsi="Bookman Old Style"/>
                <w:sz w:val="24"/>
              </w:rPr>
              <w:t>项目现场（交货地点）</w:t>
            </w:r>
          </w:p>
        </w:tc>
      </w:tr>
      <w:tr w14:paraId="5684D3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wBefore w:w="0" w:type="dxa"/>
          <w:wAfter w:w="0" w:type="dxa"/>
          <w:trHeight w:val="963" w:hRule="atLeast"/>
          <w:jc w:val="center"/>
        </w:trPr>
        <w:tc>
          <w:tcPr>
            <w:tcW w:w="762" w:type="dxa"/>
            <w:vMerge w:val="restart"/>
            <w:noWrap w:val="0"/>
            <w:vAlign w:val="center"/>
          </w:tcPr>
          <w:p w14:paraId="2601D46B">
            <w:pPr>
              <w:jc w:val="center"/>
              <w:rPr>
                <w:rFonts w:hint="eastAsia" w:ascii="宋体"/>
                <w:sz w:val="24"/>
              </w:rPr>
            </w:pPr>
            <w:r>
              <w:rPr>
                <w:rFonts w:hint="eastAsia" w:ascii="宋体"/>
                <w:sz w:val="24"/>
              </w:rPr>
              <w:t>1</w:t>
            </w:r>
          </w:p>
        </w:tc>
        <w:tc>
          <w:tcPr>
            <w:tcW w:w="2640" w:type="dxa"/>
            <w:noWrap w:val="0"/>
            <w:vAlign w:val="center"/>
          </w:tcPr>
          <w:p w14:paraId="0C475BD3">
            <w:pPr>
              <w:jc w:val="center"/>
              <w:rPr>
                <w:rFonts w:hint="eastAsia" w:ascii="Bookman Old Style" w:hAnsi="Bookman Old Style"/>
                <w:sz w:val="24"/>
              </w:rPr>
            </w:pPr>
            <w:r>
              <w:rPr>
                <w:rFonts w:hint="eastAsia" w:ascii="宋体" w:hAnsi="宋体"/>
                <w:sz w:val="24"/>
              </w:rPr>
              <w:t>电感耦合等离子体串联质谱仪</w:t>
            </w:r>
          </w:p>
        </w:tc>
        <w:tc>
          <w:tcPr>
            <w:tcW w:w="635" w:type="dxa"/>
            <w:noWrap w:val="0"/>
            <w:vAlign w:val="center"/>
          </w:tcPr>
          <w:p w14:paraId="01916266">
            <w:pPr>
              <w:jc w:val="center"/>
              <w:rPr>
                <w:rFonts w:hint="eastAsia" w:ascii="宋体" w:hAnsi="Bookman Old Style"/>
                <w:sz w:val="24"/>
              </w:rPr>
            </w:pPr>
            <w:r>
              <w:rPr>
                <w:rFonts w:hint="eastAsia" w:ascii="宋体" w:hAnsi="Bookman Old Style"/>
                <w:sz w:val="24"/>
              </w:rPr>
              <w:t>1</w:t>
            </w:r>
          </w:p>
        </w:tc>
        <w:tc>
          <w:tcPr>
            <w:tcW w:w="5605" w:type="dxa"/>
            <w:gridSpan w:val="3"/>
            <w:noWrap w:val="0"/>
            <w:vAlign w:val="center"/>
          </w:tcPr>
          <w:p w14:paraId="6CA57D68">
            <w:pPr>
              <w:jc w:val="center"/>
              <w:rPr>
                <w:rFonts w:ascii="宋体" w:hAnsi="Bookman Old Style"/>
                <w:sz w:val="24"/>
              </w:rPr>
            </w:pPr>
            <w:r>
              <w:rPr>
                <w:rFonts w:hint="eastAsia" w:ascii="宋体" w:hAnsi="Bookman Old Style"/>
                <w:sz w:val="24"/>
              </w:rPr>
              <w:t>详见需求部分</w:t>
            </w:r>
          </w:p>
        </w:tc>
      </w:tr>
      <w:tr w14:paraId="61C58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wBefore w:w="0" w:type="dxa"/>
          <w:wAfter w:w="0" w:type="dxa"/>
          <w:trHeight w:val="963" w:hRule="atLeast"/>
          <w:jc w:val="center"/>
        </w:trPr>
        <w:tc>
          <w:tcPr>
            <w:tcW w:w="762" w:type="dxa"/>
            <w:vMerge w:val="continue"/>
            <w:noWrap w:val="0"/>
            <w:vAlign w:val="center"/>
          </w:tcPr>
          <w:p w14:paraId="099115F0">
            <w:pPr>
              <w:jc w:val="center"/>
              <w:rPr>
                <w:rFonts w:hint="eastAsia" w:ascii="宋体"/>
                <w:sz w:val="24"/>
              </w:rPr>
            </w:pPr>
          </w:p>
        </w:tc>
        <w:tc>
          <w:tcPr>
            <w:tcW w:w="2640" w:type="dxa"/>
            <w:noWrap w:val="0"/>
            <w:vAlign w:val="center"/>
          </w:tcPr>
          <w:p w14:paraId="1CBA3BE8">
            <w:pPr>
              <w:jc w:val="center"/>
              <w:rPr>
                <w:rFonts w:hint="eastAsia" w:ascii="Bookman Old Style" w:hAnsi="Bookman Old Style"/>
                <w:sz w:val="24"/>
              </w:rPr>
            </w:pPr>
            <w:r>
              <w:rPr>
                <w:rFonts w:hint="eastAsia" w:ascii="宋体" w:hAnsi="宋体"/>
                <w:sz w:val="24"/>
              </w:rPr>
              <w:t>固体蒸发进样系统</w:t>
            </w:r>
          </w:p>
        </w:tc>
        <w:tc>
          <w:tcPr>
            <w:tcW w:w="635" w:type="dxa"/>
            <w:noWrap w:val="0"/>
            <w:vAlign w:val="center"/>
          </w:tcPr>
          <w:p w14:paraId="62CD6F4B">
            <w:pPr>
              <w:jc w:val="center"/>
              <w:rPr>
                <w:rFonts w:hint="eastAsia" w:ascii="宋体" w:hAnsi="Bookman Old Style"/>
                <w:sz w:val="24"/>
              </w:rPr>
            </w:pPr>
            <w:r>
              <w:rPr>
                <w:rFonts w:hint="eastAsia" w:ascii="宋体" w:hAnsi="Bookman Old Style"/>
                <w:sz w:val="24"/>
              </w:rPr>
              <w:t>1</w:t>
            </w:r>
          </w:p>
        </w:tc>
        <w:tc>
          <w:tcPr>
            <w:tcW w:w="5605" w:type="dxa"/>
            <w:gridSpan w:val="3"/>
            <w:noWrap w:val="0"/>
            <w:vAlign w:val="center"/>
          </w:tcPr>
          <w:p w14:paraId="2B3708B2">
            <w:pPr>
              <w:jc w:val="center"/>
              <w:rPr>
                <w:rFonts w:hint="eastAsia" w:ascii="宋体" w:hAnsi="Bookman Old Style"/>
                <w:sz w:val="24"/>
              </w:rPr>
            </w:pPr>
            <w:r>
              <w:rPr>
                <w:rFonts w:hint="eastAsia" w:ascii="宋体" w:hAnsi="Bookman Old Style"/>
                <w:sz w:val="24"/>
              </w:rPr>
              <w:t>详见需求部分</w:t>
            </w:r>
          </w:p>
        </w:tc>
      </w:tr>
    </w:tbl>
    <w:p w14:paraId="355BC5C2">
      <w:pPr>
        <w:adjustRightInd w:val="0"/>
        <w:snapToGrid w:val="0"/>
        <w:jc w:val="center"/>
        <w:rPr>
          <w:rFonts w:hint="eastAsia" w:ascii="宋体" w:hAnsi="宋体"/>
          <w:b/>
          <w:sz w:val="30"/>
          <w:szCs w:val="30"/>
        </w:rPr>
      </w:pPr>
    </w:p>
    <w:p w14:paraId="3B2C54AE">
      <w:pPr>
        <w:adjustRightInd w:val="0"/>
        <w:snapToGrid w:val="0"/>
        <w:jc w:val="center"/>
        <w:rPr>
          <w:rFonts w:hint="eastAsia" w:ascii="宋体" w:hAnsi="宋体"/>
          <w:b/>
          <w:sz w:val="30"/>
          <w:szCs w:val="30"/>
        </w:rPr>
      </w:pPr>
    </w:p>
    <w:p w14:paraId="7A35C9CD">
      <w:pPr>
        <w:adjustRightInd w:val="0"/>
        <w:snapToGrid w:val="0"/>
        <w:jc w:val="center"/>
        <w:rPr>
          <w:rFonts w:hint="eastAsia" w:ascii="宋体" w:hAnsi="宋体"/>
          <w:b/>
          <w:sz w:val="30"/>
          <w:szCs w:val="30"/>
        </w:rPr>
      </w:pPr>
    </w:p>
    <w:p w14:paraId="251C1A66">
      <w:pPr>
        <w:rPr>
          <w:rFonts w:hint="eastAsia" w:ascii="Bookman Old Style" w:hAnsi="Bookman Old Style"/>
          <w:sz w:val="24"/>
        </w:rPr>
      </w:pPr>
      <w:r>
        <w:rPr>
          <w:rFonts w:hint="eastAsia"/>
          <w:sz w:val="24"/>
        </w:rPr>
        <w:t>注：投标人须对上述投标内容中完整的一包进行投标，</w:t>
      </w:r>
      <w:r>
        <w:rPr>
          <w:rFonts w:hint="eastAsia" w:ascii="Bookman Old Style" w:hAnsi="Bookman Old Style"/>
          <w:sz w:val="24"/>
        </w:rPr>
        <w:t>不完整的投标将视为非响应性投标予以拒绝。</w:t>
      </w:r>
    </w:p>
    <w:p w14:paraId="116D5C03">
      <w:pPr>
        <w:adjustRightInd w:val="0"/>
        <w:snapToGrid w:val="0"/>
        <w:rPr>
          <w:rFonts w:hint="eastAsia" w:ascii="宋体" w:hAnsi="宋体"/>
          <w:szCs w:val="21"/>
        </w:rPr>
      </w:pPr>
    </w:p>
    <w:p w14:paraId="24751D9E">
      <w:pPr>
        <w:adjustRightInd w:val="0"/>
        <w:snapToGrid w:val="0"/>
        <w:rPr>
          <w:rFonts w:hint="eastAsia" w:ascii="宋体" w:hAnsi="宋体"/>
          <w:szCs w:val="21"/>
        </w:rPr>
      </w:pPr>
    </w:p>
    <w:p w14:paraId="2AF7CCEA">
      <w:pPr>
        <w:adjustRightInd w:val="0"/>
        <w:snapToGrid w:val="0"/>
        <w:rPr>
          <w:rFonts w:hint="eastAsia" w:ascii="宋体" w:hAnsi="宋体"/>
          <w:szCs w:val="21"/>
        </w:rPr>
      </w:pPr>
    </w:p>
    <w:p w14:paraId="20449B26">
      <w:pPr>
        <w:adjustRightInd w:val="0"/>
        <w:snapToGrid w:val="0"/>
        <w:rPr>
          <w:rFonts w:hint="eastAsia" w:ascii="宋体" w:hAnsi="宋体"/>
          <w:szCs w:val="21"/>
        </w:rPr>
      </w:pPr>
    </w:p>
    <w:p w14:paraId="6BA690E6">
      <w:pPr>
        <w:adjustRightInd w:val="0"/>
        <w:snapToGrid w:val="0"/>
        <w:rPr>
          <w:rFonts w:hint="eastAsia" w:ascii="宋体" w:hAnsi="宋体"/>
          <w:szCs w:val="21"/>
        </w:rPr>
      </w:pPr>
    </w:p>
    <w:p w14:paraId="7ACD27BB">
      <w:pPr>
        <w:adjustRightInd w:val="0"/>
        <w:snapToGrid w:val="0"/>
        <w:rPr>
          <w:rFonts w:hint="eastAsia" w:ascii="宋体" w:hAnsi="宋体"/>
          <w:szCs w:val="21"/>
        </w:rPr>
      </w:pPr>
    </w:p>
    <w:p w14:paraId="518C216B">
      <w:pPr>
        <w:adjustRightInd w:val="0"/>
        <w:snapToGrid w:val="0"/>
        <w:rPr>
          <w:rFonts w:hint="eastAsia" w:ascii="宋体" w:hAnsi="宋体"/>
          <w:szCs w:val="21"/>
        </w:rPr>
      </w:pPr>
    </w:p>
    <w:p w14:paraId="5D75A78C">
      <w:pPr>
        <w:adjustRightInd w:val="0"/>
        <w:snapToGrid w:val="0"/>
        <w:rPr>
          <w:rFonts w:hint="eastAsia" w:ascii="宋体" w:hAnsi="宋体"/>
          <w:szCs w:val="21"/>
        </w:rPr>
      </w:pPr>
    </w:p>
    <w:p w14:paraId="2755563A">
      <w:pPr>
        <w:adjustRightInd w:val="0"/>
        <w:snapToGrid w:val="0"/>
        <w:rPr>
          <w:rFonts w:hint="eastAsia" w:ascii="宋体" w:hAnsi="宋体"/>
          <w:szCs w:val="21"/>
        </w:rPr>
      </w:pPr>
    </w:p>
    <w:p w14:paraId="51EBE367">
      <w:pPr>
        <w:adjustRightInd w:val="0"/>
        <w:snapToGrid w:val="0"/>
        <w:rPr>
          <w:rFonts w:hint="eastAsia" w:ascii="宋体" w:hAnsi="宋体"/>
          <w:szCs w:val="21"/>
        </w:rPr>
      </w:pPr>
    </w:p>
    <w:p w14:paraId="69A33288">
      <w:pPr>
        <w:adjustRightInd w:val="0"/>
        <w:snapToGrid w:val="0"/>
        <w:rPr>
          <w:rFonts w:hint="eastAsia" w:ascii="宋体" w:hAnsi="宋体"/>
          <w:szCs w:val="21"/>
        </w:rPr>
      </w:pPr>
    </w:p>
    <w:p w14:paraId="43A5FA98">
      <w:pPr>
        <w:adjustRightInd w:val="0"/>
        <w:snapToGrid w:val="0"/>
        <w:rPr>
          <w:rFonts w:hint="eastAsia" w:ascii="宋体" w:hAnsi="宋体"/>
          <w:szCs w:val="21"/>
        </w:rPr>
      </w:pPr>
    </w:p>
    <w:p w14:paraId="39E8FD89">
      <w:pPr>
        <w:adjustRightInd w:val="0"/>
        <w:snapToGrid w:val="0"/>
        <w:rPr>
          <w:rFonts w:hint="eastAsia" w:ascii="宋体" w:hAnsi="宋体"/>
          <w:b/>
          <w:sz w:val="30"/>
          <w:szCs w:val="30"/>
        </w:rPr>
      </w:pPr>
      <w:r>
        <w:rPr>
          <w:rFonts w:ascii="宋体" w:hAnsi="宋体"/>
          <w:b/>
          <w:sz w:val="30"/>
          <w:szCs w:val="30"/>
        </w:rPr>
        <w:br w:type="page"/>
      </w:r>
    </w:p>
    <w:p w14:paraId="3FA5F36D">
      <w:pPr>
        <w:numPr>
          <w:ilvl w:val="2"/>
          <w:numId w:val="1"/>
        </w:numPr>
        <w:tabs>
          <w:tab w:val="left" w:pos="720"/>
          <w:tab w:val="clear" w:pos="1560"/>
        </w:tabs>
        <w:adjustRightInd w:val="0"/>
        <w:snapToGrid w:val="0"/>
        <w:ind w:hanging="1560"/>
        <w:jc w:val="center"/>
        <w:rPr>
          <w:rFonts w:ascii="宋体" w:hAnsi="宋体"/>
          <w:b/>
          <w:sz w:val="30"/>
          <w:szCs w:val="30"/>
        </w:rPr>
      </w:pPr>
      <w:r>
        <w:rPr>
          <w:rFonts w:hint="eastAsia" w:ascii="宋体" w:hAnsi="宋体"/>
          <w:b/>
          <w:sz w:val="30"/>
          <w:szCs w:val="30"/>
        </w:rPr>
        <w:t>总则</w:t>
      </w:r>
    </w:p>
    <w:p w14:paraId="74C612FB">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14:paraId="75F88338">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14:paraId="42FBBFB4">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0917058F">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14:paraId="3409B4FC">
      <w:pPr>
        <w:spacing w:line="360" w:lineRule="auto"/>
        <w:ind w:left="554" w:hanging="554" w:hangingChars="231"/>
        <w:rPr>
          <w:rFonts w:hint="eastAsia" w:ascii="宋体"/>
          <w:sz w:val="24"/>
        </w:rPr>
      </w:pPr>
      <w:r>
        <w:rPr>
          <w:rFonts w:hint="eastAsia" w:ascii="宋体"/>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145C5AC7">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14:paraId="079A9166">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14:paraId="46B28CC0">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p>
    <w:p w14:paraId="746239D8">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14:paraId="4BE188E7">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14:paraId="15F2B6BD">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14:paraId="69EED17F">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14:paraId="6124EBB9">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14:paraId="041372D8">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14:paraId="34BA606C">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14:paraId="20211BC9">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14:paraId="6C91C267">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14:paraId="5912F8EE">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14:paraId="7C534CE5">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14:paraId="699CA39A">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14:paraId="0D6E246E">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076642B9">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14:paraId="45C3B14F">
      <w:pPr>
        <w:pStyle w:val="17"/>
        <w:spacing w:before="156" w:beforeLines="50"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14:paraId="173DDB12">
      <w:pPr>
        <w:pStyle w:val="17"/>
        <w:spacing w:line="360" w:lineRule="auto"/>
        <w:rPr>
          <w:rFonts w:hint="eastAsia" w:hAnsi="宋体"/>
          <w:b/>
          <w:sz w:val="24"/>
          <w:szCs w:val="24"/>
        </w:rPr>
      </w:pPr>
      <w:r>
        <w:rPr>
          <w:rFonts w:hint="eastAsia" w:hAnsi="宋体"/>
          <w:b/>
          <w:sz w:val="24"/>
          <w:szCs w:val="24"/>
        </w:rPr>
        <w:t>6、如在具体技术规格中有本总则不一致之处，以具体技术规格中的要求为准。</w:t>
      </w:r>
    </w:p>
    <w:p w14:paraId="686E6FAC">
      <w:pPr>
        <w:spacing w:after="156" w:afterLines="50"/>
        <w:ind w:left="601" w:hanging="601"/>
        <w:rPr>
          <w:rFonts w:hint="eastAsia" w:ascii="宋体" w:hAnsi="宋体"/>
          <w:b/>
          <w:sz w:val="28"/>
        </w:rPr>
      </w:pPr>
      <w:r>
        <w:rPr>
          <w:rFonts w:ascii="宋体" w:hAnsi="宋体"/>
          <w:b/>
          <w:sz w:val="28"/>
        </w:rPr>
        <w:br w:type="page"/>
      </w:r>
      <w:r>
        <w:rPr>
          <w:rFonts w:hint="eastAsia" w:ascii="宋体" w:hAnsi="宋体"/>
          <w:b/>
          <w:sz w:val="28"/>
        </w:rPr>
        <w:t>三、具体技术规格</w:t>
      </w:r>
    </w:p>
    <w:p w14:paraId="7C248472">
      <w:pPr>
        <w:rPr>
          <w:rFonts w:hint="eastAsia"/>
          <w:sz w:val="24"/>
        </w:rPr>
      </w:pPr>
    </w:p>
    <w:p w14:paraId="03F025A1">
      <w:pPr>
        <w:pStyle w:val="46"/>
        <w:spacing w:line="560" w:lineRule="exact"/>
        <w:ind w:firstLine="1440" w:firstLineChars="600"/>
        <w:rPr>
          <w:rFonts w:ascii="Times New Roman" w:hAnsi="Times New Roman"/>
          <w:sz w:val="24"/>
          <w:szCs w:val="28"/>
        </w:rPr>
      </w:pPr>
      <w:r>
        <w:rPr>
          <w:rFonts w:hint="eastAsia" w:ascii="Times New Roman" w:hAnsi="Times New Roman"/>
          <w:sz w:val="24"/>
          <w:szCs w:val="28"/>
        </w:rPr>
        <w:t>第一包 固体进样-电感耦合等离子体串联质谱仪</w:t>
      </w:r>
    </w:p>
    <w:p w14:paraId="1E99C237">
      <w:pPr>
        <w:pStyle w:val="46"/>
        <w:numPr>
          <w:ilvl w:val="0"/>
          <w:numId w:val="2"/>
        </w:numPr>
        <w:spacing w:line="560" w:lineRule="exact"/>
        <w:ind w:left="357" w:firstLineChars="0"/>
        <w:contextualSpacing/>
        <w:rPr>
          <w:rFonts w:ascii="Times New Roman" w:hAnsi="Times New Roman"/>
          <w:b/>
          <w:bCs/>
          <w:sz w:val="24"/>
          <w:szCs w:val="28"/>
        </w:rPr>
      </w:pPr>
      <w:r>
        <w:rPr>
          <w:rFonts w:ascii="Times New Roman" w:hAnsi="Times New Roman"/>
          <w:b/>
          <w:bCs/>
          <w:sz w:val="24"/>
          <w:szCs w:val="28"/>
        </w:rPr>
        <w:t>总体要求</w:t>
      </w:r>
    </w:p>
    <w:p w14:paraId="35D65304">
      <w:pPr>
        <w:pStyle w:val="46"/>
        <w:spacing w:line="560" w:lineRule="exact"/>
        <w:ind w:firstLine="480"/>
        <w:rPr>
          <w:rFonts w:ascii="Times New Roman" w:hAnsi="Times New Roman"/>
          <w:sz w:val="24"/>
          <w:szCs w:val="28"/>
        </w:rPr>
      </w:pPr>
      <w:r>
        <w:rPr>
          <w:rFonts w:ascii="Times New Roman" w:hAnsi="Times New Roman"/>
          <w:sz w:val="24"/>
          <w:szCs w:val="28"/>
        </w:rPr>
        <w:t>本次采购的</w:t>
      </w:r>
      <w:bookmarkStart w:id="1" w:name="_Hlk194912602"/>
      <w:r>
        <w:rPr>
          <w:rFonts w:ascii="Times New Roman" w:hAnsi="Times New Roman"/>
          <w:sz w:val="24"/>
          <w:szCs w:val="28"/>
        </w:rPr>
        <w:t>电感耦合等离子体串联质谱仪</w:t>
      </w:r>
      <w:bookmarkEnd w:id="1"/>
      <w:r>
        <w:rPr>
          <w:rFonts w:ascii="Times New Roman" w:hAnsi="Times New Roman"/>
          <w:sz w:val="24"/>
          <w:szCs w:val="28"/>
        </w:rPr>
        <w:t>需要与固体蒸发进样系统联用，实现固体直接进样的分析检测。要求</w:t>
      </w:r>
      <w:bookmarkStart w:id="2" w:name="_Hlk194918852"/>
      <w:r>
        <w:rPr>
          <w:rFonts w:ascii="Times New Roman" w:hAnsi="Times New Roman"/>
          <w:sz w:val="24"/>
          <w:szCs w:val="28"/>
        </w:rPr>
        <w:t>电感耦合等离子体串联质谱仪</w:t>
      </w:r>
      <w:bookmarkEnd w:id="2"/>
      <w:r>
        <w:rPr>
          <w:rFonts w:ascii="Times New Roman" w:hAnsi="Times New Roman"/>
          <w:sz w:val="24"/>
          <w:szCs w:val="28"/>
        </w:rPr>
        <w:t>具备开放的端口，且</w:t>
      </w:r>
      <w:r>
        <w:rPr>
          <w:rFonts w:hint="eastAsia" w:ascii="Times New Roman" w:hAnsi="Times New Roman"/>
          <w:sz w:val="24"/>
          <w:szCs w:val="28"/>
        </w:rPr>
        <w:t>与固体蒸发进样系统操作软件</w:t>
      </w:r>
      <w:r>
        <w:rPr>
          <w:rFonts w:ascii="Times New Roman" w:hAnsi="Times New Roman"/>
          <w:sz w:val="24"/>
          <w:szCs w:val="28"/>
        </w:rPr>
        <w:t>兼容可处理，实现联用；产品需采用三重四极杆结构设计，即分析腔内具备三套可实现质量数筛选功能的四极杆</w:t>
      </w:r>
      <w:r>
        <w:rPr>
          <w:rFonts w:hint="eastAsia" w:ascii="Times New Roman" w:hAnsi="Times New Roman"/>
          <w:sz w:val="24"/>
          <w:szCs w:val="28"/>
        </w:rPr>
        <w:t>、六极杆或八</w:t>
      </w:r>
      <w:r>
        <w:rPr>
          <w:rFonts w:ascii="Times New Roman" w:hAnsi="Times New Roman"/>
          <w:sz w:val="24"/>
          <w:szCs w:val="28"/>
        </w:rPr>
        <w:t>极杆：通过第一重四极杆去除基体离子和非目标离子；利用第二重四极杆</w:t>
      </w:r>
      <w:r>
        <w:rPr>
          <w:rFonts w:hint="eastAsia" w:ascii="Times New Roman" w:hAnsi="Times New Roman"/>
          <w:sz w:val="24"/>
          <w:szCs w:val="28"/>
        </w:rPr>
        <w:t>、六极杆或八极杆</w:t>
      </w:r>
      <w:r>
        <w:rPr>
          <w:rFonts w:ascii="Times New Roman" w:hAnsi="Times New Roman"/>
          <w:sz w:val="24"/>
          <w:szCs w:val="28"/>
        </w:rPr>
        <w:t>为碰撞反应池内发生的碰撞或化学反应去除多原子干扰；第三重四极杆质量分析器测定目标离子或经反应的产物离子，以实现干扰物的充分消除。</w:t>
      </w:r>
    </w:p>
    <w:p w14:paraId="243C514D">
      <w:pPr>
        <w:pStyle w:val="46"/>
        <w:numPr>
          <w:ilvl w:val="0"/>
          <w:numId w:val="2"/>
        </w:numPr>
        <w:spacing w:line="560" w:lineRule="exact"/>
        <w:ind w:left="357" w:firstLineChars="0"/>
        <w:contextualSpacing/>
        <w:rPr>
          <w:rFonts w:ascii="Times New Roman" w:hAnsi="Times New Roman"/>
          <w:b/>
          <w:bCs/>
          <w:sz w:val="24"/>
          <w:szCs w:val="28"/>
        </w:rPr>
      </w:pPr>
      <w:r>
        <w:rPr>
          <w:rFonts w:ascii="Times New Roman" w:hAnsi="Times New Roman"/>
          <w:b/>
          <w:bCs/>
          <w:sz w:val="24"/>
          <w:szCs w:val="28"/>
        </w:rPr>
        <w:t>技术要求</w:t>
      </w:r>
    </w:p>
    <w:p w14:paraId="3A32BFAA">
      <w:pPr>
        <w:spacing w:line="560" w:lineRule="exact"/>
        <w:rPr>
          <w:b/>
          <w:bCs/>
          <w:sz w:val="24"/>
          <w:szCs w:val="28"/>
        </w:rPr>
      </w:pPr>
      <w:r>
        <w:rPr>
          <w:b/>
          <w:bCs/>
          <w:sz w:val="24"/>
          <w:szCs w:val="28"/>
        </w:rPr>
        <w:t>2.1 等离子体</w:t>
      </w:r>
    </w:p>
    <w:p w14:paraId="2844DDCF">
      <w:pPr>
        <w:spacing w:line="560" w:lineRule="exact"/>
        <w:rPr>
          <w:sz w:val="24"/>
          <w:szCs w:val="28"/>
        </w:rPr>
      </w:pPr>
      <w:r>
        <w:rPr>
          <w:sz w:val="24"/>
          <w:szCs w:val="28"/>
        </w:rPr>
        <w:t xml:space="preserve">2.1.1 </w:t>
      </w:r>
      <w:r>
        <w:rPr>
          <w:rFonts w:hint="eastAsia"/>
          <w:sz w:val="24"/>
          <w:szCs w:val="28"/>
        </w:rPr>
        <w:t>射频发生器</w:t>
      </w:r>
      <w:r>
        <w:rPr>
          <w:sz w:val="24"/>
          <w:szCs w:val="28"/>
        </w:rPr>
        <w:t>：</w:t>
      </w:r>
      <w:r>
        <w:rPr>
          <w:rFonts w:hint="eastAsia"/>
          <w:sz w:val="24"/>
          <w:szCs w:val="28"/>
        </w:rPr>
        <w:t>采用</w:t>
      </w:r>
      <w:r>
        <w:rPr>
          <w:sz w:val="24"/>
          <w:szCs w:val="28"/>
        </w:rPr>
        <w:t>27MHz</w:t>
      </w:r>
      <w:r>
        <w:rPr>
          <w:rFonts w:hint="eastAsia"/>
          <w:sz w:val="24"/>
          <w:szCs w:val="28"/>
        </w:rPr>
        <w:t>射频</w:t>
      </w:r>
      <w:r>
        <w:rPr>
          <w:sz w:val="24"/>
          <w:szCs w:val="28"/>
        </w:rPr>
        <w:t>频率，功率范围500-1600W连续可调，并可使用不高于500W功率稳定进行冷等离子体操作。毫秒级快速变频匹配等离子体负载变化，切换固体进样模式时不熄火</w:t>
      </w:r>
      <w:r>
        <w:rPr>
          <w:rFonts w:hint="eastAsia"/>
          <w:sz w:val="24"/>
          <w:szCs w:val="28"/>
        </w:rPr>
        <w:t>。</w:t>
      </w:r>
    </w:p>
    <w:p w14:paraId="6AD7408A">
      <w:pPr>
        <w:spacing w:line="560" w:lineRule="exact"/>
        <w:rPr>
          <w:sz w:val="24"/>
          <w:szCs w:val="28"/>
        </w:rPr>
      </w:pPr>
      <w:r>
        <w:rPr>
          <w:sz w:val="24"/>
          <w:szCs w:val="28"/>
        </w:rPr>
        <w:t>#2.1.</w:t>
      </w:r>
      <w:r>
        <w:rPr>
          <w:rFonts w:hint="eastAsia"/>
          <w:sz w:val="24"/>
          <w:szCs w:val="28"/>
        </w:rPr>
        <w:t>2</w:t>
      </w:r>
      <w:r>
        <w:rPr>
          <w:sz w:val="24"/>
          <w:szCs w:val="28"/>
        </w:rPr>
        <w:t xml:space="preserve"> 等离子体彩色摄像头：具有带电磁屏蔽的等离子体实时观测功能。（</w:t>
      </w:r>
      <w:bookmarkStart w:id="3" w:name="_Hlk195694568"/>
      <w:r>
        <w:rPr>
          <w:sz w:val="24"/>
          <w:szCs w:val="28"/>
        </w:rPr>
        <w:t>提供盖制造商公章的</w:t>
      </w:r>
      <w:bookmarkEnd w:id="3"/>
      <w:r>
        <w:rPr>
          <w:sz w:val="24"/>
          <w:szCs w:val="28"/>
        </w:rPr>
        <w:t>观测图）</w:t>
      </w:r>
    </w:p>
    <w:p w14:paraId="6F5F07D2">
      <w:pPr>
        <w:spacing w:line="560" w:lineRule="exact"/>
        <w:rPr>
          <w:rFonts w:hint="eastAsia"/>
          <w:sz w:val="24"/>
          <w:szCs w:val="28"/>
        </w:rPr>
      </w:pPr>
      <w:r>
        <w:rPr>
          <w:rFonts w:hint="eastAsia"/>
          <w:sz w:val="24"/>
          <w:szCs w:val="28"/>
        </w:rPr>
        <w:t>#2.1.3 离子源采用垂直炬管设计。（提供盖制造商公章的证明材料）</w:t>
      </w:r>
    </w:p>
    <w:p w14:paraId="7ED84169">
      <w:pPr>
        <w:spacing w:line="560" w:lineRule="exact"/>
        <w:rPr>
          <w:b/>
          <w:bCs/>
          <w:sz w:val="24"/>
          <w:szCs w:val="28"/>
        </w:rPr>
      </w:pPr>
      <w:r>
        <w:rPr>
          <w:b/>
          <w:bCs/>
          <w:sz w:val="24"/>
          <w:szCs w:val="28"/>
        </w:rPr>
        <w:t>2.2 离子提取</w:t>
      </w:r>
    </w:p>
    <w:p w14:paraId="0AA07978">
      <w:pPr>
        <w:spacing w:line="560" w:lineRule="exact"/>
        <w:rPr>
          <w:sz w:val="24"/>
          <w:szCs w:val="28"/>
        </w:rPr>
      </w:pPr>
      <w:r>
        <w:rPr>
          <w:rFonts w:hint="eastAsia"/>
          <w:sz w:val="24"/>
          <w:szCs w:val="28"/>
        </w:rPr>
        <w:t xml:space="preserve">2.2.1 </w:t>
      </w:r>
      <w:r>
        <w:rPr>
          <w:sz w:val="24"/>
          <w:szCs w:val="28"/>
        </w:rPr>
        <w:t>采样锥</w:t>
      </w:r>
      <w:bookmarkStart w:id="4" w:name="_Hlk194939093"/>
      <w:r>
        <w:rPr>
          <w:rFonts w:hint="eastAsia"/>
          <w:sz w:val="24"/>
          <w:szCs w:val="28"/>
        </w:rPr>
        <w:t>和</w:t>
      </w:r>
      <w:r>
        <w:rPr>
          <w:sz w:val="24"/>
          <w:szCs w:val="28"/>
        </w:rPr>
        <w:t>截取锥</w:t>
      </w:r>
      <w:r>
        <w:rPr>
          <w:rFonts w:hint="eastAsia"/>
          <w:sz w:val="24"/>
          <w:szCs w:val="28"/>
        </w:rPr>
        <w:t>采用铂锥和镍锥</w:t>
      </w:r>
      <w:bookmarkEnd w:id="4"/>
      <w:r>
        <w:rPr>
          <w:rFonts w:hint="eastAsia"/>
          <w:sz w:val="24"/>
          <w:szCs w:val="28"/>
        </w:rPr>
        <w:t>两种材质，分别满足</w:t>
      </w:r>
      <w:r>
        <w:rPr>
          <w:sz w:val="24"/>
          <w:szCs w:val="28"/>
        </w:rPr>
        <w:t>高灵敏度锥和耐高盐锥</w:t>
      </w:r>
      <w:r>
        <w:rPr>
          <w:rFonts w:hint="eastAsia"/>
          <w:sz w:val="24"/>
          <w:szCs w:val="28"/>
        </w:rPr>
        <w:t>要求</w:t>
      </w:r>
      <w:r>
        <w:rPr>
          <w:sz w:val="24"/>
          <w:szCs w:val="28"/>
        </w:rPr>
        <w:t>。</w:t>
      </w:r>
    </w:p>
    <w:p w14:paraId="63459866">
      <w:pPr>
        <w:spacing w:line="560" w:lineRule="exact"/>
        <w:rPr>
          <w:sz w:val="24"/>
          <w:szCs w:val="28"/>
        </w:rPr>
      </w:pPr>
      <w:r>
        <w:rPr>
          <w:rFonts w:hint="eastAsia"/>
          <w:sz w:val="24"/>
          <w:szCs w:val="28"/>
        </w:rPr>
        <w:t>#2.2.2 截取锥孔径不得大于0.5mm。</w:t>
      </w:r>
    </w:p>
    <w:p w14:paraId="719D188E">
      <w:pPr>
        <w:spacing w:line="560" w:lineRule="exact"/>
        <w:rPr>
          <w:b/>
          <w:bCs/>
          <w:sz w:val="24"/>
          <w:szCs w:val="28"/>
        </w:rPr>
      </w:pPr>
      <w:r>
        <w:rPr>
          <w:b/>
          <w:bCs/>
          <w:sz w:val="24"/>
          <w:szCs w:val="28"/>
        </w:rPr>
        <w:t>2.3 质量分析器</w:t>
      </w:r>
    </w:p>
    <w:p w14:paraId="3ED61F81">
      <w:pPr>
        <w:spacing w:line="560" w:lineRule="exact"/>
        <w:rPr>
          <w:sz w:val="24"/>
          <w:szCs w:val="28"/>
        </w:rPr>
      </w:pPr>
      <w:r>
        <w:rPr>
          <w:rFonts w:hint="eastAsia"/>
          <w:sz w:val="24"/>
          <w:szCs w:val="28"/>
          <w:lang w:val="en-US" w:eastAsia="zh-CN"/>
        </w:rPr>
        <w:t>*</w:t>
      </w:r>
      <w:r>
        <w:rPr>
          <w:sz w:val="24"/>
          <w:szCs w:val="28"/>
        </w:rPr>
        <w:t>2.3.1 四级杆质量分析器：真正意义上的三重四极杆设计，Q1、Q2均实现单位质量分辨。</w:t>
      </w:r>
    </w:p>
    <w:p w14:paraId="09604879">
      <w:pPr>
        <w:spacing w:line="560" w:lineRule="exact"/>
        <w:rPr>
          <w:sz w:val="24"/>
          <w:szCs w:val="28"/>
        </w:rPr>
      </w:pPr>
      <w:r>
        <w:rPr>
          <w:rFonts w:hint="eastAsia"/>
          <w:sz w:val="24"/>
          <w:szCs w:val="28"/>
          <w:lang w:val="en-US" w:eastAsia="zh-CN"/>
        </w:rPr>
        <w:t>*</w:t>
      </w:r>
      <w:r>
        <w:rPr>
          <w:sz w:val="24"/>
          <w:szCs w:val="28"/>
        </w:rPr>
        <w:t>2.3.2 碰撞反应池：采用</w:t>
      </w:r>
      <w:r>
        <w:rPr>
          <w:rFonts w:hint="eastAsia"/>
          <w:sz w:val="24"/>
          <w:szCs w:val="28"/>
        </w:rPr>
        <w:t>四极杆、六极杆或者八极杆组成</w:t>
      </w:r>
      <w:r>
        <w:rPr>
          <w:sz w:val="24"/>
          <w:szCs w:val="28"/>
        </w:rPr>
        <w:t>。反应池至少配置</w:t>
      </w:r>
      <w:r>
        <w:rPr>
          <w:rFonts w:hint="eastAsia"/>
          <w:sz w:val="24"/>
          <w:szCs w:val="28"/>
        </w:rPr>
        <w:t>4</w:t>
      </w:r>
      <w:r>
        <w:rPr>
          <w:sz w:val="24"/>
          <w:szCs w:val="28"/>
        </w:rPr>
        <w:t>路碰撞反应气，</w:t>
      </w:r>
      <w:r>
        <w:rPr>
          <w:rFonts w:hint="eastAsia"/>
          <w:sz w:val="24"/>
          <w:szCs w:val="28"/>
        </w:rPr>
        <w:t>可使用的反应气包含但不限于氢气、氦气、氧气、氨气和甲烷等气体，并且不会对仪器造成损害。</w:t>
      </w:r>
      <w:r>
        <w:rPr>
          <w:sz w:val="24"/>
          <w:szCs w:val="28"/>
        </w:rPr>
        <w:t>在同一方法中可以同时使用多种气体。</w:t>
      </w:r>
    </w:p>
    <w:p w14:paraId="39DBAF8C">
      <w:pPr>
        <w:spacing w:line="560" w:lineRule="exact"/>
        <w:rPr>
          <w:b/>
          <w:bCs/>
          <w:sz w:val="24"/>
          <w:szCs w:val="28"/>
        </w:rPr>
      </w:pPr>
      <w:r>
        <w:rPr>
          <w:b/>
          <w:bCs/>
          <w:sz w:val="24"/>
          <w:szCs w:val="28"/>
        </w:rPr>
        <w:t>2.4 气路系统</w:t>
      </w:r>
    </w:p>
    <w:p w14:paraId="4BD1EC46">
      <w:pPr>
        <w:spacing w:line="560" w:lineRule="exact"/>
        <w:rPr>
          <w:sz w:val="24"/>
          <w:szCs w:val="28"/>
        </w:rPr>
      </w:pPr>
      <w:r>
        <w:rPr>
          <w:sz w:val="24"/>
          <w:szCs w:val="28"/>
        </w:rPr>
        <w:t>2.4.1 整机至少配备</w:t>
      </w:r>
      <w:r>
        <w:rPr>
          <w:rFonts w:hint="eastAsia"/>
          <w:sz w:val="24"/>
          <w:szCs w:val="28"/>
        </w:rPr>
        <w:t>7</w:t>
      </w:r>
      <w:r>
        <w:rPr>
          <w:sz w:val="24"/>
          <w:szCs w:val="28"/>
        </w:rPr>
        <w:t>个高精度</w:t>
      </w:r>
      <w:bookmarkStart w:id="5" w:name="_Hlk194917694"/>
      <w:r>
        <w:rPr>
          <w:sz w:val="24"/>
          <w:szCs w:val="28"/>
        </w:rPr>
        <w:t>气体质量流量计</w:t>
      </w:r>
      <w:bookmarkEnd w:id="5"/>
      <w:r>
        <w:rPr>
          <w:sz w:val="24"/>
          <w:szCs w:val="28"/>
        </w:rPr>
        <w:t>，用于精确控制</w:t>
      </w:r>
      <w:r>
        <w:rPr>
          <w:rFonts w:hint="eastAsia"/>
          <w:sz w:val="24"/>
          <w:szCs w:val="28"/>
        </w:rPr>
        <w:t>进样系统和碰撞反应池的</w:t>
      </w:r>
      <w:r>
        <w:rPr>
          <w:sz w:val="24"/>
          <w:szCs w:val="28"/>
        </w:rPr>
        <w:t>气体流速。</w:t>
      </w:r>
    </w:p>
    <w:p w14:paraId="48171C12">
      <w:pPr>
        <w:spacing w:line="560" w:lineRule="exact"/>
        <w:rPr>
          <w:sz w:val="24"/>
          <w:szCs w:val="28"/>
        </w:rPr>
      </w:pPr>
      <w:r>
        <w:rPr>
          <w:sz w:val="24"/>
          <w:szCs w:val="28"/>
        </w:rPr>
        <w:t xml:space="preserve">#2.4.2 </w:t>
      </w:r>
      <w:r>
        <w:rPr>
          <w:rFonts w:hint="eastAsia"/>
          <w:sz w:val="24"/>
          <w:szCs w:val="28"/>
        </w:rPr>
        <w:t>仪器</w:t>
      </w:r>
      <w:r>
        <w:rPr>
          <w:sz w:val="24"/>
          <w:szCs w:val="28"/>
        </w:rPr>
        <w:t>配置全自动在线气体稀释装置，可在矩管之前把样品基体稀释到0.3%以内。氩气稀释后可实现&gt;10%含盐量的直接测定。</w:t>
      </w:r>
    </w:p>
    <w:p w14:paraId="22D733A1">
      <w:pPr>
        <w:spacing w:line="560" w:lineRule="exact"/>
        <w:rPr>
          <w:sz w:val="24"/>
          <w:szCs w:val="28"/>
        </w:rPr>
      </w:pPr>
      <w:r>
        <w:rPr>
          <w:sz w:val="24"/>
          <w:szCs w:val="28"/>
        </w:rPr>
        <w:t>2.</w:t>
      </w:r>
      <w:r>
        <w:rPr>
          <w:rFonts w:hint="eastAsia"/>
          <w:sz w:val="24"/>
          <w:szCs w:val="28"/>
        </w:rPr>
        <w:t>4</w:t>
      </w:r>
      <w:r>
        <w:rPr>
          <w:sz w:val="24"/>
          <w:szCs w:val="28"/>
        </w:rPr>
        <w:t>.</w:t>
      </w:r>
      <w:r>
        <w:rPr>
          <w:rFonts w:hint="eastAsia"/>
          <w:sz w:val="24"/>
          <w:szCs w:val="28"/>
        </w:rPr>
        <w:t>3</w:t>
      </w:r>
      <w:r>
        <w:rPr>
          <w:sz w:val="24"/>
          <w:szCs w:val="28"/>
        </w:rPr>
        <w:t xml:space="preserve"> </w:t>
      </w:r>
      <w:r>
        <w:rPr>
          <w:rFonts w:hint="eastAsia"/>
          <w:sz w:val="24"/>
          <w:szCs w:val="28"/>
        </w:rPr>
        <w:t>可</w:t>
      </w:r>
      <w:r>
        <w:rPr>
          <w:sz w:val="24"/>
          <w:szCs w:val="28"/>
        </w:rPr>
        <w:t>提供超低功率待机</w:t>
      </w:r>
      <w:r>
        <w:rPr>
          <w:rFonts w:hint="eastAsia"/>
          <w:sz w:val="24"/>
          <w:szCs w:val="28"/>
        </w:rPr>
        <w:t>模式</w:t>
      </w:r>
      <w:r>
        <w:rPr>
          <w:sz w:val="24"/>
          <w:szCs w:val="28"/>
        </w:rPr>
        <w:t>，降低氩气消耗，待机状态氩气用量不高于5L/min。</w:t>
      </w:r>
    </w:p>
    <w:p w14:paraId="78482DD5">
      <w:pPr>
        <w:spacing w:line="560" w:lineRule="exact"/>
        <w:rPr>
          <w:b/>
          <w:bCs/>
          <w:sz w:val="24"/>
          <w:szCs w:val="28"/>
        </w:rPr>
      </w:pPr>
      <w:r>
        <w:rPr>
          <w:b/>
          <w:bCs/>
          <w:sz w:val="24"/>
          <w:szCs w:val="28"/>
        </w:rPr>
        <w:t>2.</w:t>
      </w:r>
      <w:r>
        <w:rPr>
          <w:rFonts w:hint="eastAsia"/>
          <w:b/>
          <w:bCs/>
          <w:sz w:val="24"/>
          <w:szCs w:val="28"/>
        </w:rPr>
        <w:t>5</w:t>
      </w:r>
      <w:r>
        <w:rPr>
          <w:b/>
          <w:bCs/>
          <w:sz w:val="24"/>
          <w:szCs w:val="28"/>
        </w:rPr>
        <w:t>检测系统</w:t>
      </w:r>
    </w:p>
    <w:p w14:paraId="11FB328A">
      <w:pPr>
        <w:spacing w:line="560" w:lineRule="exact"/>
        <w:rPr>
          <w:sz w:val="24"/>
          <w:szCs w:val="28"/>
        </w:rPr>
      </w:pPr>
      <w:r>
        <w:rPr>
          <w:sz w:val="24"/>
          <w:szCs w:val="28"/>
        </w:rPr>
        <w:t>一次进样过程中可同时完成定性和定量分析，线性动态范围不低于1</w:t>
      </w:r>
      <w:r>
        <w:rPr>
          <w:rFonts w:hint="eastAsia"/>
          <w:sz w:val="24"/>
          <w:szCs w:val="28"/>
        </w:rPr>
        <w:t>0</w:t>
      </w:r>
      <w:r>
        <w:rPr>
          <w:sz w:val="24"/>
          <w:szCs w:val="28"/>
        </w:rPr>
        <w:t>个数量级。</w:t>
      </w:r>
    </w:p>
    <w:p w14:paraId="65CD4927">
      <w:pPr>
        <w:spacing w:line="560" w:lineRule="exact"/>
        <w:rPr>
          <w:b/>
          <w:bCs/>
          <w:sz w:val="24"/>
          <w:szCs w:val="28"/>
        </w:rPr>
      </w:pPr>
      <w:r>
        <w:rPr>
          <w:b/>
          <w:bCs/>
          <w:sz w:val="24"/>
          <w:szCs w:val="28"/>
        </w:rPr>
        <w:t>2.</w:t>
      </w:r>
      <w:r>
        <w:rPr>
          <w:rFonts w:hint="eastAsia"/>
          <w:b/>
          <w:bCs/>
          <w:sz w:val="24"/>
          <w:szCs w:val="28"/>
        </w:rPr>
        <w:t>6</w:t>
      </w:r>
      <w:r>
        <w:rPr>
          <w:b/>
          <w:bCs/>
          <w:sz w:val="24"/>
          <w:szCs w:val="28"/>
        </w:rPr>
        <w:t>仪器性能</w:t>
      </w:r>
    </w:p>
    <w:p w14:paraId="334D527C">
      <w:pPr>
        <w:spacing w:line="560" w:lineRule="exact"/>
        <w:rPr>
          <w:sz w:val="24"/>
          <w:szCs w:val="28"/>
        </w:rPr>
      </w:pPr>
      <w:r>
        <w:rPr>
          <w:sz w:val="24"/>
          <w:szCs w:val="28"/>
        </w:rPr>
        <w:t>2.</w:t>
      </w:r>
      <w:r>
        <w:rPr>
          <w:rFonts w:hint="eastAsia"/>
          <w:sz w:val="24"/>
          <w:szCs w:val="28"/>
        </w:rPr>
        <w:t>6</w:t>
      </w:r>
      <w:r>
        <w:rPr>
          <w:sz w:val="24"/>
          <w:szCs w:val="28"/>
        </w:rPr>
        <w:t>.1 质量范围：2-290</w:t>
      </w:r>
      <w:r>
        <w:rPr>
          <w:rFonts w:hint="eastAsia"/>
          <w:sz w:val="24"/>
          <w:szCs w:val="28"/>
        </w:rPr>
        <w:t xml:space="preserve"> </w:t>
      </w:r>
      <w:r>
        <w:rPr>
          <w:sz w:val="24"/>
          <w:szCs w:val="28"/>
        </w:rPr>
        <w:t>amu</w:t>
      </w:r>
    </w:p>
    <w:p w14:paraId="0AE42086">
      <w:pPr>
        <w:spacing w:line="560" w:lineRule="exact"/>
        <w:rPr>
          <w:sz w:val="24"/>
          <w:szCs w:val="28"/>
        </w:rPr>
      </w:pPr>
      <w:r>
        <w:rPr>
          <w:sz w:val="24"/>
          <w:szCs w:val="28"/>
        </w:rPr>
        <w:t>2.</w:t>
      </w:r>
      <w:r>
        <w:rPr>
          <w:rFonts w:hint="eastAsia"/>
          <w:sz w:val="24"/>
          <w:szCs w:val="28"/>
        </w:rPr>
        <w:t>6</w:t>
      </w:r>
      <w:r>
        <w:rPr>
          <w:sz w:val="24"/>
          <w:szCs w:val="28"/>
        </w:rPr>
        <w:t>.</w:t>
      </w:r>
      <w:r>
        <w:rPr>
          <w:rFonts w:hint="eastAsia"/>
          <w:sz w:val="24"/>
          <w:szCs w:val="28"/>
        </w:rPr>
        <w:t>2</w:t>
      </w:r>
      <w:r>
        <w:rPr>
          <w:sz w:val="24"/>
          <w:szCs w:val="28"/>
        </w:rPr>
        <w:t xml:space="preserve"> 背景稳定性：5</w:t>
      </w:r>
      <w:r>
        <w:rPr>
          <w:rFonts w:hint="eastAsia"/>
          <w:sz w:val="24"/>
          <w:szCs w:val="28"/>
        </w:rPr>
        <w:t xml:space="preserve"> </w:t>
      </w:r>
      <w:r>
        <w:rPr>
          <w:sz w:val="24"/>
          <w:szCs w:val="28"/>
        </w:rPr>
        <w:t>amu处背景信号的平均值低于0.2</w:t>
      </w:r>
      <w:r>
        <w:rPr>
          <w:rFonts w:hint="eastAsia"/>
          <w:sz w:val="24"/>
          <w:szCs w:val="28"/>
        </w:rPr>
        <w:t xml:space="preserve"> </w:t>
      </w:r>
      <w:r>
        <w:rPr>
          <w:sz w:val="24"/>
          <w:szCs w:val="28"/>
        </w:rPr>
        <w:t>cps</w:t>
      </w:r>
    </w:p>
    <w:p w14:paraId="50F05965">
      <w:pPr>
        <w:spacing w:line="560" w:lineRule="exact"/>
        <w:rPr>
          <w:sz w:val="24"/>
          <w:szCs w:val="28"/>
        </w:rPr>
      </w:pPr>
      <w:r>
        <w:rPr>
          <w:sz w:val="24"/>
          <w:szCs w:val="28"/>
        </w:rPr>
        <w:t>2.</w:t>
      </w:r>
      <w:r>
        <w:rPr>
          <w:rFonts w:hint="eastAsia"/>
          <w:sz w:val="24"/>
          <w:szCs w:val="28"/>
        </w:rPr>
        <w:t>6</w:t>
      </w:r>
      <w:r>
        <w:rPr>
          <w:sz w:val="24"/>
          <w:szCs w:val="28"/>
        </w:rPr>
        <w:t>.</w:t>
      </w:r>
      <w:r>
        <w:rPr>
          <w:rFonts w:hint="eastAsia"/>
          <w:sz w:val="24"/>
          <w:szCs w:val="28"/>
        </w:rPr>
        <w:t>3 仪器</w:t>
      </w:r>
      <w:r>
        <w:rPr>
          <w:sz w:val="24"/>
          <w:szCs w:val="28"/>
        </w:rPr>
        <w:t>稳定性</w:t>
      </w:r>
      <w:r>
        <w:rPr>
          <w:rFonts w:hint="eastAsia"/>
          <w:sz w:val="24"/>
          <w:szCs w:val="28"/>
        </w:rPr>
        <w:t>：</w:t>
      </w:r>
      <w:r>
        <w:rPr>
          <w:sz w:val="24"/>
          <w:szCs w:val="28"/>
        </w:rPr>
        <w:t>厂家提供的调试溶液短期稳定性（RSD）：≤</w:t>
      </w:r>
      <w:r>
        <w:rPr>
          <w:rFonts w:hint="eastAsia"/>
          <w:sz w:val="24"/>
          <w:szCs w:val="28"/>
        </w:rPr>
        <w:t xml:space="preserve"> </w:t>
      </w:r>
      <w:r>
        <w:rPr>
          <w:sz w:val="24"/>
          <w:szCs w:val="28"/>
        </w:rPr>
        <w:t>2</w:t>
      </w:r>
      <w:r>
        <w:rPr>
          <w:rFonts w:hint="eastAsia"/>
          <w:sz w:val="24"/>
          <w:szCs w:val="28"/>
        </w:rPr>
        <w:t xml:space="preserve"> </w:t>
      </w:r>
      <w:r>
        <w:rPr>
          <w:sz w:val="24"/>
          <w:szCs w:val="28"/>
        </w:rPr>
        <w:t>%（20分钟）；长期稳定性（RSD）：≤</w:t>
      </w:r>
      <w:r>
        <w:rPr>
          <w:rFonts w:hint="eastAsia"/>
          <w:sz w:val="24"/>
          <w:szCs w:val="28"/>
        </w:rPr>
        <w:t xml:space="preserve"> </w:t>
      </w:r>
      <w:r>
        <w:rPr>
          <w:sz w:val="24"/>
          <w:szCs w:val="28"/>
        </w:rPr>
        <w:t>3</w:t>
      </w:r>
      <w:r>
        <w:rPr>
          <w:rFonts w:hint="eastAsia"/>
          <w:sz w:val="24"/>
          <w:szCs w:val="28"/>
        </w:rPr>
        <w:t xml:space="preserve"> </w:t>
      </w:r>
      <w:r>
        <w:rPr>
          <w:sz w:val="24"/>
          <w:szCs w:val="28"/>
        </w:rPr>
        <w:t>%（2小时）</w:t>
      </w:r>
    </w:p>
    <w:p w14:paraId="5762C4BA">
      <w:pPr>
        <w:spacing w:line="560" w:lineRule="exact"/>
        <w:rPr>
          <w:sz w:val="24"/>
          <w:szCs w:val="28"/>
        </w:rPr>
      </w:pPr>
      <w:r>
        <w:rPr>
          <w:rFonts w:hint="eastAsia"/>
          <w:sz w:val="24"/>
          <w:szCs w:val="28"/>
        </w:rPr>
        <w:t>#</w:t>
      </w:r>
      <w:r>
        <w:rPr>
          <w:sz w:val="24"/>
          <w:szCs w:val="28"/>
        </w:rPr>
        <w:t>2.</w:t>
      </w:r>
      <w:r>
        <w:rPr>
          <w:rFonts w:hint="eastAsia"/>
          <w:sz w:val="24"/>
          <w:szCs w:val="28"/>
        </w:rPr>
        <w:t>6</w:t>
      </w:r>
      <w:r>
        <w:rPr>
          <w:sz w:val="24"/>
          <w:szCs w:val="28"/>
        </w:rPr>
        <w:t>.</w:t>
      </w:r>
      <w:r>
        <w:rPr>
          <w:rFonts w:hint="eastAsia"/>
          <w:sz w:val="24"/>
          <w:szCs w:val="28"/>
        </w:rPr>
        <w:t>4</w:t>
      </w:r>
      <w:r>
        <w:rPr>
          <w:sz w:val="24"/>
          <w:szCs w:val="28"/>
        </w:rPr>
        <w:t>在氧化物产率小于2</w:t>
      </w:r>
      <w:r>
        <w:rPr>
          <w:rFonts w:hint="eastAsia"/>
          <w:sz w:val="24"/>
          <w:szCs w:val="28"/>
        </w:rPr>
        <w:t xml:space="preserve"> </w:t>
      </w:r>
      <w:r>
        <w:rPr>
          <w:sz w:val="24"/>
          <w:szCs w:val="28"/>
        </w:rPr>
        <w:t>%的前提下，满足以下灵敏度要求：</w:t>
      </w:r>
    </w:p>
    <w:p w14:paraId="3972761E">
      <w:pPr>
        <w:spacing w:line="560" w:lineRule="exact"/>
        <w:rPr>
          <w:sz w:val="24"/>
          <w:szCs w:val="28"/>
        </w:rPr>
      </w:pPr>
      <w:r>
        <w:rPr>
          <w:sz w:val="24"/>
          <w:szCs w:val="28"/>
        </w:rPr>
        <w:t>低质量数：Li</w:t>
      </w:r>
      <w:r>
        <w:rPr>
          <w:rFonts w:hint="eastAsia"/>
          <w:sz w:val="24"/>
          <w:szCs w:val="28"/>
        </w:rPr>
        <w:t xml:space="preserve"> </w:t>
      </w:r>
      <w:r>
        <w:rPr>
          <w:sz w:val="24"/>
          <w:szCs w:val="28"/>
        </w:rPr>
        <w:t>≥</w:t>
      </w:r>
      <w:r>
        <w:rPr>
          <w:rFonts w:hint="eastAsia"/>
          <w:sz w:val="24"/>
          <w:szCs w:val="28"/>
        </w:rPr>
        <w:t xml:space="preserve"> </w:t>
      </w:r>
      <w:r>
        <w:rPr>
          <w:sz w:val="24"/>
          <w:szCs w:val="28"/>
        </w:rPr>
        <w:t>75 Mcps</w:t>
      </w:r>
      <w:r>
        <w:rPr>
          <w:rFonts w:hint="eastAsia"/>
          <w:sz w:val="24"/>
          <w:szCs w:val="28"/>
        </w:rPr>
        <w:t xml:space="preserve"> </w:t>
      </w:r>
      <w:r>
        <w:rPr>
          <w:sz w:val="24"/>
          <w:szCs w:val="28"/>
        </w:rPr>
        <w:t>/</w:t>
      </w:r>
      <w:r>
        <w:rPr>
          <w:rFonts w:hint="eastAsia"/>
          <w:sz w:val="24"/>
          <w:szCs w:val="28"/>
        </w:rPr>
        <w:t xml:space="preserve"> </w:t>
      </w:r>
      <w:r>
        <w:rPr>
          <w:sz w:val="24"/>
          <w:szCs w:val="28"/>
        </w:rPr>
        <w:t>ppm；中质量数：Fe</w:t>
      </w:r>
      <w:r>
        <w:rPr>
          <w:rFonts w:hint="eastAsia"/>
          <w:sz w:val="24"/>
          <w:szCs w:val="28"/>
        </w:rPr>
        <w:t xml:space="preserve"> </w:t>
      </w:r>
      <w:r>
        <w:rPr>
          <w:sz w:val="24"/>
          <w:szCs w:val="28"/>
        </w:rPr>
        <w:t>≥</w:t>
      </w:r>
      <w:r>
        <w:rPr>
          <w:rFonts w:hint="eastAsia"/>
          <w:sz w:val="24"/>
          <w:szCs w:val="28"/>
        </w:rPr>
        <w:t xml:space="preserve"> </w:t>
      </w:r>
      <w:r>
        <w:rPr>
          <w:sz w:val="24"/>
          <w:szCs w:val="28"/>
        </w:rPr>
        <w:t>50 Mcps</w:t>
      </w:r>
      <w:r>
        <w:rPr>
          <w:rFonts w:hint="eastAsia"/>
          <w:sz w:val="24"/>
          <w:szCs w:val="28"/>
        </w:rPr>
        <w:t xml:space="preserve"> </w:t>
      </w:r>
      <w:r>
        <w:rPr>
          <w:sz w:val="24"/>
          <w:szCs w:val="28"/>
        </w:rPr>
        <w:t>/</w:t>
      </w:r>
      <w:r>
        <w:rPr>
          <w:rFonts w:hint="eastAsia"/>
          <w:sz w:val="24"/>
          <w:szCs w:val="28"/>
        </w:rPr>
        <w:t xml:space="preserve"> </w:t>
      </w:r>
      <w:r>
        <w:rPr>
          <w:sz w:val="24"/>
          <w:szCs w:val="28"/>
        </w:rPr>
        <w:t>ppm；高质量数：Ce/Eu/Yb</w:t>
      </w:r>
      <w:r>
        <w:rPr>
          <w:rFonts w:hint="eastAsia"/>
          <w:sz w:val="24"/>
          <w:szCs w:val="28"/>
        </w:rPr>
        <w:t xml:space="preserve"> </w:t>
      </w:r>
      <w:r>
        <w:rPr>
          <w:sz w:val="24"/>
          <w:szCs w:val="28"/>
        </w:rPr>
        <w:t>≥</w:t>
      </w:r>
      <w:r>
        <w:rPr>
          <w:rFonts w:hint="eastAsia"/>
          <w:sz w:val="24"/>
          <w:szCs w:val="28"/>
        </w:rPr>
        <w:t xml:space="preserve"> </w:t>
      </w:r>
      <w:r>
        <w:rPr>
          <w:sz w:val="24"/>
          <w:szCs w:val="28"/>
        </w:rPr>
        <w:t>1</w:t>
      </w:r>
      <w:r>
        <w:rPr>
          <w:rFonts w:hint="eastAsia"/>
          <w:sz w:val="24"/>
          <w:szCs w:val="28"/>
        </w:rPr>
        <w:t>0</w:t>
      </w:r>
      <w:r>
        <w:rPr>
          <w:sz w:val="24"/>
          <w:szCs w:val="28"/>
        </w:rPr>
        <w:t>0 Mcps</w:t>
      </w:r>
      <w:r>
        <w:rPr>
          <w:rFonts w:hint="eastAsia"/>
          <w:sz w:val="24"/>
          <w:szCs w:val="28"/>
        </w:rPr>
        <w:t xml:space="preserve"> </w:t>
      </w:r>
      <w:r>
        <w:rPr>
          <w:sz w:val="24"/>
          <w:szCs w:val="28"/>
        </w:rPr>
        <w:t>/</w:t>
      </w:r>
      <w:r>
        <w:rPr>
          <w:rFonts w:hint="eastAsia"/>
          <w:sz w:val="24"/>
          <w:szCs w:val="28"/>
        </w:rPr>
        <w:t xml:space="preserve"> </w:t>
      </w:r>
      <w:r>
        <w:rPr>
          <w:sz w:val="24"/>
          <w:szCs w:val="28"/>
        </w:rPr>
        <w:t>ppm</w:t>
      </w:r>
    </w:p>
    <w:p w14:paraId="0A0AA458">
      <w:pPr>
        <w:spacing w:line="560" w:lineRule="exact"/>
        <w:rPr>
          <w:sz w:val="24"/>
          <w:szCs w:val="28"/>
        </w:rPr>
      </w:pPr>
      <w:r>
        <w:rPr>
          <w:rFonts w:hint="eastAsia"/>
          <w:sz w:val="24"/>
          <w:szCs w:val="28"/>
        </w:rPr>
        <w:t>#</w:t>
      </w:r>
      <w:r>
        <w:rPr>
          <w:sz w:val="24"/>
          <w:szCs w:val="28"/>
        </w:rPr>
        <w:t>2.</w:t>
      </w:r>
      <w:r>
        <w:rPr>
          <w:rFonts w:hint="eastAsia"/>
          <w:sz w:val="24"/>
          <w:szCs w:val="28"/>
        </w:rPr>
        <w:t>6</w:t>
      </w:r>
      <w:r>
        <w:rPr>
          <w:sz w:val="24"/>
          <w:szCs w:val="28"/>
        </w:rPr>
        <w:t>.</w:t>
      </w:r>
      <w:r>
        <w:rPr>
          <w:rFonts w:hint="eastAsia"/>
          <w:sz w:val="24"/>
          <w:szCs w:val="28"/>
        </w:rPr>
        <w:t>5标准模式下测试，采用镍锥，</w:t>
      </w:r>
      <w:r>
        <w:rPr>
          <w:sz w:val="24"/>
          <w:szCs w:val="28"/>
        </w:rPr>
        <w:t>氧化物离子</w:t>
      </w:r>
      <w:r>
        <w:rPr>
          <w:rFonts w:hint="eastAsia"/>
          <w:sz w:val="24"/>
          <w:szCs w:val="28"/>
        </w:rPr>
        <w:t>产率</w:t>
      </w:r>
      <w:r>
        <w:rPr>
          <w:sz w:val="24"/>
          <w:szCs w:val="28"/>
        </w:rPr>
        <w:t>（CeO</w:t>
      </w:r>
      <w:r>
        <w:rPr>
          <w:sz w:val="24"/>
          <w:szCs w:val="28"/>
          <w:vertAlign w:val="superscript"/>
        </w:rPr>
        <w:t>+</w:t>
      </w:r>
      <w:r>
        <w:rPr>
          <w:rFonts w:hint="eastAsia"/>
          <w:sz w:val="24"/>
          <w:szCs w:val="28"/>
          <w:vertAlign w:val="superscript"/>
        </w:rPr>
        <w:t xml:space="preserve"> </w:t>
      </w:r>
      <w:r>
        <w:rPr>
          <w:sz w:val="24"/>
          <w:szCs w:val="28"/>
        </w:rPr>
        <w:t>/</w:t>
      </w:r>
      <w:r>
        <w:rPr>
          <w:rFonts w:hint="eastAsia"/>
          <w:sz w:val="24"/>
          <w:szCs w:val="28"/>
        </w:rPr>
        <w:t xml:space="preserve"> </w:t>
      </w:r>
      <w:r>
        <w:rPr>
          <w:sz w:val="24"/>
          <w:szCs w:val="28"/>
        </w:rPr>
        <w:t>Ce</w:t>
      </w:r>
      <w:r>
        <w:rPr>
          <w:sz w:val="24"/>
          <w:szCs w:val="28"/>
          <w:vertAlign w:val="superscript"/>
        </w:rPr>
        <w:t>+</w:t>
      </w:r>
      <w:r>
        <w:rPr>
          <w:sz w:val="24"/>
          <w:szCs w:val="28"/>
        </w:rPr>
        <w:t>）≤</w:t>
      </w:r>
      <w:r>
        <w:rPr>
          <w:rFonts w:hint="eastAsia"/>
          <w:sz w:val="24"/>
          <w:szCs w:val="28"/>
        </w:rPr>
        <w:t xml:space="preserve"> </w:t>
      </w:r>
      <w:r>
        <w:rPr>
          <w:sz w:val="24"/>
          <w:szCs w:val="28"/>
        </w:rPr>
        <w:t>3</w:t>
      </w:r>
      <w:r>
        <w:rPr>
          <w:rFonts w:hint="eastAsia"/>
          <w:sz w:val="24"/>
          <w:szCs w:val="28"/>
        </w:rPr>
        <w:t xml:space="preserve"> </w:t>
      </w:r>
      <w:r>
        <w:rPr>
          <w:sz w:val="24"/>
          <w:szCs w:val="28"/>
        </w:rPr>
        <w:t>%，双电荷粒子</w:t>
      </w:r>
      <w:r>
        <w:rPr>
          <w:rFonts w:hint="eastAsia"/>
          <w:sz w:val="24"/>
          <w:szCs w:val="28"/>
        </w:rPr>
        <w:t>产率</w:t>
      </w:r>
      <w:r>
        <w:rPr>
          <w:sz w:val="24"/>
          <w:szCs w:val="28"/>
        </w:rPr>
        <w:t>（Ce++</w:t>
      </w:r>
      <w:r>
        <w:rPr>
          <w:rFonts w:hint="eastAsia"/>
          <w:sz w:val="24"/>
          <w:szCs w:val="28"/>
        </w:rPr>
        <w:t xml:space="preserve"> </w:t>
      </w:r>
      <w:r>
        <w:rPr>
          <w:sz w:val="24"/>
          <w:szCs w:val="28"/>
        </w:rPr>
        <w:t>/</w:t>
      </w:r>
      <w:r>
        <w:rPr>
          <w:rFonts w:hint="eastAsia"/>
          <w:sz w:val="24"/>
          <w:szCs w:val="28"/>
        </w:rPr>
        <w:t xml:space="preserve"> </w:t>
      </w:r>
      <w:r>
        <w:rPr>
          <w:sz w:val="24"/>
          <w:szCs w:val="28"/>
        </w:rPr>
        <w:t>Ce+）≤</w:t>
      </w:r>
      <w:r>
        <w:rPr>
          <w:rFonts w:hint="eastAsia"/>
          <w:sz w:val="24"/>
          <w:szCs w:val="28"/>
        </w:rPr>
        <w:t xml:space="preserve"> </w:t>
      </w:r>
      <w:r>
        <w:rPr>
          <w:sz w:val="24"/>
          <w:szCs w:val="28"/>
        </w:rPr>
        <w:t>3</w:t>
      </w:r>
      <w:r>
        <w:rPr>
          <w:rFonts w:hint="eastAsia"/>
          <w:sz w:val="24"/>
          <w:szCs w:val="28"/>
        </w:rPr>
        <w:t xml:space="preserve"> </w:t>
      </w:r>
      <w:r>
        <w:rPr>
          <w:sz w:val="24"/>
          <w:szCs w:val="28"/>
        </w:rPr>
        <w:t>%</w:t>
      </w:r>
    </w:p>
    <w:p w14:paraId="57AA3B57">
      <w:pPr>
        <w:spacing w:line="560" w:lineRule="exact"/>
        <w:rPr>
          <w:sz w:val="24"/>
          <w:szCs w:val="28"/>
        </w:rPr>
      </w:pPr>
      <w:r>
        <w:rPr>
          <w:rFonts w:hint="eastAsia"/>
          <w:sz w:val="24"/>
          <w:szCs w:val="28"/>
        </w:rPr>
        <w:t>#</w:t>
      </w:r>
      <w:r>
        <w:rPr>
          <w:sz w:val="24"/>
          <w:szCs w:val="28"/>
        </w:rPr>
        <w:t>2.</w:t>
      </w:r>
      <w:r>
        <w:rPr>
          <w:rFonts w:hint="eastAsia"/>
          <w:sz w:val="24"/>
          <w:szCs w:val="28"/>
        </w:rPr>
        <w:t>6</w:t>
      </w:r>
      <w:r>
        <w:rPr>
          <w:sz w:val="24"/>
          <w:szCs w:val="28"/>
        </w:rPr>
        <w:t>.</w:t>
      </w:r>
      <w:r>
        <w:rPr>
          <w:rFonts w:hint="eastAsia"/>
          <w:sz w:val="24"/>
          <w:szCs w:val="28"/>
        </w:rPr>
        <w:t>6</w:t>
      </w:r>
      <w:r>
        <w:rPr>
          <w:sz w:val="24"/>
          <w:szCs w:val="28"/>
        </w:rPr>
        <w:t>仪器检出限：轻质量数元素：Li</w:t>
      </w:r>
      <w:r>
        <w:rPr>
          <w:rFonts w:hint="eastAsia"/>
          <w:sz w:val="24"/>
          <w:szCs w:val="28"/>
        </w:rPr>
        <w:t xml:space="preserve"> </w:t>
      </w:r>
      <w:r>
        <w:rPr>
          <w:sz w:val="24"/>
          <w:szCs w:val="28"/>
        </w:rPr>
        <w:t>≤</w:t>
      </w:r>
      <w:r>
        <w:rPr>
          <w:rFonts w:hint="eastAsia"/>
          <w:sz w:val="24"/>
          <w:szCs w:val="28"/>
        </w:rPr>
        <w:t xml:space="preserve"> </w:t>
      </w:r>
      <w:r>
        <w:rPr>
          <w:sz w:val="24"/>
          <w:szCs w:val="28"/>
        </w:rPr>
        <w:t>0.1ppt；中质量数元素：Fe</w:t>
      </w:r>
      <w:r>
        <w:rPr>
          <w:rFonts w:hint="eastAsia"/>
          <w:sz w:val="24"/>
          <w:szCs w:val="28"/>
        </w:rPr>
        <w:t xml:space="preserve"> </w:t>
      </w:r>
      <w:r>
        <w:rPr>
          <w:sz w:val="24"/>
          <w:szCs w:val="28"/>
        </w:rPr>
        <w:t>≤</w:t>
      </w:r>
      <w:r>
        <w:rPr>
          <w:rFonts w:hint="eastAsia"/>
          <w:sz w:val="24"/>
          <w:szCs w:val="28"/>
        </w:rPr>
        <w:t xml:space="preserve"> 5</w:t>
      </w:r>
      <w:r>
        <w:rPr>
          <w:sz w:val="24"/>
          <w:szCs w:val="28"/>
        </w:rPr>
        <w:t xml:space="preserve"> ppt；高质量数元素：Ce/Eu/Yb</w:t>
      </w:r>
      <w:r>
        <w:rPr>
          <w:rFonts w:hint="eastAsia"/>
          <w:sz w:val="24"/>
          <w:szCs w:val="28"/>
        </w:rPr>
        <w:t xml:space="preserve"> </w:t>
      </w:r>
      <w:r>
        <w:rPr>
          <w:sz w:val="24"/>
          <w:szCs w:val="28"/>
        </w:rPr>
        <w:t>≤</w:t>
      </w:r>
      <w:r>
        <w:rPr>
          <w:rFonts w:hint="eastAsia"/>
          <w:sz w:val="24"/>
          <w:szCs w:val="28"/>
        </w:rPr>
        <w:t xml:space="preserve"> </w:t>
      </w:r>
      <w:r>
        <w:rPr>
          <w:sz w:val="24"/>
          <w:szCs w:val="28"/>
        </w:rPr>
        <w:t>0.</w:t>
      </w:r>
      <w:r>
        <w:rPr>
          <w:rFonts w:hint="eastAsia"/>
          <w:sz w:val="24"/>
          <w:szCs w:val="28"/>
        </w:rPr>
        <w:t>5</w:t>
      </w:r>
      <w:r>
        <w:rPr>
          <w:sz w:val="24"/>
          <w:szCs w:val="28"/>
        </w:rPr>
        <w:t xml:space="preserve"> ppt</w:t>
      </w:r>
    </w:p>
    <w:p w14:paraId="1C592205">
      <w:pPr>
        <w:spacing w:line="560" w:lineRule="exact"/>
        <w:rPr>
          <w:sz w:val="24"/>
          <w:szCs w:val="28"/>
        </w:rPr>
      </w:pPr>
      <w:r>
        <w:rPr>
          <w:sz w:val="24"/>
          <w:szCs w:val="28"/>
        </w:rPr>
        <w:t>2.</w:t>
      </w:r>
      <w:r>
        <w:rPr>
          <w:rFonts w:hint="eastAsia"/>
          <w:sz w:val="24"/>
          <w:szCs w:val="28"/>
        </w:rPr>
        <w:t>6</w:t>
      </w:r>
      <w:r>
        <w:rPr>
          <w:sz w:val="24"/>
          <w:szCs w:val="28"/>
        </w:rPr>
        <w:t>.</w:t>
      </w:r>
      <w:r>
        <w:rPr>
          <w:rFonts w:hint="eastAsia"/>
          <w:sz w:val="24"/>
          <w:szCs w:val="28"/>
        </w:rPr>
        <w:t>7</w:t>
      </w:r>
      <w:r>
        <w:rPr>
          <w:sz w:val="24"/>
          <w:szCs w:val="28"/>
        </w:rPr>
        <w:t xml:space="preserve"> 丰度灵敏度：≤</w:t>
      </w:r>
      <w:r>
        <w:rPr>
          <w:rFonts w:hint="eastAsia"/>
          <w:sz w:val="24"/>
          <w:szCs w:val="28"/>
        </w:rPr>
        <w:t xml:space="preserve"> </w:t>
      </w:r>
      <w:r>
        <w:rPr>
          <w:sz w:val="24"/>
          <w:szCs w:val="28"/>
        </w:rPr>
        <w:t>5×10</w:t>
      </w:r>
      <w:r>
        <w:rPr>
          <w:sz w:val="24"/>
          <w:szCs w:val="28"/>
          <w:vertAlign w:val="superscript"/>
        </w:rPr>
        <w:t>-8</w:t>
      </w:r>
    </w:p>
    <w:p w14:paraId="07250A25">
      <w:pPr>
        <w:spacing w:line="560" w:lineRule="exact"/>
        <w:rPr>
          <w:sz w:val="24"/>
        </w:rPr>
      </w:pPr>
      <w:r>
        <w:rPr>
          <w:sz w:val="24"/>
          <w:szCs w:val="28"/>
        </w:rPr>
        <w:t>2.</w:t>
      </w:r>
      <w:r>
        <w:rPr>
          <w:rFonts w:hint="eastAsia"/>
          <w:sz w:val="24"/>
          <w:szCs w:val="28"/>
        </w:rPr>
        <w:t>6</w:t>
      </w:r>
      <w:r>
        <w:rPr>
          <w:sz w:val="24"/>
          <w:szCs w:val="28"/>
        </w:rPr>
        <w:t>.</w:t>
      </w:r>
      <w:r>
        <w:rPr>
          <w:rFonts w:hint="eastAsia"/>
          <w:sz w:val="24"/>
          <w:szCs w:val="28"/>
        </w:rPr>
        <w:t>8</w:t>
      </w:r>
      <w:r>
        <w:rPr>
          <w:sz w:val="24"/>
          <w:szCs w:val="28"/>
        </w:rPr>
        <w:t xml:space="preserve"> </w:t>
      </w:r>
      <w:r>
        <w:rPr>
          <w:sz w:val="24"/>
        </w:rPr>
        <w:t>质量轴稳定性: &lt; 0.05 amu/24h</w:t>
      </w:r>
      <w:r>
        <w:rPr>
          <w:rFonts w:hint="eastAsia"/>
          <w:sz w:val="24"/>
        </w:rPr>
        <w:t>（测定U238在24小时前后质量峰中心偏移程度作为验收指标）</w:t>
      </w:r>
    </w:p>
    <w:p w14:paraId="0A878BBA">
      <w:pPr>
        <w:spacing w:line="560" w:lineRule="exact"/>
        <w:rPr>
          <w:sz w:val="24"/>
          <w:szCs w:val="28"/>
        </w:rPr>
      </w:pPr>
      <w:r>
        <w:rPr>
          <w:rFonts w:hint="eastAsia"/>
          <w:sz w:val="24"/>
        </w:rPr>
        <w:t>2.6.9 同位素比精密度: &lt; 0.2 % （以Eu151/ Eu153测试值作为验收指标）</w:t>
      </w:r>
    </w:p>
    <w:p w14:paraId="45EDC39D">
      <w:pPr>
        <w:spacing w:line="560" w:lineRule="exact"/>
        <w:rPr>
          <w:sz w:val="24"/>
          <w:szCs w:val="28"/>
        </w:rPr>
      </w:pPr>
      <w:r>
        <w:rPr>
          <w:b/>
          <w:bCs/>
          <w:sz w:val="24"/>
          <w:szCs w:val="28"/>
        </w:rPr>
        <w:t>2.</w:t>
      </w:r>
      <w:r>
        <w:rPr>
          <w:rFonts w:hint="eastAsia"/>
          <w:b/>
          <w:bCs/>
          <w:sz w:val="24"/>
          <w:szCs w:val="28"/>
        </w:rPr>
        <w:t>7</w:t>
      </w:r>
      <w:r>
        <w:rPr>
          <w:b/>
          <w:bCs/>
          <w:sz w:val="24"/>
          <w:szCs w:val="28"/>
        </w:rPr>
        <w:t>真空系统</w:t>
      </w:r>
    </w:p>
    <w:p w14:paraId="57435672">
      <w:pPr>
        <w:spacing w:line="560" w:lineRule="exact"/>
        <w:rPr>
          <w:sz w:val="24"/>
          <w:szCs w:val="28"/>
        </w:rPr>
      </w:pPr>
      <w:r>
        <w:rPr>
          <w:sz w:val="24"/>
          <w:szCs w:val="28"/>
        </w:rPr>
        <w:t>2.</w:t>
      </w:r>
      <w:r>
        <w:rPr>
          <w:rFonts w:hint="eastAsia"/>
          <w:sz w:val="24"/>
          <w:szCs w:val="28"/>
        </w:rPr>
        <w:t>7</w:t>
      </w:r>
      <w:r>
        <w:rPr>
          <w:sz w:val="24"/>
          <w:szCs w:val="28"/>
        </w:rPr>
        <w:t>.1 真空系统：具有高性能真空系统</w:t>
      </w:r>
      <w:r>
        <w:rPr>
          <w:rFonts w:hint="eastAsia"/>
          <w:sz w:val="24"/>
          <w:szCs w:val="28"/>
        </w:rPr>
        <w:t>。</w:t>
      </w:r>
      <w:r>
        <w:rPr>
          <w:sz w:val="24"/>
          <w:szCs w:val="28"/>
        </w:rPr>
        <w:t>四级杆和碰撞反应池都采用分子涡轮泵维持真空，且配备不少于2个分子涡轮泵。</w:t>
      </w:r>
    </w:p>
    <w:p w14:paraId="49614E9E">
      <w:pPr>
        <w:spacing w:line="560" w:lineRule="exact"/>
        <w:rPr>
          <w:rFonts w:hint="eastAsia"/>
          <w:sz w:val="24"/>
          <w:szCs w:val="28"/>
        </w:rPr>
      </w:pPr>
      <w:r>
        <w:rPr>
          <w:sz w:val="24"/>
          <w:szCs w:val="28"/>
        </w:rPr>
        <w:t>#2.</w:t>
      </w:r>
      <w:r>
        <w:rPr>
          <w:rFonts w:hint="eastAsia"/>
          <w:sz w:val="24"/>
          <w:szCs w:val="28"/>
        </w:rPr>
        <w:t>7</w:t>
      </w:r>
      <w:r>
        <w:rPr>
          <w:sz w:val="24"/>
          <w:szCs w:val="28"/>
        </w:rPr>
        <w:t>.2</w:t>
      </w:r>
      <w:r>
        <w:rPr>
          <w:rFonts w:hint="eastAsia"/>
          <w:sz w:val="24"/>
          <w:szCs w:val="28"/>
        </w:rPr>
        <w:t>四级杆真空和碰撞池真空可达到10</w:t>
      </w:r>
      <w:r>
        <w:rPr>
          <w:rFonts w:hint="eastAsia"/>
          <w:sz w:val="24"/>
          <w:szCs w:val="28"/>
          <w:vertAlign w:val="superscript"/>
        </w:rPr>
        <w:t>-7</w:t>
      </w:r>
      <w:r>
        <w:rPr>
          <w:rFonts w:hint="eastAsia"/>
          <w:sz w:val="24"/>
          <w:szCs w:val="28"/>
        </w:rPr>
        <w:t>mbar，抽真空时间不超过2小时。</w:t>
      </w:r>
    </w:p>
    <w:p w14:paraId="2C10421D">
      <w:pPr>
        <w:spacing w:line="560" w:lineRule="exact"/>
        <w:rPr>
          <w:b/>
          <w:bCs/>
          <w:sz w:val="24"/>
          <w:szCs w:val="28"/>
        </w:rPr>
      </w:pPr>
      <w:r>
        <w:rPr>
          <w:b/>
          <w:bCs/>
          <w:sz w:val="24"/>
          <w:szCs w:val="28"/>
        </w:rPr>
        <w:t>2.</w:t>
      </w:r>
      <w:r>
        <w:rPr>
          <w:rFonts w:hint="eastAsia"/>
          <w:b/>
          <w:bCs/>
          <w:sz w:val="24"/>
          <w:szCs w:val="28"/>
        </w:rPr>
        <w:t>8</w:t>
      </w:r>
      <w:r>
        <w:rPr>
          <w:b/>
          <w:bCs/>
          <w:sz w:val="24"/>
          <w:szCs w:val="28"/>
        </w:rPr>
        <w:t>数据处理系统</w:t>
      </w:r>
    </w:p>
    <w:p w14:paraId="4878CF43">
      <w:pPr>
        <w:spacing w:line="560" w:lineRule="exact"/>
        <w:rPr>
          <w:sz w:val="24"/>
          <w:szCs w:val="28"/>
        </w:rPr>
      </w:pPr>
      <w:r>
        <w:rPr>
          <w:sz w:val="24"/>
          <w:szCs w:val="28"/>
        </w:rPr>
        <w:t>2.</w:t>
      </w:r>
      <w:r>
        <w:rPr>
          <w:rFonts w:hint="eastAsia"/>
          <w:sz w:val="24"/>
          <w:szCs w:val="28"/>
        </w:rPr>
        <w:t>8</w:t>
      </w:r>
      <w:r>
        <w:rPr>
          <w:sz w:val="24"/>
          <w:szCs w:val="28"/>
        </w:rPr>
        <w:t>.</w:t>
      </w:r>
      <w:r>
        <w:rPr>
          <w:rFonts w:hint="eastAsia"/>
          <w:sz w:val="24"/>
          <w:szCs w:val="28"/>
        </w:rPr>
        <w:t>1</w:t>
      </w:r>
      <w:r>
        <w:rPr>
          <w:sz w:val="24"/>
          <w:szCs w:val="28"/>
        </w:rPr>
        <w:t xml:space="preserve"> 仪器操作软件可以安装于个人计算机上，样品分析数据可以使用此软件进行离线数据处理并生成报告。</w:t>
      </w:r>
    </w:p>
    <w:p w14:paraId="26C05CE8">
      <w:pPr>
        <w:spacing w:line="560" w:lineRule="exact"/>
        <w:rPr>
          <w:sz w:val="24"/>
          <w:szCs w:val="28"/>
        </w:rPr>
      </w:pPr>
      <w:r>
        <w:rPr>
          <w:rFonts w:hint="eastAsia"/>
          <w:b/>
          <w:bCs/>
          <w:sz w:val="24"/>
          <w:szCs w:val="28"/>
        </w:rPr>
        <w:t>*</w:t>
      </w:r>
      <w:r>
        <w:rPr>
          <w:sz w:val="24"/>
          <w:szCs w:val="28"/>
        </w:rPr>
        <w:t>2.</w:t>
      </w:r>
      <w:r>
        <w:rPr>
          <w:rFonts w:hint="eastAsia"/>
          <w:sz w:val="24"/>
          <w:szCs w:val="28"/>
        </w:rPr>
        <w:t>8</w:t>
      </w:r>
      <w:r>
        <w:rPr>
          <w:sz w:val="24"/>
          <w:szCs w:val="28"/>
        </w:rPr>
        <w:t>.</w:t>
      </w:r>
      <w:r>
        <w:rPr>
          <w:rFonts w:hint="eastAsia"/>
          <w:sz w:val="24"/>
          <w:szCs w:val="28"/>
        </w:rPr>
        <w:t>2</w:t>
      </w:r>
      <w:r>
        <w:rPr>
          <w:sz w:val="24"/>
          <w:szCs w:val="28"/>
        </w:rPr>
        <w:t xml:space="preserve"> 固体蒸发进样系统的</w:t>
      </w:r>
      <w:r>
        <w:rPr>
          <w:rFonts w:hint="eastAsia"/>
          <w:sz w:val="24"/>
          <w:szCs w:val="28"/>
        </w:rPr>
        <w:t>操作</w:t>
      </w:r>
      <w:r>
        <w:rPr>
          <w:sz w:val="24"/>
          <w:szCs w:val="28"/>
        </w:rPr>
        <w:t>软件</w:t>
      </w:r>
      <w:r>
        <w:rPr>
          <w:rFonts w:hint="eastAsia"/>
          <w:sz w:val="24"/>
          <w:szCs w:val="28"/>
        </w:rPr>
        <w:t>可联动控制</w:t>
      </w:r>
      <w:r>
        <w:rPr>
          <w:sz w:val="24"/>
          <w:szCs w:val="28"/>
        </w:rPr>
        <w:t>电感耦合等离子体串联质谱仪</w:t>
      </w:r>
      <w:r>
        <w:rPr>
          <w:rFonts w:hint="eastAsia"/>
          <w:sz w:val="24"/>
          <w:szCs w:val="28"/>
        </w:rPr>
        <w:t>的</w:t>
      </w:r>
      <w:r>
        <w:rPr>
          <w:sz w:val="24"/>
          <w:szCs w:val="28"/>
        </w:rPr>
        <w:t>操作</w:t>
      </w:r>
      <w:r>
        <w:rPr>
          <w:rFonts w:hint="eastAsia"/>
          <w:sz w:val="24"/>
          <w:szCs w:val="28"/>
        </w:rPr>
        <w:t>系统，在同一台工作站完成数据采集和数据分析</w:t>
      </w:r>
      <w:r>
        <w:rPr>
          <w:sz w:val="24"/>
          <w:szCs w:val="28"/>
        </w:rPr>
        <w:t>。</w:t>
      </w:r>
    </w:p>
    <w:p w14:paraId="25CE2FE6">
      <w:pPr>
        <w:spacing w:line="560" w:lineRule="exact"/>
        <w:rPr>
          <w:b/>
          <w:bCs/>
          <w:sz w:val="24"/>
          <w:szCs w:val="28"/>
        </w:rPr>
      </w:pPr>
      <w:r>
        <w:rPr>
          <w:b/>
          <w:bCs/>
          <w:sz w:val="24"/>
          <w:szCs w:val="28"/>
        </w:rPr>
        <w:t>2.</w:t>
      </w:r>
      <w:r>
        <w:rPr>
          <w:rFonts w:hint="eastAsia"/>
          <w:b/>
          <w:bCs/>
          <w:sz w:val="24"/>
          <w:szCs w:val="28"/>
        </w:rPr>
        <w:t>9</w:t>
      </w:r>
      <w:r>
        <w:rPr>
          <w:b/>
          <w:bCs/>
          <w:sz w:val="24"/>
          <w:szCs w:val="28"/>
        </w:rPr>
        <w:t>与固体蒸发进样系统的联用</w:t>
      </w:r>
    </w:p>
    <w:p w14:paraId="2BF13A49">
      <w:pPr>
        <w:spacing w:line="560" w:lineRule="exact"/>
        <w:ind w:firstLine="480" w:firstLineChars="200"/>
        <w:rPr>
          <w:sz w:val="24"/>
          <w:szCs w:val="28"/>
        </w:rPr>
      </w:pPr>
      <w:r>
        <w:rPr>
          <w:sz w:val="24"/>
          <w:szCs w:val="28"/>
        </w:rPr>
        <w:t>配置</w:t>
      </w:r>
      <w:bookmarkStart w:id="6" w:name="_Hlk194919734"/>
      <w:r>
        <w:rPr>
          <w:sz w:val="24"/>
          <w:szCs w:val="28"/>
        </w:rPr>
        <w:t>固体蒸发进样系统</w:t>
      </w:r>
      <w:bookmarkEnd w:id="6"/>
      <w:r>
        <w:rPr>
          <w:sz w:val="24"/>
          <w:szCs w:val="28"/>
        </w:rPr>
        <w:t>：该系统用于高复杂基体样品的低温蒸发和传输，与本次采购的</w:t>
      </w:r>
      <w:bookmarkStart w:id="7" w:name="_Hlk194919396"/>
      <w:r>
        <w:rPr>
          <w:sz w:val="24"/>
          <w:szCs w:val="28"/>
        </w:rPr>
        <w:t>电感耦合等离子体串联质谱仪</w:t>
      </w:r>
      <w:bookmarkEnd w:id="7"/>
      <w:r>
        <w:rPr>
          <w:sz w:val="24"/>
          <w:szCs w:val="28"/>
        </w:rPr>
        <w:t>联用，用于分析样品在特定温度下蒸发所得的气相组分中的元素组成信息，该系统主要由三个功能模块组成：（提供盖制造商公章的实际应用图）</w:t>
      </w:r>
    </w:p>
    <w:p w14:paraId="3A887ED6">
      <w:pPr>
        <w:spacing w:line="560" w:lineRule="exact"/>
        <w:rPr>
          <w:sz w:val="24"/>
          <w:szCs w:val="28"/>
        </w:rPr>
      </w:pPr>
      <w:r>
        <w:rPr>
          <w:sz w:val="24"/>
          <w:szCs w:val="28"/>
        </w:rPr>
        <w:t>2.</w:t>
      </w:r>
      <w:r>
        <w:rPr>
          <w:rFonts w:hint="eastAsia"/>
          <w:sz w:val="24"/>
          <w:szCs w:val="28"/>
        </w:rPr>
        <w:t>9</w:t>
      </w:r>
      <w:r>
        <w:rPr>
          <w:sz w:val="24"/>
          <w:szCs w:val="28"/>
        </w:rPr>
        <w:t>.1 气路加热模块</w:t>
      </w:r>
    </w:p>
    <w:p w14:paraId="551844DA">
      <w:pPr>
        <w:spacing w:line="560" w:lineRule="exact"/>
        <w:ind w:firstLine="480" w:firstLineChars="200"/>
        <w:rPr>
          <w:sz w:val="24"/>
          <w:szCs w:val="28"/>
        </w:rPr>
      </w:pPr>
      <w:r>
        <w:rPr>
          <w:sz w:val="24"/>
          <w:szCs w:val="28"/>
        </w:rPr>
        <w:t>用于载气/稀释气进入样品蒸发腔之前的预加热处理。</w:t>
      </w:r>
      <w:bookmarkStart w:id="8" w:name="_Hlk194919313"/>
      <w:r>
        <w:rPr>
          <w:sz w:val="24"/>
          <w:szCs w:val="28"/>
        </w:rPr>
        <w:t>技术参数要求如下：</w:t>
      </w:r>
      <w:bookmarkEnd w:id="8"/>
    </w:p>
    <w:p w14:paraId="3AB02402">
      <w:pPr>
        <w:spacing w:line="560" w:lineRule="exact"/>
        <w:ind w:firstLine="480" w:firstLineChars="200"/>
        <w:rPr>
          <w:sz w:val="24"/>
          <w:szCs w:val="28"/>
        </w:rPr>
      </w:pPr>
      <w:r>
        <w:rPr>
          <w:rFonts w:ascii="Cambria Math" w:hAnsi="Cambria Math" w:cs="Cambria Math"/>
          <w:sz w:val="24"/>
          <w:szCs w:val="28"/>
        </w:rPr>
        <w:t>①</w:t>
      </w:r>
      <w:r>
        <w:rPr>
          <w:sz w:val="24"/>
          <w:szCs w:val="28"/>
        </w:rPr>
        <w:t>气路加热温度范围：</w:t>
      </w:r>
      <w:r>
        <w:rPr>
          <w:rFonts w:hint="eastAsia"/>
          <w:sz w:val="24"/>
          <w:szCs w:val="28"/>
        </w:rPr>
        <w:t>5</w:t>
      </w:r>
      <w:r>
        <w:rPr>
          <w:sz w:val="24"/>
          <w:szCs w:val="28"/>
        </w:rPr>
        <w:t>0℃-2</w:t>
      </w:r>
      <w:r>
        <w:rPr>
          <w:rFonts w:hint="eastAsia"/>
          <w:sz w:val="24"/>
          <w:szCs w:val="28"/>
        </w:rPr>
        <w:t>0</w:t>
      </w:r>
      <w:r>
        <w:rPr>
          <w:sz w:val="24"/>
          <w:szCs w:val="28"/>
        </w:rPr>
        <w:t>0℃；</w:t>
      </w:r>
    </w:p>
    <w:p w14:paraId="774A3041">
      <w:pPr>
        <w:spacing w:line="560" w:lineRule="exact"/>
        <w:ind w:firstLine="480" w:firstLineChars="200"/>
        <w:rPr>
          <w:sz w:val="24"/>
          <w:szCs w:val="28"/>
        </w:rPr>
      </w:pPr>
      <w:r>
        <w:rPr>
          <w:rFonts w:hint="eastAsia"/>
          <w:sz w:val="24"/>
          <w:szCs w:val="28"/>
        </w:rPr>
        <w:t>*</w:t>
      </w:r>
      <w:r>
        <w:rPr>
          <w:rFonts w:ascii="Cambria Math" w:hAnsi="Cambria Math" w:cs="Cambria Math"/>
          <w:sz w:val="24"/>
          <w:szCs w:val="28"/>
        </w:rPr>
        <w:t>②</w:t>
      </w:r>
      <w:r>
        <w:rPr>
          <w:sz w:val="24"/>
          <w:szCs w:val="28"/>
        </w:rPr>
        <w:t>气路加热控温精度：±</w:t>
      </w:r>
      <w:r>
        <w:rPr>
          <w:rFonts w:hint="eastAsia"/>
          <w:sz w:val="24"/>
          <w:szCs w:val="28"/>
        </w:rPr>
        <w:t>0.5</w:t>
      </w:r>
      <w:r>
        <w:rPr>
          <w:sz w:val="24"/>
          <w:szCs w:val="28"/>
        </w:rPr>
        <w:t>℃</w:t>
      </w:r>
      <w:r>
        <w:rPr>
          <w:rFonts w:hint="eastAsia"/>
          <w:sz w:val="24"/>
          <w:szCs w:val="28"/>
        </w:rPr>
        <w:t>；</w:t>
      </w:r>
    </w:p>
    <w:p w14:paraId="4A5A0CE1">
      <w:pPr>
        <w:spacing w:line="560" w:lineRule="exact"/>
        <w:ind w:firstLine="480" w:firstLineChars="200"/>
        <w:rPr>
          <w:rFonts w:hint="eastAsia" w:ascii="Cambria Math" w:hAnsi="Cambria Math" w:cs="Cambria Math"/>
          <w:sz w:val="24"/>
          <w:szCs w:val="28"/>
        </w:rPr>
      </w:pPr>
      <w:r>
        <w:rPr>
          <w:rFonts w:ascii="Cambria Math" w:hAnsi="Cambria Math" w:cs="Cambria Math"/>
          <w:sz w:val="24"/>
          <w:szCs w:val="28"/>
        </w:rPr>
        <w:t>③</w:t>
      </w:r>
      <w:r>
        <w:rPr>
          <w:rFonts w:hint="eastAsia" w:ascii="Cambria Math" w:hAnsi="Cambria Math" w:cs="Cambria Math"/>
          <w:sz w:val="24"/>
          <w:szCs w:val="28"/>
        </w:rPr>
        <w:t>气路升温时间：</w:t>
      </w:r>
      <w:r>
        <w:rPr>
          <w:rFonts w:hint="eastAsia"/>
          <w:sz w:val="24"/>
          <w:szCs w:val="28"/>
        </w:rPr>
        <w:t>≥</w:t>
      </w:r>
      <w:r>
        <w:rPr>
          <w:rFonts w:hint="eastAsia" w:ascii="Cambria Math" w:hAnsi="Cambria Math" w:cs="Cambria Math"/>
          <w:sz w:val="24"/>
          <w:szCs w:val="28"/>
        </w:rPr>
        <w:t>40℃/min。</w:t>
      </w:r>
    </w:p>
    <w:p w14:paraId="105C70FD">
      <w:pPr>
        <w:spacing w:line="560" w:lineRule="exact"/>
        <w:rPr>
          <w:sz w:val="24"/>
          <w:szCs w:val="28"/>
        </w:rPr>
      </w:pPr>
      <w:r>
        <w:rPr>
          <w:sz w:val="24"/>
          <w:szCs w:val="28"/>
        </w:rPr>
        <w:t>2.</w:t>
      </w:r>
      <w:r>
        <w:rPr>
          <w:rFonts w:hint="eastAsia"/>
          <w:sz w:val="24"/>
          <w:szCs w:val="28"/>
        </w:rPr>
        <w:t>9</w:t>
      </w:r>
      <w:r>
        <w:rPr>
          <w:sz w:val="24"/>
          <w:szCs w:val="28"/>
        </w:rPr>
        <w:t>.2 样品蒸发腔模块</w:t>
      </w:r>
    </w:p>
    <w:p w14:paraId="621BC9EB">
      <w:pPr>
        <w:spacing w:line="560" w:lineRule="exact"/>
        <w:ind w:firstLine="480" w:firstLineChars="200"/>
        <w:rPr>
          <w:sz w:val="24"/>
          <w:szCs w:val="28"/>
        </w:rPr>
      </w:pPr>
      <w:r>
        <w:rPr>
          <w:sz w:val="24"/>
          <w:szCs w:val="28"/>
        </w:rPr>
        <w:t>用于样品的蒸发。</w:t>
      </w:r>
      <w:bookmarkStart w:id="9" w:name="_Hlk194919410"/>
      <w:r>
        <w:rPr>
          <w:sz w:val="24"/>
          <w:szCs w:val="28"/>
        </w:rPr>
        <w:t>技术参数要求如下：</w:t>
      </w:r>
      <w:bookmarkEnd w:id="9"/>
    </w:p>
    <w:p w14:paraId="6639AB28">
      <w:pPr>
        <w:spacing w:line="560" w:lineRule="exact"/>
        <w:ind w:firstLine="480" w:firstLineChars="200"/>
        <w:rPr>
          <w:sz w:val="24"/>
          <w:szCs w:val="28"/>
        </w:rPr>
      </w:pPr>
      <w:r>
        <w:rPr>
          <w:rFonts w:ascii="Cambria Math" w:hAnsi="Cambria Math" w:cs="Cambria Math"/>
          <w:sz w:val="24"/>
          <w:szCs w:val="28"/>
        </w:rPr>
        <w:t>①</w:t>
      </w:r>
      <w:r>
        <w:rPr>
          <w:sz w:val="24"/>
          <w:szCs w:val="28"/>
        </w:rPr>
        <w:t>蒸发</w:t>
      </w:r>
      <w:r>
        <w:rPr>
          <w:rFonts w:hint="eastAsia"/>
          <w:sz w:val="24"/>
          <w:szCs w:val="28"/>
        </w:rPr>
        <w:t>台</w:t>
      </w:r>
      <w:r>
        <w:rPr>
          <w:sz w:val="24"/>
          <w:szCs w:val="28"/>
        </w:rPr>
        <w:t>加热温度范围</w:t>
      </w:r>
      <w:r>
        <w:rPr>
          <w:rFonts w:hint="eastAsia"/>
          <w:sz w:val="24"/>
          <w:szCs w:val="28"/>
        </w:rPr>
        <w:t>满足或优于</w:t>
      </w:r>
      <w:r>
        <w:rPr>
          <w:sz w:val="24"/>
          <w:szCs w:val="28"/>
        </w:rPr>
        <w:t>：</w:t>
      </w:r>
      <w:r>
        <w:rPr>
          <w:rFonts w:hint="eastAsia"/>
          <w:sz w:val="24"/>
          <w:szCs w:val="28"/>
        </w:rPr>
        <w:t>5</w:t>
      </w:r>
      <w:r>
        <w:rPr>
          <w:sz w:val="24"/>
          <w:szCs w:val="28"/>
        </w:rPr>
        <w:t>0℃-</w:t>
      </w:r>
      <w:r>
        <w:rPr>
          <w:rFonts w:hint="eastAsia"/>
          <w:sz w:val="24"/>
          <w:szCs w:val="28"/>
        </w:rPr>
        <w:t>45</w:t>
      </w:r>
      <w:r>
        <w:rPr>
          <w:sz w:val="24"/>
          <w:szCs w:val="28"/>
        </w:rPr>
        <w:t>0℃；</w:t>
      </w:r>
    </w:p>
    <w:p w14:paraId="0F0655E6">
      <w:pPr>
        <w:spacing w:line="560" w:lineRule="exact"/>
        <w:ind w:firstLine="480" w:firstLineChars="200"/>
        <w:rPr>
          <w:sz w:val="24"/>
          <w:szCs w:val="28"/>
        </w:rPr>
      </w:pPr>
      <w:r>
        <w:rPr>
          <w:rFonts w:hint="eastAsia" w:ascii="Cambria Math" w:hAnsi="Cambria Math" w:cs="Cambria Math"/>
          <w:sz w:val="24"/>
          <w:szCs w:val="28"/>
        </w:rPr>
        <w:t>*</w:t>
      </w:r>
      <w:r>
        <w:rPr>
          <w:rFonts w:ascii="Cambria Math" w:hAnsi="Cambria Math" w:cs="Cambria Math"/>
          <w:sz w:val="24"/>
          <w:szCs w:val="28"/>
        </w:rPr>
        <w:t>②</w:t>
      </w:r>
      <w:r>
        <w:rPr>
          <w:sz w:val="24"/>
          <w:szCs w:val="28"/>
        </w:rPr>
        <w:t>蒸发</w:t>
      </w:r>
      <w:r>
        <w:rPr>
          <w:rFonts w:hint="eastAsia"/>
          <w:sz w:val="24"/>
          <w:szCs w:val="28"/>
        </w:rPr>
        <w:t>台</w:t>
      </w:r>
      <w:r>
        <w:rPr>
          <w:sz w:val="24"/>
          <w:szCs w:val="28"/>
        </w:rPr>
        <w:t>加热控温精度</w:t>
      </w:r>
      <w:r>
        <w:rPr>
          <w:rFonts w:hint="eastAsia"/>
          <w:sz w:val="24"/>
          <w:szCs w:val="28"/>
        </w:rPr>
        <w:t>满足或优于</w:t>
      </w:r>
      <w:r>
        <w:rPr>
          <w:sz w:val="24"/>
          <w:szCs w:val="28"/>
        </w:rPr>
        <w:t>：±0.</w:t>
      </w:r>
      <w:r>
        <w:rPr>
          <w:rFonts w:hint="eastAsia"/>
          <w:sz w:val="24"/>
          <w:szCs w:val="28"/>
        </w:rPr>
        <w:t>1</w:t>
      </w:r>
      <w:r>
        <w:rPr>
          <w:sz w:val="24"/>
          <w:szCs w:val="28"/>
        </w:rPr>
        <w:t>℃；</w:t>
      </w:r>
    </w:p>
    <w:p w14:paraId="3390C9AE">
      <w:pPr>
        <w:spacing w:line="560" w:lineRule="exact"/>
        <w:ind w:firstLine="480" w:firstLineChars="200"/>
        <w:rPr>
          <w:sz w:val="24"/>
          <w:szCs w:val="28"/>
        </w:rPr>
      </w:pPr>
      <w:r>
        <w:rPr>
          <w:rFonts w:ascii="Cambria Math" w:hAnsi="Cambria Math" w:cs="Cambria Math"/>
          <w:sz w:val="24"/>
          <w:szCs w:val="28"/>
        </w:rPr>
        <w:t>③</w:t>
      </w:r>
      <w:r>
        <w:rPr>
          <w:sz w:val="24"/>
          <w:szCs w:val="28"/>
        </w:rPr>
        <w:t>样品承载舟最大承载质量范围：</w:t>
      </w:r>
      <w:r>
        <w:rPr>
          <w:rFonts w:hint="eastAsia"/>
          <w:sz w:val="24"/>
          <w:szCs w:val="28"/>
        </w:rPr>
        <w:t>≥</w:t>
      </w:r>
      <w:r>
        <w:rPr>
          <w:sz w:val="24"/>
          <w:szCs w:val="28"/>
        </w:rPr>
        <w:t>20mg；</w:t>
      </w:r>
    </w:p>
    <w:p w14:paraId="5ECAF851">
      <w:pPr>
        <w:spacing w:line="560" w:lineRule="exact"/>
        <w:ind w:firstLine="480" w:firstLineChars="200"/>
        <w:rPr>
          <w:rFonts w:hint="eastAsia"/>
          <w:sz w:val="24"/>
          <w:szCs w:val="28"/>
        </w:rPr>
      </w:pPr>
      <w:r>
        <w:rPr>
          <w:rFonts w:hint="eastAsia" w:ascii="Cambria Math" w:hAnsi="Cambria Math" w:cs="Cambria Math"/>
          <w:sz w:val="24"/>
          <w:szCs w:val="28"/>
        </w:rPr>
        <w:t>*</w:t>
      </w:r>
      <w:r>
        <w:rPr>
          <w:rFonts w:ascii="Cambria Math" w:hAnsi="Cambria Math" w:cs="Cambria Math"/>
          <w:sz w:val="24"/>
          <w:szCs w:val="28"/>
        </w:rPr>
        <w:t>④</w:t>
      </w:r>
      <w:r>
        <w:rPr>
          <w:sz w:val="24"/>
          <w:szCs w:val="28"/>
        </w:rPr>
        <w:t>蒸发腔最低升温速率</w:t>
      </w:r>
      <w:r>
        <w:rPr>
          <w:rFonts w:hint="eastAsia"/>
          <w:sz w:val="24"/>
          <w:szCs w:val="28"/>
        </w:rPr>
        <w:t>满足或优于</w:t>
      </w:r>
      <w:r>
        <w:rPr>
          <w:sz w:val="24"/>
          <w:szCs w:val="28"/>
        </w:rPr>
        <w:t>：10℃/min；</w:t>
      </w:r>
      <w:r>
        <w:rPr>
          <w:rFonts w:hint="eastAsia"/>
          <w:sz w:val="24"/>
          <w:szCs w:val="28"/>
        </w:rPr>
        <w:t>最高升温速率满足或优于150℃/min;</w:t>
      </w:r>
    </w:p>
    <w:p w14:paraId="0F9E3B4A">
      <w:pPr>
        <w:spacing w:line="560" w:lineRule="exact"/>
        <w:ind w:firstLine="480" w:firstLineChars="200"/>
        <w:rPr>
          <w:sz w:val="24"/>
          <w:szCs w:val="28"/>
        </w:rPr>
      </w:pPr>
      <w:r>
        <w:rPr>
          <w:rFonts w:ascii="Cambria Math" w:hAnsi="Cambria Math" w:cs="Cambria Math"/>
          <w:sz w:val="24"/>
          <w:szCs w:val="28"/>
        </w:rPr>
        <w:t>⑤</w:t>
      </w:r>
      <w:r>
        <w:rPr>
          <w:rFonts w:hint="eastAsia" w:ascii="Cambria Math" w:hAnsi="Cambria Math" w:cs="Cambria Math"/>
          <w:sz w:val="24"/>
          <w:szCs w:val="28"/>
        </w:rPr>
        <w:t>可灵活设置温度序列，可</w:t>
      </w:r>
      <w:r>
        <w:rPr>
          <w:sz w:val="24"/>
          <w:szCs w:val="28"/>
        </w:rPr>
        <w:t>阶梯式多段升温；</w:t>
      </w:r>
    </w:p>
    <w:p w14:paraId="69E8CA34">
      <w:pPr>
        <w:spacing w:line="560" w:lineRule="exact"/>
        <w:ind w:firstLine="480" w:firstLineChars="200"/>
        <w:rPr>
          <w:sz w:val="24"/>
          <w:szCs w:val="28"/>
        </w:rPr>
      </w:pPr>
      <w:r>
        <w:rPr>
          <w:rFonts w:ascii="Cambria Math" w:hAnsi="Cambria Math" w:cs="Cambria Math"/>
          <w:sz w:val="24"/>
          <w:szCs w:val="28"/>
        </w:rPr>
        <w:t>⑥</w:t>
      </w:r>
      <w:r>
        <w:rPr>
          <w:sz w:val="24"/>
          <w:szCs w:val="28"/>
        </w:rPr>
        <w:t>瞬态温度实时反馈功能。</w:t>
      </w:r>
    </w:p>
    <w:p w14:paraId="42AED3B5">
      <w:pPr>
        <w:spacing w:line="560" w:lineRule="exact"/>
        <w:rPr>
          <w:sz w:val="24"/>
          <w:szCs w:val="28"/>
        </w:rPr>
      </w:pPr>
      <w:r>
        <w:rPr>
          <w:sz w:val="24"/>
          <w:szCs w:val="28"/>
        </w:rPr>
        <w:t>2.</w:t>
      </w:r>
      <w:r>
        <w:rPr>
          <w:rFonts w:hint="eastAsia"/>
          <w:sz w:val="24"/>
          <w:szCs w:val="28"/>
        </w:rPr>
        <w:t>9</w:t>
      </w:r>
      <w:r>
        <w:rPr>
          <w:sz w:val="24"/>
          <w:szCs w:val="28"/>
        </w:rPr>
        <w:t>.3 气相传输伴热模块</w:t>
      </w:r>
    </w:p>
    <w:p w14:paraId="1819DD10">
      <w:pPr>
        <w:spacing w:line="560" w:lineRule="exact"/>
        <w:ind w:firstLine="480" w:firstLineChars="200"/>
        <w:rPr>
          <w:sz w:val="24"/>
          <w:szCs w:val="28"/>
        </w:rPr>
      </w:pPr>
      <w:r>
        <w:rPr>
          <w:sz w:val="24"/>
          <w:szCs w:val="28"/>
        </w:rPr>
        <w:t>用于将蒸发腔产生的样品气相组分传输至电感耦合等离子体串联质谱仪</w:t>
      </w:r>
      <w:r>
        <w:rPr>
          <w:rFonts w:hint="eastAsia"/>
          <w:sz w:val="24"/>
          <w:szCs w:val="28"/>
        </w:rPr>
        <w:t>过程中的样品传输管路的保温伴热</w:t>
      </w:r>
      <w:r>
        <w:rPr>
          <w:sz w:val="24"/>
          <w:szCs w:val="28"/>
        </w:rPr>
        <w:t>。技术参数要求如下：</w:t>
      </w:r>
    </w:p>
    <w:p w14:paraId="591912CA">
      <w:pPr>
        <w:spacing w:line="560" w:lineRule="exact"/>
        <w:ind w:firstLine="480" w:firstLineChars="200"/>
        <w:rPr>
          <w:sz w:val="24"/>
          <w:szCs w:val="28"/>
        </w:rPr>
      </w:pPr>
      <w:r>
        <w:rPr>
          <w:rFonts w:ascii="Cambria Math" w:hAnsi="Cambria Math" w:cs="Cambria Math"/>
          <w:sz w:val="24"/>
          <w:szCs w:val="28"/>
        </w:rPr>
        <w:t>①</w:t>
      </w:r>
      <w:r>
        <w:rPr>
          <w:sz w:val="24"/>
          <w:szCs w:val="28"/>
        </w:rPr>
        <w:t>伴热温度</w:t>
      </w:r>
      <w:r>
        <w:rPr>
          <w:rFonts w:hint="eastAsia"/>
          <w:sz w:val="24"/>
          <w:szCs w:val="28"/>
        </w:rPr>
        <w:t>控制</w:t>
      </w:r>
      <w:r>
        <w:rPr>
          <w:sz w:val="24"/>
          <w:szCs w:val="28"/>
        </w:rPr>
        <w:t>范围：</w:t>
      </w:r>
      <w:r>
        <w:rPr>
          <w:rFonts w:hint="eastAsia"/>
          <w:sz w:val="24"/>
          <w:szCs w:val="28"/>
        </w:rPr>
        <w:t>5</w:t>
      </w:r>
      <w:r>
        <w:rPr>
          <w:sz w:val="24"/>
          <w:szCs w:val="28"/>
        </w:rPr>
        <w:t>0℃-250℃；</w:t>
      </w:r>
    </w:p>
    <w:p w14:paraId="26A3AAF6">
      <w:pPr>
        <w:spacing w:line="560" w:lineRule="exact"/>
        <w:ind w:firstLine="480" w:firstLineChars="200"/>
        <w:rPr>
          <w:sz w:val="24"/>
          <w:szCs w:val="28"/>
        </w:rPr>
      </w:pPr>
      <w:r>
        <w:rPr>
          <w:rFonts w:hint="eastAsia"/>
          <w:sz w:val="24"/>
          <w:szCs w:val="28"/>
        </w:rPr>
        <w:t>*</w:t>
      </w:r>
      <w:r>
        <w:rPr>
          <w:rFonts w:ascii="Cambria Math" w:hAnsi="Cambria Math" w:cs="Cambria Math"/>
          <w:sz w:val="24"/>
          <w:szCs w:val="28"/>
        </w:rPr>
        <w:t>②</w:t>
      </w:r>
      <w:r>
        <w:rPr>
          <w:sz w:val="24"/>
          <w:szCs w:val="28"/>
        </w:rPr>
        <w:t>伴热控温精度：±</w:t>
      </w:r>
      <w:r>
        <w:rPr>
          <w:rFonts w:hint="eastAsia"/>
          <w:sz w:val="24"/>
          <w:szCs w:val="28"/>
        </w:rPr>
        <w:t>0.5</w:t>
      </w:r>
      <w:r>
        <w:rPr>
          <w:sz w:val="24"/>
          <w:szCs w:val="28"/>
        </w:rPr>
        <w:t>℃；</w:t>
      </w:r>
    </w:p>
    <w:p w14:paraId="4E08400E">
      <w:pPr>
        <w:spacing w:line="560" w:lineRule="exact"/>
        <w:ind w:firstLine="480" w:firstLineChars="200"/>
        <w:rPr>
          <w:sz w:val="24"/>
          <w:szCs w:val="28"/>
        </w:rPr>
      </w:pPr>
      <w:r>
        <w:rPr>
          <w:rFonts w:ascii="Cambria Math" w:hAnsi="Cambria Math" w:cs="Cambria Math"/>
          <w:sz w:val="24"/>
          <w:szCs w:val="28"/>
        </w:rPr>
        <w:t>③</w:t>
      </w:r>
      <w:r>
        <w:rPr>
          <w:rFonts w:hint="eastAsia"/>
          <w:sz w:val="24"/>
          <w:szCs w:val="28"/>
        </w:rPr>
        <w:t>样品传输管路</w:t>
      </w:r>
      <w:r>
        <w:rPr>
          <w:sz w:val="24"/>
          <w:szCs w:val="28"/>
        </w:rPr>
        <w:t>内衬材质：惰性失活处理的熔融石英传输管</w:t>
      </w:r>
      <w:r>
        <w:rPr>
          <w:rFonts w:hint="eastAsia"/>
          <w:sz w:val="24"/>
          <w:szCs w:val="28"/>
        </w:rPr>
        <w:t>或高纯化学PFA惰性管</w:t>
      </w:r>
      <w:r>
        <w:rPr>
          <w:sz w:val="24"/>
          <w:szCs w:val="28"/>
        </w:rPr>
        <w:t>。</w:t>
      </w:r>
    </w:p>
    <w:p w14:paraId="0519E765">
      <w:pPr>
        <w:spacing w:line="560" w:lineRule="exact"/>
        <w:rPr>
          <w:b/>
          <w:bCs/>
          <w:sz w:val="24"/>
          <w:szCs w:val="28"/>
        </w:rPr>
      </w:pPr>
      <w:r>
        <w:rPr>
          <w:b/>
          <w:bCs/>
          <w:sz w:val="24"/>
          <w:szCs w:val="28"/>
        </w:rPr>
        <w:t>2.</w:t>
      </w:r>
      <w:r>
        <w:rPr>
          <w:rFonts w:hint="eastAsia"/>
          <w:b/>
          <w:bCs/>
          <w:sz w:val="24"/>
          <w:szCs w:val="28"/>
        </w:rPr>
        <w:t>10</w:t>
      </w:r>
      <w:r>
        <w:rPr>
          <w:b/>
          <w:bCs/>
          <w:sz w:val="24"/>
          <w:szCs w:val="28"/>
        </w:rPr>
        <w:t>进样系统要求</w:t>
      </w:r>
    </w:p>
    <w:p w14:paraId="59441B3F">
      <w:pPr>
        <w:spacing w:line="560" w:lineRule="exact"/>
        <w:rPr>
          <w:sz w:val="24"/>
          <w:szCs w:val="28"/>
        </w:rPr>
      </w:pPr>
      <w:r>
        <w:rPr>
          <w:sz w:val="24"/>
          <w:szCs w:val="28"/>
        </w:rPr>
        <w:t>*2.</w:t>
      </w:r>
      <w:r>
        <w:rPr>
          <w:rFonts w:hint="eastAsia"/>
          <w:sz w:val="24"/>
          <w:szCs w:val="28"/>
        </w:rPr>
        <w:t>10</w:t>
      </w:r>
      <w:r>
        <w:rPr>
          <w:sz w:val="24"/>
          <w:szCs w:val="28"/>
        </w:rPr>
        <w:t>.1 配备全功能进样系统，包括石英雾化室、石英雾化</w:t>
      </w:r>
      <w:r>
        <w:rPr>
          <w:rFonts w:hint="eastAsia"/>
          <w:sz w:val="24"/>
          <w:szCs w:val="28"/>
        </w:rPr>
        <w:t>器</w:t>
      </w:r>
      <w:r>
        <w:rPr>
          <w:sz w:val="24"/>
          <w:szCs w:val="28"/>
        </w:rPr>
        <w:t>、PFA雾化室、PFA雾化器、蓝宝石中心管、石英中心管、石英炬管外管、在线稀释系统、有机进样系统、废液管，满足各种高酸、高盐、有机、氢氟酸基质下的进样分析需求。</w:t>
      </w:r>
    </w:p>
    <w:p w14:paraId="6FD6667D">
      <w:pPr>
        <w:spacing w:line="560" w:lineRule="exact"/>
        <w:rPr>
          <w:rFonts w:hint="eastAsia"/>
          <w:sz w:val="24"/>
          <w:szCs w:val="28"/>
        </w:rPr>
      </w:pPr>
      <w:r>
        <w:rPr>
          <w:sz w:val="24"/>
          <w:szCs w:val="28"/>
        </w:rPr>
        <w:t>2.</w:t>
      </w:r>
      <w:r>
        <w:rPr>
          <w:rFonts w:hint="eastAsia"/>
          <w:sz w:val="24"/>
          <w:szCs w:val="28"/>
        </w:rPr>
        <w:t>10</w:t>
      </w:r>
      <w:r>
        <w:rPr>
          <w:sz w:val="24"/>
          <w:szCs w:val="28"/>
        </w:rPr>
        <w:t>.2 蠕动泵：</w:t>
      </w:r>
      <w:r>
        <w:rPr>
          <w:rFonts w:hint="eastAsia"/>
          <w:sz w:val="24"/>
          <w:szCs w:val="28"/>
        </w:rPr>
        <w:t>确保稳定进样的同时，可支持进样管、内标管、废液管同时运行，或支持高纯化学PFA惰性管自吸进样。</w:t>
      </w:r>
    </w:p>
    <w:p w14:paraId="6B471EDD">
      <w:pPr>
        <w:spacing w:line="560" w:lineRule="exact"/>
        <w:rPr>
          <w:b/>
          <w:bCs/>
          <w:sz w:val="24"/>
          <w:szCs w:val="28"/>
        </w:rPr>
      </w:pPr>
      <w:r>
        <w:rPr>
          <w:b/>
          <w:bCs/>
          <w:sz w:val="24"/>
          <w:szCs w:val="28"/>
        </w:rPr>
        <w:t>3. 配置要求</w:t>
      </w:r>
    </w:p>
    <w:p w14:paraId="454E164C">
      <w:pPr>
        <w:spacing w:line="560" w:lineRule="exact"/>
        <w:rPr>
          <w:sz w:val="24"/>
          <w:szCs w:val="28"/>
        </w:rPr>
      </w:pPr>
      <w:r>
        <w:rPr>
          <w:rFonts w:hint="eastAsia"/>
          <w:b/>
          <w:bCs/>
          <w:sz w:val="24"/>
          <w:szCs w:val="28"/>
        </w:rPr>
        <w:t>3.1 电感耦合等子体串联质谱仪主机</w:t>
      </w:r>
    </w:p>
    <w:p w14:paraId="4E82DE67">
      <w:pPr>
        <w:spacing w:line="560" w:lineRule="exact"/>
        <w:rPr>
          <w:sz w:val="24"/>
          <w:szCs w:val="28"/>
        </w:rPr>
      </w:pPr>
      <w:r>
        <w:rPr>
          <w:rFonts w:hint="eastAsia"/>
          <w:sz w:val="24"/>
          <w:szCs w:val="28"/>
        </w:rPr>
        <w:t>包括：（1）专用分析软件以及在线帮助系统；（2）耐氢氟酸进样系统及制冷模块；（3）蠕动泵；（4）铂和镍材质的截取锥和采样锥及配套垫圈、锥拆卸专用工具；（5）ICP离子源；（6）提取透镜、偏转透镜、二次离轴偏转透镜；（7）四极杆质量分析器Q1；（8）碰撞反应池；（9）四极杆质量分析器Q2；（10）检测器；（11）等离子体彩色摄像头；（12）分子涡轮泵；（13）机械泵；（14）氦气碰撞气气路；（15）氧气反应气气路；（16）氨气反应气气路；（17）氢气反应气气路；（18）排风管（含卡箍）；（19）安装及维护工具包；（20）操作手册。（若中标商所投产品具备以上硬件和配件）</w:t>
      </w:r>
    </w:p>
    <w:p w14:paraId="47308125">
      <w:pPr>
        <w:spacing w:line="560" w:lineRule="exact"/>
        <w:rPr>
          <w:rFonts w:hint="eastAsia"/>
          <w:b/>
          <w:bCs/>
          <w:sz w:val="24"/>
          <w:szCs w:val="28"/>
        </w:rPr>
      </w:pPr>
      <w:r>
        <w:rPr>
          <w:rFonts w:hint="eastAsia"/>
          <w:b/>
          <w:bCs/>
          <w:sz w:val="24"/>
          <w:szCs w:val="28"/>
        </w:rPr>
        <w:t>3.2 调谐液和校正液5套</w:t>
      </w:r>
    </w:p>
    <w:p w14:paraId="4E74764C">
      <w:pPr>
        <w:spacing w:line="560" w:lineRule="exact"/>
        <w:rPr>
          <w:b/>
          <w:bCs/>
          <w:sz w:val="24"/>
          <w:szCs w:val="28"/>
        </w:rPr>
      </w:pPr>
      <w:r>
        <w:rPr>
          <w:rFonts w:hint="eastAsia"/>
          <w:b/>
          <w:bCs/>
          <w:sz w:val="24"/>
          <w:szCs w:val="28"/>
        </w:rPr>
        <w:t>3.3 仪器运行两年的耗材</w:t>
      </w:r>
    </w:p>
    <w:p w14:paraId="16AF2ECA">
      <w:pPr>
        <w:spacing w:line="560" w:lineRule="exact"/>
        <w:rPr>
          <w:sz w:val="24"/>
          <w:szCs w:val="28"/>
        </w:rPr>
      </w:pPr>
      <w:r>
        <w:rPr>
          <w:rFonts w:hint="eastAsia"/>
          <w:sz w:val="24"/>
          <w:szCs w:val="28"/>
        </w:rPr>
        <w:t>清单（不含随机耗材）：PFA雾化器2套；PFA雾化室1套；石英雾化器3套；石英雾化室1套；石英炬管外管5套；石英中心管组件3套；蓝宝石中心管组件2套；采样锥和截取锥（铂材质）2套；采样锥和截取锥（镍材质）2套；采样锥配套石墨垫圈10套；蠕动泵废液管2套；泵管连接废液管2</w:t>
      </w:r>
      <w:bookmarkStart w:id="10" w:name="_Hlk194937114"/>
      <w:r>
        <w:rPr>
          <w:rFonts w:hint="eastAsia"/>
          <w:sz w:val="24"/>
          <w:szCs w:val="28"/>
        </w:rPr>
        <w:t>套</w:t>
      </w:r>
      <w:bookmarkEnd w:id="10"/>
      <w:r>
        <w:rPr>
          <w:rFonts w:hint="eastAsia"/>
          <w:sz w:val="24"/>
          <w:szCs w:val="28"/>
        </w:rPr>
        <w:t>；蠕动泵进样管5套；PFA进样管1套；</w:t>
      </w:r>
      <w:r>
        <w:rPr>
          <w:sz w:val="24"/>
          <w:szCs w:val="28"/>
        </w:rPr>
        <w:t>泵油</w:t>
      </w:r>
      <w:r>
        <w:rPr>
          <w:rFonts w:hint="eastAsia"/>
          <w:sz w:val="24"/>
          <w:szCs w:val="28"/>
        </w:rPr>
        <w:t>5</w:t>
      </w:r>
      <w:r>
        <w:rPr>
          <w:sz w:val="24"/>
          <w:szCs w:val="28"/>
        </w:rPr>
        <w:t>瓶</w:t>
      </w:r>
      <w:r>
        <w:rPr>
          <w:rFonts w:hint="eastAsia"/>
          <w:sz w:val="24"/>
          <w:szCs w:val="28"/>
        </w:rPr>
        <w:t>，其他仪器运行必备的耗材。（若中标商所投产品具备以上耗材，需提供）</w:t>
      </w:r>
    </w:p>
    <w:p w14:paraId="42457EA7">
      <w:pPr>
        <w:spacing w:line="560" w:lineRule="exact"/>
        <w:rPr>
          <w:b/>
          <w:bCs/>
          <w:sz w:val="24"/>
          <w:szCs w:val="28"/>
        </w:rPr>
      </w:pPr>
      <w:r>
        <w:rPr>
          <w:rFonts w:hint="eastAsia"/>
          <w:b/>
          <w:bCs/>
          <w:sz w:val="24"/>
          <w:szCs w:val="28"/>
        </w:rPr>
        <w:t>3.4 配套和联用配置要求</w:t>
      </w:r>
    </w:p>
    <w:p w14:paraId="64C01ED9">
      <w:pPr>
        <w:spacing w:line="560" w:lineRule="exact"/>
        <w:rPr>
          <w:sz w:val="24"/>
          <w:szCs w:val="28"/>
        </w:rPr>
      </w:pPr>
      <w:r>
        <w:rPr>
          <w:rFonts w:hint="eastAsia"/>
          <w:sz w:val="24"/>
          <w:szCs w:val="28"/>
        </w:rPr>
        <w:t>3.4.1 工作站性能满足或优于：多任务系统， i7处理器，16G内存，256G固态硬盘，1T硬盘，27寸液晶显示器，键盘鼠标，无线网卡。</w:t>
      </w:r>
    </w:p>
    <w:p w14:paraId="7265AF56">
      <w:pPr>
        <w:spacing w:line="560" w:lineRule="exact"/>
        <w:rPr>
          <w:sz w:val="24"/>
          <w:szCs w:val="28"/>
        </w:rPr>
      </w:pPr>
      <w:r>
        <w:rPr>
          <w:rFonts w:hint="eastAsia"/>
          <w:sz w:val="24"/>
          <w:szCs w:val="28"/>
        </w:rPr>
        <w:t>3.4.2 冷却循环水系统：制冷量不低于2100W，水箱容积大于2L。</w:t>
      </w:r>
    </w:p>
    <w:p w14:paraId="16CD9F20">
      <w:pPr>
        <w:spacing w:line="560" w:lineRule="exact"/>
        <w:rPr>
          <w:sz w:val="24"/>
          <w:szCs w:val="28"/>
        </w:rPr>
      </w:pPr>
      <w:r>
        <w:rPr>
          <w:rFonts w:hint="eastAsia"/>
          <w:sz w:val="24"/>
          <w:szCs w:val="28"/>
        </w:rPr>
        <w:t>3.4.3 不间断电源：15KVA，输入电压140V-300V，输出电压220 V±1%。停电后可持续供电2小时。</w:t>
      </w:r>
    </w:p>
    <w:p w14:paraId="4B93F488">
      <w:pPr>
        <w:spacing w:line="560" w:lineRule="exact"/>
        <w:rPr>
          <w:sz w:val="24"/>
          <w:szCs w:val="28"/>
        </w:rPr>
      </w:pPr>
      <w:r>
        <w:rPr>
          <w:rFonts w:hint="eastAsia"/>
          <w:sz w:val="24"/>
          <w:szCs w:val="28"/>
        </w:rPr>
        <w:t>3.4.4 固体蒸发进样系统一套。</w:t>
      </w:r>
    </w:p>
    <w:p w14:paraId="347F31FB">
      <w:pPr>
        <w:spacing w:line="560" w:lineRule="exact"/>
        <w:rPr>
          <w:sz w:val="24"/>
          <w:szCs w:val="28"/>
        </w:rPr>
      </w:pPr>
      <w:r>
        <w:rPr>
          <w:rFonts w:hint="eastAsia"/>
          <w:sz w:val="24"/>
          <w:szCs w:val="28"/>
        </w:rPr>
        <w:t>3.4.5 快速扫描仪一台。</w:t>
      </w:r>
    </w:p>
    <w:p w14:paraId="551A5C4B">
      <w:pPr>
        <w:spacing w:line="560" w:lineRule="exact"/>
        <w:rPr>
          <w:rFonts w:hint="eastAsia"/>
          <w:sz w:val="24"/>
          <w:szCs w:val="28"/>
        </w:rPr>
      </w:pPr>
      <w:r>
        <w:rPr>
          <w:rFonts w:hint="eastAsia"/>
          <w:sz w:val="24"/>
          <w:szCs w:val="28"/>
        </w:rPr>
        <w:t>自动连续双面高速扫描，60页120面/分钟。光学分辨率：600dpi。</w:t>
      </w:r>
    </w:p>
    <w:p w14:paraId="674399D8">
      <w:pPr>
        <w:spacing w:line="560" w:lineRule="exact"/>
        <w:rPr>
          <w:sz w:val="24"/>
          <w:szCs w:val="28"/>
        </w:rPr>
      </w:pPr>
      <w:r>
        <w:rPr>
          <w:rFonts w:hint="eastAsia"/>
          <w:sz w:val="24"/>
          <w:szCs w:val="28"/>
        </w:rPr>
        <w:t>3.4.6 第一次安装调试使用的所有钢瓶、气体和减压阀：氩氧/氦气/氢气/氨气等气体、钢瓶和减压阀。</w:t>
      </w:r>
    </w:p>
    <w:p w14:paraId="5AB39B33">
      <w:pPr>
        <w:spacing w:line="560" w:lineRule="exact"/>
        <w:rPr>
          <w:sz w:val="24"/>
          <w:szCs w:val="28"/>
        </w:rPr>
      </w:pPr>
      <w:r>
        <w:rPr>
          <w:rFonts w:hint="eastAsia"/>
          <w:sz w:val="24"/>
          <w:szCs w:val="28"/>
        </w:rPr>
        <w:t>3.4.7 仪器安装需要的各种的接头、气管和阀等耗材。</w:t>
      </w:r>
    </w:p>
    <w:p w14:paraId="4D0A9AD7">
      <w:pPr>
        <w:spacing w:line="560" w:lineRule="exact"/>
        <w:rPr>
          <w:sz w:val="24"/>
          <w:szCs w:val="28"/>
        </w:rPr>
      </w:pPr>
      <w:r>
        <w:rPr>
          <w:rFonts w:hint="eastAsia"/>
          <w:sz w:val="24"/>
          <w:szCs w:val="28"/>
        </w:rPr>
        <w:t>3.4.8 满足仪器运行要求的除湿机1台。</w:t>
      </w:r>
    </w:p>
    <w:p w14:paraId="712F21FF">
      <w:pPr>
        <w:spacing w:line="560" w:lineRule="exact"/>
        <w:rPr>
          <w:sz w:val="24"/>
          <w:szCs w:val="28"/>
        </w:rPr>
      </w:pPr>
      <w:r>
        <w:rPr>
          <w:rFonts w:hint="eastAsia"/>
          <w:sz w:val="24"/>
          <w:szCs w:val="28"/>
        </w:rPr>
        <w:t>除湿量不低于70升/天，水箱容积不低于10升。</w:t>
      </w:r>
    </w:p>
    <w:p w14:paraId="08D88C76">
      <w:pPr>
        <w:spacing w:line="560" w:lineRule="exact"/>
        <w:rPr>
          <w:b/>
          <w:bCs/>
          <w:sz w:val="24"/>
          <w:szCs w:val="28"/>
        </w:rPr>
      </w:pPr>
      <w:r>
        <w:rPr>
          <w:b/>
          <w:bCs/>
          <w:sz w:val="24"/>
          <w:szCs w:val="28"/>
        </w:rPr>
        <w:t>4.</w:t>
      </w:r>
      <w:r>
        <w:rPr>
          <w:rFonts w:hint="eastAsia"/>
          <w:b/>
          <w:bCs/>
          <w:sz w:val="24"/>
          <w:szCs w:val="28"/>
        </w:rPr>
        <w:t xml:space="preserve"> </w:t>
      </w:r>
      <w:r>
        <w:rPr>
          <w:b/>
          <w:bCs/>
          <w:sz w:val="24"/>
          <w:szCs w:val="28"/>
        </w:rPr>
        <w:t>质保及售后服务要求</w:t>
      </w:r>
    </w:p>
    <w:p w14:paraId="3F11A319">
      <w:pPr>
        <w:spacing w:line="560" w:lineRule="exact"/>
        <w:rPr>
          <w:sz w:val="24"/>
          <w:szCs w:val="28"/>
        </w:rPr>
      </w:pPr>
      <w:r>
        <w:rPr>
          <w:sz w:val="24"/>
          <w:szCs w:val="28"/>
        </w:rPr>
        <w:t>4.1</w:t>
      </w:r>
      <w:bookmarkStart w:id="11" w:name="_Hlk194938221"/>
      <w:bookmarkStart w:id="12" w:name="_Hlk194938451"/>
      <w:r>
        <w:rPr>
          <w:rFonts w:hint="eastAsia"/>
          <w:sz w:val="24"/>
          <w:szCs w:val="28"/>
        </w:rPr>
        <w:t>仪器</w:t>
      </w:r>
      <w:bookmarkEnd w:id="11"/>
      <w:r>
        <w:rPr>
          <w:rFonts w:hint="eastAsia"/>
          <w:sz w:val="24"/>
          <w:szCs w:val="28"/>
        </w:rPr>
        <w:t>供应商</w:t>
      </w:r>
      <w:bookmarkEnd w:id="12"/>
      <w:r>
        <w:rPr>
          <w:sz w:val="24"/>
          <w:szCs w:val="28"/>
        </w:rPr>
        <w:t>必需在使用者的实验室内</w:t>
      </w:r>
      <w:r>
        <w:rPr>
          <w:rFonts w:hint="eastAsia"/>
          <w:sz w:val="24"/>
          <w:szCs w:val="28"/>
        </w:rPr>
        <w:t>免费</w:t>
      </w:r>
      <w:r>
        <w:rPr>
          <w:sz w:val="24"/>
          <w:szCs w:val="28"/>
        </w:rPr>
        <w:t>安装调试仪器，并实现与固体蒸发进样系统的联用，</w:t>
      </w:r>
      <w:r>
        <w:rPr>
          <w:rFonts w:hint="eastAsia"/>
          <w:sz w:val="24"/>
          <w:szCs w:val="28"/>
        </w:rPr>
        <w:t>完成联用分析方法的调试，</w:t>
      </w:r>
      <w:r>
        <w:rPr>
          <w:sz w:val="24"/>
          <w:szCs w:val="28"/>
        </w:rPr>
        <w:t>直至用户认可仪器无偏离技术性能为止</w:t>
      </w:r>
      <w:r>
        <w:rPr>
          <w:rFonts w:hint="eastAsia"/>
          <w:sz w:val="24"/>
          <w:szCs w:val="28"/>
        </w:rPr>
        <w:t>。</w:t>
      </w:r>
    </w:p>
    <w:p w14:paraId="1D932E07">
      <w:pPr>
        <w:spacing w:line="560" w:lineRule="exact"/>
        <w:rPr>
          <w:sz w:val="24"/>
          <w:szCs w:val="28"/>
        </w:rPr>
      </w:pPr>
      <w:r>
        <w:rPr>
          <w:rFonts w:hint="eastAsia"/>
          <w:sz w:val="24"/>
          <w:szCs w:val="28"/>
        </w:rPr>
        <w:t>*</w:t>
      </w:r>
      <w:r>
        <w:rPr>
          <w:sz w:val="24"/>
          <w:szCs w:val="28"/>
        </w:rPr>
        <w:t>4.2</w:t>
      </w:r>
      <w:r>
        <w:rPr>
          <w:rFonts w:hint="eastAsia"/>
          <w:sz w:val="24"/>
          <w:szCs w:val="28"/>
        </w:rPr>
        <w:t>质保：从验收合格之日起，整机及非消耗配件质保三年，由厂家维修人员操作失误或使用不当造成仪器硬件损坏，卖方免费维修；但由于买方操作</w:t>
      </w:r>
      <w:bookmarkStart w:id="13" w:name="_Hlk194938298"/>
      <w:r>
        <w:rPr>
          <w:rFonts w:hint="eastAsia"/>
          <w:sz w:val="24"/>
          <w:szCs w:val="28"/>
        </w:rPr>
        <w:t>失误或使用不当</w:t>
      </w:r>
      <w:bookmarkEnd w:id="13"/>
      <w:r>
        <w:rPr>
          <w:rFonts w:hint="eastAsia"/>
          <w:sz w:val="24"/>
          <w:szCs w:val="28"/>
        </w:rPr>
        <w:t>以及不可抗力因素（战争、地震、雷击、洪水等）等原因</w:t>
      </w:r>
      <w:bookmarkStart w:id="14" w:name="_Hlk194938353"/>
      <w:r>
        <w:rPr>
          <w:rFonts w:hint="eastAsia"/>
          <w:sz w:val="24"/>
          <w:szCs w:val="28"/>
        </w:rPr>
        <w:t>造成仪器硬件损坏，</w:t>
      </w:r>
      <w:bookmarkEnd w:id="14"/>
      <w:r>
        <w:rPr>
          <w:rFonts w:hint="eastAsia"/>
          <w:sz w:val="24"/>
          <w:szCs w:val="28"/>
        </w:rPr>
        <w:t>卖方可收取成本费和维修费。</w:t>
      </w:r>
    </w:p>
    <w:p w14:paraId="33A39FB4">
      <w:pPr>
        <w:spacing w:line="560" w:lineRule="exact"/>
        <w:rPr>
          <w:sz w:val="24"/>
          <w:szCs w:val="28"/>
        </w:rPr>
      </w:pPr>
      <w:r>
        <w:rPr>
          <w:sz w:val="24"/>
          <w:szCs w:val="28"/>
        </w:rPr>
        <w:t>4.3</w:t>
      </w:r>
      <w:bookmarkStart w:id="15" w:name="_Hlk194937987"/>
      <w:r>
        <w:rPr>
          <w:rFonts w:hint="eastAsia"/>
          <w:sz w:val="24"/>
          <w:szCs w:val="28"/>
        </w:rPr>
        <w:t>仪器</w:t>
      </w:r>
      <w:bookmarkEnd w:id="15"/>
      <w:bookmarkStart w:id="16" w:name="_Hlk194938525"/>
      <w:r>
        <w:rPr>
          <w:rFonts w:hint="eastAsia"/>
          <w:sz w:val="24"/>
          <w:szCs w:val="28"/>
        </w:rPr>
        <w:t>制造商</w:t>
      </w:r>
      <w:bookmarkEnd w:id="16"/>
      <w:r>
        <w:rPr>
          <w:sz w:val="24"/>
          <w:szCs w:val="28"/>
        </w:rPr>
        <w:t>在</w:t>
      </w:r>
      <w:r>
        <w:rPr>
          <w:rFonts w:hint="eastAsia"/>
          <w:sz w:val="24"/>
          <w:szCs w:val="28"/>
        </w:rPr>
        <w:t>江西省</w:t>
      </w:r>
      <w:r>
        <w:rPr>
          <w:sz w:val="24"/>
          <w:szCs w:val="28"/>
        </w:rPr>
        <w:t>赣州</w:t>
      </w:r>
      <w:r>
        <w:rPr>
          <w:rFonts w:hint="eastAsia"/>
          <w:sz w:val="24"/>
          <w:szCs w:val="28"/>
        </w:rPr>
        <w:t>市</w:t>
      </w:r>
      <w:r>
        <w:rPr>
          <w:sz w:val="24"/>
          <w:szCs w:val="28"/>
        </w:rPr>
        <w:t>至少匹配1名专门对接的售后服务人员；设备出现故障后供应商及</w:t>
      </w:r>
      <w:r>
        <w:rPr>
          <w:rFonts w:hint="eastAsia"/>
          <w:sz w:val="24"/>
          <w:szCs w:val="28"/>
        </w:rPr>
        <w:t>制造商</w:t>
      </w:r>
      <w:r>
        <w:rPr>
          <w:sz w:val="24"/>
          <w:szCs w:val="28"/>
        </w:rPr>
        <w:t>的维修人员需在2小时内电话响应，在48小时内到达现场</w:t>
      </w:r>
      <w:r>
        <w:rPr>
          <w:rFonts w:hint="eastAsia"/>
          <w:sz w:val="24"/>
          <w:szCs w:val="28"/>
        </w:rPr>
        <w:t>。</w:t>
      </w:r>
    </w:p>
    <w:p w14:paraId="2DD9C224">
      <w:pPr>
        <w:spacing w:line="560" w:lineRule="exact"/>
        <w:rPr>
          <w:sz w:val="24"/>
          <w:szCs w:val="28"/>
        </w:rPr>
      </w:pPr>
      <w:r>
        <w:rPr>
          <w:sz w:val="24"/>
          <w:szCs w:val="28"/>
        </w:rPr>
        <w:t>4.4</w:t>
      </w:r>
      <w:bookmarkStart w:id="17" w:name="_Hlk194938605"/>
      <w:r>
        <w:rPr>
          <w:rFonts w:hint="eastAsia"/>
          <w:sz w:val="24"/>
          <w:szCs w:val="28"/>
        </w:rPr>
        <w:t>仪器</w:t>
      </w:r>
      <w:bookmarkEnd w:id="17"/>
      <w:r>
        <w:rPr>
          <w:rFonts w:hint="eastAsia"/>
          <w:sz w:val="24"/>
          <w:szCs w:val="28"/>
        </w:rPr>
        <w:t>制造商</w:t>
      </w:r>
      <w:r>
        <w:rPr>
          <w:sz w:val="24"/>
          <w:szCs w:val="28"/>
        </w:rPr>
        <w:t>须免费提供</w:t>
      </w:r>
      <w:r>
        <w:rPr>
          <w:rFonts w:hint="eastAsia"/>
          <w:sz w:val="24"/>
          <w:szCs w:val="28"/>
        </w:rPr>
        <w:t>厂家</w:t>
      </w:r>
      <w:r>
        <w:rPr>
          <w:sz w:val="24"/>
          <w:szCs w:val="28"/>
        </w:rPr>
        <w:t>现场技术培训4人次</w:t>
      </w:r>
      <w:r>
        <w:rPr>
          <w:rFonts w:hint="eastAsia"/>
          <w:sz w:val="24"/>
          <w:szCs w:val="28"/>
        </w:rPr>
        <w:t>，每次不少于4天</w:t>
      </w:r>
      <w:r>
        <w:rPr>
          <w:sz w:val="24"/>
          <w:szCs w:val="28"/>
        </w:rPr>
        <w:t>，提供详细的培训计划、培训大纲，保证使用人员正常操作设备</w:t>
      </w:r>
      <w:r>
        <w:rPr>
          <w:rFonts w:hint="eastAsia"/>
          <w:sz w:val="24"/>
          <w:szCs w:val="28"/>
        </w:rPr>
        <w:t>。</w:t>
      </w:r>
    </w:p>
    <w:p w14:paraId="678E847E">
      <w:pPr>
        <w:spacing w:line="560" w:lineRule="exact"/>
        <w:rPr>
          <w:rFonts w:hint="eastAsia"/>
          <w:sz w:val="24"/>
          <w:szCs w:val="28"/>
        </w:rPr>
      </w:pPr>
      <w:r>
        <w:rPr>
          <w:rFonts w:hint="eastAsia"/>
          <w:sz w:val="24"/>
          <w:szCs w:val="28"/>
        </w:rPr>
        <w:t>#4.5仪器制造商须</w:t>
      </w:r>
      <w:r>
        <w:rPr>
          <w:sz w:val="24"/>
          <w:szCs w:val="28"/>
        </w:rPr>
        <w:t>配合用户开发固体直接进样新方法，</w:t>
      </w:r>
      <w:r>
        <w:rPr>
          <w:rFonts w:hint="eastAsia"/>
          <w:sz w:val="24"/>
          <w:szCs w:val="28"/>
        </w:rPr>
        <w:t>自中标之日起，每年开发2个与固体直接进样联用的新方法，连续3年共计6个新方法。固体直接进样技术人员到用户现场指导，每次不少于5天，3年累计不少于4次。</w:t>
      </w:r>
    </w:p>
    <w:p w14:paraId="102CAFD2">
      <w:pPr>
        <w:spacing w:line="500" w:lineRule="exact"/>
        <w:jc w:val="left"/>
        <w:rPr>
          <w:sz w:val="24"/>
          <w:szCs w:val="28"/>
        </w:rPr>
      </w:pPr>
      <w:r>
        <w:rPr>
          <w:rFonts w:hint="eastAsia"/>
          <w:sz w:val="24"/>
          <w:szCs w:val="28"/>
        </w:rPr>
        <w:t>4.6交货地点：中国科学院赣江创新研究院用户指定实验室现场</w:t>
      </w:r>
    </w:p>
    <w:p w14:paraId="13800733">
      <w:pPr>
        <w:spacing w:line="560" w:lineRule="exact"/>
        <w:rPr>
          <w:sz w:val="24"/>
          <w:szCs w:val="28"/>
        </w:rPr>
      </w:pPr>
      <w:r>
        <w:rPr>
          <w:rFonts w:hint="eastAsia"/>
          <w:sz w:val="24"/>
          <w:szCs w:val="28"/>
        </w:rPr>
        <w:t>4.7付款方式：签订合同后中标商支付合同金额的5%作为</w:t>
      </w:r>
      <w:bookmarkStart w:id="18" w:name="_Hlk195252636"/>
      <w:r>
        <w:rPr>
          <w:rFonts w:hint="eastAsia"/>
          <w:sz w:val="24"/>
          <w:szCs w:val="28"/>
        </w:rPr>
        <w:t>履约保证金</w:t>
      </w:r>
      <w:bookmarkEnd w:id="18"/>
      <w:r>
        <w:rPr>
          <w:rFonts w:hint="eastAsia"/>
          <w:sz w:val="24"/>
          <w:szCs w:val="28"/>
        </w:rPr>
        <w:t>，验收合格后凭用户签字的验收单返还。履约保证金到款后，</w:t>
      </w:r>
      <w:bookmarkStart w:id="19" w:name="_Hlk195252485"/>
      <w:r>
        <w:rPr>
          <w:rFonts w:hint="eastAsia"/>
          <w:sz w:val="24"/>
          <w:szCs w:val="28"/>
        </w:rPr>
        <w:t>用户支付预付款20%，设备到货后支付50%，验收合格后凭用户代表签字并加盖单位公章的验收报告支付剩余货款。</w:t>
      </w:r>
      <w:bookmarkEnd w:id="19"/>
    </w:p>
    <w:p w14:paraId="02973A70">
      <w:pPr>
        <w:spacing w:line="560" w:lineRule="exact"/>
        <w:rPr>
          <w:rFonts w:hint="eastAsia" w:ascii="宋体" w:hAnsi="宋体"/>
          <w:b/>
          <w:sz w:val="30"/>
          <w:szCs w:val="30"/>
        </w:rPr>
      </w:pPr>
      <w:r>
        <w:rPr>
          <w:rFonts w:hint="eastAsia"/>
          <w:sz w:val="24"/>
          <w:szCs w:val="28"/>
        </w:rPr>
        <w:t>4.8交货期：合同签订生效后4个月。</w:t>
      </w:r>
    </w:p>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仿宋_GB2312">
    <w:altName w:val="仿宋"/>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1" w:usb1="080E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inherit">
    <w:altName w:val="Times New Roman"/>
    <w:panose1 w:val="00000000000000000000"/>
    <w:charset w:val="00"/>
    <w:family w:val="roman"/>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Cambria Math">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5DB70">
    <w:pPr>
      <w:pStyle w:val="21"/>
      <w:jc w:val="center"/>
    </w:pPr>
    <w:r>
      <w:fldChar w:fldCharType="begin"/>
    </w:r>
    <w:r>
      <w:instrText xml:space="preserve">PAGE   \* MERGEFORMAT</w:instrText>
    </w:r>
    <w:r>
      <w:fldChar w:fldCharType="separate"/>
    </w:r>
    <w:r>
      <w:rPr>
        <w:lang w:val="zh-CN"/>
      </w:rPr>
      <w:t>11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8EC05">
    <w:pPr>
      <w:pStyle w:val="21"/>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E8BC01">
    <w:pPr>
      <w:pStyle w:val="22"/>
      <w:jc w:val="both"/>
    </w:pPr>
    <w:r>
      <w:rPr>
        <w:rFonts w:hint="eastAsia"/>
        <w:i/>
      </w:rPr>
      <w:t>中国科学院招标文件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7AE0269E"/>
    <w:multiLevelType w:val="multilevel"/>
    <w:tmpl w:val="7AE0269E"/>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72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440" w:hanging="144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800" w:hanging="1800"/>
      </w:pPr>
      <w:rPr>
        <w:rFonts w:hint="default"/>
      </w:rPr>
    </w:lvl>
    <w:lvl w:ilvl="7" w:tentative="0">
      <w:start w:val="1"/>
      <w:numFmt w:val="decimal"/>
      <w:isLgl/>
      <w:lvlText w:val="%1.%2.%3.%4.%5.%6.%7.%8"/>
      <w:lvlJc w:val="left"/>
      <w:pPr>
        <w:ind w:left="2160" w:hanging="2160"/>
      </w:pPr>
      <w:rPr>
        <w:rFonts w:hint="default"/>
      </w:rPr>
    </w:lvl>
    <w:lvl w:ilvl="8" w:tentative="0">
      <w:start w:val="1"/>
      <w:numFmt w:val="decimal"/>
      <w:isLgl/>
      <w:lvlText w:val="%1.%2.%3.%4.%5.%6.%7.%8.%9"/>
      <w:lvlJc w:val="left"/>
      <w:pPr>
        <w:ind w:left="216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Y5ZDVkNGViNDI2YWMwZWE1YmM5MGM5ZjEwZmIzYzgifQ=="/>
  </w:docVars>
  <w:rsids>
    <w:rsidRoot w:val="00FA3835"/>
    <w:rsid w:val="000050A2"/>
    <w:rsid w:val="000063DF"/>
    <w:rsid w:val="0001709E"/>
    <w:rsid w:val="00027C8D"/>
    <w:rsid w:val="0003320E"/>
    <w:rsid w:val="00040005"/>
    <w:rsid w:val="000543E7"/>
    <w:rsid w:val="000562F3"/>
    <w:rsid w:val="0006010D"/>
    <w:rsid w:val="000668DC"/>
    <w:rsid w:val="00070951"/>
    <w:rsid w:val="000710FD"/>
    <w:rsid w:val="0007354F"/>
    <w:rsid w:val="00081ADD"/>
    <w:rsid w:val="000969BB"/>
    <w:rsid w:val="000973D2"/>
    <w:rsid w:val="000A246A"/>
    <w:rsid w:val="000A78A4"/>
    <w:rsid w:val="000B12EC"/>
    <w:rsid w:val="000B2390"/>
    <w:rsid w:val="000B636A"/>
    <w:rsid w:val="000C1F98"/>
    <w:rsid w:val="000C325D"/>
    <w:rsid w:val="000C505C"/>
    <w:rsid w:val="000D1A3C"/>
    <w:rsid w:val="000E0B0C"/>
    <w:rsid w:val="000E17D4"/>
    <w:rsid w:val="000E4DA9"/>
    <w:rsid w:val="000E51A5"/>
    <w:rsid w:val="000F0512"/>
    <w:rsid w:val="000F4571"/>
    <w:rsid w:val="00101DAE"/>
    <w:rsid w:val="00103352"/>
    <w:rsid w:val="0010643C"/>
    <w:rsid w:val="00107AF4"/>
    <w:rsid w:val="001140D0"/>
    <w:rsid w:val="00120897"/>
    <w:rsid w:val="001235CA"/>
    <w:rsid w:val="0013237B"/>
    <w:rsid w:val="001365C4"/>
    <w:rsid w:val="00137D93"/>
    <w:rsid w:val="001410DC"/>
    <w:rsid w:val="00143E42"/>
    <w:rsid w:val="00144505"/>
    <w:rsid w:val="00144DDA"/>
    <w:rsid w:val="0014761F"/>
    <w:rsid w:val="001501FA"/>
    <w:rsid w:val="00153F11"/>
    <w:rsid w:val="00154F47"/>
    <w:rsid w:val="00155A34"/>
    <w:rsid w:val="001613E8"/>
    <w:rsid w:val="00164E27"/>
    <w:rsid w:val="001921CA"/>
    <w:rsid w:val="00194900"/>
    <w:rsid w:val="001A0E56"/>
    <w:rsid w:val="001A6E63"/>
    <w:rsid w:val="001B195C"/>
    <w:rsid w:val="001B62CC"/>
    <w:rsid w:val="001B66E1"/>
    <w:rsid w:val="001B6E57"/>
    <w:rsid w:val="001D7301"/>
    <w:rsid w:val="001E1467"/>
    <w:rsid w:val="001E152C"/>
    <w:rsid w:val="001E3480"/>
    <w:rsid w:val="001F18B7"/>
    <w:rsid w:val="001F1D2B"/>
    <w:rsid w:val="001F5FAD"/>
    <w:rsid w:val="001F79B6"/>
    <w:rsid w:val="002024C7"/>
    <w:rsid w:val="00206639"/>
    <w:rsid w:val="00207583"/>
    <w:rsid w:val="0021259E"/>
    <w:rsid w:val="00213C28"/>
    <w:rsid w:val="00216A65"/>
    <w:rsid w:val="002248E7"/>
    <w:rsid w:val="00224FE7"/>
    <w:rsid w:val="00233C8A"/>
    <w:rsid w:val="00236F4B"/>
    <w:rsid w:val="0024058C"/>
    <w:rsid w:val="00240E7B"/>
    <w:rsid w:val="00247ED0"/>
    <w:rsid w:val="00251DB7"/>
    <w:rsid w:val="00260542"/>
    <w:rsid w:val="002633A8"/>
    <w:rsid w:val="0026604C"/>
    <w:rsid w:val="00266C47"/>
    <w:rsid w:val="00267027"/>
    <w:rsid w:val="002742AD"/>
    <w:rsid w:val="002749BA"/>
    <w:rsid w:val="00275598"/>
    <w:rsid w:val="002761A3"/>
    <w:rsid w:val="0028124D"/>
    <w:rsid w:val="00282A80"/>
    <w:rsid w:val="00282F14"/>
    <w:rsid w:val="00292E0B"/>
    <w:rsid w:val="00293F10"/>
    <w:rsid w:val="002B1B2C"/>
    <w:rsid w:val="002B44BD"/>
    <w:rsid w:val="002B6E7A"/>
    <w:rsid w:val="002B7380"/>
    <w:rsid w:val="002D03CF"/>
    <w:rsid w:val="002D5C47"/>
    <w:rsid w:val="002E03AA"/>
    <w:rsid w:val="002E6A76"/>
    <w:rsid w:val="002F1704"/>
    <w:rsid w:val="002F6FCA"/>
    <w:rsid w:val="002F7EF8"/>
    <w:rsid w:val="00301191"/>
    <w:rsid w:val="003077EE"/>
    <w:rsid w:val="00322611"/>
    <w:rsid w:val="003248D5"/>
    <w:rsid w:val="00326D72"/>
    <w:rsid w:val="0033189B"/>
    <w:rsid w:val="00335DBF"/>
    <w:rsid w:val="003440A9"/>
    <w:rsid w:val="003442AE"/>
    <w:rsid w:val="0034443A"/>
    <w:rsid w:val="00345137"/>
    <w:rsid w:val="003474B8"/>
    <w:rsid w:val="003505AE"/>
    <w:rsid w:val="00353254"/>
    <w:rsid w:val="00353E66"/>
    <w:rsid w:val="00357C16"/>
    <w:rsid w:val="003637C6"/>
    <w:rsid w:val="003732CC"/>
    <w:rsid w:val="00373B63"/>
    <w:rsid w:val="00374F9A"/>
    <w:rsid w:val="00382C0C"/>
    <w:rsid w:val="00393D3D"/>
    <w:rsid w:val="00397F24"/>
    <w:rsid w:val="003A298A"/>
    <w:rsid w:val="003A53DC"/>
    <w:rsid w:val="003B4F45"/>
    <w:rsid w:val="003B6193"/>
    <w:rsid w:val="003C172D"/>
    <w:rsid w:val="003C7092"/>
    <w:rsid w:val="003C785A"/>
    <w:rsid w:val="003C7DE1"/>
    <w:rsid w:val="003D2B81"/>
    <w:rsid w:val="003D7D49"/>
    <w:rsid w:val="003F1344"/>
    <w:rsid w:val="003F5CD0"/>
    <w:rsid w:val="003F5F7A"/>
    <w:rsid w:val="003F7329"/>
    <w:rsid w:val="004043A2"/>
    <w:rsid w:val="00404EA5"/>
    <w:rsid w:val="00411880"/>
    <w:rsid w:val="00415144"/>
    <w:rsid w:val="00416823"/>
    <w:rsid w:val="00416C18"/>
    <w:rsid w:val="00420D92"/>
    <w:rsid w:val="0042297A"/>
    <w:rsid w:val="004362C7"/>
    <w:rsid w:val="0044106E"/>
    <w:rsid w:val="004446E2"/>
    <w:rsid w:val="00446E68"/>
    <w:rsid w:val="00447503"/>
    <w:rsid w:val="0045371C"/>
    <w:rsid w:val="0046038A"/>
    <w:rsid w:val="00471176"/>
    <w:rsid w:val="004713B2"/>
    <w:rsid w:val="004741E0"/>
    <w:rsid w:val="004812D0"/>
    <w:rsid w:val="00484FF8"/>
    <w:rsid w:val="004A0EB1"/>
    <w:rsid w:val="004A3B49"/>
    <w:rsid w:val="004A5C14"/>
    <w:rsid w:val="004B36B8"/>
    <w:rsid w:val="004C387C"/>
    <w:rsid w:val="004C599E"/>
    <w:rsid w:val="004D0AB9"/>
    <w:rsid w:val="004D0DF3"/>
    <w:rsid w:val="004D0E6E"/>
    <w:rsid w:val="004D0E72"/>
    <w:rsid w:val="004E042A"/>
    <w:rsid w:val="004F0FDE"/>
    <w:rsid w:val="004F3E07"/>
    <w:rsid w:val="00504FD3"/>
    <w:rsid w:val="00512882"/>
    <w:rsid w:val="005143FF"/>
    <w:rsid w:val="00516FEB"/>
    <w:rsid w:val="0052022B"/>
    <w:rsid w:val="00523748"/>
    <w:rsid w:val="005244F5"/>
    <w:rsid w:val="00524665"/>
    <w:rsid w:val="0053222F"/>
    <w:rsid w:val="00543BC3"/>
    <w:rsid w:val="00543C0A"/>
    <w:rsid w:val="0054699B"/>
    <w:rsid w:val="00550274"/>
    <w:rsid w:val="005515EB"/>
    <w:rsid w:val="0055226E"/>
    <w:rsid w:val="00552E7C"/>
    <w:rsid w:val="005601D0"/>
    <w:rsid w:val="005613B2"/>
    <w:rsid w:val="0056304A"/>
    <w:rsid w:val="0057066D"/>
    <w:rsid w:val="00572671"/>
    <w:rsid w:val="00591688"/>
    <w:rsid w:val="005916DF"/>
    <w:rsid w:val="00595627"/>
    <w:rsid w:val="00595D3F"/>
    <w:rsid w:val="00595EAC"/>
    <w:rsid w:val="005A2F5B"/>
    <w:rsid w:val="005A52D6"/>
    <w:rsid w:val="005A67B0"/>
    <w:rsid w:val="005B1BDC"/>
    <w:rsid w:val="005C574A"/>
    <w:rsid w:val="005C7517"/>
    <w:rsid w:val="005D09A0"/>
    <w:rsid w:val="005D0BA9"/>
    <w:rsid w:val="005D3631"/>
    <w:rsid w:val="005D479D"/>
    <w:rsid w:val="005E4227"/>
    <w:rsid w:val="005E6FA4"/>
    <w:rsid w:val="005E7A21"/>
    <w:rsid w:val="005F24B2"/>
    <w:rsid w:val="0060103A"/>
    <w:rsid w:val="006017D4"/>
    <w:rsid w:val="0060191A"/>
    <w:rsid w:val="00602911"/>
    <w:rsid w:val="00602A7A"/>
    <w:rsid w:val="00603152"/>
    <w:rsid w:val="0060509A"/>
    <w:rsid w:val="006125F5"/>
    <w:rsid w:val="00612A9B"/>
    <w:rsid w:val="00614D00"/>
    <w:rsid w:val="006225E2"/>
    <w:rsid w:val="0062676A"/>
    <w:rsid w:val="00640DB1"/>
    <w:rsid w:val="006416E9"/>
    <w:rsid w:val="0064545D"/>
    <w:rsid w:val="00646C82"/>
    <w:rsid w:val="00647ADA"/>
    <w:rsid w:val="00647CD5"/>
    <w:rsid w:val="006548A6"/>
    <w:rsid w:val="00655478"/>
    <w:rsid w:val="00664D7F"/>
    <w:rsid w:val="006774ED"/>
    <w:rsid w:val="00680D52"/>
    <w:rsid w:val="00685A6B"/>
    <w:rsid w:val="006868ED"/>
    <w:rsid w:val="006952C4"/>
    <w:rsid w:val="006A0A23"/>
    <w:rsid w:val="006A377B"/>
    <w:rsid w:val="006B0930"/>
    <w:rsid w:val="006B75B4"/>
    <w:rsid w:val="006B7BB2"/>
    <w:rsid w:val="006C4384"/>
    <w:rsid w:val="006C5135"/>
    <w:rsid w:val="006C546E"/>
    <w:rsid w:val="006E2DE0"/>
    <w:rsid w:val="006E39FB"/>
    <w:rsid w:val="006E5A8E"/>
    <w:rsid w:val="006F6AE1"/>
    <w:rsid w:val="0070081C"/>
    <w:rsid w:val="0071085C"/>
    <w:rsid w:val="0071653B"/>
    <w:rsid w:val="00720FAF"/>
    <w:rsid w:val="00721985"/>
    <w:rsid w:val="00724C84"/>
    <w:rsid w:val="007252A8"/>
    <w:rsid w:val="00725C0A"/>
    <w:rsid w:val="0073119D"/>
    <w:rsid w:val="0073199C"/>
    <w:rsid w:val="007376B0"/>
    <w:rsid w:val="00740508"/>
    <w:rsid w:val="00742B6F"/>
    <w:rsid w:val="00743776"/>
    <w:rsid w:val="00751428"/>
    <w:rsid w:val="0075674B"/>
    <w:rsid w:val="00757DBF"/>
    <w:rsid w:val="00761CFA"/>
    <w:rsid w:val="00761F2B"/>
    <w:rsid w:val="00763B74"/>
    <w:rsid w:val="00766A77"/>
    <w:rsid w:val="007731D0"/>
    <w:rsid w:val="00775B16"/>
    <w:rsid w:val="00785A0A"/>
    <w:rsid w:val="007879BB"/>
    <w:rsid w:val="0079074C"/>
    <w:rsid w:val="007967F8"/>
    <w:rsid w:val="007A3772"/>
    <w:rsid w:val="007A499B"/>
    <w:rsid w:val="007B71EC"/>
    <w:rsid w:val="007C2696"/>
    <w:rsid w:val="007C4C31"/>
    <w:rsid w:val="007C5EA5"/>
    <w:rsid w:val="007D381E"/>
    <w:rsid w:val="007D3EE2"/>
    <w:rsid w:val="007E03CA"/>
    <w:rsid w:val="007E6193"/>
    <w:rsid w:val="007F2F97"/>
    <w:rsid w:val="007F387D"/>
    <w:rsid w:val="007F7152"/>
    <w:rsid w:val="00801CDC"/>
    <w:rsid w:val="008203E6"/>
    <w:rsid w:val="00822633"/>
    <w:rsid w:val="00830107"/>
    <w:rsid w:val="00831B02"/>
    <w:rsid w:val="00833174"/>
    <w:rsid w:val="008450BA"/>
    <w:rsid w:val="00846609"/>
    <w:rsid w:val="00852958"/>
    <w:rsid w:val="008569EF"/>
    <w:rsid w:val="00864F77"/>
    <w:rsid w:val="008661F8"/>
    <w:rsid w:val="008712FA"/>
    <w:rsid w:val="00872EE8"/>
    <w:rsid w:val="00876AA9"/>
    <w:rsid w:val="00876EFF"/>
    <w:rsid w:val="00883AB2"/>
    <w:rsid w:val="008861B2"/>
    <w:rsid w:val="00896377"/>
    <w:rsid w:val="008A09F5"/>
    <w:rsid w:val="008A4B18"/>
    <w:rsid w:val="008A738C"/>
    <w:rsid w:val="008B2645"/>
    <w:rsid w:val="008B4E74"/>
    <w:rsid w:val="008C36D3"/>
    <w:rsid w:val="008C3D50"/>
    <w:rsid w:val="008D0306"/>
    <w:rsid w:val="008D0675"/>
    <w:rsid w:val="008D1425"/>
    <w:rsid w:val="008D3BC8"/>
    <w:rsid w:val="008D6F23"/>
    <w:rsid w:val="008E09E5"/>
    <w:rsid w:val="008E0F1D"/>
    <w:rsid w:val="008E5EB5"/>
    <w:rsid w:val="008E7FAF"/>
    <w:rsid w:val="008F04C7"/>
    <w:rsid w:val="008F21A5"/>
    <w:rsid w:val="008F2440"/>
    <w:rsid w:val="00901C92"/>
    <w:rsid w:val="0090665E"/>
    <w:rsid w:val="00914619"/>
    <w:rsid w:val="009202C8"/>
    <w:rsid w:val="00920E8D"/>
    <w:rsid w:val="009246BA"/>
    <w:rsid w:val="00925EF2"/>
    <w:rsid w:val="00930CDE"/>
    <w:rsid w:val="009332D0"/>
    <w:rsid w:val="00935AA1"/>
    <w:rsid w:val="00940E52"/>
    <w:rsid w:val="009451DC"/>
    <w:rsid w:val="009467F2"/>
    <w:rsid w:val="0095448A"/>
    <w:rsid w:val="0095655E"/>
    <w:rsid w:val="00957A92"/>
    <w:rsid w:val="009718ED"/>
    <w:rsid w:val="0097297B"/>
    <w:rsid w:val="0097534B"/>
    <w:rsid w:val="0098154C"/>
    <w:rsid w:val="0098549E"/>
    <w:rsid w:val="009857EF"/>
    <w:rsid w:val="0099152C"/>
    <w:rsid w:val="009941D8"/>
    <w:rsid w:val="0099670E"/>
    <w:rsid w:val="00997562"/>
    <w:rsid w:val="009A2C18"/>
    <w:rsid w:val="009B2E85"/>
    <w:rsid w:val="009B37F1"/>
    <w:rsid w:val="009C0A0B"/>
    <w:rsid w:val="009C14BD"/>
    <w:rsid w:val="009D1AF8"/>
    <w:rsid w:val="009D3C04"/>
    <w:rsid w:val="009E1C84"/>
    <w:rsid w:val="009E32D4"/>
    <w:rsid w:val="009E4080"/>
    <w:rsid w:val="009E4DCB"/>
    <w:rsid w:val="009E580F"/>
    <w:rsid w:val="009F5A6A"/>
    <w:rsid w:val="00A005AD"/>
    <w:rsid w:val="00A0205F"/>
    <w:rsid w:val="00A02E17"/>
    <w:rsid w:val="00A04E9D"/>
    <w:rsid w:val="00A06893"/>
    <w:rsid w:val="00A21886"/>
    <w:rsid w:val="00A21C28"/>
    <w:rsid w:val="00A25682"/>
    <w:rsid w:val="00A2638C"/>
    <w:rsid w:val="00A27417"/>
    <w:rsid w:val="00A27AFD"/>
    <w:rsid w:val="00A31666"/>
    <w:rsid w:val="00A354A8"/>
    <w:rsid w:val="00A4031E"/>
    <w:rsid w:val="00A46F60"/>
    <w:rsid w:val="00A53234"/>
    <w:rsid w:val="00A57F47"/>
    <w:rsid w:val="00A64C09"/>
    <w:rsid w:val="00A6634B"/>
    <w:rsid w:val="00A74F3E"/>
    <w:rsid w:val="00A777E2"/>
    <w:rsid w:val="00A80F05"/>
    <w:rsid w:val="00AA09DE"/>
    <w:rsid w:val="00AA0F4F"/>
    <w:rsid w:val="00AA7A0D"/>
    <w:rsid w:val="00AB113B"/>
    <w:rsid w:val="00AB7261"/>
    <w:rsid w:val="00AC5F5A"/>
    <w:rsid w:val="00AD2FD2"/>
    <w:rsid w:val="00AD41E6"/>
    <w:rsid w:val="00AD4ECF"/>
    <w:rsid w:val="00AD70C8"/>
    <w:rsid w:val="00AF6067"/>
    <w:rsid w:val="00B07AAD"/>
    <w:rsid w:val="00B15273"/>
    <w:rsid w:val="00B16887"/>
    <w:rsid w:val="00B1746F"/>
    <w:rsid w:val="00B266B0"/>
    <w:rsid w:val="00B27A2B"/>
    <w:rsid w:val="00B31F00"/>
    <w:rsid w:val="00B344F9"/>
    <w:rsid w:val="00B351A2"/>
    <w:rsid w:val="00B35B04"/>
    <w:rsid w:val="00B41959"/>
    <w:rsid w:val="00B4196F"/>
    <w:rsid w:val="00B42C18"/>
    <w:rsid w:val="00B43CF7"/>
    <w:rsid w:val="00B44327"/>
    <w:rsid w:val="00B53944"/>
    <w:rsid w:val="00B55578"/>
    <w:rsid w:val="00B57585"/>
    <w:rsid w:val="00B61FDD"/>
    <w:rsid w:val="00B75B80"/>
    <w:rsid w:val="00B81149"/>
    <w:rsid w:val="00B81246"/>
    <w:rsid w:val="00B8672D"/>
    <w:rsid w:val="00B9211A"/>
    <w:rsid w:val="00B94FB1"/>
    <w:rsid w:val="00B97788"/>
    <w:rsid w:val="00BA0628"/>
    <w:rsid w:val="00BB120D"/>
    <w:rsid w:val="00BC104A"/>
    <w:rsid w:val="00BC23A7"/>
    <w:rsid w:val="00BC7FBC"/>
    <w:rsid w:val="00BD11D6"/>
    <w:rsid w:val="00BD2A3B"/>
    <w:rsid w:val="00BD646D"/>
    <w:rsid w:val="00BD6A33"/>
    <w:rsid w:val="00BD6ACC"/>
    <w:rsid w:val="00BD7ED0"/>
    <w:rsid w:val="00BE5E06"/>
    <w:rsid w:val="00BE643E"/>
    <w:rsid w:val="00BE7CED"/>
    <w:rsid w:val="00BF59BF"/>
    <w:rsid w:val="00C056B5"/>
    <w:rsid w:val="00C10630"/>
    <w:rsid w:val="00C12939"/>
    <w:rsid w:val="00C14E3B"/>
    <w:rsid w:val="00C217DE"/>
    <w:rsid w:val="00C23BA4"/>
    <w:rsid w:val="00C241B2"/>
    <w:rsid w:val="00C34485"/>
    <w:rsid w:val="00C37859"/>
    <w:rsid w:val="00C40AB3"/>
    <w:rsid w:val="00C42E6B"/>
    <w:rsid w:val="00C43805"/>
    <w:rsid w:val="00C43E24"/>
    <w:rsid w:val="00C45235"/>
    <w:rsid w:val="00C60EF2"/>
    <w:rsid w:val="00C615B2"/>
    <w:rsid w:val="00C65511"/>
    <w:rsid w:val="00C702F0"/>
    <w:rsid w:val="00C726DF"/>
    <w:rsid w:val="00C74553"/>
    <w:rsid w:val="00C7618F"/>
    <w:rsid w:val="00C8112C"/>
    <w:rsid w:val="00C81FF2"/>
    <w:rsid w:val="00C87EF4"/>
    <w:rsid w:val="00C94BC1"/>
    <w:rsid w:val="00CA623E"/>
    <w:rsid w:val="00CA630F"/>
    <w:rsid w:val="00CB4EB2"/>
    <w:rsid w:val="00CB7A41"/>
    <w:rsid w:val="00CC064E"/>
    <w:rsid w:val="00CC7A0B"/>
    <w:rsid w:val="00CD64CD"/>
    <w:rsid w:val="00CE2041"/>
    <w:rsid w:val="00CE3059"/>
    <w:rsid w:val="00CE4960"/>
    <w:rsid w:val="00CE56FA"/>
    <w:rsid w:val="00CF0912"/>
    <w:rsid w:val="00D0060C"/>
    <w:rsid w:val="00D00F5E"/>
    <w:rsid w:val="00D00FB4"/>
    <w:rsid w:val="00D027B8"/>
    <w:rsid w:val="00D04134"/>
    <w:rsid w:val="00D0571C"/>
    <w:rsid w:val="00D0679B"/>
    <w:rsid w:val="00D079C0"/>
    <w:rsid w:val="00D11879"/>
    <w:rsid w:val="00D12547"/>
    <w:rsid w:val="00D15A8E"/>
    <w:rsid w:val="00D22D44"/>
    <w:rsid w:val="00D24D9F"/>
    <w:rsid w:val="00D378BA"/>
    <w:rsid w:val="00D40668"/>
    <w:rsid w:val="00D44142"/>
    <w:rsid w:val="00D53E34"/>
    <w:rsid w:val="00D6263A"/>
    <w:rsid w:val="00D74BE3"/>
    <w:rsid w:val="00D76C26"/>
    <w:rsid w:val="00D778D7"/>
    <w:rsid w:val="00D83934"/>
    <w:rsid w:val="00D861C3"/>
    <w:rsid w:val="00D90B31"/>
    <w:rsid w:val="00D91A0C"/>
    <w:rsid w:val="00D9239C"/>
    <w:rsid w:val="00D92C79"/>
    <w:rsid w:val="00D95955"/>
    <w:rsid w:val="00D979AB"/>
    <w:rsid w:val="00DA590C"/>
    <w:rsid w:val="00DA703D"/>
    <w:rsid w:val="00DB3F85"/>
    <w:rsid w:val="00DB54CF"/>
    <w:rsid w:val="00DC1546"/>
    <w:rsid w:val="00DC1D86"/>
    <w:rsid w:val="00DD2172"/>
    <w:rsid w:val="00DD4A09"/>
    <w:rsid w:val="00DD6A1F"/>
    <w:rsid w:val="00DE4C00"/>
    <w:rsid w:val="00DE5C67"/>
    <w:rsid w:val="00DF2449"/>
    <w:rsid w:val="00DF7651"/>
    <w:rsid w:val="00DF7ACF"/>
    <w:rsid w:val="00DF7F0A"/>
    <w:rsid w:val="00E004CA"/>
    <w:rsid w:val="00E03391"/>
    <w:rsid w:val="00E0373B"/>
    <w:rsid w:val="00E07308"/>
    <w:rsid w:val="00E179B5"/>
    <w:rsid w:val="00E24D63"/>
    <w:rsid w:val="00E26286"/>
    <w:rsid w:val="00E30AC2"/>
    <w:rsid w:val="00E33D84"/>
    <w:rsid w:val="00E34813"/>
    <w:rsid w:val="00E356D2"/>
    <w:rsid w:val="00E37E8C"/>
    <w:rsid w:val="00E401B3"/>
    <w:rsid w:val="00E45105"/>
    <w:rsid w:val="00E458DA"/>
    <w:rsid w:val="00E46E46"/>
    <w:rsid w:val="00E5687E"/>
    <w:rsid w:val="00E639CC"/>
    <w:rsid w:val="00E63D5B"/>
    <w:rsid w:val="00E66624"/>
    <w:rsid w:val="00E671AD"/>
    <w:rsid w:val="00E83E40"/>
    <w:rsid w:val="00E84489"/>
    <w:rsid w:val="00E857B8"/>
    <w:rsid w:val="00E87EB5"/>
    <w:rsid w:val="00E907E5"/>
    <w:rsid w:val="00E943B8"/>
    <w:rsid w:val="00E957ED"/>
    <w:rsid w:val="00EA11F7"/>
    <w:rsid w:val="00EA20B9"/>
    <w:rsid w:val="00EA4549"/>
    <w:rsid w:val="00EA45B7"/>
    <w:rsid w:val="00EA588E"/>
    <w:rsid w:val="00EC31D0"/>
    <w:rsid w:val="00ED0B37"/>
    <w:rsid w:val="00ED1EEA"/>
    <w:rsid w:val="00ED22DF"/>
    <w:rsid w:val="00ED24AC"/>
    <w:rsid w:val="00ED4C66"/>
    <w:rsid w:val="00ED6781"/>
    <w:rsid w:val="00EF5BA0"/>
    <w:rsid w:val="00F0037C"/>
    <w:rsid w:val="00F11BE4"/>
    <w:rsid w:val="00F13600"/>
    <w:rsid w:val="00F15FC0"/>
    <w:rsid w:val="00F17042"/>
    <w:rsid w:val="00F175D1"/>
    <w:rsid w:val="00F21DA9"/>
    <w:rsid w:val="00F22A75"/>
    <w:rsid w:val="00F30C1E"/>
    <w:rsid w:val="00F3185D"/>
    <w:rsid w:val="00F3495D"/>
    <w:rsid w:val="00F35217"/>
    <w:rsid w:val="00F35C50"/>
    <w:rsid w:val="00F36ED6"/>
    <w:rsid w:val="00F42D68"/>
    <w:rsid w:val="00F436FE"/>
    <w:rsid w:val="00F500D2"/>
    <w:rsid w:val="00F51A9D"/>
    <w:rsid w:val="00F57792"/>
    <w:rsid w:val="00F60048"/>
    <w:rsid w:val="00F6185A"/>
    <w:rsid w:val="00F73FE2"/>
    <w:rsid w:val="00F74720"/>
    <w:rsid w:val="00F74944"/>
    <w:rsid w:val="00F74E95"/>
    <w:rsid w:val="00F8497C"/>
    <w:rsid w:val="00F91E41"/>
    <w:rsid w:val="00F94086"/>
    <w:rsid w:val="00F94C15"/>
    <w:rsid w:val="00FA238D"/>
    <w:rsid w:val="00FA3835"/>
    <w:rsid w:val="00FA6816"/>
    <w:rsid w:val="00FA6B2F"/>
    <w:rsid w:val="00FB2BC8"/>
    <w:rsid w:val="00FB5D79"/>
    <w:rsid w:val="00FB7D57"/>
    <w:rsid w:val="00FC2778"/>
    <w:rsid w:val="00FE3D91"/>
    <w:rsid w:val="00FE55D2"/>
    <w:rsid w:val="00FE5A53"/>
    <w:rsid w:val="00FF728E"/>
    <w:rsid w:val="022C0730"/>
    <w:rsid w:val="02FB4424"/>
    <w:rsid w:val="042438C2"/>
    <w:rsid w:val="04983302"/>
    <w:rsid w:val="058B3314"/>
    <w:rsid w:val="075527C6"/>
    <w:rsid w:val="08DA3D54"/>
    <w:rsid w:val="09A45050"/>
    <w:rsid w:val="0A2B2186"/>
    <w:rsid w:val="0A4F609A"/>
    <w:rsid w:val="0A5B05D9"/>
    <w:rsid w:val="0ABD0ABF"/>
    <w:rsid w:val="0B1D609D"/>
    <w:rsid w:val="0B2A1409"/>
    <w:rsid w:val="0BFF16C6"/>
    <w:rsid w:val="0D422ACD"/>
    <w:rsid w:val="0E0F0440"/>
    <w:rsid w:val="0EAF071F"/>
    <w:rsid w:val="1132790D"/>
    <w:rsid w:val="114E421F"/>
    <w:rsid w:val="11DB11E6"/>
    <w:rsid w:val="13995AF7"/>
    <w:rsid w:val="13A10F7E"/>
    <w:rsid w:val="170D385E"/>
    <w:rsid w:val="170D3CE7"/>
    <w:rsid w:val="178D1A34"/>
    <w:rsid w:val="18697B91"/>
    <w:rsid w:val="1A1C2C01"/>
    <w:rsid w:val="1B2E0C1E"/>
    <w:rsid w:val="1B48353D"/>
    <w:rsid w:val="1B6479FD"/>
    <w:rsid w:val="1B9E3D36"/>
    <w:rsid w:val="1BBD7CBF"/>
    <w:rsid w:val="1C6477AC"/>
    <w:rsid w:val="1C8F2A04"/>
    <w:rsid w:val="1FAC7D01"/>
    <w:rsid w:val="1FDF698A"/>
    <w:rsid w:val="20FD356C"/>
    <w:rsid w:val="21982F15"/>
    <w:rsid w:val="21C52EDC"/>
    <w:rsid w:val="234E0654"/>
    <w:rsid w:val="23943C6B"/>
    <w:rsid w:val="243F7370"/>
    <w:rsid w:val="28BB45E9"/>
    <w:rsid w:val="28C01A4F"/>
    <w:rsid w:val="28C11323"/>
    <w:rsid w:val="29382A41"/>
    <w:rsid w:val="29897E09"/>
    <w:rsid w:val="2A192A56"/>
    <w:rsid w:val="2ACE0CFF"/>
    <w:rsid w:val="2B9A0E61"/>
    <w:rsid w:val="2E9D3186"/>
    <w:rsid w:val="2EEA198C"/>
    <w:rsid w:val="2F807842"/>
    <w:rsid w:val="30BE1AF3"/>
    <w:rsid w:val="31075545"/>
    <w:rsid w:val="34A57CD9"/>
    <w:rsid w:val="37602480"/>
    <w:rsid w:val="38AC78FA"/>
    <w:rsid w:val="38FD0DA2"/>
    <w:rsid w:val="390E5413"/>
    <w:rsid w:val="391F58B1"/>
    <w:rsid w:val="3AC8260A"/>
    <w:rsid w:val="3AFF33E8"/>
    <w:rsid w:val="3B9C3FD8"/>
    <w:rsid w:val="3BCA1692"/>
    <w:rsid w:val="3C375A96"/>
    <w:rsid w:val="3C783D23"/>
    <w:rsid w:val="3D476359"/>
    <w:rsid w:val="3DE10046"/>
    <w:rsid w:val="403C0650"/>
    <w:rsid w:val="403D6F29"/>
    <w:rsid w:val="42466AC9"/>
    <w:rsid w:val="42842FC2"/>
    <w:rsid w:val="436C5EE4"/>
    <w:rsid w:val="44B34605"/>
    <w:rsid w:val="454678D9"/>
    <w:rsid w:val="457B2B2E"/>
    <w:rsid w:val="46766A73"/>
    <w:rsid w:val="46DB7A17"/>
    <w:rsid w:val="46EB100A"/>
    <w:rsid w:val="47A865DA"/>
    <w:rsid w:val="482358D2"/>
    <w:rsid w:val="48333FF5"/>
    <w:rsid w:val="4953791E"/>
    <w:rsid w:val="4AB64608"/>
    <w:rsid w:val="4B1D4149"/>
    <w:rsid w:val="4C093552"/>
    <w:rsid w:val="4CCB5CB9"/>
    <w:rsid w:val="4D5E7D17"/>
    <w:rsid w:val="4EF433CA"/>
    <w:rsid w:val="501C2AD9"/>
    <w:rsid w:val="50A412F6"/>
    <w:rsid w:val="50E97C07"/>
    <w:rsid w:val="51CD3614"/>
    <w:rsid w:val="521A56E3"/>
    <w:rsid w:val="525070F0"/>
    <w:rsid w:val="52D63BDE"/>
    <w:rsid w:val="538C1921"/>
    <w:rsid w:val="53FC6986"/>
    <w:rsid w:val="54627524"/>
    <w:rsid w:val="57C573D7"/>
    <w:rsid w:val="585F0652"/>
    <w:rsid w:val="58870A8B"/>
    <w:rsid w:val="59017D16"/>
    <w:rsid w:val="5B953F8C"/>
    <w:rsid w:val="5C4B42F2"/>
    <w:rsid w:val="5D285D65"/>
    <w:rsid w:val="5DA75073"/>
    <w:rsid w:val="5DB006C5"/>
    <w:rsid w:val="5DFC0C25"/>
    <w:rsid w:val="5F107B83"/>
    <w:rsid w:val="61AE3FA0"/>
    <w:rsid w:val="62A92E37"/>
    <w:rsid w:val="62F130C5"/>
    <w:rsid w:val="63450D3F"/>
    <w:rsid w:val="637970C3"/>
    <w:rsid w:val="64786E65"/>
    <w:rsid w:val="66327427"/>
    <w:rsid w:val="66A80E51"/>
    <w:rsid w:val="67D85B6C"/>
    <w:rsid w:val="68836FA9"/>
    <w:rsid w:val="68F22857"/>
    <w:rsid w:val="69A240E9"/>
    <w:rsid w:val="6A0445F0"/>
    <w:rsid w:val="6B8011ED"/>
    <w:rsid w:val="6C472C5B"/>
    <w:rsid w:val="6C67192F"/>
    <w:rsid w:val="6E0472B5"/>
    <w:rsid w:val="6F135C55"/>
    <w:rsid w:val="6F2805EF"/>
    <w:rsid w:val="70A26D57"/>
    <w:rsid w:val="735620B4"/>
    <w:rsid w:val="749A0BFA"/>
    <w:rsid w:val="75DF259E"/>
    <w:rsid w:val="76816FC9"/>
    <w:rsid w:val="77776694"/>
    <w:rsid w:val="778117C7"/>
    <w:rsid w:val="77F2017E"/>
    <w:rsid w:val="78C830A0"/>
    <w:rsid w:val="7B85606D"/>
    <w:rsid w:val="7BA41A15"/>
    <w:rsid w:val="7D01758D"/>
    <w:rsid w:val="7D9D4043"/>
    <w:rsid w:val="7ED65439"/>
    <w:rsid w:val="7F4C033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nhideWhenUsed="0" w:uiPriority="0" w:name="Document Map"/>
    <w:lsdException w:unhideWhenUsed="0" w:uiPriority="0" w:semiHidden="0" w:name="Plain Text"/>
    <w:lsdException w:unhideWhenUsed="0" w:uiPriority="0" w:semiHidden="0" w:name="E-mail Signature"/>
    <w:lsdException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iPriority="99" w:semiHidden="0" w:name=""/>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29">
    <w:name w:val="Default Paragraph Font"/>
    <w:semiHidden/>
    <w:uiPriority w:val="0"/>
  </w:style>
  <w:style w:type="table" w:default="1" w:styleId="27">
    <w:name w:val="Normal Table"/>
    <w:semiHidden/>
    <w:uiPriority w:val="0"/>
    <w:tblPr>
      <w:tblStyle w:val="27"/>
      <w:tblCellMar>
        <w:top w:w="0" w:type="dxa"/>
        <w:left w:w="108" w:type="dxa"/>
        <w:bottom w:w="0" w:type="dxa"/>
        <w:right w:w="108" w:type="dxa"/>
      </w:tblCellMar>
    </w:tblPr>
  </w:style>
  <w:style w:type="paragraph" w:styleId="4">
    <w:name w:val="Normal Indent"/>
    <w:basedOn w:val="1"/>
    <w:uiPriority w:val="0"/>
    <w:pPr>
      <w:autoSpaceDE w:val="0"/>
      <w:autoSpaceDN w:val="0"/>
      <w:adjustRightInd w:val="0"/>
      <w:ind w:firstLine="420"/>
      <w:jc w:val="left"/>
    </w:pPr>
    <w:rPr>
      <w:rFonts w:ascii="宋体"/>
      <w:kern w:val="0"/>
      <w:sz w:val="24"/>
      <w:szCs w:val="20"/>
    </w:rPr>
  </w:style>
  <w:style w:type="paragraph" w:styleId="12">
    <w:name w:val="Document Map"/>
    <w:basedOn w:val="1"/>
    <w:semiHidden/>
    <w:uiPriority w:val="0"/>
    <w:pPr>
      <w:shd w:val="clear" w:color="auto" w:fill="000080"/>
    </w:pPr>
  </w:style>
  <w:style w:type="paragraph" w:styleId="13">
    <w:name w:val="annotation text"/>
    <w:basedOn w:val="1"/>
    <w:link w:val="35"/>
    <w:qFormat/>
    <w:uiPriority w:val="99"/>
    <w:pPr>
      <w:jc w:val="left"/>
    </w:pPr>
  </w:style>
  <w:style w:type="paragraph" w:styleId="14">
    <w:name w:val="Body Text 3"/>
    <w:basedOn w:val="1"/>
    <w:uiPriority w:val="0"/>
    <w:pPr>
      <w:widowControl/>
      <w:ind w:right="720"/>
      <w:jc w:val="left"/>
    </w:pPr>
    <w:rPr>
      <w:kern w:val="0"/>
      <w:sz w:val="20"/>
      <w:szCs w:val="20"/>
      <w:lang w:eastAsia="en-US"/>
    </w:rPr>
  </w:style>
  <w:style w:type="paragraph" w:styleId="15">
    <w:name w:val="Body Text"/>
    <w:basedOn w:val="1"/>
    <w:uiPriority w:val="0"/>
    <w:pPr>
      <w:tabs>
        <w:tab w:val="left" w:pos="567"/>
      </w:tabs>
      <w:spacing w:before="120" w:line="22" w:lineRule="atLeast"/>
    </w:pPr>
    <w:rPr>
      <w:rFonts w:ascii="宋体" w:hAnsi="宋体"/>
      <w:sz w:val="24"/>
    </w:rPr>
  </w:style>
  <w:style w:type="paragraph" w:styleId="16">
    <w:name w:val="Body Text Indent"/>
    <w:basedOn w:val="1"/>
    <w:uiPriority w:val="0"/>
    <w:pPr>
      <w:spacing w:after="120"/>
      <w:ind w:left="420" w:leftChars="200"/>
    </w:pPr>
  </w:style>
  <w:style w:type="paragraph" w:styleId="17">
    <w:name w:val="Plain Text"/>
    <w:basedOn w:val="1"/>
    <w:link w:val="36"/>
    <w:uiPriority w:val="0"/>
    <w:rPr>
      <w:rFonts w:ascii="宋体" w:hAnsi="Courier New"/>
      <w:szCs w:val="20"/>
    </w:rPr>
  </w:style>
  <w:style w:type="paragraph" w:styleId="18">
    <w:name w:val="Date"/>
    <w:basedOn w:val="1"/>
    <w:next w:val="1"/>
    <w:link w:val="37"/>
    <w:uiPriority w:val="0"/>
    <w:rPr>
      <w:szCs w:val="20"/>
    </w:rPr>
  </w:style>
  <w:style w:type="paragraph" w:styleId="19">
    <w:name w:val="Body Text Indent 2"/>
    <w:basedOn w:val="1"/>
    <w:uiPriority w:val="0"/>
    <w:pPr>
      <w:ind w:firstLine="480" w:firstLineChars="200"/>
    </w:pPr>
    <w:rPr>
      <w:rFonts w:ascii="仿宋_GB2312" w:eastAsia="仿宋_GB2312"/>
      <w:sz w:val="24"/>
    </w:rPr>
  </w:style>
  <w:style w:type="paragraph" w:styleId="20">
    <w:name w:val="Balloon Text"/>
    <w:basedOn w:val="1"/>
    <w:semiHidden/>
    <w:uiPriority w:val="0"/>
    <w:rPr>
      <w:sz w:val="18"/>
      <w:szCs w:val="18"/>
    </w:rPr>
  </w:style>
  <w:style w:type="paragraph" w:styleId="21">
    <w:name w:val="footer"/>
    <w:basedOn w:val="1"/>
    <w:uiPriority w:val="0"/>
    <w:pPr>
      <w:tabs>
        <w:tab w:val="center" w:pos="4153"/>
        <w:tab w:val="right" w:pos="8306"/>
      </w:tabs>
      <w:snapToGrid w:val="0"/>
      <w:jc w:val="left"/>
    </w:pPr>
    <w:rPr>
      <w:sz w:val="18"/>
      <w:szCs w:val="18"/>
    </w:rPr>
  </w:style>
  <w:style w:type="paragraph" w:styleId="22">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23">
    <w:name w:val="Body Text 2"/>
    <w:basedOn w:val="1"/>
    <w:uiPriority w:val="0"/>
    <w:pPr>
      <w:widowControl/>
    </w:pPr>
    <w:rPr>
      <w:kern w:val="0"/>
      <w:sz w:val="20"/>
      <w:szCs w:val="20"/>
      <w:lang w:eastAsia="en-US"/>
    </w:rPr>
  </w:style>
  <w:style w:type="paragraph" w:styleId="24">
    <w:name w:val="Normal (Web)"/>
    <w:basedOn w:val="1"/>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25">
    <w:name w:val="Title"/>
    <w:basedOn w:val="1"/>
    <w:qFormat/>
    <w:uiPriority w:val="0"/>
    <w:pPr>
      <w:jc w:val="center"/>
    </w:pPr>
    <w:rPr>
      <w:sz w:val="30"/>
    </w:rPr>
  </w:style>
  <w:style w:type="paragraph" w:styleId="26">
    <w:name w:val="annotation subject"/>
    <w:basedOn w:val="13"/>
    <w:next w:val="13"/>
    <w:link w:val="38"/>
    <w:uiPriority w:val="0"/>
    <w:rPr>
      <w:b/>
      <w:bCs/>
    </w:rPr>
  </w:style>
  <w:style w:type="table" w:styleId="28">
    <w:name w:val="Table Grid"/>
    <w:basedOn w:val="27"/>
    <w:uiPriority w:val="0"/>
    <w:pPr>
      <w:widowControl w:val="0"/>
      <w:jc w:val="both"/>
    </w:pPr>
    <w:tblPr>
      <w:tblStyle w:val="2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qFormat/>
    <w:uiPriority w:val="22"/>
    <w:rPr>
      <w:b/>
      <w:bCs/>
    </w:rPr>
  </w:style>
  <w:style w:type="character" w:styleId="31">
    <w:name w:val="page number"/>
    <w:uiPriority w:val="0"/>
  </w:style>
  <w:style w:type="character" w:styleId="32">
    <w:name w:val="Emphasis"/>
    <w:qFormat/>
    <w:uiPriority w:val="20"/>
    <w:rPr>
      <w:i/>
      <w:iCs/>
    </w:rPr>
  </w:style>
  <w:style w:type="character" w:styleId="33">
    <w:name w:val="Hyperlink"/>
    <w:uiPriority w:val="0"/>
    <w:rPr>
      <w:color w:val="0000FF"/>
      <w:u w:val="single"/>
    </w:rPr>
  </w:style>
  <w:style w:type="character" w:styleId="34">
    <w:name w:val="annotation reference"/>
    <w:uiPriority w:val="99"/>
    <w:rPr>
      <w:sz w:val="21"/>
      <w:szCs w:val="21"/>
    </w:rPr>
  </w:style>
  <w:style w:type="character" w:customStyle="1" w:styleId="35">
    <w:name w:val="批注文字 字符"/>
    <w:link w:val="13"/>
    <w:uiPriority w:val="99"/>
    <w:rPr>
      <w:kern w:val="2"/>
      <w:sz w:val="21"/>
      <w:szCs w:val="24"/>
    </w:rPr>
  </w:style>
  <w:style w:type="character" w:customStyle="1" w:styleId="36">
    <w:name w:val="纯文本 字符"/>
    <w:link w:val="17"/>
    <w:uiPriority w:val="0"/>
    <w:rPr>
      <w:rFonts w:ascii="宋体" w:hAnsi="Courier New"/>
      <w:kern w:val="2"/>
      <w:sz w:val="21"/>
    </w:rPr>
  </w:style>
  <w:style w:type="character" w:customStyle="1" w:styleId="37">
    <w:name w:val="日期 字符"/>
    <w:link w:val="18"/>
    <w:uiPriority w:val="0"/>
    <w:rPr>
      <w:rFonts w:eastAsia="宋体"/>
      <w:kern w:val="2"/>
      <w:sz w:val="21"/>
      <w:lang w:val="en-US" w:eastAsia="zh-CN" w:bidi="ar-SA"/>
    </w:rPr>
  </w:style>
  <w:style w:type="character" w:customStyle="1" w:styleId="38">
    <w:name w:val="批注主题 字符"/>
    <w:link w:val="26"/>
    <w:uiPriority w:val="0"/>
    <w:rPr>
      <w:b/>
      <w:bCs/>
      <w:kern w:val="2"/>
      <w:sz w:val="21"/>
      <w:szCs w:val="24"/>
    </w:rPr>
  </w:style>
  <w:style w:type="character" w:customStyle="1" w:styleId="39">
    <w:name w:val=" Char"/>
    <w:uiPriority w:val="0"/>
    <w:rPr>
      <w:rFonts w:ascii="宋体" w:hAnsi="Courier New" w:eastAsia="宋体"/>
      <w:kern w:val="2"/>
      <w:sz w:val="21"/>
      <w:lang w:val="en-US" w:eastAsia="zh-CN" w:bidi="ar-SA"/>
    </w:rPr>
  </w:style>
  <w:style w:type="paragraph" w:customStyle="1" w:styleId="40">
    <w:name w:val=" Char1"/>
    <w:basedOn w:val="1"/>
    <w:uiPriority w:val="0"/>
    <w:rPr>
      <w:rFonts w:ascii="Tahoma" w:hAnsi="Tahoma"/>
      <w:sz w:val="24"/>
      <w:szCs w:val="20"/>
    </w:rPr>
  </w:style>
  <w:style w:type="paragraph" w:customStyle="1" w:styleId="41">
    <w:name w:val="彩色列表 - 强调文字颜色 11"/>
    <w:basedOn w:val="1"/>
    <w:qFormat/>
    <w:uiPriority w:val="34"/>
    <w:pPr>
      <w:ind w:firstLine="420" w:firstLineChars="200"/>
    </w:pPr>
    <w:rPr>
      <w:rFonts w:ascii="Calibri" w:hAnsi="Calibri"/>
      <w:szCs w:val="22"/>
    </w:rPr>
  </w:style>
  <w:style w:type="paragraph" w:customStyle="1" w:styleId="42">
    <w:name w:val="Body Text 2"/>
    <w:basedOn w:val="1"/>
    <w:uiPriority w:val="0"/>
    <w:pPr>
      <w:adjustRightInd w:val="0"/>
      <w:spacing w:before="120" w:line="360" w:lineRule="auto"/>
      <w:ind w:firstLine="480"/>
      <w:textAlignment w:val="baseline"/>
    </w:pPr>
    <w:rPr>
      <w:sz w:val="24"/>
      <w:szCs w:val="20"/>
    </w:rPr>
  </w:style>
  <w:style w:type="paragraph" w:customStyle="1" w:styleId="43">
    <w:name w:val="文档正文"/>
    <w:basedOn w:val="1"/>
    <w:uiPriority w:val="0"/>
    <w:pPr>
      <w:adjustRightInd w:val="0"/>
      <w:spacing w:line="480" w:lineRule="atLeast"/>
      <w:ind w:firstLine="567"/>
      <w:textAlignment w:val="baseline"/>
    </w:pPr>
    <w:rPr>
      <w:rFonts w:ascii="长城仿宋"/>
      <w:kern w:val="0"/>
      <w:sz w:val="24"/>
      <w:szCs w:val="20"/>
    </w:rPr>
  </w:style>
  <w:style w:type="paragraph" w:customStyle="1" w:styleId="44">
    <w:name w:val="Body Text Indent 2"/>
    <w:basedOn w:val="1"/>
    <w:uiPriority w:val="0"/>
    <w:pPr>
      <w:adjustRightInd w:val="0"/>
      <w:spacing w:before="120"/>
      <w:ind w:firstLine="420"/>
      <w:textAlignment w:val="baseline"/>
    </w:pPr>
    <w:rPr>
      <w:sz w:val="24"/>
      <w:szCs w:val="20"/>
    </w:rPr>
  </w:style>
  <w:style w:type="paragraph" w:customStyle="1" w:styleId="45">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styleId="46">
    <w:name w:val="List Paragraph"/>
    <w:basedOn w:val="1"/>
    <w:qFormat/>
    <w:uiPriority w:val="34"/>
    <w:pPr>
      <w:ind w:firstLine="420" w:firstLineChars="200"/>
    </w:pPr>
    <w:rPr>
      <w:rFonts w:ascii="Calibri" w:hAnsi="Calibri"/>
      <w:szCs w:val="22"/>
    </w:rPr>
  </w:style>
  <w:style w:type="paragraph" w:customStyle="1" w:styleId="47">
    <w:name w:val="正文 A"/>
    <w:qFormat/>
    <w:uiPriority w:val="0"/>
    <w:pPr>
      <w:widowControl w:val="0"/>
      <w:jc w:val="both"/>
    </w:pPr>
    <w:rPr>
      <w:rFonts w:hint="eastAsia" w:ascii="Arial Unicode MS" w:hAnsi="Arial Unicode MS" w:eastAsia="Times New Roman" w:cs="Arial Unicode MS"/>
      <w:color w:val="000000"/>
      <w:kern w:val="2"/>
      <w:sz w:val="21"/>
      <w:szCs w:val="21"/>
      <w:lang w:val="en-US" w:eastAsia="zh-CN" w:bidi="ar-SA"/>
    </w:rPr>
  </w:style>
  <w:style w:type="paragraph" w:styleId="48">
    <w:name w:val=""/>
    <w:unhideWhenUsed/>
    <w:uiPriority w:val="99"/>
    <w:rPr>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10</Pages>
  <Words>12954</Words>
  <Characters>14237</Characters>
  <Lines>536</Lines>
  <Paragraphs>749</Paragraphs>
  <TotalTime>12</TotalTime>
  <ScaleCrop>false</ScaleCrop>
  <LinksUpToDate>false</LinksUpToDate>
  <CharactersWithSpaces>14560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2022-05-10T05:15:00Z</dcterms:created>
  <dc:creator>caowuning</dc:creator>
  <cp:lastModifiedBy>冀松阳</cp:lastModifiedBy>
  <cp:lastPrinted>2009-04-21T09:03:00Z</cp:lastPrinted>
  <dcterms:modified xsi:type="dcterms:W3CDTF">2025-05-08T09:42:00Z</dcterms:modified>
  <dc:title>北 京 市 政 府 采 购</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CBF2C808EB8745F38C0B688B285B104A_13</vt:lpwstr>
  </property>
  <property fmtid="{D5CDD505-2E9C-101B-9397-08002B2CF9AE}" pid="4" name="KSOTemplateDocerSaveRecord">
    <vt:lpwstr>eyJoZGlkIjoiNTI5ZmZjMjA2MjdiMDFiYzZmZWIzNjQ5YThhMzQxMzIiLCJ1c2VySWQiOiIxMDI1MTk0NTMzIn0=</vt:lpwstr>
  </property>
</Properties>
</file>