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cs="仿宋"/>
          <w:sz w:val="32"/>
          <w:szCs w:val="32"/>
        </w:rPr>
      </w:pPr>
    </w:p>
    <w:p>
      <w:pPr>
        <w:spacing w:line="480" w:lineRule="exact"/>
        <w:jc w:val="center"/>
        <w:rPr>
          <w:rFonts w:ascii="仿宋" w:hAnsi="仿宋" w:cs="仿宋"/>
          <w:b/>
          <w:bCs/>
          <w:sz w:val="32"/>
          <w:szCs w:val="32"/>
        </w:rPr>
      </w:pPr>
    </w:p>
    <w:p>
      <w:pPr>
        <w:spacing w:line="360" w:lineRule="auto"/>
        <w:ind w:firstLine="260" w:firstLineChars="50"/>
        <w:jc w:val="center"/>
        <w:rPr>
          <w:rFonts w:ascii="仿宋" w:hAnsi="仿宋" w:cs="仿宋"/>
          <w:b/>
          <w:bCs/>
          <w:sz w:val="52"/>
          <w:szCs w:val="52"/>
        </w:rPr>
      </w:pPr>
    </w:p>
    <w:p>
      <w:pPr>
        <w:spacing w:line="360" w:lineRule="auto"/>
        <w:ind w:firstLine="260" w:firstLineChars="50"/>
        <w:jc w:val="center"/>
        <w:rPr>
          <w:rFonts w:ascii="仿宋" w:hAnsi="仿宋" w:cs="仿宋"/>
          <w:b/>
          <w:bCs/>
          <w:sz w:val="52"/>
          <w:szCs w:val="52"/>
        </w:rPr>
      </w:pPr>
    </w:p>
    <w:p>
      <w:pPr>
        <w:spacing w:line="360" w:lineRule="auto"/>
        <w:ind w:firstLine="260" w:firstLineChars="50"/>
        <w:jc w:val="center"/>
        <w:rPr>
          <w:rFonts w:ascii="仿宋" w:hAnsi="仿宋" w:cs="仿宋"/>
          <w:b/>
          <w:bCs/>
          <w:sz w:val="52"/>
          <w:szCs w:val="52"/>
        </w:rPr>
      </w:pPr>
      <w:r>
        <w:rPr>
          <w:rFonts w:hint="eastAsia" w:ascii="仿宋" w:hAnsi="仿宋" w:cs="仿宋"/>
          <w:b/>
          <w:bCs/>
          <w:sz w:val="52"/>
          <w:szCs w:val="52"/>
        </w:rPr>
        <w:t>沈阳市政府采购项目</w:t>
      </w:r>
    </w:p>
    <w:p>
      <w:pPr>
        <w:spacing w:line="360" w:lineRule="auto"/>
        <w:ind w:firstLine="120" w:firstLineChars="50"/>
        <w:jc w:val="center"/>
        <w:rPr>
          <w:rFonts w:ascii="仿宋" w:hAnsi="仿宋" w:cs="仿宋"/>
          <w:b/>
          <w:bCs/>
          <w:sz w:val="24"/>
          <w:szCs w:val="24"/>
        </w:rPr>
      </w:pPr>
    </w:p>
    <w:p>
      <w:pPr>
        <w:spacing w:line="360" w:lineRule="auto"/>
        <w:ind w:firstLine="240" w:firstLineChars="50"/>
        <w:jc w:val="center"/>
        <w:rPr>
          <w:rFonts w:ascii="仿宋" w:hAnsi="仿宋" w:cs="仿宋"/>
          <w:b/>
          <w:bCs/>
          <w:sz w:val="48"/>
          <w:szCs w:val="48"/>
        </w:rPr>
      </w:pPr>
      <w:r>
        <w:rPr>
          <w:rFonts w:hint="eastAsia" w:ascii="仿宋" w:hAnsi="仿宋" w:cs="仿宋"/>
          <w:b/>
          <w:bCs/>
          <w:sz w:val="48"/>
          <w:szCs w:val="48"/>
        </w:rPr>
        <w:t>货物类公开招标</w:t>
      </w:r>
    </w:p>
    <w:p>
      <w:pPr>
        <w:spacing w:line="360" w:lineRule="auto"/>
        <w:ind w:firstLine="120" w:firstLineChars="50"/>
        <w:jc w:val="center"/>
        <w:rPr>
          <w:rFonts w:ascii="仿宋" w:hAnsi="仿宋" w:cs="仿宋"/>
          <w:b/>
          <w:bCs/>
          <w:sz w:val="24"/>
          <w:szCs w:val="24"/>
        </w:rPr>
      </w:pPr>
    </w:p>
    <w:p>
      <w:pPr>
        <w:spacing w:line="360" w:lineRule="auto"/>
        <w:ind w:firstLine="240" w:firstLineChars="50"/>
        <w:jc w:val="center"/>
        <w:rPr>
          <w:rFonts w:ascii="仿宋" w:hAnsi="仿宋" w:cs="仿宋"/>
          <w:b/>
          <w:bCs/>
          <w:sz w:val="48"/>
          <w:szCs w:val="48"/>
        </w:rPr>
      </w:pPr>
      <w:r>
        <w:rPr>
          <w:rFonts w:hint="eastAsia" w:ascii="仿宋" w:hAnsi="仿宋" w:cs="仿宋"/>
          <w:b/>
          <w:bCs/>
          <w:sz w:val="48"/>
          <w:szCs w:val="48"/>
        </w:rPr>
        <w:t>招标文件</w:t>
      </w: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480" w:lineRule="exact"/>
        <w:jc w:val="center"/>
        <w:rPr>
          <w:rFonts w:ascii="仿宋" w:hAnsi="仿宋" w:cs="仿宋"/>
          <w:b/>
          <w:bCs/>
          <w:sz w:val="24"/>
          <w:szCs w:val="24"/>
        </w:rPr>
      </w:pPr>
    </w:p>
    <w:p>
      <w:pPr>
        <w:spacing w:line="360" w:lineRule="auto"/>
        <w:ind w:firstLine="846" w:firstLineChars="235"/>
        <w:rPr>
          <w:rFonts w:ascii="仿宋" w:hAnsi="仿宋" w:cs="仿宋"/>
          <w:b/>
          <w:bCs/>
          <w:sz w:val="36"/>
          <w:szCs w:val="36"/>
        </w:rPr>
      </w:pPr>
      <w:r>
        <w:rPr>
          <w:rFonts w:hint="eastAsia" w:ascii="仿宋" w:hAnsi="仿宋" w:cs="仿宋"/>
          <w:b/>
          <w:bCs/>
          <w:sz w:val="36"/>
          <w:szCs w:val="36"/>
        </w:rPr>
        <w:t>项目名称：沈阳医学院采购实训基地设备</w:t>
      </w:r>
    </w:p>
    <w:p>
      <w:pPr>
        <w:spacing w:line="360" w:lineRule="auto"/>
        <w:ind w:firstLine="846" w:firstLineChars="235"/>
        <w:rPr>
          <w:rFonts w:ascii="仿宋" w:hAnsi="仿宋" w:cs="仿宋"/>
          <w:b/>
          <w:bCs/>
          <w:sz w:val="36"/>
          <w:szCs w:val="36"/>
        </w:rPr>
      </w:pPr>
      <w:r>
        <w:rPr>
          <w:rFonts w:hint="eastAsia" w:ascii="仿宋" w:hAnsi="仿宋" w:cs="仿宋"/>
          <w:b/>
          <w:bCs/>
          <w:sz w:val="36"/>
          <w:szCs w:val="36"/>
        </w:rPr>
        <w:t>项目编号：</w:t>
      </w:r>
      <w:r>
        <w:rPr>
          <w:rFonts w:ascii="仿宋" w:hAnsi="仿宋" w:cs="仿宋"/>
          <w:b/>
          <w:bCs/>
          <w:sz w:val="36"/>
          <w:szCs w:val="36"/>
        </w:rPr>
        <w:t>JH22-210100-08758</w:t>
      </w:r>
    </w:p>
    <w:p>
      <w:pPr>
        <w:spacing w:line="360" w:lineRule="auto"/>
        <w:ind w:firstLine="846" w:firstLineChars="235"/>
        <w:rPr>
          <w:rFonts w:ascii="仿宋" w:hAnsi="仿宋" w:cs="仿宋"/>
          <w:b/>
          <w:bCs/>
          <w:sz w:val="36"/>
          <w:szCs w:val="36"/>
        </w:rPr>
      </w:pPr>
      <w:r>
        <w:rPr>
          <w:rFonts w:hint="eastAsia" w:ascii="仿宋" w:hAnsi="仿宋" w:cs="仿宋"/>
          <w:b/>
          <w:bCs/>
          <w:sz w:val="36"/>
          <w:szCs w:val="36"/>
        </w:rPr>
        <w:t>编制单位：辽宁浩亿招投标有限公司</w:t>
      </w:r>
    </w:p>
    <w:p>
      <w:pPr>
        <w:ind w:firstLine="846" w:firstLineChars="235"/>
        <w:jc w:val="center"/>
        <w:rPr>
          <w:rFonts w:ascii="仿宋" w:hAnsi="仿宋" w:cs="仿宋"/>
          <w:b/>
          <w:bCs/>
          <w:sz w:val="36"/>
          <w:szCs w:val="36"/>
        </w:rPr>
        <w:sectPr>
          <w:pgSz w:w="11906" w:h="16838"/>
          <w:pgMar w:top="1440" w:right="1800" w:bottom="1440" w:left="1800" w:header="851" w:footer="992" w:gutter="0"/>
          <w:cols w:space="720" w:num="1"/>
          <w:docGrid w:type="linesAndChars" w:linePitch="312" w:charSpace="0"/>
        </w:sectPr>
      </w:pPr>
    </w:p>
    <w:p>
      <w:pPr>
        <w:jc w:val="center"/>
        <w:rPr>
          <w:rFonts w:ascii="仿宋" w:hAnsi="仿宋" w:cs="仿宋"/>
          <w:b/>
          <w:bCs/>
          <w:sz w:val="44"/>
          <w:szCs w:val="44"/>
        </w:rPr>
      </w:pPr>
      <w:r>
        <w:rPr>
          <w:rFonts w:hint="eastAsia" w:ascii="仿宋" w:hAnsi="仿宋" w:cs="仿宋"/>
          <w:b/>
          <w:bCs/>
          <w:sz w:val="44"/>
          <w:szCs w:val="44"/>
        </w:rPr>
        <w:t>目  录</w:t>
      </w:r>
    </w:p>
    <w:p>
      <w:pPr>
        <w:jc w:val="center"/>
        <w:rPr>
          <w:rFonts w:ascii="仿宋" w:hAnsi="仿宋" w:cs="仿宋"/>
          <w:b/>
          <w:bCs/>
          <w:sz w:val="44"/>
          <w:szCs w:val="44"/>
        </w:rPr>
      </w:pPr>
    </w:p>
    <w:p>
      <w:pPr>
        <w:pStyle w:val="61"/>
        <w:tabs>
          <w:tab w:val="right" w:leader="dot" w:pos="8306"/>
        </w:tabs>
        <w:spacing w:line="480" w:lineRule="auto"/>
        <w:rPr>
          <w:rFonts w:ascii="仿宋" w:hAnsi="仿宋" w:cs="仿宋"/>
          <w:b/>
          <w:bCs/>
          <w:sz w:val="24"/>
          <w:szCs w:val="24"/>
        </w:rPr>
      </w:pPr>
      <w:r>
        <w:rPr>
          <w:rFonts w:hint="eastAsia" w:ascii="仿宋" w:hAnsi="仿宋" w:cs="仿宋"/>
          <w:b/>
          <w:bCs/>
          <w:sz w:val="24"/>
          <w:szCs w:val="24"/>
        </w:rPr>
        <w:fldChar w:fldCharType="begin"/>
      </w:r>
      <w:r>
        <w:rPr>
          <w:rFonts w:hint="eastAsia" w:ascii="仿宋" w:hAnsi="仿宋" w:cs="仿宋"/>
          <w:b/>
          <w:bCs/>
          <w:sz w:val="24"/>
          <w:szCs w:val="24"/>
        </w:rPr>
        <w:instrText xml:space="preserve">TOC \o "1-1" \h \u </w:instrText>
      </w:r>
      <w:r>
        <w:rPr>
          <w:rFonts w:hint="eastAsia" w:ascii="仿宋" w:hAnsi="仿宋" w:cs="仿宋"/>
          <w:b/>
          <w:bCs/>
          <w:sz w:val="24"/>
          <w:szCs w:val="24"/>
        </w:rPr>
        <w:fldChar w:fldCharType="separate"/>
      </w:r>
      <w:r>
        <w:fldChar w:fldCharType="begin"/>
      </w:r>
      <w:r>
        <w:instrText xml:space="preserve"> HYPERLINK \l "_Toc7381" </w:instrText>
      </w:r>
      <w:r>
        <w:fldChar w:fldCharType="separate"/>
      </w:r>
      <w:r>
        <w:rPr>
          <w:rFonts w:hint="eastAsia" w:ascii="仿宋" w:hAnsi="仿宋" w:cs="仿宋"/>
          <w:b/>
          <w:bCs/>
          <w:sz w:val="24"/>
          <w:szCs w:val="24"/>
        </w:rPr>
        <w:t>招标公告</w:t>
      </w:r>
      <w:r>
        <w:rPr>
          <w:rFonts w:hint="eastAsia" w:ascii="仿宋" w:hAnsi="仿宋" w:cs="仿宋"/>
          <w:b/>
          <w:bCs/>
          <w:sz w:val="24"/>
          <w:szCs w:val="24"/>
        </w:rPr>
        <w:tab/>
      </w:r>
      <w:r>
        <w:rPr>
          <w:rFonts w:hint="eastAsia" w:ascii="仿宋" w:hAnsi="仿宋" w:cs="仿宋"/>
          <w:b/>
          <w:bCs/>
          <w:sz w:val="24"/>
          <w:szCs w:val="24"/>
        </w:rPr>
        <w:fldChar w:fldCharType="begin"/>
      </w:r>
      <w:r>
        <w:rPr>
          <w:rFonts w:hint="eastAsia" w:ascii="仿宋" w:hAnsi="仿宋" w:cs="仿宋"/>
          <w:b/>
          <w:bCs/>
          <w:sz w:val="24"/>
          <w:szCs w:val="24"/>
        </w:rPr>
        <w:instrText xml:space="preserve"> PAGEREF _Toc7381 </w:instrText>
      </w:r>
      <w:r>
        <w:rPr>
          <w:rFonts w:hint="eastAsia" w:ascii="仿宋" w:hAnsi="仿宋" w:cs="仿宋"/>
          <w:b/>
          <w:bCs/>
          <w:sz w:val="24"/>
          <w:szCs w:val="24"/>
        </w:rPr>
        <w:fldChar w:fldCharType="separate"/>
      </w:r>
      <w:r>
        <w:rPr>
          <w:rFonts w:hint="eastAsia" w:ascii="仿宋" w:hAnsi="仿宋" w:cs="仿宋"/>
          <w:b/>
          <w:bCs/>
          <w:sz w:val="24"/>
          <w:szCs w:val="24"/>
        </w:rPr>
        <w:t>1</w:t>
      </w:r>
      <w:r>
        <w:rPr>
          <w:rFonts w:hint="eastAsia" w:ascii="仿宋" w:hAnsi="仿宋" w:cs="仿宋"/>
          <w:b/>
          <w:bCs/>
          <w:sz w:val="24"/>
          <w:szCs w:val="24"/>
        </w:rPr>
        <w:fldChar w:fldCharType="end"/>
      </w:r>
      <w:r>
        <w:rPr>
          <w:rFonts w:hint="eastAsia" w:ascii="仿宋" w:hAnsi="仿宋" w:cs="仿宋"/>
          <w:b/>
          <w:bCs/>
          <w:sz w:val="24"/>
          <w:szCs w:val="24"/>
        </w:rPr>
        <w:fldChar w:fldCharType="end"/>
      </w:r>
    </w:p>
    <w:p>
      <w:pPr>
        <w:pStyle w:val="61"/>
        <w:tabs>
          <w:tab w:val="right" w:leader="dot" w:pos="8306"/>
        </w:tabs>
        <w:spacing w:line="480" w:lineRule="auto"/>
        <w:rPr>
          <w:rFonts w:ascii="仿宋" w:hAnsi="仿宋" w:cs="仿宋"/>
          <w:b/>
          <w:bCs/>
          <w:sz w:val="24"/>
          <w:szCs w:val="24"/>
        </w:rPr>
      </w:pPr>
      <w:r>
        <w:fldChar w:fldCharType="begin"/>
      </w:r>
      <w:r>
        <w:instrText xml:space="preserve"> HYPERLINK \l "_Toc9614" </w:instrText>
      </w:r>
      <w:r>
        <w:fldChar w:fldCharType="separate"/>
      </w:r>
      <w:r>
        <w:rPr>
          <w:rFonts w:hint="eastAsia" w:ascii="仿宋" w:hAnsi="仿宋" w:cs="仿宋"/>
          <w:b/>
          <w:bCs/>
          <w:sz w:val="24"/>
          <w:szCs w:val="24"/>
        </w:rPr>
        <w:t>第一章 投标人须知</w:t>
      </w:r>
      <w:r>
        <w:rPr>
          <w:rFonts w:hint="eastAsia" w:ascii="仿宋" w:hAnsi="仿宋" w:cs="仿宋"/>
          <w:b/>
          <w:bCs/>
          <w:sz w:val="24"/>
          <w:szCs w:val="24"/>
        </w:rPr>
        <w:tab/>
      </w:r>
      <w:r>
        <w:rPr>
          <w:rFonts w:hint="eastAsia" w:ascii="仿宋" w:hAnsi="仿宋" w:cs="仿宋"/>
          <w:b/>
          <w:bCs/>
          <w:sz w:val="24"/>
          <w:szCs w:val="24"/>
        </w:rPr>
        <w:t>4</w:t>
      </w:r>
      <w:r>
        <w:rPr>
          <w:rFonts w:hint="eastAsia" w:ascii="仿宋" w:hAnsi="仿宋" w:cs="仿宋"/>
          <w:b/>
          <w:bCs/>
          <w:sz w:val="24"/>
          <w:szCs w:val="24"/>
        </w:rPr>
        <w:fldChar w:fldCharType="end"/>
      </w:r>
    </w:p>
    <w:p>
      <w:pPr>
        <w:pStyle w:val="61"/>
        <w:tabs>
          <w:tab w:val="right" w:leader="dot" w:pos="8306"/>
        </w:tabs>
        <w:spacing w:line="480" w:lineRule="auto"/>
        <w:rPr>
          <w:rFonts w:ascii="仿宋" w:hAnsi="仿宋" w:cs="仿宋"/>
          <w:b/>
          <w:bCs/>
          <w:sz w:val="24"/>
          <w:szCs w:val="24"/>
        </w:rPr>
      </w:pPr>
      <w:r>
        <w:fldChar w:fldCharType="begin"/>
      </w:r>
      <w:r>
        <w:instrText xml:space="preserve"> HYPERLINK \l "_Toc6403" </w:instrText>
      </w:r>
      <w:r>
        <w:fldChar w:fldCharType="separate"/>
      </w:r>
      <w:r>
        <w:rPr>
          <w:rFonts w:hint="eastAsia" w:ascii="仿宋" w:hAnsi="仿宋" w:cs="仿宋"/>
          <w:b/>
          <w:bCs/>
          <w:sz w:val="24"/>
          <w:szCs w:val="24"/>
        </w:rPr>
        <w:t>第二章 投标文件内容及格式</w:t>
      </w:r>
      <w:r>
        <w:rPr>
          <w:rFonts w:hint="eastAsia" w:ascii="仿宋" w:hAnsi="仿宋" w:cs="仿宋"/>
          <w:b/>
          <w:bCs/>
          <w:sz w:val="24"/>
          <w:szCs w:val="24"/>
        </w:rPr>
        <w:tab/>
      </w:r>
      <w:r>
        <w:rPr>
          <w:rFonts w:hint="eastAsia" w:ascii="仿宋" w:hAnsi="仿宋" w:cs="仿宋"/>
          <w:b/>
          <w:bCs/>
          <w:sz w:val="24"/>
          <w:szCs w:val="24"/>
        </w:rPr>
        <w:t>2</w:t>
      </w:r>
      <w:r>
        <w:rPr>
          <w:rFonts w:hint="eastAsia" w:ascii="仿宋" w:hAnsi="仿宋" w:cs="仿宋"/>
          <w:b/>
          <w:bCs/>
          <w:sz w:val="24"/>
          <w:szCs w:val="24"/>
        </w:rPr>
        <w:fldChar w:fldCharType="end"/>
      </w:r>
      <w:r>
        <w:rPr>
          <w:rFonts w:hint="eastAsia" w:ascii="仿宋" w:hAnsi="仿宋" w:cs="仿宋"/>
          <w:b/>
          <w:bCs/>
          <w:sz w:val="24"/>
          <w:szCs w:val="24"/>
        </w:rPr>
        <w:t>3</w:t>
      </w:r>
    </w:p>
    <w:p>
      <w:pPr>
        <w:pStyle w:val="61"/>
        <w:tabs>
          <w:tab w:val="right" w:leader="dot" w:pos="8306"/>
        </w:tabs>
        <w:spacing w:line="480" w:lineRule="auto"/>
        <w:rPr>
          <w:rFonts w:ascii="仿宋" w:hAnsi="仿宋" w:cs="仿宋"/>
          <w:b/>
          <w:bCs/>
          <w:sz w:val="24"/>
          <w:szCs w:val="24"/>
        </w:rPr>
      </w:pPr>
      <w:r>
        <w:fldChar w:fldCharType="begin"/>
      </w:r>
      <w:r>
        <w:instrText xml:space="preserve"> HYPERLINK \l "_Toc17590" </w:instrText>
      </w:r>
      <w:r>
        <w:fldChar w:fldCharType="separate"/>
      </w:r>
      <w:r>
        <w:rPr>
          <w:rFonts w:hint="eastAsia" w:ascii="仿宋" w:hAnsi="仿宋" w:cs="仿宋"/>
          <w:b/>
          <w:bCs/>
          <w:sz w:val="24"/>
          <w:szCs w:val="24"/>
        </w:rPr>
        <w:t>第三章 货物需求</w:t>
      </w:r>
      <w:r>
        <w:rPr>
          <w:rFonts w:hint="eastAsia" w:ascii="仿宋" w:hAnsi="仿宋" w:cs="仿宋"/>
          <w:b/>
          <w:bCs/>
          <w:sz w:val="24"/>
          <w:szCs w:val="24"/>
        </w:rPr>
        <w:tab/>
      </w:r>
      <w:r>
        <w:rPr>
          <w:rFonts w:hint="eastAsia" w:ascii="仿宋" w:hAnsi="仿宋" w:cs="仿宋"/>
          <w:b/>
          <w:bCs/>
          <w:sz w:val="24"/>
          <w:szCs w:val="24"/>
        </w:rPr>
        <w:t>8</w:t>
      </w:r>
      <w:r>
        <w:rPr>
          <w:rFonts w:hint="eastAsia" w:ascii="仿宋" w:hAnsi="仿宋" w:cs="仿宋"/>
          <w:b/>
          <w:bCs/>
          <w:sz w:val="24"/>
          <w:szCs w:val="24"/>
        </w:rPr>
        <w:fldChar w:fldCharType="end"/>
      </w:r>
      <w:r>
        <w:rPr>
          <w:rFonts w:hint="eastAsia" w:ascii="仿宋" w:hAnsi="仿宋" w:cs="仿宋"/>
          <w:b/>
          <w:bCs/>
          <w:sz w:val="24"/>
          <w:szCs w:val="24"/>
        </w:rPr>
        <w:t>9</w:t>
      </w:r>
    </w:p>
    <w:p>
      <w:pPr>
        <w:pStyle w:val="61"/>
        <w:tabs>
          <w:tab w:val="right" w:leader="dot" w:pos="8306"/>
        </w:tabs>
        <w:spacing w:line="480" w:lineRule="auto"/>
        <w:rPr>
          <w:rFonts w:ascii="仿宋" w:hAnsi="仿宋" w:cs="仿宋"/>
          <w:b/>
          <w:bCs/>
          <w:sz w:val="24"/>
          <w:szCs w:val="24"/>
        </w:rPr>
      </w:pPr>
      <w:r>
        <w:fldChar w:fldCharType="begin"/>
      </w:r>
      <w:r>
        <w:instrText xml:space="preserve"> HYPERLINK \l "_Toc25237" </w:instrText>
      </w:r>
      <w:r>
        <w:fldChar w:fldCharType="separate"/>
      </w:r>
      <w:r>
        <w:rPr>
          <w:rFonts w:hint="eastAsia" w:ascii="仿宋" w:hAnsi="仿宋" w:cs="仿宋"/>
          <w:b/>
          <w:bCs/>
          <w:sz w:val="24"/>
          <w:szCs w:val="24"/>
        </w:rPr>
        <w:t>第四章 评标方法</w:t>
      </w:r>
      <w:r>
        <w:rPr>
          <w:rFonts w:hint="eastAsia" w:ascii="仿宋" w:hAnsi="仿宋" w:cs="仿宋"/>
          <w:b/>
          <w:bCs/>
          <w:sz w:val="24"/>
          <w:szCs w:val="24"/>
        </w:rPr>
        <w:tab/>
      </w:r>
      <w:r>
        <w:rPr>
          <w:rFonts w:hint="eastAsia" w:ascii="仿宋" w:hAnsi="仿宋" w:cs="仿宋"/>
          <w:b/>
          <w:bCs/>
          <w:sz w:val="24"/>
          <w:szCs w:val="24"/>
        </w:rPr>
        <w:t>9</w:t>
      </w:r>
      <w:r>
        <w:rPr>
          <w:rFonts w:hint="eastAsia" w:ascii="仿宋" w:hAnsi="仿宋" w:cs="仿宋"/>
          <w:b/>
          <w:bCs/>
          <w:sz w:val="24"/>
          <w:szCs w:val="24"/>
        </w:rPr>
        <w:fldChar w:fldCharType="end"/>
      </w:r>
      <w:r>
        <w:rPr>
          <w:rFonts w:hint="eastAsia" w:ascii="仿宋" w:hAnsi="仿宋" w:cs="仿宋"/>
          <w:b/>
          <w:bCs/>
          <w:sz w:val="24"/>
          <w:szCs w:val="24"/>
        </w:rPr>
        <w:t>0</w:t>
      </w:r>
    </w:p>
    <w:p>
      <w:pPr>
        <w:pStyle w:val="61"/>
        <w:tabs>
          <w:tab w:val="right" w:leader="dot" w:pos="8306"/>
        </w:tabs>
        <w:spacing w:line="480" w:lineRule="auto"/>
        <w:rPr>
          <w:rFonts w:ascii="仿宋" w:hAnsi="仿宋" w:cs="仿宋"/>
          <w:b/>
          <w:bCs/>
          <w:sz w:val="24"/>
          <w:szCs w:val="24"/>
        </w:rPr>
      </w:pPr>
      <w:r>
        <w:fldChar w:fldCharType="begin"/>
      </w:r>
      <w:r>
        <w:instrText xml:space="preserve"> HYPERLINK \l "_Toc19588" </w:instrText>
      </w:r>
      <w:r>
        <w:fldChar w:fldCharType="separate"/>
      </w:r>
      <w:r>
        <w:rPr>
          <w:rFonts w:hint="eastAsia" w:ascii="仿宋" w:hAnsi="仿宋" w:cs="仿宋"/>
          <w:b/>
          <w:bCs/>
          <w:sz w:val="24"/>
          <w:szCs w:val="24"/>
        </w:rPr>
        <w:t>第五章 政府采购合同条款及格式</w:t>
      </w:r>
      <w:r>
        <w:rPr>
          <w:rFonts w:hint="eastAsia" w:ascii="仿宋" w:hAnsi="仿宋" w:cs="仿宋"/>
          <w:b/>
          <w:bCs/>
          <w:sz w:val="24"/>
          <w:szCs w:val="24"/>
        </w:rPr>
        <w:tab/>
      </w:r>
      <w:r>
        <w:rPr>
          <w:rFonts w:hint="eastAsia" w:ascii="仿宋" w:hAnsi="仿宋" w:cs="仿宋"/>
          <w:b/>
          <w:bCs/>
          <w:sz w:val="24"/>
          <w:szCs w:val="24"/>
        </w:rPr>
        <w:fldChar w:fldCharType="end"/>
      </w:r>
      <w:r>
        <w:rPr>
          <w:rFonts w:hint="eastAsia" w:ascii="仿宋" w:hAnsi="仿宋" w:cs="仿宋"/>
          <w:b/>
          <w:bCs/>
          <w:sz w:val="24"/>
          <w:szCs w:val="24"/>
        </w:rPr>
        <w:t>96</w:t>
      </w:r>
    </w:p>
    <w:p>
      <w:pPr>
        <w:spacing w:line="480" w:lineRule="auto"/>
        <w:rPr>
          <w:rFonts w:ascii="仿宋" w:hAnsi="仿宋" w:cs="仿宋"/>
        </w:rPr>
      </w:pPr>
      <w:r>
        <w:rPr>
          <w:rFonts w:hint="eastAsia" w:ascii="仿宋" w:hAnsi="仿宋" w:cs="仿宋"/>
          <w:b/>
          <w:bCs/>
          <w:sz w:val="24"/>
          <w:szCs w:val="24"/>
        </w:rPr>
        <w:fldChar w:fldCharType="end"/>
      </w:r>
    </w:p>
    <w:p>
      <w:pPr>
        <w:pStyle w:val="4"/>
        <w:rPr>
          <w:rFonts w:ascii="仿宋" w:hAnsi="仿宋" w:cs="仿宋"/>
        </w:rPr>
        <w:sectPr>
          <w:footerReference r:id="rId3" w:type="default"/>
          <w:pgSz w:w="11906" w:h="16838"/>
          <w:pgMar w:top="1440" w:right="1800" w:bottom="1440" w:left="1800" w:header="851" w:footer="992" w:gutter="0"/>
          <w:pgNumType w:start="1"/>
          <w:cols w:space="720" w:num="1"/>
          <w:docGrid w:type="linesAndChars" w:linePitch="312" w:charSpace="0"/>
        </w:sectPr>
      </w:pPr>
      <w:bookmarkStart w:id="0" w:name="_Toc1124_WPSOffice_Level1"/>
      <w:bookmarkStart w:id="1" w:name="_Toc7381"/>
    </w:p>
    <w:p>
      <w:pPr>
        <w:pStyle w:val="4"/>
        <w:rPr>
          <w:rFonts w:ascii="仿宋" w:hAnsi="仿宋" w:cs="仿宋"/>
        </w:rPr>
      </w:pPr>
      <w:r>
        <w:rPr>
          <w:rFonts w:hint="eastAsia" w:ascii="仿宋" w:hAnsi="仿宋" w:cs="仿宋"/>
        </w:rPr>
        <w:t>沈阳医学院采购实训基地设备的招标公告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仿宋"/>
        </w:rPr>
      </w:pPr>
      <w:r>
        <w:rPr>
          <w:rFonts w:hint="eastAsia" w:ascii="仿宋" w:hAnsi="仿宋" w:cs="仿宋"/>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仿宋"/>
        </w:rPr>
      </w:pPr>
      <w:r>
        <w:rPr>
          <w:rFonts w:hint="eastAsia" w:ascii="仿宋" w:hAnsi="仿宋" w:cs="仿宋"/>
          <w:u w:val="single"/>
        </w:rPr>
        <w:t>沈阳医学院采购实训基地设备（项目编号：</w:t>
      </w:r>
      <w:r>
        <w:rPr>
          <w:rFonts w:ascii="仿宋" w:hAnsi="仿宋" w:cs="仿宋"/>
          <w:u w:val="single"/>
        </w:rPr>
        <w:t>JH22-210100-08758</w:t>
      </w:r>
      <w:r>
        <w:rPr>
          <w:rFonts w:hint="eastAsia" w:ascii="仿宋" w:hAnsi="仿宋" w:cs="仿宋"/>
          <w:u w:val="single"/>
        </w:rPr>
        <w:t>）</w:t>
      </w:r>
      <w:r>
        <w:rPr>
          <w:rFonts w:hint="eastAsia" w:ascii="仿宋" w:hAnsi="仿宋" w:cs="仿宋"/>
        </w:rPr>
        <w:t>招标项目的潜在供应商应在</w:t>
      </w:r>
      <w:r>
        <w:rPr>
          <w:rFonts w:hint="eastAsia" w:ascii="仿宋" w:hAnsi="仿宋" w:cs="仿宋"/>
          <w:u w:val="single"/>
        </w:rPr>
        <w:t>辽宁政府采购网</w:t>
      </w:r>
      <w:r>
        <w:rPr>
          <w:rFonts w:hint="eastAsia" w:ascii="仿宋" w:hAnsi="仿宋" w:cs="仿宋"/>
        </w:rPr>
        <w:t>获取招标文件，并于</w:t>
      </w:r>
      <w:r>
        <w:rPr>
          <w:rFonts w:hint="eastAsia" w:ascii="仿宋" w:hAnsi="仿宋" w:cs="仿宋"/>
          <w:u w:val="single"/>
        </w:rPr>
        <w:t>2022年12月22日13点30分（</w:t>
      </w:r>
      <w:r>
        <w:rPr>
          <w:rFonts w:hint="eastAsia" w:ascii="仿宋" w:hAnsi="仿宋" w:cs="仿宋"/>
        </w:rPr>
        <w:t>北京时间）前递交投标文件。</w:t>
      </w:r>
    </w:p>
    <w:p>
      <w:pPr>
        <w:adjustRightInd w:val="0"/>
        <w:snapToGrid w:val="0"/>
        <w:spacing w:line="360" w:lineRule="auto"/>
        <w:rPr>
          <w:rFonts w:ascii="仿宋" w:hAnsi="仿宋" w:cs="仿宋"/>
          <w:b/>
          <w:bCs/>
        </w:rPr>
      </w:pPr>
      <w:bookmarkStart w:id="2" w:name="_Toc28359079"/>
      <w:bookmarkStart w:id="3" w:name="_Toc35393790"/>
      <w:bookmarkStart w:id="4" w:name="_Toc35393621"/>
      <w:bookmarkStart w:id="5" w:name="_Toc28359002"/>
      <w:bookmarkStart w:id="6" w:name="_Hlk24379207"/>
      <w:r>
        <w:rPr>
          <w:rFonts w:hint="eastAsia" w:ascii="仿宋" w:hAnsi="仿宋" w:cs="仿宋"/>
          <w:b/>
          <w:bCs/>
        </w:rPr>
        <w:t>一、项目基本情况</w:t>
      </w:r>
      <w:bookmarkEnd w:id="2"/>
      <w:bookmarkEnd w:id="3"/>
      <w:bookmarkEnd w:id="4"/>
      <w:bookmarkEnd w:id="5"/>
    </w:p>
    <w:p>
      <w:pPr>
        <w:adjustRightInd w:val="0"/>
        <w:snapToGrid w:val="0"/>
        <w:spacing w:line="360" w:lineRule="auto"/>
        <w:ind w:firstLine="420" w:firstLineChars="200"/>
        <w:rPr>
          <w:rFonts w:ascii="仿宋" w:hAnsi="仿宋" w:cs="仿宋"/>
        </w:rPr>
      </w:pPr>
      <w:r>
        <w:rPr>
          <w:rFonts w:hint="eastAsia" w:ascii="仿宋" w:hAnsi="仿宋" w:cs="仿宋"/>
        </w:rPr>
        <w:t>项目编号：</w:t>
      </w:r>
      <w:r>
        <w:rPr>
          <w:rFonts w:ascii="仿宋" w:hAnsi="仿宋" w:cs="仿宋"/>
        </w:rPr>
        <w:t>JH22-210100-08758</w:t>
      </w:r>
      <w:r>
        <w:fldChar w:fldCharType="begin"/>
      </w:r>
      <w:r>
        <w:instrText xml:space="preserve"> HYPERLINK "http://www.ccgp-liaoning.gov.cn/activitisys/audit.do?method=goAuditList&amp;menuParam=&amp;t_k=null&amp;tk=0.004109864312316969&amp;menuName=" \o "JH21-210000-12712" </w:instrText>
      </w:r>
      <w:r>
        <w:fldChar w:fldCharType="separate"/>
      </w:r>
      <w:r>
        <w:fldChar w:fldCharType="end"/>
      </w:r>
    </w:p>
    <w:p>
      <w:pPr>
        <w:adjustRightInd w:val="0"/>
        <w:snapToGrid w:val="0"/>
        <w:spacing w:line="360" w:lineRule="auto"/>
        <w:ind w:firstLine="420" w:firstLineChars="200"/>
        <w:rPr>
          <w:rFonts w:ascii="仿宋" w:hAnsi="仿宋" w:cs="仿宋"/>
        </w:rPr>
      </w:pPr>
      <w:r>
        <w:rPr>
          <w:rFonts w:hint="eastAsia" w:ascii="仿宋" w:hAnsi="仿宋" w:cs="仿宋"/>
        </w:rPr>
        <w:t>项目名称：沈阳医学院采购实训基地设备</w:t>
      </w:r>
    </w:p>
    <w:bookmarkEnd w:id="6"/>
    <w:p>
      <w:pPr>
        <w:adjustRightInd w:val="0"/>
        <w:snapToGrid w:val="0"/>
        <w:spacing w:line="360" w:lineRule="auto"/>
        <w:ind w:firstLine="420" w:firstLineChars="200"/>
        <w:rPr>
          <w:rFonts w:ascii="仿宋" w:hAnsi="仿宋" w:cs="仿宋"/>
        </w:rPr>
      </w:pPr>
      <w:r>
        <w:rPr>
          <w:rFonts w:hint="eastAsia" w:ascii="仿宋" w:hAnsi="仿宋" w:cs="仿宋"/>
        </w:rPr>
        <w:t>预算金额：人民币6,260,000.00元</w:t>
      </w:r>
    </w:p>
    <w:p>
      <w:pPr>
        <w:adjustRightInd w:val="0"/>
        <w:snapToGrid w:val="0"/>
        <w:spacing w:line="360" w:lineRule="auto"/>
        <w:ind w:firstLine="420" w:firstLineChars="200"/>
        <w:rPr>
          <w:rFonts w:ascii="仿宋" w:hAnsi="仿宋" w:cs="仿宋"/>
        </w:rPr>
      </w:pPr>
      <w:r>
        <w:rPr>
          <w:rFonts w:hint="eastAsia" w:ascii="仿宋" w:hAnsi="仿宋" w:cs="仿宋"/>
          <w:b/>
          <w:bCs/>
        </w:rPr>
        <w:t>包组编号：001</w:t>
      </w:r>
    </w:p>
    <w:p>
      <w:pPr>
        <w:adjustRightInd w:val="0"/>
        <w:snapToGrid w:val="0"/>
        <w:spacing w:line="360" w:lineRule="auto"/>
        <w:ind w:firstLine="420" w:firstLineChars="200"/>
        <w:rPr>
          <w:rFonts w:ascii="仿宋" w:hAnsi="仿宋" w:cs="仿宋"/>
          <w:b/>
          <w:bCs/>
        </w:rPr>
      </w:pPr>
      <w:r>
        <w:rPr>
          <w:rFonts w:hint="eastAsia" w:ascii="仿宋" w:hAnsi="仿宋" w:cs="仿宋"/>
          <w:b/>
          <w:bCs/>
        </w:rPr>
        <w:t>包组名称：牙椅</w:t>
      </w:r>
    </w:p>
    <w:p>
      <w:pPr>
        <w:adjustRightInd w:val="0"/>
        <w:snapToGrid w:val="0"/>
        <w:spacing w:line="360" w:lineRule="auto"/>
        <w:ind w:firstLine="420" w:firstLineChars="200"/>
        <w:rPr>
          <w:rFonts w:ascii="仿宋" w:hAnsi="仿宋" w:cs="仿宋"/>
        </w:rPr>
      </w:pPr>
      <w:r>
        <w:rPr>
          <w:rFonts w:hint="eastAsia" w:ascii="仿宋" w:hAnsi="仿宋" w:cs="仿宋"/>
        </w:rPr>
        <w:t>最高限价：人民币</w:t>
      </w:r>
      <w:r>
        <w:rPr>
          <w:rFonts w:ascii="仿宋" w:hAnsi="仿宋" w:cs="仿宋"/>
        </w:rPr>
        <w:t>2960000.00</w:t>
      </w:r>
      <w:r>
        <w:rPr>
          <w:rFonts w:hint="eastAsia" w:ascii="仿宋" w:hAnsi="仿宋" w:cs="仿宋"/>
        </w:rPr>
        <w:t>元</w:t>
      </w:r>
    </w:p>
    <w:p>
      <w:pPr>
        <w:adjustRightInd w:val="0"/>
        <w:snapToGrid w:val="0"/>
        <w:spacing w:line="360" w:lineRule="auto"/>
        <w:ind w:firstLine="420" w:firstLineChars="200"/>
        <w:rPr>
          <w:rFonts w:ascii="仿宋" w:hAnsi="仿宋" w:cs="仿宋"/>
          <w:u w:val="single"/>
        </w:rPr>
      </w:pPr>
      <w:r>
        <w:rPr>
          <w:rFonts w:hint="eastAsia" w:ascii="仿宋" w:hAnsi="仿宋" w:cs="仿宋"/>
        </w:rPr>
        <w:t>采购需求：查看</w:t>
      </w:r>
    </w:p>
    <w:p>
      <w:pPr>
        <w:adjustRightInd w:val="0"/>
        <w:snapToGrid w:val="0"/>
        <w:spacing w:line="360" w:lineRule="auto"/>
        <w:ind w:firstLine="420" w:firstLineChars="200"/>
        <w:rPr>
          <w:rFonts w:ascii="仿宋" w:hAnsi="仿宋" w:cs="仿宋"/>
        </w:rPr>
      </w:pPr>
      <w:r>
        <w:rPr>
          <w:rFonts w:hint="eastAsia" w:ascii="仿宋" w:hAnsi="仿宋" w:cs="仿宋"/>
        </w:rPr>
        <w:t>合同履行期限：合同签订后20天</w:t>
      </w:r>
    </w:p>
    <w:p>
      <w:pPr>
        <w:adjustRightInd w:val="0"/>
        <w:snapToGrid w:val="0"/>
        <w:spacing w:line="360" w:lineRule="auto"/>
        <w:ind w:firstLine="420" w:firstLineChars="200"/>
        <w:rPr>
          <w:rFonts w:ascii="仿宋" w:hAnsi="仿宋" w:cs="仿宋"/>
        </w:rPr>
      </w:pPr>
      <w:r>
        <w:rPr>
          <w:rFonts w:hint="eastAsia" w:ascii="仿宋" w:hAnsi="仿宋" w:cs="仿宋"/>
        </w:rPr>
        <w:t>需落实的政府采购政策内容：小微企业（含监狱企业）、残疾人就业政府采购政策、节能产品、环境标志产品、聘用建档立卡贫困人员物业公司相关规定</w:t>
      </w:r>
    </w:p>
    <w:p>
      <w:pPr>
        <w:adjustRightInd w:val="0"/>
        <w:snapToGrid w:val="0"/>
        <w:spacing w:line="360" w:lineRule="auto"/>
        <w:ind w:firstLine="420" w:firstLineChars="200"/>
        <w:rPr>
          <w:rFonts w:ascii="仿宋" w:hAnsi="仿宋" w:cs="仿宋"/>
        </w:rPr>
      </w:pPr>
      <w:r>
        <w:rPr>
          <w:rFonts w:hint="eastAsia" w:ascii="仿宋" w:hAnsi="仿宋" w:cs="仿宋"/>
        </w:rPr>
        <w:t>本项目（</w:t>
      </w:r>
      <w:r>
        <w:rPr>
          <w:rFonts w:hint="eastAsia" w:ascii="仿宋" w:hAnsi="仿宋" w:cs="仿宋"/>
          <w:i/>
          <w:iCs/>
        </w:rPr>
        <w:t>否</w:t>
      </w:r>
      <w:r>
        <w:rPr>
          <w:rFonts w:hint="eastAsia" w:ascii="仿宋" w:hAnsi="仿宋" w:cs="仿宋"/>
        </w:rPr>
        <w:t>）接受联合体投标。</w:t>
      </w:r>
    </w:p>
    <w:p>
      <w:pPr>
        <w:adjustRightInd w:val="0"/>
        <w:snapToGrid w:val="0"/>
        <w:spacing w:line="360" w:lineRule="auto"/>
        <w:ind w:firstLine="420" w:firstLineChars="200"/>
        <w:rPr>
          <w:rFonts w:ascii="仿宋" w:hAnsi="仿宋" w:cs="仿宋"/>
          <w:b/>
          <w:bCs/>
        </w:rPr>
      </w:pPr>
      <w:bookmarkStart w:id="7" w:name="_Toc35393622"/>
      <w:bookmarkStart w:id="8" w:name="_Toc28359003"/>
      <w:bookmarkStart w:id="9" w:name="_Toc35393791"/>
      <w:bookmarkStart w:id="10" w:name="_Toc28359080"/>
      <w:r>
        <w:rPr>
          <w:rFonts w:hint="eastAsia" w:ascii="仿宋" w:hAnsi="仿宋" w:cs="仿宋"/>
          <w:b/>
          <w:bCs/>
        </w:rPr>
        <w:t>包组编号：002</w:t>
      </w:r>
    </w:p>
    <w:p>
      <w:pPr>
        <w:adjustRightInd w:val="0"/>
        <w:snapToGrid w:val="0"/>
        <w:spacing w:line="360" w:lineRule="auto"/>
        <w:ind w:firstLine="420" w:firstLineChars="200"/>
        <w:rPr>
          <w:rFonts w:ascii="仿宋" w:hAnsi="仿宋" w:cs="仿宋"/>
          <w:b/>
          <w:bCs/>
        </w:rPr>
      </w:pPr>
      <w:r>
        <w:rPr>
          <w:rFonts w:hint="eastAsia" w:ascii="仿宋" w:hAnsi="仿宋" w:cs="仿宋"/>
          <w:b/>
          <w:bCs/>
        </w:rPr>
        <w:t>包组名称：002</w:t>
      </w:r>
    </w:p>
    <w:p>
      <w:pPr>
        <w:adjustRightInd w:val="0"/>
        <w:snapToGrid w:val="0"/>
        <w:spacing w:line="360" w:lineRule="auto"/>
        <w:ind w:firstLine="420" w:firstLineChars="200"/>
        <w:rPr>
          <w:rFonts w:ascii="仿宋" w:hAnsi="仿宋" w:cs="仿宋"/>
        </w:rPr>
      </w:pPr>
      <w:r>
        <w:rPr>
          <w:rFonts w:hint="eastAsia" w:ascii="仿宋" w:hAnsi="仿宋" w:cs="仿宋"/>
        </w:rPr>
        <w:t>最高限价：人民币3300000.00元</w:t>
      </w:r>
    </w:p>
    <w:p>
      <w:pPr>
        <w:adjustRightInd w:val="0"/>
        <w:snapToGrid w:val="0"/>
        <w:spacing w:line="360" w:lineRule="auto"/>
        <w:ind w:firstLine="420" w:firstLineChars="200"/>
        <w:rPr>
          <w:rFonts w:ascii="仿宋" w:hAnsi="仿宋" w:cs="仿宋"/>
          <w:u w:val="single"/>
        </w:rPr>
      </w:pPr>
      <w:r>
        <w:rPr>
          <w:rFonts w:hint="eastAsia" w:ascii="仿宋" w:hAnsi="仿宋" w:cs="仿宋"/>
        </w:rPr>
        <w:t>采购需求：查看</w:t>
      </w:r>
    </w:p>
    <w:p>
      <w:pPr>
        <w:adjustRightInd w:val="0"/>
        <w:snapToGrid w:val="0"/>
        <w:spacing w:line="360" w:lineRule="auto"/>
        <w:ind w:firstLine="420" w:firstLineChars="200"/>
        <w:rPr>
          <w:rFonts w:ascii="仿宋" w:hAnsi="仿宋" w:cs="仿宋"/>
        </w:rPr>
      </w:pPr>
      <w:r>
        <w:rPr>
          <w:rFonts w:hint="eastAsia" w:ascii="仿宋" w:hAnsi="仿宋" w:cs="仿宋"/>
        </w:rPr>
        <w:t>合同履行期限：合同签订后20天</w:t>
      </w:r>
    </w:p>
    <w:p>
      <w:pPr>
        <w:adjustRightInd w:val="0"/>
        <w:snapToGrid w:val="0"/>
        <w:spacing w:line="360" w:lineRule="auto"/>
        <w:ind w:firstLine="420" w:firstLineChars="200"/>
        <w:rPr>
          <w:rFonts w:ascii="仿宋" w:hAnsi="仿宋" w:cs="仿宋"/>
        </w:rPr>
      </w:pPr>
      <w:r>
        <w:rPr>
          <w:rFonts w:hint="eastAsia" w:ascii="仿宋" w:hAnsi="仿宋" w:cs="仿宋"/>
        </w:rPr>
        <w:t>需落实的政府采购政策内容：小微企业（含监狱企业）、残疾人就业政府采购政策、节能产品、环境标志产品、聘用建档立卡贫困人员物业公司相关规定</w:t>
      </w:r>
    </w:p>
    <w:p>
      <w:pPr>
        <w:adjustRightInd w:val="0"/>
        <w:snapToGrid w:val="0"/>
        <w:spacing w:line="360" w:lineRule="auto"/>
        <w:ind w:firstLine="420" w:firstLineChars="200"/>
        <w:rPr>
          <w:rFonts w:ascii="仿宋" w:hAnsi="仿宋" w:cs="仿宋"/>
        </w:rPr>
      </w:pPr>
      <w:r>
        <w:rPr>
          <w:rFonts w:hint="eastAsia" w:ascii="仿宋" w:hAnsi="仿宋" w:cs="仿宋"/>
        </w:rPr>
        <w:t>本项目（</w:t>
      </w:r>
      <w:r>
        <w:rPr>
          <w:rFonts w:hint="eastAsia" w:ascii="仿宋" w:hAnsi="仿宋" w:cs="仿宋"/>
          <w:i/>
          <w:iCs/>
        </w:rPr>
        <w:t>否</w:t>
      </w:r>
      <w:r>
        <w:rPr>
          <w:rFonts w:hint="eastAsia" w:ascii="仿宋" w:hAnsi="仿宋" w:cs="仿宋"/>
        </w:rPr>
        <w:t>）接受联合体投标。</w:t>
      </w:r>
    </w:p>
    <w:p>
      <w:pPr>
        <w:adjustRightInd w:val="0"/>
        <w:snapToGrid w:val="0"/>
        <w:spacing w:line="360" w:lineRule="auto"/>
        <w:rPr>
          <w:rFonts w:ascii="仿宋" w:hAnsi="仿宋" w:cs="仿宋"/>
          <w:b/>
          <w:bCs/>
        </w:rPr>
      </w:pPr>
      <w:r>
        <w:rPr>
          <w:rFonts w:hint="eastAsia" w:ascii="仿宋" w:hAnsi="仿宋" w:cs="仿宋"/>
          <w:b/>
          <w:bCs/>
        </w:rPr>
        <w:t>二、供应商的资格要求：</w:t>
      </w:r>
      <w:bookmarkEnd w:id="7"/>
      <w:bookmarkEnd w:id="8"/>
      <w:bookmarkEnd w:id="9"/>
      <w:bookmarkEnd w:id="10"/>
    </w:p>
    <w:p>
      <w:pPr>
        <w:adjustRightInd w:val="0"/>
        <w:snapToGrid w:val="0"/>
        <w:spacing w:line="360" w:lineRule="auto"/>
        <w:ind w:firstLine="420" w:firstLineChars="200"/>
        <w:rPr>
          <w:rFonts w:ascii="仿宋" w:hAnsi="仿宋" w:cs="仿宋"/>
        </w:rPr>
      </w:pPr>
      <w:r>
        <w:rPr>
          <w:rFonts w:hint="eastAsia" w:ascii="仿宋" w:hAnsi="仿宋" w:cs="仿宋"/>
        </w:rPr>
        <w:t>1.满足《中华人民共和国政府采购法》第二十二条规定；</w:t>
      </w:r>
    </w:p>
    <w:p>
      <w:pPr>
        <w:adjustRightInd w:val="0"/>
        <w:snapToGrid w:val="0"/>
        <w:spacing w:line="360" w:lineRule="auto"/>
        <w:ind w:firstLine="420" w:firstLineChars="200"/>
        <w:rPr>
          <w:rFonts w:ascii="仿宋" w:hAnsi="仿宋" w:cs="仿宋"/>
          <w:b/>
          <w:bCs/>
        </w:rPr>
      </w:pPr>
      <w:bookmarkStart w:id="11" w:name="_Toc28359081"/>
      <w:bookmarkStart w:id="12" w:name="_Toc28359004"/>
      <w:r>
        <w:rPr>
          <w:rFonts w:hint="eastAsia" w:ascii="仿宋" w:hAnsi="仿宋" w:cs="仿宋"/>
          <w:b/>
          <w:bCs/>
        </w:rPr>
        <w:t>2.落实政府采购政策需满足的资格要求： 001、002包供应商投标报价总额60%以上的产品须为中小微企业生产。</w:t>
      </w:r>
    </w:p>
    <w:p>
      <w:pPr>
        <w:adjustRightInd w:val="0"/>
        <w:snapToGrid w:val="0"/>
        <w:spacing w:line="360" w:lineRule="auto"/>
        <w:ind w:firstLine="420" w:firstLineChars="200"/>
        <w:rPr>
          <w:rFonts w:ascii="仿宋" w:hAnsi="仿宋" w:cs="仿宋"/>
          <w:i/>
          <w:iCs/>
          <w:u w:val="single"/>
        </w:rPr>
      </w:pPr>
      <w:r>
        <w:rPr>
          <w:rFonts w:hint="eastAsia" w:ascii="仿宋" w:hAnsi="仿宋" w:cs="仿宋"/>
        </w:rPr>
        <w:t>3.本项目的特定资格要求：无</w:t>
      </w:r>
    </w:p>
    <w:p>
      <w:pPr>
        <w:adjustRightInd w:val="0"/>
        <w:snapToGrid w:val="0"/>
        <w:spacing w:line="360" w:lineRule="auto"/>
        <w:rPr>
          <w:rFonts w:ascii="仿宋" w:hAnsi="仿宋" w:cs="仿宋"/>
          <w:b/>
          <w:bCs/>
        </w:rPr>
      </w:pPr>
      <w:r>
        <w:rPr>
          <w:rFonts w:hint="eastAsia" w:ascii="仿宋" w:hAnsi="仿宋" w:cs="仿宋"/>
          <w:b/>
          <w:bCs/>
        </w:rPr>
        <w:t>三、政府采购供应商入库须知</w:t>
      </w:r>
    </w:p>
    <w:p>
      <w:pPr>
        <w:adjustRightInd w:val="0"/>
        <w:snapToGrid w:val="0"/>
        <w:spacing w:line="360" w:lineRule="auto"/>
        <w:ind w:firstLine="420" w:firstLineChars="200"/>
        <w:rPr>
          <w:rFonts w:ascii="仿宋" w:hAnsi="仿宋" w:cs="仿宋"/>
        </w:rPr>
      </w:pPr>
      <w:bookmarkStart w:id="13" w:name="_Toc35393623"/>
      <w:bookmarkStart w:id="14" w:name="_Toc35393792"/>
      <w:r>
        <w:rPr>
          <w:rFonts w:hint="eastAsia" w:ascii="仿宋" w:hAnsi="仿宋" w:cs="仿宋"/>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rPr>
          <w:rFonts w:ascii="仿宋" w:hAnsi="仿宋" w:cs="仿宋"/>
          <w:b/>
          <w:bCs/>
        </w:rPr>
      </w:pPr>
      <w:r>
        <w:rPr>
          <w:rFonts w:hint="eastAsia" w:ascii="仿宋" w:hAnsi="仿宋" w:cs="仿宋"/>
          <w:b/>
          <w:bCs/>
        </w:rPr>
        <w:t>四、获取招标文件</w:t>
      </w:r>
      <w:bookmarkEnd w:id="11"/>
      <w:bookmarkEnd w:id="12"/>
      <w:bookmarkEnd w:id="13"/>
      <w:bookmarkEnd w:id="14"/>
    </w:p>
    <w:p>
      <w:pPr>
        <w:adjustRightInd w:val="0"/>
        <w:snapToGrid w:val="0"/>
        <w:spacing w:line="360" w:lineRule="auto"/>
        <w:ind w:firstLine="540"/>
        <w:rPr>
          <w:rFonts w:ascii="仿宋" w:hAnsi="仿宋" w:cs="仿宋"/>
        </w:rPr>
      </w:pPr>
      <w:r>
        <w:rPr>
          <w:rFonts w:hint="eastAsia" w:ascii="仿宋" w:hAnsi="仿宋" w:cs="仿宋"/>
        </w:rPr>
        <w:t>时间：</w:t>
      </w:r>
      <w:r>
        <w:rPr>
          <w:rFonts w:hint="eastAsia" w:ascii="仿宋" w:hAnsi="仿宋" w:cs="仿宋"/>
          <w:u w:val="single"/>
        </w:rPr>
        <w:t>2022年12月1日</w:t>
      </w:r>
      <w:r>
        <w:rPr>
          <w:rFonts w:hint="eastAsia" w:ascii="仿宋" w:hAnsi="仿宋" w:cs="仿宋"/>
        </w:rPr>
        <w:t>至</w:t>
      </w:r>
      <w:r>
        <w:rPr>
          <w:rFonts w:hint="eastAsia" w:ascii="仿宋" w:hAnsi="仿宋" w:cs="仿宋"/>
          <w:u w:val="single"/>
        </w:rPr>
        <w:t>2022年12月8日</w:t>
      </w:r>
      <w:r>
        <w:rPr>
          <w:rFonts w:hint="eastAsia" w:ascii="仿宋" w:hAnsi="仿宋" w:cs="仿宋"/>
        </w:rPr>
        <w:t>，每天</w:t>
      </w:r>
      <w:r>
        <w:rPr>
          <w:rFonts w:hint="eastAsia" w:ascii="仿宋" w:hAnsi="仿宋" w:cs="仿宋"/>
          <w:u w:val="single"/>
        </w:rPr>
        <w:t>00：00</w:t>
      </w:r>
      <w:r>
        <w:rPr>
          <w:rFonts w:hint="eastAsia" w:ascii="仿宋" w:hAnsi="仿宋" w:cs="仿宋"/>
        </w:rPr>
        <w:t>至</w:t>
      </w:r>
      <w:r>
        <w:rPr>
          <w:rFonts w:hint="eastAsia" w:ascii="仿宋" w:hAnsi="仿宋" w:cs="仿宋"/>
          <w:u w:val="single"/>
        </w:rPr>
        <w:t>23：55</w:t>
      </w:r>
      <w:r>
        <w:rPr>
          <w:rFonts w:hint="eastAsia" w:ascii="仿宋" w:hAnsi="仿宋" w:cs="仿宋"/>
        </w:rPr>
        <w:t>（北京时间，法定节假日除外）</w:t>
      </w:r>
    </w:p>
    <w:p>
      <w:pPr>
        <w:adjustRightInd w:val="0"/>
        <w:snapToGrid w:val="0"/>
        <w:spacing w:line="360" w:lineRule="auto"/>
        <w:ind w:firstLine="540"/>
        <w:rPr>
          <w:rFonts w:ascii="仿宋" w:hAnsi="仿宋" w:cs="仿宋"/>
          <w:u w:val="single"/>
        </w:rPr>
      </w:pPr>
      <w:r>
        <w:rPr>
          <w:rFonts w:hint="eastAsia" w:ascii="仿宋" w:hAnsi="仿宋" w:cs="仿宋"/>
        </w:rPr>
        <w:t>地点：辽宁政府采购网</w:t>
      </w:r>
    </w:p>
    <w:p>
      <w:pPr>
        <w:adjustRightInd w:val="0"/>
        <w:snapToGrid w:val="0"/>
        <w:spacing w:line="360" w:lineRule="auto"/>
        <w:ind w:firstLine="540"/>
        <w:rPr>
          <w:rFonts w:ascii="仿宋" w:hAnsi="仿宋" w:cs="仿宋"/>
          <w:u w:val="single"/>
        </w:rPr>
      </w:pPr>
      <w:r>
        <w:rPr>
          <w:rFonts w:hint="eastAsia" w:ascii="仿宋" w:hAnsi="仿宋" w:cs="仿宋"/>
        </w:rPr>
        <w:t>方式：在线下载</w:t>
      </w:r>
    </w:p>
    <w:p>
      <w:pPr>
        <w:adjustRightInd w:val="0"/>
        <w:snapToGrid w:val="0"/>
        <w:spacing w:line="360" w:lineRule="auto"/>
        <w:ind w:firstLine="540"/>
        <w:rPr>
          <w:rFonts w:ascii="仿宋" w:hAnsi="仿宋" w:cs="仿宋"/>
        </w:rPr>
      </w:pPr>
      <w:r>
        <w:rPr>
          <w:rFonts w:hint="eastAsia" w:ascii="仿宋" w:hAnsi="仿宋" w:cs="仿宋"/>
        </w:rPr>
        <w:t>售价：免费</w:t>
      </w:r>
    </w:p>
    <w:p>
      <w:pPr>
        <w:adjustRightInd w:val="0"/>
        <w:snapToGrid w:val="0"/>
        <w:spacing w:line="360" w:lineRule="auto"/>
        <w:rPr>
          <w:rFonts w:ascii="仿宋" w:hAnsi="仿宋" w:cs="仿宋"/>
          <w:b/>
          <w:bCs/>
        </w:rPr>
      </w:pPr>
      <w:bookmarkStart w:id="15" w:name="_Toc28359082"/>
      <w:bookmarkStart w:id="16" w:name="_Toc28359005"/>
      <w:bookmarkStart w:id="17" w:name="_Toc35393624"/>
      <w:bookmarkStart w:id="18" w:name="_Toc35393793"/>
      <w:r>
        <w:rPr>
          <w:rFonts w:hint="eastAsia" w:ascii="仿宋" w:hAnsi="仿宋" w:cs="仿宋"/>
          <w:b/>
          <w:bCs/>
        </w:rPr>
        <w:t>五、提交</w:t>
      </w:r>
      <w:bookmarkEnd w:id="15"/>
      <w:bookmarkEnd w:id="16"/>
      <w:r>
        <w:rPr>
          <w:rFonts w:hint="eastAsia" w:ascii="仿宋" w:hAnsi="仿宋" w:cs="仿宋"/>
          <w:b/>
          <w:bCs/>
        </w:rPr>
        <w:t>投标文件截止时间、开标时间和地点</w:t>
      </w:r>
      <w:bookmarkEnd w:id="17"/>
      <w:bookmarkEnd w:id="18"/>
    </w:p>
    <w:p>
      <w:pPr>
        <w:adjustRightInd w:val="0"/>
        <w:snapToGrid w:val="0"/>
        <w:spacing w:line="360" w:lineRule="auto"/>
        <w:ind w:firstLine="420" w:firstLineChars="200"/>
        <w:rPr>
          <w:rFonts w:ascii="仿宋" w:hAnsi="仿宋" w:cs="仿宋"/>
          <w:u w:val="single"/>
        </w:rPr>
      </w:pPr>
      <w:r>
        <w:rPr>
          <w:rFonts w:hint="eastAsia" w:ascii="仿宋" w:hAnsi="仿宋" w:cs="仿宋"/>
        </w:rPr>
        <w:t>时间：</w:t>
      </w:r>
      <w:r>
        <w:rPr>
          <w:rFonts w:hint="eastAsia" w:ascii="仿宋" w:hAnsi="仿宋" w:cs="仿宋"/>
          <w:u w:val="single"/>
        </w:rPr>
        <w:t>2022年12月22日13点30分</w:t>
      </w:r>
      <w:r>
        <w:rPr>
          <w:rFonts w:hint="eastAsia" w:ascii="仿宋" w:hAnsi="仿宋" w:cs="仿宋"/>
        </w:rPr>
        <w:t>（北京时间）</w:t>
      </w:r>
    </w:p>
    <w:p>
      <w:pPr>
        <w:adjustRightInd w:val="0"/>
        <w:snapToGrid w:val="0"/>
        <w:spacing w:line="360" w:lineRule="auto"/>
        <w:ind w:firstLine="420" w:firstLineChars="200"/>
        <w:rPr>
          <w:rFonts w:ascii="仿宋" w:hAnsi="仿宋" w:cs="仿宋"/>
          <w:u w:val="single"/>
        </w:rPr>
      </w:pPr>
      <w:r>
        <w:rPr>
          <w:rFonts w:hint="eastAsia" w:ascii="仿宋" w:hAnsi="仿宋" w:cs="仿宋"/>
        </w:rPr>
        <w:t>地点：正本电子文件提交至辽宁政府采购网，电子备份文件提交至辽宁浩亿招投标有限公司会议室（沈阳市皇姑区同江街11-1号3门，天山一校对面即是）</w:t>
      </w:r>
      <w:r>
        <w:rPr>
          <w:rStyle w:val="83"/>
          <w:rFonts w:hint="eastAsia" w:ascii="仿宋" w:hAnsi="仿宋" w:cs="仿宋"/>
        </w:rPr>
        <w:t>或以加密文件形式发至邮箱syhygs@163.com</w:t>
      </w:r>
    </w:p>
    <w:p>
      <w:pPr>
        <w:adjustRightInd w:val="0"/>
        <w:snapToGrid w:val="0"/>
        <w:spacing w:line="360" w:lineRule="auto"/>
        <w:rPr>
          <w:rFonts w:ascii="仿宋" w:hAnsi="仿宋" w:cs="仿宋"/>
          <w:b/>
          <w:bCs/>
        </w:rPr>
      </w:pPr>
      <w:bookmarkStart w:id="19" w:name="_Toc35393625"/>
      <w:bookmarkStart w:id="20" w:name="_Toc28359007"/>
      <w:bookmarkStart w:id="21" w:name="_Toc35393794"/>
      <w:bookmarkStart w:id="22" w:name="_Toc28359084"/>
      <w:r>
        <w:rPr>
          <w:rFonts w:hint="eastAsia" w:ascii="仿宋" w:hAnsi="仿宋" w:cs="仿宋"/>
          <w:b/>
          <w:bCs/>
        </w:rPr>
        <w:t>六、公告期限</w:t>
      </w:r>
      <w:bookmarkEnd w:id="19"/>
      <w:bookmarkEnd w:id="20"/>
      <w:bookmarkEnd w:id="21"/>
      <w:bookmarkEnd w:id="22"/>
    </w:p>
    <w:p>
      <w:pPr>
        <w:adjustRightInd w:val="0"/>
        <w:snapToGrid w:val="0"/>
        <w:spacing w:line="360" w:lineRule="auto"/>
        <w:ind w:firstLine="420" w:firstLineChars="200"/>
        <w:rPr>
          <w:rFonts w:ascii="仿宋" w:hAnsi="仿宋" w:cs="仿宋"/>
          <w:kern w:val="0"/>
        </w:rPr>
      </w:pPr>
      <w:r>
        <w:rPr>
          <w:rFonts w:hint="eastAsia" w:ascii="仿宋" w:hAnsi="仿宋" w:cs="仿宋"/>
          <w:kern w:val="0"/>
        </w:rPr>
        <w:t>自本公告发布之日起5个工作日。</w:t>
      </w:r>
    </w:p>
    <w:p>
      <w:pPr>
        <w:keepNext/>
        <w:keepLines/>
        <w:adjustRightInd w:val="0"/>
        <w:snapToGrid w:val="0"/>
        <w:spacing w:line="360" w:lineRule="auto"/>
        <w:rPr>
          <w:rFonts w:ascii="仿宋" w:hAnsi="仿宋" w:cs="仿宋"/>
          <w:b/>
          <w:bCs/>
        </w:rPr>
      </w:pPr>
      <w:r>
        <w:rPr>
          <w:rFonts w:hint="eastAsia" w:ascii="仿宋" w:hAnsi="仿宋" w:cs="仿宋"/>
          <w:b/>
          <w:bCs/>
        </w:rPr>
        <w:t>七、质疑与投诉</w:t>
      </w:r>
    </w:p>
    <w:p>
      <w:pPr>
        <w:widowControl/>
        <w:adjustRightInd w:val="0"/>
        <w:snapToGrid w:val="0"/>
        <w:spacing w:line="360" w:lineRule="auto"/>
        <w:ind w:firstLine="539"/>
        <w:jc w:val="left"/>
        <w:rPr>
          <w:rFonts w:ascii="仿宋" w:hAnsi="仿宋" w:cs="仿宋"/>
        </w:rPr>
      </w:pPr>
      <w:r>
        <w:rPr>
          <w:rFonts w:hint="eastAsia" w:ascii="仿宋" w:hAnsi="仿宋" w:cs="仿宋"/>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ascii="仿宋" w:hAnsi="仿宋" w:cs="仿宋"/>
        </w:rPr>
      </w:pPr>
      <w:r>
        <w:rPr>
          <w:rFonts w:hint="eastAsia" w:ascii="仿宋" w:hAnsi="仿宋" w:cs="仿宋"/>
        </w:rPr>
        <w:t>1、接收质疑函方式：书面纸质质疑函</w:t>
      </w:r>
    </w:p>
    <w:p>
      <w:pPr>
        <w:widowControl/>
        <w:adjustRightInd w:val="0"/>
        <w:snapToGrid w:val="0"/>
        <w:spacing w:line="360" w:lineRule="auto"/>
        <w:ind w:firstLine="480"/>
        <w:jc w:val="left"/>
        <w:rPr>
          <w:rFonts w:ascii="仿宋" w:hAnsi="仿宋" w:cs="仿宋"/>
        </w:rPr>
      </w:pPr>
      <w:r>
        <w:rPr>
          <w:rFonts w:hint="eastAsia" w:ascii="仿宋" w:hAnsi="仿宋" w:cs="仿宋"/>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ascii="仿宋" w:hAnsi="仿宋" w:cs="仿宋"/>
        </w:rPr>
      </w:pPr>
      <w:r>
        <w:rPr>
          <w:rFonts w:hint="eastAsia" w:ascii="仿宋" w:hAnsi="仿宋" w:cs="仿宋"/>
        </w:rPr>
        <w:t>质疑供应商对采购人、采购代理机构的答复不满意，或者采购人、采购代理机构未在规定时间内作出答复的，可以在答复期满后15个工作日内向本级财政部门提起投诉。</w:t>
      </w:r>
    </w:p>
    <w:p>
      <w:pPr>
        <w:adjustRightInd w:val="0"/>
        <w:snapToGrid w:val="0"/>
        <w:spacing w:line="360" w:lineRule="auto"/>
        <w:rPr>
          <w:rFonts w:ascii="仿宋" w:hAnsi="仿宋" w:cs="仿宋"/>
          <w:b/>
          <w:bCs/>
        </w:rPr>
      </w:pPr>
      <w:bookmarkStart w:id="23" w:name="_Toc35393626"/>
      <w:bookmarkStart w:id="24" w:name="_Toc35393795"/>
      <w:r>
        <w:rPr>
          <w:rFonts w:hint="eastAsia" w:ascii="仿宋" w:hAnsi="仿宋" w:cs="仿宋"/>
          <w:b/>
          <w:bCs/>
        </w:rPr>
        <w:t>八、其他补充事宜</w:t>
      </w:r>
      <w:bookmarkEnd w:id="23"/>
      <w:bookmarkEnd w:id="24"/>
    </w:p>
    <w:p>
      <w:pPr>
        <w:pStyle w:val="63"/>
        <w:adjustRightInd w:val="0"/>
        <w:snapToGrid w:val="0"/>
        <w:spacing w:line="360" w:lineRule="auto"/>
        <w:rPr>
          <w:rFonts w:ascii="仿宋" w:hAnsi="仿宋" w:cs="仿宋"/>
        </w:rPr>
      </w:pPr>
      <w:r>
        <w:rPr>
          <w:rFonts w:hint="eastAsia" w:ascii="仿宋" w:hAnsi="仿宋" w:cs="仿宋"/>
        </w:rPr>
        <w:t>1、本项目采用全流程电子招投标，供应商应按要求网上领取采购文件并上传电子投标文件，并保证与递交的电子备份文件一致，否则后果自负。</w:t>
      </w:r>
    </w:p>
    <w:p>
      <w:pPr>
        <w:pStyle w:val="63"/>
        <w:adjustRightInd w:val="0"/>
        <w:snapToGrid w:val="0"/>
        <w:spacing w:line="360" w:lineRule="auto"/>
        <w:ind w:firstLine="422"/>
        <w:rPr>
          <w:rFonts w:ascii="仿宋" w:hAnsi="仿宋" w:cs="仿宋"/>
          <w:b/>
        </w:rPr>
      </w:pPr>
      <w:r>
        <w:rPr>
          <w:rFonts w:hint="eastAsia" w:ascii="仿宋" w:hAnsi="仿宋" w:cs="仿宋"/>
          <w:b/>
        </w:rPr>
        <w:t>2、本项目共分为二个合同包，二包可兼投但不允许兼中，最多只允许中一个包组，以包组序号顺序确定中标人。</w:t>
      </w:r>
    </w:p>
    <w:p>
      <w:pPr>
        <w:adjustRightInd w:val="0"/>
        <w:snapToGrid w:val="0"/>
        <w:spacing w:line="360" w:lineRule="auto"/>
        <w:rPr>
          <w:rFonts w:ascii="仿宋" w:hAnsi="仿宋" w:cs="仿宋"/>
          <w:b/>
          <w:bCs/>
        </w:rPr>
      </w:pPr>
      <w:bookmarkStart w:id="25" w:name="_Toc28359008"/>
      <w:bookmarkStart w:id="26" w:name="_Toc35393796"/>
      <w:bookmarkStart w:id="27" w:name="_Toc35393627"/>
      <w:bookmarkStart w:id="28" w:name="_Toc28359085"/>
      <w:r>
        <w:rPr>
          <w:rFonts w:hint="eastAsia" w:ascii="仿宋" w:hAnsi="仿宋" w:cs="仿宋"/>
          <w:b/>
          <w:bCs/>
        </w:rPr>
        <w:t>九、对本次招标提出询问，请按以下方式联系。</w:t>
      </w:r>
      <w:bookmarkEnd w:id="25"/>
      <w:bookmarkEnd w:id="26"/>
      <w:bookmarkEnd w:id="27"/>
      <w:bookmarkEnd w:id="28"/>
    </w:p>
    <w:p>
      <w:pPr>
        <w:widowControl/>
        <w:adjustRightInd w:val="0"/>
        <w:snapToGrid w:val="0"/>
        <w:spacing w:line="360" w:lineRule="auto"/>
        <w:ind w:firstLine="539"/>
        <w:jc w:val="left"/>
        <w:rPr>
          <w:rFonts w:ascii="仿宋" w:hAnsi="仿宋" w:cs="仿宋"/>
        </w:rPr>
      </w:pPr>
      <w:r>
        <w:rPr>
          <w:rFonts w:hint="eastAsia" w:ascii="仿宋" w:hAnsi="仿宋" w:cs="仿宋"/>
        </w:rPr>
        <w:t xml:space="preserve">1、采购人信息 </w:t>
      </w:r>
    </w:p>
    <w:p>
      <w:pPr>
        <w:widowControl/>
        <w:adjustRightInd w:val="0"/>
        <w:snapToGrid w:val="0"/>
        <w:spacing w:line="360" w:lineRule="auto"/>
        <w:ind w:firstLine="539"/>
        <w:jc w:val="left"/>
        <w:rPr>
          <w:rFonts w:ascii="仿宋" w:hAnsi="仿宋" w:cs="仿宋"/>
        </w:rPr>
      </w:pPr>
      <w:r>
        <w:rPr>
          <w:rFonts w:hint="eastAsia" w:ascii="仿宋" w:hAnsi="仿宋" w:cs="仿宋"/>
        </w:rPr>
        <w:t>名称：沈阳医学院</w:t>
      </w:r>
    </w:p>
    <w:p>
      <w:pPr>
        <w:widowControl/>
        <w:adjustRightInd w:val="0"/>
        <w:snapToGrid w:val="0"/>
        <w:spacing w:line="360" w:lineRule="auto"/>
        <w:ind w:firstLine="539"/>
        <w:jc w:val="left"/>
        <w:rPr>
          <w:rFonts w:ascii="仿宋" w:hAnsi="仿宋" w:cs="仿宋"/>
        </w:rPr>
      </w:pPr>
      <w:r>
        <w:rPr>
          <w:rFonts w:hint="eastAsia" w:ascii="仿宋" w:hAnsi="仿宋" w:cs="仿宋"/>
        </w:rPr>
        <w:t>地址：沈阳市</w:t>
      </w:r>
      <w:r>
        <w:rPr>
          <w:rFonts w:hint="eastAsia" w:ascii="仿宋" w:hAnsi="仿宋" w:cs="仿宋"/>
          <w:lang w:val="en-US" w:eastAsia="zh-CN"/>
        </w:rPr>
        <w:t>于洪区</w:t>
      </w:r>
      <w:r>
        <w:rPr>
          <w:rFonts w:hint="eastAsia" w:ascii="仿宋" w:hAnsi="仿宋" w:cs="仿宋"/>
        </w:rPr>
        <w:t>黄河北大街146号</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联系方式：024-62216577 </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2.采购代理机构信息 </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名称： 辽宁浩亿招投标有限公司 </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地址： 沈阳市皇姑区同江街11-1号3门，天山一校对面即是 </w:t>
      </w:r>
    </w:p>
    <w:p>
      <w:pPr>
        <w:widowControl/>
        <w:adjustRightInd w:val="0"/>
        <w:snapToGrid w:val="0"/>
        <w:spacing w:line="360" w:lineRule="auto"/>
        <w:ind w:firstLine="539"/>
        <w:jc w:val="left"/>
        <w:rPr>
          <w:rFonts w:ascii="仿宋" w:hAnsi="仿宋" w:cs="仿宋"/>
        </w:rPr>
      </w:pPr>
      <w:r>
        <w:rPr>
          <w:rFonts w:hint="eastAsia" w:ascii="仿宋" w:hAnsi="仿宋" w:cs="仿宋"/>
        </w:rPr>
        <w:t>联系方式： 024-81231520</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邮箱地址： syhygs@163.com </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开户行： 盛京银行沈阳市向工支行 </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账户名称： 辽宁浩亿招投标有限公司 </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账号： 0338260102000001621 </w:t>
      </w:r>
    </w:p>
    <w:p>
      <w:pPr>
        <w:widowControl/>
        <w:adjustRightInd w:val="0"/>
        <w:snapToGrid w:val="0"/>
        <w:spacing w:line="360" w:lineRule="auto"/>
        <w:ind w:firstLine="539"/>
        <w:jc w:val="left"/>
        <w:rPr>
          <w:rFonts w:ascii="仿宋" w:hAnsi="仿宋" w:cs="仿宋"/>
        </w:rPr>
      </w:pPr>
      <w:r>
        <w:rPr>
          <w:rFonts w:hint="eastAsia" w:ascii="仿宋" w:hAnsi="仿宋" w:cs="仿宋"/>
        </w:rPr>
        <w:t xml:space="preserve">3.项目联系方式 </w:t>
      </w:r>
    </w:p>
    <w:p>
      <w:pPr>
        <w:widowControl/>
        <w:adjustRightInd w:val="0"/>
        <w:snapToGrid w:val="0"/>
        <w:spacing w:line="360" w:lineRule="auto"/>
        <w:ind w:firstLine="539"/>
        <w:jc w:val="left"/>
        <w:rPr>
          <w:rFonts w:ascii="仿宋" w:hAnsi="仿宋" w:cs="仿宋"/>
        </w:rPr>
      </w:pPr>
      <w:r>
        <w:rPr>
          <w:rFonts w:hint="eastAsia" w:ascii="仿宋" w:hAnsi="仿宋" w:cs="仿宋"/>
        </w:rPr>
        <w:t>项目联系人：赵旭、张芳、李姗姗</w:t>
      </w:r>
    </w:p>
    <w:p>
      <w:pPr>
        <w:widowControl/>
        <w:adjustRightInd w:val="0"/>
        <w:snapToGrid w:val="0"/>
        <w:spacing w:line="360" w:lineRule="auto"/>
        <w:ind w:firstLine="539"/>
        <w:jc w:val="left"/>
        <w:rPr>
          <w:rFonts w:ascii="仿宋" w:hAnsi="仿宋" w:cs="仿宋"/>
        </w:rPr>
      </w:pPr>
      <w:r>
        <w:rPr>
          <w:rFonts w:hint="eastAsia" w:ascii="仿宋" w:hAnsi="仿宋" w:cs="仿宋"/>
        </w:rPr>
        <w:t>电话： 024-81231520</w:t>
      </w:r>
    </w:p>
    <w:p>
      <w:pPr>
        <w:jc w:val="right"/>
        <w:rPr>
          <w:rFonts w:ascii="仿宋" w:hAnsi="仿宋" w:cs="仿宋"/>
        </w:rPr>
      </w:pPr>
      <w:r>
        <w:rPr>
          <w:rFonts w:hint="eastAsia" w:ascii="仿宋" w:hAnsi="仿宋" w:cs="仿宋"/>
        </w:rPr>
        <w:t>2022年12月1日</w:t>
      </w:r>
    </w:p>
    <w:p>
      <w:pPr>
        <w:pStyle w:val="2"/>
        <w:ind w:firstLine="240"/>
        <w:rPr>
          <w:rFonts w:ascii="仿宋" w:hAnsi="仿宋" w:cs="仿宋"/>
        </w:rPr>
      </w:pPr>
    </w:p>
    <w:p>
      <w:pPr>
        <w:rPr>
          <w:rFonts w:ascii="仿宋" w:hAnsi="仿宋" w:cs="仿宋"/>
        </w:rPr>
      </w:pPr>
    </w:p>
    <w:p>
      <w:pPr>
        <w:pStyle w:val="2"/>
        <w:ind w:firstLine="0" w:firstLineChars="0"/>
        <w:jc w:val="both"/>
      </w:pPr>
    </w:p>
    <w:p/>
    <w:p>
      <w:pPr>
        <w:pStyle w:val="2"/>
        <w:ind w:firstLine="240"/>
      </w:pPr>
    </w:p>
    <w:p/>
    <w:p>
      <w:pPr>
        <w:pStyle w:val="2"/>
        <w:ind w:firstLine="240"/>
      </w:pPr>
    </w:p>
    <w:p/>
    <w:p>
      <w:pPr>
        <w:pStyle w:val="2"/>
        <w:ind w:firstLine="240"/>
      </w:pPr>
    </w:p>
    <w:p/>
    <w:p>
      <w:pPr>
        <w:pStyle w:val="2"/>
        <w:ind w:firstLine="240"/>
      </w:pPr>
    </w:p>
    <w:p/>
    <w:p>
      <w:pPr>
        <w:pStyle w:val="2"/>
        <w:ind w:firstLine="240"/>
      </w:pPr>
    </w:p>
    <w:p/>
    <w:p>
      <w:pPr>
        <w:pStyle w:val="2"/>
        <w:ind w:firstLine="240"/>
      </w:pPr>
    </w:p>
    <w:p/>
    <w:p>
      <w:pPr>
        <w:pStyle w:val="2"/>
        <w:ind w:firstLine="240"/>
      </w:pPr>
    </w:p>
    <w:p/>
    <w:p>
      <w:pPr>
        <w:pStyle w:val="4"/>
        <w:snapToGrid w:val="0"/>
        <w:spacing w:before="312" w:beforeLines="100" w:after="312" w:afterLines="100" w:line="360" w:lineRule="auto"/>
        <w:rPr>
          <w:rFonts w:ascii="仿宋" w:hAnsi="仿宋" w:cs="仿宋"/>
        </w:rPr>
      </w:pPr>
      <w:bookmarkStart w:id="29" w:name="_Toc26518_WPSOffice_Level1"/>
      <w:bookmarkStart w:id="30" w:name="_Toc9614"/>
      <w:r>
        <w:rPr>
          <w:rFonts w:hint="eastAsia" w:ascii="仿宋" w:hAnsi="仿宋" w:cs="仿宋"/>
        </w:rPr>
        <w:t>第一章 投标人须知</w:t>
      </w:r>
      <w:bookmarkEnd w:id="29"/>
      <w:bookmarkEnd w:id="30"/>
    </w:p>
    <w:p>
      <w:pPr>
        <w:pStyle w:val="5"/>
        <w:adjustRightInd w:val="0"/>
        <w:snapToGrid w:val="0"/>
        <w:spacing w:before="0" w:after="0" w:line="360" w:lineRule="auto"/>
        <w:rPr>
          <w:rFonts w:ascii="仿宋" w:hAnsi="仿宋" w:cs="仿宋"/>
          <w:sz w:val="32"/>
          <w:szCs w:val="32"/>
        </w:rPr>
      </w:pPr>
      <w:bookmarkStart w:id="31" w:name="_Toc18613_WPSOffice_Level2"/>
      <w:r>
        <w:rPr>
          <w:rFonts w:hint="eastAsia" w:ascii="仿宋" w:hAnsi="仿宋" w:cs="仿宋"/>
          <w:sz w:val="32"/>
          <w:szCs w:val="32"/>
        </w:rPr>
        <w:t>一 投标人须知表</w:t>
      </w:r>
      <w:bookmarkEnd w:id="31"/>
    </w:p>
    <w:tbl>
      <w:tblPr>
        <w:tblStyle w:val="21"/>
        <w:tblW w:w="8656" w:type="dxa"/>
        <w:tblInd w:w="-106" w:type="dxa"/>
        <w:tblLayout w:type="fixed"/>
        <w:tblCellMar>
          <w:top w:w="0" w:type="dxa"/>
          <w:left w:w="108" w:type="dxa"/>
          <w:bottom w:w="0" w:type="dxa"/>
          <w:right w:w="108" w:type="dxa"/>
        </w:tblCellMar>
      </w:tblPr>
      <w:tblGrid>
        <w:gridCol w:w="852"/>
        <w:gridCol w:w="1917"/>
        <w:gridCol w:w="5887"/>
      </w:tblGrid>
      <w:tr>
        <w:tblPrEx>
          <w:tblCellMar>
            <w:top w:w="0" w:type="dxa"/>
            <w:left w:w="108" w:type="dxa"/>
            <w:bottom w:w="0" w:type="dxa"/>
            <w:right w:w="108" w:type="dxa"/>
          </w:tblCellMar>
        </w:tblPrEx>
        <w:trPr>
          <w:trHeight w:val="497" w:hRule="atLeast"/>
          <w:tblHeader/>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bookmarkStart w:id="32" w:name="招标项目基本内容及要求：Block"/>
            <w:bookmarkEnd w:id="32"/>
            <w:bookmarkStart w:id="33" w:name="sys_招标项目基本内容及要求：Block"/>
            <w:bookmarkEnd w:id="33"/>
            <w:bookmarkStart w:id="34" w:name="sys_招标项目基本内容及要求其他：Block"/>
            <w:bookmarkEnd w:id="34"/>
            <w:bookmarkStart w:id="35" w:name="招标项目基本内容及要求其他：Block"/>
            <w:bookmarkEnd w:id="35"/>
            <w:r>
              <w:rPr>
                <w:rFonts w:hint="eastAsia" w:ascii="仿宋" w:hAnsi="仿宋" w:cs="仿宋"/>
                <w:kern w:val="0"/>
              </w:rPr>
              <w:t>条款号</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rPr>
            </w:pPr>
            <w:r>
              <w:rPr>
                <w:rFonts w:hint="eastAsia" w:ascii="仿宋" w:hAnsi="仿宋" w:cs="仿宋"/>
                <w:kern w:val="0"/>
              </w:rPr>
              <w:t>项   目</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内     容</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1.1</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rPr>
            </w:pPr>
            <w:r>
              <w:rPr>
                <w:rFonts w:hint="eastAsia" w:ascii="仿宋" w:hAnsi="仿宋" w:cs="仿宋"/>
                <w:kern w:val="0"/>
              </w:rPr>
              <w:t>采购人</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仿宋"/>
              </w:rPr>
            </w:pPr>
            <w:r>
              <w:rPr>
                <w:rFonts w:hint="eastAsia" w:ascii="仿宋" w:hAnsi="仿宋" w:cs="仿宋"/>
              </w:rPr>
              <w:t>名  称：沈阳医学院</w:t>
            </w:r>
          </w:p>
          <w:p>
            <w:pPr>
              <w:widowControl/>
              <w:jc w:val="left"/>
              <w:rPr>
                <w:rFonts w:ascii="仿宋" w:hAnsi="仿宋" w:cs="仿宋"/>
              </w:rPr>
            </w:pPr>
            <w:r>
              <w:rPr>
                <w:rFonts w:hint="eastAsia" w:ascii="仿宋" w:hAnsi="仿宋" w:cs="仿宋"/>
              </w:rPr>
              <w:t>地  址：沈阳市于洪区黄河北大街146号</w:t>
            </w:r>
          </w:p>
          <w:p>
            <w:pPr>
              <w:widowControl/>
              <w:jc w:val="left"/>
              <w:rPr>
                <w:rFonts w:ascii="仿宋" w:hAnsi="仿宋" w:cs="仿宋"/>
              </w:rPr>
            </w:pPr>
            <w:r>
              <w:rPr>
                <w:rFonts w:hint="eastAsia" w:ascii="仿宋" w:hAnsi="仿宋" w:cs="仿宋"/>
              </w:rPr>
              <w:t>联系人：齐老师</w:t>
            </w:r>
          </w:p>
          <w:p>
            <w:pPr>
              <w:widowControl/>
              <w:jc w:val="left"/>
              <w:rPr>
                <w:rFonts w:ascii="仿宋" w:hAnsi="仿宋" w:cs="仿宋"/>
              </w:rPr>
            </w:pPr>
            <w:r>
              <w:rPr>
                <w:rFonts w:hint="eastAsia" w:ascii="仿宋" w:hAnsi="仿宋" w:cs="仿宋"/>
              </w:rPr>
              <w:t>电  话：024-62216577</w:t>
            </w:r>
          </w:p>
        </w:tc>
      </w:tr>
      <w:tr>
        <w:tblPrEx>
          <w:tblCellMar>
            <w:top w:w="0" w:type="dxa"/>
            <w:left w:w="108" w:type="dxa"/>
            <w:bottom w:w="0" w:type="dxa"/>
            <w:right w:w="108" w:type="dxa"/>
          </w:tblCellMar>
        </w:tblPrEx>
        <w:trPr>
          <w:trHeight w:val="125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1.2</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rPr>
            </w:pPr>
            <w:r>
              <w:rPr>
                <w:rFonts w:hint="eastAsia" w:ascii="仿宋" w:hAnsi="仿宋" w:cs="仿宋"/>
                <w:kern w:val="0"/>
              </w:rPr>
              <w:t>采购代理机构</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仿宋"/>
                <w:kern w:val="0"/>
              </w:rPr>
            </w:pPr>
            <w:r>
              <w:rPr>
                <w:rFonts w:hint="eastAsia" w:ascii="仿宋" w:hAnsi="仿宋" w:cs="仿宋"/>
                <w:kern w:val="0"/>
              </w:rPr>
              <w:t>名  称：辽宁浩亿招投标有限公司</w:t>
            </w:r>
          </w:p>
          <w:p>
            <w:pPr>
              <w:widowControl/>
              <w:jc w:val="left"/>
              <w:rPr>
                <w:rFonts w:ascii="仿宋" w:hAnsi="仿宋" w:cs="仿宋"/>
                <w:kern w:val="0"/>
              </w:rPr>
            </w:pPr>
            <w:r>
              <w:rPr>
                <w:rFonts w:hint="eastAsia" w:ascii="仿宋" w:hAnsi="仿宋" w:cs="仿宋"/>
                <w:kern w:val="0"/>
              </w:rPr>
              <w:t>地  址：沈阳市皇姑区同江街11-1号3门，天山一校对面即是</w:t>
            </w:r>
          </w:p>
          <w:p>
            <w:pPr>
              <w:widowControl/>
              <w:jc w:val="left"/>
              <w:rPr>
                <w:rFonts w:ascii="仿宋" w:hAnsi="仿宋" w:cs="仿宋"/>
                <w:kern w:val="0"/>
              </w:rPr>
            </w:pPr>
            <w:r>
              <w:rPr>
                <w:rFonts w:hint="eastAsia" w:ascii="仿宋" w:hAnsi="仿宋" w:cs="仿宋"/>
                <w:kern w:val="0"/>
              </w:rPr>
              <w:t xml:space="preserve">联系人：赵旭、张芳、李姗姗 </w:t>
            </w:r>
          </w:p>
          <w:p>
            <w:pPr>
              <w:widowControl/>
              <w:jc w:val="left"/>
              <w:rPr>
                <w:rFonts w:ascii="仿宋" w:hAnsi="仿宋" w:cs="仿宋"/>
                <w:kern w:val="0"/>
              </w:rPr>
            </w:pPr>
            <w:r>
              <w:rPr>
                <w:rFonts w:hint="eastAsia" w:ascii="仿宋" w:hAnsi="仿宋" w:cs="仿宋"/>
                <w:kern w:val="0"/>
              </w:rPr>
              <w:t>电  话：024-81231520</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1.3.4</w:t>
            </w:r>
          </w:p>
        </w:tc>
        <w:tc>
          <w:tcPr>
            <w:tcW w:w="19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rPr>
            </w:pPr>
            <w:r>
              <w:rPr>
                <w:rFonts w:hint="eastAsia" w:ascii="仿宋" w:hAnsi="仿宋" w:cs="仿宋"/>
                <w:kern w:val="0"/>
              </w:rPr>
              <w:t>合格供应商还要满足的其它资格条件</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仿宋"/>
                <w:kern w:val="0"/>
              </w:rPr>
            </w:pPr>
            <w:r>
              <w:rPr>
                <w:rFonts w:hint="eastAsia" w:ascii="仿宋" w:hAnsi="仿宋" w:cs="仿宋"/>
                <w:kern w:val="0"/>
              </w:rPr>
              <w:t>详见采购公告</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1.3.5</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
                <w:bCs/>
                <w:kern w:val="0"/>
              </w:rPr>
            </w:pPr>
            <w:r>
              <w:rPr>
                <w:rFonts w:hint="eastAsia" w:ascii="仿宋" w:hAnsi="仿宋" w:cs="仿宋"/>
                <w:b/>
                <w:bCs/>
                <w:kern w:val="0"/>
              </w:rPr>
              <w:t>是否允许采购进口产品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b/>
                <w:bCs/>
                <w:kern w:val="0"/>
              </w:rPr>
            </w:pPr>
            <w:r>
              <w:rPr>
                <w:rFonts w:hint="eastAsia" w:ascii="仿宋" w:hAnsi="仿宋" w:cs="仿宋"/>
                <w:b/>
                <w:bCs/>
                <w:kern w:val="0"/>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1.3.6</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
                <w:bCs/>
                <w:kern w:val="0"/>
              </w:rPr>
            </w:pPr>
            <w:r>
              <w:rPr>
                <w:rFonts w:hint="eastAsia" w:ascii="仿宋" w:hAnsi="仿宋" w:cs="仿宋"/>
                <w:b/>
                <w:bCs/>
                <w:kern w:val="0"/>
              </w:rPr>
              <w:t>是否为专门面向</w:t>
            </w:r>
            <w:r>
              <w:rPr>
                <w:rFonts w:hint="eastAsia" w:ascii="仿宋" w:hAnsi="仿宋" w:cs="仿宋"/>
                <w:b/>
                <w:bCs/>
              </w:rPr>
              <w:t>中小企业</w:t>
            </w:r>
            <w:r>
              <w:rPr>
                <w:rFonts w:hint="eastAsia" w:ascii="仿宋" w:hAnsi="仿宋" w:cs="仿宋"/>
                <w:b/>
                <w:bCs/>
                <w:kern w:val="0"/>
              </w:rPr>
              <w:t>采购</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仿宋"/>
                <w:b/>
                <w:kern w:val="0"/>
              </w:rPr>
            </w:pPr>
            <w:r>
              <w:rPr>
                <w:rFonts w:ascii="仿宋" w:hAnsi="仿宋" w:cs="仿宋"/>
                <w:b/>
                <w:kern w:val="0"/>
              </w:rPr>
              <w:t>否。</w:t>
            </w:r>
          </w:p>
          <w:p>
            <w:pPr>
              <w:widowControl/>
              <w:jc w:val="left"/>
            </w:pPr>
            <w:r>
              <w:rPr>
                <w:rFonts w:hint="eastAsia" w:ascii="仿宋" w:hAnsi="仿宋" w:cs="仿宋"/>
                <w:b/>
                <w:kern w:val="0"/>
              </w:rPr>
              <w:t>明确采购标的对应的中小企业划分标准所属行业：工业</w:t>
            </w:r>
          </w:p>
        </w:tc>
      </w:tr>
      <w:tr>
        <w:tblPrEx>
          <w:tblCellMar>
            <w:top w:w="0" w:type="dxa"/>
            <w:left w:w="108" w:type="dxa"/>
            <w:bottom w:w="0" w:type="dxa"/>
            <w:right w:w="108" w:type="dxa"/>
          </w:tblCellMar>
        </w:tblPrEx>
        <w:trPr>
          <w:trHeight w:val="836"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1.3.7</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rPr>
            </w:pPr>
            <w:r>
              <w:rPr>
                <w:rFonts w:hint="eastAsia" w:ascii="仿宋" w:hAnsi="仿宋" w:cs="仿宋"/>
              </w:rPr>
              <w:t>是否有政府强制采购的节能产品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没有</w:t>
            </w:r>
          </w:p>
        </w:tc>
      </w:tr>
      <w:tr>
        <w:tblPrEx>
          <w:tblCellMar>
            <w:top w:w="0" w:type="dxa"/>
            <w:left w:w="108" w:type="dxa"/>
            <w:bottom w:w="0" w:type="dxa"/>
            <w:right w:w="108" w:type="dxa"/>
          </w:tblCellMar>
        </w:tblPrEx>
        <w:trPr>
          <w:trHeight w:val="41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b/>
                <w:bCs/>
                <w:kern w:val="0"/>
              </w:rPr>
            </w:pPr>
            <w:r>
              <w:rPr>
                <w:rFonts w:hint="eastAsia" w:ascii="仿宋" w:hAnsi="仿宋" w:cs="仿宋"/>
                <w:kern w:val="0"/>
              </w:rPr>
              <w:t>是否允许联合体投标</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否</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1.4.8</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kern w:val="0"/>
              </w:rPr>
            </w:pPr>
            <w:r>
              <w:rPr>
                <w:rFonts w:hint="eastAsia" w:ascii="仿宋" w:hAnsi="仿宋" w:cs="仿宋"/>
                <w:kern w:val="0"/>
              </w:rPr>
              <w:t>联合体投标的其他资格要求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无</w:t>
            </w:r>
          </w:p>
        </w:tc>
      </w:tr>
      <w:tr>
        <w:tblPrEx>
          <w:tblCellMar>
            <w:top w:w="0" w:type="dxa"/>
            <w:left w:w="108" w:type="dxa"/>
            <w:bottom w:w="0" w:type="dxa"/>
            <w:right w:w="108" w:type="dxa"/>
          </w:tblCellMar>
        </w:tblPrEx>
        <w:trPr>
          <w:trHeight w:val="2606"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kern w:val="0"/>
              </w:rPr>
            </w:pPr>
            <w:r>
              <w:rPr>
                <w:rFonts w:hint="eastAsia" w:ascii="仿宋" w:hAnsi="仿宋" w:cs="仿宋"/>
                <w:kern w:val="0"/>
              </w:rPr>
              <w:t>2.2</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kern w:val="0"/>
              </w:rPr>
            </w:pPr>
            <w:r>
              <w:rPr>
                <w:rFonts w:hint="eastAsia" w:ascii="仿宋" w:hAnsi="仿宋" w:cs="仿宋"/>
                <w:kern w:val="0"/>
              </w:rPr>
              <w:t>项目预算金额、最高限价</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预算金额：人民币</w:t>
            </w:r>
            <w:r>
              <w:rPr>
                <w:rFonts w:hint="eastAsia" w:ascii="仿宋" w:hAnsi="仿宋" w:cs="仿宋"/>
              </w:rPr>
              <w:t>6,260,000.00</w:t>
            </w:r>
            <w:r>
              <w:rPr>
                <w:rFonts w:hint="eastAsia" w:ascii="仿宋" w:hAnsi="仿宋" w:cs="仿宋"/>
                <w:kern w:val="0"/>
              </w:rPr>
              <w:t>元</w:t>
            </w:r>
          </w:p>
          <w:p>
            <w:pPr>
              <w:rPr>
                <w:rFonts w:ascii="仿宋" w:hAnsi="仿宋" w:cs="仿宋"/>
                <w:kern w:val="0"/>
              </w:rPr>
            </w:pPr>
            <w:r>
              <w:rPr>
                <w:rFonts w:hint="eastAsia" w:ascii="仿宋" w:hAnsi="仿宋" w:cs="仿宋"/>
                <w:kern w:val="0"/>
              </w:rPr>
              <w:t>最高限价：</w:t>
            </w:r>
          </w:p>
          <w:p>
            <w:pPr>
              <w:rPr>
                <w:rFonts w:ascii="仿宋" w:hAnsi="仿宋" w:cs="仿宋"/>
                <w:kern w:val="0"/>
              </w:rPr>
            </w:pPr>
            <w:r>
              <w:rPr>
                <w:rFonts w:hint="eastAsia" w:ascii="仿宋" w:hAnsi="仿宋" w:cs="仿宋"/>
                <w:kern w:val="0"/>
              </w:rPr>
              <w:t>001包人民币</w:t>
            </w:r>
            <w:r>
              <w:rPr>
                <w:rFonts w:ascii="仿宋" w:hAnsi="仿宋" w:cs="仿宋"/>
              </w:rPr>
              <w:t>2960000.00</w:t>
            </w:r>
            <w:r>
              <w:rPr>
                <w:rFonts w:hint="eastAsia" w:ascii="仿宋" w:hAnsi="仿宋" w:cs="仿宋"/>
                <w:kern w:val="0"/>
              </w:rPr>
              <w:t>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094"/>
              <w:gridCol w:w="1025"/>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仿宋" w:hAnsi="仿宋" w:cs="仿宋"/>
                    </w:rPr>
                  </w:pPr>
                  <w:r>
                    <w:rPr>
                      <w:rFonts w:hint="eastAsia" w:ascii="仿宋" w:hAnsi="仿宋" w:cs="仿宋"/>
                    </w:rPr>
                    <w:t>序号</w:t>
                  </w:r>
                </w:p>
              </w:tc>
              <w:tc>
                <w:tcPr>
                  <w:tcW w:w="2094" w:type="dxa"/>
                  <w:vAlign w:val="center"/>
                </w:tcPr>
                <w:p>
                  <w:pPr>
                    <w:jc w:val="center"/>
                    <w:rPr>
                      <w:rFonts w:ascii="仿宋" w:hAnsi="仿宋" w:cs="仿宋"/>
                    </w:rPr>
                  </w:pPr>
                  <w:r>
                    <w:rPr>
                      <w:rFonts w:hint="eastAsia" w:ascii="仿宋" w:hAnsi="仿宋" w:cs="仿宋"/>
                    </w:rPr>
                    <w:t>产品名称</w:t>
                  </w:r>
                </w:p>
              </w:tc>
              <w:tc>
                <w:tcPr>
                  <w:tcW w:w="1025" w:type="dxa"/>
                  <w:vAlign w:val="center"/>
                </w:tcPr>
                <w:p>
                  <w:pPr>
                    <w:jc w:val="center"/>
                    <w:rPr>
                      <w:rFonts w:ascii="仿宋" w:hAnsi="仿宋" w:cs="仿宋"/>
                    </w:rPr>
                  </w:pPr>
                  <w:r>
                    <w:rPr>
                      <w:rFonts w:hint="eastAsia" w:ascii="仿宋" w:hAnsi="仿宋" w:cs="仿宋"/>
                    </w:rPr>
                    <w:t>数量</w:t>
                  </w:r>
                </w:p>
              </w:tc>
              <w:tc>
                <w:tcPr>
                  <w:tcW w:w="1803" w:type="dxa"/>
                  <w:vAlign w:val="center"/>
                </w:tcPr>
                <w:p>
                  <w:pPr>
                    <w:jc w:val="center"/>
                    <w:rPr>
                      <w:rFonts w:ascii="仿宋" w:hAnsi="仿宋" w:cs="仿宋"/>
                    </w:rPr>
                  </w:pPr>
                  <w:r>
                    <w:rPr>
                      <w:rFonts w:hint="eastAsia" w:ascii="仿宋" w:hAnsi="仿宋" w:cs="仿宋"/>
                    </w:rPr>
                    <w:t>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w:t>
                  </w:r>
                </w:p>
              </w:tc>
              <w:tc>
                <w:tcPr>
                  <w:tcW w:w="2094" w:type="dxa"/>
                  <w:vAlign w:val="center"/>
                </w:tcPr>
                <w:p>
                  <w:pPr>
                    <w:rPr>
                      <w:rFonts w:ascii="宋体" w:hAnsi="宋体" w:eastAsia="宋体" w:cs="宋体"/>
                      <w:sz w:val="22"/>
                      <w:szCs w:val="22"/>
                    </w:rPr>
                  </w:pPr>
                  <w:r>
                    <w:rPr>
                      <w:rFonts w:hint="eastAsia"/>
                      <w:sz w:val="22"/>
                      <w:szCs w:val="22"/>
                    </w:rPr>
                    <w:t>多功能口腔综合治疗台（口外）</w:t>
                  </w:r>
                </w:p>
              </w:tc>
              <w:tc>
                <w:tcPr>
                  <w:tcW w:w="1025" w:type="dxa"/>
                  <w:vAlign w:val="center"/>
                </w:tcPr>
                <w:p>
                  <w:pPr>
                    <w:jc w:val="center"/>
                    <w:rPr>
                      <w:rFonts w:ascii="宋体" w:hAnsi="宋体" w:eastAsia="宋体" w:cs="宋体"/>
                      <w:sz w:val="22"/>
                      <w:szCs w:val="22"/>
                    </w:rPr>
                  </w:pPr>
                  <w:r>
                    <w:rPr>
                      <w:rFonts w:hint="eastAsia"/>
                      <w:sz w:val="22"/>
                      <w:szCs w:val="22"/>
                    </w:rPr>
                    <w:t>3</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57000.00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2</w:t>
                  </w:r>
                </w:p>
              </w:tc>
              <w:tc>
                <w:tcPr>
                  <w:tcW w:w="2094" w:type="dxa"/>
                  <w:vAlign w:val="center"/>
                </w:tcPr>
                <w:p>
                  <w:pPr>
                    <w:rPr>
                      <w:rFonts w:ascii="宋体" w:hAnsi="宋体" w:eastAsia="宋体" w:cs="宋体"/>
                      <w:sz w:val="22"/>
                      <w:szCs w:val="22"/>
                    </w:rPr>
                  </w:pPr>
                  <w:r>
                    <w:rPr>
                      <w:rFonts w:hint="eastAsia"/>
                      <w:sz w:val="22"/>
                      <w:szCs w:val="22"/>
                    </w:rPr>
                    <w:t>多功能口腔综合治疗台（牙体）</w:t>
                  </w:r>
                </w:p>
              </w:tc>
              <w:tc>
                <w:tcPr>
                  <w:tcW w:w="1025" w:type="dxa"/>
                  <w:vAlign w:val="center"/>
                </w:tcPr>
                <w:p>
                  <w:pPr>
                    <w:jc w:val="center"/>
                    <w:rPr>
                      <w:rFonts w:ascii="宋体" w:hAnsi="宋体" w:eastAsia="宋体" w:cs="宋体"/>
                      <w:sz w:val="22"/>
                      <w:szCs w:val="22"/>
                    </w:rPr>
                  </w:pPr>
                  <w:r>
                    <w:rPr>
                      <w:rFonts w:hint="eastAsia"/>
                      <w:sz w:val="22"/>
                      <w:szCs w:val="22"/>
                    </w:rPr>
                    <w:t>6</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70000.00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3</w:t>
                  </w:r>
                </w:p>
              </w:tc>
              <w:tc>
                <w:tcPr>
                  <w:tcW w:w="2094" w:type="dxa"/>
                  <w:vAlign w:val="center"/>
                </w:tcPr>
                <w:p>
                  <w:pPr>
                    <w:rPr>
                      <w:rFonts w:ascii="宋体" w:hAnsi="宋体" w:eastAsia="宋体" w:cs="宋体"/>
                      <w:sz w:val="22"/>
                      <w:szCs w:val="22"/>
                    </w:rPr>
                  </w:pPr>
                  <w:r>
                    <w:rPr>
                      <w:rFonts w:hint="eastAsia"/>
                      <w:sz w:val="22"/>
                      <w:szCs w:val="22"/>
                    </w:rPr>
                    <w:t>多功能口腔综合治疗台（修复）</w:t>
                  </w:r>
                </w:p>
              </w:tc>
              <w:tc>
                <w:tcPr>
                  <w:tcW w:w="1025" w:type="dxa"/>
                  <w:vAlign w:val="center"/>
                </w:tcPr>
                <w:p>
                  <w:pPr>
                    <w:jc w:val="center"/>
                    <w:rPr>
                      <w:rFonts w:ascii="宋体" w:hAnsi="宋体" w:eastAsia="宋体" w:cs="宋体"/>
                      <w:sz w:val="22"/>
                      <w:szCs w:val="22"/>
                    </w:rPr>
                  </w:pPr>
                  <w:r>
                    <w:rPr>
                      <w:rFonts w:hint="eastAsia"/>
                      <w:sz w:val="22"/>
                      <w:szCs w:val="22"/>
                    </w:rPr>
                    <w:t>4</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35000.00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4</w:t>
                  </w:r>
                </w:p>
              </w:tc>
              <w:tc>
                <w:tcPr>
                  <w:tcW w:w="2094" w:type="dxa"/>
                  <w:vAlign w:val="center"/>
                </w:tcPr>
                <w:p>
                  <w:pPr>
                    <w:rPr>
                      <w:rFonts w:ascii="宋体" w:hAnsi="宋体" w:eastAsia="宋体" w:cs="宋体"/>
                      <w:sz w:val="22"/>
                      <w:szCs w:val="22"/>
                    </w:rPr>
                  </w:pPr>
                  <w:r>
                    <w:rPr>
                      <w:rFonts w:hint="eastAsia"/>
                      <w:sz w:val="22"/>
                      <w:szCs w:val="22"/>
                    </w:rPr>
                    <w:t>多功能口腔综合治疗台（VIP）</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80000.00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5</w:t>
                  </w:r>
                </w:p>
              </w:tc>
              <w:tc>
                <w:tcPr>
                  <w:tcW w:w="2094" w:type="dxa"/>
                  <w:vAlign w:val="center"/>
                </w:tcPr>
                <w:p>
                  <w:pPr>
                    <w:rPr>
                      <w:rFonts w:ascii="宋体" w:hAnsi="宋体" w:eastAsia="宋体" w:cs="宋体"/>
                      <w:sz w:val="22"/>
                      <w:szCs w:val="22"/>
                    </w:rPr>
                  </w:pPr>
                  <w:r>
                    <w:rPr>
                      <w:rFonts w:hint="eastAsia"/>
                      <w:sz w:val="22"/>
                      <w:szCs w:val="22"/>
                    </w:rPr>
                    <w:t>多功能口腔综合治疗台（儿童专用）+光固化</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60000.00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6</w:t>
                  </w:r>
                </w:p>
              </w:tc>
              <w:tc>
                <w:tcPr>
                  <w:tcW w:w="2094" w:type="dxa"/>
                  <w:vAlign w:val="center"/>
                </w:tcPr>
                <w:p>
                  <w:pPr>
                    <w:rPr>
                      <w:rFonts w:ascii="宋体" w:hAnsi="宋体" w:eastAsia="宋体" w:cs="宋体"/>
                      <w:sz w:val="22"/>
                      <w:szCs w:val="22"/>
                    </w:rPr>
                  </w:pPr>
                  <w:r>
                    <w:rPr>
                      <w:rFonts w:hint="eastAsia"/>
                      <w:sz w:val="22"/>
                      <w:szCs w:val="22"/>
                    </w:rPr>
                    <w:t>多功能口腔综合治疗台（手术专用）</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63000.00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7</w:t>
                  </w:r>
                </w:p>
              </w:tc>
              <w:tc>
                <w:tcPr>
                  <w:tcW w:w="2094" w:type="dxa"/>
                  <w:vAlign w:val="center"/>
                </w:tcPr>
                <w:p>
                  <w:pPr>
                    <w:rPr>
                      <w:rFonts w:ascii="宋体" w:hAnsi="宋体" w:eastAsia="宋体" w:cs="宋体"/>
                      <w:sz w:val="22"/>
                      <w:szCs w:val="22"/>
                    </w:rPr>
                  </w:pPr>
                  <w:r>
                    <w:rPr>
                      <w:rFonts w:hint="eastAsia"/>
                      <w:sz w:val="22"/>
                      <w:szCs w:val="22"/>
                    </w:rPr>
                    <w:t>多功能口腔综合治疗台（种植专用）</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63000.00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8</w:t>
                  </w:r>
                </w:p>
              </w:tc>
              <w:tc>
                <w:tcPr>
                  <w:tcW w:w="2094" w:type="dxa"/>
                  <w:vAlign w:val="center"/>
                </w:tcPr>
                <w:p>
                  <w:pPr>
                    <w:rPr>
                      <w:rFonts w:ascii="宋体" w:hAnsi="宋体" w:eastAsia="宋体" w:cs="宋体"/>
                      <w:sz w:val="22"/>
                      <w:szCs w:val="22"/>
                    </w:rPr>
                  </w:pPr>
                  <w:r>
                    <w:rPr>
                      <w:rFonts w:hint="eastAsia"/>
                      <w:sz w:val="22"/>
                      <w:szCs w:val="22"/>
                    </w:rPr>
                    <w:t>口腔综合治疗台护士用椅</w:t>
                  </w:r>
                </w:p>
              </w:tc>
              <w:tc>
                <w:tcPr>
                  <w:tcW w:w="1025" w:type="dxa"/>
                  <w:vAlign w:val="center"/>
                </w:tcPr>
                <w:p>
                  <w:pPr>
                    <w:jc w:val="center"/>
                    <w:rPr>
                      <w:rFonts w:ascii="宋体" w:hAnsi="宋体" w:eastAsia="宋体" w:cs="宋体"/>
                      <w:sz w:val="22"/>
                      <w:szCs w:val="22"/>
                    </w:rPr>
                  </w:pPr>
                  <w:r>
                    <w:rPr>
                      <w:rFonts w:hint="eastAsia"/>
                      <w:sz w:val="22"/>
                      <w:szCs w:val="22"/>
                    </w:rPr>
                    <w:t>15</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9</w:t>
                  </w:r>
                </w:p>
              </w:tc>
              <w:tc>
                <w:tcPr>
                  <w:tcW w:w="2094" w:type="dxa"/>
                  <w:vAlign w:val="center"/>
                </w:tcPr>
                <w:p>
                  <w:pPr>
                    <w:rPr>
                      <w:rFonts w:ascii="宋体" w:hAnsi="宋体" w:eastAsia="宋体" w:cs="宋体"/>
                      <w:sz w:val="22"/>
                      <w:szCs w:val="22"/>
                    </w:rPr>
                  </w:pPr>
                  <w:r>
                    <w:rPr>
                      <w:rFonts w:hint="eastAsia"/>
                      <w:sz w:val="22"/>
                      <w:szCs w:val="22"/>
                    </w:rPr>
                    <w:t>正压牙科电动无油空压机</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180000.00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10</w:t>
                  </w:r>
                </w:p>
              </w:tc>
              <w:tc>
                <w:tcPr>
                  <w:tcW w:w="2094" w:type="dxa"/>
                  <w:vAlign w:val="center"/>
                </w:tcPr>
                <w:p>
                  <w:pPr>
                    <w:rPr>
                      <w:rFonts w:ascii="宋体" w:hAnsi="宋体" w:eastAsia="宋体" w:cs="宋体"/>
                      <w:sz w:val="22"/>
                      <w:szCs w:val="22"/>
                    </w:rPr>
                  </w:pPr>
                  <w:r>
                    <w:rPr>
                      <w:rFonts w:hint="eastAsia"/>
                      <w:sz w:val="22"/>
                      <w:szCs w:val="22"/>
                    </w:rPr>
                    <w:t>负压牙科电动抽吸系统</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180000.00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11</w:t>
                  </w:r>
                </w:p>
              </w:tc>
              <w:tc>
                <w:tcPr>
                  <w:tcW w:w="2094" w:type="dxa"/>
                  <w:vAlign w:val="center"/>
                </w:tcPr>
                <w:p>
                  <w:pPr>
                    <w:rPr>
                      <w:rFonts w:ascii="宋体" w:hAnsi="宋体" w:eastAsia="宋体" w:cs="宋体"/>
                      <w:sz w:val="22"/>
                      <w:szCs w:val="22"/>
                    </w:rPr>
                  </w:pPr>
                  <w:r>
                    <w:rPr>
                      <w:rFonts w:hint="eastAsia"/>
                      <w:sz w:val="22"/>
                      <w:szCs w:val="22"/>
                    </w:rPr>
                    <w:t>污水处理系统</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12</w:t>
                  </w:r>
                </w:p>
              </w:tc>
              <w:tc>
                <w:tcPr>
                  <w:tcW w:w="2094" w:type="dxa"/>
                  <w:vAlign w:val="center"/>
                </w:tcPr>
                <w:p>
                  <w:pPr>
                    <w:rPr>
                      <w:rFonts w:ascii="宋体" w:hAnsi="宋体" w:eastAsia="宋体" w:cs="宋体"/>
                      <w:sz w:val="22"/>
                      <w:szCs w:val="22"/>
                    </w:rPr>
                  </w:pPr>
                  <w:r>
                    <w:rPr>
                      <w:rFonts w:hint="eastAsia"/>
                      <w:sz w:val="22"/>
                      <w:szCs w:val="22"/>
                    </w:rPr>
                    <w:t>口腔专用高速手机</w:t>
                  </w:r>
                </w:p>
              </w:tc>
              <w:tc>
                <w:tcPr>
                  <w:tcW w:w="1025" w:type="dxa"/>
                  <w:vAlign w:val="center"/>
                </w:tcPr>
                <w:p>
                  <w:pPr>
                    <w:jc w:val="center"/>
                    <w:rPr>
                      <w:rFonts w:ascii="宋体" w:hAnsi="宋体" w:eastAsia="宋体" w:cs="宋体"/>
                      <w:sz w:val="22"/>
                      <w:szCs w:val="22"/>
                    </w:rPr>
                  </w:pPr>
                  <w:r>
                    <w:rPr>
                      <w:rFonts w:hint="eastAsia"/>
                      <w:sz w:val="22"/>
                      <w:szCs w:val="22"/>
                    </w:rPr>
                    <w:t>20</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13</w:t>
                  </w:r>
                </w:p>
              </w:tc>
              <w:tc>
                <w:tcPr>
                  <w:tcW w:w="2094" w:type="dxa"/>
                  <w:vAlign w:val="center"/>
                </w:tcPr>
                <w:p>
                  <w:pPr>
                    <w:rPr>
                      <w:rFonts w:ascii="宋体" w:hAnsi="宋体" w:eastAsia="宋体" w:cs="宋体"/>
                      <w:sz w:val="22"/>
                      <w:szCs w:val="22"/>
                    </w:rPr>
                  </w:pPr>
                  <w:r>
                    <w:rPr>
                      <w:rFonts w:hint="eastAsia"/>
                      <w:sz w:val="22"/>
                      <w:szCs w:val="22"/>
                    </w:rPr>
                    <w:t>口腔专用低速手机＋马达（内喷水）</w:t>
                  </w:r>
                </w:p>
              </w:tc>
              <w:tc>
                <w:tcPr>
                  <w:tcW w:w="1025" w:type="dxa"/>
                  <w:vAlign w:val="center"/>
                </w:tcPr>
                <w:p>
                  <w:pPr>
                    <w:jc w:val="center"/>
                    <w:rPr>
                      <w:rFonts w:ascii="宋体" w:hAnsi="宋体" w:eastAsia="宋体" w:cs="宋体"/>
                      <w:sz w:val="22"/>
                      <w:szCs w:val="22"/>
                    </w:rPr>
                  </w:pPr>
                  <w:r>
                    <w:rPr>
                      <w:rFonts w:hint="eastAsia"/>
                      <w:sz w:val="22"/>
                      <w:szCs w:val="22"/>
                    </w:rPr>
                    <w:t>20</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14</w:t>
                  </w:r>
                </w:p>
              </w:tc>
              <w:tc>
                <w:tcPr>
                  <w:tcW w:w="2094" w:type="dxa"/>
                  <w:vAlign w:val="center"/>
                </w:tcPr>
                <w:p>
                  <w:pPr>
                    <w:rPr>
                      <w:rFonts w:ascii="宋体" w:hAnsi="宋体" w:eastAsia="宋体" w:cs="宋体"/>
                      <w:sz w:val="22"/>
                      <w:szCs w:val="22"/>
                    </w:rPr>
                  </w:pPr>
                  <w:r>
                    <w:rPr>
                      <w:rFonts w:hint="eastAsia"/>
                      <w:sz w:val="22"/>
                      <w:szCs w:val="22"/>
                    </w:rPr>
                    <w:t>拔牙专用仰角手机</w:t>
                  </w:r>
                </w:p>
              </w:tc>
              <w:tc>
                <w:tcPr>
                  <w:tcW w:w="1025" w:type="dxa"/>
                  <w:vAlign w:val="center"/>
                </w:tcPr>
                <w:p>
                  <w:pPr>
                    <w:jc w:val="center"/>
                    <w:rPr>
                      <w:rFonts w:ascii="宋体" w:hAnsi="宋体" w:eastAsia="宋体" w:cs="宋体"/>
                      <w:sz w:val="22"/>
                      <w:szCs w:val="22"/>
                    </w:rPr>
                  </w:pPr>
                  <w:r>
                    <w:rPr>
                      <w:rFonts w:hint="eastAsia"/>
                      <w:sz w:val="22"/>
                      <w:szCs w:val="22"/>
                    </w:rPr>
                    <w:t>4</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15</w:t>
                  </w:r>
                </w:p>
              </w:tc>
              <w:tc>
                <w:tcPr>
                  <w:tcW w:w="2094" w:type="dxa"/>
                  <w:vAlign w:val="center"/>
                </w:tcPr>
                <w:p>
                  <w:pPr>
                    <w:rPr>
                      <w:rFonts w:ascii="宋体" w:hAnsi="宋体" w:eastAsia="宋体" w:cs="宋体"/>
                      <w:sz w:val="22"/>
                      <w:szCs w:val="22"/>
                    </w:rPr>
                  </w:pPr>
                  <w:r>
                    <w:rPr>
                      <w:rFonts w:hint="eastAsia"/>
                      <w:sz w:val="22"/>
                      <w:szCs w:val="22"/>
                    </w:rPr>
                    <w:t>空气净化器（壁挂式）</w:t>
                  </w:r>
                </w:p>
              </w:tc>
              <w:tc>
                <w:tcPr>
                  <w:tcW w:w="1025" w:type="dxa"/>
                  <w:vAlign w:val="center"/>
                </w:tcPr>
                <w:p>
                  <w:pPr>
                    <w:jc w:val="center"/>
                    <w:rPr>
                      <w:rFonts w:ascii="宋体" w:hAnsi="宋体" w:eastAsia="宋体" w:cs="宋体"/>
                      <w:sz w:val="22"/>
                      <w:szCs w:val="22"/>
                    </w:rPr>
                  </w:pPr>
                  <w:r>
                    <w:rPr>
                      <w:rFonts w:hint="eastAsia"/>
                      <w:sz w:val="22"/>
                      <w:szCs w:val="22"/>
                    </w:rPr>
                    <w:t>13</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16</w:t>
                  </w:r>
                </w:p>
              </w:tc>
              <w:tc>
                <w:tcPr>
                  <w:tcW w:w="2094" w:type="dxa"/>
                  <w:vAlign w:val="center"/>
                </w:tcPr>
                <w:p>
                  <w:pPr>
                    <w:rPr>
                      <w:rFonts w:ascii="宋体" w:hAnsi="宋体" w:eastAsia="宋体" w:cs="宋体"/>
                      <w:sz w:val="22"/>
                      <w:szCs w:val="22"/>
                    </w:rPr>
                  </w:pPr>
                  <w:r>
                    <w:rPr>
                      <w:rFonts w:hint="eastAsia"/>
                      <w:sz w:val="22"/>
                      <w:szCs w:val="22"/>
                    </w:rPr>
                    <w:t>空气净化器（移动式）</w:t>
                  </w:r>
                </w:p>
              </w:tc>
              <w:tc>
                <w:tcPr>
                  <w:tcW w:w="1025" w:type="dxa"/>
                  <w:vAlign w:val="center"/>
                </w:tcPr>
                <w:p>
                  <w:pPr>
                    <w:jc w:val="center"/>
                    <w:rPr>
                      <w:rFonts w:ascii="宋体" w:hAnsi="宋体" w:eastAsia="宋体" w:cs="宋体"/>
                      <w:sz w:val="22"/>
                      <w:szCs w:val="22"/>
                    </w:rPr>
                  </w:pPr>
                  <w:r>
                    <w:rPr>
                      <w:rFonts w:hint="eastAsia"/>
                      <w:sz w:val="22"/>
                      <w:szCs w:val="22"/>
                    </w:rPr>
                    <w:t>2</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17</w:t>
                  </w:r>
                </w:p>
              </w:tc>
              <w:tc>
                <w:tcPr>
                  <w:tcW w:w="2094" w:type="dxa"/>
                  <w:vAlign w:val="center"/>
                </w:tcPr>
                <w:p>
                  <w:pPr>
                    <w:rPr>
                      <w:rFonts w:ascii="宋体" w:hAnsi="宋体" w:eastAsia="宋体" w:cs="宋体"/>
                      <w:sz w:val="22"/>
                      <w:szCs w:val="22"/>
                    </w:rPr>
                  </w:pPr>
                  <w:r>
                    <w:rPr>
                      <w:rFonts w:hint="eastAsia"/>
                      <w:sz w:val="22"/>
                      <w:szCs w:val="22"/>
                    </w:rPr>
                    <w:t>空气净化器（立式）</w:t>
                  </w:r>
                </w:p>
              </w:tc>
              <w:tc>
                <w:tcPr>
                  <w:tcW w:w="1025" w:type="dxa"/>
                  <w:vAlign w:val="center"/>
                </w:tcPr>
                <w:p>
                  <w:pPr>
                    <w:jc w:val="center"/>
                    <w:rPr>
                      <w:rFonts w:ascii="宋体" w:hAnsi="宋体" w:eastAsia="宋体" w:cs="宋体"/>
                      <w:sz w:val="22"/>
                      <w:szCs w:val="22"/>
                    </w:rPr>
                  </w:pPr>
                  <w:r>
                    <w:rPr>
                      <w:rFonts w:hint="eastAsia"/>
                      <w:sz w:val="22"/>
                      <w:szCs w:val="22"/>
                    </w:rPr>
                    <w:t>2</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20000.00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18</w:t>
                  </w:r>
                </w:p>
              </w:tc>
              <w:tc>
                <w:tcPr>
                  <w:tcW w:w="2094" w:type="dxa"/>
                  <w:vAlign w:val="center"/>
                </w:tcPr>
                <w:p>
                  <w:pPr>
                    <w:rPr>
                      <w:rFonts w:ascii="宋体" w:hAnsi="宋体" w:eastAsia="宋体" w:cs="宋体"/>
                      <w:sz w:val="22"/>
                      <w:szCs w:val="22"/>
                    </w:rPr>
                  </w:pPr>
                  <w:r>
                    <w:rPr>
                      <w:rFonts w:hint="eastAsia"/>
                      <w:sz w:val="22"/>
                      <w:szCs w:val="22"/>
                    </w:rPr>
                    <w:t>口腔种植导航系统</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950000.00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19</w:t>
                  </w:r>
                </w:p>
              </w:tc>
              <w:tc>
                <w:tcPr>
                  <w:tcW w:w="2094" w:type="dxa"/>
                  <w:vAlign w:val="center"/>
                </w:tcPr>
                <w:p>
                  <w:pPr>
                    <w:rPr>
                      <w:rFonts w:ascii="宋体" w:hAnsi="宋体" w:eastAsia="宋体" w:cs="宋体"/>
                      <w:sz w:val="22"/>
                      <w:szCs w:val="22"/>
                    </w:rPr>
                  </w:pPr>
                  <w:r>
                    <w:rPr>
                      <w:rFonts w:hint="eastAsia"/>
                      <w:sz w:val="22"/>
                      <w:szCs w:val="22"/>
                    </w:rPr>
                    <w:t>口腔扫描仪</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160000.00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20</w:t>
                  </w:r>
                </w:p>
              </w:tc>
              <w:tc>
                <w:tcPr>
                  <w:tcW w:w="2094" w:type="dxa"/>
                  <w:vAlign w:val="center"/>
                </w:tcPr>
                <w:p>
                  <w:pPr>
                    <w:rPr>
                      <w:rFonts w:ascii="宋体" w:hAnsi="宋体" w:eastAsia="宋体" w:cs="宋体"/>
                      <w:sz w:val="22"/>
                      <w:szCs w:val="22"/>
                    </w:rPr>
                  </w:pPr>
                  <w:r>
                    <w:rPr>
                      <w:rFonts w:hint="eastAsia"/>
                      <w:sz w:val="22"/>
                      <w:szCs w:val="22"/>
                    </w:rPr>
                    <w:t>手机保养注油机</w:t>
                  </w:r>
                </w:p>
              </w:tc>
              <w:tc>
                <w:tcPr>
                  <w:tcW w:w="1025" w:type="dxa"/>
                  <w:vAlign w:val="center"/>
                </w:tcPr>
                <w:p>
                  <w:pPr>
                    <w:jc w:val="center"/>
                    <w:rPr>
                      <w:rFonts w:ascii="宋体" w:hAnsi="宋体" w:eastAsia="宋体" w:cs="宋体"/>
                      <w:sz w:val="22"/>
                      <w:szCs w:val="22"/>
                    </w:rPr>
                  </w:pPr>
                  <w:r>
                    <w:rPr>
                      <w:rFonts w:hint="eastAsia"/>
                      <w:sz w:val="22"/>
                      <w:szCs w:val="22"/>
                    </w:rPr>
                    <w:t>2</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21</w:t>
                  </w:r>
                </w:p>
              </w:tc>
              <w:tc>
                <w:tcPr>
                  <w:tcW w:w="2094" w:type="dxa"/>
                  <w:vAlign w:val="center"/>
                </w:tcPr>
                <w:p>
                  <w:pPr>
                    <w:rPr>
                      <w:rFonts w:ascii="宋体" w:hAnsi="宋体" w:eastAsia="宋体" w:cs="宋体"/>
                      <w:sz w:val="22"/>
                      <w:szCs w:val="22"/>
                    </w:rPr>
                  </w:pPr>
                  <w:r>
                    <w:rPr>
                      <w:rFonts w:hint="eastAsia"/>
                      <w:sz w:val="22"/>
                      <w:szCs w:val="22"/>
                    </w:rPr>
                    <w:t>蒸汽灭菌器（45L）</w:t>
                  </w:r>
                </w:p>
              </w:tc>
              <w:tc>
                <w:tcPr>
                  <w:tcW w:w="1025" w:type="dxa"/>
                  <w:vAlign w:val="center"/>
                </w:tcPr>
                <w:p>
                  <w:pPr>
                    <w:jc w:val="center"/>
                    <w:rPr>
                      <w:rFonts w:ascii="宋体" w:hAnsi="宋体" w:eastAsia="宋体" w:cs="宋体"/>
                      <w:sz w:val="22"/>
                      <w:szCs w:val="22"/>
                    </w:rPr>
                  </w:pPr>
                  <w:r>
                    <w:rPr>
                      <w:rFonts w:hint="eastAsia"/>
                      <w:sz w:val="22"/>
                      <w:szCs w:val="22"/>
                    </w:rPr>
                    <w:t>2</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60000.00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22</w:t>
                  </w:r>
                </w:p>
              </w:tc>
              <w:tc>
                <w:tcPr>
                  <w:tcW w:w="2094" w:type="dxa"/>
                  <w:vAlign w:val="center"/>
                </w:tcPr>
                <w:p>
                  <w:pPr>
                    <w:rPr>
                      <w:rFonts w:ascii="宋体" w:hAnsi="宋体" w:eastAsia="宋体" w:cs="宋体"/>
                      <w:sz w:val="22"/>
                      <w:szCs w:val="22"/>
                    </w:rPr>
                  </w:pPr>
                  <w:r>
                    <w:rPr>
                      <w:rFonts w:hint="eastAsia"/>
                      <w:sz w:val="22"/>
                      <w:szCs w:val="22"/>
                    </w:rPr>
                    <w:t>蒸汽灭菌器（24L）</w:t>
                  </w:r>
                </w:p>
              </w:tc>
              <w:tc>
                <w:tcPr>
                  <w:tcW w:w="1025" w:type="dxa"/>
                  <w:vAlign w:val="center"/>
                </w:tcPr>
                <w:p>
                  <w:pPr>
                    <w:jc w:val="center"/>
                    <w:rPr>
                      <w:rFonts w:ascii="宋体" w:hAnsi="宋体" w:eastAsia="宋体" w:cs="宋体"/>
                      <w:sz w:val="22"/>
                      <w:szCs w:val="22"/>
                    </w:rPr>
                  </w:pPr>
                  <w:r>
                    <w:rPr>
                      <w:rFonts w:hint="eastAsia"/>
                      <w:sz w:val="22"/>
                      <w:szCs w:val="22"/>
                    </w:rPr>
                    <w:t>2</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23</w:t>
                  </w:r>
                </w:p>
              </w:tc>
              <w:tc>
                <w:tcPr>
                  <w:tcW w:w="2094" w:type="dxa"/>
                  <w:vAlign w:val="center"/>
                </w:tcPr>
                <w:p>
                  <w:pPr>
                    <w:rPr>
                      <w:rFonts w:ascii="宋体" w:hAnsi="宋体" w:eastAsia="宋体" w:cs="宋体"/>
                      <w:sz w:val="22"/>
                      <w:szCs w:val="22"/>
                    </w:rPr>
                  </w:pPr>
                  <w:r>
                    <w:rPr>
                      <w:rFonts w:hint="eastAsia"/>
                      <w:sz w:val="22"/>
                      <w:szCs w:val="22"/>
                    </w:rPr>
                    <w:t>卡式消毒锅</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40000.00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24</w:t>
                  </w:r>
                </w:p>
              </w:tc>
              <w:tc>
                <w:tcPr>
                  <w:tcW w:w="2094" w:type="dxa"/>
                  <w:vAlign w:val="center"/>
                </w:tcPr>
                <w:p>
                  <w:pPr>
                    <w:rPr>
                      <w:rFonts w:ascii="宋体" w:hAnsi="宋体" w:eastAsia="宋体" w:cs="宋体"/>
                      <w:sz w:val="22"/>
                      <w:szCs w:val="22"/>
                    </w:rPr>
                  </w:pPr>
                  <w:r>
                    <w:rPr>
                      <w:rFonts w:hint="eastAsia"/>
                      <w:sz w:val="22"/>
                      <w:szCs w:val="22"/>
                    </w:rPr>
                    <w:t>自动封口机</w:t>
                  </w:r>
                </w:p>
              </w:tc>
              <w:tc>
                <w:tcPr>
                  <w:tcW w:w="1025" w:type="dxa"/>
                  <w:vAlign w:val="center"/>
                </w:tcPr>
                <w:p>
                  <w:pPr>
                    <w:jc w:val="center"/>
                    <w:rPr>
                      <w:rFonts w:ascii="宋体" w:hAnsi="宋体" w:eastAsia="宋体" w:cs="宋体"/>
                      <w:sz w:val="22"/>
                      <w:szCs w:val="22"/>
                    </w:rPr>
                  </w:pPr>
                  <w:r>
                    <w:rPr>
                      <w:rFonts w:hint="eastAsia"/>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宋体" w:hAnsi="宋体" w:eastAsia="宋体" w:cs="宋体"/>
                      <w:sz w:val="22"/>
                      <w:szCs w:val="22"/>
                    </w:rPr>
                  </w:pPr>
                  <w:r>
                    <w:rPr>
                      <w:rFonts w:hint="eastAsia"/>
                      <w:sz w:val="22"/>
                      <w:szCs w:val="22"/>
                    </w:rPr>
                    <w:t>25</w:t>
                  </w:r>
                </w:p>
              </w:tc>
              <w:tc>
                <w:tcPr>
                  <w:tcW w:w="2094" w:type="dxa"/>
                  <w:vAlign w:val="center"/>
                </w:tcPr>
                <w:p>
                  <w:pPr>
                    <w:rPr>
                      <w:rFonts w:ascii="宋体" w:hAnsi="宋体" w:eastAsia="宋体" w:cs="宋体"/>
                      <w:sz w:val="22"/>
                      <w:szCs w:val="22"/>
                    </w:rPr>
                  </w:pPr>
                  <w:r>
                    <w:rPr>
                      <w:rFonts w:hint="eastAsia"/>
                      <w:sz w:val="22"/>
                      <w:szCs w:val="22"/>
                    </w:rPr>
                    <w:t>医用冰箱</w:t>
                  </w:r>
                </w:p>
              </w:tc>
              <w:tc>
                <w:tcPr>
                  <w:tcW w:w="1025" w:type="dxa"/>
                  <w:vAlign w:val="center"/>
                </w:tcPr>
                <w:p>
                  <w:pPr>
                    <w:jc w:val="center"/>
                    <w:rPr>
                      <w:rFonts w:ascii="宋体" w:hAnsi="宋体" w:eastAsia="宋体" w:cs="宋体"/>
                      <w:sz w:val="22"/>
                      <w:szCs w:val="22"/>
                    </w:rPr>
                  </w:pPr>
                  <w:r>
                    <w:rPr>
                      <w:rFonts w:hint="eastAsia"/>
                      <w:sz w:val="22"/>
                      <w:szCs w:val="22"/>
                    </w:rPr>
                    <w:t>2</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10000.00 </w:t>
                  </w:r>
                </w:p>
              </w:tc>
            </w:tr>
          </w:tbl>
          <w:p>
            <w:pPr>
              <w:rPr>
                <w:rFonts w:ascii="仿宋" w:hAnsi="仿宋" w:cs="仿宋"/>
                <w:kern w:val="0"/>
              </w:rPr>
            </w:pPr>
            <w:r>
              <w:rPr>
                <w:rFonts w:hint="eastAsia" w:ascii="仿宋" w:hAnsi="仿宋" w:cs="仿宋"/>
                <w:kern w:val="0"/>
              </w:rPr>
              <w:t>002包人民币</w:t>
            </w:r>
            <w:r>
              <w:rPr>
                <w:rFonts w:ascii="仿宋" w:hAnsi="仿宋" w:cs="仿宋"/>
              </w:rPr>
              <w:t>3300000.00</w:t>
            </w:r>
            <w:r>
              <w:rPr>
                <w:rFonts w:hint="eastAsia" w:ascii="仿宋" w:hAnsi="仿宋" w:cs="仿宋"/>
                <w:kern w:val="0"/>
              </w:rPr>
              <w:t>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094"/>
              <w:gridCol w:w="1025"/>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仿宋" w:hAnsi="仿宋" w:cs="仿宋"/>
                      <w:color w:val="000000"/>
                    </w:rPr>
                  </w:pPr>
                  <w:r>
                    <w:rPr>
                      <w:rFonts w:hint="eastAsia" w:ascii="仿宋" w:hAnsi="仿宋" w:cs="仿宋"/>
                      <w:color w:val="000000"/>
                    </w:rPr>
                    <w:t>序号</w:t>
                  </w:r>
                </w:p>
              </w:tc>
              <w:tc>
                <w:tcPr>
                  <w:tcW w:w="2094" w:type="dxa"/>
                  <w:vAlign w:val="center"/>
                </w:tcPr>
                <w:p>
                  <w:pPr>
                    <w:jc w:val="center"/>
                    <w:rPr>
                      <w:rFonts w:ascii="仿宋" w:hAnsi="仿宋" w:cs="仿宋"/>
                      <w:color w:val="000000"/>
                    </w:rPr>
                  </w:pPr>
                  <w:r>
                    <w:rPr>
                      <w:rFonts w:hint="eastAsia" w:ascii="仿宋" w:hAnsi="仿宋" w:cs="仿宋"/>
                      <w:color w:val="000000"/>
                    </w:rPr>
                    <w:t>产品名称</w:t>
                  </w:r>
                </w:p>
              </w:tc>
              <w:tc>
                <w:tcPr>
                  <w:tcW w:w="1025" w:type="dxa"/>
                  <w:vAlign w:val="center"/>
                </w:tcPr>
                <w:p>
                  <w:pPr>
                    <w:jc w:val="center"/>
                    <w:rPr>
                      <w:rFonts w:ascii="仿宋" w:hAnsi="仿宋" w:cs="仿宋"/>
                      <w:color w:val="000000"/>
                    </w:rPr>
                  </w:pPr>
                  <w:r>
                    <w:rPr>
                      <w:rFonts w:hint="eastAsia" w:ascii="仿宋" w:hAnsi="仿宋" w:cs="仿宋"/>
                      <w:color w:val="000000"/>
                    </w:rPr>
                    <w:t>数量</w:t>
                  </w:r>
                </w:p>
              </w:tc>
              <w:tc>
                <w:tcPr>
                  <w:tcW w:w="1803" w:type="dxa"/>
                  <w:vAlign w:val="center"/>
                </w:tcPr>
                <w:p>
                  <w:pPr>
                    <w:jc w:val="center"/>
                    <w:rPr>
                      <w:rFonts w:ascii="仿宋" w:hAnsi="仿宋" w:cs="仿宋"/>
                      <w:color w:val="000000"/>
                    </w:rPr>
                  </w:pPr>
                  <w:r>
                    <w:rPr>
                      <w:rFonts w:hint="eastAsia" w:ascii="仿宋" w:hAnsi="仿宋" w:cs="仿宋"/>
                      <w:color w:val="000000"/>
                    </w:rPr>
                    <w:t>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仿宋" w:hAnsi="仿宋" w:cs="宋体"/>
                      <w:color w:val="000000"/>
                    </w:rPr>
                  </w:pPr>
                  <w:r>
                    <w:rPr>
                      <w:rFonts w:hint="eastAsia" w:ascii="仿宋" w:hAnsi="仿宋"/>
                      <w:color w:val="000000"/>
                    </w:rPr>
                    <w:t>1</w:t>
                  </w:r>
                </w:p>
              </w:tc>
              <w:tc>
                <w:tcPr>
                  <w:tcW w:w="2094" w:type="dxa"/>
                  <w:vAlign w:val="center"/>
                </w:tcPr>
                <w:p>
                  <w:pPr>
                    <w:jc w:val="center"/>
                    <w:rPr>
                      <w:rFonts w:ascii="仿宋" w:hAnsi="仿宋" w:cs="宋体"/>
                      <w:color w:val="000000"/>
                      <w:sz w:val="20"/>
                      <w:szCs w:val="20"/>
                    </w:rPr>
                  </w:pPr>
                  <w:r>
                    <w:rPr>
                      <w:rFonts w:hint="eastAsia" w:ascii="仿宋" w:hAnsi="仿宋"/>
                      <w:color w:val="000000"/>
                      <w:sz w:val="20"/>
                      <w:szCs w:val="20"/>
                    </w:rPr>
                    <w:t>下肢外骨骼康复机器人</w:t>
                  </w:r>
                </w:p>
              </w:tc>
              <w:tc>
                <w:tcPr>
                  <w:tcW w:w="1025" w:type="dxa"/>
                  <w:vAlign w:val="center"/>
                </w:tcPr>
                <w:p>
                  <w:pPr>
                    <w:jc w:val="center"/>
                    <w:rPr>
                      <w:rFonts w:eastAsia="等线"/>
                      <w:color w:val="auto"/>
                      <w:sz w:val="22"/>
                      <w:szCs w:val="22"/>
                    </w:rPr>
                  </w:pPr>
                  <w:r>
                    <w:rPr>
                      <w:rFonts w:eastAsia="等线"/>
                      <w:color w:val="auto"/>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1300000.00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仿宋" w:hAnsi="仿宋" w:cs="宋体"/>
                      <w:color w:val="000000"/>
                    </w:rPr>
                  </w:pPr>
                  <w:r>
                    <w:rPr>
                      <w:rFonts w:hint="eastAsia" w:ascii="仿宋" w:hAnsi="仿宋"/>
                      <w:color w:val="000000"/>
                    </w:rPr>
                    <w:t>2</w:t>
                  </w:r>
                </w:p>
              </w:tc>
              <w:tc>
                <w:tcPr>
                  <w:tcW w:w="2094" w:type="dxa"/>
                  <w:vAlign w:val="center"/>
                </w:tcPr>
                <w:p>
                  <w:pPr>
                    <w:jc w:val="center"/>
                    <w:rPr>
                      <w:rFonts w:ascii="仿宋" w:hAnsi="仿宋" w:cs="宋体"/>
                      <w:color w:val="000000"/>
                      <w:sz w:val="20"/>
                      <w:szCs w:val="20"/>
                    </w:rPr>
                  </w:pPr>
                  <w:r>
                    <w:rPr>
                      <w:rFonts w:hint="eastAsia" w:ascii="仿宋" w:hAnsi="仿宋"/>
                      <w:color w:val="000000"/>
                      <w:sz w:val="20"/>
                      <w:szCs w:val="20"/>
                    </w:rPr>
                    <w:t>下肢坐卧式康复训练器</w:t>
                  </w:r>
                </w:p>
              </w:tc>
              <w:tc>
                <w:tcPr>
                  <w:tcW w:w="1025" w:type="dxa"/>
                  <w:vAlign w:val="center"/>
                </w:tcPr>
                <w:p>
                  <w:pPr>
                    <w:jc w:val="center"/>
                    <w:rPr>
                      <w:rFonts w:eastAsia="等线"/>
                      <w:color w:val="auto"/>
                      <w:sz w:val="22"/>
                      <w:szCs w:val="22"/>
                    </w:rPr>
                  </w:pPr>
                  <w:r>
                    <w:rPr>
                      <w:rFonts w:eastAsia="等线"/>
                      <w:color w:val="auto"/>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680000.00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仿宋" w:hAnsi="仿宋" w:cs="宋体"/>
                      <w:color w:val="000000"/>
                    </w:rPr>
                  </w:pPr>
                  <w:r>
                    <w:rPr>
                      <w:rFonts w:hint="eastAsia" w:ascii="仿宋" w:hAnsi="仿宋"/>
                      <w:color w:val="000000"/>
                    </w:rPr>
                    <w:t>3</w:t>
                  </w:r>
                </w:p>
              </w:tc>
              <w:tc>
                <w:tcPr>
                  <w:tcW w:w="2094" w:type="dxa"/>
                  <w:vAlign w:val="center"/>
                </w:tcPr>
                <w:p>
                  <w:pPr>
                    <w:jc w:val="center"/>
                    <w:rPr>
                      <w:rFonts w:ascii="仿宋" w:hAnsi="仿宋" w:cs="宋体"/>
                      <w:color w:val="000000"/>
                      <w:sz w:val="20"/>
                      <w:szCs w:val="20"/>
                    </w:rPr>
                  </w:pPr>
                  <w:r>
                    <w:rPr>
                      <w:rFonts w:hint="eastAsia" w:ascii="仿宋" w:hAnsi="仿宋"/>
                      <w:color w:val="000000"/>
                      <w:sz w:val="20"/>
                      <w:szCs w:val="20"/>
                    </w:rPr>
                    <w:t>电动移位机</w:t>
                  </w:r>
                </w:p>
              </w:tc>
              <w:tc>
                <w:tcPr>
                  <w:tcW w:w="1025" w:type="dxa"/>
                  <w:vAlign w:val="center"/>
                </w:tcPr>
                <w:p>
                  <w:pPr>
                    <w:jc w:val="center"/>
                    <w:rPr>
                      <w:rFonts w:eastAsia="等线"/>
                      <w:sz w:val="22"/>
                      <w:szCs w:val="22"/>
                    </w:rPr>
                  </w:pPr>
                  <w:r>
                    <w:rPr>
                      <w:rFonts w:eastAsia="等线"/>
                      <w:sz w:val="22"/>
                      <w:szCs w:val="22"/>
                    </w:rPr>
                    <w:t>2</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60000.00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jc w:val="center"/>
                    <w:rPr>
                      <w:rFonts w:ascii="仿宋" w:hAnsi="仿宋" w:cs="宋体"/>
                      <w:color w:val="000000"/>
                    </w:rPr>
                  </w:pPr>
                  <w:r>
                    <w:rPr>
                      <w:rFonts w:hint="eastAsia" w:ascii="仿宋" w:hAnsi="仿宋"/>
                      <w:color w:val="000000"/>
                    </w:rPr>
                    <w:t>4</w:t>
                  </w:r>
                </w:p>
              </w:tc>
              <w:tc>
                <w:tcPr>
                  <w:tcW w:w="2094" w:type="dxa"/>
                  <w:vAlign w:val="center"/>
                </w:tcPr>
                <w:p>
                  <w:pPr>
                    <w:jc w:val="center"/>
                    <w:rPr>
                      <w:rFonts w:ascii="仿宋" w:hAnsi="仿宋" w:cs="宋体"/>
                      <w:sz w:val="22"/>
                      <w:szCs w:val="22"/>
                    </w:rPr>
                  </w:pPr>
                  <w:r>
                    <w:rPr>
                      <w:rFonts w:hint="eastAsia" w:ascii="仿宋" w:hAnsi="仿宋"/>
                      <w:sz w:val="22"/>
                      <w:szCs w:val="22"/>
                    </w:rPr>
                    <w:t>颈腰椎脊柱减压系统</w:t>
                  </w:r>
                </w:p>
              </w:tc>
              <w:tc>
                <w:tcPr>
                  <w:tcW w:w="1025" w:type="dxa"/>
                  <w:vAlign w:val="center"/>
                </w:tcPr>
                <w:p>
                  <w:pPr>
                    <w:jc w:val="center"/>
                    <w:rPr>
                      <w:rFonts w:eastAsia="等线"/>
                      <w:sz w:val="22"/>
                      <w:szCs w:val="22"/>
                    </w:rPr>
                  </w:pPr>
                  <w:r>
                    <w:rPr>
                      <w:rFonts w:eastAsia="等线"/>
                      <w:sz w:val="22"/>
                      <w:szCs w:val="22"/>
                    </w:rPr>
                    <w:t>1</w:t>
                  </w:r>
                </w:p>
              </w:tc>
              <w:tc>
                <w:tcPr>
                  <w:tcW w:w="1803" w:type="dxa"/>
                  <w:vAlign w:val="center"/>
                </w:tcPr>
                <w:p>
                  <w:pPr>
                    <w:jc w:val="right"/>
                    <w:rPr>
                      <w:rFonts w:ascii="宋体" w:hAnsi="宋体" w:eastAsia="宋体" w:cs="宋体"/>
                      <w:color w:val="000000"/>
                      <w:sz w:val="22"/>
                      <w:szCs w:val="22"/>
                    </w:rPr>
                  </w:pPr>
                  <w:r>
                    <w:rPr>
                      <w:rFonts w:hint="eastAsia"/>
                      <w:color w:val="000000"/>
                      <w:sz w:val="22"/>
                      <w:szCs w:val="22"/>
                    </w:rPr>
                    <w:t xml:space="preserve">1200000.00 </w:t>
                  </w:r>
                </w:p>
              </w:tc>
            </w:tr>
          </w:tbl>
          <w:p>
            <w:pPr>
              <w:jc w:val="left"/>
              <w:rPr>
                <w:rFonts w:ascii="仿宋" w:hAnsi="仿宋"/>
              </w:rPr>
            </w:pPr>
          </w:p>
        </w:tc>
      </w:tr>
      <w:tr>
        <w:tblPrEx>
          <w:tblCellMar>
            <w:top w:w="0" w:type="dxa"/>
            <w:left w:w="108" w:type="dxa"/>
            <w:bottom w:w="0" w:type="dxa"/>
            <w:right w:w="108" w:type="dxa"/>
          </w:tblCellMar>
        </w:tblPrEx>
        <w:trPr>
          <w:trHeight w:val="628"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4</w:t>
            </w:r>
          </w:p>
        </w:tc>
        <w:tc>
          <w:tcPr>
            <w:tcW w:w="1917"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 w:hAnsi="仿宋" w:cs="仿宋"/>
                <w:kern w:val="0"/>
              </w:rPr>
            </w:pPr>
            <w:r>
              <w:rPr>
                <w:rFonts w:hint="eastAsia" w:ascii="仿宋" w:hAnsi="仿宋" w:cs="仿宋"/>
                <w:kern w:val="0"/>
              </w:rPr>
              <w:t>计量单位</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中华人民共和国法定计量单位</w:t>
            </w:r>
          </w:p>
        </w:tc>
      </w:tr>
      <w:tr>
        <w:tblPrEx>
          <w:tblCellMar>
            <w:top w:w="0" w:type="dxa"/>
            <w:left w:w="108" w:type="dxa"/>
            <w:bottom w:w="0" w:type="dxa"/>
            <w:right w:w="108" w:type="dxa"/>
          </w:tblCellMar>
        </w:tblPrEx>
        <w:trPr>
          <w:trHeight w:val="72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6.1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rPr>
            </w:pPr>
            <w:r>
              <w:rPr>
                <w:rFonts w:hint="eastAsia" w:ascii="仿宋" w:hAnsi="仿宋" w:cs="仿宋"/>
                <w:kern w:val="0"/>
              </w:rPr>
              <w:t>现场考察、开标前答疑会</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不组织</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10.3</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kern w:val="0"/>
              </w:rPr>
            </w:pPr>
            <w:r>
              <w:rPr>
                <w:rFonts w:hint="eastAsia" w:ascii="仿宋" w:hAnsi="仿宋" w:cs="仿宋"/>
                <w:kern w:val="0"/>
              </w:rPr>
              <w:t>核心产品</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001包：口腔种植导航系统</w:t>
            </w:r>
          </w:p>
          <w:p>
            <w:pPr>
              <w:rPr>
                <w:rFonts w:ascii="仿宋" w:hAnsi="仿宋" w:cs="仿宋"/>
                <w:kern w:val="0"/>
              </w:rPr>
            </w:pPr>
            <w:r>
              <w:rPr>
                <w:rFonts w:hint="eastAsia" w:ascii="仿宋" w:hAnsi="仿宋" w:cs="仿宋"/>
                <w:kern w:val="0"/>
              </w:rPr>
              <w:t>002包：下肢外骨骼康复机器人</w:t>
            </w:r>
          </w:p>
        </w:tc>
      </w:tr>
      <w:tr>
        <w:tblPrEx>
          <w:tblCellMar>
            <w:top w:w="0" w:type="dxa"/>
            <w:left w:w="108" w:type="dxa"/>
            <w:bottom w:w="0" w:type="dxa"/>
            <w:right w:w="108" w:type="dxa"/>
          </w:tblCellMar>
        </w:tblPrEx>
        <w:trPr>
          <w:trHeight w:val="905"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11.3</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kern w:val="0"/>
              </w:rPr>
            </w:pPr>
            <w:r>
              <w:rPr>
                <w:rFonts w:hint="eastAsia" w:ascii="仿宋" w:hAnsi="仿宋" w:cs="仿宋"/>
                <w:kern w:val="0"/>
              </w:rPr>
              <w:t>样品或演示</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不需要提供样品</w:t>
            </w:r>
          </w:p>
          <w:p>
            <w:pPr>
              <w:rPr>
                <w:rFonts w:ascii="仿宋" w:hAnsi="仿宋" w:cs="仿宋"/>
              </w:rPr>
            </w:pPr>
            <w:r>
              <w:rPr>
                <w:rFonts w:hint="eastAsia" w:ascii="仿宋" w:hAnsi="仿宋" w:cs="仿宋"/>
                <w:kern w:val="0"/>
              </w:rPr>
              <w:t>不需要提供演示</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12.1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kern w:val="0"/>
              </w:rPr>
            </w:pPr>
            <w:r>
              <w:rPr>
                <w:rFonts w:hint="eastAsia" w:ascii="仿宋" w:hAnsi="仿宋" w:cs="仿宋"/>
                <w:kern w:val="0"/>
              </w:rPr>
              <w:t>投标报价货币要求</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kern w:val="0"/>
              </w:rPr>
            </w:pPr>
            <w:r>
              <w:rPr>
                <w:rFonts w:hint="eastAsia" w:ascii="仿宋" w:hAnsi="仿宋" w:cs="仿宋"/>
                <w:kern w:val="0"/>
              </w:rPr>
              <w:t>所有投标均按人民币货币进行报价。</w:t>
            </w:r>
          </w:p>
        </w:tc>
      </w:tr>
      <w:tr>
        <w:tblPrEx>
          <w:tblCellMar>
            <w:top w:w="0" w:type="dxa"/>
            <w:left w:w="108" w:type="dxa"/>
            <w:bottom w:w="0" w:type="dxa"/>
            <w:right w:w="108" w:type="dxa"/>
          </w:tblCellMar>
        </w:tblPrEx>
        <w:trPr>
          <w:trHeight w:val="499"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13.1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 w:hAnsi="仿宋" w:cs="仿宋"/>
              </w:rPr>
            </w:pPr>
            <w:r>
              <w:rPr>
                <w:rFonts w:hint="eastAsia" w:ascii="仿宋" w:hAnsi="仿宋" w:cs="仿宋"/>
              </w:rPr>
              <w:t>投标保证金</w:t>
            </w:r>
          </w:p>
        </w:tc>
        <w:tc>
          <w:tcPr>
            <w:tcW w:w="5887" w:type="dxa"/>
            <w:tcBorders>
              <w:top w:val="single" w:color="auto" w:sz="4" w:space="0"/>
              <w:left w:val="nil"/>
              <w:bottom w:val="single" w:color="auto" w:sz="8" w:space="0"/>
              <w:right w:val="single" w:color="auto" w:sz="8" w:space="0"/>
            </w:tcBorders>
            <w:vAlign w:val="center"/>
          </w:tcPr>
          <w:p>
            <w:pPr>
              <w:jc w:val="left"/>
              <w:rPr>
                <w:rFonts w:ascii="仿宋" w:hAnsi="仿宋" w:cs="仿宋_GB2312"/>
                <w:kern w:val="0"/>
              </w:rPr>
            </w:pPr>
            <w:r>
              <w:rPr>
                <w:rFonts w:hint="eastAsia" w:ascii="仿宋" w:hAnsi="仿宋" w:cs="仿宋_GB2312"/>
                <w:kern w:val="0"/>
              </w:rPr>
              <w:t>1、投标保证金金额：001包人民币</w:t>
            </w:r>
            <w:r>
              <w:rPr>
                <w:rFonts w:hint="eastAsia" w:ascii="仿宋" w:hAnsi="仿宋" w:cs="仿宋_GB2312"/>
                <w:kern w:val="0"/>
                <w:u w:val="single"/>
              </w:rPr>
              <w:t>50000.00</w:t>
            </w:r>
            <w:r>
              <w:rPr>
                <w:rFonts w:hint="eastAsia" w:ascii="仿宋" w:hAnsi="仿宋" w:cs="仿宋_GB2312"/>
                <w:kern w:val="0"/>
              </w:rPr>
              <w:t>元；002包人民币</w:t>
            </w:r>
            <w:r>
              <w:rPr>
                <w:rFonts w:hint="eastAsia" w:ascii="仿宋" w:hAnsi="仿宋" w:cs="仿宋_GB2312"/>
                <w:kern w:val="0"/>
                <w:u w:val="single"/>
              </w:rPr>
              <w:t>60000.00</w:t>
            </w:r>
            <w:r>
              <w:rPr>
                <w:rFonts w:hint="eastAsia" w:ascii="仿宋" w:hAnsi="仿宋" w:cs="仿宋_GB2312"/>
                <w:kern w:val="0"/>
              </w:rPr>
              <w:t>元；</w:t>
            </w:r>
          </w:p>
          <w:p>
            <w:pPr>
              <w:jc w:val="left"/>
              <w:rPr>
                <w:rFonts w:ascii="仿宋" w:hAnsi="仿宋" w:cs="仿宋_GB2312"/>
                <w:u w:val="single"/>
              </w:rPr>
            </w:pPr>
            <w:r>
              <w:rPr>
                <w:rFonts w:hint="eastAsia" w:ascii="仿宋" w:hAnsi="仿宋" w:cs="仿宋_GB2312"/>
              </w:rPr>
              <w:t>2、投标保证金到账时间：</w:t>
            </w:r>
            <w:r>
              <w:rPr>
                <w:rFonts w:hint="eastAsia" w:ascii="仿宋" w:hAnsi="仿宋" w:cs="仿宋_GB2312"/>
                <w:u w:val="single"/>
              </w:rPr>
              <w:t xml:space="preserve">递交投标文件截止时间前 </w:t>
            </w:r>
          </w:p>
          <w:p>
            <w:pPr>
              <w:jc w:val="left"/>
              <w:rPr>
                <w:rFonts w:ascii="仿宋" w:hAnsi="仿宋" w:cs="仿宋_GB2312"/>
                <w:kern w:val="0"/>
                <w:u w:val="single"/>
              </w:rPr>
            </w:pPr>
            <w:r>
              <w:rPr>
                <w:rFonts w:hint="eastAsia" w:ascii="仿宋" w:hAnsi="仿宋" w:cs="仿宋_GB2312"/>
              </w:rPr>
              <w:t>3、投标保证金缴纳方式：</w:t>
            </w:r>
            <w:r>
              <w:rPr>
                <w:rFonts w:hint="eastAsia" w:ascii="仿宋" w:hAnsi="仿宋" w:cs="仿宋"/>
              </w:rPr>
              <w:t>保函或支票或电汇</w:t>
            </w:r>
          </w:p>
          <w:p>
            <w:pPr>
              <w:rPr>
                <w:rFonts w:ascii="仿宋" w:hAnsi="仿宋" w:cs="仿宋_GB2312"/>
              </w:rPr>
            </w:pPr>
            <w:r>
              <w:rPr>
                <w:rFonts w:hint="eastAsia" w:ascii="仿宋" w:hAnsi="仿宋" w:cs="仿宋_GB2312"/>
              </w:rPr>
              <w:t xml:space="preserve">   保证金收款人银行信息：</w:t>
            </w:r>
          </w:p>
          <w:p>
            <w:pPr>
              <w:rPr>
                <w:rFonts w:ascii="仿宋" w:hAnsi="仿宋" w:cs="仿宋_GB2312"/>
              </w:rPr>
            </w:pPr>
            <w:r>
              <w:rPr>
                <w:rFonts w:hint="eastAsia" w:ascii="仿宋" w:hAnsi="仿宋" w:cs="仿宋_GB2312"/>
              </w:rPr>
              <w:t xml:space="preserve">    开 户 名：辽宁浩亿招投标有限公司</w:t>
            </w:r>
          </w:p>
          <w:p>
            <w:pPr>
              <w:ind w:firstLine="420" w:firstLineChars="200"/>
              <w:rPr>
                <w:rFonts w:ascii="仿宋" w:hAnsi="仿宋" w:cs="仿宋_GB2312"/>
              </w:rPr>
            </w:pPr>
            <w:r>
              <w:rPr>
                <w:rFonts w:hint="eastAsia" w:ascii="仿宋" w:hAnsi="仿宋" w:cs="仿宋_GB2312"/>
              </w:rPr>
              <w:t>开 户 行：盛京银行沈阳市向工支行</w:t>
            </w:r>
          </w:p>
          <w:p>
            <w:pPr>
              <w:ind w:firstLine="420" w:firstLineChars="200"/>
              <w:rPr>
                <w:rFonts w:ascii="仿宋" w:hAnsi="仿宋" w:cs="仿宋_GB2312"/>
              </w:rPr>
            </w:pPr>
            <w:r>
              <w:rPr>
                <w:rFonts w:hint="eastAsia" w:ascii="仿宋" w:hAnsi="仿宋" w:cs="仿宋_GB2312"/>
              </w:rPr>
              <w:t xml:space="preserve">账    号：0338260102000001621 </w:t>
            </w:r>
          </w:p>
          <w:p>
            <w:pPr>
              <w:rPr>
                <w:rFonts w:ascii="仿宋" w:hAnsi="仿宋" w:cs="仿宋_GB2312"/>
              </w:rPr>
            </w:pPr>
            <w:r>
              <w:rPr>
                <w:rFonts w:hint="eastAsia" w:ascii="仿宋" w:hAnsi="仿宋" w:cs="仿宋_GB2312"/>
              </w:rPr>
              <w:t>4、保证金退还方式：原路返还</w:t>
            </w:r>
          </w:p>
          <w:p>
            <w:pPr>
              <w:rPr>
                <w:rFonts w:ascii="仿宋" w:hAnsi="仿宋" w:cs="仿宋_GB2312"/>
              </w:rPr>
            </w:pPr>
            <w:r>
              <w:rPr>
                <w:rFonts w:hint="eastAsia" w:ascii="仿宋" w:hAnsi="仿宋" w:cs="仿宋_GB2312"/>
              </w:rPr>
              <w:t>5、保证金退还咨询电话：</w:t>
            </w:r>
            <w:r>
              <w:rPr>
                <w:rFonts w:hint="eastAsia" w:ascii="仿宋" w:hAnsi="仿宋" w:cs="仿宋_GB2312"/>
                <w:kern w:val="0"/>
                <w:u w:val="single"/>
              </w:rPr>
              <w:t xml:space="preserve"> 024-86415619</w:t>
            </w:r>
          </w:p>
          <w:p>
            <w:pPr>
              <w:rPr>
                <w:rFonts w:ascii="仿宋" w:hAnsi="仿宋" w:cs="仿宋_GB2312"/>
              </w:rPr>
            </w:pPr>
            <w:r>
              <w:rPr>
                <w:rFonts w:hint="eastAsia" w:ascii="仿宋" w:hAnsi="仿宋" w:cs="仿宋_GB2312"/>
              </w:rPr>
              <w:t>6、其它：（1）联系人赵女士</w:t>
            </w:r>
          </w:p>
          <w:p>
            <w:pPr>
              <w:rPr>
                <w:rFonts w:ascii="仿宋" w:hAnsi="仿宋" w:cs="仿宋_GB2312"/>
                <w:b/>
              </w:rPr>
            </w:pPr>
            <w:r>
              <w:rPr>
                <w:rFonts w:hint="eastAsia" w:ascii="仿宋" w:hAnsi="仿宋" w:cs="仿宋_GB2312"/>
                <w:b/>
              </w:rPr>
              <w:t>（2）中标人请务必及时联系采购人签订政府采购合同，并将合同PDF扫描件发至采购代理机构邮箱，以便在规定时间内网上录入合同，中标人须及时在辽宁政府采购网进行合同确认，否则后果自负。</w:t>
            </w:r>
          </w:p>
          <w:p>
            <w:pPr>
              <w:pStyle w:val="9"/>
              <w:rPr>
                <w:rFonts w:ascii="仿宋" w:hAnsi="仿宋" w:cs="仿宋"/>
              </w:rPr>
            </w:pPr>
            <w:r>
              <w:rPr>
                <w:rFonts w:hint="eastAsia" w:ascii="仿宋" w:hAnsi="仿宋" w:cs="仿宋_GB2312"/>
                <w:b/>
                <w:bCs/>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15.1</w:t>
            </w:r>
          </w:p>
        </w:tc>
        <w:tc>
          <w:tcPr>
            <w:tcW w:w="1917" w:type="dxa"/>
            <w:tcBorders>
              <w:top w:val="single" w:color="auto" w:sz="4" w:space="0"/>
              <w:left w:val="single" w:color="auto" w:sz="4" w:space="0"/>
              <w:bottom w:val="single" w:color="auto" w:sz="8" w:space="0"/>
              <w:right w:val="single" w:color="auto" w:sz="8" w:space="0"/>
            </w:tcBorders>
            <w:vAlign w:val="center"/>
          </w:tcPr>
          <w:p>
            <w:pPr>
              <w:jc w:val="center"/>
              <w:rPr>
                <w:rFonts w:ascii="仿宋" w:hAnsi="仿宋" w:cs="仿宋"/>
              </w:rPr>
            </w:pPr>
            <w:r>
              <w:rPr>
                <w:rFonts w:hint="eastAsia" w:ascii="仿宋" w:hAnsi="仿宋" w:cs="仿宋"/>
              </w:rPr>
              <w:t>投标有效期</w:t>
            </w:r>
          </w:p>
        </w:tc>
        <w:tc>
          <w:tcPr>
            <w:tcW w:w="5887" w:type="dxa"/>
            <w:tcBorders>
              <w:top w:val="single" w:color="auto" w:sz="4" w:space="0"/>
              <w:left w:val="nil"/>
              <w:bottom w:val="single" w:color="auto" w:sz="8" w:space="0"/>
              <w:right w:val="single" w:color="auto" w:sz="8" w:space="0"/>
            </w:tcBorders>
            <w:vAlign w:val="center"/>
          </w:tcPr>
          <w:p>
            <w:pPr>
              <w:pStyle w:val="9"/>
              <w:rPr>
                <w:rFonts w:ascii="仿宋" w:hAnsi="仿宋" w:cs="仿宋"/>
                <w:kern w:val="0"/>
              </w:rPr>
            </w:pPr>
            <w:r>
              <w:rPr>
                <w:rFonts w:hint="eastAsia" w:ascii="仿宋" w:hAnsi="仿宋" w:cs="仿宋"/>
                <w:kern w:val="0"/>
                <w:u w:val="single"/>
              </w:rPr>
              <w:t xml:space="preserve">  90  </w:t>
            </w:r>
            <w:r>
              <w:rPr>
                <w:rFonts w:hint="eastAsia" w:ascii="仿宋" w:hAnsi="仿宋" w:cs="仿宋"/>
                <w:kern w:val="0"/>
              </w:rPr>
              <w:t>日历日</w:t>
            </w:r>
          </w:p>
        </w:tc>
      </w:tr>
      <w:tr>
        <w:tblPrEx>
          <w:tblCellMar>
            <w:top w:w="0" w:type="dxa"/>
            <w:left w:w="108" w:type="dxa"/>
            <w:bottom w:w="0" w:type="dxa"/>
            <w:right w:w="108" w:type="dxa"/>
          </w:tblCellMar>
        </w:tblPrEx>
        <w:trPr>
          <w:trHeight w:val="64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16.1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kern w:val="0"/>
              </w:rPr>
            </w:pPr>
            <w:r>
              <w:rPr>
                <w:rFonts w:hint="eastAsia" w:ascii="仿宋" w:hAnsi="仿宋" w:cs="仿宋"/>
              </w:rPr>
              <w:t>投标文件及电子文档份数</w:t>
            </w:r>
          </w:p>
        </w:tc>
        <w:tc>
          <w:tcPr>
            <w:tcW w:w="5887" w:type="dxa"/>
            <w:tcBorders>
              <w:top w:val="nil"/>
              <w:left w:val="nil"/>
              <w:bottom w:val="single" w:color="auto" w:sz="4" w:space="0"/>
              <w:right w:val="single" w:color="auto" w:sz="8" w:space="0"/>
            </w:tcBorders>
          </w:tcPr>
          <w:p>
            <w:pPr>
              <w:pStyle w:val="74"/>
              <w:spacing w:before="25"/>
              <w:ind w:left="106"/>
              <w:rPr>
                <w:rFonts w:ascii="仿宋" w:hAnsi="仿宋" w:eastAsia="仿宋" w:cs="仿宋"/>
                <w:b/>
                <w:bCs/>
              </w:rPr>
            </w:pPr>
            <w:r>
              <w:rPr>
                <w:rFonts w:hint="eastAsia" w:ascii="仿宋" w:hAnsi="仿宋" w:eastAsia="仿宋" w:cs="仿宋"/>
                <w:b/>
                <w:bCs/>
              </w:rPr>
              <w:t>正本：线上电子投标文件1份（线上上传的电子投标文件须按辽宁政府采购网“办事指南”中“辽宁省政府采购网供应商制作电子标书操作手册”及“辽宁政府采购网新版系统供应商操作手册”要求进行编制，必须盖章签字）</w:t>
            </w:r>
          </w:p>
          <w:p>
            <w:pPr>
              <w:pStyle w:val="74"/>
              <w:spacing w:before="50"/>
              <w:ind w:left="106"/>
              <w:rPr>
                <w:rFonts w:ascii="仿宋" w:hAnsi="仿宋" w:eastAsia="仿宋" w:cs="仿宋"/>
                <w:lang w:val="zh-CN"/>
              </w:rPr>
            </w:pPr>
            <w:r>
              <w:rPr>
                <w:rFonts w:hint="eastAsia" w:ascii="仿宋" w:hAnsi="仿宋" w:eastAsia="仿宋" w:cs="仿宋"/>
                <w:b/>
                <w:bCs/>
              </w:rPr>
              <w:t>电子备份文件：1份。供应商除在电子评审系统上传投标（响应）文件外，应在递交投标（响应）文件截止时间前提交按采购文件规定的以介质形式（如：光盘、U盘、移动硬盘、电子邮件等）存储的可加密备份文件，并承诺备份文件与电子评审系统中上传的投标（响应）文件内容、格式一致，备系统突发故障使用。供应商仅提交备份文件的，投标（响应）无效。</w:t>
            </w:r>
          </w:p>
        </w:tc>
      </w:tr>
      <w:tr>
        <w:tblPrEx>
          <w:tblCellMar>
            <w:top w:w="0" w:type="dxa"/>
            <w:left w:w="108" w:type="dxa"/>
            <w:bottom w:w="0" w:type="dxa"/>
            <w:right w:w="108" w:type="dxa"/>
          </w:tblCellMar>
        </w:tblPrEx>
        <w:trPr>
          <w:trHeight w:val="631"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18.1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rPr>
            </w:pPr>
            <w:r>
              <w:rPr>
                <w:rFonts w:hint="eastAsia" w:ascii="仿宋" w:hAnsi="仿宋" w:cs="仿宋"/>
              </w:rPr>
              <w:t>递交投标文件截止时间、地点</w:t>
            </w:r>
          </w:p>
        </w:tc>
        <w:tc>
          <w:tcPr>
            <w:tcW w:w="5887" w:type="dxa"/>
            <w:tcBorders>
              <w:top w:val="nil"/>
              <w:left w:val="nil"/>
              <w:bottom w:val="single" w:color="auto" w:sz="4" w:space="0"/>
              <w:right w:val="single" w:color="auto" w:sz="8" w:space="0"/>
            </w:tcBorders>
          </w:tcPr>
          <w:p>
            <w:pPr>
              <w:widowControl/>
              <w:rPr>
                <w:rFonts w:ascii="仿宋" w:hAnsi="仿宋" w:cs="仿宋"/>
                <w:kern w:val="0"/>
              </w:rPr>
            </w:pPr>
            <w:r>
              <w:rPr>
                <w:rFonts w:hint="eastAsia" w:ascii="仿宋" w:hAnsi="仿宋" w:cs="仿宋"/>
                <w:kern w:val="0"/>
              </w:rPr>
              <w:t>详见采购公告，以采购公告规定时间、地点为准。</w:t>
            </w:r>
          </w:p>
          <w:p>
            <w:pPr>
              <w:pStyle w:val="74"/>
              <w:spacing w:before="25"/>
              <w:ind w:left="106"/>
              <w:rPr>
                <w:rFonts w:ascii="仿宋" w:hAnsi="仿宋" w:eastAsia="仿宋" w:cs="仿宋"/>
                <w:b/>
                <w:bCs/>
              </w:rPr>
            </w:pPr>
            <w:r>
              <w:rPr>
                <w:rFonts w:hint="eastAsia" w:ascii="仿宋" w:hAnsi="仿宋" w:eastAsia="仿宋" w:cs="仿宋"/>
                <w:b/>
                <w:bCs/>
              </w:rPr>
              <w:t>递交投标文件截止时间前，应按要求在省政府采购平台上传电子投标文件及相关内容，有问题务必提前咨询。</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20.1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rPr>
            </w:pPr>
            <w:r>
              <w:rPr>
                <w:rFonts w:hint="eastAsia" w:ascii="仿宋" w:hAnsi="仿宋" w:cs="仿宋"/>
              </w:rPr>
              <w:t>开标时间、地点</w:t>
            </w:r>
          </w:p>
        </w:tc>
        <w:tc>
          <w:tcPr>
            <w:tcW w:w="5887" w:type="dxa"/>
            <w:tcBorders>
              <w:top w:val="nil"/>
              <w:left w:val="nil"/>
              <w:bottom w:val="single" w:color="auto" w:sz="4" w:space="0"/>
              <w:right w:val="single" w:color="auto" w:sz="8" w:space="0"/>
            </w:tcBorders>
            <w:vAlign w:val="center"/>
          </w:tcPr>
          <w:p>
            <w:pPr>
              <w:widowControl/>
              <w:rPr>
                <w:rFonts w:ascii="仿宋" w:hAnsi="仿宋" w:cs="仿宋"/>
                <w:kern w:val="0"/>
              </w:rPr>
            </w:pPr>
            <w:r>
              <w:rPr>
                <w:rFonts w:hint="eastAsia" w:ascii="仿宋" w:hAnsi="仿宋" w:cs="仿宋"/>
                <w:kern w:val="0"/>
              </w:rPr>
              <w:t>详见招标公告，以招标公告规定时间、地点为准。</w:t>
            </w:r>
          </w:p>
          <w:p>
            <w:pPr>
              <w:pStyle w:val="8"/>
              <w:rPr>
                <w:rFonts w:ascii="仿宋" w:hAnsi="仿宋" w:cs="仿宋"/>
                <w:sz w:val="21"/>
                <w:szCs w:val="21"/>
              </w:rPr>
            </w:pPr>
            <w:r>
              <w:rPr>
                <w:rFonts w:hint="eastAsia" w:ascii="仿宋" w:hAnsi="仿宋" w:cs="仿宋"/>
                <w:sz w:val="21"/>
                <w:szCs w:val="21"/>
              </w:rPr>
              <w:t>1.供应商须在递交投标文件截止时间前在辽宁政府采购网上成功递交电子投标文件；</w:t>
            </w:r>
          </w:p>
          <w:p>
            <w:pPr>
              <w:pStyle w:val="8"/>
              <w:rPr>
                <w:rFonts w:ascii="仿宋" w:hAnsi="仿宋" w:cs="仿宋"/>
                <w:sz w:val="21"/>
                <w:szCs w:val="21"/>
              </w:rPr>
            </w:pPr>
            <w:r>
              <w:rPr>
                <w:rFonts w:hint="eastAsia" w:ascii="仿宋" w:hAnsi="仿宋" w:cs="仿宋"/>
                <w:sz w:val="21"/>
                <w:szCs w:val="21"/>
              </w:rPr>
              <w:t>2.开标时间后，供应商需登录“辽宁政府采购网”进行文件解密，应在30分钟内对投标文件进行网上电子解密。供应商可自行在本单位进行电子解密或供应商授权代表自行准备电子设备进行解密。采购代理机构原则上不提供任何设备进行电子解密，如供应商无法在规定的时间成功进行电子解密，视为放弃参与本项目，采购代理机构将不负有任何责任。</w:t>
            </w:r>
          </w:p>
          <w:p>
            <w:pPr>
              <w:pStyle w:val="8"/>
              <w:rPr>
                <w:rFonts w:ascii="仿宋" w:hAnsi="仿宋" w:cs="仿宋"/>
              </w:rPr>
            </w:pPr>
            <w:r>
              <w:rPr>
                <w:rFonts w:hint="eastAsia" w:ascii="仿宋" w:hAnsi="仿宋" w:cs="仿宋"/>
                <w:sz w:val="21"/>
                <w:szCs w:val="21"/>
              </w:rPr>
              <w:t>3. 供应商上传的投标文件正常解密的且采购活动正常进行的，电子备份文件自动失效。供应商自行到代理公司领取</w:t>
            </w:r>
            <w:r>
              <w:rPr>
                <w:rFonts w:hint="eastAsia" w:ascii="仿宋" w:hAnsi="仿宋" w:cs="仿宋"/>
              </w:rPr>
              <w:t>。</w:t>
            </w:r>
          </w:p>
        </w:tc>
      </w:tr>
      <w:tr>
        <w:tblPrEx>
          <w:tblCellMar>
            <w:top w:w="0" w:type="dxa"/>
            <w:left w:w="108" w:type="dxa"/>
            <w:bottom w:w="0" w:type="dxa"/>
            <w:right w:w="108" w:type="dxa"/>
          </w:tblCellMar>
        </w:tblPrEx>
        <w:trPr>
          <w:trHeight w:val="613" w:hRule="atLeast"/>
        </w:trPr>
        <w:tc>
          <w:tcPr>
            <w:tcW w:w="852" w:type="dxa"/>
            <w:tcBorders>
              <w:top w:val="nil"/>
              <w:left w:val="single" w:color="auto" w:sz="8"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21</w:t>
            </w:r>
          </w:p>
        </w:tc>
        <w:tc>
          <w:tcPr>
            <w:tcW w:w="1917" w:type="dxa"/>
            <w:tcBorders>
              <w:top w:val="nil"/>
              <w:left w:val="single" w:color="auto" w:sz="4" w:space="0"/>
              <w:bottom w:val="single" w:color="auto" w:sz="4" w:space="0"/>
              <w:right w:val="single" w:color="auto" w:sz="8" w:space="0"/>
            </w:tcBorders>
            <w:vAlign w:val="center"/>
          </w:tcPr>
          <w:p>
            <w:pPr>
              <w:widowControl/>
              <w:jc w:val="center"/>
              <w:rPr>
                <w:rFonts w:ascii="仿宋" w:hAnsi="仿宋" w:cs="仿宋"/>
              </w:rPr>
            </w:pPr>
            <w:r>
              <w:rPr>
                <w:rFonts w:hint="eastAsia" w:ascii="仿宋" w:hAnsi="仿宋" w:cs="仿宋"/>
              </w:rPr>
              <w:t>评标委员会组成</w:t>
            </w:r>
          </w:p>
        </w:tc>
        <w:tc>
          <w:tcPr>
            <w:tcW w:w="5887" w:type="dxa"/>
            <w:tcBorders>
              <w:top w:val="nil"/>
              <w:left w:val="nil"/>
              <w:bottom w:val="single" w:color="auto" w:sz="4" w:space="0"/>
              <w:right w:val="single" w:color="auto" w:sz="8" w:space="0"/>
            </w:tcBorders>
            <w:vAlign w:val="center"/>
          </w:tcPr>
          <w:p>
            <w:pPr>
              <w:widowControl/>
              <w:rPr>
                <w:rFonts w:ascii="仿宋" w:hAnsi="仿宋" w:cs="仿宋"/>
                <w:kern w:val="0"/>
              </w:rPr>
            </w:pPr>
            <w:r>
              <w:rPr>
                <w:rFonts w:hint="eastAsia" w:ascii="仿宋" w:hAnsi="仿宋" w:cs="仿宋"/>
              </w:rPr>
              <w:t>评标委员会由采购人代表</w:t>
            </w:r>
            <w:r>
              <w:rPr>
                <w:rFonts w:hint="eastAsia" w:ascii="仿宋" w:hAnsi="仿宋" w:cs="仿宋"/>
                <w:u w:val="single"/>
              </w:rPr>
              <w:t>1</w:t>
            </w:r>
            <w:r>
              <w:rPr>
                <w:rFonts w:hint="eastAsia" w:ascii="仿宋" w:hAnsi="仿宋" w:cs="仿宋"/>
              </w:rPr>
              <w:t>人，评审专家</w:t>
            </w:r>
            <w:r>
              <w:rPr>
                <w:rFonts w:hint="eastAsia" w:ascii="仿宋" w:hAnsi="仿宋" w:cs="仿宋"/>
                <w:u w:val="single"/>
              </w:rPr>
              <w:t>4</w:t>
            </w:r>
            <w:r>
              <w:rPr>
                <w:rFonts w:hint="eastAsia" w:ascii="仿宋" w:hAnsi="仿宋" w:cs="仿宋"/>
              </w:rPr>
              <w:t>人组成，共</w:t>
            </w:r>
            <w:r>
              <w:rPr>
                <w:rFonts w:hint="eastAsia" w:ascii="仿宋" w:hAnsi="仿宋" w:cs="仿宋"/>
                <w:u w:val="single"/>
              </w:rPr>
              <w:t>5</w:t>
            </w:r>
            <w:r>
              <w:rPr>
                <w:rFonts w:hint="eastAsia" w:ascii="仿宋" w:hAnsi="仿宋" w:cs="仿宋"/>
              </w:rPr>
              <w:t xml:space="preserve">人。 </w:t>
            </w:r>
          </w:p>
        </w:tc>
      </w:tr>
      <w:tr>
        <w:tblPrEx>
          <w:tblCellMar>
            <w:top w:w="0" w:type="dxa"/>
            <w:left w:w="108" w:type="dxa"/>
            <w:bottom w:w="0" w:type="dxa"/>
            <w:right w:w="108" w:type="dxa"/>
          </w:tblCellMar>
        </w:tblPrEx>
        <w:trPr>
          <w:trHeight w:val="1190"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25.1</w:t>
            </w:r>
          </w:p>
        </w:tc>
        <w:tc>
          <w:tcPr>
            <w:tcW w:w="1917"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 w:hAnsi="仿宋" w:cs="仿宋"/>
              </w:rPr>
            </w:pPr>
            <w:r>
              <w:rPr>
                <w:rFonts w:hint="eastAsia" w:ascii="仿宋" w:hAnsi="仿宋" w:cs="仿宋"/>
              </w:rPr>
              <w:t>样品的评审方法以及评审标准</w:t>
            </w:r>
          </w:p>
          <w:p>
            <w:pPr>
              <w:shd w:val="clear" w:color="auto" w:fill="FFFFFF"/>
              <w:jc w:val="center"/>
              <w:rPr>
                <w:rFonts w:ascii="仿宋" w:hAnsi="仿宋" w:cs="仿宋"/>
              </w:rPr>
            </w:pPr>
            <w:r>
              <w:rPr>
                <w:rFonts w:hint="eastAsia" w:ascii="仿宋" w:hAnsi="仿宋" w:cs="仿宋"/>
              </w:rPr>
              <w:t>演示的评审方法及评审标准</w:t>
            </w:r>
          </w:p>
        </w:tc>
        <w:tc>
          <w:tcPr>
            <w:tcW w:w="5887" w:type="dxa"/>
            <w:tcBorders>
              <w:top w:val="single" w:color="auto" w:sz="4" w:space="0"/>
              <w:left w:val="single" w:color="auto" w:sz="4" w:space="0"/>
              <w:bottom w:val="single" w:color="auto" w:sz="4" w:space="0"/>
              <w:right w:val="single" w:color="auto" w:sz="4" w:space="0"/>
            </w:tcBorders>
            <w:vAlign w:val="center"/>
          </w:tcPr>
          <w:p>
            <w:pPr>
              <w:rPr>
                <w:rFonts w:ascii="仿宋" w:hAnsi="仿宋" w:cs="仿宋"/>
              </w:rPr>
            </w:pPr>
            <w:r>
              <w:rPr>
                <w:rFonts w:hint="eastAsia" w:ascii="仿宋" w:hAnsi="仿宋" w:cs="仿宋"/>
              </w:rPr>
              <w:t>无</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27.2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rPr>
            </w:pPr>
            <w:r>
              <w:rPr>
                <w:rFonts w:hint="eastAsia" w:ascii="仿宋" w:hAnsi="仿宋" w:cs="仿宋"/>
              </w:rPr>
              <w:t>评标办法</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rPr>
            </w:pPr>
            <w:r>
              <w:rPr>
                <w:rFonts w:ascii="仿宋" w:hAnsi="仿宋" w:cs="仿宋"/>
              </w:rPr>
              <w:t>最低评标价法</w:t>
            </w:r>
          </w:p>
        </w:tc>
      </w:tr>
      <w:tr>
        <w:tblPrEx>
          <w:tblCellMar>
            <w:top w:w="0" w:type="dxa"/>
            <w:left w:w="108" w:type="dxa"/>
            <w:bottom w:w="0" w:type="dxa"/>
            <w:right w:w="108" w:type="dxa"/>
          </w:tblCellMar>
        </w:tblPrEx>
        <w:trPr>
          <w:trHeight w:val="63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29.2</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推荐中标候选人的数量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kern w:val="0"/>
              </w:rPr>
            </w:pPr>
            <w:r>
              <w:rPr>
                <w:rFonts w:hint="eastAsia" w:ascii="仿宋" w:hAnsi="仿宋" w:cs="仿宋"/>
                <w:kern w:val="0"/>
                <w:u w:val="single"/>
              </w:rPr>
              <w:t>每包3家</w:t>
            </w:r>
          </w:p>
        </w:tc>
      </w:tr>
      <w:tr>
        <w:tblPrEx>
          <w:tblCellMar>
            <w:top w:w="0" w:type="dxa"/>
            <w:left w:w="108" w:type="dxa"/>
            <w:bottom w:w="0" w:type="dxa"/>
            <w:right w:w="108" w:type="dxa"/>
          </w:tblCellMar>
        </w:tblPrEx>
        <w:trPr>
          <w:trHeight w:val="302"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31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确定中标人的方式</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pPr>
            <w:r>
              <w:rPr>
                <w:rFonts w:hint="eastAsia"/>
              </w:rPr>
              <w:t>中标人数量：每包1家</w:t>
            </w:r>
          </w:p>
          <w:p>
            <w:pPr>
              <w:widowControl/>
            </w:pPr>
            <w:r>
              <w:rPr>
                <w:rFonts w:hint="eastAsia"/>
              </w:rPr>
              <w:t>采购人授权评标委员会直接确定中标人</w:t>
            </w:r>
          </w:p>
          <w:p>
            <w:pPr>
              <w:pStyle w:val="63"/>
              <w:adjustRightInd w:val="0"/>
              <w:snapToGrid w:val="0"/>
              <w:ind w:firstLine="0" w:firstLineChars="0"/>
            </w:pPr>
            <w:r>
              <w:rPr>
                <w:rFonts w:hint="eastAsia" w:ascii="仿宋" w:hAnsi="仿宋" w:cs="仿宋"/>
              </w:rPr>
              <w:t xml:space="preserve">注：本项目共分为二个合同包，二包可兼投但不允许兼中，最多只允许中一个包组，以包组序号顺序确定中标人。  </w:t>
            </w:r>
          </w:p>
        </w:tc>
      </w:tr>
      <w:tr>
        <w:tblPrEx>
          <w:tblCellMar>
            <w:top w:w="0" w:type="dxa"/>
            <w:left w:w="108" w:type="dxa"/>
            <w:bottom w:w="0" w:type="dxa"/>
            <w:right w:w="108" w:type="dxa"/>
          </w:tblCellMar>
        </w:tblPrEx>
        <w:trPr>
          <w:trHeight w:val="791"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35.1</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履约保证金</w:t>
            </w:r>
          </w:p>
        </w:tc>
        <w:tc>
          <w:tcPr>
            <w:tcW w:w="58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cs="仿宋"/>
                <w:kern w:val="0"/>
              </w:rPr>
            </w:pPr>
            <w:r>
              <w:rPr>
                <w:rFonts w:hint="eastAsia" w:ascii="仿宋" w:hAnsi="仿宋" w:cs="仿宋"/>
                <w:kern w:val="0"/>
              </w:rPr>
              <w:t>本项目不收取履约保证金</w:t>
            </w:r>
          </w:p>
        </w:tc>
      </w:tr>
      <w:tr>
        <w:tblPrEx>
          <w:tblCellMar>
            <w:top w:w="0" w:type="dxa"/>
            <w:left w:w="108" w:type="dxa"/>
            <w:bottom w:w="0" w:type="dxa"/>
            <w:right w:w="108" w:type="dxa"/>
          </w:tblCellMar>
        </w:tblPrEx>
        <w:trPr>
          <w:trHeight w:val="1252" w:hRule="atLeast"/>
        </w:trPr>
        <w:tc>
          <w:tcPr>
            <w:tcW w:w="852" w:type="dxa"/>
            <w:tcBorders>
              <w:top w:val="nil"/>
              <w:left w:val="single" w:color="auto" w:sz="8" w:space="0"/>
              <w:bottom w:val="single" w:color="auto" w:sz="8"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36</w:t>
            </w:r>
          </w:p>
        </w:tc>
        <w:tc>
          <w:tcPr>
            <w:tcW w:w="1917" w:type="dxa"/>
            <w:tcBorders>
              <w:top w:val="nil"/>
              <w:left w:val="single" w:color="auto" w:sz="4" w:space="0"/>
              <w:bottom w:val="single" w:color="auto" w:sz="8" w:space="0"/>
              <w:right w:val="single" w:color="auto" w:sz="8" w:space="0"/>
            </w:tcBorders>
            <w:vAlign w:val="center"/>
          </w:tcPr>
          <w:p>
            <w:pPr>
              <w:widowControl/>
              <w:jc w:val="center"/>
              <w:rPr>
                <w:rFonts w:ascii="仿宋" w:hAnsi="仿宋" w:cs="仿宋"/>
                <w:kern w:val="0"/>
              </w:rPr>
            </w:pPr>
            <w:r>
              <w:rPr>
                <w:rFonts w:hint="eastAsia" w:ascii="仿宋" w:hAnsi="仿宋" w:cs="仿宋"/>
                <w:kern w:val="0"/>
              </w:rPr>
              <w:t>采购代理服务费</w:t>
            </w:r>
          </w:p>
        </w:tc>
        <w:tc>
          <w:tcPr>
            <w:tcW w:w="5887" w:type="dxa"/>
            <w:tcBorders>
              <w:top w:val="nil"/>
              <w:left w:val="nil"/>
              <w:bottom w:val="single" w:color="auto" w:sz="8" w:space="0"/>
              <w:right w:val="single" w:color="auto" w:sz="8" w:space="0"/>
            </w:tcBorders>
            <w:vAlign w:val="center"/>
          </w:tcPr>
          <w:p>
            <w:pPr>
              <w:shd w:val="clear" w:color="auto" w:fill="FFFFFF"/>
              <w:jc w:val="left"/>
              <w:rPr>
                <w:rFonts w:ascii="仿宋" w:hAnsi="仿宋" w:cs="仿宋"/>
              </w:rPr>
            </w:pPr>
            <w:r>
              <w:rPr>
                <w:rFonts w:hint="eastAsia" w:ascii="仿宋" w:hAnsi="仿宋" w:cs="仿宋"/>
              </w:rPr>
              <w:t>本项目收取</w:t>
            </w:r>
            <w:r>
              <w:rPr>
                <w:rFonts w:hint="eastAsia" w:ascii="仿宋" w:hAnsi="仿宋" w:cs="仿宋"/>
                <w:kern w:val="0"/>
              </w:rPr>
              <w:t>采购代理服务费</w:t>
            </w:r>
          </w:p>
          <w:p>
            <w:pPr>
              <w:widowControl/>
              <w:ind w:firstLine="210" w:firstLineChars="100"/>
              <w:rPr>
                <w:rFonts w:ascii="仿宋" w:hAnsi="仿宋" w:cs="仿宋"/>
                <w:kern w:val="0"/>
              </w:rPr>
            </w:pPr>
            <w:r>
              <w:rPr>
                <w:rFonts w:hint="eastAsia" w:ascii="仿宋" w:hAnsi="仿宋" w:cs="仿宋"/>
                <w:kern w:val="0"/>
              </w:rPr>
              <w:t>本项目采购代理服务费由中标人向采购代理机构予以支付。</w:t>
            </w:r>
          </w:p>
          <w:p>
            <w:pPr>
              <w:widowControl/>
              <w:ind w:firstLine="210" w:firstLineChars="100"/>
              <w:rPr>
                <w:rFonts w:ascii="仿宋" w:hAnsi="仿宋" w:cs="仿宋"/>
                <w:kern w:val="0"/>
                <w:u w:val="single"/>
              </w:rPr>
            </w:pPr>
            <w:r>
              <w:rPr>
                <w:rFonts w:hint="eastAsia" w:ascii="仿宋" w:hAnsi="仿宋" w:cs="仿宋"/>
                <w:kern w:val="0"/>
              </w:rPr>
              <w:t>支付标准：参照</w:t>
            </w:r>
            <w:r>
              <w:rPr>
                <w:rFonts w:hint="eastAsia" w:ascii="仿宋" w:hAnsi="仿宋" w:cs="仿宋"/>
                <w:kern w:val="0"/>
                <w:u w:val="single"/>
              </w:rPr>
              <w:t>国家计委关于印发《招标代理服务收费管理暂行办法》的通知计价格[2002]1980号之规定为基准下浮20%进行收取，不足2000元按2000元收取。</w:t>
            </w:r>
          </w:p>
          <w:p>
            <w:pPr>
              <w:widowControl/>
              <w:ind w:firstLine="210" w:firstLineChars="100"/>
              <w:rPr>
                <w:rFonts w:ascii="仿宋" w:hAnsi="仿宋" w:cs="仿宋"/>
                <w:kern w:val="0"/>
              </w:rPr>
            </w:pPr>
            <w:r>
              <w:rPr>
                <w:rFonts w:hint="eastAsia" w:ascii="仿宋" w:hAnsi="仿宋" w:cs="仿宋"/>
                <w:kern w:val="0"/>
              </w:rPr>
              <w:t>支付形式：现金或电汇</w:t>
            </w:r>
          </w:p>
          <w:p>
            <w:pPr>
              <w:widowControl/>
              <w:ind w:firstLine="210" w:firstLineChars="100"/>
              <w:rPr>
                <w:rFonts w:ascii="仿宋" w:hAnsi="仿宋" w:cs="仿宋"/>
                <w:kern w:val="0"/>
              </w:rPr>
            </w:pPr>
            <w:r>
              <w:rPr>
                <w:rFonts w:hint="eastAsia" w:ascii="仿宋" w:hAnsi="仿宋" w:cs="仿宋"/>
                <w:kern w:val="0"/>
              </w:rPr>
              <w:t>支付时间：领取中标通知书前一次性缴纳</w:t>
            </w:r>
          </w:p>
        </w:tc>
      </w:tr>
      <w:tr>
        <w:tblPrEx>
          <w:tblCellMar>
            <w:top w:w="0" w:type="dxa"/>
            <w:left w:w="108" w:type="dxa"/>
            <w:bottom w:w="0" w:type="dxa"/>
            <w:right w:w="108" w:type="dxa"/>
          </w:tblCellMar>
        </w:tblPrEx>
        <w:trPr>
          <w:trHeight w:val="614" w:hRule="atLeast"/>
        </w:trPr>
        <w:tc>
          <w:tcPr>
            <w:tcW w:w="852"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cs="仿宋"/>
                <w:kern w:val="0"/>
              </w:rPr>
            </w:pPr>
            <w:r>
              <w:rPr>
                <w:rFonts w:hint="eastAsia" w:ascii="仿宋" w:hAnsi="仿宋" w:cs="仿宋"/>
                <w:kern w:val="0"/>
              </w:rPr>
              <w:t>39.3</w:t>
            </w:r>
          </w:p>
        </w:tc>
        <w:tc>
          <w:tcPr>
            <w:tcW w:w="1917"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 w:hAnsi="仿宋" w:cs="仿宋"/>
                <w:kern w:val="0"/>
              </w:rPr>
            </w:pPr>
            <w:r>
              <w:rPr>
                <w:rFonts w:hint="eastAsia" w:ascii="仿宋" w:hAnsi="仿宋" w:cs="仿宋"/>
                <w:kern w:val="0"/>
              </w:rPr>
              <w:t>质疑</w:t>
            </w:r>
          </w:p>
        </w:tc>
        <w:tc>
          <w:tcPr>
            <w:tcW w:w="5887" w:type="dxa"/>
            <w:tcBorders>
              <w:top w:val="single" w:color="auto" w:sz="4" w:space="0"/>
              <w:left w:val="nil"/>
              <w:bottom w:val="single" w:color="auto" w:sz="4" w:space="0"/>
              <w:right w:val="single" w:color="auto" w:sz="8" w:space="0"/>
            </w:tcBorders>
            <w:vAlign w:val="center"/>
          </w:tcPr>
          <w:p>
            <w:pPr>
              <w:widowControl/>
              <w:rPr>
                <w:rFonts w:ascii="仿宋" w:hAnsi="仿宋" w:cs="仿宋"/>
              </w:rPr>
            </w:pPr>
            <w:r>
              <w:rPr>
                <w:rFonts w:hint="eastAsia" w:ascii="仿宋" w:hAnsi="仿宋" w:cs="仿宋"/>
              </w:rPr>
              <w:t>一、投标人认为自己的权益受到损害的，可以在知道或者应知其权益受到损害之日起七个工作日内，向采购代理机构提出质疑。</w:t>
            </w:r>
          </w:p>
          <w:p>
            <w:pPr>
              <w:widowControl/>
              <w:rPr>
                <w:rFonts w:ascii="仿宋" w:hAnsi="仿宋" w:cs="仿宋"/>
              </w:rPr>
            </w:pPr>
            <w:r>
              <w:rPr>
                <w:rFonts w:hint="eastAsia" w:ascii="仿宋" w:hAnsi="仿宋" w:cs="仿宋"/>
              </w:rPr>
              <w:t>1、接收质疑函的方式：接收加盖单位公章的书面质疑函</w:t>
            </w:r>
          </w:p>
          <w:p>
            <w:pPr>
              <w:widowControl/>
              <w:ind w:firstLine="420" w:firstLineChars="200"/>
              <w:rPr>
                <w:rFonts w:ascii="仿宋" w:hAnsi="仿宋" w:cs="仿宋"/>
                <w:kern w:val="0"/>
                <w:u w:val="single"/>
              </w:rPr>
            </w:pPr>
            <w:r>
              <w:rPr>
                <w:rFonts w:hint="eastAsia" w:ascii="仿宋" w:hAnsi="仿宋" w:cs="仿宋"/>
              </w:rPr>
              <w:t>联系单位：</w:t>
            </w:r>
            <w:r>
              <w:rPr>
                <w:rFonts w:hint="eastAsia" w:ascii="仿宋" w:hAnsi="仿宋" w:cs="仿宋"/>
                <w:u w:val="single"/>
              </w:rPr>
              <w:t>辽宁浩亿招投标有限公司</w:t>
            </w:r>
          </w:p>
          <w:p>
            <w:pPr>
              <w:widowControl/>
              <w:ind w:firstLine="420" w:firstLineChars="200"/>
              <w:rPr>
                <w:rFonts w:ascii="仿宋" w:hAnsi="仿宋" w:cs="仿宋"/>
              </w:rPr>
            </w:pPr>
            <w:r>
              <w:rPr>
                <w:rFonts w:hint="eastAsia" w:ascii="仿宋" w:hAnsi="仿宋" w:cs="仿宋"/>
              </w:rPr>
              <w:t>联 系 人：</w:t>
            </w:r>
            <w:r>
              <w:rPr>
                <w:rFonts w:hint="eastAsia" w:ascii="仿宋" w:hAnsi="仿宋" w:cs="仿宋"/>
                <w:u w:val="single"/>
              </w:rPr>
              <w:t>赵旭、张芳、李姗姗</w:t>
            </w:r>
          </w:p>
          <w:p>
            <w:pPr>
              <w:widowControl/>
              <w:ind w:firstLine="420" w:firstLineChars="200"/>
              <w:rPr>
                <w:rFonts w:ascii="仿宋" w:hAnsi="仿宋" w:cs="仿宋"/>
              </w:rPr>
            </w:pPr>
            <w:r>
              <w:rPr>
                <w:rFonts w:hint="eastAsia" w:ascii="仿宋" w:hAnsi="仿宋" w:cs="仿宋"/>
              </w:rPr>
              <w:t>联系电话：</w:t>
            </w:r>
            <w:r>
              <w:rPr>
                <w:rFonts w:hint="eastAsia" w:ascii="仿宋" w:hAnsi="仿宋" w:cs="仿宋"/>
                <w:kern w:val="0"/>
                <w:u w:val="single"/>
              </w:rPr>
              <w:t>024-81231520-115</w:t>
            </w:r>
          </w:p>
          <w:p>
            <w:pPr>
              <w:widowControl/>
              <w:ind w:firstLine="420" w:firstLineChars="200"/>
              <w:rPr>
                <w:rFonts w:ascii="仿宋" w:hAnsi="仿宋" w:cs="仿宋"/>
              </w:rPr>
            </w:pPr>
            <w:r>
              <w:rPr>
                <w:rFonts w:hint="eastAsia" w:ascii="仿宋" w:hAnsi="仿宋" w:cs="仿宋"/>
              </w:rPr>
              <w:t>通讯地址：</w:t>
            </w:r>
            <w:r>
              <w:rPr>
                <w:rFonts w:hint="eastAsia" w:ascii="仿宋" w:hAnsi="仿宋" w:cs="仿宋"/>
                <w:kern w:val="0"/>
                <w:u w:val="single"/>
              </w:rPr>
              <w:t>沈阳市皇姑区同江街11-1号3门</w:t>
            </w:r>
          </w:p>
          <w:p>
            <w:pPr>
              <w:widowControl/>
              <w:rPr>
                <w:rFonts w:ascii="仿宋" w:hAnsi="仿宋" w:cs="仿宋"/>
              </w:rPr>
            </w:pPr>
            <w:r>
              <w:rPr>
                <w:rFonts w:hint="eastAsia" w:ascii="仿宋" w:hAnsi="仿宋" w:cs="仿宋"/>
              </w:rPr>
              <w:t>2、质疑函的内容、格式：应符合《政府采购质疑和投诉办法》相关规定和财政部门制定的《政府采购质疑函范本》格式。</w:t>
            </w:r>
          </w:p>
          <w:p>
            <w:pPr>
              <w:pStyle w:val="9"/>
              <w:rPr>
                <w:rFonts w:ascii="仿宋" w:hAnsi="仿宋" w:cs="仿宋"/>
                <w:kern w:val="0"/>
              </w:rPr>
            </w:pPr>
            <w:r>
              <w:rPr>
                <w:rFonts w:hint="eastAsia" w:ascii="仿宋" w:hAnsi="仿宋" w:cs="仿宋"/>
              </w:rPr>
              <w:t>二、投标人应在法定质疑期内一次性针对同一采购程序环节提出质疑，否则针对再次提出质疑将不予接收。（采购程序环节分为：</w:t>
            </w:r>
            <w:r>
              <w:rPr>
                <w:rFonts w:hint="eastAsia" w:ascii="仿宋" w:hAnsi="仿宋" w:cs="仿宋"/>
                <w:kern w:val="0"/>
              </w:rPr>
              <w:t>招标</w:t>
            </w:r>
            <w:r>
              <w:rPr>
                <w:rFonts w:hint="eastAsia" w:ascii="仿宋" w:hAnsi="仿宋" w:cs="仿宋"/>
              </w:rPr>
              <w:t>公告、招标文件、招标过程、中标结果）</w:t>
            </w:r>
          </w:p>
        </w:tc>
      </w:tr>
      <w:tr>
        <w:tblPrEx>
          <w:tblCellMar>
            <w:top w:w="0" w:type="dxa"/>
            <w:left w:w="108" w:type="dxa"/>
            <w:bottom w:w="0" w:type="dxa"/>
            <w:right w:w="108" w:type="dxa"/>
          </w:tblCellMar>
        </w:tblPrEx>
        <w:trPr>
          <w:trHeight w:val="614" w:hRule="atLeast"/>
        </w:trPr>
        <w:tc>
          <w:tcPr>
            <w:tcW w:w="8656" w:type="dxa"/>
            <w:gridSpan w:val="3"/>
            <w:tcBorders>
              <w:top w:val="single" w:color="auto" w:sz="4" w:space="0"/>
              <w:left w:val="single" w:color="auto" w:sz="8" w:space="0"/>
              <w:bottom w:val="single" w:color="auto" w:sz="4" w:space="0"/>
              <w:right w:val="single" w:color="auto" w:sz="8" w:space="0"/>
            </w:tcBorders>
            <w:vAlign w:val="center"/>
          </w:tcPr>
          <w:p>
            <w:pPr>
              <w:widowControl/>
              <w:rPr>
                <w:rFonts w:ascii="仿宋" w:hAnsi="仿宋" w:cs="仿宋"/>
              </w:rPr>
            </w:pPr>
            <w:r>
              <w:rPr>
                <w:rFonts w:hint="eastAsia" w:ascii="仿宋" w:hAnsi="仿宋" w:cs="仿宋"/>
              </w:rPr>
              <w:t>项目结束后，供应商可到采购代理机构开具发票。外地供应商可采用邮寄方式开具发票。</w:t>
            </w:r>
          </w:p>
          <w:p>
            <w:pPr>
              <w:widowControl/>
              <w:rPr>
                <w:rFonts w:ascii="仿宋" w:hAnsi="仿宋" w:cs="仿宋"/>
              </w:rPr>
            </w:pPr>
            <w:r>
              <w:rPr>
                <w:rFonts w:hint="eastAsia" w:ascii="仿宋" w:hAnsi="仿宋" w:cs="仿宋"/>
              </w:rPr>
              <w:t>如需邮寄，请将以下资料发送到采购代理机构财务邮箱：</w:t>
            </w:r>
          </w:p>
          <w:p>
            <w:pPr>
              <w:widowControl/>
              <w:rPr>
                <w:rFonts w:ascii="仿宋" w:hAnsi="仿宋" w:cs="仿宋"/>
              </w:rPr>
            </w:pPr>
            <w:r>
              <w:rPr>
                <w:rFonts w:hint="eastAsia" w:ascii="仿宋" w:hAnsi="仿宋" w:cs="仿宋"/>
              </w:rPr>
              <w:t>1.项目全称；</w:t>
            </w:r>
          </w:p>
          <w:p>
            <w:pPr>
              <w:widowControl/>
              <w:rPr>
                <w:rFonts w:ascii="仿宋" w:hAnsi="仿宋" w:cs="仿宋"/>
              </w:rPr>
            </w:pPr>
            <w:r>
              <w:rPr>
                <w:rFonts w:hint="eastAsia" w:ascii="仿宋" w:hAnsi="仿宋" w:cs="仿宋"/>
              </w:rPr>
              <w:t>2.开票金额，采购文件费或采购代理服务费电汇凭证（如有，截图即可），中标人还需提供合同扫描件pdf版本，如有收据，需将收据原件交回财务；</w:t>
            </w:r>
          </w:p>
          <w:p>
            <w:pPr>
              <w:widowControl/>
              <w:rPr>
                <w:rFonts w:ascii="仿宋" w:hAnsi="仿宋" w:cs="仿宋"/>
              </w:rPr>
            </w:pPr>
            <w:r>
              <w:rPr>
                <w:rFonts w:hint="eastAsia" w:ascii="仿宋" w:hAnsi="仿宋" w:cs="仿宋"/>
              </w:rPr>
              <w:t>3.明确专票或普票；</w:t>
            </w:r>
          </w:p>
          <w:p>
            <w:pPr>
              <w:widowControl/>
              <w:rPr>
                <w:rFonts w:ascii="仿宋" w:hAnsi="仿宋" w:cs="仿宋"/>
              </w:rPr>
            </w:pPr>
            <w:r>
              <w:rPr>
                <w:rFonts w:hint="eastAsia" w:ascii="仿宋" w:hAnsi="仿宋" w:cs="仿宋"/>
              </w:rPr>
              <w:t>4.供应商完整的开票信息；</w:t>
            </w:r>
          </w:p>
          <w:p>
            <w:pPr>
              <w:widowControl/>
              <w:rPr>
                <w:rFonts w:ascii="仿宋" w:hAnsi="仿宋" w:cs="仿宋"/>
              </w:rPr>
            </w:pPr>
            <w:r>
              <w:rPr>
                <w:rFonts w:hint="eastAsia" w:ascii="仿宋" w:hAnsi="仿宋" w:cs="仿宋"/>
              </w:rPr>
              <w:t xml:space="preserve">5.供应商邮寄地址、联系人及手机号。 </w:t>
            </w:r>
          </w:p>
          <w:p>
            <w:pPr>
              <w:widowControl/>
              <w:rPr>
                <w:rFonts w:ascii="仿宋" w:hAnsi="仿宋" w:cs="仿宋"/>
              </w:rPr>
            </w:pPr>
            <w:r>
              <w:rPr>
                <w:rFonts w:hint="eastAsia" w:ascii="仿宋" w:hAnsi="仿宋" w:cs="仿宋"/>
              </w:rPr>
              <w:t xml:space="preserve">邮寄方式：顺丰到付 </w:t>
            </w:r>
          </w:p>
          <w:p>
            <w:pPr>
              <w:widowControl/>
              <w:rPr>
                <w:rFonts w:ascii="仿宋" w:hAnsi="仿宋" w:cs="仿宋"/>
              </w:rPr>
            </w:pPr>
            <w:r>
              <w:rPr>
                <w:rFonts w:hint="eastAsia" w:ascii="仿宋" w:hAnsi="仿宋" w:cs="仿宋"/>
              </w:rPr>
              <w:t>财务邮箱：syhygs@163.com</w:t>
            </w:r>
          </w:p>
          <w:p>
            <w:pPr>
              <w:widowControl/>
              <w:rPr>
                <w:rFonts w:ascii="仿宋" w:hAnsi="仿宋" w:cs="仿宋"/>
              </w:rPr>
            </w:pPr>
            <w:r>
              <w:rPr>
                <w:rFonts w:hint="eastAsia" w:ascii="仿宋" w:hAnsi="仿宋" w:cs="仿宋"/>
              </w:rPr>
              <w:t>咨询电话：024-86415619 赵女士</w:t>
            </w:r>
          </w:p>
        </w:tc>
      </w:tr>
      <w:tr>
        <w:tblPrEx>
          <w:tblCellMar>
            <w:top w:w="0" w:type="dxa"/>
            <w:left w:w="108" w:type="dxa"/>
            <w:bottom w:w="0" w:type="dxa"/>
            <w:right w:w="108" w:type="dxa"/>
          </w:tblCellMar>
        </w:tblPrEx>
        <w:trPr>
          <w:trHeight w:val="614" w:hRule="atLeast"/>
        </w:trPr>
        <w:tc>
          <w:tcPr>
            <w:tcW w:w="8656" w:type="dxa"/>
            <w:gridSpan w:val="3"/>
            <w:tcBorders>
              <w:top w:val="single" w:color="auto" w:sz="4" w:space="0"/>
              <w:left w:val="single" w:color="auto" w:sz="8" w:space="0"/>
              <w:bottom w:val="single" w:color="auto" w:sz="4" w:space="0"/>
              <w:right w:val="single" w:color="auto" w:sz="8" w:space="0"/>
            </w:tcBorders>
            <w:vAlign w:val="center"/>
          </w:tcPr>
          <w:p>
            <w:pPr>
              <w:widowControl/>
              <w:rPr>
                <w:rFonts w:ascii="仿宋" w:hAnsi="仿宋" w:cs="仿宋"/>
                <w:b/>
                <w:bCs/>
              </w:rPr>
            </w:pPr>
            <w:r>
              <w:rPr>
                <w:rFonts w:hint="eastAsia" w:ascii="仿宋" w:hAnsi="仿宋" w:cs="仿宋"/>
                <w:b/>
                <w:bCs/>
              </w:rPr>
              <w:t>注意事项：</w:t>
            </w:r>
          </w:p>
          <w:p>
            <w:pPr>
              <w:widowControl/>
              <w:rPr>
                <w:rFonts w:ascii="仿宋" w:hAnsi="仿宋" w:cs="仿宋"/>
                <w:b/>
                <w:bCs/>
              </w:rPr>
            </w:pPr>
            <w:r>
              <w:rPr>
                <w:rFonts w:hint="eastAsia" w:ascii="仿宋" w:hAnsi="仿宋" w:cs="仿宋"/>
                <w:b/>
                <w:bCs/>
              </w:rPr>
              <w:t>1、供应商除在电子评审系统上传投标文件外，应在递交投标文件截止时间前提交按采购文件规定的加密密封的电子文件，并承诺备份文件与电子评审系统中上传的投标文件内容、格式一致，备系统突发故障使用。供应商仅提交备份文件的，投标无效。</w:t>
            </w:r>
          </w:p>
          <w:p>
            <w:pPr>
              <w:widowControl/>
              <w:rPr>
                <w:rFonts w:ascii="仿宋" w:hAnsi="仿宋" w:cs="仿宋"/>
                <w:b/>
                <w:bCs/>
              </w:rPr>
            </w:pPr>
            <w:r>
              <w:rPr>
                <w:rFonts w:hint="eastAsia" w:ascii="仿宋" w:hAnsi="仿宋" w:cs="仿宋"/>
                <w:b/>
                <w:bCs/>
              </w:rPr>
              <w:t>2、供应商在电子评审活动中出现以下情形的，应按如下规定进行处理：</w:t>
            </w:r>
          </w:p>
          <w:p>
            <w:pPr>
              <w:widowControl/>
              <w:rPr>
                <w:rFonts w:ascii="仿宋" w:hAnsi="仿宋" w:cs="仿宋"/>
                <w:b/>
                <w:bCs/>
              </w:rPr>
            </w:pPr>
            <w:r>
              <w:rPr>
                <w:rFonts w:hint="eastAsia" w:ascii="仿宋" w:hAnsi="仿宋" w:cs="仿宋"/>
                <w:b/>
                <w:bCs/>
              </w:rPr>
              <w:t xml:space="preserve">    （1）因供应商原因造成投标文件未解密的；</w:t>
            </w:r>
          </w:p>
          <w:p>
            <w:pPr>
              <w:widowControl/>
              <w:rPr>
                <w:rFonts w:ascii="仿宋" w:hAnsi="仿宋" w:cs="仿宋"/>
                <w:b/>
                <w:bCs/>
              </w:rPr>
            </w:pPr>
            <w:r>
              <w:rPr>
                <w:rFonts w:hint="eastAsia" w:ascii="仿宋" w:hAnsi="仿宋" w:cs="仿宋"/>
                <w:b/>
                <w:bCs/>
              </w:rPr>
              <w:t xml:space="preserve">    （2）因供应商自用设备原因造成的未在规定时间内解密、上传文件或投标报价等问题影响电子评审的；</w:t>
            </w:r>
          </w:p>
          <w:p>
            <w:pPr>
              <w:widowControl/>
              <w:rPr>
                <w:rFonts w:ascii="仿宋" w:hAnsi="仿宋" w:cs="仿宋"/>
                <w:b/>
                <w:bCs/>
              </w:rPr>
            </w:pPr>
            <w:r>
              <w:rPr>
                <w:rFonts w:hint="eastAsia" w:ascii="仿宋" w:hAnsi="仿宋" w:cs="仿宋"/>
                <w:b/>
                <w:bCs/>
              </w:rPr>
              <w:t xml:space="preserve">    （3）因供应商原因未对文件校验造成信息缺失、文件内容或格式不正确以及备份文件不符合要求等问题影响评审的。</w:t>
            </w:r>
          </w:p>
          <w:p>
            <w:pPr>
              <w:widowControl/>
              <w:rPr>
                <w:rFonts w:ascii="仿宋" w:hAnsi="仿宋" w:cs="仿宋"/>
              </w:rPr>
            </w:pPr>
            <w:r>
              <w:rPr>
                <w:rFonts w:hint="eastAsia" w:ascii="仿宋" w:hAnsi="仿宋" w:cs="仿宋"/>
                <w:b/>
                <w:bCs/>
              </w:rPr>
              <w:t xml:space="preserve">    出现前款（1）（2）情形的，视为放弃投标；出现前款（3）情形的，由供应商自行承担相应责任。</w:t>
            </w:r>
          </w:p>
        </w:tc>
      </w:tr>
    </w:tbl>
    <w:p>
      <w:pPr>
        <w:pStyle w:val="5"/>
        <w:adjustRightInd w:val="0"/>
        <w:snapToGrid w:val="0"/>
        <w:spacing w:before="0" w:after="0" w:line="360" w:lineRule="auto"/>
        <w:rPr>
          <w:rFonts w:ascii="仿宋" w:hAnsi="仿宋" w:cs="仿宋"/>
          <w:sz w:val="32"/>
          <w:szCs w:val="32"/>
        </w:rPr>
      </w:pPr>
      <w:r>
        <w:rPr>
          <w:rFonts w:hint="eastAsia" w:ascii="仿宋" w:hAnsi="仿宋" w:cs="仿宋"/>
          <w:sz w:val="21"/>
          <w:szCs w:val="21"/>
        </w:rPr>
        <w:br w:type="page"/>
      </w:r>
      <w:bookmarkStart w:id="36" w:name="_Toc30384_WPSOffice_Level2"/>
      <w:r>
        <w:rPr>
          <w:rFonts w:hint="eastAsia" w:ascii="仿宋" w:hAnsi="仿宋" w:cs="仿宋"/>
          <w:sz w:val="32"/>
          <w:szCs w:val="32"/>
        </w:rPr>
        <w:t>二 总则</w:t>
      </w:r>
      <w:bookmarkEnd w:id="36"/>
    </w:p>
    <w:p>
      <w:pPr>
        <w:adjustRightInd w:val="0"/>
        <w:snapToGrid w:val="0"/>
        <w:spacing w:line="360" w:lineRule="auto"/>
        <w:rPr>
          <w:rFonts w:ascii="仿宋" w:hAnsi="仿宋" w:cs="仿宋"/>
          <w:b/>
          <w:bCs/>
        </w:rPr>
      </w:pPr>
      <w:r>
        <w:rPr>
          <w:rFonts w:hint="eastAsia" w:ascii="仿宋" w:hAnsi="仿宋" w:cs="仿宋"/>
          <w:b/>
          <w:bCs/>
        </w:rPr>
        <w:t>1.采购人、采购代理机构及投标人</w:t>
      </w:r>
    </w:p>
    <w:p>
      <w:pPr>
        <w:adjustRightInd w:val="0"/>
        <w:snapToGrid w:val="0"/>
        <w:spacing w:line="360" w:lineRule="auto"/>
        <w:rPr>
          <w:rFonts w:ascii="仿宋" w:hAnsi="仿宋" w:cs="仿宋"/>
        </w:rPr>
      </w:pPr>
      <w:r>
        <w:rPr>
          <w:rFonts w:hint="eastAsia" w:ascii="仿宋" w:hAnsi="仿宋" w:cs="仿宋"/>
        </w:rPr>
        <w:t>1.1采购人：是指依法进行政府采购的国家机关、事业单位、团体组织。本项目采购人见投标人须知表1.1款。</w:t>
      </w:r>
    </w:p>
    <w:p>
      <w:pPr>
        <w:adjustRightInd w:val="0"/>
        <w:snapToGrid w:val="0"/>
        <w:spacing w:line="360" w:lineRule="auto"/>
        <w:rPr>
          <w:rFonts w:ascii="仿宋" w:hAnsi="仿宋" w:cs="仿宋"/>
        </w:rPr>
      </w:pPr>
      <w:r>
        <w:rPr>
          <w:rFonts w:hint="eastAsia" w:ascii="仿宋" w:hAnsi="仿宋" w:cs="仿宋"/>
        </w:rPr>
        <w:t>1.2采购代理机构：是指集中采购机构或从事采购代理业务的社会中介机构，本项目的采购代理机构见投标人须知表1.2款。</w:t>
      </w:r>
    </w:p>
    <w:p>
      <w:pPr>
        <w:adjustRightInd w:val="0"/>
        <w:snapToGrid w:val="0"/>
        <w:spacing w:line="360" w:lineRule="auto"/>
        <w:rPr>
          <w:rFonts w:ascii="仿宋" w:hAnsi="仿宋" w:cs="仿宋"/>
        </w:rPr>
      </w:pPr>
      <w:r>
        <w:rPr>
          <w:rFonts w:hint="eastAsia" w:ascii="仿宋" w:hAnsi="仿宋" w:cs="仿宋"/>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 w:hAnsi="仿宋" w:cs="仿宋"/>
        </w:rPr>
      </w:pPr>
      <w:r>
        <w:rPr>
          <w:rFonts w:hint="eastAsia" w:ascii="仿宋" w:hAnsi="仿宋" w:cs="仿宋"/>
        </w:rPr>
        <w:t>1.3.1在中华人民共和国境内注册，能够独立承担民事责任，有生产或供应能力的本国供应商。</w:t>
      </w:r>
    </w:p>
    <w:p>
      <w:pPr>
        <w:adjustRightInd w:val="0"/>
        <w:snapToGrid w:val="0"/>
        <w:spacing w:line="360" w:lineRule="auto"/>
        <w:rPr>
          <w:rFonts w:ascii="仿宋" w:hAnsi="仿宋" w:cs="仿宋"/>
        </w:rPr>
      </w:pPr>
      <w:r>
        <w:rPr>
          <w:rFonts w:hint="eastAsia" w:ascii="仿宋" w:hAnsi="仿宋" w:cs="仿宋"/>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 w:hAnsi="仿宋" w:cs="仿宋"/>
        </w:rPr>
      </w:pPr>
      <w:r>
        <w:rPr>
          <w:rFonts w:hint="eastAsia" w:ascii="仿宋" w:hAnsi="仿宋" w:cs="仿宋"/>
        </w:rPr>
        <w:t>1.3.3以采购代理机构认可的方式获得了本项目的招标文件。</w:t>
      </w:r>
    </w:p>
    <w:p>
      <w:pPr>
        <w:adjustRightInd w:val="0"/>
        <w:snapToGrid w:val="0"/>
        <w:spacing w:line="360" w:lineRule="auto"/>
        <w:rPr>
          <w:rFonts w:ascii="仿宋" w:hAnsi="仿宋" w:cs="仿宋"/>
        </w:rPr>
      </w:pPr>
      <w:r>
        <w:rPr>
          <w:rFonts w:hint="eastAsia" w:ascii="仿宋" w:hAnsi="仿宋" w:cs="仿宋"/>
        </w:rPr>
        <w:t>1.3.4符合投标人须知表1.3.4款中规定的资格条件。</w:t>
      </w:r>
    </w:p>
    <w:p>
      <w:pPr>
        <w:adjustRightInd w:val="0"/>
        <w:snapToGrid w:val="0"/>
        <w:spacing w:line="360" w:lineRule="auto"/>
        <w:rPr>
          <w:rFonts w:ascii="仿宋" w:hAnsi="仿宋" w:cs="仿宋"/>
        </w:rPr>
      </w:pPr>
      <w:r>
        <w:rPr>
          <w:rFonts w:hint="eastAsia" w:ascii="仿宋" w:hAnsi="仿宋" w:cs="仿宋"/>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 w:hAnsi="仿宋" w:cs="仿宋"/>
        </w:rPr>
      </w:pPr>
      <w:r>
        <w:rPr>
          <w:rFonts w:hint="eastAsia" w:ascii="仿宋" w:hAnsi="仿宋" w:cs="仿宋"/>
        </w:rPr>
        <w:t>若投标人须知表1.3.5款中未写明允许采购进口产品，如投标人所投产品为进口产品，其投标将被认定为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1.3.6若投标人须知表1.3.6款中写明专门面向中小企业采购的，如投标人为非中小企业且所投产品为非中小企业产品，其投标将被认定为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★1.4如投标人须知表1.4款中允许联合体投标，对联合体规定如下：</w:t>
      </w:r>
    </w:p>
    <w:p>
      <w:pPr>
        <w:adjustRightInd w:val="0"/>
        <w:snapToGrid w:val="0"/>
        <w:spacing w:line="360" w:lineRule="auto"/>
        <w:rPr>
          <w:rFonts w:ascii="仿宋" w:hAnsi="仿宋" w:cs="仿宋"/>
        </w:rPr>
      </w:pPr>
      <w:r>
        <w:rPr>
          <w:rFonts w:hint="eastAsia" w:ascii="仿宋" w:hAnsi="仿宋" w:cs="仿宋"/>
        </w:rPr>
        <w:t>1.4.1两个以上供应商可以组成一个投标联合体，以一个投标人的身份投标。</w:t>
      </w:r>
    </w:p>
    <w:p>
      <w:pPr>
        <w:adjustRightInd w:val="0"/>
        <w:snapToGrid w:val="0"/>
        <w:spacing w:line="360" w:lineRule="auto"/>
        <w:rPr>
          <w:rFonts w:ascii="仿宋" w:hAnsi="仿宋" w:cs="仿宋"/>
        </w:rPr>
      </w:pPr>
      <w:r>
        <w:rPr>
          <w:rFonts w:hint="eastAsia" w:ascii="仿宋" w:hAnsi="仿宋" w:cs="仿宋"/>
        </w:rPr>
        <w:t>1.4.2联合体各方均应符合《中华人民共和国政府采购法》第二十二条规定的条件。</w:t>
      </w:r>
    </w:p>
    <w:p>
      <w:pPr>
        <w:adjustRightInd w:val="0"/>
        <w:snapToGrid w:val="0"/>
        <w:spacing w:line="360" w:lineRule="auto"/>
        <w:rPr>
          <w:rFonts w:ascii="仿宋" w:hAnsi="仿宋" w:cs="仿宋"/>
        </w:rPr>
      </w:pPr>
      <w:r>
        <w:rPr>
          <w:rFonts w:hint="eastAsia" w:ascii="仿宋" w:hAnsi="仿宋" w:cs="仿宋"/>
        </w:rPr>
        <w:t>1.4.3采购人根据采购项目对投标人的特殊要求，联合体中至少应当有一方符合相关规定。</w:t>
      </w:r>
    </w:p>
    <w:p>
      <w:pPr>
        <w:adjustRightInd w:val="0"/>
        <w:snapToGrid w:val="0"/>
        <w:spacing w:line="360" w:lineRule="auto"/>
        <w:rPr>
          <w:rFonts w:ascii="仿宋" w:hAnsi="仿宋" w:cs="仿宋"/>
        </w:rPr>
      </w:pPr>
      <w:r>
        <w:rPr>
          <w:rFonts w:hint="eastAsia" w:ascii="仿宋" w:hAnsi="仿宋" w:cs="仿宋"/>
        </w:rPr>
        <w:t>1.4.4联合体各方应签订共同投标协议，明确约定联合体各方承担的工作和相应的责任。</w:t>
      </w:r>
    </w:p>
    <w:p>
      <w:pPr>
        <w:adjustRightInd w:val="0"/>
        <w:snapToGrid w:val="0"/>
        <w:spacing w:line="360" w:lineRule="auto"/>
        <w:rPr>
          <w:rFonts w:ascii="仿宋" w:hAnsi="仿宋" w:cs="仿宋"/>
        </w:rPr>
      </w:pPr>
      <w:r>
        <w:rPr>
          <w:rFonts w:hint="eastAsia" w:ascii="仿宋" w:hAnsi="仿宋" w:cs="仿宋"/>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 w:hAnsi="仿宋" w:cs="仿宋"/>
        </w:rPr>
      </w:pPr>
      <w:r>
        <w:rPr>
          <w:rFonts w:hint="eastAsia" w:ascii="仿宋" w:hAnsi="仿宋" w:cs="仿宋"/>
        </w:rPr>
        <w:t>1.4.6联合体中有同类资质的供应商按照联合体分工承担相同工作的，按照较低的资质等级确定联合体的资质等级。</w:t>
      </w:r>
    </w:p>
    <w:p>
      <w:pPr>
        <w:adjustRightInd w:val="0"/>
        <w:snapToGrid w:val="0"/>
        <w:spacing w:line="360" w:lineRule="auto"/>
        <w:rPr>
          <w:rFonts w:ascii="仿宋" w:hAnsi="仿宋" w:cs="仿宋"/>
        </w:rPr>
      </w:pPr>
      <w:r>
        <w:rPr>
          <w:rFonts w:hint="eastAsia" w:ascii="仿宋" w:hAnsi="仿宋" w:cs="仿宋"/>
        </w:rPr>
        <w:t>1.4.7以联合体形式参加政府采购活动的，联合体各方不得再单独参加或者与其他供应商另外组成联合体参加本项目投标，否则相关投标将被认定为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（1）两个以上的自然人、法人或者其他组织可以组成一个联合体，以一个投标人的身份共同参加政府采购活动。</w:t>
      </w:r>
    </w:p>
    <w:p>
      <w:pPr>
        <w:adjustRightInd w:val="0"/>
        <w:snapToGrid w:val="0"/>
        <w:spacing w:line="360" w:lineRule="auto"/>
        <w:rPr>
          <w:rFonts w:ascii="仿宋" w:hAnsi="仿宋" w:cs="仿宋"/>
        </w:rPr>
      </w:pPr>
      <w:r>
        <w:rPr>
          <w:rFonts w:hint="eastAsia" w:ascii="仿宋" w:hAnsi="仿宋" w:cs="仿宋"/>
        </w:rPr>
        <w:t>（2）联合体中标的，联合体各方应共同与采购人签订采购合同，就采购合同约定的事项对采购人承担连带责任。</w:t>
      </w:r>
    </w:p>
    <w:p>
      <w:pPr>
        <w:adjustRightInd w:val="0"/>
        <w:snapToGrid w:val="0"/>
        <w:spacing w:line="360" w:lineRule="auto"/>
        <w:rPr>
          <w:rFonts w:ascii="仿宋" w:hAnsi="仿宋" w:cs="仿宋"/>
        </w:rPr>
      </w:pPr>
      <w:r>
        <w:rPr>
          <w:rFonts w:hint="eastAsia" w:ascii="仿宋" w:hAnsi="仿宋" w:cs="仿宋"/>
        </w:rPr>
        <w:t>1.4.8对联合体投标的其他资格要求见投标人须知表1.4.8款。</w:t>
      </w:r>
    </w:p>
    <w:p>
      <w:pPr>
        <w:adjustRightInd w:val="0"/>
        <w:snapToGrid w:val="0"/>
        <w:spacing w:line="360" w:lineRule="auto"/>
        <w:rPr>
          <w:rFonts w:ascii="仿宋" w:hAnsi="仿宋" w:cs="仿宋"/>
        </w:rPr>
      </w:pPr>
      <w:r>
        <w:rPr>
          <w:rFonts w:hint="eastAsia" w:ascii="仿宋" w:hAnsi="仿宋" w:cs="仿宋"/>
        </w:rPr>
        <w:t>★1.5单位负责人为同一人或者存在直接控股、管理关系的不同供应商，其相关投标将被认定为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★1.6为本项目提供过整体设计、规范编制或者项目管理、监理、检测等服务的供应商，不得再参加本项目上述服务以外的其他采购活动，否则其投标将被认定为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★1.7投标人在投标过程中不得向采购人提供、给予任何有价值的物品，影响其正常决策行为。一经发现，其将被认定为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b/>
          <w:bCs/>
        </w:rPr>
      </w:pPr>
      <w:r>
        <w:rPr>
          <w:rFonts w:hint="eastAsia" w:ascii="仿宋" w:hAnsi="仿宋" w:cs="仿宋"/>
          <w:b/>
          <w:bCs/>
        </w:rPr>
        <w:t>2.资金来源</w:t>
      </w:r>
    </w:p>
    <w:p>
      <w:pPr>
        <w:adjustRightInd w:val="0"/>
        <w:snapToGrid w:val="0"/>
        <w:spacing w:line="360" w:lineRule="auto"/>
        <w:rPr>
          <w:rFonts w:ascii="仿宋" w:hAnsi="仿宋" w:cs="仿宋"/>
        </w:rPr>
      </w:pPr>
      <w:r>
        <w:rPr>
          <w:rFonts w:hint="eastAsia" w:ascii="仿宋" w:hAnsi="仿宋" w:cs="仿宋"/>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 w:hAnsi="仿宋" w:cs="仿宋"/>
        </w:rPr>
      </w:pPr>
      <w:r>
        <w:rPr>
          <w:rFonts w:hint="eastAsia" w:ascii="仿宋" w:hAnsi="仿宋" w:cs="仿宋"/>
          <w:b/>
          <w:bCs/>
        </w:rPr>
        <w:t>★</w:t>
      </w:r>
      <w:r>
        <w:rPr>
          <w:rFonts w:hint="eastAsia" w:ascii="仿宋" w:hAnsi="仿宋" w:cs="仿宋"/>
        </w:rPr>
        <w:t>2.2项目预算金额和分项或分包最高限价见投标人须知表2.2款。</w:t>
      </w:r>
    </w:p>
    <w:p>
      <w:pPr>
        <w:adjustRightInd w:val="0"/>
        <w:snapToGrid w:val="0"/>
        <w:spacing w:line="360" w:lineRule="auto"/>
        <w:rPr>
          <w:rFonts w:ascii="仿宋" w:hAnsi="仿宋" w:cs="仿宋"/>
        </w:rPr>
      </w:pPr>
      <w:r>
        <w:rPr>
          <w:rFonts w:hint="eastAsia" w:ascii="仿宋" w:hAnsi="仿宋" w:cs="仿宋"/>
          <w:b/>
          <w:bCs/>
        </w:rPr>
        <w:t>★</w:t>
      </w:r>
      <w:r>
        <w:rPr>
          <w:rFonts w:hint="eastAsia" w:ascii="仿宋" w:hAnsi="仿宋" w:cs="仿宋"/>
        </w:rPr>
        <w:t>2.3投标人报价超过招标文件规定的预算金额或者分项、分包最高限价的，其投标将被认定为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b/>
          <w:bCs/>
        </w:rPr>
      </w:pPr>
      <w:bookmarkStart w:id="37" w:name="_Toc266951048"/>
      <w:r>
        <w:rPr>
          <w:rFonts w:hint="eastAsia" w:ascii="仿宋" w:hAnsi="仿宋" w:cs="仿宋"/>
          <w:b/>
          <w:bCs/>
        </w:rPr>
        <w:t>3.语言文字</w:t>
      </w:r>
      <w:bookmarkEnd w:id="37"/>
    </w:p>
    <w:p>
      <w:pPr>
        <w:adjustRightInd w:val="0"/>
        <w:snapToGrid w:val="0"/>
        <w:spacing w:line="360" w:lineRule="auto"/>
        <w:ind w:firstLine="420" w:firstLineChars="200"/>
        <w:rPr>
          <w:rFonts w:ascii="仿宋" w:hAnsi="仿宋" w:cs="仿宋"/>
        </w:rPr>
      </w:pPr>
      <w:r>
        <w:rPr>
          <w:rFonts w:hint="eastAsia" w:ascii="仿宋" w:hAnsi="仿宋" w:cs="仿宋"/>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 w:hAnsi="仿宋" w:cs="仿宋"/>
          <w:b/>
          <w:bCs/>
        </w:rPr>
      </w:pPr>
      <w:bookmarkStart w:id="38" w:name="_1_8_计量单位"/>
      <w:bookmarkEnd w:id="38"/>
      <w:bookmarkStart w:id="39" w:name="_Toc266951049"/>
      <w:r>
        <w:rPr>
          <w:rFonts w:hint="eastAsia" w:ascii="仿宋" w:hAnsi="仿宋" w:cs="仿宋"/>
        </w:rPr>
        <w:t>★</w:t>
      </w:r>
      <w:r>
        <w:rPr>
          <w:rFonts w:hint="eastAsia" w:ascii="仿宋" w:hAnsi="仿宋" w:cs="仿宋"/>
          <w:b/>
          <w:bCs/>
        </w:rPr>
        <w:t>4.计量单位</w:t>
      </w:r>
      <w:bookmarkEnd w:id="39"/>
    </w:p>
    <w:p>
      <w:pPr>
        <w:adjustRightInd w:val="0"/>
        <w:snapToGrid w:val="0"/>
        <w:spacing w:line="360" w:lineRule="auto"/>
        <w:ind w:firstLine="420" w:firstLineChars="200"/>
        <w:rPr>
          <w:rFonts w:ascii="仿宋" w:hAnsi="仿宋" w:cs="仿宋"/>
        </w:rPr>
      </w:pPr>
      <w:r>
        <w:rPr>
          <w:rFonts w:hint="eastAsia" w:ascii="仿宋" w:hAnsi="仿宋" w:cs="仿宋"/>
        </w:rPr>
        <w:t>除投标人须知表4款中有特殊要求外，投标文件中所使用的计量单位，应采用中华人民共和国法定计量单位。</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5.投标费用</w:t>
      </w:r>
    </w:p>
    <w:p>
      <w:pPr>
        <w:adjustRightInd w:val="0"/>
        <w:snapToGrid w:val="0"/>
        <w:spacing w:line="360" w:lineRule="auto"/>
        <w:ind w:firstLine="420" w:firstLineChars="200"/>
        <w:rPr>
          <w:rFonts w:ascii="仿宋" w:hAnsi="仿宋" w:cs="仿宋"/>
        </w:rPr>
      </w:pPr>
      <w:r>
        <w:rPr>
          <w:rFonts w:hint="eastAsia" w:ascii="仿宋" w:hAnsi="仿宋" w:cs="仿宋"/>
        </w:rPr>
        <w:t>不论投标的结果如何，投标人应承担所有与投标有关的费用。</w:t>
      </w:r>
    </w:p>
    <w:p>
      <w:pPr>
        <w:adjustRightInd w:val="0"/>
        <w:snapToGrid w:val="0"/>
        <w:spacing w:line="360" w:lineRule="auto"/>
        <w:rPr>
          <w:rFonts w:ascii="仿宋" w:hAnsi="仿宋" w:cs="仿宋"/>
          <w:b/>
          <w:bCs/>
        </w:rPr>
      </w:pPr>
      <w:r>
        <w:rPr>
          <w:rFonts w:hint="eastAsia" w:ascii="仿宋" w:hAnsi="仿宋" w:cs="仿宋"/>
          <w:b/>
          <w:bCs/>
        </w:rPr>
        <w:t>6.现场考察、开标前答疑会</w:t>
      </w:r>
    </w:p>
    <w:p>
      <w:pPr>
        <w:adjustRightInd w:val="0"/>
        <w:snapToGrid w:val="0"/>
        <w:spacing w:line="360" w:lineRule="auto"/>
        <w:rPr>
          <w:rFonts w:ascii="仿宋" w:hAnsi="仿宋" w:cs="仿宋"/>
        </w:rPr>
      </w:pPr>
      <w:r>
        <w:rPr>
          <w:rFonts w:hint="eastAsia" w:ascii="仿宋" w:hAnsi="仿宋" w:cs="仿宋"/>
        </w:rPr>
        <w:t>6.1</w:t>
      </w:r>
      <w:r>
        <w:fldChar w:fldCharType="begin"/>
      </w:r>
      <w:r>
        <w:instrText xml:space="preserve"> HYPERLINK \l "_踏勘现场" </w:instrText>
      </w:r>
      <w:r>
        <w:fldChar w:fldCharType="separate"/>
      </w:r>
      <w:r>
        <w:rPr>
          <w:rFonts w:hint="eastAsia" w:ascii="仿宋" w:hAnsi="仿宋" w:cs="仿宋"/>
        </w:rPr>
        <w:t>投标人须知表</w:t>
      </w:r>
      <w:r>
        <w:rPr>
          <w:rFonts w:hint="eastAsia" w:ascii="仿宋" w:hAnsi="仿宋" w:cs="仿宋"/>
        </w:rPr>
        <w:fldChar w:fldCharType="end"/>
      </w:r>
      <w:r>
        <w:rPr>
          <w:rFonts w:hint="eastAsia" w:ascii="仿宋" w:hAnsi="仿宋" w:cs="仿宋"/>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 w:hAnsi="仿宋" w:cs="仿宋"/>
          <w:b/>
          <w:bCs/>
        </w:rPr>
      </w:pPr>
      <w:bookmarkStart w:id="40" w:name="_1_10_投标预备会"/>
      <w:bookmarkEnd w:id="40"/>
      <w:r>
        <w:rPr>
          <w:rFonts w:hint="eastAsia" w:ascii="仿宋" w:hAnsi="仿宋" w:cs="仿宋"/>
        </w:rPr>
        <w:t>6.2</w:t>
      </w:r>
      <w:r>
        <w:rPr>
          <w:rFonts w:hint="eastAsia" w:ascii="仿宋" w:hAnsi="仿宋" w:cs="仿宋"/>
          <w:kern w:val="0"/>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 w:hAnsi="仿宋" w:cs="仿宋"/>
          <w:kern w:val="0"/>
        </w:rPr>
        <w:t>投标报价</w:t>
      </w:r>
      <w:r>
        <w:rPr>
          <w:rFonts w:hint="eastAsia" w:ascii="仿宋" w:hAnsi="仿宋" w:cs="仿宋"/>
          <w:kern w:val="0"/>
        </w:rPr>
        <w:fldChar w:fldCharType="end"/>
      </w:r>
      <w:r>
        <w:rPr>
          <w:rFonts w:hint="eastAsia" w:ascii="仿宋" w:hAnsi="仿宋" w:cs="仿宋"/>
          <w:kern w:val="0"/>
        </w:rPr>
        <w:t>准确性、综合因素响应不全面等问题的，由投标人自行承担相应后果。</w:t>
      </w:r>
    </w:p>
    <w:p>
      <w:pPr>
        <w:adjustRightInd w:val="0"/>
        <w:snapToGrid w:val="0"/>
        <w:spacing w:line="360" w:lineRule="auto"/>
        <w:rPr>
          <w:rFonts w:ascii="仿宋" w:hAnsi="仿宋" w:cs="仿宋"/>
        </w:rPr>
      </w:pPr>
      <w:r>
        <w:rPr>
          <w:rFonts w:hint="eastAsia" w:ascii="仿宋" w:hAnsi="仿宋" w:cs="仿宋"/>
        </w:rPr>
        <w:t>6.3现场考察及参加标前答疑会所发生的费用及一切责任由投标人自行承担。</w:t>
      </w:r>
    </w:p>
    <w:p>
      <w:pPr>
        <w:adjustRightInd w:val="0"/>
        <w:snapToGrid w:val="0"/>
        <w:spacing w:line="360" w:lineRule="auto"/>
        <w:rPr>
          <w:rFonts w:ascii="仿宋" w:hAnsi="仿宋" w:cs="仿宋"/>
          <w:b/>
          <w:bCs/>
        </w:rPr>
      </w:pPr>
      <w:r>
        <w:rPr>
          <w:rFonts w:hint="eastAsia" w:ascii="仿宋" w:hAnsi="仿宋" w:cs="仿宋"/>
          <w:b/>
          <w:bCs/>
        </w:rPr>
        <w:t>7.适用法律</w:t>
      </w:r>
    </w:p>
    <w:p>
      <w:pPr>
        <w:adjustRightInd w:val="0"/>
        <w:snapToGrid w:val="0"/>
        <w:spacing w:line="360" w:lineRule="auto"/>
        <w:ind w:firstLine="420" w:firstLineChars="200"/>
        <w:rPr>
          <w:rFonts w:ascii="仿宋" w:hAnsi="仿宋" w:cs="仿宋"/>
        </w:rPr>
      </w:pPr>
      <w:r>
        <w:rPr>
          <w:rFonts w:hint="eastAsia" w:ascii="仿宋" w:hAnsi="仿宋" w:cs="仿宋"/>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5"/>
        <w:rPr>
          <w:rFonts w:ascii="仿宋" w:hAnsi="仿宋" w:cs="仿宋"/>
          <w:sz w:val="32"/>
          <w:szCs w:val="32"/>
        </w:rPr>
      </w:pPr>
      <w:bookmarkStart w:id="41" w:name="_Toc10106_WPSOffice_Level2"/>
      <w:r>
        <w:rPr>
          <w:rFonts w:hint="eastAsia" w:ascii="仿宋" w:hAnsi="仿宋" w:cs="仿宋"/>
          <w:sz w:val="32"/>
          <w:szCs w:val="32"/>
        </w:rPr>
        <w:t>三 招标文件</w:t>
      </w:r>
      <w:bookmarkEnd w:id="41"/>
    </w:p>
    <w:p>
      <w:pPr>
        <w:tabs>
          <w:tab w:val="left" w:pos="312"/>
        </w:tabs>
        <w:adjustRightInd w:val="0"/>
        <w:snapToGrid w:val="0"/>
        <w:spacing w:line="360" w:lineRule="auto"/>
        <w:rPr>
          <w:rFonts w:ascii="仿宋" w:hAnsi="仿宋" w:cs="仿宋"/>
          <w:b/>
          <w:bCs/>
        </w:rPr>
      </w:pPr>
      <w:r>
        <w:rPr>
          <w:rFonts w:hint="eastAsia" w:ascii="仿宋" w:hAnsi="仿宋" w:cs="仿宋"/>
          <w:b/>
          <w:bCs/>
        </w:rPr>
        <w:t>8.招标文件构成</w:t>
      </w:r>
    </w:p>
    <w:p>
      <w:pPr>
        <w:adjustRightInd w:val="0"/>
        <w:snapToGrid w:val="0"/>
        <w:spacing w:line="360" w:lineRule="auto"/>
        <w:rPr>
          <w:rFonts w:ascii="仿宋" w:hAnsi="仿宋" w:cs="仿宋"/>
        </w:rPr>
      </w:pPr>
      <w:r>
        <w:rPr>
          <w:rFonts w:hint="eastAsia" w:ascii="仿宋" w:hAnsi="仿宋" w:cs="仿宋"/>
        </w:rPr>
        <w:t>招标文件内容如下:</w:t>
      </w:r>
    </w:p>
    <w:p>
      <w:pPr>
        <w:adjustRightInd w:val="0"/>
        <w:snapToGrid w:val="0"/>
        <w:spacing w:line="360" w:lineRule="auto"/>
        <w:ind w:firstLine="420" w:firstLineChars="200"/>
        <w:rPr>
          <w:rFonts w:ascii="仿宋" w:hAnsi="仿宋" w:cs="仿宋"/>
        </w:rPr>
      </w:pPr>
      <w:r>
        <w:rPr>
          <w:rFonts w:hint="eastAsia" w:ascii="仿宋" w:hAnsi="仿宋" w:cs="仿宋"/>
          <w:kern w:val="0"/>
        </w:rPr>
        <w:t>招标</w:t>
      </w:r>
      <w:r>
        <w:rPr>
          <w:rFonts w:hint="eastAsia" w:ascii="仿宋" w:hAnsi="仿宋" w:cs="仿宋"/>
        </w:rPr>
        <w:t>公告</w:t>
      </w:r>
    </w:p>
    <w:p>
      <w:pPr>
        <w:numPr>
          <w:ilvl w:val="0"/>
          <w:numId w:val="1"/>
        </w:numPr>
        <w:adjustRightInd w:val="0"/>
        <w:snapToGrid w:val="0"/>
        <w:spacing w:line="360" w:lineRule="auto"/>
        <w:ind w:firstLine="420" w:firstLineChars="200"/>
        <w:rPr>
          <w:rFonts w:ascii="仿宋" w:hAnsi="仿宋" w:cs="仿宋"/>
        </w:rPr>
      </w:pPr>
      <w:bookmarkStart w:id="42" w:name="_Toc4961_WPSOffice_Level2"/>
      <w:bookmarkStart w:id="43" w:name="_Toc25935_WPSOffice_Level2"/>
      <w:bookmarkStart w:id="44" w:name="_Toc24604_WPSOffice_Level2"/>
      <w:bookmarkStart w:id="45" w:name="_Toc188_WPSOffice_Level2"/>
      <w:r>
        <w:rPr>
          <w:rFonts w:hint="eastAsia" w:ascii="仿宋" w:hAnsi="仿宋" w:cs="仿宋"/>
        </w:rPr>
        <w:t>投标人须知</w:t>
      </w:r>
      <w:bookmarkEnd w:id="42"/>
      <w:bookmarkEnd w:id="43"/>
      <w:bookmarkEnd w:id="44"/>
      <w:bookmarkEnd w:id="45"/>
    </w:p>
    <w:p>
      <w:pPr>
        <w:adjustRightInd w:val="0"/>
        <w:snapToGrid w:val="0"/>
        <w:spacing w:line="360" w:lineRule="auto"/>
        <w:ind w:firstLine="420" w:firstLineChars="200"/>
        <w:rPr>
          <w:rFonts w:ascii="仿宋" w:hAnsi="仿宋" w:cs="仿宋"/>
        </w:rPr>
      </w:pPr>
      <w:bookmarkStart w:id="46" w:name="_Toc13276_WPSOffice_Level2"/>
      <w:bookmarkStart w:id="47" w:name="_Toc31424_WPSOffice_Level2"/>
      <w:bookmarkStart w:id="48" w:name="_Toc2443_WPSOffice_Level2"/>
      <w:bookmarkStart w:id="49" w:name="_Toc32235_WPSOffice_Level2"/>
      <w:r>
        <w:rPr>
          <w:rFonts w:hint="eastAsia" w:ascii="仿宋" w:hAnsi="仿宋" w:cs="仿宋"/>
        </w:rPr>
        <w:t>第二章 投标文件内容及格式</w:t>
      </w:r>
      <w:bookmarkEnd w:id="46"/>
      <w:bookmarkEnd w:id="47"/>
      <w:bookmarkEnd w:id="48"/>
      <w:bookmarkEnd w:id="49"/>
    </w:p>
    <w:p>
      <w:pPr>
        <w:adjustRightInd w:val="0"/>
        <w:snapToGrid w:val="0"/>
        <w:spacing w:line="360" w:lineRule="auto"/>
        <w:ind w:firstLine="420" w:firstLineChars="200"/>
        <w:rPr>
          <w:rFonts w:ascii="仿宋" w:hAnsi="仿宋" w:cs="仿宋"/>
        </w:rPr>
      </w:pPr>
      <w:bookmarkStart w:id="50" w:name="_Toc7005_WPSOffice_Level2"/>
      <w:bookmarkStart w:id="51" w:name="_Toc16269_WPSOffice_Level2"/>
      <w:bookmarkStart w:id="52" w:name="_Toc4416_WPSOffice_Level2"/>
      <w:bookmarkStart w:id="53" w:name="_Toc24836_WPSOffice_Level2"/>
      <w:r>
        <w:rPr>
          <w:rFonts w:hint="eastAsia" w:ascii="仿宋" w:hAnsi="仿宋" w:cs="仿宋"/>
        </w:rPr>
        <w:t>第三章 货物需求</w:t>
      </w:r>
      <w:bookmarkEnd w:id="50"/>
      <w:bookmarkEnd w:id="51"/>
      <w:bookmarkEnd w:id="52"/>
      <w:bookmarkEnd w:id="53"/>
    </w:p>
    <w:p>
      <w:pPr>
        <w:adjustRightInd w:val="0"/>
        <w:snapToGrid w:val="0"/>
        <w:spacing w:line="360" w:lineRule="auto"/>
        <w:ind w:firstLine="420" w:firstLineChars="200"/>
        <w:rPr>
          <w:rFonts w:ascii="仿宋" w:hAnsi="仿宋" w:cs="仿宋"/>
        </w:rPr>
      </w:pPr>
      <w:bookmarkStart w:id="54" w:name="_Toc23459_WPSOffice_Level2"/>
      <w:bookmarkStart w:id="55" w:name="_Toc16294_WPSOffice_Level2"/>
      <w:bookmarkStart w:id="56" w:name="_Toc16119_WPSOffice_Level2"/>
      <w:bookmarkStart w:id="57" w:name="_Toc25382_WPSOffice_Level2"/>
      <w:r>
        <w:rPr>
          <w:rFonts w:hint="eastAsia" w:ascii="仿宋" w:hAnsi="仿宋" w:cs="仿宋"/>
        </w:rPr>
        <w:t>第四章 评标方法</w:t>
      </w:r>
      <w:bookmarkEnd w:id="54"/>
      <w:bookmarkEnd w:id="55"/>
      <w:bookmarkEnd w:id="56"/>
      <w:bookmarkEnd w:id="57"/>
    </w:p>
    <w:p>
      <w:pPr>
        <w:adjustRightInd w:val="0"/>
        <w:snapToGrid w:val="0"/>
        <w:spacing w:line="360" w:lineRule="auto"/>
        <w:ind w:firstLine="420" w:firstLineChars="200"/>
        <w:rPr>
          <w:rFonts w:ascii="仿宋" w:hAnsi="仿宋" w:cs="仿宋"/>
        </w:rPr>
      </w:pPr>
      <w:bookmarkStart w:id="58" w:name="_Toc16368_WPSOffice_Level2"/>
      <w:bookmarkStart w:id="59" w:name="_Toc28106_WPSOffice_Level2"/>
      <w:bookmarkStart w:id="60" w:name="_Toc17794_WPSOffice_Level2"/>
      <w:bookmarkStart w:id="61" w:name="_Toc9629_WPSOffice_Level2"/>
      <w:r>
        <w:rPr>
          <w:rFonts w:hint="eastAsia" w:ascii="仿宋" w:hAnsi="仿宋" w:cs="仿宋"/>
        </w:rPr>
        <w:t>第五章 政府采购合同</w:t>
      </w:r>
      <w:bookmarkEnd w:id="58"/>
      <w:bookmarkEnd w:id="59"/>
      <w:bookmarkEnd w:id="60"/>
      <w:bookmarkEnd w:id="61"/>
      <w:r>
        <w:rPr>
          <w:rFonts w:hint="eastAsia" w:ascii="仿宋" w:hAnsi="仿宋" w:cs="仿宋"/>
        </w:rPr>
        <w:t>条款及格式</w:t>
      </w:r>
    </w:p>
    <w:p>
      <w:pPr>
        <w:adjustRightInd w:val="0"/>
        <w:snapToGrid w:val="0"/>
        <w:spacing w:line="360" w:lineRule="auto"/>
        <w:rPr>
          <w:rFonts w:ascii="仿宋" w:hAnsi="仿宋" w:cs="仿宋"/>
        </w:rPr>
      </w:pPr>
      <w:r>
        <w:rPr>
          <w:rFonts w:hint="eastAsia" w:ascii="仿宋" w:hAnsi="仿宋" w:cs="仿宋"/>
        </w:rPr>
        <w:t>★8.2投标人应认真阅读招标文件所有的事项、格式、条款等。如投标人没有按照招标文件要求提交资料，或者投标文件没有对招标文件做出实质性响应，可能导致其投标被认定为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b/>
          <w:bCs/>
        </w:rPr>
      </w:pPr>
      <w:r>
        <w:rPr>
          <w:rFonts w:hint="eastAsia" w:ascii="仿宋" w:hAnsi="仿宋" w:cs="仿宋"/>
          <w:b/>
          <w:bCs/>
        </w:rPr>
        <w:t>9.招标文件的澄清与修改</w:t>
      </w:r>
    </w:p>
    <w:p>
      <w:pPr>
        <w:adjustRightInd w:val="0"/>
        <w:snapToGrid w:val="0"/>
        <w:spacing w:line="360" w:lineRule="auto"/>
        <w:rPr>
          <w:rFonts w:ascii="仿宋" w:hAnsi="仿宋" w:cs="仿宋"/>
        </w:rPr>
      </w:pPr>
      <w:r>
        <w:rPr>
          <w:rFonts w:hint="eastAsia" w:ascii="仿宋" w:hAnsi="仿宋" w:cs="仿宋"/>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 w:hAnsi="仿宋" w:cs="仿宋"/>
        </w:rPr>
      </w:pPr>
      <w:r>
        <w:rPr>
          <w:rFonts w:hint="eastAsia" w:ascii="仿宋" w:hAnsi="仿宋" w:cs="仿宋"/>
        </w:rPr>
        <w:t>9.2澄清或者修改的内容为招标文件的组成部分，对所有招标文件的收受人具有约束力。投标人在收到上述通知后，应及时向采购代理机构回函确认。</w:t>
      </w:r>
    </w:p>
    <w:p>
      <w:pPr>
        <w:pStyle w:val="5"/>
        <w:rPr>
          <w:rFonts w:ascii="仿宋" w:hAnsi="仿宋" w:cs="仿宋"/>
          <w:sz w:val="32"/>
          <w:szCs w:val="32"/>
        </w:rPr>
      </w:pPr>
      <w:bookmarkStart w:id="62" w:name="_Toc7415_WPSOffice_Level2"/>
      <w:r>
        <w:rPr>
          <w:rFonts w:hint="eastAsia" w:ascii="仿宋" w:hAnsi="仿宋" w:cs="仿宋"/>
          <w:sz w:val="32"/>
          <w:szCs w:val="32"/>
        </w:rPr>
        <w:t>四 投标文件的编制</w:t>
      </w:r>
      <w:bookmarkEnd w:id="62"/>
    </w:p>
    <w:p>
      <w:pPr>
        <w:adjustRightInd w:val="0"/>
        <w:snapToGrid w:val="0"/>
        <w:spacing w:line="360" w:lineRule="auto"/>
        <w:rPr>
          <w:rFonts w:ascii="仿宋" w:hAnsi="仿宋" w:cs="仿宋"/>
          <w:b/>
          <w:bCs/>
        </w:rPr>
      </w:pPr>
      <w:r>
        <w:rPr>
          <w:rFonts w:hint="eastAsia" w:ascii="仿宋" w:hAnsi="仿宋" w:cs="仿宋"/>
          <w:b/>
          <w:bCs/>
        </w:rPr>
        <w:t>10.投标范围</w:t>
      </w:r>
    </w:p>
    <w:p>
      <w:pPr>
        <w:adjustRightInd w:val="0"/>
        <w:snapToGrid w:val="0"/>
        <w:spacing w:line="360" w:lineRule="auto"/>
        <w:rPr>
          <w:rFonts w:ascii="仿宋" w:hAnsi="仿宋" w:cs="仿宋"/>
        </w:rPr>
      </w:pPr>
      <w:r>
        <w:rPr>
          <w:rFonts w:hint="eastAsia" w:ascii="仿宋" w:hAnsi="仿宋" w:cs="仿宋"/>
        </w:rPr>
        <w:t>10.1项目有分包的，投标人可对招标文件其中某一个分包或几个分包进行投标。</w:t>
      </w:r>
    </w:p>
    <w:p>
      <w:pPr>
        <w:adjustRightInd w:val="0"/>
        <w:snapToGrid w:val="0"/>
        <w:spacing w:line="360" w:lineRule="auto"/>
        <w:rPr>
          <w:rFonts w:ascii="仿宋" w:hAnsi="仿宋" w:cs="仿宋"/>
        </w:rPr>
      </w:pPr>
      <w:r>
        <w:rPr>
          <w:rFonts w:hint="eastAsia" w:ascii="仿宋" w:hAnsi="仿宋" w:cs="仿宋"/>
        </w:rPr>
        <w:t>★10.2投标人应当对所投分包在招标文件中“货物需求”所列的所有货物内容进行投标，如仅响应分包中某一部分内容，其该包投标将被认定为</w:t>
      </w:r>
      <w:r>
        <w:rPr>
          <w:rFonts w:hint="eastAsia" w:ascii="仿宋" w:hAnsi="仿宋" w:cs="仿宋"/>
          <w:b/>
          <w:bCs/>
        </w:rPr>
        <w:t>投标无效</w:t>
      </w:r>
      <w:r>
        <w:rPr>
          <w:rFonts w:hint="eastAsia" w:ascii="仿宋" w:hAnsi="仿宋" w:cs="仿宋"/>
        </w:rPr>
        <w:t>。</w:t>
      </w:r>
    </w:p>
    <w:p>
      <w:pPr>
        <w:pStyle w:val="9"/>
        <w:adjustRightInd w:val="0"/>
        <w:snapToGrid w:val="0"/>
        <w:spacing w:line="360" w:lineRule="auto"/>
        <w:rPr>
          <w:rFonts w:ascii="仿宋" w:hAnsi="仿宋" w:cs="仿宋"/>
        </w:rPr>
      </w:pPr>
      <w:r>
        <w:rPr>
          <w:rFonts w:hint="eastAsia" w:ascii="仿宋" w:hAnsi="仿宋" w:cs="仿宋"/>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 w:hAnsi="仿宋" w:cs="仿宋"/>
        </w:rPr>
      </w:pPr>
      <w:r>
        <w:rPr>
          <w:rFonts w:hint="eastAsia" w:ascii="仿宋" w:hAnsi="仿宋" w:cs="仿宋"/>
        </w:rPr>
        <w:t>10.4无论招标文件第三章货物需求中是否要求，投标人所投货物均应符合国家强制性标准。</w:t>
      </w:r>
    </w:p>
    <w:p>
      <w:pPr>
        <w:adjustRightInd w:val="0"/>
        <w:snapToGrid w:val="0"/>
        <w:spacing w:line="360" w:lineRule="auto"/>
        <w:rPr>
          <w:rFonts w:ascii="仿宋" w:hAnsi="仿宋" w:cs="仿宋"/>
          <w:b/>
          <w:bCs/>
        </w:rPr>
      </w:pPr>
      <w:r>
        <w:rPr>
          <w:rFonts w:hint="eastAsia" w:ascii="仿宋" w:hAnsi="仿宋" w:cs="仿宋"/>
          <w:b/>
          <w:bCs/>
        </w:rPr>
        <w:t>11.投标文件构成</w:t>
      </w:r>
    </w:p>
    <w:p>
      <w:pPr>
        <w:adjustRightInd w:val="0"/>
        <w:snapToGrid w:val="0"/>
        <w:spacing w:line="360" w:lineRule="auto"/>
        <w:rPr>
          <w:rFonts w:ascii="仿宋" w:hAnsi="仿宋" w:cs="仿宋"/>
        </w:rPr>
      </w:pPr>
      <w:r>
        <w:rPr>
          <w:rFonts w:hint="eastAsia" w:ascii="仿宋" w:hAnsi="仿宋" w:cs="仿宋"/>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 w:hAnsi="仿宋" w:cs="仿宋"/>
        </w:rPr>
      </w:pPr>
      <w:r>
        <w:rPr>
          <w:rFonts w:hint="eastAsia" w:ascii="仿宋" w:hAnsi="仿宋" w:cs="仿宋"/>
        </w:rPr>
        <w:t>★11.2投标人应按招标文件提供的格式编写投标文件。招标文件提供标准格式的按标准格式填列，未提供标准格式的可自行拟定。</w:t>
      </w:r>
    </w:p>
    <w:p>
      <w:pPr>
        <w:adjustRightInd w:val="0"/>
        <w:snapToGrid w:val="0"/>
        <w:spacing w:line="360" w:lineRule="auto"/>
        <w:rPr>
          <w:rFonts w:ascii="仿宋" w:hAnsi="仿宋" w:cs="仿宋"/>
        </w:rPr>
      </w:pPr>
      <w:r>
        <w:rPr>
          <w:rFonts w:hint="eastAsia" w:ascii="仿宋" w:hAnsi="仿宋" w:cs="仿宋"/>
        </w:rPr>
        <w:t>11.3 样品或演示要求详见投标人须知表11.3款。</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12.投标报价</w:t>
      </w:r>
    </w:p>
    <w:p>
      <w:pPr>
        <w:adjustRightInd w:val="0"/>
        <w:snapToGrid w:val="0"/>
        <w:spacing w:line="360" w:lineRule="auto"/>
        <w:rPr>
          <w:rFonts w:ascii="仿宋" w:hAnsi="仿宋" w:cs="仿宋"/>
        </w:rPr>
      </w:pPr>
      <w:r>
        <w:rPr>
          <w:rFonts w:hint="eastAsia" w:ascii="仿宋" w:hAnsi="仿宋" w:cs="仿宋"/>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 w:hAnsi="仿宋" w:cs="仿宋"/>
        </w:rPr>
      </w:pPr>
      <w:r>
        <w:rPr>
          <w:rFonts w:hint="eastAsia" w:ascii="仿宋" w:hAnsi="仿宋" w:cs="仿宋"/>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 w:hAnsi="仿宋" w:cs="仿宋"/>
          <w:b/>
          <w:bCs/>
        </w:rPr>
      </w:pPr>
      <w:r>
        <w:rPr>
          <w:rFonts w:hint="eastAsia" w:ascii="仿宋" w:hAnsi="仿宋" w:cs="仿宋"/>
        </w:rPr>
        <w:t>12.4投标人所报的各分项投标单价在合同履行过程中是固定不变的，不得以任何理由予以变更。任何包含价格调整要求的投标，其投标将被认定为</w:t>
      </w:r>
      <w:r>
        <w:rPr>
          <w:rFonts w:hint="eastAsia" w:ascii="仿宋" w:hAnsi="仿宋" w:cs="仿宋"/>
          <w:b/>
          <w:bCs/>
        </w:rPr>
        <w:t>投标无效。</w:t>
      </w:r>
    </w:p>
    <w:p>
      <w:pPr>
        <w:adjustRightInd w:val="0"/>
        <w:snapToGrid w:val="0"/>
        <w:spacing w:line="360" w:lineRule="auto"/>
        <w:rPr>
          <w:rFonts w:ascii="仿宋" w:hAnsi="仿宋" w:cs="仿宋"/>
        </w:rPr>
      </w:pPr>
      <w:r>
        <w:rPr>
          <w:rFonts w:hint="eastAsia" w:ascii="仿宋" w:hAnsi="仿宋" w:cs="仿宋"/>
        </w:rPr>
        <w:t>12.5每种货物只能有一个投标报价。采购人不接受具有附加条件的报价。</w:t>
      </w:r>
    </w:p>
    <w:p>
      <w:pPr>
        <w:adjustRightInd w:val="0"/>
        <w:snapToGrid w:val="0"/>
        <w:spacing w:line="360" w:lineRule="auto"/>
        <w:rPr>
          <w:rFonts w:ascii="仿宋" w:hAnsi="仿宋" w:cs="仿宋"/>
        </w:rPr>
      </w:pPr>
      <w:bookmarkStart w:id="63" w:name="_Toc31973_WPSOffice_Level2"/>
      <w:bookmarkStart w:id="64" w:name="_Toc22507_WPSOffice_Level2"/>
      <w:r>
        <w:rPr>
          <w:rFonts w:hint="eastAsia" w:ascii="仿宋" w:hAnsi="仿宋" w:cs="仿宋"/>
        </w:rPr>
        <w:t>12.6除非招标文件另有规定，报价原则上精确到小数点后两位。</w:t>
      </w:r>
      <w:bookmarkEnd w:id="63"/>
      <w:bookmarkEnd w:id="64"/>
    </w:p>
    <w:p>
      <w:pPr>
        <w:adjustRightInd w:val="0"/>
        <w:snapToGrid w:val="0"/>
        <w:spacing w:line="360" w:lineRule="auto"/>
        <w:rPr>
          <w:rFonts w:ascii="仿宋" w:hAnsi="仿宋" w:cs="仿宋"/>
          <w:b/>
          <w:bCs/>
        </w:rPr>
      </w:pPr>
      <w:r>
        <w:rPr>
          <w:rFonts w:hint="eastAsia" w:ascii="仿宋" w:hAnsi="仿宋" w:cs="仿宋"/>
          <w:b/>
          <w:bCs/>
        </w:rPr>
        <w:t>★13.投标保证金</w:t>
      </w:r>
    </w:p>
    <w:p>
      <w:pPr>
        <w:adjustRightInd w:val="0"/>
        <w:snapToGrid w:val="0"/>
        <w:spacing w:line="360" w:lineRule="auto"/>
        <w:rPr>
          <w:rFonts w:ascii="仿宋" w:hAnsi="仿宋" w:cs="仿宋"/>
        </w:rPr>
      </w:pPr>
      <w:r>
        <w:rPr>
          <w:rFonts w:hint="eastAsia" w:ascii="仿宋" w:hAnsi="仿宋" w:cs="仿宋"/>
        </w:rPr>
        <w:t>13.1投标人应提交投标人须知表13.1款中规定的投标保证金，并作为其投标的一部分。</w:t>
      </w:r>
    </w:p>
    <w:p>
      <w:pPr>
        <w:adjustRightInd w:val="0"/>
        <w:snapToGrid w:val="0"/>
        <w:spacing w:line="360" w:lineRule="auto"/>
        <w:jc w:val="left"/>
        <w:rPr>
          <w:rFonts w:ascii="仿宋" w:hAnsi="仿宋" w:cs="仿宋"/>
        </w:rPr>
      </w:pPr>
      <w:r>
        <w:rPr>
          <w:rFonts w:hint="eastAsia" w:ascii="仿宋" w:hAnsi="仿宋" w:cs="仿宋"/>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 w:hAnsi="仿宋" w:cs="仿宋"/>
        </w:rPr>
      </w:pPr>
      <w:r>
        <w:rPr>
          <w:rFonts w:hint="eastAsia" w:ascii="仿宋" w:hAnsi="仿宋" w:cs="仿宋"/>
        </w:rPr>
        <w:t>13.3投标人存在下列情形的，投标保证金不予退还：</w:t>
      </w:r>
    </w:p>
    <w:p>
      <w:pPr>
        <w:adjustRightInd w:val="0"/>
        <w:snapToGrid w:val="0"/>
        <w:spacing w:line="360" w:lineRule="auto"/>
        <w:jc w:val="left"/>
        <w:rPr>
          <w:rFonts w:ascii="仿宋" w:hAnsi="仿宋" w:cs="仿宋"/>
        </w:rPr>
      </w:pPr>
      <w:r>
        <w:rPr>
          <w:rFonts w:hint="eastAsia" w:ascii="仿宋" w:hAnsi="仿宋" w:cs="仿宋"/>
        </w:rPr>
        <w:t>（1）在投标有效期内，投标人撤销投标的；</w:t>
      </w:r>
    </w:p>
    <w:p>
      <w:pPr>
        <w:adjustRightInd w:val="0"/>
        <w:snapToGrid w:val="0"/>
        <w:spacing w:line="360" w:lineRule="auto"/>
        <w:jc w:val="left"/>
        <w:rPr>
          <w:rFonts w:ascii="仿宋" w:hAnsi="仿宋" w:cs="仿宋"/>
        </w:rPr>
      </w:pPr>
      <w:r>
        <w:rPr>
          <w:rFonts w:hint="eastAsia" w:ascii="仿宋" w:hAnsi="仿宋" w:cs="仿宋"/>
        </w:rPr>
        <w:t>（2）中标后不按本须知第34款的规定与采购人签订合同的；</w:t>
      </w:r>
    </w:p>
    <w:p>
      <w:pPr>
        <w:adjustRightInd w:val="0"/>
        <w:snapToGrid w:val="0"/>
        <w:spacing w:line="360" w:lineRule="auto"/>
        <w:rPr>
          <w:rFonts w:ascii="仿宋" w:hAnsi="仿宋" w:cs="仿宋"/>
        </w:rPr>
      </w:pPr>
      <w:r>
        <w:rPr>
          <w:rFonts w:hint="eastAsia" w:ascii="仿宋" w:hAnsi="仿宋" w:cs="仿宋"/>
        </w:rPr>
        <w:t>（3）中标后不按本须知第35款的规定提交履约保证金的；</w:t>
      </w:r>
    </w:p>
    <w:p>
      <w:pPr>
        <w:adjustRightInd w:val="0"/>
        <w:snapToGrid w:val="0"/>
        <w:spacing w:line="360" w:lineRule="auto"/>
        <w:rPr>
          <w:rFonts w:ascii="仿宋" w:hAnsi="仿宋" w:cs="仿宋"/>
        </w:rPr>
      </w:pPr>
      <w:r>
        <w:rPr>
          <w:rFonts w:hint="eastAsia" w:ascii="仿宋" w:hAnsi="仿宋" w:cs="仿宋"/>
        </w:rPr>
        <w:t>（4）中标后不按本须知第36款的规定缴纳采购代理服务费的；</w:t>
      </w:r>
    </w:p>
    <w:p>
      <w:pPr>
        <w:adjustRightInd w:val="0"/>
        <w:snapToGrid w:val="0"/>
        <w:spacing w:line="360" w:lineRule="auto"/>
        <w:rPr>
          <w:rFonts w:ascii="仿宋" w:hAnsi="仿宋" w:cs="仿宋"/>
        </w:rPr>
      </w:pPr>
      <w:r>
        <w:rPr>
          <w:rFonts w:hint="eastAsia" w:ascii="仿宋" w:hAnsi="仿宋" w:cs="仿宋"/>
        </w:rPr>
        <w:t>（5）存在其他违法违规行为的。</w:t>
      </w:r>
    </w:p>
    <w:p>
      <w:pPr>
        <w:adjustRightInd w:val="0"/>
        <w:snapToGrid w:val="0"/>
        <w:spacing w:line="360" w:lineRule="auto"/>
        <w:rPr>
          <w:rFonts w:ascii="仿宋" w:hAnsi="仿宋" w:cs="仿宋"/>
        </w:rPr>
      </w:pPr>
      <w:r>
        <w:rPr>
          <w:rFonts w:hint="eastAsia" w:ascii="仿宋" w:hAnsi="仿宋" w:cs="仿宋"/>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 w:hAnsi="仿宋" w:cs="仿宋"/>
        </w:rPr>
      </w:pPr>
      <w:r>
        <w:rPr>
          <w:rFonts w:hint="eastAsia" w:ascii="仿宋" w:hAnsi="仿宋" w:cs="仿宋"/>
        </w:rPr>
        <w:t>13.5投标保证金的退还</w:t>
      </w:r>
    </w:p>
    <w:p>
      <w:pPr>
        <w:adjustRightInd w:val="0"/>
        <w:snapToGrid w:val="0"/>
        <w:spacing w:line="360" w:lineRule="auto"/>
        <w:rPr>
          <w:rFonts w:ascii="仿宋" w:hAnsi="仿宋" w:cs="仿宋"/>
        </w:rPr>
      </w:pPr>
      <w:r>
        <w:rPr>
          <w:rFonts w:hint="eastAsia" w:ascii="仿宋" w:hAnsi="仿宋" w:cs="仿宋"/>
        </w:rPr>
        <w:t>13.5.1中标人应在与采购人签订合同之日起5个工作日内，及时联系保证金收受机构办理投标保证金退还手续。</w:t>
      </w:r>
    </w:p>
    <w:p>
      <w:pPr>
        <w:adjustRightInd w:val="0"/>
        <w:snapToGrid w:val="0"/>
        <w:spacing w:line="360" w:lineRule="auto"/>
        <w:rPr>
          <w:rFonts w:ascii="仿宋" w:hAnsi="仿宋" w:cs="仿宋"/>
        </w:rPr>
      </w:pPr>
      <w:r>
        <w:rPr>
          <w:rFonts w:hint="eastAsia" w:ascii="仿宋" w:hAnsi="仿宋" w:cs="仿宋"/>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 w:hAnsi="仿宋" w:cs="仿宋"/>
        </w:rPr>
      </w:pPr>
      <w:r>
        <w:rPr>
          <w:rFonts w:hint="eastAsia" w:ascii="仿宋" w:hAnsi="仿宋" w:cs="仿宋"/>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 w:hAnsi="仿宋" w:cs="仿宋"/>
        </w:rPr>
      </w:pPr>
      <w:r>
        <w:rPr>
          <w:rFonts w:hint="eastAsia" w:ascii="仿宋" w:hAnsi="仿宋" w:cs="仿宋"/>
        </w:rPr>
        <w:t>13.5.4 政府采购投标担保函不予退回。</w:t>
      </w:r>
    </w:p>
    <w:p>
      <w:pPr>
        <w:adjustRightInd w:val="0"/>
        <w:snapToGrid w:val="0"/>
        <w:spacing w:line="360" w:lineRule="auto"/>
        <w:rPr>
          <w:rFonts w:ascii="仿宋" w:hAnsi="仿宋" w:cs="仿宋"/>
        </w:rPr>
      </w:pPr>
      <w:r>
        <w:rPr>
          <w:rFonts w:hint="eastAsia" w:ascii="仿宋" w:hAnsi="仿宋" w:cs="仿宋"/>
        </w:rPr>
        <w:t>13.6 因投标人自身原因导致无法及时退还的，采购人或采购代理机构将不承担相应责任。</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14.证明投标标的的合格性和符合招标文件规定的技术文件</w:t>
      </w:r>
    </w:p>
    <w:p>
      <w:pPr>
        <w:adjustRightInd w:val="0"/>
        <w:snapToGrid w:val="0"/>
        <w:spacing w:line="360" w:lineRule="auto"/>
        <w:rPr>
          <w:rFonts w:ascii="仿宋" w:hAnsi="仿宋" w:cs="仿宋"/>
        </w:rPr>
      </w:pPr>
      <w:r>
        <w:rPr>
          <w:rFonts w:hint="eastAsia" w:ascii="仿宋" w:hAnsi="仿宋" w:cs="仿宋"/>
        </w:rPr>
        <w:t>14.1投标人应提交证明文件，证明其投标内容符合招标文件规定。该证明文件是投标文件的一部分。</w:t>
      </w:r>
    </w:p>
    <w:p>
      <w:pPr>
        <w:adjustRightInd w:val="0"/>
        <w:snapToGrid w:val="0"/>
        <w:spacing w:line="360" w:lineRule="auto"/>
        <w:rPr>
          <w:rFonts w:ascii="仿宋" w:hAnsi="仿宋" w:cs="仿宋"/>
        </w:rPr>
      </w:pPr>
      <w:r>
        <w:rPr>
          <w:rFonts w:hint="eastAsia" w:ascii="仿宋" w:hAnsi="仿宋" w:cs="仿宋"/>
        </w:rPr>
        <w:t>14.2上款所述的证明文件，可以是文字资料、图纸和数据，它包括：</w:t>
      </w:r>
    </w:p>
    <w:p>
      <w:pPr>
        <w:adjustRightInd w:val="0"/>
        <w:snapToGrid w:val="0"/>
        <w:spacing w:line="360" w:lineRule="auto"/>
        <w:rPr>
          <w:rFonts w:ascii="仿宋" w:hAnsi="仿宋" w:cs="仿宋"/>
        </w:rPr>
      </w:pPr>
      <w:r>
        <w:rPr>
          <w:rFonts w:hint="eastAsia" w:ascii="仿宋" w:hAnsi="仿宋" w:cs="仿宋"/>
        </w:rPr>
        <w:t>（1）货物主要技术指标和性能的详细说明；</w:t>
      </w:r>
    </w:p>
    <w:p>
      <w:pPr>
        <w:adjustRightInd w:val="0"/>
        <w:snapToGrid w:val="0"/>
        <w:spacing w:line="360" w:lineRule="auto"/>
        <w:rPr>
          <w:rFonts w:ascii="仿宋" w:hAnsi="仿宋" w:cs="仿宋"/>
        </w:rPr>
      </w:pPr>
      <w:r>
        <w:rPr>
          <w:rFonts w:hint="eastAsia" w:ascii="仿宋" w:hAnsi="仿宋" w:cs="仿宋"/>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 w:hAnsi="仿宋" w:cs="仿宋"/>
        </w:rPr>
      </w:pPr>
      <w:r>
        <w:rPr>
          <w:rFonts w:hint="eastAsia" w:ascii="仿宋" w:hAnsi="仿宋" w:cs="仿宋"/>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15.投标有效期</w:t>
      </w:r>
    </w:p>
    <w:p>
      <w:pPr>
        <w:adjustRightInd w:val="0"/>
        <w:snapToGrid w:val="0"/>
        <w:spacing w:line="360" w:lineRule="auto"/>
        <w:rPr>
          <w:rFonts w:ascii="仿宋" w:hAnsi="仿宋" w:cs="仿宋"/>
        </w:rPr>
      </w:pPr>
      <w:r>
        <w:rPr>
          <w:rFonts w:hint="eastAsia" w:ascii="仿宋" w:hAnsi="仿宋" w:cs="仿宋"/>
        </w:rPr>
        <w:t>15.1投标应在投标人须知表15.1款中规定的投标有效期内保持有效。投标有效期不满足要求的投标，其投标将被认定为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 w:hAnsi="仿宋" w:cs="仿宋"/>
          <w:b/>
          <w:bCs/>
        </w:rPr>
      </w:pPr>
      <w:r>
        <w:rPr>
          <w:rFonts w:hint="eastAsia" w:ascii="仿宋" w:hAnsi="仿宋" w:cs="仿宋"/>
          <w:b/>
          <w:bCs/>
        </w:rPr>
        <w:t>16.投标文件的签署及规定</w:t>
      </w:r>
    </w:p>
    <w:p>
      <w:pPr>
        <w:adjustRightInd w:val="0"/>
        <w:snapToGrid w:val="0"/>
        <w:spacing w:line="360" w:lineRule="auto"/>
        <w:rPr>
          <w:rFonts w:ascii="仿宋" w:hAnsi="仿宋" w:cs="仿宋"/>
        </w:rPr>
      </w:pPr>
      <w:bookmarkStart w:id="65" w:name="_Toc27725_WPSOffice_Level2"/>
      <w:r>
        <w:rPr>
          <w:rFonts w:hint="eastAsia" w:ascii="仿宋" w:hAnsi="仿宋" w:cs="仿宋"/>
        </w:rPr>
        <w:t>16.1投标人应按投标人须知表16.1款中的规定，准备和递交投标文件正本和电子备份文档。</w:t>
      </w:r>
    </w:p>
    <w:p>
      <w:pPr>
        <w:adjustRightInd w:val="0"/>
        <w:snapToGrid w:val="0"/>
        <w:spacing w:line="360" w:lineRule="auto"/>
        <w:rPr>
          <w:rFonts w:ascii="仿宋" w:hAnsi="仿宋" w:cs="仿宋"/>
        </w:rPr>
      </w:pPr>
      <w:r>
        <w:rPr>
          <w:rFonts w:hint="eastAsia" w:ascii="仿宋" w:hAnsi="仿宋" w:cs="仿宋"/>
        </w:rPr>
        <w:t>★16.2辽宁政府采购网网上上传电子文件。网上上传文件为正本文件。</w:t>
      </w:r>
    </w:p>
    <w:p>
      <w:pPr>
        <w:adjustRightInd w:val="0"/>
        <w:snapToGrid w:val="0"/>
        <w:spacing w:line="360" w:lineRule="auto"/>
        <w:rPr>
          <w:rFonts w:ascii="仿宋" w:hAnsi="仿宋" w:cs="仿宋"/>
        </w:rPr>
      </w:pPr>
      <w:r>
        <w:rPr>
          <w:rFonts w:hint="eastAsia" w:ascii="仿宋" w:hAnsi="仿宋" w:cs="仿宋"/>
        </w:rPr>
        <w:t>★16.3投标文件的正本辽宁政府采购网网上，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w:t>
      </w:r>
    </w:p>
    <w:p>
      <w:pPr>
        <w:pStyle w:val="5"/>
        <w:rPr>
          <w:rFonts w:ascii="仿宋" w:hAnsi="仿宋" w:cs="仿宋"/>
          <w:sz w:val="32"/>
          <w:szCs w:val="32"/>
        </w:rPr>
      </w:pPr>
      <w:r>
        <w:rPr>
          <w:rFonts w:hint="eastAsia" w:ascii="仿宋" w:hAnsi="仿宋" w:cs="仿宋"/>
          <w:sz w:val="32"/>
          <w:szCs w:val="32"/>
        </w:rPr>
        <w:t>五 投标文件的递交</w:t>
      </w:r>
      <w:bookmarkEnd w:id="65"/>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17.电子备份文件的密封和标记（采用加密文件发送至邮箱的供应商不适用）</w:t>
      </w:r>
    </w:p>
    <w:p>
      <w:pPr>
        <w:adjustRightInd w:val="0"/>
        <w:snapToGrid w:val="0"/>
        <w:spacing w:line="360" w:lineRule="auto"/>
        <w:rPr>
          <w:rFonts w:ascii="仿宋" w:hAnsi="仿宋" w:cs="仿宋"/>
        </w:rPr>
      </w:pPr>
      <w:r>
        <w:rPr>
          <w:rFonts w:hint="eastAsia" w:ascii="仿宋" w:hAnsi="仿宋" w:cs="仿宋"/>
        </w:rPr>
        <w:t>17.1投标人应将电子备份文件密封，并进行包封。</w:t>
      </w:r>
    </w:p>
    <w:p>
      <w:pPr>
        <w:adjustRightInd w:val="0"/>
        <w:snapToGrid w:val="0"/>
        <w:spacing w:line="360" w:lineRule="auto"/>
        <w:rPr>
          <w:rFonts w:ascii="仿宋" w:hAnsi="仿宋" w:cs="仿宋"/>
        </w:rPr>
      </w:pPr>
      <w:r>
        <w:rPr>
          <w:rFonts w:hint="eastAsia" w:ascii="仿宋" w:hAnsi="仿宋" w:cs="仿宋"/>
        </w:rPr>
        <w:t>17.2所有包装封皮上均应：</w:t>
      </w:r>
    </w:p>
    <w:p>
      <w:pPr>
        <w:adjustRightInd w:val="0"/>
        <w:snapToGrid w:val="0"/>
        <w:spacing w:line="360" w:lineRule="auto"/>
        <w:rPr>
          <w:rFonts w:ascii="仿宋" w:hAnsi="仿宋" w:cs="仿宋"/>
        </w:rPr>
      </w:pPr>
      <w:r>
        <w:rPr>
          <w:rFonts w:hint="eastAsia" w:ascii="仿宋" w:hAnsi="仿宋" w:cs="仿宋"/>
        </w:rPr>
        <w:t>（1）注明项目名称、项目编号、包号、投标人名称。</w:t>
      </w:r>
    </w:p>
    <w:p>
      <w:pPr>
        <w:adjustRightInd w:val="0"/>
        <w:snapToGrid w:val="0"/>
        <w:spacing w:line="360" w:lineRule="auto"/>
        <w:rPr>
          <w:rFonts w:ascii="仿宋" w:hAnsi="仿宋" w:cs="仿宋"/>
        </w:rPr>
      </w:pPr>
      <w:r>
        <w:rPr>
          <w:rFonts w:hint="eastAsia" w:ascii="仿宋" w:hAnsi="仿宋" w:cs="仿宋"/>
        </w:rPr>
        <w:t>（2）加盖投标人单位公章。</w:t>
      </w:r>
    </w:p>
    <w:p>
      <w:pPr>
        <w:adjustRightInd w:val="0"/>
        <w:snapToGrid w:val="0"/>
        <w:spacing w:line="360" w:lineRule="auto"/>
        <w:rPr>
          <w:rFonts w:ascii="仿宋" w:hAnsi="仿宋" w:cs="仿宋"/>
        </w:rPr>
      </w:pPr>
      <w:r>
        <w:rPr>
          <w:rFonts w:hint="eastAsia" w:ascii="仿宋" w:hAnsi="仿宋" w:cs="仿宋"/>
        </w:rPr>
        <w:t>17.3如果投标人未按上述要求密封，其电子备份文件将被</w:t>
      </w:r>
      <w:r>
        <w:rPr>
          <w:rFonts w:hint="eastAsia" w:ascii="仿宋" w:hAnsi="仿宋" w:cs="仿宋"/>
          <w:b/>
          <w:bCs/>
        </w:rPr>
        <w:t>拒绝接收</w:t>
      </w:r>
      <w:r>
        <w:rPr>
          <w:rFonts w:hint="eastAsia" w:ascii="仿宋" w:hAnsi="仿宋" w:cs="仿宋"/>
        </w:rPr>
        <w:t>。</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18.投标截止</w:t>
      </w:r>
    </w:p>
    <w:p>
      <w:pPr>
        <w:adjustRightInd w:val="0"/>
        <w:snapToGrid w:val="0"/>
        <w:spacing w:line="360" w:lineRule="auto"/>
        <w:rPr>
          <w:rFonts w:ascii="仿宋" w:hAnsi="仿宋" w:cs="仿宋"/>
        </w:rPr>
      </w:pPr>
      <w:r>
        <w:rPr>
          <w:rFonts w:hint="eastAsia" w:ascii="仿宋" w:hAnsi="仿宋" w:cs="仿宋"/>
        </w:rPr>
        <w:t>18.1投标人应在投标人须知表18.1中规定的递交投标文件截止时间前，将投标文件递交到投标人须知表18.1款中规定的地点。</w:t>
      </w:r>
    </w:p>
    <w:p>
      <w:pPr>
        <w:adjustRightInd w:val="0"/>
        <w:snapToGrid w:val="0"/>
        <w:spacing w:line="360" w:lineRule="auto"/>
        <w:rPr>
          <w:rFonts w:ascii="仿宋" w:hAnsi="仿宋" w:cs="仿宋"/>
        </w:rPr>
      </w:pPr>
      <w:r>
        <w:rPr>
          <w:rFonts w:hint="eastAsia" w:ascii="仿宋" w:hAnsi="仿宋" w:cs="仿宋"/>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19.投标文件的接收、修改与撤回</w:t>
      </w:r>
    </w:p>
    <w:p>
      <w:pPr>
        <w:adjustRightInd w:val="0"/>
        <w:snapToGrid w:val="0"/>
        <w:spacing w:line="360" w:lineRule="auto"/>
        <w:rPr>
          <w:rFonts w:ascii="仿宋" w:hAnsi="仿宋" w:cs="仿宋"/>
        </w:rPr>
      </w:pPr>
      <w:r>
        <w:rPr>
          <w:rFonts w:hint="eastAsia" w:ascii="仿宋" w:hAnsi="仿宋" w:cs="仿宋"/>
        </w:rPr>
        <w:t>19.1在投标截止时间后送达的投标文件，采购人和采购代理机构将</w:t>
      </w:r>
      <w:r>
        <w:rPr>
          <w:rFonts w:hint="eastAsia" w:ascii="仿宋" w:hAnsi="仿宋" w:cs="仿宋"/>
          <w:b/>
          <w:bCs/>
        </w:rPr>
        <w:t>拒绝接收</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19.2采购人或者采购代理机构收到投标文件后，应当如实记载投标文件的送达时间和密封情况。</w:t>
      </w:r>
    </w:p>
    <w:p>
      <w:pPr>
        <w:adjustRightInd w:val="0"/>
        <w:snapToGrid w:val="0"/>
        <w:spacing w:line="360" w:lineRule="auto"/>
        <w:rPr>
          <w:rFonts w:ascii="仿宋" w:hAnsi="仿宋" w:cs="仿宋"/>
        </w:rPr>
      </w:pPr>
      <w:r>
        <w:rPr>
          <w:rFonts w:hint="eastAsia" w:ascii="仿宋" w:hAnsi="仿宋" w:cs="仿宋"/>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 w:hAnsi="仿宋" w:cs="仿宋"/>
        </w:rPr>
      </w:pPr>
      <w:r>
        <w:rPr>
          <w:rFonts w:hint="eastAsia" w:ascii="仿宋" w:hAnsi="仿宋" w:cs="仿宋"/>
        </w:rPr>
        <w:t>19.4在投标截止时间之后，投标人不得对其投标文件做任何修改。</w:t>
      </w:r>
    </w:p>
    <w:p>
      <w:pPr>
        <w:adjustRightInd w:val="0"/>
        <w:snapToGrid w:val="0"/>
        <w:spacing w:line="360" w:lineRule="auto"/>
        <w:rPr>
          <w:rFonts w:ascii="仿宋" w:hAnsi="仿宋" w:cs="仿宋"/>
        </w:rPr>
      </w:pPr>
      <w:r>
        <w:rPr>
          <w:rFonts w:hint="eastAsia" w:ascii="仿宋" w:hAnsi="仿宋" w:cs="仿宋"/>
        </w:rPr>
        <w:t>19.5采购人和采购代理机构对所接收并当众宣读投标内容的投标文件概不退回。</w:t>
      </w:r>
    </w:p>
    <w:p>
      <w:pPr>
        <w:pStyle w:val="5"/>
        <w:rPr>
          <w:rFonts w:ascii="仿宋" w:hAnsi="仿宋" w:cs="仿宋"/>
          <w:sz w:val="32"/>
          <w:szCs w:val="32"/>
        </w:rPr>
      </w:pPr>
      <w:bookmarkStart w:id="66" w:name="_Toc988_WPSOffice_Level2"/>
      <w:r>
        <w:rPr>
          <w:rFonts w:hint="eastAsia" w:ascii="仿宋" w:hAnsi="仿宋" w:cs="仿宋"/>
          <w:sz w:val="32"/>
          <w:szCs w:val="32"/>
        </w:rPr>
        <w:t>六 开标及评标</w:t>
      </w:r>
      <w:bookmarkEnd w:id="66"/>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20.开标</w:t>
      </w:r>
    </w:p>
    <w:p>
      <w:pPr>
        <w:adjustRightInd w:val="0"/>
        <w:snapToGrid w:val="0"/>
        <w:spacing w:line="360" w:lineRule="auto"/>
        <w:rPr>
          <w:rFonts w:ascii="仿宋" w:hAnsi="仿宋" w:cs="仿宋"/>
        </w:rPr>
      </w:pPr>
      <w:r>
        <w:rPr>
          <w:rFonts w:hint="eastAsia" w:ascii="仿宋" w:hAnsi="仿宋" w:cs="仿宋"/>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 w:hAnsi="仿宋" w:cs="仿宋"/>
        </w:rPr>
      </w:pPr>
      <w:r>
        <w:rPr>
          <w:rFonts w:hint="eastAsia" w:ascii="仿宋" w:hAnsi="仿宋" w:cs="仿宋"/>
        </w:rPr>
        <w:t>投标人不足3家的，不得开标。评标委员会成员不得参加开标活动。</w:t>
      </w:r>
    </w:p>
    <w:p>
      <w:pPr>
        <w:adjustRightInd w:val="0"/>
        <w:snapToGrid w:val="0"/>
        <w:spacing w:line="360" w:lineRule="auto"/>
        <w:rPr>
          <w:rFonts w:ascii="仿宋" w:hAnsi="仿宋" w:cs="仿宋"/>
        </w:rPr>
      </w:pPr>
      <w:r>
        <w:rPr>
          <w:rFonts w:hint="eastAsia" w:ascii="仿宋" w:hAnsi="仿宋" w:cs="仿宋"/>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 w:hAnsi="仿宋" w:cs="仿宋"/>
        </w:rPr>
      </w:pPr>
      <w:r>
        <w:rPr>
          <w:rFonts w:hint="eastAsia" w:ascii="仿宋" w:hAnsi="仿宋" w:cs="仿宋"/>
        </w:rPr>
        <w:t>未宣读投标价格、价格折扣等实质内容，评标时不予承认。</w:t>
      </w:r>
    </w:p>
    <w:p>
      <w:pPr>
        <w:adjustRightInd w:val="0"/>
        <w:snapToGrid w:val="0"/>
        <w:spacing w:line="360" w:lineRule="auto"/>
        <w:rPr>
          <w:rFonts w:ascii="仿宋" w:hAnsi="仿宋" w:cs="仿宋"/>
        </w:rPr>
      </w:pPr>
      <w:r>
        <w:rPr>
          <w:rFonts w:hint="eastAsia" w:ascii="仿宋" w:hAnsi="仿宋" w:cs="仿宋"/>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 w:hAnsi="仿宋" w:cs="仿宋"/>
        </w:rPr>
      </w:pPr>
      <w:r>
        <w:rPr>
          <w:rFonts w:hint="eastAsia" w:ascii="仿宋" w:hAnsi="仿宋" w:cs="仿宋"/>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21.组建评标委员会</w:t>
      </w:r>
    </w:p>
    <w:p>
      <w:pPr>
        <w:adjustRightInd w:val="0"/>
        <w:snapToGrid w:val="0"/>
        <w:spacing w:line="360" w:lineRule="auto"/>
        <w:ind w:firstLine="420" w:firstLineChars="200"/>
        <w:rPr>
          <w:rFonts w:ascii="仿宋" w:hAnsi="仿宋" w:cs="仿宋"/>
        </w:rPr>
      </w:pPr>
      <w:r>
        <w:rPr>
          <w:rFonts w:hint="eastAsia" w:ascii="仿宋" w:hAnsi="仿宋" w:cs="仿宋"/>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ascii="仿宋" w:hAnsi="仿宋" w:cs="仿宋"/>
        </w:rPr>
      </w:pPr>
      <w:r>
        <w:rPr>
          <w:rFonts w:hint="eastAsia" w:ascii="仿宋" w:hAnsi="仿宋" w:cs="仿宋"/>
        </w:rPr>
        <w:t>★</w:t>
      </w:r>
      <w:r>
        <w:rPr>
          <w:rFonts w:hint="eastAsia" w:ascii="仿宋" w:hAnsi="仿宋" w:cs="仿宋"/>
          <w:b/>
          <w:bCs/>
        </w:rPr>
        <w:t>22.资格审查</w:t>
      </w:r>
    </w:p>
    <w:p>
      <w:pPr>
        <w:adjustRightInd w:val="0"/>
        <w:snapToGrid w:val="0"/>
        <w:spacing w:line="360" w:lineRule="auto"/>
        <w:rPr>
          <w:rFonts w:ascii="仿宋" w:hAnsi="仿宋" w:cs="仿宋"/>
        </w:rPr>
      </w:pPr>
      <w:r>
        <w:rPr>
          <w:rFonts w:hint="eastAsia" w:ascii="仿宋" w:hAnsi="仿宋" w:cs="仿宋"/>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 w:hAnsi="仿宋" w:cs="仿宋"/>
          <w:b/>
          <w:bCs/>
        </w:rPr>
        <w:t>投标无效</w:t>
      </w:r>
      <w:r>
        <w:rPr>
          <w:rFonts w:hint="eastAsia" w:ascii="仿宋" w:hAnsi="仿宋" w:cs="仿宋"/>
        </w:rPr>
        <w:t>；通过资格审查的投标人不足3家的，不得评标。</w:t>
      </w:r>
    </w:p>
    <w:p>
      <w:pPr>
        <w:adjustRightInd w:val="0"/>
        <w:snapToGrid w:val="0"/>
        <w:spacing w:line="360" w:lineRule="auto"/>
        <w:rPr>
          <w:rFonts w:ascii="仿宋" w:hAnsi="仿宋" w:cs="仿宋"/>
        </w:rPr>
      </w:pPr>
      <w:r>
        <w:rPr>
          <w:rFonts w:hint="eastAsia" w:ascii="仿宋" w:hAnsi="仿宋" w:cs="仿宋"/>
        </w:rPr>
        <w:t>22.2采购人或采购代理机构将在递交投标文件截止时间前一个工作日至资格审查结束前查询投标人的信用记录。投标人存在不良信用记录的，其投标将被认定为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 w:hAnsi="仿宋" w:cs="仿宋"/>
        </w:rPr>
      </w:pPr>
      <w:r>
        <w:rPr>
          <w:rFonts w:hint="eastAsia" w:ascii="仿宋" w:hAnsi="仿宋" w:cs="仿宋"/>
        </w:rPr>
        <w:t>以联合体形式参加投标的，联合体任何成员存在以上不良信用记录的，联合体投标将被认定为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 w:hAnsi="仿宋" w:cs="仿宋"/>
        </w:rPr>
      </w:pPr>
      <w:r>
        <w:rPr>
          <w:rFonts w:hint="eastAsia" w:ascii="仿宋" w:hAnsi="仿宋" w:cs="仿宋"/>
        </w:rPr>
        <w:t>在本招标文件规定的查询时间之后，网站信息发生的任何变更均不再作为评标依据。</w:t>
      </w:r>
    </w:p>
    <w:p>
      <w:pPr>
        <w:adjustRightInd w:val="0"/>
        <w:snapToGrid w:val="0"/>
        <w:spacing w:line="360" w:lineRule="auto"/>
        <w:ind w:firstLine="420" w:firstLineChars="200"/>
        <w:rPr>
          <w:rFonts w:ascii="仿宋" w:hAnsi="仿宋" w:cs="仿宋"/>
        </w:rPr>
      </w:pPr>
      <w:r>
        <w:rPr>
          <w:rFonts w:hint="eastAsia" w:ascii="仿宋" w:hAnsi="仿宋" w:cs="仿宋"/>
        </w:rPr>
        <w:t>投标人自行提供的与网站信息不一致的其他证明材料亦不作为资格审查依据。</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23.符合性审查</w:t>
      </w:r>
    </w:p>
    <w:p>
      <w:pPr>
        <w:adjustRightInd w:val="0"/>
        <w:snapToGrid w:val="0"/>
        <w:spacing w:line="360" w:lineRule="auto"/>
        <w:rPr>
          <w:rFonts w:ascii="仿宋" w:hAnsi="仿宋" w:cs="仿宋"/>
        </w:rPr>
      </w:pPr>
      <w:r>
        <w:rPr>
          <w:rFonts w:hint="eastAsia" w:ascii="仿宋" w:hAnsi="仿宋" w:cs="仿宋"/>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 w:hAnsi="仿宋" w:cs="仿宋"/>
          <w:b/>
          <w:bCs/>
        </w:rPr>
        <w:t>投标无效</w:t>
      </w:r>
      <w:r>
        <w:rPr>
          <w:rFonts w:hint="eastAsia" w:ascii="仿宋" w:hAnsi="仿宋" w:cs="仿宋"/>
        </w:rPr>
        <w:t>；通过符合性审查的投标人数量不足3家的，不得作进一步的比较和评价。</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24.投标文件的澄清</w:t>
      </w:r>
    </w:p>
    <w:p>
      <w:pPr>
        <w:adjustRightInd w:val="0"/>
        <w:snapToGrid w:val="0"/>
        <w:spacing w:line="360" w:lineRule="auto"/>
        <w:rPr>
          <w:rFonts w:ascii="仿宋" w:hAnsi="仿宋" w:cs="仿宋"/>
        </w:rPr>
      </w:pPr>
      <w:r>
        <w:rPr>
          <w:rFonts w:hint="eastAsia" w:ascii="仿宋" w:hAnsi="仿宋" w:cs="仿宋"/>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 w:hAnsi="仿宋" w:cs="仿宋"/>
        </w:rPr>
      </w:pPr>
      <w:r>
        <w:rPr>
          <w:rFonts w:hint="eastAsia" w:ascii="仿宋" w:hAnsi="仿宋" w:cs="仿宋"/>
        </w:rPr>
        <w:t>24.2投标人的澄清、说明或补正将作为投标文件的一部分。</w:t>
      </w:r>
    </w:p>
    <w:p>
      <w:pPr>
        <w:adjustRightInd w:val="0"/>
        <w:snapToGrid w:val="0"/>
        <w:spacing w:line="360" w:lineRule="auto"/>
        <w:rPr>
          <w:rFonts w:ascii="仿宋" w:hAnsi="仿宋" w:cs="仿宋"/>
        </w:rPr>
      </w:pPr>
      <w:r>
        <w:rPr>
          <w:rFonts w:hint="eastAsia" w:ascii="仿宋" w:hAnsi="仿宋" w:cs="仿宋"/>
        </w:rPr>
        <w:t>24.3投标文件报价出现前后不一致的，按照下列规定修正：</w:t>
      </w:r>
    </w:p>
    <w:p>
      <w:pPr>
        <w:adjustRightInd w:val="0"/>
        <w:snapToGrid w:val="0"/>
        <w:spacing w:line="360" w:lineRule="auto"/>
        <w:rPr>
          <w:rFonts w:ascii="仿宋" w:hAnsi="仿宋" w:cs="仿宋"/>
        </w:rPr>
      </w:pPr>
      <w:r>
        <w:rPr>
          <w:rFonts w:hint="eastAsia" w:ascii="仿宋" w:hAnsi="仿宋" w:cs="仿宋"/>
        </w:rPr>
        <w:t>（1）投标文件中开标一览表内容与投标文件中相应内容不一致的，以开标一览表为准；</w:t>
      </w:r>
    </w:p>
    <w:p>
      <w:pPr>
        <w:adjustRightInd w:val="0"/>
        <w:snapToGrid w:val="0"/>
        <w:spacing w:line="360" w:lineRule="auto"/>
        <w:rPr>
          <w:rFonts w:ascii="仿宋" w:hAnsi="仿宋" w:cs="仿宋"/>
        </w:rPr>
      </w:pPr>
      <w:r>
        <w:rPr>
          <w:rFonts w:hint="eastAsia" w:ascii="仿宋" w:hAnsi="仿宋" w:cs="仿宋"/>
        </w:rPr>
        <w:t>（2）大写金额和小写金额不一致的，以大写金额为准；</w:t>
      </w:r>
    </w:p>
    <w:p>
      <w:pPr>
        <w:adjustRightInd w:val="0"/>
        <w:snapToGrid w:val="0"/>
        <w:spacing w:line="360" w:lineRule="auto"/>
        <w:rPr>
          <w:rFonts w:ascii="仿宋" w:hAnsi="仿宋" w:cs="仿宋"/>
        </w:rPr>
      </w:pPr>
      <w:r>
        <w:rPr>
          <w:rFonts w:hint="eastAsia" w:ascii="仿宋" w:hAnsi="仿宋" w:cs="仿宋"/>
        </w:rPr>
        <w:t>（3）单价金额小数点或者百分比有明显错位的，以开标一览表的总价为准，并修改单价；</w:t>
      </w:r>
    </w:p>
    <w:p>
      <w:pPr>
        <w:adjustRightInd w:val="0"/>
        <w:snapToGrid w:val="0"/>
        <w:spacing w:line="360" w:lineRule="auto"/>
        <w:rPr>
          <w:rFonts w:ascii="仿宋" w:hAnsi="仿宋" w:cs="仿宋"/>
        </w:rPr>
      </w:pPr>
      <w:r>
        <w:rPr>
          <w:rFonts w:hint="eastAsia" w:ascii="仿宋" w:hAnsi="仿宋" w:cs="仿宋"/>
        </w:rPr>
        <w:t>（4）总价金额与按单价汇总金额不一致的，以单价金额计算结果为准。</w:t>
      </w:r>
    </w:p>
    <w:p>
      <w:pPr>
        <w:adjustRightInd w:val="0"/>
        <w:snapToGrid w:val="0"/>
        <w:spacing w:line="360" w:lineRule="auto"/>
        <w:ind w:firstLine="420" w:firstLineChars="200"/>
        <w:rPr>
          <w:rFonts w:ascii="仿宋" w:hAnsi="仿宋" w:cs="仿宋"/>
        </w:rPr>
      </w:pPr>
      <w:r>
        <w:rPr>
          <w:rFonts w:hint="eastAsia" w:ascii="仿宋" w:hAnsi="仿宋" w:cs="仿宋"/>
        </w:rPr>
        <w:t>同时出现两种以上不一致的，按照前款规定的顺序修正。修正后的报价经投标人确认后产生约束力，投标人不确认的，其投标将被认定为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24.4</w:t>
      </w:r>
      <w:r>
        <w:rPr>
          <w:rFonts w:hint="eastAsia" w:ascii="仿宋" w:hAnsi="仿宋" w:cs="仿宋"/>
          <w:b/>
          <w:bCs/>
        </w:rPr>
        <w:t>评标委员会认为</w:t>
      </w:r>
      <w:r>
        <w:rPr>
          <w:rFonts w:hint="eastAsia" w:ascii="仿宋" w:hAnsi="仿宋" w:cs="仿宋"/>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 w:hAnsi="仿宋" w:cs="仿宋"/>
          <w:b/>
          <w:bCs/>
        </w:rPr>
        <w:t>无效投标</w:t>
      </w:r>
      <w:r>
        <w:rPr>
          <w:rFonts w:hint="eastAsia" w:ascii="仿宋" w:hAnsi="仿宋" w:cs="仿宋"/>
        </w:rPr>
        <w:t>处理。提交证明材料的合理时间按第四章 评标方法规定执行。</w:t>
      </w:r>
    </w:p>
    <w:p>
      <w:pPr>
        <w:adjustRightInd w:val="0"/>
        <w:snapToGrid w:val="0"/>
        <w:spacing w:line="360" w:lineRule="auto"/>
        <w:rPr>
          <w:rFonts w:ascii="仿宋" w:hAnsi="仿宋" w:cs="仿宋"/>
          <w:b/>
          <w:bCs/>
        </w:rPr>
      </w:pPr>
      <w:r>
        <w:rPr>
          <w:rFonts w:hint="eastAsia" w:ascii="仿宋" w:hAnsi="仿宋" w:cs="仿宋"/>
          <w:b/>
          <w:bCs/>
        </w:rPr>
        <w:t>25样品及演示</w:t>
      </w:r>
    </w:p>
    <w:p>
      <w:pPr>
        <w:adjustRightInd w:val="0"/>
        <w:snapToGrid w:val="0"/>
        <w:spacing w:line="360" w:lineRule="auto"/>
        <w:rPr>
          <w:rFonts w:ascii="仿宋" w:hAnsi="仿宋" w:cs="仿宋"/>
        </w:rPr>
      </w:pPr>
      <w:r>
        <w:rPr>
          <w:rFonts w:hint="eastAsia" w:ascii="仿宋" w:hAnsi="仿宋" w:cs="仿宋"/>
        </w:rPr>
        <w:t>25.1投标人须知表11.3款中要求投标人提供样品的，按照投标人须知表25.1款中样品的评审方法以及评审标准进行评审。</w:t>
      </w:r>
    </w:p>
    <w:p>
      <w:pPr>
        <w:adjustRightInd w:val="0"/>
        <w:snapToGrid w:val="0"/>
        <w:spacing w:line="360" w:lineRule="auto"/>
        <w:rPr>
          <w:rFonts w:ascii="仿宋" w:hAnsi="仿宋" w:cs="仿宋"/>
        </w:rPr>
      </w:pPr>
      <w:r>
        <w:rPr>
          <w:rFonts w:hint="eastAsia" w:ascii="仿宋" w:hAnsi="仿宋" w:cs="仿宋"/>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 w:hAnsi="仿宋" w:cs="仿宋"/>
        </w:rPr>
      </w:pPr>
      <w:r>
        <w:rPr>
          <w:rFonts w:hint="eastAsia" w:ascii="仿宋" w:hAnsi="仿宋" w:cs="仿宋"/>
        </w:rPr>
        <w:t>25.3演示的评审方法以及评审标准具体内容见投标人须知表25.1款。</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26.投标无效</w:t>
      </w:r>
    </w:p>
    <w:p>
      <w:pPr>
        <w:adjustRightInd w:val="0"/>
        <w:snapToGrid w:val="0"/>
        <w:spacing w:line="360" w:lineRule="auto"/>
        <w:rPr>
          <w:rFonts w:ascii="仿宋" w:hAnsi="仿宋" w:cs="仿宋"/>
        </w:rPr>
      </w:pPr>
      <w:r>
        <w:rPr>
          <w:rFonts w:hint="eastAsia" w:ascii="仿宋" w:hAnsi="仿宋" w:cs="仿宋"/>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 w:hAnsi="仿宋" w:cs="仿宋"/>
          <w:kern w:val="0"/>
        </w:rPr>
      </w:pPr>
      <w:r>
        <w:rPr>
          <w:rFonts w:hint="eastAsia" w:ascii="仿宋" w:hAnsi="仿宋" w:cs="仿宋"/>
          <w:kern w:val="0"/>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 w:hAnsi="仿宋" w:cs="仿宋"/>
        </w:rPr>
      </w:pPr>
      <w:r>
        <w:rPr>
          <w:rFonts w:hint="eastAsia" w:ascii="仿宋" w:hAnsi="仿宋" w:cs="仿宋"/>
          <w:kern w:val="0"/>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 w:hAnsi="仿宋" w:cs="仿宋"/>
        </w:rPr>
      </w:pPr>
      <w:r>
        <w:rPr>
          <w:rFonts w:hint="eastAsia" w:ascii="仿宋" w:hAnsi="仿宋" w:cs="仿宋"/>
        </w:rPr>
        <w:t>如果投标文件没有对招标文件的实质性要求进行响应，将作为</w:t>
      </w:r>
      <w:r>
        <w:rPr>
          <w:rFonts w:hint="eastAsia" w:ascii="仿宋" w:hAnsi="仿宋" w:cs="仿宋"/>
          <w:b/>
          <w:bCs/>
        </w:rPr>
        <w:t>无效投标</w:t>
      </w:r>
      <w:r>
        <w:rPr>
          <w:rFonts w:hint="eastAsia" w:ascii="仿宋" w:hAnsi="仿宋" w:cs="仿宋"/>
        </w:rPr>
        <w:t>处理，投标人不得再对投标文件进行任何修正从而使其投标成为实质上响应的投标。</w:t>
      </w:r>
    </w:p>
    <w:p>
      <w:pPr>
        <w:adjustRightInd w:val="0"/>
        <w:snapToGrid w:val="0"/>
        <w:spacing w:line="360" w:lineRule="auto"/>
        <w:ind w:firstLine="420" w:firstLineChars="200"/>
        <w:rPr>
          <w:rFonts w:ascii="仿宋" w:hAnsi="仿宋" w:cs="仿宋"/>
        </w:rPr>
      </w:pPr>
      <w:r>
        <w:rPr>
          <w:rFonts w:hint="eastAsia" w:ascii="仿宋" w:hAnsi="仿宋" w:cs="仿宋"/>
        </w:rPr>
        <w:t>评标委员会决定投标的响应性只根据招标文件要求、投标文件内容及财政主管部门指定媒体发布的相关信息。</w:t>
      </w:r>
    </w:p>
    <w:p>
      <w:pPr>
        <w:adjustRightInd w:val="0"/>
        <w:snapToGrid w:val="0"/>
        <w:spacing w:line="360" w:lineRule="auto"/>
        <w:rPr>
          <w:rFonts w:ascii="仿宋" w:hAnsi="仿宋" w:cs="仿宋"/>
        </w:rPr>
      </w:pPr>
      <w:r>
        <w:rPr>
          <w:rFonts w:hint="eastAsia" w:ascii="仿宋" w:hAnsi="仿宋" w:cs="仿宋"/>
        </w:rPr>
        <w:t>26.2如发现下列情况之一的，其投标将被认定为</w:t>
      </w:r>
      <w:r>
        <w:rPr>
          <w:rFonts w:hint="eastAsia" w:ascii="仿宋" w:hAnsi="仿宋" w:cs="仿宋"/>
          <w:b/>
          <w:bCs/>
        </w:rPr>
        <w:t>投标无效</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（1）未按招标文件的规定提交投标保证金的；</w:t>
      </w:r>
    </w:p>
    <w:p>
      <w:pPr>
        <w:adjustRightInd w:val="0"/>
        <w:snapToGrid w:val="0"/>
        <w:spacing w:line="360" w:lineRule="auto"/>
        <w:rPr>
          <w:rFonts w:ascii="仿宋" w:hAnsi="仿宋" w:cs="仿宋"/>
        </w:rPr>
      </w:pPr>
      <w:r>
        <w:rPr>
          <w:rFonts w:hint="eastAsia" w:ascii="仿宋" w:hAnsi="仿宋" w:cs="仿宋"/>
        </w:rPr>
        <w:t>（2）未按照招标文件规定要求签署、盖章的；</w:t>
      </w:r>
    </w:p>
    <w:p>
      <w:pPr>
        <w:adjustRightInd w:val="0"/>
        <w:snapToGrid w:val="0"/>
        <w:spacing w:line="360" w:lineRule="auto"/>
        <w:rPr>
          <w:rFonts w:ascii="仿宋" w:hAnsi="仿宋" w:cs="仿宋"/>
        </w:rPr>
      </w:pPr>
      <w:r>
        <w:rPr>
          <w:rFonts w:hint="eastAsia" w:ascii="仿宋" w:hAnsi="仿宋" w:cs="仿宋"/>
        </w:rPr>
        <w:t>（3）投标人的报价超过了招标文件中规定的预算金额或者最高限价的；</w:t>
      </w:r>
    </w:p>
    <w:p>
      <w:pPr>
        <w:adjustRightInd w:val="0"/>
        <w:snapToGrid w:val="0"/>
        <w:spacing w:line="360" w:lineRule="auto"/>
        <w:rPr>
          <w:rFonts w:ascii="仿宋" w:hAnsi="仿宋" w:cs="仿宋"/>
        </w:rPr>
      </w:pPr>
      <w:r>
        <w:rPr>
          <w:rFonts w:hint="eastAsia" w:ascii="仿宋" w:hAnsi="仿宋" w:cs="仿宋"/>
        </w:rPr>
        <w:t>（4）不具备招标文件中规定的资格要求的；</w:t>
      </w:r>
    </w:p>
    <w:p>
      <w:pPr>
        <w:adjustRightInd w:val="0"/>
        <w:snapToGrid w:val="0"/>
        <w:spacing w:line="360" w:lineRule="auto"/>
        <w:rPr>
          <w:rFonts w:ascii="仿宋" w:hAnsi="仿宋" w:cs="仿宋"/>
        </w:rPr>
      </w:pPr>
      <w:r>
        <w:rPr>
          <w:rFonts w:hint="eastAsia" w:ascii="仿宋" w:hAnsi="仿宋" w:cs="仿宋"/>
        </w:rPr>
        <w:t>（5）不符合法律、法规和招标文件中规定的其他实质性要求的。</w:t>
      </w:r>
    </w:p>
    <w:p>
      <w:pPr>
        <w:adjustRightInd w:val="0"/>
        <w:snapToGrid w:val="0"/>
        <w:spacing w:line="360" w:lineRule="auto"/>
        <w:rPr>
          <w:rFonts w:ascii="仿宋" w:hAnsi="仿宋" w:cs="仿宋"/>
        </w:rPr>
      </w:pPr>
      <w:r>
        <w:rPr>
          <w:rFonts w:hint="eastAsia" w:ascii="仿宋" w:hAnsi="仿宋" w:cs="仿宋"/>
        </w:rPr>
        <w:t>（6）与其他投标人串通投标，或者与采购人串通投标；</w:t>
      </w:r>
    </w:p>
    <w:p>
      <w:pPr>
        <w:adjustRightInd w:val="0"/>
        <w:snapToGrid w:val="0"/>
        <w:spacing w:line="360" w:lineRule="auto"/>
        <w:rPr>
          <w:rFonts w:ascii="仿宋" w:hAnsi="仿宋" w:cs="仿宋"/>
        </w:rPr>
      </w:pPr>
      <w:r>
        <w:rPr>
          <w:rFonts w:hint="eastAsia" w:ascii="仿宋" w:hAnsi="仿宋" w:cs="仿宋"/>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 w:hAnsi="仿宋" w:cs="仿宋"/>
        </w:rPr>
      </w:pPr>
      <w:r>
        <w:rPr>
          <w:rFonts w:hint="eastAsia" w:ascii="仿宋" w:hAnsi="仿宋" w:cs="仿宋"/>
        </w:rPr>
        <w:t>（8）投标文件含有采购人不能接受的附加条件的；</w:t>
      </w:r>
    </w:p>
    <w:p>
      <w:pPr>
        <w:adjustRightInd w:val="0"/>
        <w:snapToGrid w:val="0"/>
        <w:spacing w:line="360" w:lineRule="auto"/>
        <w:rPr>
          <w:rFonts w:ascii="仿宋" w:hAnsi="仿宋" w:cs="仿宋"/>
        </w:rPr>
      </w:pPr>
      <w:r>
        <w:rPr>
          <w:rFonts w:hint="eastAsia" w:ascii="仿宋" w:hAnsi="仿宋" w:cs="仿宋"/>
        </w:rPr>
        <w:t>（9）属于法律、法规和招标文件规定的其他投标无效情形；</w:t>
      </w:r>
    </w:p>
    <w:p>
      <w:pPr>
        <w:adjustRightInd w:val="0"/>
        <w:snapToGrid w:val="0"/>
        <w:spacing w:line="360" w:lineRule="auto"/>
        <w:rPr>
          <w:rFonts w:ascii="仿宋" w:hAnsi="仿宋" w:cs="仿宋"/>
          <w:b/>
          <w:bCs/>
        </w:rPr>
      </w:pPr>
      <w:r>
        <w:rPr>
          <w:rFonts w:hint="eastAsia" w:ascii="仿宋" w:hAnsi="仿宋" w:cs="仿宋"/>
          <w:b/>
          <w:bCs/>
        </w:rPr>
        <w:t>27.比较与评价</w:t>
      </w:r>
    </w:p>
    <w:p>
      <w:pPr>
        <w:adjustRightInd w:val="0"/>
        <w:snapToGrid w:val="0"/>
        <w:spacing w:line="360" w:lineRule="auto"/>
        <w:rPr>
          <w:rFonts w:ascii="仿宋" w:hAnsi="仿宋" w:cs="仿宋"/>
        </w:rPr>
      </w:pPr>
      <w:r>
        <w:rPr>
          <w:rFonts w:hint="eastAsia" w:ascii="仿宋" w:hAnsi="仿宋" w:cs="仿宋"/>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 w:hAnsi="仿宋" w:cs="仿宋"/>
        </w:rPr>
      </w:pPr>
      <w:r>
        <w:rPr>
          <w:rFonts w:hint="eastAsia" w:ascii="仿宋" w:hAnsi="仿宋" w:cs="仿宋"/>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 w:hAnsi="仿宋" w:cs="仿宋"/>
        </w:rPr>
      </w:pPr>
      <w:r>
        <w:rPr>
          <w:rFonts w:hint="eastAsia" w:ascii="仿宋" w:hAnsi="仿宋" w:cs="仿宋"/>
        </w:rPr>
        <w:t>（1）最低评标价法，是指投标文件满足招标文件全部实质性要求，且投标报价最低的投标人为中标候选人的评标方法。</w:t>
      </w:r>
    </w:p>
    <w:p>
      <w:pPr>
        <w:adjustRightInd w:val="0"/>
        <w:snapToGrid w:val="0"/>
        <w:spacing w:line="360" w:lineRule="auto"/>
        <w:rPr>
          <w:rFonts w:ascii="仿宋" w:hAnsi="仿宋" w:cs="仿宋"/>
        </w:rPr>
      </w:pPr>
      <w:r>
        <w:rPr>
          <w:rFonts w:hint="eastAsia" w:ascii="仿宋" w:hAnsi="仿宋" w:cs="仿宋"/>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 w:hAnsi="仿宋" w:cs="仿宋"/>
        </w:rPr>
      </w:pPr>
      <w:r>
        <w:rPr>
          <w:rFonts w:hint="eastAsia" w:ascii="仿宋" w:hAnsi="仿宋" w:cs="仿宋"/>
        </w:rPr>
        <w:t>27.3根据《政府采购促进中小企业发展管理办法》（财库[2020]46号）、《财政部 司法部关于政府采购支持监狱企业发展有关问题的通知》（财库〔2014〕68 号）、《三部门联合发布关于促进残疾人就业政府采购政策的通知》（财库〔2017〕141 号）和《关于进一步促进政府采购公平竞争支持企业纾困发展的通知》（辽财采〔2022〕119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10-20%后参与评审。具体详见第四章 评标方法。</w:t>
      </w:r>
    </w:p>
    <w:p>
      <w:pPr>
        <w:adjustRightInd w:val="0"/>
        <w:snapToGrid w:val="0"/>
        <w:spacing w:line="360" w:lineRule="auto"/>
        <w:rPr>
          <w:rFonts w:ascii="仿宋" w:hAnsi="仿宋" w:cs="仿宋"/>
        </w:rPr>
      </w:pPr>
      <w:r>
        <w:rPr>
          <w:rFonts w:hint="eastAsia" w:ascii="仿宋" w:hAnsi="仿宋" w:cs="仿宋"/>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ascii="仿宋" w:hAnsi="仿宋" w:cs="仿宋"/>
        </w:rPr>
      </w:pPr>
      <w:r>
        <w:rPr>
          <w:rFonts w:hint="eastAsia" w:ascii="仿宋" w:hAnsi="仿宋" w:cs="仿宋"/>
        </w:rPr>
        <w:t>27.5根据财政部、辽宁省财政厅相关规定，对于列入《辽宁省创新产品和服务目录》内的产品、服务实施政府优先采购。具体优先采购办法详见第四章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28.废标</w:t>
      </w:r>
    </w:p>
    <w:p>
      <w:pPr>
        <w:adjustRightInd w:val="0"/>
        <w:snapToGrid w:val="0"/>
        <w:spacing w:line="360" w:lineRule="auto"/>
        <w:ind w:firstLine="420" w:firstLineChars="200"/>
        <w:rPr>
          <w:rFonts w:ascii="仿宋" w:hAnsi="仿宋" w:cs="仿宋"/>
        </w:rPr>
      </w:pPr>
      <w:r>
        <w:rPr>
          <w:rFonts w:hint="eastAsia" w:ascii="仿宋" w:hAnsi="仿宋" w:cs="仿宋"/>
        </w:rPr>
        <w:t>出现下列情形之一，将导致项目</w:t>
      </w:r>
      <w:r>
        <w:rPr>
          <w:rFonts w:hint="eastAsia" w:ascii="仿宋" w:hAnsi="仿宋" w:cs="仿宋"/>
          <w:b/>
          <w:bCs/>
        </w:rPr>
        <w:t>废标</w:t>
      </w:r>
      <w:r>
        <w:rPr>
          <w:rFonts w:hint="eastAsia" w:ascii="仿宋" w:hAnsi="仿宋" w:cs="仿宋"/>
        </w:rPr>
        <w:t>：</w:t>
      </w:r>
    </w:p>
    <w:p>
      <w:pPr>
        <w:adjustRightInd w:val="0"/>
        <w:snapToGrid w:val="0"/>
        <w:spacing w:line="360" w:lineRule="auto"/>
        <w:rPr>
          <w:rFonts w:ascii="仿宋" w:hAnsi="仿宋" w:cs="仿宋"/>
        </w:rPr>
      </w:pPr>
      <w:r>
        <w:rPr>
          <w:rFonts w:hint="eastAsia" w:ascii="仿宋" w:hAnsi="仿宋" w:cs="仿宋"/>
        </w:rPr>
        <w:t>（1）符合专业条件的投标人或者对招标文件做实质性响应的投标人不足3家；</w:t>
      </w:r>
    </w:p>
    <w:p>
      <w:pPr>
        <w:adjustRightInd w:val="0"/>
        <w:snapToGrid w:val="0"/>
        <w:spacing w:line="360" w:lineRule="auto"/>
        <w:rPr>
          <w:rFonts w:ascii="仿宋" w:hAnsi="仿宋" w:cs="仿宋"/>
        </w:rPr>
      </w:pPr>
      <w:r>
        <w:rPr>
          <w:rFonts w:hint="eastAsia" w:ascii="仿宋" w:hAnsi="仿宋" w:cs="仿宋"/>
        </w:rPr>
        <w:t>（2）出现影响采购公正的违法、违规行为的；</w:t>
      </w:r>
    </w:p>
    <w:p>
      <w:pPr>
        <w:adjustRightInd w:val="0"/>
        <w:snapToGrid w:val="0"/>
        <w:spacing w:line="360" w:lineRule="auto"/>
        <w:rPr>
          <w:rFonts w:ascii="仿宋" w:hAnsi="仿宋" w:cs="仿宋"/>
        </w:rPr>
      </w:pPr>
      <w:r>
        <w:rPr>
          <w:rFonts w:hint="eastAsia" w:ascii="仿宋" w:hAnsi="仿宋" w:cs="仿宋"/>
        </w:rPr>
        <w:t>（3）投标人的报价均超过了采购预算或最高限价，采购人不能支付的；</w:t>
      </w:r>
    </w:p>
    <w:p>
      <w:pPr>
        <w:adjustRightInd w:val="0"/>
        <w:snapToGrid w:val="0"/>
        <w:spacing w:line="360" w:lineRule="auto"/>
        <w:rPr>
          <w:rFonts w:ascii="仿宋" w:hAnsi="仿宋" w:cs="仿宋"/>
        </w:rPr>
      </w:pPr>
      <w:r>
        <w:rPr>
          <w:rFonts w:hint="eastAsia" w:ascii="仿宋" w:hAnsi="仿宋" w:cs="仿宋"/>
        </w:rPr>
        <w:t>（4）因重大变故，采购任务取消的。</w:t>
      </w:r>
    </w:p>
    <w:p>
      <w:pPr>
        <w:adjustRightInd w:val="0"/>
        <w:snapToGrid w:val="0"/>
        <w:spacing w:line="360" w:lineRule="auto"/>
        <w:rPr>
          <w:rFonts w:ascii="仿宋" w:hAnsi="仿宋" w:cs="仿宋"/>
          <w:b/>
          <w:bCs/>
        </w:rPr>
      </w:pPr>
      <w:r>
        <w:rPr>
          <w:rFonts w:hint="eastAsia" w:ascii="仿宋" w:hAnsi="仿宋" w:cs="仿宋"/>
          <w:b/>
          <w:bCs/>
        </w:rPr>
        <w:t>29.中标候选人的推荐原则及标准</w:t>
      </w:r>
    </w:p>
    <w:p>
      <w:pPr>
        <w:adjustRightInd w:val="0"/>
        <w:snapToGrid w:val="0"/>
        <w:spacing w:line="360" w:lineRule="auto"/>
        <w:rPr>
          <w:rFonts w:ascii="仿宋" w:hAnsi="仿宋" w:cs="仿宋"/>
        </w:rPr>
      </w:pPr>
      <w:r>
        <w:rPr>
          <w:rFonts w:hint="eastAsia" w:ascii="仿宋" w:hAnsi="仿宋" w:cs="仿宋"/>
        </w:rPr>
        <w:t>29.1除第32条规定外，评标委员会将根据评标标准，对实质上响应招标文件的投标人按下列方法进行排序，推荐中标候选人：</w:t>
      </w:r>
    </w:p>
    <w:p>
      <w:pPr>
        <w:adjustRightInd w:val="0"/>
        <w:snapToGrid w:val="0"/>
        <w:spacing w:line="360" w:lineRule="auto"/>
        <w:rPr>
          <w:rFonts w:ascii="仿宋" w:hAnsi="仿宋" w:cs="仿宋"/>
        </w:rPr>
      </w:pPr>
      <w:r>
        <w:rPr>
          <w:rFonts w:hint="eastAsia" w:ascii="仿宋" w:hAnsi="仿宋" w:cs="仿宋"/>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 w:hAnsi="仿宋" w:cs="仿宋"/>
        </w:rPr>
      </w:pPr>
      <w:r>
        <w:rPr>
          <w:rFonts w:hint="eastAsia" w:ascii="仿宋" w:hAnsi="仿宋" w:cs="仿宋"/>
        </w:rPr>
        <w:t>（2）采用综合评分法的，评标结果按评审后得分由高到低顺序排序。得分相同的，按第四章评标办法规定执行。</w:t>
      </w:r>
    </w:p>
    <w:p>
      <w:pPr>
        <w:adjustRightInd w:val="0"/>
        <w:snapToGrid w:val="0"/>
        <w:spacing w:line="360" w:lineRule="auto"/>
        <w:rPr>
          <w:rFonts w:ascii="仿宋" w:hAnsi="仿宋" w:cs="仿宋"/>
        </w:rPr>
      </w:pPr>
      <w:r>
        <w:rPr>
          <w:rFonts w:hint="eastAsia" w:ascii="仿宋" w:hAnsi="仿宋" w:cs="仿宋"/>
        </w:rPr>
        <w:t>29.2评标委员会将根据评标标准，按投标人须知表29.2款中规定的数量推荐中标候选人。</w:t>
      </w:r>
    </w:p>
    <w:p>
      <w:pPr>
        <w:adjustRightInd w:val="0"/>
        <w:snapToGrid w:val="0"/>
        <w:spacing w:line="360" w:lineRule="auto"/>
        <w:rPr>
          <w:rFonts w:ascii="仿宋" w:hAnsi="仿宋" w:cs="仿宋"/>
        </w:rPr>
      </w:pPr>
      <w:r>
        <w:rPr>
          <w:rFonts w:hint="eastAsia" w:ascii="仿宋" w:hAnsi="仿宋" w:cs="仿宋"/>
        </w:rPr>
        <w:t>29.3因推荐中标候选人名单产生其他问题，由评标委员会集体研究处理。</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30.保密原则</w:t>
      </w:r>
    </w:p>
    <w:p>
      <w:pPr>
        <w:adjustRightInd w:val="0"/>
        <w:snapToGrid w:val="0"/>
        <w:spacing w:line="360" w:lineRule="auto"/>
        <w:rPr>
          <w:rFonts w:ascii="仿宋" w:hAnsi="仿宋" w:cs="仿宋"/>
        </w:rPr>
      </w:pPr>
      <w:r>
        <w:rPr>
          <w:rFonts w:hint="eastAsia" w:ascii="仿宋" w:hAnsi="仿宋" w:cs="仿宋"/>
        </w:rPr>
        <w:t>30.1评标将在严格保密的情况下进行。</w:t>
      </w:r>
    </w:p>
    <w:p>
      <w:pPr>
        <w:adjustRightInd w:val="0"/>
        <w:snapToGrid w:val="0"/>
        <w:spacing w:line="360" w:lineRule="auto"/>
        <w:rPr>
          <w:rFonts w:ascii="仿宋" w:hAnsi="仿宋" w:cs="仿宋"/>
        </w:rPr>
      </w:pPr>
      <w:r>
        <w:rPr>
          <w:rFonts w:hint="eastAsia" w:ascii="仿宋" w:hAnsi="仿宋" w:cs="仿宋"/>
        </w:rPr>
        <w:t>30.2有关人员应当遵守评标工作纪律，不得泄露评审文件、评标情况和评标过程中获悉的国家秘密、商业秘密。</w:t>
      </w:r>
    </w:p>
    <w:p>
      <w:pPr>
        <w:pStyle w:val="5"/>
        <w:rPr>
          <w:rFonts w:ascii="仿宋" w:hAnsi="仿宋" w:cs="仿宋"/>
          <w:sz w:val="32"/>
          <w:szCs w:val="32"/>
        </w:rPr>
      </w:pPr>
      <w:bookmarkStart w:id="67" w:name="_Toc4544_WPSOffice_Level2"/>
      <w:r>
        <w:rPr>
          <w:rFonts w:hint="eastAsia" w:ascii="仿宋" w:hAnsi="仿宋" w:cs="仿宋"/>
          <w:sz w:val="32"/>
          <w:szCs w:val="32"/>
        </w:rPr>
        <w:t>七 确定中标</w:t>
      </w:r>
      <w:bookmarkEnd w:id="67"/>
    </w:p>
    <w:p>
      <w:pPr>
        <w:adjustRightInd w:val="0"/>
        <w:snapToGrid w:val="0"/>
        <w:spacing w:line="360" w:lineRule="auto"/>
        <w:rPr>
          <w:rFonts w:ascii="仿宋" w:hAnsi="仿宋" w:cs="仿宋"/>
          <w:b/>
          <w:bCs/>
        </w:rPr>
      </w:pPr>
      <w:r>
        <w:rPr>
          <w:rFonts w:hint="eastAsia" w:ascii="仿宋" w:hAnsi="仿宋" w:cs="仿宋"/>
          <w:b/>
          <w:bCs/>
        </w:rPr>
        <w:t>31.确定中标人</w:t>
      </w:r>
    </w:p>
    <w:p>
      <w:pPr>
        <w:adjustRightInd w:val="0"/>
        <w:snapToGrid w:val="0"/>
        <w:spacing w:line="360" w:lineRule="auto"/>
        <w:ind w:firstLine="420" w:firstLineChars="200"/>
        <w:rPr>
          <w:rFonts w:ascii="仿宋" w:hAnsi="仿宋" w:cs="仿宋"/>
        </w:rPr>
      </w:pPr>
      <w:r>
        <w:rPr>
          <w:rFonts w:hint="eastAsia" w:ascii="仿宋" w:hAnsi="仿宋" w:cs="仿宋"/>
        </w:rPr>
        <w:t>由采购人或者采购人委托评标委员会按照投标人须知表31中规定的方式确定中标人。</w:t>
      </w:r>
    </w:p>
    <w:p>
      <w:pPr>
        <w:adjustRightInd w:val="0"/>
        <w:snapToGrid w:val="0"/>
        <w:spacing w:line="360" w:lineRule="auto"/>
        <w:ind w:firstLine="420" w:firstLineChars="200"/>
        <w:rPr>
          <w:rFonts w:ascii="仿宋" w:hAnsi="仿宋" w:cs="仿宋"/>
        </w:rPr>
      </w:pPr>
      <w:r>
        <w:rPr>
          <w:rFonts w:hint="eastAsia" w:ascii="仿宋" w:hAnsi="仿宋" w:cs="仿宋"/>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 w:hAnsi="仿宋" w:cs="仿宋"/>
          <w:b/>
          <w:bCs/>
        </w:rPr>
      </w:pPr>
      <w:r>
        <w:rPr>
          <w:rFonts w:hint="eastAsia" w:ascii="仿宋" w:hAnsi="仿宋" w:cs="仿宋"/>
          <w:b/>
          <w:bCs/>
        </w:rPr>
        <w:t>★32.采购任务取消</w:t>
      </w:r>
    </w:p>
    <w:p>
      <w:pPr>
        <w:adjustRightInd w:val="0"/>
        <w:snapToGrid w:val="0"/>
        <w:spacing w:line="360" w:lineRule="auto"/>
        <w:ind w:firstLine="420" w:firstLineChars="200"/>
        <w:rPr>
          <w:rFonts w:ascii="仿宋" w:hAnsi="仿宋" w:cs="仿宋"/>
        </w:rPr>
      </w:pPr>
      <w:r>
        <w:rPr>
          <w:rFonts w:hint="eastAsia" w:ascii="仿宋" w:hAnsi="仿宋" w:cs="仿宋"/>
        </w:rPr>
        <w:t>因重大变故采购任务取消时，采购人有权拒绝任何供应商中标，且对受影响的投标人不承担任何责任。</w:t>
      </w:r>
    </w:p>
    <w:p>
      <w:pPr>
        <w:adjustRightInd w:val="0"/>
        <w:snapToGrid w:val="0"/>
        <w:spacing w:line="360" w:lineRule="auto"/>
        <w:rPr>
          <w:rFonts w:ascii="仿宋" w:hAnsi="仿宋" w:cs="仿宋"/>
          <w:b/>
          <w:bCs/>
        </w:rPr>
      </w:pPr>
      <w:r>
        <w:rPr>
          <w:rFonts w:hint="eastAsia" w:ascii="仿宋" w:hAnsi="仿宋" w:cs="仿宋"/>
          <w:b/>
          <w:bCs/>
        </w:rPr>
        <w:t>33.中标通知书</w:t>
      </w:r>
    </w:p>
    <w:p>
      <w:pPr>
        <w:adjustRightInd w:val="0"/>
        <w:snapToGrid w:val="0"/>
        <w:spacing w:line="360" w:lineRule="auto"/>
        <w:rPr>
          <w:rFonts w:ascii="仿宋" w:hAnsi="仿宋" w:cs="仿宋"/>
        </w:rPr>
      </w:pPr>
      <w:r>
        <w:rPr>
          <w:rFonts w:hint="eastAsia" w:ascii="仿宋" w:hAnsi="仿宋" w:cs="仿宋"/>
        </w:rPr>
        <w:t>33.1采购人或者采购代理机构应当自中标人确定之日起2个工作日内，在辽宁政府采购网及其地方分网媒体上公告中标结果。同时向中标人发出中标通知书。</w:t>
      </w:r>
    </w:p>
    <w:p>
      <w:pPr>
        <w:adjustRightInd w:val="0"/>
        <w:snapToGrid w:val="0"/>
        <w:spacing w:line="360" w:lineRule="auto"/>
        <w:rPr>
          <w:rFonts w:ascii="仿宋" w:hAnsi="仿宋" w:cs="仿宋"/>
        </w:rPr>
      </w:pPr>
      <w:r>
        <w:rPr>
          <w:rFonts w:hint="eastAsia" w:ascii="仿宋" w:hAnsi="仿宋" w:cs="仿宋"/>
        </w:rPr>
        <w:t>33.2中标通知书是合同的组成部分。</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34.签订合同</w:t>
      </w:r>
    </w:p>
    <w:p>
      <w:pPr>
        <w:adjustRightInd w:val="0"/>
        <w:snapToGrid w:val="0"/>
        <w:spacing w:line="360" w:lineRule="auto"/>
        <w:rPr>
          <w:rFonts w:ascii="仿宋" w:hAnsi="仿宋" w:cs="仿宋"/>
        </w:rPr>
      </w:pPr>
      <w:r>
        <w:rPr>
          <w:rFonts w:hint="eastAsia" w:ascii="仿宋" w:hAnsi="仿宋" w:cs="仿宋"/>
        </w:rPr>
        <w:t>34.1中标人应当自发出中标通知书之日起 30 日内，与采购人签订书面合同。</w:t>
      </w:r>
    </w:p>
    <w:p>
      <w:pPr>
        <w:adjustRightInd w:val="0"/>
        <w:snapToGrid w:val="0"/>
        <w:spacing w:line="360" w:lineRule="auto"/>
        <w:rPr>
          <w:rFonts w:ascii="仿宋" w:hAnsi="仿宋" w:cs="仿宋"/>
        </w:rPr>
      </w:pPr>
      <w:r>
        <w:rPr>
          <w:rFonts w:hint="eastAsia" w:ascii="仿宋" w:hAnsi="仿宋" w:cs="仿宋"/>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 w:hAnsi="仿宋" w:cs="仿宋"/>
        </w:rPr>
      </w:pPr>
      <w:r>
        <w:rPr>
          <w:rFonts w:hint="eastAsia" w:ascii="仿宋" w:hAnsi="仿宋" w:cs="仿宋"/>
        </w:rPr>
        <w:t>34.3 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35.履约保证金</w:t>
      </w:r>
    </w:p>
    <w:p>
      <w:pPr>
        <w:adjustRightInd w:val="0"/>
        <w:snapToGrid w:val="0"/>
        <w:spacing w:line="360" w:lineRule="auto"/>
        <w:rPr>
          <w:rFonts w:ascii="仿宋" w:hAnsi="仿宋" w:cs="仿宋"/>
        </w:rPr>
      </w:pPr>
      <w:r>
        <w:rPr>
          <w:rFonts w:hint="eastAsia" w:ascii="仿宋" w:hAnsi="仿宋" w:cs="仿宋"/>
        </w:rPr>
        <w:t>35.1中标人应按照投标人须知表35.1款规定向采购人缴纳履约保证金。</w:t>
      </w:r>
    </w:p>
    <w:p>
      <w:pPr>
        <w:adjustRightInd w:val="0"/>
        <w:snapToGrid w:val="0"/>
        <w:spacing w:line="360" w:lineRule="auto"/>
        <w:rPr>
          <w:rFonts w:ascii="仿宋" w:hAnsi="仿宋" w:cs="仿宋"/>
        </w:rPr>
      </w:pPr>
      <w:r>
        <w:rPr>
          <w:rFonts w:hint="eastAsia" w:ascii="仿宋" w:hAnsi="仿宋" w:cs="仿宋"/>
        </w:rPr>
        <w:t>35.2如果中标人没有按照上述履约保证金的规定执行，将视为拒绝签订合同并放弃中标资格，中标人的投标保证金将不予退还。在此情况下，采购人可确定下一中标候选人为中标人，也可以重新开展采购活动。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 w:hAnsi="仿宋" w:cs="仿宋"/>
          <w:b/>
          <w:bCs/>
        </w:rPr>
      </w:pPr>
      <w:r>
        <w:rPr>
          <w:rFonts w:hint="eastAsia" w:ascii="仿宋" w:hAnsi="仿宋" w:cs="仿宋"/>
        </w:rPr>
        <w:t>★</w:t>
      </w:r>
      <w:r>
        <w:rPr>
          <w:rFonts w:hint="eastAsia" w:ascii="仿宋" w:hAnsi="仿宋" w:cs="仿宋"/>
          <w:b/>
          <w:bCs/>
        </w:rPr>
        <w:t>36.采购代理服务费</w:t>
      </w:r>
    </w:p>
    <w:p>
      <w:pPr>
        <w:adjustRightInd w:val="0"/>
        <w:snapToGrid w:val="0"/>
        <w:spacing w:line="360" w:lineRule="auto"/>
        <w:ind w:firstLine="420" w:firstLineChars="200"/>
        <w:rPr>
          <w:rFonts w:ascii="仿宋" w:hAnsi="仿宋" w:cs="仿宋"/>
        </w:rPr>
      </w:pPr>
      <w:r>
        <w:rPr>
          <w:rFonts w:hint="eastAsia" w:ascii="仿宋" w:hAnsi="仿宋" w:cs="仿宋"/>
        </w:rPr>
        <w:t>中标人须按照投标须知表36款规定，向采购代理机构支付采购代理服务费。</w:t>
      </w:r>
    </w:p>
    <w:p>
      <w:pPr>
        <w:adjustRightInd w:val="0"/>
        <w:snapToGrid w:val="0"/>
        <w:spacing w:line="360" w:lineRule="auto"/>
        <w:rPr>
          <w:rFonts w:ascii="仿宋" w:hAnsi="仿宋" w:cs="仿宋"/>
          <w:b/>
          <w:bCs/>
        </w:rPr>
      </w:pPr>
      <w:r>
        <w:rPr>
          <w:rFonts w:hint="eastAsia" w:ascii="仿宋" w:hAnsi="仿宋" w:cs="仿宋"/>
          <w:b/>
          <w:bCs/>
        </w:rPr>
        <w:t>37.廉洁自律规定</w:t>
      </w:r>
    </w:p>
    <w:p>
      <w:pPr>
        <w:adjustRightInd w:val="0"/>
        <w:snapToGrid w:val="0"/>
        <w:spacing w:line="360" w:lineRule="auto"/>
        <w:rPr>
          <w:rFonts w:ascii="仿宋" w:hAnsi="仿宋" w:cs="仿宋"/>
        </w:rPr>
      </w:pPr>
      <w:r>
        <w:rPr>
          <w:rFonts w:hint="eastAsia" w:ascii="仿宋" w:hAnsi="仿宋" w:cs="仿宋"/>
        </w:rPr>
        <w:t>37.1采购代理机构工作人员不得以不正当手段获取政府采购代理业务，不得与采购人、投标人恶意串通操纵政府采购活动。</w:t>
      </w:r>
    </w:p>
    <w:p>
      <w:pPr>
        <w:adjustRightInd w:val="0"/>
        <w:snapToGrid w:val="0"/>
        <w:spacing w:line="360" w:lineRule="auto"/>
        <w:rPr>
          <w:rFonts w:ascii="仿宋" w:hAnsi="仿宋" w:cs="仿宋"/>
        </w:rPr>
      </w:pPr>
      <w:r>
        <w:rPr>
          <w:rFonts w:hint="eastAsia" w:ascii="仿宋" w:hAnsi="仿宋" w:cs="仿宋"/>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 w:hAnsi="仿宋" w:cs="仿宋"/>
          <w:b/>
          <w:bCs/>
        </w:rPr>
      </w:pPr>
      <w:r>
        <w:rPr>
          <w:rFonts w:hint="eastAsia" w:ascii="仿宋" w:hAnsi="仿宋" w:cs="仿宋"/>
          <w:b/>
          <w:bCs/>
        </w:rPr>
        <w:t>38.人员回避</w:t>
      </w:r>
    </w:p>
    <w:p>
      <w:pPr>
        <w:adjustRightInd w:val="0"/>
        <w:snapToGrid w:val="0"/>
        <w:spacing w:line="360" w:lineRule="auto"/>
        <w:ind w:firstLine="420" w:firstLineChars="200"/>
        <w:rPr>
          <w:rFonts w:ascii="仿宋" w:hAnsi="仿宋" w:cs="仿宋"/>
        </w:rPr>
      </w:pPr>
      <w:r>
        <w:rPr>
          <w:rFonts w:hint="eastAsia" w:ascii="仿宋" w:hAnsi="仿宋" w:cs="仿宋"/>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 w:hAnsi="仿宋" w:cs="仿宋"/>
          <w:b/>
          <w:bCs/>
        </w:rPr>
      </w:pPr>
      <w:r>
        <w:rPr>
          <w:rFonts w:hint="eastAsia" w:ascii="仿宋" w:hAnsi="仿宋" w:cs="仿宋"/>
          <w:b/>
          <w:bCs/>
        </w:rPr>
        <w:t>39.质疑与接收</w:t>
      </w:r>
    </w:p>
    <w:p>
      <w:pPr>
        <w:adjustRightInd w:val="0"/>
        <w:snapToGrid w:val="0"/>
        <w:spacing w:line="360" w:lineRule="auto"/>
        <w:rPr>
          <w:rFonts w:ascii="仿宋" w:hAnsi="仿宋" w:cs="仿宋"/>
        </w:rPr>
      </w:pPr>
      <w:r>
        <w:rPr>
          <w:rFonts w:hint="eastAsia" w:ascii="仿宋" w:hAnsi="仿宋" w:cs="仿宋"/>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 w:hAnsi="仿宋" w:cs="仿宋"/>
        </w:rPr>
      </w:pPr>
      <w:r>
        <w:rPr>
          <w:rFonts w:hint="eastAsia" w:ascii="仿宋" w:hAnsi="仿宋" w:cs="仿宋"/>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 w:hAnsi="仿宋" w:cs="仿宋"/>
        </w:rPr>
      </w:pPr>
      <w:r>
        <w:rPr>
          <w:rFonts w:hint="eastAsia" w:ascii="仿宋" w:hAnsi="仿宋" w:cs="仿宋"/>
        </w:rPr>
        <w:t>超出法定质疑期的、重复提出的、分次提出的或内容、形式不符合《政府采购质疑和投诉办法》的，质疑投标人将依法承担不利后果。</w:t>
      </w:r>
    </w:p>
    <w:p>
      <w:pPr>
        <w:adjustRightInd w:val="0"/>
        <w:snapToGrid w:val="0"/>
        <w:spacing w:line="360" w:lineRule="auto"/>
        <w:rPr>
          <w:rFonts w:ascii="仿宋" w:hAnsi="仿宋" w:cs="仿宋"/>
        </w:rPr>
      </w:pPr>
      <w:r>
        <w:rPr>
          <w:rFonts w:hint="eastAsia" w:ascii="仿宋" w:hAnsi="仿宋" w:cs="仿宋"/>
        </w:rPr>
        <w:t>39.3采购代理机构质疑函接收部门、联系电话和通讯地址, 见投标人须知表39.3款。</w:t>
      </w:r>
    </w:p>
    <w:p>
      <w:pPr>
        <w:adjustRightInd w:val="0"/>
        <w:snapToGrid w:val="0"/>
        <w:spacing w:line="360" w:lineRule="auto"/>
        <w:rPr>
          <w:rFonts w:ascii="仿宋" w:hAnsi="仿宋" w:cs="仿宋"/>
          <w:b/>
          <w:bCs/>
        </w:rPr>
      </w:pPr>
      <w:r>
        <w:rPr>
          <w:rFonts w:hint="eastAsia" w:ascii="仿宋" w:hAnsi="仿宋" w:cs="仿宋"/>
          <w:b/>
          <w:bCs/>
        </w:rPr>
        <w:t>40.履约验收</w:t>
      </w:r>
    </w:p>
    <w:p>
      <w:pPr>
        <w:adjustRightInd w:val="0"/>
        <w:snapToGrid w:val="0"/>
        <w:spacing w:line="360" w:lineRule="auto"/>
        <w:ind w:firstLine="420"/>
        <w:rPr>
          <w:rFonts w:ascii="仿宋" w:hAnsi="仿宋" w:cs="仿宋"/>
          <w:b/>
          <w:bCs/>
        </w:rPr>
        <w:sectPr>
          <w:footerReference r:id="rId4" w:type="default"/>
          <w:pgSz w:w="11906" w:h="16838"/>
          <w:pgMar w:top="1440" w:right="1800" w:bottom="1440" w:left="1800" w:header="851" w:footer="992" w:gutter="0"/>
          <w:pgNumType w:start="1"/>
          <w:cols w:space="720" w:num="1"/>
          <w:rtlGutter w:val="1"/>
          <w:docGrid w:type="linesAndChars" w:linePitch="312" w:charSpace="0"/>
        </w:sectPr>
      </w:pPr>
      <w:r>
        <w:rPr>
          <w:rFonts w:hint="eastAsia" w:ascii="仿宋" w:hAnsi="仿宋" w:cs="仿宋"/>
        </w:rPr>
        <w:t>本项目采购人及其委托的采购代理机构将严格按照政府采购相关法律法规以及《辽宁省政府采购履约验收管理办法》（辽财采〔2017〕603号）的要求进行验收。</w:t>
      </w:r>
    </w:p>
    <w:p>
      <w:pPr>
        <w:pStyle w:val="4"/>
        <w:adjustRightInd w:val="0"/>
        <w:snapToGrid w:val="0"/>
        <w:spacing w:before="0" w:after="0"/>
        <w:rPr>
          <w:rFonts w:ascii="仿宋" w:hAnsi="仿宋" w:cs="仿宋"/>
        </w:rPr>
      </w:pPr>
      <w:bookmarkStart w:id="68" w:name="_Toc17725_WPSOffice_Level1"/>
      <w:bookmarkStart w:id="69" w:name="_Toc6403"/>
      <w:r>
        <w:rPr>
          <w:rFonts w:hint="eastAsia" w:ascii="仿宋" w:hAnsi="仿宋" w:cs="仿宋"/>
        </w:rPr>
        <w:t>第二章 投标文件内容及格式</w:t>
      </w:r>
      <w:bookmarkEnd w:id="68"/>
      <w:bookmarkEnd w:id="69"/>
    </w:p>
    <w:p>
      <w:pPr>
        <w:spacing w:before="159" w:beforeLines="50"/>
        <w:rPr>
          <w:rFonts w:ascii="仿宋" w:hAnsi="仿宋" w:cs="仿宋"/>
          <w:b/>
          <w:bCs/>
          <w:sz w:val="24"/>
          <w:szCs w:val="24"/>
        </w:rPr>
      </w:pPr>
      <w:bookmarkStart w:id="70" w:name="投标文件内容及格式：Block"/>
      <w:bookmarkEnd w:id="70"/>
      <w:bookmarkStart w:id="71" w:name="sys_投标文件内容及格式：Block"/>
      <w:bookmarkEnd w:id="71"/>
      <w:bookmarkStart w:id="72" w:name="_Toc1538_WPSOffice_Level2"/>
      <w:bookmarkStart w:id="73" w:name="_Toc2481_WPSOffice_Level2"/>
      <w:r>
        <w:rPr>
          <w:rFonts w:hint="eastAsia" w:ascii="仿宋" w:hAnsi="仿宋" w:cs="仿宋"/>
          <w:b/>
          <w:bCs/>
          <w:sz w:val="24"/>
          <w:szCs w:val="24"/>
        </w:rPr>
        <w:t>一、投标文件、电子文档的外封面、封口、封皮及目录</w:t>
      </w:r>
      <w:bookmarkEnd w:id="72"/>
      <w:bookmarkEnd w:id="73"/>
    </w:p>
    <w:tbl>
      <w:tblPr>
        <w:tblStyle w:val="21"/>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7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677" w:type="dxa"/>
            <w:vAlign w:val="center"/>
          </w:tcPr>
          <w:p>
            <w:pPr>
              <w:widowControl/>
              <w:adjustRightInd w:val="0"/>
              <w:snapToGrid w:val="0"/>
              <w:jc w:val="center"/>
              <w:rPr>
                <w:rFonts w:ascii="仿宋" w:hAnsi="仿宋" w:cs="仿宋"/>
                <w:kern w:val="0"/>
              </w:rPr>
            </w:pPr>
            <w:r>
              <w:rPr>
                <w:rFonts w:hint="eastAsia" w:ascii="仿宋" w:hAnsi="仿宋" w:cs="仿宋"/>
                <w:kern w:val="0"/>
              </w:rPr>
              <w:t>序号</w:t>
            </w:r>
          </w:p>
        </w:tc>
        <w:tc>
          <w:tcPr>
            <w:tcW w:w="6976" w:type="dxa"/>
            <w:vAlign w:val="center"/>
          </w:tcPr>
          <w:p>
            <w:pPr>
              <w:widowControl/>
              <w:adjustRightInd w:val="0"/>
              <w:snapToGrid w:val="0"/>
              <w:jc w:val="center"/>
              <w:rPr>
                <w:rFonts w:ascii="仿宋" w:hAnsi="仿宋" w:cs="仿宋"/>
                <w:kern w:val="0"/>
              </w:rPr>
            </w:pPr>
            <w:r>
              <w:rPr>
                <w:rFonts w:hint="eastAsia" w:ascii="仿宋" w:hAnsi="仿宋" w:cs="仿宋"/>
                <w:kern w:val="0"/>
              </w:rPr>
              <w:t>内容</w:t>
            </w:r>
          </w:p>
        </w:tc>
        <w:tc>
          <w:tcPr>
            <w:tcW w:w="742" w:type="dxa"/>
            <w:vAlign w:val="center"/>
          </w:tcPr>
          <w:p>
            <w:pPr>
              <w:widowControl/>
              <w:adjustRightInd w:val="0"/>
              <w:snapToGrid w:val="0"/>
              <w:jc w:val="center"/>
              <w:rPr>
                <w:rFonts w:ascii="仿宋" w:hAnsi="仿宋" w:cs="仿宋"/>
                <w:kern w:val="0"/>
              </w:rPr>
            </w:pPr>
            <w:r>
              <w:rPr>
                <w:rFonts w:hint="eastAsia" w:ascii="仿宋" w:hAnsi="仿宋" w:cs="仿宋"/>
                <w:kern w:val="0"/>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adjustRightInd w:val="0"/>
              <w:snapToGrid w:val="0"/>
              <w:jc w:val="center"/>
              <w:rPr>
                <w:rFonts w:ascii="仿宋" w:hAnsi="仿宋" w:cs="仿宋"/>
                <w:kern w:val="0"/>
              </w:rPr>
            </w:pPr>
            <w:r>
              <w:rPr>
                <w:rFonts w:hint="eastAsia" w:ascii="仿宋" w:hAnsi="仿宋" w:cs="仿宋"/>
                <w:kern w:val="0"/>
              </w:rPr>
              <w:t>1</w:t>
            </w:r>
          </w:p>
        </w:tc>
        <w:tc>
          <w:tcPr>
            <w:tcW w:w="6976" w:type="dxa"/>
            <w:vAlign w:val="center"/>
          </w:tcPr>
          <w:p>
            <w:pPr>
              <w:widowControl/>
              <w:adjustRightInd w:val="0"/>
              <w:snapToGrid w:val="0"/>
              <w:jc w:val="left"/>
              <w:rPr>
                <w:rFonts w:ascii="仿宋" w:hAnsi="仿宋" w:cs="仿宋"/>
                <w:b/>
                <w:bCs/>
                <w:kern w:val="0"/>
              </w:rPr>
            </w:pPr>
            <w:r>
              <w:rPr>
                <w:rFonts w:hint="eastAsia" w:ascii="仿宋" w:hAnsi="仿宋" w:cs="仿宋"/>
                <w:kern w:val="0"/>
              </w:rPr>
              <w:t>投标文件、电子文档的外封面及封口</w:t>
            </w:r>
          </w:p>
        </w:tc>
        <w:tc>
          <w:tcPr>
            <w:tcW w:w="742" w:type="dxa"/>
            <w:vAlign w:val="center"/>
          </w:tcPr>
          <w:p>
            <w:pPr>
              <w:widowControl/>
              <w:adjustRightInd w:val="0"/>
              <w:snapToGrid w:val="0"/>
              <w:jc w:val="center"/>
              <w:rPr>
                <w:rFonts w:ascii="仿宋" w:hAnsi="仿宋" w:cs="仿宋"/>
                <w:kern w:val="0"/>
              </w:rPr>
            </w:pPr>
            <w:r>
              <w:rPr>
                <w:rFonts w:hint="eastAsia" w:ascii="仿宋" w:hAnsi="仿宋" w:cs="仿宋"/>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 w:hAnsi="仿宋" w:cs="仿宋"/>
                <w:kern w:val="0"/>
              </w:rPr>
            </w:pPr>
            <w:r>
              <w:rPr>
                <w:rFonts w:hint="eastAsia" w:ascii="仿宋" w:hAnsi="仿宋" w:cs="仿宋"/>
                <w:kern w:val="0"/>
              </w:rPr>
              <w:t>2</w:t>
            </w:r>
          </w:p>
        </w:tc>
        <w:tc>
          <w:tcPr>
            <w:tcW w:w="6976" w:type="dxa"/>
            <w:vAlign w:val="center"/>
          </w:tcPr>
          <w:p>
            <w:pPr>
              <w:widowControl/>
              <w:adjustRightInd w:val="0"/>
              <w:snapToGrid w:val="0"/>
              <w:rPr>
                <w:rFonts w:ascii="仿宋" w:hAnsi="仿宋" w:cs="仿宋"/>
                <w:kern w:val="0"/>
              </w:rPr>
            </w:pPr>
            <w:r>
              <w:rPr>
                <w:rFonts w:hint="eastAsia" w:ascii="仿宋" w:hAnsi="仿宋" w:cs="仿宋"/>
                <w:kern w:val="0"/>
              </w:rPr>
              <w:t>投标文件的封皮</w:t>
            </w:r>
          </w:p>
        </w:tc>
        <w:tc>
          <w:tcPr>
            <w:tcW w:w="742" w:type="dxa"/>
            <w:vAlign w:val="center"/>
          </w:tcPr>
          <w:p>
            <w:pPr>
              <w:widowControl/>
              <w:adjustRightInd w:val="0"/>
              <w:snapToGrid w:val="0"/>
              <w:jc w:val="center"/>
              <w:rPr>
                <w:rFonts w:ascii="仿宋" w:hAnsi="仿宋" w:cs="仿宋"/>
                <w:kern w:val="0"/>
              </w:rPr>
            </w:pPr>
            <w:r>
              <w:rPr>
                <w:rFonts w:hint="eastAsia" w:ascii="仿宋" w:hAnsi="仿宋" w:cs="仿宋"/>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adjustRightInd w:val="0"/>
              <w:snapToGrid w:val="0"/>
              <w:jc w:val="center"/>
              <w:rPr>
                <w:rFonts w:ascii="仿宋" w:hAnsi="仿宋" w:cs="仿宋"/>
                <w:kern w:val="0"/>
              </w:rPr>
            </w:pPr>
            <w:r>
              <w:rPr>
                <w:rFonts w:hint="eastAsia" w:ascii="仿宋" w:hAnsi="仿宋" w:cs="仿宋"/>
                <w:kern w:val="0"/>
              </w:rPr>
              <w:t>3</w:t>
            </w:r>
          </w:p>
        </w:tc>
        <w:tc>
          <w:tcPr>
            <w:tcW w:w="6976" w:type="dxa"/>
            <w:vAlign w:val="center"/>
          </w:tcPr>
          <w:p>
            <w:pPr>
              <w:widowControl/>
              <w:adjustRightInd w:val="0"/>
              <w:snapToGrid w:val="0"/>
              <w:rPr>
                <w:rFonts w:ascii="仿宋" w:hAnsi="仿宋" w:cs="仿宋"/>
                <w:kern w:val="0"/>
              </w:rPr>
            </w:pPr>
            <w:r>
              <w:rPr>
                <w:rFonts w:hint="eastAsia" w:ascii="仿宋" w:hAnsi="仿宋" w:cs="仿宋"/>
                <w:kern w:val="0"/>
              </w:rPr>
              <w:t>投标文件的目录</w:t>
            </w:r>
          </w:p>
        </w:tc>
        <w:tc>
          <w:tcPr>
            <w:tcW w:w="742" w:type="dxa"/>
            <w:vAlign w:val="center"/>
          </w:tcPr>
          <w:p>
            <w:pPr>
              <w:widowControl/>
              <w:adjustRightInd w:val="0"/>
              <w:snapToGrid w:val="0"/>
              <w:jc w:val="center"/>
              <w:rPr>
                <w:rFonts w:ascii="仿宋" w:hAnsi="仿宋" w:cs="仿宋"/>
                <w:kern w:val="0"/>
              </w:rPr>
            </w:pPr>
            <w:r>
              <w:rPr>
                <w:rFonts w:hint="eastAsia" w:ascii="仿宋" w:hAnsi="仿宋" w:cs="仿宋"/>
                <w:kern w:val="0"/>
              </w:rPr>
              <w:t>3</w:t>
            </w:r>
          </w:p>
        </w:tc>
      </w:tr>
    </w:tbl>
    <w:p>
      <w:pPr>
        <w:snapToGrid w:val="0"/>
        <w:spacing w:before="159" w:beforeLines="50"/>
        <w:rPr>
          <w:rFonts w:ascii="仿宋" w:hAnsi="仿宋" w:cs="仿宋"/>
          <w:b/>
          <w:bCs/>
          <w:sz w:val="24"/>
          <w:szCs w:val="24"/>
        </w:rPr>
      </w:pPr>
      <w:bookmarkStart w:id="74" w:name="_Toc31052_WPSOffice_Level2"/>
      <w:bookmarkStart w:id="75" w:name="_Toc1266_WPSOffice_Level2"/>
      <w:r>
        <w:rPr>
          <w:rFonts w:hint="eastAsia" w:ascii="仿宋" w:hAnsi="仿宋" w:cs="仿宋"/>
          <w:b/>
          <w:bCs/>
          <w:sz w:val="24"/>
          <w:szCs w:val="24"/>
        </w:rPr>
        <w:t>二、资格证明材料</w:t>
      </w:r>
      <w:bookmarkEnd w:id="74"/>
      <w:bookmarkEnd w:id="75"/>
      <w:r>
        <w:rPr>
          <w:rFonts w:hint="eastAsia" w:ascii="仿宋" w:hAnsi="仿宋" w:cs="仿宋"/>
          <w:b/>
          <w:bCs/>
          <w:sz w:val="24"/>
          <w:szCs w:val="24"/>
        </w:rPr>
        <w:t>（有一项不符合要求，不能进入下一阶段评审）</w:t>
      </w:r>
    </w:p>
    <w:tbl>
      <w:tblPr>
        <w:tblStyle w:val="21"/>
        <w:tblW w:w="8490" w:type="dxa"/>
        <w:jc w:val="center"/>
        <w:tblLayout w:type="fixed"/>
        <w:tblCellMar>
          <w:top w:w="0" w:type="dxa"/>
          <w:left w:w="0" w:type="dxa"/>
          <w:bottom w:w="0" w:type="dxa"/>
          <w:right w:w="0" w:type="dxa"/>
        </w:tblCellMar>
      </w:tblPr>
      <w:tblGrid>
        <w:gridCol w:w="677"/>
        <w:gridCol w:w="7052"/>
        <w:gridCol w:w="761"/>
      </w:tblGrid>
      <w:tr>
        <w:tblPrEx>
          <w:tblCellMar>
            <w:top w:w="0" w:type="dxa"/>
            <w:left w:w="0" w:type="dxa"/>
            <w:bottom w:w="0" w:type="dxa"/>
            <w:right w:w="0" w:type="dxa"/>
          </w:tblCellMar>
        </w:tblPrEx>
        <w:trPr>
          <w:trHeight w:val="494" w:hRule="atLeast"/>
          <w:tblHeader/>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bookmarkStart w:id="76" w:name="资格性证明材料：Document"/>
            <w:bookmarkStart w:id="77" w:name="sys_资格性证明材料：Document"/>
            <w:r>
              <w:rPr>
                <w:rFonts w:hint="eastAsia" w:ascii="仿宋" w:hAnsi="仿宋" w:cs="仿宋"/>
              </w:rPr>
              <w:t>序号</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资格证明材料</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格式</w:t>
            </w:r>
          </w:p>
        </w:tc>
      </w:tr>
      <w:tr>
        <w:tblPrEx>
          <w:tblCellMar>
            <w:top w:w="0" w:type="dxa"/>
            <w:left w:w="0" w:type="dxa"/>
            <w:bottom w:w="0" w:type="dxa"/>
            <w:right w:w="0" w:type="dxa"/>
          </w:tblCellMar>
        </w:tblPrEx>
        <w:trPr>
          <w:trHeight w:val="723"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1</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rPr>
              <w:t>营业执照或事业单位法人证书或执业许可证等证明文件复印件或自然人的身份证明复印件（自然人身份证明仅在自然人作为投标主体时适用）</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p>
        </w:tc>
      </w:tr>
      <w:tr>
        <w:tblPrEx>
          <w:tblCellMar>
            <w:top w:w="0" w:type="dxa"/>
            <w:left w:w="0" w:type="dxa"/>
            <w:bottom w:w="0" w:type="dxa"/>
            <w:right w:w="0" w:type="dxa"/>
          </w:tblCellMar>
        </w:tblPrEx>
        <w:trPr>
          <w:trHeight w:val="494"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2</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rPr>
            </w:pPr>
            <w:r>
              <w:rPr>
                <w:rFonts w:hint="eastAsia" w:ascii="仿宋" w:hAnsi="仿宋" w:cs="仿宋"/>
              </w:rPr>
              <w:t>法定代表人（或非法人组织负责人）身份证明书（自然人投标的无需提供）</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4</w:t>
            </w:r>
          </w:p>
        </w:tc>
      </w:tr>
      <w:tr>
        <w:tblPrEx>
          <w:tblCellMar>
            <w:top w:w="0" w:type="dxa"/>
            <w:left w:w="0" w:type="dxa"/>
            <w:bottom w:w="0" w:type="dxa"/>
            <w:right w:w="0" w:type="dxa"/>
          </w:tblCellMar>
        </w:tblPrEx>
        <w:trPr>
          <w:trHeight w:val="494"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3</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rPr>
            </w:pPr>
            <w:r>
              <w:rPr>
                <w:rFonts w:hint="eastAsia" w:ascii="仿宋" w:hAnsi="仿宋" w:cs="仿宋"/>
              </w:rPr>
              <w:t>法定代表人（或非法人组织负责人）授权委托书（授权委托人参加投标的须提供）</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5</w:t>
            </w:r>
          </w:p>
        </w:tc>
      </w:tr>
      <w:tr>
        <w:tblPrEx>
          <w:tblCellMar>
            <w:top w:w="0" w:type="dxa"/>
            <w:left w:w="0" w:type="dxa"/>
            <w:bottom w:w="0" w:type="dxa"/>
            <w:right w:w="0" w:type="dxa"/>
          </w:tblCellMar>
        </w:tblPrEx>
        <w:trPr>
          <w:trHeight w:val="485"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4</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 w:hAnsi="仿宋" w:cs="仿宋"/>
              </w:rPr>
            </w:pPr>
            <w:r>
              <w:rPr>
                <w:rFonts w:hint="eastAsia" w:ascii="仿宋" w:hAnsi="仿宋" w:cs="仿宋"/>
              </w:rPr>
              <w:t>具有良好的商业信誉和健全的财务会计制度的承诺函</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6</w:t>
            </w:r>
          </w:p>
        </w:tc>
      </w:tr>
      <w:tr>
        <w:tblPrEx>
          <w:tblCellMar>
            <w:top w:w="0" w:type="dxa"/>
            <w:left w:w="0" w:type="dxa"/>
            <w:bottom w:w="0" w:type="dxa"/>
            <w:right w:w="0" w:type="dxa"/>
          </w:tblCellMar>
        </w:tblPrEx>
        <w:trPr>
          <w:trHeight w:val="961"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5</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rPr>
              <w:t>开标时间前六个月内任一个月的依法缴纳税收的缴款凭据复印件</w:t>
            </w:r>
          </w:p>
          <w:p>
            <w:pPr>
              <w:adjustRightInd w:val="0"/>
              <w:snapToGrid w:val="0"/>
              <w:jc w:val="left"/>
              <w:rPr>
                <w:rFonts w:ascii="仿宋" w:hAnsi="仿宋" w:cs="仿宋"/>
              </w:rPr>
            </w:pPr>
            <w:r>
              <w:rPr>
                <w:rFonts w:hint="eastAsia" w:ascii="仿宋" w:hAnsi="仿宋" w:cs="仿宋"/>
              </w:rPr>
              <w:t>（注：依法免税的投标人，应提供相关证明材料，包括相关法规要求原文及加盖单位公章的情况说明）</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p>
        </w:tc>
      </w:tr>
      <w:tr>
        <w:tblPrEx>
          <w:tblCellMar>
            <w:top w:w="0" w:type="dxa"/>
            <w:left w:w="0" w:type="dxa"/>
            <w:bottom w:w="0" w:type="dxa"/>
            <w:right w:w="0" w:type="dxa"/>
          </w:tblCellMar>
        </w:tblPrEx>
        <w:trPr>
          <w:trHeight w:val="961"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6</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rPr>
              <w:t>开标时间前六个月内任一个月的依法缴纳社会保障资金的缴款凭据复印件（注：依法不需要缴纳社会保障资金的投标人，应提供相关证明材料，包括相关法规要求原文及加盖单位公章的情况说明）</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p>
        </w:tc>
      </w:tr>
      <w:tr>
        <w:tblPrEx>
          <w:tblCellMar>
            <w:top w:w="0" w:type="dxa"/>
            <w:left w:w="0" w:type="dxa"/>
            <w:bottom w:w="0" w:type="dxa"/>
            <w:right w:w="0" w:type="dxa"/>
          </w:tblCellMar>
        </w:tblPrEx>
        <w:trPr>
          <w:trHeight w:val="421"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7</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rPr>
              <w:t>具备履行合同所必需的设备和专业技术能力声明函</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7</w:t>
            </w: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8</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rPr>
              <w:t>参加政府采购活动前3年内在经营活动中没有重大违法记录的书面声明</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8</w:t>
            </w:r>
          </w:p>
        </w:tc>
      </w:tr>
      <w:tr>
        <w:tblPrEx>
          <w:tblCellMar>
            <w:top w:w="0" w:type="dxa"/>
            <w:left w:w="0" w:type="dxa"/>
            <w:bottom w:w="0" w:type="dxa"/>
            <w:right w:w="0" w:type="dxa"/>
          </w:tblCellMar>
        </w:tblPrEx>
        <w:trPr>
          <w:trHeight w:val="498"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9</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b/>
              </w:rPr>
            </w:pPr>
            <w:r>
              <w:rPr>
                <w:rFonts w:hint="eastAsia" w:ascii="仿宋" w:hAnsi="仿宋" w:cs="仿宋"/>
                <w:b/>
              </w:rPr>
              <w:t>001、002包供应商投标报价总额60%以上的产品须为中小微企业生产。提供声明函。</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17</w:t>
            </w:r>
          </w:p>
        </w:tc>
      </w:tr>
      <w:tr>
        <w:tblPrEx>
          <w:tblCellMar>
            <w:top w:w="0" w:type="dxa"/>
            <w:left w:w="0" w:type="dxa"/>
            <w:bottom w:w="0" w:type="dxa"/>
            <w:right w:w="0" w:type="dxa"/>
          </w:tblCellMar>
        </w:tblPrEx>
        <w:trPr>
          <w:trHeight w:val="723" w:hRule="atLeast"/>
          <w:jc w:val="center"/>
        </w:trPr>
        <w:tc>
          <w:tcPr>
            <w:tcW w:w="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r>
              <w:rPr>
                <w:rFonts w:hint="eastAsia" w:ascii="仿宋" w:hAnsi="仿宋" w:cs="仿宋"/>
              </w:rPr>
              <w:t>10</w:t>
            </w:r>
          </w:p>
        </w:tc>
        <w:tc>
          <w:tcPr>
            <w:tcW w:w="7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 w:hAnsi="仿宋" w:cs="仿宋"/>
              </w:rPr>
            </w:pPr>
            <w:r>
              <w:rPr>
                <w:rFonts w:hint="eastAsia" w:ascii="仿宋" w:hAnsi="仿宋" w:cs="仿宋"/>
              </w:rPr>
              <w:t>信用记录（采购人或采购代理机构将在招标文件规定的审查期间内进行查询）</w:t>
            </w:r>
          </w:p>
        </w:tc>
        <w:tc>
          <w:tcPr>
            <w:tcW w:w="7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 w:hAnsi="仿宋" w:cs="仿宋"/>
              </w:rPr>
            </w:pPr>
          </w:p>
        </w:tc>
      </w:tr>
    </w:tbl>
    <w:p>
      <w:pPr>
        <w:snapToGrid w:val="0"/>
        <w:spacing w:before="159" w:beforeLines="50"/>
        <w:rPr>
          <w:rFonts w:ascii="仿宋" w:hAnsi="仿宋" w:cs="仿宋"/>
          <w:b/>
          <w:bCs/>
          <w:sz w:val="24"/>
          <w:szCs w:val="24"/>
        </w:rPr>
      </w:pPr>
      <w:bookmarkStart w:id="78" w:name="_Toc22359_WPSOffice_Level2"/>
      <w:bookmarkStart w:id="79" w:name="_Toc25206_WPSOffice_Level2"/>
      <w:r>
        <w:rPr>
          <w:rFonts w:hint="eastAsia" w:ascii="仿宋" w:hAnsi="仿宋" w:cs="仿宋"/>
          <w:b/>
          <w:bCs/>
          <w:sz w:val="24"/>
          <w:szCs w:val="24"/>
        </w:rPr>
        <w:t>三、符合性证明材料</w:t>
      </w:r>
      <w:bookmarkEnd w:id="78"/>
      <w:bookmarkEnd w:id="79"/>
      <w:r>
        <w:rPr>
          <w:rFonts w:hint="eastAsia" w:ascii="仿宋" w:hAnsi="仿宋" w:cs="仿宋"/>
          <w:b/>
          <w:bCs/>
          <w:sz w:val="24"/>
          <w:szCs w:val="24"/>
        </w:rPr>
        <w:t>（有一项不符合要求，不能进入下一阶段评审）</w:t>
      </w:r>
    </w:p>
    <w:bookmarkEnd w:id="76"/>
    <w:bookmarkEnd w:id="77"/>
    <w:tbl>
      <w:tblPr>
        <w:tblStyle w:val="21"/>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98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667" w:type="dxa"/>
            <w:vAlign w:val="center"/>
          </w:tcPr>
          <w:p>
            <w:pPr>
              <w:adjustRightInd w:val="0"/>
              <w:snapToGrid w:val="0"/>
              <w:jc w:val="center"/>
              <w:rPr>
                <w:rFonts w:ascii="仿宋" w:hAnsi="仿宋" w:cs="仿宋"/>
                <w:kern w:val="0"/>
              </w:rPr>
            </w:pPr>
            <w:r>
              <w:rPr>
                <w:rFonts w:hint="eastAsia" w:ascii="仿宋" w:hAnsi="仿宋" w:cs="仿宋"/>
                <w:kern w:val="0"/>
              </w:rPr>
              <w:t>序号</w:t>
            </w:r>
          </w:p>
        </w:tc>
        <w:tc>
          <w:tcPr>
            <w:tcW w:w="6986" w:type="dxa"/>
            <w:vAlign w:val="center"/>
          </w:tcPr>
          <w:p>
            <w:pPr>
              <w:adjustRightInd w:val="0"/>
              <w:snapToGrid w:val="0"/>
              <w:jc w:val="center"/>
              <w:rPr>
                <w:rFonts w:ascii="仿宋" w:hAnsi="仿宋" w:cs="仿宋"/>
                <w:kern w:val="0"/>
              </w:rPr>
            </w:pPr>
            <w:r>
              <w:rPr>
                <w:rFonts w:hint="eastAsia" w:ascii="仿宋" w:hAnsi="仿宋" w:cs="仿宋"/>
                <w:kern w:val="0"/>
              </w:rPr>
              <w:t>符合性证明材料</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rPr>
            </w:pPr>
            <w:r>
              <w:rPr>
                <w:rFonts w:hint="eastAsia" w:ascii="仿宋" w:hAnsi="仿宋" w:cs="仿宋"/>
                <w:kern w:val="0"/>
              </w:rPr>
              <w:t>1</w:t>
            </w:r>
          </w:p>
        </w:tc>
        <w:tc>
          <w:tcPr>
            <w:tcW w:w="6986" w:type="dxa"/>
            <w:vAlign w:val="center"/>
          </w:tcPr>
          <w:p>
            <w:pPr>
              <w:adjustRightInd w:val="0"/>
              <w:snapToGrid w:val="0"/>
              <w:rPr>
                <w:rFonts w:ascii="仿宋" w:hAnsi="仿宋" w:cs="仿宋"/>
                <w:kern w:val="0"/>
              </w:rPr>
            </w:pPr>
            <w:r>
              <w:rPr>
                <w:rFonts w:hint="eastAsia" w:ascii="仿宋" w:hAnsi="仿宋" w:cs="仿宋"/>
                <w:kern w:val="0"/>
              </w:rPr>
              <w:t>投标函</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rPr>
            </w:pPr>
            <w:r>
              <w:rPr>
                <w:rFonts w:hint="eastAsia" w:ascii="仿宋" w:hAnsi="仿宋" w:cs="仿宋"/>
                <w:kern w:val="0"/>
              </w:rPr>
              <w:t>2</w:t>
            </w:r>
          </w:p>
        </w:tc>
        <w:tc>
          <w:tcPr>
            <w:tcW w:w="6986" w:type="dxa"/>
            <w:vAlign w:val="center"/>
          </w:tcPr>
          <w:p>
            <w:pPr>
              <w:adjustRightInd w:val="0"/>
              <w:snapToGrid w:val="0"/>
              <w:rPr>
                <w:rFonts w:ascii="仿宋" w:hAnsi="仿宋" w:cs="仿宋"/>
                <w:kern w:val="0"/>
              </w:rPr>
            </w:pPr>
            <w:r>
              <w:rPr>
                <w:rFonts w:hint="eastAsia" w:ascii="仿宋" w:hAnsi="仿宋" w:cs="仿宋"/>
                <w:kern w:val="0"/>
              </w:rPr>
              <w:t>开标一览表</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rPr>
            </w:pPr>
            <w:r>
              <w:rPr>
                <w:rFonts w:hint="eastAsia" w:ascii="仿宋" w:hAnsi="仿宋" w:cs="仿宋"/>
                <w:kern w:val="0"/>
              </w:rPr>
              <w:t>3</w:t>
            </w:r>
          </w:p>
        </w:tc>
        <w:tc>
          <w:tcPr>
            <w:tcW w:w="6986" w:type="dxa"/>
            <w:vAlign w:val="center"/>
          </w:tcPr>
          <w:p>
            <w:pPr>
              <w:adjustRightInd w:val="0"/>
              <w:snapToGrid w:val="0"/>
              <w:rPr>
                <w:rFonts w:ascii="仿宋" w:hAnsi="仿宋" w:cs="仿宋"/>
                <w:kern w:val="0"/>
              </w:rPr>
            </w:pPr>
            <w:r>
              <w:rPr>
                <w:rFonts w:hint="eastAsia" w:ascii="仿宋" w:hAnsi="仿宋" w:cs="仿宋"/>
                <w:kern w:val="0"/>
              </w:rPr>
              <w:t>分项报价表</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rPr>
            </w:pPr>
            <w:r>
              <w:rPr>
                <w:rFonts w:hint="eastAsia" w:ascii="仿宋" w:hAnsi="仿宋" w:cs="仿宋"/>
                <w:kern w:val="0"/>
              </w:rPr>
              <w:t>4</w:t>
            </w:r>
          </w:p>
        </w:tc>
        <w:tc>
          <w:tcPr>
            <w:tcW w:w="6986" w:type="dxa"/>
            <w:vAlign w:val="center"/>
          </w:tcPr>
          <w:p>
            <w:pPr>
              <w:adjustRightInd w:val="0"/>
              <w:snapToGrid w:val="0"/>
              <w:rPr>
                <w:rFonts w:ascii="仿宋" w:hAnsi="仿宋" w:cs="仿宋"/>
                <w:kern w:val="0"/>
              </w:rPr>
            </w:pPr>
            <w:r>
              <w:rPr>
                <w:rFonts w:hint="eastAsia" w:ascii="仿宋" w:hAnsi="仿宋" w:cs="仿宋"/>
                <w:kern w:val="0"/>
              </w:rPr>
              <w:t>技术规格偏离表</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rPr>
            </w:pPr>
            <w:r>
              <w:rPr>
                <w:rFonts w:hint="eastAsia" w:ascii="仿宋" w:hAnsi="仿宋" w:cs="仿宋"/>
                <w:kern w:val="0"/>
              </w:rPr>
              <w:t>5</w:t>
            </w:r>
          </w:p>
        </w:tc>
        <w:tc>
          <w:tcPr>
            <w:tcW w:w="6986" w:type="dxa"/>
            <w:vAlign w:val="center"/>
          </w:tcPr>
          <w:p>
            <w:pPr>
              <w:adjustRightInd w:val="0"/>
              <w:snapToGrid w:val="0"/>
              <w:rPr>
                <w:rFonts w:ascii="仿宋" w:hAnsi="仿宋" w:cs="仿宋"/>
                <w:kern w:val="0"/>
              </w:rPr>
            </w:pPr>
            <w:r>
              <w:rPr>
                <w:rFonts w:hint="eastAsia" w:ascii="仿宋" w:hAnsi="仿宋" w:cs="仿宋"/>
                <w:kern w:val="0"/>
              </w:rPr>
              <w:t>商务条款偏离表</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adjustRightInd w:val="0"/>
              <w:snapToGrid w:val="0"/>
              <w:jc w:val="center"/>
              <w:rPr>
                <w:rFonts w:ascii="仿宋" w:hAnsi="仿宋" w:cs="仿宋"/>
                <w:kern w:val="0"/>
              </w:rPr>
            </w:pPr>
            <w:r>
              <w:rPr>
                <w:rFonts w:hint="eastAsia" w:ascii="仿宋" w:hAnsi="仿宋" w:cs="仿宋"/>
                <w:kern w:val="0"/>
              </w:rPr>
              <w:t>6</w:t>
            </w:r>
          </w:p>
        </w:tc>
        <w:tc>
          <w:tcPr>
            <w:tcW w:w="6986" w:type="dxa"/>
            <w:vAlign w:val="center"/>
          </w:tcPr>
          <w:p>
            <w:pPr>
              <w:adjustRightInd w:val="0"/>
              <w:snapToGrid w:val="0"/>
              <w:rPr>
                <w:rFonts w:ascii="仿宋" w:hAnsi="仿宋" w:cs="仿宋"/>
                <w:kern w:val="0"/>
              </w:rPr>
            </w:pPr>
            <w:r>
              <w:rPr>
                <w:rFonts w:hint="eastAsia" w:ascii="仿宋" w:hAnsi="仿宋" w:cs="仿宋"/>
                <w:kern w:val="0"/>
              </w:rPr>
              <w:t>投标人关联单位说明</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67" w:type="dxa"/>
            <w:vAlign w:val="center"/>
          </w:tcPr>
          <w:p>
            <w:pPr>
              <w:spacing w:line="360" w:lineRule="exact"/>
              <w:jc w:val="center"/>
              <w:rPr>
                <w:rFonts w:ascii="仿宋" w:hAnsi="仿宋" w:cs="仿宋"/>
                <w:kern w:val="0"/>
              </w:rPr>
            </w:pPr>
            <w:bookmarkStart w:id="80" w:name="_Toc24432_WPSOffice_Level2"/>
            <w:bookmarkStart w:id="81" w:name="_Toc27769_WPSOffice_Level2"/>
            <w:r>
              <w:rPr>
                <w:rFonts w:hint="eastAsia" w:ascii="仿宋" w:hAnsi="仿宋" w:cs="仿宋"/>
                <w:kern w:val="0"/>
              </w:rPr>
              <w:t>7</w:t>
            </w:r>
          </w:p>
        </w:tc>
        <w:tc>
          <w:tcPr>
            <w:tcW w:w="6986" w:type="dxa"/>
            <w:vAlign w:val="center"/>
          </w:tcPr>
          <w:p>
            <w:pPr>
              <w:spacing w:line="360" w:lineRule="exact"/>
              <w:rPr>
                <w:rFonts w:ascii="仿宋" w:hAnsi="仿宋" w:cs="仿宋"/>
                <w:kern w:val="0"/>
              </w:rPr>
            </w:pPr>
            <w:r>
              <w:rPr>
                <w:rFonts w:hint="eastAsia" w:ascii="仿宋" w:hAnsi="仿宋" w:cs="仿宋"/>
                <w:kern w:val="0"/>
              </w:rPr>
              <w:t>电子文件和电子备份文件一致性承诺函</w:t>
            </w:r>
          </w:p>
        </w:tc>
        <w:tc>
          <w:tcPr>
            <w:tcW w:w="756" w:type="dxa"/>
            <w:vAlign w:val="center"/>
          </w:tcPr>
          <w:p>
            <w:pPr>
              <w:spacing w:line="360" w:lineRule="exact"/>
              <w:jc w:val="center"/>
              <w:rPr>
                <w:rFonts w:ascii="仿宋" w:hAnsi="仿宋" w:cs="仿宋"/>
                <w:kern w:val="0"/>
              </w:rPr>
            </w:pPr>
            <w:r>
              <w:rPr>
                <w:rFonts w:hint="eastAsia" w:ascii="仿宋" w:hAnsi="仿宋" w:cs="仿宋"/>
                <w:kern w:val="0"/>
              </w:rPr>
              <w:t>自拟</w:t>
            </w:r>
          </w:p>
        </w:tc>
      </w:tr>
    </w:tbl>
    <w:p>
      <w:pPr>
        <w:snapToGrid w:val="0"/>
        <w:spacing w:before="159" w:beforeLines="50"/>
        <w:rPr>
          <w:rFonts w:ascii="仿宋" w:hAnsi="仿宋" w:cs="仿宋"/>
          <w:b/>
          <w:bCs/>
          <w:sz w:val="24"/>
          <w:szCs w:val="24"/>
        </w:rPr>
      </w:pPr>
      <w:r>
        <w:rPr>
          <w:rFonts w:hint="eastAsia" w:ascii="仿宋" w:hAnsi="仿宋" w:cs="仿宋"/>
          <w:b/>
          <w:bCs/>
          <w:sz w:val="24"/>
          <w:szCs w:val="24"/>
        </w:rPr>
        <w:t>四、其他材料</w:t>
      </w:r>
      <w:bookmarkEnd w:id="80"/>
      <w:bookmarkEnd w:id="81"/>
      <w:r>
        <w:rPr>
          <w:rFonts w:hint="eastAsia" w:ascii="仿宋" w:hAnsi="仿宋" w:cs="仿宋"/>
          <w:b/>
          <w:bCs/>
          <w:sz w:val="24"/>
          <w:szCs w:val="24"/>
        </w:rPr>
        <w:t>（如有，请提供；如未提供，投标文件不作无效处理）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98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668" w:type="dxa"/>
            <w:vAlign w:val="center"/>
          </w:tcPr>
          <w:p>
            <w:pPr>
              <w:adjustRightInd w:val="0"/>
              <w:snapToGrid w:val="0"/>
              <w:jc w:val="center"/>
              <w:rPr>
                <w:rFonts w:ascii="仿宋" w:hAnsi="仿宋" w:cs="仿宋"/>
                <w:kern w:val="0"/>
              </w:rPr>
            </w:pPr>
            <w:bookmarkStart w:id="82" w:name="_Toc24011_WPSOffice_Level2"/>
            <w:bookmarkStart w:id="83" w:name="_Toc23127_WPSOffice_Level2"/>
            <w:r>
              <w:rPr>
                <w:rFonts w:hint="eastAsia" w:ascii="仿宋" w:hAnsi="仿宋" w:cs="仿宋"/>
                <w:kern w:val="0"/>
              </w:rPr>
              <w:t>序号</w:t>
            </w:r>
          </w:p>
        </w:tc>
        <w:tc>
          <w:tcPr>
            <w:tcW w:w="6985" w:type="dxa"/>
            <w:vAlign w:val="center"/>
          </w:tcPr>
          <w:p>
            <w:pPr>
              <w:adjustRightInd w:val="0"/>
              <w:snapToGrid w:val="0"/>
              <w:jc w:val="center"/>
              <w:rPr>
                <w:rFonts w:ascii="仿宋" w:hAnsi="仿宋" w:cs="仿宋"/>
                <w:kern w:val="0"/>
              </w:rPr>
            </w:pPr>
            <w:r>
              <w:rPr>
                <w:rFonts w:hint="eastAsia" w:ascii="仿宋" w:hAnsi="仿宋" w:cs="仿宋"/>
                <w:kern w:val="0"/>
              </w:rPr>
              <w:t>其他材料</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68" w:type="dxa"/>
            <w:vAlign w:val="center"/>
          </w:tcPr>
          <w:p>
            <w:pPr>
              <w:adjustRightInd w:val="0"/>
              <w:snapToGrid w:val="0"/>
              <w:jc w:val="center"/>
              <w:rPr>
                <w:rFonts w:ascii="仿宋" w:hAnsi="仿宋" w:cs="仿宋"/>
                <w:kern w:val="0"/>
              </w:rPr>
            </w:pPr>
            <w:r>
              <w:rPr>
                <w:rFonts w:hint="eastAsia" w:ascii="仿宋" w:hAnsi="仿宋" w:cs="仿宋"/>
                <w:kern w:val="0"/>
              </w:rPr>
              <w:t>1</w:t>
            </w:r>
          </w:p>
        </w:tc>
        <w:tc>
          <w:tcPr>
            <w:tcW w:w="6985" w:type="dxa"/>
            <w:vAlign w:val="center"/>
          </w:tcPr>
          <w:p>
            <w:pPr>
              <w:adjustRightInd w:val="0"/>
              <w:snapToGrid w:val="0"/>
              <w:rPr>
                <w:rFonts w:ascii="仿宋" w:hAnsi="仿宋" w:cs="仿宋"/>
                <w:kern w:val="0"/>
              </w:rPr>
            </w:pPr>
            <w:r>
              <w:rPr>
                <w:rFonts w:hint="eastAsia" w:ascii="仿宋" w:hAnsi="仿宋" w:cs="仿宋"/>
                <w:kern w:val="0"/>
              </w:rPr>
              <w:t>中小企业声明函</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8" w:type="dxa"/>
            <w:vAlign w:val="center"/>
          </w:tcPr>
          <w:p>
            <w:pPr>
              <w:adjustRightInd w:val="0"/>
              <w:snapToGrid w:val="0"/>
              <w:jc w:val="center"/>
              <w:rPr>
                <w:rFonts w:ascii="仿宋" w:hAnsi="仿宋" w:cs="仿宋"/>
                <w:kern w:val="0"/>
              </w:rPr>
            </w:pPr>
            <w:r>
              <w:rPr>
                <w:rFonts w:hint="eastAsia" w:ascii="仿宋" w:hAnsi="仿宋" w:cs="仿宋"/>
                <w:kern w:val="0"/>
              </w:rPr>
              <w:t>2</w:t>
            </w:r>
          </w:p>
        </w:tc>
        <w:tc>
          <w:tcPr>
            <w:tcW w:w="6985" w:type="dxa"/>
            <w:vAlign w:val="center"/>
          </w:tcPr>
          <w:p>
            <w:pPr>
              <w:adjustRightInd w:val="0"/>
              <w:snapToGrid w:val="0"/>
              <w:rPr>
                <w:rFonts w:ascii="仿宋" w:hAnsi="仿宋" w:cs="仿宋"/>
                <w:kern w:val="0"/>
              </w:rPr>
            </w:pPr>
            <w:r>
              <w:rPr>
                <w:rFonts w:hint="eastAsia" w:ascii="仿宋" w:hAnsi="仿宋" w:cs="仿宋"/>
                <w:kern w:val="0"/>
              </w:rPr>
              <w:t>监狱企业证明材料</w:t>
            </w:r>
          </w:p>
        </w:tc>
        <w:tc>
          <w:tcPr>
            <w:tcW w:w="756" w:type="dxa"/>
            <w:vAlign w:val="center"/>
          </w:tcPr>
          <w:p>
            <w:pPr>
              <w:adjustRightInd w:val="0"/>
              <w:snapToGrid w:val="0"/>
              <w:jc w:val="center"/>
              <w:rPr>
                <w:rFonts w:ascii="仿宋" w:hAnsi="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68" w:type="dxa"/>
            <w:vAlign w:val="center"/>
          </w:tcPr>
          <w:p>
            <w:pPr>
              <w:adjustRightInd w:val="0"/>
              <w:snapToGrid w:val="0"/>
              <w:jc w:val="center"/>
              <w:rPr>
                <w:rFonts w:ascii="仿宋" w:hAnsi="仿宋" w:cs="仿宋"/>
                <w:kern w:val="0"/>
              </w:rPr>
            </w:pPr>
            <w:r>
              <w:rPr>
                <w:rFonts w:hint="eastAsia" w:ascii="仿宋" w:hAnsi="仿宋" w:cs="仿宋"/>
                <w:kern w:val="0"/>
              </w:rPr>
              <w:t>3</w:t>
            </w:r>
          </w:p>
        </w:tc>
        <w:tc>
          <w:tcPr>
            <w:tcW w:w="6985" w:type="dxa"/>
            <w:vAlign w:val="center"/>
          </w:tcPr>
          <w:p>
            <w:pPr>
              <w:adjustRightInd w:val="0"/>
              <w:snapToGrid w:val="0"/>
              <w:rPr>
                <w:rFonts w:ascii="仿宋" w:hAnsi="仿宋" w:cs="仿宋"/>
                <w:kern w:val="0"/>
              </w:rPr>
            </w:pPr>
            <w:r>
              <w:rPr>
                <w:rFonts w:hint="eastAsia" w:ascii="仿宋" w:hAnsi="仿宋" w:cs="仿宋"/>
                <w:kern w:val="0"/>
              </w:rPr>
              <w:t>残疾人福利性单位声明函</w:t>
            </w:r>
          </w:p>
        </w:tc>
        <w:tc>
          <w:tcPr>
            <w:tcW w:w="756" w:type="dxa"/>
            <w:vAlign w:val="center"/>
          </w:tcPr>
          <w:p>
            <w:pPr>
              <w:adjustRightInd w:val="0"/>
              <w:snapToGrid w:val="0"/>
              <w:jc w:val="center"/>
              <w:rPr>
                <w:rFonts w:ascii="仿宋" w:hAnsi="仿宋" w:cs="仿宋"/>
                <w:kern w:val="0"/>
              </w:rPr>
            </w:pPr>
            <w:r>
              <w:rPr>
                <w:rFonts w:hint="eastAsia" w:ascii="仿宋" w:hAnsi="仿宋" w:cs="仿宋"/>
                <w:kern w:val="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8" w:type="dxa"/>
            <w:vAlign w:val="center"/>
          </w:tcPr>
          <w:p>
            <w:pPr>
              <w:adjustRightInd w:val="0"/>
              <w:snapToGrid w:val="0"/>
              <w:jc w:val="center"/>
              <w:rPr>
                <w:rFonts w:ascii="仿宋" w:hAnsi="仿宋" w:cs="仿宋"/>
                <w:kern w:val="0"/>
              </w:rPr>
            </w:pPr>
            <w:r>
              <w:rPr>
                <w:rFonts w:hint="eastAsia" w:ascii="仿宋" w:hAnsi="仿宋" w:cs="仿宋"/>
                <w:kern w:val="0"/>
              </w:rPr>
              <w:t>4</w:t>
            </w:r>
          </w:p>
        </w:tc>
        <w:tc>
          <w:tcPr>
            <w:tcW w:w="6985" w:type="dxa"/>
            <w:vAlign w:val="center"/>
          </w:tcPr>
          <w:p>
            <w:pPr>
              <w:adjustRightInd w:val="0"/>
              <w:snapToGrid w:val="0"/>
              <w:rPr>
                <w:rFonts w:ascii="仿宋" w:hAnsi="仿宋" w:cs="仿宋"/>
                <w:kern w:val="0"/>
              </w:rPr>
            </w:pPr>
            <w:r>
              <w:rPr>
                <w:rFonts w:hint="eastAsia" w:ascii="仿宋" w:hAnsi="仿宋" w:cs="仿宋"/>
                <w:kern w:val="0"/>
              </w:rPr>
              <w:t>《品目清单》、国家确定的认证机构出具的、处于有效期之内的《节能产品、环境标志产品认证证书》（非政府强制采购的节能产品可以提供）</w:t>
            </w:r>
          </w:p>
        </w:tc>
        <w:tc>
          <w:tcPr>
            <w:tcW w:w="756" w:type="dxa"/>
            <w:vAlign w:val="center"/>
          </w:tcPr>
          <w:p>
            <w:pPr>
              <w:adjustRightInd w:val="0"/>
              <w:snapToGrid w:val="0"/>
              <w:jc w:val="center"/>
              <w:rPr>
                <w:rFonts w:ascii="仿宋" w:hAnsi="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vAlign w:val="center"/>
          </w:tcPr>
          <w:p>
            <w:pPr>
              <w:adjustRightInd w:val="0"/>
              <w:snapToGrid w:val="0"/>
              <w:jc w:val="center"/>
              <w:rPr>
                <w:rFonts w:ascii="仿宋" w:hAnsi="仿宋" w:cs="仿宋"/>
                <w:kern w:val="0"/>
              </w:rPr>
            </w:pPr>
            <w:r>
              <w:rPr>
                <w:rFonts w:hint="eastAsia" w:ascii="仿宋" w:hAnsi="仿宋" w:cs="仿宋"/>
                <w:kern w:val="0"/>
              </w:rPr>
              <w:t>5</w:t>
            </w:r>
          </w:p>
        </w:tc>
        <w:tc>
          <w:tcPr>
            <w:tcW w:w="6985" w:type="dxa"/>
            <w:vAlign w:val="center"/>
          </w:tcPr>
          <w:p>
            <w:pPr>
              <w:adjustRightInd w:val="0"/>
              <w:snapToGrid w:val="0"/>
              <w:ind w:left="25" w:leftChars="12"/>
              <w:rPr>
                <w:rFonts w:ascii="仿宋" w:hAnsi="仿宋" w:cs="仿宋"/>
              </w:rPr>
            </w:pPr>
            <w:r>
              <w:rPr>
                <w:rFonts w:hint="eastAsia" w:ascii="仿宋" w:hAnsi="仿宋" w:cs="仿宋"/>
              </w:rPr>
              <w:t>列入《辽宁省创新产品和服务目录》内的产品、服务的证明材料（如适用）</w:t>
            </w:r>
          </w:p>
          <w:p>
            <w:pPr>
              <w:adjustRightInd w:val="0"/>
              <w:snapToGrid w:val="0"/>
              <w:ind w:left="25" w:leftChars="12"/>
              <w:rPr>
                <w:rFonts w:ascii="仿宋" w:hAnsi="仿宋" w:cs="仿宋"/>
              </w:rPr>
            </w:pPr>
            <w:r>
              <w:rPr>
                <w:rFonts w:hint="eastAsia" w:ascii="仿宋" w:hAnsi="仿宋" w:cs="仿宋"/>
              </w:rPr>
              <w:t>（此项要求可视实际情况设置在符合性证明材料或其他材料中）</w:t>
            </w:r>
          </w:p>
        </w:tc>
        <w:tc>
          <w:tcPr>
            <w:tcW w:w="756" w:type="dxa"/>
            <w:vAlign w:val="center"/>
          </w:tcPr>
          <w:p>
            <w:pPr>
              <w:adjustRightInd w:val="0"/>
              <w:snapToGrid w:val="0"/>
              <w:jc w:val="center"/>
              <w:rPr>
                <w:rFonts w:ascii="仿宋" w:hAnsi="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8" w:type="dxa"/>
            <w:vAlign w:val="center"/>
          </w:tcPr>
          <w:p>
            <w:pPr>
              <w:adjustRightInd w:val="0"/>
              <w:snapToGrid w:val="0"/>
              <w:jc w:val="center"/>
              <w:rPr>
                <w:rFonts w:ascii="仿宋" w:hAnsi="仿宋" w:cs="仿宋"/>
                <w:kern w:val="0"/>
              </w:rPr>
            </w:pPr>
          </w:p>
        </w:tc>
        <w:tc>
          <w:tcPr>
            <w:tcW w:w="6985" w:type="dxa"/>
            <w:vAlign w:val="center"/>
          </w:tcPr>
          <w:p>
            <w:pPr>
              <w:pStyle w:val="65"/>
              <w:adjustRightInd w:val="0"/>
              <w:snapToGrid w:val="0"/>
              <w:ind w:left="25" w:leftChars="12" w:firstLine="0" w:firstLineChars="0"/>
              <w:rPr>
                <w:rFonts w:ascii="仿宋" w:hAnsi="仿宋" w:eastAsia="仿宋" w:cs="仿宋"/>
                <w:kern w:val="0"/>
              </w:rPr>
            </w:pPr>
            <w:r>
              <w:rPr>
                <w:rFonts w:hint="eastAsia" w:ascii="仿宋" w:hAnsi="仿宋" w:eastAsia="仿宋" w:cs="仿宋"/>
                <w:kern w:val="0"/>
              </w:rPr>
              <w:t>......</w:t>
            </w:r>
          </w:p>
        </w:tc>
        <w:tc>
          <w:tcPr>
            <w:tcW w:w="756" w:type="dxa"/>
            <w:vAlign w:val="center"/>
          </w:tcPr>
          <w:p>
            <w:pPr>
              <w:adjustRightInd w:val="0"/>
              <w:snapToGrid w:val="0"/>
              <w:jc w:val="center"/>
              <w:rPr>
                <w:rFonts w:ascii="仿宋" w:hAnsi="仿宋" w:cs="仿宋"/>
                <w:kern w:val="0"/>
              </w:rPr>
            </w:pPr>
          </w:p>
        </w:tc>
      </w:tr>
    </w:tbl>
    <w:p>
      <w:pPr>
        <w:adjustRightInd w:val="0"/>
        <w:snapToGrid w:val="0"/>
        <w:spacing w:line="360" w:lineRule="auto"/>
        <w:ind w:firstLine="480" w:firstLineChars="200"/>
        <w:rPr>
          <w:rFonts w:ascii="仿宋" w:hAnsi="仿宋" w:cs="仿宋"/>
          <w:b/>
          <w:bCs/>
          <w:sz w:val="24"/>
          <w:szCs w:val="24"/>
        </w:rPr>
      </w:pPr>
      <w:r>
        <w:rPr>
          <w:rFonts w:hint="eastAsia" w:ascii="仿宋" w:hAnsi="仿宋" w:cs="仿宋"/>
          <w:b/>
          <w:bCs/>
          <w:sz w:val="24"/>
          <w:szCs w:val="24"/>
        </w:rPr>
        <w:t>重要提示：</w:t>
      </w:r>
      <w:bookmarkEnd w:id="82"/>
      <w:bookmarkEnd w:id="83"/>
    </w:p>
    <w:p>
      <w:pPr>
        <w:adjustRightInd w:val="0"/>
        <w:snapToGrid w:val="0"/>
        <w:spacing w:line="360" w:lineRule="auto"/>
        <w:ind w:firstLine="420" w:firstLineChars="200"/>
        <w:jc w:val="left"/>
        <w:rPr>
          <w:rFonts w:ascii="仿宋" w:hAnsi="仿宋" w:cs="仿宋"/>
        </w:rPr>
      </w:pPr>
      <w:r>
        <w:rPr>
          <w:rFonts w:hint="eastAsia" w:ascii="仿宋" w:hAnsi="仿宋" w:cs="仿宋"/>
        </w:rPr>
        <w:t>1、投标人提供的证明材料，除需要投标人填报或有特殊说明外，均须按要求提供。</w:t>
      </w:r>
    </w:p>
    <w:p>
      <w:pPr>
        <w:adjustRightInd w:val="0"/>
        <w:snapToGrid w:val="0"/>
        <w:spacing w:line="360" w:lineRule="auto"/>
        <w:ind w:firstLine="420" w:firstLineChars="200"/>
        <w:jc w:val="left"/>
        <w:rPr>
          <w:rFonts w:ascii="仿宋" w:hAnsi="仿宋" w:cs="仿宋"/>
        </w:rPr>
      </w:pPr>
      <w:r>
        <w:rPr>
          <w:rFonts w:hint="eastAsia" w:ascii="仿宋" w:hAnsi="仿宋" w:cs="仿宋"/>
        </w:rPr>
        <w:t>2、投标人在编制投标文件时，对于给定格式的文件内容，必须按照给定的标准格式进行填报；对于没有给定标准格式的文件内容，可以由投标人自行设计。</w:t>
      </w:r>
    </w:p>
    <w:p>
      <w:pPr>
        <w:adjustRightInd w:val="0"/>
        <w:snapToGrid w:val="0"/>
        <w:spacing w:line="360" w:lineRule="auto"/>
        <w:ind w:firstLine="420" w:firstLineChars="200"/>
        <w:jc w:val="left"/>
        <w:rPr>
          <w:rFonts w:ascii="仿宋" w:hAnsi="仿宋" w:cs="仿宋"/>
        </w:rPr>
      </w:pPr>
      <w:r>
        <w:rPr>
          <w:rFonts w:hint="eastAsia" w:ascii="仿宋" w:hAnsi="仿宋" w:cs="仿宋"/>
        </w:rPr>
        <w:t>3、投标文件应用中文书写。投标文件中所附或所引用的材料不是中文时，应附中文译本，并加盖单位公章（自然人投标的，无需加盖单位公章，需要签字）。</w:t>
      </w:r>
    </w:p>
    <w:p>
      <w:pPr>
        <w:adjustRightInd w:val="0"/>
        <w:snapToGrid w:val="0"/>
        <w:spacing w:line="360" w:lineRule="auto"/>
        <w:ind w:firstLine="420" w:firstLineChars="200"/>
        <w:rPr>
          <w:rFonts w:ascii="仿宋" w:hAnsi="仿宋" w:cs="仿宋"/>
        </w:rPr>
      </w:pPr>
      <w:r>
        <w:rPr>
          <w:rFonts w:hint="eastAsia" w:ascii="仿宋" w:hAnsi="仿宋" w:cs="仿宋"/>
        </w:rPr>
        <w:t>4、</w:t>
      </w:r>
      <w:r>
        <w:rPr>
          <w:rFonts w:hint="eastAsia" w:ascii="仿宋" w:hAnsi="仿宋" w:cs="仿宋"/>
          <w:b/>
          <w:bCs/>
        </w:rPr>
        <w:t>“资格证明材料”</w:t>
      </w:r>
      <w:r>
        <w:rPr>
          <w:rFonts w:hint="eastAsia" w:ascii="仿宋" w:hAnsi="仿宋" w:cs="仿宋"/>
        </w:rPr>
        <w:t>所列内容即为采购项目的资格审查条件，有一项不符合要求，不能进入下一阶段评审。</w:t>
      </w:r>
    </w:p>
    <w:p>
      <w:pPr>
        <w:adjustRightInd w:val="0"/>
        <w:snapToGrid w:val="0"/>
        <w:spacing w:line="360" w:lineRule="auto"/>
        <w:ind w:firstLine="420" w:firstLineChars="200"/>
        <w:rPr>
          <w:rFonts w:ascii="仿宋" w:hAnsi="仿宋" w:cs="仿宋"/>
        </w:rPr>
      </w:pPr>
      <w:r>
        <w:rPr>
          <w:rFonts w:hint="eastAsia" w:ascii="仿宋" w:hAnsi="仿宋" w:cs="仿宋"/>
        </w:rPr>
        <w:t>5、</w:t>
      </w:r>
      <w:r>
        <w:rPr>
          <w:rFonts w:hint="eastAsia" w:ascii="仿宋" w:hAnsi="仿宋" w:cs="仿宋"/>
          <w:b/>
          <w:bCs/>
        </w:rPr>
        <w:t>“符合性证明材料”</w:t>
      </w:r>
      <w:r>
        <w:rPr>
          <w:rFonts w:hint="eastAsia" w:ascii="仿宋" w:hAnsi="仿宋" w:cs="仿宋"/>
        </w:rPr>
        <w:t>所列内容即为采购项目的符合性审查条件，有一项不符合要求，不能进入下一阶段评审。</w:t>
      </w:r>
    </w:p>
    <w:p>
      <w:pPr>
        <w:adjustRightInd w:val="0"/>
        <w:snapToGrid w:val="0"/>
        <w:spacing w:line="360" w:lineRule="auto"/>
        <w:ind w:firstLine="420" w:firstLineChars="200"/>
        <w:rPr>
          <w:rFonts w:ascii="仿宋" w:hAnsi="仿宋" w:cs="仿宋"/>
        </w:rPr>
      </w:pPr>
      <w:r>
        <w:rPr>
          <w:rFonts w:hint="eastAsia" w:ascii="仿宋" w:hAnsi="仿宋" w:cs="仿宋"/>
        </w:rPr>
        <w:t>6、“其他材料”</w:t>
      </w:r>
    </w:p>
    <w:p>
      <w:pPr>
        <w:adjustRightInd w:val="0"/>
        <w:snapToGrid w:val="0"/>
        <w:spacing w:line="360" w:lineRule="auto"/>
        <w:ind w:firstLine="420" w:firstLineChars="200"/>
        <w:rPr>
          <w:rFonts w:ascii="仿宋" w:hAnsi="仿宋" w:cs="仿宋"/>
          <w:kern w:val="0"/>
        </w:rPr>
      </w:pPr>
      <w:r>
        <w:rPr>
          <w:rFonts w:hint="eastAsia" w:ascii="仿宋" w:hAnsi="仿宋" w:cs="仿宋"/>
        </w:rPr>
        <w:t>（1）</w:t>
      </w:r>
      <w:r>
        <w:rPr>
          <w:rFonts w:hint="eastAsia" w:ascii="仿宋" w:hAnsi="仿宋" w:cs="仿宋"/>
          <w:kern w:val="0"/>
        </w:rPr>
        <w:t>综合评分法：</w:t>
      </w:r>
      <w:r>
        <w:rPr>
          <w:rFonts w:hint="eastAsia" w:ascii="仿宋" w:hAnsi="仿宋" w:cs="仿宋"/>
        </w:rPr>
        <w:t>投标人可就</w:t>
      </w:r>
      <w:r>
        <w:rPr>
          <w:rFonts w:hint="eastAsia" w:ascii="仿宋" w:hAnsi="仿宋" w:cs="仿宋"/>
          <w:kern w:val="0"/>
        </w:rPr>
        <w:t>招标文件要求以及评分细则中各项要求提供相应材料。</w:t>
      </w:r>
    </w:p>
    <w:p>
      <w:pPr>
        <w:adjustRightInd w:val="0"/>
        <w:snapToGrid w:val="0"/>
        <w:spacing w:line="360" w:lineRule="auto"/>
        <w:ind w:firstLine="420" w:firstLineChars="200"/>
        <w:rPr>
          <w:rFonts w:ascii="仿宋" w:hAnsi="仿宋" w:cs="仿宋"/>
          <w:kern w:val="0"/>
        </w:rPr>
      </w:pPr>
      <w:r>
        <w:rPr>
          <w:rFonts w:hint="eastAsia" w:ascii="仿宋" w:hAnsi="仿宋" w:cs="仿宋"/>
        </w:rPr>
        <w:t>（2）</w:t>
      </w:r>
      <w:r>
        <w:rPr>
          <w:rFonts w:hint="eastAsia" w:ascii="仿宋" w:hAnsi="仿宋" w:cs="仿宋"/>
          <w:kern w:val="0"/>
        </w:rPr>
        <w:t>最低评标价法：</w:t>
      </w:r>
      <w:r>
        <w:rPr>
          <w:rFonts w:hint="eastAsia" w:ascii="仿宋" w:hAnsi="仿宋" w:cs="仿宋"/>
        </w:rPr>
        <w:t>投标人可就</w:t>
      </w:r>
      <w:r>
        <w:rPr>
          <w:rFonts w:hint="eastAsia" w:ascii="仿宋" w:hAnsi="仿宋" w:cs="仿宋"/>
          <w:kern w:val="0"/>
        </w:rPr>
        <w:t>招标文件要求提供相应材料。</w:t>
      </w:r>
    </w:p>
    <w:p>
      <w:pPr>
        <w:pStyle w:val="17"/>
        <w:rPr>
          <w:rFonts w:ascii="仿宋" w:hAnsi="仿宋" w:cs="仿宋"/>
          <w:kern w:val="0"/>
        </w:rPr>
      </w:pPr>
    </w:p>
    <w:p>
      <w:pPr>
        <w:pStyle w:val="17"/>
        <w:rPr>
          <w:rFonts w:ascii="仿宋" w:hAnsi="仿宋" w:cs="仿宋"/>
          <w:kern w:val="0"/>
        </w:rPr>
      </w:pPr>
    </w:p>
    <w:p>
      <w:pPr>
        <w:pStyle w:val="17"/>
        <w:rPr>
          <w:rFonts w:ascii="仿宋" w:hAnsi="仿宋" w:cs="仿宋"/>
          <w:kern w:val="0"/>
        </w:rPr>
      </w:pPr>
    </w:p>
    <w:p>
      <w:pPr>
        <w:pStyle w:val="5"/>
        <w:adjustRightInd w:val="0"/>
        <w:snapToGrid w:val="0"/>
        <w:spacing w:before="0" w:after="0" w:line="240" w:lineRule="auto"/>
        <w:jc w:val="left"/>
        <w:rPr>
          <w:rFonts w:ascii="仿宋" w:hAnsi="仿宋" w:cs="仿宋"/>
        </w:rPr>
      </w:pPr>
      <w:r>
        <w:rPr>
          <w:rFonts w:hint="eastAsia" w:ascii="仿宋" w:hAnsi="仿宋" w:cs="仿宋"/>
        </w:rPr>
        <w:t>格式1</w:t>
      </w:r>
    </w:p>
    <w:p>
      <w:pPr>
        <w:jc w:val="center"/>
        <w:rPr>
          <w:rFonts w:ascii="仿宋" w:hAnsi="仿宋" w:cs="仿宋"/>
          <w:b/>
          <w:bCs/>
          <w:sz w:val="32"/>
          <w:szCs w:val="32"/>
        </w:rPr>
      </w:pPr>
      <w:bookmarkStart w:id="84" w:name="_Toc26322_WPSOffice_Level2"/>
      <w:bookmarkStart w:id="85" w:name="_Toc21090_WPSOffice_Level2"/>
      <w:r>
        <w:rPr>
          <w:rFonts w:hint="eastAsia" w:ascii="仿宋" w:hAnsi="仿宋" w:cs="仿宋"/>
          <w:b/>
          <w:bCs/>
          <w:sz w:val="32"/>
          <w:szCs w:val="32"/>
        </w:rPr>
        <w:t>投标文件、电子文档外封面、封口格式</w:t>
      </w:r>
      <w:bookmarkEnd w:id="84"/>
      <w:bookmarkEnd w:id="85"/>
    </w:p>
    <w:p>
      <w:pPr>
        <w:rPr>
          <w:rFonts w:ascii="仿宋" w:hAnsi="仿宋" w:cs="仿宋"/>
        </w:rPr>
      </w:pPr>
      <w:r>
        <w:rPr>
          <w:rFonts w:hint="eastAsia" w:ascii="仿宋" w:hAnsi="仿宋" w:cs="仿宋"/>
          <w:sz w:val="28"/>
          <w:szCs w:val="28"/>
        </w:rPr>
        <w:t>封面格式：</w:t>
      </w:r>
    </w:p>
    <w:tbl>
      <w:tblPr>
        <w:tblStyle w:val="21"/>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p>
          <w:p>
            <w:pPr>
              <w:jc w:val="center"/>
              <w:rPr>
                <w:rFonts w:ascii="仿宋" w:hAnsi="仿宋" w:cs="仿宋"/>
                <w:b/>
                <w:bCs/>
              </w:rPr>
            </w:pPr>
            <w:r>
              <w:rPr>
                <w:rFonts w:hint="eastAsia" w:ascii="仿宋" w:hAnsi="仿宋" w:cs="仿宋"/>
                <w:b/>
                <w:bCs/>
                <w:sz w:val="44"/>
                <w:szCs w:val="44"/>
              </w:rPr>
              <w:t>投标文件/电子文档</w:t>
            </w: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p>
          <w:p>
            <w:pPr>
              <w:jc w:val="left"/>
              <w:rPr>
                <w:rFonts w:ascii="仿宋" w:hAnsi="仿宋" w:cs="仿宋"/>
              </w:rPr>
            </w:pPr>
            <w:r>
              <w:rPr>
                <w:rFonts w:hint="eastAsia" w:ascii="仿宋" w:hAnsi="仿宋" w:cs="仿宋"/>
              </w:rPr>
              <w:t>所投包号：第  包</w:t>
            </w:r>
          </w:p>
          <w:p>
            <w:pPr>
              <w:jc w:val="left"/>
              <w:rPr>
                <w:rFonts w:ascii="仿宋" w:hAnsi="仿宋" w:cs="仿宋"/>
              </w:rPr>
            </w:pPr>
          </w:p>
          <w:p>
            <w:pPr>
              <w:jc w:val="left"/>
              <w:rPr>
                <w:rFonts w:ascii="仿宋" w:hAnsi="仿宋" w:cs="仿宋"/>
              </w:rPr>
            </w:pPr>
            <w:r>
              <w:rPr>
                <w:rFonts w:hint="eastAsia" w:ascii="仿宋" w:hAnsi="仿宋" w:cs="仿宋"/>
              </w:rPr>
              <w:t>项目名称：</w:t>
            </w:r>
          </w:p>
          <w:p>
            <w:pPr>
              <w:jc w:val="left"/>
              <w:rPr>
                <w:rFonts w:ascii="仿宋" w:hAnsi="仿宋" w:cs="仿宋"/>
              </w:rPr>
            </w:pPr>
          </w:p>
          <w:p>
            <w:pPr>
              <w:jc w:val="left"/>
              <w:rPr>
                <w:rFonts w:ascii="仿宋" w:hAnsi="仿宋" w:cs="仿宋"/>
              </w:rPr>
            </w:pPr>
            <w:r>
              <w:rPr>
                <w:rFonts w:hint="eastAsia" w:ascii="仿宋" w:hAnsi="仿宋" w:cs="仿宋"/>
              </w:rPr>
              <w:t>项目编号：</w:t>
            </w:r>
          </w:p>
          <w:p>
            <w:pPr>
              <w:jc w:val="center"/>
              <w:rPr>
                <w:rFonts w:ascii="仿宋" w:hAnsi="仿宋" w:cs="仿宋"/>
              </w:rPr>
            </w:pPr>
          </w:p>
          <w:p>
            <w:pPr>
              <w:jc w:val="center"/>
              <w:rPr>
                <w:rFonts w:ascii="仿宋" w:hAnsi="仿宋" w:cs="仿宋"/>
              </w:rPr>
            </w:pPr>
          </w:p>
          <w:p>
            <w:pPr>
              <w:jc w:val="center"/>
              <w:rPr>
                <w:rFonts w:ascii="仿宋" w:hAnsi="仿宋" w:cs="仿宋"/>
              </w:rPr>
            </w:pPr>
          </w:p>
          <w:p>
            <w:pPr>
              <w:jc w:val="left"/>
              <w:rPr>
                <w:rFonts w:ascii="仿宋" w:hAnsi="仿宋" w:cs="仿宋"/>
              </w:rPr>
            </w:pPr>
            <w:r>
              <w:rPr>
                <w:rFonts w:hint="eastAsia" w:ascii="仿宋" w:hAnsi="仿宋" w:cs="仿宋"/>
              </w:rPr>
              <w:t>投标人名称（加盖单位公章）</w:t>
            </w:r>
          </w:p>
        </w:tc>
      </w:tr>
    </w:tbl>
    <w:p>
      <w:pPr>
        <w:rPr>
          <w:rFonts w:ascii="仿宋" w:hAnsi="仿宋" w:cs="仿宋"/>
        </w:rPr>
      </w:pPr>
    </w:p>
    <w:p>
      <w:pPr>
        <w:rPr>
          <w:rFonts w:ascii="仿宋" w:hAnsi="仿宋" w:cs="仿宋"/>
        </w:rPr>
      </w:pPr>
    </w:p>
    <w:p>
      <w:pPr>
        <w:rPr>
          <w:rFonts w:ascii="仿宋" w:hAnsi="仿宋" w:cs="仿宋"/>
        </w:rPr>
      </w:pPr>
      <w:r>
        <w:rPr>
          <w:rFonts w:hint="eastAsia" w:ascii="仿宋" w:hAnsi="仿宋" w:cs="仿宋"/>
          <w:sz w:val="24"/>
          <w:szCs w:val="24"/>
        </w:rPr>
        <w:t>封口格式：</w:t>
      </w:r>
    </w:p>
    <w:tbl>
      <w:tblPr>
        <w:tblStyle w:val="2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vAlign w:val="center"/>
          </w:tcPr>
          <w:p>
            <w:pPr>
              <w:jc w:val="center"/>
              <w:rPr>
                <w:rFonts w:ascii="仿宋" w:hAnsi="仿宋" w:cs="仿宋"/>
              </w:rPr>
            </w:pPr>
            <w:r>
              <w:rPr>
                <w:rFonts w:hint="eastAsia" w:ascii="仿宋" w:hAnsi="仿宋" w:cs="仿宋"/>
              </w:rPr>
              <w:t>——于   年  月  日   时之前不准启封（公章）——</w:t>
            </w:r>
          </w:p>
        </w:tc>
      </w:tr>
    </w:tbl>
    <w:p>
      <w:pPr>
        <w:rPr>
          <w:rFonts w:ascii="仿宋" w:hAnsi="仿宋" w:cs="仿宋"/>
        </w:rPr>
      </w:pPr>
    </w:p>
    <w:p>
      <w:pPr>
        <w:rPr>
          <w:rFonts w:ascii="仿宋" w:hAnsi="仿宋" w:cs="仿宋"/>
        </w:rPr>
      </w:pPr>
    </w:p>
    <w:p>
      <w:pPr>
        <w:rPr>
          <w:rFonts w:ascii="仿宋" w:hAnsi="仿宋" w:cs="仿宋"/>
        </w:rPr>
      </w:pPr>
      <w:r>
        <w:rPr>
          <w:rFonts w:hint="eastAsia" w:ascii="仿宋" w:hAnsi="仿宋" w:cs="仿宋"/>
          <w:b/>
          <w:bCs/>
          <w:sz w:val="28"/>
          <w:szCs w:val="28"/>
        </w:rPr>
        <w:br w:type="page"/>
      </w:r>
      <w:r>
        <w:rPr>
          <w:rFonts w:hint="eastAsia" w:ascii="仿宋" w:hAnsi="仿宋" w:cs="仿宋"/>
          <w:b/>
          <w:bCs/>
          <w:sz w:val="28"/>
          <w:szCs w:val="28"/>
        </w:rPr>
        <w:t>格式2</w:t>
      </w:r>
    </w:p>
    <w:p>
      <w:pPr>
        <w:jc w:val="center"/>
        <w:rPr>
          <w:rFonts w:ascii="仿宋" w:hAnsi="仿宋" w:cs="仿宋"/>
          <w:b/>
          <w:bCs/>
          <w:sz w:val="32"/>
          <w:szCs w:val="32"/>
        </w:rPr>
      </w:pPr>
      <w:r>
        <w:rPr>
          <w:rFonts w:ascii="仿宋" w:hAnsi="仿宋" w:cs="仿宋"/>
        </w:rPr>
        <w:pict>
          <v:shape id="文本框 3" o:spid="_x0000_s1026" o:spt="202" type="#_x0000_t202" style="position:absolute;left:0pt;margin-left:305.4pt;margin-top:28.45pt;height:44.35pt;width:98.7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dI9oQgACAAABBAAADgAAAAAA&#10;AAAAAAAAAAAuAgAAZHJzL2Uyb0RvYy54bWxQSwECLQAUAAYACAAAACEARFr8c+AAAAAKAQAADwAA&#10;AAAAAAAAAAAAAABaBAAAZHJzL2Rvd25yZXYueG1sUEsFBgAAAAAEAAQA8wAAAGcFAAAAAA==&#10;">
            <v:path arrowok="t"/>
            <v:fill focussize="0,0"/>
            <v:stroke joinstyle="miter"/>
            <v:imagedata o:title=""/>
            <o:lock v:ext="edit"/>
            <v:textbox>
              <w:txbxContent>
                <w:p>
                  <w:pPr>
                    <w:rPr>
                      <w:rFonts w:ascii="仿宋_GB2312" w:hAnsi="仿宋_GB2312" w:eastAsia="仿宋_GB2312"/>
                      <w:sz w:val="32"/>
                      <w:szCs w:val="32"/>
                    </w:rPr>
                  </w:pPr>
                  <w:r>
                    <w:rPr>
                      <w:rFonts w:hint="eastAsia" w:ascii="仿宋_GB2312" w:hAnsi="仿宋_GB2312" w:eastAsia="仿宋_GB2312" w:cs="仿宋_GB2312"/>
                      <w:sz w:val="32"/>
                      <w:szCs w:val="32"/>
                    </w:rPr>
                    <w:t>正本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副本</w:t>
                  </w:r>
                </w:p>
              </w:txbxContent>
            </v:textbox>
          </v:shape>
        </w:pict>
      </w:r>
      <w:r>
        <w:rPr>
          <w:rFonts w:hint="eastAsia" w:ascii="仿宋" w:hAnsi="仿宋" w:cs="仿宋"/>
          <w:b/>
          <w:bCs/>
          <w:sz w:val="32"/>
          <w:szCs w:val="32"/>
        </w:rPr>
        <w:t>投标文件的封皮</w:t>
      </w: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jc w:val="center"/>
        <w:rPr>
          <w:rFonts w:ascii="仿宋" w:hAnsi="仿宋" w:cs="仿宋"/>
          <w:b/>
          <w:bCs/>
          <w:sz w:val="52"/>
          <w:szCs w:val="52"/>
        </w:rPr>
      </w:pPr>
      <w:r>
        <w:rPr>
          <w:rFonts w:hint="eastAsia" w:ascii="仿宋" w:hAnsi="仿宋" w:cs="仿宋"/>
          <w:b/>
          <w:bCs/>
          <w:sz w:val="52"/>
          <w:szCs w:val="52"/>
        </w:rPr>
        <w:t>投  标  文  件</w:t>
      </w:r>
    </w:p>
    <w:p>
      <w:pPr>
        <w:rPr>
          <w:rFonts w:ascii="仿宋" w:hAnsi="仿宋" w:cs="仿宋"/>
        </w:rPr>
      </w:pPr>
    </w:p>
    <w:p>
      <w:pPr>
        <w:rPr>
          <w:rFonts w:ascii="仿宋" w:hAnsi="仿宋" w:cs="仿宋"/>
        </w:rPr>
      </w:pPr>
    </w:p>
    <w:p>
      <w:pPr>
        <w:rPr>
          <w:rFonts w:ascii="仿宋" w:hAnsi="仿宋" w:cs="仿宋"/>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r>
        <w:rPr>
          <w:rFonts w:hint="eastAsia" w:ascii="仿宋" w:hAnsi="仿宋" w:cs="仿宋"/>
          <w:sz w:val="28"/>
          <w:szCs w:val="28"/>
        </w:rPr>
        <w:t>所投包号：第  包</w:t>
      </w:r>
    </w:p>
    <w:p>
      <w:pPr>
        <w:rPr>
          <w:rFonts w:ascii="仿宋" w:hAnsi="仿宋" w:cs="仿宋"/>
          <w:sz w:val="28"/>
          <w:szCs w:val="28"/>
        </w:rPr>
      </w:pPr>
      <w:r>
        <w:rPr>
          <w:rFonts w:hint="eastAsia" w:ascii="仿宋" w:hAnsi="仿宋" w:cs="仿宋"/>
          <w:sz w:val="28"/>
          <w:szCs w:val="28"/>
        </w:rPr>
        <w:t>项目名称：</w:t>
      </w:r>
    </w:p>
    <w:p>
      <w:pPr>
        <w:rPr>
          <w:rFonts w:ascii="仿宋" w:hAnsi="仿宋" w:cs="仿宋"/>
          <w:sz w:val="28"/>
          <w:szCs w:val="28"/>
        </w:rPr>
      </w:pPr>
      <w:r>
        <w:rPr>
          <w:rFonts w:hint="eastAsia" w:ascii="仿宋" w:hAnsi="仿宋" w:cs="仿宋"/>
          <w:sz w:val="28"/>
          <w:szCs w:val="28"/>
        </w:rPr>
        <w:t>项目编号：</w:t>
      </w:r>
    </w:p>
    <w:p>
      <w:pPr>
        <w:rPr>
          <w:rFonts w:ascii="仿宋" w:hAnsi="仿宋" w:cs="仿宋"/>
          <w:sz w:val="28"/>
          <w:szCs w:val="28"/>
        </w:rPr>
      </w:pPr>
      <w:r>
        <w:rPr>
          <w:rFonts w:hint="eastAsia" w:ascii="仿宋" w:hAnsi="仿宋" w:cs="仿宋"/>
          <w:sz w:val="28"/>
          <w:szCs w:val="28"/>
        </w:rPr>
        <w:t>投标人名称 ：</w:t>
      </w:r>
    </w:p>
    <w:p>
      <w:pPr>
        <w:rPr>
          <w:rFonts w:ascii="仿宋" w:hAnsi="仿宋" w:cs="仿宋"/>
        </w:rPr>
      </w:pPr>
      <w:r>
        <w:rPr>
          <w:rFonts w:hint="eastAsia" w:ascii="仿宋" w:hAnsi="仿宋" w:cs="仿宋"/>
          <w:sz w:val="28"/>
          <w:szCs w:val="28"/>
        </w:rPr>
        <w:br w:type="page"/>
      </w:r>
      <w:r>
        <w:rPr>
          <w:rFonts w:hint="eastAsia" w:ascii="仿宋" w:hAnsi="仿宋" w:cs="仿宋"/>
          <w:b/>
          <w:bCs/>
          <w:sz w:val="28"/>
          <w:szCs w:val="28"/>
        </w:rPr>
        <w:t>格式3</w:t>
      </w:r>
    </w:p>
    <w:p>
      <w:pPr>
        <w:spacing w:before="319" w:beforeLines="100" w:after="319" w:afterLines="100" w:line="360" w:lineRule="auto"/>
        <w:ind w:right="-21" w:rightChars="-10"/>
        <w:jc w:val="center"/>
        <w:rPr>
          <w:rFonts w:ascii="仿宋" w:hAnsi="仿宋" w:cs="仿宋"/>
          <w:b/>
          <w:bCs/>
          <w:sz w:val="32"/>
          <w:szCs w:val="32"/>
        </w:rPr>
      </w:pPr>
      <w:bookmarkStart w:id="86" w:name="_Toc2304_WPSOffice_Level2"/>
      <w:bookmarkStart w:id="87" w:name="_Toc21414_WPSOffice_Level2"/>
      <w:r>
        <w:rPr>
          <w:rFonts w:hint="eastAsia" w:ascii="仿宋" w:hAnsi="仿宋" w:cs="仿宋"/>
          <w:b/>
          <w:bCs/>
          <w:sz w:val="32"/>
          <w:szCs w:val="32"/>
        </w:rPr>
        <w:t>目  录</w:t>
      </w:r>
      <w:bookmarkEnd w:id="86"/>
      <w:bookmarkEnd w:id="87"/>
    </w:p>
    <w:p>
      <w:pPr>
        <w:rPr>
          <w:rFonts w:ascii="仿宋" w:hAnsi="仿宋" w:cs="仿宋"/>
        </w:rPr>
      </w:pPr>
      <w:bookmarkStart w:id="88" w:name="_Toc30940_WPSOffice_Level2"/>
      <w:bookmarkStart w:id="89" w:name="_Toc7636_WPSOffice_Level2"/>
      <w:r>
        <w:rPr>
          <w:rFonts w:hint="eastAsia" w:ascii="仿宋" w:hAnsi="仿宋" w:cs="仿宋"/>
        </w:rPr>
        <w:t>一、资格证明材料</w:t>
      </w:r>
      <w:bookmarkEnd w:id="88"/>
      <w:bookmarkEnd w:id="89"/>
    </w:p>
    <w:p>
      <w:pPr>
        <w:rPr>
          <w:rFonts w:ascii="仿宋" w:hAnsi="仿宋" w:cs="仿宋"/>
        </w:rPr>
      </w:pPr>
      <w:r>
        <w:rPr>
          <w:rFonts w:hint="eastAsia" w:ascii="仿宋" w:hAnsi="仿宋" w:cs="仿宋"/>
        </w:rPr>
        <w:t>……</w:t>
      </w:r>
    </w:p>
    <w:p>
      <w:pPr>
        <w:rPr>
          <w:rFonts w:ascii="仿宋" w:hAnsi="仿宋" w:cs="仿宋"/>
        </w:rPr>
      </w:pPr>
      <w:bookmarkStart w:id="90" w:name="_Toc31702_WPSOffice_Level2"/>
      <w:bookmarkStart w:id="91" w:name="_Toc13950_WPSOffice_Level2"/>
      <w:r>
        <w:rPr>
          <w:rFonts w:hint="eastAsia" w:ascii="仿宋" w:hAnsi="仿宋" w:cs="仿宋"/>
        </w:rPr>
        <w:t>二、符合性证明材料</w:t>
      </w:r>
      <w:bookmarkEnd w:id="90"/>
      <w:bookmarkEnd w:id="91"/>
    </w:p>
    <w:p>
      <w:pPr>
        <w:rPr>
          <w:rFonts w:ascii="仿宋" w:hAnsi="仿宋" w:cs="仿宋"/>
        </w:rPr>
      </w:pPr>
      <w:r>
        <w:rPr>
          <w:rFonts w:hint="eastAsia" w:ascii="仿宋" w:hAnsi="仿宋" w:cs="仿宋"/>
        </w:rPr>
        <w:t>……</w:t>
      </w:r>
    </w:p>
    <w:p>
      <w:pPr>
        <w:rPr>
          <w:rFonts w:ascii="仿宋" w:hAnsi="仿宋" w:cs="仿宋"/>
        </w:rPr>
      </w:pPr>
      <w:bookmarkStart w:id="92" w:name="_Toc14854_WPSOffice_Level2"/>
      <w:bookmarkStart w:id="93" w:name="_Toc9090_WPSOffice_Level2"/>
      <w:r>
        <w:rPr>
          <w:rFonts w:hint="eastAsia" w:ascii="仿宋" w:hAnsi="仿宋" w:cs="仿宋"/>
        </w:rPr>
        <w:t>三、其它材料</w:t>
      </w:r>
      <w:bookmarkEnd w:id="92"/>
      <w:bookmarkEnd w:id="93"/>
    </w:p>
    <w:p>
      <w:pPr>
        <w:rPr>
          <w:rFonts w:ascii="仿宋" w:hAnsi="仿宋" w:cs="仿宋"/>
        </w:rPr>
      </w:pPr>
      <w:r>
        <w:rPr>
          <w:rFonts w:hint="eastAsia" w:ascii="仿宋" w:hAnsi="仿宋" w:cs="仿宋"/>
        </w:rPr>
        <w:t>……</w:t>
      </w:r>
    </w:p>
    <w:p>
      <w:pPr>
        <w:rPr>
          <w:rFonts w:ascii="仿宋" w:hAnsi="仿宋" w:cs="仿宋"/>
        </w:rPr>
      </w:pPr>
    </w:p>
    <w:p>
      <w:pPr>
        <w:rPr>
          <w:rFonts w:ascii="仿宋" w:hAnsi="仿宋" w:cs="仿宋"/>
        </w:rPr>
      </w:pPr>
    </w:p>
    <w:p>
      <w:pPr>
        <w:rPr>
          <w:rFonts w:ascii="仿宋" w:hAnsi="仿宋" w:cs="仿宋"/>
        </w:rPr>
      </w:pPr>
    </w:p>
    <w:p>
      <w:pPr>
        <w:adjustRightInd w:val="0"/>
        <w:snapToGrid w:val="0"/>
        <w:spacing w:line="360" w:lineRule="auto"/>
        <w:ind w:firstLine="420" w:firstLineChars="200"/>
        <w:rPr>
          <w:rFonts w:ascii="仿宋" w:hAnsi="仿宋" w:cs="仿宋"/>
        </w:rPr>
      </w:pPr>
      <w:r>
        <w:rPr>
          <w:rFonts w:hint="eastAsia" w:ascii="仿宋" w:hAnsi="仿宋" w:cs="仿宋"/>
        </w:rPr>
        <w:t>我单位的投标文件由资格证明材料、符合性证明材料和其它材料三部分组成，在此加盖单位公章并由法定代表人（或非法人组织负责人）或其授权委托人签字，保证投标文件中所有材料真实、有效。</w:t>
      </w:r>
    </w:p>
    <w:p>
      <w:pPr>
        <w:spacing w:line="360" w:lineRule="auto"/>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法定代表人（或非法人组织负责人）或其授权委托人(签字或盖章)：</w:t>
      </w:r>
    </w:p>
    <w:p>
      <w:pPr>
        <w:spacing w:line="480" w:lineRule="auto"/>
        <w:rPr>
          <w:rFonts w:ascii="仿宋" w:hAnsi="仿宋" w:cs="仿宋"/>
        </w:rPr>
      </w:pPr>
      <w:r>
        <w:rPr>
          <w:rFonts w:hint="eastAsia" w:ascii="仿宋" w:hAnsi="仿宋" w:cs="仿宋"/>
        </w:rPr>
        <w:t>日期：</w:t>
      </w:r>
    </w:p>
    <w:p>
      <w:pPr>
        <w:pStyle w:val="5"/>
        <w:adjustRightInd w:val="0"/>
        <w:snapToGrid w:val="0"/>
        <w:spacing w:before="0" w:after="0" w:line="240" w:lineRule="auto"/>
        <w:jc w:val="left"/>
        <w:rPr>
          <w:rFonts w:ascii="仿宋" w:hAnsi="仿宋" w:cs="仿宋"/>
        </w:rPr>
      </w:pPr>
      <w:r>
        <w:rPr>
          <w:rFonts w:hint="eastAsia" w:ascii="仿宋" w:hAnsi="仿宋" w:cs="仿宋"/>
        </w:rPr>
        <w:br w:type="page"/>
      </w:r>
      <w:r>
        <w:rPr>
          <w:rFonts w:hint="eastAsia" w:ascii="仿宋" w:hAnsi="仿宋" w:cs="仿宋"/>
        </w:rPr>
        <w:t>格式4</w:t>
      </w:r>
    </w:p>
    <w:p>
      <w:pPr>
        <w:spacing w:before="319" w:beforeLines="100" w:after="319" w:afterLines="100" w:line="360" w:lineRule="auto"/>
        <w:ind w:right="-21" w:rightChars="-10"/>
        <w:jc w:val="center"/>
        <w:rPr>
          <w:rFonts w:ascii="仿宋" w:hAnsi="仿宋" w:cs="仿宋"/>
          <w:b/>
          <w:bCs/>
          <w:sz w:val="32"/>
          <w:szCs w:val="32"/>
        </w:rPr>
      </w:pPr>
      <w:bookmarkStart w:id="94" w:name="_Toc16924_WPSOffice_Level2"/>
      <w:bookmarkStart w:id="95" w:name="_Toc3401_WPSOffice_Level2"/>
      <w:r>
        <w:rPr>
          <w:rFonts w:hint="eastAsia" w:ascii="仿宋" w:hAnsi="仿宋" w:cs="仿宋"/>
          <w:b/>
          <w:bCs/>
          <w:sz w:val="32"/>
          <w:szCs w:val="32"/>
        </w:rPr>
        <w:t>法定代表人（或非法人组织负责人）身份证明书</w:t>
      </w:r>
      <w:bookmarkEnd w:id="94"/>
      <w:bookmarkEnd w:id="95"/>
    </w:p>
    <w:p>
      <w:pPr>
        <w:spacing w:line="360" w:lineRule="auto"/>
        <w:ind w:firstLine="840" w:firstLineChars="400"/>
        <w:rPr>
          <w:rFonts w:ascii="仿宋" w:hAnsi="仿宋" w:cs="仿宋"/>
        </w:rPr>
      </w:pPr>
      <w:r>
        <w:rPr>
          <w:rFonts w:hint="eastAsia" w:ascii="仿宋" w:hAnsi="仿宋" w:cs="仿宋"/>
        </w:rPr>
        <w:t>姓名：，性别：，出生日期：，现任职务：，系（投标人名称）的法定代表人（或非法人组织负责人）。</w:t>
      </w:r>
    </w:p>
    <w:p>
      <w:pPr>
        <w:rPr>
          <w:rFonts w:ascii="仿宋" w:hAnsi="仿宋" w:cs="仿宋"/>
        </w:rPr>
      </w:pPr>
    </w:p>
    <w:p>
      <w:pPr>
        <w:rPr>
          <w:rFonts w:ascii="仿宋" w:hAnsi="仿宋" w:cs="仿宋"/>
        </w:rPr>
      </w:pPr>
      <w:r>
        <w:rPr>
          <w:rFonts w:hint="eastAsia" w:ascii="仿宋" w:hAnsi="仿宋" w:cs="仿宋"/>
        </w:rPr>
        <w:t>特此证明。</w:t>
      </w:r>
    </w:p>
    <w:p>
      <w:pPr>
        <w:rPr>
          <w:rFonts w:ascii="仿宋" w:hAnsi="仿宋" w:cs="仿宋"/>
        </w:rPr>
      </w:pPr>
    </w:p>
    <w:p>
      <w:pPr>
        <w:rPr>
          <w:rFonts w:ascii="仿宋" w:hAnsi="仿宋" w:cs="仿宋"/>
        </w:rPr>
      </w:pPr>
    </w:p>
    <w:p>
      <w:pPr>
        <w:rPr>
          <w:rFonts w:ascii="仿宋" w:hAnsi="仿宋" w:cs="仿宋"/>
        </w:rPr>
      </w:pPr>
    </w:p>
    <w:tbl>
      <w:tblPr>
        <w:tblStyle w:val="21"/>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
              </w:rPr>
            </w:pPr>
            <w:r>
              <w:rPr>
                <w:rFonts w:hint="eastAsia" w:ascii="仿宋" w:hAnsi="仿宋" w:cs="仿宋"/>
              </w:rPr>
              <w:t>（法定代表人（或非法人组织负责人）身份证正、反面复印件）</w:t>
            </w:r>
          </w:p>
        </w:tc>
      </w:tr>
    </w:tbl>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rPr>
          <w:rFonts w:ascii="仿宋" w:hAnsi="仿宋" w:cs="仿宋"/>
        </w:rPr>
      </w:pPr>
    </w:p>
    <w:p>
      <w:pPr>
        <w:spacing w:line="480" w:lineRule="auto"/>
        <w:rPr>
          <w:rFonts w:ascii="仿宋" w:hAnsi="仿宋" w:cs="仿宋"/>
          <w:u w:val="single"/>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日期：</w:t>
      </w:r>
    </w:p>
    <w:p>
      <w:pPr>
        <w:rPr>
          <w:rFonts w:ascii="仿宋" w:hAnsi="仿宋" w:cs="仿宋"/>
        </w:rPr>
      </w:pPr>
    </w:p>
    <w:p>
      <w:pPr>
        <w:pStyle w:val="5"/>
        <w:adjustRightInd w:val="0"/>
        <w:snapToGrid w:val="0"/>
        <w:spacing w:before="0" w:after="0" w:line="240" w:lineRule="auto"/>
        <w:jc w:val="left"/>
        <w:rPr>
          <w:rFonts w:ascii="仿宋" w:hAnsi="仿宋" w:cs="仿宋"/>
        </w:rPr>
      </w:pPr>
      <w:r>
        <w:rPr>
          <w:rFonts w:hint="eastAsia" w:ascii="仿宋" w:hAnsi="仿宋" w:cs="仿宋"/>
        </w:rPr>
        <w:br w:type="page"/>
      </w:r>
      <w:r>
        <w:rPr>
          <w:rFonts w:hint="eastAsia" w:ascii="仿宋" w:hAnsi="仿宋" w:cs="仿宋"/>
        </w:rPr>
        <w:t>格式5</w:t>
      </w:r>
      <w:bookmarkStart w:id="96" w:name="_Toc21833_WPSOffice_Level2"/>
      <w:bookmarkStart w:id="97" w:name="_Toc122_WPSOffice_Level2"/>
    </w:p>
    <w:p>
      <w:pPr>
        <w:spacing w:before="319" w:beforeLines="100" w:after="319" w:afterLines="100" w:line="360" w:lineRule="auto"/>
        <w:ind w:right="-21" w:rightChars="-10"/>
        <w:jc w:val="center"/>
        <w:rPr>
          <w:rFonts w:ascii="仿宋" w:hAnsi="仿宋" w:cs="仿宋"/>
          <w:b/>
          <w:bCs/>
          <w:sz w:val="32"/>
          <w:szCs w:val="32"/>
        </w:rPr>
      </w:pPr>
      <w:r>
        <w:rPr>
          <w:rFonts w:hint="eastAsia" w:ascii="仿宋" w:hAnsi="仿宋" w:cs="仿宋"/>
          <w:b/>
          <w:bCs/>
          <w:sz w:val="32"/>
          <w:szCs w:val="32"/>
        </w:rPr>
        <w:t>法定代表人（或非法人组织负责人）授权委托书</w:t>
      </w:r>
      <w:bookmarkEnd w:id="96"/>
      <w:bookmarkEnd w:id="97"/>
    </w:p>
    <w:p>
      <w:pPr>
        <w:spacing w:line="360" w:lineRule="auto"/>
        <w:ind w:firstLine="420" w:firstLineChars="200"/>
        <w:rPr>
          <w:rFonts w:ascii="仿宋" w:hAnsi="仿宋" w:cs="仿宋"/>
          <w:u w:val="single"/>
        </w:rPr>
      </w:pPr>
      <w:r>
        <w:rPr>
          <w:rFonts w:hint="eastAsia" w:ascii="仿宋" w:hAnsi="仿宋" w:cs="仿宋"/>
        </w:rPr>
        <w:t>单位名称：</w:t>
      </w:r>
    </w:p>
    <w:p>
      <w:pPr>
        <w:spacing w:line="360" w:lineRule="auto"/>
        <w:ind w:firstLine="420" w:firstLineChars="200"/>
        <w:rPr>
          <w:rFonts w:ascii="仿宋" w:hAnsi="仿宋" w:cs="仿宋"/>
          <w:u w:val="single"/>
        </w:rPr>
      </w:pPr>
      <w:r>
        <w:rPr>
          <w:rFonts w:hint="eastAsia" w:ascii="仿宋" w:hAnsi="仿宋" w:cs="仿宋"/>
        </w:rPr>
        <w:t>法定代表人（或非法人组织负责人）姓名： 身份证号码：</w:t>
      </w:r>
    </w:p>
    <w:p>
      <w:pPr>
        <w:tabs>
          <w:tab w:val="left" w:pos="5205"/>
        </w:tabs>
        <w:spacing w:line="360" w:lineRule="auto"/>
        <w:ind w:firstLine="420" w:firstLineChars="200"/>
        <w:rPr>
          <w:rFonts w:ascii="仿宋" w:hAnsi="仿宋" w:cs="仿宋"/>
          <w:u w:val="single"/>
        </w:rPr>
      </w:pPr>
      <w:r>
        <w:rPr>
          <w:rFonts w:hint="eastAsia" w:ascii="仿宋" w:hAnsi="仿宋" w:cs="仿宋"/>
        </w:rPr>
        <w:t>住所地：</w:t>
      </w:r>
      <w:r>
        <w:rPr>
          <w:rFonts w:hint="eastAsia" w:ascii="仿宋" w:hAnsi="仿宋" w:cs="仿宋"/>
          <w:u w:val="single"/>
        </w:rPr>
        <w:tab/>
      </w:r>
    </w:p>
    <w:p>
      <w:pPr>
        <w:spacing w:line="360" w:lineRule="auto"/>
        <w:ind w:firstLine="420" w:firstLineChars="200"/>
        <w:rPr>
          <w:rFonts w:ascii="仿宋" w:hAnsi="仿宋" w:cs="仿宋"/>
          <w:u w:val="single"/>
        </w:rPr>
      </w:pPr>
      <w:r>
        <w:rPr>
          <w:rFonts w:hint="eastAsia" w:ascii="仿宋" w:hAnsi="仿宋" w:cs="仿宋"/>
        </w:rPr>
        <w:t>授权委托人姓名：                   身份证号码：</w:t>
      </w:r>
    </w:p>
    <w:p>
      <w:pPr>
        <w:spacing w:line="360" w:lineRule="auto"/>
        <w:ind w:firstLine="420" w:firstLineChars="200"/>
        <w:rPr>
          <w:rFonts w:ascii="仿宋" w:hAnsi="仿宋" w:cs="仿宋"/>
          <w:u w:val="single"/>
        </w:rPr>
      </w:pPr>
      <w:r>
        <w:rPr>
          <w:rFonts w:hint="eastAsia" w:ascii="仿宋" w:hAnsi="仿宋" w:cs="仿宋"/>
        </w:rPr>
        <w:t>工作单位：</w:t>
      </w:r>
    </w:p>
    <w:p>
      <w:pPr>
        <w:spacing w:line="360" w:lineRule="auto"/>
        <w:ind w:firstLine="420" w:firstLineChars="200"/>
        <w:rPr>
          <w:rFonts w:ascii="仿宋" w:hAnsi="仿宋" w:cs="仿宋"/>
          <w:u w:val="single"/>
        </w:rPr>
      </w:pPr>
      <w:r>
        <w:rPr>
          <w:rFonts w:hint="eastAsia" w:ascii="仿宋" w:hAnsi="仿宋" w:cs="仿宋"/>
        </w:rPr>
        <w:t>住址：                   电话：</w:t>
      </w:r>
    </w:p>
    <w:p>
      <w:pPr>
        <w:spacing w:line="360" w:lineRule="auto"/>
        <w:ind w:firstLine="420" w:firstLineChars="200"/>
        <w:rPr>
          <w:rFonts w:ascii="仿宋" w:hAnsi="仿宋" w:cs="仿宋"/>
        </w:rPr>
      </w:pPr>
      <w:r>
        <w:rPr>
          <w:rFonts w:hint="eastAsia" w:ascii="仿宋" w:hAnsi="仿宋" w:cs="仿宋"/>
        </w:rPr>
        <w:t>现委托就</w:t>
      </w:r>
      <w:r>
        <w:rPr>
          <w:rFonts w:hint="eastAsia" w:ascii="仿宋" w:hAnsi="仿宋" w:cs="仿宋"/>
          <w:u w:val="single"/>
        </w:rPr>
        <w:t>（项目编号、项目名称、包号）</w:t>
      </w:r>
      <w:r>
        <w:rPr>
          <w:rFonts w:hint="eastAsia" w:ascii="仿宋" w:hAnsi="仿宋" w:cs="仿宋"/>
        </w:rPr>
        <w:t>投标中，以我单位名义处理一切与之有关的事务。</w:t>
      </w:r>
    </w:p>
    <w:p>
      <w:pPr>
        <w:spacing w:line="360" w:lineRule="auto"/>
        <w:ind w:firstLine="420" w:firstLineChars="200"/>
        <w:rPr>
          <w:rFonts w:ascii="仿宋" w:hAnsi="仿宋" w:cs="仿宋"/>
        </w:rPr>
      </w:pPr>
      <w:r>
        <w:rPr>
          <w:rFonts w:hint="eastAsia" w:ascii="仿宋" w:hAnsi="仿宋" w:cs="仿宋"/>
        </w:rPr>
        <w:t>本授权书于年月日签字或盖章生效，无转委托，特此声明。</w:t>
      </w:r>
    </w:p>
    <w:p>
      <w:pPr>
        <w:spacing w:line="360" w:lineRule="auto"/>
        <w:rPr>
          <w:rFonts w:ascii="仿宋" w:hAnsi="仿宋" w:cs="仿宋"/>
        </w:rPr>
      </w:pPr>
    </w:p>
    <w:tbl>
      <w:tblPr>
        <w:tblStyle w:val="21"/>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
              </w:rPr>
            </w:pPr>
            <w:r>
              <w:rPr>
                <w:rFonts w:hint="eastAsia" w:ascii="仿宋" w:hAnsi="仿宋" w:cs="仿宋"/>
              </w:rPr>
              <w:t>（授权委托人身份证正、反面复印件）</w:t>
            </w:r>
          </w:p>
        </w:tc>
      </w:tr>
    </w:tbl>
    <w:p>
      <w:pPr>
        <w:spacing w:line="360" w:lineRule="auto"/>
        <w:rPr>
          <w:rFonts w:ascii="仿宋" w:hAnsi="仿宋" w:cs="仿宋"/>
        </w:rPr>
      </w:pPr>
    </w:p>
    <w:p>
      <w:pPr>
        <w:spacing w:line="360" w:lineRule="auto"/>
        <w:rPr>
          <w:rFonts w:ascii="仿宋" w:hAnsi="仿宋" w:cs="仿宋"/>
        </w:rPr>
      </w:pPr>
      <w:r>
        <w:rPr>
          <w:rFonts w:hint="eastAsia" w:ascii="仿宋" w:hAnsi="仿宋" w:cs="仿宋"/>
        </w:rPr>
        <w:t>委托人（加盖单位公章）：</w:t>
      </w:r>
    </w:p>
    <w:p>
      <w:pPr>
        <w:spacing w:line="360" w:lineRule="auto"/>
        <w:rPr>
          <w:rFonts w:ascii="仿宋" w:hAnsi="仿宋" w:cs="仿宋"/>
        </w:rPr>
      </w:pPr>
      <w:r>
        <w:rPr>
          <w:rFonts w:hint="eastAsia" w:ascii="仿宋" w:hAnsi="仿宋" w:cs="仿宋"/>
        </w:rPr>
        <w:t>法定代表人（或非法人组织负责人）（签字或盖章）：</w:t>
      </w:r>
    </w:p>
    <w:p>
      <w:pPr>
        <w:spacing w:line="360" w:lineRule="auto"/>
        <w:rPr>
          <w:rFonts w:ascii="仿宋" w:hAnsi="仿宋" w:cs="仿宋"/>
        </w:rPr>
      </w:pPr>
      <w:r>
        <w:rPr>
          <w:rFonts w:hint="eastAsia" w:ascii="仿宋" w:hAnsi="仿宋" w:cs="仿宋"/>
        </w:rPr>
        <w:t>授权委托人（签字或盖章）：</w:t>
      </w:r>
    </w:p>
    <w:p>
      <w:pPr>
        <w:spacing w:line="360" w:lineRule="auto"/>
        <w:rPr>
          <w:rFonts w:ascii="仿宋" w:hAnsi="仿宋" w:cs="仿宋"/>
        </w:rPr>
      </w:pPr>
      <w:r>
        <w:rPr>
          <w:rFonts w:hint="eastAsia" w:ascii="仿宋" w:hAnsi="仿宋" w:cs="仿宋"/>
        </w:rPr>
        <w:t>详细通讯地址：      邮政编码 ：</w:t>
      </w:r>
    </w:p>
    <w:p>
      <w:pPr>
        <w:spacing w:line="360" w:lineRule="auto"/>
        <w:rPr>
          <w:rFonts w:ascii="仿宋" w:hAnsi="仿宋" w:cs="仿宋"/>
          <w:u w:val="single"/>
        </w:rPr>
      </w:pPr>
      <w:r>
        <w:rPr>
          <w:rFonts w:hint="eastAsia" w:ascii="仿宋" w:hAnsi="仿宋" w:cs="仿宋"/>
        </w:rPr>
        <w:t>传        真：      电     话：</w:t>
      </w:r>
    </w:p>
    <w:p>
      <w:pPr>
        <w:spacing w:line="360" w:lineRule="auto"/>
        <w:rPr>
          <w:rFonts w:ascii="仿宋" w:hAnsi="仿宋" w:cs="仿宋"/>
          <w:u w:val="single"/>
        </w:rPr>
      </w:pPr>
      <w:r>
        <w:rPr>
          <w:rFonts w:hint="eastAsia" w:ascii="仿宋" w:hAnsi="仿宋" w:cs="仿宋"/>
        </w:rPr>
        <w:t>日        期:</w:t>
      </w:r>
    </w:p>
    <w:p>
      <w:pPr>
        <w:rPr>
          <w:rFonts w:ascii="仿宋" w:hAnsi="仿宋" w:cs="仿宋"/>
        </w:rPr>
      </w:pPr>
      <w:r>
        <w:rPr>
          <w:rFonts w:hint="eastAsia" w:ascii="仿宋" w:hAnsi="仿宋" w:cs="仿宋"/>
        </w:rPr>
        <w:br w:type="page"/>
      </w:r>
    </w:p>
    <w:p>
      <w:pPr>
        <w:pStyle w:val="5"/>
        <w:adjustRightInd w:val="0"/>
        <w:snapToGrid w:val="0"/>
        <w:spacing w:before="0" w:after="0" w:line="240" w:lineRule="auto"/>
        <w:jc w:val="left"/>
        <w:rPr>
          <w:rFonts w:ascii="仿宋" w:hAnsi="仿宋" w:cs="仿宋"/>
        </w:rPr>
      </w:pPr>
      <w:r>
        <w:rPr>
          <w:rFonts w:hint="eastAsia" w:ascii="仿宋" w:hAnsi="仿宋" w:cs="仿宋"/>
        </w:rPr>
        <w:t>格式6</w:t>
      </w:r>
    </w:p>
    <w:p>
      <w:pPr>
        <w:spacing w:before="319" w:beforeLines="100" w:after="319" w:afterLines="100" w:line="360" w:lineRule="auto"/>
        <w:ind w:right="-21" w:rightChars="-10"/>
        <w:jc w:val="center"/>
        <w:rPr>
          <w:rFonts w:ascii="仿宋" w:hAnsi="仿宋" w:cs="仿宋"/>
          <w:b/>
          <w:bCs/>
          <w:sz w:val="32"/>
          <w:szCs w:val="32"/>
        </w:rPr>
      </w:pPr>
      <w:r>
        <w:rPr>
          <w:rFonts w:hint="eastAsia" w:ascii="仿宋" w:hAnsi="仿宋" w:cs="仿宋"/>
          <w:b/>
          <w:bCs/>
          <w:sz w:val="32"/>
          <w:szCs w:val="32"/>
        </w:rPr>
        <w:t>具有良好的商业信誉和健全的财务会计制度的承诺函</w:t>
      </w:r>
    </w:p>
    <w:p>
      <w:pPr>
        <w:spacing w:before="319" w:beforeLines="100" w:after="319" w:afterLines="100" w:line="480" w:lineRule="exact"/>
        <w:ind w:right="630" w:rightChars="300"/>
        <w:jc w:val="center"/>
        <w:rPr>
          <w:rFonts w:ascii="仿宋" w:hAnsi="仿宋" w:cs="仿宋"/>
          <w:sz w:val="28"/>
          <w:szCs w:val="28"/>
        </w:rPr>
      </w:pPr>
      <w:r>
        <w:rPr>
          <w:rFonts w:hint="eastAsia" w:ascii="仿宋" w:hAnsi="仿宋" w:cs="仿宋"/>
          <w:sz w:val="28"/>
          <w:szCs w:val="28"/>
        </w:rPr>
        <w:t>（格式自拟）</w:t>
      </w: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snapToGrid w:val="0"/>
        <w:spacing w:line="480" w:lineRule="auto"/>
        <w:rPr>
          <w:rFonts w:ascii="仿宋" w:hAnsi="仿宋" w:cs="仿宋"/>
        </w:rPr>
      </w:pPr>
      <w:r>
        <w:rPr>
          <w:rFonts w:hint="eastAsia" w:ascii="仿宋" w:hAnsi="仿宋" w:cs="仿宋"/>
        </w:rPr>
        <w:t>投标人名称（加盖单位公章）：</w:t>
      </w:r>
    </w:p>
    <w:p>
      <w:pPr>
        <w:snapToGrid w:val="0"/>
        <w:spacing w:line="480" w:lineRule="auto"/>
        <w:rPr>
          <w:rFonts w:ascii="仿宋" w:hAnsi="仿宋" w:cs="仿宋"/>
        </w:rPr>
      </w:pPr>
      <w:r>
        <w:rPr>
          <w:rFonts w:hint="eastAsia" w:ascii="仿宋" w:hAnsi="仿宋" w:cs="仿宋"/>
        </w:rPr>
        <w:t>法定代表人（或非法人组织负责人）或其授权委托人(签字或盖章)：</w:t>
      </w:r>
    </w:p>
    <w:p>
      <w:pPr>
        <w:adjustRightInd w:val="0"/>
        <w:snapToGrid w:val="0"/>
        <w:spacing w:line="360" w:lineRule="auto"/>
        <w:ind w:right="105" w:rightChars="50"/>
        <w:jc w:val="left"/>
        <w:rPr>
          <w:rFonts w:ascii="仿宋" w:hAnsi="仿宋" w:cs="仿宋"/>
          <w:u w:val="single"/>
        </w:rPr>
      </w:pPr>
      <w:r>
        <w:rPr>
          <w:rFonts w:hint="eastAsia" w:ascii="仿宋" w:hAnsi="仿宋" w:cs="仿宋"/>
        </w:rPr>
        <w:t>日期：</w:t>
      </w:r>
    </w:p>
    <w:p>
      <w:pPr>
        <w:adjustRightInd w:val="0"/>
        <w:snapToGrid w:val="0"/>
        <w:spacing w:line="360" w:lineRule="auto"/>
        <w:ind w:right="105" w:rightChars="50"/>
        <w:jc w:val="left"/>
        <w:rPr>
          <w:rFonts w:ascii="仿宋" w:hAnsi="仿宋" w:cs="仿宋"/>
          <w:u w:val="single"/>
        </w:rPr>
      </w:pPr>
    </w:p>
    <w:p>
      <w:pPr>
        <w:rPr>
          <w:rFonts w:ascii="仿宋" w:hAnsi="仿宋" w:cs="仿宋"/>
        </w:rPr>
      </w:pPr>
      <w:r>
        <w:rPr>
          <w:rFonts w:hint="eastAsia" w:ascii="仿宋" w:hAnsi="仿宋" w:cs="仿宋"/>
        </w:rPr>
        <w:br w:type="page"/>
      </w:r>
    </w:p>
    <w:p>
      <w:pPr>
        <w:pStyle w:val="5"/>
        <w:adjustRightInd w:val="0"/>
        <w:snapToGrid w:val="0"/>
        <w:spacing w:before="0" w:after="0" w:line="240" w:lineRule="auto"/>
        <w:jc w:val="left"/>
        <w:rPr>
          <w:rFonts w:ascii="仿宋" w:hAnsi="仿宋" w:cs="仿宋"/>
        </w:rPr>
      </w:pPr>
      <w:r>
        <w:rPr>
          <w:rFonts w:hint="eastAsia" w:ascii="仿宋" w:hAnsi="仿宋" w:cs="仿宋"/>
        </w:rPr>
        <w:t>格式7</w:t>
      </w:r>
    </w:p>
    <w:p>
      <w:pPr>
        <w:spacing w:before="319" w:beforeLines="100" w:after="319" w:afterLines="100" w:line="360" w:lineRule="auto"/>
        <w:ind w:right="-21" w:rightChars="-10"/>
        <w:jc w:val="center"/>
        <w:rPr>
          <w:rFonts w:ascii="仿宋" w:hAnsi="仿宋" w:cs="仿宋"/>
          <w:b/>
          <w:bCs/>
          <w:sz w:val="32"/>
          <w:szCs w:val="32"/>
        </w:rPr>
      </w:pPr>
      <w:bookmarkStart w:id="98" w:name="_Toc23728_WPSOffice_Level2"/>
      <w:bookmarkStart w:id="99" w:name="_Toc12037_WPSOffice_Level2"/>
      <w:r>
        <w:rPr>
          <w:rFonts w:hint="eastAsia" w:ascii="仿宋" w:hAnsi="仿宋" w:cs="仿宋"/>
          <w:b/>
          <w:bCs/>
          <w:sz w:val="32"/>
          <w:szCs w:val="32"/>
        </w:rPr>
        <w:t>具备履行合同所必需的设备和专业技术能力声明函</w:t>
      </w:r>
      <w:bookmarkEnd w:id="98"/>
      <w:bookmarkEnd w:id="99"/>
    </w:p>
    <w:p>
      <w:pPr>
        <w:spacing w:before="319" w:beforeLines="100" w:after="319" w:afterLines="100" w:line="480" w:lineRule="exact"/>
        <w:ind w:right="630" w:rightChars="300"/>
        <w:jc w:val="center"/>
        <w:rPr>
          <w:rFonts w:ascii="仿宋" w:hAnsi="仿宋" w:cs="仿宋"/>
          <w:sz w:val="28"/>
          <w:szCs w:val="28"/>
        </w:rPr>
      </w:pPr>
      <w:bookmarkStart w:id="100" w:name="_Toc1917_WPSOffice_Level2"/>
      <w:bookmarkStart w:id="101" w:name="_Toc28831_WPSOffice_Level2"/>
      <w:r>
        <w:rPr>
          <w:rFonts w:hint="eastAsia" w:ascii="仿宋" w:hAnsi="仿宋" w:cs="仿宋"/>
          <w:sz w:val="28"/>
          <w:szCs w:val="28"/>
        </w:rPr>
        <w:t>（格式自拟）</w:t>
      </w:r>
      <w:bookmarkEnd w:id="100"/>
      <w:bookmarkEnd w:id="101"/>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snapToGrid w:val="0"/>
        <w:spacing w:line="480" w:lineRule="auto"/>
        <w:rPr>
          <w:rFonts w:ascii="仿宋" w:hAnsi="仿宋" w:cs="仿宋"/>
        </w:rPr>
      </w:pPr>
      <w:r>
        <w:rPr>
          <w:rFonts w:hint="eastAsia" w:ascii="仿宋" w:hAnsi="仿宋" w:cs="仿宋"/>
        </w:rPr>
        <w:t>投标人名称（加盖单位公章）：</w:t>
      </w:r>
    </w:p>
    <w:p>
      <w:pPr>
        <w:snapToGrid w:val="0"/>
        <w:spacing w:line="480" w:lineRule="auto"/>
        <w:rPr>
          <w:rFonts w:ascii="仿宋" w:hAnsi="仿宋" w:cs="仿宋"/>
        </w:rPr>
      </w:pPr>
      <w:r>
        <w:rPr>
          <w:rFonts w:hint="eastAsia" w:ascii="仿宋" w:hAnsi="仿宋" w:cs="仿宋"/>
        </w:rPr>
        <w:t>法定代表人（或非法人组织负责人）或其授权委托人(签字或盖章)：</w:t>
      </w:r>
    </w:p>
    <w:p>
      <w:pPr>
        <w:adjustRightInd w:val="0"/>
        <w:snapToGrid w:val="0"/>
        <w:spacing w:line="360" w:lineRule="auto"/>
        <w:ind w:right="105" w:rightChars="50"/>
        <w:jc w:val="left"/>
        <w:rPr>
          <w:rFonts w:ascii="仿宋" w:hAnsi="仿宋" w:cs="仿宋"/>
          <w:u w:val="single"/>
        </w:rPr>
      </w:pPr>
      <w:r>
        <w:rPr>
          <w:rFonts w:hint="eastAsia" w:ascii="仿宋" w:hAnsi="仿宋" w:cs="仿宋"/>
        </w:rPr>
        <w:t>日期：</w:t>
      </w:r>
    </w:p>
    <w:p>
      <w:pPr>
        <w:adjustRightInd w:val="0"/>
        <w:snapToGrid w:val="0"/>
        <w:spacing w:line="360" w:lineRule="auto"/>
        <w:ind w:right="105" w:rightChars="50"/>
        <w:jc w:val="left"/>
        <w:rPr>
          <w:rFonts w:ascii="仿宋" w:hAnsi="仿宋" w:cs="仿宋"/>
          <w:u w:val="single"/>
        </w:rPr>
      </w:pPr>
    </w:p>
    <w:p>
      <w:pPr>
        <w:adjustRightInd w:val="0"/>
        <w:snapToGrid w:val="0"/>
        <w:spacing w:line="360" w:lineRule="auto"/>
        <w:ind w:right="105" w:rightChars="50"/>
        <w:jc w:val="left"/>
        <w:rPr>
          <w:rFonts w:ascii="仿宋" w:hAnsi="仿宋" w:cs="仿宋"/>
          <w:b/>
          <w:bCs/>
          <w:sz w:val="28"/>
          <w:szCs w:val="28"/>
        </w:rPr>
      </w:pPr>
    </w:p>
    <w:p>
      <w:pPr>
        <w:widowControl/>
        <w:jc w:val="left"/>
        <w:rPr>
          <w:rFonts w:ascii="仿宋" w:hAnsi="仿宋" w:cs="仿宋"/>
          <w:b/>
          <w:bCs/>
          <w:sz w:val="28"/>
          <w:szCs w:val="28"/>
        </w:rPr>
      </w:pPr>
      <w:r>
        <w:rPr>
          <w:rFonts w:hint="eastAsia" w:ascii="仿宋" w:hAnsi="仿宋" w:cs="仿宋"/>
        </w:rPr>
        <w:br w:type="page"/>
      </w:r>
    </w:p>
    <w:p>
      <w:pPr>
        <w:pStyle w:val="5"/>
        <w:adjustRightInd w:val="0"/>
        <w:snapToGrid w:val="0"/>
        <w:spacing w:before="0" w:after="0" w:line="240" w:lineRule="auto"/>
        <w:jc w:val="left"/>
        <w:rPr>
          <w:rFonts w:ascii="仿宋" w:hAnsi="仿宋" w:cs="仿宋"/>
        </w:rPr>
      </w:pPr>
      <w:r>
        <w:rPr>
          <w:rFonts w:hint="eastAsia" w:ascii="仿宋" w:hAnsi="仿宋" w:cs="仿宋"/>
        </w:rPr>
        <w:t>格式8</w:t>
      </w:r>
    </w:p>
    <w:p>
      <w:pPr>
        <w:spacing w:before="319" w:beforeLines="100" w:after="319" w:afterLines="100" w:line="360" w:lineRule="auto"/>
        <w:ind w:right="-21" w:rightChars="-10"/>
        <w:jc w:val="center"/>
        <w:rPr>
          <w:rFonts w:ascii="仿宋" w:hAnsi="仿宋" w:cs="仿宋"/>
          <w:b/>
          <w:bCs/>
          <w:sz w:val="32"/>
          <w:szCs w:val="32"/>
        </w:rPr>
      </w:pPr>
      <w:bookmarkStart w:id="102" w:name="_Toc7498_WPSOffice_Level2"/>
      <w:bookmarkStart w:id="103" w:name="_Toc11967_WPSOffice_Level2"/>
      <w:r>
        <w:rPr>
          <w:rFonts w:hint="eastAsia" w:ascii="仿宋" w:hAnsi="仿宋" w:cs="仿宋"/>
          <w:b/>
          <w:bCs/>
          <w:sz w:val="32"/>
          <w:szCs w:val="32"/>
        </w:rPr>
        <w:t>参加政府采购活动前3年内在经营活动中没有重大违法记录的书面声明</w:t>
      </w:r>
      <w:bookmarkEnd w:id="102"/>
      <w:bookmarkEnd w:id="103"/>
    </w:p>
    <w:p>
      <w:pPr>
        <w:spacing w:line="360" w:lineRule="auto"/>
        <w:ind w:right="630" w:rightChars="300"/>
        <w:rPr>
          <w:rFonts w:ascii="仿宋" w:hAnsi="仿宋" w:cs="仿宋"/>
          <w:b/>
          <w:bCs/>
        </w:rPr>
      </w:pPr>
      <w:r>
        <w:rPr>
          <w:rFonts w:hint="eastAsia" w:ascii="仿宋" w:hAnsi="仿宋" w:cs="仿宋"/>
          <w:b/>
          <w:bCs/>
          <w:u w:val="single"/>
        </w:rPr>
        <w:t xml:space="preserve">（采购人或采购代理机构名称） </w:t>
      </w:r>
      <w:r>
        <w:rPr>
          <w:rFonts w:hint="eastAsia" w:ascii="仿宋" w:hAnsi="仿宋" w:cs="仿宋"/>
          <w:b/>
          <w:bCs/>
        </w:rPr>
        <w:t xml:space="preserve"> ：</w:t>
      </w:r>
    </w:p>
    <w:p>
      <w:pPr>
        <w:spacing w:line="360" w:lineRule="auto"/>
        <w:ind w:right="-21" w:rightChars="-10" w:firstLine="493" w:firstLineChars="235"/>
        <w:rPr>
          <w:rFonts w:ascii="仿宋" w:hAnsi="仿宋" w:cs="仿宋"/>
        </w:rPr>
      </w:pPr>
      <w:r>
        <w:rPr>
          <w:rFonts w:hint="eastAsia" w:ascii="仿宋" w:hAnsi="仿宋" w:cs="仿宋"/>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 w:hAnsi="仿宋" w:cs="仿宋"/>
        </w:rPr>
      </w:pPr>
      <w:r>
        <w:rPr>
          <w:rFonts w:hint="eastAsia" w:ascii="仿宋" w:hAnsi="仿宋" w:cs="仿宋"/>
        </w:rPr>
        <w:t>如发现我单位提供的声明函不实时，我单位将按照《政府采购法》有关提供虚假材料的规定，接受处罚。</w:t>
      </w:r>
    </w:p>
    <w:p>
      <w:pPr>
        <w:spacing w:line="360" w:lineRule="auto"/>
        <w:ind w:right="1050" w:rightChars="500" w:firstLine="420" w:firstLineChars="200"/>
        <w:rPr>
          <w:rFonts w:ascii="仿宋" w:hAnsi="仿宋" w:cs="仿宋"/>
        </w:rPr>
      </w:pPr>
      <w:r>
        <w:rPr>
          <w:rFonts w:hint="eastAsia" w:ascii="仿宋" w:hAnsi="仿宋" w:cs="仿宋"/>
        </w:rPr>
        <w:t>特此声明。</w:t>
      </w:r>
    </w:p>
    <w:p>
      <w:pPr>
        <w:spacing w:line="500" w:lineRule="exact"/>
        <w:ind w:right="1050" w:rightChars="500"/>
        <w:rPr>
          <w:rFonts w:ascii="仿宋" w:hAnsi="仿宋" w:cs="仿宋"/>
        </w:rPr>
      </w:pPr>
    </w:p>
    <w:p>
      <w:pPr>
        <w:spacing w:before="159" w:beforeLines="50" w:after="159" w:afterLines="50" w:line="400" w:lineRule="exact"/>
        <w:ind w:right="1050" w:rightChars="500"/>
        <w:rPr>
          <w:rFonts w:ascii="仿宋" w:hAnsi="仿宋" w:cs="仿宋"/>
        </w:rPr>
      </w:pPr>
    </w:p>
    <w:p>
      <w:pPr>
        <w:spacing w:before="159" w:beforeLines="50" w:after="159" w:afterLines="50" w:line="400" w:lineRule="exact"/>
        <w:ind w:right="1050" w:rightChars="500"/>
        <w:rPr>
          <w:rFonts w:ascii="仿宋" w:hAnsi="仿宋" w:cs="仿宋"/>
        </w:rPr>
      </w:pPr>
    </w:p>
    <w:p>
      <w:pPr>
        <w:spacing w:before="159" w:beforeLines="50" w:after="159" w:afterLines="50" w:line="400" w:lineRule="exact"/>
        <w:ind w:right="1050" w:rightChars="500"/>
        <w:rPr>
          <w:rFonts w:ascii="仿宋" w:hAnsi="仿宋" w:cs="仿宋"/>
        </w:rPr>
      </w:pPr>
    </w:p>
    <w:p>
      <w:pPr>
        <w:spacing w:line="360" w:lineRule="exact"/>
        <w:ind w:right="1050" w:rightChars="500"/>
        <w:rPr>
          <w:rFonts w:ascii="仿宋" w:hAnsi="仿宋" w:cs="仿宋"/>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法定代表人（或非法人组织负责人）或其授权委托人(签字或盖章)：</w:t>
      </w:r>
    </w:p>
    <w:p>
      <w:pPr>
        <w:spacing w:line="480" w:lineRule="auto"/>
        <w:rPr>
          <w:rFonts w:ascii="仿宋" w:hAnsi="仿宋" w:cs="仿宋"/>
        </w:rPr>
      </w:pPr>
      <w:r>
        <w:rPr>
          <w:rFonts w:hint="eastAsia" w:ascii="仿宋" w:hAnsi="仿宋" w:cs="仿宋"/>
        </w:rPr>
        <w:t>日期：</w:t>
      </w:r>
    </w:p>
    <w:p>
      <w:pPr>
        <w:pStyle w:val="2"/>
        <w:ind w:firstLine="240"/>
      </w:pPr>
    </w:p>
    <w:p/>
    <w:p>
      <w:pPr>
        <w:pStyle w:val="2"/>
        <w:ind w:firstLine="240"/>
      </w:pPr>
    </w:p>
    <w:p/>
    <w:p>
      <w:pPr>
        <w:pStyle w:val="2"/>
        <w:ind w:firstLine="240"/>
      </w:pPr>
    </w:p>
    <w:p>
      <w:pPr>
        <w:adjustRightInd w:val="0"/>
        <w:snapToGrid w:val="0"/>
        <w:spacing w:line="360" w:lineRule="auto"/>
        <w:ind w:right="105" w:rightChars="50"/>
        <w:jc w:val="left"/>
        <w:outlineLvl w:val="1"/>
        <w:rPr>
          <w:rFonts w:ascii="仿宋" w:hAnsi="仿宋" w:cs="仿宋"/>
        </w:rPr>
      </w:pPr>
      <w:r>
        <w:rPr>
          <w:rFonts w:hint="eastAsia" w:ascii="仿宋" w:hAnsi="仿宋" w:cs="仿宋"/>
        </w:rPr>
        <w:br w:type="page"/>
      </w:r>
    </w:p>
    <w:p>
      <w:pPr>
        <w:pStyle w:val="5"/>
        <w:adjustRightInd w:val="0"/>
        <w:snapToGrid w:val="0"/>
        <w:spacing w:before="0" w:after="0" w:line="240" w:lineRule="auto"/>
        <w:jc w:val="left"/>
        <w:rPr>
          <w:rFonts w:ascii="仿宋" w:hAnsi="仿宋" w:cs="仿宋"/>
        </w:rPr>
      </w:pPr>
      <w:r>
        <w:rPr>
          <w:rFonts w:hint="eastAsia" w:ascii="仿宋" w:hAnsi="仿宋" w:cs="仿宋"/>
        </w:rPr>
        <w:t>格式9</w:t>
      </w:r>
    </w:p>
    <w:p>
      <w:pPr>
        <w:spacing w:before="319" w:beforeLines="100" w:after="319" w:afterLines="100" w:line="360" w:lineRule="auto"/>
        <w:ind w:right="-21" w:rightChars="-10"/>
        <w:jc w:val="center"/>
        <w:rPr>
          <w:rFonts w:ascii="仿宋" w:hAnsi="仿宋" w:cs="仿宋"/>
          <w:b/>
          <w:bCs/>
          <w:sz w:val="32"/>
          <w:szCs w:val="32"/>
        </w:rPr>
      </w:pPr>
      <w:bookmarkStart w:id="104" w:name="_Toc24841_WPSOffice_Level2"/>
      <w:bookmarkStart w:id="105" w:name="_Toc14782_WPSOffice_Level2"/>
      <w:r>
        <w:rPr>
          <w:rFonts w:hint="eastAsia" w:ascii="仿宋" w:hAnsi="仿宋" w:cs="仿宋"/>
          <w:b/>
          <w:bCs/>
          <w:sz w:val="32"/>
          <w:szCs w:val="32"/>
        </w:rPr>
        <w:t>投标函</w:t>
      </w:r>
      <w:bookmarkEnd w:id="104"/>
      <w:bookmarkEnd w:id="105"/>
    </w:p>
    <w:p>
      <w:pPr>
        <w:adjustRightInd w:val="0"/>
        <w:snapToGrid w:val="0"/>
        <w:spacing w:line="360" w:lineRule="auto"/>
        <w:ind w:right="630" w:rightChars="300"/>
        <w:rPr>
          <w:rFonts w:ascii="仿宋" w:hAnsi="仿宋" w:cs="仿宋"/>
          <w:u w:val="single"/>
        </w:rPr>
      </w:pPr>
      <w:r>
        <w:rPr>
          <w:rFonts w:hint="eastAsia" w:ascii="仿宋" w:hAnsi="仿宋" w:cs="仿宋"/>
          <w:u w:val="single"/>
        </w:rPr>
        <w:t>（采购人或采购代理机构）：</w:t>
      </w:r>
    </w:p>
    <w:p>
      <w:pPr>
        <w:adjustRightInd w:val="0"/>
        <w:snapToGrid w:val="0"/>
        <w:spacing w:line="360" w:lineRule="auto"/>
        <w:ind w:right="-21" w:rightChars="-10"/>
        <w:rPr>
          <w:rFonts w:ascii="仿宋" w:hAnsi="仿宋" w:cs="仿宋"/>
        </w:rPr>
      </w:pPr>
      <w:r>
        <w:rPr>
          <w:rFonts w:hint="eastAsia" w:ascii="仿宋" w:hAnsi="仿宋" w:cs="仿宋"/>
        </w:rPr>
        <w:t xml:space="preserve">    根据贵方</w:t>
      </w:r>
      <w:r>
        <w:rPr>
          <w:rFonts w:hint="eastAsia" w:ascii="仿宋" w:hAnsi="仿宋" w:cs="仿宋"/>
          <w:u w:val="single"/>
        </w:rPr>
        <w:t>(项目名称)</w:t>
      </w:r>
      <w:r>
        <w:rPr>
          <w:rFonts w:hint="eastAsia" w:ascii="仿宋" w:hAnsi="仿宋" w:cs="仿宋"/>
        </w:rPr>
        <w:t>项目的招标公告</w:t>
      </w:r>
      <w:r>
        <w:rPr>
          <w:rFonts w:hint="eastAsia" w:ascii="仿宋" w:hAnsi="仿宋" w:cs="仿宋"/>
          <w:u w:val="single"/>
        </w:rPr>
        <w:t>(招标编号)</w:t>
      </w:r>
      <w:r>
        <w:rPr>
          <w:rFonts w:hint="eastAsia" w:ascii="仿宋" w:hAnsi="仿宋" w:cs="仿宋"/>
        </w:rPr>
        <w:t>,签字代表</w:t>
      </w:r>
      <w:r>
        <w:rPr>
          <w:rFonts w:hint="eastAsia" w:ascii="仿宋" w:hAnsi="仿宋" w:cs="仿宋"/>
          <w:u w:val="single"/>
        </w:rPr>
        <w:t>(姓名、职务)</w:t>
      </w:r>
      <w:r>
        <w:rPr>
          <w:rFonts w:hint="eastAsia" w:ascii="仿宋" w:hAnsi="仿宋" w:cs="仿宋"/>
        </w:rPr>
        <w:t>经正式授权并代表投标人</w:t>
      </w:r>
      <w:r>
        <w:rPr>
          <w:rFonts w:hint="eastAsia" w:ascii="仿宋" w:hAnsi="仿宋" w:cs="仿宋"/>
          <w:u w:val="single"/>
        </w:rPr>
        <w:t>（名称、地址）</w:t>
      </w:r>
      <w:r>
        <w:rPr>
          <w:rFonts w:hint="eastAsia" w:ascii="仿宋" w:hAnsi="仿宋" w:cs="仿宋"/>
        </w:rPr>
        <w:t>提交下述文件正本份、副本份及电子文档份，并以形式出具的金额为人民币元的投标保证金。</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据此，签字代表宣布同意如下：</w:t>
      </w:r>
    </w:p>
    <w:p>
      <w:pPr>
        <w:numPr>
          <w:ilvl w:val="0"/>
          <w:numId w:val="2"/>
        </w:numPr>
        <w:adjustRightInd w:val="0"/>
        <w:snapToGrid w:val="0"/>
        <w:spacing w:line="360" w:lineRule="auto"/>
        <w:ind w:right="-21" w:rightChars="-10" w:firstLine="420" w:firstLineChars="200"/>
        <w:rPr>
          <w:rFonts w:ascii="仿宋" w:hAnsi="仿宋" w:cs="仿宋"/>
        </w:rPr>
      </w:pPr>
      <w:r>
        <w:rPr>
          <w:rFonts w:hint="eastAsia" w:ascii="仿宋" w:hAnsi="仿宋" w:cs="仿宋"/>
        </w:rPr>
        <w:t>本项目投标总价详见开标一览表。</w:t>
      </w:r>
    </w:p>
    <w:p>
      <w:pPr>
        <w:numPr>
          <w:ilvl w:val="0"/>
          <w:numId w:val="2"/>
        </w:numPr>
        <w:adjustRightInd w:val="0"/>
        <w:snapToGrid w:val="0"/>
        <w:spacing w:line="360" w:lineRule="auto"/>
        <w:ind w:right="-21" w:rightChars="-10" w:firstLine="420" w:firstLineChars="200"/>
        <w:rPr>
          <w:rFonts w:ascii="仿宋" w:hAnsi="仿宋" w:cs="仿宋"/>
        </w:rPr>
      </w:pPr>
      <w:r>
        <w:rPr>
          <w:rFonts w:hint="eastAsia" w:ascii="仿宋" w:hAnsi="仿宋" w:cs="仿宋"/>
        </w:rPr>
        <w:t>本投标有效期为自递交投标文件截止之日起</w:t>
      </w:r>
      <w:r>
        <w:rPr>
          <w:rFonts w:hint="eastAsia" w:ascii="仿宋" w:hAnsi="仿宋" w:cs="仿宋"/>
          <w:u w:val="single"/>
        </w:rPr>
        <w:t>90</w:t>
      </w:r>
      <w:r>
        <w:rPr>
          <w:rFonts w:hint="eastAsia" w:ascii="仿宋" w:hAnsi="仿宋" w:cs="仿宋"/>
        </w:rPr>
        <w:t>日历日。</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（3）已详细审查全部招标文件，包括所有补充通知（如果有的话）。</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（4）在规定的开标时间后，遵守招标文件中有关保证金的规定。</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（8）按照招标文件的规定履行合同责任和义务。</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（9）我方承诺投标文件中的证明材料真实、合法、有效。</w:t>
      </w:r>
    </w:p>
    <w:p>
      <w:pPr>
        <w:adjustRightInd w:val="0"/>
        <w:snapToGrid w:val="0"/>
        <w:spacing w:line="360" w:lineRule="auto"/>
        <w:ind w:right="-21" w:rightChars="-10" w:firstLine="420" w:firstLineChars="200"/>
        <w:rPr>
          <w:rFonts w:ascii="仿宋" w:hAnsi="仿宋" w:cs="仿宋"/>
        </w:rPr>
      </w:pPr>
      <w:r>
        <w:rPr>
          <w:rFonts w:hint="eastAsia" w:ascii="仿宋" w:hAnsi="仿宋" w:cs="仿宋"/>
        </w:rPr>
        <w:t>其他事项：。</w:t>
      </w:r>
    </w:p>
    <w:p>
      <w:pPr>
        <w:adjustRightInd w:val="0"/>
        <w:snapToGrid w:val="0"/>
        <w:spacing w:line="360" w:lineRule="auto"/>
        <w:ind w:right="-21" w:rightChars="-10"/>
        <w:rPr>
          <w:rFonts w:ascii="仿宋" w:hAnsi="仿宋" w:cs="仿宋"/>
        </w:rPr>
      </w:pPr>
    </w:p>
    <w:p>
      <w:pPr>
        <w:adjustRightInd w:val="0"/>
        <w:snapToGrid w:val="0"/>
        <w:spacing w:line="360" w:lineRule="auto"/>
        <w:ind w:right="-21" w:rightChars="-10"/>
        <w:rPr>
          <w:rFonts w:ascii="仿宋" w:hAnsi="仿宋" w:cs="仿宋"/>
        </w:rPr>
      </w:pPr>
    </w:p>
    <w:p>
      <w:pPr>
        <w:adjustRightInd w:val="0"/>
        <w:snapToGrid w:val="0"/>
        <w:spacing w:line="360" w:lineRule="auto"/>
        <w:ind w:right="-21" w:rightChars="-10"/>
        <w:rPr>
          <w:rFonts w:ascii="仿宋" w:hAnsi="仿宋" w:cs="仿宋"/>
        </w:rPr>
      </w:pPr>
    </w:p>
    <w:p>
      <w:pPr>
        <w:adjustRightInd w:val="0"/>
        <w:snapToGrid w:val="0"/>
        <w:spacing w:line="360" w:lineRule="auto"/>
        <w:ind w:right="-21" w:rightChars="-10"/>
        <w:rPr>
          <w:rFonts w:ascii="仿宋" w:hAnsi="仿宋" w:cs="仿宋"/>
        </w:rPr>
      </w:pPr>
      <w:r>
        <w:rPr>
          <w:rFonts w:hint="eastAsia" w:ascii="仿宋" w:hAnsi="仿宋" w:cs="仿宋"/>
        </w:rPr>
        <w:t>与本项目有关的一切往来通讯请寄</w:t>
      </w:r>
    </w:p>
    <w:p>
      <w:pPr>
        <w:adjustRightInd w:val="0"/>
        <w:snapToGrid w:val="0"/>
        <w:spacing w:line="360" w:lineRule="auto"/>
        <w:ind w:right="-21" w:rightChars="-10"/>
        <w:rPr>
          <w:rFonts w:ascii="仿宋" w:hAnsi="仿宋" w:cs="仿宋"/>
          <w:u w:val="single"/>
        </w:rPr>
      </w:pPr>
      <w:r>
        <w:rPr>
          <w:rFonts w:hint="eastAsia" w:ascii="仿宋" w:hAnsi="仿宋" w:cs="仿宋"/>
        </w:rPr>
        <w:t>地址：         传真：</w:t>
      </w:r>
    </w:p>
    <w:p>
      <w:pPr>
        <w:adjustRightInd w:val="0"/>
        <w:snapToGrid w:val="0"/>
        <w:spacing w:line="360" w:lineRule="auto"/>
        <w:ind w:right="-21" w:rightChars="-10"/>
        <w:rPr>
          <w:rFonts w:ascii="仿宋" w:hAnsi="仿宋" w:cs="仿宋"/>
          <w:u w:val="single"/>
        </w:rPr>
      </w:pPr>
      <w:r>
        <w:rPr>
          <w:rFonts w:hint="eastAsia" w:ascii="仿宋" w:hAnsi="仿宋" w:cs="仿宋"/>
        </w:rPr>
        <w:t>电话：         电子邮件：</w:t>
      </w:r>
    </w:p>
    <w:p>
      <w:pPr>
        <w:adjustRightInd w:val="0"/>
        <w:snapToGrid w:val="0"/>
        <w:spacing w:line="360" w:lineRule="auto"/>
        <w:ind w:right="-21" w:rightChars="-10"/>
        <w:rPr>
          <w:rFonts w:ascii="仿宋" w:hAnsi="仿宋" w:cs="仿宋"/>
          <w:u w:val="single"/>
        </w:rPr>
      </w:pPr>
      <w:r>
        <w:rPr>
          <w:rFonts w:hint="eastAsia" w:ascii="仿宋" w:hAnsi="仿宋" w:cs="仿宋"/>
        </w:rPr>
        <w:t>法定代表人（非法人组织负责人）或其授权委托人（签字或盖章）：</w:t>
      </w:r>
    </w:p>
    <w:p>
      <w:pPr>
        <w:adjustRightInd w:val="0"/>
        <w:snapToGrid w:val="0"/>
        <w:spacing w:line="360" w:lineRule="auto"/>
        <w:ind w:right="-21" w:rightChars="-10"/>
        <w:rPr>
          <w:rFonts w:ascii="仿宋" w:hAnsi="仿宋" w:cs="仿宋"/>
        </w:rPr>
      </w:pPr>
      <w:r>
        <w:rPr>
          <w:rFonts w:hint="eastAsia" w:ascii="仿宋" w:hAnsi="仿宋" w:cs="仿宋"/>
        </w:rPr>
        <w:t>投标人名称（加盖单位公章）：</w:t>
      </w:r>
    </w:p>
    <w:p>
      <w:pPr>
        <w:adjustRightInd w:val="0"/>
        <w:snapToGrid w:val="0"/>
        <w:spacing w:line="360" w:lineRule="auto"/>
        <w:ind w:right="-21" w:rightChars="-10"/>
        <w:rPr>
          <w:rFonts w:ascii="仿宋" w:hAnsi="仿宋" w:cs="仿宋"/>
        </w:rPr>
      </w:pPr>
      <w:r>
        <w:rPr>
          <w:rFonts w:hint="eastAsia" w:ascii="仿宋" w:hAnsi="仿宋" w:cs="仿宋"/>
        </w:rPr>
        <w:t>投标人开户银行（全称）：</w:t>
      </w:r>
    </w:p>
    <w:p>
      <w:pPr>
        <w:adjustRightInd w:val="0"/>
        <w:snapToGrid w:val="0"/>
        <w:spacing w:line="360" w:lineRule="auto"/>
        <w:ind w:right="-21" w:rightChars="-10"/>
        <w:rPr>
          <w:rFonts w:ascii="仿宋" w:hAnsi="仿宋" w:cs="仿宋"/>
        </w:rPr>
      </w:pPr>
      <w:r>
        <w:rPr>
          <w:rFonts w:hint="eastAsia" w:ascii="仿宋" w:hAnsi="仿宋" w:cs="仿宋"/>
        </w:rPr>
        <w:t>投标人银行账号：</w:t>
      </w:r>
    </w:p>
    <w:p>
      <w:pPr>
        <w:adjustRightInd w:val="0"/>
        <w:snapToGrid w:val="0"/>
        <w:spacing w:line="360" w:lineRule="auto"/>
        <w:ind w:right="1050" w:rightChars="500"/>
        <w:jc w:val="left"/>
        <w:rPr>
          <w:rFonts w:ascii="仿宋" w:hAnsi="仿宋" w:cs="仿宋"/>
          <w:u w:val="single"/>
        </w:rPr>
      </w:pPr>
      <w:r>
        <w:rPr>
          <w:rFonts w:hint="eastAsia" w:ascii="仿宋" w:hAnsi="仿宋" w:cs="仿宋"/>
        </w:rPr>
        <w:t>日    期：</w:t>
      </w:r>
    </w:p>
    <w:p>
      <w:pPr>
        <w:adjustRightInd w:val="0"/>
        <w:snapToGrid w:val="0"/>
        <w:spacing w:line="360" w:lineRule="auto"/>
        <w:ind w:right="1050" w:rightChars="500"/>
        <w:jc w:val="left"/>
        <w:rPr>
          <w:rFonts w:ascii="仿宋" w:hAnsi="仿宋" w:cs="仿宋"/>
          <w:u w:val="single"/>
        </w:rPr>
      </w:pPr>
    </w:p>
    <w:p>
      <w:pPr>
        <w:pStyle w:val="5"/>
        <w:adjustRightInd w:val="0"/>
        <w:snapToGrid w:val="0"/>
        <w:spacing w:before="0" w:after="0" w:line="240" w:lineRule="auto"/>
        <w:jc w:val="left"/>
        <w:rPr>
          <w:rFonts w:ascii="仿宋" w:hAnsi="仿宋" w:cs="仿宋"/>
        </w:rPr>
      </w:pPr>
      <w:r>
        <w:rPr>
          <w:rFonts w:hint="eastAsia" w:ascii="仿宋" w:hAnsi="仿宋" w:cs="仿宋"/>
        </w:rPr>
        <w:t>格式10</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06" w:name="_Toc11267_WPSOffice_Level2"/>
      <w:bookmarkStart w:id="107" w:name="_Toc2673_WPSOffice_Level2"/>
      <w:r>
        <w:rPr>
          <w:rFonts w:hint="eastAsia" w:ascii="仿宋" w:hAnsi="仿宋" w:cs="仿宋"/>
          <w:b/>
          <w:bCs/>
          <w:sz w:val="32"/>
          <w:szCs w:val="32"/>
        </w:rPr>
        <w:t>开标一览表</w:t>
      </w:r>
      <w:bookmarkEnd w:id="106"/>
      <w:bookmarkEnd w:id="107"/>
    </w:p>
    <w:p>
      <w:pPr>
        <w:adjustRightInd w:val="0"/>
        <w:snapToGrid w:val="0"/>
        <w:spacing w:line="360" w:lineRule="auto"/>
        <w:ind w:right="105" w:rightChars="50"/>
        <w:jc w:val="left"/>
        <w:rPr>
          <w:rFonts w:ascii="仿宋" w:hAnsi="仿宋" w:cs="仿宋"/>
          <w:b/>
          <w:bCs/>
        </w:rPr>
      </w:pPr>
      <w:r>
        <w:rPr>
          <w:rFonts w:hint="eastAsia" w:ascii="仿宋" w:hAnsi="仿宋" w:cs="仿宋"/>
          <w:b/>
          <w:bCs/>
        </w:rPr>
        <w:t>包号：                                                      报价单位：</w:t>
      </w:r>
    </w:p>
    <w:tbl>
      <w:tblPr>
        <w:tblStyle w:val="21"/>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4" w:leftChars="-26" w:right="-46" w:rightChars="-22"/>
              <w:jc w:val="center"/>
              <w:rPr>
                <w:rFonts w:ascii="仿宋" w:hAnsi="仿宋" w:cs="仿宋"/>
              </w:rPr>
            </w:pPr>
            <w:r>
              <w:rPr>
                <w:rFonts w:hint="eastAsia" w:ascii="仿宋" w:hAnsi="仿宋" w:cs="仿宋"/>
              </w:rPr>
              <w:t>货物名称</w:t>
            </w:r>
          </w:p>
        </w:tc>
        <w:tc>
          <w:tcPr>
            <w:tcW w:w="2373" w:type="dxa"/>
            <w:vAlign w:val="center"/>
          </w:tcPr>
          <w:p>
            <w:pPr>
              <w:adjustRightInd w:val="0"/>
              <w:snapToGrid w:val="0"/>
              <w:ind w:left="-54" w:leftChars="-26" w:right="-46" w:rightChars="-22"/>
              <w:jc w:val="center"/>
              <w:rPr>
                <w:rFonts w:ascii="仿宋" w:hAnsi="仿宋" w:cs="仿宋"/>
              </w:rPr>
            </w:pPr>
            <w:r>
              <w:rPr>
                <w:rFonts w:hint="eastAsia" w:ascii="仿宋" w:hAnsi="仿宋" w:cs="仿宋"/>
              </w:rPr>
              <w:t>投标总价</w:t>
            </w:r>
          </w:p>
        </w:tc>
        <w:tc>
          <w:tcPr>
            <w:tcW w:w="1309" w:type="dxa"/>
            <w:vAlign w:val="center"/>
          </w:tcPr>
          <w:p>
            <w:pPr>
              <w:adjustRightInd w:val="0"/>
              <w:snapToGrid w:val="0"/>
              <w:ind w:left="-54" w:leftChars="-26" w:right="-46" w:rightChars="-22"/>
              <w:jc w:val="center"/>
              <w:rPr>
                <w:rFonts w:ascii="仿宋" w:hAnsi="仿宋" w:cs="仿宋"/>
              </w:rPr>
            </w:pPr>
            <w:r>
              <w:rPr>
                <w:rFonts w:hint="eastAsia" w:ascii="仿宋" w:hAnsi="仿宋" w:cs="仿宋"/>
              </w:rPr>
              <w:t>投标保证金</w:t>
            </w:r>
          </w:p>
        </w:tc>
        <w:tc>
          <w:tcPr>
            <w:tcW w:w="1109" w:type="dxa"/>
            <w:vAlign w:val="center"/>
          </w:tcPr>
          <w:p>
            <w:pPr>
              <w:adjustRightInd w:val="0"/>
              <w:snapToGrid w:val="0"/>
              <w:ind w:left="-54" w:leftChars="-26" w:right="-46" w:rightChars="-22"/>
              <w:jc w:val="center"/>
              <w:rPr>
                <w:rFonts w:ascii="仿宋" w:hAnsi="仿宋" w:cs="仿宋"/>
              </w:rPr>
            </w:pPr>
            <w:r>
              <w:rPr>
                <w:rFonts w:hint="eastAsia" w:ascii="仿宋" w:hAnsi="仿宋" w:cs="仿宋"/>
              </w:rPr>
              <w:t>交货时间</w:t>
            </w:r>
          </w:p>
        </w:tc>
        <w:tc>
          <w:tcPr>
            <w:tcW w:w="1252" w:type="dxa"/>
            <w:vAlign w:val="center"/>
          </w:tcPr>
          <w:p>
            <w:pPr>
              <w:adjustRightInd w:val="0"/>
              <w:snapToGrid w:val="0"/>
              <w:ind w:left="-54" w:leftChars="-26" w:right="-46" w:rightChars="-22"/>
              <w:jc w:val="center"/>
              <w:rPr>
                <w:rFonts w:ascii="仿宋" w:hAnsi="仿宋" w:cs="仿宋"/>
              </w:rPr>
            </w:pPr>
            <w:r>
              <w:rPr>
                <w:rFonts w:hint="eastAsia" w:ascii="仿宋" w:hAnsi="仿宋" w:cs="仿宋"/>
              </w:rPr>
              <w:t>交货地点</w:t>
            </w:r>
          </w:p>
        </w:tc>
        <w:tc>
          <w:tcPr>
            <w:tcW w:w="951" w:type="dxa"/>
            <w:vAlign w:val="center"/>
          </w:tcPr>
          <w:p>
            <w:pPr>
              <w:adjustRightInd w:val="0"/>
              <w:snapToGrid w:val="0"/>
              <w:ind w:left="-54" w:leftChars="-26" w:right="-46" w:rightChars="-22"/>
              <w:jc w:val="center"/>
              <w:rPr>
                <w:rFonts w:ascii="仿宋" w:hAnsi="仿宋" w:cs="仿宋"/>
              </w:rPr>
            </w:pPr>
            <w:r>
              <w:rPr>
                <w:rFonts w:hint="eastAsia" w:ascii="仿宋" w:hAnsi="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4" w:leftChars="-26" w:right="-46" w:rightChars="-22"/>
              <w:jc w:val="center"/>
              <w:rPr>
                <w:rFonts w:ascii="仿宋" w:hAnsi="仿宋" w:cs="仿宋"/>
              </w:rPr>
            </w:pPr>
          </w:p>
        </w:tc>
        <w:tc>
          <w:tcPr>
            <w:tcW w:w="2373" w:type="dxa"/>
            <w:vAlign w:val="center"/>
          </w:tcPr>
          <w:p>
            <w:pPr>
              <w:adjustRightInd w:val="0"/>
              <w:snapToGrid w:val="0"/>
              <w:ind w:left="-54" w:leftChars="-26" w:right="-46" w:rightChars="-22"/>
              <w:jc w:val="left"/>
              <w:rPr>
                <w:rFonts w:ascii="仿宋" w:hAnsi="仿宋" w:cs="仿宋"/>
              </w:rPr>
            </w:pPr>
            <w:r>
              <w:rPr>
                <w:rFonts w:hint="eastAsia" w:ascii="仿宋" w:hAnsi="仿宋" w:cs="仿宋"/>
              </w:rPr>
              <w:t>小写：</w:t>
            </w:r>
          </w:p>
          <w:p>
            <w:pPr>
              <w:adjustRightInd w:val="0"/>
              <w:snapToGrid w:val="0"/>
              <w:ind w:left="-54" w:leftChars="-26" w:right="-46" w:rightChars="-22"/>
              <w:jc w:val="left"/>
              <w:rPr>
                <w:rFonts w:ascii="仿宋" w:hAnsi="仿宋" w:cs="仿宋"/>
              </w:rPr>
            </w:pPr>
            <w:r>
              <w:rPr>
                <w:rFonts w:hint="eastAsia" w:ascii="仿宋" w:hAnsi="仿宋" w:cs="仿宋"/>
              </w:rPr>
              <w:t>大写：</w:t>
            </w:r>
          </w:p>
        </w:tc>
        <w:tc>
          <w:tcPr>
            <w:tcW w:w="1309" w:type="dxa"/>
            <w:vAlign w:val="center"/>
          </w:tcPr>
          <w:p>
            <w:pPr>
              <w:adjustRightInd w:val="0"/>
              <w:snapToGrid w:val="0"/>
              <w:ind w:left="-54" w:leftChars="-26" w:right="-46" w:rightChars="-22"/>
              <w:jc w:val="center"/>
              <w:rPr>
                <w:rFonts w:ascii="仿宋" w:hAnsi="仿宋" w:cs="仿宋"/>
              </w:rPr>
            </w:pPr>
          </w:p>
        </w:tc>
        <w:tc>
          <w:tcPr>
            <w:tcW w:w="1109" w:type="dxa"/>
            <w:vAlign w:val="center"/>
          </w:tcPr>
          <w:p>
            <w:pPr>
              <w:adjustRightInd w:val="0"/>
              <w:snapToGrid w:val="0"/>
              <w:ind w:left="-54" w:leftChars="-26" w:right="-46" w:rightChars="-22"/>
              <w:jc w:val="center"/>
              <w:rPr>
                <w:rFonts w:ascii="仿宋" w:hAnsi="仿宋" w:cs="仿宋"/>
              </w:rPr>
            </w:pPr>
          </w:p>
        </w:tc>
        <w:tc>
          <w:tcPr>
            <w:tcW w:w="1252" w:type="dxa"/>
            <w:vAlign w:val="center"/>
          </w:tcPr>
          <w:p>
            <w:pPr>
              <w:adjustRightInd w:val="0"/>
              <w:snapToGrid w:val="0"/>
              <w:ind w:left="-54" w:leftChars="-26" w:right="-46" w:rightChars="-22"/>
              <w:jc w:val="center"/>
              <w:rPr>
                <w:rFonts w:ascii="仿宋" w:hAnsi="仿宋" w:cs="仿宋"/>
              </w:rPr>
            </w:pPr>
          </w:p>
        </w:tc>
        <w:tc>
          <w:tcPr>
            <w:tcW w:w="951" w:type="dxa"/>
            <w:vAlign w:val="center"/>
          </w:tcPr>
          <w:p>
            <w:pPr>
              <w:adjustRightInd w:val="0"/>
              <w:snapToGrid w:val="0"/>
              <w:ind w:left="-54" w:leftChars="-26" w:right="-46" w:rightChars="-22"/>
              <w:jc w:val="center"/>
              <w:rPr>
                <w:rFonts w:ascii="仿宋" w:hAnsi="仿宋" w:cs="仿宋"/>
              </w:rPr>
            </w:pPr>
          </w:p>
        </w:tc>
      </w:tr>
    </w:tbl>
    <w:p>
      <w:pPr>
        <w:adjustRightInd w:val="0"/>
        <w:snapToGrid w:val="0"/>
        <w:spacing w:line="360" w:lineRule="auto"/>
        <w:ind w:right="105" w:rightChars="50" w:firstLine="420" w:firstLineChars="200"/>
        <w:jc w:val="left"/>
        <w:rPr>
          <w:rFonts w:ascii="仿宋" w:hAnsi="仿宋" w:cs="仿宋"/>
        </w:rPr>
      </w:pPr>
    </w:p>
    <w:p>
      <w:pPr>
        <w:adjustRightInd w:val="0"/>
        <w:snapToGrid w:val="0"/>
        <w:spacing w:line="360" w:lineRule="auto"/>
        <w:ind w:right="105" w:rightChars="50" w:firstLine="420" w:firstLineChars="200"/>
        <w:jc w:val="left"/>
        <w:rPr>
          <w:rFonts w:ascii="仿宋" w:hAnsi="仿宋" w:cs="仿宋"/>
        </w:rPr>
      </w:pPr>
      <w:r>
        <w:rPr>
          <w:rFonts w:hint="eastAsia" w:ascii="仿宋" w:hAnsi="仿宋" w:cs="仿宋"/>
        </w:rPr>
        <w:t>注：此表中，投标总价应和分项报价表的总价相一致。</w:t>
      </w: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adjustRightInd w:val="0"/>
        <w:snapToGrid w:val="0"/>
        <w:spacing w:line="360" w:lineRule="auto"/>
        <w:ind w:right="105" w:rightChars="50" w:firstLine="476" w:firstLineChars="227"/>
        <w:jc w:val="left"/>
        <w:rPr>
          <w:rFonts w:ascii="仿宋" w:hAnsi="仿宋" w:cs="仿宋"/>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法定代表人（或非法人组织负责人）或其授权委托人(签字或盖章)：</w:t>
      </w:r>
    </w:p>
    <w:p>
      <w:pPr>
        <w:spacing w:line="480" w:lineRule="auto"/>
        <w:ind w:right="1050" w:rightChars="500"/>
        <w:jc w:val="left"/>
        <w:rPr>
          <w:rFonts w:ascii="仿宋" w:hAnsi="仿宋" w:cs="仿宋"/>
          <w:u w:val="single"/>
        </w:rPr>
      </w:pPr>
      <w:r>
        <w:rPr>
          <w:rFonts w:hint="eastAsia" w:ascii="仿宋" w:hAnsi="仿宋" w:cs="仿宋"/>
        </w:rPr>
        <w:t>日期：</w:t>
      </w:r>
    </w:p>
    <w:p>
      <w:pPr>
        <w:adjustRightInd w:val="0"/>
        <w:snapToGrid w:val="0"/>
        <w:spacing w:line="360" w:lineRule="auto"/>
        <w:ind w:right="105" w:rightChars="50"/>
        <w:jc w:val="left"/>
        <w:rPr>
          <w:rFonts w:ascii="仿宋" w:hAnsi="仿宋" w:cs="仿宋"/>
        </w:rPr>
      </w:pPr>
    </w:p>
    <w:p>
      <w:pPr>
        <w:adjustRightInd w:val="0"/>
        <w:snapToGrid w:val="0"/>
        <w:spacing w:line="360" w:lineRule="auto"/>
        <w:ind w:right="105" w:rightChars="50" w:firstLine="420" w:firstLineChars="200"/>
        <w:jc w:val="left"/>
        <w:rPr>
          <w:rFonts w:ascii="仿宋" w:hAnsi="仿宋" w:cs="仿宋"/>
        </w:rPr>
      </w:pPr>
      <w:r>
        <w:rPr>
          <w:rFonts w:hint="eastAsia" w:ascii="仿宋" w:hAnsi="仿宋" w:cs="仿宋"/>
        </w:rPr>
        <w:br w:type="page"/>
      </w:r>
    </w:p>
    <w:p>
      <w:pPr>
        <w:pStyle w:val="5"/>
        <w:adjustRightInd w:val="0"/>
        <w:snapToGrid w:val="0"/>
        <w:spacing w:before="0" w:after="0" w:line="240" w:lineRule="auto"/>
        <w:jc w:val="left"/>
        <w:rPr>
          <w:rFonts w:ascii="仿宋" w:hAnsi="仿宋" w:cs="仿宋"/>
        </w:rPr>
      </w:pPr>
      <w:r>
        <w:rPr>
          <w:rFonts w:hint="eastAsia" w:ascii="仿宋" w:hAnsi="仿宋" w:cs="仿宋"/>
        </w:rPr>
        <w:t>格式11</w:t>
      </w:r>
    </w:p>
    <w:p>
      <w:pPr>
        <w:adjustRightInd w:val="0"/>
        <w:snapToGrid w:val="0"/>
        <w:spacing w:before="319" w:beforeLines="100" w:after="319" w:afterLines="100" w:line="360" w:lineRule="auto"/>
        <w:ind w:right="105" w:rightChars="50"/>
        <w:jc w:val="center"/>
        <w:rPr>
          <w:rFonts w:ascii="仿宋" w:hAnsi="仿宋" w:cs="仿宋"/>
          <w:b/>
          <w:bCs/>
          <w:sz w:val="32"/>
          <w:szCs w:val="32"/>
        </w:rPr>
      </w:pPr>
      <w:bookmarkStart w:id="108" w:name="_Toc16044_WPSOffice_Level2"/>
      <w:bookmarkStart w:id="109" w:name="_Toc28271_WPSOffice_Level2"/>
      <w:r>
        <w:rPr>
          <w:rFonts w:hint="eastAsia" w:ascii="仿宋" w:hAnsi="仿宋" w:cs="仿宋"/>
          <w:b/>
          <w:bCs/>
          <w:sz w:val="32"/>
          <w:szCs w:val="32"/>
        </w:rPr>
        <w:t>分项报价表</w:t>
      </w:r>
      <w:bookmarkEnd w:id="108"/>
      <w:bookmarkEnd w:id="109"/>
    </w:p>
    <w:p>
      <w:pPr>
        <w:adjustRightInd w:val="0"/>
        <w:snapToGrid w:val="0"/>
        <w:spacing w:line="360" w:lineRule="auto"/>
        <w:ind w:right="105" w:rightChars="50"/>
        <w:jc w:val="left"/>
        <w:rPr>
          <w:rFonts w:ascii="仿宋" w:hAnsi="仿宋" w:cs="仿宋"/>
          <w:b/>
          <w:bCs/>
        </w:rPr>
      </w:pPr>
      <w:r>
        <w:rPr>
          <w:rFonts w:hint="eastAsia" w:ascii="仿宋" w:hAnsi="仿宋" w:cs="仿宋"/>
          <w:b/>
          <w:bCs/>
        </w:rPr>
        <w:t>包号：                                                      报价单位：</w:t>
      </w:r>
    </w:p>
    <w:tbl>
      <w:tblPr>
        <w:tblStyle w:val="21"/>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vAlign w:val="center"/>
          </w:tcPr>
          <w:p>
            <w:pPr>
              <w:adjustRightInd w:val="0"/>
              <w:snapToGrid w:val="0"/>
              <w:ind w:left="-96" w:leftChars="-46" w:right="-63" w:rightChars="-30"/>
              <w:jc w:val="center"/>
              <w:rPr>
                <w:rFonts w:ascii="仿宋" w:hAnsi="仿宋" w:cs="仿宋"/>
              </w:rPr>
            </w:pPr>
            <w:r>
              <w:rPr>
                <w:rFonts w:hint="eastAsia" w:ascii="仿宋" w:hAnsi="仿宋" w:cs="仿宋"/>
              </w:rPr>
              <w:t>序号</w:t>
            </w:r>
          </w:p>
        </w:tc>
        <w:tc>
          <w:tcPr>
            <w:tcW w:w="1347" w:type="dxa"/>
            <w:vAlign w:val="center"/>
          </w:tcPr>
          <w:p>
            <w:pPr>
              <w:adjustRightInd w:val="0"/>
              <w:snapToGrid w:val="0"/>
              <w:ind w:left="-96" w:leftChars="-46" w:right="-63" w:rightChars="-30"/>
              <w:jc w:val="center"/>
              <w:rPr>
                <w:rFonts w:ascii="仿宋" w:hAnsi="仿宋" w:cs="仿宋"/>
              </w:rPr>
            </w:pPr>
            <w:r>
              <w:rPr>
                <w:rFonts w:hint="eastAsia" w:ascii="仿宋" w:hAnsi="仿宋" w:cs="仿宋"/>
              </w:rPr>
              <w:t>产品名称</w:t>
            </w:r>
          </w:p>
        </w:tc>
        <w:tc>
          <w:tcPr>
            <w:tcW w:w="1033" w:type="dxa"/>
            <w:vAlign w:val="center"/>
          </w:tcPr>
          <w:p>
            <w:pPr>
              <w:adjustRightInd w:val="0"/>
              <w:snapToGrid w:val="0"/>
              <w:ind w:left="-96" w:leftChars="-46" w:right="-63" w:rightChars="-30"/>
              <w:jc w:val="center"/>
              <w:rPr>
                <w:rFonts w:ascii="仿宋" w:hAnsi="仿宋" w:cs="仿宋"/>
              </w:rPr>
            </w:pPr>
            <w:r>
              <w:rPr>
                <w:rFonts w:hint="eastAsia" w:ascii="仿宋" w:hAnsi="仿宋" w:cs="仿宋"/>
              </w:rPr>
              <w:t>品牌</w:t>
            </w:r>
          </w:p>
        </w:tc>
        <w:tc>
          <w:tcPr>
            <w:tcW w:w="1033" w:type="dxa"/>
            <w:vAlign w:val="center"/>
          </w:tcPr>
          <w:p>
            <w:pPr>
              <w:adjustRightInd w:val="0"/>
              <w:snapToGrid w:val="0"/>
              <w:ind w:left="-96" w:leftChars="-46" w:right="-63" w:rightChars="-30"/>
              <w:jc w:val="center"/>
              <w:rPr>
                <w:rFonts w:ascii="仿宋" w:hAnsi="仿宋" w:cs="仿宋"/>
              </w:rPr>
            </w:pPr>
            <w:r>
              <w:rPr>
                <w:rFonts w:hint="eastAsia" w:ascii="仿宋" w:hAnsi="仿宋" w:cs="仿宋"/>
              </w:rPr>
              <w:t>型号</w:t>
            </w:r>
          </w:p>
          <w:p>
            <w:pPr>
              <w:adjustRightInd w:val="0"/>
              <w:snapToGrid w:val="0"/>
              <w:ind w:left="-96" w:leftChars="-46" w:right="-63" w:rightChars="-30"/>
              <w:jc w:val="center"/>
              <w:rPr>
                <w:rFonts w:ascii="仿宋" w:hAnsi="仿宋" w:cs="仿宋"/>
              </w:rPr>
            </w:pPr>
            <w:r>
              <w:rPr>
                <w:rFonts w:hint="eastAsia" w:ascii="仿宋" w:hAnsi="仿宋" w:cs="仿宋"/>
              </w:rPr>
              <w:t>规格</w:t>
            </w:r>
          </w:p>
        </w:tc>
        <w:tc>
          <w:tcPr>
            <w:tcW w:w="721" w:type="dxa"/>
            <w:vAlign w:val="center"/>
          </w:tcPr>
          <w:p>
            <w:pPr>
              <w:adjustRightInd w:val="0"/>
              <w:snapToGrid w:val="0"/>
              <w:ind w:left="-96" w:leftChars="-46" w:right="-63" w:rightChars="-30"/>
              <w:jc w:val="center"/>
              <w:rPr>
                <w:rFonts w:ascii="仿宋" w:hAnsi="仿宋" w:cs="仿宋"/>
              </w:rPr>
            </w:pPr>
            <w:r>
              <w:rPr>
                <w:rFonts w:hint="eastAsia" w:ascii="仿宋" w:hAnsi="仿宋" w:cs="仿宋"/>
              </w:rPr>
              <w:t>数量</w:t>
            </w:r>
          </w:p>
        </w:tc>
        <w:tc>
          <w:tcPr>
            <w:tcW w:w="802" w:type="dxa"/>
            <w:vAlign w:val="center"/>
          </w:tcPr>
          <w:p>
            <w:pPr>
              <w:adjustRightInd w:val="0"/>
              <w:snapToGrid w:val="0"/>
              <w:ind w:left="-96" w:leftChars="-46" w:right="-63" w:rightChars="-30"/>
              <w:jc w:val="center"/>
              <w:rPr>
                <w:rFonts w:ascii="仿宋" w:hAnsi="仿宋" w:cs="仿宋"/>
              </w:rPr>
            </w:pPr>
            <w:r>
              <w:rPr>
                <w:rFonts w:hint="eastAsia" w:ascii="仿宋" w:hAnsi="仿宋" w:cs="仿宋"/>
              </w:rPr>
              <w:t>原产地</w:t>
            </w:r>
          </w:p>
        </w:tc>
        <w:tc>
          <w:tcPr>
            <w:tcW w:w="802" w:type="dxa"/>
            <w:vAlign w:val="center"/>
          </w:tcPr>
          <w:p>
            <w:pPr>
              <w:adjustRightInd w:val="0"/>
              <w:snapToGrid w:val="0"/>
              <w:ind w:left="-96" w:leftChars="-46" w:right="-63" w:rightChars="-30"/>
              <w:jc w:val="center"/>
              <w:rPr>
                <w:rFonts w:ascii="仿宋" w:hAnsi="仿宋" w:cs="仿宋"/>
              </w:rPr>
            </w:pPr>
            <w:r>
              <w:rPr>
                <w:rFonts w:hint="eastAsia" w:ascii="仿宋" w:hAnsi="仿宋" w:cs="仿宋"/>
              </w:rPr>
              <w:t>制造商名称</w:t>
            </w:r>
          </w:p>
        </w:tc>
        <w:tc>
          <w:tcPr>
            <w:tcW w:w="675" w:type="dxa"/>
            <w:vAlign w:val="center"/>
          </w:tcPr>
          <w:p>
            <w:pPr>
              <w:adjustRightInd w:val="0"/>
              <w:snapToGrid w:val="0"/>
              <w:ind w:left="-96" w:leftChars="-46" w:right="-63" w:rightChars="-30"/>
              <w:jc w:val="center"/>
              <w:rPr>
                <w:rFonts w:ascii="仿宋" w:hAnsi="仿宋" w:cs="仿宋"/>
              </w:rPr>
            </w:pPr>
            <w:r>
              <w:rPr>
                <w:rFonts w:hint="eastAsia" w:ascii="仿宋" w:hAnsi="仿宋" w:cs="仿宋"/>
              </w:rPr>
              <w:t>单价</w:t>
            </w:r>
          </w:p>
        </w:tc>
        <w:tc>
          <w:tcPr>
            <w:tcW w:w="682" w:type="dxa"/>
            <w:vAlign w:val="center"/>
          </w:tcPr>
          <w:p>
            <w:pPr>
              <w:adjustRightInd w:val="0"/>
              <w:snapToGrid w:val="0"/>
              <w:ind w:left="-96" w:leftChars="-46" w:right="-63" w:rightChars="-30"/>
              <w:jc w:val="center"/>
              <w:rPr>
                <w:rFonts w:ascii="仿宋" w:hAnsi="仿宋" w:cs="仿宋"/>
              </w:rPr>
            </w:pPr>
            <w:r>
              <w:rPr>
                <w:rFonts w:hint="eastAsia" w:ascii="仿宋" w:hAnsi="仿宋" w:cs="仿宋"/>
              </w:rPr>
              <w:t>总价</w:t>
            </w:r>
          </w:p>
        </w:tc>
        <w:tc>
          <w:tcPr>
            <w:tcW w:w="802" w:type="dxa"/>
            <w:vAlign w:val="center"/>
          </w:tcPr>
          <w:p>
            <w:pPr>
              <w:adjustRightInd w:val="0"/>
              <w:snapToGrid w:val="0"/>
              <w:ind w:left="-96" w:leftChars="-46" w:right="-63" w:rightChars="-30"/>
              <w:jc w:val="center"/>
              <w:rPr>
                <w:rFonts w:ascii="仿宋" w:hAnsi="仿宋" w:cs="仿宋"/>
              </w:rPr>
            </w:pPr>
            <w:r>
              <w:rPr>
                <w:rFonts w:hint="eastAsia" w:ascii="仿宋" w:hAnsi="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rPr>
            </w:pPr>
          </w:p>
        </w:tc>
        <w:tc>
          <w:tcPr>
            <w:tcW w:w="1347"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721"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675" w:type="dxa"/>
            <w:vAlign w:val="center"/>
          </w:tcPr>
          <w:p>
            <w:pPr>
              <w:adjustRightInd w:val="0"/>
              <w:snapToGrid w:val="0"/>
              <w:ind w:left="-96" w:leftChars="-46" w:right="-63" w:rightChars="-30"/>
              <w:jc w:val="center"/>
              <w:rPr>
                <w:rFonts w:ascii="仿宋" w:hAnsi="仿宋" w:cs="仿宋"/>
                <w:b/>
                <w:bCs/>
                <w:sz w:val="44"/>
                <w:szCs w:val="44"/>
              </w:rPr>
            </w:pPr>
          </w:p>
        </w:tc>
        <w:tc>
          <w:tcPr>
            <w:tcW w:w="68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rPr>
            </w:pPr>
          </w:p>
        </w:tc>
        <w:tc>
          <w:tcPr>
            <w:tcW w:w="1347"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721"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675" w:type="dxa"/>
            <w:vAlign w:val="center"/>
          </w:tcPr>
          <w:p>
            <w:pPr>
              <w:adjustRightInd w:val="0"/>
              <w:snapToGrid w:val="0"/>
              <w:ind w:left="-96" w:leftChars="-46" w:right="-63" w:rightChars="-30"/>
              <w:jc w:val="center"/>
              <w:rPr>
                <w:rFonts w:ascii="仿宋" w:hAnsi="仿宋" w:cs="仿宋"/>
                <w:b/>
                <w:bCs/>
                <w:sz w:val="44"/>
                <w:szCs w:val="44"/>
              </w:rPr>
            </w:pPr>
          </w:p>
        </w:tc>
        <w:tc>
          <w:tcPr>
            <w:tcW w:w="68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rPr>
            </w:pPr>
          </w:p>
        </w:tc>
        <w:tc>
          <w:tcPr>
            <w:tcW w:w="1347"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721"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675" w:type="dxa"/>
            <w:vAlign w:val="center"/>
          </w:tcPr>
          <w:p>
            <w:pPr>
              <w:adjustRightInd w:val="0"/>
              <w:snapToGrid w:val="0"/>
              <w:ind w:left="-96" w:leftChars="-46" w:right="-63" w:rightChars="-30"/>
              <w:jc w:val="center"/>
              <w:rPr>
                <w:rFonts w:ascii="仿宋" w:hAnsi="仿宋" w:cs="仿宋"/>
                <w:b/>
                <w:bCs/>
                <w:sz w:val="44"/>
                <w:szCs w:val="44"/>
              </w:rPr>
            </w:pPr>
          </w:p>
        </w:tc>
        <w:tc>
          <w:tcPr>
            <w:tcW w:w="68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rPr>
            </w:pPr>
          </w:p>
        </w:tc>
        <w:tc>
          <w:tcPr>
            <w:tcW w:w="1347"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721"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675" w:type="dxa"/>
            <w:vAlign w:val="center"/>
          </w:tcPr>
          <w:p>
            <w:pPr>
              <w:adjustRightInd w:val="0"/>
              <w:snapToGrid w:val="0"/>
              <w:ind w:left="-96" w:leftChars="-46" w:right="-63" w:rightChars="-30"/>
              <w:jc w:val="center"/>
              <w:rPr>
                <w:rFonts w:ascii="仿宋" w:hAnsi="仿宋" w:cs="仿宋"/>
                <w:b/>
                <w:bCs/>
                <w:sz w:val="44"/>
                <w:szCs w:val="44"/>
              </w:rPr>
            </w:pPr>
          </w:p>
        </w:tc>
        <w:tc>
          <w:tcPr>
            <w:tcW w:w="68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rPr>
            </w:pPr>
          </w:p>
        </w:tc>
        <w:tc>
          <w:tcPr>
            <w:tcW w:w="1347"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721"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675" w:type="dxa"/>
            <w:vAlign w:val="center"/>
          </w:tcPr>
          <w:p>
            <w:pPr>
              <w:adjustRightInd w:val="0"/>
              <w:snapToGrid w:val="0"/>
              <w:ind w:left="-96" w:leftChars="-46" w:right="-63" w:rightChars="-30"/>
              <w:jc w:val="center"/>
              <w:rPr>
                <w:rFonts w:ascii="仿宋" w:hAnsi="仿宋" w:cs="仿宋"/>
                <w:b/>
                <w:bCs/>
                <w:sz w:val="44"/>
                <w:szCs w:val="44"/>
              </w:rPr>
            </w:pPr>
          </w:p>
        </w:tc>
        <w:tc>
          <w:tcPr>
            <w:tcW w:w="68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vAlign w:val="center"/>
          </w:tcPr>
          <w:p>
            <w:pPr>
              <w:adjustRightInd w:val="0"/>
              <w:snapToGrid w:val="0"/>
              <w:ind w:left="-96" w:leftChars="-46" w:right="-63" w:rightChars="-30"/>
              <w:jc w:val="center"/>
              <w:rPr>
                <w:rFonts w:ascii="仿宋" w:hAnsi="仿宋" w:cs="仿宋"/>
              </w:rPr>
            </w:pPr>
          </w:p>
        </w:tc>
        <w:tc>
          <w:tcPr>
            <w:tcW w:w="1347"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1033" w:type="dxa"/>
            <w:vAlign w:val="center"/>
          </w:tcPr>
          <w:p>
            <w:pPr>
              <w:adjustRightInd w:val="0"/>
              <w:snapToGrid w:val="0"/>
              <w:ind w:left="-96" w:leftChars="-46" w:right="-63" w:rightChars="-30"/>
              <w:jc w:val="center"/>
              <w:rPr>
                <w:rFonts w:ascii="仿宋" w:hAnsi="仿宋" w:cs="仿宋"/>
                <w:b/>
                <w:bCs/>
                <w:sz w:val="44"/>
                <w:szCs w:val="44"/>
              </w:rPr>
            </w:pPr>
          </w:p>
        </w:tc>
        <w:tc>
          <w:tcPr>
            <w:tcW w:w="721"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c>
          <w:tcPr>
            <w:tcW w:w="675" w:type="dxa"/>
            <w:vAlign w:val="center"/>
          </w:tcPr>
          <w:p>
            <w:pPr>
              <w:adjustRightInd w:val="0"/>
              <w:snapToGrid w:val="0"/>
              <w:ind w:left="-96" w:leftChars="-46" w:right="-63" w:rightChars="-30"/>
              <w:jc w:val="center"/>
              <w:rPr>
                <w:rFonts w:ascii="仿宋" w:hAnsi="仿宋" w:cs="仿宋"/>
                <w:b/>
                <w:bCs/>
                <w:sz w:val="44"/>
                <w:szCs w:val="44"/>
              </w:rPr>
            </w:pPr>
          </w:p>
        </w:tc>
        <w:tc>
          <w:tcPr>
            <w:tcW w:w="682" w:type="dxa"/>
            <w:vAlign w:val="center"/>
          </w:tcPr>
          <w:p>
            <w:pPr>
              <w:adjustRightInd w:val="0"/>
              <w:snapToGrid w:val="0"/>
              <w:ind w:left="-96" w:leftChars="-46" w:right="-63" w:rightChars="-30"/>
              <w:jc w:val="center"/>
              <w:rPr>
                <w:rFonts w:ascii="仿宋" w:hAnsi="仿宋" w:cs="仿宋"/>
                <w:b/>
                <w:bCs/>
                <w:sz w:val="44"/>
                <w:szCs w:val="44"/>
              </w:rPr>
            </w:pPr>
          </w:p>
        </w:tc>
        <w:tc>
          <w:tcPr>
            <w:tcW w:w="802" w:type="dxa"/>
            <w:vAlign w:val="center"/>
          </w:tcPr>
          <w:p>
            <w:pPr>
              <w:adjustRightInd w:val="0"/>
              <w:snapToGrid w:val="0"/>
              <w:ind w:left="-96" w:leftChars="-46" w:right="-63" w:rightChars="-30"/>
              <w:jc w:val="center"/>
              <w:rPr>
                <w:rFonts w:ascii="仿宋" w:hAnsi="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vAlign w:val="center"/>
          </w:tcPr>
          <w:p>
            <w:pPr>
              <w:adjustRightInd w:val="0"/>
              <w:snapToGrid w:val="0"/>
              <w:ind w:right="105" w:rightChars="50"/>
              <w:jc w:val="center"/>
              <w:rPr>
                <w:rFonts w:ascii="仿宋" w:hAnsi="仿宋" w:cs="仿宋"/>
              </w:rPr>
            </w:pPr>
            <w:r>
              <w:rPr>
                <w:rFonts w:hint="eastAsia" w:ascii="仿宋" w:hAnsi="仿宋" w:cs="仿宋"/>
              </w:rPr>
              <w:t>总价</w:t>
            </w:r>
          </w:p>
        </w:tc>
        <w:tc>
          <w:tcPr>
            <w:tcW w:w="1033" w:type="dxa"/>
            <w:vAlign w:val="center"/>
          </w:tcPr>
          <w:p>
            <w:pPr>
              <w:adjustRightInd w:val="0"/>
              <w:snapToGrid w:val="0"/>
              <w:ind w:right="105" w:rightChars="50"/>
              <w:jc w:val="center"/>
              <w:rPr>
                <w:rFonts w:ascii="仿宋" w:hAnsi="仿宋" w:cs="仿宋"/>
              </w:rPr>
            </w:pPr>
          </w:p>
        </w:tc>
        <w:tc>
          <w:tcPr>
            <w:tcW w:w="1033" w:type="dxa"/>
            <w:vAlign w:val="center"/>
          </w:tcPr>
          <w:p>
            <w:pPr>
              <w:adjustRightInd w:val="0"/>
              <w:snapToGrid w:val="0"/>
              <w:ind w:right="105" w:rightChars="50"/>
              <w:jc w:val="center"/>
              <w:rPr>
                <w:rFonts w:ascii="仿宋" w:hAnsi="仿宋" w:cs="仿宋"/>
              </w:rPr>
            </w:pPr>
          </w:p>
        </w:tc>
        <w:tc>
          <w:tcPr>
            <w:tcW w:w="721" w:type="dxa"/>
            <w:vAlign w:val="center"/>
          </w:tcPr>
          <w:p>
            <w:pPr>
              <w:adjustRightInd w:val="0"/>
              <w:snapToGrid w:val="0"/>
              <w:ind w:right="105" w:rightChars="50"/>
              <w:jc w:val="center"/>
              <w:rPr>
                <w:rFonts w:ascii="仿宋" w:hAnsi="仿宋" w:cs="仿宋"/>
              </w:rPr>
            </w:pPr>
          </w:p>
        </w:tc>
        <w:tc>
          <w:tcPr>
            <w:tcW w:w="802" w:type="dxa"/>
            <w:vAlign w:val="center"/>
          </w:tcPr>
          <w:p>
            <w:pPr>
              <w:adjustRightInd w:val="0"/>
              <w:snapToGrid w:val="0"/>
              <w:ind w:right="105" w:rightChars="50"/>
              <w:jc w:val="center"/>
              <w:rPr>
                <w:rFonts w:ascii="仿宋" w:hAnsi="仿宋" w:cs="仿宋"/>
              </w:rPr>
            </w:pPr>
          </w:p>
        </w:tc>
        <w:tc>
          <w:tcPr>
            <w:tcW w:w="802" w:type="dxa"/>
            <w:vAlign w:val="center"/>
          </w:tcPr>
          <w:p>
            <w:pPr>
              <w:adjustRightInd w:val="0"/>
              <w:snapToGrid w:val="0"/>
              <w:ind w:right="105" w:rightChars="50"/>
              <w:jc w:val="center"/>
              <w:rPr>
                <w:rFonts w:ascii="仿宋" w:hAnsi="仿宋" w:cs="仿宋"/>
              </w:rPr>
            </w:pPr>
          </w:p>
        </w:tc>
        <w:tc>
          <w:tcPr>
            <w:tcW w:w="675" w:type="dxa"/>
            <w:vAlign w:val="center"/>
          </w:tcPr>
          <w:p>
            <w:pPr>
              <w:adjustRightInd w:val="0"/>
              <w:snapToGrid w:val="0"/>
              <w:ind w:right="105" w:rightChars="50"/>
              <w:jc w:val="center"/>
              <w:rPr>
                <w:rFonts w:ascii="仿宋" w:hAnsi="仿宋" w:cs="仿宋"/>
              </w:rPr>
            </w:pPr>
          </w:p>
        </w:tc>
        <w:tc>
          <w:tcPr>
            <w:tcW w:w="682" w:type="dxa"/>
            <w:vAlign w:val="center"/>
          </w:tcPr>
          <w:p>
            <w:pPr>
              <w:adjustRightInd w:val="0"/>
              <w:snapToGrid w:val="0"/>
              <w:ind w:right="105" w:rightChars="50"/>
              <w:jc w:val="center"/>
              <w:rPr>
                <w:rFonts w:ascii="仿宋" w:hAnsi="仿宋" w:cs="仿宋"/>
              </w:rPr>
            </w:pPr>
          </w:p>
        </w:tc>
        <w:tc>
          <w:tcPr>
            <w:tcW w:w="802" w:type="dxa"/>
            <w:vAlign w:val="center"/>
          </w:tcPr>
          <w:p>
            <w:pPr>
              <w:adjustRightInd w:val="0"/>
              <w:snapToGrid w:val="0"/>
              <w:ind w:right="105" w:rightChars="50"/>
              <w:jc w:val="center"/>
              <w:rPr>
                <w:rFonts w:ascii="仿宋" w:hAnsi="仿宋" w:cs="仿宋"/>
              </w:rPr>
            </w:pPr>
          </w:p>
        </w:tc>
      </w:tr>
    </w:tbl>
    <w:p>
      <w:pPr>
        <w:adjustRightInd w:val="0"/>
        <w:snapToGrid w:val="0"/>
        <w:spacing w:line="360" w:lineRule="auto"/>
        <w:ind w:right="105" w:rightChars="50"/>
        <w:jc w:val="left"/>
        <w:rPr>
          <w:rFonts w:ascii="仿宋" w:hAnsi="仿宋" w:cs="仿宋"/>
        </w:rPr>
      </w:pPr>
    </w:p>
    <w:p>
      <w:pPr>
        <w:adjustRightInd w:val="0"/>
        <w:snapToGrid w:val="0"/>
        <w:spacing w:line="360" w:lineRule="auto"/>
        <w:ind w:right="105" w:rightChars="50" w:firstLine="420" w:firstLineChars="200"/>
        <w:jc w:val="left"/>
        <w:rPr>
          <w:rFonts w:ascii="仿宋" w:hAnsi="仿宋" w:cs="仿宋"/>
        </w:rPr>
      </w:pPr>
      <w:r>
        <w:rPr>
          <w:rFonts w:hint="eastAsia" w:ascii="仿宋" w:hAnsi="仿宋" w:cs="仿宋"/>
        </w:rPr>
        <w:t>注：1.此表中，总价应和开标一览表的投标总价相一致。</w:t>
      </w:r>
    </w:p>
    <w:p>
      <w:pPr>
        <w:adjustRightInd w:val="0"/>
        <w:snapToGrid w:val="0"/>
        <w:spacing w:line="480" w:lineRule="auto"/>
        <w:rPr>
          <w:rFonts w:ascii="仿宋" w:hAnsi="仿宋" w:cs="仿宋"/>
        </w:rPr>
      </w:pPr>
    </w:p>
    <w:p>
      <w:pPr>
        <w:adjustRightInd w:val="0"/>
        <w:snapToGrid w:val="0"/>
        <w:spacing w:line="480" w:lineRule="auto"/>
        <w:rPr>
          <w:rFonts w:ascii="仿宋" w:hAnsi="仿宋" w:cs="仿宋"/>
        </w:rPr>
      </w:pPr>
      <w:r>
        <w:rPr>
          <w:rFonts w:hint="eastAsia" w:ascii="仿宋" w:hAnsi="仿宋" w:cs="仿宋"/>
        </w:rPr>
        <w:t>投标人名称（加盖单位公章）：</w:t>
      </w:r>
    </w:p>
    <w:p>
      <w:pPr>
        <w:adjustRightInd w:val="0"/>
        <w:snapToGrid w:val="0"/>
        <w:spacing w:line="480" w:lineRule="auto"/>
        <w:rPr>
          <w:rFonts w:ascii="仿宋" w:hAnsi="仿宋" w:cs="仿宋"/>
        </w:rPr>
      </w:pPr>
      <w:r>
        <w:rPr>
          <w:rFonts w:hint="eastAsia" w:ascii="仿宋" w:hAnsi="仿宋" w:cs="仿宋"/>
        </w:rPr>
        <w:t>法定代表人（或非法人组织负责人）或其授权委托人(签字或盖章)：</w:t>
      </w:r>
    </w:p>
    <w:p>
      <w:pPr>
        <w:adjustRightInd w:val="0"/>
        <w:snapToGrid w:val="0"/>
        <w:spacing w:line="480" w:lineRule="auto"/>
        <w:ind w:right="105" w:rightChars="50"/>
        <w:jc w:val="left"/>
        <w:rPr>
          <w:rFonts w:ascii="仿宋" w:hAnsi="仿宋" w:cs="仿宋"/>
        </w:rPr>
        <w:sectPr>
          <w:pgSz w:w="11906" w:h="16838"/>
          <w:pgMar w:top="1440" w:right="1803" w:bottom="1440" w:left="1803" w:header="851" w:footer="992" w:gutter="0"/>
          <w:cols w:space="720" w:num="1"/>
          <w:docGrid w:type="linesAndChars" w:linePitch="319" w:charSpace="0"/>
        </w:sectPr>
      </w:pPr>
      <w:r>
        <w:rPr>
          <w:rFonts w:hint="eastAsia" w:ascii="仿宋" w:hAnsi="仿宋" w:cs="仿宋"/>
        </w:rPr>
        <w:t>日期：</w:t>
      </w:r>
    </w:p>
    <w:p>
      <w:pPr>
        <w:adjustRightInd w:val="0"/>
        <w:snapToGrid w:val="0"/>
        <w:spacing w:before="319" w:beforeLines="100" w:line="360" w:lineRule="auto"/>
        <w:ind w:right="105" w:rightChars="50"/>
        <w:jc w:val="left"/>
        <w:rPr>
          <w:rFonts w:ascii="仿宋" w:hAnsi="仿宋" w:cs="仿宋"/>
          <w:b/>
          <w:bCs/>
          <w:sz w:val="44"/>
          <w:szCs w:val="44"/>
        </w:rPr>
      </w:pPr>
      <w:bookmarkStart w:id="110" w:name="_Toc31555_WPSOffice_Level2"/>
      <w:bookmarkStart w:id="111" w:name="_Toc9235_WPSOffice_Level2"/>
      <w:r>
        <w:rPr>
          <w:rFonts w:hint="eastAsia" w:ascii="仿宋" w:hAnsi="仿宋" w:cs="仿宋"/>
          <w:b/>
          <w:bCs/>
          <w:sz w:val="28"/>
          <w:szCs w:val="28"/>
        </w:rPr>
        <w:t>格式12</w:t>
      </w:r>
    </w:p>
    <w:p>
      <w:pPr>
        <w:adjustRightInd w:val="0"/>
        <w:snapToGrid w:val="0"/>
        <w:spacing w:before="319" w:beforeLines="100" w:line="360" w:lineRule="auto"/>
        <w:ind w:right="105" w:rightChars="50"/>
        <w:jc w:val="center"/>
        <w:rPr>
          <w:rFonts w:ascii="仿宋" w:hAnsi="仿宋" w:cs="仿宋"/>
        </w:rPr>
      </w:pPr>
      <w:r>
        <w:rPr>
          <w:rFonts w:hint="eastAsia" w:ascii="仿宋" w:hAnsi="仿宋" w:cs="仿宋"/>
          <w:b/>
          <w:bCs/>
          <w:sz w:val="32"/>
          <w:szCs w:val="32"/>
        </w:rPr>
        <w:t>技术规格偏离表</w:t>
      </w:r>
      <w:bookmarkEnd w:id="110"/>
      <w:bookmarkEnd w:id="111"/>
    </w:p>
    <w:tbl>
      <w:tblPr>
        <w:tblStyle w:val="21"/>
        <w:tblW w:w="1496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00"/>
        <w:gridCol w:w="7260"/>
        <w:gridCol w:w="1176"/>
        <w:gridCol w:w="1515"/>
        <w:gridCol w:w="1035"/>
        <w:gridCol w:w="96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96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 w:hAnsi="仿宋" w:cs="仿宋"/>
              </w:rPr>
            </w:pPr>
            <w:r>
              <w:rPr>
                <w:rFonts w:hint="eastAsia" w:ascii="仿宋" w:hAnsi="仿宋" w:cs="仿宋"/>
              </w:rPr>
              <w:t>包号：001</w:t>
            </w:r>
          </w:p>
          <w:p>
            <w:pPr>
              <w:adjustRightInd w:val="0"/>
              <w:snapToGrid w:val="0"/>
              <w:rPr>
                <w:rFonts w:ascii="仿宋" w:hAnsi="仿宋" w:cs="仿宋"/>
              </w:rPr>
            </w:pPr>
            <w:r>
              <w:rPr>
                <w:rFonts w:hint="eastAsia" w:ascii="仿宋" w:hAnsi="仿宋" w:cs="仿宋"/>
              </w:rPr>
              <w:t>包名称：牙椅</w:t>
            </w:r>
          </w:p>
          <w:p>
            <w:pPr>
              <w:adjustRightInd w:val="0"/>
              <w:snapToGrid w:val="0"/>
              <w:rPr>
                <w:rFonts w:ascii="仿宋" w:hAnsi="仿宋" w:cs="仿宋"/>
              </w:rPr>
            </w:pPr>
            <w:r>
              <w:rPr>
                <w:rFonts w:hint="eastAsia" w:ascii="仿宋" w:hAnsi="仿宋" w:cs="仿宋"/>
              </w:rPr>
              <w:t>是否为经过审批采购的进口产品：否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04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rPr>
            </w:pPr>
            <w:r>
              <w:rPr>
                <w:rFonts w:hint="eastAsia" w:ascii="仿宋" w:hAnsi="仿宋" w:cs="仿宋"/>
              </w:rPr>
              <w:t>招标文件要求</w:t>
            </w:r>
          </w:p>
          <w:p>
            <w:pPr>
              <w:ind w:hanging="1"/>
              <w:rPr>
                <w:rFonts w:ascii="仿宋" w:hAnsi="仿宋" w:cs="仿宋"/>
                <w:b/>
              </w:rPr>
            </w:pPr>
            <w:r>
              <w:rPr>
                <w:rFonts w:hint="eastAsia" w:ascii="仿宋" w:hAnsi="仿宋" w:cs="仿宋"/>
                <w:b/>
              </w:rPr>
              <w:t>重要提示：本项目技术参数要求不得负偏离，如果负偏离，则投标文件无效。</w:t>
            </w:r>
          </w:p>
        </w:tc>
        <w:tc>
          <w:tcPr>
            <w:tcW w:w="1515" w:type="dxa"/>
            <w:vMerge w:val="restart"/>
            <w:tcBorders>
              <w:top w:val="single" w:color="auto" w:sz="4" w:space="0"/>
              <w:left w:val="single" w:color="auto" w:sz="4" w:space="0"/>
              <w:right w:val="single" w:color="auto" w:sz="4" w:space="0"/>
            </w:tcBorders>
            <w:vAlign w:val="center"/>
          </w:tcPr>
          <w:p>
            <w:pPr>
              <w:jc w:val="center"/>
              <w:rPr>
                <w:rFonts w:ascii="仿宋" w:hAnsi="仿宋" w:cs="仿宋"/>
              </w:rPr>
            </w:pPr>
            <w:r>
              <w:rPr>
                <w:rFonts w:hint="eastAsia" w:ascii="仿宋" w:hAnsi="仿宋" w:cs="仿宋"/>
              </w:rPr>
              <w:t>投标文件</w:t>
            </w:r>
          </w:p>
          <w:p>
            <w:pPr>
              <w:tabs>
                <w:tab w:val="left" w:pos="0"/>
              </w:tabs>
              <w:spacing w:line="240" w:lineRule="exact"/>
              <w:jc w:val="center"/>
              <w:rPr>
                <w:rFonts w:ascii="仿宋" w:hAnsi="仿宋" w:cs="仿宋"/>
                <w:kern w:val="0"/>
              </w:rPr>
            </w:pPr>
            <w:r>
              <w:rPr>
                <w:rFonts w:hint="eastAsia" w:ascii="仿宋" w:hAnsi="仿宋" w:cs="仿宋"/>
              </w:rPr>
              <w:t>响应内容</w:t>
            </w:r>
          </w:p>
        </w:tc>
        <w:tc>
          <w:tcPr>
            <w:tcW w:w="1035" w:type="dxa"/>
            <w:vMerge w:val="restart"/>
            <w:tcBorders>
              <w:top w:val="single" w:color="auto" w:sz="4" w:space="0"/>
              <w:left w:val="single" w:color="auto" w:sz="4" w:space="0"/>
              <w:right w:val="single" w:color="auto" w:sz="4" w:space="0"/>
            </w:tcBorders>
            <w:vAlign w:val="center"/>
          </w:tcPr>
          <w:p>
            <w:pPr>
              <w:tabs>
                <w:tab w:val="left" w:pos="0"/>
              </w:tabs>
              <w:spacing w:line="240" w:lineRule="exact"/>
              <w:jc w:val="center"/>
              <w:rPr>
                <w:rFonts w:ascii="仿宋" w:hAnsi="仿宋" w:cs="仿宋"/>
              </w:rPr>
            </w:pPr>
            <w:r>
              <w:rPr>
                <w:rFonts w:hint="eastAsia" w:ascii="仿宋" w:hAnsi="仿宋" w:cs="仿宋"/>
              </w:rPr>
              <w:t>偏离</w:t>
            </w:r>
          </w:p>
          <w:p>
            <w:pPr>
              <w:tabs>
                <w:tab w:val="left" w:pos="0"/>
              </w:tabs>
              <w:spacing w:line="240" w:lineRule="exact"/>
              <w:jc w:val="center"/>
              <w:rPr>
                <w:rFonts w:ascii="仿宋" w:hAnsi="仿宋" w:cs="仿宋"/>
                <w:kern w:val="0"/>
              </w:rPr>
            </w:pPr>
            <w:r>
              <w:rPr>
                <w:rFonts w:hint="eastAsia" w:ascii="仿宋" w:hAnsi="仿宋" w:cs="仿宋"/>
              </w:rPr>
              <w:t>程度</w:t>
            </w:r>
          </w:p>
        </w:tc>
        <w:tc>
          <w:tcPr>
            <w:tcW w:w="960" w:type="dxa"/>
            <w:vMerge w:val="restart"/>
            <w:tcBorders>
              <w:top w:val="single" w:color="auto" w:sz="4" w:space="0"/>
              <w:left w:val="single" w:color="auto" w:sz="4" w:space="0"/>
              <w:right w:val="single" w:color="auto" w:sz="4" w:space="0"/>
            </w:tcBorders>
            <w:vAlign w:val="center"/>
          </w:tcPr>
          <w:p>
            <w:pPr>
              <w:tabs>
                <w:tab w:val="left" w:pos="0"/>
              </w:tabs>
              <w:spacing w:line="240" w:lineRule="exact"/>
              <w:jc w:val="center"/>
              <w:rPr>
                <w:rFonts w:ascii="仿宋" w:hAnsi="仿宋" w:cs="仿宋"/>
              </w:rPr>
            </w:pPr>
            <w:r>
              <w:rPr>
                <w:rFonts w:hint="eastAsia" w:ascii="仿宋" w:hAnsi="仿宋" w:cs="仿宋"/>
              </w:rPr>
              <w:t>偏离</w:t>
            </w:r>
          </w:p>
          <w:p>
            <w:pPr>
              <w:tabs>
                <w:tab w:val="left" w:pos="0"/>
              </w:tabs>
              <w:spacing w:line="240" w:lineRule="exact"/>
              <w:jc w:val="center"/>
              <w:rPr>
                <w:rFonts w:ascii="仿宋" w:hAnsi="仿宋" w:cs="仿宋"/>
                <w:kern w:val="0"/>
              </w:rPr>
            </w:pPr>
            <w:r>
              <w:rPr>
                <w:rFonts w:hint="eastAsia" w:ascii="仿宋" w:hAnsi="仿宋" w:cs="仿宋"/>
              </w:rPr>
              <w:t>说明</w:t>
            </w:r>
          </w:p>
        </w:tc>
        <w:tc>
          <w:tcPr>
            <w:tcW w:w="1001" w:type="dxa"/>
            <w:vMerge w:val="restart"/>
            <w:tcBorders>
              <w:top w:val="single" w:color="auto" w:sz="4" w:space="0"/>
              <w:left w:val="single" w:color="auto" w:sz="4" w:space="0"/>
              <w:right w:val="single" w:color="auto" w:sz="4" w:space="0"/>
            </w:tcBorders>
            <w:vAlign w:val="center"/>
          </w:tcPr>
          <w:p>
            <w:pPr>
              <w:tabs>
                <w:tab w:val="left" w:pos="0"/>
              </w:tabs>
              <w:spacing w:line="240" w:lineRule="exact"/>
              <w:jc w:val="center"/>
              <w:rPr>
                <w:rFonts w:ascii="仿宋" w:hAnsi="仿宋" w:cs="仿宋"/>
              </w:rPr>
            </w:pPr>
            <w:r>
              <w:rPr>
                <w:rFonts w:hint="eastAsia" w:ascii="仿宋" w:hAnsi="仿宋" w:cs="仿宋"/>
              </w:rPr>
              <w:t>证明</w:t>
            </w:r>
          </w:p>
          <w:p>
            <w:pPr>
              <w:tabs>
                <w:tab w:val="left" w:pos="0"/>
              </w:tabs>
              <w:spacing w:line="240" w:lineRule="exact"/>
              <w:jc w:val="center"/>
              <w:rPr>
                <w:rFonts w:ascii="仿宋" w:hAnsi="仿宋" w:cs="仿宋"/>
              </w:rPr>
            </w:pPr>
            <w:r>
              <w:rPr>
                <w:rFonts w:hint="eastAsia" w:ascii="仿宋" w:hAnsi="仿宋" w:cs="仿宋"/>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13" w:type="dxa"/>
            <w:tcBorders>
              <w:top w:val="single" w:color="auto" w:sz="4" w:space="0"/>
              <w:left w:val="single" w:color="auto" w:sz="4" w:space="0"/>
              <w:right w:val="single" w:color="auto" w:sz="4" w:space="0"/>
            </w:tcBorders>
            <w:vAlign w:val="center"/>
          </w:tcPr>
          <w:p>
            <w:pPr>
              <w:jc w:val="center"/>
              <w:rPr>
                <w:rFonts w:ascii="仿宋" w:hAnsi="仿宋" w:cs="仿宋"/>
              </w:rPr>
            </w:pPr>
            <w:r>
              <w:rPr>
                <w:rFonts w:hint="eastAsia" w:ascii="仿宋" w:hAnsi="仿宋" w:cs="仿宋"/>
              </w:rPr>
              <w:t>序号</w:t>
            </w:r>
          </w:p>
        </w:tc>
        <w:tc>
          <w:tcPr>
            <w:tcW w:w="1200" w:type="dxa"/>
            <w:tcBorders>
              <w:top w:val="single" w:color="auto" w:sz="4" w:space="0"/>
              <w:left w:val="single" w:color="auto" w:sz="4" w:space="0"/>
              <w:right w:val="single" w:color="auto" w:sz="4" w:space="0"/>
            </w:tcBorders>
            <w:vAlign w:val="center"/>
          </w:tcPr>
          <w:p>
            <w:pPr>
              <w:widowControl/>
              <w:jc w:val="left"/>
              <w:textAlignment w:val="center"/>
              <w:rPr>
                <w:rFonts w:ascii="仿宋" w:hAnsi="仿宋" w:cs="仿宋"/>
                <w:kern w:val="0"/>
              </w:rPr>
            </w:pPr>
            <w:r>
              <w:rPr>
                <w:rFonts w:hint="eastAsia" w:ascii="仿宋" w:hAnsi="仿宋" w:cs="仿宋"/>
                <w:kern w:val="0"/>
              </w:rPr>
              <w:t>产品名称</w:t>
            </w:r>
          </w:p>
        </w:tc>
        <w:tc>
          <w:tcPr>
            <w:tcW w:w="7260" w:type="dxa"/>
            <w:tcBorders>
              <w:top w:val="single" w:color="auto" w:sz="4" w:space="0"/>
              <w:left w:val="single" w:color="auto" w:sz="4" w:space="0"/>
              <w:right w:val="single" w:color="auto" w:sz="4" w:space="0"/>
            </w:tcBorders>
            <w:vAlign w:val="center"/>
          </w:tcPr>
          <w:p>
            <w:pPr>
              <w:widowControl/>
              <w:jc w:val="left"/>
              <w:textAlignment w:val="center"/>
              <w:rPr>
                <w:rFonts w:ascii="仿宋" w:hAnsi="仿宋" w:cs="仿宋"/>
                <w:kern w:val="0"/>
              </w:rPr>
            </w:pPr>
            <w:r>
              <w:rPr>
                <w:rFonts w:hint="eastAsia" w:ascii="仿宋" w:hAnsi="仿宋" w:cs="仿宋"/>
                <w:kern w:val="0"/>
              </w:rPr>
              <w:t>技术参数</w:t>
            </w:r>
          </w:p>
        </w:tc>
        <w:tc>
          <w:tcPr>
            <w:tcW w:w="1176"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cs="仿宋"/>
                <w:kern w:val="0"/>
              </w:rPr>
            </w:pPr>
            <w:r>
              <w:rPr>
                <w:rFonts w:hint="eastAsia" w:ascii="仿宋" w:hAnsi="仿宋" w:cs="仿宋"/>
                <w:kern w:val="0"/>
              </w:rPr>
              <w:t>数量</w:t>
            </w:r>
          </w:p>
        </w:tc>
        <w:tc>
          <w:tcPr>
            <w:tcW w:w="1515" w:type="dxa"/>
            <w:vMerge w:val="continue"/>
            <w:tcBorders>
              <w:left w:val="single" w:color="auto" w:sz="4" w:space="0"/>
              <w:right w:val="single" w:color="auto" w:sz="4" w:space="0"/>
            </w:tcBorders>
            <w:vAlign w:val="center"/>
          </w:tcPr>
          <w:p>
            <w:pPr>
              <w:jc w:val="center"/>
              <w:rPr>
                <w:rFonts w:ascii="仿宋" w:hAnsi="仿宋" w:cs="仿宋"/>
              </w:rPr>
            </w:pPr>
          </w:p>
        </w:tc>
        <w:tc>
          <w:tcPr>
            <w:tcW w:w="1035" w:type="dxa"/>
            <w:vMerge w:val="continue"/>
            <w:tcBorders>
              <w:left w:val="single" w:color="auto" w:sz="4" w:space="0"/>
              <w:right w:val="single" w:color="auto" w:sz="4" w:space="0"/>
            </w:tcBorders>
            <w:vAlign w:val="center"/>
          </w:tcPr>
          <w:p>
            <w:pPr>
              <w:tabs>
                <w:tab w:val="left" w:pos="0"/>
              </w:tabs>
              <w:spacing w:line="240" w:lineRule="exact"/>
              <w:jc w:val="center"/>
              <w:rPr>
                <w:rFonts w:ascii="仿宋" w:hAnsi="仿宋" w:cs="仿宋"/>
              </w:rPr>
            </w:pPr>
          </w:p>
        </w:tc>
        <w:tc>
          <w:tcPr>
            <w:tcW w:w="960" w:type="dxa"/>
            <w:vMerge w:val="continue"/>
            <w:tcBorders>
              <w:left w:val="single" w:color="auto" w:sz="4" w:space="0"/>
              <w:right w:val="single" w:color="auto" w:sz="4" w:space="0"/>
            </w:tcBorders>
            <w:vAlign w:val="center"/>
          </w:tcPr>
          <w:p>
            <w:pPr>
              <w:tabs>
                <w:tab w:val="left" w:pos="0"/>
              </w:tabs>
              <w:spacing w:line="240" w:lineRule="exact"/>
              <w:jc w:val="center"/>
              <w:rPr>
                <w:rFonts w:ascii="仿宋" w:hAnsi="仿宋" w:cs="仿宋"/>
              </w:rPr>
            </w:pPr>
          </w:p>
        </w:tc>
        <w:tc>
          <w:tcPr>
            <w:tcW w:w="1001" w:type="dxa"/>
            <w:vMerge w:val="continue"/>
            <w:tcBorders>
              <w:left w:val="single" w:color="auto" w:sz="4" w:space="0"/>
              <w:right w:val="single" w:color="auto" w:sz="4" w:space="0"/>
            </w:tcBorders>
            <w:vAlign w:val="center"/>
          </w:tcPr>
          <w:p>
            <w:pPr>
              <w:tabs>
                <w:tab w:val="left" w:pos="0"/>
              </w:tabs>
              <w:spacing w:line="24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1</w:t>
            </w:r>
          </w:p>
        </w:tc>
        <w:tc>
          <w:tcPr>
            <w:tcW w:w="1200" w:type="dxa"/>
            <w:tcBorders>
              <w:top w:val="single" w:color="auto" w:sz="4" w:space="0"/>
              <w:left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多功能口腔综合治疗台（口外）</w:t>
            </w:r>
          </w:p>
        </w:tc>
        <w:tc>
          <w:tcPr>
            <w:tcW w:w="7260" w:type="dxa"/>
            <w:tcBorders>
              <w:top w:val="single" w:color="auto" w:sz="4" w:space="0"/>
              <w:left w:val="single" w:color="auto" w:sz="4" w:space="0"/>
              <w:right w:val="single" w:color="auto" w:sz="4" w:space="0"/>
            </w:tcBorders>
            <w:vAlign w:val="center"/>
          </w:tcPr>
          <w:p>
            <w:pPr>
              <w:rPr>
                <w:sz w:val="22"/>
                <w:szCs w:val="22"/>
              </w:rPr>
            </w:pPr>
            <w:r>
              <w:rPr>
                <w:rFonts w:hint="eastAsia"/>
                <w:sz w:val="22"/>
                <w:szCs w:val="22"/>
              </w:rPr>
              <w:t>一、产品工作条件：</w:t>
            </w:r>
          </w:p>
          <w:p>
            <w:pPr>
              <w:rPr>
                <w:sz w:val="22"/>
                <w:szCs w:val="22"/>
              </w:rPr>
            </w:pPr>
            <w:r>
              <w:rPr>
                <w:rFonts w:hint="eastAsia"/>
                <w:sz w:val="22"/>
                <w:szCs w:val="22"/>
              </w:rPr>
              <w:t>1、额定电压：频率：220V，50Hz。</w:t>
            </w:r>
          </w:p>
          <w:p>
            <w:pPr>
              <w:rPr>
                <w:sz w:val="22"/>
                <w:szCs w:val="22"/>
              </w:rPr>
            </w:pPr>
            <w:r>
              <w:rPr>
                <w:rFonts w:hint="eastAsia"/>
                <w:sz w:val="22"/>
                <w:szCs w:val="22"/>
              </w:rPr>
              <w:t>2、气源气压：0.6Mpa-0.8Mpa。</w:t>
            </w:r>
          </w:p>
          <w:p>
            <w:pPr>
              <w:rPr>
                <w:sz w:val="22"/>
                <w:szCs w:val="22"/>
              </w:rPr>
            </w:pPr>
            <w:r>
              <w:rPr>
                <w:rFonts w:hint="eastAsia"/>
                <w:sz w:val="22"/>
                <w:szCs w:val="22"/>
              </w:rPr>
              <w:t>3、水源水压：0.2Mpa-0.4Mpa。</w:t>
            </w:r>
          </w:p>
          <w:p>
            <w:pPr>
              <w:rPr>
                <w:sz w:val="22"/>
                <w:szCs w:val="22"/>
              </w:rPr>
            </w:pPr>
            <w:r>
              <w:rPr>
                <w:rFonts w:hint="eastAsia"/>
                <w:sz w:val="22"/>
                <w:szCs w:val="22"/>
              </w:rPr>
              <w:t>4、环境温度：5℃～40℃。</w:t>
            </w:r>
          </w:p>
          <w:p>
            <w:pPr>
              <w:rPr>
                <w:sz w:val="22"/>
                <w:szCs w:val="22"/>
              </w:rPr>
            </w:pPr>
            <w:r>
              <w:rPr>
                <w:rFonts w:hint="eastAsia"/>
                <w:sz w:val="22"/>
                <w:szCs w:val="22"/>
              </w:rPr>
              <w:t>5、大气压力：700hPa～1060hPa。</w:t>
            </w:r>
          </w:p>
          <w:p>
            <w:pPr>
              <w:rPr>
                <w:sz w:val="22"/>
                <w:szCs w:val="22"/>
              </w:rPr>
            </w:pPr>
            <w:r>
              <w:rPr>
                <w:rFonts w:hint="eastAsia"/>
                <w:sz w:val="22"/>
                <w:szCs w:val="22"/>
              </w:rPr>
              <w:t>6、内置式地箱，下挂式器械盘。</w:t>
            </w:r>
          </w:p>
          <w:p>
            <w:pPr>
              <w:rPr>
                <w:sz w:val="22"/>
                <w:szCs w:val="22"/>
              </w:rPr>
            </w:pPr>
            <w:r>
              <w:rPr>
                <w:rFonts w:hint="eastAsia"/>
                <w:sz w:val="22"/>
                <w:szCs w:val="22"/>
              </w:rPr>
              <w:t>二、产品功能参数：</w:t>
            </w:r>
          </w:p>
          <w:p>
            <w:pPr>
              <w:rPr>
                <w:sz w:val="22"/>
                <w:szCs w:val="22"/>
              </w:rPr>
            </w:pPr>
            <w:r>
              <w:rPr>
                <w:rFonts w:hint="eastAsia"/>
                <w:sz w:val="22"/>
                <w:szCs w:val="22"/>
              </w:rPr>
              <w:t>1、国产高速手机2支：机头采用数控加工一体结构，全套涡轮组件，加厚陶瓷球轴承。快换接头式，具有水路“防回吸”功能，防止交叉感染。端面四孔喷雾,最佳冷却效果，可进行135℃高温高压蒸汽灭菌。</w:t>
            </w:r>
          </w:p>
          <w:p>
            <w:pPr>
              <w:rPr>
                <w:sz w:val="22"/>
                <w:szCs w:val="22"/>
              </w:rPr>
            </w:pPr>
            <w:r>
              <w:rPr>
                <w:rFonts w:hint="eastAsia"/>
                <w:sz w:val="22"/>
                <w:szCs w:val="22"/>
              </w:rPr>
              <w:t>2、国产气动低速手机 1套：含直、弯机，转速≥20000转/分钟，可进行135℃高温和真空灭菌消毒。</w:t>
            </w:r>
          </w:p>
          <w:p>
            <w:pPr>
              <w:rPr>
                <w:sz w:val="22"/>
                <w:szCs w:val="22"/>
              </w:rPr>
            </w:pPr>
            <w:r>
              <w:rPr>
                <w:rFonts w:hint="eastAsia"/>
                <w:sz w:val="22"/>
                <w:szCs w:val="22"/>
              </w:rPr>
              <w:t>3、三用枪2支：可喷水、气、雾，枪头可进行135℃高温和真空灭菌消毒。4、医生操作台：</w:t>
            </w:r>
          </w:p>
          <w:p>
            <w:pPr>
              <w:rPr>
                <w:sz w:val="22"/>
                <w:szCs w:val="22"/>
              </w:rPr>
            </w:pPr>
            <w:r>
              <w:rPr>
                <w:rFonts w:hint="eastAsia"/>
                <w:sz w:val="22"/>
                <w:szCs w:val="22"/>
              </w:rPr>
              <w:t>4.1、医生位控制面板设有全电脑感应触摸式控制键，包括：设置键、复位键、水杯加热键、口腔灯键、漱口水键、冲盂水键、痰位键、牙椅升、降、俯、仰键、医生选择键、椅位记忆1、椅位记忆2、椅位记忆3、锁屏键、急救位键、管路消毒键，定位准确，功能丰富，有效提升医生工作效率。4.2、医生操作台内置整体数字化</w:t>
            </w:r>
          </w:p>
          <w:p>
            <w:pPr>
              <w:rPr>
                <w:sz w:val="22"/>
                <w:szCs w:val="22"/>
              </w:rPr>
            </w:pPr>
            <w:r>
              <w:rPr>
                <w:rFonts w:hint="eastAsia"/>
                <w:sz w:val="22"/>
                <w:szCs w:val="22"/>
              </w:rPr>
              <w:t>3.2寸液晶显示器，可同步显示设备工作状态、故障代码提示、水温、冲盂水、漱口水、加热指示、锁屏状态显示、联动功能显示、消毒状态显示。4.3、具备痰位冲盂联动、灯椅联动、漱口冲盂联动设置（痰盂与漱口本身不联动），有效提高医生工作效率。</w:t>
            </w:r>
          </w:p>
          <w:p>
            <w:pPr>
              <w:rPr>
                <w:sz w:val="22"/>
                <w:szCs w:val="22"/>
              </w:rPr>
            </w:pPr>
            <w:r>
              <w:rPr>
                <w:rFonts w:hint="eastAsia"/>
                <w:sz w:val="22"/>
                <w:szCs w:val="22"/>
              </w:rPr>
              <w:t>4.4、具备开机自检功能：在设备开机上电30秒内，长按复位键可进入设备自检程序。自检项目包括口腔灯、牙椅升降俯仰、冲盂、漱口功能，自检过程全程自动运行，无需人工干预。显示屏上可及时显示运行状况。</w:t>
            </w:r>
          </w:p>
          <w:p>
            <w:pPr>
              <w:rPr>
                <w:sz w:val="22"/>
                <w:szCs w:val="22"/>
              </w:rPr>
            </w:pPr>
            <w:r>
              <w:rPr>
                <w:rFonts w:hint="eastAsia"/>
                <w:sz w:val="22"/>
                <w:szCs w:val="22"/>
              </w:rPr>
              <w:t>4.5、具备一键锁屏功能，长按解锁，有效防止误操作。</w:t>
            </w:r>
          </w:p>
          <w:p>
            <w:pPr>
              <w:rPr>
                <w:sz w:val="22"/>
                <w:szCs w:val="22"/>
              </w:rPr>
            </w:pPr>
            <w:r>
              <w:rPr>
                <w:rFonts w:hint="eastAsia"/>
                <w:sz w:val="22"/>
                <w:szCs w:val="22"/>
              </w:rPr>
              <w:t>4.6、具备一键急救功能，有效防止突发状况发生。</w:t>
            </w:r>
          </w:p>
          <w:p>
            <w:pPr>
              <w:rPr>
                <w:sz w:val="22"/>
                <w:szCs w:val="22"/>
              </w:rPr>
            </w:pPr>
            <w:r>
              <w:rPr>
                <w:rFonts w:hint="eastAsia"/>
                <w:sz w:val="22"/>
                <w:szCs w:val="22"/>
              </w:rPr>
              <w:t>5、助手操作台：</w:t>
            </w:r>
          </w:p>
          <w:p>
            <w:pPr>
              <w:rPr>
                <w:sz w:val="22"/>
                <w:szCs w:val="22"/>
              </w:rPr>
            </w:pPr>
            <w:r>
              <w:rPr>
                <w:rFonts w:hint="eastAsia"/>
                <w:sz w:val="22"/>
                <w:szCs w:val="22"/>
              </w:rPr>
              <w:t>5.1、二关节旋转式助手架，方便四手操作，扩大助手诊疗范围。</w:t>
            </w:r>
          </w:p>
          <w:p>
            <w:pPr>
              <w:rPr>
                <w:sz w:val="22"/>
                <w:szCs w:val="22"/>
              </w:rPr>
            </w:pPr>
            <w:r>
              <w:rPr>
                <w:rFonts w:hint="eastAsia"/>
                <w:sz w:val="22"/>
                <w:szCs w:val="22"/>
              </w:rPr>
              <w:t>5.2、助手位设有感应触摸按键：具有口腔灯、漱口水、冲盂水、观片灯、痰位键、闹铃键、复位键以及牙科椅升、降、俯、仰、等相关功能，定位准确，功能丰富，有效提升助手工作效率。</w:t>
            </w:r>
          </w:p>
          <w:p>
            <w:pPr>
              <w:rPr>
                <w:sz w:val="22"/>
                <w:szCs w:val="22"/>
              </w:rPr>
            </w:pPr>
            <w:r>
              <w:rPr>
                <w:rFonts w:hint="eastAsia"/>
                <w:sz w:val="22"/>
                <w:szCs w:val="22"/>
              </w:rPr>
              <w:t>5.3、助手单元有4个器械挂架：三用枪、强吸、弱吸、光固化（预留），满足助手配合治疗的操作需求。</w:t>
            </w:r>
          </w:p>
          <w:p>
            <w:pPr>
              <w:rPr>
                <w:sz w:val="22"/>
                <w:szCs w:val="22"/>
              </w:rPr>
            </w:pPr>
            <w:r>
              <w:rPr>
                <w:rFonts w:hint="eastAsia"/>
                <w:sz w:val="22"/>
                <w:szCs w:val="22"/>
              </w:rPr>
              <w:t>5.4、助手单元内置有≥3.5寸安全低压观片灯，采用背光源设计，方便医护人员查看。</w:t>
            </w:r>
          </w:p>
          <w:p>
            <w:pPr>
              <w:rPr>
                <w:sz w:val="22"/>
                <w:szCs w:val="22"/>
              </w:rPr>
            </w:pPr>
            <w:r>
              <w:rPr>
                <w:rFonts w:hint="eastAsia"/>
                <w:sz w:val="22"/>
                <w:szCs w:val="22"/>
              </w:rPr>
              <w:t>6、感应式LED口腔灯：</w:t>
            </w:r>
          </w:p>
          <w:p>
            <w:pPr>
              <w:rPr>
                <w:sz w:val="22"/>
                <w:szCs w:val="22"/>
              </w:rPr>
            </w:pPr>
            <w:r>
              <w:rPr>
                <w:rFonts w:hint="eastAsia"/>
                <w:sz w:val="22"/>
                <w:szCs w:val="22"/>
              </w:rPr>
              <w:t>6.1、操作模式：自动感应和手动感应。</w:t>
            </w:r>
          </w:p>
          <w:p>
            <w:pPr>
              <w:rPr>
                <w:sz w:val="22"/>
                <w:szCs w:val="22"/>
              </w:rPr>
            </w:pPr>
            <w:r>
              <w:rPr>
                <w:rFonts w:hint="eastAsia"/>
                <w:sz w:val="22"/>
                <w:szCs w:val="22"/>
              </w:rPr>
              <w:t>6.2、口腔灯控制键位于灯的底部、医生控制台、助手控制台、脚控开关四个位置，方便医生操作。</w:t>
            </w:r>
          </w:p>
          <w:p>
            <w:pPr>
              <w:rPr>
                <w:sz w:val="22"/>
                <w:szCs w:val="22"/>
              </w:rPr>
            </w:pPr>
            <w:r>
              <w:rPr>
                <w:rFonts w:hint="eastAsia"/>
                <w:sz w:val="22"/>
                <w:szCs w:val="22"/>
              </w:rPr>
              <w:t>6.3、口腔灯采用无级调光，光照柔和，长时间使用不废眼；</w:t>
            </w:r>
          </w:p>
          <w:p>
            <w:pPr>
              <w:rPr>
                <w:sz w:val="22"/>
                <w:szCs w:val="22"/>
              </w:rPr>
            </w:pPr>
            <w:r>
              <w:rPr>
                <w:rFonts w:hint="eastAsia"/>
                <w:sz w:val="22"/>
                <w:szCs w:val="22"/>
              </w:rPr>
              <w:t>6.4、口腔灯电压：AC12V-24V；功率：10W；照度：7000lux—32000lux；色温：4500K—5300K；光斑：80X160mm；感应范围：20—80mm。</w:t>
            </w:r>
          </w:p>
          <w:p>
            <w:pPr>
              <w:rPr>
                <w:sz w:val="22"/>
                <w:szCs w:val="22"/>
              </w:rPr>
            </w:pPr>
            <w:r>
              <w:rPr>
                <w:rFonts w:hint="eastAsia"/>
                <w:sz w:val="22"/>
                <w:szCs w:val="22"/>
              </w:rPr>
              <w:t>6.5、口腔灯把手方便拉伸、锁定和拆卸，可高温消毒，避免交叉感染。</w:t>
            </w:r>
          </w:p>
          <w:p>
            <w:pPr>
              <w:rPr>
                <w:sz w:val="22"/>
                <w:szCs w:val="22"/>
              </w:rPr>
            </w:pPr>
            <w:r>
              <w:rPr>
                <w:rFonts w:hint="eastAsia"/>
                <w:sz w:val="22"/>
                <w:szCs w:val="22"/>
              </w:rPr>
              <w:t>7、痰盂：一体式陶瓷漱口盆，易清洁消毒。可向患者位旋转90度，方便患者漱口吐痰使用。</w:t>
            </w:r>
          </w:p>
          <w:p>
            <w:pPr>
              <w:rPr>
                <w:sz w:val="22"/>
                <w:szCs w:val="22"/>
              </w:rPr>
            </w:pPr>
            <w:r>
              <w:rPr>
                <w:rFonts w:hint="eastAsia"/>
                <w:sz w:val="22"/>
                <w:szCs w:val="22"/>
              </w:rPr>
              <w:t>8、器械盘：</w:t>
            </w:r>
          </w:p>
          <w:p>
            <w:pPr>
              <w:rPr>
                <w:sz w:val="22"/>
                <w:szCs w:val="22"/>
              </w:rPr>
            </w:pPr>
            <w:r>
              <w:rPr>
                <w:rFonts w:hint="eastAsia"/>
                <w:sz w:val="22"/>
                <w:szCs w:val="22"/>
              </w:rPr>
              <w:t>8.1、超大器械盘，尺寸：≥456mm（长）X 324mm（宽），可承载≥1.5千克。配有透明整体防污罩,防污罩可以对器械盘及按键做整体保护及防止交叉感染。</w:t>
            </w:r>
          </w:p>
          <w:p>
            <w:pPr>
              <w:rPr>
                <w:sz w:val="22"/>
                <w:szCs w:val="22"/>
              </w:rPr>
            </w:pPr>
            <w:r>
              <w:rPr>
                <w:rFonts w:hint="eastAsia"/>
                <w:sz w:val="22"/>
                <w:szCs w:val="22"/>
              </w:rPr>
              <w:t>8.2、采用气压锁定装置，可精准、轻松定位器械盘高度。</w:t>
            </w:r>
          </w:p>
          <w:p>
            <w:pPr>
              <w:rPr>
                <w:sz w:val="22"/>
                <w:szCs w:val="22"/>
              </w:rPr>
            </w:pPr>
            <w:r>
              <w:rPr>
                <w:rFonts w:hint="eastAsia"/>
                <w:sz w:val="22"/>
                <w:szCs w:val="22"/>
              </w:rPr>
              <w:t>8.3、设有总气开关，可轻松控制治疗机水、气、电。</w:t>
            </w:r>
          </w:p>
          <w:p>
            <w:pPr>
              <w:rPr>
                <w:sz w:val="22"/>
                <w:szCs w:val="22"/>
              </w:rPr>
            </w:pPr>
            <w:r>
              <w:rPr>
                <w:rFonts w:hint="eastAsia"/>
                <w:sz w:val="22"/>
                <w:szCs w:val="22"/>
              </w:rPr>
              <w:t>8.4、独立防脱式五联枪架，预留洁牙机升级位，枪架可向内、外各旋转45°，方便医生使用。</w:t>
            </w:r>
          </w:p>
          <w:p>
            <w:pPr>
              <w:rPr>
                <w:sz w:val="22"/>
                <w:szCs w:val="22"/>
              </w:rPr>
            </w:pPr>
            <w:r>
              <w:rPr>
                <w:rFonts w:hint="eastAsia"/>
                <w:sz w:val="22"/>
                <w:szCs w:val="22"/>
              </w:rPr>
              <w:t>9、主箱体：采用注塑工艺，抗黄变设计，方便擦洗消毒。主箱体可向外旋转70°，有效扩大助手配合治疗空间。</w:t>
            </w:r>
          </w:p>
          <w:p>
            <w:pPr>
              <w:rPr>
                <w:sz w:val="22"/>
                <w:szCs w:val="22"/>
              </w:rPr>
            </w:pPr>
            <w:r>
              <w:rPr>
                <w:rFonts w:hint="eastAsia"/>
                <w:sz w:val="22"/>
                <w:szCs w:val="22"/>
              </w:rPr>
              <w:t>10、强、弱吸吸唾系统：外置式强、弱吸插拔装置，配有强、弱吸清洗过滤网，方便拆卸和清洗消毒。</w:t>
            </w:r>
          </w:p>
          <w:p>
            <w:pPr>
              <w:rPr>
                <w:sz w:val="22"/>
                <w:szCs w:val="22"/>
              </w:rPr>
            </w:pPr>
            <w:r>
              <w:rPr>
                <w:rFonts w:hint="eastAsia"/>
                <w:sz w:val="22"/>
                <w:szCs w:val="22"/>
              </w:rPr>
              <w:t>11、净化水系统：采用手动泻压与增压，可灵活选择自来水或纯净水，也满足管路消毒需要；加注口外置于主箱体上部，方便加水。</w:t>
            </w:r>
          </w:p>
          <w:p>
            <w:pPr>
              <w:rPr>
                <w:sz w:val="22"/>
                <w:szCs w:val="22"/>
              </w:rPr>
            </w:pPr>
            <w:r>
              <w:rPr>
                <w:rFonts w:hint="eastAsia"/>
                <w:sz w:val="22"/>
                <w:szCs w:val="22"/>
              </w:rPr>
              <w:t>12、冲盂漱口定量给水自动控制系统：优质电磁阀控制冲盂、漱口水，可设定给水时间，漱口水配有可自动加热恒温系统，具有漱口水温精准显示和调节功能，方便医生调节，水温适中，方便患者使用。</w:t>
            </w:r>
          </w:p>
          <w:p>
            <w:pPr>
              <w:rPr>
                <w:sz w:val="22"/>
                <w:szCs w:val="22"/>
              </w:rPr>
            </w:pPr>
            <w:r>
              <w:rPr>
                <w:rFonts w:hint="eastAsia"/>
                <w:sz w:val="22"/>
                <w:szCs w:val="22"/>
              </w:rPr>
              <w:t>13、牙科（患者）椅：</w:t>
            </w:r>
          </w:p>
          <w:p>
            <w:pPr>
              <w:rPr>
                <w:sz w:val="22"/>
                <w:szCs w:val="22"/>
              </w:rPr>
            </w:pPr>
            <w:r>
              <w:rPr>
                <w:rFonts w:hint="eastAsia"/>
                <w:sz w:val="22"/>
                <w:szCs w:val="22"/>
              </w:rPr>
              <w:t>13.1、品牌直流电机驱动。低噪音，动力稳定，运行平稳。</w:t>
            </w:r>
          </w:p>
          <w:p>
            <w:pPr>
              <w:rPr>
                <w:sz w:val="22"/>
                <w:szCs w:val="22"/>
              </w:rPr>
            </w:pPr>
            <w:r>
              <w:rPr>
                <w:rFonts w:hint="eastAsia"/>
                <w:sz w:val="22"/>
                <w:szCs w:val="22"/>
              </w:rPr>
              <w:t>13.2、靠背背板为优质钢材，整体注塑框架工艺制成，靠背背板与牙椅框架整体连接，结实可靠，连接稳固，运行更安全。</w:t>
            </w:r>
          </w:p>
          <w:p>
            <w:pPr>
              <w:rPr>
                <w:sz w:val="22"/>
                <w:szCs w:val="22"/>
              </w:rPr>
            </w:pPr>
            <w:r>
              <w:rPr>
                <w:rFonts w:hint="eastAsia"/>
                <w:sz w:val="22"/>
                <w:szCs w:val="22"/>
              </w:rPr>
              <w:t>13.3、采用搭扣形式连接的靠背和座垫，免用工具就可方便更换与维修。13.4、患者椅具有角度传感器，记忆永存，断电不丢失。</w:t>
            </w:r>
          </w:p>
          <w:p>
            <w:pPr>
              <w:rPr>
                <w:sz w:val="22"/>
                <w:szCs w:val="22"/>
              </w:rPr>
            </w:pPr>
            <w:r>
              <w:rPr>
                <w:rFonts w:hint="eastAsia"/>
                <w:sz w:val="22"/>
                <w:szCs w:val="22"/>
              </w:rPr>
              <w:t>13.5、患者椅采用变频防抖技术，牙椅运行平稳。座椅和靠背联动设计，避免患者背部牵拉及搓背感，靠背运动0°— 70°，有效提升患者舒适感。13.6、患者椅运行平稳，启停柔和。牙椅具有水平运动补偿结构，最低椅位：380mm，最高椅位：680mm，方便患者上下牙椅。</w:t>
            </w:r>
          </w:p>
          <w:p>
            <w:pPr>
              <w:rPr>
                <w:sz w:val="22"/>
                <w:szCs w:val="22"/>
              </w:rPr>
            </w:pPr>
            <w:r>
              <w:rPr>
                <w:rFonts w:hint="eastAsia"/>
                <w:sz w:val="22"/>
                <w:szCs w:val="22"/>
              </w:rPr>
              <w:t>13.7、多关节折叠式头枕，可多角度调整并固定头枕，且可拉伸和锁定，伸缩范围达150mm，满足成人和老人、儿童、残障人士使用。</w:t>
            </w:r>
          </w:p>
          <w:p>
            <w:pPr>
              <w:rPr>
                <w:sz w:val="22"/>
                <w:szCs w:val="22"/>
              </w:rPr>
            </w:pPr>
            <w:r>
              <w:rPr>
                <w:rFonts w:hint="eastAsia"/>
                <w:sz w:val="22"/>
                <w:szCs w:val="22"/>
              </w:rPr>
              <w:t>13.8、牙科椅承载能力≥150Kg，满足各类患者治疗使用。牙椅皮垫采用优质皮革面料一次压注成型，柔软舒适耐磨，方便擦洗消毒。</w:t>
            </w:r>
          </w:p>
          <w:p>
            <w:pPr>
              <w:rPr>
                <w:sz w:val="22"/>
                <w:szCs w:val="22"/>
              </w:rPr>
            </w:pPr>
            <w:r>
              <w:rPr>
                <w:rFonts w:hint="eastAsia"/>
                <w:sz w:val="22"/>
                <w:szCs w:val="22"/>
              </w:rPr>
              <w:t>13.9、双扶手设计，外扶手可向下旋转，方便患者治疗和上下牙科椅使用。14、脚开关：</w:t>
            </w:r>
          </w:p>
          <w:p>
            <w:pPr>
              <w:rPr>
                <w:sz w:val="22"/>
                <w:szCs w:val="22"/>
              </w:rPr>
            </w:pPr>
            <w:r>
              <w:rPr>
                <w:rFonts w:hint="eastAsia"/>
                <w:sz w:val="22"/>
                <w:szCs w:val="22"/>
              </w:rPr>
              <w:t>14.1、可控制患者椅位运动；可控制高速手机、低速手机、洁牙机等动态器械。</w:t>
            </w:r>
          </w:p>
          <w:p>
            <w:pPr>
              <w:rPr>
                <w:sz w:val="22"/>
                <w:szCs w:val="22"/>
              </w:rPr>
            </w:pPr>
            <w:r>
              <w:rPr>
                <w:rFonts w:hint="eastAsia"/>
                <w:sz w:val="22"/>
                <w:szCs w:val="22"/>
              </w:rPr>
              <w:t>14.2、可控制高速手机单喷气/无水操作。</w:t>
            </w:r>
          </w:p>
          <w:p>
            <w:pPr>
              <w:rPr>
                <w:sz w:val="22"/>
                <w:szCs w:val="22"/>
              </w:rPr>
            </w:pPr>
            <w:r>
              <w:rPr>
                <w:rFonts w:hint="eastAsia"/>
                <w:sz w:val="22"/>
                <w:szCs w:val="22"/>
              </w:rPr>
              <w:t>14.3、可控制高速手机吹屑气操作。</w:t>
            </w:r>
          </w:p>
          <w:p>
            <w:pPr>
              <w:rPr>
                <w:sz w:val="22"/>
                <w:szCs w:val="22"/>
              </w:rPr>
            </w:pPr>
            <w:r>
              <w:rPr>
                <w:rFonts w:hint="eastAsia"/>
                <w:sz w:val="22"/>
                <w:szCs w:val="22"/>
              </w:rPr>
              <w:t>14.4、可控制手术灯开启及关闭。</w:t>
            </w:r>
          </w:p>
          <w:p>
            <w:pPr>
              <w:rPr>
                <w:sz w:val="22"/>
                <w:szCs w:val="22"/>
              </w:rPr>
            </w:pPr>
            <w:r>
              <w:rPr>
                <w:rFonts w:hint="eastAsia"/>
                <w:sz w:val="22"/>
                <w:szCs w:val="22"/>
              </w:rPr>
              <w:t>15、全面安全保障控制：</w:t>
            </w:r>
          </w:p>
          <w:p>
            <w:pPr>
              <w:rPr>
                <w:sz w:val="22"/>
                <w:szCs w:val="22"/>
              </w:rPr>
            </w:pPr>
            <w:r>
              <w:rPr>
                <w:rFonts w:hint="eastAsia"/>
                <w:sz w:val="22"/>
                <w:szCs w:val="22"/>
              </w:rPr>
              <w:t>15.1、牙椅具有安全保护功能，牙椅在下降过程中遇障碍座椅会停止运动，并小幅上升，具有防挤脚功能。</w:t>
            </w:r>
          </w:p>
          <w:p>
            <w:pPr>
              <w:rPr>
                <w:sz w:val="22"/>
                <w:szCs w:val="22"/>
              </w:rPr>
            </w:pPr>
            <w:r>
              <w:rPr>
                <w:rFonts w:hint="eastAsia"/>
                <w:sz w:val="22"/>
                <w:szCs w:val="22"/>
              </w:rPr>
              <w:t>15.2、牙椅具有即停功能：无论牙椅进行任何运动，只要按上主控面板上任意一个椅位键，牙椅运动停止，有效避免意外发生。</w:t>
            </w:r>
          </w:p>
          <w:p>
            <w:pPr>
              <w:rPr>
                <w:sz w:val="22"/>
                <w:szCs w:val="22"/>
              </w:rPr>
            </w:pPr>
            <w:r>
              <w:rPr>
                <w:rFonts w:hint="eastAsia"/>
                <w:sz w:val="22"/>
                <w:szCs w:val="22"/>
              </w:rPr>
              <w:t>15.3、当手机工作时，牙科椅被自动锁定，有效避免误操作带来的安全隐患。</w:t>
            </w:r>
          </w:p>
          <w:p>
            <w:pPr>
              <w:rPr>
                <w:sz w:val="22"/>
                <w:szCs w:val="22"/>
              </w:rPr>
            </w:pPr>
            <w:r>
              <w:rPr>
                <w:rFonts w:hint="eastAsia"/>
                <w:sz w:val="22"/>
                <w:szCs w:val="22"/>
              </w:rPr>
              <w:t>15.4、设置负载短路及过载保护，保证了设备电气的使用安全。</w:t>
            </w:r>
          </w:p>
          <w:p>
            <w:pPr>
              <w:rPr>
                <w:sz w:val="22"/>
                <w:szCs w:val="22"/>
              </w:rPr>
            </w:pPr>
            <w:r>
              <w:rPr>
                <w:rFonts w:hint="eastAsia"/>
                <w:sz w:val="22"/>
                <w:szCs w:val="22"/>
              </w:rPr>
              <w:t>16、可升级选配全自动管路消毒：可升级选配全自动管路消毒系统：一键式全自动手机管理消毒系统。自动消毒，无需值守，消毒范围包含医生位手机、三用枪、洁牙机等所有器械。做好准备工作后一键启动，轻松实现整个消毒过程。</w:t>
            </w:r>
          </w:p>
          <w:p>
            <w:pPr>
              <w:rPr>
                <w:rFonts w:ascii="宋体" w:hAnsi="宋体" w:eastAsia="宋体" w:cs="宋体"/>
                <w:sz w:val="22"/>
                <w:szCs w:val="22"/>
              </w:rPr>
            </w:pPr>
            <w:r>
              <w:rPr>
                <w:rFonts w:hint="eastAsia"/>
                <w:sz w:val="22"/>
                <w:szCs w:val="22"/>
              </w:rPr>
              <w:t>17、医生座椅1把：座椅高度可调节，最低椅位425mm，行程120mm，座垫可在水平面内360°灵活旋转；座垫旋转靠背旋转采用不同轴，其独特的偏心结构使得医生乘座转动靠背时有收腰的感觉，符合人体工程学设计。</w:t>
            </w:r>
          </w:p>
        </w:tc>
        <w:tc>
          <w:tcPr>
            <w:tcW w:w="1176" w:type="dxa"/>
            <w:tcBorders>
              <w:top w:val="single" w:color="auto" w:sz="4" w:space="0"/>
              <w:left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3</w:t>
            </w:r>
          </w:p>
        </w:tc>
        <w:tc>
          <w:tcPr>
            <w:tcW w:w="1515" w:type="dxa"/>
            <w:tcBorders>
              <w:top w:val="single" w:color="auto" w:sz="4" w:space="0"/>
              <w:left w:val="single" w:color="auto" w:sz="4" w:space="0"/>
              <w:right w:val="single" w:color="auto" w:sz="4" w:space="0"/>
            </w:tcBorders>
            <w:vAlign w:val="center"/>
          </w:tcPr>
          <w:p>
            <w:pPr>
              <w:jc w:val="left"/>
              <w:rPr>
                <w:rFonts w:ascii="仿宋" w:hAnsi="仿宋" w:cs="仿宋"/>
              </w:rPr>
            </w:pPr>
          </w:p>
        </w:tc>
        <w:tc>
          <w:tcPr>
            <w:tcW w:w="1035" w:type="dxa"/>
            <w:tcBorders>
              <w:top w:val="single" w:color="auto" w:sz="4" w:space="0"/>
              <w:left w:val="single" w:color="auto" w:sz="4" w:space="0"/>
              <w:right w:val="single" w:color="auto" w:sz="4" w:space="0"/>
            </w:tcBorders>
            <w:vAlign w:val="center"/>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right w:val="single" w:color="auto" w:sz="4" w:space="0"/>
            </w:tcBorders>
            <w:vAlign w:val="center"/>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right w:val="single" w:color="auto" w:sz="4" w:space="0"/>
            </w:tcBorders>
            <w:vAlign w:val="center"/>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2</w:t>
            </w:r>
          </w:p>
        </w:tc>
        <w:tc>
          <w:tcPr>
            <w:tcW w:w="1200" w:type="dxa"/>
            <w:vAlign w:val="center"/>
          </w:tcPr>
          <w:p>
            <w:pPr>
              <w:rPr>
                <w:rFonts w:ascii="宋体" w:hAnsi="宋体" w:eastAsia="宋体" w:cs="宋体"/>
                <w:sz w:val="22"/>
                <w:szCs w:val="22"/>
              </w:rPr>
            </w:pPr>
            <w:r>
              <w:rPr>
                <w:rFonts w:hint="eastAsia"/>
                <w:sz w:val="22"/>
                <w:szCs w:val="22"/>
              </w:rPr>
              <w:t>多功能口腔综合治疗台（牙体）</w:t>
            </w:r>
          </w:p>
        </w:tc>
        <w:tc>
          <w:tcPr>
            <w:tcW w:w="7260" w:type="dxa"/>
            <w:vAlign w:val="center"/>
          </w:tcPr>
          <w:p>
            <w:pPr>
              <w:rPr>
                <w:sz w:val="22"/>
                <w:szCs w:val="22"/>
              </w:rPr>
            </w:pPr>
            <w:r>
              <w:rPr>
                <w:rFonts w:hint="eastAsia"/>
                <w:sz w:val="22"/>
                <w:szCs w:val="22"/>
              </w:rPr>
              <w:t>一、产品工作条件：</w:t>
            </w:r>
          </w:p>
          <w:p>
            <w:pPr>
              <w:rPr>
                <w:sz w:val="22"/>
                <w:szCs w:val="22"/>
              </w:rPr>
            </w:pPr>
            <w:r>
              <w:rPr>
                <w:rFonts w:hint="eastAsia"/>
                <w:sz w:val="22"/>
                <w:szCs w:val="22"/>
              </w:rPr>
              <w:t>1、额定电压：频率：220V，50Hz。</w:t>
            </w:r>
          </w:p>
          <w:p>
            <w:pPr>
              <w:rPr>
                <w:sz w:val="22"/>
                <w:szCs w:val="22"/>
              </w:rPr>
            </w:pPr>
            <w:r>
              <w:rPr>
                <w:rFonts w:hint="eastAsia"/>
                <w:sz w:val="22"/>
                <w:szCs w:val="22"/>
              </w:rPr>
              <w:t>2、气源气压：0.6Mpa-0.8Mpa。</w:t>
            </w:r>
          </w:p>
          <w:p>
            <w:pPr>
              <w:rPr>
                <w:sz w:val="22"/>
                <w:szCs w:val="22"/>
              </w:rPr>
            </w:pPr>
            <w:r>
              <w:rPr>
                <w:rFonts w:hint="eastAsia"/>
                <w:sz w:val="22"/>
                <w:szCs w:val="22"/>
              </w:rPr>
              <w:t>3、水源水压：0.2Mpa-0.4Mpa。</w:t>
            </w:r>
          </w:p>
          <w:p>
            <w:pPr>
              <w:rPr>
                <w:sz w:val="22"/>
                <w:szCs w:val="22"/>
              </w:rPr>
            </w:pPr>
            <w:r>
              <w:rPr>
                <w:rFonts w:hint="eastAsia"/>
                <w:sz w:val="22"/>
                <w:szCs w:val="22"/>
              </w:rPr>
              <w:t>4、环境温度：5℃～40℃。</w:t>
            </w:r>
          </w:p>
          <w:p>
            <w:pPr>
              <w:rPr>
                <w:sz w:val="22"/>
                <w:szCs w:val="22"/>
              </w:rPr>
            </w:pPr>
            <w:r>
              <w:rPr>
                <w:rFonts w:hint="eastAsia"/>
                <w:sz w:val="22"/>
                <w:szCs w:val="22"/>
              </w:rPr>
              <w:t>5、大气压力：700hPa～1060hPa。</w:t>
            </w:r>
          </w:p>
          <w:p>
            <w:pPr>
              <w:rPr>
                <w:sz w:val="22"/>
                <w:szCs w:val="22"/>
              </w:rPr>
            </w:pPr>
            <w:r>
              <w:rPr>
                <w:rFonts w:hint="eastAsia"/>
                <w:sz w:val="22"/>
                <w:szCs w:val="22"/>
              </w:rPr>
              <w:t>6、内置式地箱，下挂式器械盘。</w:t>
            </w:r>
          </w:p>
          <w:p>
            <w:pPr>
              <w:rPr>
                <w:sz w:val="22"/>
                <w:szCs w:val="22"/>
              </w:rPr>
            </w:pPr>
            <w:r>
              <w:rPr>
                <w:rFonts w:hint="eastAsia"/>
                <w:sz w:val="22"/>
                <w:szCs w:val="22"/>
              </w:rPr>
              <w:t>二、产品功能参数：</w:t>
            </w:r>
          </w:p>
          <w:p>
            <w:pPr>
              <w:rPr>
                <w:sz w:val="22"/>
                <w:szCs w:val="22"/>
              </w:rPr>
            </w:pPr>
            <w:r>
              <w:rPr>
                <w:rFonts w:hint="eastAsia"/>
                <w:sz w:val="22"/>
                <w:szCs w:val="22"/>
              </w:rPr>
              <w:t>1、国产光纤高速手机1支：机头采用数控加工一体结构，优质陶瓷球轴承。带光快换接头式，具有水路“防回吸”功能，防止交叉感染。端面四孔喷雾,最佳冷却效果接头后置式长寿命的LED光源，配合石英光导棒，光照度大于25000lux，且不会因为高温消毒而衰减，可进行135℃高温高压蒸汽灭菌。</w:t>
            </w:r>
          </w:p>
          <w:p>
            <w:pPr>
              <w:rPr>
                <w:sz w:val="22"/>
                <w:szCs w:val="22"/>
              </w:rPr>
            </w:pPr>
            <w:r>
              <w:rPr>
                <w:rFonts w:hint="eastAsia"/>
                <w:sz w:val="22"/>
                <w:szCs w:val="22"/>
              </w:rPr>
              <w:t>2、气动高速手机1支：转速≥310000转/分钟，可进行135℃高温和真空灭菌消毒。</w:t>
            </w:r>
          </w:p>
          <w:p>
            <w:pPr>
              <w:rPr>
                <w:sz w:val="22"/>
                <w:szCs w:val="22"/>
              </w:rPr>
            </w:pPr>
            <w:r>
              <w:rPr>
                <w:rFonts w:hint="eastAsia"/>
                <w:sz w:val="22"/>
                <w:szCs w:val="22"/>
              </w:rPr>
              <w:t>3、气动低速手机1套：含直、弯机，转速≥20000转/分钟，可进行135℃高温和真空灭菌消毒。</w:t>
            </w:r>
          </w:p>
          <w:p>
            <w:pPr>
              <w:rPr>
                <w:sz w:val="22"/>
                <w:szCs w:val="22"/>
              </w:rPr>
            </w:pPr>
            <w:r>
              <w:rPr>
                <w:rFonts w:hint="eastAsia"/>
                <w:sz w:val="22"/>
                <w:szCs w:val="22"/>
              </w:rPr>
              <w:t>4、内置式光固化机1支：电源适配器电源输入：24V 50/60Hz；功率消耗：≤20VA。光谱特性：光谱范围430-490nm。工作定时：20秒(5秒鸣响一次)。固化深度：20秒固化树脂深度大于3mm。间歇周期：间歇运行，运行3分钟间隙1分钟。电气安全类型：Ⅱ类普通型设备，应用部分为B型。</w:t>
            </w:r>
          </w:p>
          <w:p>
            <w:pPr>
              <w:rPr>
                <w:sz w:val="22"/>
                <w:szCs w:val="22"/>
              </w:rPr>
            </w:pPr>
            <w:r>
              <w:rPr>
                <w:rFonts w:hint="eastAsia"/>
                <w:sz w:val="22"/>
                <w:szCs w:val="22"/>
              </w:rPr>
              <w:t>5、口腔内窥镜系统1套：系统采用高清晰度CCD进行图像采集，并具有自动对焦功能。照明系统采用6颗高亮度白光LED进行照明。手柄上配有5个按键可控制所有功能：定格/储存，全屏/四分屏，查看上一张，下一张，删除。系统采用17寸高清液晶显示器；液晶屏表面另附加一层医疗级钢化玻璃可用医用酒精擦拭并防止刮花。液晶显示器具有多媒体播放功能，可直接接入MP3、U盘等设备，播放电影、音乐和JPG格式图片。系统支持：多媒体功能：USB VGA HDMI 视频输入功能。系统标配WIFI发射器，可使高清影像传输至计算机保存并管理。系统语言支持：中文、英文。显示器分辨率：≥1280*1024。</w:t>
            </w:r>
          </w:p>
          <w:p>
            <w:pPr>
              <w:rPr>
                <w:sz w:val="22"/>
                <w:szCs w:val="22"/>
              </w:rPr>
            </w:pPr>
            <w:r>
              <w:rPr>
                <w:rFonts w:hint="eastAsia"/>
                <w:sz w:val="22"/>
                <w:szCs w:val="22"/>
              </w:rPr>
              <w:t>6、三用枪2支：可喷水、气、雾，枪头可进行135℃高温和真空灭菌消毒。7、医生操作台：</w:t>
            </w:r>
          </w:p>
          <w:p>
            <w:pPr>
              <w:rPr>
                <w:sz w:val="22"/>
                <w:szCs w:val="22"/>
              </w:rPr>
            </w:pPr>
            <w:r>
              <w:rPr>
                <w:rFonts w:hint="eastAsia"/>
                <w:sz w:val="22"/>
                <w:szCs w:val="22"/>
              </w:rPr>
              <w:t>7.1、医生位控制面板设有薄膜控制按键，包括：设置键、复位键、水杯加热键、口腔灯键、漱口水键、冲盂水键、痰位键、观片灯键、复合键SEL1、复合键SEL2、复合键+、复合键-、牙椅升、降、俯、仰键、3组医生椅位记忆按键（椅位记忆1、椅位记忆2、椅位记忆3，每组可独立设置3个记忆椅位），定位准确，功能丰富，有效提升医生工作效率。</w:t>
            </w:r>
          </w:p>
          <w:p>
            <w:pPr>
              <w:rPr>
                <w:sz w:val="22"/>
                <w:szCs w:val="22"/>
              </w:rPr>
            </w:pPr>
            <w:r>
              <w:rPr>
                <w:rFonts w:hint="eastAsia"/>
                <w:sz w:val="22"/>
                <w:szCs w:val="22"/>
              </w:rPr>
              <w:t>7.2、具备痰位冲盂联动、灯椅联动、漱口冲盂联动设置（痰盂与漱口本身不联动），有效提高医生工作效率。</w:t>
            </w:r>
          </w:p>
          <w:p>
            <w:pPr>
              <w:rPr>
                <w:sz w:val="22"/>
                <w:szCs w:val="22"/>
              </w:rPr>
            </w:pPr>
            <w:r>
              <w:rPr>
                <w:rFonts w:hint="eastAsia"/>
                <w:sz w:val="22"/>
                <w:szCs w:val="22"/>
              </w:rPr>
              <w:t>7.3、医生操作台内置有≥3.2寸液晶显示屏，具有显示故障代码、水杯缺水指示、取水状态显示、闹铃显示、系统时间、手术灯状态、加热状态、漱口水状态、冲盂状态、观片灯状态、牙椅运行状态等。</w:t>
            </w:r>
          </w:p>
          <w:p>
            <w:pPr>
              <w:rPr>
                <w:sz w:val="22"/>
                <w:szCs w:val="22"/>
              </w:rPr>
            </w:pPr>
            <w:r>
              <w:rPr>
                <w:rFonts w:hint="eastAsia"/>
                <w:sz w:val="22"/>
                <w:szCs w:val="22"/>
              </w:rPr>
              <w:t>7.4、在参数设置界面中，可分别进入：漱口水时间设置、感应取水设置、冲盂时间设置、闹铃设置、光纤手机灯亮度设置、医生选择设置、观片灯延时设置、联动状态设置、系统设置等界面。</w:t>
            </w:r>
          </w:p>
          <w:p>
            <w:pPr>
              <w:rPr>
                <w:sz w:val="22"/>
                <w:szCs w:val="22"/>
              </w:rPr>
            </w:pPr>
            <w:r>
              <w:rPr>
                <w:rFonts w:hint="eastAsia"/>
                <w:sz w:val="22"/>
                <w:szCs w:val="22"/>
              </w:rPr>
              <w:t>7.5、医生位内置有≥3.5寸安全低压观片灯，采用背光源设计，方便医护人员查看。</w:t>
            </w:r>
          </w:p>
          <w:p>
            <w:pPr>
              <w:rPr>
                <w:sz w:val="22"/>
                <w:szCs w:val="22"/>
              </w:rPr>
            </w:pPr>
            <w:r>
              <w:rPr>
                <w:rFonts w:hint="eastAsia"/>
                <w:sz w:val="22"/>
                <w:szCs w:val="22"/>
              </w:rPr>
              <w:t>8、助手操作台：</w:t>
            </w:r>
          </w:p>
          <w:p>
            <w:pPr>
              <w:rPr>
                <w:sz w:val="22"/>
                <w:szCs w:val="22"/>
              </w:rPr>
            </w:pPr>
            <w:r>
              <w:rPr>
                <w:rFonts w:hint="eastAsia"/>
                <w:sz w:val="22"/>
                <w:szCs w:val="22"/>
              </w:rPr>
              <w:t>8.1、三关节旋转式助手架，方便四手操作，扩大助手诊疗范围。</w:t>
            </w:r>
          </w:p>
          <w:p>
            <w:pPr>
              <w:rPr>
                <w:sz w:val="22"/>
                <w:szCs w:val="22"/>
              </w:rPr>
            </w:pPr>
            <w:r>
              <w:rPr>
                <w:rFonts w:hint="eastAsia"/>
                <w:sz w:val="22"/>
                <w:szCs w:val="22"/>
              </w:rPr>
              <w:t>8.2、助手位设有薄膜控制按键：具有口腔灯、漱口水、冲盂水、痰位键、复位键，定位准确，功能丰富，有效提升助手工作效率。</w:t>
            </w:r>
          </w:p>
          <w:p>
            <w:pPr>
              <w:rPr>
                <w:sz w:val="22"/>
                <w:szCs w:val="22"/>
              </w:rPr>
            </w:pPr>
            <w:r>
              <w:rPr>
                <w:rFonts w:hint="eastAsia"/>
                <w:sz w:val="22"/>
                <w:szCs w:val="22"/>
              </w:rPr>
              <w:t>8.3、助手位有4个器械挂架：三用枪、强吸、弱吸、光固化（预留），满足助手配合治疗的操作需求。</w:t>
            </w:r>
          </w:p>
          <w:p>
            <w:pPr>
              <w:rPr>
                <w:sz w:val="22"/>
                <w:szCs w:val="22"/>
              </w:rPr>
            </w:pPr>
            <w:r>
              <w:rPr>
                <w:rFonts w:hint="eastAsia"/>
                <w:sz w:val="22"/>
                <w:szCs w:val="22"/>
              </w:rPr>
              <w:t>8.4、助手位可选配集中抽吸时，强、弱吸具有吸唾延时功能，确保管路内无残留。</w:t>
            </w:r>
          </w:p>
          <w:p>
            <w:pPr>
              <w:rPr>
                <w:sz w:val="22"/>
                <w:szCs w:val="22"/>
              </w:rPr>
            </w:pPr>
            <w:r>
              <w:rPr>
                <w:rFonts w:hint="eastAsia"/>
                <w:sz w:val="22"/>
                <w:szCs w:val="22"/>
              </w:rPr>
              <w:t>8.5、助手位配有小型置物盒：尺寸：方便助手配合使用。</w:t>
            </w:r>
          </w:p>
          <w:p>
            <w:pPr>
              <w:rPr>
                <w:sz w:val="22"/>
                <w:szCs w:val="22"/>
              </w:rPr>
            </w:pPr>
            <w:r>
              <w:rPr>
                <w:rFonts w:hint="eastAsia"/>
                <w:sz w:val="22"/>
                <w:szCs w:val="22"/>
              </w:rPr>
              <w:t>9、感应式LED口腔灯：</w:t>
            </w:r>
          </w:p>
          <w:p>
            <w:pPr>
              <w:rPr>
                <w:sz w:val="22"/>
                <w:szCs w:val="22"/>
              </w:rPr>
            </w:pPr>
            <w:r>
              <w:rPr>
                <w:rFonts w:hint="eastAsia"/>
                <w:sz w:val="22"/>
                <w:szCs w:val="22"/>
              </w:rPr>
              <w:t>9.1、操作模式：自动感应。</w:t>
            </w:r>
          </w:p>
          <w:p>
            <w:pPr>
              <w:rPr>
                <w:sz w:val="22"/>
                <w:szCs w:val="22"/>
              </w:rPr>
            </w:pPr>
            <w:r>
              <w:rPr>
                <w:rFonts w:hint="eastAsia"/>
                <w:sz w:val="22"/>
                <w:szCs w:val="22"/>
              </w:rPr>
              <w:t>9.2、口腔灯控制键位于灯的上部、医生控制台、助手控制台、脚控开关四个位置，方便医生操作。</w:t>
            </w:r>
          </w:p>
          <w:p>
            <w:pPr>
              <w:rPr>
                <w:sz w:val="22"/>
                <w:szCs w:val="22"/>
              </w:rPr>
            </w:pPr>
            <w:r>
              <w:rPr>
                <w:rFonts w:hint="eastAsia"/>
                <w:sz w:val="22"/>
                <w:szCs w:val="22"/>
              </w:rPr>
              <w:t>9.3、口腔灯采用无级调光，光照柔和，长时间使用不废眼。</w:t>
            </w:r>
          </w:p>
          <w:p>
            <w:pPr>
              <w:rPr>
                <w:sz w:val="22"/>
                <w:szCs w:val="22"/>
              </w:rPr>
            </w:pPr>
            <w:r>
              <w:rPr>
                <w:rFonts w:hint="eastAsia"/>
                <w:sz w:val="22"/>
                <w:szCs w:val="22"/>
              </w:rPr>
              <w:t>9.4、口腔灯电压：AC12V-24V；功率：8W；照度：3000lux—35000lux；色温：5000K；光斑：150X80mm。</w:t>
            </w:r>
          </w:p>
          <w:p>
            <w:pPr>
              <w:rPr>
                <w:sz w:val="22"/>
                <w:szCs w:val="22"/>
              </w:rPr>
            </w:pPr>
            <w:r>
              <w:rPr>
                <w:rFonts w:hint="eastAsia"/>
                <w:sz w:val="22"/>
                <w:szCs w:val="22"/>
              </w:rPr>
              <w:t>9.5、口腔灯把手方便拉伸、锁定和拆卸，可高温消毒，避免交叉感染。</w:t>
            </w:r>
          </w:p>
          <w:p>
            <w:pPr>
              <w:rPr>
                <w:sz w:val="22"/>
                <w:szCs w:val="22"/>
              </w:rPr>
            </w:pPr>
            <w:r>
              <w:rPr>
                <w:rFonts w:hint="eastAsia"/>
                <w:sz w:val="22"/>
                <w:szCs w:val="22"/>
              </w:rPr>
              <w:t>10、痰盂：</w:t>
            </w:r>
          </w:p>
          <w:p>
            <w:pPr>
              <w:rPr>
                <w:sz w:val="22"/>
                <w:szCs w:val="22"/>
              </w:rPr>
            </w:pPr>
            <w:r>
              <w:rPr>
                <w:rFonts w:hint="eastAsia"/>
                <w:sz w:val="22"/>
                <w:szCs w:val="22"/>
              </w:rPr>
              <w:t>10.1、一体式陶瓷漱口盆，易清洁消毒。可向患者位旋转90°，方便患者漱口吐痰使用。</w:t>
            </w:r>
          </w:p>
          <w:p>
            <w:pPr>
              <w:rPr>
                <w:sz w:val="22"/>
                <w:szCs w:val="22"/>
              </w:rPr>
            </w:pPr>
            <w:r>
              <w:rPr>
                <w:rFonts w:hint="eastAsia"/>
                <w:sz w:val="22"/>
                <w:szCs w:val="22"/>
              </w:rPr>
              <w:t>10.2、漱口水具有手动出水和感应出水两种方式，方便患者漱口吐痰使用。11、下挂式器械盘：</w:t>
            </w:r>
          </w:p>
          <w:p>
            <w:pPr>
              <w:rPr>
                <w:sz w:val="22"/>
                <w:szCs w:val="22"/>
              </w:rPr>
            </w:pPr>
            <w:r>
              <w:rPr>
                <w:rFonts w:hint="eastAsia"/>
                <w:sz w:val="22"/>
                <w:szCs w:val="22"/>
              </w:rPr>
              <w:t>11.1、配有大型置物区。配有硅胶垫，可135℃高温高压蒸汽灭菌，保护台面干净，避免交叉感染。</w:t>
            </w:r>
          </w:p>
          <w:p>
            <w:pPr>
              <w:rPr>
                <w:sz w:val="22"/>
                <w:szCs w:val="22"/>
              </w:rPr>
            </w:pPr>
            <w:r>
              <w:rPr>
                <w:rFonts w:hint="eastAsia"/>
                <w:sz w:val="22"/>
                <w:szCs w:val="22"/>
              </w:rPr>
              <w:t>11.2、具备刹车感应控制，可精准、轻松调节器械盘高度。</w:t>
            </w:r>
          </w:p>
          <w:p>
            <w:pPr>
              <w:rPr>
                <w:sz w:val="22"/>
                <w:szCs w:val="22"/>
              </w:rPr>
            </w:pPr>
            <w:r>
              <w:rPr>
                <w:rFonts w:hint="eastAsia"/>
                <w:sz w:val="22"/>
                <w:szCs w:val="22"/>
              </w:rPr>
              <w:t>11.3、设有总气开关，可轻松控制治疗机水、气、电。</w:t>
            </w:r>
          </w:p>
          <w:p>
            <w:pPr>
              <w:rPr>
                <w:sz w:val="22"/>
                <w:szCs w:val="22"/>
              </w:rPr>
            </w:pPr>
            <w:r>
              <w:rPr>
                <w:rFonts w:hint="eastAsia"/>
                <w:sz w:val="22"/>
                <w:szCs w:val="22"/>
              </w:rPr>
              <w:t>11.4、一体式五联枪架，预留洁牙机升级位，方便医生使用。</w:t>
            </w:r>
          </w:p>
          <w:p>
            <w:pPr>
              <w:rPr>
                <w:sz w:val="22"/>
                <w:szCs w:val="22"/>
              </w:rPr>
            </w:pPr>
            <w:r>
              <w:rPr>
                <w:rFonts w:hint="eastAsia"/>
                <w:sz w:val="22"/>
                <w:szCs w:val="22"/>
              </w:rPr>
              <w:t>12、主箱体：采用注塑工艺，抗黄变设计，方便擦洗消毒。主箱体可向外旋转70°，有效扩大助手配合治疗空间。</w:t>
            </w:r>
          </w:p>
          <w:p>
            <w:pPr>
              <w:rPr>
                <w:sz w:val="22"/>
                <w:szCs w:val="22"/>
              </w:rPr>
            </w:pPr>
            <w:r>
              <w:rPr>
                <w:rFonts w:hint="eastAsia"/>
                <w:sz w:val="22"/>
                <w:szCs w:val="22"/>
              </w:rPr>
              <w:t>13、强、弱吸吸唾系统：外置式强、弱吸铝合金手柄，可调节吸力大小，配有清洗过滤网，方便拆卸和清洗消毒。</w:t>
            </w:r>
          </w:p>
          <w:p>
            <w:pPr>
              <w:rPr>
                <w:sz w:val="22"/>
                <w:szCs w:val="22"/>
              </w:rPr>
            </w:pPr>
            <w:r>
              <w:rPr>
                <w:rFonts w:hint="eastAsia"/>
                <w:sz w:val="22"/>
                <w:szCs w:val="22"/>
              </w:rPr>
              <w:t>14、净化水系统：采用手动泻压与增压，可灵活选择自来水或纯净水；加注口外置于主箱体上部，方便加水。</w:t>
            </w:r>
          </w:p>
          <w:p>
            <w:pPr>
              <w:rPr>
                <w:sz w:val="22"/>
                <w:szCs w:val="22"/>
              </w:rPr>
            </w:pPr>
            <w:r>
              <w:rPr>
                <w:rFonts w:hint="eastAsia"/>
                <w:sz w:val="22"/>
                <w:szCs w:val="22"/>
              </w:rPr>
              <w:t>15、冲盂漱口定量给水自动控制系统：优质电磁阀控制冲盂、漱口水，可设定给水时间，漱口水配有可自动加热恒温系统，水温适中，方便患者使用。</w:t>
            </w:r>
          </w:p>
          <w:p>
            <w:pPr>
              <w:rPr>
                <w:sz w:val="22"/>
                <w:szCs w:val="22"/>
              </w:rPr>
            </w:pPr>
            <w:r>
              <w:rPr>
                <w:rFonts w:hint="eastAsia"/>
                <w:sz w:val="22"/>
                <w:szCs w:val="22"/>
              </w:rPr>
              <w:t>16、牙科（患者）椅：</w:t>
            </w:r>
          </w:p>
          <w:p>
            <w:pPr>
              <w:rPr>
                <w:sz w:val="22"/>
                <w:szCs w:val="22"/>
              </w:rPr>
            </w:pPr>
            <w:r>
              <w:rPr>
                <w:rFonts w:hint="eastAsia"/>
                <w:sz w:val="22"/>
                <w:szCs w:val="22"/>
              </w:rPr>
              <w:t>16.1、采用品牌直流电机驱动。低噪音，动力稳定，运行平稳。</w:t>
            </w:r>
          </w:p>
          <w:p>
            <w:pPr>
              <w:rPr>
                <w:sz w:val="22"/>
                <w:szCs w:val="22"/>
              </w:rPr>
            </w:pPr>
            <w:r>
              <w:rPr>
                <w:rFonts w:hint="eastAsia"/>
                <w:sz w:val="22"/>
                <w:szCs w:val="22"/>
              </w:rPr>
              <w:t>16.2、靠背背板为铸铝材质，整体注塑框架工艺制成，靠背背板与牙椅框架整体连接，结实可靠，连接稳固，运行更安全。</w:t>
            </w:r>
          </w:p>
          <w:p>
            <w:pPr>
              <w:rPr>
                <w:sz w:val="22"/>
                <w:szCs w:val="22"/>
              </w:rPr>
            </w:pPr>
            <w:r>
              <w:rPr>
                <w:rFonts w:hint="eastAsia"/>
                <w:sz w:val="22"/>
                <w:szCs w:val="22"/>
              </w:rPr>
              <w:t>16.3、靠背采用挂钩形式连接，座垫采用搭扣形式连接，免用工具就可方便更换与维修。</w:t>
            </w:r>
          </w:p>
          <w:p>
            <w:pPr>
              <w:rPr>
                <w:sz w:val="22"/>
                <w:szCs w:val="22"/>
              </w:rPr>
            </w:pPr>
            <w:r>
              <w:rPr>
                <w:rFonts w:hint="eastAsia"/>
                <w:sz w:val="22"/>
                <w:szCs w:val="22"/>
              </w:rPr>
              <w:t>16.4、患者椅具有带记忆电机，记忆永存，断电不丢失。</w:t>
            </w:r>
          </w:p>
          <w:p>
            <w:pPr>
              <w:rPr>
                <w:sz w:val="22"/>
                <w:szCs w:val="22"/>
              </w:rPr>
            </w:pPr>
            <w:r>
              <w:rPr>
                <w:rFonts w:hint="eastAsia"/>
                <w:sz w:val="22"/>
                <w:szCs w:val="22"/>
              </w:rPr>
              <w:t>16.5、患者椅采用变频防抖技术，牙椅运行平稳。座椅和靠背联动设计，避免患者背部牵拉及搓背感，靠背运动0°—70°，有效提升患者舒适感。16.6、患者椅运行平稳，启停柔和。牙椅具有水平运动补偿结构，最低椅位：410mm，最高椅位：750mm，方便患者上下牙椅。</w:t>
            </w:r>
          </w:p>
          <w:p>
            <w:pPr>
              <w:rPr>
                <w:sz w:val="22"/>
                <w:szCs w:val="22"/>
              </w:rPr>
            </w:pPr>
            <w:r>
              <w:rPr>
                <w:rFonts w:hint="eastAsia"/>
                <w:sz w:val="22"/>
                <w:szCs w:val="22"/>
              </w:rPr>
              <w:t>16.7、多关节折叠式头枕，可多角度调整并固定头枕，且可拉伸和锁定，伸缩范围达150mm，满足成人和老人、儿童、残障人士使用。</w:t>
            </w:r>
          </w:p>
          <w:p>
            <w:pPr>
              <w:rPr>
                <w:sz w:val="22"/>
                <w:szCs w:val="22"/>
              </w:rPr>
            </w:pPr>
            <w:r>
              <w:rPr>
                <w:rFonts w:hint="eastAsia"/>
                <w:sz w:val="22"/>
                <w:szCs w:val="22"/>
              </w:rPr>
              <w:t>16.8、牙科椅承载能力≥150Kg，满足各类患者治疗使用。牙椅皮垫采用优质皮革面料一次压注成型，柔软舒适耐磨，方便擦洗消毒。</w:t>
            </w:r>
          </w:p>
          <w:p>
            <w:pPr>
              <w:rPr>
                <w:sz w:val="22"/>
                <w:szCs w:val="22"/>
              </w:rPr>
            </w:pPr>
            <w:r>
              <w:rPr>
                <w:rFonts w:hint="eastAsia"/>
                <w:sz w:val="22"/>
                <w:szCs w:val="22"/>
              </w:rPr>
              <w:t>16.9、双扶手设计，外扶手可向下翻转，方便患者治疗和上下牙科椅使用。16.10、牙科椅可向外水平旋转30°，方便患者上下牙科椅使用。</w:t>
            </w:r>
          </w:p>
          <w:p>
            <w:pPr>
              <w:rPr>
                <w:sz w:val="22"/>
                <w:szCs w:val="22"/>
              </w:rPr>
            </w:pPr>
            <w:r>
              <w:rPr>
                <w:rFonts w:hint="eastAsia"/>
                <w:sz w:val="22"/>
                <w:szCs w:val="22"/>
              </w:rPr>
              <w:t>17、脚开关：</w:t>
            </w:r>
          </w:p>
          <w:p>
            <w:pPr>
              <w:rPr>
                <w:sz w:val="22"/>
                <w:szCs w:val="22"/>
              </w:rPr>
            </w:pPr>
            <w:r>
              <w:rPr>
                <w:rFonts w:hint="eastAsia"/>
                <w:sz w:val="22"/>
                <w:szCs w:val="22"/>
              </w:rPr>
              <w:t>17.1、可控制患者椅位运动；可控制高速手机、低速手机、洁牙机等动态器械。</w:t>
            </w:r>
          </w:p>
          <w:p>
            <w:pPr>
              <w:rPr>
                <w:sz w:val="22"/>
                <w:szCs w:val="22"/>
              </w:rPr>
            </w:pPr>
            <w:r>
              <w:rPr>
                <w:rFonts w:hint="eastAsia"/>
                <w:sz w:val="22"/>
                <w:szCs w:val="22"/>
              </w:rPr>
              <w:t>17.2、可控制高速手机单喷气/无水操作。</w:t>
            </w:r>
          </w:p>
          <w:p>
            <w:pPr>
              <w:rPr>
                <w:sz w:val="22"/>
                <w:szCs w:val="22"/>
              </w:rPr>
            </w:pPr>
            <w:r>
              <w:rPr>
                <w:rFonts w:hint="eastAsia"/>
                <w:sz w:val="22"/>
                <w:szCs w:val="22"/>
              </w:rPr>
              <w:t>17.3、可控制高速手机吹屑气操作。</w:t>
            </w:r>
          </w:p>
          <w:p>
            <w:pPr>
              <w:rPr>
                <w:sz w:val="22"/>
                <w:szCs w:val="22"/>
              </w:rPr>
            </w:pPr>
            <w:r>
              <w:rPr>
                <w:rFonts w:hint="eastAsia"/>
                <w:sz w:val="22"/>
                <w:szCs w:val="22"/>
              </w:rPr>
              <w:t>17.4、可控制手术灯开启及关闭。</w:t>
            </w:r>
          </w:p>
          <w:p>
            <w:pPr>
              <w:rPr>
                <w:sz w:val="22"/>
                <w:szCs w:val="22"/>
              </w:rPr>
            </w:pPr>
            <w:r>
              <w:rPr>
                <w:rFonts w:hint="eastAsia"/>
                <w:sz w:val="22"/>
                <w:szCs w:val="22"/>
              </w:rPr>
              <w:t>18、全面安全保障控制：</w:t>
            </w:r>
          </w:p>
          <w:p>
            <w:pPr>
              <w:rPr>
                <w:sz w:val="22"/>
                <w:szCs w:val="22"/>
              </w:rPr>
            </w:pPr>
            <w:r>
              <w:rPr>
                <w:rFonts w:hint="eastAsia"/>
                <w:sz w:val="22"/>
                <w:szCs w:val="22"/>
              </w:rPr>
              <w:t>18.1、牙椅具有安全保护功能，牙椅在下降过程中遇障碍座椅会停止运动，并小幅上升，具有防挤脚功能。</w:t>
            </w:r>
          </w:p>
          <w:p>
            <w:pPr>
              <w:rPr>
                <w:sz w:val="22"/>
                <w:szCs w:val="22"/>
              </w:rPr>
            </w:pPr>
            <w:r>
              <w:rPr>
                <w:rFonts w:hint="eastAsia"/>
                <w:sz w:val="22"/>
                <w:szCs w:val="22"/>
              </w:rPr>
              <w:t>18.2、牙椅具有即停功能：无论牙椅进行任何运动，只要按上主控面板上任意一个椅位键，牙椅运动停止，有效避免意外发生。</w:t>
            </w:r>
          </w:p>
          <w:p>
            <w:pPr>
              <w:rPr>
                <w:sz w:val="22"/>
                <w:szCs w:val="22"/>
              </w:rPr>
            </w:pPr>
            <w:r>
              <w:rPr>
                <w:rFonts w:hint="eastAsia"/>
                <w:sz w:val="22"/>
                <w:szCs w:val="22"/>
              </w:rPr>
              <w:t>18.3、当手机工作时，牙科椅被自动锁定，有效避免误操作带来的安全隐患。</w:t>
            </w:r>
          </w:p>
          <w:p>
            <w:pPr>
              <w:rPr>
                <w:sz w:val="22"/>
                <w:szCs w:val="22"/>
              </w:rPr>
            </w:pPr>
            <w:r>
              <w:rPr>
                <w:rFonts w:hint="eastAsia"/>
                <w:sz w:val="22"/>
                <w:szCs w:val="22"/>
              </w:rPr>
              <w:t>18.4、设置负载短路及过载保护，保证了设备电气的使用安全。</w:t>
            </w:r>
          </w:p>
          <w:p>
            <w:pPr>
              <w:rPr>
                <w:sz w:val="22"/>
                <w:szCs w:val="22"/>
              </w:rPr>
            </w:pPr>
            <w:r>
              <w:rPr>
                <w:rFonts w:hint="eastAsia"/>
                <w:sz w:val="22"/>
                <w:szCs w:val="22"/>
              </w:rPr>
              <w:t>19、可升级选配全自动管路消毒系统：一键式全自动手机管理消毒系统。自动消毒，无需值守，消毒范围包含医生位手机、三用枪、洁牙机等所有器械。做好准备工作后一键启动，轻松实现整个消毒过程。</w:t>
            </w:r>
          </w:p>
          <w:p>
            <w:pPr>
              <w:rPr>
                <w:rFonts w:ascii="宋体" w:hAnsi="宋体" w:eastAsia="宋体" w:cs="宋体"/>
                <w:sz w:val="22"/>
                <w:szCs w:val="22"/>
              </w:rPr>
            </w:pPr>
            <w:r>
              <w:rPr>
                <w:rFonts w:hint="eastAsia"/>
                <w:sz w:val="22"/>
                <w:szCs w:val="22"/>
              </w:rPr>
              <w:t>20、医生座椅 1把：医生椅椅背高度可单独调节、靠背倾斜度可调，给不同体型的医生腰部提供良好的支撑。座垫可在水平面内360°灵活旋转；医生椅高度可调，最低椅位 440mm；行程：120mm。</w:t>
            </w:r>
          </w:p>
        </w:tc>
        <w:tc>
          <w:tcPr>
            <w:tcW w:w="1176" w:type="dxa"/>
            <w:vAlign w:val="center"/>
          </w:tcPr>
          <w:p>
            <w:pPr>
              <w:jc w:val="center"/>
              <w:rPr>
                <w:rFonts w:ascii="宋体" w:hAnsi="宋体" w:eastAsia="宋体" w:cs="宋体"/>
                <w:sz w:val="22"/>
                <w:szCs w:val="22"/>
              </w:rPr>
            </w:pPr>
            <w:r>
              <w:rPr>
                <w:rFonts w:hint="eastAsia"/>
                <w:sz w:val="22"/>
                <w:szCs w:val="22"/>
              </w:rPr>
              <w:t>6</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3</w:t>
            </w:r>
          </w:p>
        </w:tc>
        <w:tc>
          <w:tcPr>
            <w:tcW w:w="1200" w:type="dxa"/>
            <w:vAlign w:val="center"/>
          </w:tcPr>
          <w:p>
            <w:pPr>
              <w:rPr>
                <w:rFonts w:ascii="宋体" w:hAnsi="宋体" w:eastAsia="宋体" w:cs="宋体"/>
                <w:sz w:val="22"/>
                <w:szCs w:val="22"/>
              </w:rPr>
            </w:pPr>
            <w:r>
              <w:rPr>
                <w:rFonts w:hint="eastAsia"/>
                <w:sz w:val="22"/>
                <w:szCs w:val="22"/>
              </w:rPr>
              <w:t>多功能口腔综合治疗台（修复）</w:t>
            </w:r>
          </w:p>
        </w:tc>
        <w:tc>
          <w:tcPr>
            <w:tcW w:w="7260" w:type="dxa"/>
            <w:vAlign w:val="center"/>
          </w:tcPr>
          <w:p>
            <w:pPr>
              <w:rPr>
                <w:sz w:val="22"/>
                <w:szCs w:val="22"/>
              </w:rPr>
            </w:pPr>
            <w:r>
              <w:rPr>
                <w:rFonts w:hint="eastAsia"/>
                <w:sz w:val="22"/>
                <w:szCs w:val="22"/>
              </w:rPr>
              <w:t>一、产品工作条件：</w:t>
            </w:r>
          </w:p>
          <w:p>
            <w:pPr>
              <w:rPr>
                <w:sz w:val="22"/>
                <w:szCs w:val="22"/>
              </w:rPr>
            </w:pPr>
            <w:r>
              <w:rPr>
                <w:rFonts w:hint="eastAsia"/>
                <w:sz w:val="22"/>
                <w:szCs w:val="22"/>
              </w:rPr>
              <w:t>1、额定电压：频率：220V，50Hz。</w:t>
            </w:r>
          </w:p>
          <w:p>
            <w:pPr>
              <w:rPr>
                <w:sz w:val="22"/>
                <w:szCs w:val="22"/>
              </w:rPr>
            </w:pPr>
            <w:r>
              <w:rPr>
                <w:rFonts w:hint="eastAsia"/>
                <w:sz w:val="22"/>
                <w:szCs w:val="22"/>
              </w:rPr>
              <w:t>2、气源气压：0.6Mpa-0.8Mpa。</w:t>
            </w:r>
          </w:p>
          <w:p>
            <w:pPr>
              <w:rPr>
                <w:sz w:val="22"/>
                <w:szCs w:val="22"/>
              </w:rPr>
            </w:pPr>
            <w:r>
              <w:rPr>
                <w:rFonts w:hint="eastAsia"/>
                <w:sz w:val="22"/>
                <w:szCs w:val="22"/>
              </w:rPr>
              <w:t>3、水源水压：0.2Mpa-0.4Mpa。</w:t>
            </w:r>
          </w:p>
          <w:p>
            <w:pPr>
              <w:rPr>
                <w:sz w:val="22"/>
                <w:szCs w:val="22"/>
              </w:rPr>
            </w:pPr>
            <w:r>
              <w:rPr>
                <w:rFonts w:hint="eastAsia"/>
                <w:sz w:val="22"/>
                <w:szCs w:val="22"/>
              </w:rPr>
              <w:t>4、环境温度：5℃～40℃。</w:t>
            </w:r>
          </w:p>
          <w:p>
            <w:pPr>
              <w:rPr>
                <w:sz w:val="22"/>
                <w:szCs w:val="22"/>
              </w:rPr>
            </w:pPr>
            <w:r>
              <w:rPr>
                <w:rFonts w:hint="eastAsia"/>
                <w:sz w:val="22"/>
                <w:szCs w:val="22"/>
              </w:rPr>
              <w:t>5、大气压力：700hPa～1060hPa。</w:t>
            </w:r>
          </w:p>
          <w:p>
            <w:pPr>
              <w:rPr>
                <w:sz w:val="22"/>
                <w:szCs w:val="22"/>
              </w:rPr>
            </w:pPr>
            <w:r>
              <w:rPr>
                <w:rFonts w:hint="eastAsia"/>
                <w:sz w:val="22"/>
                <w:szCs w:val="22"/>
              </w:rPr>
              <w:t>6、内置式地箱，下挂式器械盘。</w:t>
            </w:r>
          </w:p>
          <w:p>
            <w:pPr>
              <w:rPr>
                <w:sz w:val="22"/>
                <w:szCs w:val="22"/>
              </w:rPr>
            </w:pPr>
            <w:r>
              <w:rPr>
                <w:rFonts w:hint="eastAsia"/>
                <w:sz w:val="22"/>
                <w:szCs w:val="22"/>
              </w:rPr>
              <w:t>二、产品功能参数：</w:t>
            </w:r>
          </w:p>
          <w:p>
            <w:pPr>
              <w:rPr>
                <w:sz w:val="22"/>
                <w:szCs w:val="22"/>
              </w:rPr>
            </w:pPr>
            <w:r>
              <w:rPr>
                <w:rFonts w:hint="eastAsia"/>
                <w:sz w:val="22"/>
                <w:szCs w:val="22"/>
              </w:rPr>
              <w:t>1、国产高速手机2支：机头数控加工一体结构。直连式4孔，端面四孔喷雾,最佳冷却效果，喷雾均匀，冷却无盲区。转速≥310000转/分钟，可进行135℃高温和真空灭菌消毒。</w:t>
            </w:r>
          </w:p>
          <w:p>
            <w:pPr>
              <w:rPr>
                <w:sz w:val="22"/>
                <w:szCs w:val="22"/>
              </w:rPr>
            </w:pPr>
            <w:r>
              <w:rPr>
                <w:rFonts w:hint="eastAsia"/>
                <w:sz w:val="22"/>
                <w:szCs w:val="22"/>
              </w:rPr>
              <w:t>2、国产气动低速手机 1套：含直机、弯机、马达。直机：冷却形式为外部雾化冷却，可拆卸式喷雾座；机身铝合金硬质氧化处理工艺，耐磨，内部关键件不锈钢热处理工艺；弯机：冷却形式为外喷水,可拆卸喷水卡；机身及头部为铜合金，表面高耐磨Ni+Cr镀层,传动件为不锈钢,采用热处理模式；马达：冷却形式：外喷水；具有正反转功能；外壳采用硬质铝合金硬质氧化工艺，前插管不锈钢材质。转速≥20000转/分钟，可进行135℃高温和真空灭菌消毒。</w:t>
            </w:r>
          </w:p>
          <w:p>
            <w:pPr>
              <w:rPr>
                <w:sz w:val="22"/>
                <w:szCs w:val="22"/>
              </w:rPr>
            </w:pPr>
            <w:r>
              <w:rPr>
                <w:rFonts w:hint="eastAsia"/>
                <w:sz w:val="22"/>
                <w:szCs w:val="22"/>
              </w:rPr>
              <w:t>3、三用枪2支：可喷水、气、雾，枪头可进行135℃高温和真空灭菌消毒。4、医生操作台：医生位控制面板设有全电脑薄膜控制按键，包括：电源指示灯、设置键、复位键、水杯加热键、观片灯键、口腔灯键、漱口水键、冲盂水键、牙椅升、降、俯、仰键，定位准确，功能丰富，有效提升医生工作效率。</w:t>
            </w:r>
          </w:p>
          <w:p>
            <w:pPr>
              <w:rPr>
                <w:sz w:val="22"/>
                <w:szCs w:val="22"/>
              </w:rPr>
            </w:pPr>
            <w:r>
              <w:rPr>
                <w:rFonts w:hint="eastAsia"/>
                <w:sz w:val="22"/>
                <w:szCs w:val="22"/>
              </w:rPr>
              <w:t>5、助手操作台：</w:t>
            </w:r>
          </w:p>
          <w:p>
            <w:pPr>
              <w:rPr>
                <w:sz w:val="22"/>
                <w:szCs w:val="22"/>
              </w:rPr>
            </w:pPr>
            <w:r>
              <w:rPr>
                <w:rFonts w:hint="eastAsia"/>
                <w:sz w:val="22"/>
                <w:szCs w:val="22"/>
              </w:rPr>
              <w:t>5.1、二关节旋转式助手架，方便四手操作，扩大助手诊疗范围。</w:t>
            </w:r>
          </w:p>
          <w:p>
            <w:pPr>
              <w:rPr>
                <w:sz w:val="22"/>
                <w:szCs w:val="22"/>
              </w:rPr>
            </w:pPr>
            <w:r>
              <w:rPr>
                <w:rFonts w:hint="eastAsia"/>
                <w:sz w:val="22"/>
                <w:szCs w:val="22"/>
              </w:rPr>
              <w:t>5.2、助手位设有控制按键：具有口腔灯、漱口水、冲盂水以及牙科椅升、降、俯、仰相关功能，定位准确，功能丰富，有效提升助手工作效率。</w:t>
            </w:r>
          </w:p>
          <w:p>
            <w:pPr>
              <w:rPr>
                <w:sz w:val="22"/>
                <w:szCs w:val="22"/>
              </w:rPr>
            </w:pPr>
            <w:r>
              <w:rPr>
                <w:rFonts w:hint="eastAsia"/>
                <w:sz w:val="22"/>
                <w:szCs w:val="22"/>
              </w:rPr>
              <w:t>5.3、助手单元有4个器械挂架：三用枪、强吸、弱吸、光固化（预留），满足助手配合治疗的操作需求。</w:t>
            </w:r>
          </w:p>
          <w:p>
            <w:pPr>
              <w:rPr>
                <w:sz w:val="22"/>
                <w:szCs w:val="22"/>
              </w:rPr>
            </w:pPr>
            <w:r>
              <w:rPr>
                <w:rFonts w:hint="eastAsia"/>
                <w:sz w:val="22"/>
                <w:szCs w:val="22"/>
              </w:rPr>
              <w:t>6、感应式LED口腔灯：</w:t>
            </w:r>
          </w:p>
          <w:p>
            <w:pPr>
              <w:rPr>
                <w:sz w:val="22"/>
                <w:szCs w:val="22"/>
              </w:rPr>
            </w:pPr>
            <w:r>
              <w:rPr>
                <w:rFonts w:hint="eastAsia"/>
                <w:sz w:val="22"/>
                <w:szCs w:val="22"/>
              </w:rPr>
              <w:t>6.1、操作模式：红外感应控制和手动扳柄开关。</w:t>
            </w:r>
          </w:p>
          <w:p>
            <w:pPr>
              <w:rPr>
                <w:sz w:val="22"/>
                <w:szCs w:val="22"/>
              </w:rPr>
            </w:pPr>
            <w:r>
              <w:rPr>
                <w:rFonts w:hint="eastAsia"/>
                <w:sz w:val="22"/>
                <w:szCs w:val="22"/>
              </w:rPr>
              <w:t>6.2、口腔灯开启与关闭可通过灯底部感应点、灯的手动扳柄、医生控制台、助手控制台四个位置，方便医生操作。</w:t>
            </w:r>
          </w:p>
          <w:p>
            <w:pPr>
              <w:rPr>
                <w:sz w:val="22"/>
                <w:szCs w:val="22"/>
              </w:rPr>
            </w:pPr>
            <w:r>
              <w:rPr>
                <w:rFonts w:hint="eastAsia"/>
                <w:sz w:val="22"/>
                <w:szCs w:val="22"/>
              </w:rPr>
              <w:t>6.3、口腔灯采用无级调光，光照柔和，长时间使用不废眼。</w:t>
            </w:r>
          </w:p>
          <w:p>
            <w:pPr>
              <w:rPr>
                <w:sz w:val="22"/>
                <w:szCs w:val="22"/>
              </w:rPr>
            </w:pPr>
            <w:r>
              <w:rPr>
                <w:rFonts w:hint="eastAsia"/>
                <w:sz w:val="22"/>
                <w:szCs w:val="22"/>
              </w:rPr>
              <w:t>6.4、口腔灯电压：AC12V-16V；功率：10W；照度：3200lux—28000lux；色温：5000K；感应范围：10cm以内。</w:t>
            </w:r>
          </w:p>
          <w:p>
            <w:pPr>
              <w:rPr>
                <w:sz w:val="22"/>
                <w:szCs w:val="22"/>
              </w:rPr>
            </w:pPr>
            <w:r>
              <w:rPr>
                <w:rFonts w:hint="eastAsia"/>
                <w:sz w:val="22"/>
                <w:szCs w:val="22"/>
              </w:rPr>
              <w:t>6.5、口腔灯把手方便拉伸、锁定，手柄外套可拆卸，可高温消毒，避免交叉感染。</w:t>
            </w:r>
          </w:p>
          <w:p>
            <w:pPr>
              <w:rPr>
                <w:sz w:val="22"/>
                <w:szCs w:val="22"/>
              </w:rPr>
            </w:pPr>
            <w:r>
              <w:rPr>
                <w:rFonts w:hint="eastAsia"/>
                <w:sz w:val="22"/>
                <w:szCs w:val="22"/>
              </w:rPr>
              <w:t>7、痰盂：一体式陶瓷痰盂，可随主箱体旋转90°，下水流畅，方便拆卸，易清洁消毒，方便患者漱口吐痰使用。</w:t>
            </w:r>
          </w:p>
          <w:p>
            <w:pPr>
              <w:rPr>
                <w:sz w:val="22"/>
                <w:szCs w:val="22"/>
              </w:rPr>
            </w:pPr>
            <w:r>
              <w:rPr>
                <w:rFonts w:hint="eastAsia"/>
                <w:sz w:val="22"/>
                <w:szCs w:val="22"/>
              </w:rPr>
              <w:t>8、器械盘：</w:t>
            </w:r>
          </w:p>
          <w:p>
            <w:pPr>
              <w:rPr>
                <w:sz w:val="22"/>
                <w:szCs w:val="22"/>
              </w:rPr>
            </w:pPr>
            <w:r>
              <w:rPr>
                <w:rFonts w:hint="eastAsia"/>
                <w:sz w:val="22"/>
                <w:szCs w:val="22"/>
              </w:rPr>
              <w:t>8.1、超大器械盘，可承载≥1.5千克。配有透明整体防污罩,防污罩可以对器械盘进行保护及防止交叉感染。</w:t>
            </w:r>
          </w:p>
          <w:p>
            <w:pPr>
              <w:rPr>
                <w:sz w:val="22"/>
                <w:szCs w:val="22"/>
              </w:rPr>
            </w:pPr>
            <w:r>
              <w:rPr>
                <w:rFonts w:hint="eastAsia"/>
                <w:sz w:val="22"/>
                <w:szCs w:val="22"/>
              </w:rPr>
              <w:t>8.2、采用气压锁定装置，可精准、轻松定位器械盘高度。</w:t>
            </w:r>
          </w:p>
          <w:p>
            <w:pPr>
              <w:rPr>
                <w:sz w:val="22"/>
                <w:szCs w:val="22"/>
              </w:rPr>
            </w:pPr>
            <w:r>
              <w:rPr>
                <w:rFonts w:hint="eastAsia"/>
                <w:sz w:val="22"/>
                <w:szCs w:val="22"/>
              </w:rPr>
              <w:t>8.3、设有总气开关，可轻松控制治疗机水、气、电。</w:t>
            </w:r>
          </w:p>
          <w:p>
            <w:pPr>
              <w:rPr>
                <w:sz w:val="22"/>
                <w:szCs w:val="22"/>
              </w:rPr>
            </w:pPr>
            <w:r>
              <w:rPr>
                <w:rFonts w:hint="eastAsia"/>
                <w:sz w:val="22"/>
                <w:szCs w:val="22"/>
              </w:rPr>
              <w:t>8.4、一体式五联枪架，预留洁牙机升级位，方便医生使用。</w:t>
            </w:r>
          </w:p>
          <w:p>
            <w:pPr>
              <w:rPr>
                <w:sz w:val="22"/>
                <w:szCs w:val="22"/>
              </w:rPr>
            </w:pPr>
            <w:r>
              <w:rPr>
                <w:rFonts w:hint="eastAsia"/>
                <w:sz w:val="22"/>
                <w:szCs w:val="22"/>
              </w:rPr>
              <w:t>8.5、内置有3.5寸安全低压观片灯，采用背光源设计，方便医护人员查看。9、主箱体：采用注塑工艺，方便擦洗消毒。主箱体可向外旋转90°，有效扩大助手配合治疗空间。</w:t>
            </w:r>
          </w:p>
          <w:p>
            <w:pPr>
              <w:rPr>
                <w:sz w:val="22"/>
                <w:szCs w:val="22"/>
              </w:rPr>
            </w:pPr>
            <w:r>
              <w:rPr>
                <w:rFonts w:hint="eastAsia"/>
                <w:sz w:val="22"/>
                <w:szCs w:val="22"/>
              </w:rPr>
              <w:t>10、强、弱吸吸唾系统：外置式强、弱吸插拔装置，配有强、弱吸清洗过滤网，方便拆卸和清洗消毒。</w:t>
            </w:r>
          </w:p>
          <w:p>
            <w:pPr>
              <w:rPr>
                <w:sz w:val="22"/>
                <w:szCs w:val="22"/>
              </w:rPr>
            </w:pPr>
            <w:r>
              <w:rPr>
                <w:rFonts w:hint="eastAsia"/>
                <w:sz w:val="22"/>
                <w:szCs w:val="22"/>
              </w:rPr>
              <w:t>11、净化水系统：采用手动泻压与增压，可灵活选择自来水或纯净水，也满足管路消毒需要；外置式双纯净水瓶设计，水转换开关和水瓶气开关均外置，方便加水。</w:t>
            </w:r>
          </w:p>
          <w:p>
            <w:pPr>
              <w:rPr>
                <w:sz w:val="22"/>
                <w:szCs w:val="22"/>
              </w:rPr>
            </w:pPr>
            <w:r>
              <w:rPr>
                <w:rFonts w:hint="eastAsia"/>
                <w:sz w:val="22"/>
                <w:szCs w:val="22"/>
              </w:rPr>
              <w:t>12、冲盂漱口定量给水自动控制系统：电磁阀控制冲盂、漱口水，可设定给水时间，漱口水配有可自动加热恒温系统，水温适中，方便患者使用。13、牙科（患者）椅：</w:t>
            </w:r>
          </w:p>
          <w:p>
            <w:pPr>
              <w:rPr>
                <w:sz w:val="22"/>
                <w:szCs w:val="22"/>
              </w:rPr>
            </w:pPr>
            <w:r>
              <w:rPr>
                <w:rFonts w:hint="eastAsia"/>
                <w:sz w:val="22"/>
                <w:szCs w:val="22"/>
              </w:rPr>
              <w:t>13.1、采用直流电机驱动。低噪音，动力稳定，运行平稳。</w:t>
            </w:r>
          </w:p>
          <w:p>
            <w:pPr>
              <w:rPr>
                <w:sz w:val="22"/>
                <w:szCs w:val="22"/>
              </w:rPr>
            </w:pPr>
            <w:r>
              <w:rPr>
                <w:rFonts w:hint="eastAsia"/>
                <w:sz w:val="22"/>
                <w:szCs w:val="22"/>
              </w:rPr>
              <w:t>13.2、牙椅靠背背板为优质钢材制成，靠背背板与牙椅框架整体连接，结实可靠，连接稳固，运行更安全。</w:t>
            </w:r>
          </w:p>
          <w:p>
            <w:pPr>
              <w:rPr>
                <w:sz w:val="22"/>
                <w:szCs w:val="22"/>
              </w:rPr>
            </w:pPr>
            <w:r>
              <w:rPr>
                <w:rFonts w:hint="eastAsia"/>
                <w:sz w:val="22"/>
                <w:szCs w:val="22"/>
              </w:rPr>
              <w:t>13.3、牙椅靠背采用挂钩形式连接，座垫采用搭扣形式连接，免用工具就可方便更换与维修。</w:t>
            </w:r>
          </w:p>
          <w:p>
            <w:pPr>
              <w:rPr>
                <w:sz w:val="22"/>
                <w:szCs w:val="22"/>
              </w:rPr>
            </w:pPr>
            <w:r>
              <w:rPr>
                <w:rFonts w:hint="eastAsia"/>
                <w:sz w:val="22"/>
                <w:szCs w:val="22"/>
              </w:rPr>
              <w:t>13.4、牙椅座椅和靠背联动设计，避免患者背部牵拉及搓背感，靠背运动-10°— 67°，有效提升患者舒适感。</w:t>
            </w:r>
          </w:p>
          <w:p>
            <w:pPr>
              <w:rPr>
                <w:sz w:val="22"/>
                <w:szCs w:val="22"/>
              </w:rPr>
            </w:pPr>
            <w:r>
              <w:rPr>
                <w:rFonts w:hint="eastAsia"/>
                <w:sz w:val="22"/>
                <w:szCs w:val="22"/>
              </w:rPr>
              <w:t>13.5、牙椅运行平稳，启停柔和。牙椅具有抬腿补偿结构，最低椅位：410mm，最高椅位：750mm，方便患者上下牙椅。</w:t>
            </w:r>
          </w:p>
          <w:p>
            <w:pPr>
              <w:rPr>
                <w:sz w:val="22"/>
                <w:szCs w:val="22"/>
              </w:rPr>
            </w:pPr>
            <w:r>
              <w:rPr>
                <w:rFonts w:hint="eastAsia"/>
                <w:sz w:val="22"/>
                <w:szCs w:val="22"/>
              </w:rPr>
              <w:t>13.6、多关节折叠式头枕，可多角度调整并固定头枕，且可拉伸和锁定，伸缩范围达150mm，满足成人和老人、儿童、残障人士使用。</w:t>
            </w:r>
          </w:p>
          <w:p>
            <w:pPr>
              <w:rPr>
                <w:sz w:val="22"/>
                <w:szCs w:val="22"/>
              </w:rPr>
            </w:pPr>
            <w:r>
              <w:rPr>
                <w:rFonts w:hint="eastAsia"/>
                <w:sz w:val="22"/>
                <w:szCs w:val="22"/>
              </w:rPr>
              <w:t>13.7、牙科椅承载能力≥150Kg，满足各类患者治疗使用。牙椅皮垫采用优质皮革面料一次压注成型，柔软舒适耐磨，方便擦洗消毒。</w:t>
            </w:r>
          </w:p>
          <w:p>
            <w:pPr>
              <w:rPr>
                <w:sz w:val="22"/>
                <w:szCs w:val="22"/>
              </w:rPr>
            </w:pPr>
            <w:r>
              <w:rPr>
                <w:rFonts w:hint="eastAsia"/>
                <w:sz w:val="22"/>
                <w:szCs w:val="22"/>
              </w:rPr>
              <w:t>13.8、双扶手设计，外扶手可向下旋转，方便患者治疗和上下牙科椅使用。13.9、牙椅底板罩壳后方设有可控制牙椅升、降、俯、仰运动的球状开关。14、脚开关：可控制高速手机、低速手机、洁牙机等动态器械。</w:t>
            </w:r>
          </w:p>
          <w:p>
            <w:pPr>
              <w:rPr>
                <w:sz w:val="22"/>
                <w:szCs w:val="22"/>
              </w:rPr>
            </w:pPr>
            <w:r>
              <w:rPr>
                <w:rFonts w:hint="eastAsia"/>
                <w:sz w:val="22"/>
                <w:szCs w:val="22"/>
              </w:rPr>
              <w:t>15、全面安全保障控制：</w:t>
            </w:r>
          </w:p>
          <w:p>
            <w:pPr>
              <w:rPr>
                <w:sz w:val="22"/>
                <w:szCs w:val="22"/>
              </w:rPr>
            </w:pPr>
            <w:r>
              <w:rPr>
                <w:rFonts w:hint="eastAsia"/>
                <w:sz w:val="22"/>
                <w:szCs w:val="22"/>
              </w:rPr>
              <w:t>15.1、牙椅具有即停功能：无论牙椅进行任何运动，只要按上主控面板上任意一个椅位键，牙椅运动停止，有效避免意外发生。</w:t>
            </w:r>
          </w:p>
          <w:p>
            <w:pPr>
              <w:rPr>
                <w:sz w:val="22"/>
                <w:szCs w:val="22"/>
              </w:rPr>
            </w:pPr>
            <w:r>
              <w:rPr>
                <w:rFonts w:hint="eastAsia"/>
                <w:sz w:val="22"/>
                <w:szCs w:val="22"/>
              </w:rPr>
              <w:t>15.2、当手机工作时，牙科椅被自动锁定，有效避免误操作带来的安全隐患。</w:t>
            </w:r>
          </w:p>
          <w:p>
            <w:pPr>
              <w:rPr>
                <w:sz w:val="22"/>
                <w:szCs w:val="22"/>
              </w:rPr>
            </w:pPr>
            <w:r>
              <w:rPr>
                <w:rFonts w:hint="eastAsia"/>
                <w:sz w:val="22"/>
                <w:szCs w:val="22"/>
              </w:rPr>
              <w:t>15.3、设置负载短路及过载保护，保证了设备电气的使用安全。</w:t>
            </w:r>
          </w:p>
          <w:p>
            <w:pPr>
              <w:rPr>
                <w:sz w:val="22"/>
                <w:szCs w:val="22"/>
              </w:rPr>
            </w:pPr>
            <w:r>
              <w:rPr>
                <w:rFonts w:hint="eastAsia"/>
                <w:sz w:val="22"/>
                <w:szCs w:val="22"/>
              </w:rPr>
              <w:t>15.4、急停功能：无论牙科椅处于任何运动或静止状态，只要按下后罩壳左侧的急停开关，牙科椅将断开供电，所有功能停止运作；按照急停开关上标示方向旋转急停开关，牙科椅恢复供电，所有功能恢复。</w:t>
            </w:r>
          </w:p>
          <w:p>
            <w:pPr>
              <w:rPr>
                <w:sz w:val="22"/>
                <w:szCs w:val="22"/>
              </w:rPr>
            </w:pPr>
            <w:r>
              <w:rPr>
                <w:rFonts w:hint="eastAsia"/>
                <w:sz w:val="22"/>
                <w:szCs w:val="22"/>
              </w:rPr>
              <w:t>16、医生座椅1把：座椅高度可调节，最低椅位425mm，行程120mm，座垫可在水平面内360°灵活旋转；座垫旋转靠背旋转采用不同轴，其独特的偏心结构使得医生乘座转动靠背时有收腰的感觉，符合人体工程学设计。</w:t>
            </w:r>
          </w:p>
        </w:tc>
        <w:tc>
          <w:tcPr>
            <w:tcW w:w="1176" w:type="dxa"/>
            <w:vAlign w:val="center"/>
          </w:tcPr>
          <w:p>
            <w:pPr>
              <w:jc w:val="center"/>
              <w:rPr>
                <w:rFonts w:ascii="宋体" w:hAnsi="宋体" w:eastAsia="宋体" w:cs="宋体"/>
                <w:sz w:val="22"/>
                <w:szCs w:val="22"/>
              </w:rPr>
            </w:pPr>
            <w:r>
              <w:rPr>
                <w:rFonts w:hint="eastAsia"/>
                <w:sz w:val="22"/>
                <w:szCs w:val="22"/>
              </w:rPr>
              <w:t>4</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4</w:t>
            </w:r>
          </w:p>
        </w:tc>
        <w:tc>
          <w:tcPr>
            <w:tcW w:w="1200" w:type="dxa"/>
            <w:vAlign w:val="center"/>
          </w:tcPr>
          <w:p>
            <w:pPr>
              <w:rPr>
                <w:rFonts w:ascii="宋体" w:hAnsi="宋体" w:eastAsia="宋体" w:cs="宋体"/>
                <w:sz w:val="22"/>
                <w:szCs w:val="22"/>
              </w:rPr>
            </w:pPr>
            <w:r>
              <w:rPr>
                <w:rFonts w:hint="eastAsia"/>
                <w:sz w:val="22"/>
                <w:szCs w:val="22"/>
              </w:rPr>
              <w:t>多功能口腔综合治疗台（VIP）</w:t>
            </w:r>
          </w:p>
        </w:tc>
        <w:tc>
          <w:tcPr>
            <w:tcW w:w="7260" w:type="dxa"/>
            <w:vAlign w:val="center"/>
          </w:tcPr>
          <w:p>
            <w:pPr>
              <w:rPr>
                <w:sz w:val="20"/>
                <w:szCs w:val="20"/>
              </w:rPr>
            </w:pPr>
            <w:r>
              <w:rPr>
                <w:rFonts w:hint="eastAsia"/>
                <w:sz w:val="20"/>
                <w:szCs w:val="20"/>
              </w:rPr>
              <w:t>一、产品工作条件：</w:t>
            </w:r>
          </w:p>
          <w:p>
            <w:pPr>
              <w:rPr>
                <w:sz w:val="20"/>
                <w:szCs w:val="20"/>
              </w:rPr>
            </w:pPr>
            <w:r>
              <w:rPr>
                <w:rFonts w:hint="eastAsia"/>
                <w:sz w:val="20"/>
                <w:szCs w:val="20"/>
              </w:rPr>
              <w:t>1、额定电压：频率：220V，50Hz。</w:t>
            </w:r>
          </w:p>
          <w:p>
            <w:pPr>
              <w:rPr>
                <w:sz w:val="20"/>
                <w:szCs w:val="20"/>
              </w:rPr>
            </w:pPr>
            <w:r>
              <w:rPr>
                <w:rFonts w:hint="eastAsia"/>
                <w:sz w:val="20"/>
                <w:szCs w:val="20"/>
              </w:rPr>
              <w:t>2、气源气压：0.6Mpa-0.8Mpa。</w:t>
            </w:r>
          </w:p>
          <w:p>
            <w:pPr>
              <w:rPr>
                <w:sz w:val="20"/>
                <w:szCs w:val="20"/>
              </w:rPr>
            </w:pPr>
            <w:r>
              <w:rPr>
                <w:rFonts w:hint="eastAsia"/>
                <w:sz w:val="20"/>
                <w:szCs w:val="20"/>
              </w:rPr>
              <w:t>3、水源水压：0.2Mpa-0.4Mpa。</w:t>
            </w:r>
          </w:p>
          <w:p>
            <w:pPr>
              <w:rPr>
                <w:sz w:val="20"/>
                <w:szCs w:val="20"/>
              </w:rPr>
            </w:pPr>
            <w:r>
              <w:rPr>
                <w:rFonts w:hint="eastAsia"/>
                <w:sz w:val="20"/>
                <w:szCs w:val="20"/>
              </w:rPr>
              <w:t>4、环境温度：5℃～40℃。</w:t>
            </w:r>
          </w:p>
          <w:p>
            <w:pPr>
              <w:rPr>
                <w:sz w:val="20"/>
                <w:szCs w:val="20"/>
              </w:rPr>
            </w:pPr>
            <w:r>
              <w:rPr>
                <w:rFonts w:hint="eastAsia"/>
                <w:sz w:val="20"/>
                <w:szCs w:val="20"/>
              </w:rPr>
              <w:t>5、大气压力：700hPa～1060hPa。</w:t>
            </w:r>
          </w:p>
          <w:p>
            <w:pPr>
              <w:rPr>
                <w:sz w:val="20"/>
                <w:szCs w:val="20"/>
              </w:rPr>
            </w:pPr>
            <w:r>
              <w:rPr>
                <w:rFonts w:hint="eastAsia"/>
                <w:sz w:val="20"/>
                <w:szCs w:val="20"/>
              </w:rPr>
              <w:t>6、分体式设计，落地式地箱。</w:t>
            </w:r>
          </w:p>
          <w:p>
            <w:pPr>
              <w:rPr>
                <w:sz w:val="20"/>
                <w:szCs w:val="20"/>
              </w:rPr>
            </w:pPr>
            <w:r>
              <w:rPr>
                <w:rFonts w:hint="eastAsia"/>
                <w:sz w:val="20"/>
                <w:szCs w:val="20"/>
              </w:rPr>
              <w:t>二、产品功能参数：</w:t>
            </w:r>
          </w:p>
          <w:p>
            <w:pPr>
              <w:rPr>
                <w:sz w:val="20"/>
                <w:szCs w:val="20"/>
              </w:rPr>
            </w:pPr>
            <w:r>
              <w:rPr>
                <w:rFonts w:hint="eastAsia"/>
                <w:sz w:val="20"/>
                <w:szCs w:val="20"/>
              </w:rPr>
              <w:t>1、国产光纤高速手机1支：机头采用数控加工一体结构，陶瓷球轴承。带光快换接头式，具有水路“防回吸”功能，防止交叉感染。端面四孔喷雾,最佳冷却效果接头后置式长寿命的LED光源，配合石英光导棒，光照度大于25000lux，且不会因为高温消毒而衰减，可进行135℃高温高压蒸汽灭菌。</w:t>
            </w:r>
          </w:p>
          <w:p>
            <w:pPr>
              <w:rPr>
                <w:sz w:val="20"/>
                <w:szCs w:val="20"/>
              </w:rPr>
            </w:pPr>
            <w:r>
              <w:rPr>
                <w:rFonts w:hint="eastAsia"/>
                <w:sz w:val="20"/>
                <w:szCs w:val="20"/>
              </w:rPr>
              <w:t xml:space="preserve"> 2、气动高速手机1支：转速≥310000转/分钟，可进行135℃高温和真空灭菌消毒。</w:t>
            </w:r>
          </w:p>
          <w:p>
            <w:pPr>
              <w:rPr>
                <w:sz w:val="20"/>
                <w:szCs w:val="20"/>
              </w:rPr>
            </w:pPr>
            <w:r>
              <w:rPr>
                <w:rFonts w:hint="eastAsia"/>
                <w:sz w:val="20"/>
                <w:szCs w:val="20"/>
              </w:rPr>
              <w:t>3、气动低速手机1套：含直、弯机，转速≥20000转/分钟，可进行135℃高温和真空灭菌消毒。</w:t>
            </w:r>
          </w:p>
          <w:p>
            <w:pPr>
              <w:rPr>
                <w:sz w:val="20"/>
                <w:szCs w:val="20"/>
              </w:rPr>
            </w:pPr>
            <w:r>
              <w:rPr>
                <w:rFonts w:hint="eastAsia"/>
                <w:sz w:val="20"/>
                <w:szCs w:val="20"/>
              </w:rPr>
              <w:t xml:space="preserve"> 4、内置式洁牙机1支：工作电压：24V 50Hz，尖端主振动偏移：≤100μm。尖端振动频率：2.9kHz±3kHz。输出的半偏移力：G1尖＜3.5N，G2尖＜4N，P1尖＜3N，P3尖＜3N。进水压力：0.1bar-5bar (0.01Mpa-0.5Mpa)，工作时需持续通水。工作方式：连续操作。电气安全类型：Ⅱ类普通型设备，应用部分为B型。</w:t>
            </w:r>
          </w:p>
          <w:p>
            <w:pPr>
              <w:rPr>
                <w:sz w:val="20"/>
                <w:szCs w:val="20"/>
              </w:rPr>
            </w:pPr>
            <w:r>
              <w:rPr>
                <w:rFonts w:hint="eastAsia"/>
                <w:sz w:val="20"/>
                <w:szCs w:val="20"/>
              </w:rPr>
              <w:t>5、内置式光固化机1支：电源适配器电源输入：24V 50/60Hz；功率消耗：≤20VA。光谱特性：光谱范围430-490nm。工作定时：20秒(5秒鸣响一次)。固化深度：20秒固化树脂深度大于3mm。间歇周期：间歇运行，运行3分钟间隙1分钟。电气安全类型：Ⅱ类普通型设备，应用部分为B型。</w:t>
            </w:r>
          </w:p>
          <w:p>
            <w:pPr>
              <w:rPr>
                <w:sz w:val="20"/>
                <w:szCs w:val="20"/>
              </w:rPr>
            </w:pPr>
            <w:r>
              <w:rPr>
                <w:rFonts w:hint="eastAsia"/>
                <w:sz w:val="20"/>
                <w:szCs w:val="20"/>
              </w:rPr>
              <w:t>6、口腔内窥镜系统1套：系统采用高清晰度CCD进行图像采集，并具有自动对焦功能。照明系统采用6颗高亮度白光LED进行照明。手柄上配有5个按键可控制所有功能：定格/储存，全屏/四分屏，查看上一张，下一张，删除。系统采用17寸高清液晶显示器；液晶屏表面另附加一层医疗级钢化玻璃可用医用酒精擦拭并防止刮花。液晶显示器具有多媒体播放功能，可直接接入MP3、U盘等设备，播放电影、音乐和JPG格式图片。系统支持：多媒体功能：USB VGA HDMI 视频输入功能。系统标配WIFI发射器，可使高清影像传输至计算机保存并管理。系统语言支持：中文、英文。显示器分辨率：</w:t>
            </w:r>
            <w:r>
              <w:rPr>
                <w:rFonts w:hint="eastAsia"/>
                <w:sz w:val="22"/>
                <w:szCs w:val="22"/>
              </w:rPr>
              <w:t>≥</w:t>
            </w:r>
            <w:r>
              <w:rPr>
                <w:rFonts w:hint="eastAsia"/>
                <w:sz w:val="20"/>
                <w:szCs w:val="20"/>
              </w:rPr>
              <w:t>1280*1024。</w:t>
            </w:r>
          </w:p>
          <w:p>
            <w:pPr>
              <w:rPr>
                <w:sz w:val="20"/>
                <w:szCs w:val="20"/>
              </w:rPr>
            </w:pPr>
            <w:r>
              <w:rPr>
                <w:rFonts w:hint="eastAsia"/>
                <w:sz w:val="20"/>
                <w:szCs w:val="20"/>
              </w:rPr>
              <w:t>7、三用枪2支：可喷水、气、雾，枪头可进行135℃高温和真空灭菌消毒。</w:t>
            </w:r>
          </w:p>
          <w:p>
            <w:pPr>
              <w:rPr>
                <w:sz w:val="20"/>
                <w:szCs w:val="20"/>
              </w:rPr>
            </w:pPr>
            <w:r>
              <w:rPr>
                <w:rFonts w:hint="eastAsia"/>
                <w:sz w:val="20"/>
                <w:szCs w:val="20"/>
              </w:rPr>
              <w:t>8、医生操作台：</w:t>
            </w:r>
          </w:p>
          <w:p>
            <w:pPr>
              <w:rPr>
                <w:sz w:val="20"/>
                <w:szCs w:val="20"/>
              </w:rPr>
            </w:pPr>
            <w:r>
              <w:rPr>
                <w:rFonts w:hint="eastAsia"/>
                <w:sz w:val="20"/>
                <w:szCs w:val="20"/>
              </w:rPr>
              <w:t>8.1、医生操作台配有7寸触控式液晶显示屏，安卓界面，操作简单流畅，功能丰富，包括：加热键、口腔灯键、冲盂键、漱口水键、痰位键、管路消毒键、呼叫铃键、闹钟键、急救位键、参数设置键、复位键、医生选择键、牙椅升、降、俯、仰键、3组医生椅位记忆按键（椅位记忆1、椅位记忆2、椅位记忆3，每组可独立设置3个记忆椅位），定位准确，功能丰富，有效提升医生工作效率。</w:t>
            </w:r>
          </w:p>
          <w:p>
            <w:pPr>
              <w:rPr>
                <w:sz w:val="20"/>
                <w:szCs w:val="20"/>
              </w:rPr>
            </w:pPr>
            <w:r>
              <w:rPr>
                <w:rFonts w:hint="eastAsia"/>
                <w:sz w:val="20"/>
                <w:szCs w:val="20"/>
              </w:rPr>
              <w:t>8.2、具备WIFI功能，可方便连接可用的WIFI，轻松实现设备互联互通。</w:t>
            </w:r>
          </w:p>
          <w:p>
            <w:pPr>
              <w:rPr>
                <w:sz w:val="20"/>
                <w:szCs w:val="20"/>
              </w:rPr>
            </w:pPr>
            <w:r>
              <w:rPr>
                <w:rFonts w:hint="eastAsia"/>
                <w:sz w:val="20"/>
                <w:szCs w:val="20"/>
              </w:rPr>
              <w:t>8.3、在参数设置界面中，可分别进行漱口水参数设置、冲盂时间设置、光纤手机灯亮度设置、椅位设置、观片灯延时设置、联动状态设置、系统设置、故障信息查看、故障清除等界面。</w:t>
            </w:r>
          </w:p>
          <w:p>
            <w:pPr>
              <w:rPr>
                <w:sz w:val="20"/>
                <w:szCs w:val="20"/>
              </w:rPr>
            </w:pPr>
            <w:r>
              <w:rPr>
                <w:rFonts w:hint="eastAsia"/>
                <w:sz w:val="20"/>
                <w:szCs w:val="20"/>
              </w:rPr>
              <w:t>8.4、具备一键急救功能，有效防止突发状况发生。</w:t>
            </w:r>
          </w:p>
          <w:p>
            <w:pPr>
              <w:rPr>
                <w:sz w:val="20"/>
                <w:szCs w:val="20"/>
              </w:rPr>
            </w:pPr>
            <w:r>
              <w:rPr>
                <w:rFonts w:hint="eastAsia"/>
                <w:sz w:val="20"/>
                <w:szCs w:val="20"/>
              </w:rPr>
              <w:t>8.5、具备通过人机语音智能交互实现设备控制及音乐播放和切换功能。</w:t>
            </w:r>
          </w:p>
          <w:p>
            <w:pPr>
              <w:rPr>
                <w:sz w:val="20"/>
                <w:szCs w:val="20"/>
              </w:rPr>
            </w:pPr>
            <w:r>
              <w:rPr>
                <w:rFonts w:hint="eastAsia"/>
                <w:sz w:val="20"/>
                <w:szCs w:val="20"/>
              </w:rPr>
              <w:t>8.6、具备同步显示冲盂、漱口状态、水杯加热状态；具有故障数字代码显示、当前用户显示等，可协助医护人员、维护人员参数功能操作设置或排除故障，提高工作效率。</w:t>
            </w:r>
          </w:p>
          <w:p>
            <w:pPr>
              <w:rPr>
                <w:sz w:val="20"/>
                <w:szCs w:val="20"/>
              </w:rPr>
            </w:pPr>
            <w:r>
              <w:rPr>
                <w:rFonts w:hint="eastAsia"/>
                <w:sz w:val="20"/>
                <w:szCs w:val="20"/>
              </w:rPr>
              <w:t>8.7、当拿起牙科手机时，可显示和调整牙科手机的转速、光纤灯开闭等工作状态。9、助手操作台：</w:t>
            </w:r>
          </w:p>
          <w:p>
            <w:pPr>
              <w:rPr>
                <w:sz w:val="20"/>
                <w:szCs w:val="20"/>
              </w:rPr>
            </w:pPr>
            <w:r>
              <w:rPr>
                <w:rFonts w:hint="eastAsia"/>
                <w:sz w:val="20"/>
                <w:szCs w:val="20"/>
              </w:rPr>
              <w:t>9.1、三关节旋转式助手架，具有避让功能：当助手架转臂向椅侧旋转一定角度，牙椅开始椅面锁定，不再上升；恢复起始位置后，牙椅椅面恢复，正常运动，方便四手操作，扩大助手诊疗范围。</w:t>
            </w:r>
          </w:p>
          <w:p>
            <w:pPr>
              <w:rPr>
                <w:sz w:val="20"/>
                <w:szCs w:val="20"/>
              </w:rPr>
            </w:pPr>
            <w:r>
              <w:rPr>
                <w:rFonts w:hint="eastAsia"/>
                <w:sz w:val="20"/>
                <w:szCs w:val="20"/>
              </w:rPr>
              <w:t>9.2、助手位设有感应触摸按键：具有口腔灯、观片灯、漱口水、冲盂水、加热水、呼叫铃键、急救位键、痰位键、复位键以及牙科椅升、降、俯、仰、3组医生椅位记忆按键（椅位记忆1、椅位记忆2、椅位记忆3，每组可独立设置3个记忆椅位）相关功能，定位准确，功能丰富，有效提升助手工作效率。</w:t>
            </w:r>
          </w:p>
          <w:p>
            <w:pPr>
              <w:rPr>
                <w:sz w:val="20"/>
                <w:szCs w:val="20"/>
              </w:rPr>
            </w:pPr>
            <w:r>
              <w:rPr>
                <w:rFonts w:hint="eastAsia"/>
                <w:sz w:val="20"/>
                <w:szCs w:val="20"/>
              </w:rPr>
              <w:t>9.3、助手单元有4个器械挂架：三用枪、强吸、弱吸、光固化（预留），采用光电开关无接触控制，满足助手配合治疗的操作需求。</w:t>
            </w:r>
          </w:p>
          <w:p>
            <w:pPr>
              <w:rPr>
                <w:sz w:val="20"/>
                <w:szCs w:val="20"/>
              </w:rPr>
            </w:pPr>
            <w:r>
              <w:rPr>
                <w:rFonts w:hint="eastAsia"/>
                <w:sz w:val="20"/>
                <w:szCs w:val="20"/>
              </w:rPr>
              <w:t>9.4、助手单元内置有</w:t>
            </w:r>
            <w:r>
              <w:rPr>
                <w:rFonts w:hint="eastAsia"/>
                <w:sz w:val="22"/>
                <w:szCs w:val="22"/>
              </w:rPr>
              <w:t>≥</w:t>
            </w:r>
            <w:r>
              <w:rPr>
                <w:rFonts w:hint="eastAsia"/>
                <w:sz w:val="20"/>
                <w:szCs w:val="20"/>
              </w:rPr>
              <w:t>3.5寸安全低压观片灯，采用背光源设计，方便医护人员查看。</w:t>
            </w:r>
          </w:p>
          <w:p>
            <w:pPr>
              <w:rPr>
                <w:sz w:val="20"/>
                <w:szCs w:val="20"/>
              </w:rPr>
            </w:pPr>
            <w:r>
              <w:rPr>
                <w:rFonts w:hint="eastAsia"/>
                <w:sz w:val="20"/>
                <w:szCs w:val="20"/>
              </w:rPr>
              <w:t>9.5、助手操作台上方置物台面，承重</w:t>
            </w:r>
            <w:r>
              <w:rPr>
                <w:rFonts w:hint="eastAsia"/>
                <w:sz w:val="22"/>
                <w:szCs w:val="22"/>
              </w:rPr>
              <w:t>≥</w:t>
            </w:r>
            <w:r>
              <w:rPr>
                <w:rFonts w:hint="eastAsia"/>
                <w:sz w:val="20"/>
                <w:szCs w:val="20"/>
              </w:rPr>
              <w:t>1千克，配有硅胶垫，可135℃高温高压蒸汽灭菌，保护台面干净，避免交叉感染。</w:t>
            </w:r>
          </w:p>
          <w:p>
            <w:pPr>
              <w:rPr>
                <w:sz w:val="20"/>
                <w:szCs w:val="20"/>
              </w:rPr>
            </w:pPr>
            <w:r>
              <w:rPr>
                <w:rFonts w:hint="eastAsia"/>
                <w:sz w:val="20"/>
                <w:szCs w:val="20"/>
              </w:rPr>
              <w:t>9.6、助手架高度可五档循环调节，每档位置可靠。最高档位至最低档位转换灵活，高度调节行程为250mm。</w:t>
            </w:r>
          </w:p>
          <w:p>
            <w:pPr>
              <w:rPr>
                <w:sz w:val="20"/>
                <w:szCs w:val="20"/>
              </w:rPr>
            </w:pPr>
            <w:r>
              <w:rPr>
                <w:rFonts w:hint="eastAsia"/>
                <w:sz w:val="20"/>
                <w:szCs w:val="20"/>
              </w:rPr>
              <w:t>10、品牌感应式LED口腔灯：</w:t>
            </w:r>
          </w:p>
          <w:p>
            <w:pPr>
              <w:rPr>
                <w:sz w:val="20"/>
                <w:szCs w:val="20"/>
              </w:rPr>
            </w:pPr>
            <w:r>
              <w:rPr>
                <w:rFonts w:hint="eastAsia"/>
                <w:sz w:val="20"/>
                <w:szCs w:val="20"/>
              </w:rPr>
              <w:t>10.1、操作模式：自动感应。</w:t>
            </w:r>
          </w:p>
          <w:p>
            <w:pPr>
              <w:rPr>
                <w:sz w:val="20"/>
                <w:szCs w:val="20"/>
              </w:rPr>
            </w:pPr>
            <w:r>
              <w:rPr>
                <w:rFonts w:hint="eastAsia"/>
                <w:sz w:val="20"/>
                <w:szCs w:val="20"/>
              </w:rPr>
              <w:t>10.2、口腔灯控制键位于灯的上部、医生控制台、助手控制台、脚控开关四个位置，方便医生操作。</w:t>
            </w:r>
          </w:p>
          <w:p>
            <w:pPr>
              <w:rPr>
                <w:sz w:val="20"/>
                <w:szCs w:val="20"/>
              </w:rPr>
            </w:pPr>
            <w:r>
              <w:rPr>
                <w:rFonts w:hint="eastAsia"/>
                <w:sz w:val="20"/>
                <w:szCs w:val="20"/>
              </w:rPr>
              <w:t>10.3、口腔灯采用无级调光，光照柔和，长时间使用不废眼。</w:t>
            </w:r>
          </w:p>
          <w:p>
            <w:pPr>
              <w:rPr>
                <w:sz w:val="20"/>
                <w:szCs w:val="20"/>
              </w:rPr>
            </w:pPr>
            <w:r>
              <w:rPr>
                <w:rFonts w:hint="eastAsia"/>
                <w:sz w:val="20"/>
                <w:szCs w:val="20"/>
              </w:rPr>
              <w:t>10.4、口腔灯电压：AC12V-24V；功率：8W；照度：3000lux—35000lux；色温：5000K；光斑：150X80mm。</w:t>
            </w:r>
          </w:p>
          <w:p>
            <w:pPr>
              <w:rPr>
                <w:sz w:val="20"/>
                <w:szCs w:val="20"/>
              </w:rPr>
            </w:pPr>
            <w:r>
              <w:rPr>
                <w:rFonts w:hint="eastAsia"/>
                <w:sz w:val="20"/>
                <w:szCs w:val="20"/>
              </w:rPr>
              <w:t>10.5、口腔灯把手方便拉伸、锁定和拆卸，可高温消毒，避免交叉感染。</w:t>
            </w:r>
          </w:p>
          <w:p>
            <w:pPr>
              <w:rPr>
                <w:sz w:val="20"/>
                <w:szCs w:val="20"/>
              </w:rPr>
            </w:pPr>
            <w:r>
              <w:rPr>
                <w:rFonts w:hint="eastAsia"/>
                <w:sz w:val="20"/>
                <w:szCs w:val="20"/>
              </w:rPr>
              <w:t>11、痰盂：</w:t>
            </w:r>
          </w:p>
          <w:p>
            <w:pPr>
              <w:rPr>
                <w:sz w:val="20"/>
                <w:szCs w:val="20"/>
              </w:rPr>
            </w:pPr>
            <w:r>
              <w:rPr>
                <w:rFonts w:hint="eastAsia"/>
                <w:sz w:val="20"/>
                <w:szCs w:val="20"/>
              </w:rPr>
              <w:t>11.1、一体式碗式陶瓷漱口盆，易清洁消毒。可向患者位旋转90°，方便患者漱口吐痰使用。</w:t>
            </w:r>
          </w:p>
          <w:p>
            <w:pPr>
              <w:rPr>
                <w:sz w:val="20"/>
                <w:szCs w:val="20"/>
              </w:rPr>
            </w:pPr>
            <w:r>
              <w:rPr>
                <w:rFonts w:hint="eastAsia"/>
                <w:sz w:val="20"/>
                <w:szCs w:val="20"/>
              </w:rPr>
              <w:t>11.2、痰盂可插拔拆装，便于清洗、更换。</w:t>
            </w:r>
          </w:p>
          <w:p>
            <w:pPr>
              <w:rPr>
                <w:sz w:val="20"/>
                <w:szCs w:val="20"/>
              </w:rPr>
            </w:pPr>
            <w:r>
              <w:rPr>
                <w:rFonts w:hint="eastAsia"/>
                <w:sz w:val="20"/>
                <w:szCs w:val="20"/>
              </w:rPr>
              <w:t>11.3、漱口水具有手动出水和感应出水两种方式，方便患者漱口吐痰使用。</w:t>
            </w:r>
          </w:p>
          <w:p>
            <w:pPr>
              <w:rPr>
                <w:sz w:val="20"/>
                <w:szCs w:val="20"/>
              </w:rPr>
            </w:pPr>
            <w:r>
              <w:rPr>
                <w:rFonts w:hint="eastAsia"/>
                <w:sz w:val="20"/>
                <w:szCs w:val="20"/>
              </w:rPr>
              <w:t>11.4、具有痰盂避让功能：痰盂向椅侧旋转一定角度，牙椅开始椅面锁定，不再上升；恢复起始位置后，牙椅椅面恢复正常动作。</w:t>
            </w:r>
          </w:p>
          <w:p>
            <w:pPr>
              <w:rPr>
                <w:sz w:val="20"/>
                <w:szCs w:val="20"/>
              </w:rPr>
            </w:pPr>
            <w:r>
              <w:rPr>
                <w:rFonts w:hint="eastAsia"/>
                <w:sz w:val="20"/>
                <w:szCs w:val="20"/>
              </w:rPr>
              <w:t>12、器械盘：</w:t>
            </w:r>
          </w:p>
          <w:p>
            <w:pPr>
              <w:rPr>
                <w:sz w:val="20"/>
                <w:szCs w:val="20"/>
              </w:rPr>
            </w:pPr>
            <w:r>
              <w:rPr>
                <w:rFonts w:hint="eastAsia"/>
                <w:sz w:val="20"/>
                <w:szCs w:val="20"/>
              </w:rPr>
              <w:t>12.1、超大器械盘，尺寸：</w:t>
            </w:r>
            <w:r>
              <w:rPr>
                <w:rFonts w:hint="eastAsia"/>
                <w:sz w:val="22"/>
                <w:szCs w:val="22"/>
              </w:rPr>
              <w:t>≥</w:t>
            </w:r>
            <w:r>
              <w:rPr>
                <w:rFonts w:hint="eastAsia"/>
                <w:sz w:val="20"/>
                <w:szCs w:val="20"/>
              </w:rPr>
              <w:t>404mm（长）X 324mm（宽），可承载</w:t>
            </w:r>
            <w:r>
              <w:rPr>
                <w:rFonts w:hint="eastAsia"/>
                <w:sz w:val="22"/>
                <w:szCs w:val="22"/>
              </w:rPr>
              <w:t>≥</w:t>
            </w:r>
            <w:r>
              <w:rPr>
                <w:rFonts w:hint="eastAsia"/>
                <w:sz w:val="20"/>
                <w:szCs w:val="20"/>
              </w:rPr>
              <w:t>1.5千克。配有硅胶垫，可135℃高温高压蒸汽灭菌，保护台面干净，避免交叉感染。</w:t>
            </w:r>
          </w:p>
          <w:p>
            <w:pPr>
              <w:rPr>
                <w:sz w:val="20"/>
                <w:szCs w:val="20"/>
              </w:rPr>
            </w:pPr>
            <w:r>
              <w:rPr>
                <w:rFonts w:hint="eastAsia"/>
                <w:sz w:val="20"/>
                <w:szCs w:val="20"/>
              </w:rPr>
              <w:t>12.2、具备感应刹车控制，可精准、轻松调节器械盘高度。</w:t>
            </w:r>
          </w:p>
          <w:p>
            <w:pPr>
              <w:rPr>
                <w:sz w:val="20"/>
                <w:szCs w:val="20"/>
              </w:rPr>
            </w:pPr>
            <w:r>
              <w:rPr>
                <w:rFonts w:hint="eastAsia"/>
                <w:sz w:val="20"/>
                <w:szCs w:val="20"/>
              </w:rPr>
              <w:t>12.3、具备总气开关，可轻松控制治疗机水、气、电。</w:t>
            </w:r>
          </w:p>
          <w:p>
            <w:pPr>
              <w:rPr>
                <w:sz w:val="20"/>
                <w:szCs w:val="20"/>
              </w:rPr>
            </w:pPr>
            <w:r>
              <w:rPr>
                <w:rFonts w:hint="eastAsia"/>
                <w:sz w:val="20"/>
                <w:szCs w:val="20"/>
              </w:rPr>
              <w:t>12.4、一体式五联枪架，预留洁牙机升级位，采用光电开关无接触控制，枪架可旋转30°，方便医生调整器械取放角度。</w:t>
            </w:r>
          </w:p>
          <w:p>
            <w:pPr>
              <w:rPr>
                <w:sz w:val="20"/>
                <w:szCs w:val="20"/>
              </w:rPr>
            </w:pPr>
            <w:r>
              <w:rPr>
                <w:rFonts w:hint="eastAsia"/>
                <w:sz w:val="20"/>
                <w:szCs w:val="20"/>
              </w:rPr>
              <w:t>13、主箱体：</w:t>
            </w:r>
          </w:p>
          <w:p>
            <w:pPr>
              <w:rPr>
                <w:sz w:val="20"/>
                <w:szCs w:val="20"/>
              </w:rPr>
            </w:pPr>
            <w:r>
              <w:rPr>
                <w:rFonts w:hint="eastAsia"/>
                <w:sz w:val="20"/>
                <w:szCs w:val="20"/>
              </w:rPr>
              <w:t>13.1、落地式主箱体，采用注塑工艺，抗黄变设计，方便擦洗消毒。</w:t>
            </w:r>
          </w:p>
          <w:p>
            <w:pPr>
              <w:rPr>
                <w:sz w:val="20"/>
                <w:szCs w:val="20"/>
              </w:rPr>
            </w:pPr>
            <w:r>
              <w:rPr>
                <w:rFonts w:hint="eastAsia"/>
                <w:sz w:val="20"/>
                <w:szCs w:val="20"/>
              </w:rPr>
              <w:t>13.2、主箱体有配有2个USB 数据接口，可用于手机等电子产品充电。</w:t>
            </w:r>
          </w:p>
          <w:p>
            <w:pPr>
              <w:rPr>
                <w:sz w:val="20"/>
                <w:szCs w:val="20"/>
              </w:rPr>
            </w:pPr>
            <w:r>
              <w:rPr>
                <w:rFonts w:hint="eastAsia"/>
                <w:sz w:val="20"/>
                <w:szCs w:val="20"/>
              </w:rPr>
              <w:t>13.3、主箱体侧门开启方式采用铰链结构，可大角度开启。</w:t>
            </w:r>
          </w:p>
          <w:p>
            <w:pPr>
              <w:rPr>
                <w:sz w:val="20"/>
                <w:szCs w:val="20"/>
              </w:rPr>
            </w:pPr>
            <w:r>
              <w:rPr>
                <w:rFonts w:hint="eastAsia"/>
                <w:sz w:val="20"/>
                <w:szCs w:val="20"/>
              </w:rPr>
              <w:t>14、强、弱吸吸唾系统：外置式吸唾过滤器，配有集中抽吸系统，配有清洗过滤网，方便拆卸和清洗消毒。</w:t>
            </w:r>
          </w:p>
          <w:p>
            <w:pPr>
              <w:rPr>
                <w:sz w:val="20"/>
                <w:szCs w:val="20"/>
              </w:rPr>
            </w:pPr>
            <w:r>
              <w:rPr>
                <w:rFonts w:hint="eastAsia"/>
                <w:sz w:val="20"/>
                <w:szCs w:val="20"/>
              </w:rPr>
              <w:t>15、净化水系统：采用手动泻压与增压，可灵活选择自来水或纯净水。</w:t>
            </w:r>
          </w:p>
          <w:p>
            <w:pPr>
              <w:rPr>
                <w:sz w:val="20"/>
                <w:szCs w:val="20"/>
              </w:rPr>
            </w:pPr>
            <w:r>
              <w:rPr>
                <w:rFonts w:hint="eastAsia"/>
                <w:sz w:val="20"/>
                <w:szCs w:val="20"/>
              </w:rPr>
              <w:t>16、冲盂漱口定量给水自动控制系统：品牌电磁阀控制冲盂、漱口水，可设定给水时间，漱口水具有感应式和手控式两种模式取水。漱口水配有可自动加热恒温系统，水温适中，方便患者使用。</w:t>
            </w:r>
          </w:p>
          <w:p>
            <w:pPr>
              <w:rPr>
                <w:sz w:val="20"/>
                <w:szCs w:val="20"/>
              </w:rPr>
            </w:pPr>
            <w:r>
              <w:rPr>
                <w:rFonts w:hint="eastAsia"/>
                <w:sz w:val="20"/>
                <w:szCs w:val="20"/>
              </w:rPr>
              <w:t>17、牙科（患者）椅：</w:t>
            </w:r>
          </w:p>
          <w:p>
            <w:pPr>
              <w:rPr>
                <w:sz w:val="20"/>
                <w:szCs w:val="20"/>
              </w:rPr>
            </w:pPr>
            <w:r>
              <w:rPr>
                <w:rFonts w:hint="eastAsia"/>
                <w:sz w:val="20"/>
                <w:szCs w:val="20"/>
              </w:rPr>
              <w:t>17.1品牌直流电机驱动。低噪音，动力稳定，运行平稳。</w:t>
            </w:r>
          </w:p>
          <w:p>
            <w:pPr>
              <w:rPr>
                <w:sz w:val="20"/>
                <w:szCs w:val="20"/>
              </w:rPr>
            </w:pPr>
            <w:r>
              <w:rPr>
                <w:rFonts w:hint="eastAsia"/>
                <w:sz w:val="20"/>
                <w:szCs w:val="20"/>
              </w:rPr>
              <w:t>17.2、靠背背板为铸铝材质，整体注塑框架工艺制成，靠背背板与牙椅框架整体连接，结实可靠，连接稳固，运行更安全。</w:t>
            </w:r>
          </w:p>
          <w:p>
            <w:pPr>
              <w:rPr>
                <w:sz w:val="20"/>
                <w:szCs w:val="20"/>
              </w:rPr>
            </w:pPr>
            <w:r>
              <w:rPr>
                <w:rFonts w:hint="eastAsia"/>
                <w:sz w:val="20"/>
                <w:szCs w:val="20"/>
              </w:rPr>
              <w:t>17.3、靠背采用挂钩形式连接，座垫采用搭扣形式连接，免用工具就可方便更换与维修。</w:t>
            </w:r>
          </w:p>
          <w:p>
            <w:pPr>
              <w:rPr>
                <w:sz w:val="20"/>
                <w:szCs w:val="20"/>
              </w:rPr>
            </w:pPr>
            <w:r>
              <w:rPr>
                <w:rFonts w:hint="eastAsia"/>
                <w:sz w:val="20"/>
                <w:szCs w:val="20"/>
              </w:rPr>
              <w:t>17.4、患者椅具有带记忆电机，记忆永存，断电不丢失。</w:t>
            </w:r>
          </w:p>
          <w:p>
            <w:pPr>
              <w:rPr>
                <w:sz w:val="20"/>
                <w:szCs w:val="20"/>
              </w:rPr>
            </w:pPr>
            <w:r>
              <w:rPr>
                <w:rFonts w:hint="eastAsia"/>
                <w:sz w:val="20"/>
                <w:szCs w:val="20"/>
              </w:rPr>
              <w:t>17.5、患者椅采用变频防抖技术，牙椅运行平稳。座椅和靠背联动设计，避免患者背部牵拉及搓背感，靠背运动0°—70°，有效提升患者舒适感。</w:t>
            </w:r>
          </w:p>
          <w:p>
            <w:pPr>
              <w:rPr>
                <w:sz w:val="20"/>
                <w:szCs w:val="20"/>
              </w:rPr>
            </w:pPr>
            <w:r>
              <w:rPr>
                <w:rFonts w:hint="eastAsia"/>
                <w:sz w:val="20"/>
                <w:szCs w:val="20"/>
              </w:rPr>
              <w:t>17.6、患者椅运行平稳，启停柔和。牙椅具有水平运动补偿结构，最低椅位：410mm，最高椅位：750mm，方便患者上下牙椅。</w:t>
            </w:r>
          </w:p>
          <w:p>
            <w:pPr>
              <w:rPr>
                <w:sz w:val="20"/>
                <w:szCs w:val="20"/>
              </w:rPr>
            </w:pPr>
            <w:r>
              <w:rPr>
                <w:rFonts w:hint="eastAsia"/>
                <w:sz w:val="20"/>
                <w:szCs w:val="20"/>
              </w:rPr>
              <w:t>17.7、多关节折叠式头枕，可多角度调整并固定头枕，且可拉伸和锁定，伸缩范围达150mm，满足成人和老人、儿童、残障人士使用。</w:t>
            </w:r>
          </w:p>
          <w:p>
            <w:pPr>
              <w:rPr>
                <w:sz w:val="20"/>
                <w:szCs w:val="20"/>
              </w:rPr>
            </w:pPr>
            <w:r>
              <w:rPr>
                <w:rFonts w:hint="eastAsia"/>
                <w:sz w:val="20"/>
                <w:szCs w:val="20"/>
              </w:rPr>
              <w:t>17.8、牙科椅承载能力≥150Kg，满足各类患者治疗使用。牙椅皮垫采用优质皮革面料一次压注成型，柔软舒适耐磨，方便擦洗消毒。</w:t>
            </w:r>
          </w:p>
          <w:p>
            <w:pPr>
              <w:rPr>
                <w:sz w:val="20"/>
                <w:szCs w:val="20"/>
              </w:rPr>
            </w:pPr>
            <w:r>
              <w:rPr>
                <w:rFonts w:hint="eastAsia"/>
                <w:sz w:val="20"/>
                <w:szCs w:val="20"/>
              </w:rPr>
              <w:t>17.9、双扶手设计，外扶手可向下翻转，方便患者治疗和上下牙科椅使用。</w:t>
            </w:r>
          </w:p>
          <w:p>
            <w:pPr>
              <w:rPr>
                <w:sz w:val="20"/>
                <w:szCs w:val="20"/>
              </w:rPr>
            </w:pPr>
            <w:r>
              <w:rPr>
                <w:rFonts w:hint="eastAsia"/>
                <w:sz w:val="20"/>
                <w:szCs w:val="20"/>
              </w:rPr>
              <w:t>17.10、牙科椅可向外水平旋转30°，方便患者上下牙科椅使用。</w:t>
            </w:r>
          </w:p>
          <w:p>
            <w:pPr>
              <w:rPr>
                <w:sz w:val="20"/>
                <w:szCs w:val="20"/>
              </w:rPr>
            </w:pPr>
            <w:r>
              <w:rPr>
                <w:rFonts w:hint="eastAsia"/>
                <w:sz w:val="20"/>
                <w:szCs w:val="20"/>
              </w:rPr>
              <w:t>18、脚开关：18.1、可控制手机转速，实现高速手机干、湿转及吹屑气。</w:t>
            </w:r>
          </w:p>
          <w:p>
            <w:pPr>
              <w:rPr>
                <w:sz w:val="20"/>
                <w:szCs w:val="20"/>
              </w:rPr>
            </w:pPr>
            <w:r>
              <w:rPr>
                <w:rFonts w:hint="eastAsia"/>
                <w:sz w:val="20"/>
                <w:szCs w:val="20"/>
              </w:rPr>
              <w:t>18.2、可控制器械给水。</w:t>
            </w:r>
          </w:p>
          <w:p>
            <w:pPr>
              <w:rPr>
                <w:sz w:val="20"/>
                <w:szCs w:val="20"/>
              </w:rPr>
            </w:pPr>
            <w:r>
              <w:rPr>
                <w:rFonts w:hint="eastAsia"/>
                <w:sz w:val="20"/>
                <w:szCs w:val="20"/>
              </w:rPr>
              <w:t>18.3、可控制椅位的升、降、俯、仰运动、2个记忆椅位、牙椅复位、牙椅痰位。 18.4、可控制手术灯开启及关闭。</w:t>
            </w:r>
          </w:p>
          <w:p>
            <w:pPr>
              <w:rPr>
                <w:sz w:val="20"/>
                <w:szCs w:val="20"/>
              </w:rPr>
            </w:pPr>
            <w:r>
              <w:rPr>
                <w:rFonts w:hint="eastAsia"/>
                <w:sz w:val="20"/>
                <w:szCs w:val="20"/>
              </w:rPr>
              <w:t>19、全面安全保障控制：</w:t>
            </w:r>
          </w:p>
          <w:p>
            <w:pPr>
              <w:rPr>
                <w:sz w:val="20"/>
                <w:szCs w:val="20"/>
              </w:rPr>
            </w:pPr>
            <w:r>
              <w:rPr>
                <w:rFonts w:hint="eastAsia"/>
                <w:sz w:val="20"/>
                <w:szCs w:val="20"/>
              </w:rPr>
              <w:t>19.1、牙椅具有安全保护功能，牙椅在下降过程中遇障碍座椅会停止运动，并小幅上升，具有防挤脚功能。</w:t>
            </w:r>
          </w:p>
          <w:p>
            <w:pPr>
              <w:rPr>
                <w:sz w:val="20"/>
                <w:szCs w:val="20"/>
              </w:rPr>
            </w:pPr>
            <w:r>
              <w:rPr>
                <w:rFonts w:hint="eastAsia"/>
                <w:sz w:val="20"/>
                <w:szCs w:val="20"/>
              </w:rPr>
              <w:t>19.2、牙椅具有即停功能：无论牙椅进行任何运动，只要按上主控面板上任意一个椅位键，牙椅运动停止，有效避免意外发生。</w:t>
            </w:r>
          </w:p>
          <w:p>
            <w:pPr>
              <w:rPr>
                <w:sz w:val="20"/>
                <w:szCs w:val="20"/>
              </w:rPr>
            </w:pPr>
            <w:r>
              <w:rPr>
                <w:rFonts w:hint="eastAsia"/>
                <w:sz w:val="20"/>
                <w:szCs w:val="20"/>
              </w:rPr>
              <w:t>19.3、当手机工作时，牙科椅被自动锁定，有效避免误操作带来的安全隐患。</w:t>
            </w:r>
          </w:p>
          <w:p>
            <w:pPr>
              <w:rPr>
                <w:sz w:val="20"/>
                <w:szCs w:val="20"/>
              </w:rPr>
            </w:pPr>
            <w:r>
              <w:rPr>
                <w:rFonts w:hint="eastAsia"/>
                <w:sz w:val="20"/>
                <w:szCs w:val="20"/>
              </w:rPr>
              <w:t>19.4、设置负载短路及过载保护，保证了设备电气的使用安全。</w:t>
            </w:r>
          </w:p>
          <w:p>
            <w:pPr>
              <w:rPr>
                <w:sz w:val="20"/>
                <w:szCs w:val="20"/>
              </w:rPr>
            </w:pPr>
            <w:r>
              <w:rPr>
                <w:rFonts w:hint="eastAsia"/>
                <w:sz w:val="20"/>
                <w:szCs w:val="20"/>
              </w:rPr>
              <w:t>19.5、具有第一器械优先功能，有效防止误操作。</w:t>
            </w:r>
          </w:p>
          <w:p>
            <w:pPr>
              <w:rPr>
                <w:sz w:val="20"/>
                <w:szCs w:val="20"/>
              </w:rPr>
            </w:pPr>
            <w:r>
              <w:rPr>
                <w:rFonts w:hint="eastAsia"/>
                <w:sz w:val="20"/>
                <w:szCs w:val="20"/>
              </w:rPr>
              <w:t>20、全自动管路消毒系统：主箱体内部采用双水瓶设计，一键式全自动手机管理消毒系统。可实时显示消毒进度，自动消毒，无需值守，消毒范围包含医生位手机、三用枪、洁牙机等所有器械。做好准备工作后一键启动，轻松实现整个消毒过程。</w:t>
            </w:r>
          </w:p>
          <w:p>
            <w:pPr>
              <w:rPr>
                <w:sz w:val="20"/>
                <w:szCs w:val="20"/>
              </w:rPr>
            </w:pPr>
            <w:r>
              <w:rPr>
                <w:rFonts w:hint="eastAsia"/>
                <w:sz w:val="20"/>
                <w:szCs w:val="20"/>
              </w:rPr>
              <w:t>21、医生座椅 1把：</w:t>
            </w:r>
          </w:p>
          <w:p>
            <w:pPr>
              <w:rPr>
                <w:sz w:val="20"/>
                <w:szCs w:val="20"/>
              </w:rPr>
            </w:pPr>
            <w:r>
              <w:rPr>
                <w:rFonts w:hint="eastAsia"/>
                <w:sz w:val="20"/>
                <w:szCs w:val="20"/>
              </w:rPr>
              <w:t>21.1、医生椅椅背高度可单独调节、靠背倾斜度可调，给不同体型的医生腰部提供良好的支撑。座垫可在水平面内360°灵活旋转；医生椅高度可调，最低椅位 440mm；行程：120mm。</w:t>
            </w:r>
          </w:p>
          <w:p>
            <w:pPr>
              <w:rPr>
                <w:rFonts w:ascii="宋体" w:hAnsi="宋体" w:eastAsia="宋体" w:cs="宋体"/>
                <w:sz w:val="20"/>
                <w:szCs w:val="20"/>
              </w:rPr>
            </w:pPr>
            <w:r>
              <w:rPr>
                <w:rFonts w:hint="eastAsia"/>
                <w:sz w:val="20"/>
                <w:szCs w:val="20"/>
              </w:rPr>
              <w:t>21.2、医生座椅采用五个万向铝合金材质脚轮滚动，方便移动和锁止，座椅框架和底座部分全部采用金属材质，结实耐用。</w:t>
            </w:r>
          </w:p>
        </w:tc>
        <w:tc>
          <w:tcPr>
            <w:tcW w:w="1176" w:type="dxa"/>
            <w:vAlign w:val="center"/>
          </w:tcPr>
          <w:p>
            <w:pPr>
              <w:jc w:val="center"/>
              <w:rPr>
                <w:rFonts w:ascii="宋体" w:hAnsi="宋体" w:eastAsia="宋体" w:cs="宋体"/>
                <w:sz w:val="22"/>
                <w:szCs w:val="22"/>
              </w:rPr>
            </w:pPr>
            <w:r>
              <w:rPr>
                <w:rFonts w:hint="eastAsia"/>
                <w:sz w:val="22"/>
                <w:szCs w:val="22"/>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5</w:t>
            </w:r>
          </w:p>
        </w:tc>
        <w:tc>
          <w:tcPr>
            <w:tcW w:w="1200" w:type="dxa"/>
            <w:vAlign w:val="center"/>
          </w:tcPr>
          <w:p>
            <w:pPr>
              <w:rPr>
                <w:rFonts w:ascii="宋体" w:hAnsi="宋体" w:eastAsia="宋体" w:cs="宋体"/>
                <w:sz w:val="22"/>
                <w:szCs w:val="22"/>
              </w:rPr>
            </w:pPr>
            <w:r>
              <w:rPr>
                <w:rFonts w:hint="eastAsia"/>
                <w:sz w:val="22"/>
                <w:szCs w:val="22"/>
              </w:rPr>
              <w:t>多功能口腔综合治疗台（儿童专用）+光固化</w:t>
            </w:r>
          </w:p>
        </w:tc>
        <w:tc>
          <w:tcPr>
            <w:tcW w:w="7260" w:type="dxa"/>
            <w:vAlign w:val="center"/>
          </w:tcPr>
          <w:p>
            <w:pPr>
              <w:rPr>
                <w:sz w:val="22"/>
                <w:szCs w:val="22"/>
              </w:rPr>
            </w:pPr>
            <w:r>
              <w:rPr>
                <w:rFonts w:hint="eastAsia"/>
                <w:sz w:val="22"/>
                <w:szCs w:val="22"/>
              </w:rPr>
              <w:t>一、主要参数</w:t>
            </w:r>
          </w:p>
          <w:p>
            <w:pPr>
              <w:rPr>
                <w:sz w:val="22"/>
                <w:szCs w:val="22"/>
              </w:rPr>
            </w:pPr>
            <w:r>
              <w:rPr>
                <w:rFonts w:hint="eastAsia"/>
                <w:sz w:val="22"/>
                <w:szCs w:val="22"/>
              </w:rPr>
              <w:t xml:space="preserve">-- 电源：220V～   50Hz-- 水源：水压限值          0.2MPa～0.4MPa，建议水硬度≤60mg/l（≤1.5mmol/l）工作水压          0.2MPa水流速限值高于5 l/min；水硬度限值低于 2.14 mmol/l(&lt;12 </w:t>
            </w:r>
            <w:r>
              <w:rPr>
                <w:rFonts w:hint="eastAsia" w:ascii="宋体" w:hAnsi="宋体" w:eastAsia="宋体" w:cs="宋体"/>
                <w:sz w:val="22"/>
                <w:szCs w:val="22"/>
              </w:rPr>
              <w:t>º</w:t>
            </w:r>
            <w:r>
              <w:rPr>
                <w:rFonts w:hint="eastAsia"/>
                <w:sz w:val="22"/>
                <w:szCs w:val="22"/>
              </w:rPr>
              <w:t>dH)；pH限值           6.5至8.5；最大粒径&lt;100μm；符合当地生活饮用水法规。-- 气源：外接气源气压      0.6MPa～0.8MPa,且不含水、油；工作气压          0.55MPa(副箱体表压)；气压限值          0.7±0.1MPa；气流速限值高于80 Nl/min；湿度限值大气压下露点不高于-20</w:t>
            </w:r>
            <w:r>
              <w:rPr>
                <w:rFonts w:hint="eastAsia" w:ascii="宋体" w:hAnsi="宋体" w:eastAsia="宋体" w:cs="宋体"/>
                <w:sz w:val="22"/>
                <w:szCs w:val="22"/>
              </w:rPr>
              <w:t>º</w:t>
            </w:r>
            <w:r>
              <w:rPr>
                <w:rFonts w:hint="eastAsia"/>
                <w:sz w:val="22"/>
                <w:szCs w:val="22"/>
              </w:rPr>
              <w:t>C；油污限值最大0.5mg/m3；微粒污染限值      1μm至5μm大小的微粒不高于100个每立方米；-- 整机对地漏电流：≤0.5mA-- 绝缘电阻：≥2MΩ-- 熔断器型号及额定值：F1、F2： F8AH   250VAC Φ5×20mmF3：     T5AH   250VAC Φ5×20mmF4：     T8AH   250VAC Φ6.35×31.75mmF5：     T10AH  250VAC Φ6.35×31.75mmF6：     T2AH   250VAC Φ5×20mm -- 重量：200kg-- 材料：钢结构机架，注塑外壳，陶瓷痰盂-- 功率：400VA（含牙科椅）-- 口腔灯： - 标准配置的口腔灯： AC  17V  95W  照度：最大可达25000lx   无级调光-- 吸唾器（弱吸）：水负压式水压为200kPa时，真空度应不小于27kPa水压为200kPa时，抽水速率应不小于450mL/min-- 强力吸引器（强吸）：气负压式气压为400kPa时，真空度可达到35kPa                     气压为400kPa时，抽水速率应不小于1L/min声明：如设备采用集中抽吸，则吸引系统可兼容湿或者半干吸引系统。-- 牙科椅升降承载力：135kg-- 牙科椅升降范围：410mm～750mm-- 靠背与水平面俯仰角度：-5°～63°-- 头枕伸缩调节量：　　150mm-- 器械控制方法：脚开关4.工作环境参数-- 环境温度范围：+10℃～+40℃-- 相对湿度范围：30%～75%-- 大气压力范围：700hPa～1060hPa；海拔：≤3000m-- 污染等级：2-- 过压类型：Ⅱ5.运输及存储环境说明-- 环境温度范围：-40℃～+55℃-- 相对湿度范围：≤80%-- 大气压力范围：500hPa～1060hPa-- 运输和贮存时应注意：“向上”、“怕雨”</w:t>
            </w:r>
          </w:p>
          <w:p>
            <w:pPr>
              <w:rPr>
                <w:sz w:val="22"/>
                <w:szCs w:val="22"/>
              </w:rPr>
            </w:pPr>
            <w:r>
              <w:rPr>
                <w:rFonts w:hint="eastAsia"/>
                <w:sz w:val="22"/>
                <w:szCs w:val="22"/>
              </w:rPr>
              <w:t>二、产品主要配置：两高一低一预留空枪位三用枪两支、强弱吸各一LED口腔灯新牙科椅儿童座垫。</w:t>
            </w:r>
          </w:p>
          <w:p>
            <w:pPr>
              <w:rPr>
                <w:sz w:val="22"/>
                <w:szCs w:val="22"/>
              </w:rPr>
            </w:pPr>
            <w:r>
              <w:rPr>
                <w:rFonts w:hint="eastAsia"/>
                <w:sz w:val="22"/>
                <w:szCs w:val="22"/>
              </w:rPr>
              <w:t>三、产品主要特点：</w:t>
            </w:r>
          </w:p>
          <w:p>
            <w:pPr>
              <w:rPr>
                <w:sz w:val="22"/>
                <w:szCs w:val="22"/>
              </w:rPr>
            </w:pPr>
            <w:r>
              <w:rPr>
                <w:rFonts w:hint="eastAsia"/>
                <w:sz w:val="22"/>
                <w:szCs w:val="22"/>
              </w:rPr>
              <w:t>1. 可旋转臂体结构，开放式诊疗空间，增加诊疗时的陪护位置，以减少儿童就诊压力，消除情绪紧张。</w:t>
            </w:r>
          </w:p>
          <w:p>
            <w:pPr>
              <w:rPr>
                <w:sz w:val="22"/>
                <w:szCs w:val="22"/>
              </w:rPr>
            </w:pPr>
            <w:r>
              <w:rPr>
                <w:rFonts w:hint="eastAsia"/>
                <w:sz w:val="22"/>
                <w:szCs w:val="22"/>
              </w:rPr>
              <w:t>2. 牙科椅整体采用豪华游艇皮缝制工艺。</w:t>
            </w:r>
          </w:p>
          <w:p>
            <w:pPr>
              <w:rPr>
                <w:sz w:val="22"/>
                <w:szCs w:val="22"/>
              </w:rPr>
            </w:pPr>
            <w:r>
              <w:rPr>
                <w:rFonts w:hint="eastAsia"/>
                <w:sz w:val="22"/>
                <w:szCs w:val="22"/>
              </w:rPr>
              <w:t>3. 增加儿童座椅，以便身高较小儿童就诊。</w:t>
            </w:r>
          </w:p>
          <w:p>
            <w:pPr>
              <w:rPr>
                <w:sz w:val="22"/>
                <w:szCs w:val="22"/>
              </w:rPr>
            </w:pPr>
            <w:r>
              <w:rPr>
                <w:rFonts w:hint="eastAsia"/>
                <w:sz w:val="22"/>
                <w:szCs w:val="22"/>
              </w:rPr>
              <w:t>4. 痰盂增加保护罩壳，防止痰盂转动，保护患者安全。</w:t>
            </w:r>
          </w:p>
          <w:p>
            <w:pPr>
              <w:rPr>
                <w:sz w:val="22"/>
                <w:szCs w:val="22"/>
              </w:rPr>
            </w:pPr>
            <w:r>
              <w:rPr>
                <w:rFonts w:hint="eastAsia"/>
                <w:sz w:val="22"/>
                <w:szCs w:val="22"/>
              </w:rPr>
              <w:t>5. 双色搭配缝制安全带，提高安全保护性能，更具视觉效果。</w:t>
            </w:r>
          </w:p>
          <w:p>
            <w:pPr>
              <w:rPr>
                <w:sz w:val="22"/>
                <w:szCs w:val="22"/>
              </w:rPr>
            </w:pPr>
            <w:r>
              <w:rPr>
                <w:rFonts w:hint="eastAsia"/>
                <w:sz w:val="22"/>
                <w:szCs w:val="22"/>
              </w:rPr>
              <w:t>6. 可达-5°急救位置，具备机椅互锁、安全保护功能。</w:t>
            </w:r>
          </w:p>
          <w:p>
            <w:pPr>
              <w:rPr>
                <w:sz w:val="22"/>
                <w:szCs w:val="22"/>
              </w:rPr>
            </w:pPr>
            <w:r>
              <w:rPr>
                <w:rFonts w:hint="eastAsia"/>
                <w:sz w:val="22"/>
                <w:szCs w:val="22"/>
              </w:rPr>
              <w:t>7. 整体注塑化设计，便于清洁，外观造型新颖。</w:t>
            </w:r>
          </w:p>
          <w:p>
            <w:pPr>
              <w:rPr>
                <w:sz w:val="22"/>
                <w:szCs w:val="22"/>
              </w:rPr>
            </w:pPr>
            <w:r>
              <w:rPr>
                <w:rFonts w:hint="eastAsia"/>
                <w:sz w:val="22"/>
                <w:szCs w:val="22"/>
              </w:rPr>
              <w:t>8. 多媒体影音播放系统采用≥9寸超清屏幕，更大更逼真。卡合设计便于拆装，并可进行角度调节，以达到最佳观影效果。</w:t>
            </w:r>
          </w:p>
          <w:p>
            <w:pPr>
              <w:rPr>
                <w:sz w:val="22"/>
                <w:szCs w:val="22"/>
              </w:rPr>
            </w:pPr>
            <w:r>
              <w:rPr>
                <w:rFonts w:hint="eastAsia"/>
                <w:sz w:val="22"/>
                <w:szCs w:val="22"/>
              </w:rPr>
              <w:t>9. LED光源口腔灯，光线柔和，节能环保，操作灵活，无接触感应式控制，可无级调光。把手角度可调节，易拆卸，便于消毒。</w:t>
            </w:r>
          </w:p>
          <w:p>
            <w:pPr>
              <w:rPr>
                <w:rFonts w:ascii="宋体" w:hAnsi="宋体" w:eastAsia="宋体" w:cs="宋体"/>
                <w:sz w:val="22"/>
                <w:szCs w:val="22"/>
              </w:rPr>
            </w:pPr>
            <w:r>
              <w:rPr>
                <w:rFonts w:hint="eastAsia"/>
                <w:sz w:val="22"/>
                <w:szCs w:val="22"/>
              </w:rPr>
              <w:t>10. 可升降的分体移动治疗台，无器械臂设计消除儿童压抑感，减小就诊压力。</w:t>
            </w:r>
          </w:p>
        </w:tc>
        <w:tc>
          <w:tcPr>
            <w:tcW w:w="1176" w:type="dxa"/>
            <w:vAlign w:val="center"/>
          </w:tcPr>
          <w:p>
            <w:pPr>
              <w:jc w:val="center"/>
              <w:rPr>
                <w:rFonts w:ascii="宋体" w:hAnsi="宋体" w:eastAsia="宋体" w:cs="宋体"/>
                <w:sz w:val="22"/>
                <w:szCs w:val="22"/>
              </w:rPr>
            </w:pPr>
            <w:r>
              <w:rPr>
                <w:rFonts w:hint="eastAsia"/>
                <w:sz w:val="22"/>
                <w:szCs w:val="22"/>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6</w:t>
            </w:r>
          </w:p>
        </w:tc>
        <w:tc>
          <w:tcPr>
            <w:tcW w:w="1200" w:type="dxa"/>
            <w:vAlign w:val="center"/>
          </w:tcPr>
          <w:p>
            <w:pPr>
              <w:rPr>
                <w:rFonts w:ascii="宋体" w:hAnsi="宋体" w:eastAsia="宋体" w:cs="宋体"/>
                <w:sz w:val="22"/>
                <w:szCs w:val="22"/>
              </w:rPr>
            </w:pPr>
            <w:r>
              <w:rPr>
                <w:rFonts w:hint="eastAsia"/>
                <w:sz w:val="22"/>
                <w:szCs w:val="22"/>
              </w:rPr>
              <w:t>多功能口腔综合治疗台（手术专用）</w:t>
            </w:r>
          </w:p>
        </w:tc>
        <w:tc>
          <w:tcPr>
            <w:tcW w:w="7260" w:type="dxa"/>
            <w:vAlign w:val="center"/>
          </w:tcPr>
          <w:p>
            <w:pPr>
              <w:rPr>
                <w:sz w:val="22"/>
                <w:szCs w:val="22"/>
              </w:rPr>
            </w:pPr>
            <w:r>
              <w:rPr>
                <w:rFonts w:hint="eastAsia"/>
                <w:sz w:val="22"/>
                <w:szCs w:val="22"/>
              </w:rPr>
              <w:t>一、产品参数：</w:t>
            </w:r>
          </w:p>
          <w:p>
            <w:pPr>
              <w:rPr>
                <w:sz w:val="22"/>
                <w:szCs w:val="22"/>
              </w:rPr>
            </w:pPr>
            <w:r>
              <w:rPr>
                <w:rFonts w:hint="eastAsia"/>
                <w:sz w:val="22"/>
                <w:szCs w:val="22"/>
              </w:rPr>
              <w:t>1. 牙椅电动直流电机系统。</w:t>
            </w:r>
          </w:p>
          <w:p>
            <w:pPr>
              <w:rPr>
                <w:sz w:val="22"/>
                <w:szCs w:val="22"/>
              </w:rPr>
            </w:pPr>
            <w:r>
              <w:rPr>
                <w:rFonts w:hint="eastAsia"/>
                <w:sz w:val="22"/>
                <w:szCs w:val="22"/>
              </w:rPr>
              <w:t>2. 头枕、靠背、坐垫可拆卸方便清洗。</w:t>
            </w:r>
          </w:p>
          <w:p>
            <w:pPr>
              <w:rPr>
                <w:sz w:val="22"/>
                <w:szCs w:val="22"/>
              </w:rPr>
            </w:pPr>
            <w:r>
              <w:rPr>
                <w:rFonts w:hint="eastAsia"/>
                <w:sz w:val="22"/>
                <w:szCs w:val="22"/>
              </w:rPr>
              <w:t>3. 座椅可以左右旋转30°，方便患者上下。</w:t>
            </w:r>
          </w:p>
          <w:p>
            <w:pPr>
              <w:rPr>
                <w:sz w:val="22"/>
                <w:szCs w:val="22"/>
              </w:rPr>
            </w:pPr>
            <w:r>
              <w:rPr>
                <w:rFonts w:hint="eastAsia"/>
                <w:sz w:val="22"/>
                <w:szCs w:val="22"/>
              </w:rPr>
              <w:t>4. 头枕宽大，治疗过程稳定可靠。</w:t>
            </w:r>
          </w:p>
          <w:p>
            <w:pPr>
              <w:rPr>
                <w:sz w:val="22"/>
                <w:szCs w:val="22"/>
              </w:rPr>
            </w:pPr>
            <w:r>
              <w:rPr>
                <w:rFonts w:hint="eastAsia"/>
                <w:sz w:val="22"/>
                <w:szCs w:val="22"/>
              </w:rPr>
              <w:t>5. 全不锈钢台面，杜绝使用过程中的污染台面。</w:t>
            </w:r>
          </w:p>
          <w:p>
            <w:pPr>
              <w:rPr>
                <w:sz w:val="22"/>
                <w:szCs w:val="22"/>
              </w:rPr>
            </w:pPr>
            <w:r>
              <w:rPr>
                <w:rFonts w:hint="eastAsia"/>
                <w:sz w:val="22"/>
                <w:szCs w:val="22"/>
              </w:rPr>
              <w:t>6. 手动锁紧器械臂，可以保证台面在任意工作位置锁定。</w:t>
            </w:r>
          </w:p>
          <w:p>
            <w:pPr>
              <w:rPr>
                <w:sz w:val="22"/>
                <w:szCs w:val="22"/>
              </w:rPr>
            </w:pPr>
            <w:r>
              <w:rPr>
                <w:rFonts w:hint="eastAsia"/>
                <w:sz w:val="22"/>
                <w:szCs w:val="22"/>
              </w:rPr>
              <w:t>7. 种植工作台可以电动升降。</w:t>
            </w:r>
          </w:p>
          <w:p>
            <w:pPr>
              <w:rPr>
                <w:sz w:val="22"/>
                <w:szCs w:val="22"/>
              </w:rPr>
            </w:pPr>
            <w:r>
              <w:rPr>
                <w:rFonts w:hint="eastAsia"/>
                <w:sz w:val="22"/>
                <w:szCs w:val="22"/>
              </w:rPr>
              <w:t>二、性能及技术参数:</w:t>
            </w:r>
          </w:p>
          <w:p>
            <w:pPr>
              <w:rPr>
                <w:sz w:val="22"/>
                <w:szCs w:val="22"/>
              </w:rPr>
            </w:pPr>
            <w:r>
              <w:rPr>
                <w:rFonts w:hint="eastAsia"/>
                <w:sz w:val="22"/>
                <w:szCs w:val="22"/>
              </w:rPr>
              <w:t>1、工作条件额定电压:220V±10％；频率：50HZ±1HZ气源：气压0.5-0.6MPA 水源: 水压0.2-0.4MPA</w:t>
            </w:r>
          </w:p>
          <w:p>
            <w:pPr>
              <w:rPr>
                <w:sz w:val="22"/>
                <w:szCs w:val="22"/>
              </w:rPr>
            </w:pPr>
            <w:r>
              <w:rPr>
                <w:rFonts w:hint="eastAsia"/>
                <w:sz w:val="22"/>
                <w:szCs w:val="22"/>
              </w:rPr>
              <w:t>2、结构形式移动台、治疗托盘台面采用不锈钢结构，</w:t>
            </w:r>
          </w:p>
          <w:p>
            <w:pPr>
              <w:rPr>
                <w:sz w:val="22"/>
                <w:szCs w:val="22"/>
              </w:rPr>
            </w:pPr>
            <w:r>
              <w:rPr>
                <w:rFonts w:hint="eastAsia"/>
                <w:sz w:val="22"/>
                <w:szCs w:val="22"/>
              </w:rPr>
              <w:t>3、配置高速手机1支；气动低速手机1套；三用枪1把；</w:t>
            </w:r>
          </w:p>
          <w:p>
            <w:pPr>
              <w:rPr>
                <w:sz w:val="22"/>
                <w:szCs w:val="22"/>
              </w:rPr>
            </w:pPr>
            <w:r>
              <w:rPr>
                <w:rFonts w:hint="eastAsia"/>
                <w:sz w:val="22"/>
                <w:szCs w:val="22"/>
              </w:rPr>
              <w:t>4、控制系统全电脑控制操作系统，电脑控制面板具有特殊位置的二个记忆功能；牙科椅的升降、俯仰、复位、记忆功能操作键；也可以进行脚控操作。</w:t>
            </w:r>
          </w:p>
          <w:p>
            <w:pPr>
              <w:rPr>
                <w:sz w:val="22"/>
                <w:szCs w:val="22"/>
              </w:rPr>
            </w:pPr>
            <w:r>
              <w:rPr>
                <w:rFonts w:hint="eastAsia"/>
                <w:sz w:val="22"/>
                <w:szCs w:val="22"/>
              </w:rPr>
              <w:t>5、移动台主箱体主体采用不锈钢工艺制作，可做到防腐，防锈，不退色；可以移动，台面可以拉伸方面使用。</w:t>
            </w:r>
          </w:p>
          <w:p>
            <w:pPr>
              <w:rPr>
                <w:sz w:val="22"/>
                <w:szCs w:val="22"/>
              </w:rPr>
            </w:pPr>
            <w:r>
              <w:rPr>
                <w:rFonts w:hint="eastAsia"/>
                <w:sz w:val="22"/>
                <w:szCs w:val="22"/>
              </w:rPr>
              <w:t>6、器械盘不锈钢器械盘设计，扩大医生诊疗空间，器械盘衬钢化玻璃，可高温高压消毒。</w:t>
            </w:r>
          </w:p>
          <w:p>
            <w:pPr>
              <w:rPr>
                <w:sz w:val="22"/>
                <w:szCs w:val="22"/>
              </w:rPr>
            </w:pPr>
            <w:r>
              <w:rPr>
                <w:rFonts w:hint="eastAsia"/>
                <w:sz w:val="22"/>
                <w:szCs w:val="22"/>
              </w:rPr>
              <w:t>7、器械臂手动锁定平衡臂，可以在任意位置锁定，整个器械臂推拉自如。8、口腔种植灯 1套；1.由多个LED光源构成，节能、环保≥2.2万小时超长寿命3.长时间工作不发热，照度高达60000 LX，满足种植需求光斑范围：120×804.可以无级调节灯光亮度5.色温可以调节，左右可以调节，三轴旋转。</w:t>
            </w:r>
          </w:p>
          <w:p>
            <w:pPr>
              <w:rPr>
                <w:sz w:val="22"/>
                <w:szCs w:val="22"/>
              </w:rPr>
            </w:pPr>
            <w:r>
              <w:rPr>
                <w:rFonts w:hint="eastAsia"/>
                <w:sz w:val="22"/>
                <w:szCs w:val="22"/>
              </w:rPr>
              <w:t>9、气控脚开关脚开关可控制高、低速手机工作，实现高速手机干、湿转及吹屑气。</w:t>
            </w:r>
          </w:p>
          <w:p>
            <w:pPr>
              <w:rPr>
                <w:sz w:val="22"/>
                <w:szCs w:val="22"/>
              </w:rPr>
            </w:pPr>
            <w:r>
              <w:rPr>
                <w:rFonts w:hint="eastAsia"/>
                <w:sz w:val="22"/>
                <w:szCs w:val="22"/>
              </w:rPr>
              <w:t xml:space="preserve">10. 手术抽吸机：1.采用全塑面板设计，造型独特、新颖、美观。2.设有截流回流装置，减少油雾污染。3.可方便移动。4.极限负压值：≥0.09MPa(680mmHg) 5.负压调节范围:0.02～0.09MPa(150～680mmHg) 6.抽气速率：≥32L/min 7.噪声：≤60dB(A) 8.贮液瓶：2500ml×2 9.电源：AC220V±10%，50Hz 10.输入功率：150VA </w:t>
            </w:r>
          </w:p>
          <w:p>
            <w:pPr>
              <w:rPr>
                <w:sz w:val="22"/>
                <w:szCs w:val="22"/>
              </w:rPr>
            </w:pPr>
            <w:r>
              <w:rPr>
                <w:rFonts w:hint="eastAsia"/>
                <w:sz w:val="22"/>
                <w:szCs w:val="22"/>
              </w:rPr>
              <w:t>11、纯净水系统采用气增压供给形式，可满足种植中纯净水的供给。</w:t>
            </w:r>
          </w:p>
          <w:p>
            <w:pPr>
              <w:rPr>
                <w:sz w:val="22"/>
                <w:szCs w:val="22"/>
              </w:rPr>
            </w:pPr>
            <w:r>
              <w:rPr>
                <w:rFonts w:hint="eastAsia"/>
                <w:sz w:val="22"/>
                <w:szCs w:val="22"/>
              </w:rPr>
              <w:t>12、牙科椅牙科椅，全电脑控制操作，具有自动复位、吐痰位、特殊记忆功能，主控板及副控板均设有电脑触摸式按键；动力系统采用直线静音电机，俯仰全过程仅需9秒钟，免维护；最低椅位:380mm,最高椅位750mm，负载大于135Kg；牙科椅可水平旋转30度，方便患者上下；内置式地箱；机椅互锁装置，靠背及椅身处设有安全保护装置；牙椅具有角度补偿功能；头枕可任意调节及锁定；宽体牙椅，牙科椅皮垫无缝一次压制成型，皮垫与机身采用搭扣连接；牙科椅为双扶手设计，扶手可依需要打开。</w:t>
            </w:r>
          </w:p>
          <w:p>
            <w:pPr>
              <w:rPr>
                <w:rFonts w:ascii="宋体" w:hAnsi="宋体" w:eastAsia="宋体" w:cs="宋体"/>
                <w:sz w:val="22"/>
                <w:szCs w:val="22"/>
              </w:rPr>
            </w:pPr>
            <w:r>
              <w:rPr>
                <w:rFonts w:hint="eastAsia"/>
                <w:sz w:val="22"/>
                <w:szCs w:val="22"/>
              </w:rPr>
              <w:t>13、医生座椅、护士座椅各１台：最低椅位425mm，行程120mm，收腰性强；</w:t>
            </w:r>
          </w:p>
        </w:tc>
        <w:tc>
          <w:tcPr>
            <w:tcW w:w="1176" w:type="dxa"/>
            <w:vAlign w:val="center"/>
          </w:tcPr>
          <w:p>
            <w:pPr>
              <w:jc w:val="center"/>
              <w:rPr>
                <w:rFonts w:ascii="宋体" w:hAnsi="宋体" w:eastAsia="宋体" w:cs="宋体"/>
                <w:sz w:val="22"/>
                <w:szCs w:val="22"/>
              </w:rPr>
            </w:pPr>
            <w:r>
              <w:rPr>
                <w:rFonts w:hint="eastAsia"/>
                <w:sz w:val="22"/>
                <w:szCs w:val="22"/>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7</w:t>
            </w:r>
          </w:p>
        </w:tc>
        <w:tc>
          <w:tcPr>
            <w:tcW w:w="1200" w:type="dxa"/>
            <w:vAlign w:val="center"/>
          </w:tcPr>
          <w:p>
            <w:pPr>
              <w:rPr>
                <w:rFonts w:ascii="宋体" w:hAnsi="宋体" w:eastAsia="宋体" w:cs="宋体"/>
                <w:sz w:val="22"/>
                <w:szCs w:val="22"/>
              </w:rPr>
            </w:pPr>
            <w:r>
              <w:rPr>
                <w:rFonts w:hint="eastAsia"/>
                <w:sz w:val="22"/>
                <w:szCs w:val="22"/>
              </w:rPr>
              <w:t>多功能口腔综合治疗台（种植专用）</w:t>
            </w:r>
          </w:p>
        </w:tc>
        <w:tc>
          <w:tcPr>
            <w:tcW w:w="7260" w:type="dxa"/>
            <w:vAlign w:val="center"/>
          </w:tcPr>
          <w:p>
            <w:pPr>
              <w:rPr>
                <w:sz w:val="22"/>
                <w:szCs w:val="22"/>
              </w:rPr>
            </w:pPr>
            <w:r>
              <w:rPr>
                <w:rFonts w:hint="eastAsia"/>
                <w:sz w:val="22"/>
                <w:szCs w:val="22"/>
              </w:rPr>
              <w:t>一、产品参数：</w:t>
            </w:r>
          </w:p>
          <w:p>
            <w:pPr>
              <w:rPr>
                <w:sz w:val="22"/>
                <w:szCs w:val="22"/>
              </w:rPr>
            </w:pPr>
            <w:r>
              <w:rPr>
                <w:rFonts w:hint="eastAsia"/>
                <w:sz w:val="22"/>
                <w:szCs w:val="22"/>
              </w:rPr>
              <w:t>1. 牙椅品牌电动直流电机系统。</w:t>
            </w:r>
          </w:p>
          <w:p>
            <w:pPr>
              <w:rPr>
                <w:sz w:val="22"/>
                <w:szCs w:val="22"/>
              </w:rPr>
            </w:pPr>
            <w:r>
              <w:rPr>
                <w:rFonts w:hint="eastAsia"/>
                <w:sz w:val="22"/>
                <w:szCs w:val="22"/>
              </w:rPr>
              <w:t>2. 头枕、靠背、坐垫可拆卸方便清洗。</w:t>
            </w:r>
          </w:p>
          <w:p>
            <w:pPr>
              <w:rPr>
                <w:sz w:val="22"/>
                <w:szCs w:val="22"/>
              </w:rPr>
            </w:pPr>
            <w:r>
              <w:rPr>
                <w:rFonts w:hint="eastAsia"/>
                <w:sz w:val="22"/>
                <w:szCs w:val="22"/>
              </w:rPr>
              <w:t>3. 座椅可以左右旋转30°，方便患者上下。</w:t>
            </w:r>
          </w:p>
          <w:p>
            <w:pPr>
              <w:rPr>
                <w:sz w:val="22"/>
                <w:szCs w:val="22"/>
              </w:rPr>
            </w:pPr>
            <w:r>
              <w:rPr>
                <w:rFonts w:hint="eastAsia"/>
                <w:sz w:val="22"/>
                <w:szCs w:val="22"/>
              </w:rPr>
              <w:t>4. 头枕宽大，治疗过程稳定可靠。</w:t>
            </w:r>
          </w:p>
          <w:p>
            <w:pPr>
              <w:rPr>
                <w:sz w:val="22"/>
                <w:szCs w:val="22"/>
              </w:rPr>
            </w:pPr>
            <w:r>
              <w:rPr>
                <w:rFonts w:hint="eastAsia"/>
                <w:sz w:val="22"/>
                <w:szCs w:val="22"/>
              </w:rPr>
              <w:t>5. 全不锈钢台面，杜绝使用过程中的污染台面。</w:t>
            </w:r>
          </w:p>
          <w:p>
            <w:pPr>
              <w:rPr>
                <w:sz w:val="22"/>
                <w:szCs w:val="22"/>
              </w:rPr>
            </w:pPr>
            <w:r>
              <w:rPr>
                <w:rFonts w:hint="eastAsia"/>
                <w:sz w:val="22"/>
                <w:szCs w:val="22"/>
              </w:rPr>
              <w:t>6. 手动锁紧器械臂，可以保证台面在任意工作位置锁定。</w:t>
            </w:r>
          </w:p>
          <w:p>
            <w:pPr>
              <w:rPr>
                <w:sz w:val="22"/>
                <w:szCs w:val="22"/>
              </w:rPr>
            </w:pPr>
            <w:r>
              <w:rPr>
                <w:rFonts w:hint="eastAsia"/>
                <w:sz w:val="22"/>
                <w:szCs w:val="22"/>
              </w:rPr>
              <w:t>7. 种植工作台可以电动升降。</w:t>
            </w:r>
          </w:p>
          <w:p>
            <w:pPr>
              <w:rPr>
                <w:sz w:val="22"/>
                <w:szCs w:val="22"/>
              </w:rPr>
            </w:pPr>
            <w:r>
              <w:rPr>
                <w:rFonts w:hint="eastAsia"/>
                <w:sz w:val="22"/>
                <w:szCs w:val="22"/>
              </w:rPr>
              <w:t>二、性能及技术参数:</w:t>
            </w:r>
          </w:p>
          <w:p>
            <w:pPr>
              <w:rPr>
                <w:sz w:val="22"/>
                <w:szCs w:val="22"/>
              </w:rPr>
            </w:pPr>
            <w:r>
              <w:rPr>
                <w:rFonts w:hint="eastAsia"/>
                <w:sz w:val="22"/>
                <w:szCs w:val="22"/>
              </w:rPr>
              <w:t>1、工作条件额定电压:220V±10％；频率：50HZ±1HZ气源：气压0.5-0.6MPA 水源: 水压0.2-0.4MPA</w:t>
            </w:r>
          </w:p>
          <w:p>
            <w:pPr>
              <w:rPr>
                <w:sz w:val="22"/>
                <w:szCs w:val="22"/>
              </w:rPr>
            </w:pPr>
            <w:r>
              <w:rPr>
                <w:rFonts w:hint="eastAsia"/>
                <w:sz w:val="22"/>
                <w:szCs w:val="22"/>
              </w:rPr>
              <w:t>2、结构形式移动台、治疗托盘台面采用不锈钢结构；</w:t>
            </w:r>
          </w:p>
          <w:p>
            <w:pPr>
              <w:rPr>
                <w:sz w:val="22"/>
                <w:szCs w:val="22"/>
              </w:rPr>
            </w:pPr>
            <w:r>
              <w:rPr>
                <w:rFonts w:hint="eastAsia"/>
                <w:sz w:val="22"/>
                <w:szCs w:val="22"/>
              </w:rPr>
              <w:t>3、配置高速手机1支；气动低速手机1套；三用枪1把；</w:t>
            </w:r>
          </w:p>
          <w:p>
            <w:pPr>
              <w:rPr>
                <w:sz w:val="22"/>
                <w:szCs w:val="22"/>
              </w:rPr>
            </w:pPr>
            <w:r>
              <w:rPr>
                <w:rFonts w:hint="eastAsia"/>
                <w:sz w:val="22"/>
                <w:szCs w:val="22"/>
              </w:rPr>
              <w:t>4、控制系统全电脑控制操作系统，电脑控制面板具有特殊位置的二个记忆功能；牙科椅的升降、俯仰、复位、记忆功能操作键；也可以进行脚控操作。</w:t>
            </w:r>
          </w:p>
          <w:p>
            <w:pPr>
              <w:rPr>
                <w:sz w:val="22"/>
                <w:szCs w:val="22"/>
              </w:rPr>
            </w:pPr>
            <w:r>
              <w:rPr>
                <w:rFonts w:hint="eastAsia"/>
                <w:sz w:val="22"/>
                <w:szCs w:val="22"/>
              </w:rPr>
              <w:t>5、移动台主箱体主体采用不锈钢工艺制作，可做到防腐，防锈，不退色；可以移动，台面可以拉伸方面使用。</w:t>
            </w:r>
          </w:p>
          <w:p>
            <w:pPr>
              <w:rPr>
                <w:sz w:val="22"/>
                <w:szCs w:val="22"/>
              </w:rPr>
            </w:pPr>
            <w:r>
              <w:rPr>
                <w:rFonts w:hint="eastAsia"/>
                <w:sz w:val="22"/>
                <w:szCs w:val="22"/>
              </w:rPr>
              <w:t>6、器械盘不锈钢器械盘设计，扩大医生诊疗空间，器械盘衬钢化玻璃，可高温高压消毒。</w:t>
            </w:r>
          </w:p>
          <w:p>
            <w:pPr>
              <w:rPr>
                <w:sz w:val="22"/>
                <w:szCs w:val="22"/>
              </w:rPr>
            </w:pPr>
            <w:r>
              <w:rPr>
                <w:rFonts w:hint="eastAsia"/>
                <w:sz w:val="22"/>
                <w:szCs w:val="22"/>
              </w:rPr>
              <w:t>7、器械臂手动锁定平衡臂，可以在任意位置锁定，整个器械臂推拉自如。</w:t>
            </w:r>
          </w:p>
          <w:p>
            <w:pPr>
              <w:rPr>
                <w:sz w:val="22"/>
                <w:szCs w:val="22"/>
              </w:rPr>
            </w:pPr>
            <w:r>
              <w:rPr>
                <w:rFonts w:hint="eastAsia"/>
                <w:sz w:val="22"/>
                <w:szCs w:val="22"/>
              </w:rPr>
              <w:t>8、口腔种植灯 1套；1.由多个LED光源构成，节能、环保≥2.2万小时超长寿命3.长时间工作不发热，照度高达60000 LX，满足种植需求光斑范围：120×804.可以无级调节灯光亮度5.色温可以调节，左右可以调节，三轴旋转。</w:t>
            </w:r>
          </w:p>
          <w:p>
            <w:pPr>
              <w:rPr>
                <w:sz w:val="22"/>
                <w:szCs w:val="22"/>
              </w:rPr>
            </w:pPr>
            <w:r>
              <w:rPr>
                <w:rFonts w:hint="eastAsia"/>
                <w:sz w:val="22"/>
                <w:szCs w:val="22"/>
              </w:rPr>
              <w:t>9、气控脚开关脚开关可控制高、低速手机工作，实现高速手机干、湿转及吹屑气。</w:t>
            </w:r>
          </w:p>
          <w:p>
            <w:pPr>
              <w:rPr>
                <w:sz w:val="22"/>
                <w:szCs w:val="22"/>
              </w:rPr>
            </w:pPr>
            <w:r>
              <w:rPr>
                <w:rFonts w:hint="eastAsia"/>
                <w:sz w:val="22"/>
                <w:szCs w:val="22"/>
              </w:rPr>
              <w:t>10. 手术抽吸机：1.采用全塑面板设计，造型独特、新颖、美观。2.设有截流回流装置，减少油雾污染。3.可方便移动。4.极限负压值：≥0.09MPa(680mmHg) 5.负压调节范围:0.02～0.09MPa(150～680mmHg) 6.抽气速率：≥32L/min 7.噪声：≤60dB(A) 8.贮液瓶：2500ml×2 9.电源：AC220V±10%，50Hz 10.输入功率：150VA</w:t>
            </w:r>
          </w:p>
          <w:p>
            <w:pPr>
              <w:rPr>
                <w:sz w:val="22"/>
                <w:szCs w:val="22"/>
              </w:rPr>
            </w:pPr>
            <w:r>
              <w:rPr>
                <w:rFonts w:hint="eastAsia"/>
                <w:sz w:val="22"/>
                <w:szCs w:val="22"/>
              </w:rPr>
              <w:t xml:space="preserve"> 11、纯净水系统采用气增压供给形式，可满足种植中纯净水的供给。</w:t>
            </w:r>
          </w:p>
          <w:p>
            <w:pPr>
              <w:rPr>
                <w:sz w:val="22"/>
                <w:szCs w:val="22"/>
              </w:rPr>
            </w:pPr>
            <w:r>
              <w:rPr>
                <w:rFonts w:hint="eastAsia"/>
                <w:sz w:val="22"/>
                <w:szCs w:val="22"/>
              </w:rPr>
              <w:t>12、牙科椅牙科椅，全电脑控制操作，具有自动复位、吐痰位、特殊记忆功能，主控板及副控板均设有电脑触摸式按键；动力系统采用直线静音电机，俯仰全过程仅需9秒钟，免维护；最低椅位:380mm,最高椅位750mm，负载大于135Kg；牙科椅可水平旋转30度，方便患者上下；内置式地箱；机椅互锁装置，靠背及椅身处设有安全保护装置；牙椅具有角度补偿功能；头枕可任意调节及锁定；宽体牙椅，牙科椅皮垫无缝一次压制成型，皮垫与机身采用搭扣连接；牙科椅为双扶手设计，扶手可依需要打开。</w:t>
            </w:r>
          </w:p>
          <w:p>
            <w:pPr>
              <w:rPr>
                <w:rFonts w:ascii="宋体" w:hAnsi="宋体" w:eastAsia="宋体" w:cs="宋体"/>
                <w:sz w:val="22"/>
                <w:szCs w:val="22"/>
              </w:rPr>
            </w:pPr>
            <w:r>
              <w:rPr>
                <w:rFonts w:hint="eastAsia"/>
                <w:sz w:val="22"/>
                <w:szCs w:val="22"/>
              </w:rPr>
              <w:t>13、医生座椅、护士座椅各１台：最低椅位425mm，行程120mm，收腰性强；</w:t>
            </w:r>
          </w:p>
        </w:tc>
        <w:tc>
          <w:tcPr>
            <w:tcW w:w="1176" w:type="dxa"/>
            <w:vAlign w:val="center"/>
          </w:tcPr>
          <w:p>
            <w:pPr>
              <w:jc w:val="center"/>
              <w:rPr>
                <w:rFonts w:ascii="宋体" w:hAnsi="宋体" w:eastAsia="宋体" w:cs="宋体"/>
                <w:sz w:val="22"/>
                <w:szCs w:val="22"/>
              </w:rPr>
            </w:pPr>
            <w:r>
              <w:rPr>
                <w:rFonts w:hint="eastAsia"/>
                <w:sz w:val="22"/>
                <w:szCs w:val="22"/>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8</w:t>
            </w:r>
          </w:p>
        </w:tc>
        <w:tc>
          <w:tcPr>
            <w:tcW w:w="1200" w:type="dxa"/>
            <w:vAlign w:val="center"/>
          </w:tcPr>
          <w:p>
            <w:pPr>
              <w:rPr>
                <w:rFonts w:ascii="宋体" w:hAnsi="宋体" w:eastAsia="宋体" w:cs="宋体"/>
                <w:sz w:val="22"/>
                <w:szCs w:val="22"/>
              </w:rPr>
            </w:pPr>
            <w:r>
              <w:rPr>
                <w:rFonts w:hint="eastAsia"/>
                <w:sz w:val="22"/>
                <w:szCs w:val="22"/>
              </w:rPr>
              <w:t>口腔综合治疗台护士用椅</w:t>
            </w:r>
          </w:p>
        </w:tc>
        <w:tc>
          <w:tcPr>
            <w:tcW w:w="7260" w:type="dxa"/>
            <w:vAlign w:val="center"/>
          </w:tcPr>
          <w:p>
            <w:pPr>
              <w:rPr>
                <w:rFonts w:ascii="宋体" w:hAnsi="宋体" w:eastAsia="宋体" w:cs="宋体"/>
                <w:sz w:val="22"/>
                <w:szCs w:val="22"/>
              </w:rPr>
            </w:pPr>
            <w:r>
              <w:rPr>
                <w:rFonts w:hint="eastAsia"/>
                <w:sz w:val="22"/>
                <w:szCs w:val="22"/>
              </w:rPr>
              <w:t>座椅高度可调节，最低椅位425mm，行程120mm，座垫可在水平面内360°灵活旋转；座垫旋转靠背旋转采用不同轴，其独特的偏心结构使得医生乘座转动靠背时有收腰的感觉，符合人体工程学设计。</w:t>
            </w:r>
          </w:p>
        </w:tc>
        <w:tc>
          <w:tcPr>
            <w:tcW w:w="1176" w:type="dxa"/>
            <w:vAlign w:val="center"/>
          </w:tcPr>
          <w:p>
            <w:pPr>
              <w:jc w:val="center"/>
              <w:rPr>
                <w:rFonts w:ascii="宋体" w:hAnsi="宋体" w:eastAsia="宋体" w:cs="宋体"/>
                <w:sz w:val="22"/>
                <w:szCs w:val="22"/>
              </w:rPr>
            </w:pPr>
            <w:r>
              <w:rPr>
                <w:rFonts w:hint="eastAsia"/>
                <w:sz w:val="22"/>
                <w:szCs w:val="22"/>
              </w:rPr>
              <w:t>15</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9</w:t>
            </w:r>
          </w:p>
        </w:tc>
        <w:tc>
          <w:tcPr>
            <w:tcW w:w="1200" w:type="dxa"/>
            <w:vAlign w:val="center"/>
          </w:tcPr>
          <w:p>
            <w:pPr>
              <w:rPr>
                <w:rFonts w:ascii="宋体" w:hAnsi="宋体" w:eastAsia="宋体" w:cs="宋体"/>
                <w:sz w:val="22"/>
                <w:szCs w:val="22"/>
              </w:rPr>
            </w:pPr>
            <w:r>
              <w:rPr>
                <w:rFonts w:hint="eastAsia"/>
                <w:sz w:val="22"/>
                <w:szCs w:val="22"/>
              </w:rPr>
              <w:t>正压牙科电动无油空压机</w:t>
            </w:r>
          </w:p>
        </w:tc>
        <w:tc>
          <w:tcPr>
            <w:tcW w:w="7260" w:type="dxa"/>
            <w:vAlign w:val="center"/>
          </w:tcPr>
          <w:p>
            <w:pPr>
              <w:rPr>
                <w:sz w:val="22"/>
                <w:szCs w:val="22"/>
              </w:rPr>
            </w:pPr>
            <w:r>
              <w:rPr>
                <w:rFonts w:hint="eastAsia"/>
                <w:sz w:val="22"/>
                <w:szCs w:val="22"/>
              </w:rPr>
              <w:t>1.设备名称：牙科电动无油空压机</w:t>
            </w:r>
          </w:p>
          <w:p>
            <w:pPr>
              <w:rPr>
                <w:sz w:val="22"/>
                <w:szCs w:val="22"/>
              </w:rPr>
            </w:pPr>
            <w:r>
              <w:rPr>
                <w:rFonts w:hint="eastAsia"/>
                <w:sz w:val="22"/>
                <w:szCs w:val="22"/>
              </w:rPr>
              <w:t>2.数量：1套，</w:t>
            </w:r>
          </w:p>
          <w:p>
            <w:pPr>
              <w:rPr>
                <w:sz w:val="22"/>
                <w:szCs w:val="22"/>
              </w:rPr>
            </w:pPr>
            <w:r>
              <w:rPr>
                <w:rFonts w:hint="eastAsia"/>
                <w:sz w:val="22"/>
                <w:szCs w:val="22"/>
              </w:rPr>
              <w:t>3.设备用途：用于牙科设备的动力气源及医疗用压缩空气的生成设备装置，达到医疗用压缩空气的要求。</w:t>
            </w:r>
          </w:p>
          <w:p>
            <w:pPr>
              <w:rPr>
                <w:sz w:val="22"/>
                <w:szCs w:val="22"/>
              </w:rPr>
            </w:pPr>
            <w:r>
              <w:rPr>
                <w:rFonts w:hint="eastAsia"/>
                <w:sz w:val="22"/>
                <w:szCs w:val="22"/>
              </w:rPr>
              <w:t>4.技术规格及要求</w:t>
            </w:r>
          </w:p>
          <w:p>
            <w:pPr>
              <w:rPr>
                <w:sz w:val="22"/>
                <w:szCs w:val="22"/>
              </w:rPr>
            </w:pPr>
            <w:r>
              <w:rPr>
                <w:rFonts w:hint="eastAsia"/>
                <w:sz w:val="22"/>
                <w:szCs w:val="22"/>
              </w:rPr>
              <w:t>4.1电源条件：</w:t>
            </w:r>
          </w:p>
          <w:p>
            <w:pPr>
              <w:rPr>
                <w:sz w:val="22"/>
                <w:szCs w:val="22"/>
              </w:rPr>
            </w:pPr>
            <w:r>
              <w:rPr>
                <w:rFonts w:hint="eastAsia"/>
                <w:sz w:val="22"/>
                <w:szCs w:val="22"/>
              </w:rPr>
              <w:t>4.1.1额定电压：3相 380V±10%，频率：50Hz三相五线制</w:t>
            </w:r>
          </w:p>
          <w:p>
            <w:pPr>
              <w:rPr>
                <w:sz w:val="22"/>
                <w:szCs w:val="22"/>
              </w:rPr>
            </w:pPr>
            <w:r>
              <w:rPr>
                <w:rFonts w:hint="eastAsia"/>
                <w:sz w:val="22"/>
                <w:szCs w:val="22"/>
              </w:rPr>
              <w:t>4.1.2电源消耗：11 KW</w:t>
            </w:r>
          </w:p>
          <w:p>
            <w:pPr>
              <w:rPr>
                <w:sz w:val="22"/>
                <w:szCs w:val="22"/>
              </w:rPr>
            </w:pPr>
            <w:r>
              <w:rPr>
                <w:rFonts w:hint="eastAsia"/>
                <w:sz w:val="22"/>
                <w:szCs w:val="22"/>
              </w:rPr>
              <w:t>4.2输出气体参数</w:t>
            </w:r>
          </w:p>
          <w:p>
            <w:pPr>
              <w:rPr>
                <w:sz w:val="22"/>
                <w:szCs w:val="22"/>
              </w:rPr>
            </w:pPr>
            <w:r>
              <w:rPr>
                <w:rFonts w:hint="eastAsia"/>
                <w:sz w:val="22"/>
                <w:szCs w:val="22"/>
              </w:rPr>
              <w:t>4.2.1最高压力0.8Mpa</w:t>
            </w:r>
          </w:p>
          <w:p>
            <w:pPr>
              <w:rPr>
                <w:sz w:val="22"/>
                <w:szCs w:val="22"/>
              </w:rPr>
            </w:pPr>
            <w:r>
              <w:rPr>
                <w:rFonts w:hint="eastAsia"/>
                <w:sz w:val="22"/>
                <w:szCs w:val="22"/>
              </w:rPr>
              <w:t>4.2.2最大产气量：1260L/min</w:t>
            </w:r>
          </w:p>
          <w:p>
            <w:pPr>
              <w:rPr>
                <w:sz w:val="22"/>
                <w:szCs w:val="22"/>
              </w:rPr>
            </w:pPr>
            <w:r>
              <w:rPr>
                <w:rFonts w:hint="eastAsia"/>
                <w:sz w:val="22"/>
                <w:szCs w:val="22"/>
              </w:rPr>
              <w:t>4.3其他要求</w:t>
            </w:r>
          </w:p>
          <w:p>
            <w:pPr>
              <w:rPr>
                <w:sz w:val="22"/>
                <w:szCs w:val="22"/>
              </w:rPr>
            </w:pPr>
            <w:r>
              <w:rPr>
                <w:rFonts w:hint="eastAsia"/>
                <w:sz w:val="22"/>
                <w:szCs w:val="22"/>
              </w:rPr>
              <w:t>4.3.1产热量：110MJ/h</w:t>
            </w:r>
          </w:p>
          <w:p>
            <w:pPr>
              <w:rPr>
                <w:sz w:val="22"/>
                <w:szCs w:val="22"/>
              </w:rPr>
            </w:pPr>
            <w:r>
              <w:rPr>
                <w:rFonts w:hint="eastAsia"/>
                <w:sz w:val="22"/>
                <w:szCs w:val="22"/>
              </w:rPr>
              <w:t>4.3.2机房排风量：380m</w:t>
            </w:r>
            <w:r>
              <w:rPr>
                <w:rFonts w:hint="eastAsia" w:ascii="宋体" w:hAnsi="宋体" w:eastAsia="宋体" w:cs="宋体"/>
                <w:sz w:val="22"/>
                <w:szCs w:val="22"/>
              </w:rPr>
              <w:t>³</w:t>
            </w:r>
            <w:r>
              <w:rPr>
                <w:rFonts w:hint="eastAsia"/>
                <w:sz w:val="22"/>
                <w:szCs w:val="22"/>
              </w:rPr>
              <w:t>/min</w:t>
            </w:r>
          </w:p>
          <w:p>
            <w:pPr>
              <w:rPr>
                <w:sz w:val="22"/>
                <w:szCs w:val="22"/>
              </w:rPr>
            </w:pPr>
            <w:r>
              <w:rPr>
                <w:rFonts w:hint="eastAsia"/>
                <w:sz w:val="22"/>
                <w:szCs w:val="22"/>
              </w:rPr>
              <w:t>4.3.3机房温度：5~40℃</w:t>
            </w:r>
          </w:p>
          <w:p>
            <w:pPr>
              <w:rPr>
                <w:sz w:val="22"/>
                <w:szCs w:val="22"/>
              </w:rPr>
            </w:pPr>
            <w:r>
              <w:rPr>
                <w:rFonts w:hint="eastAsia"/>
                <w:sz w:val="22"/>
                <w:szCs w:val="22"/>
              </w:rPr>
              <w:t>5.技术说明牙科电动无油空压机是依据医用气体工程技术规范GB50751-2012的技术指标，设计的医疗用压缩空气气源设备。采用无油涡旋主机进行空气压缩；并集成冷凝降温、空气净化干燥、精密过滤器、内洁净存储罐、以及自动化控制单元等融为一体的不间断供气系统。本产品具有设计先进、功能齐全、性能稳定等特点。可以根据客户场地和需求进行现场设计，使其气源符合医用标准。</w:t>
            </w:r>
          </w:p>
          <w:p>
            <w:pPr>
              <w:rPr>
                <w:sz w:val="22"/>
                <w:szCs w:val="22"/>
              </w:rPr>
            </w:pPr>
            <w:r>
              <w:rPr>
                <w:rFonts w:hint="eastAsia"/>
                <w:sz w:val="22"/>
                <w:szCs w:val="22"/>
              </w:rPr>
              <w:t>5.1机柜碳钢喷塑外罩，表面整洁经久耐用，采用复合降噪措施，可有效降低整机噪音，噪音值在70dB以内；先进的柜内风流设计，有效控制涡旋主机工作温度；</w:t>
            </w:r>
          </w:p>
          <w:p>
            <w:pPr>
              <w:rPr>
                <w:sz w:val="22"/>
                <w:szCs w:val="22"/>
              </w:rPr>
            </w:pPr>
            <w:r>
              <w:rPr>
                <w:rFonts w:hint="eastAsia"/>
                <w:sz w:val="22"/>
                <w:szCs w:val="22"/>
              </w:rPr>
              <w:t>5.2 涡旋式无油空压机采用先进技术设计的全无油涡旋式空气压缩机，具有极高的能效比，单机最高产气610NL/min；更高的使用寿命---10000小时免维护；主机内含3台涡旋式无油空压机机头；多机头互为备用，单机故障时依然可保证整机不间断供气。</w:t>
            </w:r>
          </w:p>
          <w:p>
            <w:pPr>
              <w:rPr>
                <w:sz w:val="22"/>
                <w:szCs w:val="22"/>
              </w:rPr>
            </w:pPr>
            <w:r>
              <w:rPr>
                <w:rFonts w:hint="eastAsia"/>
                <w:sz w:val="22"/>
                <w:szCs w:val="22"/>
              </w:rPr>
              <w:t>5.3冷却降温系统主机带有两级冷却系统，产出气体温度接近室温，避免高温对后置管路和储气罐造成损害；减少气体温度对后处理设备的影响，可以使后处理设备更加有效地发挥其特性；</w:t>
            </w:r>
          </w:p>
          <w:p>
            <w:pPr>
              <w:rPr>
                <w:sz w:val="22"/>
                <w:szCs w:val="22"/>
              </w:rPr>
            </w:pPr>
            <w:r>
              <w:rPr>
                <w:rFonts w:hint="eastAsia"/>
                <w:sz w:val="22"/>
                <w:szCs w:val="22"/>
              </w:rPr>
              <w:t>5.4 安全防护高温气路、电路以及旋转机械配有精心设计的防护措施，保证操作人员在操作和使用机器时的安全性，便于设备的现场维护和管理。</w:t>
            </w:r>
          </w:p>
          <w:p>
            <w:pPr>
              <w:rPr>
                <w:sz w:val="22"/>
                <w:szCs w:val="22"/>
              </w:rPr>
            </w:pPr>
            <w:r>
              <w:rPr>
                <w:rFonts w:hint="eastAsia"/>
                <w:sz w:val="22"/>
                <w:szCs w:val="22"/>
              </w:rPr>
              <w:t>5.5.控制系统采用≥PLC+7寸触摸屏作为主控单元，性能稳定、功能强大，操控简单、自动化程度高，具有网络接口RJ45及RS485通讯接口，可扩展远程智能控制功能；</w:t>
            </w:r>
          </w:p>
          <w:p>
            <w:pPr>
              <w:rPr>
                <w:sz w:val="22"/>
                <w:szCs w:val="22"/>
              </w:rPr>
            </w:pPr>
            <w:r>
              <w:rPr>
                <w:rFonts w:hint="eastAsia"/>
                <w:sz w:val="22"/>
                <w:szCs w:val="22"/>
              </w:rPr>
              <w:t>5.5.1．操控系统具有自我检测功能，实时监控设备状态；多路温度监控，实时监测每一台机头的工作状态；</w:t>
            </w:r>
          </w:p>
          <w:p>
            <w:pPr>
              <w:rPr>
                <w:sz w:val="22"/>
                <w:szCs w:val="22"/>
              </w:rPr>
            </w:pPr>
            <w:r>
              <w:rPr>
                <w:rFonts w:hint="eastAsia"/>
                <w:sz w:val="22"/>
                <w:szCs w:val="22"/>
              </w:rPr>
              <w:t>5.5.2.7寸彩色液晶触摸显示屏，纯中文界面；控制面板显示每个机头运行状态、温度、累计运行时间及设备故障信息；实时记录运行参数便于设备运行管理。</w:t>
            </w:r>
          </w:p>
          <w:p>
            <w:pPr>
              <w:rPr>
                <w:sz w:val="22"/>
                <w:szCs w:val="22"/>
              </w:rPr>
            </w:pPr>
            <w:r>
              <w:rPr>
                <w:rFonts w:hint="eastAsia"/>
                <w:sz w:val="22"/>
                <w:szCs w:val="22"/>
              </w:rPr>
              <w:t>5.5.3.双运行模式：压力开关模式和多级节能模式；压力开关模式：低压整机启动，高压整机停机；多级节能模式：均衡主机负载分配，保证3台机头的工作时间相等；且控制系统依据压力智能调节启动机头的数量，最大限度减小设备功率消耗；</w:t>
            </w:r>
          </w:p>
          <w:p>
            <w:pPr>
              <w:rPr>
                <w:sz w:val="22"/>
                <w:szCs w:val="22"/>
              </w:rPr>
            </w:pPr>
            <w:r>
              <w:rPr>
                <w:rFonts w:hint="eastAsia"/>
                <w:sz w:val="22"/>
                <w:szCs w:val="22"/>
              </w:rPr>
              <w:t>5.5.4.故障报警系统报警系统分为三级预警，能准确指示设备状态；耗材维护提醒信息，提醒客户进行维护，避免经验维护产生的资源浪费；</w:t>
            </w:r>
          </w:p>
          <w:p>
            <w:pPr>
              <w:rPr>
                <w:sz w:val="22"/>
                <w:szCs w:val="22"/>
              </w:rPr>
            </w:pPr>
            <w:r>
              <w:rPr>
                <w:rFonts w:hint="eastAsia"/>
                <w:sz w:val="22"/>
                <w:szCs w:val="22"/>
              </w:rPr>
              <w:t>5.5.5.设备管理系统定时系统，依据定时设置实现设备的启停机；定时记录、导出设备运行信息、预警信息及故障信息便于设备管理；</w:t>
            </w:r>
          </w:p>
          <w:p>
            <w:pPr>
              <w:rPr>
                <w:sz w:val="22"/>
                <w:szCs w:val="22"/>
              </w:rPr>
            </w:pPr>
            <w:r>
              <w:rPr>
                <w:rFonts w:hint="eastAsia"/>
                <w:sz w:val="22"/>
                <w:szCs w:val="22"/>
              </w:rPr>
              <w:t>5.6.空气净化干燥系统冷冻式干燥机，压力露点可达3-10℃。</w:t>
            </w:r>
          </w:p>
          <w:p>
            <w:pPr>
              <w:rPr>
                <w:sz w:val="22"/>
                <w:szCs w:val="22"/>
              </w:rPr>
            </w:pPr>
            <w:r>
              <w:rPr>
                <w:rFonts w:hint="eastAsia"/>
                <w:sz w:val="22"/>
                <w:szCs w:val="22"/>
              </w:rPr>
              <w:t>5.7储气单元不锈钢储气罐，避免洁净气体二次污染，可实现长期洁净储存。</w:t>
            </w:r>
          </w:p>
          <w:p>
            <w:pPr>
              <w:rPr>
                <w:sz w:val="22"/>
                <w:szCs w:val="22"/>
              </w:rPr>
            </w:pPr>
            <w:r>
              <w:rPr>
                <w:rFonts w:hint="eastAsia"/>
                <w:sz w:val="22"/>
                <w:szCs w:val="22"/>
              </w:rPr>
              <w:t>6.主要技术参数：</w:t>
            </w:r>
          </w:p>
          <w:p>
            <w:pPr>
              <w:rPr>
                <w:sz w:val="22"/>
                <w:szCs w:val="22"/>
              </w:rPr>
            </w:pPr>
            <w:r>
              <w:rPr>
                <w:rFonts w:hint="eastAsia"/>
                <w:sz w:val="22"/>
                <w:szCs w:val="22"/>
              </w:rPr>
              <w:t>6.1. 电源：380V/50Hz（三相五线）</w:t>
            </w:r>
          </w:p>
          <w:p>
            <w:pPr>
              <w:rPr>
                <w:sz w:val="22"/>
                <w:szCs w:val="22"/>
              </w:rPr>
            </w:pPr>
            <w:r>
              <w:rPr>
                <w:rFonts w:hint="eastAsia"/>
                <w:sz w:val="22"/>
                <w:szCs w:val="22"/>
              </w:rPr>
              <w:t>6.2. 功率：11KW</w:t>
            </w:r>
          </w:p>
          <w:p>
            <w:pPr>
              <w:rPr>
                <w:sz w:val="22"/>
                <w:szCs w:val="22"/>
              </w:rPr>
            </w:pPr>
            <w:r>
              <w:rPr>
                <w:rFonts w:hint="eastAsia"/>
                <w:sz w:val="22"/>
                <w:szCs w:val="22"/>
              </w:rPr>
              <w:t>6.3.最大流量：1260L/min</w:t>
            </w:r>
          </w:p>
          <w:p>
            <w:pPr>
              <w:rPr>
                <w:sz w:val="22"/>
                <w:szCs w:val="22"/>
              </w:rPr>
            </w:pPr>
            <w:r>
              <w:rPr>
                <w:rFonts w:hint="eastAsia"/>
                <w:sz w:val="22"/>
                <w:szCs w:val="22"/>
              </w:rPr>
              <w:t>6.4.噪音：≤61dB</w:t>
            </w:r>
          </w:p>
          <w:p>
            <w:pPr>
              <w:rPr>
                <w:sz w:val="22"/>
                <w:szCs w:val="22"/>
              </w:rPr>
            </w:pPr>
            <w:r>
              <w:rPr>
                <w:rFonts w:hint="eastAsia"/>
                <w:sz w:val="22"/>
                <w:szCs w:val="22"/>
              </w:rPr>
              <w:t>6.5启动压力：0.6MPa；最高压力：0.8MPa</w:t>
            </w:r>
          </w:p>
          <w:p>
            <w:pPr>
              <w:rPr>
                <w:sz w:val="22"/>
                <w:szCs w:val="22"/>
              </w:rPr>
            </w:pPr>
            <w:r>
              <w:rPr>
                <w:rFonts w:hint="eastAsia"/>
                <w:sz w:val="22"/>
                <w:szCs w:val="22"/>
              </w:rPr>
              <w:t>6.6 设备接口：G1 "</w:t>
            </w:r>
          </w:p>
          <w:p>
            <w:pPr>
              <w:rPr>
                <w:sz w:val="22"/>
                <w:szCs w:val="22"/>
              </w:rPr>
            </w:pPr>
            <w:r>
              <w:rPr>
                <w:rFonts w:hint="eastAsia"/>
                <w:sz w:val="22"/>
                <w:szCs w:val="22"/>
              </w:rPr>
              <w:t>6.7储气罐容积：400 L  2个</w:t>
            </w:r>
          </w:p>
          <w:p>
            <w:pPr>
              <w:rPr>
                <w:sz w:val="22"/>
                <w:szCs w:val="22"/>
              </w:rPr>
            </w:pPr>
            <w:r>
              <w:rPr>
                <w:rFonts w:hint="eastAsia"/>
                <w:sz w:val="22"/>
                <w:szCs w:val="22"/>
              </w:rPr>
              <w:t>6.8压力露点：3-10℃</w:t>
            </w:r>
          </w:p>
          <w:p>
            <w:pPr>
              <w:rPr>
                <w:sz w:val="22"/>
                <w:szCs w:val="22"/>
              </w:rPr>
            </w:pPr>
            <w:r>
              <w:rPr>
                <w:rFonts w:hint="eastAsia"/>
                <w:sz w:val="22"/>
                <w:szCs w:val="22"/>
              </w:rPr>
              <w:t>7. 设备安装及售后服务</w:t>
            </w:r>
          </w:p>
          <w:p>
            <w:pPr>
              <w:rPr>
                <w:sz w:val="22"/>
                <w:szCs w:val="22"/>
              </w:rPr>
            </w:pPr>
            <w:r>
              <w:rPr>
                <w:rFonts w:hint="eastAsia"/>
                <w:sz w:val="22"/>
                <w:szCs w:val="22"/>
              </w:rPr>
              <w:t>7.1安装验收：厂家专业人员负责机组的安装调试，运行前技术培训，运行后的定期设备检修及保养。</w:t>
            </w:r>
          </w:p>
          <w:p>
            <w:pPr>
              <w:rPr>
                <w:rFonts w:ascii="宋体" w:hAnsi="宋体" w:eastAsia="宋体" w:cs="宋体"/>
                <w:sz w:val="22"/>
                <w:szCs w:val="22"/>
              </w:rPr>
            </w:pPr>
            <w:r>
              <w:rPr>
                <w:rFonts w:hint="eastAsia"/>
                <w:sz w:val="22"/>
                <w:szCs w:val="22"/>
              </w:rPr>
              <w:t>7.2.整套机组自安装验收之日起保修壹年，在保修期内免费提供所需原件及维修服务。耗材及人为损坏除外。设备故障24小时内进行维修。</w:t>
            </w:r>
          </w:p>
        </w:tc>
        <w:tc>
          <w:tcPr>
            <w:tcW w:w="1176" w:type="dxa"/>
            <w:vAlign w:val="center"/>
          </w:tcPr>
          <w:p>
            <w:pPr>
              <w:jc w:val="center"/>
              <w:rPr>
                <w:rFonts w:ascii="宋体" w:hAnsi="宋体" w:eastAsia="宋体" w:cs="宋体"/>
                <w:sz w:val="22"/>
                <w:szCs w:val="22"/>
              </w:rPr>
            </w:pPr>
            <w:r>
              <w:rPr>
                <w:rFonts w:hint="eastAsia"/>
                <w:sz w:val="22"/>
                <w:szCs w:val="22"/>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10</w:t>
            </w:r>
          </w:p>
        </w:tc>
        <w:tc>
          <w:tcPr>
            <w:tcW w:w="1200" w:type="dxa"/>
            <w:vAlign w:val="center"/>
          </w:tcPr>
          <w:p>
            <w:pPr>
              <w:rPr>
                <w:rFonts w:ascii="宋体" w:hAnsi="宋体" w:eastAsia="宋体" w:cs="宋体"/>
                <w:sz w:val="22"/>
                <w:szCs w:val="22"/>
              </w:rPr>
            </w:pPr>
            <w:r>
              <w:rPr>
                <w:rFonts w:hint="eastAsia"/>
                <w:sz w:val="22"/>
                <w:szCs w:val="22"/>
              </w:rPr>
              <w:t>负压牙科电动抽吸系统</w:t>
            </w:r>
          </w:p>
        </w:tc>
        <w:tc>
          <w:tcPr>
            <w:tcW w:w="7260" w:type="dxa"/>
            <w:vAlign w:val="center"/>
          </w:tcPr>
          <w:p>
            <w:pPr>
              <w:rPr>
                <w:sz w:val="22"/>
                <w:szCs w:val="22"/>
              </w:rPr>
            </w:pPr>
            <w:r>
              <w:rPr>
                <w:rFonts w:hint="eastAsia"/>
                <w:sz w:val="22"/>
                <w:szCs w:val="22"/>
              </w:rPr>
              <w:t>1.牙科电动抽吸系统</w:t>
            </w:r>
          </w:p>
          <w:p>
            <w:pPr>
              <w:rPr>
                <w:sz w:val="22"/>
                <w:szCs w:val="22"/>
              </w:rPr>
            </w:pPr>
            <w:r>
              <w:rPr>
                <w:rFonts w:hint="eastAsia"/>
                <w:sz w:val="22"/>
                <w:szCs w:val="22"/>
              </w:rPr>
              <w:t>2. 数量：  1套</w:t>
            </w:r>
          </w:p>
          <w:p>
            <w:pPr>
              <w:rPr>
                <w:sz w:val="22"/>
                <w:szCs w:val="22"/>
              </w:rPr>
            </w:pPr>
            <w:r>
              <w:rPr>
                <w:rFonts w:hint="eastAsia"/>
                <w:sz w:val="22"/>
                <w:szCs w:val="22"/>
              </w:rPr>
              <w:t>3. 设备用途：提供20-25台牙椅负压抽吸牙科口内抽吸的动力源及处理设备，与牙科椅位上的抽吸装置通过管道相连接，对牙科治疗区域内的喷雾、唾液、血液等进行抽吸，并自动进行水气分离和排放，达到去除全部喷雾；有效保护医生护士和患者，防止交叉感染；提高治疗区域可视度；避免病人的吞咽反射，从而使治疗过程无须中断。</w:t>
            </w:r>
          </w:p>
          <w:p>
            <w:pPr>
              <w:rPr>
                <w:sz w:val="22"/>
                <w:szCs w:val="22"/>
              </w:rPr>
            </w:pPr>
            <w:r>
              <w:rPr>
                <w:rFonts w:hint="eastAsia"/>
                <w:sz w:val="22"/>
                <w:szCs w:val="22"/>
              </w:rPr>
              <w:t>4 技术规格及要求：</w:t>
            </w:r>
          </w:p>
          <w:p>
            <w:pPr>
              <w:rPr>
                <w:sz w:val="22"/>
                <w:szCs w:val="22"/>
              </w:rPr>
            </w:pPr>
            <w:r>
              <w:rPr>
                <w:rFonts w:hint="eastAsia"/>
                <w:sz w:val="22"/>
                <w:szCs w:val="22"/>
              </w:rPr>
              <w:t>4.1工作条件</w:t>
            </w:r>
          </w:p>
          <w:p>
            <w:pPr>
              <w:rPr>
                <w:sz w:val="22"/>
                <w:szCs w:val="22"/>
              </w:rPr>
            </w:pPr>
            <w:r>
              <w:rPr>
                <w:rFonts w:hint="eastAsia"/>
                <w:sz w:val="22"/>
                <w:szCs w:val="22"/>
              </w:rPr>
              <w:t>4.1.1环境条件环境温度：5 ℃～40℃、相对湿度：≤70%、大气压力：86～106kpa  通风流量≥0.4m</w:t>
            </w:r>
            <w:r>
              <w:rPr>
                <w:rFonts w:hint="eastAsia" w:ascii="宋体" w:hAnsi="宋体" w:eastAsia="宋体" w:cs="宋体"/>
                <w:sz w:val="22"/>
                <w:szCs w:val="22"/>
              </w:rPr>
              <w:t>³</w:t>
            </w:r>
            <w:r>
              <w:rPr>
                <w:rFonts w:hint="eastAsia"/>
                <w:sz w:val="22"/>
                <w:szCs w:val="22"/>
              </w:rPr>
              <w:t>/s</w:t>
            </w:r>
          </w:p>
          <w:p>
            <w:pPr>
              <w:rPr>
                <w:sz w:val="22"/>
                <w:szCs w:val="22"/>
              </w:rPr>
            </w:pPr>
            <w:r>
              <w:rPr>
                <w:rFonts w:hint="eastAsia"/>
                <w:sz w:val="22"/>
                <w:szCs w:val="22"/>
              </w:rPr>
              <w:t>4.1.2 电源条件电压：三相五线制AC380V、频率：50Hz、电源消耗：6.5 KW</w:t>
            </w:r>
          </w:p>
          <w:p>
            <w:pPr>
              <w:rPr>
                <w:sz w:val="22"/>
                <w:szCs w:val="22"/>
              </w:rPr>
            </w:pPr>
            <w:r>
              <w:rPr>
                <w:rFonts w:hint="eastAsia"/>
                <w:sz w:val="22"/>
                <w:szCs w:val="22"/>
              </w:rPr>
              <w:t>4.1.3 工作时间：100%连续工作</w:t>
            </w:r>
          </w:p>
          <w:p>
            <w:pPr>
              <w:rPr>
                <w:sz w:val="22"/>
                <w:szCs w:val="22"/>
              </w:rPr>
            </w:pPr>
            <w:r>
              <w:rPr>
                <w:rFonts w:hint="eastAsia"/>
                <w:sz w:val="22"/>
                <w:szCs w:val="22"/>
              </w:rPr>
              <w:t>4.2结构形式真空负压机组采用的动力源为优质高效的气环真空泵，电气控制系统采用PLC可编程控制器、文本显示器和变频器进行系统控制。整套牙科抽吸机组由负压泵机组、不锈钢分离罐和排污、清洁反冲洗系统组成；通过PLC（可编程控制器）及变频器调整电机的频率,使管路的负压值得到最佳数值。</w:t>
            </w:r>
          </w:p>
          <w:p>
            <w:pPr>
              <w:rPr>
                <w:sz w:val="22"/>
                <w:szCs w:val="22"/>
              </w:rPr>
            </w:pPr>
            <w:r>
              <w:rPr>
                <w:rFonts w:hint="eastAsia"/>
                <w:sz w:val="22"/>
                <w:szCs w:val="22"/>
              </w:rPr>
              <w:t>4.3 负压泵机组</w:t>
            </w:r>
          </w:p>
          <w:p>
            <w:pPr>
              <w:rPr>
                <w:sz w:val="22"/>
                <w:szCs w:val="22"/>
              </w:rPr>
            </w:pPr>
            <w:r>
              <w:rPr>
                <w:rFonts w:hint="eastAsia"/>
                <w:sz w:val="22"/>
                <w:szCs w:val="22"/>
              </w:rPr>
              <w:t>4.3.1 负压泵机组由2台抽吸机泵头组成，PLC控制系统和带高精度压力传感器及管路组成；</w:t>
            </w:r>
          </w:p>
          <w:p>
            <w:pPr>
              <w:rPr>
                <w:sz w:val="22"/>
                <w:szCs w:val="22"/>
              </w:rPr>
            </w:pPr>
            <w:r>
              <w:rPr>
                <w:rFonts w:hint="eastAsia"/>
                <w:sz w:val="22"/>
                <w:szCs w:val="22"/>
              </w:rPr>
              <w:t>4.3.2 整套机组的抽吸流量：最大6000L/min；</w:t>
            </w:r>
          </w:p>
          <w:p>
            <w:pPr>
              <w:rPr>
                <w:sz w:val="22"/>
                <w:szCs w:val="22"/>
              </w:rPr>
            </w:pPr>
            <w:r>
              <w:rPr>
                <w:rFonts w:hint="eastAsia"/>
                <w:sz w:val="22"/>
                <w:szCs w:val="22"/>
              </w:rPr>
              <w:t>4.3.3机组的抽吸负压：最大-18Kpa；</w:t>
            </w:r>
          </w:p>
          <w:p>
            <w:pPr>
              <w:rPr>
                <w:sz w:val="22"/>
                <w:szCs w:val="22"/>
              </w:rPr>
            </w:pPr>
            <w:r>
              <w:rPr>
                <w:rFonts w:hint="eastAsia"/>
                <w:sz w:val="22"/>
                <w:szCs w:val="22"/>
              </w:rPr>
              <w:t>4.3.4 具有智能控制功能，每台真空泵自动均衡启动。如果一台负压泵发生故障，10秒钟内自动转换到一个起作用的负压泵上继续工作；</w:t>
            </w:r>
          </w:p>
          <w:p>
            <w:pPr>
              <w:rPr>
                <w:sz w:val="22"/>
                <w:szCs w:val="22"/>
              </w:rPr>
            </w:pPr>
            <w:r>
              <w:rPr>
                <w:rFonts w:hint="eastAsia"/>
                <w:sz w:val="22"/>
                <w:szCs w:val="22"/>
              </w:rPr>
              <w:t>4.3.5 配有高精度压力传感器，在正常工作的情况下，保证负压值在-14～-16Kpa之间可调；</w:t>
            </w:r>
          </w:p>
          <w:p>
            <w:pPr>
              <w:rPr>
                <w:sz w:val="22"/>
                <w:szCs w:val="22"/>
              </w:rPr>
            </w:pPr>
            <w:r>
              <w:rPr>
                <w:rFonts w:hint="eastAsia"/>
                <w:sz w:val="22"/>
                <w:szCs w:val="22"/>
              </w:rPr>
              <w:t>4.3.6 带有可存储程序控制器(PLC)和变频器相配合的中央控制系统，数字化显示当前的管道系统中实际的真空水平，从而使管道系统得以监控。</w:t>
            </w:r>
          </w:p>
          <w:p>
            <w:pPr>
              <w:rPr>
                <w:sz w:val="22"/>
                <w:szCs w:val="22"/>
              </w:rPr>
            </w:pPr>
            <w:r>
              <w:rPr>
                <w:rFonts w:hint="eastAsia"/>
                <w:sz w:val="22"/>
                <w:szCs w:val="22"/>
              </w:rPr>
              <w:t>4.3.7 显示屏为触摸屏汉字语言显示；</w:t>
            </w:r>
          </w:p>
          <w:p>
            <w:pPr>
              <w:rPr>
                <w:sz w:val="22"/>
                <w:szCs w:val="22"/>
              </w:rPr>
            </w:pPr>
            <w:r>
              <w:rPr>
                <w:rFonts w:hint="eastAsia"/>
                <w:sz w:val="22"/>
                <w:szCs w:val="22"/>
              </w:rPr>
              <w:t>4.3.8占地最小面积2m×1.5m。</w:t>
            </w:r>
          </w:p>
          <w:p>
            <w:pPr>
              <w:rPr>
                <w:sz w:val="22"/>
                <w:szCs w:val="22"/>
              </w:rPr>
            </w:pPr>
            <w:r>
              <w:rPr>
                <w:rFonts w:hint="eastAsia"/>
                <w:sz w:val="22"/>
                <w:szCs w:val="22"/>
              </w:rPr>
              <w:t>4.4 不锈钢分离罐</w:t>
            </w:r>
          </w:p>
          <w:p>
            <w:pPr>
              <w:rPr>
                <w:sz w:val="22"/>
                <w:szCs w:val="22"/>
              </w:rPr>
            </w:pPr>
            <w:r>
              <w:rPr>
                <w:rFonts w:hint="eastAsia"/>
                <w:sz w:val="22"/>
                <w:szCs w:val="22"/>
              </w:rPr>
              <w:t>4.4.1分离罐容量≥200L ，带三个液位传感器</w:t>
            </w:r>
          </w:p>
          <w:p>
            <w:pPr>
              <w:rPr>
                <w:sz w:val="22"/>
                <w:szCs w:val="22"/>
              </w:rPr>
            </w:pPr>
            <w:r>
              <w:rPr>
                <w:rFonts w:hint="eastAsia"/>
                <w:sz w:val="22"/>
                <w:szCs w:val="22"/>
              </w:rPr>
              <w:t>4.5排污、清洁反冲洗系统</w:t>
            </w:r>
          </w:p>
          <w:p>
            <w:pPr>
              <w:rPr>
                <w:sz w:val="22"/>
                <w:szCs w:val="22"/>
              </w:rPr>
            </w:pPr>
            <w:r>
              <w:rPr>
                <w:rFonts w:hint="eastAsia"/>
                <w:sz w:val="22"/>
                <w:szCs w:val="22"/>
              </w:rPr>
              <w:t>4.5.1不锈钢排污系统，实现全自动排污</w:t>
            </w:r>
          </w:p>
          <w:p>
            <w:pPr>
              <w:rPr>
                <w:sz w:val="22"/>
                <w:szCs w:val="22"/>
              </w:rPr>
            </w:pPr>
            <w:r>
              <w:rPr>
                <w:rFonts w:hint="eastAsia"/>
                <w:sz w:val="22"/>
                <w:szCs w:val="22"/>
              </w:rPr>
              <w:t>4.5.2清洁反冲洗，保证分离罐的洁净</w:t>
            </w:r>
          </w:p>
          <w:p>
            <w:pPr>
              <w:rPr>
                <w:sz w:val="22"/>
                <w:szCs w:val="22"/>
              </w:rPr>
            </w:pPr>
            <w:r>
              <w:rPr>
                <w:rFonts w:hint="eastAsia"/>
                <w:sz w:val="22"/>
                <w:szCs w:val="22"/>
              </w:rPr>
              <w:t>4.5.3带有牙椅实时监控系统</w:t>
            </w:r>
          </w:p>
          <w:p>
            <w:pPr>
              <w:rPr>
                <w:sz w:val="22"/>
                <w:szCs w:val="22"/>
              </w:rPr>
            </w:pPr>
            <w:r>
              <w:rPr>
                <w:rFonts w:hint="eastAsia"/>
                <w:sz w:val="22"/>
                <w:szCs w:val="22"/>
              </w:rPr>
              <w:t>5 安装验收</w:t>
            </w:r>
          </w:p>
          <w:p>
            <w:pPr>
              <w:rPr>
                <w:sz w:val="22"/>
                <w:szCs w:val="22"/>
              </w:rPr>
            </w:pPr>
            <w:r>
              <w:rPr>
                <w:rFonts w:hint="eastAsia"/>
                <w:sz w:val="22"/>
                <w:szCs w:val="22"/>
              </w:rPr>
              <w:t>5.1 负责抽吸机组的安装调试，运行前技术培训，运行后的定期设备检修及保养。</w:t>
            </w:r>
          </w:p>
          <w:p>
            <w:pPr>
              <w:rPr>
                <w:sz w:val="22"/>
                <w:szCs w:val="22"/>
              </w:rPr>
            </w:pPr>
            <w:r>
              <w:rPr>
                <w:rFonts w:hint="eastAsia"/>
                <w:sz w:val="22"/>
                <w:szCs w:val="22"/>
              </w:rPr>
              <w:t>6 售后服务</w:t>
            </w:r>
          </w:p>
          <w:p>
            <w:pPr>
              <w:rPr>
                <w:rFonts w:ascii="宋体" w:hAnsi="宋体" w:eastAsia="宋体" w:cs="宋体"/>
                <w:sz w:val="22"/>
                <w:szCs w:val="22"/>
              </w:rPr>
            </w:pPr>
            <w:r>
              <w:rPr>
                <w:rFonts w:hint="eastAsia"/>
                <w:sz w:val="22"/>
                <w:szCs w:val="22"/>
              </w:rPr>
              <w:t>6.1 整套机组自安装验收之日起保修一年，耗材及人为损坏除外。</w:t>
            </w:r>
          </w:p>
        </w:tc>
        <w:tc>
          <w:tcPr>
            <w:tcW w:w="1176" w:type="dxa"/>
            <w:vAlign w:val="center"/>
          </w:tcPr>
          <w:p>
            <w:pPr>
              <w:jc w:val="center"/>
              <w:rPr>
                <w:rFonts w:ascii="宋体" w:hAnsi="宋体" w:eastAsia="宋体" w:cs="宋体"/>
                <w:sz w:val="22"/>
                <w:szCs w:val="22"/>
              </w:rPr>
            </w:pPr>
            <w:r>
              <w:rPr>
                <w:rFonts w:hint="eastAsia"/>
                <w:sz w:val="22"/>
                <w:szCs w:val="22"/>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11</w:t>
            </w:r>
          </w:p>
        </w:tc>
        <w:tc>
          <w:tcPr>
            <w:tcW w:w="1200" w:type="dxa"/>
            <w:vAlign w:val="center"/>
          </w:tcPr>
          <w:p>
            <w:pPr>
              <w:rPr>
                <w:rFonts w:ascii="宋体" w:hAnsi="宋体" w:eastAsia="宋体" w:cs="宋体"/>
                <w:sz w:val="22"/>
                <w:szCs w:val="22"/>
              </w:rPr>
            </w:pPr>
            <w:r>
              <w:rPr>
                <w:rFonts w:hint="eastAsia"/>
                <w:sz w:val="22"/>
                <w:szCs w:val="22"/>
              </w:rPr>
              <w:t>污水处理系统</w:t>
            </w:r>
          </w:p>
        </w:tc>
        <w:tc>
          <w:tcPr>
            <w:tcW w:w="7260" w:type="dxa"/>
            <w:vAlign w:val="center"/>
          </w:tcPr>
          <w:p>
            <w:pPr>
              <w:rPr>
                <w:sz w:val="22"/>
                <w:szCs w:val="22"/>
              </w:rPr>
            </w:pPr>
            <w:r>
              <w:rPr>
                <w:rFonts w:hint="eastAsia"/>
                <w:sz w:val="22"/>
                <w:szCs w:val="22"/>
              </w:rPr>
              <w:t>1.设备名称：污水机</w:t>
            </w:r>
          </w:p>
          <w:p>
            <w:pPr>
              <w:rPr>
                <w:sz w:val="22"/>
                <w:szCs w:val="22"/>
              </w:rPr>
            </w:pPr>
            <w:r>
              <w:rPr>
                <w:rFonts w:hint="eastAsia"/>
                <w:sz w:val="22"/>
                <w:szCs w:val="22"/>
              </w:rPr>
              <w:t>2.数量：1台</w:t>
            </w:r>
          </w:p>
          <w:p>
            <w:pPr>
              <w:rPr>
                <w:sz w:val="22"/>
                <w:szCs w:val="22"/>
              </w:rPr>
            </w:pPr>
            <w:r>
              <w:rPr>
                <w:rFonts w:hint="eastAsia"/>
                <w:sz w:val="22"/>
                <w:szCs w:val="22"/>
              </w:rPr>
              <w:t>3.设备用途：用于10-20台牙椅的用水，漱口用水等污水的消毒。</w:t>
            </w:r>
          </w:p>
          <w:p>
            <w:pPr>
              <w:rPr>
                <w:sz w:val="22"/>
                <w:szCs w:val="22"/>
              </w:rPr>
            </w:pPr>
            <w:r>
              <w:rPr>
                <w:rFonts w:hint="eastAsia"/>
                <w:sz w:val="22"/>
                <w:szCs w:val="22"/>
              </w:rPr>
              <w:t>4. 技术规格及要求</w:t>
            </w:r>
          </w:p>
          <w:p>
            <w:pPr>
              <w:rPr>
                <w:sz w:val="22"/>
                <w:szCs w:val="22"/>
              </w:rPr>
            </w:pPr>
            <w:r>
              <w:rPr>
                <w:rFonts w:hint="eastAsia"/>
                <w:sz w:val="22"/>
                <w:szCs w:val="22"/>
              </w:rPr>
              <w:t>4.1工作条件：</w:t>
            </w:r>
          </w:p>
          <w:p>
            <w:pPr>
              <w:rPr>
                <w:sz w:val="22"/>
                <w:szCs w:val="22"/>
              </w:rPr>
            </w:pPr>
            <w:r>
              <w:rPr>
                <w:rFonts w:hint="eastAsia"/>
                <w:sz w:val="22"/>
                <w:szCs w:val="22"/>
              </w:rPr>
              <w:t>4.1.1环境条件进水温度:5～35℃（25℃最佳）；工作环境温度：2～45℃；</w:t>
            </w:r>
          </w:p>
          <w:p>
            <w:pPr>
              <w:rPr>
                <w:sz w:val="22"/>
                <w:szCs w:val="22"/>
              </w:rPr>
            </w:pPr>
            <w:r>
              <w:rPr>
                <w:rFonts w:hint="eastAsia"/>
                <w:sz w:val="22"/>
                <w:szCs w:val="22"/>
              </w:rPr>
              <w:t xml:space="preserve">4.1.2 电源条件电压：AC 220V/50Hz；功率:1.1KW   </w:t>
            </w:r>
          </w:p>
          <w:p>
            <w:pPr>
              <w:rPr>
                <w:sz w:val="22"/>
                <w:szCs w:val="22"/>
              </w:rPr>
            </w:pPr>
            <w:r>
              <w:rPr>
                <w:rFonts w:hint="eastAsia"/>
                <w:sz w:val="22"/>
                <w:szCs w:val="22"/>
              </w:rPr>
              <w:t>4.1.3适用范围：1、满足25-30张床位以下的综合医疗机构和其他所有医疗机构污水处理  2、设备不需要另建集水池，可将污水直接接入设备入口，水位到达自动处理，水位不足设备停止运行。</w:t>
            </w:r>
          </w:p>
          <w:p>
            <w:pPr>
              <w:rPr>
                <w:sz w:val="22"/>
                <w:szCs w:val="22"/>
              </w:rPr>
            </w:pPr>
            <w:r>
              <w:rPr>
                <w:rFonts w:hint="eastAsia"/>
                <w:sz w:val="22"/>
                <w:szCs w:val="22"/>
              </w:rPr>
              <w:t>4.2  技术参数及特点：</w:t>
            </w:r>
          </w:p>
          <w:p>
            <w:pPr>
              <w:jc w:val="left"/>
              <w:rPr>
                <w:sz w:val="22"/>
                <w:szCs w:val="22"/>
              </w:rPr>
            </w:pPr>
            <w:r>
              <w:rPr>
                <w:rFonts w:hint="eastAsia"/>
                <w:sz w:val="22"/>
                <w:szCs w:val="22"/>
              </w:rPr>
              <w:t>4.2.1、【技术参数】：</w:t>
            </w:r>
          </w:p>
          <w:p>
            <w:pPr>
              <w:jc w:val="left"/>
              <w:rPr>
                <w:sz w:val="22"/>
                <w:szCs w:val="22"/>
              </w:rPr>
            </w:pPr>
            <w:r>
              <w:rPr>
                <w:rFonts w:hint="eastAsia"/>
                <w:sz w:val="22"/>
                <w:szCs w:val="22"/>
              </w:rPr>
              <w:t>电源：AC220V 50Hz；</w:t>
            </w:r>
          </w:p>
          <w:p>
            <w:pPr>
              <w:jc w:val="left"/>
              <w:rPr>
                <w:sz w:val="22"/>
                <w:szCs w:val="22"/>
              </w:rPr>
            </w:pPr>
            <w:r>
              <w:rPr>
                <w:rFonts w:hint="eastAsia"/>
                <w:sz w:val="22"/>
                <w:szCs w:val="22"/>
              </w:rPr>
              <w:t>满负荷功率：1.1Kw；</w:t>
            </w:r>
          </w:p>
          <w:p>
            <w:pPr>
              <w:jc w:val="left"/>
              <w:rPr>
                <w:sz w:val="22"/>
                <w:szCs w:val="22"/>
              </w:rPr>
            </w:pPr>
            <w:r>
              <w:rPr>
                <w:rFonts w:hint="eastAsia"/>
                <w:sz w:val="22"/>
                <w:szCs w:val="22"/>
              </w:rPr>
              <w:t xml:space="preserve">产量： 10g/h              </w:t>
            </w:r>
          </w:p>
          <w:p>
            <w:pPr>
              <w:jc w:val="left"/>
              <w:rPr>
                <w:sz w:val="22"/>
                <w:szCs w:val="22"/>
              </w:rPr>
            </w:pPr>
            <w:r>
              <w:rPr>
                <w:rFonts w:hint="eastAsia"/>
                <w:sz w:val="22"/>
                <w:szCs w:val="22"/>
              </w:rPr>
              <w:t xml:space="preserve">臭氧投加量：&gt;10mg/L              </w:t>
            </w:r>
          </w:p>
          <w:p>
            <w:pPr>
              <w:jc w:val="left"/>
              <w:rPr>
                <w:sz w:val="22"/>
                <w:szCs w:val="22"/>
              </w:rPr>
            </w:pPr>
            <w:r>
              <w:rPr>
                <w:rFonts w:hint="eastAsia"/>
                <w:sz w:val="22"/>
                <w:szCs w:val="22"/>
              </w:rPr>
              <w:t xml:space="preserve">污水处理量：500L-1000L/h                </w:t>
            </w:r>
          </w:p>
          <w:p>
            <w:pPr>
              <w:jc w:val="left"/>
              <w:rPr>
                <w:sz w:val="22"/>
                <w:szCs w:val="22"/>
              </w:rPr>
            </w:pPr>
            <w:r>
              <w:rPr>
                <w:rFonts w:hint="eastAsia"/>
                <w:sz w:val="22"/>
                <w:szCs w:val="22"/>
              </w:rPr>
              <w:t xml:space="preserve">连接口尺寸：污水排出口Φ25mm，自流进水口Φ50mm；自吸进水口Φ25mm    </w:t>
            </w:r>
          </w:p>
          <w:p>
            <w:pPr>
              <w:rPr>
                <w:sz w:val="22"/>
                <w:szCs w:val="22"/>
              </w:rPr>
            </w:pPr>
            <w:r>
              <w:rPr>
                <w:rFonts w:hint="eastAsia"/>
                <w:sz w:val="22"/>
                <w:szCs w:val="22"/>
              </w:rPr>
              <w:t>4.3、无需投加药剂，节省后续运行成本</w:t>
            </w:r>
          </w:p>
          <w:p>
            <w:pPr>
              <w:rPr>
                <w:sz w:val="22"/>
                <w:szCs w:val="22"/>
              </w:rPr>
            </w:pPr>
            <w:r>
              <w:rPr>
                <w:rFonts w:hint="eastAsia"/>
                <w:sz w:val="22"/>
                <w:szCs w:val="22"/>
              </w:rPr>
              <w:t>4.4、设备采用臭氧消毒方式，也可根据用户要求进行多种配置（如：氯片或二氧化氯消毒剂）</w:t>
            </w:r>
          </w:p>
          <w:p>
            <w:pPr>
              <w:rPr>
                <w:sz w:val="22"/>
                <w:szCs w:val="22"/>
              </w:rPr>
            </w:pPr>
            <w:r>
              <w:rPr>
                <w:rFonts w:hint="eastAsia"/>
                <w:sz w:val="22"/>
                <w:szCs w:val="22"/>
              </w:rPr>
              <w:t>4.5、根据安装需要可选配负压抽吸系统，不需要进行土建。</w:t>
            </w:r>
          </w:p>
          <w:p>
            <w:pPr>
              <w:rPr>
                <w:sz w:val="22"/>
                <w:szCs w:val="22"/>
              </w:rPr>
            </w:pPr>
            <w:r>
              <w:rPr>
                <w:rFonts w:hint="eastAsia"/>
                <w:sz w:val="22"/>
                <w:szCs w:val="22"/>
              </w:rPr>
              <w:t>5 安装验收</w:t>
            </w:r>
          </w:p>
          <w:p>
            <w:pPr>
              <w:rPr>
                <w:sz w:val="22"/>
                <w:szCs w:val="22"/>
              </w:rPr>
            </w:pPr>
            <w:r>
              <w:rPr>
                <w:rFonts w:hint="eastAsia"/>
                <w:sz w:val="22"/>
                <w:szCs w:val="22"/>
              </w:rPr>
              <w:t>5.1 厂家工程师负责设备安装调试，运行前技术培训，运行后的定期设备检修及保养。</w:t>
            </w:r>
          </w:p>
          <w:p>
            <w:pPr>
              <w:rPr>
                <w:rFonts w:ascii="宋体" w:hAnsi="宋体" w:eastAsia="宋体" w:cs="宋体"/>
                <w:sz w:val="22"/>
                <w:szCs w:val="22"/>
              </w:rPr>
            </w:pPr>
            <w:r>
              <w:rPr>
                <w:rFonts w:hint="eastAsia"/>
                <w:sz w:val="22"/>
                <w:szCs w:val="22"/>
              </w:rPr>
              <w:t>6 售后服务：整套污水机自安装验收之日起保修一年，耗材及人为损除外。</w:t>
            </w:r>
          </w:p>
        </w:tc>
        <w:tc>
          <w:tcPr>
            <w:tcW w:w="1176" w:type="dxa"/>
            <w:vAlign w:val="center"/>
          </w:tcPr>
          <w:p>
            <w:pPr>
              <w:jc w:val="center"/>
              <w:rPr>
                <w:rFonts w:ascii="宋体" w:hAnsi="宋体" w:eastAsia="宋体" w:cs="宋体"/>
                <w:sz w:val="22"/>
                <w:szCs w:val="22"/>
              </w:rPr>
            </w:pPr>
            <w:r>
              <w:rPr>
                <w:rFonts w:hint="eastAsia"/>
                <w:sz w:val="22"/>
                <w:szCs w:val="22"/>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12</w:t>
            </w:r>
          </w:p>
        </w:tc>
        <w:tc>
          <w:tcPr>
            <w:tcW w:w="1200" w:type="dxa"/>
            <w:vAlign w:val="center"/>
          </w:tcPr>
          <w:p>
            <w:pPr>
              <w:rPr>
                <w:rFonts w:ascii="宋体" w:hAnsi="宋体" w:eastAsia="宋体" w:cs="宋体"/>
                <w:sz w:val="22"/>
                <w:szCs w:val="22"/>
              </w:rPr>
            </w:pPr>
            <w:r>
              <w:rPr>
                <w:rFonts w:hint="eastAsia"/>
                <w:sz w:val="22"/>
                <w:szCs w:val="22"/>
              </w:rPr>
              <w:t>口腔专用高速手机</w:t>
            </w:r>
          </w:p>
        </w:tc>
        <w:tc>
          <w:tcPr>
            <w:tcW w:w="7260" w:type="dxa"/>
            <w:vAlign w:val="center"/>
          </w:tcPr>
          <w:p>
            <w:pPr>
              <w:rPr>
                <w:sz w:val="22"/>
                <w:szCs w:val="22"/>
              </w:rPr>
            </w:pPr>
            <w:r>
              <w:rPr>
                <w:rFonts w:hint="eastAsia"/>
                <w:sz w:val="22"/>
                <w:szCs w:val="22"/>
              </w:rPr>
              <w:t>性能参数及特点：</w:t>
            </w:r>
          </w:p>
          <w:p>
            <w:pPr>
              <w:rPr>
                <w:sz w:val="22"/>
                <w:szCs w:val="22"/>
              </w:rPr>
            </w:pPr>
            <w:r>
              <w:rPr>
                <w:rFonts w:hint="eastAsia"/>
                <w:sz w:val="22"/>
                <w:szCs w:val="22"/>
              </w:rPr>
              <w:t>1.头部：数控加工一体结构，标准型，尺寸规格φ11.2×13.6。</w:t>
            </w:r>
          </w:p>
          <w:p>
            <w:pPr>
              <w:rPr>
                <w:sz w:val="22"/>
                <w:szCs w:val="22"/>
              </w:rPr>
            </w:pPr>
            <w:r>
              <w:rPr>
                <w:rFonts w:hint="eastAsia"/>
                <w:sz w:val="22"/>
                <w:szCs w:val="22"/>
              </w:rPr>
              <w:t>2.配置：涡轮组件优质耐用，加厚陶瓷球轴承。</w:t>
            </w:r>
          </w:p>
          <w:p>
            <w:pPr>
              <w:rPr>
                <w:sz w:val="22"/>
                <w:szCs w:val="22"/>
              </w:rPr>
            </w:pPr>
            <w:r>
              <w:rPr>
                <w:rFonts w:hint="eastAsia"/>
                <w:sz w:val="22"/>
                <w:szCs w:val="22"/>
              </w:rPr>
              <w:t>3.连接形式：快换接头式，4孔，具有水路“防回吸”功能，防止交叉感染。</w:t>
            </w:r>
          </w:p>
          <w:p>
            <w:pPr>
              <w:rPr>
                <w:sz w:val="22"/>
                <w:szCs w:val="22"/>
              </w:rPr>
            </w:pPr>
            <w:r>
              <w:rPr>
                <w:rFonts w:hint="eastAsia"/>
                <w:sz w:val="22"/>
                <w:szCs w:val="22"/>
              </w:rPr>
              <w:t>4.材质及处理方式：铜合金，表面高耐磨Ni+Cr镀层。</w:t>
            </w:r>
          </w:p>
          <w:p>
            <w:pPr>
              <w:rPr>
                <w:sz w:val="22"/>
                <w:szCs w:val="22"/>
              </w:rPr>
            </w:pPr>
            <w:r>
              <w:rPr>
                <w:rFonts w:hint="eastAsia"/>
                <w:sz w:val="22"/>
                <w:szCs w:val="22"/>
              </w:rPr>
              <w:t>5.重量：约78g（含快换接头）</w:t>
            </w:r>
          </w:p>
          <w:p>
            <w:pPr>
              <w:rPr>
                <w:sz w:val="22"/>
                <w:szCs w:val="22"/>
              </w:rPr>
            </w:pPr>
            <w:r>
              <w:rPr>
                <w:rFonts w:hint="eastAsia"/>
                <w:sz w:val="22"/>
                <w:szCs w:val="22"/>
              </w:rPr>
              <w:t>6.冷却形式：端面四孔喷雾,最佳冷却效果，喷雾均匀，冷却无盲区。水压在0.1Mpa以上就可充分成雾，特别适合水压低的地区使用（最佳冷却条件：水压0.2MPa，雾化气压0.2-0.35MPa）</w:t>
            </w:r>
          </w:p>
          <w:p>
            <w:pPr>
              <w:rPr>
                <w:sz w:val="22"/>
                <w:szCs w:val="22"/>
              </w:rPr>
            </w:pPr>
            <w:r>
              <w:rPr>
                <w:rFonts w:hint="eastAsia"/>
                <w:sz w:val="22"/>
                <w:szCs w:val="22"/>
              </w:rPr>
              <w:t>7.工作压力（手机口）：四孔025-0.27MPa。</w:t>
            </w:r>
          </w:p>
          <w:p>
            <w:pPr>
              <w:rPr>
                <w:sz w:val="22"/>
                <w:szCs w:val="22"/>
              </w:rPr>
            </w:pPr>
            <w:r>
              <w:rPr>
                <w:rFonts w:hint="eastAsia"/>
                <w:sz w:val="22"/>
                <w:szCs w:val="22"/>
              </w:rPr>
              <w:t xml:space="preserve">8.耗气量：30-36NL/min     </w:t>
            </w:r>
          </w:p>
          <w:p>
            <w:pPr>
              <w:rPr>
                <w:sz w:val="22"/>
                <w:szCs w:val="22"/>
              </w:rPr>
            </w:pPr>
            <w:r>
              <w:rPr>
                <w:rFonts w:hint="eastAsia"/>
                <w:sz w:val="22"/>
                <w:szCs w:val="22"/>
              </w:rPr>
              <w:t>9.空载转速：≥300，000rpm（0.25MPa下实际转速范围325，000—395，000rpm）。</w:t>
            </w:r>
          </w:p>
          <w:p>
            <w:pPr>
              <w:rPr>
                <w:sz w:val="22"/>
                <w:szCs w:val="22"/>
              </w:rPr>
            </w:pPr>
            <w:r>
              <w:rPr>
                <w:rFonts w:hint="eastAsia"/>
                <w:sz w:val="22"/>
                <w:szCs w:val="22"/>
              </w:rPr>
              <w:t xml:space="preserve">10.噪音：≤65dB   </w:t>
            </w:r>
          </w:p>
          <w:p>
            <w:pPr>
              <w:rPr>
                <w:sz w:val="22"/>
                <w:szCs w:val="22"/>
              </w:rPr>
            </w:pPr>
            <w:r>
              <w:rPr>
                <w:rFonts w:hint="eastAsia"/>
                <w:sz w:val="22"/>
                <w:szCs w:val="22"/>
              </w:rPr>
              <w:t xml:space="preserve">11.扭矩：0.13～0.15N.cm   </w:t>
            </w:r>
          </w:p>
          <w:p>
            <w:pPr>
              <w:rPr>
                <w:sz w:val="22"/>
                <w:szCs w:val="22"/>
              </w:rPr>
            </w:pPr>
            <w:r>
              <w:rPr>
                <w:rFonts w:hint="eastAsia"/>
                <w:sz w:val="22"/>
                <w:szCs w:val="22"/>
              </w:rPr>
              <w:t xml:space="preserve">12.机芯不平衡量：≤180μg    </w:t>
            </w:r>
          </w:p>
          <w:p>
            <w:pPr>
              <w:rPr>
                <w:sz w:val="22"/>
                <w:szCs w:val="22"/>
              </w:rPr>
            </w:pPr>
            <w:r>
              <w:rPr>
                <w:rFonts w:hint="eastAsia"/>
                <w:sz w:val="22"/>
                <w:szCs w:val="22"/>
              </w:rPr>
              <w:t xml:space="preserve">13.径向跳动量：≤0.010mm   </w:t>
            </w:r>
          </w:p>
          <w:p>
            <w:pPr>
              <w:rPr>
                <w:sz w:val="22"/>
                <w:szCs w:val="22"/>
              </w:rPr>
            </w:pPr>
            <w:r>
              <w:rPr>
                <w:rFonts w:hint="eastAsia"/>
                <w:sz w:val="22"/>
                <w:szCs w:val="22"/>
              </w:rPr>
              <w:t>14.在水压0.2MPa时，冷却水流量50mL/min；</w:t>
            </w:r>
          </w:p>
          <w:p>
            <w:pPr>
              <w:rPr>
                <w:rFonts w:ascii="宋体" w:hAnsi="宋体" w:eastAsia="宋体" w:cs="宋体"/>
                <w:sz w:val="22"/>
                <w:szCs w:val="22"/>
              </w:rPr>
            </w:pPr>
            <w:r>
              <w:rPr>
                <w:rFonts w:hint="eastAsia"/>
                <w:sz w:val="22"/>
                <w:szCs w:val="22"/>
              </w:rPr>
              <w:t>15. 可承受136℃±2高温高压蒸汽灭菌。</w:t>
            </w:r>
          </w:p>
        </w:tc>
        <w:tc>
          <w:tcPr>
            <w:tcW w:w="1176" w:type="dxa"/>
            <w:vAlign w:val="center"/>
          </w:tcPr>
          <w:p>
            <w:pPr>
              <w:jc w:val="center"/>
              <w:rPr>
                <w:rFonts w:ascii="宋体" w:hAnsi="宋体" w:eastAsia="宋体" w:cs="宋体"/>
                <w:sz w:val="22"/>
                <w:szCs w:val="22"/>
              </w:rPr>
            </w:pPr>
            <w:r>
              <w:rPr>
                <w:rFonts w:hint="eastAsia"/>
                <w:sz w:val="22"/>
                <w:szCs w:val="22"/>
              </w:rPr>
              <w:t>20</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13</w:t>
            </w:r>
          </w:p>
        </w:tc>
        <w:tc>
          <w:tcPr>
            <w:tcW w:w="1200" w:type="dxa"/>
            <w:vAlign w:val="center"/>
          </w:tcPr>
          <w:p>
            <w:pPr>
              <w:rPr>
                <w:rFonts w:ascii="宋体" w:hAnsi="宋体" w:eastAsia="宋体" w:cs="宋体"/>
                <w:sz w:val="22"/>
                <w:szCs w:val="22"/>
              </w:rPr>
            </w:pPr>
            <w:r>
              <w:rPr>
                <w:rFonts w:hint="eastAsia"/>
                <w:sz w:val="22"/>
                <w:szCs w:val="22"/>
              </w:rPr>
              <w:t>口腔专用低速手机＋马达（内喷水）</w:t>
            </w:r>
          </w:p>
        </w:tc>
        <w:tc>
          <w:tcPr>
            <w:tcW w:w="7260" w:type="dxa"/>
            <w:vAlign w:val="center"/>
          </w:tcPr>
          <w:p>
            <w:pPr>
              <w:rPr>
                <w:sz w:val="22"/>
                <w:szCs w:val="22"/>
              </w:rPr>
            </w:pPr>
            <w:r>
              <w:rPr>
                <w:rFonts w:hint="eastAsia"/>
                <w:sz w:val="22"/>
                <w:szCs w:val="22"/>
              </w:rPr>
              <w:t>一、内喷水直机性能参数：</w:t>
            </w:r>
          </w:p>
          <w:p>
            <w:pPr>
              <w:rPr>
                <w:sz w:val="22"/>
                <w:szCs w:val="22"/>
              </w:rPr>
            </w:pPr>
            <w:r>
              <w:rPr>
                <w:rFonts w:hint="eastAsia"/>
                <w:sz w:val="22"/>
                <w:szCs w:val="22"/>
              </w:rPr>
              <w:t>1）内置2套轴承，旋转灵活；</w:t>
            </w:r>
          </w:p>
          <w:p>
            <w:pPr>
              <w:rPr>
                <w:sz w:val="22"/>
                <w:szCs w:val="22"/>
              </w:rPr>
            </w:pPr>
            <w:r>
              <w:rPr>
                <w:rFonts w:hint="eastAsia"/>
                <w:sz w:val="22"/>
                <w:szCs w:val="22"/>
              </w:rPr>
              <w:t>2）内喷水直机的夹持机构采用数控机床常用的ER夹头全身夹紧形式，装取车针方便，牢靠；</w:t>
            </w:r>
          </w:p>
          <w:p>
            <w:pPr>
              <w:rPr>
                <w:sz w:val="22"/>
                <w:szCs w:val="22"/>
              </w:rPr>
            </w:pPr>
            <w:r>
              <w:rPr>
                <w:rFonts w:hint="eastAsia"/>
                <w:sz w:val="22"/>
                <w:szCs w:val="22"/>
              </w:rPr>
              <w:t>3）内喷水直机具有卫生机头的功能；</w:t>
            </w:r>
          </w:p>
          <w:p>
            <w:pPr>
              <w:rPr>
                <w:sz w:val="22"/>
                <w:szCs w:val="22"/>
              </w:rPr>
            </w:pPr>
            <w:r>
              <w:rPr>
                <w:rFonts w:hint="eastAsia"/>
                <w:sz w:val="22"/>
                <w:szCs w:val="22"/>
              </w:rPr>
              <w:t>4）传动比1:1；</w:t>
            </w:r>
          </w:p>
          <w:p>
            <w:pPr>
              <w:rPr>
                <w:sz w:val="22"/>
                <w:szCs w:val="22"/>
              </w:rPr>
            </w:pPr>
            <w:r>
              <w:rPr>
                <w:rFonts w:hint="eastAsia"/>
                <w:sz w:val="22"/>
                <w:szCs w:val="22"/>
              </w:rPr>
              <w:t>5）额定转速≤40000rpm；</w:t>
            </w:r>
          </w:p>
          <w:p>
            <w:pPr>
              <w:rPr>
                <w:sz w:val="22"/>
                <w:szCs w:val="22"/>
              </w:rPr>
            </w:pPr>
            <w:r>
              <w:rPr>
                <w:rFonts w:hint="eastAsia"/>
                <w:sz w:val="22"/>
                <w:szCs w:val="22"/>
              </w:rPr>
              <w:t>6）径向跳动≤0.08；</w:t>
            </w:r>
          </w:p>
          <w:p>
            <w:pPr>
              <w:rPr>
                <w:sz w:val="22"/>
                <w:szCs w:val="22"/>
              </w:rPr>
            </w:pPr>
            <w:r>
              <w:rPr>
                <w:rFonts w:hint="eastAsia"/>
                <w:sz w:val="22"/>
                <w:szCs w:val="22"/>
              </w:rPr>
              <w:t>7）直机的夹持力≥45N；</w:t>
            </w:r>
          </w:p>
          <w:p>
            <w:pPr>
              <w:rPr>
                <w:sz w:val="22"/>
                <w:szCs w:val="22"/>
              </w:rPr>
            </w:pPr>
            <w:r>
              <w:rPr>
                <w:rFonts w:hint="eastAsia"/>
                <w:sz w:val="22"/>
                <w:szCs w:val="22"/>
              </w:rPr>
              <w:t>8）直手机夹持可靠，可传递大于5N.cm的扭矩而不会打滑；</w:t>
            </w:r>
          </w:p>
          <w:p>
            <w:pPr>
              <w:rPr>
                <w:sz w:val="22"/>
                <w:szCs w:val="22"/>
              </w:rPr>
            </w:pPr>
            <w:r>
              <w:rPr>
                <w:rFonts w:hint="eastAsia"/>
                <w:sz w:val="22"/>
                <w:szCs w:val="22"/>
              </w:rPr>
              <w:t>9）冷却形式：内部雾化冷却，与内喷水马达连接使用；</w:t>
            </w:r>
          </w:p>
          <w:p>
            <w:pPr>
              <w:jc w:val="left"/>
              <w:rPr>
                <w:sz w:val="22"/>
                <w:szCs w:val="22"/>
              </w:rPr>
            </w:pPr>
            <w:r>
              <w:rPr>
                <w:rFonts w:hint="eastAsia"/>
                <w:sz w:val="22"/>
                <w:szCs w:val="22"/>
              </w:rPr>
              <w:t>10）与马达连接时，无振动，不发热；</w:t>
            </w:r>
          </w:p>
          <w:p>
            <w:pPr>
              <w:jc w:val="left"/>
              <w:rPr>
                <w:sz w:val="22"/>
                <w:szCs w:val="22"/>
              </w:rPr>
            </w:pPr>
            <w:r>
              <w:rPr>
                <w:rFonts w:hint="eastAsia"/>
                <w:sz w:val="22"/>
                <w:szCs w:val="22"/>
              </w:rPr>
              <w:t>11）可进行135度高温高压蒸汽消毒；</w:t>
            </w:r>
          </w:p>
          <w:p>
            <w:pPr>
              <w:jc w:val="left"/>
              <w:rPr>
                <w:sz w:val="22"/>
                <w:szCs w:val="22"/>
              </w:rPr>
            </w:pPr>
            <w:r>
              <w:rPr>
                <w:rFonts w:hint="eastAsia"/>
                <w:sz w:val="22"/>
                <w:szCs w:val="22"/>
              </w:rPr>
              <w:t>12）可以与符合国际标准制作的马达相连接；二、内喷水弯机性能参数：                                                       1）采用钢球轴承，内置4套轴承，运转灵活；</w:t>
            </w:r>
          </w:p>
          <w:p>
            <w:pPr>
              <w:jc w:val="left"/>
              <w:rPr>
                <w:sz w:val="22"/>
                <w:szCs w:val="22"/>
              </w:rPr>
            </w:pPr>
            <w:r>
              <w:rPr>
                <w:rFonts w:hint="eastAsia"/>
                <w:sz w:val="22"/>
                <w:szCs w:val="22"/>
              </w:rPr>
              <w:t>2）采用按压式的车针装取方式，安装方便，安全可靠；</w:t>
            </w:r>
          </w:p>
          <w:p>
            <w:pPr>
              <w:jc w:val="left"/>
              <w:rPr>
                <w:sz w:val="22"/>
                <w:szCs w:val="22"/>
              </w:rPr>
            </w:pPr>
            <w:r>
              <w:rPr>
                <w:rFonts w:hint="eastAsia"/>
                <w:sz w:val="22"/>
                <w:szCs w:val="22"/>
              </w:rPr>
              <w:t>3) 传动比1:1；</w:t>
            </w:r>
          </w:p>
          <w:p>
            <w:pPr>
              <w:jc w:val="left"/>
              <w:rPr>
                <w:sz w:val="22"/>
                <w:szCs w:val="22"/>
              </w:rPr>
            </w:pPr>
            <w:r>
              <w:rPr>
                <w:rFonts w:hint="eastAsia"/>
                <w:sz w:val="22"/>
                <w:szCs w:val="22"/>
              </w:rPr>
              <w:t>4）额定转速≤40000rpm；</w:t>
            </w:r>
          </w:p>
          <w:p>
            <w:pPr>
              <w:jc w:val="left"/>
              <w:rPr>
                <w:sz w:val="22"/>
                <w:szCs w:val="22"/>
              </w:rPr>
            </w:pPr>
            <w:r>
              <w:rPr>
                <w:rFonts w:hint="eastAsia"/>
                <w:sz w:val="22"/>
                <w:szCs w:val="22"/>
              </w:rPr>
              <w:t>5）弯机的夹持力≥45N；</w:t>
            </w:r>
          </w:p>
          <w:p>
            <w:pPr>
              <w:jc w:val="left"/>
              <w:rPr>
                <w:sz w:val="22"/>
                <w:szCs w:val="22"/>
              </w:rPr>
            </w:pPr>
            <w:r>
              <w:rPr>
                <w:rFonts w:hint="eastAsia"/>
                <w:sz w:val="22"/>
                <w:szCs w:val="22"/>
              </w:rPr>
              <w:t>6）冷却形式：内部雾化冷却，与内喷水马达连接使用；</w:t>
            </w:r>
          </w:p>
          <w:p>
            <w:pPr>
              <w:jc w:val="left"/>
              <w:rPr>
                <w:sz w:val="22"/>
                <w:szCs w:val="22"/>
              </w:rPr>
            </w:pPr>
            <w:r>
              <w:rPr>
                <w:rFonts w:hint="eastAsia"/>
                <w:sz w:val="22"/>
                <w:szCs w:val="22"/>
              </w:rPr>
              <w:t>7）与马达连接时，无振动，不发热；</w:t>
            </w:r>
          </w:p>
          <w:p>
            <w:pPr>
              <w:jc w:val="left"/>
              <w:rPr>
                <w:sz w:val="22"/>
                <w:szCs w:val="22"/>
              </w:rPr>
            </w:pPr>
            <w:r>
              <w:rPr>
                <w:rFonts w:hint="eastAsia"/>
                <w:sz w:val="22"/>
                <w:szCs w:val="22"/>
              </w:rPr>
              <w:t>8）可进行135度高温高压蒸汽灭菌；</w:t>
            </w:r>
          </w:p>
          <w:p>
            <w:pPr>
              <w:jc w:val="left"/>
              <w:rPr>
                <w:sz w:val="22"/>
                <w:szCs w:val="22"/>
              </w:rPr>
            </w:pPr>
            <w:r>
              <w:rPr>
                <w:rFonts w:hint="eastAsia"/>
                <w:sz w:val="22"/>
                <w:szCs w:val="22"/>
              </w:rPr>
              <w:t>9）可以与符合国际标准制作的马达相连接；</w:t>
            </w:r>
          </w:p>
          <w:p>
            <w:pPr>
              <w:jc w:val="left"/>
              <w:rPr>
                <w:sz w:val="22"/>
                <w:szCs w:val="22"/>
              </w:rPr>
            </w:pPr>
            <w:r>
              <w:rPr>
                <w:rFonts w:hint="eastAsia"/>
                <w:sz w:val="22"/>
                <w:szCs w:val="22"/>
              </w:rPr>
              <w:t>10）用电动马达（空载电流≤0.3A）带动弯机加之负载，运转5秒后，电流增量≤0.15A；</w:t>
            </w:r>
          </w:p>
          <w:p>
            <w:pPr>
              <w:jc w:val="left"/>
              <w:rPr>
                <w:sz w:val="22"/>
                <w:szCs w:val="22"/>
              </w:rPr>
            </w:pPr>
            <w:r>
              <w:rPr>
                <w:rFonts w:hint="eastAsia"/>
                <w:sz w:val="22"/>
                <w:szCs w:val="22"/>
              </w:rPr>
              <w:t>三、马达参数                                                                     1）马达具有正反转的功能；</w:t>
            </w:r>
          </w:p>
          <w:p>
            <w:pPr>
              <w:jc w:val="left"/>
              <w:rPr>
                <w:sz w:val="22"/>
                <w:szCs w:val="22"/>
              </w:rPr>
            </w:pPr>
            <w:r>
              <w:rPr>
                <w:rFonts w:hint="eastAsia"/>
                <w:sz w:val="22"/>
                <w:szCs w:val="22"/>
              </w:rPr>
              <w:t>2）马达采用卡环结构，与内喷水直弯机连接方便，便于医生操作；                  3）离心滑片式结构设计，滑片采用全新自润滑材料，可在润滑不充分的情况下正常运转，高温高压蒸汽消毒不影响滑片性能；</w:t>
            </w:r>
          </w:p>
          <w:p>
            <w:pPr>
              <w:jc w:val="left"/>
              <w:rPr>
                <w:sz w:val="22"/>
                <w:szCs w:val="22"/>
              </w:rPr>
            </w:pPr>
            <w:r>
              <w:rPr>
                <w:rFonts w:hint="eastAsia"/>
                <w:sz w:val="22"/>
                <w:szCs w:val="22"/>
              </w:rPr>
              <w:t>4）工作压力：0224i（四孔）0.3MPa；</w:t>
            </w:r>
          </w:p>
          <w:p>
            <w:pPr>
              <w:jc w:val="left"/>
              <w:rPr>
                <w:sz w:val="22"/>
                <w:szCs w:val="22"/>
              </w:rPr>
            </w:pPr>
            <w:r>
              <w:rPr>
                <w:rFonts w:hint="eastAsia"/>
                <w:sz w:val="22"/>
                <w:szCs w:val="22"/>
              </w:rPr>
              <w:t>5）耗气量：45-51L/min；</w:t>
            </w:r>
          </w:p>
          <w:p>
            <w:pPr>
              <w:jc w:val="left"/>
              <w:rPr>
                <w:sz w:val="22"/>
                <w:szCs w:val="22"/>
              </w:rPr>
            </w:pPr>
            <w:r>
              <w:rPr>
                <w:rFonts w:hint="eastAsia"/>
                <w:sz w:val="22"/>
                <w:szCs w:val="22"/>
              </w:rPr>
              <w:t>6）转速20000±10%rpm；</w:t>
            </w:r>
          </w:p>
          <w:p>
            <w:pPr>
              <w:jc w:val="left"/>
              <w:rPr>
                <w:sz w:val="22"/>
                <w:szCs w:val="22"/>
              </w:rPr>
            </w:pPr>
            <w:r>
              <w:rPr>
                <w:rFonts w:hint="eastAsia"/>
                <w:sz w:val="22"/>
                <w:szCs w:val="22"/>
              </w:rPr>
              <w:t>7）马达在0.05MPa的气压下，即可启动，运转平稳；</w:t>
            </w:r>
          </w:p>
          <w:p>
            <w:pPr>
              <w:jc w:val="left"/>
              <w:rPr>
                <w:sz w:val="22"/>
                <w:szCs w:val="22"/>
              </w:rPr>
            </w:pPr>
            <w:r>
              <w:rPr>
                <w:rFonts w:hint="eastAsia"/>
                <w:sz w:val="22"/>
                <w:szCs w:val="22"/>
              </w:rPr>
              <w:t>8）噪音：≤68dB；</w:t>
            </w:r>
          </w:p>
          <w:p>
            <w:pPr>
              <w:jc w:val="left"/>
              <w:rPr>
                <w:sz w:val="22"/>
                <w:szCs w:val="22"/>
              </w:rPr>
            </w:pPr>
            <w:r>
              <w:rPr>
                <w:rFonts w:hint="eastAsia"/>
                <w:sz w:val="22"/>
                <w:szCs w:val="22"/>
              </w:rPr>
              <w:t>9）在额定工作气压下，马达扭矩≥3N.cm；</w:t>
            </w:r>
          </w:p>
          <w:p>
            <w:pPr>
              <w:jc w:val="left"/>
              <w:rPr>
                <w:sz w:val="22"/>
                <w:szCs w:val="22"/>
              </w:rPr>
            </w:pPr>
            <w:r>
              <w:rPr>
                <w:rFonts w:hint="eastAsia"/>
                <w:sz w:val="22"/>
                <w:szCs w:val="22"/>
              </w:rPr>
              <w:t>10）冷却形式：内部雾化冷却，与内喷水直、弯机连接使用；</w:t>
            </w:r>
          </w:p>
          <w:p>
            <w:pPr>
              <w:jc w:val="left"/>
              <w:rPr>
                <w:sz w:val="22"/>
                <w:szCs w:val="22"/>
              </w:rPr>
            </w:pPr>
            <w:r>
              <w:rPr>
                <w:rFonts w:hint="eastAsia"/>
                <w:sz w:val="22"/>
                <w:szCs w:val="22"/>
              </w:rPr>
              <w:t>11）水压为0.2MPa时, 冷却水流量＞50mL/min；</w:t>
            </w:r>
          </w:p>
          <w:p>
            <w:pPr>
              <w:jc w:val="left"/>
              <w:rPr>
                <w:sz w:val="22"/>
                <w:szCs w:val="22"/>
              </w:rPr>
            </w:pPr>
            <w:r>
              <w:rPr>
                <w:rFonts w:hint="eastAsia"/>
                <w:sz w:val="22"/>
                <w:szCs w:val="22"/>
              </w:rPr>
              <w:t>12）可以与符合国际标准制作的直、弯机相连接；</w:t>
            </w:r>
          </w:p>
          <w:p>
            <w:pPr>
              <w:jc w:val="left"/>
              <w:rPr>
                <w:rFonts w:ascii="宋体" w:hAnsi="宋体" w:eastAsia="宋体" w:cs="宋体"/>
                <w:sz w:val="22"/>
                <w:szCs w:val="22"/>
              </w:rPr>
            </w:pPr>
            <w:r>
              <w:rPr>
                <w:rFonts w:hint="eastAsia"/>
                <w:sz w:val="22"/>
                <w:szCs w:val="22"/>
              </w:rPr>
              <w:t>13）马达可进行135度高温高压蒸汽消毒；</w:t>
            </w:r>
          </w:p>
        </w:tc>
        <w:tc>
          <w:tcPr>
            <w:tcW w:w="1176" w:type="dxa"/>
            <w:vAlign w:val="center"/>
          </w:tcPr>
          <w:p>
            <w:pPr>
              <w:jc w:val="center"/>
              <w:rPr>
                <w:rFonts w:ascii="宋体" w:hAnsi="宋体" w:eastAsia="宋体" w:cs="宋体"/>
                <w:sz w:val="22"/>
                <w:szCs w:val="22"/>
              </w:rPr>
            </w:pPr>
            <w:r>
              <w:rPr>
                <w:rFonts w:hint="eastAsia"/>
                <w:sz w:val="22"/>
                <w:szCs w:val="22"/>
              </w:rPr>
              <w:t>20</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14</w:t>
            </w:r>
          </w:p>
        </w:tc>
        <w:tc>
          <w:tcPr>
            <w:tcW w:w="1200" w:type="dxa"/>
            <w:vAlign w:val="center"/>
          </w:tcPr>
          <w:p>
            <w:pPr>
              <w:rPr>
                <w:rFonts w:ascii="宋体" w:hAnsi="宋体" w:eastAsia="宋体" w:cs="宋体"/>
                <w:sz w:val="22"/>
                <w:szCs w:val="22"/>
              </w:rPr>
            </w:pPr>
            <w:r>
              <w:rPr>
                <w:rFonts w:hint="eastAsia"/>
                <w:sz w:val="22"/>
                <w:szCs w:val="22"/>
              </w:rPr>
              <w:t>拔牙专用仰角手机</w:t>
            </w:r>
          </w:p>
        </w:tc>
        <w:tc>
          <w:tcPr>
            <w:tcW w:w="7260" w:type="dxa"/>
            <w:vAlign w:val="center"/>
          </w:tcPr>
          <w:p>
            <w:pPr>
              <w:rPr>
                <w:sz w:val="22"/>
                <w:szCs w:val="22"/>
              </w:rPr>
            </w:pPr>
            <w:r>
              <w:rPr>
                <w:rFonts w:hint="eastAsia"/>
                <w:sz w:val="22"/>
                <w:szCs w:val="22"/>
              </w:rPr>
              <w:t>性能参数及特点：</w:t>
            </w:r>
          </w:p>
          <w:p>
            <w:pPr>
              <w:rPr>
                <w:sz w:val="22"/>
                <w:szCs w:val="22"/>
              </w:rPr>
            </w:pPr>
            <w:r>
              <w:rPr>
                <w:rFonts w:hint="eastAsia"/>
                <w:sz w:val="22"/>
                <w:szCs w:val="22"/>
              </w:rPr>
              <w:t>1. 头部：45°反角机头，焊接式、力矩型，尺寸为φ12.2×13.7。</w:t>
            </w:r>
          </w:p>
          <w:p>
            <w:pPr>
              <w:rPr>
                <w:sz w:val="22"/>
                <w:szCs w:val="22"/>
              </w:rPr>
            </w:pPr>
            <w:r>
              <w:rPr>
                <w:rFonts w:hint="eastAsia"/>
                <w:sz w:val="22"/>
                <w:szCs w:val="22"/>
              </w:rPr>
              <w:t>2.轴承配置：优质陶瓷球轴承</w:t>
            </w:r>
          </w:p>
          <w:p>
            <w:pPr>
              <w:rPr>
                <w:sz w:val="22"/>
                <w:szCs w:val="22"/>
              </w:rPr>
            </w:pPr>
            <w:r>
              <w:rPr>
                <w:rFonts w:hint="eastAsia"/>
                <w:sz w:val="22"/>
                <w:szCs w:val="22"/>
              </w:rPr>
              <w:t>3.连接形式：快换接头式，具有水路“防回吸”功能，防止交叉感染。</w:t>
            </w:r>
          </w:p>
          <w:p>
            <w:pPr>
              <w:rPr>
                <w:sz w:val="22"/>
                <w:szCs w:val="22"/>
              </w:rPr>
            </w:pPr>
            <w:r>
              <w:rPr>
                <w:rFonts w:hint="eastAsia"/>
                <w:sz w:val="22"/>
                <w:szCs w:val="22"/>
              </w:rPr>
              <w:t>4.材质及处理方式：铜合金，表面高耐磨Ni+Cr镀层。</w:t>
            </w:r>
          </w:p>
          <w:p>
            <w:pPr>
              <w:rPr>
                <w:sz w:val="22"/>
                <w:szCs w:val="22"/>
              </w:rPr>
            </w:pPr>
            <w:r>
              <w:rPr>
                <w:rFonts w:hint="eastAsia"/>
                <w:sz w:val="22"/>
                <w:szCs w:val="22"/>
              </w:rPr>
              <w:t>5.重量：约74g（含接头）</w:t>
            </w:r>
          </w:p>
          <w:p>
            <w:pPr>
              <w:rPr>
                <w:sz w:val="22"/>
                <w:szCs w:val="22"/>
              </w:rPr>
            </w:pPr>
            <w:r>
              <w:rPr>
                <w:rFonts w:hint="eastAsia"/>
                <w:sz w:val="22"/>
                <w:szCs w:val="22"/>
              </w:rPr>
              <w:t>6.冷却形式：单孔水冷却。</w:t>
            </w:r>
          </w:p>
          <w:p>
            <w:pPr>
              <w:rPr>
                <w:sz w:val="22"/>
                <w:szCs w:val="22"/>
              </w:rPr>
            </w:pPr>
            <w:r>
              <w:rPr>
                <w:rFonts w:hint="eastAsia"/>
                <w:sz w:val="22"/>
                <w:szCs w:val="22"/>
              </w:rPr>
              <w:t>7.头部排气模式：压盖后端排气，头部前端喷气大幅减小设计，有效防止治疗“血肿”现象。</w:t>
            </w:r>
          </w:p>
          <w:p>
            <w:pPr>
              <w:rPr>
                <w:sz w:val="22"/>
                <w:szCs w:val="22"/>
              </w:rPr>
            </w:pPr>
            <w:r>
              <w:rPr>
                <w:rFonts w:hint="eastAsia"/>
                <w:sz w:val="22"/>
                <w:szCs w:val="22"/>
              </w:rPr>
              <w:t>8.工作压力（手机口）：四孔0.25-0.27MPa。</w:t>
            </w:r>
          </w:p>
          <w:p>
            <w:pPr>
              <w:rPr>
                <w:sz w:val="22"/>
                <w:szCs w:val="22"/>
              </w:rPr>
            </w:pPr>
            <w:r>
              <w:rPr>
                <w:rFonts w:hint="eastAsia"/>
                <w:sz w:val="22"/>
                <w:szCs w:val="22"/>
              </w:rPr>
              <w:t>9.耗气量：30-36NL/min</w:t>
            </w:r>
          </w:p>
          <w:p>
            <w:pPr>
              <w:rPr>
                <w:sz w:val="22"/>
                <w:szCs w:val="22"/>
              </w:rPr>
            </w:pPr>
            <w:r>
              <w:rPr>
                <w:rFonts w:hint="eastAsia"/>
                <w:sz w:val="22"/>
                <w:szCs w:val="22"/>
              </w:rPr>
              <w:t>10.空载转速：≥300，000rpm（0.25MPa下,实际转速范围315,000—400,000rpm）。</w:t>
            </w:r>
          </w:p>
          <w:p>
            <w:pPr>
              <w:rPr>
                <w:sz w:val="22"/>
                <w:szCs w:val="22"/>
              </w:rPr>
            </w:pPr>
            <w:r>
              <w:rPr>
                <w:rFonts w:hint="eastAsia"/>
                <w:sz w:val="22"/>
                <w:szCs w:val="22"/>
              </w:rPr>
              <w:t>11.噪音：≤68dB</w:t>
            </w:r>
          </w:p>
          <w:p>
            <w:pPr>
              <w:rPr>
                <w:sz w:val="22"/>
                <w:szCs w:val="22"/>
              </w:rPr>
            </w:pPr>
            <w:r>
              <w:rPr>
                <w:rFonts w:hint="eastAsia"/>
                <w:sz w:val="22"/>
                <w:szCs w:val="22"/>
              </w:rPr>
              <w:t>12.扭矩：0.13～0.15N.cm</w:t>
            </w:r>
          </w:p>
          <w:p>
            <w:pPr>
              <w:rPr>
                <w:sz w:val="22"/>
                <w:szCs w:val="22"/>
              </w:rPr>
            </w:pPr>
            <w:r>
              <w:rPr>
                <w:rFonts w:hint="eastAsia"/>
                <w:sz w:val="22"/>
                <w:szCs w:val="22"/>
              </w:rPr>
              <w:t>13.机芯不平衡量：≤180μg</w:t>
            </w:r>
          </w:p>
          <w:p>
            <w:pPr>
              <w:rPr>
                <w:sz w:val="22"/>
                <w:szCs w:val="22"/>
              </w:rPr>
            </w:pPr>
            <w:r>
              <w:rPr>
                <w:rFonts w:hint="eastAsia"/>
                <w:sz w:val="22"/>
                <w:szCs w:val="22"/>
              </w:rPr>
              <w:t>14.径向跳动量：≤0.015mm</w:t>
            </w:r>
          </w:p>
          <w:p>
            <w:pPr>
              <w:rPr>
                <w:sz w:val="22"/>
                <w:szCs w:val="22"/>
              </w:rPr>
            </w:pPr>
            <w:r>
              <w:rPr>
                <w:rFonts w:hint="eastAsia"/>
                <w:sz w:val="22"/>
                <w:szCs w:val="22"/>
              </w:rPr>
              <w:t>15.在水压0.2MPa时，冷却水流量50mL/min；</w:t>
            </w:r>
          </w:p>
          <w:p>
            <w:pPr>
              <w:rPr>
                <w:rFonts w:ascii="宋体" w:hAnsi="宋体" w:eastAsia="宋体" w:cs="宋体"/>
                <w:sz w:val="22"/>
                <w:szCs w:val="22"/>
              </w:rPr>
            </w:pPr>
            <w:r>
              <w:rPr>
                <w:rFonts w:hint="eastAsia"/>
                <w:sz w:val="22"/>
                <w:szCs w:val="22"/>
              </w:rPr>
              <w:t>16. 可承受136℃±2高温高压蒸汽灭菌（光纤接头部分除外）。</w:t>
            </w:r>
          </w:p>
        </w:tc>
        <w:tc>
          <w:tcPr>
            <w:tcW w:w="1176" w:type="dxa"/>
            <w:vAlign w:val="center"/>
          </w:tcPr>
          <w:p>
            <w:pPr>
              <w:jc w:val="center"/>
              <w:rPr>
                <w:rFonts w:ascii="宋体" w:hAnsi="宋体" w:eastAsia="宋体" w:cs="宋体"/>
                <w:sz w:val="22"/>
                <w:szCs w:val="22"/>
              </w:rPr>
            </w:pPr>
            <w:r>
              <w:rPr>
                <w:rFonts w:hint="eastAsia"/>
                <w:sz w:val="22"/>
                <w:szCs w:val="22"/>
              </w:rPr>
              <w:t>4</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15</w:t>
            </w:r>
          </w:p>
        </w:tc>
        <w:tc>
          <w:tcPr>
            <w:tcW w:w="1200" w:type="dxa"/>
            <w:vAlign w:val="center"/>
          </w:tcPr>
          <w:p>
            <w:pPr>
              <w:rPr>
                <w:rFonts w:ascii="宋体" w:hAnsi="宋体" w:eastAsia="宋体" w:cs="宋体"/>
                <w:sz w:val="22"/>
                <w:szCs w:val="22"/>
              </w:rPr>
            </w:pPr>
            <w:r>
              <w:rPr>
                <w:rFonts w:hint="eastAsia"/>
                <w:sz w:val="22"/>
                <w:szCs w:val="22"/>
              </w:rPr>
              <w:t>空气净化器（壁挂式）</w:t>
            </w:r>
          </w:p>
        </w:tc>
        <w:tc>
          <w:tcPr>
            <w:tcW w:w="7260" w:type="dxa"/>
            <w:vAlign w:val="center"/>
          </w:tcPr>
          <w:p>
            <w:pPr>
              <w:rPr>
                <w:sz w:val="22"/>
                <w:szCs w:val="22"/>
              </w:rPr>
            </w:pPr>
            <w:r>
              <w:rPr>
                <w:rFonts w:hint="eastAsia"/>
                <w:sz w:val="22"/>
                <w:szCs w:val="22"/>
              </w:rPr>
              <w:t>一、产品名称：医用空气消毒器</w:t>
            </w:r>
          </w:p>
          <w:p>
            <w:pPr>
              <w:rPr>
                <w:sz w:val="22"/>
                <w:szCs w:val="22"/>
              </w:rPr>
            </w:pPr>
            <w:r>
              <w:rPr>
                <w:rFonts w:hint="eastAsia"/>
                <w:sz w:val="22"/>
                <w:szCs w:val="22"/>
              </w:rPr>
              <w:t>二、技术参数要求：</w:t>
            </w:r>
          </w:p>
          <w:p>
            <w:pPr>
              <w:rPr>
                <w:sz w:val="22"/>
                <w:szCs w:val="22"/>
              </w:rPr>
            </w:pPr>
            <w:r>
              <w:rPr>
                <w:rFonts w:hint="eastAsia"/>
                <w:sz w:val="22"/>
                <w:szCs w:val="22"/>
              </w:rPr>
              <w:t>1、消毒方法：静电吸附，采用高压静电场消毒，电晕稳定，消毒可靠；</w:t>
            </w:r>
          </w:p>
          <w:p>
            <w:pPr>
              <w:rPr>
                <w:sz w:val="22"/>
                <w:szCs w:val="22"/>
              </w:rPr>
            </w:pPr>
            <w:r>
              <w:rPr>
                <w:rFonts w:hint="eastAsia"/>
                <w:sz w:val="22"/>
                <w:szCs w:val="22"/>
              </w:rPr>
              <w:t>2、医用空气消毒器壳体采用优质冷轧钢板，结构强度高，完全阻燃；表面静电喷涂，防尘效果好、使用寿命长、安全系数高；</w:t>
            </w:r>
          </w:p>
          <w:p>
            <w:pPr>
              <w:rPr>
                <w:sz w:val="22"/>
                <w:szCs w:val="22"/>
              </w:rPr>
            </w:pPr>
            <w:r>
              <w:rPr>
                <w:rFonts w:hint="eastAsia"/>
                <w:sz w:val="22"/>
                <w:szCs w:val="22"/>
              </w:rPr>
              <w:t>3、采用壁挂式安装方式，不占用地面空间；</w:t>
            </w:r>
          </w:p>
          <w:p>
            <w:pPr>
              <w:rPr>
                <w:sz w:val="22"/>
                <w:szCs w:val="22"/>
              </w:rPr>
            </w:pPr>
            <w:r>
              <w:rPr>
                <w:rFonts w:hint="eastAsia"/>
                <w:sz w:val="22"/>
                <w:szCs w:val="22"/>
              </w:rPr>
              <w:t>4、人机共存，可在有人状态下进行连续动态消毒，对人及物品没有任何伤害；</w:t>
            </w:r>
          </w:p>
          <w:p>
            <w:pPr>
              <w:rPr>
                <w:sz w:val="22"/>
                <w:szCs w:val="22"/>
              </w:rPr>
            </w:pPr>
            <w:r>
              <w:rPr>
                <w:rFonts w:hint="eastAsia"/>
                <w:sz w:val="22"/>
                <w:szCs w:val="22"/>
              </w:rPr>
              <w:t>5、静电场强度≥7500V；（提供省级疾控中心或第三方检测机构检测报告）6、额定循环风量≥600m</w:t>
            </w:r>
            <w:r>
              <w:rPr>
                <w:rFonts w:hint="eastAsia" w:ascii="宋体" w:hAnsi="宋体" w:eastAsia="宋体" w:cs="宋体"/>
                <w:sz w:val="22"/>
                <w:szCs w:val="22"/>
              </w:rPr>
              <w:t>³</w:t>
            </w:r>
            <w:r>
              <w:rPr>
                <w:rFonts w:hint="eastAsia"/>
                <w:sz w:val="22"/>
                <w:szCs w:val="22"/>
              </w:rPr>
              <w:t>/h，可适用于60m</w:t>
            </w:r>
            <w:r>
              <w:rPr>
                <w:rFonts w:hint="eastAsia" w:ascii="宋体" w:hAnsi="宋体" w:eastAsia="宋体" w:cs="宋体"/>
                <w:sz w:val="22"/>
                <w:szCs w:val="22"/>
              </w:rPr>
              <w:t>³</w:t>
            </w:r>
            <w:r>
              <w:rPr>
                <w:rFonts w:hint="eastAsia" w:ascii="仿宋" w:hAnsi="仿宋" w:cs="仿宋"/>
                <w:sz w:val="22"/>
                <w:szCs w:val="22"/>
              </w:rPr>
              <w:t>体积及以下的场所；</w:t>
            </w:r>
          </w:p>
          <w:p>
            <w:pPr>
              <w:rPr>
                <w:sz w:val="22"/>
                <w:szCs w:val="22"/>
              </w:rPr>
            </w:pPr>
            <w:r>
              <w:rPr>
                <w:rFonts w:hint="eastAsia"/>
                <w:sz w:val="22"/>
                <w:szCs w:val="22"/>
              </w:rPr>
              <w:t>7、额定功率47W±4.7W；电源AC220V 50Hz。</w:t>
            </w:r>
          </w:p>
          <w:p>
            <w:pPr>
              <w:rPr>
                <w:sz w:val="22"/>
                <w:szCs w:val="22"/>
              </w:rPr>
            </w:pPr>
            <w:r>
              <w:rPr>
                <w:rFonts w:hint="eastAsia"/>
                <w:sz w:val="22"/>
                <w:szCs w:val="22"/>
              </w:rPr>
              <w:t>三、消毒效果要求：</w:t>
            </w:r>
          </w:p>
          <w:p>
            <w:pPr>
              <w:rPr>
                <w:sz w:val="22"/>
                <w:szCs w:val="22"/>
              </w:rPr>
            </w:pPr>
            <w:r>
              <w:rPr>
                <w:rFonts w:hint="eastAsia"/>
                <w:sz w:val="22"/>
                <w:szCs w:val="22"/>
              </w:rPr>
              <w:t>1、消毒效果要求：（提供省级疾控中心或第三方检测机构检测报告）</w:t>
            </w:r>
          </w:p>
          <w:p>
            <w:pPr>
              <w:rPr>
                <w:sz w:val="22"/>
                <w:szCs w:val="22"/>
              </w:rPr>
            </w:pPr>
            <w:r>
              <w:rPr>
                <w:rFonts w:hint="eastAsia"/>
                <w:sz w:val="22"/>
                <w:szCs w:val="22"/>
              </w:rPr>
              <w:t>1）对白色葡萄球菌的杀灭率＞99.90%；</w:t>
            </w:r>
          </w:p>
          <w:p>
            <w:pPr>
              <w:rPr>
                <w:sz w:val="22"/>
                <w:szCs w:val="22"/>
              </w:rPr>
            </w:pPr>
            <w:r>
              <w:rPr>
                <w:rFonts w:hint="eastAsia"/>
                <w:sz w:val="22"/>
                <w:szCs w:val="22"/>
              </w:rPr>
              <w:t>2）设备运行30min，对铜绿假单胞菌杀灭率≥99.97%，对龟分枝杆菌杀灭率≥99.99%，对黑曲霉菌杀灭率≥99.95%；</w:t>
            </w:r>
          </w:p>
          <w:p>
            <w:pPr>
              <w:rPr>
                <w:sz w:val="22"/>
                <w:szCs w:val="22"/>
              </w:rPr>
            </w:pPr>
            <w:r>
              <w:rPr>
                <w:rFonts w:hint="eastAsia"/>
                <w:sz w:val="22"/>
                <w:szCs w:val="22"/>
              </w:rPr>
              <w:t>3）设备运行60min，对枯草杆菌黑色变种芽孢杀灭率≥99.99%；设备持续工作1h，对体积为60 m3室内空气中的自然菌消亡率均≥90%。</w:t>
            </w:r>
          </w:p>
          <w:p>
            <w:pPr>
              <w:rPr>
                <w:sz w:val="22"/>
                <w:szCs w:val="22"/>
              </w:rPr>
            </w:pPr>
            <w:r>
              <w:rPr>
                <w:rFonts w:hint="eastAsia"/>
                <w:sz w:val="22"/>
                <w:szCs w:val="22"/>
              </w:rPr>
              <w:t>四、功能及技术先进性要求：</w:t>
            </w:r>
          </w:p>
          <w:p>
            <w:pPr>
              <w:rPr>
                <w:sz w:val="22"/>
                <w:szCs w:val="22"/>
              </w:rPr>
            </w:pPr>
            <w:r>
              <w:rPr>
                <w:rFonts w:hint="eastAsia"/>
                <w:sz w:val="22"/>
                <w:szCs w:val="22"/>
              </w:rPr>
              <w:t>1、采用高档液晶显示屏，远程红外线遥控，可实时显示北京时间，定时时间段、定时时间，室内温湿度，故障报警，可查询显示累计时间等；</w:t>
            </w:r>
          </w:p>
          <w:p>
            <w:pPr>
              <w:rPr>
                <w:sz w:val="22"/>
                <w:szCs w:val="22"/>
              </w:rPr>
            </w:pPr>
            <w:r>
              <w:rPr>
                <w:rFonts w:hint="eastAsia"/>
                <w:sz w:val="22"/>
                <w:szCs w:val="22"/>
              </w:rPr>
              <w:t>2、高、中、低三挡可调风速供用户选择；手控、遥控多种控制方式供用户选择；手动、定时、临时多种工作模式方便用户操作；遥控器上设有一键锁定功能，防止误操作；</w:t>
            </w:r>
          </w:p>
          <w:p>
            <w:pPr>
              <w:rPr>
                <w:sz w:val="22"/>
                <w:szCs w:val="22"/>
              </w:rPr>
            </w:pPr>
            <w:r>
              <w:rPr>
                <w:rFonts w:hint="eastAsia"/>
                <w:sz w:val="22"/>
                <w:szCs w:val="22"/>
              </w:rPr>
              <w:t>3、程控数量（定时消毒）≥6组，具备工作时间自动累计功能，满足临床需求；</w:t>
            </w:r>
          </w:p>
          <w:p>
            <w:pPr>
              <w:rPr>
                <w:sz w:val="22"/>
                <w:szCs w:val="22"/>
              </w:rPr>
            </w:pPr>
            <w:r>
              <w:rPr>
                <w:rFonts w:hint="eastAsia"/>
                <w:sz w:val="22"/>
                <w:szCs w:val="22"/>
              </w:rPr>
              <w:t>4、采用了组合式静电场技术，电场结构新颖，电晕场均匀，除尘除菌效率高；</w:t>
            </w:r>
          </w:p>
          <w:p>
            <w:pPr>
              <w:rPr>
                <w:sz w:val="22"/>
                <w:szCs w:val="22"/>
              </w:rPr>
            </w:pPr>
            <w:r>
              <w:rPr>
                <w:rFonts w:hint="eastAsia"/>
                <w:sz w:val="22"/>
                <w:szCs w:val="22"/>
              </w:rPr>
              <w:t>5、采用粘孔工艺的分子过滤器，可有效去除有机气体和医院的各种异味；</w:t>
            </w:r>
          </w:p>
          <w:p>
            <w:pPr>
              <w:rPr>
                <w:sz w:val="22"/>
                <w:szCs w:val="22"/>
              </w:rPr>
            </w:pPr>
            <w:r>
              <w:rPr>
                <w:rFonts w:hint="eastAsia"/>
                <w:sz w:val="22"/>
                <w:szCs w:val="22"/>
              </w:rPr>
              <w:t>6、产品具有报警功能，风机故障报警、消毒模块故障报警、过滤器清洗维护报警；</w:t>
            </w:r>
          </w:p>
          <w:p>
            <w:pPr>
              <w:rPr>
                <w:sz w:val="22"/>
                <w:szCs w:val="22"/>
              </w:rPr>
            </w:pPr>
            <w:r>
              <w:rPr>
                <w:rFonts w:hint="eastAsia"/>
                <w:sz w:val="22"/>
                <w:szCs w:val="22"/>
              </w:rPr>
              <w:t>7、采用嵌入式软件，同时具有正规第三方实验室出具的嵌入式软件产品检测报告。</w:t>
            </w:r>
          </w:p>
          <w:p>
            <w:pPr>
              <w:rPr>
                <w:sz w:val="22"/>
                <w:szCs w:val="22"/>
              </w:rPr>
            </w:pPr>
            <w:r>
              <w:rPr>
                <w:rFonts w:hint="eastAsia"/>
                <w:sz w:val="22"/>
                <w:szCs w:val="22"/>
              </w:rPr>
              <w:t>五、质量要求：</w:t>
            </w:r>
          </w:p>
          <w:p>
            <w:pPr>
              <w:rPr>
                <w:sz w:val="22"/>
                <w:szCs w:val="22"/>
              </w:rPr>
            </w:pPr>
            <w:r>
              <w:rPr>
                <w:rFonts w:hint="eastAsia"/>
                <w:sz w:val="22"/>
                <w:szCs w:val="22"/>
              </w:rPr>
              <w:t>1、医用空气消毒器选用具有国家3C认证的高品质电源线、电气元器件，并且采用内置合理化电气工艺布局，线身耐弯曲抗摇摆；</w:t>
            </w:r>
          </w:p>
          <w:p>
            <w:pPr>
              <w:rPr>
                <w:rFonts w:ascii="宋体" w:hAnsi="宋体" w:eastAsia="宋体" w:cs="宋体"/>
                <w:sz w:val="22"/>
                <w:szCs w:val="22"/>
              </w:rPr>
            </w:pPr>
            <w:r>
              <w:rPr>
                <w:rFonts w:hint="eastAsia"/>
                <w:sz w:val="22"/>
                <w:szCs w:val="22"/>
              </w:rPr>
              <w:t>2、产品需在全国消毒产品网上备案信息服务平台备案，并提供备案截图。</w:t>
            </w:r>
          </w:p>
        </w:tc>
        <w:tc>
          <w:tcPr>
            <w:tcW w:w="1176" w:type="dxa"/>
            <w:vAlign w:val="center"/>
          </w:tcPr>
          <w:p>
            <w:pPr>
              <w:jc w:val="center"/>
              <w:rPr>
                <w:rFonts w:ascii="宋体" w:hAnsi="宋体" w:eastAsia="宋体" w:cs="宋体"/>
                <w:sz w:val="22"/>
                <w:szCs w:val="22"/>
              </w:rPr>
            </w:pPr>
            <w:r>
              <w:rPr>
                <w:rFonts w:hint="eastAsia"/>
                <w:sz w:val="22"/>
                <w:szCs w:val="22"/>
              </w:rPr>
              <w:t>13</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16</w:t>
            </w:r>
          </w:p>
        </w:tc>
        <w:tc>
          <w:tcPr>
            <w:tcW w:w="1200" w:type="dxa"/>
            <w:vAlign w:val="center"/>
          </w:tcPr>
          <w:p>
            <w:pPr>
              <w:rPr>
                <w:rFonts w:ascii="宋体" w:hAnsi="宋体" w:eastAsia="宋体" w:cs="宋体"/>
                <w:sz w:val="22"/>
                <w:szCs w:val="22"/>
              </w:rPr>
            </w:pPr>
            <w:r>
              <w:rPr>
                <w:rFonts w:hint="eastAsia"/>
                <w:sz w:val="22"/>
                <w:szCs w:val="22"/>
              </w:rPr>
              <w:t>空气净化器（移动式）</w:t>
            </w:r>
          </w:p>
        </w:tc>
        <w:tc>
          <w:tcPr>
            <w:tcW w:w="7260" w:type="dxa"/>
            <w:vAlign w:val="center"/>
          </w:tcPr>
          <w:p>
            <w:pPr>
              <w:rPr>
                <w:sz w:val="22"/>
                <w:szCs w:val="22"/>
              </w:rPr>
            </w:pPr>
            <w:r>
              <w:rPr>
                <w:rFonts w:hint="eastAsia"/>
                <w:sz w:val="22"/>
                <w:szCs w:val="22"/>
              </w:rPr>
              <w:t>一、产品名称：医用空气消毒器</w:t>
            </w:r>
          </w:p>
          <w:p>
            <w:pPr>
              <w:rPr>
                <w:sz w:val="22"/>
                <w:szCs w:val="22"/>
              </w:rPr>
            </w:pPr>
            <w:r>
              <w:rPr>
                <w:rFonts w:hint="eastAsia"/>
                <w:sz w:val="22"/>
                <w:szCs w:val="22"/>
              </w:rPr>
              <w:t>二、产品用途：适用于普通手术室、产房、血液病区、烧伤病区、保护性隔离病区、重症监护病区的空气消毒；消毒供应中心检查包装灭菌区和无菌物品存放区、重症透析中心的空气消毒；检查室、治疗室、感染性疾病诊室等场所的空气消毒。</w:t>
            </w:r>
          </w:p>
          <w:p>
            <w:pPr>
              <w:rPr>
                <w:sz w:val="22"/>
                <w:szCs w:val="22"/>
              </w:rPr>
            </w:pPr>
            <w:r>
              <w:rPr>
                <w:rFonts w:hint="eastAsia"/>
                <w:sz w:val="22"/>
                <w:szCs w:val="22"/>
              </w:rPr>
              <w:t>三、技术参数要求：</w:t>
            </w:r>
          </w:p>
          <w:p>
            <w:pPr>
              <w:rPr>
                <w:sz w:val="22"/>
                <w:szCs w:val="22"/>
              </w:rPr>
            </w:pPr>
            <w:r>
              <w:rPr>
                <w:rFonts w:hint="eastAsia"/>
                <w:sz w:val="22"/>
                <w:szCs w:val="22"/>
              </w:rPr>
              <w:t>1、采用静电吸附消毒灭菌，杀菌广谱、彻底；内含活性炭分子过滤器、初效过滤器，可有效除去空气中的挥发性气体、各种异味以及过滤毛发、粉尘等大尘埃颗粒；</w:t>
            </w:r>
          </w:p>
          <w:p>
            <w:pPr>
              <w:rPr>
                <w:sz w:val="22"/>
                <w:szCs w:val="22"/>
              </w:rPr>
            </w:pPr>
            <w:r>
              <w:rPr>
                <w:rFonts w:hint="eastAsia"/>
                <w:sz w:val="22"/>
                <w:szCs w:val="22"/>
              </w:rPr>
              <w:t>2、医用空气消毒器壳体结构强度高，防尘效果好、使用寿命长、安全系数高；</w:t>
            </w:r>
          </w:p>
          <w:p>
            <w:pPr>
              <w:rPr>
                <w:sz w:val="22"/>
                <w:szCs w:val="22"/>
              </w:rPr>
            </w:pPr>
            <w:r>
              <w:rPr>
                <w:rFonts w:hint="eastAsia"/>
                <w:sz w:val="22"/>
                <w:szCs w:val="22"/>
              </w:rPr>
              <w:t>3、采用移动的安装方式，运用灵活；</w:t>
            </w:r>
          </w:p>
          <w:p>
            <w:pPr>
              <w:rPr>
                <w:sz w:val="22"/>
                <w:szCs w:val="22"/>
              </w:rPr>
            </w:pPr>
            <w:r>
              <w:rPr>
                <w:rFonts w:hint="eastAsia"/>
                <w:sz w:val="22"/>
                <w:szCs w:val="22"/>
              </w:rPr>
              <w:t>4、人机共存，可在有人状态下进行连续动态消毒，对人及物品没有任何伤害；</w:t>
            </w:r>
          </w:p>
          <w:p>
            <w:pPr>
              <w:rPr>
                <w:sz w:val="22"/>
                <w:szCs w:val="22"/>
              </w:rPr>
            </w:pPr>
            <w:r>
              <w:rPr>
                <w:rFonts w:hint="eastAsia"/>
                <w:sz w:val="22"/>
                <w:szCs w:val="22"/>
              </w:rPr>
              <w:t>5、额定循环风量≥600m</w:t>
            </w:r>
            <w:r>
              <w:rPr>
                <w:rFonts w:hint="eastAsia" w:ascii="宋体" w:hAnsi="宋体" w:eastAsia="宋体" w:cs="宋体"/>
                <w:sz w:val="22"/>
                <w:szCs w:val="22"/>
              </w:rPr>
              <w:t>³</w:t>
            </w:r>
            <w:r>
              <w:rPr>
                <w:rFonts w:hint="eastAsia"/>
                <w:sz w:val="22"/>
                <w:szCs w:val="22"/>
              </w:rPr>
              <w:t>/h，可适用60m</w:t>
            </w:r>
            <w:r>
              <w:rPr>
                <w:rFonts w:hint="eastAsia" w:ascii="宋体" w:hAnsi="宋体" w:eastAsia="宋体" w:cs="宋体"/>
                <w:sz w:val="22"/>
                <w:szCs w:val="22"/>
              </w:rPr>
              <w:t>³</w:t>
            </w:r>
            <w:r>
              <w:rPr>
                <w:rFonts w:hint="eastAsia" w:ascii="仿宋" w:hAnsi="仿宋" w:cs="仿宋"/>
                <w:sz w:val="22"/>
                <w:szCs w:val="22"/>
              </w:rPr>
              <w:t>体积及</w:t>
            </w:r>
            <w:r>
              <w:rPr>
                <w:rFonts w:hint="eastAsia"/>
                <w:sz w:val="22"/>
                <w:szCs w:val="22"/>
              </w:rPr>
              <w:t>以下的场所；</w:t>
            </w:r>
          </w:p>
          <w:p>
            <w:pPr>
              <w:rPr>
                <w:sz w:val="22"/>
                <w:szCs w:val="22"/>
              </w:rPr>
            </w:pPr>
            <w:r>
              <w:rPr>
                <w:rFonts w:hint="eastAsia"/>
                <w:sz w:val="22"/>
                <w:szCs w:val="22"/>
              </w:rPr>
              <w:t>6、额定功率80W±8W；电源AC220V 50Hz；</w:t>
            </w:r>
          </w:p>
          <w:p>
            <w:pPr>
              <w:rPr>
                <w:sz w:val="22"/>
                <w:szCs w:val="22"/>
              </w:rPr>
            </w:pPr>
            <w:r>
              <w:rPr>
                <w:rFonts w:hint="eastAsia"/>
                <w:sz w:val="22"/>
                <w:szCs w:val="22"/>
              </w:rPr>
              <w:t>7、蜂窝式电场强度≥7500V。（提供省级疾控中心或第三方检测机构检测报告）</w:t>
            </w:r>
          </w:p>
          <w:p>
            <w:pPr>
              <w:rPr>
                <w:sz w:val="22"/>
                <w:szCs w:val="22"/>
              </w:rPr>
            </w:pPr>
            <w:r>
              <w:rPr>
                <w:rFonts w:hint="eastAsia"/>
                <w:sz w:val="22"/>
                <w:szCs w:val="22"/>
              </w:rPr>
              <w:t>四、消毒效果要求：</w:t>
            </w:r>
          </w:p>
          <w:p>
            <w:pPr>
              <w:rPr>
                <w:sz w:val="22"/>
                <w:szCs w:val="22"/>
              </w:rPr>
            </w:pPr>
            <w:r>
              <w:rPr>
                <w:rFonts w:hint="eastAsia"/>
                <w:sz w:val="22"/>
                <w:szCs w:val="22"/>
              </w:rPr>
              <w:t>1、消毒效果要求：（提供省级疾控中心或第三方检测机构检测报告）</w:t>
            </w:r>
          </w:p>
          <w:p>
            <w:pPr>
              <w:rPr>
                <w:sz w:val="22"/>
                <w:szCs w:val="22"/>
              </w:rPr>
            </w:pPr>
            <w:r>
              <w:rPr>
                <w:rFonts w:hint="eastAsia"/>
                <w:sz w:val="22"/>
                <w:szCs w:val="22"/>
              </w:rPr>
              <w:t>1）对白色葡萄球菌的杀灭率＞99.90%；</w:t>
            </w:r>
          </w:p>
          <w:p>
            <w:pPr>
              <w:rPr>
                <w:sz w:val="22"/>
                <w:szCs w:val="22"/>
              </w:rPr>
            </w:pPr>
            <w:r>
              <w:rPr>
                <w:rFonts w:hint="eastAsia"/>
                <w:sz w:val="22"/>
                <w:szCs w:val="22"/>
              </w:rPr>
              <w:t>2）设备运行30min，对铜绿假单胞菌杀灭率≥99.97%，对龟分枝杆菌杀灭率≥99.99%，对黑曲霉菌杀灭率≥99.95%；</w:t>
            </w:r>
          </w:p>
          <w:p>
            <w:pPr>
              <w:rPr>
                <w:sz w:val="22"/>
                <w:szCs w:val="22"/>
              </w:rPr>
            </w:pPr>
            <w:r>
              <w:rPr>
                <w:rFonts w:hint="eastAsia"/>
                <w:sz w:val="22"/>
                <w:szCs w:val="22"/>
              </w:rPr>
              <w:t>3）设备运行60min，对枯草杆菌黑色变种芽孢杀灭率≥99.99%；</w:t>
            </w:r>
          </w:p>
          <w:p>
            <w:pPr>
              <w:rPr>
                <w:sz w:val="22"/>
                <w:szCs w:val="22"/>
              </w:rPr>
            </w:pPr>
            <w:r>
              <w:rPr>
                <w:rFonts w:hint="eastAsia"/>
                <w:sz w:val="22"/>
                <w:szCs w:val="22"/>
              </w:rPr>
              <w:t>4）设备持续工作1h，对体积为60 m3室内空气中的自然菌消亡率均≥90%;可吸入颗粒物(0.5μm）平均净化效率≥95.48%，提供权威机构检测报告。</w:t>
            </w:r>
          </w:p>
          <w:p>
            <w:pPr>
              <w:rPr>
                <w:sz w:val="22"/>
                <w:szCs w:val="22"/>
              </w:rPr>
            </w:pPr>
            <w:r>
              <w:rPr>
                <w:rFonts w:hint="eastAsia"/>
                <w:sz w:val="22"/>
                <w:szCs w:val="22"/>
              </w:rPr>
              <w:t>五、功能及技术先进性要求：</w:t>
            </w:r>
          </w:p>
          <w:p>
            <w:pPr>
              <w:rPr>
                <w:sz w:val="22"/>
                <w:szCs w:val="22"/>
              </w:rPr>
            </w:pPr>
            <w:r>
              <w:rPr>
                <w:rFonts w:hint="eastAsia"/>
                <w:sz w:val="22"/>
                <w:szCs w:val="22"/>
              </w:rPr>
              <w:t>1、远程红外线遥控，可实时显示北京时间，故障报警，可查询显示累计时间等；</w:t>
            </w:r>
          </w:p>
          <w:p>
            <w:pPr>
              <w:rPr>
                <w:sz w:val="22"/>
                <w:szCs w:val="22"/>
              </w:rPr>
            </w:pPr>
            <w:r>
              <w:rPr>
                <w:rFonts w:hint="eastAsia"/>
                <w:sz w:val="22"/>
                <w:szCs w:val="22"/>
              </w:rPr>
              <w:t>2、高、中、低三挡可调风速供用户选择；手控、遥控多种控制方式供用户选择；手动、定时、临时多种工作模式方便用户操作；遥控器上设有一键锁定功能，防止误操作；</w:t>
            </w:r>
          </w:p>
          <w:p>
            <w:pPr>
              <w:rPr>
                <w:sz w:val="22"/>
                <w:szCs w:val="22"/>
              </w:rPr>
            </w:pPr>
            <w:r>
              <w:rPr>
                <w:rFonts w:hint="eastAsia"/>
                <w:sz w:val="22"/>
                <w:szCs w:val="22"/>
              </w:rPr>
              <w:t>3、程控数量（定时消毒）≥6组，具备工作时间自动累计功能，满足临床需求；</w:t>
            </w:r>
          </w:p>
          <w:p>
            <w:pPr>
              <w:rPr>
                <w:sz w:val="22"/>
                <w:szCs w:val="22"/>
              </w:rPr>
            </w:pPr>
            <w:r>
              <w:rPr>
                <w:rFonts w:hint="eastAsia"/>
                <w:sz w:val="22"/>
                <w:szCs w:val="22"/>
              </w:rPr>
              <w:t>4、采用组合式高压静电场专利技术，除尘除菌效率高好，蜂窝六壁式结构积尘量大；</w:t>
            </w:r>
          </w:p>
          <w:p>
            <w:pPr>
              <w:rPr>
                <w:sz w:val="22"/>
                <w:szCs w:val="22"/>
              </w:rPr>
            </w:pPr>
            <w:r>
              <w:rPr>
                <w:rFonts w:hint="eastAsia"/>
                <w:sz w:val="22"/>
                <w:szCs w:val="22"/>
              </w:rPr>
              <w:t>5、产品具有报警功能，蜂窝式电场故障报警、过滤器清洗维护报警、风机故障提醒；</w:t>
            </w:r>
          </w:p>
          <w:p>
            <w:pPr>
              <w:rPr>
                <w:sz w:val="22"/>
                <w:szCs w:val="22"/>
              </w:rPr>
            </w:pPr>
            <w:r>
              <w:rPr>
                <w:rFonts w:hint="eastAsia"/>
                <w:sz w:val="22"/>
                <w:szCs w:val="22"/>
              </w:rPr>
              <w:t>六、质量要求：</w:t>
            </w:r>
          </w:p>
          <w:p>
            <w:pPr>
              <w:rPr>
                <w:sz w:val="22"/>
                <w:szCs w:val="22"/>
              </w:rPr>
            </w:pPr>
            <w:r>
              <w:rPr>
                <w:rFonts w:hint="eastAsia"/>
                <w:sz w:val="22"/>
                <w:szCs w:val="22"/>
              </w:rPr>
              <w:t>1、医用空气消毒器选用具有国家3C认证的高品质电源线、电气元器件，并且采用内置合理化电气工艺布局，线身耐弯曲抗摇摆；</w:t>
            </w:r>
          </w:p>
          <w:p>
            <w:pPr>
              <w:rPr>
                <w:rFonts w:ascii="宋体" w:hAnsi="宋体" w:eastAsia="宋体" w:cs="宋体"/>
                <w:sz w:val="22"/>
                <w:szCs w:val="22"/>
              </w:rPr>
            </w:pPr>
            <w:r>
              <w:rPr>
                <w:rFonts w:hint="eastAsia"/>
                <w:sz w:val="22"/>
                <w:szCs w:val="22"/>
              </w:rPr>
              <w:t>2、产品需在全国消毒产品网上备案信息服务平台备案，并提供备案截图。</w:t>
            </w:r>
          </w:p>
        </w:tc>
        <w:tc>
          <w:tcPr>
            <w:tcW w:w="1176" w:type="dxa"/>
            <w:vAlign w:val="center"/>
          </w:tcPr>
          <w:p>
            <w:pPr>
              <w:jc w:val="center"/>
              <w:rPr>
                <w:rFonts w:ascii="宋体" w:hAnsi="宋体" w:eastAsia="宋体" w:cs="宋体"/>
                <w:sz w:val="22"/>
                <w:szCs w:val="22"/>
              </w:rPr>
            </w:pPr>
            <w:r>
              <w:rPr>
                <w:rFonts w:hint="eastAsia"/>
                <w:sz w:val="22"/>
                <w:szCs w:val="22"/>
              </w:rPr>
              <w:t>2</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sz w:val="22"/>
                <w:szCs w:val="22"/>
              </w:rPr>
            </w:pPr>
            <w:r>
              <w:rPr>
                <w:rFonts w:hint="eastAsia"/>
                <w:sz w:val="22"/>
                <w:szCs w:val="22"/>
              </w:rPr>
              <w:t>17</w:t>
            </w:r>
          </w:p>
        </w:tc>
        <w:tc>
          <w:tcPr>
            <w:tcW w:w="1200" w:type="dxa"/>
            <w:vAlign w:val="center"/>
          </w:tcPr>
          <w:p>
            <w:pPr>
              <w:rPr>
                <w:rFonts w:ascii="宋体" w:hAnsi="宋体" w:eastAsia="宋体" w:cs="宋体"/>
                <w:sz w:val="22"/>
                <w:szCs w:val="22"/>
              </w:rPr>
            </w:pPr>
            <w:r>
              <w:rPr>
                <w:rFonts w:hint="eastAsia"/>
                <w:sz w:val="22"/>
                <w:szCs w:val="22"/>
              </w:rPr>
              <w:t>空气净化器（立式）</w:t>
            </w:r>
          </w:p>
        </w:tc>
        <w:tc>
          <w:tcPr>
            <w:tcW w:w="7260" w:type="dxa"/>
            <w:vAlign w:val="center"/>
          </w:tcPr>
          <w:p>
            <w:pPr>
              <w:rPr>
                <w:sz w:val="22"/>
                <w:szCs w:val="22"/>
              </w:rPr>
            </w:pPr>
            <w:r>
              <w:rPr>
                <w:rFonts w:hint="eastAsia"/>
                <w:sz w:val="22"/>
                <w:szCs w:val="22"/>
              </w:rPr>
              <w:t>一、产品名称：医用空气消毒器</w:t>
            </w:r>
          </w:p>
          <w:p>
            <w:pPr>
              <w:rPr>
                <w:sz w:val="22"/>
                <w:szCs w:val="22"/>
              </w:rPr>
            </w:pPr>
            <w:r>
              <w:rPr>
                <w:rFonts w:hint="eastAsia"/>
                <w:sz w:val="22"/>
                <w:szCs w:val="22"/>
              </w:rPr>
              <w:t>二、产品用途：适用于普通手术室、产房、血液病区、烧伤病区、保护性隔离病区、重症监护病区的空气消毒；消毒供应中心检查包装灭菌区和无菌物品存放区、重症透析中心的空气消毒；检查室、治疗室、感染性疾病诊室等场所的空气消毒。</w:t>
            </w:r>
          </w:p>
          <w:p>
            <w:pPr>
              <w:rPr>
                <w:sz w:val="22"/>
                <w:szCs w:val="22"/>
              </w:rPr>
            </w:pPr>
            <w:r>
              <w:rPr>
                <w:rFonts w:hint="eastAsia"/>
                <w:sz w:val="22"/>
                <w:szCs w:val="22"/>
              </w:rPr>
              <w:t>三、技术参数要求：</w:t>
            </w:r>
          </w:p>
          <w:p>
            <w:pPr>
              <w:rPr>
                <w:sz w:val="22"/>
                <w:szCs w:val="22"/>
              </w:rPr>
            </w:pPr>
            <w:r>
              <w:rPr>
                <w:rFonts w:hint="eastAsia"/>
                <w:sz w:val="22"/>
                <w:szCs w:val="22"/>
              </w:rPr>
              <w:t>1、采用静电吸附消毒灭菌，杀菌广谱、彻底；内含活性炭分子过滤器、初效过滤器，可有效除去空气中的挥发性气体、各种异味以及过滤毛发、粉尘等大尘埃颗粒；</w:t>
            </w:r>
          </w:p>
          <w:p>
            <w:pPr>
              <w:rPr>
                <w:sz w:val="22"/>
                <w:szCs w:val="22"/>
              </w:rPr>
            </w:pPr>
            <w:r>
              <w:rPr>
                <w:rFonts w:hint="eastAsia"/>
                <w:sz w:val="22"/>
                <w:szCs w:val="22"/>
              </w:rPr>
              <w:t>2、医用空气消毒器壳体采用优质冷轧钢板，结构强度高，完全阻燃；表面静电喷涂，防尘效果好、使用寿命长、安全系数高；</w:t>
            </w:r>
          </w:p>
          <w:p>
            <w:pPr>
              <w:rPr>
                <w:sz w:val="22"/>
                <w:szCs w:val="22"/>
              </w:rPr>
            </w:pPr>
            <w:r>
              <w:rPr>
                <w:rFonts w:hint="eastAsia"/>
                <w:sz w:val="22"/>
                <w:szCs w:val="22"/>
              </w:rPr>
              <w:t>3、采用移动的安装方式，运用灵活；</w:t>
            </w:r>
          </w:p>
          <w:p>
            <w:pPr>
              <w:rPr>
                <w:sz w:val="22"/>
                <w:szCs w:val="22"/>
              </w:rPr>
            </w:pPr>
            <w:r>
              <w:rPr>
                <w:rFonts w:hint="eastAsia"/>
                <w:sz w:val="22"/>
                <w:szCs w:val="22"/>
              </w:rPr>
              <w:t>4、人机共存，可在有人状态下进行连续动态消毒，对人及物品没有任何伤害；</w:t>
            </w:r>
          </w:p>
          <w:p>
            <w:pPr>
              <w:rPr>
                <w:sz w:val="22"/>
                <w:szCs w:val="22"/>
              </w:rPr>
            </w:pPr>
            <w:r>
              <w:rPr>
                <w:rFonts w:hint="eastAsia"/>
                <w:sz w:val="22"/>
                <w:szCs w:val="22"/>
              </w:rPr>
              <w:t>5、额定循环风量≥2500m</w:t>
            </w:r>
            <w:r>
              <w:rPr>
                <w:rFonts w:hint="eastAsia" w:ascii="宋体" w:hAnsi="宋体" w:eastAsia="宋体" w:cs="宋体"/>
                <w:sz w:val="22"/>
                <w:szCs w:val="22"/>
              </w:rPr>
              <w:t>³</w:t>
            </w:r>
            <w:r>
              <w:rPr>
                <w:rFonts w:hint="eastAsia"/>
                <w:sz w:val="22"/>
                <w:szCs w:val="22"/>
              </w:rPr>
              <w:t>/h，可适用于220m</w:t>
            </w:r>
            <w:r>
              <w:rPr>
                <w:rFonts w:hint="eastAsia" w:ascii="宋体" w:hAnsi="宋体" w:eastAsia="宋体" w:cs="宋体"/>
                <w:sz w:val="22"/>
                <w:szCs w:val="22"/>
              </w:rPr>
              <w:t>³</w:t>
            </w:r>
            <w:r>
              <w:rPr>
                <w:rFonts w:hint="eastAsia" w:ascii="仿宋" w:hAnsi="仿宋" w:cs="仿宋"/>
                <w:sz w:val="22"/>
                <w:szCs w:val="22"/>
              </w:rPr>
              <w:t>体积及以下的场所；</w:t>
            </w:r>
          </w:p>
          <w:p>
            <w:pPr>
              <w:rPr>
                <w:sz w:val="22"/>
                <w:szCs w:val="22"/>
              </w:rPr>
            </w:pPr>
            <w:r>
              <w:rPr>
                <w:rFonts w:hint="eastAsia"/>
                <w:sz w:val="22"/>
                <w:szCs w:val="22"/>
              </w:rPr>
              <w:t>6、额定功率460W±46W；电源AC220V 50Hz；</w:t>
            </w:r>
          </w:p>
          <w:p>
            <w:pPr>
              <w:rPr>
                <w:sz w:val="22"/>
                <w:szCs w:val="22"/>
              </w:rPr>
            </w:pPr>
            <w:r>
              <w:rPr>
                <w:rFonts w:hint="eastAsia"/>
                <w:sz w:val="22"/>
                <w:szCs w:val="22"/>
              </w:rPr>
              <w:t>7、蜂窝式电场强度≥7500V。（提供省级疾控中心或第三方检测机构检测报告）</w:t>
            </w:r>
          </w:p>
          <w:p>
            <w:pPr>
              <w:rPr>
                <w:sz w:val="22"/>
                <w:szCs w:val="22"/>
              </w:rPr>
            </w:pPr>
            <w:r>
              <w:rPr>
                <w:rFonts w:hint="eastAsia"/>
                <w:sz w:val="22"/>
                <w:szCs w:val="22"/>
              </w:rPr>
              <w:t>四、净化消毒效果要求：</w:t>
            </w:r>
          </w:p>
          <w:p>
            <w:pPr>
              <w:rPr>
                <w:sz w:val="22"/>
                <w:szCs w:val="22"/>
              </w:rPr>
            </w:pPr>
            <w:r>
              <w:rPr>
                <w:rFonts w:hint="eastAsia"/>
                <w:sz w:val="22"/>
                <w:szCs w:val="22"/>
              </w:rPr>
              <w:t>1、净化消毒效果要求：（提供省级疾控中心或第三方检测机构检测报告）</w:t>
            </w:r>
          </w:p>
          <w:p>
            <w:pPr>
              <w:rPr>
                <w:sz w:val="22"/>
                <w:szCs w:val="22"/>
              </w:rPr>
            </w:pPr>
            <w:r>
              <w:rPr>
                <w:rFonts w:hint="eastAsia"/>
                <w:sz w:val="22"/>
                <w:szCs w:val="22"/>
              </w:rPr>
              <w:t>1）对白色葡萄球菌的杀灭率＞99.90%；</w:t>
            </w:r>
          </w:p>
          <w:p>
            <w:pPr>
              <w:rPr>
                <w:sz w:val="22"/>
                <w:szCs w:val="22"/>
              </w:rPr>
            </w:pPr>
            <w:r>
              <w:rPr>
                <w:rFonts w:hint="eastAsia"/>
                <w:sz w:val="22"/>
                <w:szCs w:val="22"/>
              </w:rPr>
              <w:t>2）设备运行30min，对铜绿假单胞菌杀灭率≥99.97%，对龟分枝杆菌杀灭率≥99.99%，对黑曲霉菌杀灭率≥99.95%；</w:t>
            </w:r>
          </w:p>
          <w:p>
            <w:pPr>
              <w:rPr>
                <w:sz w:val="22"/>
                <w:szCs w:val="22"/>
              </w:rPr>
            </w:pPr>
            <w:r>
              <w:rPr>
                <w:rFonts w:hint="eastAsia"/>
                <w:sz w:val="22"/>
                <w:szCs w:val="22"/>
              </w:rPr>
              <w:t>3）设备运行60min，对枯草杆菌黑色变种芽孢杀灭率≥99.99%；</w:t>
            </w:r>
          </w:p>
          <w:p>
            <w:pPr>
              <w:rPr>
                <w:sz w:val="22"/>
                <w:szCs w:val="22"/>
              </w:rPr>
            </w:pPr>
            <w:r>
              <w:rPr>
                <w:rFonts w:hint="eastAsia"/>
                <w:sz w:val="22"/>
                <w:szCs w:val="22"/>
              </w:rPr>
              <w:t>4）设备持续工作1h，对体积为220m3室内空气中的自然菌消亡率均≥90%;</w:t>
            </w:r>
          </w:p>
          <w:p>
            <w:pPr>
              <w:rPr>
                <w:sz w:val="22"/>
                <w:szCs w:val="22"/>
              </w:rPr>
            </w:pPr>
            <w:r>
              <w:rPr>
                <w:rFonts w:hint="eastAsia"/>
                <w:sz w:val="22"/>
                <w:szCs w:val="22"/>
              </w:rPr>
              <w:t>5）可吸入颗粒物(0.5μm）平均净化效率为≥93.34%。</w:t>
            </w:r>
          </w:p>
          <w:p>
            <w:pPr>
              <w:rPr>
                <w:sz w:val="22"/>
                <w:szCs w:val="22"/>
              </w:rPr>
            </w:pPr>
            <w:r>
              <w:rPr>
                <w:rFonts w:hint="eastAsia"/>
                <w:sz w:val="22"/>
                <w:szCs w:val="22"/>
              </w:rPr>
              <w:t>五、功能及技术先进性要求：</w:t>
            </w:r>
          </w:p>
          <w:p>
            <w:pPr>
              <w:rPr>
                <w:sz w:val="22"/>
                <w:szCs w:val="22"/>
              </w:rPr>
            </w:pPr>
            <w:r>
              <w:rPr>
                <w:rFonts w:hint="eastAsia"/>
                <w:sz w:val="22"/>
                <w:szCs w:val="22"/>
              </w:rPr>
              <w:t>1、采用高档液晶显示屏，远程红外线遥控，可实时显示北京时间，定时时间段、定时时间，室内温湿度，故障报警，可查询显示累计时间等；</w:t>
            </w:r>
          </w:p>
          <w:p>
            <w:pPr>
              <w:rPr>
                <w:sz w:val="22"/>
                <w:szCs w:val="22"/>
              </w:rPr>
            </w:pPr>
            <w:r>
              <w:rPr>
                <w:rFonts w:hint="eastAsia"/>
                <w:sz w:val="22"/>
                <w:szCs w:val="22"/>
              </w:rPr>
              <w:t>2、高、中、低三挡可调风速供用户选择；手控、遥控多种控制方式供用户选择；手动、定时、临时多种工作模式方便用户操作；遥控器上设有一键锁定功能，防止误操作；</w:t>
            </w:r>
          </w:p>
          <w:p>
            <w:pPr>
              <w:rPr>
                <w:sz w:val="22"/>
                <w:szCs w:val="22"/>
              </w:rPr>
            </w:pPr>
            <w:r>
              <w:rPr>
                <w:rFonts w:hint="eastAsia"/>
                <w:sz w:val="22"/>
                <w:szCs w:val="22"/>
              </w:rPr>
              <w:t>3、程控数量（定时消毒）≥6组，具备工作时间自动累计功能，满足临床需求；</w:t>
            </w:r>
          </w:p>
          <w:p>
            <w:pPr>
              <w:rPr>
                <w:sz w:val="22"/>
                <w:szCs w:val="22"/>
              </w:rPr>
            </w:pPr>
            <w:r>
              <w:rPr>
                <w:rFonts w:hint="eastAsia"/>
                <w:sz w:val="22"/>
                <w:szCs w:val="22"/>
              </w:rPr>
              <w:t>4、采用蜂窝式电场，杀菌效率高，积尘效果好，方便维护保养；</w:t>
            </w:r>
          </w:p>
          <w:p>
            <w:pPr>
              <w:rPr>
                <w:sz w:val="22"/>
                <w:szCs w:val="22"/>
              </w:rPr>
            </w:pPr>
            <w:r>
              <w:rPr>
                <w:rFonts w:hint="eastAsia"/>
                <w:sz w:val="22"/>
                <w:szCs w:val="22"/>
              </w:rPr>
              <w:t>5、产品具有报警功能，蜂窝式电场故障报警、过滤器清洗维护报警、风机故障报警；</w:t>
            </w:r>
          </w:p>
          <w:p>
            <w:pPr>
              <w:rPr>
                <w:sz w:val="22"/>
                <w:szCs w:val="22"/>
              </w:rPr>
            </w:pPr>
            <w:r>
              <w:rPr>
                <w:rFonts w:hint="eastAsia"/>
                <w:sz w:val="22"/>
                <w:szCs w:val="22"/>
              </w:rPr>
              <w:t>7、采用嵌入式软件，同时具有正规第三方实验室出具的嵌入式软件产品检测报告。</w:t>
            </w:r>
          </w:p>
          <w:p>
            <w:pPr>
              <w:rPr>
                <w:sz w:val="22"/>
                <w:szCs w:val="22"/>
              </w:rPr>
            </w:pPr>
            <w:r>
              <w:rPr>
                <w:rFonts w:hint="eastAsia"/>
                <w:sz w:val="22"/>
                <w:szCs w:val="22"/>
              </w:rPr>
              <w:t>六、质量要求：</w:t>
            </w:r>
          </w:p>
          <w:p>
            <w:pPr>
              <w:rPr>
                <w:rFonts w:ascii="宋体" w:hAnsi="宋体" w:eastAsia="宋体" w:cs="宋体"/>
                <w:sz w:val="22"/>
                <w:szCs w:val="22"/>
              </w:rPr>
            </w:pPr>
            <w:r>
              <w:rPr>
                <w:rFonts w:hint="eastAsia"/>
                <w:sz w:val="22"/>
                <w:szCs w:val="22"/>
              </w:rPr>
              <w:t>1、医用空气消毒器选用具有国家3C认证的高品质电源线、电气元器件，并且采用内置合理化电气工艺布局，线身耐弯曲抗摇摆。</w:t>
            </w:r>
          </w:p>
        </w:tc>
        <w:tc>
          <w:tcPr>
            <w:tcW w:w="1176" w:type="dxa"/>
            <w:vAlign w:val="center"/>
          </w:tcPr>
          <w:p>
            <w:pPr>
              <w:jc w:val="center"/>
              <w:rPr>
                <w:rFonts w:ascii="宋体" w:hAnsi="宋体" w:eastAsia="宋体" w:cs="宋体"/>
                <w:sz w:val="22"/>
                <w:szCs w:val="22"/>
              </w:rPr>
            </w:pPr>
            <w:r>
              <w:rPr>
                <w:rFonts w:hint="eastAsia"/>
                <w:sz w:val="22"/>
                <w:szCs w:val="22"/>
              </w:rPr>
              <w:t>2</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18</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口腔种植导航系统</w:t>
            </w:r>
          </w:p>
        </w:tc>
        <w:tc>
          <w:tcPr>
            <w:tcW w:w="7260" w:type="dxa"/>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sz w:val="22"/>
                <w:szCs w:val="22"/>
              </w:rPr>
              <w:t>1. 红外主动式定位跟踪；</w:t>
            </w:r>
          </w:p>
          <w:p>
            <w:pPr>
              <w:rPr>
                <w:sz w:val="22"/>
                <w:szCs w:val="22"/>
              </w:rPr>
            </w:pPr>
            <w:r>
              <w:rPr>
                <w:rFonts w:hint="eastAsia"/>
                <w:sz w:val="22"/>
                <w:szCs w:val="22"/>
              </w:rPr>
              <w:t>2. 定位方式：主动式红外光，主动式定位技术：手机及颌骨定位器上的特征点为红外光小球，导航术中，红外光小球主动将红外光线发给导航仪，导航仪可直接快速读取并计算手机及颌骨定位器的空间位置。特点：主动式技术可快速并精准计算空间位置，术中无信号延迟；</w:t>
            </w:r>
          </w:p>
          <w:p>
            <w:pPr>
              <w:rPr>
                <w:sz w:val="22"/>
                <w:szCs w:val="22"/>
              </w:rPr>
            </w:pPr>
            <w:r>
              <w:rPr>
                <w:rFonts w:hint="eastAsia"/>
                <w:sz w:val="22"/>
                <w:szCs w:val="22"/>
              </w:rPr>
              <w:t>3. 手机定位器及颌骨定位器均可采用高温高压灭菌，符合院感要求；</w:t>
            </w:r>
          </w:p>
          <w:p>
            <w:pPr>
              <w:rPr>
                <w:sz w:val="22"/>
                <w:szCs w:val="22"/>
              </w:rPr>
            </w:pPr>
            <w:r>
              <w:rPr>
                <w:rFonts w:hint="eastAsia"/>
                <w:sz w:val="22"/>
                <w:szCs w:val="22"/>
              </w:rPr>
              <w:t>4. 光学追踪系统定位精度：≤0.25mm；角度误差≤8°；</w:t>
            </w:r>
          </w:p>
          <w:p>
            <w:pPr>
              <w:rPr>
                <w:sz w:val="22"/>
                <w:szCs w:val="22"/>
              </w:rPr>
            </w:pPr>
            <w:r>
              <w:rPr>
                <w:rFonts w:hint="eastAsia"/>
                <w:sz w:val="22"/>
                <w:szCs w:val="22"/>
              </w:rPr>
              <w:t xml:space="preserve">5. 视场范围：X： 400-1230mm   Y： 450-1460mm   Z： 980-2300mm  </w:t>
            </w:r>
          </w:p>
          <w:p>
            <w:pPr>
              <w:rPr>
                <w:sz w:val="22"/>
                <w:szCs w:val="22"/>
              </w:rPr>
            </w:pPr>
            <w:r>
              <w:rPr>
                <w:rFonts w:hint="eastAsia"/>
                <w:sz w:val="22"/>
                <w:szCs w:val="22"/>
              </w:rPr>
              <w:t>6. 设备集成计算机系统；</w:t>
            </w:r>
          </w:p>
          <w:p>
            <w:pPr>
              <w:rPr>
                <w:sz w:val="22"/>
                <w:szCs w:val="22"/>
              </w:rPr>
            </w:pPr>
            <w:r>
              <w:rPr>
                <w:rFonts w:hint="eastAsia"/>
                <w:sz w:val="22"/>
                <w:szCs w:val="22"/>
              </w:rPr>
              <w:t>7. 计算机配置要求：处理器i7以上配置，独立显卡≥4G,内存要求≥16G,配备固态硬盘SSD≥120G,机械硬盘≥1TB；</w:t>
            </w:r>
          </w:p>
          <w:p>
            <w:pPr>
              <w:rPr>
                <w:sz w:val="22"/>
                <w:szCs w:val="22"/>
              </w:rPr>
            </w:pPr>
            <w:r>
              <w:rPr>
                <w:rFonts w:hint="eastAsia"/>
                <w:sz w:val="22"/>
                <w:szCs w:val="22"/>
              </w:rPr>
              <w:t>8. 液晶显示器≥23寸，屏幕分辨率≥1920*1080；</w:t>
            </w:r>
          </w:p>
          <w:p>
            <w:pPr>
              <w:rPr>
                <w:sz w:val="22"/>
                <w:szCs w:val="22"/>
              </w:rPr>
            </w:pPr>
            <w:r>
              <w:rPr>
                <w:rFonts w:hint="eastAsia"/>
                <w:sz w:val="22"/>
                <w:szCs w:val="22"/>
              </w:rPr>
              <w:t>9. 设备可灵活移动，配置万向轮（静音、可锁止），可靠，高通过性；</w:t>
            </w:r>
          </w:p>
          <w:p>
            <w:pPr>
              <w:rPr>
                <w:sz w:val="22"/>
                <w:szCs w:val="22"/>
              </w:rPr>
            </w:pPr>
            <w:r>
              <w:rPr>
                <w:rFonts w:hint="eastAsia"/>
                <w:sz w:val="22"/>
                <w:szCs w:val="22"/>
              </w:rPr>
              <w:t>10. 支臂可升降：垂直向0-95°、水平向0-180°</w:t>
            </w:r>
          </w:p>
          <w:p>
            <w:pPr>
              <w:rPr>
                <w:sz w:val="22"/>
                <w:szCs w:val="22"/>
              </w:rPr>
            </w:pPr>
            <w:r>
              <w:rPr>
                <w:rFonts w:hint="eastAsia"/>
                <w:sz w:val="22"/>
                <w:szCs w:val="22"/>
              </w:rPr>
              <w:t>11. 软件包含常规种植模块、修复功能模块、全口无牙颌模块</w:t>
            </w:r>
          </w:p>
          <w:p>
            <w:pPr>
              <w:rPr>
                <w:sz w:val="22"/>
                <w:szCs w:val="22"/>
              </w:rPr>
            </w:pPr>
            <w:r>
              <w:rPr>
                <w:rFonts w:hint="eastAsia"/>
                <w:sz w:val="22"/>
                <w:szCs w:val="22"/>
              </w:rPr>
              <w:t>12. 导入及重建所有数据符合 Dicom3.0、可导入STL口扫数据格式，取得修复体数据及咬合关系，与CBCT影像匹配；可将种植计划及颌骨信息导出生成STL格式；</w:t>
            </w:r>
          </w:p>
          <w:p>
            <w:pPr>
              <w:rPr>
                <w:sz w:val="22"/>
                <w:szCs w:val="22"/>
              </w:rPr>
            </w:pPr>
            <w:r>
              <w:rPr>
                <w:rFonts w:hint="eastAsia"/>
                <w:sz w:val="22"/>
                <w:szCs w:val="22"/>
              </w:rPr>
              <w:t>13. 图像可擦除、重绘所设阈值范围内的影像数据，可在3D视图上去除伪影、分割假牙、上下颌；</w:t>
            </w:r>
          </w:p>
          <w:p>
            <w:pPr>
              <w:rPr>
                <w:sz w:val="22"/>
                <w:szCs w:val="22"/>
              </w:rPr>
            </w:pPr>
            <w:r>
              <w:rPr>
                <w:rFonts w:hint="eastAsia"/>
                <w:sz w:val="22"/>
                <w:szCs w:val="22"/>
              </w:rPr>
              <w:t>14. 可在全景片或小牙片上绘制神经管；</w:t>
            </w:r>
          </w:p>
          <w:p>
            <w:pPr>
              <w:rPr>
                <w:sz w:val="22"/>
                <w:szCs w:val="22"/>
              </w:rPr>
            </w:pPr>
            <w:r>
              <w:rPr>
                <w:rFonts w:hint="eastAsia"/>
                <w:sz w:val="22"/>
                <w:szCs w:val="22"/>
              </w:rPr>
              <w:t>15. 可预设常见种植系统及虚拟牙冠，可从冠状面、矢状面、横断面、全景片、小牙片、种植视图、三维视图设计最佳的种植方案，可对虚拟牙和种植体在冠状面、矢状面、横断面、三维视图中进行拖动/旋转/微调功能，可预设种植体安全距离碰撞检测功能；</w:t>
            </w:r>
          </w:p>
          <w:p>
            <w:pPr>
              <w:rPr>
                <w:sz w:val="22"/>
                <w:szCs w:val="22"/>
              </w:rPr>
            </w:pPr>
            <w:r>
              <w:rPr>
                <w:rFonts w:hint="eastAsia"/>
                <w:sz w:val="22"/>
                <w:szCs w:val="22"/>
              </w:rPr>
              <w:t>16. 实时跟踪种植手机和患者的空间位置，引导器械按计划种植。实时导航术中提供近冠状面，横断图、矢状面及三维视图，可以从不同角度关注钻针或种植体在患者组织中位置，保证手术安全；</w:t>
            </w:r>
          </w:p>
          <w:p>
            <w:pPr>
              <w:rPr>
                <w:sz w:val="22"/>
                <w:szCs w:val="22"/>
              </w:rPr>
            </w:pPr>
            <w:r>
              <w:rPr>
                <w:rFonts w:hint="eastAsia"/>
                <w:sz w:val="22"/>
                <w:szCs w:val="22"/>
              </w:rPr>
              <w:t>17. 术中实时视图显示种植钻或种植钻尖端与计划种植体顶部中心的距离、当前种植钻轴线与计划种植体轴线的夹角、当前种植钻尖端与计划种植体底部的深度偏差，当偏差超出容忍值时，声音和颜色警示；</w:t>
            </w:r>
          </w:p>
          <w:p>
            <w:pPr>
              <w:rPr>
                <w:sz w:val="22"/>
                <w:szCs w:val="22"/>
              </w:rPr>
            </w:pPr>
            <w:r>
              <w:rPr>
                <w:rFonts w:hint="eastAsia"/>
                <w:sz w:val="22"/>
                <w:szCs w:val="22"/>
              </w:rPr>
              <w:t>18. 集成市面常见的种植体模型数及种植钻针模型数据、满足客户现有所有种植系统数据库；</w:t>
            </w:r>
          </w:p>
          <w:p>
            <w:pPr>
              <w:rPr>
                <w:sz w:val="22"/>
                <w:szCs w:val="22"/>
              </w:rPr>
            </w:pPr>
            <w:r>
              <w:rPr>
                <w:rFonts w:hint="eastAsia"/>
                <w:sz w:val="22"/>
                <w:szCs w:val="22"/>
              </w:rPr>
              <w:t>19. 种植设计具有种植体间可自动平行放置功能，达到多颗种植体设计所需的平行角度，确保种植体从虚拟修复体传出轴向一致。</w:t>
            </w:r>
          </w:p>
          <w:p>
            <w:pPr>
              <w:rPr>
                <w:sz w:val="22"/>
                <w:szCs w:val="22"/>
              </w:rPr>
            </w:pPr>
            <w:r>
              <w:rPr>
                <w:rFonts w:hint="eastAsia"/>
                <w:sz w:val="22"/>
                <w:szCs w:val="22"/>
              </w:rPr>
              <w:t>20. 可自动生成临床治疗方案报告PDF格式：包括颌骨信息，各位点种植计划，种植体信息，虚拟牙冠信息，患者基本信息。</w:t>
            </w:r>
          </w:p>
          <w:p>
            <w:pPr>
              <w:rPr>
                <w:sz w:val="22"/>
                <w:szCs w:val="22"/>
              </w:rPr>
            </w:pPr>
            <w:r>
              <w:rPr>
                <w:rFonts w:hint="eastAsia"/>
                <w:sz w:val="22"/>
                <w:szCs w:val="22"/>
              </w:rPr>
              <w:t>21. 在国内有临床病例验证，其中复杂病例（无牙颌病例不少于50例，穿颧病例不少于5例）</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1</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19</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口腔扫描仪</w:t>
            </w:r>
          </w:p>
        </w:tc>
        <w:tc>
          <w:tcPr>
            <w:tcW w:w="7260" w:type="dxa"/>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sz w:val="22"/>
                <w:szCs w:val="22"/>
              </w:rPr>
              <w:t>1. 口内扫描仪</w:t>
            </w:r>
          </w:p>
          <w:p>
            <w:pPr>
              <w:rPr>
                <w:sz w:val="22"/>
                <w:szCs w:val="22"/>
              </w:rPr>
            </w:pPr>
            <w:r>
              <w:rPr>
                <w:rFonts w:hint="eastAsia"/>
                <w:sz w:val="22"/>
                <w:szCs w:val="22"/>
              </w:rPr>
              <w:t>1) 通过口内扫描获取三维彩色数据，用于口腔修复、口腔正畸和口腔种植等</w:t>
            </w:r>
          </w:p>
          <w:p>
            <w:pPr>
              <w:rPr>
                <w:sz w:val="22"/>
                <w:szCs w:val="22"/>
              </w:rPr>
            </w:pPr>
            <w:r>
              <w:rPr>
                <w:rFonts w:hint="eastAsia"/>
                <w:sz w:val="22"/>
                <w:szCs w:val="22"/>
              </w:rPr>
              <w:t>2) 非接触式结构光成像技术</w:t>
            </w:r>
          </w:p>
          <w:p>
            <w:pPr>
              <w:rPr>
                <w:sz w:val="22"/>
                <w:szCs w:val="22"/>
              </w:rPr>
            </w:pPr>
            <w:r>
              <w:rPr>
                <w:rFonts w:hint="eastAsia"/>
                <w:sz w:val="22"/>
                <w:szCs w:val="22"/>
              </w:rPr>
              <w:t>3) 两种扫描头尺寸可选,标准扫描头宽x高：20mm x 16mm,迷你扫描头</w:t>
            </w:r>
          </w:p>
          <w:p>
            <w:pPr>
              <w:rPr>
                <w:sz w:val="22"/>
                <w:szCs w:val="22"/>
              </w:rPr>
            </w:pPr>
            <w:r>
              <w:rPr>
                <w:rFonts w:hint="eastAsia"/>
                <w:sz w:val="22"/>
                <w:szCs w:val="22"/>
              </w:rPr>
              <w:t>4) 扫描头支持高温高压灭菌，且灭菌次数可达100次</w:t>
            </w:r>
          </w:p>
          <w:p>
            <w:pPr>
              <w:rPr>
                <w:sz w:val="22"/>
                <w:szCs w:val="22"/>
              </w:rPr>
            </w:pPr>
            <w:r>
              <w:rPr>
                <w:rFonts w:hint="eastAsia"/>
                <w:sz w:val="22"/>
                <w:szCs w:val="22"/>
              </w:rPr>
              <w:t>5) 扫描范围，标准扫描头：16mm x 12mm,迷你扫描头：12mm x 9mm.</w:t>
            </w:r>
          </w:p>
          <w:p>
            <w:pPr>
              <w:rPr>
                <w:sz w:val="22"/>
                <w:szCs w:val="22"/>
              </w:rPr>
            </w:pPr>
            <w:r>
              <w:rPr>
                <w:rFonts w:hint="eastAsia"/>
                <w:sz w:val="22"/>
                <w:szCs w:val="22"/>
              </w:rPr>
              <w:t>6) 景深可达22mm</w:t>
            </w:r>
          </w:p>
          <w:p>
            <w:pPr>
              <w:rPr>
                <w:sz w:val="22"/>
                <w:szCs w:val="22"/>
              </w:rPr>
            </w:pPr>
            <w:r>
              <w:rPr>
                <w:rFonts w:hint="eastAsia"/>
                <w:sz w:val="22"/>
                <w:szCs w:val="22"/>
              </w:rPr>
              <w:t>7) 扫描帧率不低于20帧/秒</w:t>
            </w:r>
          </w:p>
          <w:p>
            <w:pPr>
              <w:rPr>
                <w:sz w:val="22"/>
                <w:szCs w:val="22"/>
              </w:rPr>
            </w:pPr>
            <w:r>
              <w:rPr>
                <w:rFonts w:hint="eastAsia"/>
                <w:sz w:val="22"/>
                <w:szCs w:val="22"/>
              </w:rPr>
              <w:t>8) 扫描精度，3牙位≤20微米，全牙弓≤50微米</w:t>
            </w:r>
          </w:p>
          <w:p>
            <w:pPr>
              <w:rPr>
                <w:sz w:val="22"/>
                <w:szCs w:val="22"/>
              </w:rPr>
            </w:pPr>
            <w:r>
              <w:rPr>
                <w:rFonts w:hint="eastAsia"/>
                <w:sz w:val="22"/>
                <w:szCs w:val="22"/>
              </w:rPr>
              <w:t>9) 扫描仪状态提示灯，支持以不同颜色提示扫描仪的状态</w:t>
            </w:r>
          </w:p>
          <w:p>
            <w:pPr>
              <w:rPr>
                <w:sz w:val="22"/>
                <w:szCs w:val="22"/>
              </w:rPr>
            </w:pPr>
            <w:r>
              <w:rPr>
                <w:rFonts w:hint="eastAsia"/>
                <w:sz w:val="22"/>
                <w:szCs w:val="22"/>
              </w:rPr>
              <w:t>10) 扫描头插拔状态提示灯，不同灯光提示扫描头插拔状态</w:t>
            </w:r>
          </w:p>
          <w:p>
            <w:pPr>
              <w:rPr>
                <w:sz w:val="22"/>
                <w:szCs w:val="22"/>
              </w:rPr>
            </w:pPr>
            <w:r>
              <w:rPr>
                <w:rFonts w:hint="eastAsia"/>
                <w:sz w:val="22"/>
                <w:szCs w:val="22"/>
              </w:rPr>
              <w:t>11) 扫描仪具备运动传感功能，通过倾斜扫描仪体感控制扫描仪开启、暂停、下一步、预览数据等，扫描过程无需触碰电脑鼠标等，避免交叉感染</w:t>
            </w:r>
          </w:p>
          <w:p>
            <w:pPr>
              <w:rPr>
                <w:sz w:val="22"/>
                <w:szCs w:val="22"/>
              </w:rPr>
            </w:pPr>
            <w:r>
              <w:rPr>
                <w:rFonts w:hint="eastAsia"/>
                <w:sz w:val="22"/>
                <w:szCs w:val="22"/>
              </w:rPr>
              <w:t>12) 机身含物理按键，可启动或暂停扫描过程</w:t>
            </w:r>
          </w:p>
          <w:p>
            <w:pPr>
              <w:rPr>
                <w:sz w:val="22"/>
                <w:szCs w:val="22"/>
              </w:rPr>
            </w:pPr>
            <w:r>
              <w:rPr>
                <w:rFonts w:hint="eastAsia"/>
                <w:sz w:val="22"/>
                <w:szCs w:val="22"/>
              </w:rPr>
              <w:t>13) 扫描头自主加热功能，避免镜头起雾</w:t>
            </w:r>
          </w:p>
          <w:p>
            <w:pPr>
              <w:rPr>
                <w:sz w:val="22"/>
                <w:szCs w:val="22"/>
              </w:rPr>
            </w:pPr>
            <w:r>
              <w:rPr>
                <w:rFonts w:hint="eastAsia"/>
                <w:sz w:val="22"/>
                <w:szCs w:val="22"/>
              </w:rPr>
              <w:t>2. 扫描传输软件</w:t>
            </w:r>
          </w:p>
          <w:p>
            <w:pPr>
              <w:rPr>
                <w:sz w:val="22"/>
                <w:szCs w:val="22"/>
              </w:rPr>
            </w:pPr>
            <w:r>
              <w:rPr>
                <w:rFonts w:hint="eastAsia"/>
                <w:sz w:val="22"/>
                <w:szCs w:val="22"/>
              </w:rPr>
              <w:t>1) 一键自动完成扫描仪校准，且支持校准提醒，便于定期校准</w:t>
            </w:r>
          </w:p>
          <w:p>
            <w:pPr>
              <w:rPr>
                <w:sz w:val="22"/>
                <w:szCs w:val="22"/>
              </w:rPr>
            </w:pPr>
            <w:r>
              <w:rPr>
                <w:rFonts w:hint="eastAsia"/>
                <w:sz w:val="22"/>
                <w:szCs w:val="22"/>
              </w:rPr>
              <w:t>2) 无需借助其他软件，扫描数据可直接本地保存为STL、OBJ、PLY格式</w:t>
            </w:r>
          </w:p>
          <w:p>
            <w:pPr>
              <w:rPr>
                <w:sz w:val="22"/>
                <w:szCs w:val="22"/>
              </w:rPr>
            </w:pPr>
            <w:r>
              <w:rPr>
                <w:rFonts w:hint="eastAsia"/>
                <w:sz w:val="22"/>
                <w:szCs w:val="22"/>
              </w:rPr>
              <w:t>3) 具备AI智能扫描功能，可自动区分有用数据及干扰，自动屏蔽嘴唇、舌、颊侧软组织等干扰信息</w:t>
            </w:r>
          </w:p>
          <w:p>
            <w:pPr>
              <w:rPr>
                <w:sz w:val="22"/>
                <w:szCs w:val="22"/>
              </w:rPr>
            </w:pPr>
            <w:r>
              <w:rPr>
                <w:rFonts w:hint="eastAsia"/>
                <w:sz w:val="22"/>
                <w:szCs w:val="22"/>
              </w:rPr>
              <w:t>4) 金属扫描功能，针对口内反光材料的扫描成像</w:t>
            </w:r>
          </w:p>
          <w:p>
            <w:pPr>
              <w:rPr>
                <w:sz w:val="22"/>
                <w:szCs w:val="22"/>
              </w:rPr>
            </w:pPr>
            <w:r>
              <w:rPr>
                <w:rFonts w:hint="eastAsia"/>
                <w:sz w:val="22"/>
                <w:szCs w:val="22"/>
              </w:rPr>
              <w:t>5) 区域锁定功能，标记锁定区域，避免锁定区域内数据重复采集</w:t>
            </w:r>
          </w:p>
          <w:p>
            <w:pPr>
              <w:rPr>
                <w:sz w:val="22"/>
                <w:szCs w:val="22"/>
              </w:rPr>
            </w:pPr>
            <w:r>
              <w:rPr>
                <w:rFonts w:hint="eastAsia"/>
                <w:sz w:val="22"/>
                <w:szCs w:val="22"/>
              </w:rPr>
              <w:t>6) 支持最多达三个唇颊侧咬合数据的扫描，保证咬合准确匹配</w:t>
            </w:r>
          </w:p>
          <w:p>
            <w:pPr>
              <w:rPr>
                <w:sz w:val="22"/>
                <w:szCs w:val="22"/>
              </w:rPr>
            </w:pPr>
            <w:r>
              <w:rPr>
                <w:rFonts w:hint="eastAsia"/>
                <w:sz w:val="22"/>
                <w:szCs w:val="22"/>
              </w:rPr>
              <w:t>7) 精细化生成模型功能，针对重要区域支持高分辨率精细化生成模型数据</w:t>
            </w:r>
          </w:p>
          <w:p>
            <w:pPr>
              <w:rPr>
                <w:sz w:val="22"/>
                <w:szCs w:val="22"/>
              </w:rPr>
            </w:pPr>
            <w:r>
              <w:rPr>
                <w:rFonts w:hint="eastAsia"/>
                <w:sz w:val="22"/>
                <w:szCs w:val="22"/>
              </w:rPr>
              <w:t>8) 口腔基本情况检查功能，包括龋齿、色素、牙齿排列及缺失等，支持口腔健康报告以图片的形式输出，或直接生成二维码，患者可手机扫描二维码预览3维彩色数据及图片</w:t>
            </w:r>
          </w:p>
          <w:p>
            <w:pPr>
              <w:rPr>
                <w:sz w:val="22"/>
                <w:szCs w:val="22"/>
              </w:rPr>
            </w:pPr>
            <w:r>
              <w:rPr>
                <w:rFonts w:hint="eastAsia"/>
                <w:sz w:val="22"/>
                <w:szCs w:val="22"/>
              </w:rPr>
              <w:t>9) 正畸效果模拟功能，软件支持自动分牙，排牙，模拟患者正畸效果，且可生成二维码，患者扫描二维码即可查看正畸前后对比及牙齿移动的实时图像及动画</w:t>
            </w:r>
          </w:p>
          <w:p>
            <w:pPr>
              <w:rPr>
                <w:sz w:val="22"/>
                <w:szCs w:val="22"/>
              </w:rPr>
            </w:pPr>
            <w:r>
              <w:rPr>
                <w:rFonts w:hint="eastAsia"/>
                <w:sz w:val="22"/>
                <w:szCs w:val="22"/>
              </w:rPr>
              <w:t>10) 可升级模型编辑功能，无需借助其他软件即可将扫描数据编辑为可3D打印的模型数据，并以STL数据格式输出</w:t>
            </w:r>
          </w:p>
          <w:p>
            <w:pPr>
              <w:rPr>
                <w:sz w:val="22"/>
                <w:szCs w:val="22"/>
              </w:rPr>
            </w:pPr>
            <w:r>
              <w:rPr>
                <w:rFonts w:hint="eastAsia"/>
                <w:sz w:val="22"/>
                <w:szCs w:val="22"/>
              </w:rPr>
              <w:t>11) 可绘制修复体边缘线，且具备边缘线自动提取功能</w:t>
            </w:r>
          </w:p>
          <w:p>
            <w:pPr>
              <w:rPr>
                <w:sz w:val="22"/>
                <w:szCs w:val="22"/>
              </w:rPr>
            </w:pPr>
            <w:r>
              <w:rPr>
                <w:rFonts w:hint="eastAsia"/>
                <w:sz w:val="22"/>
                <w:szCs w:val="22"/>
              </w:rPr>
              <w:t>12) 支持倒凹检查，咬合空间评估</w:t>
            </w:r>
          </w:p>
          <w:p>
            <w:pPr>
              <w:rPr>
                <w:sz w:val="22"/>
                <w:szCs w:val="22"/>
              </w:rPr>
            </w:pPr>
            <w:r>
              <w:rPr>
                <w:rFonts w:hint="eastAsia"/>
                <w:sz w:val="22"/>
                <w:szCs w:val="22"/>
              </w:rPr>
              <w:t>13) 可针对不同临床适应证创建个性化订单，比如修复、种植、正畸等</w:t>
            </w:r>
          </w:p>
          <w:p>
            <w:pPr>
              <w:rPr>
                <w:sz w:val="22"/>
                <w:szCs w:val="22"/>
              </w:rPr>
            </w:pPr>
            <w:r>
              <w:rPr>
                <w:rFonts w:hint="eastAsia"/>
                <w:sz w:val="22"/>
                <w:szCs w:val="22"/>
              </w:rPr>
              <w:t>14) 无需软件加密狗即可运行软件，软件无年费</w:t>
            </w:r>
          </w:p>
          <w:p>
            <w:pPr>
              <w:rPr>
                <w:rFonts w:ascii="宋体" w:hAnsi="宋体" w:eastAsia="宋体" w:cs="宋体"/>
                <w:sz w:val="22"/>
                <w:szCs w:val="22"/>
              </w:rPr>
            </w:pPr>
            <w:r>
              <w:rPr>
                <w:rFonts w:hint="eastAsia"/>
                <w:sz w:val="22"/>
                <w:szCs w:val="22"/>
              </w:rPr>
              <w:t>15) 与本地化云平台无缝连接，支持扫描数据云传输。并配备专业的数据下载软件，支持将扫描数据下载为STL、OBJ、PLY格式</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1</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20</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手机保养注油机</w:t>
            </w:r>
          </w:p>
        </w:tc>
        <w:tc>
          <w:tcPr>
            <w:tcW w:w="7260" w:type="dxa"/>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sz w:val="22"/>
                <w:szCs w:val="22"/>
              </w:rPr>
              <w:t>一：设备参数及配置</w:t>
            </w:r>
          </w:p>
          <w:p>
            <w:pPr>
              <w:rPr>
                <w:sz w:val="22"/>
                <w:szCs w:val="22"/>
              </w:rPr>
            </w:pPr>
            <w:r>
              <w:rPr>
                <w:rFonts w:hint="eastAsia"/>
                <w:sz w:val="22"/>
                <w:szCs w:val="22"/>
              </w:rPr>
              <w:t>1 技术要求</w:t>
            </w:r>
          </w:p>
          <w:p>
            <w:pPr>
              <w:rPr>
                <w:sz w:val="22"/>
                <w:szCs w:val="22"/>
              </w:rPr>
            </w:pPr>
            <w:r>
              <w:rPr>
                <w:rFonts w:hint="eastAsia"/>
                <w:sz w:val="22"/>
                <w:szCs w:val="22"/>
              </w:rPr>
              <w:t>1.1用途：用于对牙科手机的清洁及注油保养。</w:t>
            </w:r>
          </w:p>
          <w:p>
            <w:pPr>
              <w:rPr>
                <w:sz w:val="22"/>
                <w:szCs w:val="22"/>
              </w:rPr>
            </w:pPr>
            <w:r>
              <w:rPr>
                <w:rFonts w:hint="eastAsia"/>
                <w:sz w:val="22"/>
                <w:szCs w:val="22"/>
              </w:rPr>
              <w:t>1.2功能要求：对牙科手机实现快速的全自动注油保养。</w:t>
            </w:r>
          </w:p>
          <w:p>
            <w:pPr>
              <w:rPr>
                <w:sz w:val="22"/>
                <w:szCs w:val="22"/>
              </w:rPr>
            </w:pPr>
            <w:r>
              <w:rPr>
                <w:rFonts w:hint="eastAsia"/>
                <w:sz w:val="22"/>
                <w:szCs w:val="22"/>
              </w:rPr>
              <w:t>1.3性能及运行参数：1.可同时对一支低速手机及两支高速手机进行清洁及注油保养，三支手机的完整维护总共只需40秒；2.采用触摸屏控制，可根据不同手机设置注油保养参数，一键完成注油保养过程；3.独特的喷控技术，油量控制精确，更加节省润滑油；4.采用灌装润滑油，更换方便；5.全面的电子监控系统，实时监测工作气源、润滑油剩余量、工作时前门是否关闭；6.独特的管路设计，保证手机转动状态下注油保养，保养效果好，快速去除残油，过滤残存油雾;7.配套润滑油为医用矿物油,安全、高效、不影响消毒灭菌。</w:t>
            </w:r>
          </w:p>
          <w:p>
            <w:pPr>
              <w:rPr>
                <w:sz w:val="22"/>
                <w:szCs w:val="22"/>
              </w:rPr>
            </w:pPr>
            <w:r>
              <w:rPr>
                <w:rFonts w:hint="eastAsia"/>
                <w:sz w:val="22"/>
                <w:szCs w:val="22"/>
              </w:rPr>
              <w:t>1.4进气压力：0.45~0.9MPa</w:t>
            </w:r>
          </w:p>
          <w:p>
            <w:pPr>
              <w:rPr>
                <w:sz w:val="22"/>
                <w:szCs w:val="22"/>
              </w:rPr>
            </w:pPr>
            <w:r>
              <w:rPr>
                <w:rFonts w:hint="eastAsia"/>
                <w:sz w:val="22"/>
                <w:szCs w:val="22"/>
              </w:rPr>
              <w:t>1.5压力调节方式：全自动降压，无手动减压阀。</w:t>
            </w:r>
          </w:p>
          <w:p>
            <w:pPr>
              <w:rPr>
                <w:sz w:val="22"/>
                <w:szCs w:val="22"/>
              </w:rPr>
            </w:pPr>
            <w:r>
              <w:rPr>
                <w:rFonts w:hint="eastAsia"/>
                <w:sz w:val="22"/>
                <w:szCs w:val="22"/>
              </w:rPr>
              <w:t>1.6装油方式：采用气雾罐灌装润滑油，一次性手动更换</w:t>
            </w:r>
          </w:p>
          <w:p>
            <w:pPr>
              <w:rPr>
                <w:sz w:val="22"/>
                <w:szCs w:val="22"/>
              </w:rPr>
            </w:pPr>
            <w:r>
              <w:rPr>
                <w:rFonts w:hint="eastAsia"/>
                <w:sz w:val="22"/>
                <w:szCs w:val="22"/>
              </w:rPr>
              <w:t>1.7控制方式：≤±1 %1.10工作流程：吹气干燥-脉冲注油-吹除残油</w:t>
            </w:r>
          </w:p>
          <w:p>
            <w:pPr>
              <w:rPr>
                <w:sz w:val="22"/>
                <w:szCs w:val="22"/>
              </w:rPr>
            </w:pPr>
            <w:r>
              <w:rPr>
                <w:rFonts w:hint="eastAsia"/>
                <w:sz w:val="22"/>
                <w:szCs w:val="22"/>
              </w:rPr>
              <w:t xml:space="preserve">1.8最大功率：50 W  </w:t>
            </w:r>
          </w:p>
          <w:p>
            <w:pPr>
              <w:rPr>
                <w:sz w:val="22"/>
                <w:szCs w:val="22"/>
              </w:rPr>
            </w:pPr>
            <w:r>
              <w:rPr>
                <w:rFonts w:hint="eastAsia"/>
                <w:sz w:val="22"/>
                <w:szCs w:val="22"/>
              </w:rPr>
              <w:t xml:space="preserve">1.9最大电流：2A  </w:t>
            </w:r>
          </w:p>
          <w:p>
            <w:pPr>
              <w:rPr>
                <w:sz w:val="22"/>
                <w:szCs w:val="22"/>
              </w:rPr>
            </w:pPr>
            <w:r>
              <w:rPr>
                <w:rFonts w:hint="eastAsia"/>
                <w:sz w:val="22"/>
                <w:szCs w:val="22"/>
              </w:rPr>
              <w:t xml:space="preserve">1.10交流电源：220V±10% 50Hz  </w:t>
            </w:r>
          </w:p>
          <w:p>
            <w:pPr>
              <w:rPr>
                <w:sz w:val="22"/>
                <w:szCs w:val="22"/>
              </w:rPr>
            </w:pPr>
            <w:r>
              <w:rPr>
                <w:rFonts w:hint="eastAsia"/>
                <w:sz w:val="22"/>
                <w:szCs w:val="22"/>
              </w:rPr>
              <w:t xml:space="preserve">1.11保险丝：5A×1   </w:t>
            </w:r>
          </w:p>
          <w:p>
            <w:pPr>
              <w:rPr>
                <w:sz w:val="22"/>
                <w:szCs w:val="22"/>
              </w:rPr>
            </w:pPr>
            <w:r>
              <w:rPr>
                <w:rFonts w:hint="eastAsia"/>
                <w:sz w:val="22"/>
                <w:szCs w:val="22"/>
              </w:rPr>
              <w:t>1.12安全设置与报警设置：注油保养过程中，若打开前门，设备停止工作；注油时前门未关闭报警、工作气压不足报警、润滑油剩余量不足报警</w:t>
            </w:r>
          </w:p>
          <w:p>
            <w:pPr>
              <w:rPr>
                <w:rFonts w:ascii="宋体" w:hAnsi="宋体" w:eastAsia="宋体" w:cs="宋体"/>
                <w:sz w:val="22"/>
                <w:szCs w:val="22"/>
              </w:rPr>
            </w:pPr>
            <w:r>
              <w:rPr>
                <w:rFonts w:hint="eastAsia"/>
                <w:sz w:val="22"/>
                <w:szCs w:val="22"/>
              </w:rPr>
              <w:t>1.13节能：注油保养时间快，节约电能、节省气量；注油量控制精确，节约润滑油。</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21</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蒸汽灭菌器（45L）</w:t>
            </w:r>
          </w:p>
        </w:tc>
        <w:tc>
          <w:tcPr>
            <w:tcW w:w="7260" w:type="dxa"/>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sz w:val="22"/>
                <w:szCs w:val="22"/>
              </w:rPr>
              <w:t>全自动高温高压快速灭菌设备。主要性能特点：</w:t>
            </w:r>
          </w:p>
          <w:p>
            <w:pPr>
              <w:rPr>
                <w:sz w:val="22"/>
                <w:szCs w:val="22"/>
              </w:rPr>
            </w:pPr>
            <w:r>
              <w:rPr>
                <w:rFonts w:hint="eastAsia"/>
                <w:sz w:val="22"/>
                <w:szCs w:val="22"/>
              </w:rPr>
              <w:t>1、采用高效的抽真空系统，工作噪音低，极限真空可达-90KPa以上，抽空速度快，物品干燥度好，灭菌更彻底。</w:t>
            </w:r>
          </w:p>
          <w:p>
            <w:pPr>
              <w:rPr>
                <w:sz w:val="22"/>
                <w:szCs w:val="22"/>
              </w:rPr>
            </w:pPr>
            <w:r>
              <w:rPr>
                <w:rFonts w:hint="eastAsia"/>
                <w:sz w:val="22"/>
                <w:szCs w:val="22"/>
              </w:rPr>
              <w:t>2、内置敞开式水箱，便于水箱清洗，水箱一次注满水后可多次运行程序，配置水质监测模块，保证蒸汽质量的可靠性，同时保证设备的正常运行。   3、全新的操作界面，液晶屏可显示温度、压力、时间、运行状态、故障报警等信息，灭菌信息更加直观，便于用户观察设备运行状态。</w:t>
            </w:r>
          </w:p>
          <w:p>
            <w:pPr>
              <w:rPr>
                <w:sz w:val="22"/>
                <w:szCs w:val="22"/>
              </w:rPr>
            </w:pPr>
            <w:r>
              <w:rPr>
                <w:rFonts w:hint="eastAsia"/>
                <w:sz w:val="22"/>
                <w:szCs w:val="22"/>
              </w:rPr>
              <w:t>4、设有裸露程序、包装程序、橡胶程序、自定义程序、快速程序等灭菌程序和真空测试程序以及预热、干燥辅助类程序。</w:t>
            </w:r>
          </w:p>
          <w:p>
            <w:pPr>
              <w:rPr>
                <w:sz w:val="22"/>
                <w:szCs w:val="22"/>
              </w:rPr>
            </w:pPr>
            <w:r>
              <w:rPr>
                <w:rFonts w:hint="eastAsia"/>
                <w:sz w:val="22"/>
                <w:szCs w:val="22"/>
              </w:rPr>
              <w:t>5、注水、脉动真空、升温、灭菌、排汽、真空干燥全过程自动运行。</w:t>
            </w:r>
          </w:p>
          <w:p>
            <w:pPr>
              <w:rPr>
                <w:sz w:val="22"/>
                <w:szCs w:val="22"/>
              </w:rPr>
            </w:pPr>
            <w:r>
              <w:rPr>
                <w:rFonts w:hint="eastAsia"/>
                <w:sz w:val="22"/>
                <w:szCs w:val="22"/>
              </w:rPr>
              <w:t>6、覆膜式腔壁加热膜，节能省时。</w:t>
            </w:r>
          </w:p>
          <w:p>
            <w:pPr>
              <w:rPr>
                <w:sz w:val="22"/>
                <w:szCs w:val="22"/>
              </w:rPr>
            </w:pPr>
            <w:r>
              <w:rPr>
                <w:rFonts w:hint="eastAsia"/>
                <w:sz w:val="22"/>
                <w:szCs w:val="22"/>
              </w:rPr>
              <w:t>7、强力真空干燥系统，器械干燥后残余湿度不超过0.2％，敷料干燥后残余湿度不超过1％。</w:t>
            </w:r>
          </w:p>
          <w:p>
            <w:pPr>
              <w:rPr>
                <w:sz w:val="22"/>
                <w:szCs w:val="22"/>
              </w:rPr>
            </w:pPr>
            <w:r>
              <w:rPr>
                <w:rFonts w:hint="eastAsia"/>
                <w:sz w:val="22"/>
                <w:szCs w:val="22"/>
              </w:rPr>
              <w:t>8、0.22μm除菌高效空气过滤器，保证破除真空的空气为无菌空气，避免无菌物品再次污染。</w:t>
            </w:r>
          </w:p>
          <w:p>
            <w:pPr>
              <w:rPr>
                <w:sz w:val="22"/>
                <w:szCs w:val="22"/>
              </w:rPr>
            </w:pPr>
            <w:r>
              <w:rPr>
                <w:rFonts w:hint="eastAsia"/>
                <w:sz w:val="22"/>
                <w:szCs w:val="22"/>
              </w:rPr>
              <w:t>9、灭菌器内置即时蒸汽发生器。</w:t>
            </w:r>
          </w:p>
          <w:p>
            <w:pPr>
              <w:rPr>
                <w:sz w:val="22"/>
                <w:szCs w:val="22"/>
              </w:rPr>
            </w:pPr>
            <w:r>
              <w:rPr>
                <w:rFonts w:hint="eastAsia"/>
                <w:sz w:val="22"/>
                <w:szCs w:val="22"/>
              </w:rPr>
              <w:t>10、灭菌器采用自动门结构，操作快捷方便，有效对人体进行可靠的保护，防止烫伤。</w:t>
            </w:r>
          </w:p>
          <w:p>
            <w:pPr>
              <w:rPr>
                <w:sz w:val="22"/>
                <w:szCs w:val="22"/>
              </w:rPr>
            </w:pPr>
            <w:r>
              <w:rPr>
                <w:rFonts w:hint="eastAsia"/>
                <w:sz w:val="22"/>
                <w:szCs w:val="22"/>
              </w:rPr>
              <w:t>11、可选配打印机，打印日期、时间、过程参数。</w:t>
            </w:r>
          </w:p>
          <w:p>
            <w:pPr>
              <w:rPr>
                <w:sz w:val="22"/>
                <w:szCs w:val="22"/>
              </w:rPr>
            </w:pPr>
            <w:r>
              <w:rPr>
                <w:rFonts w:hint="eastAsia"/>
                <w:sz w:val="22"/>
                <w:szCs w:val="22"/>
              </w:rPr>
              <w:t>12、可选配台车</w:t>
            </w:r>
          </w:p>
          <w:p>
            <w:pPr>
              <w:rPr>
                <w:sz w:val="22"/>
                <w:szCs w:val="22"/>
              </w:rPr>
            </w:pPr>
            <w:r>
              <w:rPr>
                <w:rFonts w:hint="eastAsia"/>
                <w:sz w:val="22"/>
                <w:szCs w:val="22"/>
              </w:rPr>
              <w:t>13、安全装置：超温自动保护装置：锅体温度超过设定温度，系统自动切断加热电源，并显示报警。</w:t>
            </w:r>
          </w:p>
          <w:p>
            <w:pPr>
              <w:rPr>
                <w:sz w:val="22"/>
                <w:szCs w:val="22"/>
              </w:rPr>
            </w:pPr>
            <w:r>
              <w:rPr>
                <w:rFonts w:hint="eastAsia"/>
                <w:sz w:val="22"/>
                <w:szCs w:val="22"/>
              </w:rPr>
              <w:t>14、蒸汽发生器的多重控制与保护：水位保护，压力控制器控制，超压自动泄压。</w:t>
            </w:r>
          </w:p>
          <w:p>
            <w:pPr>
              <w:rPr>
                <w:sz w:val="22"/>
                <w:szCs w:val="22"/>
              </w:rPr>
            </w:pPr>
            <w:r>
              <w:rPr>
                <w:rFonts w:hint="eastAsia"/>
                <w:sz w:val="22"/>
                <w:szCs w:val="22"/>
              </w:rPr>
              <w:t>15、门安全联锁装置：采用电子门锁，只有门关闭到位，灭菌器才能接通进汽升压，程序才能启动；内室有压力，或电源未接通，开门机构被锁住，门无法打开。内室液体超过安全温度，门无法打开，确保人员和物品的安全，避免液体飞溅甚至爆瓶。</w:t>
            </w:r>
          </w:p>
          <w:p>
            <w:pPr>
              <w:rPr>
                <w:sz w:val="22"/>
                <w:szCs w:val="22"/>
              </w:rPr>
            </w:pPr>
            <w:r>
              <w:rPr>
                <w:rFonts w:hint="eastAsia"/>
                <w:sz w:val="22"/>
                <w:szCs w:val="22"/>
              </w:rPr>
              <w:t>16、双重超压保护：自动泄压的安全阀，压力超过设计压力，安全阀开启释放压力；超压自动保护控制，压力超过设定压力，自动排汽泄压，显示报警。</w:t>
            </w:r>
          </w:p>
          <w:p>
            <w:pPr>
              <w:rPr>
                <w:rFonts w:ascii="宋体" w:hAnsi="宋体" w:eastAsia="宋体" w:cs="宋体"/>
                <w:sz w:val="22"/>
                <w:szCs w:val="22"/>
              </w:rPr>
            </w:pPr>
            <w:r>
              <w:rPr>
                <w:rFonts w:hint="eastAsia"/>
                <w:sz w:val="22"/>
                <w:szCs w:val="22"/>
              </w:rPr>
              <w:t>17、电子电路安全装置：交流主回路带短路保护器，直流控制回路带过压过载保护</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22</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蒸汽灭菌器（24L）</w:t>
            </w:r>
          </w:p>
        </w:tc>
        <w:tc>
          <w:tcPr>
            <w:tcW w:w="7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采用全夹套结构，蒸汽提前存储，产生蒸汽速度快、效率高Ø  采用高效的抽真空系统，工作噪音低，极限真空可达-90KPa以上，抽空速度快，灭菌更彻底Ø  全夹套结构能有效保证锅壁温度，加上高效的真空系统，物品干燥度好，Ø  内置敞开式双水箱，便于水箱清洗，配置水质监测模块，保证蒸汽质量的可靠性，同时保证设备的正常运行Ø  全新的操作界面，液晶屏可显示温度、压力、时间、运行状态、故障报警等信息，灭菌信息更加直观，便于用户观察设备运行状态Ø  设有裸露程序、包装程序、橡胶程序、自定义程序、快速程序等灭菌程序和真空测试程序以及预热、干燥辅助类程序Ø  注水、脉动真空、升温、灭菌、排汽、真空干燥全过程自动运行Ø  强力真空干燥系统，器械干燥后残余湿度不超过0.2％，敷料干燥后残余湿度不超过1％Ø  0.22μm除菌高效空气过滤器，保证破除真空的空气为无菌空气，避免无菌物品再次污染Ø  采用自动门结构，操作快捷方便，有效对人体进行可靠的保护，防止烫伤Ø  标配打印机，打印日期、时间、过程参数</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23</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卡式消毒锅</w:t>
            </w:r>
          </w:p>
        </w:tc>
        <w:tc>
          <w:tcPr>
            <w:tcW w:w="7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2"/>
                <w:szCs w:val="22"/>
              </w:rPr>
            </w:pPr>
            <w:r>
              <w:rPr>
                <w:rFonts w:hint="eastAsia" w:ascii="仿宋" w:hAnsi="仿宋" w:eastAsia="仿宋" w:cs="仿宋"/>
                <w:sz w:val="22"/>
                <w:szCs w:val="22"/>
              </w:rPr>
              <w:t>一、主要性能要求:</w:t>
            </w:r>
          </w:p>
          <w:p>
            <w:pPr>
              <w:rPr>
                <w:rFonts w:hint="eastAsia" w:ascii="仿宋" w:hAnsi="仿宋" w:eastAsia="仿宋" w:cs="仿宋"/>
                <w:sz w:val="22"/>
                <w:szCs w:val="22"/>
              </w:rPr>
            </w:pPr>
            <w:r>
              <w:rPr>
                <w:rFonts w:hint="eastAsia" w:ascii="仿宋" w:hAnsi="仿宋" w:eastAsia="仿宋" w:cs="仿宋"/>
                <w:sz w:val="22"/>
                <w:szCs w:val="22"/>
              </w:rPr>
              <w:t>1、卡式灭菌盒能够快速升温和冷却，整个灭菌过程最短仅需9-10分钟。</w:t>
            </w:r>
          </w:p>
          <w:p>
            <w:pPr>
              <w:rPr>
                <w:rFonts w:hint="eastAsia" w:ascii="仿宋" w:hAnsi="仿宋" w:eastAsia="仿宋" w:cs="仿宋"/>
                <w:sz w:val="22"/>
                <w:szCs w:val="22"/>
              </w:rPr>
            </w:pPr>
            <w:r>
              <w:rPr>
                <w:rFonts w:hint="eastAsia" w:ascii="仿宋" w:hAnsi="仿宋" w:eastAsia="仿宋" w:cs="仿宋"/>
                <w:sz w:val="22"/>
                <w:szCs w:val="22"/>
              </w:rPr>
              <w:t>2、精密医疗器械受热时间短，可以相对延长器械的使用寿命。</w:t>
            </w:r>
          </w:p>
          <w:p>
            <w:pPr>
              <w:rPr>
                <w:rFonts w:hint="eastAsia" w:ascii="仿宋" w:hAnsi="仿宋" w:eastAsia="仿宋" w:cs="仿宋"/>
                <w:sz w:val="22"/>
                <w:szCs w:val="22"/>
              </w:rPr>
            </w:pPr>
            <w:r>
              <w:rPr>
                <w:rFonts w:hint="eastAsia" w:ascii="仿宋" w:hAnsi="仿宋" w:eastAsia="仿宋" w:cs="仿宋"/>
                <w:sz w:val="22"/>
                <w:szCs w:val="22"/>
              </w:rPr>
              <w:t xml:space="preserve">3、微电脑控制技术，液晶显示，触摸屏控制  </w:t>
            </w:r>
          </w:p>
          <w:p>
            <w:pPr>
              <w:rPr>
                <w:rFonts w:hint="eastAsia" w:ascii="仿宋" w:hAnsi="仿宋" w:eastAsia="仿宋" w:cs="仿宋"/>
                <w:sz w:val="22"/>
                <w:szCs w:val="22"/>
              </w:rPr>
            </w:pPr>
            <w:r>
              <w:rPr>
                <w:rFonts w:hint="eastAsia" w:ascii="仿宋" w:hAnsi="仿宋" w:eastAsia="仿宋" w:cs="仿宋"/>
                <w:sz w:val="22"/>
                <w:szCs w:val="22"/>
              </w:rPr>
              <w:t>4、温度、压力</w:t>
            </w:r>
            <w:bookmarkStart w:id="215" w:name="_GoBack"/>
            <w:bookmarkEnd w:id="215"/>
            <w:r>
              <w:rPr>
                <w:rFonts w:hint="eastAsia" w:ascii="仿宋" w:hAnsi="仿宋" w:eastAsia="仿宋" w:cs="仿宋"/>
                <w:sz w:val="22"/>
                <w:szCs w:val="22"/>
              </w:rPr>
              <w:t>、时间、运行状态、故障报警液晶显示</w:t>
            </w:r>
          </w:p>
          <w:p>
            <w:pPr>
              <w:rPr>
                <w:rFonts w:hint="eastAsia" w:ascii="仿宋" w:hAnsi="仿宋" w:eastAsia="仿宋" w:cs="仿宋"/>
                <w:sz w:val="22"/>
                <w:szCs w:val="22"/>
              </w:rPr>
            </w:pPr>
            <w:r>
              <w:rPr>
                <w:rFonts w:hint="eastAsia" w:ascii="仿宋" w:hAnsi="仿宋" w:eastAsia="仿宋" w:cs="仿宋"/>
                <w:sz w:val="22"/>
                <w:szCs w:val="22"/>
              </w:rPr>
              <w:t>5、设备包含裸漏器械程序、包装器械程序、非金属器械程序，含S级灭菌程序6个，N级灭菌程序1个。</w:t>
            </w:r>
          </w:p>
          <w:p>
            <w:pPr>
              <w:rPr>
                <w:rFonts w:hint="eastAsia" w:ascii="仿宋" w:hAnsi="仿宋" w:eastAsia="仿宋" w:cs="仿宋"/>
                <w:sz w:val="22"/>
                <w:szCs w:val="22"/>
              </w:rPr>
            </w:pPr>
            <w:r>
              <w:rPr>
                <w:rFonts w:hint="eastAsia" w:ascii="仿宋" w:hAnsi="仿宋" w:eastAsia="仿宋" w:cs="仿宋"/>
                <w:sz w:val="22"/>
                <w:szCs w:val="22"/>
              </w:rPr>
              <w:t>6、灭菌参数、灭菌记录、灭菌报警数字化保存，U盘、打印机多方式输出。</w:t>
            </w:r>
          </w:p>
          <w:p>
            <w:pPr>
              <w:rPr>
                <w:rFonts w:hint="eastAsia" w:ascii="仿宋" w:hAnsi="仿宋" w:eastAsia="仿宋" w:cs="仿宋"/>
                <w:sz w:val="22"/>
                <w:szCs w:val="22"/>
              </w:rPr>
            </w:pPr>
            <w:r>
              <w:rPr>
                <w:rFonts w:hint="eastAsia" w:ascii="仿宋" w:hAnsi="仿宋" w:eastAsia="仿宋" w:cs="仿宋"/>
                <w:sz w:val="22"/>
                <w:szCs w:val="22"/>
              </w:rPr>
              <w:t>7、可记录灭菌人员、锅炉、锅次。</w:t>
            </w:r>
          </w:p>
          <w:p>
            <w:pPr>
              <w:rPr>
                <w:rFonts w:hint="eastAsia" w:ascii="仿宋" w:hAnsi="仿宋" w:eastAsia="仿宋" w:cs="仿宋"/>
                <w:sz w:val="22"/>
                <w:szCs w:val="22"/>
              </w:rPr>
            </w:pPr>
            <w:r>
              <w:rPr>
                <w:rFonts w:hint="eastAsia" w:ascii="仿宋" w:hAnsi="仿宋" w:eastAsia="仿宋" w:cs="仿宋"/>
                <w:sz w:val="22"/>
                <w:szCs w:val="22"/>
              </w:rPr>
              <w:t>8、置换、升温、灭菌、排汽、干燥全过程自动运行</w:t>
            </w:r>
          </w:p>
          <w:p>
            <w:pPr>
              <w:rPr>
                <w:rFonts w:hint="eastAsia" w:ascii="仿宋" w:hAnsi="仿宋" w:eastAsia="仿宋" w:cs="仿宋"/>
                <w:sz w:val="22"/>
                <w:szCs w:val="22"/>
              </w:rPr>
            </w:pPr>
            <w:r>
              <w:rPr>
                <w:rFonts w:hint="eastAsia" w:ascii="仿宋" w:hAnsi="仿宋" w:eastAsia="仿宋" w:cs="仿宋"/>
                <w:sz w:val="22"/>
                <w:szCs w:val="22"/>
              </w:rPr>
              <w:t>9、内置蒸汽发生器，微电脑控制技术，省能节时</w:t>
            </w:r>
          </w:p>
          <w:p>
            <w:pPr>
              <w:rPr>
                <w:rFonts w:hint="eastAsia" w:ascii="仿宋" w:hAnsi="仿宋" w:eastAsia="仿宋" w:cs="仿宋"/>
                <w:sz w:val="22"/>
                <w:szCs w:val="22"/>
              </w:rPr>
            </w:pPr>
            <w:r>
              <w:rPr>
                <w:rFonts w:hint="eastAsia" w:ascii="仿宋" w:hAnsi="仿宋" w:eastAsia="仿宋" w:cs="仿宋"/>
                <w:sz w:val="22"/>
                <w:szCs w:val="22"/>
              </w:rPr>
              <w:t>10、标配打印机，打印日期、时间、过程参数</w:t>
            </w:r>
          </w:p>
          <w:p>
            <w:pPr>
              <w:rPr>
                <w:rFonts w:hint="eastAsia" w:ascii="仿宋" w:hAnsi="仿宋" w:eastAsia="仿宋" w:cs="仿宋"/>
                <w:sz w:val="22"/>
                <w:szCs w:val="22"/>
              </w:rPr>
            </w:pPr>
            <w:r>
              <w:rPr>
                <w:rFonts w:hint="eastAsia" w:ascii="仿宋" w:hAnsi="仿宋" w:eastAsia="仿宋" w:cs="仿宋"/>
                <w:sz w:val="22"/>
                <w:szCs w:val="22"/>
              </w:rPr>
              <w:t>二、安全装置：</w:t>
            </w:r>
          </w:p>
          <w:p>
            <w:pPr>
              <w:rPr>
                <w:rFonts w:hint="eastAsia" w:ascii="仿宋" w:hAnsi="仿宋" w:eastAsia="仿宋" w:cs="仿宋"/>
                <w:sz w:val="22"/>
                <w:szCs w:val="22"/>
              </w:rPr>
            </w:pPr>
            <w:r>
              <w:rPr>
                <w:rFonts w:hint="eastAsia" w:ascii="仿宋" w:hAnsi="仿宋" w:eastAsia="仿宋" w:cs="仿宋"/>
                <w:sz w:val="22"/>
                <w:szCs w:val="22"/>
              </w:rPr>
              <w:t>1、超温自动保护装置：盒体温度超过设定温度，系统自动切断加热电源，并显示报警。</w:t>
            </w:r>
          </w:p>
          <w:p>
            <w:pPr>
              <w:rPr>
                <w:rFonts w:hint="eastAsia" w:ascii="仿宋" w:hAnsi="仿宋" w:eastAsia="仿宋" w:cs="仿宋"/>
                <w:sz w:val="22"/>
                <w:szCs w:val="22"/>
              </w:rPr>
            </w:pPr>
            <w:r>
              <w:rPr>
                <w:rFonts w:hint="eastAsia" w:ascii="仿宋" w:hAnsi="仿宋" w:eastAsia="仿宋" w:cs="仿宋"/>
                <w:sz w:val="22"/>
                <w:szCs w:val="22"/>
              </w:rPr>
              <w:t>2、蒸汽发生器的多重控制与保护：超温保护，热电偶控制，超压自动泄压。</w:t>
            </w:r>
          </w:p>
          <w:p>
            <w:pPr>
              <w:rPr>
                <w:rFonts w:hint="eastAsia" w:ascii="仿宋" w:hAnsi="仿宋" w:eastAsia="仿宋" w:cs="仿宋"/>
                <w:sz w:val="22"/>
                <w:szCs w:val="22"/>
              </w:rPr>
            </w:pPr>
            <w:r>
              <w:rPr>
                <w:rFonts w:hint="eastAsia" w:ascii="仿宋" w:hAnsi="仿宋" w:eastAsia="仿宋" w:cs="仿宋"/>
                <w:sz w:val="22"/>
                <w:szCs w:val="22"/>
              </w:rPr>
              <w:t>3、双重超压保护：自动泄压的安全阀，压力超过设计压力，安全阀开启释放压力；超压自动保护控制，压力超过设定压力，自动排汽泄压，显示报警。</w:t>
            </w:r>
          </w:p>
          <w:p>
            <w:pPr>
              <w:rPr>
                <w:rFonts w:hint="eastAsia" w:ascii="仿宋" w:hAnsi="仿宋" w:eastAsia="仿宋" w:cs="仿宋"/>
                <w:sz w:val="22"/>
                <w:szCs w:val="22"/>
              </w:rPr>
            </w:pPr>
            <w:r>
              <w:rPr>
                <w:rFonts w:hint="eastAsia" w:ascii="仿宋" w:hAnsi="仿宋" w:eastAsia="仿宋" w:cs="仿宋"/>
                <w:sz w:val="22"/>
                <w:szCs w:val="22"/>
              </w:rPr>
              <w:t>4、电子电路安全装置：交流主回路带短路保护器，直流控制回路带过压过载保护。</w:t>
            </w:r>
          </w:p>
          <w:p>
            <w:pPr>
              <w:rPr>
                <w:rFonts w:hint="eastAsia" w:ascii="仿宋" w:hAnsi="仿宋" w:eastAsia="仿宋" w:cs="仿宋"/>
                <w:sz w:val="22"/>
                <w:szCs w:val="22"/>
              </w:rPr>
            </w:pPr>
            <w:r>
              <w:rPr>
                <w:rFonts w:hint="eastAsia" w:ascii="仿宋" w:hAnsi="仿宋" w:eastAsia="仿宋" w:cs="仿宋"/>
                <w:sz w:val="22"/>
                <w:szCs w:val="22"/>
              </w:rPr>
              <w:t>三、主要技术</w:t>
            </w:r>
          </w:p>
          <w:p>
            <w:pPr>
              <w:rPr>
                <w:rFonts w:hint="eastAsia" w:ascii="仿宋" w:hAnsi="仿宋" w:eastAsia="仿宋" w:cs="仿宋"/>
                <w:sz w:val="22"/>
                <w:szCs w:val="22"/>
              </w:rPr>
            </w:pPr>
            <w:r>
              <w:rPr>
                <w:rFonts w:hint="eastAsia" w:ascii="仿宋" w:hAnsi="仿宋" w:eastAsia="仿宋" w:cs="仿宋"/>
                <w:sz w:val="22"/>
                <w:szCs w:val="22"/>
              </w:rPr>
              <w:t xml:space="preserve">1、设计压力：不低于0.28Mpa </w:t>
            </w:r>
          </w:p>
          <w:p>
            <w:pPr>
              <w:rPr>
                <w:rFonts w:hint="eastAsia" w:ascii="仿宋" w:hAnsi="仿宋" w:eastAsia="仿宋" w:cs="仿宋"/>
                <w:sz w:val="22"/>
                <w:szCs w:val="22"/>
              </w:rPr>
            </w:pPr>
            <w:r>
              <w:rPr>
                <w:rFonts w:hint="eastAsia" w:ascii="仿宋" w:hAnsi="仿宋" w:eastAsia="仿宋" w:cs="仿宋"/>
                <w:sz w:val="22"/>
                <w:szCs w:val="22"/>
              </w:rPr>
              <w:t>2、设计温度：不低于142℃</w:t>
            </w:r>
          </w:p>
          <w:p>
            <w:pPr>
              <w:rPr>
                <w:rFonts w:hint="eastAsia" w:ascii="仿宋" w:hAnsi="仿宋" w:eastAsia="仿宋" w:cs="仿宋"/>
                <w:sz w:val="22"/>
                <w:szCs w:val="22"/>
              </w:rPr>
            </w:pPr>
            <w:r>
              <w:rPr>
                <w:rFonts w:hint="eastAsia" w:ascii="仿宋" w:hAnsi="仿宋" w:eastAsia="仿宋" w:cs="仿宋"/>
                <w:sz w:val="22"/>
                <w:szCs w:val="22"/>
              </w:rPr>
              <w:t>3、最高工作压力：不低于0.23MPa</w:t>
            </w:r>
          </w:p>
          <w:p>
            <w:pPr>
              <w:rPr>
                <w:rFonts w:hint="eastAsia" w:ascii="仿宋" w:hAnsi="仿宋" w:eastAsia="仿宋" w:cs="仿宋"/>
                <w:sz w:val="22"/>
                <w:szCs w:val="22"/>
              </w:rPr>
            </w:pPr>
            <w:r>
              <w:rPr>
                <w:rFonts w:hint="eastAsia" w:ascii="仿宋" w:hAnsi="仿宋" w:eastAsia="仿宋" w:cs="仿宋"/>
                <w:sz w:val="22"/>
                <w:szCs w:val="22"/>
              </w:rPr>
              <w:t>4、温度显示精度：不低于0.1℃</w:t>
            </w:r>
          </w:p>
          <w:p>
            <w:pPr>
              <w:rPr>
                <w:rFonts w:ascii="宋体" w:hAnsi="宋体" w:eastAsia="宋体" w:cs="宋体"/>
                <w:sz w:val="22"/>
                <w:szCs w:val="22"/>
              </w:rPr>
            </w:pPr>
            <w:r>
              <w:rPr>
                <w:rFonts w:hint="eastAsia" w:ascii="仿宋" w:hAnsi="仿宋" w:eastAsia="仿宋" w:cs="仿宋"/>
                <w:sz w:val="22"/>
                <w:szCs w:val="22"/>
              </w:rPr>
              <w:t>5、腔体材料：不低于SUS304不锈钢</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1</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24</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自动封口机</w:t>
            </w:r>
          </w:p>
        </w:tc>
        <w:tc>
          <w:tcPr>
            <w:tcW w:w="7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技术指标走纸的速度为：10米/分钟打印项目依次为：灭菌日期、失效日期、批号、操作人员、锅号、锅次、设备编号打印全部选项所需袋宽：85mm（窄体）、108mm（正常）、126mm（宽体）工作温度：60～210℃控温精度≤1%工作环境：0～40℃交流电源：220V±10% 50Hz最大电流：3.2A熔断器：5A×2重量：18公斤存储环境温度：-40℃～55℃；湿度：≤90%（R.H）；大气压力：50KPa～106KPa</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1</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25</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hint="eastAsia"/>
                <w:sz w:val="22"/>
                <w:szCs w:val="22"/>
              </w:rPr>
              <w:t>医用冰箱</w:t>
            </w:r>
          </w:p>
        </w:tc>
        <w:tc>
          <w:tcPr>
            <w:tcW w:w="7260" w:type="dxa"/>
            <w:tcBorders>
              <w:top w:val="single" w:color="auto" w:sz="4" w:space="0"/>
              <w:left w:val="single" w:color="auto" w:sz="4" w:space="0"/>
              <w:bottom w:val="single" w:color="auto" w:sz="4" w:space="0"/>
              <w:right w:val="single" w:color="auto" w:sz="4" w:space="0"/>
            </w:tcBorders>
            <w:vAlign w:val="center"/>
          </w:tcPr>
          <w:p>
            <w:pPr>
              <w:rPr>
                <w:sz w:val="22"/>
                <w:szCs w:val="22"/>
              </w:rPr>
            </w:pPr>
            <w:r>
              <w:rPr>
                <w:rFonts w:hint="eastAsia"/>
                <w:sz w:val="22"/>
                <w:szCs w:val="22"/>
              </w:rPr>
              <w:t>1.样式：立式。</w:t>
            </w:r>
          </w:p>
          <w:p>
            <w:pPr>
              <w:rPr>
                <w:sz w:val="22"/>
                <w:szCs w:val="22"/>
              </w:rPr>
            </w:pPr>
            <w:r>
              <w:rPr>
                <w:rFonts w:hint="eastAsia"/>
                <w:sz w:val="22"/>
                <w:szCs w:val="22"/>
              </w:rPr>
              <w:t>2.容积：≥310L。</w:t>
            </w:r>
          </w:p>
          <w:p>
            <w:pPr>
              <w:rPr>
                <w:sz w:val="22"/>
                <w:szCs w:val="22"/>
              </w:rPr>
            </w:pPr>
            <w:r>
              <w:rPr>
                <w:rFonts w:hint="eastAsia"/>
                <w:sz w:val="22"/>
                <w:szCs w:val="22"/>
              </w:rPr>
              <w:t>3.噪音值：50dB。</w:t>
            </w:r>
          </w:p>
          <w:p>
            <w:pPr>
              <w:rPr>
                <w:sz w:val="22"/>
                <w:szCs w:val="22"/>
              </w:rPr>
            </w:pPr>
            <w:r>
              <w:rPr>
                <w:rFonts w:hint="eastAsia"/>
                <w:sz w:val="22"/>
                <w:szCs w:val="22"/>
              </w:rPr>
              <w:t>4.制冷方式：风冷。</w:t>
            </w:r>
          </w:p>
          <w:p>
            <w:pPr>
              <w:rPr>
                <w:sz w:val="22"/>
                <w:szCs w:val="22"/>
              </w:rPr>
            </w:pPr>
            <w:r>
              <w:rPr>
                <w:rFonts w:hint="eastAsia"/>
                <w:sz w:val="22"/>
                <w:szCs w:val="22"/>
              </w:rPr>
              <w:t>5.箱内温度：2℃～8℃。</w:t>
            </w:r>
          </w:p>
          <w:p>
            <w:pPr>
              <w:rPr>
                <w:sz w:val="22"/>
                <w:szCs w:val="22"/>
              </w:rPr>
            </w:pPr>
            <w:r>
              <w:rPr>
                <w:rFonts w:hint="eastAsia"/>
                <w:sz w:val="22"/>
                <w:szCs w:val="22"/>
              </w:rPr>
              <w:t>6.外部和内部材料：喷涂钢板。</w:t>
            </w:r>
          </w:p>
          <w:p>
            <w:pPr>
              <w:rPr>
                <w:sz w:val="22"/>
                <w:szCs w:val="22"/>
              </w:rPr>
            </w:pPr>
            <w:r>
              <w:rPr>
                <w:rFonts w:hint="eastAsia"/>
                <w:sz w:val="22"/>
                <w:szCs w:val="22"/>
              </w:rPr>
              <w:t>7.隔热层：无CFC高密度聚氨酯发泡。</w:t>
            </w:r>
          </w:p>
          <w:p>
            <w:pPr>
              <w:rPr>
                <w:sz w:val="22"/>
                <w:szCs w:val="22"/>
              </w:rPr>
            </w:pPr>
            <w:r>
              <w:rPr>
                <w:rFonts w:hint="eastAsia"/>
                <w:sz w:val="22"/>
                <w:szCs w:val="22"/>
              </w:rPr>
              <w:t>8.门体数量和结构：1扇，双层中空保温LOW-E钢化玻璃门。</w:t>
            </w:r>
          </w:p>
          <w:p>
            <w:pPr>
              <w:rPr>
                <w:sz w:val="22"/>
                <w:szCs w:val="22"/>
              </w:rPr>
            </w:pPr>
            <w:r>
              <w:rPr>
                <w:rFonts w:hint="eastAsia"/>
                <w:sz w:val="22"/>
                <w:szCs w:val="22"/>
              </w:rPr>
              <w:t>9.网架：5层，可调高度，浸塑材质，带标识条。</w:t>
            </w:r>
          </w:p>
          <w:p>
            <w:pPr>
              <w:rPr>
                <w:sz w:val="22"/>
                <w:szCs w:val="22"/>
              </w:rPr>
            </w:pPr>
            <w:r>
              <w:rPr>
                <w:rFonts w:hint="eastAsia"/>
                <w:sz w:val="22"/>
                <w:szCs w:val="22"/>
              </w:rPr>
              <w:t>10.测试孔：1个，方便安装温湿度记录仪。</w:t>
            </w:r>
          </w:p>
          <w:p>
            <w:pPr>
              <w:rPr>
                <w:sz w:val="22"/>
                <w:szCs w:val="22"/>
              </w:rPr>
            </w:pPr>
            <w:r>
              <w:rPr>
                <w:rFonts w:hint="eastAsia"/>
                <w:sz w:val="22"/>
                <w:szCs w:val="22"/>
              </w:rPr>
              <w:t>11.冷凝器：外挂式钢丝冷凝器，散热效果更佳。</w:t>
            </w:r>
          </w:p>
          <w:p>
            <w:pPr>
              <w:rPr>
                <w:sz w:val="22"/>
                <w:szCs w:val="22"/>
              </w:rPr>
            </w:pPr>
            <w:r>
              <w:rPr>
                <w:rFonts w:hint="eastAsia"/>
                <w:sz w:val="22"/>
                <w:szCs w:val="22"/>
              </w:rPr>
              <w:t>12、蒸发器：铜管翅片式蒸发器。</w:t>
            </w:r>
          </w:p>
          <w:p>
            <w:pPr>
              <w:rPr>
                <w:sz w:val="22"/>
                <w:szCs w:val="22"/>
              </w:rPr>
            </w:pPr>
            <w:r>
              <w:rPr>
                <w:rFonts w:hint="eastAsia"/>
                <w:sz w:val="22"/>
                <w:szCs w:val="22"/>
              </w:rPr>
              <w:t>13.风机类型：采用贯流风机。</w:t>
            </w:r>
          </w:p>
          <w:p>
            <w:pPr>
              <w:rPr>
                <w:sz w:val="22"/>
                <w:szCs w:val="22"/>
              </w:rPr>
            </w:pPr>
            <w:r>
              <w:rPr>
                <w:rFonts w:hint="eastAsia"/>
                <w:sz w:val="22"/>
                <w:szCs w:val="22"/>
              </w:rPr>
              <w:t>14.制冷剂：采用绿色环保制冷剂。</w:t>
            </w:r>
          </w:p>
          <w:p>
            <w:pPr>
              <w:rPr>
                <w:sz w:val="22"/>
                <w:szCs w:val="22"/>
              </w:rPr>
            </w:pPr>
            <w:r>
              <w:rPr>
                <w:rFonts w:hint="eastAsia"/>
                <w:sz w:val="22"/>
                <w:szCs w:val="22"/>
              </w:rPr>
              <w:t>15.风道设计：循环风冷背吹技术，避免因储存物品的阻挡导致通风不畅或温度不均匀。</w:t>
            </w:r>
          </w:p>
          <w:p>
            <w:pPr>
              <w:rPr>
                <w:sz w:val="22"/>
                <w:szCs w:val="22"/>
              </w:rPr>
            </w:pPr>
            <w:r>
              <w:rPr>
                <w:rFonts w:hint="eastAsia"/>
                <w:sz w:val="22"/>
                <w:szCs w:val="22"/>
              </w:rPr>
              <w:t>16.制冷系统：高效的制冷系统设计，通过强制风冷循环系统实现更均匀的温度布局，同时保证更小的温度波动，从而实现样本储存温度的稳定；翅片式蒸发器配合独特的循环风冷背吹技术设计，保证箱内无霜。</w:t>
            </w:r>
          </w:p>
          <w:p>
            <w:pPr>
              <w:rPr>
                <w:sz w:val="22"/>
                <w:szCs w:val="22"/>
              </w:rPr>
            </w:pPr>
            <w:r>
              <w:rPr>
                <w:rFonts w:hint="eastAsia"/>
                <w:sz w:val="22"/>
                <w:szCs w:val="22"/>
              </w:rPr>
              <w:t>17.温度控制：微电脑控制系统，LED数码显示温度数据，可确保精确稳定的运行；精准的电子温度控制及显示，精度达到0.1℃。</w:t>
            </w:r>
          </w:p>
          <w:p>
            <w:pPr>
              <w:rPr>
                <w:sz w:val="22"/>
                <w:szCs w:val="22"/>
              </w:rPr>
            </w:pPr>
            <w:r>
              <w:rPr>
                <w:rFonts w:hint="eastAsia"/>
                <w:sz w:val="22"/>
                <w:szCs w:val="22"/>
              </w:rPr>
              <w:t>18.显示方式：LED数码显示屏，可显示箱内温度及各种报警信息。</w:t>
            </w:r>
          </w:p>
          <w:p>
            <w:pPr>
              <w:rPr>
                <w:sz w:val="22"/>
                <w:szCs w:val="22"/>
              </w:rPr>
            </w:pPr>
            <w:r>
              <w:rPr>
                <w:rFonts w:hint="eastAsia"/>
                <w:sz w:val="22"/>
                <w:szCs w:val="22"/>
              </w:rPr>
              <w:t>19.报警系统：高低温报警、温控器故障报警、断电报警、开关门异常报警。</w:t>
            </w:r>
          </w:p>
          <w:p>
            <w:pPr>
              <w:rPr>
                <w:sz w:val="22"/>
                <w:szCs w:val="22"/>
              </w:rPr>
            </w:pPr>
            <w:r>
              <w:rPr>
                <w:rFonts w:hint="eastAsia"/>
                <w:sz w:val="22"/>
                <w:szCs w:val="22"/>
              </w:rPr>
              <w:t>20.报警方式：具备声音蜂鸣和灯光闪烁的报警方式。</w:t>
            </w:r>
          </w:p>
          <w:p>
            <w:pPr>
              <w:rPr>
                <w:sz w:val="22"/>
                <w:szCs w:val="22"/>
              </w:rPr>
            </w:pPr>
            <w:r>
              <w:rPr>
                <w:rFonts w:hint="eastAsia"/>
                <w:sz w:val="22"/>
                <w:szCs w:val="22"/>
              </w:rPr>
              <w:t>21.电器安全：备用电池确保断电后报警48小时、温控器探头故障安全运行模式、标配远程报警接口、键盘锁定、密码保护功能，防止随意调整运行参数、断电保护：在恢复供电时设备延时启动功能可使设备在恢复期间延时数分钟启动，使设备平稳的重新运行、宽电压带适用，可在187V～242V范围内正常使用。</w:t>
            </w:r>
          </w:p>
          <w:p>
            <w:pPr>
              <w:rPr>
                <w:sz w:val="22"/>
                <w:szCs w:val="22"/>
              </w:rPr>
            </w:pPr>
            <w:r>
              <w:rPr>
                <w:rFonts w:hint="eastAsia"/>
                <w:sz w:val="22"/>
                <w:szCs w:val="22"/>
              </w:rPr>
              <w:t>22.其他功能：标配1个暗锁设计，防止开关门异常、内设LED冷光源照明灯，使箱体内部一目了然、标配1个测试孔，方便用户选配温湿度记录仪、可调节的浸塑网架设计。</w:t>
            </w:r>
          </w:p>
          <w:p>
            <w:pPr>
              <w:rPr>
                <w:sz w:val="22"/>
                <w:szCs w:val="22"/>
              </w:rPr>
            </w:pPr>
            <w:r>
              <w:rPr>
                <w:rFonts w:hint="eastAsia"/>
                <w:sz w:val="22"/>
                <w:szCs w:val="22"/>
              </w:rPr>
              <w:t>23.可选配件：温湿度记录仪、热敏打印机、防水插座等。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hint="eastAsia"/>
                <w:sz w:val="22"/>
                <w:szCs w:val="22"/>
              </w:rPr>
              <w:t>2</w:t>
            </w:r>
          </w:p>
        </w:tc>
        <w:tc>
          <w:tcPr>
            <w:tcW w:w="1515" w:type="dxa"/>
            <w:tcBorders>
              <w:top w:val="single" w:color="auto" w:sz="4" w:space="0"/>
              <w:left w:val="single" w:color="auto" w:sz="4" w:space="0"/>
              <w:bottom w:val="single" w:color="auto" w:sz="4" w:space="0"/>
              <w:right w:val="single" w:color="auto" w:sz="4" w:space="0"/>
            </w:tcBorders>
          </w:tcPr>
          <w:p>
            <w:pPr>
              <w:jc w:val="left"/>
              <w:rPr>
                <w:rFonts w:ascii="仿宋" w:hAnsi="仿宋" w:cs="仿宋"/>
              </w:rPr>
            </w:pPr>
          </w:p>
        </w:tc>
        <w:tc>
          <w:tcPr>
            <w:tcW w:w="1035"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bottom w:val="single" w:color="auto" w:sz="4" w:space="0"/>
              <w:right w:val="single" w:color="auto" w:sz="4" w:space="0"/>
            </w:tcBorders>
          </w:tcPr>
          <w:p>
            <w:pPr>
              <w:tabs>
                <w:tab w:val="left" w:pos="0"/>
              </w:tabs>
              <w:spacing w:line="240" w:lineRule="exact"/>
              <w:jc w:val="left"/>
              <w:rPr>
                <w:rFonts w:ascii="仿宋" w:hAnsi="仿宋" w:cs="仿宋"/>
              </w:rPr>
            </w:pPr>
          </w:p>
        </w:tc>
      </w:tr>
    </w:tbl>
    <w:p>
      <w:pPr>
        <w:pStyle w:val="3"/>
        <w:spacing w:line="240" w:lineRule="auto"/>
        <w:ind w:firstLine="0" w:firstLineChars="0"/>
        <w:jc w:val="both"/>
        <w:rPr>
          <w:rFonts w:ascii="仿宋" w:hAnsi="仿宋" w:eastAsia="仿宋" w:cs="仿宋"/>
          <w:sz w:val="21"/>
          <w:szCs w:val="21"/>
        </w:rPr>
      </w:pPr>
    </w:p>
    <w:p>
      <w:pPr>
        <w:adjustRightInd w:val="0"/>
        <w:snapToGrid w:val="0"/>
        <w:ind w:right="105" w:rightChars="50"/>
        <w:jc w:val="left"/>
        <w:rPr>
          <w:rFonts w:ascii="仿宋" w:hAnsi="仿宋" w:cs="仿宋"/>
          <w:b/>
          <w:bCs/>
        </w:rPr>
      </w:pPr>
      <w:r>
        <w:rPr>
          <w:rFonts w:hint="eastAsia" w:ascii="仿宋" w:hAnsi="仿宋" w:cs="仿宋"/>
          <w:b/>
          <w:bCs/>
        </w:rPr>
        <w:t>填表要求：</w:t>
      </w:r>
    </w:p>
    <w:p>
      <w:pPr>
        <w:adjustRightInd w:val="0"/>
        <w:snapToGrid w:val="0"/>
        <w:spacing w:line="360" w:lineRule="auto"/>
        <w:rPr>
          <w:rFonts w:ascii="仿宋" w:hAnsi="仿宋" w:cs="仿宋"/>
        </w:rPr>
      </w:pPr>
      <w:r>
        <w:rPr>
          <w:rFonts w:hint="eastAsia" w:ascii="仿宋" w:hAnsi="仿宋" w:cs="仿宋"/>
        </w:rPr>
        <w:t>1．“投标文件响应内容”一栏由投标人按照招标文件要求填写并进行逐项响应。</w:t>
      </w:r>
    </w:p>
    <w:p>
      <w:pPr>
        <w:adjustRightInd w:val="0"/>
        <w:snapToGrid w:val="0"/>
        <w:spacing w:line="360" w:lineRule="auto"/>
        <w:rPr>
          <w:rFonts w:ascii="仿宋" w:hAnsi="仿宋" w:cs="仿宋"/>
        </w:rPr>
      </w:pPr>
      <w:r>
        <w:rPr>
          <w:rFonts w:hint="eastAsia" w:ascii="仿宋" w:hAnsi="仿宋" w:cs="仿宋"/>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 w:hAnsi="仿宋" w:cs="仿宋"/>
        </w:rPr>
      </w:pPr>
      <w:r>
        <w:rPr>
          <w:rFonts w:hint="eastAsia" w:ascii="仿宋" w:hAnsi="仿宋" w:cs="仿宋"/>
        </w:rPr>
        <w:t>3．“偏离说明”一栏由投标人对偏离的情况做详细说明。</w:t>
      </w:r>
    </w:p>
    <w:p>
      <w:pPr>
        <w:snapToGrid w:val="0"/>
        <w:spacing w:line="480" w:lineRule="auto"/>
        <w:rPr>
          <w:rFonts w:ascii="仿宋" w:hAnsi="仿宋" w:cs="仿宋"/>
        </w:rPr>
      </w:pPr>
      <w:r>
        <w:rPr>
          <w:rFonts w:hint="eastAsia" w:ascii="仿宋" w:hAnsi="仿宋" w:cs="仿宋"/>
        </w:rPr>
        <w:t>投标人名称（加盖单位公章）：</w:t>
      </w:r>
    </w:p>
    <w:p>
      <w:pPr>
        <w:snapToGrid w:val="0"/>
        <w:spacing w:line="480" w:lineRule="auto"/>
        <w:rPr>
          <w:rFonts w:ascii="仿宋" w:hAnsi="仿宋" w:cs="仿宋"/>
        </w:rPr>
      </w:pPr>
      <w:r>
        <w:rPr>
          <w:rFonts w:hint="eastAsia" w:ascii="仿宋" w:hAnsi="仿宋" w:cs="仿宋"/>
        </w:rPr>
        <w:t>法定代表人（或非法人组织负责人）或其授权委托人(签字或盖章)：</w:t>
      </w:r>
    </w:p>
    <w:p>
      <w:pPr>
        <w:adjustRightInd w:val="0"/>
        <w:snapToGrid w:val="0"/>
        <w:spacing w:line="480" w:lineRule="auto"/>
        <w:ind w:right="105" w:rightChars="50"/>
        <w:jc w:val="left"/>
        <w:rPr>
          <w:rFonts w:ascii="仿宋" w:hAnsi="仿宋" w:cs="仿宋"/>
        </w:rPr>
      </w:pPr>
      <w:r>
        <w:rPr>
          <w:rFonts w:hint="eastAsia" w:ascii="仿宋" w:hAnsi="仿宋" w:cs="仿宋"/>
        </w:rPr>
        <w:t>日期：</w:t>
      </w:r>
    </w:p>
    <w:p>
      <w:pPr>
        <w:adjustRightInd w:val="0"/>
        <w:snapToGrid w:val="0"/>
        <w:spacing w:before="319" w:beforeLines="100" w:line="360" w:lineRule="auto"/>
        <w:ind w:right="105" w:rightChars="50"/>
        <w:jc w:val="center"/>
        <w:rPr>
          <w:rFonts w:ascii="仿宋" w:hAnsi="仿宋" w:cs="仿宋"/>
        </w:rPr>
      </w:pPr>
      <w:r>
        <w:rPr>
          <w:rFonts w:hint="eastAsia" w:ascii="仿宋" w:hAnsi="仿宋" w:cs="仿宋"/>
          <w:b/>
          <w:bCs/>
          <w:sz w:val="32"/>
          <w:szCs w:val="32"/>
        </w:rPr>
        <w:t>技术规格偏离表</w:t>
      </w:r>
    </w:p>
    <w:tbl>
      <w:tblPr>
        <w:tblStyle w:val="21"/>
        <w:tblW w:w="1496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00"/>
        <w:gridCol w:w="7260"/>
        <w:gridCol w:w="1176"/>
        <w:gridCol w:w="1515"/>
        <w:gridCol w:w="1035"/>
        <w:gridCol w:w="96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96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 w:hAnsi="仿宋" w:cs="仿宋"/>
              </w:rPr>
            </w:pPr>
            <w:r>
              <w:rPr>
                <w:rFonts w:hint="eastAsia" w:ascii="仿宋" w:hAnsi="仿宋" w:cs="仿宋"/>
              </w:rPr>
              <w:t>包号：002</w:t>
            </w:r>
          </w:p>
          <w:p>
            <w:pPr>
              <w:adjustRightInd w:val="0"/>
              <w:snapToGrid w:val="0"/>
              <w:rPr>
                <w:rFonts w:ascii="仿宋" w:hAnsi="仿宋" w:cs="仿宋"/>
              </w:rPr>
            </w:pPr>
            <w:r>
              <w:rPr>
                <w:rFonts w:hint="eastAsia" w:ascii="仿宋" w:hAnsi="仿宋" w:cs="仿宋"/>
              </w:rPr>
              <w:t>包名称：002</w:t>
            </w:r>
          </w:p>
          <w:p>
            <w:pPr>
              <w:adjustRightInd w:val="0"/>
              <w:snapToGrid w:val="0"/>
              <w:rPr>
                <w:rFonts w:ascii="仿宋" w:hAnsi="仿宋" w:cs="仿宋"/>
              </w:rPr>
            </w:pPr>
            <w:r>
              <w:rPr>
                <w:rFonts w:hint="eastAsia" w:ascii="仿宋" w:hAnsi="仿宋" w:cs="仿宋"/>
              </w:rPr>
              <w:t>是否为经过审批采购的进口产品：否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044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rPr>
            </w:pPr>
            <w:r>
              <w:rPr>
                <w:rFonts w:hint="eastAsia" w:ascii="仿宋" w:hAnsi="仿宋" w:cs="仿宋"/>
              </w:rPr>
              <w:t>招标文件要求</w:t>
            </w:r>
          </w:p>
          <w:p>
            <w:pPr>
              <w:ind w:hanging="1"/>
              <w:rPr>
                <w:rFonts w:ascii="仿宋" w:hAnsi="仿宋" w:cs="仿宋"/>
                <w:b/>
              </w:rPr>
            </w:pPr>
            <w:r>
              <w:rPr>
                <w:rFonts w:hint="eastAsia" w:ascii="仿宋" w:hAnsi="仿宋" w:cs="仿宋"/>
                <w:b/>
              </w:rPr>
              <w:t>重要提示：本项目技术参数要求不得负偏离，如果负偏离，则投标文件无效。</w:t>
            </w:r>
          </w:p>
        </w:tc>
        <w:tc>
          <w:tcPr>
            <w:tcW w:w="1515" w:type="dxa"/>
            <w:vMerge w:val="restart"/>
            <w:tcBorders>
              <w:top w:val="single" w:color="auto" w:sz="4" w:space="0"/>
              <w:left w:val="single" w:color="auto" w:sz="4" w:space="0"/>
              <w:right w:val="single" w:color="auto" w:sz="4" w:space="0"/>
            </w:tcBorders>
            <w:vAlign w:val="center"/>
          </w:tcPr>
          <w:p>
            <w:pPr>
              <w:jc w:val="center"/>
              <w:rPr>
                <w:rFonts w:ascii="仿宋" w:hAnsi="仿宋" w:cs="仿宋"/>
              </w:rPr>
            </w:pPr>
            <w:r>
              <w:rPr>
                <w:rFonts w:hint="eastAsia" w:ascii="仿宋" w:hAnsi="仿宋" w:cs="仿宋"/>
              </w:rPr>
              <w:t>投标文件</w:t>
            </w:r>
          </w:p>
          <w:p>
            <w:pPr>
              <w:tabs>
                <w:tab w:val="left" w:pos="0"/>
              </w:tabs>
              <w:spacing w:line="240" w:lineRule="exact"/>
              <w:jc w:val="center"/>
              <w:rPr>
                <w:rFonts w:ascii="仿宋" w:hAnsi="仿宋" w:cs="仿宋"/>
                <w:kern w:val="0"/>
              </w:rPr>
            </w:pPr>
            <w:r>
              <w:rPr>
                <w:rFonts w:hint="eastAsia" w:ascii="仿宋" w:hAnsi="仿宋" w:cs="仿宋"/>
              </w:rPr>
              <w:t>响应内容</w:t>
            </w:r>
          </w:p>
        </w:tc>
        <w:tc>
          <w:tcPr>
            <w:tcW w:w="1035" w:type="dxa"/>
            <w:vMerge w:val="restart"/>
            <w:tcBorders>
              <w:top w:val="single" w:color="auto" w:sz="4" w:space="0"/>
              <w:left w:val="single" w:color="auto" w:sz="4" w:space="0"/>
              <w:right w:val="single" w:color="auto" w:sz="4" w:space="0"/>
            </w:tcBorders>
            <w:vAlign w:val="center"/>
          </w:tcPr>
          <w:p>
            <w:pPr>
              <w:tabs>
                <w:tab w:val="left" w:pos="0"/>
              </w:tabs>
              <w:spacing w:line="240" w:lineRule="exact"/>
              <w:jc w:val="center"/>
              <w:rPr>
                <w:rFonts w:ascii="仿宋" w:hAnsi="仿宋" w:cs="仿宋"/>
              </w:rPr>
            </w:pPr>
            <w:r>
              <w:rPr>
                <w:rFonts w:hint="eastAsia" w:ascii="仿宋" w:hAnsi="仿宋" w:cs="仿宋"/>
              </w:rPr>
              <w:t>偏离</w:t>
            </w:r>
          </w:p>
          <w:p>
            <w:pPr>
              <w:tabs>
                <w:tab w:val="left" w:pos="0"/>
              </w:tabs>
              <w:spacing w:line="240" w:lineRule="exact"/>
              <w:jc w:val="center"/>
              <w:rPr>
                <w:rFonts w:ascii="仿宋" w:hAnsi="仿宋" w:cs="仿宋"/>
                <w:kern w:val="0"/>
              </w:rPr>
            </w:pPr>
            <w:r>
              <w:rPr>
                <w:rFonts w:hint="eastAsia" w:ascii="仿宋" w:hAnsi="仿宋" w:cs="仿宋"/>
              </w:rPr>
              <w:t>程度</w:t>
            </w:r>
          </w:p>
        </w:tc>
        <w:tc>
          <w:tcPr>
            <w:tcW w:w="960" w:type="dxa"/>
            <w:vMerge w:val="restart"/>
            <w:tcBorders>
              <w:top w:val="single" w:color="auto" w:sz="4" w:space="0"/>
              <w:left w:val="single" w:color="auto" w:sz="4" w:space="0"/>
              <w:right w:val="single" w:color="auto" w:sz="4" w:space="0"/>
            </w:tcBorders>
            <w:vAlign w:val="center"/>
          </w:tcPr>
          <w:p>
            <w:pPr>
              <w:tabs>
                <w:tab w:val="left" w:pos="0"/>
              </w:tabs>
              <w:spacing w:line="240" w:lineRule="exact"/>
              <w:jc w:val="center"/>
              <w:rPr>
                <w:rFonts w:ascii="仿宋" w:hAnsi="仿宋" w:cs="仿宋"/>
              </w:rPr>
            </w:pPr>
            <w:r>
              <w:rPr>
                <w:rFonts w:hint="eastAsia" w:ascii="仿宋" w:hAnsi="仿宋" w:cs="仿宋"/>
              </w:rPr>
              <w:t>偏离</w:t>
            </w:r>
          </w:p>
          <w:p>
            <w:pPr>
              <w:tabs>
                <w:tab w:val="left" w:pos="0"/>
              </w:tabs>
              <w:spacing w:line="240" w:lineRule="exact"/>
              <w:jc w:val="center"/>
              <w:rPr>
                <w:rFonts w:ascii="仿宋" w:hAnsi="仿宋" w:cs="仿宋"/>
                <w:kern w:val="0"/>
              </w:rPr>
            </w:pPr>
            <w:r>
              <w:rPr>
                <w:rFonts w:hint="eastAsia" w:ascii="仿宋" w:hAnsi="仿宋" w:cs="仿宋"/>
              </w:rPr>
              <w:t>说明</w:t>
            </w:r>
          </w:p>
        </w:tc>
        <w:tc>
          <w:tcPr>
            <w:tcW w:w="1001" w:type="dxa"/>
            <w:vMerge w:val="restart"/>
            <w:tcBorders>
              <w:top w:val="single" w:color="auto" w:sz="4" w:space="0"/>
              <w:left w:val="single" w:color="auto" w:sz="4" w:space="0"/>
              <w:right w:val="single" w:color="auto" w:sz="4" w:space="0"/>
            </w:tcBorders>
            <w:vAlign w:val="center"/>
          </w:tcPr>
          <w:p>
            <w:pPr>
              <w:tabs>
                <w:tab w:val="left" w:pos="0"/>
              </w:tabs>
              <w:spacing w:line="240" w:lineRule="exact"/>
              <w:jc w:val="center"/>
              <w:rPr>
                <w:rFonts w:ascii="仿宋" w:hAnsi="仿宋" w:cs="仿宋"/>
              </w:rPr>
            </w:pPr>
            <w:r>
              <w:rPr>
                <w:rFonts w:hint="eastAsia" w:ascii="仿宋" w:hAnsi="仿宋" w:cs="仿宋"/>
              </w:rPr>
              <w:t>证明</w:t>
            </w:r>
          </w:p>
          <w:p>
            <w:pPr>
              <w:tabs>
                <w:tab w:val="left" w:pos="0"/>
              </w:tabs>
              <w:spacing w:line="240" w:lineRule="exact"/>
              <w:jc w:val="center"/>
              <w:rPr>
                <w:rFonts w:ascii="仿宋" w:hAnsi="仿宋" w:cs="仿宋"/>
              </w:rPr>
            </w:pPr>
            <w:r>
              <w:rPr>
                <w:rFonts w:hint="eastAsia" w:ascii="仿宋" w:hAnsi="仿宋" w:cs="仿宋"/>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13" w:type="dxa"/>
            <w:tcBorders>
              <w:top w:val="single" w:color="auto" w:sz="4" w:space="0"/>
              <w:left w:val="single" w:color="auto" w:sz="4" w:space="0"/>
              <w:right w:val="single" w:color="auto" w:sz="4" w:space="0"/>
            </w:tcBorders>
            <w:vAlign w:val="center"/>
          </w:tcPr>
          <w:p>
            <w:pPr>
              <w:jc w:val="center"/>
              <w:rPr>
                <w:rFonts w:ascii="仿宋" w:hAnsi="仿宋" w:cs="仿宋"/>
              </w:rPr>
            </w:pPr>
            <w:r>
              <w:rPr>
                <w:rFonts w:hint="eastAsia" w:ascii="仿宋" w:hAnsi="仿宋" w:cs="仿宋"/>
              </w:rPr>
              <w:t>序号</w:t>
            </w:r>
          </w:p>
        </w:tc>
        <w:tc>
          <w:tcPr>
            <w:tcW w:w="1200" w:type="dxa"/>
            <w:tcBorders>
              <w:top w:val="single" w:color="auto" w:sz="4" w:space="0"/>
              <w:left w:val="single" w:color="auto" w:sz="4" w:space="0"/>
              <w:right w:val="single" w:color="auto" w:sz="4" w:space="0"/>
            </w:tcBorders>
            <w:vAlign w:val="center"/>
          </w:tcPr>
          <w:p>
            <w:pPr>
              <w:widowControl/>
              <w:jc w:val="left"/>
              <w:textAlignment w:val="center"/>
              <w:rPr>
                <w:rFonts w:ascii="仿宋" w:hAnsi="仿宋" w:cs="仿宋"/>
                <w:kern w:val="0"/>
              </w:rPr>
            </w:pPr>
            <w:r>
              <w:rPr>
                <w:rFonts w:hint="eastAsia" w:ascii="仿宋" w:hAnsi="仿宋" w:cs="仿宋"/>
                <w:kern w:val="0"/>
              </w:rPr>
              <w:t>产品名称</w:t>
            </w:r>
          </w:p>
        </w:tc>
        <w:tc>
          <w:tcPr>
            <w:tcW w:w="7260" w:type="dxa"/>
            <w:tcBorders>
              <w:top w:val="single" w:color="auto" w:sz="4" w:space="0"/>
              <w:left w:val="single" w:color="auto" w:sz="4" w:space="0"/>
              <w:right w:val="single" w:color="auto" w:sz="4" w:space="0"/>
            </w:tcBorders>
            <w:vAlign w:val="center"/>
          </w:tcPr>
          <w:p>
            <w:pPr>
              <w:widowControl/>
              <w:jc w:val="left"/>
              <w:textAlignment w:val="center"/>
              <w:rPr>
                <w:rFonts w:ascii="仿宋" w:hAnsi="仿宋" w:cs="仿宋"/>
                <w:kern w:val="0"/>
              </w:rPr>
            </w:pPr>
            <w:r>
              <w:rPr>
                <w:rFonts w:hint="eastAsia" w:ascii="仿宋" w:hAnsi="仿宋" w:cs="仿宋"/>
                <w:kern w:val="0"/>
              </w:rPr>
              <w:t>技术参数</w:t>
            </w:r>
          </w:p>
        </w:tc>
        <w:tc>
          <w:tcPr>
            <w:tcW w:w="1176" w:type="dxa"/>
            <w:tcBorders>
              <w:top w:val="single" w:color="auto" w:sz="4" w:space="0"/>
              <w:left w:val="single" w:color="auto" w:sz="4" w:space="0"/>
              <w:right w:val="single" w:color="auto" w:sz="4" w:space="0"/>
            </w:tcBorders>
            <w:vAlign w:val="center"/>
          </w:tcPr>
          <w:p>
            <w:pPr>
              <w:widowControl/>
              <w:jc w:val="center"/>
              <w:textAlignment w:val="center"/>
              <w:rPr>
                <w:rFonts w:ascii="仿宋" w:hAnsi="仿宋" w:cs="仿宋"/>
                <w:kern w:val="0"/>
              </w:rPr>
            </w:pPr>
            <w:r>
              <w:rPr>
                <w:rFonts w:hint="eastAsia" w:ascii="仿宋" w:hAnsi="仿宋" w:cs="仿宋"/>
                <w:kern w:val="0"/>
              </w:rPr>
              <w:t>数量</w:t>
            </w:r>
          </w:p>
        </w:tc>
        <w:tc>
          <w:tcPr>
            <w:tcW w:w="1515" w:type="dxa"/>
            <w:vMerge w:val="continue"/>
            <w:tcBorders>
              <w:left w:val="single" w:color="auto" w:sz="4" w:space="0"/>
              <w:right w:val="single" w:color="auto" w:sz="4" w:space="0"/>
            </w:tcBorders>
            <w:vAlign w:val="center"/>
          </w:tcPr>
          <w:p>
            <w:pPr>
              <w:jc w:val="center"/>
              <w:rPr>
                <w:rFonts w:ascii="仿宋" w:hAnsi="仿宋" w:cs="仿宋"/>
              </w:rPr>
            </w:pPr>
          </w:p>
        </w:tc>
        <w:tc>
          <w:tcPr>
            <w:tcW w:w="1035" w:type="dxa"/>
            <w:vMerge w:val="continue"/>
            <w:tcBorders>
              <w:left w:val="single" w:color="auto" w:sz="4" w:space="0"/>
              <w:right w:val="single" w:color="auto" w:sz="4" w:space="0"/>
            </w:tcBorders>
            <w:vAlign w:val="center"/>
          </w:tcPr>
          <w:p>
            <w:pPr>
              <w:tabs>
                <w:tab w:val="left" w:pos="0"/>
              </w:tabs>
              <w:spacing w:line="240" w:lineRule="exact"/>
              <w:jc w:val="center"/>
              <w:rPr>
                <w:rFonts w:ascii="仿宋" w:hAnsi="仿宋" w:cs="仿宋"/>
              </w:rPr>
            </w:pPr>
          </w:p>
        </w:tc>
        <w:tc>
          <w:tcPr>
            <w:tcW w:w="960" w:type="dxa"/>
            <w:vMerge w:val="continue"/>
            <w:tcBorders>
              <w:left w:val="single" w:color="auto" w:sz="4" w:space="0"/>
              <w:right w:val="single" w:color="auto" w:sz="4" w:space="0"/>
            </w:tcBorders>
            <w:vAlign w:val="center"/>
          </w:tcPr>
          <w:p>
            <w:pPr>
              <w:tabs>
                <w:tab w:val="left" w:pos="0"/>
              </w:tabs>
              <w:spacing w:line="240" w:lineRule="exact"/>
              <w:jc w:val="center"/>
              <w:rPr>
                <w:rFonts w:ascii="仿宋" w:hAnsi="仿宋" w:cs="仿宋"/>
              </w:rPr>
            </w:pPr>
          </w:p>
        </w:tc>
        <w:tc>
          <w:tcPr>
            <w:tcW w:w="1001" w:type="dxa"/>
            <w:vMerge w:val="continue"/>
            <w:tcBorders>
              <w:left w:val="single" w:color="auto" w:sz="4" w:space="0"/>
              <w:right w:val="single" w:color="auto" w:sz="4" w:space="0"/>
            </w:tcBorders>
            <w:vAlign w:val="center"/>
          </w:tcPr>
          <w:p>
            <w:pPr>
              <w:tabs>
                <w:tab w:val="left" w:pos="0"/>
              </w:tabs>
              <w:spacing w:line="24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color w:val="000000"/>
              </w:rPr>
              <w:t>1</w:t>
            </w:r>
          </w:p>
        </w:tc>
        <w:tc>
          <w:tcPr>
            <w:tcW w:w="1200" w:type="dxa"/>
            <w:tcBorders>
              <w:top w:val="single" w:color="auto" w:sz="4" w:space="0"/>
              <w:left w:val="single" w:color="auto" w:sz="4" w:space="0"/>
              <w:right w:val="single" w:color="auto" w:sz="4" w:space="0"/>
            </w:tcBorders>
            <w:vAlign w:val="center"/>
          </w:tcPr>
          <w:p>
            <w:pPr>
              <w:jc w:val="left"/>
              <w:rPr>
                <w:rFonts w:ascii="宋体" w:hAnsi="宋体" w:eastAsia="宋体" w:cs="宋体"/>
                <w:color w:val="000000"/>
              </w:rPr>
            </w:pPr>
            <w:r>
              <w:rPr>
                <w:rFonts w:hint="eastAsia"/>
                <w:color w:val="000000"/>
              </w:rPr>
              <w:t>下肢外骨骼康复机器人</w:t>
            </w:r>
          </w:p>
        </w:tc>
        <w:tc>
          <w:tcPr>
            <w:tcW w:w="7260" w:type="dxa"/>
            <w:tcBorders>
              <w:top w:val="single" w:color="auto" w:sz="4" w:space="0"/>
              <w:left w:val="single" w:color="auto" w:sz="4" w:space="0"/>
              <w:right w:val="single" w:color="auto" w:sz="4" w:space="0"/>
            </w:tcBorders>
            <w:vAlign w:val="center"/>
          </w:tcPr>
          <w:p>
            <w:pPr>
              <w:jc w:val="left"/>
              <w:rPr>
                <w:rFonts w:hint="eastAsia" w:eastAsia="仿宋"/>
                <w:lang w:eastAsia="zh-CN"/>
              </w:rPr>
            </w:pPr>
            <w:r>
              <w:rPr>
                <w:rFonts w:eastAsia="等线"/>
              </w:rPr>
              <w:t xml:space="preserve">1. </w:t>
            </w:r>
            <w:r>
              <w:rPr>
                <w:rFonts w:hint="eastAsia"/>
              </w:rPr>
              <w:t>设备主机由控制背包、腿部总成、人机交互屏幕、电池、电池充电器组成。</w:t>
            </w:r>
          </w:p>
          <w:p>
            <w:pPr>
              <w:jc w:val="left"/>
              <w:rPr>
                <w:rFonts w:hint="eastAsia" w:eastAsia="仿宋"/>
                <w:lang w:eastAsia="zh-CN"/>
              </w:rPr>
            </w:pPr>
            <w:r>
              <w:rPr>
                <w:rFonts w:eastAsia="等线"/>
              </w:rPr>
              <w:t xml:space="preserve">2. </w:t>
            </w:r>
            <w:r>
              <w:rPr>
                <w:rFonts w:hint="eastAsia"/>
              </w:rPr>
              <w:t>主机背包上带有人机交互屏幕，屏幕上可显示设备电量、日期、时间、患者姓名、训练模式、训练时间等信息。</w:t>
            </w:r>
          </w:p>
          <w:p>
            <w:pPr>
              <w:jc w:val="left"/>
              <w:rPr>
                <w:rFonts w:hint="eastAsia" w:eastAsia="仿宋"/>
                <w:lang w:eastAsia="zh-CN"/>
              </w:rPr>
            </w:pPr>
            <w:r>
              <w:rPr>
                <w:rFonts w:eastAsia="等线"/>
              </w:rPr>
              <w:t xml:space="preserve">3. </w:t>
            </w:r>
            <w:r>
              <w:rPr>
                <w:rFonts w:hint="eastAsia"/>
              </w:rPr>
              <w:t>设备有开机自检功能。</w:t>
            </w:r>
          </w:p>
          <w:p>
            <w:pPr>
              <w:jc w:val="left"/>
              <w:rPr>
                <w:rFonts w:hint="eastAsia" w:eastAsia="仿宋"/>
                <w:lang w:eastAsia="zh-CN"/>
              </w:rPr>
            </w:pPr>
            <w:r>
              <w:rPr>
                <w:rFonts w:eastAsia="等线"/>
              </w:rPr>
              <w:t xml:space="preserve">4. </w:t>
            </w:r>
            <w:r>
              <w:rPr>
                <w:rFonts w:hint="eastAsia"/>
              </w:rPr>
              <w:t>用户再次使用设备，登录后设备大腿、小腿长度会按照用户初次使用的数据自适应调节，无需再次手动调节。</w:t>
            </w:r>
          </w:p>
          <w:p>
            <w:pPr>
              <w:jc w:val="left"/>
              <w:rPr>
                <w:rFonts w:hint="eastAsia" w:eastAsia="仿宋"/>
                <w:lang w:eastAsia="zh-CN"/>
              </w:rPr>
            </w:pPr>
            <w:r>
              <w:rPr>
                <w:rFonts w:eastAsia="等线"/>
              </w:rPr>
              <w:t xml:space="preserve">5. </w:t>
            </w:r>
            <w:r>
              <w:rPr>
                <w:rFonts w:hint="eastAsia"/>
              </w:rPr>
              <w:t>设备配有可充电锂电池。</w:t>
            </w:r>
          </w:p>
          <w:p>
            <w:pPr>
              <w:jc w:val="left"/>
              <w:rPr>
                <w:rFonts w:hint="eastAsia" w:eastAsia="仿宋"/>
                <w:lang w:eastAsia="zh-CN"/>
              </w:rPr>
            </w:pPr>
            <w:r>
              <w:rPr>
                <w:rFonts w:eastAsia="等线"/>
              </w:rPr>
              <w:t xml:space="preserve">6. </w:t>
            </w:r>
            <w:r>
              <w:rPr>
                <w:rFonts w:hint="eastAsia"/>
              </w:rPr>
              <w:t>电池可从设备主机上手动分离，电量不足可随时更换。</w:t>
            </w:r>
          </w:p>
          <w:p>
            <w:pPr>
              <w:jc w:val="left"/>
              <w:rPr>
                <w:rFonts w:hint="eastAsia" w:eastAsia="仿宋"/>
                <w:lang w:eastAsia="zh-CN"/>
              </w:rPr>
            </w:pPr>
            <w:r>
              <w:rPr>
                <w:rFonts w:eastAsia="等线"/>
              </w:rPr>
              <w:t xml:space="preserve">7. </w:t>
            </w:r>
            <w:r>
              <w:rPr>
                <w:rFonts w:hint="eastAsia"/>
              </w:rPr>
              <w:t>电池电量提醒功能：当电量低于</w:t>
            </w:r>
            <w:r>
              <w:rPr>
                <w:rFonts w:eastAsia="等线"/>
              </w:rPr>
              <w:t>50%</w:t>
            </w:r>
            <w:r>
              <w:rPr>
                <w:rFonts w:hint="eastAsia"/>
              </w:rPr>
              <w:t>时有语音提醒；当电量低于</w:t>
            </w:r>
            <w:r>
              <w:rPr>
                <w:rFonts w:eastAsia="等线"/>
              </w:rPr>
              <w:t>20%</w:t>
            </w:r>
            <w:r>
              <w:rPr>
                <w:rFonts w:hint="eastAsia"/>
              </w:rPr>
              <w:t>时有语音和视觉提醒。</w:t>
            </w:r>
          </w:p>
          <w:p>
            <w:pPr>
              <w:jc w:val="left"/>
              <w:rPr>
                <w:rFonts w:hint="eastAsia" w:eastAsia="仿宋"/>
                <w:lang w:eastAsia="zh-CN"/>
              </w:rPr>
            </w:pPr>
            <w:r>
              <w:rPr>
                <w:rFonts w:eastAsia="等线"/>
              </w:rPr>
              <w:t xml:space="preserve">8. </w:t>
            </w:r>
            <w:r>
              <w:rPr>
                <w:rFonts w:hint="eastAsia"/>
              </w:rPr>
              <w:t>医生登录：屏幕提示医生登录时，需要医生刷卡或扫码登陆。登陆成功，屏幕显示当前医生姓名，设备背包电量等信息。</w:t>
            </w:r>
          </w:p>
          <w:p>
            <w:pPr>
              <w:jc w:val="left"/>
              <w:rPr>
                <w:rFonts w:hint="eastAsia" w:eastAsia="仿宋"/>
                <w:lang w:eastAsia="zh-CN"/>
              </w:rPr>
            </w:pPr>
            <w:r>
              <w:rPr>
                <w:rFonts w:eastAsia="等线"/>
              </w:rPr>
              <w:t xml:space="preserve">9. </w:t>
            </w:r>
            <w:r>
              <w:rPr>
                <w:rFonts w:hint="eastAsia"/>
              </w:rPr>
              <w:t>患者登录：屏幕提示患者登录时，需要患者刷卡或扫码登陆。登陆成功，屏幕显示对应用户的个人信息，如姓名、大小腿长度等。</w:t>
            </w:r>
          </w:p>
          <w:p>
            <w:pPr>
              <w:jc w:val="left"/>
              <w:rPr>
                <w:rFonts w:hint="eastAsia" w:eastAsia="仿宋"/>
                <w:lang w:eastAsia="zh-CN"/>
              </w:rPr>
            </w:pPr>
            <w:r>
              <w:rPr>
                <w:rFonts w:eastAsia="等线"/>
              </w:rPr>
              <w:t xml:space="preserve">10. </w:t>
            </w:r>
            <w:r>
              <w:rPr>
                <w:rFonts w:hint="eastAsia"/>
              </w:rPr>
              <w:t>主机内存不小于</w:t>
            </w:r>
            <w:r>
              <w:rPr>
                <w:rFonts w:eastAsia="等线"/>
              </w:rPr>
              <w:t>8GB</w:t>
            </w:r>
            <w:r>
              <w:rPr>
                <w:rFonts w:hint="eastAsia"/>
              </w:rPr>
              <w:t>。</w:t>
            </w:r>
          </w:p>
          <w:p>
            <w:pPr>
              <w:jc w:val="left"/>
              <w:rPr>
                <w:rFonts w:hint="eastAsia" w:eastAsia="仿宋"/>
                <w:lang w:eastAsia="zh-CN"/>
              </w:rPr>
            </w:pPr>
            <w:r>
              <w:rPr>
                <w:rFonts w:eastAsia="等线"/>
              </w:rPr>
              <w:t xml:space="preserve">11. </w:t>
            </w:r>
            <w:r>
              <w:rPr>
                <w:rFonts w:hint="eastAsia"/>
              </w:rPr>
              <w:t>设备可活动关节不少于</w:t>
            </w:r>
            <w:r>
              <w:rPr>
                <w:rFonts w:eastAsia="等线"/>
              </w:rPr>
              <w:t>6</w:t>
            </w:r>
            <w:r>
              <w:rPr>
                <w:rFonts w:hint="eastAsia"/>
              </w:rPr>
              <w:t>个，带独立电机关节不少于</w:t>
            </w:r>
            <w:r>
              <w:rPr>
                <w:rFonts w:eastAsia="等线"/>
              </w:rPr>
              <w:t>4</w:t>
            </w:r>
            <w:r>
              <w:rPr>
                <w:rFonts w:hint="eastAsia"/>
              </w:rPr>
              <w:t>个。</w:t>
            </w:r>
          </w:p>
          <w:p>
            <w:pPr>
              <w:jc w:val="left"/>
              <w:rPr>
                <w:rFonts w:hint="eastAsia" w:eastAsia="仿宋"/>
                <w:lang w:eastAsia="zh-CN"/>
              </w:rPr>
            </w:pPr>
            <w:r>
              <w:rPr>
                <w:rFonts w:eastAsia="等线"/>
              </w:rPr>
              <w:t xml:space="preserve">12. </w:t>
            </w:r>
            <w:r>
              <w:rPr>
                <w:rFonts w:hint="eastAsia"/>
              </w:rPr>
              <w:t>设备各关节机械运行角度可电动调节，髋关节机械转运角度不小于</w:t>
            </w:r>
            <w:r>
              <w:rPr>
                <w:rFonts w:eastAsia="等线"/>
              </w:rPr>
              <w:t>148°</w:t>
            </w:r>
            <w:r>
              <w:rPr>
                <w:rFonts w:hint="eastAsia"/>
              </w:rPr>
              <w:t>；膝关节机械转运角度不小于</w:t>
            </w:r>
            <w:r>
              <w:rPr>
                <w:rFonts w:eastAsia="等线"/>
              </w:rPr>
              <w:t>108°</w:t>
            </w:r>
            <w:r>
              <w:rPr>
                <w:rFonts w:hint="eastAsia"/>
              </w:rPr>
              <w:t>；踝关节机械转运角度不小于</w:t>
            </w:r>
            <w:r>
              <w:rPr>
                <w:rFonts w:eastAsia="等线"/>
              </w:rPr>
              <w:t>19°</w:t>
            </w:r>
            <w:r>
              <w:rPr>
                <w:rFonts w:hint="eastAsia"/>
              </w:rPr>
              <w:t>。</w:t>
            </w:r>
          </w:p>
          <w:p>
            <w:pPr>
              <w:jc w:val="left"/>
              <w:rPr>
                <w:rFonts w:hint="eastAsia" w:eastAsia="仿宋"/>
                <w:lang w:eastAsia="zh-CN"/>
              </w:rPr>
            </w:pPr>
            <w:r>
              <w:rPr>
                <w:rFonts w:eastAsia="等线"/>
              </w:rPr>
              <w:t xml:space="preserve">13. </w:t>
            </w:r>
            <w:r>
              <w:rPr>
                <w:rFonts w:hint="eastAsia"/>
              </w:rPr>
              <w:t>设备大腿和小腿长度可通过人机交互屏幕触屏操作电动调节。</w:t>
            </w:r>
          </w:p>
          <w:p>
            <w:pPr>
              <w:jc w:val="left"/>
              <w:rPr>
                <w:rFonts w:hint="eastAsia" w:eastAsia="等线"/>
                <w:lang w:eastAsia="zh-CN"/>
              </w:rPr>
            </w:pPr>
            <w:r>
              <w:rPr>
                <w:rFonts w:eastAsia="等线"/>
              </w:rPr>
              <w:t xml:space="preserve">14. </w:t>
            </w:r>
            <w:r>
              <w:rPr>
                <w:rFonts w:hint="eastAsia"/>
              </w:rPr>
              <w:t>设备大腿可调长度不少于</w:t>
            </w:r>
            <w:r>
              <w:rPr>
                <w:rFonts w:eastAsia="等线"/>
              </w:rPr>
              <w:t>128mm</w:t>
            </w:r>
            <w:r>
              <w:rPr>
                <w:rFonts w:hint="eastAsia"/>
              </w:rPr>
              <w:t>；小腿可调长度不少于</w:t>
            </w:r>
            <w:r>
              <w:rPr>
                <w:rFonts w:eastAsia="等线"/>
              </w:rPr>
              <w:t>128mm</w:t>
            </w:r>
          </w:p>
          <w:p>
            <w:pPr>
              <w:jc w:val="left"/>
              <w:rPr>
                <w:rFonts w:hint="eastAsia" w:eastAsia="仿宋"/>
                <w:lang w:eastAsia="zh-CN"/>
              </w:rPr>
            </w:pPr>
            <w:r>
              <w:rPr>
                <w:rFonts w:eastAsia="等线"/>
              </w:rPr>
              <w:t xml:space="preserve">15. </w:t>
            </w:r>
            <w:r>
              <w:rPr>
                <w:rFonts w:hint="eastAsia"/>
              </w:rPr>
              <w:t>设备胯部宽度可调节范围不小于</w:t>
            </w:r>
            <w:r>
              <w:rPr>
                <w:rFonts w:eastAsia="等线"/>
              </w:rPr>
              <w:t>110mm</w:t>
            </w:r>
            <w:r>
              <w:rPr>
                <w:rFonts w:hint="eastAsia"/>
              </w:rPr>
              <w:t>。</w:t>
            </w:r>
          </w:p>
          <w:p>
            <w:pPr>
              <w:jc w:val="left"/>
              <w:rPr>
                <w:rFonts w:hint="eastAsia" w:eastAsia="仿宋"/>
                <w:lang w:eastAsia="zh-CN"/>
              </w:rPr>
            </w:pPr>
            <w:r>
              <w:rPr>
                <w:rFonts w:eastAsia="等线"/>
              </w:rPr>
              <w:t xml:space="preserve">16. </w:t>
            </w:r>
            <w:r>
              <w:rPr>
                <w:rFonts w:hint="eastAsia"/>
              </w:rPr>
              <w:t>电池容量不少于</w:t>
            </w:r>
            <w:r>
              <w:rPr>
                <w:rFonts w:eastAsia="等线"/>
              </w:rPr>
              <w:t>6Ah</w:t>
            </w:r>
            <w:r>
              <w:rPr>
                <w:rFonts w:hint="eastAsia"/>
              </w:rPr>
              <w:t>，电池充电时间小于</w:t>
            </w:r>
            <w:r>
              <w:rPr>
                <w:rFonts w:eastAsia="等线"/>
              </w:rPr>
              <w:t>4</w:t>
            </w:r>
            <w:r>
              <w:rPr>
                <w:rFonts w:hint="eastAsia"/>
              </w:rPr>
              <w:t>小时。</w:t>
            </w:r>
          </w:p>
          <w:p>
            <w:pPr>
              <w:jc w:val="left"/>
              <w:rPr>
                <w:rFonts w:eastAsia="等线"/>
              </w:rPr>
            </w:pPr>
            <w:r>
              <w:rPr>
                <w:rFonts w:eastAsia="等线"/>
              </w:rPr>
              <w:t xml:space="preserve">17. </w:t>
            </w:r>
            <w:r>
              <w:rPr>
                <w:rFonts w:hint="eastAsia"/>
              </w:rPr>
              <w:t>正常工作时，噪声小于</w:t>
            </w:r>
            <w:r>
              <w:rPr>
                <w:rFonts w:eastAsia="等线"/>
              </w:rPr>
              <w:t>60dB</w:t>
            </w:r>
            <w:r>
              <w:rPr>
                <w:rFonts w:hint="eastAsia"/>
              </w:rPr>
              <w:t>。</w:t>
            </w:r>
          </w:p>
        </w:tc>
        <w:tc>
          <w:tcPr>
            <w:tcW w:w="1176" w:type="dxa"/>
            <w:tcBorders>
              <w:top w:val="single" w:color="auto" w:sz="4" w:space="0"/>
              <w:left w:val="single" w:color="auto" w:sz="4" w:space="0"/>
              <w:right w:val="single" w:color="auto" w:sz="4" w:space="0"/>
            </w:tcBorders>
            <w:vAlign w:val="center"/>
          </w:tcPr>
          <w:p>
            <w:pPr>
              <w:jc w:val="left"/>
              <w:rPr>
                <w:rFonts w:eastAsia="等线"/>
                <w:color w:val="FF0000"/>
              </w:rPr>
            </w:pPr>
            <w:r>
              <w:rPr>
                <w:rFonts w:eastAsia="等线"/>
                <w:color w:val="FF0000"/>
              </w:rPr>
              <w:t>1</w:t>
            </w:r>
          </w:p>
        </w:tc>
        <w:tc>
          <w:tcPr>
            <w:tcW w:w="1515" w:type="dxa"/>
            <w:tcBorders>
              <w:top w:val="single" w:color="auto" w:sz="4" w:space="0"/>
              <w:left w:val="single" w:color="auto" w:sz="4" w:space="0"/>
              <w:right w:val="single" w:color="auto" w:sz="4" w:space="0"/>
            </w:tcBorders>
            <w:vAlign w:val="center"/>
          </w:tcPr>
          <w:p>
            <w:pPr>
              <w:jc w:val="left"/>
              <w:rPr>
                <w:rFonts w:ascii="仿宋" w:hAnsi="仿宋" w:cs="仿宋"/>
              </w:rPr>
            </w:pPr>
          </w:p>
        </w:tc>
        <w:tc>
          <w:tcPr>
            <w:tcW w:w="1035" w:type="dxa"/>
            <w:tcBorders>
              <w:top w:val="single" w:color="auto" w:sz="4" w:space="0"/>
              <w:left w:val="single" w:color="auto" w:sz="4" w:space="0"/>
              <w:right w:val="single" w:color="auto" w:sz="4" w:space="0"/>
            </w:tcBorders>
            <w:vAlign w:val="center"/>
          </w:tcPr>
          <w:p>
            <w:pPr>
              <w:tabs>
                <w:tab w:val="left" w:pos="0"/>
              </w:tabs>
              <w:spacing w:line="240" w:lineRule="exact"/>
              <w:jc w:val="left"/>
              <w:rPr>
                <w:rFonts w:ascii="仿宋" w:hAnsi="仿宋" w:cs="仿宋"/>
              </w:rPr>
            </w:pPr>
          </w:p>
        </w:tc>
        <w:tc>
          <w:tcPr>
            <w:tcW w:w="960" w:type="dxa"/>
            <w:tcBorders>
              <w:top w:val="single" w:color="auto" w:sz="4" w:space="0"/>
              <w:left w:val="single" w:color="auto" w:sz="4" w:space="0"/>
              <w:right w:val="single" w:color="auto" w:sz="4" w:space="0"/>
            </w:tcBorders>
            <w:vAlign w:val="center"/>
          </w:tcPr>
          <w:p>
            <w:pPr>
              <w:tabs>
                <w:tab w:val="left" w:pos="0"/>
              </w:tabs>
              <w:spacing w:line="240" w:lineRule="exact"/>
              <w:jc w:val="left"/>
              <w:rPr>
                <w:rFonts w:ascii="仿宋" w:hAnsi="仿宋" w:cs="仿宋"/>
              </w:rPr>
            </w:pPr>
          </w:p>
        </w:tc>
        <w:tc>
          <w:tcPr>
            <w:tcW w:w="1001" w:type="dxa"/>
            <w:tcBorders>
              <w:top w:val="single" w:color="auto" w:sz="4" w:space="0"/>
              <w:left w:val="single" w:color="auto" w:sz="4" w:space="0"/>
              <w:right w:val="single" w:color="auto" w:sz="4" w:space="0"/>
            </w:tcBorders>
            <w:vAlign w:val="center"/>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color w:val="000000"/>
              </w:rPr>
            </w:pPr>
            <w:r>
              <w:rPr>
                <w:rFonts w:hint="eastAsia" w:ascii="宋体" w:hAnsi="宋体" w:eastAsia="宋体" w:cs="宋体"/>
                <w:color w:val="000000"/>
              </w:rPr>
              <w:t>2</w:t>
            </w:r>
          </w:p>
        </w:tc>
        <w:tc>
          <w:tcPr>
            <w:tcW w:w="1200" w:type="dxa"/>
            <w:vAlign w:val="center"/>
          </w:tcPr>
          <w:p>
            <w:pPr>
              <w:jc w:val="left"/>
              <w:rPr>
                <w:rFonts w:ascii="宋体" w:hAnsi="宋体" w:eastAsia="宋体" w:cs="宋体"/>
                <w:color w:val="000000"/>
              </w:rPr>
            </w:pPr>
            <w:r>
              <w:rPr>
                <w:rFonts w:hint="eastAsia"/>
                <w:color w:val="000000"/>
              </w:rPr>
              <w:t>下肢坐卧式康复训练器</w:t>
            </w:r>
          </w:p>
        </w:tc>
        <w:tc>
          <w:tcPr>
            <w:tcW w:w="7260" w:type="dxa"/>
            <w:vAlign w:val="center"/>
          </w:tcPr>
          <w:p>
            <w:pPr>
              <w:jc w:val="left"/>
              <w:rPr>
                <w:rFonts w:hint="eastAsia" w:eastAsia="仿宋"/>
                <w:lang w:eastAsia="zh-CN"/>
              </w:rPr>
            </w:pPr>
            <w:r>
              <w:rPr>
                <w:rFonts w:eastAsia="等线"/>
              </w:rPr>
              <w:t xml:space="preserve">1. </w:t>
            </w:r>
            <w:r>
              <w:rPr>
                <w:rFonts w:hint="eastAsia"/>
              </w:rPr>
              <w:t>髋关节运行角度范围：</w:t>
            </w:r>
            <w:r>
              <w:rPr>
                <w:rFonts w:eastAsia="等线"/>
              </w:rPr>
              <w:t>0°</w:t>
            </w:r>
            <w:r>
              <w:rPr>
                <w:rFonts w:hint="eastAsia"/>
              </w:rPr>
              <w:t>～</w:t>
            </w:r>
            <w:r>
              <w:rPr>
                <w:rFonts w:eastAsia="等线"/>
              </w:rPr>
              <w:t>100°</w:t>
            </w:r>
            <w:r>
              <w:rPr>
                <w:rFonts w:hint="eastAsia"/>
              </w:rPr>
              <w:t>。</w:t>
            </w:r>
          </w:p>
          <w:p>
            <w:pPr>
              <w:jc w:val="left"/>
              <w:rPr>
                <w:rFonts w:hint="eastAsia" w:eastAsia="仿宋"/>
                <w:lang w:eastAsia="zh-CN"/>
              </w:rPr>
            </w:pPr>
            <w:r>
              <w:rPr>
                <w:rFonts w:eastAsia="等线"/>
              </w:rPr>
              <w:t xml:space="preserve">2. </w:t>
            </w:r>
            <w:r>
              <w:rPr>
                <w:rFonts w:hint="eastAsia"/>
              </w:rPr>
              <w:t>膝关节运行角度范围：</w:t>
            </w:r>
            <w:r>
              <w:rPr>
                <w:rFonts w:eastAsia="等线"/>
              </w:rPr>
              <w:t>0°</w:t>
            </w:r>
            <w:r>
              <w:rPr>
                <w:rFonts w:hint="eastAsia"/>
              </w:rPr>
              <w:t>～</w:t>
            </w:r>
            <w:r>
              <w:rPr>
                <w:rFonts w:eastAsia="等线"/>
              </w:rPr>
              <w:t xml:space="preserve">130° </w:t>
            </w:r>
            <w:r>
              <w:rPr>
                <w:rFonts w:hint="eastAsia"/>
              </w:rPr>
              <w:t>。</w:t>
            </w:r>
          </w:p>
          <w:p>
            <w:pPr>
              <w:jc w:val="left"/>
              <w:rPr>
                <w:rFonts w:hint="eastAsia" w:eastAsia="仿宋"/>
                <w:lang w:eastAsia="zh-CN"/>
              </w:rPr>
            </w:pPr>
            <w:r>
              <w:rPr>
                <w:rFonts w:eastAsia="等线"/>
              </w:rPr>
              <w:t xml:space="preserve">3. </w:t>
            </w:r>
            <w:r>
              <w:rPr>
                <w:rFonts w:hint="eastAsia"/>
              </w:rPr>
              <w:t>踝关节运行角度：背屈</w:t>
            </w:r>
            <w:r>
              <w:rPr>
                <w:rFonts w:eastAsia="等线"/>
              </w:rPr>
              <w:t>30°</w:t>
            </w:r>
            <w:r>
              <w:rPr>
                <w:rFonts w:hint="eastAsia"/>
              </w:rPr>
              <w:t>～底屈</w:t>
            </w:r>
            <w:r>
              <w:rPr>
                <w:rFonts w:eastAsia="等线"/>
              </w:rPr>
              <w:t>45°</w:t>
            </w:r>
            <w:r>
              <w:rPr>
                <w:rFonts w:hint="eastAsia"/>
              </w:rPr>
              <w:t>。</w:t>
            </w:r>
          </w:p>
          <w:p>
            <w:pPr>
              <w:jc w:val="left"/>
              <w:rPr>
                <w:rFonts w:hint="eastAsia" w:eastAsia="仿宋"/>
                <w:lang w:eastAsia="zh-CN"/>
              </w:rPr>
            </w:pPr>
            <w:r>
              <w:rPr>
                <w:rFonts w:eastAsia="等线"/>
              </w:rPr>
              <w:t xml:space="preserve">4. </w:t>
            </w:r>
            <w:r>
              <w:rPr>
                <w:rFonts w:hint="eastAsia"/>
              </w:rPr>
              <w:t>膝关节最大运行角速度：</w:t>
            </w:r>
            <w:r>
              <w:rPr>
                <w:rFonts w:eastAsia="等线"/>
              </w:rPr>
              <w:t>60°/s</w:t>
            </w:r>
            <w:r>
              <w:rPr>
                <w:rFonts w:hint="eastAsia"/>
              </w:rPr>
              <w:t>。</w:t>
            </w:r>
          </w:p>
          <w:p>
            <w:pPr>
              <w:jc w:val="left"/>
              <w:rPr>
                <w:rFonts w:hint="eastAsia" w:eastAsia="仿宋"/>
                <w:lang w:eastAsia="zh-CN"/>
              </w:rPr>
            </w:pPr>
            <w:r>
              <w:rPr>
                <w:rFonts w:eastAsia="等线"/>
              </w:rPr>
              <w:t xml:space="preserve">5. </w:t>
            </w:r>
            <w:r>
              <w:rPr>
                <w:rFonts w:hint="eastAsia"/>
              </w:rPr>
              <w:t>髋关节最大运行角速度：</w:t>
            </w:r>
            <w:r>
              <w:rPr>
                <w:rFonts w:eastAsia="等线"/>
              </w:rPr>
              <w:t>15°/s</w:t>
            </w:r>
            <w:r>
              <w:rPr>
                <w:rFonts w:hint="eastAsia"/>
              </w:rPr>
              <w:t>。</w:t>
            </w:r>
          </w:p>
          <w:p>
            <w:pPr>
              <w:jc w:val="left"/>
              <w:rPr>
                <w:rFonts w:hint="eastAsia" w:eastAsia="仿宋"/>
                <w:lang w:eastAsia="zh-CN"/>
              </w:rPr>
            </w:pPr>
            <w:r>
              <w:rPr>
                <w:rFonts w:eastAsia="等线"/>
              </w:rPr>
              <w:t xml:space="preserve">6. </w:t>
            </w:r>
            <w:r>
              <w:rPr>
                <w:rFonts w:hint="eastAsia"/>
              </w:rPr>
              <w:t>大腿腿长可调范围最大长度：</w:t>
            </w:r>
            <w:r>
              <w:rPr>
                <w:rFonts w:eastAsia="等线"/>
              </w:rPr>
              <w:t>105mm</w:t>
            </w:r>
            <w:r>
              <w:rPr>
                <w:rFonts w:hint="eastAsia"/>
              </w:rPr>
              <w:t>。</w:t>
            </w:r>
          </w:p>
          <w:p>
            <w:pPr>
              <w:jc w:val="left"/>
              <w:rPr>
                <w:rFonts w:hint="eastAsia" w:eastAsia="仿宋"/>
                <w:lang w:eastAsia="zh-CN"/>
              </w:rPr>
            </w:pPr>
            <w:r>
              <w:rPr>
                <w:rFonts w:eastAsia="等线"/>
              </w:rPr>
              <w:t xml:space="preserve">7. </w:t>
            </w:r>
            <w:r>
              <w:rPr>
                <w:rFonts w:hint="eastAsia"/>
              </w:rPr>
              <w:t>小腿腿长可调范围最大长度：</w:t>
            </w:r>
            <w:r>
              <w:rPr>
                <w:rFonts w:eastAsia="等线"/>
              </w:rPr>
              <w:t>155mm</w:t>
            </w:r>
            <w:r>
              <w:rPr>
                <w:rFonts w:hint="eastAsia"/>
              </w:rPr>
              <w:t>。</w:t>
            </w:r>
          </w:p>
          <w:p>
            <w:pPr>
              <w:jc w:val="left"/>
              <w:rPr>
                <w:rFonts w:hint="eastAsia" w:eastAsia="仿宋"/>
                <w:lang w:eastAsia="zh-CN"/>
              </w:rPr>
            </w:pPr>
            <w:r>
              <w:rPr>
                <w:rFonts w:eastAsia="等线"/>
              </w:rPr>
              <w:t xml:space="preserve">8. </w:t>
            </w:r>
            <w:r>
              <w:rPr>
                <w:rFonts w:hint="eastAsia"/>
              </w:rPr>
              <w:t>设备高度可调范围最大长度：</w:t>
            </w:r>
            <w:r>
              <w:rPr>
                <w:rFonts w:eastAsia="等线"/>
              </w:rPr>
              <w:t>300mm</w:t>
            </w:r>
            <w:r>
              <w:rPr>
                <w:rFonts w:hint="eastAsia"/>
              </w:rPr>
              <w:t>。</w:t>
            </w:r>
          </w:p>
          <w:p>
            <w:pPr>
              <w:jc w:val="left"/>
              <w:rPr>
                <w:rFonts w:hint="eastAsia" w:eastAsia="仿宋"/>
                <w:lang w:eastAsia="zh-CN"/>
              </w:rPr>
            </w:pPr>
            <w:r>
              <w:rPr>
                <w:rFonts w:eastAsia="等线"/>
              </w:rPr>
              <w:t xml:space="preserve">9. </w:t>
            </w:r>
            <w:r>
              <w:rPr>
                <w:rFonts w:hint="eastAsia"/>
              </w:rPr>
              <w:t>设备配有遥控手柄，能控制设备的启动、停止。</w:t>
            </w:r>
          </w:p>
          <w:p>
            <w:pPr>
              <w:jc w:val="left"/>
              <w:rPr>
                <w:rFonts w:hint="eastAsia" w:eastAsia="仿宋"/>
                <w:lang w:eastAsia="zh-CN"/>
              </w:rPr>
            </w:pPr>
            <w:r>
              <w:rPr>
                <w:rFonts w:eastAsia="等线"/>
              </w:rPr>
              <w:t xml:space="preserve">10. </w:t>
            </w:r>
            <w:r>
              <w:rPr>
                <w:rFonts w:hint="eastAsia"/>
              </w:rPr>
              <w:t>可通过屏幕设置界面调节下肢坐卧式康复训练器的大腿长、小腿长。</w:t>
            </w:r>
          </w:p>
          <w:p>
            <w:pPr>
              <w:jc w:val="left"/>
              <w:rPr>
                <w:rFonts w:hint="eastAsia" w:eastAsia="仿宋"/>
                <w:lang w:eastAsia="zh-CN"/>
              </w:rPr>
            </w:pPr>
            <w:r>
              <w:rPr>
                <w:rFonts w:eastAsia="等线"/>
              </w:rPr>
              <w:t>11. 5</w:t>
            </w:r>
            <w:r>
              <w:rPr>
                <w:rFonts w:hint="eastAsia"/>
              </w:rPr>
              <w:t>种训练模式：关节活动度训练，等速肌力训练，示教训练，卧式步态训练，主被动训练。</w:t>
            </w:r>
          </w:p>
          <w:p>
            <w:pPr>
              <w:jc w:val="left"/>
              <w:rPr>
                <w:rFonts w:hint="eastAsia" w:eastAsia="仿宋"/>
                <w:lang w:eastAsia="zh-CN"/>
              </w:rPr>
            </w:pPr>
            <w:r>
              <w:rPr>
                <w:rFonts w:eastAsia="等线"/>
              </w:rPr>
              <w:t xml:space="preserve">12. </w:t>
            </w:r>
            <w:r>
              <w:rPr>
                <w:rFonts w:hint="eastAsia"/>
              </w:rPr>
              <w:t>腿部可展开，可折叠收拢。</w:t>
            </w:r>
          </w:p>
          <w:p>
            <w:pPr>
              <w:jc w:val="left"/>
              <w:rPr>
                <w:rFonts w:hint="eastAsia" w:eastAsia="仿宋"/>
                <w:lang w:eastAsia="zh-CN"/>
              </w:rPr>
            </w:pPr>
            <w:r>
              <w:rPr>
                <w:rFonts w:eastAsia="等线"/>
              </w:rPr>
              <w:t xml:space="preserve">13. </w:t>
            </w:r>
            <w:r>
              <w:rPr>
                <w:rFonts w:hint="eastAsia"/>
              </w:rPr>
              <w:t>定时功能，可设置治疗时间为</w:t>
            </w:r>
            <w:r>
              <w:rPr>
                <w:rFonts w:eastAsia="等线"/>
              </w:rPr>
              <w:t>0-120min</w:t>
            </w:r>
            <w:r>
              <w:rPr>
                <w:rFonts w:hint="eastAsia"/>
              </w:rPr>
              <w:t>。</w:t>
            </w:r>
          </w:p>
          <w:p>
            <w:pPr>
              <w:jc w:val="left"/>
              <w:rPr>
                <w:rFonts w:hint="eastAsia" w:eastAsia="仿宋"/>
                <w:lang w:eastAsia="zh-CN"/>
              </w:rPr>
            </w:pPr>
            <w:r>
              <w:rPr>
                <w:rFonts w:eastAsia="等线"/>
              </w:rPr>
              <w:t xml:space="preserve">14. </w:t>
            </w:r>
            <w:r>
              <w:rPr>
                <w:rFonts w:hint="eastAsia"/>
              </w:rPr>
              <w:t>急停功能，在设备执行治疗功能运动时按下主机急停按钮后设备停止在当前位置。</w:t>
            </w:r>
          </w:p>
          <w:p>
            <w:pPr>
              <w:jc w:val="left"/>
              <w:rPr>
                <w:rFonts w:hint="eastAsia" w:eastAsia="仿宋"/>
                <w:lang w:eastAsia="zh-CN"/>
              </w:rPr>
            </w:pPr>
            <w:r>
              <w:rPr>
                <w:rFonts w:eastAsia="等线"/>
              </w:rPr>
              <w:t xml:space="preserve">15. </w:t>
            </w:r>
            <w:r>
              <w:rPr>
                <w:rFonts w:hint="eastAsia"/>
              </w:rPr>
              <w:t>电量提醒功能，当主机电量低于</w:t>
            </w:r>
            <w:r>
              <w:rPr>
                <w:rFonts w:eastAsia="等线"/>
              </w:rPr>
              <w:t>50%</w:t>
            </w:r>
            <w:r>
              <w:rPr>
                <w:rFonts w:hint="eastAsia"/>
              </w:rPr>
              <w:t>时有声音提醒；主机电量低于</w:t>
            </w:r>
            <w:r>
              <w:rPr>
                <w:rFonts w:eastAsia="等线"/>
              </w:rPr>
              <w:t>20%</w:t>
            </w:r>
            <w:r>
              <w:rPr>
                <w:rFonts w:hint="eastAsia"/>
              </w:rPr>
              <w:t>时有语音和视觉提醒。</w:t>
            </w:r>
          </w:p>
          <w:p>
            <w:pPr>
              <w:jc w:val="left"/>
              <w:rPr>
                <w:rFonts w:hint="eastAsia" w:eastAsia="仿宋"/>
                <w:lang w:eastAsia="zh-CN"/>
              </w:rPr>
            </w:pPr>
            <w:r>
              <w:rPr>
                <w:rFonts w:eastAsia="等线"/>
              </w:rPr>
              <w:t xml:space="preserve">16. </w:t>
            </w:r>
            <w:r>
              <w:rPr>
                <w:rFonts w:hint="eastAsia"/>
              </w:rPr>
              <w:t>移位提醒功能，检测到主机偏移初始位置时有语音提醒。</w:t>
            </w:r>
          </w:p>
          <w:p>
            <w:pPr>
              <w:jc w:val="left"/>
              <w:rPr>
                <w:rFonts w:hint="eastAsia" w:eastAsia="仿宋"/>
                <w:lang w:eastAsia="zh-CN"/>
              </w:rPr>
            </w:pPr>
            <w:r>
              <w:rPr>
                <w:rFonts w:eastAsia="等线"/>
              </w:rPr>
              <w:t xml:space="preserve">17. </w:t>
            </w:r>
            <w:r>
              <w:rPr>
                <w:rFonts w:hint="eastAsia"/>
              </w:rPr>
              <w:t>断电保护功能，电源中断及恢复通电后，腿部总成应保持在停止时的状态。</w:t>
            </w:r>
          </w:p>
          <w:p>
            <w:pPr>
              <w:jc w:val="left"/>
              <w:rPr>
                <w:rFonts w:hint="eastAsia" w:eastAsia="仿宋"/>
                <w:lang w:eastAsia="zh-CN"/>
              </w:rPr>
            </w:pPr>
            <w:r>
              <w:rPr>
                <w:rFonts w:eastAsia="等线"/>
              </w:rPr>
              <w:t xml:space="preserve">18. </w:t>
            </w:r>
            <w:r>
              <w:rPr>
                <w:rFonts w:hint="eastAsia"/>
              </w:rPr>
              <w:t>痉挛保护功能，设备监测到痉挛发生时，腿部总成应做出减速至停止。</w:t>
            </w:r>
          </w:p>
          <w:p>
            <w:pPr>
              <w:jc w:val="left"/>
              <w:rPr>
                <w:rFonts w:eastAsia="等线"/>
              </w:rPr>
            </w:pPr>
            <w:r>
              <w:rPr>
                <w:rFonts w:eastAsia="等线"/>
              </w:rPr>
              <w:t xml:space="preserve">19. </w:t>
            </w:r>
            <w:r>
              <w:rPr>
                <w:rFonts w:hint="eastAsia"/>
              </w:rPr>
              <w:t>正常工作时，工作噪声不大于</w:t>
            </w:r>
            <w:r>
              <w:rPr>
                <w:rFonts w:eastAsia="等线"/>
              </w:rPr>
              <w:t>60dB</w:t>
            </w:r>
            <w:r>
              <w:rPr>
                <w:rFonts w:hint="eastAsia"/>
              </w:rPr>
              <w:t>（</w:t>
            </w:r>
            <w:r>
              <w:rPr>
                <w:rFonts w:eastAsia="等线"/>
              </w:rPr>
              <w:t>A</w:t>
            </w:r>
            <w:r>
              <w:rPr>
                <w:rFonts w:hint="eastAsia"/>
              </w:rPr>
              <w:t>）。</w:t>
            </w:r>
          </w:p>
        </w:tc>
        <w:tc>
          <w:tcPr>
            <w:tcW w:w="1176" w:type="dxa"/>
            <w:vAlign w:val="center"/>
          </w:tcPr>
          <w:p>
            <w:pPr>
              <w:jc w:val="left"/>
              <w:rPr>
                <w:rFonts w:eastAsia="等线"/>
              </w:rPr>
            </w:pPr>
            <w:r>
              <w:rPr>
                <w:rFonts w:eastAsia="等线"/>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color w:val="000000"/>
              </w:rPr>
            </w:pPr>
            <w:r>
              <w:rPr>
                <w:rFonts w:hint="eastAsia" w:ascii="宋体" w:hAnsi="宋体" w:eastAsia="宋体" w:cs="宋体"/>
                <w:color w:val="000000"/>
              </w:rPr>
              <w:t>3</w:t>
            </w:r>
          </w:p>
        </w:tc>
        <w:tc>
          <w:tcPr>
            <w:tcW w:w="1200" w:type="dxa"/>
            <w:vAlign w:val="center"/>
          </w:tcPr>
          <w:p>
            <w:pPr>
              <w:jc w:val="left"/>
              <w:rPr>
                <w:rFonts w:ascii="宋体" w:hAnsi="宋体" w:eastAsia="宋体" w:cs="宋体"/>
                <w:color w:val="000000"/>
              </w:rPr>
            </w:pPr>
            <w:r>
              <w:rPr>
                <w:rFonts w:hint="eastAsia"/>
                <w:color w:val="000000"/>
              </w:rPr>
              <w:t>电动移位机</w:t>
            </w:r>
          </w:p>
        </w:tc>
        <w:tc>
          <w:tcPr>
            <w:tcW w:w="7260" w:type="dxa"/>
            <w:vAlign w:val="center"/>
          </w:tcPr>
          <w:p>
            <w:pPr>
              <w:jc w:val="left"/>
              <w:rPr>
                <w:rFonts w:hint="eastAsia" w:eastAsia="仿宋"/>
                <w:lang w:eastAsia="zh-CN"/>
              </w:rPr>
            </w:pPr>
            <w:r>
              <w:rPr>
                <w:rFonts w:eastAsia="等线"/>
              </w:rPr>
              <w:t xml:space="preserve">1. </w:t>
            </w:r>
            <w:r>
              <w:rPr>
                <w:rFonts w:hint="eastAsia"/>
              </w:rPr>
              <w:t>设备最大承重不低于</w:t>
            </w:r>
            <w:r>
              <w:rPr>
                <w:rFonts w:eastAsia="等线"/>
              </w:rPr>
              <w:t>100KG</w:t>
            </w:r>
            <w:r>
              <w:rPr>
                <w:rFonts w:hint="eastAsia"/>
              </w:rPr>
              <w:t>。</w:t>
            </w:r>
          </w:p>
          <w:p>
            <w:pPr>
              <w:jc w:val="left"/>
              <w:rPr>
                <w:rFonts w:hint="eastAsia" w:eastAsia="仿宋"/>
                <w:lang w:eastAsia="zh-CN"/>
              </w:rPr>
            </w:pPr>
            <w:r>
              <w:rPr>
                <w:rFonts w:eastAsia="等线"/>
              </w:rPr>
              <w:t xml:space="preserve">2. </w:t>
            </w:r>
            <w:r>
              <w:rPr>
                <w:rFonts w:hint="eastAsia"/>
              </w:rPr>
              <w:t>设备电池容量不低于</w:t>
            </w:r>
            <w:r>
              <w:rPr>
                <w:rFonts w:eastAsia="等线"/>
              </w:rPr>
              <w:t>20Ah</w:t>
            </w:r>
            <w:r>
              <w:rPr>
                <w:rFonts w:hint="eastAsia"/>
              </w:rPr>
              <w:t>。</w:t>
            </w:r>
          </w:p>
          <w:p>
            <w:pPr>
              <w:jc w:val="left"/>
              <w:rPr>
                <w:rFonts w:hint="eastAsia" w:eastAsia="仿宋"/>
                <w:lang w:eastAsia="zh-CN"/>
              </w:rPr>
            </w:pPr>
            <w:r>
              <w:rPr>
                <w:rFonts w:eastAsia="等线"/>
              </w:rPr>
              <w:t xml:space="preserve">3. </w:t>
            </w:r>
            <w:r>
              <w:rPr>
                <w:rFonts w:hint="eastAsia"/>
              </w:rPr>
              <w:t>设备配有无线遥控器，可远程操控设备。</w:t>
            </w:r>
          </w:p>
          <w:p>
            <w:pPr>
              <w:jc w:val="left"/>
              <w:rPr>
                <w:rFonts w:hint="eastAsia" w:eastAsia="仿宋"/>
                <w:lang w:eastAsia="zh-CN"/>
              </w:rPr>
            </w:pPr>
            <w:r>
              <w:rPr>
                <w:rFonts w:eastAsia="等线"/>
              </w:rPr>
              <w:t xml:space="preserve">4. </w:t>
            </w:r>
            <w:r>
              <w:rPr>
                <w:rFonts w:hint="eastAsia"/>
              </w:rPr>
              <w:t>设备踏板、顶膝等多部位可调节。</w:t>
            </w:r>
          </w:p>
          <w:p>
            <w:pPr>
              <w:jc w:val="left"/>
              <w:rPr>
                <w:rFonts w:hint="eastAsia" w:eastAsia="仿宋"/>
                <w:lang w:eastAsia="zh-CN"/>
              </w:rPr>
            </w:pPr>
            <w:r>
              <w:rPr>
                <w:rFonts w:eastAsia="等线"/>
              </w:rPr>
              <w:t xml:space="preserve">5. </w:t>
            </w:r>
            <w:r>
              <w:rPr>
                <w:rFonts w:hint="eastAsia"/>
              </w:rPr>
              <w:t>设备带有双腋下支撑部件，可支撑用户躯干保持身体平衡。</w:t>
            </w:r>
          </w:p>
          <w:p>
            <w:pPr>
              <w:jc w:val="left"/>
              <w:rPr>
                <w:rFonts w:hint="eastAsia" w:eastAsia="仿宋"/>
                <w:lang w:eastAsia="zh-CN"/>
              </w:rPr>
            </w:pPr>
            <w:r>
              <w:rPr>
                <w:rFonts w:eastAsia="等线"/>
              </w:rPr>
              <w:t xml:space="preserve">6. </w:t>
            </w:r>
            <w:r>
              <w:rPr>
                <w:rFonts w:hint="eastAsia"/>
              </w:rPr>
              <w:t>设备速度</w:t>
            </w:r>
            <w:r>
              <w:rPr>
                <w:rFonts w:eastAsia="等线"/>
              </w:rPr>
              <w:t>3</w:t>
            </w:r>
            <w:r>
              <w:rPr>
                <w:rFonts w:hint="eastAsia"/>
              </w:rPr>
              <w:t>档可调。</w:t>
            </w:r>
          </w:p>
          <w:p>
            <w:pPr>
              <w:jc w:val="left"/>
              <w:rPr>
                <w:rFonts w:hint="eastAsia" w:eastAsia="仿宋"/>
                <w:lang w:eastAsia="zh-CN"/>
              </w:rPr>
            </w:pPr>
            <w:r>
              <w:rPr>
                <w:rFonts w:eastAsia="等线"/>
              </w:rPr>
              <w:t xml:space="preserve">7. </w:t>
            </w:r>
            <w:r>
              <w:rPr>
                <w:rFonts w:hint="eastAsia"/>
              </w:rPr>
              <w:t>通过摇杆与按钮控制电动移位机的行驶方向，摇杆操作方向与移位机行驶方向相对应。</w:t>
            </w:r>
          </w:p>
          <w:p>
            <w:pPr>
              <w:jc w:val="left"/>
              <w:rPr>
                <w:rFonts w:hint="eastAsia" w:eastAsia="仿宋"/>
                <w:lang w:eastAsia="zh-CN"/>
              </w:rPr>
            </w:pPr>
            <w:r>
              <w:rPr>
                <w:rFonts w:eastAsia="等线"/>
              </w:rPr>
              <w:t xml:space="preserve">8. </w:t>
            </w:r>
            <w:r>
              <w:rPr>
                <w:rFonts w:hint="eastAsia"/>
              </w:rPr>
              <w:t>设备可左右平移</w:t>
            </w:r>
            <w:r>
              <w:rPr>
                <w:rFonts w:eastAsia="等线"/>
              </w:rPr>
              <w:t>,</w:t>
            </w:r>
            <w:r>
              <w:rPr>
                <w:rFonts w:hint="eastAsia"/>
              </w:rPr>
              <w:t>可原地转圈。</w:t>
            </w:r>
          </w:p>
          <w:p>
            <w:pPr>
              <w:jc w:val="left"/>
              <w:rPr>
                <w:rFonts w:hint="eastAsia" w:eastAsia="仿宋"/>
                <w:lang w:eastAsia="zh-CN"/>
              </w:rPr>
            </w:pPr>
            <w:r>
              <w:rPr>
                <w:rFonts w:eastAsia="等线"/>
              </w:rPr>
              <w:t xml:space="preserve">9. </w:t>
            </w:r>
            <w:r>
              <w:rPr>
                <w:rFonts w:hint="eastAsia"/>
              </w:rPr>
              <w:t>在电动移位机处于开机状态且遥控器摇杆处于中间时，电动移位机此时为自锁状态。</w:t>
            </w:r>
          </w:p>
          <w:p>
            <w:pPr>
              <w:jc w:val="left"/>
              <w:rPr>
                <w:rFonts w:hint="eastAsia" w:eastAsia="仿宋"/>
                <w:lang w:eastAsia="zh-CN"/>
              </w:rPr>
            </w:pPr>
            <w:r>
              <w:rPr>
                <w:rFonts w:eastAsia="等线"/>
              </w:rPr>
              <w:t xml:space="preserve">10. </w:t>
            </w:r>
            <w:r>
              <w:rPr>
                <w:rFonts w:hint="eastAsia"/>
              </w:rPr>
              <w:t>按下遥控器的</w:t>
            </w:r>
            <w:r>
              <w:rPr>
                <w:rFonts w:eastAsia="等线"/>
              </w:rPr>
              <w:t>“</w:t>
            </w:r>
            <w:r>
              <w:rPr>
                <w:rFonts w:hint="eastAsia"/>
              </w:rPr>
              <w:t>照明</w:t>
            </w:r>
            <w:r>
              <w:rPr>
                <w:rFonts w:eastAsia="等线"/>
              </w:rPr>
              <w:t>”</w:t>
            </w:r>
            <w:r>
              <w:rPr>
                <w:rFonts w:hint="eastAsia"/>
              </w:rPr>
              <w:t>键，照明灯点亮。</w:t>
            </w:r>
          </w:p>
          <w:p>
            <w:pPr>
              <w:jc w:val="left"/>
              <w:rPr>
                <w:rFonts w:hint="eastAsia" w:eastAsia="仿宋"/>
                <w:lang w:eastAsia="zh-CN"/>
              </w:rPr>
            </w:pPr>
            <w:r>
              <w:rPr>
                <w:rFonts w:eastAsia="等线"/>
              </w:rPr>
              <w:t xml:space="preserve">11. </w:t>
            </w:r>
            <w:r>
              <w:rPr>
                <w:rFonts w:hint="eastAsia"/>
              </w:rPr>
              <w:t>按下遥控器的</w:t>
            </w:r>
            <w:r>
              <w:rPr>
                <w:rFonts w:eastAsia="等线"/>
              </w:rPr>
              <w:t>“</w:t>
            </w:r>
            <w:r>
              <w:rPr>
                <w:rFonts w:hint="eastAsia"/>
              </w:rPr>
              <w:t>呼救</w:t>
            </w:r>
            <w:r>
              <w:rPr>
                <w:rFonts w:eastAsia="等线"/>
              </w:rPr>
              <w:t>”</w:t>
            </w:r>
            <w:r>
              <w:rPr>
                <w:rFonts w:hint="eastAsia"/>
              </w:rPr>
              <w:t>键，电动移位机会发出</w:t>
            </w:r>
            <w:r>
              <w:rPr>
                <w:rFonts w:eastAsia="等线"/>
              </w:rPr>
              <w:t>“</w:t>
            </w:r>
            <w:r>
              <w:rPr>
                <w:rFonts w:hint="eastAsia"/>
              </w:rPr>
              <w:t>滴滴</w:t>
            </w:r>
            <w:r>
              <w:rPr>
                <w:rFonts w:eastAsia="等线"/>
              </w:rPr>
              <w:t>”</w:t>
            </w:r>
            <w:r>
              <w:rPr>
                <w:rFonts w:hint="eastAsia"/>
              </w:rPr>
              <w:t>的响声，同时呼吸灯闪烁。</w:t>
            </w:r>
          </w:p>
          <w:p>
            <w:pPr>
              <w:jc w:val="left"/>
              <w:rPr>
                <w:rFonts w:hint="eastAsia" w:eastAsia="仿宋"/>
                <w:lang w:eastAsia="zh-CN"/>
              </w:rPr>
            </w:pPr>
            <w:r>
              <w:rPr>
                <w:rFonts w:eastAsia="等线"/>
              </w:rPr>
              <w:t xml:space="preserve">12. </w:t>
            </w:r>
            <w:r>
              <w:rPr>
                <w:rFonts w:hint="eastAsia"/>
              </w:rPr>
              <w:t>按下控制面板上的喇叭按钮，电动移位机会发出</w:t>
            </w:r>
            <w:r>
              <w:rPr>
                <w:rFonts w:eastAsia="等线"/>
              </w:rPr>
              <w:t>“</w:t>
            </w:r>
            <w:r>
              <w:rPr>
                <w:rFonts w:hint="eastAsia"/>
              </w:rPr>
              <w:t>行人车辆请注意安全</w:t>
            </w:r>
            <w:r>
              <w:rPr>
                <w:rFonts w:eastAsia="等线"/>
              </w:rPr>
              <w:t>”</w:t>
            </w:r>
            <w:r>
              <w:rPr>
                <w:rFonts w:hint="eastAsia"/>
              </w:rPr>
              <w:t>的语音提示。</w:t>
            </w:r>
          </w:p>
          <w:p>
            <w:pPr>
              <w:jc w:val="left"/>
              <w:rPr>
                <w:rFonts w:eastAsia="等线"/>
              </w:rPr>
            </w:pPr>
            <w:r>
              <w:rPr>
                <w:rFonts w:eastAsia="等线"/>
              </w:rPr>
              <w:t xml:space="preserve">13. </w:t>
            </w:r>
            <w:r>
              <w:rPr>
                <w:rFonts w:hint="eastAsia"/>
              </w:rPr>
              <w:t>当电动移位机的前后或者左右方向位于超过</w:t>
            </w:r>
            <w:r>
              <w:rPr>
                <w:rFonts w:eastAsia="等线"/>
              </w:rPr>
              <w:t>9°</w:t>
            </w:r>
            <w:r>
              <w:rPr>
                <w:rFonts w:hint="eastAsia"/>
              </w:rPr>
              <w:t>的斜面时，同时发出滴滴声音，红色呼吸灯闪烁，以提示使用者注意安全。</w:t>
            </w:r>
          </w:p>
        </w:tc>
        <w:tc>
          <w:tcPr>
            <w:tcW w:w="1176" w:type="dxa"/>
            <w:vAlign w:val="center"/>
          </w:tcPr>
          <w:p>
            <w:pPr>
              <w:jc w:val="left"/>
              <w:rPr>
                <w:rFonts w:eastAsia="等线"/>
              </w:rPr>
            </w:pPr>
            <w:r>
              <w:rPr>
                <w:rFonts w:eastAsia="等线"/>
              </w:rPr>
              <w:t>2</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13" w:type="dxa"/>
            <w:vAlign w:val="center"/>
          </w:tcPr>
          <w:p>
            <w:pPr>
              <w:jc w:val="center"/>
              <w:rPr>
                <w:rFonts w:ascii="宋体" w:hAnsi="宋体" w:eastAsia="宋体" w:cs="宋体"/>
                <w:color w:val="000000"/>
              </w:rPr>
            </w:pPr>
            <w:r>
              <w:rPr>
                <w:rFonts w:hint="eastAsia" w:ascii="宋体" w:hAnsi="宋体" w:eastAsia="宋体" w:cs="宋体"/>
                <w:color w:val="000000"/>
              </w:rPr>
              <w:t>4</w:t>
            </w:r>
          </w:p>
        </w:tc>
        <w:tc>
          <w:tcPr>
            <w:tcW w:w="1200" w:type="dxa"/>
            <w:vAlign w:val="center"/>
          </w:tcPr>
          <w:p>
            <w:pPr>
              <w:jc w:val="left"/>
              <w:rPr>
                <w:rFonts w:ascii="等线" w:hAnsi="等线" w:eastAsia="等线" w:cs="宋体"/>
              </w:rPr>
            </w:pPr>
            <w:r>
              <w:rPr>
                <w:rFonts w:hint="eastAsia" w:ascii="等线" w:hAnsi="等线" w:eastAsia="等线"/>
              </w:rPr>
              <w:t>颈腰椎脊柱减压系统</w:t>
            </w:r>
          </w:p>
        </w:tc>
        <w:tc>
          <w:tcPr>
            <w:tcW w:w="7260" w:type="dxa"/>
            <w:vAlign w:val="center"/>
          </w:tcPr>
          <w:p>
            <w:pPr>
              <w:jc w:val="left"/>
              <w:rPr>
                <w:rFonts w:hint="eastAsia" w:eastAsia="仿宋"/>
                <w:color w:val="000000"/>
                <w:lang w:eastAsia="zh-CN"/>
              </w:rPr>
            </w:pPr>
            <w:r>
              <w:rPr>
                <w:rFonts w:hint="eastAsia"/>
                <w:color w:val="000000"/>
              </w:rPr>
              <w:t>用于患者的神经根型颈椎病、颈型颈椎病（非急性期）及轻度脊髓型颈椎病，膨出型、突出型腰椎间盘突出症进行牵引治疗。</w:t>
            </w:r>
          </w:p>
          <w:p>
            <w:pPr>
              <w:jc w:val="left"/>
              <w:rPr>
                <w:rFonts w:hint="eastAsia" w:eastAsia="仿宋"/>
                <w:color w:val="000000"/>
                <w:lang w:eastAsia="zh-CN"/>
              </w:rPr>
            </w:pPr>
            <w:r>
              <w:rPr>
                <w:rFonts w:hint="eastAsia"/>
                <w:color w:val="000000"/>
              </w:rPr>
              <w:t>1、颈腰一体，一键切换，一键床体旋转180度切换成颈椎或腰椎治疗体位，系统自动切换成颈椎或腰椎治疗模式。</w:t>
            </w:r>
          </w:p>
          <w:p>
            <w:pPr>
              <w:jc w:val="left"/>
              <w:rPr>
                <w:rFonts w:hint="eastAsia" w:eastAsia="仿宋"/>
                <w:color w:val="000000"/>
                <w:lang w:eastAsia="zh-CN"/>
              </w:rPr>
            </w:pPr>
            <w:r>
              <w:rPr>
                <w:rFonts w:hint="eastAsia"/>
                <w:color w:val="000000"/>
              </w:rPr>
              <w:t>2、可拆卸仿手法环抱式颈部固定装置，使颈椎治疗更安全、更舒适。</w:t>
            </w:r>
          </w:p>
          <w:p>
            <w:pPr>
              <w:jc w:val="left"/>
              <w:rPr>
                <w:rFonts w:hint="eastAsia" w:eastAsia="仿宋"/>
                <w:color w:val="000000"/>
                <w:lang w:eastAsia="zh-CN"/>
              </w:rPr>
            </w:pPr>
            <w:r>
              <w:rPr>
                <w:rFonts w:hint="eastAsia"/>
                <w:color w:val="000000"/>
              </w:rPr>
              <w:t>3、漂移AB床体，床体分成上下两截为AB床体，下床体在治疗过程中自动解锁漂移，避免了床体与人体的摩擦，提高拉力效率。</w:t>
            </w:r>
          </w:p>
          <w:p>
            <w:pPr>
              <w:jc w:val="left"/>
              <w:rPr>
                <w:rFonts w:hint="eastAsia" w:eastAsia="仿宋"/>
                <w:color w:val="000000"/>
                <w:lang w:eastAsia="zh-CN"/>
              </w:rPr>
            </w:pPr>
            <w:r>
              <w:rPr>
                <w:rFonts w:hint="eastAsia"/>
                <w:color w:val="000000"/>
              </w:rPr>
              <w:t>4、腰部气囊，腰部气囊撑起腰部生理曲度，确保椎体曲向受力，避免脊柱曲度变直。</w:t>
            </w:r>
          </w:p>
          <w:p>
            <w:pPr>
              <w:jc w:val="left"/>
              <w:rPr>
                <w:rFonts w:hint="eastAsia" w:eastAsia="仿宋"/>
                <w:color w:val="000000"/>
                <w:lang w:eastAsia="zh-CN"/>
              </w:rPr>
            </w:pPr>
            <w:r>
              <w:rPr>
                <w:rFonts w:hint="eastAsia"/>
                <w:color w:val="000000"/>
              </w:rPr>
              <w:t>5、起立床体，方便患者上下，避免患者因起身发力造成二次损伤。</w:t>
            </w:r>
          </w:p>
          <w:p>
            <w:pPr>
              <w:jc w:val="left"/>
              <w:rPr>
                <w:rFonts w:hint="eastAsia" w:eastAsia="仿宋"/>
                <w:color w:val="000000"/>
                <w:lang w:eastAsia="zh-CN"/>
              </w:rPr>
            </w:pPr>
            <w:r>
              <w:rPr>
                <w:rFonts w:hint="eastAsia"/>
                <w:color w:val="000000"/>
              </w:rPr>
              <w:t>6、强大的计算机辅助系统</w:t>
            </w:r>
          </w:p>
          <w:p>
            <w:pPr>
              <w:jc w:val="left"/>
              <w:rPr>
                <w:rFonts w:hint="eastAsia" w:eastAsia="仿宋"/>
                <w:color w:val="000000"/>
                <w:lang w:eastAsia="zh-CN"/>
              </w:rPr>
            </w:pPr>
            <w:r>
              <w:rPr>
                <w:rFonts w:hint="eastAsia"/>
                <w:color w:val="000000"/>
              </w:rPr>
              <w:t>患者管理系统：可对患者进行从建档到治疗再到治疗后的系统管理。</w:t>
            </w:r>
          </w:p>
          <w:p>
            <w:pPr>
              <w:jc w:val="left"/>
              <w:rPr>
                <w:rFonts w:hint="eastAsia" w:eastAsia="仿宋"/>
                <w:color w:val="000000"/>
                <w:lang w:eastAsia="zh-CN"/>
              </w:rPr>
            </w:pPr>
            <w:r>
              <w:rPr>
                <w:rFonts w:hint="eastAsia"/>
                <w:color w:val="000000"/>
              </w:rPr>
              <w:t>治疗排班系统：可对每天的患者治疗有序安排。</w:t>
            </w:r>
          </w:p>
          <w:p>
            <w:pPr>
              <w:jc w:val="left"/>
              <w:rPr>
                <w:rFonts w:hint="eastAsia" w:eastAsia="仿宋"/>
                <w:color w:val="000000"/>
                <w:lang w:eastAsia="zh-CN"/>
              </w:rPr>
            </w:pPr>
            <w:r>
              <w:rPr>
                <w:rFonts w:hint="eastAsia"/>
                <w:color w:val="000000"/>
              </w:rPr>
              <w:t>数据分析系统：可对患者数据、治疗数据进行统计分析，方便进行专项课题研究。</w:t>
            </w:r>
          </w:p>
          <w:p>
            <w:pPr>
              <w:jc w:val="left"/>
              <w:rPr>
                <w:rFonts w:hint="eastAsia" w:eastAsia="仿宋"/>
                <w:color w:val="000000"/>
                <w:lang w:eastAsia="zh-CN"/>
              </w:rPr>
            </w:pPr>
            <w:r>
              <w:rPr>
                <w:rFonts w:hint="eastAsia"/>
                <w:color w:val="000000"/>
              </w:rPr>
              <w:t>技术参数</w:t>
            </w:r>
          </w:p>
          <w:p>
            <w:pPr>
              <w:jc w:val="left"/>
              <w:rPr>
                <w:rFonts w:hint="eastAsia" w:eastAsia="仿宋"/>
                <w:color w:val="000000"/>
                <w:lang w:eastAsia="zh-CN"/>
              </w:rPr>
            </w:pPr>
            <w:r>
              <w:rPr>
                <w:rFonts w:hint="eastAsia"/>
                <w:color w:val="000000"/>
              </w:rPr>
              <w:t>1、工作条件</w:t>
            </w:r>
          </w:p>
          <w:p>
            <w:pPr>
              <w:jc w:val="left"/>
              <w:rPr>
                <w:rFonts w:hint="eastAsia" w:eastAsia="仿宋"/>
                <w:color w:val="000000"/>
                <w:lang w:eastAsia="zh-CN"/>
              </w:rPr>
            </w:pPr>
            <w:r>
              <w:rPr>
                <w:rFonts w:hint="eastAsia"/>
                <w:color w:val="000000"/>
              </w:rPr>
              <w:t>a. 环境温度：5℃～40℃；</w:t>
            </w:r>
          </w:p>
          <w:p>
            <w:pPr>
              <w:jc w:val="left"/>
              <w:rPr>
                <w:rFonts w:hint="eastAsia" w:eastAsia="仿宋"/>
                <w:color w:val="000000"/>
                <w:lang w:eastAsia="zh-CN"/>
              </w:rPr>
            </w:pPr>
            <w:r>
              <w:rPr>
                <w:rFonts w:hint="eastAsia"/>
                <w:color w:val="000000"/>
              </w:rPr>
              <w:t>b. 相对湿度：5%～95％；</w:t>
            </w:r>
          </w:p>
          <w:p>
            <w:pPr>
              <w:jc w:val="left"/>
              <w:rPr>
                <w:rFonts w:hint="eastAsia" w:eastAsia="仿宋"/>
                <w:color w:val="000000"/>
                <w:lang w:eastAsia="zh-CN"/>
              </w:rPr>
            </w:pPr>
            <w:r>
              <w:rPr>
                <w:rFonts w:hint="eastAsia"/>
                <w:color w:val="000000"/>
              </w:rPr>
              <w:t>c. 大气压力：86kPa～106kPa；</w:t>
            </w:r>
          </w:p>
          <w:p>
            <w:pPr>
              <w:jc w:val="left"/>
              <w:rPr>
                <w:rFonts w:hint="eastAsia" w:eastAsia="仿宋"/>
                <w:color w:val="000000"/>
                <w:lang w:eastAsia="zh-CN"/>
              </w:rPr>
            </w:pPr>
            <w:r>
              <w:rPr>
                <w:rFonts w:hint="eastAsia"/>
                <w:color w:val="000000"/>
              </w:rPr>
              <w:t>d. 供电电源：交流100V～250V，50Hz±1Hz；</w:t>
            </w:r>
          </w:p>
          <w:p>
            <w:pPr>
              <w:jc w:val="left"/>
              <w:rPr>
                <w:rFonts w:hint="eastAsia" w:eastAsia="仿宋"/>
                <w:color w:val="000000"/>
                <w:lang w:eastAsia="zh-CN"/>
              </w:rPr>
            </w:pPr>
            <w:r>
              <w:rPr>
                <w:rFonts w:hint="eastAsia"/>
                <w:color w:val="000000"/>
              </w:rPr>
              <w:t>2、输入功率：500W；</w:t>
            </w:r>
          </w:p>
          <w:p>
            <w:pPr>
              <w:jc w:val="left"/>
              <w:rPr>
                <w:rFonts w:hint="eastAsia" w:eastAsia="仿宋"/>
                <w:color w:val="000000"/>
                <w:lang w:eastAsia="zh-CN"/>
              </w:rPr>
            </w:pPr>
            <w:r>
              <w:rPr>
                <w:rFonts w:hint="eastAsia"/>
                <w:color w:val="000000"/>
              </w:rPr>
              <w:t>3、尺寸：约2880mm×800mm×1876mm；</w:t>
            </w:r>
          </w:p>
          <w:p>
            <w:pPr>
              <w:jc w:val="left"/>
              <w:rPr>
                <w:rFonts w:hint="eastAsia" w:eastAsia="仿宋"/>
                <w:color w:val="000000"/>
                <w:lang w:eastAsia="zh-CN"/>
              </w:rPr>
            </w:pPr>
            <w:r>
              <w:rPr>
                <w:rFonts w:hint="eastAsia"/>
                <w:color w:val="000000"/>
              </w:rPr>
              <w:t>4、重量：约550kg；</w:t>
            </w:r>
          </w:p>
          <w:p>
            <w:pPr>
              <w:jc w:val="left"/>
              <w:rPr>
                <w:rFonts w:hint="eastAsia" w:eastAsia="仿宋"/>
                <w:color w:val="000000"/>
                <w:lang w:eastAsia="zh-CN"/>
              </w:rPr>
            </w:pPr>
            <w:r>
              <w:rPr>
                <w:rFonts w:hint="eastAsia"/>
                <w:color w:val="000000"/>
              </w:rPr>
              <w:t>5、起立床体倾斜角度：0°～60°，测量误差：±5°；</w:t>
            </w:r>
          </w:p>
          <w:p>
            <w:pPr>
              <w:jc w:val="left"/>
              <w:rPr>
                <w:rFonts w:hint="eastAsia" w:eastAsia="仿宋"/>
                <w:color w:val="000000"/>
                <w:lang w:eastAsia="zh-CN"/>
              </w:rPr>
            </w:pPr>
            <w:r>
              <w:rPr>
                <w:rFonts w:hint="eastAsia"/>
                <w:color w:val="000000"/>
              </w:rPr>
              <w:t>6、自动称重系统：体重测量范围：5kg～181kg，测量误差：±5%；</w:t>
            </w:r>
          </w:p>
          <w:p>
            <w:pPr>
              <w:jc w:val="left"/>
              <w:rPr>
                <w:rFonts w:hint="eastAsia" w:eastAsia="仿宋"/>
                <w:color w:val="000000"/>
                <w:lang w:eastAsia="zh-CN"/>
              </w:rPr>
            </w:pPr>
            <w:r>
              <w:rPr>
                <w:rFonts w:hint="eastAsia"/>
                <w:color w:val="000000"/>
              </w:rPr>
              <w:t>7、床体最大承重200kg；</w:t>
            </w:r>
          </w:p>
          <w:p>
            <w:pPr>
              <w:jc w:val="left"/>
              <w:rPr>
                <w:rFonts w:hint="eastAsia" w:eastAsia="仿宋"/>
                <w:color w:val="000000"/>
                <w:lang w:eastAsia="zh-CN"/>
              </w:rPr>
            </w:pPr>
            <w:r>
              <w:rPr>
                <w:rFonts w:hint="eastAsia"/>
                <w:color w:val="000000"/>
              </w:rPr>
              <w:t>8、床体旋转的角度为180°，允差为±10°，旋转速度为6°/s，误差应不大于±15%；</w:t>
            </w:r>
          </w:p>
          <w:p>
            <w:pPr>
              <w:jc w:val="left"/>
              <w:rPr>
                <w:rFonts w:hint="eastAsia" w:eastAsia="仿宋"/>
                <w:color w:val="000000"/>
                <w:lang w:eastAsia="zh-CN"/>
              </w:rPr>
            </w:pPr>
            <w:r>
              <w:rPr>
                <w:rFonts w:hint="eastAsia"/>
                <w:color w:val="000000"/>
              </w:rPr>
              <w:t>9、操作屏幕：18.6寸触摸屏操控</w:t>
            </w:r>
          </w:p>
          <w:p>
            <w:pPr>
              <w:jc w:val="left"/>
              <w:rPr>
                <w:rFonts w:hint="eastAsia" w:eastAsia="仿宋"/>
                <w:color w:val="000000"/>
                <w:lang w:eastAsia="zh-CN"/>
              </w:rPr>
            </w:pPr>
            <w:r>
              <w:rPr>
                <w:rFonts w:hint="eastAsia"/>
                <w:color w:val="000000"/>
              </w:rPr>
              <w:t>10、*颈椎治疗和腰椎治疗分别内置5种治疗模式；</w:t>
            </w:r>
          </w:p>
          <w:p>
            <w:pPr>
              <w:jc w:val="left"/>
              <w:rPr>
                <w:rFonts w:hint="eastAsia" w:eastAsia="仿宋"/>
                <w:color w:val="000000"/>
                <w:lang w:eastAsia="zh-CN"/>
              </w:rPr>
            </w:pPr>
            <w:r>
              <w:rPr>
                <w:rFonts w:hint="eastAsia"/>
                <w:color w:val="000000"/>
              </w:rPr>
              <w:t>11、拉力传感器监测频率≥20次/s，精度：≤1N；</w:t>
            </w:r>
          </w:p>
          <w:p>
            <w:pPr>
              <w:jc w:val="left"/>
              <w:rPr>
                <w:rFonts w:hint="eastAsia" w:eastAsia="仿宋"/>
                <w:color w:val="000000"/>
                <w:lang w:eastAsia="zh-CN"/>
              </w:rPr>
            </w:pPr>
            <w:r>
              <w:rPr>
                <w:rFonts w:hint="eastAsia"/>
                <w:color w:val="000000"/>
              </w:rPr>
              <w:t>12、治疗角度的定位：腰椎 0°、10°、15°、20°、23°、25°，颈椎0°、2°、4°、8°、13°、17°，误差±2°，可根手动微调；</w:t>
            </w:r>
          </w:p>
          <w:p>
            <w:pPr>
              <w:jc w:val="left"/>
              <w:rPr>
                <w:rFonts w:hint="eastAsia" w:eastAsia="仿宋"/>
                <w:color w:val="000000"/>
                <w:lang w:eastAsia="zh-CN"/>
              </w:rPr>
            </w:pPr>
            <w:r>
              <w:rPr>
                <w:rFonts w:hint="eastAsia"/>
                <w:color w:val="000000"/>
              </w:rPr>
              <w:t>13、拉力范围：腰椎0N～667N，颈椎颈椎0 N～222N，误差：±10N；</w:t>
            </w:r>
          </w:p>
          <w:p>
            <w:pPr>
              <w:jc w:val="left"/>
              <w:rPr>
                <w:rFonts w:hint="eastAsia" w:eastAsia="仿宋"/>
                <w:color w:val="000000"/>
                <w:lang w:eastAsia="zh-CN"/>
              </w:rPr>
            </w:pPr>
            <w:r>
              <w:rPr>
                <w:rFonts w:hint="eastAsia"/>
                <w:color w:val="000000"/>
              </w:rPr>
              <w:t>14、牵引最大距离：腰椎100mm，颈椎85mm，误差：±5mm；</w:t>
            </w:r>
          </w:p>
          <w:p>
            <w:pPr>
              <w:jc w:val="left"/>
              <w:rPr>
                <w:rFonts w:ascii="宋体" w:hAnsi="宋体" w:eastAsia="宋体" w:cs="宋体"/>
                <w:color w:val="000000"/>
              </w:rPr>
            </w:pPr>
            <w:r>
              <w:rPr>
                <w:rFonts w:hint="eastAsia"/>
                <w:color w:val="000000"/>
              </w:rPr>
              <w:t>15、治疗时间设定范围：15min～30min；</w:t>
            </w:r>
          </w:p>
        </w:tc>
        <w:tc>
          <w:tcPr>
            <w:tcW w:w="1176" w:type="dxa"/>
            <w:vAlign w:val="center"/>
          </w:tcPr>
          <w:p>
            <w:pPr>
              <w:jc w:val="left"/>
              <w:rPr>
                <w:rFonts w:eastAsia="等线"/>
              </w:rPr>
            </w:pPr>
            <w:r>
              <w:rPr>
                <w:rFonts w:eastAsia="等线"/>
              </w:rPr>
              <w:t>1</w:t>
            </w:r>
          </w:p>
        </w:tc>
        <w:tc>
          <w:tcPr>
            <w:tcW w:w="1515" w:type="dxa"/>
          </w:tcPr>
          <w:p>
            <w:pPr>
              <w:jc w:val="left"/>
              <w:rPr>
                <w:rFonts w:ascii="仿宋" w:hAnsi="仿宋" w:cs="仿宋"/>
              </w:rPr>
            </w:pPr>
          </w:p>
        </w:tc>
        <w:tc>
          <w:tcPr>
            <w:tcW w:w="1035" w:type="dxa"/>
          </w:tcPr>
          <w:p>
            <w:pPr>
              <w:tabs>
                <w:tab w:val="left" w:pos="0"/>
              </w:tabs>
              <w:spacing w:line="240" w:lineRule="exact"/>
              <w:jc w:val="left"/>
              <w:rPr>
                <w:rFonts w:ascii="仿宋" w:hAnsi="仿宋" w:cs="仿宋"/>
              </w:rPr>
            </w:pPr>
          </w:p>
        </w:tc>
        <w:tc>
          <w:tcPr>
            <w:tcW w:w="960" w:type="dxa"/>
          </w:tcPr>
          <w:p>
            <w:pPr>
              <w:tabs>
                <w:tab w:val="left" w:pos="0"/>
              </w:tabs>
              <w:spacing w:line="240" w:lineRule="exact"/>
              <w:jc w:val="left"/>
              <w:rPr>
                <w:rFonts w:ascii="仿宋" w:hAnsi="仿宋" w:cs="仿宋"/>
              </w:rPr>
            </w:pPr>
          </w:p>
        </w:tc>
        <w:tc>
          <w:tcPr>
            <w:tcW w:w="1001" w:type="dxa"/>
          </w:tcPr>
          <w:p>
            <w:pPr>
              <w:tabs>
                <w:tab w:val="left" w:pos="0"/>
              </w:tabs>
              <w:spacing w:line="240" w:lineRule="exact"/>
              <w:jc w:val="left"/>
              <w:rPr>
                <w:rFonts w:ascii="仿宋" w:hAnsi="仿宋" w:cs="仿宋"/>
              </w:rPr>
            </w:pPr>
          </w:p>
        </w:tc>
      </w:tr>
    </w:tbl>
    <w:p>
      <w:pPr>
        <w:pStyle w:val="3"/>
        <w:spacing w:line="240" w:lineRule="auto"/>
        <w:ind w:firstLine="0" w:firstLineChars="0"/>
        <w:jc w:val="both"/>
        <w:rPr>
          <w:rFonts w:ascii="仿宋" w:hAnsi="仿宋" w:eastAsia="仿宋" w:cs="仿宋"/>
          <w:sz w:val="21"/>
          <w:szCs w:val="21"/>
        </w:rPr>
      </w:pPr>
    </w:p>
    <w:p>
      <w:pPr>
        <w:adjustRightInd w:val="0"/>
        <w:snapToGrid w:val="0"/>
        <w:ind w:right="105" w:rightChars="50"/>
        <w:jc w:val="left"/>
        <w:rPr>
          <w:rFonts w:ascii="仿宋" w:hAnsi="仿宋" w:cs="仿宋"/>
          <w:b/>
          <w:bCs/>
        </w:rPr>
      </w:pPr>
      <w:r>
        <w:rPr>
          <w:rFonts w:hint="eastAsia" w:ascii="仿宋" w:hAnsi="仿宋" w:cs="仿宋"/>
          <w:b/>
          <w:bCs/>
        </w:rPr>
        <w:t>填表要求：</w:t>
      </w:r>
    </w:p>
    <w:p>
      <w:pPr>
        <w:adjustRightInd w:val="0"/>
        <w:snapToGrid w:val="0"/>
        <w:spacing w:line="360" w:lineRule="auto"/>
        <w:rPr>
          <w:rFonts w:ascii="仿宋" w:hAnsi="仿宋" w:cs="仿宋"/>
        </w:rPr>
      </w:pPr>
      <w:r>
        <w:rPr>
          <w:rFonts w:hint="eastAsia" w:ascii="仿宋" w:hAnsi="仿宋" w:cs="仿宋"/>
        </w:rPr>
        <w:t>1．“投标文件响应内容”一栏由投标人按照招标文件要求填写并进行逐项响应。</w:t>
      </w:r>
    </w:p>
    <w:p>
      <w:pPr>
        <w:adjustRightInd w:val="0"/>
        <w:snapToGrid w:val="0"/>
        <w:spacing w:line="360" w:lineRule="auto"/>
        <w:rPr>
          <w:rFonts w:ascii="仿宋" w:hAnsi="仿宋" w:cs="仿宋"/>
        </w:rPr>
      </w:pPr>
      <w:r>
        <w:rPr>
          <w:rFonts w:hint="eastAsia" w:ascii="仿宋" w:hAnsi="仿宋" w:cs="仿宋"/>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 w:hAnsi="仿宋" w:cs="仿宋"/>
        </w:rPr>
      </w:pPr>
      <w:r>
        <w:rPr>
          <w:rFonts w:hint="eastAsia" w:ascii="仿宋" w:hAnsi="仿宋" w:cs="仿宋"/>
        </w:rPr>
        <w:t>3．“偏离说明”一栏由投标人对偏离的情况做详细说明。</w:t>
      </w:r>
    </w:p>
    <w:p>
      <w:pPr>
        <w:snapToGrid w:val="0"/>
        <w:spacing w:line="480" w:lineRule="auto"/>
        <w:rPr>
          <w:rFonts w:ascii="仿宋" w:hAnsi="仿宋" w:cs="仿宋"/>
        </w:rPr>
      </w:pPr>
      <w:r>
        <w:rPr>
          <w:rFonts w:hint="eastAsia" w:ascii="仿宋" w:hAnsi="仿宋" w:cs="仿宋"/>
        </w:rPr>
        <w:t>投标人名称（加盖单位公章）：</w:t>
      </w:r>
    </w:p>
    <w:p>
      <w:pPr>
        <w:snapToGrid w:val="0"/>
        <w:spacing w:line="480" w:lineRule="auto"/>
        <w:rPr>
          <w:rFonts w:ascii="仿宋" w:hAnsi="仿宋" w:cs="仿宋"/>
        </w:rPr>
      </w:pPr>
      <w:r>
        <w:rPr>
          <w:rFonts w:hint="eastAsia" w:ascii="仿宋" w:hAnsi="仿宋" w:cs="仿宋"/>
        </w:rPr>
        <w:t>法定代表人（或非法人组织负责人）或其授权委托人(签字或盖章)：</w:t>
      </w:r>
    </w:p>
    <w:p>
      <w:pPr>
        <w:adjustRightInd w:val="0"/>
        <w:snapToGrid w:val="0"/>
        <w:spacing w:line="480" w:lineRule="auto"/>
        <w:ind w:right="105" w:rightChars="50"/>
        <w:jc w:val="left"/>
        <w:rPr>
          <w:rFonts w:ascii="仿宋" w:hAnsi="仿宋" w:cs="仿宋"/>
        </w:rPr>
      </w:pPr>
      <w:r>
        <w:rPr>
          <w:rFonts w:hint="eastAsia" w:ascii="仿宋" w:hAnsi="仿宋" w:cs="仿宋"/>
        </w:rPr>
        <w:t>日期：</w:t>
      </w:r>
    </w:p>
    <w:p>
      <w:pPr>
        <w:pStyle w:val="2"/>
        <w:ind w:firstLine="240"/>
        <w:rPr>
          <w:rFonts w:ascii="仿宋" w:hAnsi="仿宋" w:cs="仿宋"/>
        </w:rPr>
      </w:pPr>
    </w:p>
    <w:p>
      <w:pPr>
        <w:rPr>
          <w:rFonts w:ascii="仿宋" w:hAnsi="仿宋" w:cs="仿宋"/>
        </w:rPr>
      </w:pPr>
    </w:p>
    <w:p>
      <w:pPr>
        <w:rPr>
          <w:rFonts w:ascii="仿宋" w:hAnsi="仿宋" w:cs="仿宋"/>
        </w:rPr>
      </w:pPr>
    </w:p>
    <w:p>
      <w:pPr>
        <w:adjustRightInd w:val="0"/>
        <w:snapToGrid w:val="0"/>
        <w:spacing w:line="480" w:lineRule="auto"/>
        <w:ind w:right="105" w:rightChars="50"/>
        <w:jc w:val="left"/>
        <w:rPr>
          <w:rFonts w:ascii="仿宋" w:hAnsi="仿宋" w:cs="仿宋"/>
        </w:rPr>
        <w:sectPr>
          <w:pgSz w:w="16838" w:h="11906" w:orient="landscape"/>
          <w:pgMar w:top="1803" w:right="1440" w:bottom="1803" w:left="1440" w:header="851" w:footer="992" w:gutter="0"/>
          <w:cols w:space="0" w:num="1"/>
          <w:docGrid w:type="linesAndChars" w:linePitch="319" w:charSpace="0"/>
        </w:sectPr>
      </w:pPr>
    </w:p>
    <w:p>
      <w:pPr>
        <w:jc w:val="left"/>
        <w:rPr>
          <w:rFonts w:ascii="仿宋" w:hAnsi="仿宋" w:cs="仿宋"/>
          <w:b/>
          <w:bCs/>
          <w:sz w:val="28"/>
          <w:szCs w:val="28"/>
        </w:rPr>
      </w:pPr>
      <w:r>
        <w:rPr>
          <w:rFonts w:hint="eastAsia" w:ascii="仿宋" w:hAnsi="仿宋" w:cs="仿宋"/>
          <w:b/>
          <w:bCs/>
          <w:sz w:val="28"/>
          <w:szCs w:val="28"/>
        </w:rPr>
        <w:t>格式13</w:t>
      </w:r>
    </w:p>
    <w:p>
      <w:pPr>
        <w:adjustRightInd w:val="0"/>
        <w:snapToGrid w:val="0"/>
        <w:ind w:right="106" w:rightChars="50"/>
        <w:jc w:val="center"/>
        <w:rPr>
          <w:rFonts w:ascii="仿宋" w:hAnsi="仿宋" w:cs="仿宋"/>
          <w:b/>
          <w:bCs/>
          <w:sz w:val="32"/>
          <w:szCs w:val="32"/>
        </w:rPr>
      </w:pPr>
      <w:bookmarkStart w:id="112" w:name="_Toc8488_WPSOffice_Level2"/>
      <w:bookmarkStart w:id="113" w:name="_Toc4431_WPSOffice_Level2"/>
      <w:r>
        <w:rPr>
          <w:rFonts w:hint="eastAsia" w:ascii="仿宋" w:hAnsi="仿宋" w:cs="仿宋"/>
          <w:b/>
          <w:bCs/>
          <w:sz w:val="32"/>
          <w:szCs w:val="32"/>
        </w:rPr>
        <w:t>商务条款偏离表</w:t>
      </w:r>
      <w:bookmarkEnd w:id="112"/>
      <w:bookmarkEnd w:id="113"/>
    </w:p>
    <w:p>
      <w:pPr>
        <w:adjustRightInd w:val="0"/>
        <w:snapToGrid w:val="0"/>
        <w:spacing w:line="360" w:lineRule="auto"/>
        <w:ind w:right="106" w:rightChars="50"/>
        <w:jc w:val="left"/>
        <w:rPr>
          <w:rFonts w:ascii="仿宋" w:hAnsi="仿宋" w:cs="仿宋"/>
          <w:b/>
          <w:bCs/>
        </w:rPr>
      </w:pPr>
      <w:r>
        <w:rPr>
          <w:rFonts w:hint="eastAsia" w:ascii="仿宋" w:hAnsi="仿宋" w:cs="仿宋"/>
          <w:b/>
          <w:bCs/>
        </w:rPr>
        <w:t>包号： 001、002</w:t>
      </w:r>
    </w:p>
    <w:tbl>
      <w:tblPr>
        <w:tblStyle w:val="21"/>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5003"/>
        <w:gridCol w:w="1104"/>
        <w:gridCol w:w="92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adjustRightInd w:val="0"/>
              <w:snapToGrid w:val="0"/>
              <w:ind w:right="-48" w:rightChars="-23"/>
              <w:jc w:val="center"/>
              <w:rPr>
                <w:rFonts w:ascii="仿宋" w:hAnsi="仿宋" w:cs="仿宋"/>
              </w:rPr>
            </w:pPr>
            <w:r>
              <w:rPr>
                <w:rFonts w:hint="eastAsia" w:ascii="仿宋" w:hAnsi="仿宋" w:cs="仿宋"/>
              </w:rPr>
              <w:t>序号</w:t>
            </w:r>
          </w:p>
        </w:tc>
        <w:tc>
          <w:tcPr>
            <w:tcW w:w="5003" w:type="dxa"/>
            <w:vAlign w:val="center"/>
          </w:tcPr>
          <w:p>
            <w:pPr>
              <w:adjustRightInd w:val="0"/>
              <w:snapToGrid w:val="0"/>
              <w:ind w:right="-74" w:rightChars="-35"/>
              <w:jc w:val="center"/>
              <w:rPr>
                <w:rFonts w:ascii="仿宋" w:hAnsi="仿宋" w:cs="仿宋"/>
              </w:rPr>
            </w:pPr>
            <w:r>
              <w:rPr>
                <w:rFonts w:hint="eastAsia" w:ascii="仿宋" w:hAnsi="仿宋" w:cs="仿宋"/>
              </w:rPr>
              <w:t>招标文件的商务条款</w:t>
            </w:r>
          </w:p>
          <w:p>
            <w:pPr>
              <w:adjustRightInd w:val="0"/>
              <w:snapToGrid w:val="0"/>
              <w:ind w:right="-74" w:rightChars="-35"/>
              <w:jc w:val="center"/>
              <w:rPr>
                <w:rFonts w:ascii="仿宋" w:hAnsi="仿宋" w:cs="仿宋"/>
              </w:rPr>
            </w:pPr>
            <w:r>
              <w:rPr>
                <w:rFonts w:hint="eastAsia" w:ascii="仿宋" w:hAnsi="仿宋" w:cs="仿宋"/>
              </w:rPr>
              <w:t>（</w:t>
            </w:r>
            <w:r>
              <w:rPr>
                <w:rFonts w:hint="eastAsia" w:ascii="仿宋" w:hAnsi="仿宋" w:cs="仿宋"/>
                <w:b/>
                <w:bCs/>
              </w:rPr>
              <w:t>实质性要求及重要指标用★标注，★标注项不得负偏离，如果负偏离，则投标文件无效。</w:t>
            </w:r>
            <w:r>
              <w:rPr>
                <w:rFonts w:hint="eastAsia" w:ascii="仿宋" w:hAnsi="仿宋" w:cs="仿宋"/>
              </w:rPr>
              <w:t>）</w:t>
            </w:r>
          </w:p>
        </w:tc>
        <w:tc>
          <w:tcPr>
            <w:tcW w:w="1104" w:type="dxa"/>
            <w:vAlign w:val="center"/>
          </w:tcPr>
          <w:p>
            <w:pPr>
              <w:adjustRightInd w:val="0"/>
              <w:snapToGrid w:val="0"/>
              <w:ind w:right="-108" w:rightChars="-51"/>
              <w:jc w:val="center"/>
              <w:rPr>
                <w:rFonts w:ascii="仿宋" w:hAnsi="仿宋" w:cs="仿宋"/>
              </w:rPr>
            </w:pPr>
            <w:r>
              <w:rPr>
                <w:rFonts w:hint="eastAsia" w:ascii="仿宋" w:hAnsi="仿宋" w:cs="仿宋"/>
              </w:rPr>
              <w:t>投标文件响应内容</w:t>
            </w:r>
          </w:p>
        </w:tc>
        <w:tc>
          <w:tcPr>
            <w:tcW w:w="926" w:type="dxa"/>
            <w:vAlign w:val="center"/>
          </w:tcPr>
          <w:p>
            <w:pPr>
              <w:adjustRightInd w:val="0"/>
              <w:snapToGrid w:val="0"/>
              <w:ind w:left="-59" w:leftChars="-28" w:right="-106" w:rightChars="-50"/>
              <w:rPr>
                <w:rFonts w:ascii="仿宋" w:hAnsi="仿宋" w:cs="仿宋"/>
              </w:rPr>
            </w:pPr>
            <w:r>
              <w:rPr>
                <w:rFonts w:hint="eastAsia" w:ascii="仿宋" w:hAnsi="仿宋" w:cs="仿宋"/>
              </w:rPr>
              <w:t>偏离程度</w:t>
            </w:r>
          </w:p>
        </w:tc>
        <w:tc>
          <w:tcPr>
            <w:tcW w:w="936" w:type="dxa"/>
            <w:vAlign w:val="center"/>
          </w:tcPr>
          <w:p>
            <w:pPr>
              <w:adjustRightInd w:val="0"/>
              <w:snapToGrid w:val="0"/>
              <w:ind w:left="-59" w:leftChars="-28" w:right="-106" w:rightChars="-50"/>
              <w:rPr>
                <w:rFonts w:ascii="仿宋" w:hAnsi="仿宋" w:cs="仿宋"/>
              </w:rPr>
            </w:pPr>
            <w:r>
              <w:rPr>
                <w:rFonts w:hint="eastAsia" w:ascii="仿宋" w:hAnsi="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21" w:type="dxa"/>
            <w:vAlign w:val="center"/>
          </w:tcPr>
          <w:p>
            <w:pPr>
              <w:adjustRightInd w:val="0"/>
              <w:snapToGrid w:val="0"/>
              <w:ind w:right="106" w:rightChars="50"/>
              <w:jc w:val="center"/>
              <w:rPr>
                <w:rFonts w:ascii="仿宋" w:hAnsi="仿宋" w:cs="仿宋"/>
                <w:b/>
              </w:rPr>
            </w:pPr>
            <w:r>
              <w:rPr>
                <w:rFonts w:hint="eastAsia" w:ascii="仿宋" w:hAnsi="仿宋" w:cs="仿宋"/>
                <w:b/>
              </w:rPr>
              <w:t>★1</w:t>
            </w:r>
          </w:p>
        </w:tc>
        <w:tc>
          <w:tcPr>
            <w:tcW w:w="5003" w:type="dxa"/>
            <w:vAlign w:val="center"/>
          </w:tcPr>
          <w:p>
            <w:pPr>
              <w:adjustRightInd w:val="0"/>
              <w:snapToGrid w:val="0"/>
              <w:rPr>
                <w:rFonts w:ascii="仿宋" w:hAnsi="仿宋" w:cs="仿宋"/>
              </w:rPr>
            </w:pPr>
            <w:r>
              <w:rPr>
                <w:rFonts w:hint="eastAsia" w:ascii="仿宋" w:hAnsi="仿宋" w:cs="仿宋"/>
              </w:rPr>
              <w:t>交货时间：合同签订后20天</w:t>
            </w:r>
          </w:p>
        </w:tc>
        <w:tc>
          <w:tcPr>
            <w:tcW w:w="1104" w:type="dxa"/>
            <w:vAlign w:val="center"/>
          </w:tcPr>
          <w:p>
            <w:pPr>
              <w:adjustRightInd w:val="0"/>
              <w:snapToGrid w:val="0"/>
              <w:ind w:right="106" w:rightChars="50"/>
              <w:jc w:val="center"/>
              <w:rPr>
                <w:rFonts w:ascii="仿宋" w:hAnsi="仿宋" w:cs="仿宋"/>
              </w:rPr>
            </w:pPr>
          </w:p>
        </w:tc>
        <w:tc>
          <w:tcPr>
            <w:tcW w:w="926" w:type="dxa"/>
            <w:vAlign w:val="center"/>
          </w:tcPr>
          <w:p>
            <w:pPr>
              <w:adjustRightInd w:val="0"/>
              <w:snapToGrid w:val="0"/>
              <w:ind w:right="106" w:rightChars="50"/>
              <w:jc w:val="center"/>
              <w:rPr>
                <w:rFonts w:ascii="仿宋" w:hAnsi="仿宋" w:cs="仿宋"/>
              </w:rPr>
            </w:pPr>
          </w:p>
        </w:tc>
        <w:tc>
          <w:tcPr>
            <w:tcW w:w="936" w:type="dxa"/>
            <w:vAlign w:val="center"/>
          </w:tcPr>
          <w:p>
            <w:pPr>
              <w:adjustRightInd w:val="0"/>
              <w:snapToGrid w:val="0"/>
              <w:ind w:right="106" w:rightChars="50"/>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jc w:val="center"/>
              <w:rPr>
                <w:rFonts w:ascii="仿宋" w:hAnsi="仿宋" w:cs="仿宋"/>
                <w:b/>
              </w:rPr>
            </w:pPr>
            <w:r>
              <w:rPr>
                <w:rFonts w:hint="eastAsia" w:ascii="仿宋" w:hAnsi="仿宋" w:cs="仿宋"/>
                <w:b/>
              </w:rPr>
              <w:t>★2</w:t>
            </w:r>
          </w:p>
        </w:tc>
        <w:tc>
          <w:tcPr>
            <w:tcW w:w="5003" w:type="dxa"/>
            <w:vAlign w:val="center"/>
          </w:tcPr>
          <w:p>
            <w:pPr>
              <w:adjustRightInd w:val="0"/>
              <w:snapToGrid w:val="0"/>
              <w:rPr>
                <w:rFonts w:ascii="仿宋" w:hAnsi="仿宋" w:cs="仿宋"/>
              </w:rPr>
            </w:pPr>
            <w:r>
              <w:rPr>
                <w:rFonts w:hint="eastAsia" w:ascii="仿宋" w:hAnsi="仿宋" w:cs="仿宋"/>
              </w:rPr>
              <w:t>交货地点：采购人指定地点</w:t>
            </w:r>
          </w:p>
        </w:tc>
        <w:tc>
          <w:tcPr>
            <w:tcW w:w="1104" w:type="dxa"/>
            <w:vAlign w:val="center"/>
          </w:tcPr>
          <w:p>
            <w:pPr>
              <w:adjustRightInd w:val="0"/>
              <w:snapToGrid w:val="0"/>
              <w:ind w:right="106" w:rightChars="50"/>
              <w:jc w:val="center"/>
              <w:rPr>
                <w:rFonts w:ascii="仿宋" w:hAnsi="仿宋" w:cs="仿宋"/>
              </w:rPr>
            </w:pPr>
          </w:p>
        </w:tc>
        <w:tc>
          <w:tcPr>
            <w:tcW w:w="926" w:type="dxa"/>
            <w:vAlign w:val="center"/>
          </w:tcPr>
          <w:p>
            <w:pPr>
              <w:adjustRightInd w:val="0"/>
              <w:snapToGrid w:val="0"/>
              <w:ind w:right="106" w:rightChars="50"/>
              <w:jc w:val="center"/>
              <w:rPr>
                <w:rFonts w:ascii="仿宋" w:hAnsi="仿宋" w:cs="仿宋"/>
              </w:rPr>
            </w:pPr>
          </w:p>
        </w:tc>
        <w:tc>
          <w:tcPr>
            <w:tcW w:w="936" w:type="dxa"/>
            <w:vAlign w:val="center"/>
          </w:tcPr>
          <w:p>
            <w:pPr>
              <w:adjustRightInd w:val="0"/>
              <w:snapToGrid w:val="0"/>
              <w:ind w:right="106" w:rightChars="50"/>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jc w:val="center"/>
              <w:rPr>
                <w:rFonts w:ascii="仿宋" w:hAnsi="仿宋" w:cs="仿宋"/>
                <w:b/>
              </w:rPr>
            </w:pPr>
            <w:r>
              <w:rPr>
                <w:rFonts w:hint="eastAsia" w:ascii="仿宋" w:hAnsi="仿宋" w:cs="仿宋"/>
                <w:b/>
              </w:rPr>
              <w:t>★3</w:t>
            </w:r>
          </w:p>
        </w:tc>
        <w:tc>
          <w:tcPr>
            <w:tcW w:w="5003" w:type="dxa"/>
            <w:vAlign w:val="center"/>
          </w:tcPr>
          <w:p>
            <w:pPr>
              <w:adjustRightInd w:val="0"/>
              <w:snapToGrid w:val="0"/>
              <w:rPr>
                <w:rFonts w:ascii="仿宋" w:hAnsi="仿宋" w:cs="仿宋"/>
              </w:rPr>
            </w:pPr>
            <w:r>
              <w:rPr>
                <w:rFonts w:hint="eastAsia" w:ascii="仿宋" w:hAnsi="仿宋" w:cs="仿宋"/>
              </w:rPr>
              <w:t>付款方式及条件：</w:t>
            </w:r>
          </w:p>
          <w:p>
            <w:pPr>
              <w:adjustRightInd w:val="0"/>
              <w:snapToGrid w:val="0"/>
              <w:rPr>
                <w:rFonts w:ascii="仿宋" w:hAnsi="仿宋" w:cs="仿宋"/>
              </w:rPr>
            </w:pPr>
            <w:r>
              <w:rPr>
                <w:rFonts w:hint="eastAsia" w:ascii="仿宋" w:hAnsi="仿宋" w:cs="仿宋"/>
              </w:rPr>
              <w:t>货物送到指定的地点，安装、调试完毕并经验收合格交付使用后，采购单位支付合同金额的100%。采购单位在支付款项前，中标人应向采购单位开具合法的全额发票。</w:t>
            </w:r>
          </w:p>
        </w:tc>
        <w:tc>
          <w:tcPr>
            <w:tcW w:w="1104" w:type="dxa"/>
            <w:vAlign w:val="center"/>
          </w:tcPr>
          <w:p>
            <w:pPr>
              <w:adjustRightInd w:val="0"/>
              <w:snapToGrid w:val="0"/>
              <w:ind w:right="106" w:rightChars="50"/>
              <w:jc w:val="center"/>
              <w:rPr>
                <w:rFonts w:ascii="仿宋" w:hAnsi="仿宋" w:cs="仿宋"/>
              </w:rPr>
            </w:pPr>
          </w:p>
        </w:tc>
        <w:tc>
          <w:tcPr>
            <w:tcW w:w="926" w:type="dxa"/>
            <w:vAlign w:val="center"/>
          </w:tcPr>
          <w:p>
            <w:pPr>
              <w:adjustRightInd w:val="0"/>
              <w:snapToGrid w:val="0"/>
              <w:ind w:right="106" w:rightChars="50"/>
              <w:jc w:val="center"/>
              <w:rPr>
                <w:rFonts w:ascii="仿宋" w:hAnsi="仿宋" w:cs="仿宋"/>
              </w:rPr>
            </w:pPr>
          </w:p>
        </w:tc>
        <w:tc>
          <w:tcPr>
            <w:tcW w:w="936" w:type="dxa"/>
            <w:vAlign w:val="center"/>
          </w:tcPr>
          <w:p>
            <w:pPr>
              <w:adjustRightInd w:val="0"/>
              <w:snapToGrid w:val="0"/>
              <w:ind w:right="106" w:rightChars="50"/>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adjustRightInd w:val="0"/>
              <w:snapToGrid w:val="0"/>
              <w:jc w:val="center"/>
              <w:rPr>
                <w:rFonts w:ascii="仿宋" w:hAnsi="仿宋" w:cs="仿宋"/>
                <w:b/>
              </w:rPr>
            </w:pPr>
            <w:r>
              <w:rPr>
                <w:rFonts w:hint="eastAsia" w:ascii="仿宋" w:hAnsi="仿宋" w:cs="仿宋"/>
                <w:b/>
              </w:rPr>
              <w:t>★4</w:t>
            </w:r>
          </w:p>
        </w:tc>
        <w:tc>
          <w:tcPr>
            <w:tcW w:w="5003" w:type="dxa"/>
            <w:vAlign w:val="center"/>
          </w:tcPr>
          <w:p>
            <w:pPr>
              <w:pStyle w:val="9"/>
              <w:rPr>
                <w:rFonts w:ascii="仿宋" w:hAnsi="仿宋" w:cs="仿宋"/>
              </w:rPr>
            </w:pPr>
            <w:r>
              <w:rPr>
                <w:rFonts w:hint="eastAsia" w:ascii="仿宋" w:hAnsi="仿宋" w:cs="仿宋"/>
              </w:rPr>
              <w:t>验收标准：执行行业标准。</w:t>
            </w:r>
          </w:p>
          <w:p>
            <w:pPr>
              <w:pStyle w:val="9"/>
              <w:rPr>
                <w:rFonts w:ascii="仿宋" w:hAnsi="仿宋" w:cs="仿宋"/>
              </w:rPr>
            </w:pPr>
            <w:r>
              <w:rPr>
                <w:rFonts w:hint="eastAsia" w:ascii="仿宋" w:hAnsi="仿宋" w:cs="仿宋"/>
              </w:rPr>
              <w:t>验收程序：按相关法律法规执行</w:t>
            </w:r>
          </w:p>
          <w:p>
            <w:pPr>
              <w:pStyle w:val="9"/>
              <w:rPr>
                <w:rFonts w:ascii="仿宋" w:hAnsi="仿宋" w:cs="仿宋"/>
              </w:rPr>
            </w:pPr>
            <w:r>
              <w:rPr>
                <w:rFonts w:hint="eastAsia" w:ascii="仿宋" w:hAnsi="仿宋" w:cs="仿宋"/>
              </w:rPr>
              <w:t>验收报告：按相关法律法规执行</w:t>
            </w:r>
          </w:p>
          <w:p>
            <w:pPr>
              <w:adjustRightInd w:val="0"/>
              <w:snapToGrid w:val="0"/>
              <w:rPr>
                <w:rFonts w:ascii="仿宋" w:hAnsi="仿宋" w:cs="仿宋"/>
              </w:rPr>
            </w:pPr>
            <w:r>
              <w:rPr>
                <w:rFonts w:hint="eastAsia" w:ascii="仿宋" w:hAnsi="仿宋" w:cs="仿宋"/>
              </w:rPr>
              <w:t>组织验收主体：本项目的履约验收工作由采购人依法组织实施</w:t>
            </w:r>
          </w:p>
        </w:tc>
        <w:tc>
          <w:tcPr>
            <w:tcW w:w="1104" w:type="dxa"/>
            <w:vAlign w:val="center"/>
          </w:tcPr>
          <w:p>
            <w:pPr>
              <w:adjustRightInd w:val="0"/>
              <w:snapToGrid w:val="0"/>
              <w:ind w:right="106" w:rightChars="50"/>
              <w:jc w:val="center"/>
              <w:rPr>
                <w:rFonts w:ascii="仿宋" w:hAnsi="仿宋" w:cs="仿宋"/>
              </w:rPr>
            </w:pPr>
          </w:p>
        </w:tc>
        <w:tc>
          <w:tcPr>
            <w:tcW w:w="926" w:type="dxa"/>
            <w:vAlign w:val="center"/>
          </w:tcPr>
          <w:p>
            <w:pPr>
              <w:adjustRightInd w:val="0"/>
              <w:snapToGrid w:val="0"/>
              <w:ind w:right="106" w:rightChars="50"/>
              <w:jc w:val="center"/>
              <w:rPr>
                <w:rFonts w:ascii="仿宋" w:hAnsi="仿宋" w:cs="仿宋"/>
              </w:rPr>
            </w:pPr>
          </w:p>
        </w:tc>
        <w:tc>
          <w:tcPr>
            <w:tcW w:w="936" w:type="dxa"/>
            <w:vAlign w:val="center"/>
          </w:tcPr>
          <w:p>
            <w:pPr>
              <w:adjustRightInd w:val="0"/>
              <w:snapToGrid w:val="0"/>
              <w:ind w:right="106" w:rightChars="50"/>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jc w:val="center"/>
              <w:rPr>
                <w:rFonts w:ascii="仿宋" w:hAnsi="仿宋" w:cs="仿宋"/>
                <w:b/>
              </w:rPr>
            </w:pPr>
            <w:r>
              <w:rPr>
                <w:rFonts w:hint="eastAsia" w:ascii="仿宋" w:hAnsi="仿宋" w:cs="仿宋"/>
                <w:b/>
              </w:rPr>
              <w:t>★5</w:t>
            </w:r>
          </w:p>
        </w:tc>
        <w:tc>
          <w:tcPr>
            <w:tcW w:w="5003" w:type="dxa"/>
            <w:vAlign w:val="center"/>
          </w:tcPr>
          <w:p>
            <w:pPr>
              <w:adjustRightInd w:val="0"/>
              <w:snapToGrid w:val="0"/>
              <w:rPr>
                <w:rFonts w:ascii="仿宋" w:hAnsi="仿宋" w:cs="仿宋"/>
              </w:rPr>
            </w:pPr>
            <w:r>
              <w:rPr>
                <w:rFonts w:hint="eastAsia" w:ascii="仿宋" w:hAnsi="仿宋" w:cs="仿宋"/>
              </w:rPr>
              <w:t>质量保证期：自验收合格后1 年。技术规格偏离表中有特殊要求的按技术规格偏离表中要求执行</w:t>
            </w:r>
          </w:p>
        </w:tc>
        <w:tc>
          <w:tcPr>
            <w:tcW w:w="1104" w:type="dxa"/>
            <w:vAlign w:val="center"/>
          </w:tcPr>
          <w:p>
            <w:pPr>
              <w:adjustRightInd w:val="0"/>
              <w:snapToGrid w:val="0"/>
              <w:ind w:right="106" w:rightChars="50"/>
              <w:jc w:val="center"/>
              <w:rPr>
                <w:rFonts w:ascii="仿宋" w:hAnsi="仿宋" w:cs="仿宋"/>
              </w:rPr>
            </w:pPr>
          </w:p>
        </w:tc>
        <w:tc>
          <w:tcPr>
            <w:tcW w:w="926" w:type="dxa"/>
            <w:vAlign w:val="center"/>
          </w:tcPr>
          <w:p>
            <w:pPr>
              <w:adjustRightInd w:val="0"/>
              <w:snapToGrid w:val="0"/>
              <w:ind w:right="106" w:rightChars="50"/>
              <w:jc w:val="center"/>
              <w:rPr>
                <w:rFonts w:ascii="仿宋" w:hAnsi="仿宋" w:cs="仿宋"/>
              </w:rPr>
            </w:pPr>
          </w:p>
        </w:tc>
        <w:tc>
          <w:tcPr>
            <w:tcW w:w="936" w:type="dxa"/>
            <w:vAlign w:val="center"/>
          </w:tcPr>
          <w:p>
            <w:pPr>
              <w:adjustRightInd w:val="0"/>
              <w:snapToGrid w:val="0"/>
              <w:ind w:right="106" w:rightChars="50"/>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adjustRightInd w:val="0"/>
              <w:snapToGrid w:val="0"/>
              <w:ind w:right="106" w:rightChars="50"/>
              <w:jc w:val="center"/>
              <w:rPr>
                <w:rFonts w:ascii="仿宋" w:hAnsi="仿宋" w:cs="仿宋"/>
                <w:b/>
              </w:rPr>
            </w:pPr>
            <w:r>
              <w:rPr>
                <w:rFonts w:hint="eastAsia" w:ascii="仿宋" w:hAnsi="仿宋" w:cs="仿宋"/>
                <w:b/>
              </w:rPr>
              <w:t>★6</w:t>
            </w:r>
          </w:p>
        </w:tc>
        <w:tc>
          <w:tcPr>
            <w:tcW w:w="5003" w:type="dxa"/>
            <w:vAlign w:val="center"/>
          </w:tcPr>
          <w:p>
            <w:pPr>
              <w:pStyle w:val="9"/>
              <w:rPr>
                <w:rFonts w:ascii="仿宋" w:hAnsi="仿宋" w:cs="仿宋"/>
              </w:rPr>
            </w:pPr>
            <w:r>
              <w:rPr>
                <w:rFonts w:hint="eastAsia" w:ascii="仿宋" w:hAnsi="仿宋" w:cs="仿宋"/>
              </w:rPr>
              <w:t>热线支持：支持</w:t>
            </w:r>
          </w:p>
          <w:p>
            <w:pPr>
              <w:pStyle w:val="9"/>
              <w:rPr>
                <w:rFonts w:ascii="仿宋" w:hAnsi="仿宋" w:cs="仿宋"/>
              </w:rPr>
            </w:pPr>
            <w:r>
              <w:rPr>
                <w:rFonts w:hint="eastAsia" w:ascii="仿宋" w:hAnsi="仿宋" w:cs="仿宋"/>
              </w:rPr>
              <w:t>现场支持：（2）小时内响应；（ 24）小时内到达</w:t>
            </w:r>
          </w:p>
        </w:tc>
        <w:tc>
          <w:tcPr>
            <w:tcW w:w="1104" w:type="dxa"/>
            <w:vAlign w:val="center"/>
          </w:tcPr>
          <w:p>
            <w:pPr>
              <w:adjustRightInd w:val="0"/>
              <w:snapToGrid w:val="0"/>
              <w:ind w:right="106" w:rightChars="50"/>
              <w:jc w:val="center"/>
              <w:rPr>
                <w:rFonts w:ascii="仿宋" w:hAnsi="仿宋" w:cs="仿宋"/>
              </w:rPr>
            </w:pPr>
          </w:p>
        </w:tc>
        <w:tc>
          <w:tcPr>
            <w:tcW w:w="926" w:type="dxa"/>
            <w:vAlign w:val="center"/>
          </w:tcPr>
          <w:p>
            <w:pPr>
              <w:adjustRightInd w:val="0"/>
              <w:snapToGrid w:val="0"/>
              <w:ind w:right="106" w:rightChars="50"/>
              <w:jc w:val="center"/>
              <w:rPr>
                <w:rFonts w:ascii="仿宋" w:hAnsi="仿宋" w:cs="仿宋"/>
              </w:rPr>
            </w:pPr>
          </w:p>
        </w:tc>
        <w:tc>
          <w:tcPr>
            <w:tcW w:w="936" w:type="dxa"/>
            <w:vAlign w:val="center"/>
          </w:tcPr>
          <w:p>
            <w:pPr>
              <w:adjustRightInd w:val="0"/>
              <w:snapToGrid w:val="0"/>
              <w:ind w:right="106" w:rightChars="50"/>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adjustRightInd w:val="0"/>
              <w:snapToGrid w:val="0"/>
              <w:ind w:right="106" w:rightChars="50"/>
              <w:jc w:val="center"/>
              <w:rPr>
                <w:rFonts w:ascii="仿宋" w:hAnsi="仿宋" w:cs="仿宋"/>
                <w:b/>
              </w:rPr>
            </w:pPr>
            <w:r>
              <w:rPr>
                <w:rFonts w:hint="eastAsia" w:ascii="仿宋" w:hAnsi="仿宋" w:cs="仿宋"/>
                <w:b/>
              </w:rPr>
              <w:t>★7</w:t>
            </w:r>
          </w:p>
        </w:tc>
        <w:tc>
          <w:tcPr>
            <w:tcW w:w="5003" w:type="dxa"/>
            <w:vAlign w:val="center"/>
          </w:tcPr>
          <w:p>
            <w:pPr>
              <w:pStyle w:val="9"/>
              <w:rPr>
                <w:rFonts w:ascii="仿宋" w:hAnsi="仿宋" w:cs="仿宋"/>
              </w:rPr>
            </w:pPr>
            <w:r>
              <w:rPr>
                <w:rFonts w:hint="eastAsia" w:ascii="仿宋" w:hAnsi="仿宋" w:cs="仿宋"/>
              </w:rPr>
              <w:t>技术培训</w:t>
            </w:r>
          </w:p>
          <w:p>
            <w:pPr>
              <w:pStyle w:val="9"/>
              <w:rPr>
                <w:rFonts w:ascii="仿宋" w:hAnsi="仿宋" w:cs="仿宋"/>
              </w:rPr>
            </w:pPr>
            <w:r>
              <w:rPr>
                <w:rFonts w:hint="eastAsia" w:ascii="仿宋" w:hAnsi="仿宋" w:cs="仿宋"/>
              </w:rPr>
              <w:t>1.在用户所在地对用户进行不少于1人、为期不少于1天的免费培训。培训内容包括仪器的技术原理、操作、数据处理、基本维护等。</w:t>
            </w:r>
          </w:p>
          <w:p>
            <w:pPr>
              <w:pStyle w:val="9"/>
              <w:rPr>
                <w:rFonts w:ascii="仿宋" w:hAnsi="仿宋" w:cs="仿宋"/>
              </w:rPr>
            </w:pPr>
            <w:r>
              <w:rPr>
                <w:rFonts w:hint="eastAsia" w:ascii="仿宋" w:hAnsi="仿宋" w:cs="仿宋"/>
              </w:rPr>
              <w:t>2.维修响应时间：卖方应在24小时内对用户的服务要求作出响应，一般问题应在48小时内解决，重大问题或其它无法迅速解决的问题应在一周内解决或提出明确解决方案。</w:t>
            </w:r>
          </w:p>
          <w:p>
            <w:pPr>
              <w:pStyle w:val="9"/>
              <w:rPr>
                <w:rFonts w:ascii="仿宋" w:hAnsi="仿宋" w:cs="仿宋"/>
              </w:rPr>
            </w:pPr>
            <w:r>
              <w:rPr>
                <w:rFonts w:hint="eastAsia" w:ascii="仿宋" w:hAnsi="仿宋" w:cs="仿宋"/>
              </w:rPr>
              <w:t>3.软、硬件升级：卖方应免费向用户提供自验收之后未来1年的仪器软件升级和优惠，提供与之相关的硬件升级。</w:t>
            </w:r>
          </w:p>
        </w:tc>
        <w:tc>
          <w:tcPr>
            <w:tcW w:w="1104" w:type="dxa"/>
          </w:tcPr>
          <w:p>
            <w:pPr>
              <w:adjustRightInd w:val="0"/>
              <w:snapToGrid w:val="0"/>
              <w:ind w:right="106" w:rightChars="50"/>
              <w:jc w:val="center"/>
              <w:rPr>
                <w:rFonts w:ascii="仿宋" w:hAnsi="仿宋" w:cs="仿宋"/>
              </w:rPr>
            </w:pPr>
          </w:p>
        </w:tc>
        <w:tc>
          <w:tcPr>
            <w:tcW w:w="926" w:type="dxa"/>
          </w:tcPr>
          <w:p>
            <w:pPr>
              <w:adjustRightInd w:val="0"/>
              <w:snapToGrid w:val="0"/>
              <w:ind w:right="106" w:rightChars="50"/>
              <w:jc w:val="center"/>
              <w:rPr>
                <w:rFonts w:ascii="仿宋" w:hAnsi="仿宋" w:cs="仿宋"/>
              </w:rPr>
            </w:pPr>
          </w:p>
        </w:tc>
        <w:tc>
          <w:tcPr>
            <w:tcW w:w="936" w:type="dxa"/>
          </w:tcPr>
          <w:p>
            <w:pPr>
              <w:adjustRightInd w:val="0"/>
              <w:snapToGrid w:val="0"/>
              <w:ind w:right="106" w:rightChars="50"/>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1" w:type="dxa"/>
            <w:vAlign w:val="center"/>
          </w:tcPr>
          <w:p>
            <w:pPr>
              <w:adjustRightInd w:val="0"/>
              <w:snapToGrid w:val="0"/>
              <w:ind w:right="106" w:rightChars="50"/>
              <w:jc w:val="center"/>
              <w:rPr>
                <w:rFonts w:ascii="仿宋" w:hAnsi="仿宋" w:cs="仿宋"/>
                <w:b/>
              </w:rPr>
            </w:pPr>
            <w:r>
              <w:rPr>
                <w:rFonts w:hint="eastAsia" w:ascii="仿宋" w:hAnsi="仿宋" w:cs="仿宋"/>
                <w:b/>
              </w:rPr>
              <w:t>★8</w:t>
            </w:r>
          </w:p>
        </w:tc>
        <w:tc>
          <w:tcPr>
            <w:tcW w:w="5003" w:type="dxa"/>
            <w:vAlign w:val="center"/>
          </w:tcPr>
          <w:p>
            <w:pPr>
              <w:pStyle w:val="9"/>
              <w:rPr>
                <w:rFonts w:ascii="仿宋" w:hAnsi="仿宋" w:cs="仿宋"/>
              </w:rPr>
            </w:pPr>
            <w:r>
              <w:rPr>
                <w:rFonts w:hint="eastAsia" w:ascii="仿宋" w:hAnsi="仿宋" w:cs="仿宋"/>
              </w:rPr>
              <w:t>售后服务：在质保期内如设备损坏影响使用须提供替代设备，不影响正常实验工作。</w:t>
            </w:r>
          </w:p>
        </w:tc>
        <w:tc>
          <w:tcPr>
            <w:tcW w:w="1104" w:type="dxa"/>
          </w:tcPr>
          <w:p>
            <w:pPr>
              <w:adjustRightInd w:val="0"/>
              <w:snapToGrid w:val="0"/>
              <w:ind w:right="106" w:rightChars="50"/>
              <w:jc w:val="center"/>
              <w:rPr>
                <w:rFonts w:ascii="仿宋" w:hAnsi="仿宋" w:cs="仿宋"/>
              </w:rPr>
            </w:pPr>
          </w:p>
        </w:tc>
        <w:tc>
          <w:tcPr>
            <w:tcW w:w="926" w:type="dxa"/>
          </w:tcPr>
          <w:p>
            <w:pPr>
              <w:adjustRightInd w:val="0"/>
              <w:snapToGrid w:val="0"/>
              <w:ind w:right="106" w:rightChars="50"/>
              <w:jc w:val="center"/>
              <w:rPr>
                <w:rFonts w:ascii="仿宋" w:hAnsi="仿宋" w:cs="仿宋"/>
              </w:rPr>
            </w:pPr>
          </w:p>
        </w:tc>
        <w:tc>
          <w:tcPr>
            <w:tcW w:w="936" w:type="dxa"/>
          </w:tcPr>
          <w:p>
            <w:pPr>
              <w:adjustRightInd w:val="0"/>
              <w:snapToGrid w:val="0"/>
              <w:ind w:right="106" w:rightChars="50"/>
              <w:jc w:val="center"/>
              <w:rPr>
                <w:rFonts w:ascii="仿宋" w:hAnsi="仿宋" w:cs="仿宋"/>
              </w:rPr>
            </w:pPr>
          </w:p>
        </w:tc>
      </w:tr>
    </w:tbl>
    <w:p>
      <w:pPr>
        <w:adjustRightInd w:val="0"/>
        <w:snapToGrid w:val="0"/>
        <w:spacing w:line="360" w:lineRule="auto"/>
        <w:ind w:right="106" w:rightChars="50"/>
        <w:jc w:val="left"/>
        <w:rPr>
          <w:rFonts w:ascii="仿宋" w:hAnsi="仿宋" w:cs="仿宋"/>
        </w:rPr>
      </w:pPr>
      <w:r>
        <w:rPr>
          <w:rFonts w:hint="eastAsia" w:ascii="仿宋" w:hAnsi="仿宋" w:cs="仿宋"/>
          <w:b/>
          <w:bCs/>
        </w:rPr>
        <w:t>填表要求：</w:t>
      </w:r>
    </w:p>
    <w:p>
      <w:pPr>
        <w:adjustRightInd w:val="0"/>
        <w:snapToGrid w:val="0"/>
        <w:rPr>
          <w:rFonts w:ascii="仿宋" w:hAnsi="仿宋" w:cs="仿宋"/>
        </w:rPr>
      </w:pPr>
      <w:r>
        <w:rPr>
          <w:rFonts w:hint="eastAsia" w:ascii="仿宋" w:hAnsi="仿宋" w:cs="仿宋"/>
        </w:rPr>
        <w:t>1．“投标文件响应内容”一栏由投标人按照招标文件要求填写，进行响应。</w:t>
      </w:r>
    </w:p>
    <w:p>
      <w:pPr>
        <w:adjustRightInd w:val="0"/>
        <w:snapToGrid w:val="0"/>
        <w:rPr>
          <w:rFonts w:ascii="仿宋" w:hAnsi="仿宋" w:cs="仿宋"/>
        </w:rPr>
      </w:pPr>
      <w:r>
        <w:rPr>
          <w:rFonts w:hint="eastAsia" w:ascii="仿宋" w:hAnsi="仿宋" w:cs="仿宋"/>
        </w:rPr>
        <w:t>2．“偏离程度”一栏根据“投标文件响应内容”与招标文件逐项对照的结果填写。偏离必须用 “正偏离、负偏离或无偏离”三个名称中的一种进行标注。</w:t>
      </w:r>
    </w:p>
    <w:p>
      <w:pPr>
        <w:adjustRightInd w:val="0"/>
        <w:snapToGrid w:val="0"/>
        <w:rPr>
          <w:rFonts w:ascii="仿宋" w:hAnsi="仿宋" w:cs="仿宋"/>
        </w:rPr>
      </w:pPr>
      <w:r>
        <w:rPr>
          <w:rFonts w:hint="eastAsia" w:ascii="仿宋" w:hAnsi="仿宋" w:cs="仿宋"/>
        </w:rPr>
        <w:t>3．“偏离说明”一栏由投标人对偏离的情况做详细说明。</w:t>
      </w:r>
    </w:p>
    <w:p>
      <w:pPr>
        <w:rPr>
          <w:rFonts w:ascii="仿宋" w:hAnsi="仿宋" w:cs="仿宋"/>
        </w:rPr>
      </w:pPr>
      <w:r>
        <w:rPr>
          <w:rFonts w:hint="eastAsia" w:ascii="仿宋" w:hAnsi="仿宋" w:cs="仿宋"/>
        </w:rPr>
        <w:t>投标人名称（加盖单位公章）：</w:t>
      </w:r>
    </w:p>
    <w:p>
      <w:pPr>
        <w:rPr>
          <w:rFonts w:ascii="仿宋" w:hAnsi="仿宋" w:cs="仿宋"/>
        </w:rPr>
      </w:pPr>
      <w:r>
        <w:rPr>
          <w:rFonts w:hint="eastAsia" w:ascii="仿宋" w:hAnsi="仿宋" w:cs="仿宋"/>
        </w:rPr>
        <w:t>法定代表人（或非法人组织负责人）或其授权委托人(签字或盖章)：</w:t>
      </w:r>
    </w:p>
    <w:p>
      <w:pPr>
        <w:rPr>
          <w:rFonts w:ascii="仿宋" w:hAnsi="仿宋" w:cs="仿宋"/>
        </w:rPr>
      </w:pPr>
      <w:r>
        <w:rPr>
          <w:rFonts w:hint="eastAsia" w:ascii="仿宋" w:hAnsi="仿宋" w:cs="仿宋"/>
        </w:rPr>
        <w:t>日期：</w:t>
      </w:r>
      <w:r>
        <w:rPr>
          <w:rFonts w:hint="eastAsia" w:ascii="仿宋" w:hAnsi="仿宋" w:cs="仿宋"/>
        </w:rPr>
        <w:tab/>
      </w:r>
    </w:p>
    <w:p>
      <w:pPr>
        <w:adjustRightInd w:val="0"/>
        <w:snapToGrid w:val="0"/>
        <w:spacing w:before="319" w:beforeLines="100" w:after="319" w:afterLines="100" w:line="360" w:lineRule="auto"/>
        <w:ind w:right="106" w:rightChars="50"/>
        <w:rPr>
          <w:rFonts w:ascii="仿宋" w:hAnsi="仿宋" w:cs="仿宋"/>
          <w:b/>
          <w:bCs/>
          <w:sz w:val="32"/>
          <w:szCs w:val="32"/>
        </w:rPr>
      </w:pPr>
      <w:bookmarkStart w:id="114" w:name="_Toc9410_WPSOffice_Level2"/>
      <w:bookmarkStart w:id="115" w:name="_Toc20929_WPSOffice_Level2"/>
      <w:r>
        <w:rPr>
          <w:rFonts w:hint="eastAsia" w:ascii="仿宋" w:hAnsi="仿宋" w:cs="仿宋"/>
          <w:b/>
          <w:bCs/>
          <w:sz w:val="32"/>
          <w:szCs w:val="32"/>
        </w:rPr>
        <w:t>格式14</w:t>
      </w:r>
    </w:p>
    <w:p>
      <w:pPr>
        <w:adjustRightInd w:val="0"/>
        <w:snapToGrid w:val="0"/>
        <w:spacing w:before="319" w:beforeLines="100" w:after="319" w:afterLines="100" w:line="360" w:lineRule="auto"/>
        <w:ind w:right="106" w:rightChars="50"/>
        <w:jc w:val="center"/>
        <w:rPr>
          <w:rFonts w:ascii="仿宋" w:hAnsi="仿宋" w:cs="仿宋"/>
          <w:b/>
          <w:bCs/>
          <w:sz w:val="32"/>
          <w:szCs w:val="32"/>
        </w:rPr>
      </w:pPr>
      <w:r>
        <w:rPr>
          <w:rFonts w:hint="eastAsia" w:ascii="仿宋" w:hAnsi="仿宋" w:cs="仿宋"/>
          <w:b/>
          <w:bCs/>
          <w:sz w:val="32"/>
          <w:szCs w:val="32"/>
        </w:rPr>
        <w:t>投标人关联单位的说明</w:t>
      </w:r>
      <w:bookmarkEnd w:id="114"/>
      <w:bookmarkEnd w:id="115"/>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说明：投标人应当如实披露与本单位存在下列关联关系的单位名称：</w:t>
      </w:r>
    </w:p>
    <w:p>
      <w:pPr>
        <w:adjustRightInd w:val="0"/>
        <w:snapToGrid w:val="0"/>
        <w:spacing w:line="360" w:lineRule="auto"/>
        <w:ind w:right="106" w:rightChars="50" w:firstLine="480" w:firstLineChars="227"/>
        <w:jc w:val="left"/>
        <w:rPr>
          <w:rFonts w:ascii="仿宋" w:hAnsi="仿宋" w:cs="仿宋"/>
        </w:rPr>
      </w:pPr>
      <w:bookmarkStart w:id="116" w:name="_Toc2074_WPSOffice_Level2"/>
      <w:bookmarkStart w:id="117" w:name="_Toc31070_WPSOffice_Level2"/>
      <w:r>
        <w:rPr>
          <w:rFonts w:hint="eastAsia" w:ascii="仿宋" w:hAnsi="仿宋" w:cs="仿宋"/>
        </w:rPr>
        <w:t>（1）与投标人单位法定代表人（或非法人组织负责人）为同一人的其他单位；</w:t>
      </w:r>
      <w:bookmarkEnd w:id="116"/>
      <w:bookmarkEnd w:id="117"/>
    </w:p>
    <w:p>
      <w:pPr>
        <w:adjustRightInd w:val="0"/>
        <w:snapToGrid w:val="0"/>
        <w:spacing w:line="360" w:lineRule="auto"/>
        <w:ind w:right="106" w:rightChars="50" w:firstLine="480" w:firstLineChars="227"/>
        <w:jc w:val="left"/>
        <w:rPr>
          <w:rFonts w:ascii="仿宋" w:hAnsi="仿宋" w:cs="仿宋"/>
        </w:rPr>
      </w:pPr>
      <w:bookmarkStart w:id="118" w:name="_Toc27053_WPSOffice_Level2"/>
      <w:bookmarkStart w:id="119" w:name="_Toc889_WPSOffice_Level2"/>
      <w:r>
        <w:rPr>
          <w:rFonts w:hint="eastAsia" w:ascii="仿宋" w:hAnsi="仿宋" w:cs="仿宋"/>
        </w:rPr>
        <w:t>（2）与投标人存在直接控股、管理关系的其他单位。</w:t>
      </w:r>
      <w:bookmarkEnd w:id="118"/>
      <w:bookmarkEnd w:id="119"/>
    </w:p>
    <w:p>
      <w:pPr>
        <w:adjustRightInd w:val="0"/>
        <w:snapToGrid w:val="0"/>
        <w:spacing w:line="360" w:lineRule="auto"/>
        <w:ind w:right="106" w:rightChars="50" w:firstLine="480" w:firstLineChars="227"/>
        <w:jc w:val="left"/>
        <w:rPr>
          <w:rFonts w:ascii="仿宋" w:hAnsi="仿宋" w:cs="仿宋"/>
        </w:rPr>
      </w:pP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注：若无此情形，写“无”即可</w:t>
      </w:r>
    </w:p>
    <w:p>
      <w:pPr>
        <w:adjustRightInd w:val="0"/>
        <w:snapToGrid w:val="0"/>
        <w:spacing w:line="360" w:lineRule="auto"/>
        <w:ind w:right="106" w:rightChars="50" w:firstLine="480" w:firstLineChars="227"/>
        <w:jc w:val="left"/>
        <w:rPr>
          <w:rFonts w:ascii="仿宋" w:hAnsi="仿宋" w:cs="仿宋"/>
        </w:rPr>
      </w:pPr>
    </w:p>
    <w:p>
      <w:pPr>
        <w:adjustRightInd w:val="0"/>
        <w:snapToGrid w:val="0"/>
        <w:spacing w:line="360" w:lineRule="auto"/>
        <w:ind w:right="106" w:rightChars="50" w:firstLine="480" w:firstLineChars="227"/>
        <w:jc w:val="left"/>
        <w:rPr>
          <w:rFonts w:ascii="仿宋" w:hAnsi="仿宋" w:cs="仿宋"/>
        </w:rPr>
      </w:pPr>
    </w:p>
    <w:p>
      <w:pPr>
        <w:adjustRightInd w:val="0"/>
        <w:snapToGrid w:val="0"/>
        <w:spacing w:line="360" w:lineRule="auto"/>
        <w:ind w:right="106" w:rightChars="50" w:firstLine="480" w:firstLineChars="227"/>
        <w:jc w:val="left"/>
        <w:rPr>
          <w:rFonts w:ascii="仿宋" w:hAnsi="仿宋" w:cs="仿宋"/>
        </w:rPr>
      </w:pPr>
    </w:p>
    <w:p>
      <w:pPr>
        <w:adjustRightInd w:val="0"/>
        <w:snapToGrid w:val="0"/>
        <w:spacing w:line="360" w:lineRule="auto"/>
        <w:ind w:right="106" w:rightChars="50" w:firstLine="480" w:firstLineChars="227"/>
        <w:jc w:val="left"/>
        <w:rPr>
          <w:rFonts w:ascii="仿宋" w:hAnsi="仿宋" w:cs="仿宋"/>
        </w:rPr>
      </w:pPr>
    </w:p>
    <w:p>
      <w:pPr>
        <w:adjustRightInd w:val="0"/>
        <w:snapToGrid w:val="0"/>
        <w:spacing w:line="360" w:lineRule="auto"/>
        <w:ind w:right="106" w:rightChars="50" w:firstLine="480" w:firstLineChars="227"/>
        <w:jc w:val="left"/>
        <w:rPr>
          <w:rFonts w:ascii="仿宋" w:hAnsi="仿宋" w:cs="仿宋"/>
        </w:rPr>
      </w:pPr>
    </w:p>
    <w:p>
      <w:pPr>
        <w:spacing w:line="480" w:lineRule="auto"/>
        <w:rPr>
          <w:rFonts w:ascii="仿宋" w:hAnsi="仿宋" w:cs="仿宋"/>
        </w:rPr>
      </w:pPr>
      <w:r>
        <w:rPr>
          <w:rFonts w:hint="eastAsia" w:ascii="仿宋" w:hAnsi="仿宋" w:cs="仿宋"/>
        </w:rPr>
        <w:t>投标人名称（加盖单位公章）：</w:t>
      </w:r>
    </w:p>
    <w:p>
      <w:pPr>
        <w:spacing w:line="480" w:lineRule="auto"/>
        <w:rPr>
          <w:rFonts w:ascii="仿宋" w:hAnsi="仿宋" w:cs="仿宋"/>
        </w:rPr>
      </w:pPr>
      <w:r>
        <w:rPr>
          <w:rFonts w:hint="eastAsia" w:ascii="仿宋" w:hAnsi="仿宋" w:cs="仿宋"/>
        </w:rPr>
        <w:t>法定代表人（或非法人组织负责人）或其授权委托人(签字或盖章)：</w:t>
      </w:r>
    </w:p>
    <w:p>
      <w:pPr>
        <w:spacing w:line="480" w:lineRule="auto"/>
        <w:rPr>
          <w:rFonts w:ascii="仿宋" w:hAnsi="仿宋" w:cs="仿宋"/>
        </w:rPr>
      </w:pPr>
      <w:r>
        <w:rPr>
          <w:rFonts w:hint="eastAsia" w:ascii="仿宋" w:hAnsi="仿宋" w:cs="仿宋"/>
        </w:rPr>
        <w:t>日期：</w:t>
      </w:r>
    </w:p>
    <w:p>
      <w:pPr>
        <w:adjustRightInd w:val="0"/>
        <w:snapToGrid w:val="0"/>
        <w:spacing w:line="360" w:lineRule="auto"/>
        <w:ind w:right="106" w:rightChars="50"/>
        <w:jc w:val="left"/>
        <w:rPr>
          <w:rFonts w:ascii="仿宋" w:hAnsi="仿宋" w:cs="仿宋"/>
        </w:rPr>
      </w:pPr>
    </w:p>
    <w:p>
      <w:pPr>
        <w:adjustRightInd w:val="0"/>
        <w:snapToGrid w:val="0"/>
        <w:spacing w:line="360" w:lineRule="auto"/>
        <w:ind w:right="106" w:rightChars="50"/>
        <w:jc w:val="left"/>
        <w:rPr>
          <w:rFonts w:ascii="仿宋" w:hAnsi="仿宋" w:cs="仿宋"/>
        </w:rPr>
      </w:pPr>
    </w:p>
    <w:p>
      <w:pPr>
        <w:pStyle w:val="32"/>
        <w:rPr>
          <w:rFonts w:ascii="仿宋" w:hAnsi="仿宋" w:eastAsia="仿宋" w:cs="仿宋"/>
        </w:rPr>
      </w:pPr>
      <w:bookmarkStart w:id="120" w:name="_Toc4498_WPSOffice_Level1"/>
      <w:bookmarkStart w:id="121" w:name="_Toc17590"/>
    </w:p>
    <w:p/>
    <w:p>
      <w:pPr>
        <w:pStyle w:val="2"/>
        <w:ind w:firstLine="243"/>
      </w:pPr>
    </w:p>
    <w:p/>
    <w:p>
      <w:pPr>
        <w:pStyle w:val="2"/>
        <w:ind w:firstLine="243"/>
      </w:pPr>
    </w:p>
    <w:p/>
    <w:p>
      <w:pPr>
        <w:pStyle w:val="2"/>
        <w:ind w:firstLine="243"/>
      </w:pPr>
    </w:p>
    <w:p/>
    <w:p>
      <w:pPr>
        <w:pStyle w:val="2"/>
        <w:ind w:firstLine="243"/>
      </w:pPr>
    </w:p>
    <w:p/>
    <w:p>
      <w:pPr>
        <w:pStyle w:val="2"/>
        <w:ind w:firstLine="243"/>
      </w:pPr>
    </w:p>
    <w:p>
      <w:pPr>
        <w:rPr>
          <w:rFonts w:ascii="仿宋" w:hAnsi="仿宋" w:cs="仿宋"/>
        </w:rPr>
      </w:pPr>
    </w:p>
    <w:p>
      <w:pPr>
        <w:adjustRightInd w:val="0"/>
        <w:snapToGrid w:val="0"/>
        <w:spacing w:line="360" w:lineRule="auto"/>
        <w:ind w:right="106" w:rightChars="50"/>
        <w:jc w:val="left"/>
        <w:outlineLvl w:val="1"/>
        <w:rPr>
          <w:rFonts w:ascii="仿宋" w:hAnsi="仿宋" w:cs="仿宋"/>
          <w:b/>
          <w:bCs/>
          <w:sz w:val="28"/>
          <w:szCs w:val="28"/>
        </w:rPr>
      </w:pPr>
      <w:r>
        <w:rPr>
          <w:rFonts w:hint="eastAsia" w:ascii="仿宋" w:hAnsi="仿宋" w:cs="仿宋"/>
          <w:b/>
          <w:bCs/>
          <w:sz w:val="28"/>
          <w:szCs w:val="28"/>
        </w:rPr>
        <w:t>格式15</w:t>
      </w:r>
    </w:p>
    <w:p>
      <w:pPr>
        <w:adjustRightInd w:val="0"/>
        <w:snapToGrid w:val="0"/>
        <w:spacing w:before="319" w:beforeLines="100" w:after="319" w:afterLines="100" w:line="360" w:lineRule="auto"/>
        <w:ind w:right="106" w:rightChars="50"/>
        <w:jc w:val="center"/>
        <w:rPr>
          <w:rFonts w:ascii="仿宋" w:hAnsi="仿宋" w:cs="仿宋"/>
          <w:b/>
          <w:bCs/>
          <w:sz w:val="32"/>
          <w:szCs w:val="32"/>
        </w:rPr>
      </w:pPr>
      <w:r>
        <w:rPr>
          <w:rFonts w:hint="eastAsia" w:ascii="仿宋" w:hAnsi="仿宋" w:cs="仿宋"/>
          <w:b/>
          <w:bCs/>
          <w:sz w:val="32"/>
          <w:szCs w:val="32"/>
        </w:rPr>
        <w:t>中小企业声明函</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 本公司（联合体）郑重声明，根据《政府采购促进中小企业发展管理办法》（财库﹝2020﹞46 号）的规定，本公司（联合体）参加（单位名称）的（项目名称）采购活动，提供的货物</w:t>
      </w:r>
      <w:r>
        <w:rPr>
          <w:rFonts w:hint="eastAsia" w:ascii="仿宋" w:hAnsi="仿宋" w:cs="仿宋"/>
          <w:b/>
          <w:bCs/>
        </w:rPr>
        <w:t>全部</w:t>
      </w:r>
      <w:r>
        <w:rPr>
          <w:rFonts w:hint="eastAsia" w:ascii="仿宋" w:hAnsi="仿宋" w:cs="仿宋"/>
        </w:rPr>
        <w:t>由符合政策要求的</w:t>
      </w:r>
      <w:r>
        <w:rPr>
          <w:rFonts w:hint="eastAsia" w:ascii="仿宋" w:hAnsi="仿宋" w:cs="仿宋"/>
          <w:b/>
        </w:rPr>
        <w:t>中小企业制造</w:t>
      </w:r>
      <w:r>
        <w:rPr>
          <w:rFonts w:hint="eastAsia" w:ascii="仿宋" w:hAnsi="仿宋" w:cs="仿宋"/>
        </w:rPr>
        <w:t xml:space="preserve">。相关企业（含联合体中的中小企业、签订分包意向协议的中小企业）的具体情况如下： </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1.</w:t>
      </w:r>
      <w:r>
        <w:rPr>
          <w:rFonts w:hint="eastAsia" w:ascii="仿宋" w:hAnsi="仿宋" w:cs="仿宋"/>
          <w:u w:val="single"/>
        </w:rPr>
        <w:t xml:space="preserve"> （标的名称） </w:t>
      </w:r>
      <w:r>
        <w:rPr>
          <w:rFonts w:hint="eastAsia" w:ascii="仿宋" w:hAnsi="仿宋" w:cs="仿宋"/>
        </w:rPr>
        <w:t>，属于</w:t>
      </w:r>
      <w:r>
        <w:rPr>
          <w:rFonts w:hint="eastAsia" w:ascii="仿宋" w:hAnsi="仿宋" w:cs="仿宋"/>
          <w:u w:val="single"/>
        </w:rPr>
        <w:t xml:space="preserve">（采购文件中明确的所属行业） </w:t>
      </w:r>
      <w:r>
        <w:rPr>
          <w:rFonts w:hint="eastAsia" w:ascii="仿宋" w:hAnsi="仿宋" w:cs="仿宋"/>
        </w:rPr>
        <w:t>行业；制造商为</w:t>
      </w:r>
      <w:r>
        <w:rPr>
          <w:rFonts w:hint="eastAsia" w:ascii="仿宋" w:hAnsi="仿宋" w:cs="仿宋"/>
          <w:u w:val="single"/>
        </w:rPr>
        <w:t>（企业名称）</w:t>
      </w:r>
      <w:r>
        <w:rPr>
          <w:rFonts w:hint="eastAsia" w:ascii="仿宋" w:hAnsi="仿宋" w:cs="仿宋"/>
        </w:rPr>
        <w:t>，从业人员人，营业收入为万元，资产总额为万元，属于</w:t>
      </w:r>
      <w:r>
        <w:rPr>
          <w:rFonts w:hint="eastAsia" w:ascii="仿宋" w:hAnsi="仿宋" w:cs="仿宋"/>
          <w:u w:val="single"/>
        </w:rPr>
        <w:t>（中型企业、小 型企业、微型企业）</w:t>
      </w:r>
      <w:r>
        <w:rPr>
          <w:rFonts w:hint="eastAsia" w:ascii="仿宋" w:hAnsi="仿宋" w:cs="仿宋"/>
        </w:rPr>
        <w:t xml:space="preserve">； </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2. </w:t>
      </w:r>
      <w:r>
        <w:rPr>
          <w:rFonts w:hint="eastAsia" w:ascii="仿宋" w:hAnsi="仿宋" w:cs="仿宋"/>
          <w:u w:val="single"/>
        </w:rPr>
        <w:t xml:space="preserve">（标的名称） </w:t>
      </w:r>
      <w:r>
        <w:rPr>
          <w:rFonts w:hint="eastAsia" w:ascii="仿宋" w:hAnsi="仿宋" w:cs="仿宋"/>
        </w:rPr>
        <w:t>，属于</w:t>
      </w:r>
      <w:r>
        <w:rPr>
          <w:rFonts w:hint="eastAsia" w:ascii="仿宋" w:hAnsi="仿宋" w:cs="仿宋"/>
          <w:u w:val="single"/>
        </w:rPr>
        <w:t xml:space="preserve">（采购文件中明确的所属行业） </w:t>
      </w:r>
      <w:r>
        <w:rPr>
          <w:rFonts w:hint="eastAsia" w:ascii="仿宋" w:hAnsi="仿宋" w:cs="仿宋"/>
        </w:rPr>
        <w:t>行业；制造商为</w:t>
      </w:r>
      <w:r>
        <w:rPr>
          <w:rFonts w:hint="eastAsia" w:ascii="仿宋" w:hAnsi="仿宋" w:cs="仿宋"/>
          <w:u w:val="single"/>
        </w:rPr>
        <w:t>（企业名称），</w:t>
      </w:r>
      <w:r>
        <w:rPr>
          <w:rFonts w:hint="eastAsia" w:ascii="仿宋" w:hAnsi="仿宋" w:cs="仿宋"/>
        </w:rPr>
        <w:t>从业人员人，营业收入为万元，资产总额为万元，属于</w:t>
      </w:r>
      <w:r>
        <w:rPr>
          <w:rFonts w:hint="eastAsia" w:ascii="仿宋" w:hAnsi="仿宋" w:cs="仿宋"/>
          <w:u w:val="single"/>
        </w:rPr>
        <w:t>（中型企业、小型 企业、微型企业）</w:t>
      </w:r>
      <w:r>
        <w:rPr>
          <w:rFonts w:hint="eastAsia" w:ascii="仿宋" w:hAnsi="仿宋" w:cs="仿宋"/>
        </w:rPr>
        <w:t xml:space="preserve">； </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以上企业，不属于大企业的分支机构，不存在控股股东为大企业的情形，也不存在与大企业的负责人为同一人的情形。</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本企业对上述声明内容的真实性负责。如有虚假，将依法承担相应责任。 </w:t>
      </w:r>
    </w:p>
    <w:p>
      <w:pPr>
        <w:pStyle w:val="47"/>
        <w:ind w:firstLine="243"/>
        <w:rPr>
          <w:rFonts w:ascii="仿宋" w:hAnsi="仿宋" w:eastAsia="仿宋" w:cs="仿宋"/>
        </w:rPr>
      </w:pPr>
    </w:p>
    <w:p>
      <w:pPr>
        <w:spacing w:line="480" w:lineRule="auto"/>
        <w:rPr>
          <w:rFonts w:ascii="仿宋" w:hAnsi="仿宋" w:cs="仿宋"/>
        </w:rPr>
      </w:pPr>
      <w:r>
        <w:rPr>
          <w:rFonts w:hint="eastAsia" w:ascii="仿宋" w:hAnsi="仿宋" w:cs="仿宋"/>
        </w:rPr>
        <w:t>企业名称（盖章）：</w:t>
      </w:r>
    </w:p>
    <w:p>
      <w:pPr>
        <w:spacing w:line="480" w:lineRule="auto"/>
        <w:rPr>
          <w:rFonts w:ascii="仿宋" w:hAnsi="仿宋" w:cs="仿宋"/>
        </w:rPr>
      </w:pPr>
      <w:r>
        <w:rPr>
          <w:rFonts w:hint="eastAsia" w:ascii="仿宋" w:hAnsi="仿宋" w:cs="仿宋"/>
        </w:rPr>
        <w:t>日 期：</w:t>
      </w:r>
    </w:p>
    <w:p>
      <w:pPr>
        <w:spacing w:line="480" w:lineRule="auto"/>
        <w:rPr>
          <w:rFonts w:ascii="仿宋" w:hAnsi="仿宋" w:cs="仿宋"/>
        </w:rPr>
      </w:pPr>
    </w:p>
    <w:p>
      <w:pPr>
        <w:spacing w:line="480" w:lineRule="auto"/>
        <w:rPr>
          <w:rFonts w:ascii="仿宋" w:hAnsi="仿宋" w:cs="仿宋"/>
        </w:rPr>
      </w:pPr>
    </w:p>
    <w:p>
      <w:pPr>
        <w:spacing w:line="480" w:lineRule="auto"/>
        <w:rPr>
          <w:rFonts w:ascii="仿宋" w:hAnsi="仿宋" w:cs="仿宋"/>
        </w:rPr>
      </w:pPr>
    </w:p>
    <w:p>
      <w:pPr>
        <w:spacing w:line="480" w:lineRule="auto"/>
        <w:rPr>
          <w:rFonts w:ascii="仿宋" w:hAnsi="仿宋" w:cs="仿宋"/>
        </w:rPr>
      </w:pPr>
    </w:p>
    <w:p>
      <w:pPr>
        <w:spacing w:line="480" w:lineRule="auto"/>
        <w:rPr>
          <w:rFonts w:ascii="仿宋" w:hAnsi="仿宋" w:cs="仿宋"/>
        </w:rPr>
      </w:pPr>
    </w:p>
    <w:p>
      <w:pPr>
        <w:spacing w:line="480" w:lineRule="auto"/>
        <w:rPr>
          <w:rFonts w:ascii="仿宋" w:hAnsi="仿宋" w:cs="仿宋"/>
        </w:rPr>
      </w:pPr>
    </w:p>
    <w:p>
      <w:pPr>
        <w:pStyle w:val="2"/>
        <w:ind w:firstLine="243"/>
      </w:pPr>
    </w:p>
    <w:p>
      <w:pPr>
        <w:spacing w:line="480" w:lineRule="auto"/>
        <w:rPr>
          <w:rFonts w:ascii="仿宋" w:hAnsi="仿宋" w:cs="仿宋"/>
          <w:b/>
          <w:bCs/>
          <w:sz w:val="28"/>
          <w:szCs w:val="28"/>
        </w:rPr>
      </w:pPr>
      <w:r>
        <w:rPr>
          <w:rFonts w:hint="eastAsia" w:ascii="仿宋" w:hAnsi="仿宋" w:cs="仿宋"/>
          <w:b/>
          <w:bCs/>
          <w:sz w:val="28"/>
          <w:szCs w:val="28"/>
        </w:rPr>
        <w:t>格式16</w:t>
      </w:r>
    </w:p>
    <w:p>
      <w:pPr>
        <w:adjustRightInd w:val="0"/>
        <w:snapToGrid w:val="0"/>
        <w:spacing w:before="319" w:beforeLines="100" w:after="319" w:afterLines="100" w:line="360" w:lineRule="auto"/>
        <w:ind w:right="106" w:rightChars="50"/>
        <w:jc w:val="center"/>
        <w:rPr>
          <w:rFonts w:ascii="仿宋" w:hAnsi="仿宋" w:cs="仿宋"/>
          <w:b/>
          <w:bCs/>
          <w:sz w:val="32"/>
          <w:szCs w:val="32"/>
        </w:rPr>
      </w:pPr>
      <w:r>
        <w:rPr>
          <w:rFonts w:hint="eastAsia" w:ascii="仿宋" w:hAnsi="仿宋" w:cs="仿宋"/>
          <w:b/>
          <w:bCs/>
          <w:sz w:val="32"/>
          <w:szCs w:val="32"/>
        </w:rPr>
        <w:t>残疾人福利性单位声明函</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本单位郑重声明，根据《财政部 民政部 中国残疾人联合会关于促进残疾人就业政府采购政策的通知》（财库〔2017〕141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本单位对上述声明的真实性负责。如有虚假，将依法承担相应责任。</w:t>
      </w:r>
    </w:p>
    <w:tbl>
      <w:tblPr>
        <w:tblStyle w:val="2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vAlign w:val="center"/>
          </w:tcPr>
          <w:p>
            <w:pPr>
              <w:jc w:val="center"/>
              <w:rPr>
                <w:rFonts w:ascii="仿宋" w:hAnsi="仿宋" w:cs="仿宋"/>
              </w:rPr>
            </w:pPr>
            <w:r>
              <w:rPr>
                <w:rFonts w:hint="eastAsia" w:ascii="仿宋" w:hAnsi="仿宋" w:cs="仿宋"/>
              </w:rPr>
              <w:t>序号</w:t>
            </w:r>
          </w:p>
        </w:tc>
        <w:tc>
          <w:tcPr>
            <w:tcW w:w="1582" w:type="dxa"/>
            <w:vAlign w:val="center"/>
          </w:tcPr>
          <w:p>
            <w:pPr>
              <w:jc w:val="center"/>
              <w:rPr>
                <w:rFonts w:ascii="仿宋" w:hAnsi="仿宋" w:cs="仿宋"/>
              </w:rPr>
            </w:pPr>
            <w:r>
              <w:rPr>
                <w:rFonts w:hint="eastAsia" w:ascii="仿宋" w:hAnsi="仿宋" w:cs="仿宋"/>
              </w:rPr>
              <w:t>品  名</w:t>
            </w:r>
          </w:p>
        </w:tc>
        <w:tc>
          <w:tcPr>
            <w:tcW w:w="1587" w:type="dxa"/>
            <w:vAlign w:val="center"/>
          </w:tcPr>
          <w:p>
            <w:pPr>
              <w:widowControl/>
              <w:jc w:val="center"/>
              <w:rPr>
                <w:rFonts w:ascii="仿宋" w:hAnsi="仿宋" w:cs="仿宋"/>
              </w:rPr>
            </w:pPr>
            <w:r>
              <w:rPr>
                <w:rFonts w:hint="eastAsia" w:ascii="仿宋" w:hAnsi="仿宋" w:cs="仿宋"/>
              </w:rPr>
              <w:t>数量</w:t>
            </w:r>
          </w:p>
        </w:tc>
        <w:tc>
          <w:tcPr>
            <w:tcW w:w="1427" w:type="dxa"/>
            <w:vAlign w:val="center"/>
          </w:tcPr>
          <w:p>
            <w:pPr>
              <w:jc w:val="center"/>
              <w:rPr>
                <w:rFonts w:ascii="仿宋" w:hAnsi="仿宋" w:cs="仿宋"/>
              </w:rPr>
            </w:pPr>
            <w:r>
              <w:rPr>
                <w:rFonts w:hint="eastAsia" w:ascii="仿宋" w:hAnsi="仿宋" w:cs="仿宋"/>
              </w:rPr>
              <w:t>规格</w:t>
            </w:r>
          </w:p>
          <w:p>
            <w:pPr>
              <w:jc w:val="center"/>
              <w:rPr>
                <w:rFonts w:ascii="仿宋" w:hAnsi="仿宋" w:cs="仿宋"/>
              </w:rPr>
            </w:pPr>
            <w:r>
              <w:rPr>
                <w:rFonts w:hint="eastAsia" w:ascii="仿宋" w:hAnsi="仿宋" w:cs="仿宋"/>
              </w:rPr>
              <w:t>型号</w:t>
            </w:r>
          </w:p>
        </w:tc>
        <w:tc>
          <w:tcPr>
            <w:tcW w:w="1427" w:type="dxa"/>
            <w:vAlign w:val="center"/>
          </w:tcPr>
          <w:p>
            <w:pPr>
              <w:jc w:val="center"/>
              <w:rPr>
                <w:rFonts w:ascii="仿宋" w:hAnsi="仿宋" w:cs="仿宋"/>
              </w:rPr>
            </w:pPr>
            <w:r>
              <w:rPr>
                <w:rFonts w:hint="eastAsia" w:ascii="仿宋" w:hAnsi="仿宋" w:cs="仿宋"/>
              </w:rPr>
              <w:t>生产</w:t>
            </w:r>
          </w:p>
          <w:p>
            <w:pPr>
              <w:jc w:val="center"/>
              <w:rPr>
                <w:rFonts w:ascii="仿宋" w:hAnsi="仿宋" w:cs="仿宋"/>
              </w:rPr>
            </w:pPr>
            <w:r>
              <w:rPr>
                <w:rFonts w:hint="eastAsia" w:ascii="仿宋" w:hAnsi="仿宋" w:cs="仿宋"/>
              </w:rPr>
              <w:t>厂家</w:t>
            </w:r>
          </w:p>
        </w:tc>
        <w:tc>
          <w:tcPr>
            <w:tcW w:w="1344" w:type="dxa"/>
            <w:vAlign w:val="center"/>
          </w:tcPr>
          <w:p>
            <w:pPr>
              <w:jc w:val="center"/>
              <w:rPr>
                <w:rFonts w:ascii="仿宋" w:hAnsi="仿宋" w:cs="仿宋"/>
              </w:rPr>
            </w:pPr>
            <w:r>
              <w:rPr>
                <w:rFonts w:hint="eastAsia" w:ascii="仿宋" w:hAnsi="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rPr>
            </w:pPr>
            <w:r>
              <w:rPr>
                <w:rFonts w:hint="eastAsia" w:ascii="仿宋" w:hAnsi="仿宋" w:cs="仿宋"/>
              </w:rPr>
              <w:t>1</w:t>
            </w:r>
          </w:p>
        </w:tc>
        <w:tc>
          <w:tcPr>
            <w:tcW w:w="1582" w:type="dxa"/>
            <w:vAlign w:val="center"/>
          </w:tcPr>
          <w:p>
            <w:pPr>
              <w:jc w:val="center"/>
              <w:rPr>
                <w:rFonts w:ascii="仿宋" w:hAnsi="仿宋" w:cs="仿宋"/>
              </w:rPr>
            </w:pPr>
          </w:p>
        </w:tc>
        <w:tc>
          <w:tcPr>
            <w:tcW w:w="158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344" w:type="dxa"/>
            <w:vAlign w:val="center"/>
          </w:tcPr>
          <w:p>
            <w:pPr>
              <w:spacing w:line="360" w:lineRule="auto"/>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rPr>
            </w:pPr>
            <w:r>
              <w:rPr>
                <w:rFonts w:hint="eastAsia" w:ascii="仿宋" w:hAnsi="仿宋" w:cs="仿宋"/>
              </w:rPr>
              <w:t>2</w:t>
            </w:r>
          </w:p>
        </w:tc>
        <w:tc>
          <w:tcPr>
            <w:tcW w:w="1582" w:type="dxa"/>
            <w:vAlign w:val="center"/>
          </w:tcPr>
          <w:p>
            <w:pPr>
              <w:jc w:val="center"/>
              <w:rPr>
                <w:rFonts w:ascii="仿宋" w:hAnsi="仿宋" w:cs="仿宋"/>
              </w:rPr>
            </w:pPr>
          </w:p>
        </w:tc>
        <w:tc>
          <w:tcPr>
            <w:tcW w:w="158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344" w:type="dxa"/>
            <w:vAlign w:val="center"/>
          </w:tcPr>
          <w:p>
            <w:pPr>
              <w:spacing w:line="360" w:lineRule="auto"/>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rPr>
            </w:pPr>
            <w:r>
              <w:rPr>
                <w:rFonts w:hint="eastAsia" w:ascii="仿宋" w:hAnsi="仿宋" w:cs="仿宋"/>
              </w:rPr>
              <w:t>3</w:t>
            </w:r>
          </w:p>
        </w:tc>
        <w:tc>
          <w:tcPr>
            <w:tcW w:w="1582" w:type="dxa"/>
            <w:vAlign w:val="center"/>
          </w:tcPr>
          <w:p>
            <w:pPr>
              <w:jc w:val="center"/>
              <w:rPr>
                <w:rFonts w:ascii="仿宋" w:hAnsi="仿宋" w:cs="仿宋"/>
              </w:rPr>
            </w:pPr>
          </w:p>
        </w:tc>
        <w:tc>
          <w:tcPr>
            <w:tcW w:w="158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344" w:type="dxa"/>
            <w:vAlign w:val="center"/>
          </w:tcPr>
          <w:p>
            <w:pPr>
              <w:spacing w:line="360" w:lineRule="auto"/>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vAlign w:val="center"/>
          </w:tcPr>
          <w:p>
            <w:pPr>
              <w:jc w:val="center"/>
              <w:rPr>
                <w:rFonts w:ascii="仿宋" w:hAnsi="仿宋" w:cs="仿宋"/>
              </w:rPr>
            </w:pPr>
            <w:r>
              <w:rPr>
                <w:rFonts w:hint="eastAsia" w:ascii="仿宋" w:hAnsi="仿宋" w:cs="仿宋"/>
              </w:rPr>
              <w:t>……</w:t>
            </w:r>
          </w:p>
        </w:tc>
        <w:tc>
          <w:tcPr>
            <w:tcW w:w="1582" w:type="dxa"/>
            <w:vAlign w:val="center"/>
          </w:tcPr>
          <w:p>
            <w:pPr>
              <w:jc w:val="center"/>
              <w:rPr>
                <w:rFonts w:ascii="仿宋" w:hAnsi="仿宋" w:cs="仿宋"/>
              </w:rPr>
            </w:pPr>
          </w:p>
        </w:tc>
        <w:tc>
          <w:tcPr>
            <w:tcW w:w="158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427" w:type="dxa"/>
            <w:vAlign w:val="center"/>
          </w:tcPr>
          <w:p>
            <w:pPr>
              <w:jc w:val="center"/>
              <w:rPr>
                <w:rFonts w:ascii="仿宋" w:hAnsi="仿宋" w:cs="仿宋"/>
              </w:rPr>
            </w:pPr>
          </w:p>
        </w:tc>
        <w:tc>
          <w:tcPr>
            <w:tcW w:w="1344" w:type="dxa"/>
            <w:vAlign w:val="center"/>
          </w:tcPr>
          <w:p>
            <w:pPr>
              <w:spacing w:line="360" w:lineRule="auto"/>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vAlign w:val="center"/>
          </w:tcPr>
          <w:p>
            <w:pPr>
              <w:ind w:firstLine="424" w:firstLineChars="200"/>
              <w:jc w:val="left"/>
              <w:rPr>
                <w:rFonts w:ascii="仿宋" w:hAnsi="仿宋" w:cs="仿宋"/>
              </w:rPr>
            </w:pPr>
            <w:r>
              <w:rPr>
                <w:rFonts w:hint="eastAsia" w:ascii="仿宋" w:hAnsi="仿宋" w:cs="仿宋"/>
                <w:b/>
                <w:bCs/>
                <w:lang w:val="zh-CN"/>
              </w:rPr>
              <w:t>投标文件中所提供投标的以上伴随产品为我单位生产的产品，</w:t>
            </w:r>
            <w:r>
              <w:rPr>
                <w:rFonts w:hint="eastAsia" w:ascii="仿宋" w:hAnsi="仿宋" w:cs="仿宋"/>
                <w:b/>
                <w:bCs/>
              </w:rPr>
              <w:t>如有虚假</w:t>
            </w:r>
            <w:r>
              <w:rPr>
                <w:rFonts w:hint="eastAsia" w:ascii="仿宋" w:hAnsi="仿宋" w:cs="仿宋"/>
                <w:b/>
                <w:bCs/>
                <w:lang w:val="zh-CN"/>
              </w:rPr>
              <w:t>，我单位承担由此产生的一切后果</w:t>
            </w:r>
            <w:r>
              <w:rPr>
                <w:rFonts w:hint="eastAsia" w:ascii="仿宋" w:hAnsi="仿宋" w:cs="仿宋"/>
                <w:lang w:val="zh-CN"/>
              </w:rPr>
              <w:t>。</w:t>
            </w:r>
          </w:p>
        </w:tc>
      </w:tr>
    </w:tbl>
    <w:p>
      <w:pPr>
        <w:adjustRightInd w:val="0"/>
        <w:snapToGrid w:val="0"/>
        <w:spacing w:line="360" w:lineRule="auto"/>
        <w:ind w:right="106" w:rightChars="50" w:firstLine="480" w:firstLineChars="227"/>
        <w:jc w:val="left"/>
        <w:rPr>
          <w:rFonts w:ascii="仿宋" w:hAnsi="仿宋" w:cs="仿宋"/>
        </w:rPr>
      </w:pP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注：1、供应商为非残疾人福利性单位的，无需填写此声明函。</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    2、仅为本项目提供服务，未提供服务所伴随产品的，此表格可不填写。</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    3、如为本项目提供本单位伴随产品的，请填写此表格。</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    4、如为本项目提供的伴随产品是其他单位生产的，无需填写此表格，但需生产单位按此格式出具此声明。</w:t>
      </w:r>
    </w:p>
    <w:p>
      <w:pPr>
        <w:adjustRightInd w:val="0"/>
        <w:snapToGrid w:val="0"/>
        <w:spacing w:line="360" w:lineRule="auto"/>
        <w:ind w:right="106" w:rightChars="50"/>
        <w:jc w:val="left"/>
        <w:rPr>
          <w:rFonts w:ascii="仿宋" w:hAnsi="仿宋" w:cs="仿宋"/>
        </w:rPr>
      </w:pPr>
    </w:p>
    <w:p>
      <w:pPr>
        <w:adjustRightInd w:val="0"/>
        <w:snapToGrid w:val="0"/>
        <w:spacing w:line="360" w:lineRule="auto"/>
        <w:ind w:right="106" w:rightChars="50"/>
        <w:jc w:val="left"/>
        <w:rPr>
          <w:rFonts w:ascii="仿宋" w:hAnsi="仿宋" w:cs="仿宋"/>
        </w:rPr>
      </w:pPr>
    </w:p>
    <w:p>
      <w:pPr>
        <w:adjustRightInd w:val="0"/>
        <w:snapToGrid w:val="0"/>
        <w:spacing w:line="360" w:lineRule="auto"/>
        <w:ind w:right="106" w:rightChars="50"/>
        <w:jc w:val="left"/>
        <w:rPr>
          <w:rFonts w:ascii="仿宋" w:hAnsi="仿宋" w:cs="仿宋"/>
        </w:rPr>
      </w:pPr>
    </w:p>
    <w:p>
      <w:pPr>
        <w:adjustRightInd w:val="0"/>
        <w:snapToGrid w:val="0"/>
        <w:spacing w:line="480" w:lineRule="auto"/>
        <w:ind w:right="106" w:rightChars="50"/>
        <w:jc w:val="left"/>
        <w:rPr>
          <w:rFonts w:ascii="仿宋" w:hAnsi="仿宋" w:cs="仿宋"/>
        </w:rPr>
      </w:pPr>
      <w:r>
        <w:rPr>
          <w:rFonts w:hint="eastAsia" w:ascii="仿宋" w:hAnsi="仿宋" w:cs="仿宋"/>
        </w:rPr>
        <w:t>投标人名称（加盖单位公章）：</w:t>
      </w:r>
    </w:p>
    <w:p>
      <w:pPr>
        <w:adjustRightInd w:val="0"/>
        <w:snapToGrid w:val="0"/>
        <w:spacing w:line="480" w:lineRule="auto"/>
        <w:ind w:right="106" w:rightChars="50"/>
        <w:jc w:val="left"/>
        <w:rPr>
          <w:rFonts w:ascii="仿宋" w:hAnsi="仿宋" w:cs="仿宋"/>
          <w:b/>
          <w:bCs/>
          <w:sz w:val="28"/>
          <w:szCs w:val="28"/>
        </w:rPr>
      </w:pPr>
      <w:r>
        <w:rPr>
          <w:rFonts w:hint="eastAsia" w:ascii="仿宋" w:hAnsi="仿宋" w:cs="仿宋"/>
        </w:rPr>
        <w:t>日 期：</w:t>
      </w:r>
    </w:p>
    <w:p>
      <w:pPr>
        <w:rPr>
          <w:rFonts w:ascii="仿宋" w:hAnsi="仿宋" w:cs="仿宋"/>
        </w:rPr>
      </w:pPr>
    </w:p>
    <w:p>
      <w:pPr>
        <w:pStyle w:val="32"/>
        <w:rPr>
          <w:rFonts w:ascii="仿宋" w:hAnsi="仿宋" w:eastAsia="仿宋" w:cs="仿宋"/>
        </w:rPr>
      </w:pPr>
    </w:p>
    <w:p>
      <w:pPr>
        <w:rPr>
          <w:rFonts w:ascii="仿宋" w:hAnsi="仿宋" w:cs="仿宋"/>
        </w:rPr>
      </w:pPr>
    </w:p>
    <w:p>
      <w:pPr>
        <w:pStyle w:val="2"/>
        <w:ind w:firstLine="243"/>
      </w:pPr>
    </w:p>
    <w:p>
      <w:pPr>
        <w:adjustRightInd w:val="0"/>
        <w:snapToGrid w:val="0"/>
        <w:spacing w:line="360" w:lineRule="auto"/>
        <w:ind w:right="106" w:rightChars="50"/>
        <w:jc w:val="left"/>
        <w:outlineLvl w:val="1"/>
        <w:rPr>
          <w:rFonts w:ascii="仿宋" w:hAnsi="仿宋" w:cs="仿宋"/>
          <w:b/>
          <w:bCs/>
          <w:sz w:val="28"/>
          <w:szCs w:val="28"/>
        </w:rPr>
      </w:pPr>
      <w:r>
        <w:rPr>
          <w:rFonts w:hint="eastAsia" w:ascii="仿宋" w:hAnsi="仿宋" w:cs="仿宋"/>
          <w:b/>
          <w:bCs/>
          <w:sz w:val="28"/>
          <w:szCs w:val="28"/>
        </w:rPr>
        <w:t>格式17</w:t>
      </w:r>
    </w:p>
    <w:p>
      <w:pPr>
        <w:adjustRightInd w:val="0"/>
        <w:snapToGrid w:val="0"/>
        <w:spacing w:before="319" w:beforeLines="100" w:after="319" w:afterLines="100" w:line="360" w:lineRule="auto"/>
        <w:ind w:right="106" w:rightChars="50"/>
        <w:jc w:val="center"/>
        <w:rPr>
          <w:rFonts w:ascii="仿宋" w:hAnsi="仿宋" w:cs="仿宋"/>
          <w:b/>
          <w:bCs/>
          <w:sz w:val="32"/>
          <w:szCs w:val="32"/>
        </w:rPr>
      </w:pPr>
      <w:r>
        <w:rPr>
          <w:rFonts w:hint="eastAsia" w:ascii="仿宋" w:hAnsi="仿宋" w:cs="仿宋"/>
          <w:b/>
          <w:bCs/>
          <w:sz w:val="32"/>
          <w:szCs w:val="32"/>
        </w:rPr>
        <w:t>声明函（001、002包供应商须提供）</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 本公司（联合体）郑重声明，根据《政府采购促进中小企业发展管理办法》（财库﹝2020﹞46 号）的规定，本公司（联合体）参加（单位名称）的（项目名称）采购活动，提供的货物</w:t>
      </w:r>
      <w:r>
        <w:rPr>
          <w:rFonts w:hint="eastAsia" w:ascii="仿宋" w:hAnsi="仿宋" w:cs="仿宋"/>
          <w:b/>
          <w:bCs/>
          <w:u w:val="single"/>
        </w:rPr>
        <w:t>60</w:t>
      </w:r>
      <w:r>
        <w:rPr>
          <w:rFonts w:hint="eastAsia" w:ascii="仿宋" w:hAnsi="仿宋" w:cs="仿宋"/>
          <w:b/>
          <w:bCs/>
        </w:rPr>
        <w:t>%以上</w:t>
      </w:r>
      <w:r>
        <w:rPr>
          <w:rFonts w:hint="eastAsia" w:ascii="仿宋" w:hAnsi="仿宋" w:cs="仿宋"/>
        </w:rPr>
        <w:t xml:space="preserve">由符合政策要求的中小企业制造。相关企业（含联合体中的中小企业、签订分包意向协议的中小企业）的具体情况如下： </w:t>
      </w:r>
    </w:p>
    <w:tbl>
      <w:tblPr>
        <w:tblStyle w:val="22"/>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707"/>
        <w:gridCol w:w="707"/>
        <w:gridCol w:w="848"/>
        <w:gridCol w:w="989"/>
        <w:gridCol w:w="1272"/>
        <w:gridCol w:w="1271"/>
        <w:gridCol w:w="1414"/>
        <w:gridCol w:w="84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565"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序号</w:t>
            </w:r>
          </w:p>
        </w:tc>
        <w:tc>
          <w:tcPr>
            <w:tcW w:w="707"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产品名称</w:t>
            </w:r>
          </w:p>
        </w:tc>
        <w:tc>
          <w:tcPr>
            <w:tcW w:w="707"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所属行业</w:t>
            </w:r>
          </w:p>
        </w:tc>
        <w:tc>
          <w:tcPr>
            <w:tcW w:w="848"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制造商名称</w:t>
            </w:r>
          </w:p>
        </w:tc>
        <w:tc>
          <w:tcPr>
            <w:tcW w:w="989"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从业人员</w:t>
            </w:r>
          </w:p>
        </w:tc>
        <w:tc>
          <w:tcPr>
            <w:tcW w:w="1272"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营业收入（万元）</w:t>
            </w:r>
          </w:p>
        </w:tc>
        <w:tc>
          <w:tcPr>
            <w:tcW w:w="1271"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资产总额（万元）</w:t>
            </w:r>
          </w:p>
        </w:tc>
        <w:tc>
          <w:tcPr>
            <w:tcW w:w="1414"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企业类型（中型或小型或微型）</w:t>
            </w:r>
          </w:p>
        </w:tc>
        <w:tc>
          <w:tcPr>
            <w:tcW w:w="847"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数量</w:t>
            </w:r>
          </w:p>
        </w:tc>
        <w:tc>
          <w:tcPr>
            <w:tcW w:w="1445" w:type="dxa"/>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总价</w:t>
            </w:r>
          </w:p>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5"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848" w:type="dxa"/>
            <w:vAlign w:val="center"/>
          </w:tcPr>
          <w:p>
            <w:pPr>
              <w:pStyle w:val="2"/>
              <w:spacing w:after="0" w:line="240" w:lineRule="auto"/>
              <w:ind w:firstLine="0" w:firstLineChars="0"/>
              <w:rPr>
                <w:rFonts w:ascii="仿宋" w:hAnsi="仿宋" w:eastAsia="仿宋"/>
                <w:sz w:val="21"/>
                <w:szCs w:val="21"/>
              </w:rPr>
            </w:pPr>
          </w:p>
        </w:tc>
        <w:tc>
          <w:tcPr>
            <w:tcW w:w="989" w:type="dxa"/>
            <w:vAlign w:val="center"/>
          </w:tcPr>
          <w:p>
            <w:pPr>
              <w:pStyle w:val="2"/>
              <w:spacing w:after="0" w:line="240" w:lineRule="auto"/>
              <w:ind w:firstLine="0" w:firstLineChars="0"/>
              <w:rPr>
                <w:rFonts w:ascii="仿宋" w:hAnsi="仿宋" w:eastAsia="仿宋"/>
                <w:sz w:val="21"/>
                <w:szCs w:val="21"/>
              </w:rPr>
            </w:pPr>
          </w:p>
        </w:tc>
        <w:tc>
          <w:tcPr>
            <w:tcW w:w="1272" w:type="dxa"/>
            <w:vAlign w:val="center"/>
          </w:tcPr>
          <w:p>
            <w:pPr>
              <w:pStyle w:val="2"/>
              <w:spacing w:after="0" w:line="240" w:lineRule="auto"/>
              <w:ind w:firstLine="0" w:firstLineChars="0"/>
              <w:rPr>
                <w:rFonts w:ascii="仿宋" w:hAnsi="仿宋" w:eastAsia="仿宋"/>
                <w:sz w:val="21"/>
                <w:szCs w:val="21"/>
              </w:rPr>
            </w:pPr>
          </w:p>
        </w:tc>
        <w:tc>
          <w:tcPr>
            <w:tcW w:w="1271" w:type="dxa"/>
            <w:vAlign w:val="center"/>
          </w:tcPr>
          <w:p>
            <w:pPr>
              <w:pStyle w:val="2"/>
              <w:spacing w:after="0" w:line="240" w:lineRule="auto"/>
              <w:ind w:firstLine="0" w:firstLineChars="0"/>
              <w:rPr>
                <w:rFonts w:ascii="仿宋" w:hAnsi="仿宋" w:eastAsia="仿宋"/>
                <w:sz w:val="21"/>
                <w:szCs w:val="21"/>
              </w:rPr>
            </w:pPr>
          </w:p>
        </w:tc>
        <w:tc>
          <w:tcPr>
            <w:tcW w:w="1414" w:type="dxa"/>
            <w:vAlign w:val="center"/>
          </w:tcPr>
          <w:p>
            <w:pPr>
              <w:pStyle w:val="2"/>
              <w:spacing w:after="0" w:line="240" w:lineRule="auto"/>
              <w:ind w:firstLine="0" w:firstLineChars="0"/>
              <w:rPr>
                <w:rFonts w:ascii="仿宋" w:hAnsi="仿宋" w:eastAsia="仿宋"/>
                <w:sz w:val="21"/>
                <w:szCs w:val="21"/>
              </w:rPr>
            </w:pPr>
          </w:p>
        </w:tc>
        <w:tc>
          <w:tcPr>
            <w:tcW w:w="847" w:type="dxa"/>
            <w:vAlign w:val="center"/>
          </w:tcPr>
          <w:p>
            <w:pPr>
              <w:pStyle w:val="2"/>
              <w:spacing w:after="0" w:line="240" w:lineRule="auto"/>
              <w:ind w:firstLine="0" w:firstLineChars="0"/>
              <w:rPr>
                <w:rFonts w:ascii="仿宋" w:hAnsi="仿宋" w:eastAsia="仿宋"/>
                <w:sz w:val="21"/>
                <w:szCs w:val="21"/>
              </w:rPr>
            </w:pPr>
          </w:p>
        </w:tc>
        <w:tc>
          <w:tcPr>
            <w:tcW w:w="1445" w:type="dxa"/>
            <w:vAlign w:val="center"/>
          </w:tcPr>
          <w:p>
            <w:pPr>
              <w:pStyle w:val="2"/>
              <w:spacing w:after="0" w:line="240" w:lineRule="auto"/>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5"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848" w:type="dxa"/>
            <w:vAlign w:val="center"/>
          </w:tcPr>
          <w:p>
            <w:pPr>
              <w:pStyle w:val="2"/>
              <w:spacing w:after="0" w:line="240" w:lineRule="auto"/>
              <w:ind w:firstLine="0" w:firstLineChars="0"/>
              <w:rPr>
                <w:rFonts w:ascii="仿宋" w:hAnsi="仿宋" w:eastAsia="仿宋"/>
                <w:sz w:val="21"/>
                <w:szCs w:val="21"/>
              </w:rPr>
            </w:pPr>
          </w:p>
        </w:tc>
        <w:tc>
          <w:tcPr>
            <w:tcW w:w="989" w:type="dxa"/>
            <w:vAlign w:val="center"/>
          </w:tcPr>
          <w:p>
            <w:pPr>
              <w:pStyle w:val="2"/>
              <w:spacing w:after="0" w:line="240" w:lineRule="auto"/>
              <w:ind w:firstLine="0" w:firstLineChars="0"/>
              <w:rPr>
                <w:rFonts w:ascii="仿宋" w:hAnsi="仿宋" w:eastAsia="仿宋"/>
                <w:sz w:val="21"/>
                <w:szCs w:val="21"/>
              </w:rPr>
            </w:pPr>
          </w:p>
        </w:tc>
        <w:tc>
          <w:tcPr>
            <w:tcW w:w="1272" w:type="dxa"/>
            <w:vAlign w:val="center"/>
          </w:tcPr>
          <w:p>
            <w:pPr>
              <w:pStyle w:val="2"/>
              <w:spacing w:after="0" w:line="240" w:lineRule="auto"/>
              <w:ind w:firstLine="0" w:firstLineChars="0"/>
              <w:rPr>
                <w:rFonts w:ascii="仿宋" w:hAnsi="仿宋" w:eastAsia="仿宋"/>
                <w:sz w:val="21"/>
                <w:szCs w:val="21"/>
              </w:rPr>
            </w:pPr>
          </w:p>
        </w:tc>
        <w:tc>
          <w:tcPr>
            <w:tcW w:w="1271" w:type="dxa"/>
            <w:vAlign w:val="center"/>
          </w:tcPr>
          <w:p>
            <w:pPr>
              <w:pStyle w:val="2"/>
              <w:spacing w:after="0" w:line="240" w:lineRule="auto"/>
              <w:ind w:firstLine="0" w:firstLineChars="0"/>
              <w:rPr>
                <w:rFonts w:ascii="仿宋" w:hAnsi="仿宋" w:eastAsia="仿宋"/>
                <w:sz w:val="21"/>
                <w:szCs w:val="21"/>
              </w:rPr>
            </w:pPr>
          </w:p>
        </w:tc>
        <w:tc>
          <w:tcPr>
            <w:tcW w:w="1414" w:type="dxa"/>
            <w:vAlign w:val="center"/>
          </w:tcPr>
          <w:p>
            <w:pPr>
              <w:pStyle w:val="2"/>
              <w:spacing w:after="0" w:line="240" w:lineRule="auto"/>
              <w:ind w:firstLine="0" w:firstLineChars="0"/>
              <w:rPr>
                <w:rFonts w:ascii="仿宋" w:hAnsi="仿宋" w:eastAsia="仿宋"/>
                <w:sz w:val="21"/>
                <w:szCs w:val="21"/>
              </w:rPr>
            </w:pPr>
          </w:p>
        </w:tc>
        <w:tc>
          <w:tcPr>
            <w:tcW w:w="847" w:type="dxa"/>
            <w:vAlign w:val="center"/>
          </w:tcPr>
          <w:p>
            <w:pPr>
              <w:pStyle w:val="2"/>
              <w:spacing w:after="0" w:line="240" w:lineRule="auto"/>
              <w:ind w:firstLine="0" w:firstLineChars="0"/>
              <w:rPr>
                <w:rFonts w:ascii="仿宋" w:hAnsi="仿宋" w:eastAsia="仿宋"/>
                <w:sz w:val="21"/>
                <w:szCs w:val="21"/>
              </w:rPr>
            </w:pPr>
          </w:p>
        </w:tc>
        <w:tc>
          <w:tcPr>
            <w:tcW w:w="1445" w:type="dxa"/>
            <w:vAlign w:val="center"/>
          </w:tcPr>
          <w:p>
            <w:pPr>
              <w:pStyle w:val="2"/>
              <w:spacing w:after="0" w:line="240" w:lineRule="auto"/>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5"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848" w:type="dxa"/>
            <w:vAlign w:val="center"/>
          </w:tcPr>
          <w:p>
            <w:pPr>
              <w:pStyle w:val="2"/>
              <w:spacing w:after="0" w:line="240" w:lineRule="auto"/>
              <w:ind w:firstLine="0" w:firstLineChars="0"/>
              <w:rPr>
                <w:rFonts w:ascii="仿宋" w:hAnsi="仿宋" w:eastAsia="仿宋"/>
                <w:sz w:val="21"/>
                <w:szCs w:val="21"/>
              </w:rPr>
            </w:pPr>
          </w:p>
        </w:tc>
        <w:tc>
          <w:tcPr>
            <w:tcW w:w="989" w:type="dxa"/>
            <w:vAlign w:val="center"/>
          </w:tcPr>
          <w:p>
            <w:pPr>
              <w:pStyle w:val="2"/>
              <w:spacing w:after="0" w:line="240" w:lineRule="auto"/>
              <w:ind w:firstLine="0" w:firstLineChars="0"/>
              <w:rPr>
                <w:rFonts w:ascii="仿宋" w:hAnsi="仿宋" w:eastAsia="仿宋"/>
                <w:sz w:val="21"/>
                <w:szCs w:val="21"/>
              </w:rPr>
            </w:pPr>
          </w:p>
        </w:tc>
        <w:tc>
          <w:tcPr>
            <w:tcW w:w="1272" w:type="dxa"/>
            <w:vAlign w:val="center"/>
          </w:tcPr>
          <w:p>
            <w:pPr>
              <w:pStyle w:val="2"/>
              <w:spacing w:after="0" w:line="240" w:lineRule="auto"/>
              <w:ind w:firstLine="0" w:firstLineChars="0"/>
              <w:rPr>
                <w:rFonts w:ascii="仿宋" w:hAnsi="仿宋" w:eastAsia="仿宋"/>
                <w:sz w:val="21"/>
                <w:szCs w:val="21"/>
              </w:rPr>
            </w:pPr>
          </w:p>
        </w:tc>
        <w:tc>
          <w:tcPr>
            <w:tcW w:w="1271" w:type="dxa"/>
            <w:vAlign w:val="center"/>
          </w:tcPr>
          <w:p>
            <w:pPr>
              <w:pStyle w:val="2"/>
              <w:spacing w:after="0" w:line="240" w:lineRule="auto"/>
              <w:ind w:firstLine="0" w:firstLineChars="0"/>
              <w:rPr>
                <w:rFonts w:ascii="仿宋" w:hAnsi="仿宋" w:eastAsia="仿宋"/>
                <w:sz w:val="21"/>
                <w:szCs w:val="21"/>
              </w:rPr>
            </w:pPr>
          </w:p>
        </w:tc>
        <w:tc>
          <w:tcPr>
            <w:tcW w:w="1414" w:type="dxa"/>
            <w:vAlign w:val="center"/>
          </w:tcPr>
          <w:p>
            <w:pPr>
              <w:pStyle w:val="2"/>
              <w:spacing w:after="0" w:line="240" w:lineRule="auto"/>
              <w:ind w:firstLine="0" w:firstLineChars="0"/>
              <w:rPr>
                <w:rFonts w:ascii="仿宋" w:hAnsi="仿宋" w:eastAsia="仿宋"/>
                <w:sz w:val="21"/>
                <w:szCs w:val="21"/>
              </w:rPr>
            </w:pPr>
          </w:p>
        </w:tc>
        <w:tc>
          <w:tcPr>
            <w:tcW w:w="847" w:type="dxa"/>
            <w:vAlign w:val="center"/>
          </w:tcPr>
          <w:p>
            <w:pPr>
              <w:pStyle w:val="2"/>
              <w:spacing w:after="0" w:line="240" w:lineRule="auto"/>
              <w:ind w:firstLine="0" w:firstLineChars="0"/>
              <w:rPr>
                <w:rFonts w:ascii="仿宋" w:hAnsi="仿宋" w:eastAsia="仿宋"/>
                <w:sz w:val="21"/>
                <w:szCs w:val="21"/>
              </w:rPr>
            </w:pPr>
          </w:p>
        </w:tc>
        <w:tc>
          <w:tcPr>
            <w:tcW w:w="1445" w:type="dxa"/>
            <w:vAlign w:val="center"/>
          </w:tcPr>
          <w:p>
            <w:pPr>
              <w:pStyle w:val="2"/>
              <w:spacing w:after="0" w:line="240" w:lineRule="auto"/>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65"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848" w:type="dxa"/>
            <w:vAlign w:val="center"/>
          </w:tcPr>
          <w:p>
            <w:pPr>
              <w:pStyle w:val="2"/>
              <w:spacing w:after="0" w:line="240" w:lineRule="auto"/>
              <w:ind w:firstLine="0" w:firstLineChars="0"/>
              <w:rPr>
                <w:rFonts w:ascii="仿宋" w:hAnsi="仿宋" w:eastAsia="仿宋"/>
                <w:sz w:val="21"/>
                <w:szCs w:val="21"/>
              </w:rPr>
            </w:pPr>
          </w:p>
        </w:tc>
        <w:tc>
          <w:tcPr>
            <w:tcW w:w="989" w:type="dxa"/>
            <w:vAlign w:val="center"/>
          </w:tcPr>
          <w:p>
            <w:pPr>
              <w:pStyle w:val="2"/>
              <w:spacing w:after="0" w:line="240" w:lineRule="auto"/>
              <w:ind w:firstLine="0" w:firstLineChars="0"/>
              <w:rPr>
                <w:rFonts w:ascii="仿宋" w:hAnsi="仿宋" w:eastAsia="仿宋"/>
                <w:sz w:val="21"/>
                <w:szCs w:val="21"/>
              </w:rPr>
            </w:pPr>
          </w:p>
        </w:tc>
        <w:tc>
          <w:tcPr>
            <w:tcW w:w="1272" w:type="dxa"/>
            <w:vAlign w:val="center"/>
          </w:tcPr>
          <w:p>
            <w:pPr>
              <w:pStyle w:val="2"/>
              <w:spacing w:after="0" w:line="240" w:lineRule="auto"/>
              <w:ind w:firstLine="0" w:firstLineChars="0"/>
              <w:rPr>
                <w:rFonts w:ascii="仿宋" w:hAnsi="仿宋" w:eastAsia="仿宋"/>
                <w:sz w:val="21"/>
                <w:szCs w:val="21"/>
              </w:rPr>
            </w:pPr>
          </w:p>
        </w:tc>
        <w:tc>
          <w:tcPr>
            <w:tcW w:w="1271" w:type="dxa"/>
            <w:vAlign w:val="center"/>
          </w:tcPr>
          <w:p>
            <w:pPr>
              <w:pStyle w:val="2"/>
              <w:spacing w:after="0" w:line="240" w:lineRule="auto"/>
              <w:ind w:firstLine="0" w:firstLineChars="0"/>
              <w:rPr>
                <w:rFonts w:ascii="仿宋" w:hAnsi="仿宋" w:eastAsia="仿宋"/>
                <w:sz w:val="21"/>
                <w:szCs w:val="21"/>
              </w:rPr>
            </w:pPr>
          </w:p>
        </w:tc>
        <w:tc>
          <w:tcPr>
            <w:tcW w:w="1414" w:type="dxa"/>
            <w:vAlign w:val="center"/>
          </w:tcPr>
          <w:p>
            <w:pPr>
              <w:pStyle w:val="2"/>
              <w:spacing w:after="0" w:line="240" w:lineRule="auto"/>
              <w:ind w:firstLine="0" w:firstLineChars="0"/>
              <w:rPr>
                <w:rFonts w:ascii="仿宋" w:hAnsi="仿宋" w:eastAsia="仿宋"/>
                <w:sz w:val="21"/>
                <w:szCs w:val="21"/>
              </w:rPr>
            </w:pPr>
          </w:p>
        </w:tc>
        <w:tc>
          <w:tcPr>
            <w:tcW w:w="847" w:type="dxa"/>
            <w:vAlign w:val="center"/>
          </w:tcPr>
          <w:p>
            <w:pPr>
              <w:pStyle w:val="2"/>
              <w:spacing w:after="0" w:line="240" w:lineRule="auto"/>
              <w:ind w:firstLine="0" w:firstLineChars="0"/>
              <w:rPr>
                <w:rFonts w:ascii="仿宋" w:hAnsi="仿宋" w:eastAsia="仿宋"/>
                <w:sz w:val="21"/>
                <w:szCs w:val="21"/>
              </w:rPr>
            </w:pPr>
          </w:p>
        </w:tc>
        <w:tc>
          <w:tcPr>
            <w:tcW w:w="1445" w:type="dxa"/>
            <w:vAlign w:val="center"/>
          </w:tcPr>
          <w:p>
            <w:pPr>
              <w:pStyle w:val="2"/>
              <w:spacing w:after="0" w:line="240" w:lineRule="auto"/>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5"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848" w:type="dxa"/>
            <w:vAlign w:val="center"/>
          </w:tcPr>
          <w:p>
            <w:pPr>
              <w:pStyle w:val="2"/>
              <w:spacing w:after="0" w:line="240" w:lineRule="auto"/>
              <w:ind w:firstLine="0" w:firstLineChars="0"/>
              <w:rPr>
                <w:rFonts w:ascii="仿宋" w:hAnsi="仿宋" w:eastAsia="仿宋"/>
                <w:sz w:val="21"/>
                <w:szCs w:val="21"/>
              </w:rPr>
            </w:pPr>
          </w:p>
        </w:tc>
        <w:tc>
          <w:tcPr>
            <w:tcW w:w="989" w:type="dxa"/>
            <w:vAlign w:val="center"/>
          </w:tcPr>
          <w:p>
            <w:pPr>
              <w:pStyle w:val="2"/>
              <w:spacing w:after="0" w:line="240" w:lineRule="auto"/>
              <w:ind w:firstLine="0" w:firstLineChars="0"/>
              <w:rPr>
                <w:rFonts w:ascii="仿宋" w:hAnsi="仿宋" w:eastAsia="仿宋"/>
                <w:sz w:val="21"/>
                <w:szCs w:val="21"/>
              </w:rPr>
            </w:pPr>
          </w:p>
        </w:tc>
        <w:tc>
          <w:tcPr>
            <w:tcW w:w="1272" w:type="dxa"/>
            <w:vAlign w:val="center"/>
          </w:tcPr>
          <w:p>
            <w:pPr>
              <w:pStyle w:val="2"/>
              <w:spacing w:after="0" w:line="240" w:lineRule="auto"/>
              <w:ind w:firstLine="0" w:firstLineChars="0"/>
              <w:rPr>
                <w:rFonts w:ascii="仿宋" w:hAnsi="仿宋" w:eastAsia="仿宋"/>
                <w:sz w:val="21"/>
                <w:szCs w:val="21"/>
              </w:rPr>
            </w:pPr>
          </w:p>
        </w:tc>
        <w:tc>
          <w:tcPr>
            <w:tcW w:w="1271" w:type="dxa"/>
            <w:vAlign w:val="center"/>
          </w:tcPr>
          <w:p>
            <w:pPr>
              <w:pStyle w:val="2"/>
              <w:spacing w:after="0" w:line="240" w:lineRule="auto"/>
              <w:ind w:firstLine="0" w:firstLineChars="0"/>
              <w:rPr>
                <w:rFonts w:ascii="仿宋" w:hAnsi="仿宋" w:eastAsia="仿宋"/>
                <w:sz w:val="21"/>
                <w:szCs w:val="21"/>
              </w:rPr>
            </w:pPr>
          </w:p>
        </w:tc>
        <w:tc>
          <w:tcPr>
            <w:tcW w:w="1414" w:type="dxa"/>
            <w:vAlign w:val="center"/>
          </w:tcPr>
          <w:p>
            <w:pPr>
              <w:pStyle w:val="2"/>
              <w:spacing w:after="0" w:line="240" w:lineRule="auto"/>
              <w:ind w:firstLine="0" w:firstLineChars="0"/>
              <w:rPr>
                <w:rFonts w:ascii="仿宋" w:hAnsi="仿宋" w:eastAsia="仿宋"/>
                <w:sz w:val="21"/>
                <w:szCs w:val="21"/>
              </w:rPr>
            </w:pPr>
          </w:p>
        </w:tc>
        <w:tc>
          <w:tcPr>
            <w:tcW w:w="847" w:type="dxa"/>
            <w:vAlign w:val="center"/>
          </w:tcPr>
          <w:p>
            <w:pPr>
              <w:pStyle w:val="2"/>
              <w:spacing w:after="0" w:line="240" w:lineRule="auto"/>
              <w:ind w:firstLine="0" w:firstLineChars="0"/>
              <w:rPr>
                <w:rFonts w:ascii="仿宋" w:hAnsi="仿宋" w:eastAsia="仿宋"/>
                <w:sz w:val="21"/>
                <w:szCs w:val="21"/>
              </w:rPr>
            </w:pPr>
          </w:p>
        </w:tc>
        <w:tc>
          <w:tcPr>
            <w:tcW w:w="1445" w:type="dxa"/>
            <w:vAlign w:val="center"/>
          </w:tcPr>
          <w:p>
            <w:pPr>
              <w:pStyle w:val="2"/>
              <w:spacing w:after="0" w:line="240" w:lineRule="auto"/>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65"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707" w:type="dxa"/>
            <w:vAlign w:val="center"/>
          </w:tcPr>
          <w:p>
            <w:pPr>
              <w:pStyle w:val="2"/>
              <w:spacing w:after="0" w:line="240" w:lineRule="auto"/>
              <w:ind w:firstLine="0" w:firstLineChars="0"/>
              <w:rPr>
                <w:rFonts w:ascii="仿宋" w:hAnsi="仿宋" w:eastAsia="仿宋"/>
                <w:sz w:val="21"/>
                <w:szCs w:val="21"/>
              </w:rPr>
            </w:pPr>
          </w:p>
        </w:tc>
        <w:tc>
          <w:tcPr>
            <w:tcW w:w="848" w:type="dxa"/>
            <w:vAlign w:val="center"/>
          </w:tcPr>
          <w:p>
            <w:pPr>
              <w:pStyle w:val="2"/>
              <w:spacing w:after="0" w:line="240" w:lineRule="auto"/>
              <w:ind w:firstLine="0" w:firstLineChars="0"/>
              <w:rPr>
                <w:rFonts w:ascii="仿宋" w:hAnsi="仿宋" w:eastAsia="仿宋"/>
                <w:sz w:val="21"/>
                <w:szCs w:val="21"/>
              </w:rPr>
            </w:pPr>
          </w:p>
        </w:tc>
        <w:tc>
          <w:tcPr>
            <w:tcW w:w="989" w:type="dxa"/>
            <w:vAlign w:val="center"/>
          </w:tcPr>
          <w:p>
            <w:pPr>
              <w:pStyle w:val="2"/>
              <w:spacing w:after="0" w:line="240" w:lineRule="auto"/>
              <w:ind w:firstLine="0" w:firstLineChars="0"/>
              <w:rPr>
                <w:rFonts w:ascii="仿宋" w:hAnsi="仿宋" w:eastAsia="仿宋"/>
                <w:sz w:val="21"/>
                <w:szCs w:val="21"/>
              </w:rPr>
            </w:pPr>
          </w:p>
        </w:tc>
        <w:tc>
          <w:tcPr>
            <w:tcW w:w="1272" w:type="dxa"/>
            <w:vAlign w:val="center"/>
          </w:tcPr>
          <w:p>
            <w:pPr>
              <w:pStyle w:val="2"/>
              <w:spacing w:after="0" w:line="240" w:lineRule="auto"/>
              <w:ind w:firstLine="0" w:firstLineChars="0"/>
              <w:rPr>
                <w:rFonts w:ascii="仿宋" w:hAnsi="仿宋" w:eastAsia="仿宋"/>
                <w:sz w:val="21"/>
                <w:szCs w:val="21"/>
              </w:rPr>
            </w:pPr>
          </w:p>
        </w:tc>
        <w:tc>
          <w:tcPr>
            <w:tcW w:w="1271" w:type="dxa"/>
            <w:vAlign w:val="center"/>
          </w:tcPr>
          <w:p>
            <w:pPr>
              <w:pStyle w:val="2"/>
              <w:spacing w:after="0" w:line="240" w:lineRule="auto"/>
              <w:ind w:firstLine="0" w:firstLineChars="0"/>
              <w:rPr>
                <w:rFonts w:ascii="仿宋" w:hAnsi="仿宋" w:eastAsia="仿宋"/>
                <w:sz w:val="21"/>
                <w:szCs w:val="21"/>
              </w:rPr>
            </w:pPr>
          </w:p>
        </w:tc>
        <w:tc>
          <w:tcPr>
            <w:tcW w:w="1414" w:type="dxa"/>
            <w:vAlign w:val="center"/>
          </w:tcPr>
          <w:p>
            <w:pPr>
              <w:pStyle w:val="2"/>
              <w:spacing w:after="0" w:line="240" w:lineRule="auto"/>
              <w:ind w:firstLine="0" w:firstLineChars="0"/>
              <w:rPr>
                <w:rFonts w:ascii="仿宋" w:hAnsi="仿宋" w:eastAsia="仿宋"/>
                <w:sz w:val="21"/>
                <w:szCs w:val="21"/>
              </w:rPr>
            </w:pPr>
          </w:p>
        </w:tc>
        <w:tc>
          <w:tcPr>
            <w:tcW w:w="847" w:type="dxa"/>
            <w:vAlign w:val="center"/>
          </w:tcPr>
          <w:p>
            <w:pPr>
              <w:pStyle w:val="2"/>
              <w:spacing w:after="0" w:line="240" w:lineRule="auto"/>
              <w:ind w:firstLine="0" w:firstLineChars="0"/>
              <w:rPr>
                <w:rFonts w:ascii="仿宋" w:hAnsi="仿宋" w:eastAsia="仿宋"/>
                <w:sz w:val="21"/>
                <w:szCs w:val="21"/>
              </w:rPr>
            </w:pPr>
          </w:p>
        </w:tc>
        <w:tc>
          <w:tcPr>
            <w:tcW w:w="1445" w:type="dxa"/>
            <w:vAlign w:val="center"/>
          </w:tcPr>
          <w:p>
            <w:pPr>
              <w:pStyle w:val="2"/>
              <w:spacing w:after="0" w:line="240" w:lineRule="auto"/>
              <w:ind w:firstLine="0" w:firstLineChars="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79" w:type="dxa"/>
            <w:gridSpan w:val="3"/>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合计总价</w:t>
            </w:r>
          </w:p>
        </w:tc>
        <w:tc>
          <w:tcPr>
            <w:tcW w:w="8086" w:type="dxa"/>
            <w:gridSpan w:val="7"/>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979" w:type="dxa"/>
            <w:gridSpan w:val="3"/>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占比</w:t>
            </w:r>
          </w:p>
        </w:tc>
        <w:tc>
          <w:tcPr>
            <w:tcW w:w="8086" w:type="dxa"/>
            <w:gridSpan w:val="7"/>
            <w:vAlign w:val="center"/>
          </w:tcPr>
          <w:p>
            <w:pPr>
              <w:pStyle w:val="2"/>
              <w:spacing w:after="0" w:line="240" w:lineRule="auto"/>
              <w:ind w:firstLine="0" w:firstLineChars="0"/>
              <w:rPr>
                <w:rFonts w:ascii="仿宋" w:hAnsi="仿宋" w:eastAsia="仿宋"/>
                <w:sz w:val="21"/>
                <w:szCs w:val="21"/>
              </w:rPr>
            </w:pPr>
            <w:r>
              <w:rPr>
                <w:rFonts w:hint="eastAsia" w:ascii="仿宋" w:hAnsi="仿宋" w:eastAsia="仿宋"/>
                <w:sz w:val="21"/>
                <w:szCs w:val="21"/>
              </w:rPr>
              <w:t>%</w:t>
            </w:r>
          </w:p>
        </w:tc>
      </w:tr>
    </w:tbl>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以上企业，不属于大企业的分支机构，不存在控股股东为大企业的情形，也不存在与大企业的负责人为同一人的情形。</w:t>
      </w:r>
    </w:p>
    <w:p>
      <w:pPr>
        <w:adjustRightInd w:val="0"/>
        <w:snapToGrid w:val="0"/>
        <w:spacing w:line="360" w:lineRule="auto"/>
        <w:ind w:right="106" w:rightChars="50" w:firstLine="480" w:firstLineChars="227"/>
        <w:jc w:val="left"/>
        <w:rPr>
          <w:rFonts w:ascii="仿宋" w:hAnsi="仿宋" w:cs="仿宋"/>
        </w:rPr>
      </w:pPr>
      <w:r>
        <w:rPr>
          <w:rFonts w:hint="eastAsia" w:ascii="仿宋" w:hAnsi="仿宋" w:cs="仿宋"/>
        </w:rPr>
        <w:t xml:space="preserve">本企业对上述声明内容的真实性负责。如有虚假，将依法承担相应责任。 </w:t>
      </w:r>
    </w:p>
    <w:p>
      <w:pPr>
        <w:spacing w:line="480" w:lineRule="auto"/>
        <w:rPr>
          <w:rFonts w:ascii="仿宋" w:hAnsi="仿宋" w:cs="仿宋"/>
        </w:rPr>
      </w:pPr>
      <w:r>
        <w:rPr>
          <w:rFonts w:hint="eastAsia" w:ascii="仿宋" w:hAnsi="仿宋" w:cs="仿宋"/>
        </w:rPr>
        <w:t>投标人名称（盖章）：</w:t>
      </w:r>
    </w:p>
    <w:p>
      <w:pPr>
        <w:spacing w:line="480" w:lineRule="auto"/>
        <w:rPr>
          <w:rFonts w:ascii="仿宋" w:hAnsi="仿宋" w:cs="仿宋"/>
        </w:rPr>
      </w:pPr>
      <w:r>
        <w:rPr>
          <w:rFonts w:hint="eastAsia" w:ascii="仿宋" w:hAnsi="仿宋" w:cs="仿宋"/>
        </w:rPr>
        <w:t>日 期：</w:t>
      </w:r>
    </w:p>
    <w:p>
      <w:pPr>
        <w:spacing w:line="480" w:lineRule="auto"/>
        <w:rPr>
          <w:rFonts w:ascii="仿宋" w:hAnsi="仿宋" w:cs="仿宋"/>
          <w:b/>
        </w:rPr>
      </w:pPr>
      <w:r>
        <w:rPr>
          <w:rFonts w:ascii="仿宋" w:hAnsi="仿宋" w:cs="仿宋"/>
          <w:b/>
        </w:rPr>
        <w:t>注：</w:t>
      </w:r>
      <w:r>
        <w:rPr>
          <w:rFonts w:hint="eastAsia" w:ascii="仿宋" w:hAnsi="仿宋" w:cs="仿宋"/>
          <w:b/>
        </w:rPr>
        <w:t>1、合计总价为所投中小微企业生产产品总额。</w:t>
      </w:r>
    </w:p>
    <w:p>
      <w:pPr>
        <w:pStyle w:val="2"/>
        <w:ind w:firstLine="424" w:firstLineChars="200"/>
        <w:jc w:val="both"/>
        <w:rPr>
          <w:rFonts w:ascii="仿宋" w:hAnsi="仿宋" w:eastAsia="仿宋" w:cs="仿宋"/>
          <w:b/>
          <w:sz w:val="21"/>
          <w:szCs w:val="21"/>
        </w:rPr>
      </w:pPr>
      <w:r>
        <w:rPr>
          <w:rFonts w:hint="eastAsia" w:ascii="仿宋" w:hAnsi="仿宋" w:eastAsia="仿宋" w:cs="仿宋"/>
          <w:b/>
          <w:sz w:val="21"/>
          <w:szCs w:val="21"/>
        </w:rPr>
        <w:t>2、占比为中小微企业生产产品总额与投标总价的比率。</w:t>
      </w:r>
    </w:p>
    <w:p>
      <w:pPr>
        <w:rPr>
          <w:rFonts w:ascii="仿宋" w:hAnsi="仿宋" w:cs="仿宋"/>
        </w:rPr>
      </w:pPr>
    </w:p>
    <w:p/>
    <w:p>
      <w:pPr>
        <w:rPr>
          <w:rFonts w:ascii="仿宋" w:hAnsi="仿宋" w:cs="仿宋"/>
        </w:rPr>
      </w:pPr>
    </w:p>
    <w:p>
      <w:pPr>
        <w:pStyle w:val="4"/>
        <w:snapToGrid w:val="0"/>
        <w:spacing w:before="319" w:beforeLines="100" w:after="319" w:afterLines="100" w:line="360" w:lineRule="auto"/>
        <w:rPr>
          <w:rFonts w:ascii="仿宋" w:hAnsi="仿宋" w:cs="仿宋"/>
        </w:rPr>
      </w:pPr>
      <w:r>
        <w:rPr>
          <w:rFonts w:hint="eastAsia" w:ascii="仿宋" w:hAnsi="仿宋" w:cs="仿宋"/>
        </w:rPr>
        <w:t>第三章 货物需求</w:t>
      </w:r>
      <w:bookmarkEnd w:id="120"/>
      <w:bookmarkEnd w:id="121"/>
    </w:p>
    <w:p>
      <w:pPr>
        <w:spacing w:line="360" w:lineRule="auto"/>
        <w:ind w:left="602"/>
        <w:rPr>
          <w:rFonts w:ascii="仿宋" w:hAnsi="仿宋" w:cs="仿宋"/>
          <w:b/>
          <w:bCs/>
        </w:rPr>
      </w:pPr>
      <w:r>
        <w:rPr>
          <w:rFonts w:hint="eastAsia" w:ascii="仿宋" w:hAnsi="仿宋" w:cs="仿宋"/>
          <w:b/>
          <w:bCs/>
        </w:rPr>
        <w:t>详见格式12及格式13要求内容</w:t>
      </w: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spacing w:line="360" w:lineRule="auto"/>
        <w:ind w:left="602"/>
        <w:rPr>
          <w:rFonts w:ascii="仿宋" w:hAnsi="仿宋" w:cs="仿宋"/>
          <w:b/>
          <w:bCs/>
        </w:rPr>
      </w:pPr>
    </w:p>
    <w:p>
      <w:pPr>
        <w:pStyle w:val="2"/>
        <w:ind w:firstLine="243"/>
        <w:rPr>
          <w:rFonts w:ascii="仿宋" w:hAnsi="仿宋" w:eastAsia="仿宋" w:cs="仿宋"/>
        </w:rPr>
      </w:pPr>
    </w:p>
    <w:p>
      <w:pPr>
        <w:spacing w:line="360" w:lineRule="auto"/>
        <w:ind w:left="602"/>
        <w:rPr>
          <w:rFonts w:ascii="仿宋" w:hAnsi="仿宋" w:cs="仿宋"/>
        </w:rPr>
      </w:pPr>
    </w:p>
    <w:p>
      <w:pPr>
        <w:pStyle w:val="4"/>
        <w:snapToGrid w:val="0"/>
        <w:spacing w:before="319" w:beforeLines="100" w:after="319" w:afterLines="100" w:line="360" w:lineRule="auto"/>
        <w:rPr>
          <w:rFonts w:ascii="仿宋" w:hAnsi="仿宋" w:cs="仿宋"/>
        </w:rPr>
      </w:pPr>
      <w:bookmarkStart w:id="122" w:name="_Toc2821_WPSOffice_Level1"/>
      <w:bookmarkStart w:id="123" w:name="_Toc25237"/>
      <w:r>
        <w:rPr>
          <w:rFonts w:hint="eastAsia" w:ascii="仿宋" w:hAnsi="仿宋" w:cs="仿宋"/>
        </w:rPr>
        <w:t>第四章 评标方法</w:t>
      </w:r>
      <w:bookmarkEnd w:id="122"/>
      <w:bookmarkEnd w:id="123"/>
    </w:p>
    <w:p>
      <w:pPr>
        <w:adjustRightInd w:val="0"/>
        <w:snapToGrid w:val="0"/>
        <w:spacing w:line="360" w:lineRule="auto"/>
        <w:ind w:firstLine="424" w:firstLineChars="200"/>
        <w:rPr>
          <w:rFonts w:ascii="仿宋" w:hAnsi="仿宋" w:cs="仿宋"/>
          <w:b/>
          <w:bCs/>
          <w:kern w:val="0"/>
        </w:rPr>
      </w:pPr>
      <w:r>
        <w:rPr>
          <w:rFonts w:hint="eastAsia" w:ascii="仿宋" w:hAnsi="仿宋" w:cs="仿宋"/>
          <w:kern w:val="0"/>
        </w:rPr>
        <w:t>本项目将按照招标文件第一章投标人须知中“六 开标及评标”、“七 确定中标”及本章的规定评标。</w:t>
      </w:r>
    </w:p>
    <w:p>
      <w:pPr>
        <w:adjustRightInd w:val="0"/>
        <w:snapToGrid w:val="0"/>
        <w:spacing w:line="360" w:lineRule="auto"/>
        <w:ind w:firstLine="424" w:firstLineChars="200"/>
        <w:rPr>
          <w:rFonts w:ascii="仿宋" w:hAnsi="仿宋" w:cs="仿宋"/>
          <w:b/>
          <w:bCs/>
          <w:kern w:val="0"/>
        </w:rPr>
      </w:pPr>
      <w:bookmarkStart w:id="124" w:name="_Toc22313_WPSOffice_Level2"/>
      <w:r>
        <w:rPr>
          <w:rFonts w:hint="eastAsia" w:ascii="仿宋" w:hAnsi="仿宋" w:cs="仿宋"/>
          <w:b/>
          <w:bCs/>
          <w:kern w:val="0"/>
        </w:rPr>
        <w:t>一、评标方法</w:t>
      </w:r>
      <w:bookmarkEnd w:id="124"/>
    </w:p>
    <w:p>
      <w:pPr>
        <w:adjustRightInd w:val="0"/>
        <w:snapToGrid w:val="0"/>
        <w:spacing w:line="360" w:lineRule="auto"/>
        <w:ind w:firstLine="424" w:firstLineChars="200"/>
        <w:rPr>
          <w:rFonts w:ascii="仿宋" w:hAnsi="仿宋" w:cs="仿宋"/>
          <w:kern w:val="0"/>
        </w:rPr>
      </w:pPr>
      <w:r>
        <w:rPr>
          <w:rFonts w:hint="eastAsia" w:ascii="仿宋" w:hAnsi="仿宋" w:cs="仿宋"/>
          <w:kern w:val="0"/>
        </w:rPr>
        <w:t>本项目采用最低评标价法进行评标。</w:t>
      </w:r>
    </w:p>
    <w:p>
      <w:pPr>
        <w:adjustRightInd w:val="0"/>
        <w:snapToGrid w:val="0"/>
        <w:spacing w:line="360" w:lineRule="auto"/>
        <w:ind w:firstLine="424" w:firstLineChars="200"/>
        <w:textAlignment w:val="baseline"/>
        <w:rPr>
          <w:rFonts w:ascii="仿宋" w:hAnsi="仿宋" w:cs="仿宋"/>
          <w:b/>
          <w:bCs/>
          <w:kern w:val="0"/>
        </w:rPr>
      </w:pPr>
      <w:bookmarkStart w:id="125" w:name="_Toc21368_WPSOffice_Level2"/>
      <w:r>
        <w:rPr>
          <w:rFonts w:hint="eastAsia" w:ascii="仿宋" w:hAnsi="仿宋" w:cs="仿宋"/>
          <w:b/>
          <w:bCs/>
          <w:kern w:val="0"/>
        </w:rPr>
        <w:t>二、评标原则及程序</w:t>
      </w:r>
      <w:bookmarkEnd w:id="125"/>
    </w:p>
    <w:p>
      <w:pPr>
        <w:adjustRightInd w:val="0"/>
        <w:snapToGrid w:val="0"/>
        <w:spacing w:line="360" w:lineRule="auto"/>
        <w:ind w:firstLine="424" w:firstLineChars="200"/>
        <w:textAlignment w:val="baseline"/>
        <w:rPr>
          <w:rFonts w:ascii="仿宋" w:hAnsi="仿宋" w:cs="仿宋"/>
          <w:b/>
          <w:bCs/>
          <w:kern w:val="0"/>
        </w:rPr>
      </w:pPr>
      <w:r>
        <w:rPr>
          <w:rFonts w:hint="eastAsia" w:ascii="仿宋" w:hAnsi="仿宋" w:cs="仿宋"/>
          <w:b/>
          <w:bCs/>
          <w:kern w:val="0"/>
        </w:rPr>
        <w:t>（一）评标原则</w:t>
      </w:r>
    </w:p>
    <w:p>
      <w:pPr>
        <w:adjustRightInd w:val="0"/>
        <w:snapToGrid w:val="0"/>
        <w:spacing w:line="360" w:lineRule="auto"/>
        <w:ind w:firstLine="424" w:firstLineChars="200"/>
        <w:textAlignment w:val="baseline"/>
        <w:rPr>
          <w:rFonts w:ascii="仿宋" w:hAnsi="仿宋" w:cs="仿宋"/>
          <w:b/>
          <w:bCs/>
          <w:kern w:val="0"/>
        </w:rPr>
      </w:pPr>
      <w:r>
        <w:rPr>
          <w:rFonts w:hint="eastAsia" w:ascii="仿宋" w:hAnsi="仿宋" w:cs="仿宋"/>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4" w:firstLineChars="200"/>
        <w:textAlignment w:val="baseline"/>
        <w:rPr>
          <w:rFonts w:ascii="仿宋" w:hAnsi="仿宋" w:cs="仿宋"/>
          <w:b/>
          <w:bCs/>
          <w:kern w:val="0"/>
        </w:rPr>
      </w:pPr>
      <w:r>
        <w:rPr>
          <w:rFonts w:hint="eastAsia" w:ascii="仿宋" w:hAnsi="仿宋" w:cs="仿宋"/>
          <w:b/>
          <w:bCs/>
          <w:kern w:val="0"/>
        </w:rPr>
        <w:t>（二）评标程序</w:t>
      </w:r>
    </w:p>
    <w:p>
      <w:pPr>
        <w:adjustRightInd w:val="0"/>
        <w:snapToGrid w:val="0"/>
        <w:spacing w:line="360" w:lineRule="auto"/>
        <w:ind w:firstLine="424" w:firstLineChars="200"/>
        <w:textAlignment w:val="baseline"/>
        <w:rPr>
          <w:rFonts w:ascii="仿宋" w:hAnsi="仿宋" w:cs="仿宋"/>
          <w:b/>
          <w:bCs/>
          <w:kern w:val="0"/>
        </w:rPr>
      </w:pPr>
      <w:r>
        <w:rPr>
          <w:rFonts w:hint="eastAsia" w:ascii="仿宋" w:hAnsi="仿宋" w:cs="仿宋"/>
          <w:b/>
          <w:bCs/>
          <w:kern w:val="0"/>
        </w:rPr>
        <w:t>★1、资格审查</w:t>
      </w:r>
    </w:p>
    <w:p>
      <w:pPr>
        <w:adjustRightInd w:val="0"/>
        <w:snapToGrid w:val="0"/>
        <w:spacing w:line="360" w:lineRule="auto"/>
        <w:ind w:firstLine="424" w:firstLineChars="200"/>
        <w:textAlignment w:val="baseline"/>
        <w:rPr>
          <w:rFonts w:ascii="仿宋" w:hAnsi="仿宋" w:cs="仿宋"/>
          <w:kern w:val="0"/>
        </w:rPr>
      </w:pPr>
      <w:r>
        <w:rPr>
          <w:rFonts w:hint="eastAsia" w:ascii="仿宋" w:hAnsi="仿宋" w:cs="仿宋"/>
          <w:kern w:val="0"/>
        </w:rPr>
        <w:t>1.1详见投标人须知22条。资格审查表详见本章附件1。</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★2、符合性审查</w:t>
      </w:r>
    </w:p>
    <w:p>
      <w:pPr>
        <w:adjustRightInd w:val="0"/>
        <w:snapToGrid w:val="0"/>
        <w:spacing w:line="360" w:lineRule="auto"/>
        <w:ind w:firstLine="424" w:firstLineChars="200"/>
        <w:rPr>
          <w:rFonts w:ascii="仿宋" w:hAnsi="仿宋" w:cs="仿宋"/>
          <w:kern w:val="0"/>
        </w:rPr>
      </w:pPr>
      <w:r>
        <w:rPr>
          <w:rFonts w:hint="eastAsia" w:ascii="仿宋" w:hAnsi="仿宋" w:cs="仿宋"/>
          <w:kern w:val="0"/>
        </w:rPr>
        <w:t>2.1详见投标人须知23条。符合性审查表详见本章附件2。</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3、样品及演示</w:t>
      </w:r>
    </w:p>
    <w:p>
      <w:pPr>
        <w:adjustRightInd w:val="0"/>
        <w:snapToGrid w:val="0"/>
        <w:spacing w:line="360" w:lineRule="auto"/>
        <w:ind w:firstLine="424" w:firstLineChars="200"/>
        <w:rPr>
          <w:rFonts w:ascii="仿宋" w:hAnsi="仿宋" w:cs="仿宋"/>
        </w:rPr>
      </w:pPr>
      <w:r>
        <w:rPr>
          <w:rFonts w:hint="eastAsia" w:ascii="仿宋" w:hAnsi="仿宋" w:cs="仿宋"/>
        </w:rPr>
        <w:t>3.1</w:t>
      </w:r>
      <w:r>
        <w:rPr>
          <w:rFonts w:hint="eastAsia" w:ascii="仿宋" w:hAnsi="仿宋" w:cs="仿宋"/>
          <w:kern w:val="0"/>
        </w:rPr>
        <w:t>投标人须知表11.3条</w:t>
      </w:r>
      <w:r>
        <w:rPr>
          <w:rFonts w:hint="eastAsia" w:ascii="仿宋" w:hAnsi="仿宋" w:cs="仿宋"/>
        </w:rPr>
        <w:t>中要求投标人提供样品或演示的，按照</w:t>
      </w:r>
      <w:r>
        <w:rPr>
          <w:rFonts w:hint="eastAsia" w:ascii="仿宋" w:hAnsi="仿宋" w:cs="仿宋"/>
          <w:kern w:val="0"/>
        </w:rPr>
        <w:t>投标人须知表25.1条</w:t>
      </w:r>
      <w:r>
        <w:rPr>
          <w:rFonts w:hint="eastAsia" w:ascii="仿宋" w:hAnsi="仿宋" w:cs="仿宋"/>
        </w:rPr>
        <w:t>中确定的评审方法以及评审标准进行评审。(样品或演示属于符合性审查的，按照</w:t>
      </w:r>
      <w:r>
        <w:rPr>
          <w:rFonts w:hint="eastAsia" w:ascii="仿宋" w:hAnsi="仿宋" w:cs="仿宋"/>
          <w:kern w:val="0"/>
        </w:rPr>
        <w:t>投标人须知23条</w:t>
      </w:r>
      <w:r>
        <w:rPr>
          <w:rFonts w:hint="eastAsia" w:ascii="仿宋" w:hAnsi="仿宋" w:cs="仿宋"/>
        </w:rPr>
        <w:t>规定执行）</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★4、同一品牌产品</w:t>
      </w:r>
    </w:p>
    <w:p>
      <w:pPr>
        <w:adjustRightInd w:val="0"/>
        <w:snapToGrid w:val="0"/>
        <w:spacing w:line="360" w:lineRule="auto"/>
        <w:ind w:firstLine="424" w:firstLineChars="200"/>
        <w:rPr>
          <w:rFonts w:ascii="仿宋" w:hAnsi="仿宋" w:cs="仿宋"/>
          <w:b/>
          <w:bCs/>
        </w:rPr>
      </w:pPr>
      <w:r>
        <w:rPr>
          <w:rFonts w:hint="eastAsia" w:ascii="仿宋" w:hAnsi="仿宋" w:cs="仿宋"/>
        </w:rPr>
        <w:t>4.1通过资格审查、符合性审查的不同品牌投标人不足3家的，按照</w:t>
      </w:r>
      <w:r>
        <w:rPr>
          <w:rFonts w:hint="eastAsia" w:ascii="仿宋" w:hAnsi="仿宋" w:cs="仿宋"/>
          <w:kern w:val="0"/>
        </w:rPr>
        <w:t>投标人须知28条第（1）款</w:t>
      </w:r>
      <w:r>
        <w:rPr>
          <w:rFonts w:hint="eastAsia" w:ascii="仿宋" w:hAnsi="仿宋" w:cs="仿宋"/>
        </w:rPr>
        <w:t>执行</w:t>
      </w:r>
      <w:r>
        <w:rPr>
          <w:rFonts w:hint="eastAsia" w:ascii="仿宋" w:hAnsi="仿宋" w:cs="仿宋"/>
          <w:kern w:val="0"/>
        </w:rPr>
        <w:t>。</w:t>
      </w:r>
    </w:p>
    <w:p>
      <w:pPr>
        <w:adjustRightInd w:val="0"/>
        <w:snapToGrid w:val="0"/>
        <w:spacing w:line="360" w:lineRule="auto"/>
        <w:ind w:firstLine="424" w:firstLineChars="200"/>
        <w:rPr>
          <w:rFonts w:ascii="仿宋" w:hAnsi="仿宋" w:cs="仿宋"/>
        </w:rPr>
      </w:pPr>
      <w:r>
        <w:rPr>
          <w:rFonts w:hint="eastAsia" w:ascii="仿宋" w:hAnsi="仿宋" w:cs="仿宋"/>
        </w:rPr>
        <w:t>4.2提供相同品牌产品且通过资格审查、符合性审查的不同投标人，按一家投标人计算。</w:t>
      </w:r>
    </w:p>
    <w:p>
      <w:pPr>
        <w:adjustRightInd w:val="0"/>
        <w:snapToGrid w:val="0"/>
        <w:spacing w:line="360" w:lineRule="auto"/>
        <w:ind w:firstLine="424" w:firstLineChars="200"/>
        <w:rPr>
          <w:rFonts w:ascii="仿宋" w:hAnsi="仿宋" w:cs="仿宋"/>
        </w:rPr>
      </w:pPr>
      <w:r>
        <w:rPr>
          <w:rFonts w:hint="eastAsia" w:ascii="仿宋" w:hAnsi="仿宋" w:cs="仿宋"/>
        </w:rPr>
        <w:t>4.3如一个分包内只有一种产品，不同投标人所投产品为同一品牌的，按如下方式处理：</w:t>
      </w:r>
    </w:p>
    <w:p>
      <w:pPr>
        <w:numPr>
          <w:ilvl w:val="0"/>
          <w:numId w:val="3"/>
        </w:numPr>
        <w:adjustRightInd w:val="0"/>
        <w:snapToGrid w:val="0"/>
        <w:spacing w:line="360" w:lineRule="auto"/>
        <w:ind w:firstLine="424" w:firstLineChars="200"/>
        <w:rPr>
          <w:rFonts w:ascii="仿宋" w:hAnsi="仿宋" w:cs="仿宋"/>
        </w:rPr>
      </w:pPr>
      <w:r>
        <w:rPr>
          <w:rFonts w:hint="eastAsia" w:ascii="仿宋" w:hAnsi="仿宋" w:cs="仿宋"/>
        </w:rPr>
        <w:t>如本项目使用最低评标价法，提供相同品牌产品的不同投标人以其中通过资格审查、符合性审查且报价最低的参加比较及评价；报价相同的，按</w:t>
      </w:r>
      <w:r>
        <w:rPr>
          <w:rFonts w:hint="eastAsia" w:ascii="仿宋" w:hAnsi="仿宋" w:cs="仿宋"/>
          <w:kern w:val="0"/>
        </w:rPr>
        <w:t>本章第8条</w:t>
      </w:r>
      <w:r>
        <w:rPr>
          <w:rFonts w:hint="eastAsia" w:ascii="仿宋" w:hAnsi="仿宋" w:cs="仿宋"/>
        </w:rPr>
        <w:t>“推荐中标候选人的原则”规定执行；未规定的采取随机抽取方式确定，其他</w:t>
      </w:r>
      <w:r>
        <w:rPr>
          <w:rFonts w:hint="eastAsia" w:ascii="仿宋" w:hAnsi="仿宋" w:cs="仿宋"/>
          <w:b/>
          <w:bCs/>
        </w:rPr>
        <w:t>投标无效</w:t>
      </w:r>
      <w:r>
        <w:rPr>
          <w:rFonts w:hint="eastAsia" w:ascii="仿宋" w:hAnsi="仿宋" w:cs="仿宋"/>
        </w:rPr>
        <w:t>。</w:t>
      </w:r>
    </w:p>
    <w:p>
      <w:pPr>
        <w:adjustRightInd w:val="0"/>
        <w:snapToGrid w:val="0"/>
        <w:spacing w:line="360" w:lineRule="auto"/>
        <w:ind w:firstLine="424" w:firstLineChars="200"/>
        <w:rPr>
          <w:rFonts w:ascii="仿宋" w:hAnsi="仿宋" w:cs="仿宋"/>
        </w:rPr>
      </w:pPr>
      <w:r>
        <w:rPr>
          <w:rFonts w:hint="eastAsia" w:ascii="仿宋" w:hAnsi="仿宋" w:cs="仿宋"/>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adjustRightInd w:val="0"/>
        <w:snapToGrid w:val="0"/>
        <w:spacing w:line="360" w:lineRule="auto"/>
        <w:ind w:firstLine="424" w:firstLineChars="200"/>
        <w:rPr>
          <w:rFonts w:ascii="仿宋" w:hAnsi="仿宋" w:cs="仿宋"/>
          <w:kern w:val="0"/>
        </w:rPr>
      </w:pPr>
      <w:r>
        <w:rPr>
          <w:rFonts w:hint="eastAsia" w:ascii="仿宋" w:hAnsi="仿宋" w:cs="仿宋"/>
        </w:rPr>
        <w:t>4.4如一个分包内包含多种产品的，采购人或采购代理机构将在招标文件中载明核心产品，多家投标人提供的核心产品品牌相同的，</w:t>
      </w:r>
      <w:r>
        <w:rPr>
          <w:rFonts w:hint="eastAsia" w:ascii="仿宋" w:hAnsi="仿宋" w:cs="仿宋"/>
          <w:kern w:val="0"/>
        </w:rPr>
        <w:t>按本章第4.3条规定处理。</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★5、比较及评价</w:t>
      </w:r>
    </w:p>
    <w:p>
      <w:pPr>
        <w:adjustRightInd w:val="0"/>
        <w:snapToGrid w:val="0"/>
        <w:spacing w:line="360" w:lineRule="auto"/>
        <w:ind w:firstLine="424" w:firstLineChars="200"/>
        <w:rPr>
          <w:rFonts w:ascii="仿宋" w:hAnsi="仿宋" w:cs="仿宋"/>
          <w:kern w:val="0"/>
        </w:rPr>
      </w:pPr>
      <w:r>
        <w:rPr>
          <w:rFonts w:hint="eastAsia" w:ascii="仿宋" w:hAnsi="仿宋" w:cs="仿宋"/>
          <w:kern w:val="0"/>
        </w:rPr>
        <w:t>5.1评标委员会对通过符合性审查的投标文件进行比较和评价。</w:t>
      </w:r>
    </w:p>
    <w:p>
      <w:pPr>
        <w:adjustRightInd w:val="0"/>
        <w:snapToGrid w:val="0"/>
        <w:spacing w:line="360" w:lineRule="auto"/>
        <w:ind w:firstLine="424" w:firstLineChars="200"/>
        <w:rPr>
          <w:rFonts w:ascii="仿宋" w:hAnsi="仿宋" w:cs="仿宋"/>
          <w:kern w:val="0"/>
        </w:rPr>
      </w:pPr>
      <w:r>
        <w:rPr>
          <w:rFonts w:hint="eastAsia" w:ascii="仿宋" w:hAnsi="仿宋" w:cs="仿宋"/>
          <w:kern w:val="0"/>
        </w:rPr>
        <w:t>5.2在评标期间，对投标文件的澄清按投标人须知24条内容执行。</w:t>
      </w:r>
    </w:p>
    <w:p>
      <w:pPr>
        <w:adjustRightInd w:val="0"/>
        <w:snapToGrid w:val="0"/>
        <w:spacing w:line="360" w:lineRule="auto"/>
        <w:ind w:firstLine="424" w:firstLineChars="200"/>
        <w:rPr>
          <w:rFonts w:ascii="仿宋" w:hAnsi="仿宋" w:cs="仿宋"/>
        </w:rPr>
      </w:pPr>
      <w:r>
        <w:rPr>
          <w:rFonts w:hint="eastAsia" w:ascii="仿宋" w:hAnsi="仿宋" w:cs="仿宋"/>
        </w:rPr>
        <w:t>5.3评标委员会认为投标人的报价明显低于其他通过符合性审查的投标人报价，有可能影响产品质量或者不能诚信履约的，评标委员会应当要求其在评标现场合理的时间（</w:t>
      </w:r>
      <w:r>
        <w:rPr>
          <w:rFonts w:hint="eastAsia" w:ascii="仿宋" w:hAnsi="仿宋" w:cs="仿宋"/>
          <w:kern w:val="0"/>
        </w:rPr>
        <w:t>接到通知后</w:t>
      </w:r>
      <w:r>
        <w:rPr>
          <w:rFonts w:hint="eastAsia" w:ascii="仿宋" w:hAnsi="仿宋" w:cs="仿宋"/>
          <w:kern w:val="0"/>
          <w:u w:val="single"/>
        </w:rPr>
        <w:t xml:space="preserve">0.5 </w:t>
      </w:r>
      <w:r>
        <w:rPr>
          <w:rFonts w:hint="eastAsia" w:ascii="仿宋" w:hAnsi="仿宋" w:cs="仿宋"/>
          <w:kern w:val="0"/>
        </w:rPr>
        <w:t>小时</w:t>
      </w:r>
      <w:r>
        <w:rPr>
          <w:rFonts w:hint="eastAsia" w:ascii="仿宋" w:hAnsi="仿宋" w:cs="仿宋"/>
        </w:rPr>
        <w:t>）内提供书面说明，并提交相关证明材料，</w:t>
      </w:r>
      <w:r>
        <w:rPr>
          <w:rFonts w:hint="eastAsia" w:ascii="仿宋" w:hAnsi="仿宋" w:cs="仿宋"/>
          <w:kern w:val="0"/>
        </w:rPr>
        <w:t>投标人不能证明其报价合理性的，评标委员会应当将</w:t>
      </w:r>
      <w:r>
        <w:rPr>
          <w:rFonts w:hint="eastAsia" w:ascii="仿宋" w:hAnsi="仿宋" w:cs="仿宋"/>
        </w:rPr>
        <w:t>其投标作为</w:t>
      </w:r>
      <w:r>
        <w:rPr>
          <w:rFonts w:hint="eastAsia" w:ascii="仿宋" w:hAnsi="仿宋" w:cs="仿宋"/>
          <w:b/>
          <w:bCs/>
        </w:rPr>
        <w:t>无效投标处理</w:t>
      </w:r>
      <w:r>
        <w:rPr>
          <w:rFonts w:hint="eastAsia" w:ascii="仿宋" w:hAnsi="仿宋" w:cs="仿宋"/>
        </w:rPr>
        <w:t>。</w:t>
      </w:r>
    </w:p>
    <w:p>
      <w:pPr>
        <w:adjustRightInd w:val="0"/>
        <w:snapToGrid w:val="0"/>
        <w:spacing w:line="360" w:lineRule="auto"/>
        <w:ind w:firstLine="424" w:firstLineChars="200"/>
        <w:rPr>
          <w:rFonts w:ascii="仿宋" w:hAnsi="仿宋" w:cs="仿宋"/>
        </w:rPr>
      </w:pPr>
      <w:r>
        <w:rPr>
          <w:rFonts w:hint="eastAsia" w:ascii="仿宋" w:hAnsi="仿宋" w:cs="仿宋"/>
        </w:rPr>
        <w:t>投标人的书面说明材料包含货物本身成本、人工费用、运输、税收等，以及报价不会影响产品质量或诚信履约能力的说明等。</w:t>
      </w:r>
    </w:p>
    <w:p>
      <w:pPr>
        <w:adjustRightInd w:val="0"/>
        <w:snapToGrid w:val="0"/>
        <w:spacing w:line="360" w:lineRule="auto"/>
        <w:ind w:firstLine="424" w:firstLineChars="200"/>
        <w:rPr>
          <w:rFonts w:ascii="仿宋" w:hAnsi="仿宋" w:cs="仿宋"/>
        </w:rPr>
      </w:pPr>
      <w:r>
        <w:rPr>
          <w:rFonts w:hint="eastAsia" w:ascii="仿宋" w:hAnsi="仿宋" w:cs="仿宋"/>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4" w:firstLineChars="200"/>
        <w:rPr>
          <w:rFonts w:ascii="仿宋" w:hAnsi="仿宋" w:cs="仿宋"/>
        </w:rPr>
      </w:pPr>
      <w:r>
        <w:rPr>
          <w:rFonts w:hint="eastAsia" w:ascii="仿宋" w:hAnsi="仿宋" w:cs="仿宋"/>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4"/>
        </w:numPr>
        <w:adjustRightInd w:val="0"/>
        <w:snapToGrid w:val="0"/>
        <w:spacing w:line="360" w:lineRule="auto"/>
        <w:ind w:firstLine="424" w:firstLineChars="200"/>
        <w:rPr>
          <w:rFonts w:ascii="仿宋" w:hAnsi="仿宋" w:cs="仿宋"/>
        </w:rPr>
      </w:pPr>
      <w:r>
        <w:rPr>
          <w:rFonts w:hint="eastAsia" w:ascii="仿宋" w:hAnsi="仿宋" w:cs="仿宋"/>
        </w:rPr>
        <w:t>拒绝或者变相拒绝提供有效书面说明；</w:t>
      </w:r>
    </w:p>
    <w:p>
      <w:pPr>
        <w:numPr>
          <w:ilvl w:val="0"/>
          <w:numId w:val="4"/>
        </w:numPr>
        <w:adjustRightInd w:val="0"/>
        <w:snapToGrid w:val="0"/>
        <w:spacing w:line="360" w:lineRule="auto"/>
        <w:ind w:firstLine="424" w:firstLineChars="200"/>
        <w:rPr>
          <w:rFonts w:ascii="仿宋" w:hAnsi="仿宋" w:cs="仿宋"/>
        </w:rPr>
      </w:pPr>
      <w:r>
        <w:rPr>
          <w:rFonts w:hint="eastAsia" w:ascii="仿宋" w:hAnsi="仿宋" w:cs="仿宋"/>
        </w:rPr>
        <w:t>书面说明不能证明其报价合理性的；</w:t>
      </w:r>
    </w:p>
    <w:p>
      <w:pPr>
        <w:numPr>
          <w:ilvl w:val="0"/>
          <w:numId w:val="4"/>
        </w:numPr>
        <w:adjustRightInd w:val="0"/>
        <w:snapToGrid w:val="0"/>
        <w:spacing w:line="360" w:lineRule="auto"/>
        <w:ind w:firstLine="424" w:firstLineChars="200"/>
        <w:rPr>
          <w:rFonts w:ascii="仿宋" w:hAnsi="仿宋" w:cs="仿宋"/>
        </w:rPr>
      </w:pPr>
      <w:r>
        <w:rPr>
          <w:rFonts w:hint="eastAsia" w:ascii="仿宋" w:hAnsi="仿宋" w:cs="仿宋"/>
        </w:rPr>
        <w:t>未在规定时间内递交有效书面说明书的。</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★6、需落实的政府采购政策性规定：</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6.1对于中小微企业的相关规定</w:t>
      </w:r>
    </w:p>
    <w:p>
      <w:pPr>
        <w:adjustRightInd w:val="0"/>
        <w:snapToGrid w:val="0"/>
        <w:spacing w:line="360" w:lineRule="auto"/>
        <w:ind w:firstLine="424" w:firstLineChars="200"/>
        <w:jc w:val="left"/>
        <w:rPr>
          <w:rFonts w:ascii="仿宋" w:hAnsi="仿宋" w:cs="仿宋"/>
        </w:rPr>
      </w:pPr>
      <w:r>
        <w:rPr>
          <w:rFonts w:hint="eastAsia" w:ascii="仿宋" w:hAnsi="仿宋" w:cs="仿宋"/>
        </w:rPr>
        <w:t>6.1.1对于非专门面向中小企业的项目，在满足价格扣除条件且在投标文件中按要求提交了《中小企业声明函》</w:t>
      </w:r>
      <w:r>
        <w:rPr>
          <w:rFonts w:hint="eastAsia" w:ascii="仿宋" w:hAnsi="仿宋" w:cs="仿宋"/>
          <w:kern w:val="0"/>
        </w:rPr>
        <w:t>，投标人所投货物为其它企业生产时须提供此声明函，仅作为价格扣除条件）的，</w:t>
      </w:r>
      <w:r>
        <w:rPr>
          <w:rFonts w:hint="eastAsia" w:ascii="仿宋" w:hAnsi="仿宋" w:cs="仿宋"/>
        </w:rPr>
        <w:t>对投标报价给予价格扣除，用扣除后的价格参与评审。投标报价扣除比例如下：</w:t>
      </w:r>
    </w:p>
    <w:p>
      <w:pPr>
        <w:adjustRightInd w:val="0"/>
        <w:snapToGrid w:val="0"/>
        <w:spacing w:line="360" w:lineRule="auto"/>
        <w:ind w:firstLine="212" w:firstLineChars="100"/>
        <w:jc w:val="left"/>
        <w:rPr>
          <w:rFonts w:ascii="仿宋" w:hAnsi="仿宋" w:cs="仿宋"/>
        </w:rPr>
      </w:pPr>
      <w:r>
        <w:rPr>
          <w:rFonts w:hint="eastAsia" w:ascii="仿宋" w:hAnsi="仿宋" w:cs="仿宋"/>
        </w:rPr>
        <w:t>（1）非联合体投标</w:t>
      </w:r>
    </w:p>
    <w:p>
      <w:pPr>
        <w:adjustRightInd w:val="0"/>
        <w:snapToGrid w:val="0"/>
        <w:spacing w:line="360" w:lineRule="auto"/>
        <w:jc w:val="left"/>
        <w:rPr>
          <w:rFonts w:ascii="仿宋" w:hAnsi="仿宋" w:cs="仿宋"/>
        </w:rPr>
      </w:pPr>
      <w:r>
        <w:rPr>
          <w:rFonts w:hint="eastAsia" w:ascii="仿宋" w:hAnsi="仿宋" w:cs="仿宋"/>
        </w:rPr>
        <w:t xml:space="preserve">       小型和微型企业相应产品、服务投标报价的10%</w:t>
      </w:r>
    </w:p>
    <w:p>
      <w:pPr>
        <w:adjustRightInd w:val="0"/>
        <w:snapToGrid w:val="0"/>
        <w:spacing w:line="360" w:lineRule="auto"/>
        <w:ind w:firstLine="212" w:firstLineChars="100"/>
        <w:jc w:val="left"/>
        <w:rPr>
          <w:rFonts w:ascii="仿宋" w:hAnsi="仿宋" w:cs="仿宋"/>
        </w:rPr>
      </w:pPr>
      <w:r>
        <w:rPr>
          <w:rFonts w:hint="eastAsia" w:ascii="仿宋" w:hAnsi="仿宋" w:cs="仿宋"/>
        </w:rPr>
        <w:t>（2）联合体投标</w:t>
      </w:r>
    </w:p>
    <w:p>
      <w:pPr>
        <w:adjustRightInd w:val="0"/>
        <w:snapToGrid w:val="0"/>
        <w:spacing w:line="360" w:lineRule="auto"/>
        <w:ind w:firstLine="424" w:firstLineChars="200"/>
        <w:jc w:val="left"/>
        <w:rPr>
          <w:rFonts w:ascii="仿宋" w:hAnsi="仿宋" w:cs="仿宋"/>
        </w:rPr>
      </w:pPr>
      <w:r>
        <w:rPr>
          <w:rFonts w:hint="eastAsia" w:ascii="仿宋" w:hAnsi="仿宋" w:cs="仿宋"/>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p>
    <w:p>
      <w:pPr>
        <w:adjustRightInd w:val="0"/>
        <w:snapToGrid w:val="0"/>
        <w:spacing w:line="360" w:lineRule="auto"/>
        <w:ind w:firstLine="424" w:firstLineChars="200"/>
        <w:jc w:val="left"/>
        <w:rPr>
          <w:rFonts w:ascii="仿宋" w:hAnsi="仿宋" w:cs="仿宋"/>
        </w:rPr>
      </w:pPr>
      <w:r>
        <w:rPr>
          <w:rFonts w:hint="eastAsia" w:ascii="仿宋" w:hAnsi="仿宋" w:cs="仿宋"/>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4" w:firstLineChars="200"/>
        <w:jc w:val="left"/>
        <w:rPr>
          <w:rFonts w:ascii="仿宋" w:hAnsi="仿宋" w:cs="仿宋"/>
        </w:rPr>
      </w:pPr>
      <w:r>
        <w:rPr>
          <w:rFonts w:hint="eastAsia" w:ascii="仿宋" w:hAnsi="仿宋" w:cs="仿宋"/>
        </w:rPr>
        <w:t>6.1.2监狱企业视同小型、微型企业，在满足价格扣除条件且在投标文件中按要求提交了省级以上监狱管理局、戒毒管理局（含新疆生产建设兵团）出具的属于监狱企业的证明文件的，对其投标报价按本章6.1.1条款的比例予以扣除，</w:t>
      </w:r>
      <w:r>
        <w:rPr>
          <w:rFonts w:hint="eastAsia" w:ascii="仿宋" w:hAnsi="仿宋" w:cs="仿宋"/>
          <w:kern w:val="0"/>
        </w:rPr>
        <w:t>用扣除后的价格参与评审</w:t>
      </w:r>
      <w:r>
        <w:rPr>
          <w:rFonts w:hint="eastAsia" w:ascii="仿宋" w:hAnsi="仿宋" w:cs="仿宋"/>
        </w:rPr>
        <w:t>。</w:t>
      </w:r>
    </w:p>
    <w:p>
      <w:pPr>
        <w:adjustRightInd w:val="0"/>
        <w:snapToGrid w:val="0"/>
        <w:spacing w:line="360" w:lineRule="auto"/>
        <w:ind w:firstLine="424" w:firstLineChars="200"/>
        <w:jc w:val="left"/>
        <w:rPr>
          <w:rFonts w:ascii="仿宋" w:hAnsi="仿宋" w:cs="仿宋"/>
        </w:rPr>
      </w:pPr>
      <w:r>
        <w:rPr>
          <w:rFonts w:hint="eastAsia" w:ascii="仿宋" w:hAnsi="仿宋" w:cs="仿宋"/>
          <w:b/>
          <w:bCs/>
          <w:kern w:val="0"/>
        </w:rPr>
        <w:t>6.1.3</w:t>
      </w:r>
      <w:r>
        <w:rPr>
          <w:rFonts w:hint="eastAsia" w:ascii="仿宋" w:hAnsi="仿宋" w:cs="仿宋"/>
        </w:rPr>
        <w:t>残疾人福利性单位视同小型、微型企业，在满足价格扣除条件且在</w:t>
      </w:r>
      <w:r>
        <w:rPr>
          <w:rFonts w:hint="eastAsia" w:ascii="仿宋" w:hAnsi="仿宋" w:cs="仿宋"/>
          <w:kern w:val="0"/>
        </w:rPr>
        <w:t>投标文件中提供了《残疾人福利性单位声明函》的，</w:t>
      </w:r>
      <w:r>
        <w:rPr>
          <w:rFonts w:hint="eastAsia" w:ascii="仿宋" w:hAnsi="仿宋" w:cs="仿宋"/>
        </w:rPr>
        <w:t>对其投标报价按本章5.1.1条款的比例予以扣除</w:t>
      </w:r>
      <w:r>
        <w:rPr>
          <w:rFonts w:hint="eastAsia" w:ascii="仿宋" w:hAnsi="仿宋" w:cs="仿宋"/>
          <w:kern w:val="0"/>
        </w:rPr>
        <w:t>，用扣除后的价格参与评审。</w:t>
      </w:r>
    </w:p>
    <w:p>
      <w:pPr>
        <w:adjustRightInd w:val="0"/>
        <w:snapToGrid w:val="0"/>
        <w:spacing w:line="360" w:lineRule="auto"/>
        <w:ind w:firstLine="424" w:firstLineChars="200"/>
        <w:rPr>
          <w:rFonts w:ascii="仿宋" w:hAnsi="仿宋" w:cs="仿宋"/>
          <w:b/>
          <w:bCs/>
        </w:rPr>
      </w:pPr>
      <w:r>
        <w:rPr>
          <w:rFonts w:hint="eastAsia" w:ascii="仿宋" w:hAnsi="仿宋" w:cs="仿宋"/>
          <w:b/>
          <w:bCs/>
        </w:rPr>
        <w:t>6.1.4残疾人福利性单位属于小型、微型企业的，不重复享受政策。</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6.2对于节能产品、环境标志产品的相关规定</w:t>
      </w:r>
    </w:p>
    <w:p>
      <w:pPr>
        <w:numPr>
          <w:ilvl w:val="0"/>
          <w:numId w:val="5"/>
        </w:numPr>
        <w:adjustRightInd w:val="0"/>
        <w:snapToGrid w:val="0"/>
        <w:spacing w:line="360" w:lineRule="auto"/>
        <w:ind w:firstLine="424" w:firstLineChars="200"/>
        <w:jc w:val="left"/>
        <w:rPr>
          <w:rFonts w:ascii="仿宋" w:hAnsi="仿宋" w:cs="仿宋"/>
        </w:rPr>
      </w:pPr>
      <w:r>
        <w:rPr>
          <w:rFonts w:hint="eastAsia" w:ascii="仿宋" w:hAnsi="仿宋" w:cs="仿宋"/>
        </w:rPr>
        <w:t>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spacing w:line="360" w:lineRule="auto"/>
        <w:ind w:firstLine="636" w:firstLineChars="300"/>
        <w:jc w:val="left"/>
        <w:rPr>
          <w:rFonts w:ascii="仿宋" w:hAnsi="仿宋" w:cs="仿宋"/>
        </w:rPr>
      </w:pPr>
      <w:r>
        <w:rPr>
          <w:rFonts w:hint="eastAsia" w:ascii="仿宋" w:hAnsi="仿宋" w:cs="仿宋"/>
          <w:kern w:val="0"/>
        </w:rPr>
        <w:t>采用最低评标价法的，</w:t>
      </w:r>
      <w:r>
        <w:rPr>
          <w:rFonts w:hint="eastAsia" w:ascii="仿宋" w:hAnsi="仿宋" w:cs="仿宋"/>
        </w:rPr>
        <w:t>对</w:t>
      </w:r>
      <w:r>
        <w:rPr>
          <w:rFonts w:hint="eastAsia" w:ascii="仿宋" w:hAnsi="仿宋" w:cs="仿宋"/>
          <w:kern w:val="0"/>
        </w:rPr>
        <w:t>清单中投标产品的报价</w:t>
      </w:r>
      <w:r>
        <w:rPr>
          <w:rFonts w:hint="eastAsia" w:ascii="仿宋" w:hAnsi="仿宋" w:cs="仿宋"/>
        </w:rPr>
        <w:t>给予价格扣除，用扣除后的价格参与评审。报价扣除比例为</w:t>
      </w:r>
      <w:r>
        <w:rPr>
          <w:rFonts w:hint="eastAsia" w:ascii="仿宋" w:hAnsi="仿宋" w:cs="仿宋"/>
          <w:kern w:val="0"/>
        </w:rPr>
        <w:t>清单中产品报价的</w:t>
      </w:r>
      <w:r>
        <w:rPr>
          <w:rFonts w:hint="eastAsia" w:ascii="仿宋" w:hAnsi="仿宋" w:cs="仿宋"/>
          <w:u w:val="single"/>
        </w:rPr>
        <w:t>3</w:t>
      </w:r>
      <w:r>
        <w:rPr>
          <w:rFonts w:hint="eastAsia" w:ascii="仿宋" w:hAnsi="仿宋" w:cs="仿宋"/>
        </w:rPr>
        <w:t xml:space="preserve"> %。</w:t>
      </w:r>
    </w:p>
    <w:p>
      <w:pPr>
        <w:adjustRightInd w:val="0"/>
        <w:snapToGrid w:val="0"/>
        <w:spacing w:line="360" w:lineRule="auto"/>
        <w:ind w:firstLine="636" w:firstLineChars="300"/>
        <w:jc w:val="left"/>
        <w:rPr>
          <w:rFonts w:ascii="仿宋" w:hAnsi="仿宋" w:cs="仿宋"/>
        </w:rPr>
      </w:pPr>
      <w:r>
        <w:rPr>
          <w:rFonts w:hint="eastAsia" w:ascii="仿宋" w:hAnsi="仿宋" w:cs="仿宋"/>
          <w:kern w:val="0"/>
        </w:rPr>
        <w:t>采用综合评分法评标的项目，对清单中产品给予相应的加分。（详见评分细则）</w:t>
      </w:r>
    </w:p>
    <w:p>
      <w:pPr>
        <w:adjustRightInd w:val="0"/>
        <w:snapToGrid w:val="0"/>
        <w:spacing w:line="360" w:lineRule="auto"/>
        <w:ind w:firstLine="424" w:firstLineChars="200"/>
        <w:rPr>
          <w:rFonts w:ascii="仿宋" w:hAnsi="仿宋" w:cs="仿宋"/>
        </w:rPr>
      </w:pPr>
      <w:r>
        <w:rPr>
          <w:rFonts w:hint="eastAsia" w:ascii="仿宋" w:hAnsi="仿宋" w:cs="仿宋"/>
        </w:rPr>
        <w:t>（2）供应商应同时提供品目清单网络截图，并以明确标注所报产品信息和位置的方式，用以方便评审。</w:t>
      </w:r>
    </w:p>
    <w:p>
      <w:pPr>
        <w:adjustRightInd w:val="0"/>
        <w:snapToGrid w:val="0"/>
        <w:spacing w:line="360" w:lineRule="auto"/>
        <w:ind w:firstLine="424" w:firstLineChars="200"/>
        <w:rPr>
          <w:rFonts w:ascii="仿宋" w:hAnsi="仿宋" w:cs="仿宋"/>
          <w:kern w:val="0"/>
        </w:rPr>
      </w:pPr>
      <w:r>
        <w:rPr>
          <w:rFonts w:hint="eastAsia" w:ascii="仿宋" w:hAnsi="仿宋" w:cs="仿宋"/>
          <w:kern w:val="0"/>
        </w:rPr>
        <w:t>（3）认证机构和获证产品信息发布媒体：详见中国政府采购网（www.ccgp.gov.cn）建立的与认证结果信息发布平台的链接。</w:t>
      </w:r>
    </w:p>
    <w:p>
      <w:pPr>
        <w:adjustRightInd w:val="0"/>
        <w:spacing w:line="360" w:lineRule="auto"/>
        <w:ind w:firstLine="424" w:firstLineChars="200"/>
        <w:jc w:val="left"/>
        <w:rPr>
          <w:rFonts w:ascii="仿宋" w:hAnsi="仿宋" w:cs="仿宋"/>
          <w:b/>
          <w:bCs/>
        </w:rPr>
      </w:pPr>
      <w:r>
        <w:rPr>
          <w:rFonts w:hint="eastAsia" w:ascii="仿宋" w:hAnsi="仿宋" w:cs="仿宋"/>
          <w:b/>
          <w:bCs/>
        </w:rPr>
        <w:t>6.3对于列入《辽宁省创新产品和服务目录》内的产品、服务的相关规定</w:t>
      </w:r>
    </w:p>
    <w:p>
      <w:pPr>
        <w:adjustRightInd w:val="0"/>
        <w:spacing w:line="360" w:lineRule="auto"/>
        <w:ind w:firstLine="424" w:firstLineChars="200"/>
        <w:jc w:val="left"/>
        <w:rPr>
          <w:rFonts w:ascii="仿宋" w:hAnsi="仿宋" w:cs="仿宋"/>
        </w:rPr>
      </w:pPr>
      <w:r>
        <w:rPr>
          <w:rFonts w:hint="eastAsia" w:ascii="仿宋" w:hAnsi="仿宋" w:cs="仿宋"/>
        </w:rPr>
        <w:t>采用最低评标价法的：对列入《辽宁省创新产品和服务目录》内的投标产品、服务给予其投标报价6%的价格扣除，用扣除后的价格参与评审。</w:t>
      </w:r>
    </w:p>
    <w:p>
      <w:pPr>
        <w:adjustRightInd w:val="0"/>
        <w:spacing w:line="360" w:lineRule="auto"/>
        <w:ind w:firstLine="424" w:firstLineChars="200"/>
        <w:jc w:val="left"/>
        <w:rPr>
          <w:rFonts w:ascii="仿宋" w:hAnsi="仿宋" w:cs="仿宋"/>
          <w:kern w:val="0"/>
        </w:rPr>
      </w:pPr>
      <w:r>
        <w:rPr>
          <w:rFonts w:hint="eastAsia" w:ascii="仿宋" w:hAnsi="仿宋" w:cs="仿宋"/>
        </w:rPr>
        <w:t>采用综合评分法评标的：对列入《辽宁省创新产品和服务目录》内的投标产品、服务给予投标报价总分值6%的加分（详见评分细则）。</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★7、投标无效情况详见投标人须知。</w:t>
      </w:r>
    </w:p>
    <w:p>
      <w:pPr>
        <w:adjustRightInd w:val="0"/>
        <w:snapToGrid w:val="0"/>
        <w:spacing w:line="360" w:lineRule="auto"/>
        <w:ind w:firstLine="424" w:firstLineChars="200"/>
        <w:rPr>
          <w:rFonts w:ascii="仿宋" w:hAnsi="仿宋" w:cs="仿宋"/>
          <w:b/>
          <w:bCs/>
          <w:kern w:val="0"/>
        </w:rPr>
      </w:pPr>
      <w:r>
        <w:rPr>
          <w:rFonts w:hint="eastAsia" w:ascii="仿宋" w:hAnsi="仿宋" w:cs="仿宋"/>
          <w:b/>
          <w:bCs/>
          <w:kern w:val="0"/>
        </w:rPr>
        <w:t>★8、推荐中标候选人的原则</w:t>
      </w:r>
    </w:p>
    <w:p>
      <w:pPr>
        <w:adjustRightInd w:val="0"/>
        <w:snapToGrid w:val="0"/>
        <w:spacing w:line="360" w:lineRule="auto"/>
        <w:ind w:firstLine="424" w:firstLineChars="200"/>
        <w:rPr>
          <w:rFonts w:ascii="仿宋" w:hAnsi="仿宋" w:cs="仿宋"/>
          <w:kern w:val="0"/>
        </w:rPr>
      </w:pPr>
      <w:r>
        <w:rPr>
          <w:rFonts w:hint="eastAsia" w:ascii="仿宋" w:hAnsi="仿宋" w:cs="仿宋"/>
          <w:kern w:val="0"/>
        </w:rPr>
        <w:t>详见第一章投标人须知第29条，具体处理办法如下：</w:t>
      </w:r>
    </w:p>
    <w:p>
      <w:pPr>
        <w:numPr>
          <w:ilvl w:val="0"/>
          <w:numId w:val="6"/>
        </w:numPr>
        <w:adjustRightInd w:val="0"/>
        <w:snapToGrid w:val="0"/>
        <w:spacing w:line="360" w:lineRule="auto"/>
        <w:ind w:firstLine="424" w:firstLineChars="200"/>
        <w:rPr>
          <w:rFonts w:ascii="仿宋" w:hAnsi="仿宋" w:cs="仿宋"/>
        </w:rPr>
      </w:pPr>
      <w:r>
        <w:rPr>
          <w:rFonts w:hint="eastAsia" w:ascii="仿宋" w:hAnsi="仿宋" w:cs="仿宋"/>
        </w:rPr>
        <w:t>采用最低评标价法的：</w:t>
      </w:r>
    </w:p>
    <w:p>
      <w:pPr>
        <w:adjustRightInd w:val="0"/>
        <w:snapToGrid w:val="0"/>
        <w:spacing w:line="360" w:lineRule="auto"/>
        <w:ind w:firstLine="424" w:firstLineChars="200"/>
        <w:rPr>
          <w:rFonts w:ascii="仿宋" w:hAnsi="仿宋" w:cs="仿宋"/>
        </w:rPr>
      </w:pPr>
      <w:r>
        <w:rPr>
          <w:rFonts w:hint="eastAsia" w:ascii="仿宋" w:hAnsi="仿宋" w:cs="仿宋"/>
        </w:rPr>
        <w:t>扣除后的投标报价相同时，按投标报价由低至高排序；</w:t>
      </w:r>
    </w:p>
    <w:p>
      <w:pPr>
        <w:adjustRightInd w:val="0"/>
        <w:snapToGrid w:val="0"/>
        <w:spacing w:line="360" w:lineRule="auto"/>
        <w:ind w:firstLine="424" w:firstLineChars="200"/>
        <w:rPr>
          <w:rFonts w:ascii="仿宋" w:hAnsi="仿宋" w:cs="仿宋"/>
        </w:rPr>
      </w:pPr>
      <w:r>
        <w:rPr>
          <w:rFonts w:hint="eastAsia" w:ascii="仿宋" w:hAnsi="仿宋" w:cs="仿宋"/>
        </w:rPr>
        <w:t>按前款不能区分的，优先采购节能产品、环境标志产品；</w:t>
      </w:r>
    </w:p>
    <w:p>
      <w:pPr>
        <w:adjustRightInd w:val="0"/>
        <w:snapToGrid w:val="0"/>
        <w:spacing w:line="360" w:lineRule="auto"/>
        <w:ind w:firstLine="424" w:firstLineChars="200"/>
        <w:rPr>
          <w:rFonts w:ascii="仿宋" w:hAnsi="仿宋" w:cs="仿宋"/>
        </w:rPr>
      </w:pPr>
      <w:r>
        <w:rPr>
          <w:rFonts w:hint="eastAsia" w:ascii="仿宋" w:hAnsi="仿宋" w:cs="仿宋"/>
        </w:rPr>
        <w:t>按前款不能区分的，按技术指标优劣排序；</w:t>
      </w:r>
    </w:p>
    <w:p>
      <w:pPr>
        <w:adjustRightInd w:val="0"/>
        <w:snapToGrid w:val="0"/>
        <w:spacing w:line="360" w:lineRule="auto"/>
        <w:ind w:firstLine="424" w:firstLineChars="200"/>
        <w:rPr>
          <w:rFonts w:ascii="仿宋" w:hAnsi="仿宋" w:cs="仿宋"/>
        </w:rPr>
      </w:pPr>
      <w:r>
        <w:rPr>
          <w:rFonts w:hint="eastAsia" w:ascii="仿宋" w:hAnsi="仿宋" w:cs="仿宋"/>
        </w:rPr>
        <w:t>其他情况，由评标委员会投票处理。</w:t>
      </w:r>
    </w:p>
    <w:p>
      <w:pPr>
        <w:numPr>
          <w:ilvl w:val="0"/>
          <w:numId w:val="6"/>
        </w:numPr>
        <w:adjustRightInd w:val="0"/>
        <w:snapToGrid w:val="0"/>
        <w:spacing w:line="360" w:lineRule="auto"/>
        <w:ind w:firstLine="424" w:firstLineChars="200"/>
        <w:rPr>
          <w:rFonts w:ascii="仿宋" w:hAnsi="仿宋" w:cs="仿宋"/>
        </w:rPr>
      </w:pPr>
      <w:r>
        <w:rPr>
          <w:rFonts w:hint="eastAsia" w:ascii="仿宋" w:hAnsi="仿宋" w:cs="仿宋"/>
        </w:rPr>
        <w:t>采用综合评分法的：</w:t>
      </w:r>
    </w:p>
    <w:p>
      <w:pPr>
        <w:adjustRightInd w:val="0"/>
        <w:snapToGrid w:val="0"/>
        <w:spacing w:line="360" w:lineRule="auto"/>
        <w:ind w:firstLine="424" w:firstLineChars="200"/>
        <w:rPr>
          <w:rFonts w:ascii="仿宋" w:hAnsi="仿宋" w:cs="仿宋"/>
        </w:rPr>
      </w:pPr>
      <w:r>
        <w:rPr>
          <w:rFonts w:hint="eastAsia" w:ascii="仿宋" w:hAnsi="仿宋" w:cs="仿宋"/>
        </w:rPr>
        <w:t>得分相同的，按扣除后的投标报价由低到高顺序排序；</w:t>
      </w:r>
    </w:p>
    <w:p>
      <w:pPr>
        <w:adjustRightInd w:val="0"/>
        <w:snapToGrid w:val="0"/>
        <w:spacing w:line="360" w:lineRule="auto"/>
        <w:ind w:firstLine="424" w:firstLineChars="200"/>
        <w:rPr>
          <w:rFonts w:ascii="仿宋" w:hAnsi="仿宋" w:cs="仿宋"/>
        </w:rPr>
      </w:pPr>
      <w:r>
        <w:rPr>
          <w:rFonts w:hint="eastAsia" w:ascii="仿宋" w:hAnsi="仿宋" w:cs="仿宋"/>
        </w:rPr>
        <w:t>按前款不能区分的，按投标报价由低至高顺序排序；</w:t>
      </w:r>
    </w:p>
    <w:p>
      <w:pPr>
        <w:adjustRightInd w:val="0"/>
        <w:snapToGrid w:val="0"/>
        <w:spacing w:line="360" w:lineRule="auto"/>
        <w:ind w:firstLine="424" w:firstLineChars="200"/>
        <w:rPr>
          <w:rFonts w:ascii="仿宋" w:hAnsi="仿宋" w:cs="仿宋"/>
        </w:rPr>
      </w:pPr>
      <w:r>
        <w:rPr>
          <w:rFonts w:hint="eastAsia" w:ascii="仿宋" w:hAnsi="仿宋" w:cs="仿宋"/>
        </w:rPr>
        <w:t>按前款不能区分的，优先采购节能产品、环保产品；</w:t>
      </w:r>
    </w:p>
    <w:p>
      <w:pPr>
        <w:adjustRightInd w:val="0"/>
        <w:snapToGrid w:val="0"/>
        <w:spacing w:line="360" w:lineRule="auto"/>
        <w:ind w:firstLine="424" w:firstLineChars="200"/>
        <w:rPr>
          <w:rFonts w:ascii="仿宋" w:hAnsi="仿宋" w:cs="仿宋"/>
        </w:rPr>
      </w:pPr>
      <w:r>
        <w:rPr>
          <w:rFonts w:hint="eastAsia" w:ascii="仿宋" w:hAnsi="仿宋" w:cs="仿宋"/>
        </w:rPr>
        <w:t>按前款不能区分的，按技术指标优劣排序；</w:t>
      </w:r>
    </w:p>
    <w:p>
      <w:pPr>
        <w:adjustRightInd w:val="0"/>
        <w:snapToGrid w:val="0"/>
        <w:spacing w:line="360" w:lineRule="auto"/>
        <w:ind w:firstLine="424" w:firstLineChars="200"/>
        <w:rPr>
          <w:rFonts w:ascii="仿宋" w:hAnsi="仿宋" w:cs="仿宋"/>
        </w:rPr>
      </w:pPr>
      <w:r>
        <w:rPr>
          <w:rFonts w:hint="eastAsia" w:ascii="仿宋" w:hAnsi="仿宋" w:cs="仿宋"/>
        </w:rPr>
        <w:t>其他情况，由评标委员会投票处理。</w:t>
      </w:r>
    </w:p>
    <w:p>
      <w:pPr>
        <w:adjustRightInd w:val="0"/>
        <w:snapToGrid w:val="0"/>
        <w:spacing w:line="360" w:lineRule="auto"/>
        <w:ind w:firstLine="424" w:firstLineChars="200"/>
        <w:rPr>
          <w:rFonts w:ascii="仿宋" w:hAnsi="仿宋" w:cs="仿宋"/>
          <w:b/>
          <w:bCs/>
          <w:kern w:val="0"/>
        </w:rPr>
      </w:pPr>
      <w:bookmarkStart w:id="126" w:name="_Toc30297_WPSOffice_Level2"/>
      <w:r>
        <w:rPr>
          <w:rFonts w:hint="eastAsia" w:ascii="仿宋" w:hAnsi="仿宋" w:cs="仿宋"/>
          <w:b/>
          <w:bCs/>
        </w:rPr>
        <w:t>三、</w:t>
      </w:r>
      <w:r>
        <w:rPr>
          <w:rFonts w:hint="eastAsia" w:ascii="仿宋" w:hAnsi="仿宋" w:cs="仿宋"/>
          <w:b/>
          <w:bCs/>
          <w:kern w:val="0"/>
        </w:rPr>
        <w:t>确定中标人</w:t>
      </w:r>
      <w:bookmarkEnd w:id="126"/>
    </w:p>
    <w:p>
      <w:pPr>
        <w:adjustRightInd w:val="0"/>
        <w:snapToGrid w:val="0"/>
        <w:spacing w:line="360" w:lineRule="auto"/>
        <w:ind w:firstLine="424" w:firstLineChars="200"/>
        <w:rPr>
          <w:rFonts w:ascii="仿宋" w:hAnsi="仿宋" w:cs="仿宋"/>
        </w:rPr>
      </w:pPr>
      <w:r>
        <w:rPr>
          <w:rFonts w:hint="eastAsia" w:ascii="仿宋" w:hAnsi="仿宋" w:cs="仿宋"/>
        </w:rPr>
        <w:t>评标委员会根据全体评标委员会成员签字的原始评标记录和评标结果编写评标报告，并向采购人提交书面评标报告。</w:t>
      </w:r>
    </w:p>
    <w:p>
      <w:pPr>
        <w:adjustRightInd w:val="0"/>
        <w:snapToGrid w:val="0"/>
        <w:spacing w:line="360" w:lineRule="auto"/>
        <w:ind w:firstLine="424" w:firstLineChars="200"/>
        <w:rPr>
          <w:rFonts w:ascii="仿宋" w:hAnsi="仿宋" w:cs="仿宋"/>
        </w:rPr>
      </w:pPr>
      <w:r>
        <w:rPr>
          <w:rFonts w:hint="eastAsia" w:ascii="仿宋" w:hAnsi="仿宋" w:cs="仿宋"/>
        </w:rPr>
        <w:t>采购人按照评标报告确定的中标候选人名单按顺序确定中标人，或由采购人委托评标委员会按照第一章投标人须知第31条规定的方式确定中标人。</w:t>
      </w:r>
    </w:p>
    <w:p>
      <w:pPr>
        <w:pStyle w:val="5"/>
        <w:adjustRightInd w:val="0"/>
        <w:snapToGrid w:val="0"/>
        <w:spacing w:before="0" w:after="0" w:line="240" w:lineRule="auto"/>
        <w:jc w:val="left"/>
        <w:rPr>
          <w:rFonts w:ascii="仿宋" w:hAnsi="仿宋" w:cs="仿宋"/>
        </w:rPr>
      </w:pPr>
      <w:r>
        <w:rPr>
          <w:rFonts w:hint="eastAsia" w:ascii="仿宋" w:hAnsi="仿宋" w:cs="仿宋"/>
        </w:rPr>
        <w:br w:type="page"/>
      </w:r>
      <w:bookmarkStart w:id="127" w:name="_Toc32318_WPSOffice_Level2"/>
      <w:r>
        <w:rPr>
          <w:rFonts w:hint="eastAsia" w:ascii="仿宋" w:hAnsi="仿宋" w:cs="仿宋"/>
        </w:rPr>
        <w:t xml:space="preserve">附件1 </w:t>
      </w:r>
    </w:p>
    <w:p>
      <w:pPr>
        <w:jc w:val="center"/>
        <w:rPr>
          <w:rFonts w:ascii="仿宋" w:hAnsi="仿宋" w:cs="仿宋"/>
          <w:b/>
          <w:bCs/>
          <w:sz w:val="32"/>
          <w:szCs w:val="32"/>
        </w:rPr>
      </w:pPr>
      <w:r>
        <w:rPr>
          <w:rFonts w:hint="eastAsia" w:ascii="仿宋" w:hAnsi="仿宋" w:cs="仿宋"/>
          <w:b/>
          <w:bCs/>
          <w:sz w:val="32"/>
          <w:szCs w:val="32"/>
        </w:rPr>
        <w:t>资格审查表</w:t>
      </w:r>
      <w:bookmarkEnd w:id="127"/>
    </w:p>
    <w:tbl>
      <w:tblPr>
        <w:tblStyle w:val="21"/>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441"/>
        <w:gridCol w:w="1808"/>
        <w:gridCol w:w="899"/>
        <w:gridCol w:w="877"/>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74" w:type="dxa"/>
            <w:vMerge w:val="restart"/>
            <w:vAlign w:val="center"/>
          </w:tcPr>
          <w:p>
            <w:pPr>
              <w:ind w:left="-97" w:leftChars="-46" w:right="-86" w:rightChars="-41"/>
              <w:jc w:val="center"/>
              <w:rPr>
                <w:rFonts w:ascii="仿宋" w:hAnsi="仿宋" w:cs="仿宋"/>
              </w:rPr>
            </w:pPr>
            <w:r>
              <w:rPr>
                <w:rFonts w:hint="eastAsia" w:ascii="仿宋" w:hAnsi="仿宋" w:cs="仿宋"/>
              </w:rPr>
              <w:t>序号</w:t>
            </w:r>
          </w:p>
        </w:tc>
        <w:tc>
          <w:tcPr>
            <w:tcW w:w="3441" w:type="dxa"/>
            <w:vMerge w:val="restart"/>
            <w:vAlign w:val="center"/>
          </w:tcPr>
          <w:p>
            <w:pPr>
              <w:pStyle w:val="5"/>
              <w:adjustRightInd w:val="0"/>
              <w:snapToGrid w:val="0"/>
              <w:spacing w:before="0" w:after="0" w:line="240" w:lineRule="auto"/>
              <w:ind w:left="-97" w:leftChars="-46" w:right="-86" w:rightChars="-41"/>
              <w:rPr>
                <w:rFonts w:ascii="仿宋" w:hAnsi="仿宋" w:cs="仿宋"/>
                <w:b w:val="0"/>
                <w:bCs w:val="0"/>
                <w:sz w:val="21"/>
                <w:szCs w:val="21"/>
              </w:rPr>
            </w:pPr>
            <w:r>
              <w:rPr>
                <w:rFonts w:hint="eastAsia" w:ascii="仿宋" w:hAnsi="仿宋" w:cs="仿宋"/>
                <w:b w:val="0"/>
                <w:bCs w:val="0"/>
                <w:sz w:val="21"/>
                <w:szCs w:val="21"/>
              </w:rPr>
              <w:t>审查项目</w:t>
            </w:r>
          </w:p>
        </w:tc>
        <w:tc>
          <w:tcPr>
            <w:tcW w:w="1808" w:type="dxa"/>
            <w:vMerge w:val="restart"/>
            <w:vAlign w:val="center"/>
          </w:tcPr>
          <w:p>
            <w:pPr>
              <w:pStyle w:val="5"/>
              <w:adjustRightInd w:val="0"/>
              <w:snapToGrid w:val="0"/>
              <w:spacing w:before="0" w:after="0" w:line="240" w:lineRule="auto"/>
              <w:ind w:left="-97" w:leftChars="-46" w:right="-86" w:rightChars="-41"/>
              <w:rPr>
                <w:rFonts w:ascii="仿宋" w:hAnsi="仿宋" w:cs="仿宋"/>
                <w:b w:val="0"/>
                <w:bCs w:val="0"/>
                <w:sz w:val="21"/>
                <w:szCs w:val="21"/>
              </w:rPr>
            </w:pPr>
            <w:r>
              <w:rPr>
                <w:rFonts w:hint="eastAsia" w:ascii="仿宋" w:hAnsi="仿宋" w:cs="仿宋"/>
                <w:b w:val="0"/>
                <w:bCs w:val="0"/>
                <w:sz w:val="21"/>
                <w:szCs w:val="21"/>
              </w:rPr>
              <w:t>审查标准</w:t>
            </w:r>
          </w:p>
        </w:tc>
        <w:tc>
          <w:tcPr>
            <w:tcW w:w="2590" w:type="dxa"/>
            <w:gridSpan w:val="3"/>
            <w:vAlign w:val="center"/>
          </w:tcPr>
          <w:p>
            <w:pPr>
              <w:pStyle w:val="5"/>
              <w:adjustRightInd w:val="0"/>
              <w:snapToGrid w:val="0"/>
              <w:spacing w:before="0" w:after="0" w:line="240" w:lineRule="auto"/>
              <w:ind w:left="-97" w:leftChars="-46" w:right="-86" w:rightChars="-41"/>
              <w:rPr>
                <w:rFonts w:ascii="仿宋" w:hAnsi="仿宋" w:cs="仿宋"/>
                <w:b w:val="0"/>
                <w:bCs w:val="0"/>
                <w:sz w:val="21"/>
                <w:szCs w:val="21"/>
              </w:rPr>
            </w:pPr>
            <w:r>
              <w:rPr>
                <w:rFonts w:hint="eastAsia" w:ascii="仿宋" w:hAnsi="仿宋" w:cs="仿宋"/>
                <w:b w:val="0"/>
                <w:bCs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4" w:type="dxa"/>
            <w:vMerge w:val="continue"/>
            <w:vAlign w:val="center"/>
          </w:tcPr>
          <w:p>
            <w:pPr>
              <w:pStyle w:val="5"/>
              <w:adjustRightInd w:val="0"/>
              <w:snapToGrid w:val="0"/>
              <w:spacing w:before="0" w:after="0" w:line="240" w:lineRule="auto"/>
              <w:rPr>
                <w:rFonts w:ascii="仿宋" w:hAnsi="仿宋" w:cs="仿宋"/>
              </w:rPr>
            </w:pPr>
          </w:p>
        </w:tc>
        <w:tc>
          <w:tcPr>
            <w:tcW w:w="3441" w:type="dxa"/>
            <w:vMerge w:val="continue"/>
            <w:vAlign w:val="center"/>
          </w:tcPr>
          <w:p>
            <w:pPr>
              <w:pStyle w:val="5"/>
              <w:adjustRightInd w:val="0"/>
              <w:snapToGrid w:val="0"/>
              <w:spacing w:before="0" w:after="0" w:line="240" w:lineRule="auto"/>
              <w:rPr>
                <w:rFonts w:ascii="仿宋" w:hAnsi="仿宋" w:cs="仿宋"/>
                <w:sz w:val="21"/>
                <w:szCs w:val="21"/>
              </w:rPr>
            </w:pPr>
          </w:p>
        </w:tc>
        <w:tc>
          <w:tcPr>
            <w:tcW w:w="1808" w:type="dxa"/>
            <w:vMerge w:val="continue"/>
            <w:vAlign w:val="center"/>
          </w:tcPr>
          <w:p>
            <w:pPr>
              <w:pStyle w:val="5"/>
              <w:adjustRightInd w:val="0"/>
              <w:snapToGrid w:val="0"/>
              <w:spacing w:before="0" w:after="0" w:line="240" w:lineRule="auto"/>
              <w:rPr>
                <w:rFonts w:ascii="仿宋" w:hAnsi="仿宋" w:cs="仿宋"/>
                <w:sz w:val="21"/>
                <w:szCs w:val="21"/>
              </w:rPr>
            </w:pPr>
          </w:p>
        </w:tc>
        <w:tc>
          <w:tcPr>
            <w:tcW w:w="899" w:type="dxa"/>
            <w:vAlign w:val="center"/>
          </w:tcPr>
          <w:p>
            <w:pPr>
              <w:pStyle w:val="5"/>
              <w:adjustRightInd w:val="0"/>
              <w:snapToGrid w:val="0"/>
              <w:spacing w:before="0" w:after="0" w:line="240" w:lineRule="auto"/>
              <w:rPr>
                <w:rFonts w:ascii="仿宋" w:hAnsi="仿宋" w:cs="仿宋"/>
                <w:sz w:val="21"/>
                <w:szCs w:val="21"/>
              </w:rPr>
            </w:pPr>
          </w:p>
        </w:tc>
        <w:tc>
          <w:tcPr>
            <w:tcW w:w="877" w:type="dxa"/>
            <w:vAlign w:val="center"/>
          </w:tcPr>
          <w:p>
            <w:pPr>
              <w:pStyle w:val="5"/>
              <w:adjustRightInd w:val="0"/>
              <w:snapToGrid w:val="0"/>
              <w:spacing w:before="0" w:after="0" w:line="240" w:lineRule="auto"/>
              <w:rPr>
                <w:rFonts w:ascii="仿宋" w:hAnsi="仿宋" w:cs="仿宋"/>
                <w:sz w:val="21"/>
                <w:szCs w:val="21"/>
              </w:rPr>
            </w:pPr>
          </w:p>
        </w:tc>
        <w:tc>
          <w:tcPr>
            <w:tcW w:w="814" w:type="dxa"/>
            <w:vAlign w:val="center"/>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74" w:type="dxa"/>
            <w:vAlign w:val="center"/>
          </w:tcPr>
          <w:p>
            <w:pPr>
              <w:snapToGrid w:val="0"/>
              <w:jc w:val="center"/>
              <w:rPr>
                <w:rFonts w:ascii="仿宋" w:hAnsi="仿宋" w:cs="仿宋"/>
              </w:rPr>
            </w:pPr>
            <w:r>
              <w:rPr>
                <w:rFonts w:hint="eastAsia" w:ascii="仿宋" w:hAnsi="仿宋" w:cs="仿宋"/>
              </w:rPr>
              <w:t>1</w:t>
            </w:r>
          </w:p>
        </w:tc>
        <w:tc>
          <w:tcPr>
            <w:tcW w:w="3441" w:type="dxa"/>
            <w:vAlign w:val="center"/>
          </w:tcPr>
          <w:p>
            <w:pPr>
              <w:snapToGrid w:val="0"/>
              <w:jc w:val="left"/>
              <w:rPr>
                <w:rFonts w:ascii="仿宋" w:hAnsi="仿宋" w:cs="仿宋"/>
                <w:b/>
                <w:bCs/>
              </w:rPr>
            </w:pPr>
            <w:r>
              <w:rPr>
                <w:rFonts w:hint="eastAsia" w:ascii="仿宋" w:hAnsi="仿宋" w:cs="仿宋"/>
              </w:rPr>
              <w:t>营业执照或事业单位法人证书或执业许可证等证明文件或自然人的身份证明</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1.按要求提供</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2.合法有效</w:t>
            </w:r>
          </w:p>
        </w:tc>
        <w:tc>
          <w:tcPr>
            <w:tcW w:w="899" w:type="dxa"/>
            <w:vAlign w:val="center"/>
          </w:tcPr>
          <w:p>
            <w:pPr>
              <w:pStyle w:val="5"/>
              <w:adjustRightInd w:val="0"/>
              <w:snapToGrid w:val="0"/>
              <w:spacing w:before="0" w:after="0" w:line="240" w:lineRule="auto"/>
              <w:rPr>
                <w:rFonts w:ascii="仿宋" w:hAnsi="仿宋" w:cs="仿宋"/>
                <w:sz w:val="21"/>
                <w:szCs w:val="21"/>
              </w:rPr>
            </w:pPr>
          </w:p>
        </w:tc>
        <w:tc>
          <w:tcPr>
            <w:tcW w:w="877" w:type="dxa"/>
            <w:vAlign w:val="center"/>
          </w:tcPr>
          <w:p>
            <w:pPr>
              <w:pStyle w:val="5"/>
              <w:adjustRightInd w:val="0"/>
              <w:snapToGrid w:val="0"/>
              <w:spacing w:before="0" w:after="0" w:line="240" w:lineRule="auto"/>
              <w:rPr>
                <w:rFonts w:ascii="仿宋" w:hAnsi="仿宋" w:cs="仿宋"/>
                <w:sz w:val="21"/>
                <w:szCs w:val="21"/>
              </w:rPr>
            </w:pPr>
          </w:p>
        </w:tc>
        <w:tc>
          <w:tcPr>
            <w:tcW w:w="814" w:type="dxa"/>
            <w:vAlign w:val="center"/>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74" w:type="dxa"/>
            <w:vAlign w:val="center"/>
          </w:tcPr>
          <w:p>
            <w:pPr>
              <w:widowControl/>
              <w:snapToGrid w:val="0"/>
              <w:jc w:val="center"/>
              <w:rPr>
                <w:rFonts w:ascii="仿宋" w:hAnsi="仿宋" w:cs="仿宋"/>
              </w:rPr>
            </w:pPr>
            <w:r>
              <w:rPr>
                <w:rFonts w:hint="eastAsia" w:ascii="仿宋" w:hAnsi="仿宋" w:cs="仿宋"/>
              </w:rPr>
              <w:t>2</w:t>
            </w:r>
          </w:p>
        </w:tc>
        <w:tc>
          <w:tcPr>
            <w:tcW w:w="3441" w:type="dxa"/>
            <w:vAlign w:val="center"/>
          </w:tcPr>
          <w:p>
            <w:pPr>
              <w:widowControl/>
              <w:snapToGrid w:val="0"/>
              <w:jc w:val="left"/>
              <w:rPr>
                <w:rFonts w:ascii="仿宋" w:hAnsi="仿宋" w:cs="仿宋"/>
                <w:b/>
                <w:bCs/>
              </w:rPr>
            </w:pPr>
            <w:r>
              <w:rPr>
                <w:rFonts w:hint="eastAsia" w:ascii="仿宋" w:hAnsi="仿宋" w:cs="仿宋"/>
              </w:rPr>
              <w:t>法定代表人（或非法人组织负责人）身份证明书</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1.按给定格式填写</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2.按规定签章</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74" w:type="dxa"/>
            <w:vAlign w:val="center"/>
          </w:tcPr>
          <w:p>
            <w:pPr>
              <w:widowControl/>
              <w:snapToGrid w:val="0"/>
              <w:jc w:val="center"/>
              <w:rPr>
                <w:rFonts w:ascii="仿宋" w:hAnsi="仿宋" w:cs="仿宋"/>
              </w:rPr>
            </w:pPr>
            <w:r>
              <w:rPr>
                <w:rFonts w:hint="eastAsia" w:ascii="仿宋" w:hAnsi="仿宋" w:cs="仿宋"/>
              </w:rPr>
              <w:t>3</w:t>
            </w:r>
          </w:p>
        </w:tc>
        <w:tc>
          <w:tcPr>
            <w:tcW w:w="3441" w:type="dxa"/>
            <w:vAlign w:val="center"/>
          </w:tcPr>
          <w:p>
            <w:pPr>
              <w:widowControl/>
              <w:snapToGrid w:val="0"/>
              <w:jc w:val="left"/>
              <w:rPr>
                <w:rFonts w:ascii="仿宋" w:hAnsi="仿宋" w:cs="仿宋"/>
                <w:b/>
                <w:bCs/>
              </w:rPr>
            </w:pPr>
            <w:r>
              <w:rPr>
                <w:rFonts w:hint="eastAsia" w:ascii="仿宋" w:hAnsi="仿宋" w:cs="仿宋"/>
              </w:rPr>
              <w:t>法定代表人（或非法人组织负责人）授权委托书（授权委托人参加投标的须提供）</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1.按给定格式填写</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2.按规定签章</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74" w:type="dxa"/>
            <w:vAlign w:val="center"/>
          </w:tcPr>
          <w:p>
            <w:pPr>
              <w:widowControl/>
              <w:snapToGrid w:val="0"/>
              <w:jc w:val="center"/>
              <w:rPr>
                <w:rFonts w:ascii="仿宋" w:hAnsi="仿宋" w:cs="仿宋"/>
              </w:rPr>
            </w:pPr>
            <w:r>
              <w:rPr>
                <w:rFonts w:hint="eastAsia" w:ascii="仿宋" w:hAnsi="仿宋" w:cs="仿宋"/>
              </w:rPr>
              <w:t>4</w:t>
            </w:r>
          </w:p>
        </w:tc>
        <w:tc>
          <w:tcPr>
            <w:tcW w:w="3441" w:type="dxa"/>
            <w:vAlign w:val="center"/>
          </w:tcPr>
          <w:p>
            <w:pPr>
              <w:widowControl/>
              <w:snapToGrid w:val="0"/>
              <w:jc w:val="left"/>
              <w:rPr>
                <w:rFonts w:ascii="仿宋" w:hAnsi="仿宋" w:cs="仿宋"/>
                <w:b/>
                <w:bCs/>
              </w:rPr>
            </w:pPr>
            <w:r>
              <w:rPr>
                <w:rFonts w:hint="eastAsia" w:ascii="仿宋" w:hAnsi="仿宋" w:cs="仿宋"/>
              </w:rPr>
              <w:t>具有良好的商业信誉和健全的财务会计制度的承诺函</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1.信息完整</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2.按规定签章</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4" w:type="dxa"/>
            <w:vAlign w:val="center"/>
          </w:tcPr>
          <w:p>
            <w:pPr>
              <w:snapToGrid w:val="0"/>
              <w:jc w:val="center"/>
              <w:rPr>
                <w:rFonts w:ascii="仿宋" w:hAnsi="仿宋" w:cs="仿宋"/>
              </w:rPr>
            </w:pPr>
            <w:r>
              <w:rPr>
                <w:rFonts w:hint="eastAsia" w:ascii="仿宋" w:hAnsi="仿宋" w:cs="仿宋"/>
              </w:rPr>
              <w:t>5</w:t>
            </w:r>
          </w:p>
        </w:tc>
        <w:tc>
          <w:tcPr>
            <w:tcW w:w="3441" w:type="dxa"/>
            <w:vAlign w:val="center"/>
          </w:tcPr>
          <w:p>
            <w:pPr>
              <w:snapToGrid w:val="0"/>
              <w:jc w:val="left"/>
              <w:rPr>
                <w:rFonts w:ascii="仿宋" w:hAnsi="仿宋" w:cs="仿宋"/>
                <w:b/>
                <w:bCs/>
              </w:rPr>
            </w:pPr>
            <w:r>
              <w:rPr>
                <w:rFonts w:hint="eastAsia" w:ascii="仿宋" w:hAnsi="仿宋" w:cs="仿宋"/>
              </w:rPr>
              <w:t>开标时间前六个月内任一个月的依法缴纳税收的缴款凭据</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1.按要求提供</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2.合法有效</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4" w:type="dxa"/>
            <w:vAlign w:val="center"/>
          </w:tcPr>
          <w:p>
            <w:pPr>
              <w:snapToGrid w:val="0"/>
              <w:jc w:val="center"/>
              <w:rPr>
                <w:rFonts w:ascii="仿宋" w:hAnsi="仿宋" w:cs="仿宋"/>
              </w:rPr>
            </w:pPr>
            <w:r>
              <w:rPr>
                <w:rFonts w:hint="eastAsia" w:ascii="仿宋" w:hAnsi="仿宋" w:cs="仿宋"/>
              </w:rPr>
              <w:t>6</w:t>
            </w:r>
          </w:p>
        </w:tc>
        <w:tc>
          <w:tcPr>
            <w:tcW w:w="3441" w:type="dxa"/>
            <w:vAlign w:val="center"/>
          </w:tcPr>
          <w:p>
            <w:pPr>
              <w:snapToGrid w:val="0"/>
              <w:jc w:val="left"/>
              <w:rPr>
                <w:rFonts w:ascii="仿宋" w:hAnsi="仿宋" w:cs="仿宋"/>
                <w:b/>
                <w:bCs/>
              </w:rPr>
            </w:pPr>
            <w:r>
              <w:rPr>
                <w:rFonts w:hint="eastAsia" w:ascii="仿宋" w:hAnsi="仿宋" w:cs="仿宋"/>
              </w:rPr>
              <w:t>开标时间前六个月内任一个月的依法缴纳社会保障资金的缴款凭据</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1.按要求提供</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2.合法有效</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74" w:type="dxa"/>
            <w:vAlign w:val="center"/>
          </w:tcPr>
          <w:p>
            <w:pPr>
              <w:snapToGrid w:val="0"/>
              <w:jc w:val="center"/>
              <w:rPr>
                <w:rFonts w:ascii="仿宋" w:hAnsi="仿宋" w:cs="仿宋"/>
              </w:rPr>
            </w:pPr>
            <w:r>
              <w:rPr>
                <w:rFonts w:hint="eastAsia" w:ascii="仿宋" w:hAnsi="仿宋" w:cs="仿宋"/>
              </w:rPr>
              <w:t>7</w:t>
            </w:r>
          </w:p>
        </w:tc>
        <w:tc>
          <w:tcPr>
            <w:tcW w:w="3441" w:type="dxa"/>
            <w:vAlign w:val="center"/>
          </w:tcPr>
          <w:p>
            <w:pPr>
              <w:snapToGrid w:val="0"/>
              <w:jc w:val="left"/>
              <w:rPr>
                <w:rFonts w:ascii="仿宋" w:hAnsi="仿宋" w:cs="仿宋"/>
                <w:b/>
                <w:bCs/>
              </w:rPr>
            </w:pPr>
            <w:r>
              <w:rPr>
                <w:rFonts w:hint="eastAsia" w:ascii="仿宋" w:hAnsi="仿宋" w:cs="仿宋"/>
              </w:rPr>
              <w:t>具备履行合同所必需的设备和专业技术能力声明函</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1.信息完整</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2.按规定签章</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74" w:type="dxa"/>
            <w:vAlign w:val="center"/>
          </w:tcPr>
          <w:p>
            <w:pPr>
              <w:snapToGrid w:val="0"/>
              <w:jc w:val="center"/>
              <w:rPr>
                <w:rFonts w:ascii="仿宋" w:hAnsi="仿宋" w:cs="仿宋"/>
              </w:rPr>
            </w:pPr>
            <w:r>
              <w:rPr>
                <w:rFonts w:hint="eastAsia" w:ascii="仿宋" w:hAnsi="仿宋" w:cs="仿宋"/>
              </w:rPr>
              <w:t>8</w:t>
            </w:r>
          </w:p>
        </w:tc>
        <w:tc>
          <w:tcPr>
            <w:tcW w:w="3441" w:type="dxa"/>
            <w:vAlign w:val="center"/>
          </w:tcPr>
          <w:p>
            <w:pPr>
              <w:snapToGrid w:val="0"/>
              <w:jc w:val="left"/>
              <w:rPr>
                <w:rFonts w:ascii="仿宋" w:hAnsi="仿宋" w:cs="仿宋"/>
              </w:rPr>
            </w:pPr>
            <w:r>
              <w:rPr>
                <w:rFonts w:hint="eastAsia" w:ascii="仿宋" w:hAnsi="仿宋" w:cs="仿宋"/>
              </w:rPr>
              <w:t>参加政府采购活动前3年内在经营活动中没有重大违法记录的书面声明</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1.按给定格式填写</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2.按规定签章</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74" w:type="dxa"/>
            <w:vAlign w:val="center"/>
          </w:tcPr>
          <w:p>
            <w:pPr>
              <w:snapToGrid w:val="0"/>
              <w:jc w:val="center"/>
              <w:rPr>
                <w:rFonts w:ascii="仿宋" w:hAnsi="仿宋" w:cs="仿宋"/>
              </w:rPr>
            </w:pPr>
            <w:r>
              <w:rPr>
                <w:rFonts w:hint="eastAsia" w:ascii="仿宋" w:hAnsi="仿宋" w:cs="仿宋"/>
              </w:rPr>
              <w:t>9</w:t>
            </w:r>
          </w:p>
        </w:tc>
        <w:tc>
          <w:tcPr>
            <w:tcW w:w="3441" w:type="dxa"/>
            <w:vAlign w:val="center"/>
          </w:tcPr>
          <w:p>
            <w:pPr>
              <w:snapToGrid w:val="0"/>
              <w:jc w:val="left"/>
              <w:rPr>
                <w:rFonts w:ascii="仿宋" w:hAnsi="仿宋" w:cs="仿宋"/>
              </w:rPr>
            </w:pPr>
            <w:r>
              <w:rPr>
                <w:rFonts w:hint="eastAsia" w:ascii="仿宋" w:hAnsi="仿宋" w:cs="仿宋"/>
              </w:rPr>
              <w:t>001、002包供应商投标报价总额60%以上的产品须为中小微企业生产。提供声明函。</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1.按给定格式填写</w:t>
            </w:r>
          </w:p>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2.按规定签章</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74" w:type="dxa"/>
            <w:vAlign w:val="center"/>
          </w:tcPr>
          <w:p>
            <w:pPr>
              <w:snapToGrid w:val="0"/>
              <w:jc w:val="center"/>
              <w:rPr>
                <w:rFonts w:ascii="仿宋" w:hAnsi="仿宋" w:cs="仿宋"/>
              </w:rPr>
            </w:pPr>
            <w:r>
              <w:rPr>
                <w:rFonts w:hint="eastAsia" w:ascii="仿宋" w:hAnsi="仿宋" w:cs="仿宋"/>
              </w:rPr>
              <w:t>10</w:t>
            </w:r>
          </w:p>
        </w:tc>
        <w:tc>
          <w:tcPr>
            <w:tcW w:w="3441" w:type="dxa"/>
            <w:vAlign w:val="center"/>
          </w:tcPr>
          <w:p>
            <w:pPr>
              <w:snapToGrid w:val="0"/>
              <w:jc w:val="left"/>
              <w:rPr>
                <w:rFonts w:ascii="仿宋" w:hAnsi="仿宋" w:cs="仿宋"/>
              </w:rPr>
            </w:pPr>
            <w:r>
              <w:rPr>
                <w:rFonts w:hint="eastAsia" w:ascii="仿宋" w:hAnsi="仿宋" w:cs="仿宋"/>
              </w:rPr>
              <w:t>信用记录（采购人或采购代理机构将按照招标文件规定的审查期间内进行查询）</w:t>
            </w:r>
          </w:p>
        </w:tc>
        <w:tc>
          <w:tcPr>
            <w:tcW w:w="1808"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无投标须知22.2.1所述的不良记录</w:t>
            </w: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74" w:type="dxa"/>
            <w:vAlign w:val="center"/>
          </w:tcPr>
          <w:p>
            <w:pPr>
              <w:snapToGrid w:val="0"/>
              <w:jc w:val="center"/>
              <w:rPr>
                <w:rFonts w:ascii="仿宋" w:hAnsi="仿宋" w:cs="仿宋"/>
              </w:rPr>
            </w:pPr>
          </w:p>
        </w:tc>
        <w:tc>
          <w:tcPr>
            <w:tcW w:w="3441" w:type="dxa"/>
            <w:vAlign w:val="center"/>
          </w:tcPr>
          <w:p>
            <w:pPr>
              <w:snapToGrid w:val="0"/>
              <w:jc w:val="center"/>
              <w:rPr>
                <w:rFonts w:ascii="仿宋" w:hAnsi="仿宋" w:cs="仿宋"/>
              </w:rPr>
            </w:pPr>
            <w:r>
              <w:rPr>
                <w:rFonts w:hint="eastAsia" w:ascii="仿宋" w:hAnsi="仿宋" w:cs="仿宋"/>
              </w:rPr>
              <w:t>结论</w:t>
            </w:r>
          </w:p>
        </w:tc>
        <w:tc>
          <w:tcPr>
            <w:tcW w:w="1808" w:type="dxa"/>
          </w:tcPr>
          <w:p>
            <w:pPr>
              <w:pStyle w:val="5"/>
              <w:adjustRightInd w:val="0"/>
              <w:snapToGrid w:val="0"/>
              <w:spacing w:before="0" w:after="0" w:line="240" w:lineRule="auto"/>
              <w:rPr>
                <w:rFonts w:ascii="仿宋" w:hAnsi="仿宋" w:cs="仿宋"/>
                <w:sz w:val="21"/>
                <w:szCs w:val="21"/>
              </w:rPr>
            </w:pPr>
          </w:p>
        </w:tc>
        <w:tc>
          <w:tcPr>
            <w:tcW w:w="899" w:type="dxa"/>
          </w:tcPr>
          <w:p>
            <w:pPr>
              <w:pStyle w:val="5"/>
              <w:adjustRightInd w:val="0"/>
              <w:snapToGrid w:val="0"/>
              <w:spacing w:before="0" w:after="0" w:line="240" w:lineRule="auto"/>
              <w:rPr>
                <w:rFonts w:ascii="仿宋" w:hAnsi="仿宋" w:cs="仿宋"/>
                <w:sz w:val="21"/>
                <w:szCs w:val="21"/>
              </w:rPr>
            </w:pPr>
          </w:p>
        </w:tc>
        <w:tc>
          <w:tcPr>
            <w:tcW w:w="877" w:type="dxa"/>
          </w:tcPr>
          <w:p>
            <w:pPr>
              <w:pStyle w:val="5"/>
              <w:adjustRightInd w:val="0"/>
              <w:snapToGrid w:val="0"/>
              <w:spacing w:before="0" w:after="0" w:line="240" w:lineRule="auto"/>
              <w:rPr>
                <w:rFonts w:ascii="仿宋" w:hAnsi="仿宋" w:cs="仿宋"/>
                <w:sz w:val="21"/>
                <w:szCs w:val="21"/>
              </w:rPr>
            </w:pPr>
          </w:p>
        </w:tc>
        <w:tc>
          <w:tcPr>
            <w:tcW w:w="814" w:type="dxa"/>
          </w:tcPr>
          <w:p>
            <w:pPr>
              <w:pStyle w:val="5"/>
              <w:adjustRightInd w:val="0"/>
              <w:snapToGrid w:val="0"/>
              <w:spacing w:before="0" w:after="0" w:line="240" w:lineRule="auto"/>
              <w:rPr>
                <w:rFonts w:ascii="仿宋" w:hAnsi="仿宋" w:cs="仿宋"/>
                <w:sz w:val="21"/>
                <w:szCs w:val="21"/>
              </w:rPr>
            </w:pPr>
          </w:p>
        </w:tc>
      </w:tr>
    </w:tbl>
    <w:p>
      <w:pPr>
        <w:snapToGrid w:val="0"/>
        <w:rPr>
          <w:rFonts w:ascii="仿宋" w:hAnsi="仿宋" w:cs="仿宋"/>
        </w:rPr>
      </w:pPr>
      <w:r>
        <w:rPr>
          <w:rFonts w:hint="eastAsia" w:ascii="仿宋" w:hAnsi="仿宋" w:cs="仿宋"/>
        </w:rPr>
        <w:t>填表说明：1、每项内容审查合格，在表中填写“√”；不合格填写“×”</w:t>
      </w:r>
    </w:p>
    <w:p>
      <w:pPr>
        <w:snapToGrid w:val="0"/>
        <w:rPr>
          <w:rFonts w:ascii="仿宋" w:hAnsi="仿宋" w:cs="仿宋"/>
        </w:rPr>
      </w:pPr>
      <w:r>
        <w:rPr>
          <w:rFonts w:hint="eastAsia" w:ascii="仿宋" w:hAnsi="仿宋" w:cs="仿宋"/>
        </w:rPr>
        <w:t xml:space="preserve">          2、审查结论填写“通过”或“不通过”</w:t>
      </w:r>
    </w:p>
    <w:p>
      <w:pPr>
        <w:rPr>
          <w:rFonts w:ascii="仿宋" w:hAnsi="仿宋" w:cs="仿宋"/>
        </w:rPr>
      </w:pPr>
    </w:p>
    <w:p>
      <w:pPr>
        <w:rPr>
          <w:rFonts w:ascii="仿宋" w:hAnsi="仿宋" w:cs="仿宋"/>
        </w:rPr>
      </w:pPr>
    </w:p>
    <w:p>
      <w:pPr>
        <w:pStyle w:val="18"/>
        <w:widowControl w:val="0"/>
        <w:snapToGrid w:val="0"/>
        <w:spacing w:before="0" w:beforeAutospacing="0" w:after="0" w:afterAutospacing="0" w:line="480" w:lineRule="auto"/>
        <w:jc w:val="both"/>
        <w:rPr>
          <w:rFonts w:ascii="仿宋" w:hAnsi="仿宋" w:eastAsia="仿宋" w:cs="仿宋"/>
          <w:sz w:val="21"/>
          <w:szCs w:val="21"/>
        </w:rPr>
      </w:pPr>
      <w:r>
        <w:rPr>
          <w:rFonts w:hint="eastAsia" w:ascii="仿宋" w:hAnsi="仿宋" w:eastAsia="仿宋" w:cs="仿宋"/>
          <w:sz w:val="21"/>
          <w:szCs w:val="21"/>
        </w:rPr>
        <w:t>审查人签字：</w:t>
      </w:r>
    </w:p>
    <w:p>
      <w:pPr>
        <w:pStyle w:val="18"/>
        <w:widowControl w:val="0"/>
        <w:snapToGrid w:val="0"/>
        <w:spacing w:before="0" w:beforeAutospacing="0" w:after="0" w:afterAutospacing="0" w:line="480" w:lineRule="auto"/>
        <w:jc w:val="both"/>
        <w:rPr>
          <w:rFonts w:ascii="仿宋" w:hAnsi="仿宋" w:eastAsia="仿宋" w:cs="仿宋"/>
          <w:sz w:val="21"/>
          <w:szCs w:val="21"/>
        </w:rPr>
      </w:pPr>
      <w:r>
        <w:rPr>
          <w:rFonts w:hint="eastAsia" w:ascii="仿宋" w:hAnsi="仿宋" w:eastAsia="仿宋" w:cs="仿宋"/>
          <w:sz w:val="21"/>
          <w:szCs w:val="21"/>
        </w:rPr>
        <w:t>日      期：</w:t>
      </w:r>
    </w:p>
    <w:p>
      <w:pPr>
        <w:pStyle w:val="18"/>
        <w:widowControl w:val="0"/>
        <w:snapToGrid w:val="0"/>
        <w:spacing w:before="0" w:beforeAutospacing="0" w:after="0" w:afterAutospacing="0" w:line="480" w:lineRule="auto"/>
        <w:jc w:val="both"/>
        <w:rPr>
          <w:rFonts w:ascii="仿宋" w:hAnsi="仿宋" w:eastAsia="仿宋" w:cs="仿宋"/>
          <w:sz w:val="21"/>
          <w:szCs w:val="21"/>
        </w:rPr>
      </w:pPr>
    </w:p>
    <w:p>
      <w:pPr>
        <w:pStyle w:val="18"/>
        <w:widowControl w:val="0"/>
        <w:snapToGrid w:val="0"/>
        <w:spacing w:before="0" w:beforeAutospacing="0" w:after="0" w:afterAutospacing="0" w:line="480" w:lineRule="auto"/>
        <w:jc w:val="both"/>
        <w:rPr>
          <w:rFonts w:ascii="仿宋" w:hAnsi="仿宋" w:eastAsia="仿宋" w:cs="仿宋"/>
          <w:sz w:val="21"/>
          <w:szCs w:val="21"/>
        </w:rPr>
      </w:pPr>
    </w:p>
    <w:p>
      <w:pPr>
        <w:pStyle w:val="5"/>
        <w:adjustRightInd w:val="0"/>
        <w:snapToGrid w:val="0"/>
        <w:spacing w:before="0" w:after="0" w:line="240" w:lineRule="auto"/>
        <w:jc w:val="left"/>
        <w:rPr>
          <w:rFonts w:ascii="仿宋" w:hAnsi="仿宋" w:cs="仿宋"/>
        </w:rPr>
      </w:pPr>
      <w:bookmarkStart w:id="128" w:name="_Toc11558_WPSOffice_Level2"/>
      <w:r>
        <w:rPr>
          <w:rFonts w:hint="eastAsia" w:ascii="仿宋" w:hAnsi="仿宋" w:cs="仿宋"/>
        </w:rPr>
        <w:br w:type="page"/>
      </w:r>
      <w:r>
        <w:rPr>
          <w:rFonts w:hint="eastAsia" w:ascii="仿宋" w:hAnsi="仿宋" w:cs="仿宋"/>
        </w:rPr>
        <w:t xml:space="preserve">附件2                  </w:t>
      </w:r>
    </w:p>
    <w:p>
      <w:pPr>
        <w:jc w:val="center"/>
        <w:rPr>
          <w:rFonts w:ascii="仿宋" w:hAnsi="仿宋" w:cs="仿宋"/>
          <w:b/>
          <w:bCs/>
          <w:sz w:val="32"/>
          <w:szCs w:val="32"/>
        </w:rPr>
      </w:pPr>
      <w:r>
        <w:rPr>
          <w:rFonts w:hint="eastAsia" w:ascii="仿宋" w:hAnsi="仿宋" w:cs="仿宋"/>
          <w:b/>
          <w:bCs/>
          <w:sz w:val="32"/>
          <w:szCs w:val="32"/>
        </w:rPr>
        <w:t>符合性审查表</w:t>
      </w:r>
      <w:bookmarkEnd w:id="128"/>
    </w:p>
    <w:tbl>
      <w:tblPr>
        <w:tblStyle w:val="21"/>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066"/>
        <w:gridCol w:w="3015"/>
        <w:gridCol w:w="642"/>
        <w:gridCol w:w="673"/>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Merge w:val="restart"/>
            <w:vAlign w:val="center"/>
          </w:tcPr>
          <w:p>
            <w:pPr>
              <w:ind w:left="-84" w:leftChars="-40" w:right="-76" w:rightChars="-36"/>
              <w:jc w:val="center"/>
              <w:rPr>
                <w:rFonts w:ascii="仿宋" w:hAnsi="仿宋" w:cs="仿宋"/>
              </w:rPr>
            </w:pPr>
            <w:r>
              <w:rPr>
                <w:rFonts w:hint="eastAsia" w:ascii="仿宋" w:hAnsi="仿宋" w:cs="仿宋"/>
              </w:rPr>
              <w:t>序号</w:t>
            </w:r>
          </w:p>
        </w:tc>
        <w:tc>
          <w:tcPr>
            <w:tcW w:w="3066" w:type="dxa"/>
            <w:vMerge w:val="restart"/>
            <w:vAlign w:val="center"/>
          </w:tcPr>
          <w:p>
            <w:pPr>
              <w:ind w:left="-84" w:leftChars="-40" w:right="-76" w:rightChars="-36"/>
              <w:jc w:val="center"/>
              <w:rPr>
                <w:rFonts w:ascii="仿宋" w:hAnsi="仿宋" w:cs="仿宋"/>
              </w:rPr>
            </w:pPr>
            <w:r>
              <w:rPr>
                <w:rFonts w:hint="eastAsia" w:ascii="仿宋" w:hAnsi="仿宋" w:cs="仿宋"/>
              </w:rPr>
              <w:t>审查项目</w:t>
            </w:r>
          </w:p>
        </w:tc>
        <w:tc>
          <w:tcPr>
            <w:tcW w:w="3015" w:type="dxa"/>
            <w:vMerge w:val="restart"/>
            <w:vAlign w:val="center"/>
          </w:tcPr>
          <w:p>
            <w:pPr>
              <w:ind w:left="-84" w:leftChars="-40" w:right="-76" w:rightChars="-36"/>
              <w:jc w:val="center"/>
              <w:rPr>
                <w:rFonts w:ascii="仿宋" w:hAnsi="仿宋" w:cs="仿宋"/>
              </w:rPr>
            </w:pPr>
            <w:r>
              <w:rPr>
                <w:rFonts w:hint="eastAsia" w:ascii="仿宋" w:hAnsi="仿宋" w:cs="仿宋"/>
              </w:rPr>
              <w:t>审查标准</w:t>
            </w:r>
          </w:p>
        </w:tc>
        <w:tc>
          <w:tcPr>
            <w:tcW w:w="1841" w:type="dxa"/>
            <w:gridSpan w:val="3"/>
            <w:vAlign w:val="center"/>
          </w:tcPr>
          <w:p>
            <w:pPr>
              <w:ind w:left="-84" w:leftChars="-40" w:right="-76" w:rightChars="-36"/>
              <w:jc w:val="center"/>
              <w:rPr>
                <w:rFonts w:ascii="仿宋" w:hAnsi="仿宋" w:cs="仿宋"/>
              </w:rPr>
            </w:pPr>
            <w:r>
              <w:rPr>
                <w:rFonts w:hint="eastAsia" w:ascii="仿宋" w:hAnsi="仿宋" w:cs="仿宋"/>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Merge w:val="continue"/>
            <w:vAlign w:val="center"/>
          </w:tcPr>
          <w:p>
            <w:pPr>
              <w:pStyle w:val="5"/>
              <w:adjustRightInd w:val="0"/>
              <w:snapToGrid w:val="0"/>
              <w:spacing w:before="0" w:after="0" w:line="240" w:lineRule="auto"/>
              <w:rPr>
                <w:rFonts w:ascii="仿宋" w:hAnsi="仿宋" w:cs="仿宋"/>
              </w:rPr>
            </w:pPr>
          </w:p>
        </w:tc>
        <w:tc>
          <w:tcPr>
            <w:tcW w:w="3066" w:type="dxa"/>
            <w:vMerge w:val="continue"/>
            <w:vAlign w:val="center"/>
          </w:tcPr>
          <w:p>
            <w:pPr>
              <w:pStyle w:val="5"/>
              <w:adjustRightInd w:val="0"/>
              <w:snapToGrid w:val="0"/>
              <w:spacing w:before="0" w:after="0" w:line="240" w:lineRule="auto"/>
              <w:rPr>
                <w:rFonts w:ascii="仿宋" w:hAnsi="仿宋" w:cs="仿宋"/>
                <w:sz w:val="21"/>
                <w:szCs w:val="21"/>
              </w:rPr>
            </w:pPr>
          </w:p>
        </w:tc>
        <w:tc>
          <w:tcPr>
            <w:tcW w:w="3015" w:type="dxa"/>
            <w:vMerge w:val="continue"/>
            <w:vAlign w:val="center"/>
          </w:tcPr>
          <w:p>
            <w:pPr>
              <w:pStyle w:val="5"/>
              <w:adjustRightInd w:val="0"/>
              <w:snapToGrid w:val="0"/>
              <w:spacing w:before="0" w:after="0" w:line="240" w:lineRule="auto"/>
              <w:rPr>
                <w:rFonts w:ascii="仿宋" w:hAnsi="仿宋" w:cs="仿宋"/>
                <w:sz w:val="21"/>
                <w:szCs w:val="21"/>
              </w:rPr>
            </w:pPr>
          </w:p>
        </w:tc>
        <w:tc>
          <w:tcPr>
            <w:tcW w:w="642" w:type="dxa"/>
            <w:vAlign w:val="center"/>
          </w:tcPr>
          <w:p>
            <w:pPr>
              <w:pStyle w:val="5"/>
              <w:adjustRightInd w:val="0"/>
              <w:snapToGrid w:val="0"/>
              <w:spacing w:before="0" w:after="0" w:line="240" w:lineRule="auto"/>
              <w:rPr>
                <w:rFonts w:ascii="仿宋" w:hAnsi="仿宋" w:cs="仿宋"/>
                <w:sz w:val="21"/>
                <w:szCs w:val="21"/>
              </w:rPr>
            </w:pPr>
          </w:p>
        </w:tc>
        <w:tc>
          <w:tcPr>
            <w:tcW w:w="673" w:type="dxa"/>
            <w:vAlign w:val="center"/>
          </w:tcPr>
          <w:p>
            <w:pPr>
              <w:pStyle w:val="5"/>
              <w:adjustRightInd w:val="0"/>
              <w:snapToGrid w:val="0"/>
              <w:spacing w:before="0" w:after="0" w:line="240" w:lineRule="auto"/>
              <w:rPr>
                <w:rFonts w:ascii="仿宋" w:hAnsi="仿宋" w:cs="仿宋"/>
                <w:sz w:val="21"/>
                <w:szCs w:val="21"/>
              </w:rPr>
            </w:pPr>
          </w:p>
        </w:tc>
        <w:tc>
          <w:tcPr>
            <w:tcW w:w="526" w:type="dxa"/>
            <w:vAlign w:val="center"/>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jc w:val="center"/>
              <w:rPr>
                <w:rFonts w:ascii="仿宋" w:hAnsi="仿宋" w:cs="仿宋"/>
              </w:rPr>
            </w:pPr>
            <w:r>
              <w:rPr>
                <w:rFonts w:hint="eastAsia" w:ascii="仿宋" w:hAnsi="仿宋" w:cs="仿宋"/>
                <w:kern w:val="0"/>
                <w:sz w:val="20"/>
                <w:szCs w:val="20"/>
              </w:rPr>
              <w:t>1</w:t>
            </w:r>
          </w:p>
        </w:tc>
        <w:tc>
          <w:tcPr>
            <w:tcW w:w="3066" w:type="dxa"/>
            <w:vAlign w:val="center"/>
          </w:tcPr>
          <w:p>
            <w:pPr>
              <w:rPr>
                <w:rFonts w:ascii="仿宋" w:hAnsi="仿宋" w:cs="仿宋"/>
                <w:b/>
                <w:bCs/>
              </w:rPr>
            </w:pPr>
            <w:r>
              <w:rPr>
                <w:rFonts w:hint="eastAsia" w:ascii="仿宋" w:hAnsi="仿宋" w:cs="仿宋"/>
                <w:kern w:val="0"/>
              </w:rPr>
              <w:t>投标函</w:t>
            </w:r>
          </w:p>
        </w:tc>
        <w:tc>
          <w:tcPr>
            <w:tcW w:w="3015" w:type="dxa"/>
          </w:tcPr>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1.按给定格式填写</w:t>
            </w:r>
          </w:p>
          <w:p>
            <w:pPr>
              <w:jc w:val="left"/>
              <w:rPr>
                <w:rFonts w:ascii="仿宋" w:hAnsi="仿宋" w:cs="仿宋"/>
              </w:rPr>
            </w:pPr>
            <w:r>
              <w:rPr>
                <w:rFonts w:hint="eastAsia" w:ascii="仿宋" w:hAnsi="仿宋" w:cs="仿宋"/>
              </w:rPr>
              <w:t>2.响应招标文件实质性要求</w:t>
            </w:r>
          </w:p>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3.按规定签章</w:t>
            </w:r>
          </w:p>
        </w:tc>
        <w:tc>
          <w:tcPr>
            <w:tcW w:w="642" w:type="dxa"/>
            <w:vAlign w:val="center"/>
          </w:tcPr>
          <w:p>
            <w:pPr>
              <w:pStyle w:val="5"/>
              <w:adjustRightInd w:val="0"/>
              <w:snapToGrid w:val="0"/>
              <w:spacing w:before="0" w:after="0" w:line="240" w:lineRule="auto"/>
              <w:rPr>
                <w:rFonts w:ascii="仿宋" w:hAnsi="仿宋" w:cs="仿宋"/>
                <w:sz w:val="21"/>
                <w:szCs w:val="21"/>
              </w:rPr>
            </w:pPr>
          </w:p>
        </w:tc>
        <w:tc>
          <w:tcPr>
            <w:tcW w:w="673" w:type="dxa"/>
            <w:vAlign w:val="center"/>
          </w:tcPr>
          <w:p>
            <w:pPr>
              <w:pStyle w:val="5"/>
              <w:adjustRightInd w:val="0"/>
              <w:snapToGrid w:val="0"/>
              <w:spacing w:before="0" w:after="0" w:line="240" w:lineRule="auto"/>
              <w:rPr>
                <w:rFonts w:ascii="仿宋" w:hAnsi="仿宋" w:cs="仿宋"/>
                <w:sz w:val="21"/>
                <w:szCs w:val="21"/>
              </w:rPr>
            </w:pPr>
          </w:p>
        </w:tc>
        <w:tc>
          <w:tcPr>
            <w:tcW w:w="526" w:type="dxa"/>
            <w:vAlign w:val="center"/>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jc w:val="center"/>
              <w:rPr>
                <w:rFonts w:ascii="仿宋" w:hAnsi="仿宋" w:cs="仿宋"/>
              </w:rPr>
            </w:pPr>
            <w:r>
              <w:rPr>
                <w:rFonts w:hint="eastAsia" w:ascii="仿宋" w:hAnsi="仿宋" w:cs="仿宋"/>
                <w:kern w:val="0"/>
              </w:rPr>
              <w:t>2</w:t>
            </w:r>
          </w:p>
        </w:tc>
        <w:tc>
          <w:tcPr>
            <w:tcW w:w="3066" w:type="dxa"/>
            <w:vAlign w:val="center"/>
          </w:tcPr>
          <w:p>
            <w:pPr>
              <w:rPr>
                <w:rFonts w:ascii="仿宋" w:hAnsi="仿宋" w:cs="仿宋"/>
                <w:kern w:val="0"/>
              </w:rPr>
            </w:pPr>
            <w:r>
              <w:rPr>
                <w:rFonts w:hint="eastAsia" w:ascii="仿宋" w:hAnsi="仿宋" w:cs="仿宋"/>
                <w:kern w:val="0"/>
              </w:rPr>
              <w:t>开标一览表</w:t>
            </w:r>
          </w:p>
        </w:tc>
        <w:tc>
          <w:tcPr>
            <w:tcW w:w="3015" w:type="dxa"/>
          </w:tcPr>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1.按给定格式填写</w:t>
            </w:r>
          </w:p>
          <w:p>
            <w:pPr>
              <w:jc w:val="left"/>
              <w:rPr>
                <w:rFonts w:ascii="仿宋" w:hAnsi="仿宋" w:cs="仿宋"/>
              </w:rPr>
            </w:pPr>
            <w:r>
              <w:rPr>
                <w:rFonts w:hint="eastAsia" w:ascii="仿宋" w:hAnsi="仿宋" w:cs="仿宋"/>
              </w:rPr>
              <w:t>2.响应招标文件实质性要求</w:t>
            </w:r>
          </w:p>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3.按规定签章</w:t>
            </w:r>
          </w:p>
        </w:tc>
        <w:tc>
          <w:tcPr>
            <w:tcW w:w="642" w:type="dxa"/>
          </w:tcPr>
          <w:p>
            <w:pPr>
              <w:pStyle w:val="5"/>
              <w:adjustRightInd w:val="0"/>
              <w:snapToGrid w:val="0"/>
              <w:spacing w:before="0" w:after="0" w:line="240" w:lineRule="auto"/>
              <w:rPr>
                <w:rFonts w:ascii="仿宋" w:hAnsi="仿宋" w:cs="仿宋"/>
                <w:sz w:val="21"/>
                <w:szCs w:val="21"/>
              </w:rPr>
            </w:pPr>
          </w:p>
        </w:tc>
        <w:tc>
          <w:tcPr>
            <w:tcW w:w="673" w:type="dxa"/>
          </w:tcPr>
          <w:p>
            <w:pPr>
              <w:pStyle w:val="5"/>
              <w:adjustRightInd w:val="0"/>
              <w:snapToGrid w:val="0"/>
              <w:spacing w:before="0" w:after="0" w:line="240" w:lineRule="auto"/>
              <w:rPr>
                <w:rFonts w:ascii="仿宋" w:hAnsi="仿宋" w:cs="仿宋"/>
                <w:sz w:val="21"/>
                <w:szCs w:val="21"/>
              </w:rPr>
            </w:pPr>
          </w:p>
        </w:tc>
        <w:tc>
          <w:tcPr>
            <w:tcW w:w="526"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jc w:val="center"/>
              <w:rPr>
                <w:rFonts w:ascii="仿宋" w:hAnsi="仿宋" w:cs="仿宋"/>
              </w:rPr>
            </w:pPr>
            <w:r>
              <w:rPr>
                <w:rFonts w:hint="eastAsia" w:ascii="仿宋" w:hAnsi="仿宋" w:cs="仿宋"/>
                <w:kern w:val="0"/>
              </w:rPr>
              <w:t>3</w:t>
            </w:r>
          </w:p>
        </w:tc>
        <w:tc>
          <w:tcPr>
            <w:tcW w:w="3066" w:type="dxa"/>
            <w:vAlign w:val="center"/>
          </w:tcPr>
          <w:p>
            <w:pPr>
              <w:rPr>
                <w:rFonts w:ascii="仿宋" w:hAnsi="仿宋" w:cs="仿宋"/>
                <w:kern w:val="0"/>
              </w:rPr>
            </w:pPr>
            <w:r>
              <w:rPr>
                <w:rFonts w:hint="eastAsia" w:ascii="仿宋" w:hAnsi="仿宋" w:cs="仿宋"/>
                <w:kern w:val="0"/>
              </w:rPr>
              <w:t>分项报价表</w:t>
            </w:r>
          </w:p>
        </w:tc>
        <w:tc>
          <w:tcPr>
            <w:tcW w:w="3015" w:type="dxa"/>
          </w:tcPr>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1.按给定格式填写，信息完整</w:t>
            </w:r>
          </w:p>
          <w:p>
            <w:pPr>
              <w:jc w:val="left"/>
              <w:rPr>
                <w:rFonts w:ascii="仿宋" w:hAnsi="仿宋" w:cs="仿宋"/>
              </w:rPr>
            </w:pPr>
            <w:r>
              <w:rPr>
                <w:rFonts w:hint="eastAsia" w:ascii="仿宋" w:hAnsi="仿宋" w:cs="仿宋"/>
              </w:rPr>
              <w:t>2.响应招标文件实质性要求</w:t>
            </w:r>
          </w:p>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3.按规定签章</w:t>
            </w:r>
          </w:p>
        </w:tc>
        <w:tc>
          <w:tcPr>
            <w:tcW w:w="642" w:type="dxa"/>
          </w:tcPr>
          <w:p>
            <w:pPr>
              <w:pStyle w:val="5"/>
              <w:adjustRightInd w:val="0"/>
              <w:snapToGrid w:val="0"/>
              <w:spacing w:before="0" w:after="0" w:line="240" w:lineRule="auto"/>
              <w:rPr>
                <w:rFonts w:ascii="仿宋" w:hAnsi="仿宋" w:cs="仿宋"/>
                <w:sz w:val="21"/>
                <w:szCs w:val="21"/>
              </w:rPr>
            </w:pPr>
          </w:p>
        </w:tc>
        <w:tc>
          <w:tcPr>
            <w:tcW w:w="673" w:type="dxa"/>
          </w:tcPr>
          <w:p>
            <w:pPr>
              <w:pStyle w:val="5"/>
              <w:adjustRightInd w:val="0"/>
              <w:snapToGrid w:val="0"/>
              <w:spacing w:before="0" w:after="0" w:line="240" w:lineRule="auto"/>
              <w:rPr>
                <w:rFonts w:ascii="仿宋" w:hAnsi="仿宋" w:cs="仿宋"/>
                <w:sz w:val="21"/>
                <w:szCs w:val="21"/>
              </w:rPr>
            </w:pPr>
          </w:p>
        </w:tc>
        <w:tc>
          <w:tcPr>
            <w:tcW w:w="526"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jc w:val="center"/>
              <w:rPr>
                <w:rFonts w:ascii="仿宋" w:hAnsi="仿宋" w:cs="仿宋"/>
              </w:rPr>
            </w:pPr>
            <w:r>
              <w:rPr>
                <w:rFonts w:hint="eastAsia" w:ascii="仿宋" w:hAnsi="仿宋" w:cs="仿宋"/>
                <w:kern w:val="0"/>
              </w:rPr>
              <w:t>4</w:t>
            </w:r>
          </w:p>
        </w:tc>
        <w:tc>
          <w:tcPr>
            <w:tcW w:w="3066" w:type="dxa"/>
            <w:vAlign w:val="center"/>
          </w:tcPr>
          <w:p>
            <w:pPr>
              <w:rPr>
                <w:rFonts w:ascii="仿宋" w:hAnsi="仿宋" w:cs="仿宋"/>
                <w:kern w:val="0"/>
              </w:rPr>
            </w:pPr>
            <w:r>
              <w:rPr>
                <w:rFonts w:hint="eastAsia" w:ascii="仿宋" w:hAnsi="仿宋" w:cs="仿宋"/>
                <w:kern w:val="0"/>
              </w:rPr>
              <w:t>技术规格偏离表</w:t>
            </w:r>
          </w:p>
        </w:tc>
        <w:tc>
          <w:tcPr>
            <w:tcW w:w="3015" w:type="dxa"/>
          </w:tcPr>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1.按给定格式及填表要求填写</w:t>
            </w:r>
          </w:p>
          <w:p>
            <w:pPr>
              <w:jc w:val="left"/>
              <w:rPr>
                <w:rFonts w:ascii="仿宋" w:hAnsi="仿宋" w:cs="仿宋"/>
              </w:rPr>
            </w:pPr>
            <w:r>
              <w:rPr>
                <w:rFonts w:hint="eastAsia" w:ascii="仿宋" w:hAnsi="仿宋" w:cs="仿宋"/>
              </w:rPr>
              <w:t>2.响应招标文件实质性要求</w:t>
            </w:r>
          </w:p>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3.按规定签章</w:t>
            </w:r>
          </w:p>
        </w:tc>
        <w:tc>
          <w:tcPr>
            <w:tcW w:w="642" w:type="dxa"/>
          </w:tcPr>
          <w:p>
            <w:pPr>
              <w:pStyle w:val="5"/>
              <w:adjustRightInd w:val="0"/>
              <w:snapToGrid w:val="0"/>
              <w:spacing w:before="0" w:after="0" w:line="240" w:lineRule="auto"/>
              <w:rPr>
                <w:rFonts w:ascii="仿宋" w:hAnsi="仿宋" w:cs="仿宋"/>
                <w:sz w:val="21"/>
                <w:szCs w:val="21"/>
              </w:rPr>
            </w:pPr>
          </w:p>
        </w:tc>
        <w:tc>
          <w:tcPr>
            <w:tcW w:w="673" w:type="dxa"/>
          </w:tcPr>
          <w:p>
            <w:pPr>
              <w:pStyle w:val="5"/>
              <w:adjustRightInd w:val="0"/>
              <w:snapToGrid w:val="0"/>
              <w:spacing w:before="0" w:after="0" w:line="240" w:lineRule="auto"/>
              <w:rPr>
                <w:rFonts w:ascii="仿宋" w:hAnsi="仿宋" w:cs="仿宋"/>
                <w:sz w:val="21"/>
                <w:szCs w:val="21"/>
              </w:rPr>
            </w:pPr>
          </w:p>
        </w:tc>
        <w:tc>
          <w:tcPr>
            <w:tcW w:w="526"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jc w:val="center"/>
              <w:rPr>
                <w:rFonts w:ascii="仿宋" w:hAnsi="仿宋" w:cs="仿宋"/>
              </w:rPr>
            </w:pPr>
            <w:r>
              <w:rPr>
                <w:rFonts w:hint="eastAsia" w:ascii="仿宋" w:hAnsi="仿宋" w:cs="仿宋"/>
                <w:kern w:val="0"/>
              </w:rPr>
              <w:t>5</w:t>
            </w:r>
          </w:p>
        </w:tc>
        <w:tc>
          <w:tcPr>
            <w:tcW w:w="3066" w:type="dxa"/>
            <w:vAlign w:val="center"/>
          </w:tcPr>
          <w:p>
            <w:pPr>
              <w:rPr>
                <w:rFonts w:ascii="仿宋" w:hAnsi="仿宋" w:cs="仿宋"/>
                <w:kern w:val="0"/>
              </w:rPr>
            </w:pPr>
            <w:r>
              <w:rPr>
                <w:rFonts w:hint="eastAsia" w:ascii="仿宋" w:hAnsi="仿宋" w:cs="仿宋"/>
                <w:kern w:val="0"/>
              </w:rPr>
              <w:t>商务条款偏离表</w:t>
            </w:r>
          </w:p>
        </w:tc>
        <w:tc>
          <w:tcPr>
            <w:tcW w:w="3015" w:type="dxa"/>
          </w:tcPr>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1.按给定格式及填表要求填写</w:t>
            </w:r>
          </w:p>
          <w:p>
            <w:pPr>
              <w:jc w:val="left"/>
              <w:rPr>
                <w:rFonts w:ascii="仿宋" w:hAnsi="仿宋" w:cs="仿宋"/>
              </w:rPr>
            </w:pPr>
            <w:r>
              <w:rPr>
                <w:rFonts w:hint="eastAsia" w:ascii="仿宋" w:hAnsi="仿宋" w:cs="仿宋"/>
              </w:rPr>
              <w:t>2.响应招标文件实质性要求</w:t>
            </w:r>
          </w:p>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3.按规定签章</w:t>
            </w:r>
          </w:p>
        </w:tc>
        <w:tc>
          <w:tcPr>
            <w:tcW w:w="642" w:type="dxa"/>
          </w:tcPr>
          <w:p>
            <w:pPr>
              <w:pStyle w:val="5"/>
              <w:adjustRightInd w:val="0"/>
              <w:snapToGrid w:val="0"/>
              <w:spacing w:before="0" w:after="0" w:line="240" w:lineRule="auto"/>
              <w:rPr>
                <w:rFonts w:ascii="仿宋" w:hAnsi="仿宋" w:cs="仿宋"/>
                <w:sz w:val="21"/>
                <w:szCs w:val="21"/>
              </w:rPr>
            </w:pPr>
          </w:p>
        </w:tc>
        <w:tc>
          <w:tcPr>
            <w:tcW w:w="673" w:type="dxa"/>
          </w:tcPr>
          <w:p>
            <w:pPr>
              <w:pStyle w:val="5"/>
              <w:adjustRightInd w:val="0"/>
              <w:snapToGrid w:val="0"/>
              <w:spacing w:before="0" w:after="0" w:line="240" w:lineRule="auto"/>
              <w:rPr>
                <w:rFonts w:ascii="仿宋" w:hAnsi="仿宋" w:cs="仿宋"/>
                <w:sz w:val="21"/>
                <w:szCs w:val="21"/>
              </w:rPr>
            </w:pPr>
          </w:p>
        </w:tc>
        <w:tc>
          <w:tcPr>
            <w:tcW w:w="526"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jc w:val="center"/>
              <w:rPr>
                <w:rFonts w:ascii="仿宋" w:hAnsi="仿宋" w:cs="仿宋"/>
              </w:rPr>
            </w:pPr>
            <w:r>
              <w:rPr>
                <w:rFonts w:hint="eastAsia" w:ascii="仿宋" w:hAnsi="仿宋" w:cs="仿宋"/>
                <w:kern w:val="0"/>
              </w:rPr>
              <w:t>6</w:t>
            </w:r>
          </w:p>
        </w:tc>
        <w:tc>
          <w:tcPr>
            <w:tcW w:w="3066" w:type="dxa"/>
            <w:vAlign w:val="center"/>
          </w:tcPr>
          <w:p>
            <w:pPr>
              <w:rPr>
                <w:rFonts w:ascii="仿宋" w:hAnsi="仿宋" w:cs="仿宋"/>
                <w:kern w:val="0"/>
              </w:rPr>
            </w:pPr>
            <w:r>
              <w:rPr>
                <w:rFonts w:hint="eastAsia" w:ascii="仿宋" w:hAnsi="仿宋" w:cs="仿宋"/>
                <w:kern w:val="0"/>
              </w:rPr>
              <w:t>投标人关联单位说明</w:t>
            </w:r>
          </w:p>
        </w:tc>
        <w:tc>
          <w:tcPr>
            <w:tcW w:w="3015" w:type="dxa"/>
            <w:vAlign w:val="center"/>
          </w:tcPr>
          <w:p>
            <w:pPr>
              <w:pStyle w:val="5"/>
              <w:adjustRightInd w:val="0"/>
              <w:snapToGrid w:val="0"/>
              <w:spacing w:before="0" w:after="0" w:line="240" w:lineRule="auto"/>
              <w:jc w:val="both"/>
              <w:rPr>
                <w:rFonts w:ascii="仿宋" w:hAnsi="仿宋" w:cs="仿宋"/>
                <w:b w:val="0"/>
                <w:bCs w:val="0"/>
                <w:sz w:val="21"/>
                <w:szCs w:val="21"/>
              </w:rPr>
            </w:pPr>
            <w:r>
              <w:rPr>
                <w:rFonts w:hint="eastAsia" w:ascii="仿宋" w:hAnsi="仿宋" w:cs="仿宋"/>
                <w:b w:val="0"/>
                <w:bCs w:val="0"/>
                <w:sz w:val="21"/>
                <w:szCs w:val="21"/>
              </w:rPr>
              <w:t>无投标须知1.5所述情形</w:t>
            </w:r>
          </w:p>
        </w:tc>
        <w:tc>
          <w:tcPr>
            <w:tcW w:w="642" w:type="dxa"/>
          </w:tcPr>
          <w:p>
            <w:pPr>
              <w:pStyle w:val="5"/>
              <w:adjustRightInd w:val="0"/>
              <w:snapToGrid w:val="0"/>
              <w:spacing w:before="0" w:after="0" w:line="240" w:lineRule="auto"/>
              <w:rPr>
                <w:rFonts w:ascii="仿宋" w:hAnsi="仿宋" w:cs="仿宋"/>
                <w:sz w:val="21"/>
                <w:szCs w:val="21"/>
              </w:rPr>
            </w:pPr>
          </w:p>
        </w:tc>
        <w:tc>
          <w:tcPr>
            <w:tcW w:w="673" w:type="dxa"/>
          </w:tcPr>
          <w:p>
            <w:pPr>
              <w:pStyle w:val="5"/>
              <w:adjustRightInd w:val="0"/>
              <w:snapToGrid w:val="0"/>
              <w:spacing w:before="0" w:after="0" w:line="240" w:lineRule="auto"/>
              <w:rPr>
                <w:rFonts w:ascii="仿宋" w:hAnsi="仿宋" w:cs="仿宋"/>
                <w:sz w:val="21"/>
                <w:szCs w:val="21"/>
              </w:rPr>
            </w:pPr>
          </w:p>
        </w:tc>
        <w:tc>
          <w:tcPr>
            <w:tcW w:w="526"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snapToGrid w:val="0"/>
              <w:jc w:val="center"/>
              <w:rPr>
                <w:rFonts w:ascii="仿宋" w:hAnsi="仿宋" w:cs="仿宋"/>
              </w:rPr>
            </w:pPr>
            <w:r>
              <w:rPr>
                <w:rFonts w:hint="eastAsia" w:ascii="仿宋" w:hAnsi="仿宋" w:cs="仿宋"/>
              </w:rPr>
              <w:t>7</w:t>
            </w:r>
          </w:p>
        </w:tc>
        <w:tc>
          <w:tcPr>
            <w:tcW w:w="3066" w:type="dxa"/>
            <w:vAlign w:val="center"/>
          </w:tcPr>
          <w:p>
            <w:pPr>
              <w:snapToGrid w:val="0"/>
              <w:jc w:val="left"/>
              <w:rPr>
                <w:rFonts w:ascii="仿宋" w:hAnsi="仿宋" w:cs="仿宋"/>
              </w:rPr>
            </w:pPr>
            <w:r>
              <w:rPr>
                <w:rFonts w:hint="eastAsia" w:ascii="仿宋" w:hAnsi="仿宋" w:cs="仿宋"/>
              </w:rPr>
              <w:t>电子文件和电子备份文件一致性承诺函</w:t>
            </w:r>
          </w:p>
        </w:tc>
        <w:tc>
          <w:tcPr>
            <w:tcW w:w="3015" w:type="dxa"/>
          </w:tcPr>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1.响应招标文件实质性要求</w:t>
            </w:r>
          </w:p>
          <w:p>
            <w:pPr>
              <w:pStyle w:val="5"/>
              <w:adjustRightInd w:val="0"/>
              <w:snapToGrid w:val="0"/>
              <w:spacing w:before="0" w:after="0" w:line="240" w:lineRule="auto"/>
              <w:jc w:val="left"/>
              <w:rPr>
                <w:rFonts w:ascii="仿宋" w:hAnsi="仿宋" w:cs="仿宋"/>
                <w:b w:val="0"/>
                <w:bCs w:val="0"/>
                <w:sz w:val="21"/>
                <w:szCs w:val="21"/>
              </w:rPr>
            </w:pPr>
            <w:r>
              <w:rPr>
                <w:rFonts w:hint="eastAsia" w:ascii="仿宋" w:hAnsi="仿宋" w:cs="仿宋"/>
                <w:b w:val="0"/>
                <w:bCs w:val="0"/>
                <w:sz w:val="21"/>
                <w:szCs w:val="21"/>
              </w:rPr>
              <w:t>2.无投标须知26.2所述情形</w:t>
            </w:r>
          </w:p>
        </w:tc>
        <w:tc>
          <w:tcPr>
            <w:tcW w:w="642" w:type="dxa"/>
          </w:tcPr>
          <w:p>
            <w:pPr>
              <w:pStyle w:val="5"/>
              <w:adjustRightInd w:val="0"/>
              <w:snapToGrid w:val="0"/>
              <w:spacing w:before="0" w:after="0" w:line="240" w:lineRule="auto"/>
              <w:rPr>
                <w:rFonts w:ascii="仿宋" w:hAnsi="仿宋" w:cs="仿宋"/>
                <w:sz w:val="21"/>
                <w:szCs w:val="21"/>
              </w:rPr>
            </w:pPr>
          </w:p>
        </w:tc>
        <w:tc>
          <w:tcPr>
            <w:tcW w:w="673" w:type="dxa"/>
          </w:tcPr>
          <w:p>
            <w:pPr>
              <w:pStyle w:val="5"/>
              <w:adjustRightInd w:val="0"/>
              <w:snapToGrid w:val="0"/>
              <w:spacing w:before="0" w:after="0" w:line="240" w:lineRule="auto"/>
              <w:rPr>
                <w:rFonts w:ascii="仿宋" w:hAnsi="仿宋" w:cs="仿宋"/>
                <w:sz w:val="21"/>
                <w:szCs w:val="21"/>
              </w:rPr>
            </w:pPr>
          </w:p>
        </w:tc>
        <w:tc>
          <w:tcPr>
            <w:tcW w:w="526" w:type="dxa"/>
          </w:tcPr>
          <w:p>
            <w:pPr>
              <w:pStyle w:val="5"/>
              <w:adjustRightInd w:val="0"/>
              <w:snapToGrid w:val="0"/>
              <w:spacing w:before="0" w:after="0" w:line="240" w:lineRule="auto"/>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vAlign w:val="center"/>
          </w:tcPr>
          <w:p>
            <w:pPr>
              <w:snapToGrid w:val="0"/>
              <w:jc w:val="center"/>
              <w:rPr>
                <w:rFonts w:ascii="仿宋" w:hAnsi="仿宋" w:cs="仿宋"/>
              </w:rPr>
            </w:pPr>
          </w:p>
        </w:tc>
        <w:tc>
          <w:tcPr>
            <w:tcW w:w="3066" w:type="dxa"/>
            <w:vAlign w:val="center"/>
          </w:tcPr>
          <w:p>
            <w:pPr>
              <w:snapToGrid w:val="0"/>
              <w:jc w:val="center"/>
              <w:rPr>
                <w:rFonts w:ascii="仿宋" w:hAnsi="仿宋" w:cs="仿宋"/>
              </w:rPr>
            </w:pPr>
            <w:r>
              <w:rPr>
                <w:rFonts w:hint="eastAsia" w:ascii="仿宋" w:hAnsi="仿宋" w:cs="仿宋"/>
              </w:rPr>
              <w:t>结论</w:t>
            </w:r>
          </w:p>
        </w:tc>
        <w:tc>
          <w:tcPr>
            <w:tcW w:w="3015" w:type="dxa"/>
          </w:tcPr>
          <w:p>
            <w:pPr>
              <w:pStyle w:val="5"/>
              <w:adjustRightInd w:val="0"/>
              <w:snapToGrid w:val="0"/>
              <w:spacing w:before="0" w:after="0" w:line="240" w:lineRule="auto"/>
              <w:rPr>
                <w:rFonts w:ascii="仿宋" w:hAnsi="仿宋" w:cs="仿宋"/>
                <w:sz w:val="21"/>
                <w:szCs w:val="21"/>
              </w:rPr>
            </w:pPr>
          </w:p>
        </w:tc>
        <w:tc>
          <w:tcPr>
            <w:tcW w:w="642" w:type="dxa"/>
          </w:tcPr>
          <w:p>
            <w:pPr>
              <w:pStyle w:val="5"/>
              <w:adjustRightInd w:val="0"/>
              <w:snapToGrid w:val="0"/>
              <w:spacing w:before="0" w:after="0" w:line="240" w:lineRule="auto"/>
              <w:rPr>
                <w:rFonts w:ascii="仿宋" w:hAnsi="仿宋" w:cs="仿宋"/>
                <w:sz w:val="21"/>
                <w:szCs w:val="21"/>
              </w:rPr>
            </w:pPr>
          </w:p>
        </w:tc>
        <w:tc>
          <w:tcPr>
            <w:tcW w:w="673" w:type="dxa"/>
          </w:tcPr>
          <w:p>
            <w:pPr>
              <w:pStyle w:val="5"/>
              <w:adjustRightInd w:val="0"/>
              <w:snapToGrid w:val="0"/>
              <w:spacing w:before="0" w:after="0" w:line="240" w:lineRule="auto"/>
              <w:rPr>
                <w:rFonts w:ascii="仿宋" w:hAnsi="仿宋" w:cs="仿宋"/>
                <w:sz w:val="21"/>
                <w:szCs w:val="21"/>
              </w:rPr>
            </w:pPr>
          </w:p>
        </w:tc>
        <w:tc>
          <w:tcPr>
            <w:tcW w:w="526" w:type="dxa"/>
          </w:tcPr>
          <w:p>
            <w:pPr>
              <w:pStyle w:val="5"/>
              <w:adjustRightInd w:val="0"/>
              <w:snapToGrid w:val="0"/>
              <w:spacing w:before="0" w:after="0" w:line="240" w:lineRule="auto"/>
              <w:rPr>
                <w:rFonts w:ascii="仿宋" w:hAnsi="仿宋" w:cs="仿宋"/>
                <w:sz w:val="21"/>
                <w:szCs w:val="21"/>
              </w:rPr>
            </w:pPr>
          </w:p>
        </w:tc>
      </w:tr>
    </w:tbl>
    <w:p>
      <w:pPr>
        <w:ind w:right="-636" w:rightChars="-300"/>
        <w:rPr>
          <w:rFonts w:ascii="仿宋" w:hAnsi="仿宋" w:cs="仿宋"/>
        </w:rPr>
      </w:pPr>
      <w:r>
        <w:rPr>
          <w:rFonts w:hint="eastAsia" w:ascii="仿宋" w:hAnsi="仿宋" w:cs="仿宋"/>
        </w:rPr>
        <w:t>注：1、进口产品的制造厂家的授权书（可视具体情况调整至符合性证明材料及符合性审查表中）</w:t>
      </w:r>
    </w:p>
    <w:p>
      <w:pPr>
        <w:ind w:firstLine="424" w:firstLineChars="200"/>
        <w:rPr>
          <w:rFonts w:ascii="仿宋" w:hAnsi="仿宋" w:cs="仿宋"/>
        </w:rPr>
      </w:pPr>
      <w:r>
        <w:rPr>
          <w:rFonts w:hint="eastAsia" w:ascii="仿宋" w:hAnsi="仿宋" w:cs="仿宋"/>
        </w:rPr>
        <w:t>2、《辽宁省创新产品和服务目录》内产品、服务证明材料（可视具体情况调整至符合性证明材料及符合性审查表中）</w:t>
      </w:r>
    </w:p>
    <w:p>
      <w:pPr>
        <w:rPr>
          <w:rFonts w:ascii="仿宋" w:hAnsi="仿宋" w:cs="仿宋"/>
        </w:rPr>
      </w:pPr>
      <w:r>
        <w:rPr>
          <w:rFonts w:hint="eastAsia" w:ascii="仿宋" w:hAnsi="仿宋" w:cs="仿宋"/>
        </w:rPr>
        <w:t>填表说明：1、每项内容审查合格，在表中填写“√”；不合格填写“×”</w:t>
      </w:r>
    </w:p>
    <w:p>
      <w:pPr>
        <w:rPr>
          <w:rFonts w:ascii="仿宋" w:hAnsi="仿宋" w:cs="仿宋"/>
        </w:rPr>
      </w:pPr>
      <w:r>
        <w:rPr>
          <w:rFonts w:hint="eastAsia" w:ascii="仿宋" w:hAnsi="仿宋" w:cs="仿宋"/>
        </w:rPr>
        <w:t xml:space="preserve">          2、审查结论填写“通过”或“不通过”</w:t>
      </w: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r>
        <w:rPr>
          <w:rFonts w:hint="eastAsia" w:ascii="仿宋" w:hAnsi="仿宋" w:eastAsia="仿宋" w:cs="仿宋"/>
          <w:sz w:val="21"/>
          <w:szCs w:val="21"/>
        </w:rPr>
        <w:t xml:space="preserve">审查人签字： </w:t>
      </w: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r>
        <w:rPr>
          <w:rFonts w:hint="eastAsia" w:ascii="仿宋" w:hAnsi="仿宋" w:eastAsia="仿宋" w:cs="仿宋"/>
          <w:sz w:val="21"/>
          <w:szCs w:val="21"/>
        </w:rPr>
        <w:t>日      期：</w:t>
      </w: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p>
    <w:p>
      <w:pPr>
        <w:pStyle w:val="18"/>
        <w:widowControl w:val="0"/>
        <w:snapToGrid w:val="0"/>
        <w:spacing w:before="0" w:beforeAutospacing="0" w:after="0" w:afterAutospacing="0" w:line="480" w:lineRule="auto"/>
        <w:ind w:left="5959" w:hanging="5936" w:hangingChars="2800"/>
        <w:rPr>
          <w:rFonts w:ascii="仿宋" w:hAnsi="仿宋" w:eastAsia="仿宋" w:cs="仿宋"/>
          <w:sz w:val="21"/>
          <w:szCs w:val="21"/>
        </w:rPr>
      </w:pPr>
    </w:p>
    <w:p>
      <w:pPr>
        <w:pStyle w:val="4"/>
        <w:adjustRightInd w:val="0"/>
        <w:snapToGrid w:val="0"/>
        <w:spacing w:before="319" w:beforeLines="100" w:after="319" w:afterLines="100"/>
        <w:rPr>
          <w:rFonts w:ascii="仿宋" w:hAnsi="仿宋" w:cs="仿宋"/>
        </w:rPr>
      </w:pPr>
      <w:bookmarkStart w:id="129" w:name="_Toc25922_WPSOffice_Level1"/>
      <w:bookmarkStart w:id="130" w:name="_Toc19588"/>
      <w:r>
        <w:rPr>
          <w:rFonts w:hint="eastAsia" w:ascii="仿宋" w:hAnsi="仿宋" w:cs="仿宋"/>
        </w:rPr>
        <w:t>第五章 政府采购合同条款</w:t>
      </w:r>
      <w:bookmarkEnd w:id="129"/>
      <w:r>
        <w:rPr>
          <w:rFonts w:hint="eastAsia" w:ascii="仿宋" w:hAnsi="仿宋" w:cs="仿宋"/>
        </w:rPr>
        <w:t>及格式</w:t>
      </w:r>
      <w:bookmarkEnd w:id="130"/>
      <w:bookmarkStart w:id="131" w:name="_Toc23704_WPSOffice_Level1"/>
      <w:r>
        <w:rPr>
          <w:rFonts w:hint="eastAsia" w:ascii="仿宋" w:hAnsi="仿宋" w:cs="仿宋"/>
        </w:rPr>
        <w:br w:type="page"/>
      </w:r>
      <w:r>
        <w:rPr>
          <w:rFonts w:hint="eastAsia" w:ascii="仿宋" w:hAnsi="仿宋" w:cs="仿宋"/>
        </w:rPr>
        <w:t>合同条款</w:t>
      </w:r>
    </w:p>
    <w:p>
      <w:pPr>
        <w:spacing w:before="319" w:beforeLines="100" w:after="319" w:afterLines="100" w:line="480" w:lineRule="exact"/>
        <w:jc w:val="center"/>
        <w:rPr>
          <w:rFonts w:ascii="仿宋" w:hAnsi="仿宋" w:cs="仿宋"/>
          <w:b/>
          <w:bCs/>
          <w:sz w:val="44"/>
          <w:szCs w:val="44"/>
        </w:rPr>
      </w:pPr>
      <w:bookmarkStart w:id="132" w:name="_Toc30224_WPSOffice_Level1"/>
      <w:r>
        <w:rPr>
          <w:rFonts w:hint="eastAsia" w:ascii="仿宋" w:hAnsi="仿宋" w:cs="仿宋"/>
          <w:b/>
          <w:bCs/>
          <w:sz w:val="44"/>
          <w:szCs w:val="44"/>
        </w:rPr>
        <w:t>政府采购合同条款</w:t>
      </w:r>
      <w:bookmarkEnd w:id="132"/>
    </w:p>
    <w:p>
      <w:pPr>
        <w:wordWrap w:val="0"/>
        <w:adjustRightInd w:val="0"/>
        <w:snapToGrid w:val="0"/>
        <w:spacing w:line="360" w:lineRule="auto"/>
        <w:jc w:val="right"/>
        <w:rPr>
          <w:rFonts w:ascii="仿宋" w:hAnsi="仿宋" w:cs="仿宋"/>
        </w:rPr>
      </w:pPr>
    </w:p>
    <w:p>
      <w:pPr>
        <w:adjustRightInd w:val="0"/>
        <w:snapToGrid w:val="0"/>
        <w:spacing w:line="360" w:lineRule="auto"/>
        <w:ind w:firstLine="414" w:firstLineChars="196"/>
        <w:rPr>
          <w:rFonts w:ascii="仿宋" w:hAnsi="仿宋" w:cs="仿宋"/>
          <w:b/>
          <w:bCs/>
        </w:rPr>
      </w:pPr>
      <w:bookmarkStart w:id="133" w:name="_Toc10117_WPSOffice_Level1"/>
      <w:bookmarkStart w:id="134" w:name="_Toc25596_WPSOffice_Level1"/>
      <w:bookmarkStart w:id="135" w:name="_Toc398_WPSOffice_Level1"/>
      <w:r>
        <w:rPr>
          <w:rFonts w:hint="eastAsia" w:ascii="仿宋" w:hAnsi="仿宋" w:cs="仿宋"/>
          <w:b/>
          <w:bCs/>
        </w:rPr>
        <w:t>1.术语定义</w:t>
      </w:r>
      <w:bookmarkEnd w:id="133"/>
      <w:bookmarkEnd w:id="134"/>
      <w:bookmarkEnd w:id="135"/>
    </w:p>
    <w:p>
      <w:pPr>
        <w:adjustRightInd w:val="0"/>
        <w:snapToGrid w:val="0"/>
        <w:spacing w:line="360" w:lineRule="auto"/>
        <w:ind w:firstLine="414" w:firstLineChars="196"/>
        <w:rPr>
          <w:rFonts w:ascii="仿宋" w:hAnsi="仿宋" w:cs="仿宋"/>
        </w:rPr>
      </w:pPr>
      <w:r>
        <w:rPr>
          <w:rFonts w:hint="eastAsia" w:ascii="仿宋" w:hAnsi="仿宋" w:cs="仿宋"/>
        </w:rPr>
        <w:t>本政府采购合同下列术语应解释为：</w:t>
      </w:r>
    </w:p>
    <w:p>
      <w:pPr>
        <w:adjustRightInd w:val="0"/>
        <w:snapToGrid w:val="0"/>
        <w:spacing w:line="360" w:lineRule="auto"/>
        <w:ind w:firstLine="414" w:firstLineChars="196"/>
        <w:rPr>
          <w:rFonts w:ascii="仿宋" w:hAnsi="仿宋" w:cs="仿宋"/>
        </w:rPr>
      </w:pPr>
      <w:r>
        <w:rPr>
          <w:rFonts w:hint="eastAsia" w:ascii="仿宋" w:hAnsi="仿宋" w:cs="仿宋"/>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4" w:firstLineChars="196"/>
        <w:rPr>
          <w:rFonts w:ascii="仿宋" w:hAnsi="仿宋" w:cs="仿宋"/>
        </w:rPr>
      </w:pPr>
      <w:r>
        <w:rPr>
          <w:rFonts w:hint="eastAsia" w:ascii="仿宋" w:hAnsi="仿宋" w:cs="仿宋"/>
        </w:rPr>
        <w:t>1.2“政府采购合同价”指根据合同约定供方在正确地完全履行政府采购合同义务后，需方应支付给供方的价格。</w:t>
      </w:r>
    </w:p>
    <w:p>
      <w:pPr>
        <w:adjustRightInd w:val="0"/>
        <w:snapToGrid w:val="0"/>
        <w:spacing w:line="360" w:lineRule="auto"/>
        <w:ind w:firstLine="414" w:firstLineChars="196"/>
        <w:rPr>
          <w:rFonts w:ascii="仿宋" w:hAnsi="仿宋" w:cs="仿宋"/>
        </w:rPr>
      </w:pPr>
      <w:r>
        <w:rPr>
          <w:rFonts w:hint="eastAsia" w:ascii="仿宋" w:hAnsi="仿宋" w:cs="仿宋"/>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4" w:firstLineChars="196"/>
        <w:rPr>
          <w:rFonts w:ascii="仿宋" w:hAnsi="仿宋" w:cs="仿宋"/>
        </w:rPr>
      </w:pPr>
      <w:r>
        <w:rPr>
          <w:rFonts w:hint="eastAsia" w:ascii="仿宋" w:hAnsi="仿宋" w:cs="仿宋"/>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4" w:firstLineChars="196"/>
        <w:rPr>
          <w:rFonts w:ascii="仿宋" w:hAnsi="仿宋" w:cs="仿宋"/>
        </w:rPr>
      </w:pPr>
      <w:r>
        <w:rPr>
          <w:rFonts w:hint="eastAsia" w:ascii="仿宋" w:hAnsi="仿宋" w:cs="仿宋"/>
        </w:rPr>
        <w:t>1.5“需方”指项目基本内容及要求中所述取得货物和服务的采购人。</w:t>
      </w:r>
    </w:p>
    <w:p>
      <w:pPr>
        <w:adjustRightInd w:val="0"/>
        <w:snapToGrid w:val="0"/>
        <w:spacing w:line="360" w:lineRule="auto"/>
        <w:ind w:firstLine="414" w:firstLineChars="196"/>
        <w:rPr>
          <w:rFonts w:ascii="仿宋" w:hAnsi="仿宋" w:cs="仿宋"/>
        </w:rPr>
      </w:pPr>
      <w:r>
        <w:rPr>
          <w:rFonts w:hint="eastAsia" w:ascii="仿宋" w:hAnsi="仿宋" w:cs="仿宋"/>
        </w:rPr>
        <w:t>1.6“供方”指项目基本内容及要求中所述提供产品和服务的中标人。</w:t>
      </w:r>
    </w:p>
    <w:p>
      <w:pPr>
        <w:adjustRightInd w:val="0"/>
        <w:snapToGrid w:val="0"/>
        <w:spacing w:line="360" w:lineRule="auto"/>
        <w:ind w:firstLine="414" w:firstLineChars="196"/>
        <w:rPr>
          <w:rFonts w:ascii="仿宋" w:hAnsi="仿宋" w:cs="仿宋"/>
        </w:rPr>
      </w:pPr>
      <w:r>
        <w:rPr>
          <w:rFonts w:hint="eastAsia" w:ascii="仿宋" w:hAnsi="仿宋" w:cs="仿宋"/>
        </w:rPr>
        <w:t>1.7“检验”指需方或者需方的最终用户收货后，按照本政府采购合同约定的标准对政府采购合同货物进行的检测与查验。</w:t>
      </w:r>
    </w:p>
    <w:p>
      <w:pPr>
        <w:adjustRightInd w:val="0"/>
        <w:snapToGrid w:val="0"/>
        <w:spacing w:line="360" w:lineRule="auto"/>
        <w:ind w:firstLine="414" w:firstLineChars="196"/>
        <w:rPr>
          <w:rFonts w:ascii="仿宋" w:hAnsi="仿宋" w:cs="仿宋"/>
        </w:rPr>
      </w:pPr>
      <w:r>
        <w:rPr>
          <w:rFonts w:hint="eastAsia" w:ascii="仿宋" w:hAnsi="仿宋" w:cs="仿宋"/>
        </w:rPr>
        <w:t>1.8“验收书”指需方对供方履行政府采购合同情况及结果进行现场检验和评估意见的文件。</w:t>
      </w:r>
    </w:p>
    <w:p>
      <w:pPr>
        <w:adjustRightInd w:val="0"/>
        <w:snapToGrid w:val="0"/>
        <w:spacing w:line="360" w:lineRule="auto"/>
        <w:ind w:firstLine="414" w:firstLineChars="196"/>
        <w:rPr>
          <w:rFonts w:ascii="仿宋" w:hAnsi="仿宋" w:cs="仿宋"/>
        </w:rPr>
      </w:pPr>
      <w:r>
        <w:rPr>
          <w:rFonts w:hint="eastAsia" w:ascii="仿宋" w:hAnsi="仿宋" w:cs="仿宋"/>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4" w:firstLineChars="196"/>
        <w:rPr>
          <w:rFonts w:ascii="仿宋" w:hAnsi="仿宋" w:cs="仿宋"/>
        </w:rPr>
      </w:pPr>
      <w:r>
        <w:rPr>
          <w:rFonts w:hint="eastAsia" w:ascii="仿宋" w:hAnsi="仿宋" w:cs="仿宋"/>
        </w:rPr>
        <w:t>1.10“保修期”指自验收书签署之日起，供方以自担费用方式保证政府采购合同货物正常运行的时期。</w:t>
      </w:r>
    </w:p>
    <w:p>
      <w:pPr>
        <w:adjustRightInd w:val="0"/>
        <w:snapToGrid w:val="0"/>
        <w:spacing w:line="360" w:lineRule="auto"/>
        <w:ind w:firstLine="414" w:firstLineChars="196"/>
        <w:rPr>
          <w:rFonts w:ascii="仿宋" w:hAnsi="仿宋" w:cs="仿宋"/>
        </w:rPr>
      </w:pPr>
      <w:r>
        <w:rPr>
          <w:rFonts w:hint="eastAsia" w:ascii="仿宋" w:hAnsi="仿宋" w:cs="仿宋"/>
        </w:rPr>
        <w:t>1.11“第三人”是指本政府采购合同双方以外的任何中国境内外的自然人、法人或其它经济组织。</w:t>
      </w:r>
    </w:p>
    <w:p>
      <w:pPr>
        <w:adjustRightInd w:val="0"/>
        <w:snapToGrid w:val="0"/>
        <w:spacing w:line="360" w:lineRule="auto"/>
        <w:ind w:firstLine="414" w:firstLineChars="196"/>
        <w:rPr>
          <w:rFonts w:ascii="仿宋" w:hAnsi="仿宋" w:cs="仿宋"/>
        </w:rPr>
      </w:pPr>
      <w:r>
        <w:rPr>
          <w:rFonts w:hint="eastAsia" w:ascii="仿宋" w:hAnsi="仿宋" w:cs="仿宋"/>
        </w:rPr>
        <w:t>1.12“法律、法规”是指由中国各级政府及有关部门制定的法律、行政法规、地方性法规、规章及其它规范性文件的有关规定。</w:t>
      </w:r>
    </w:p>
    <w:p>
      <w:pPr>
        <w:adjustRightInd w:val="0"/>
        <w:snapToGrid w:val="0"/>
        <w:spacing w:line="360" w:lineRule="auto"/>
        <w:ind w:firstLine="414" w:firstLineChars="196"/>
        <w:rPr>
          <w:rFonts w:ascii="仿宋" w:hAnsi="仿宋" w:cs="仿宋"/>
        </w:rPr>
      </w:pPr>
      <w:r>
        <w:rPr>
          <w:rFonts w:hint="eastAsia" w:ascii="仿宋" w:hAnsi="仿宋" w:cs="仿宋"/>
        </w:rPr>
        <w:t>1.13“招标文件”指采购人或者采购代理机构发布的招标文件。</w:t>
      </w:r>
    </w:p>
    <w:p>
      <w:pPr>
        <w:adjustRightInd w:val="0"/>
        <w:snapToGrid w:val="0"/>
        <w:spacing w:line="360" w:lineRule="auto"/>
        <w:ind w:firstLine="414" w:firstLineChars="196"/>
        <w:rPr>
          <w:rFonts w:ascii="仿宋" w:hAnsi="仿宋" w:cs="仿宋"/>
        </w:rPr>
      </w:pPr>
      <w:r>
        <w:rPr>
          <w:rFonts w:hint="eastAsia" w:ascii="仿宋" w:hAnsi="仿宋" w:cs="仿宋"/>
        </w:rPr>
        <w:t>1.14“投标文件”指供方按照采购代理机构招标文件的要求编制和递交，并最终被评标委员会接受的投标文件。</w:t>
      </w:r>
    </w:p>
    <w:p>
      <w:pPr>
        <w:rPr>
          <w:rFonts w:ascii="仿宋" w:hAnsi="仿宋" w:cs="仿宋"/>
        </w:rPr>
      </w:pPr>
      <w:bookmarkStart w:id="136" w:name="_Toc750_WPSOffice_Level1"/>
      <w:bookmarkStart w:id="137" w:name="_Toc22454_WPSOffice_Level1"/>
      <w:bookmarkStart w:id="138" w:name="_Toc29737_WPSOffice_Level1"/>
      <w:r>
        <w:rPr>
          <w:rFonts w:hint="eastAsia" w:ascii="仿宋" w:hAnsi="仿宋" w:cs="仿宋"/>
        </w:rPr>
        <w:t>2.技术指标</w:t>
      </w:r>
      <w:bookmarkEnd w:id="136"/>
      <w:bookmarkEnd w:id="137"/>
      <w:bookmarkEnd w:id="138"/>
    </w:p>
    <w:p>
      <w:pPr>
        <w:adjustRightInd w:val="0"/>
        <w:snapToGrid w:val="0"/>
        <w:spacing w:line="360" w:lineRule="auto"/>
        <w:ind w:firstLine="414" w:firstLineChars="196"/>
        <w:rPr>
          <w:rFonts w:ascii="仿宋" w:hAnsi="仿宋" w:cs="仿宋"/>
        </w:rPr>
      </w:pPr>
      <w:r>
        <w:rPr>
          <w:rFonts w:hint="eastAsia" w:ascii="仿宋" w:hAnsi="仿宋" w:cs="仿宋"/>
        </w:rPr>
        <w:t>2.1交付产品的技术指标应与招标文件规定的技术指标要求及投标文件中的“技术规格偏离表及商务条款偏离表”的承诺内容相一致。</w:t>
      </w:r>
    </w:p>
    <w:p>
      <w:pPr>
        <w:adjustRightInd w:val="0"/>
        <w:snapToGrid w:val="0"/>
        <w:spacing w:line="360" w:lineRule="auto"/>
        <w:ind w:firstLine="414" w:firstLineChars="196"/>
        <w:rPr>
          <w:rFonts w:ascii="仿宋" w:hAnsi="仿宋" w:cs="仿宋"/>
        </w:rPr>
      </w:pPr>
      <w:r>
        <w:rPr>
          <w:rFonts w:hint="eastAsia" w:ascii="仿宋" w:hAnsi="仿宋" w:cs="仿宋"/>
        </w:rPr>
        <w:t>2.2 除技术指标另有规定外，计量单位应该使用公制。</w:t>
      </w:r>
    </w:p>
    <w:p>
      <w:pPr>
        <w:adjustRightInd w:val="0"/>
        <w:snapToGrid w:val="0"/>
        <w:spacing w:line="360" w:lineRule="auto"/>
        <w:ind w:firstLine="414" w:firstLineChars="196"/>
        <w:rPr>
          <w:rFonts w:ascii="仿宋" w:hAnsi="仿宋" w:cs="仿宋"/>
          <w:b/>
          <w:bCs/>
        </w:rPr>
      </w:pPr>
      <w:bookmarkStart w:id="139" w:name="_Toc17648_WPSOffice_Level1"/>
      <w:bookmarkStart w:id="140" w:name="_Toc19640_WPSOffice_Level1"/>
      <w:bookmarkStart w:id="141" w:name="_Toc1538_WPSOffice_Level1"/>
      <w:r>
        <w:rPr>
          <w:rFonts w:hint="eastAsia" w:ascii="仿宋" w:hAnsi="仿宋" w:cs="仿宋"/>
          <w:b/>
          <w:bCs/>
        </w:rPr>
        <w:t>3.交货</w:t>
      </w:r>
      <w:bookmarkEnd w:id="139"/>
      <w:bookmarkEnd w:id="140"/>
      <w:bookmarkEnd w:id="141"/>
    </w:p>
    <w:p>
      <w:pPr>
        <w:adjustRightInd w:val="0"/>
        <w:snapToGrid w:val="0"/>
        <w:spacing w:line="360" w:lineRule="auto"/>
        <w:ind w:firstLine="414" w:firstLineChars="196"/>
        <w:rPr>
          <w:rFonts w:ascii="仿宋" w:hAnsi="仿宋" w:cs="仿宋"/>
        </w:rPr>
      </w:pPr>
      <w:r>
        <w:rPr>
          <w:rFonts w:hint="eastAsia" w:ascii="仿宋" w:hAnsi="仿宋" w:cs="仿宋"/>
        </w:rPr>
        <w:t>3.1供方按照合同约定的时间、地点交货</w:t>
      </w:r>
    </w:p>
    <w:p>
      <w:pPr>
        <w:adjustRightInd w:val="0"/>
        <w:snapToGrid w:val="0"/>
        <w:spacing w:line="360" w:lineRule="auto"/>
        <w:ind w:firstLine="414" w:firstLineChars="196"/>
        <w:rPr>
          <w:rFonts w:ascii="仿宋" w:hAnsi="仿宋" w:cs="仿宋"/>
        </w:rPr>
      </w:pPr>
      <w:r>
        <w:rPr>
          <w:rFonts w:hint="eastAsia" w:ascii="仿宋" w:hAnsi="仿宋" w:cs="仿宋"/>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4" w:firstLineChars="196"/>
        <w:rPr>
          <w:rFonts w:ascii="仿宋" w:hAnsi="仿宋" w:cs="仿宋"/>
          <w:b/>
          <w:bCs/>
        </w:rPr>
      </w:pPr>
      <w:bookmarkStart w:id="142" w:name="_Toc11745_WPSOffice_Level1"/>
      <w:bookmarkStart w:id="143" w:name="_Toc1266_WPSOffice_Level1"/>
      <w:bookmarkStart w:id="144" w:name="_Toc15048_WPSOffice_Level1"/>
      <w:r>
        <w:rPr>
          <w:rFonts w:hint="eastAsia" w:ascii="仿宋" w:hAnsi="仿宋" w:cs="仿宋"/>
          <w:b/>
          <w:bCs/>
        </w:rPr>
        <w:t>4.合同金额</w:t>
      </w:r>
      <w:bookmarkEnd w:id="142"/>
      <w:bookmarkEnd w:id="143"/>
      <w:bookmarkEnd w:id="144"/>
    </w:p>
    <w:p>
      <w:pPr>
        <w:adjustRightInd w:val="0"/>
        <w:snapToGrid w:val="0"/>
        <w:spacing w:line="360" w:lineRule="auto"/>
        <w:ind w:firstLine="414" w:firstLineChars="196"/>
        <w:rPr>
          <w:rFonts w:ascii="仿宋" w:hAnsi="仿宋" w:cs="仿宋"/>
          <w:b/>
          <w:bCs/>
        </w:rPr>
      </w:pPr>
      <w:r>
        <w:rPr>
          <w:rFonts w:hint="eastAsia" w:ascii="仿宋" w:hAnsi="仿宋" w:cs="仿宋"/>
        </w:rPr>
        <w:t>根据政府采购合同文件要求，确定政府采购合同的总金额。</w:t>
      </w:r>
    </w:p>
    <w:p>
      <w:pPr>
        <w:adjustRightInd w:val="0"/>
        <w:snapToGrid w:val="0"/>
        <w:spacing w:line="360" w:lineRule="auto"/>
        <w:ind w:firstLine="414" w:firstLineChars="196"/>
        <w:rPr>
          <w:rFonts w:ascii="仿宋" w:hAnsi="仿宋" w:cs="仿宋"/>
          <w:b/>
          <w:bCs/>
        </w:rPr>
      </w:pPr>
      <w:bookmarkStart w:id="145" w:name="_Toc11969_WPSOffice_Level1"/>
      <w:bookmarkStart w:id="146" w:name="_Toc941_WPSOffice_Level1"/>
      <w:bookmarkStart w:id="147" w:name="_Toc22359_WPSOffice_Level1"/>
      <w:r>
        <w:rPr>
          <w:rFonts w:hint="eastAsia" w:ascii="仿宋" w:hAnsi="仿宋" w:cs="仿宋"/>
          <w:b/>
          <w:bCs/>
        </w:rPr>
        <w:t>5.付款</w:t>
      </w:r>
      <w:bookmarkEnd w:id="145"/>
      <w:bookmarkEnd w:id="146"/>
      <w:bookmarkEnd w:id="147"/>
    </w:p>
    <w:p>
      <w:pPr>
        <w:adjustRightInd w:val="0"/>
        <w:snapToGrid w:val="0"/>
        <w:spacing w:line="360" w:lineRule="auto"/>
        <w:ind w:firstLine="414" w:firstLineChars="196"/>
        <w:rPr>
          <w:rFonts w:ascii="仿宋" w:hAnsi="仿宋" w:cs="仿宋"/>
          <w:u w:val="single"/>
        </w:rPr>
      </w:pPr>
      <w:bookmarkStart w:id="148" w:name="_Toc22351_WPSOffice_Level2"/>
      <w:r>
        <w:rPr>
          <w:rFonts w:hint="eastAsia" w:ascii="仿宋" w:hAnsi="仿宋" w:cs="仿宋"/>
        </w:rPr>
        <w:t>5.1付款方式、条件：需方按照合同约定的方式和条件付款。</w:t>
      </w:r>
      <w:bookmarkEnd w:id="148"/>
    </w:p>
    <w:p>
      <w:pPr>
        <w:adjustRightInd w:val="0"/>
        <w:snapToGrid w:val="0"/>
        <w:spacing w:line="360" w:lineRule="auto"/>
        <w:ind w:firstLine="414" w:firstLineChars="196"/>
        <w:rPr>
          <w:rFonts w:ascii="仿宋" w:hAnsi="仿宋" w:cs="仿宋"/>
          <w:b/>
          <w:bCs/>
        </w:rPr>
      </w:pPr>
      <w:bookmarkStart w:id="149" w:name="_Toc27769_WPSOffice_Level1"/>
      <w:bookmarkStart w:id="150" w:name="_Toc30478_WPSOffice_Level1"/>
      <w:bookmarkStart w:id="151" w:name="_Toc10526_WPSOffice_Level1"/>
      <w:r>
        <w:rPr>
          <w:rFonts w:hint="eastAsia" w:ascii="仿宋" w:hAnsi="仿宋" w:cs="仿宋"/>
          <w:b/>
          <w:bCs/>
        </w:rPr>
        <w:t>6.验收</w:t>
      </w:r>
      <w:bookmarkEnd w:id="149"/>
      <w:bookmarkEnd w:id="150"/>
      <w:bookmarkEnd w:id="151"/>
    </w:p>
    <w:p>
      <w:pPr>
        <w:adjustRightInd w:val="0"/>
        <w:snapToGrid w:val="0"/>
        <w:spacing w:line="360" w:lineRule="auto"/>
        <w:ind w:firstLine="414" w:firstLineChars="196"/>
        <w:rPr>
          <w:rFonts w:ascii="仿宋" w:hAnsi="仿宋" w:cs="仿宋"/>
        </w:rPr>
      </w:pPr>
      <w:r>
        <w:rPr>
          <w:rFonts w:hint="eastAsia" w:ascii="仿宋" w:hAnsi="仿宋" w:cs="仿宋"/>
        </w:rPr>
        <w:t>6.1供方提交的货物由需方或者需方的最终用户负责验收。</w:t>
      </w:r>
    </w:p>
    <w:p>
      <w:pPr>
        <w:adjustRightInd w:val="0"/>
        <w:snapToGrid w:val="0"/>
        <w:spacing w:line="360" w:lineRule="auto"/>
        <w:ind w:firstLine="414" w:firstLineChars="196"/>
        <w:rPr>
          <w:rFonts w:ascii="仿宋" w:hAnsi="仿宋" w:cs="仿宋"/>
        </w:rPr>
      </w:pPr>
      <w:r>
        <w:rPr>
          <w:rFonts w:hint="eastAsia" w:ascii="仿宋" w:hAnsi="仿宋" w:cs="仿宋"/>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4" w:firstLineChars="196"/>
        <w:rPr>
          <w:rFonts w:ascii="仿宋" w:hAnsi="仿宋" w:cs="仿宋"/>
        </w:rPr>
      </w:pPr>
      <w:r>
        <w:rPr>
          <w:rFonts w:hint="eastAsia" w:ascii="仿宋" w:hAnsi="仿宋" w:cs="仿宋"/>
        </w:rPr>
        <w:t>6.3大型或者复杂的项目，应当邀请国家认可的质量检测机构参加验收。</w:t>
      </w:r>
    </w:p>
    <w:p>
      <w:pPr>
        <w:adjustRightInd w:val="0"/>
        <w:snapToGrid w:val="0"/>
        <w:spacing w:line="360" w:lineRule="auto"/>
        <w:ind w:firstLine="414" w:firstLineChars="196"/>
        <w:rPr>
          <w:rFonts w:ascii="仿宋" w:hAnsi="仿宋" w:cs="仿宋"/>
        </w:rPr>
      </w:pPr>
      <w:r>
        <w:rPr>
          <w:rFonts w:hint="eastAsia" w:ascii="仿宋" w:hAnsi="仿宋" w:cs="仿宋"/>
        </w:rPr>
        <w:t>6.4政府向社会公众提供的公共服务项目，验收时应当邀请服务对象参与并出具意见，验收结果应当向社会公告。</w:t>
      </w:r>
    </w:p>
    <w:p>
      <w:pPr>
        <w:adjustRightInd w:val="0"/>
        <w:snapToGrid w:val="0"/>
        <w:spacing w:line="360" w:lineRule="auto"/>
        <w:ind w:firstLine="414" w:firstLineChars="196"/>
        <w:rPr>
          <w:rFonts w:ascii="仿宋" w:hAnsi="仿宋" w:cs="仿宋"/>
        </w:rPr>
      </w:pPr>
      <w:r>
        <w:rPr>
          <w:rFonts w:hint="eastAsia" w:ascii="仿宋" w:hAnsi="仿宋" w:cs="仿宋"/>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4" w:firstLineChars="196"/>
        <w:rPr>
          <w:rFonts w:ascii="仿宋" w:hAnsi="仿宋" w:cs="仿宋"/>
        </w:rPr>
      </w:pPr>
      <w:r>
        <w:rPr>
          <w:rFonts w:hint="eastAsia" w:ascii="仿宋" w:hAnsi="仿宋" w:cs="仿宋"/>
        </w:rPr>
        <w:t>6.6货物保修期自验收书签署之日起计算。</w:t>
      </w:r>
    </w:p>
    <w:p>
      <w:pPr>
        <w:adjustRightInd w:val="0"/>
        <w:snapToGrid w:val="0"/>
        <w:spacing w:line="360" w:lineRule="auto"/>
        <w:ind w:firstLine="414" w:firstLineChars="196"/>
        <w:rPr>
          <w:rFonts w:ascii="仿宋" w:hAnsi="仿宋" w:cs="仿宋"/>
          <w:b/>
          <w:bCs/>
        </w:rPr>
      </w:pPr>
      <w:bookmarkStart w:id="152" w:name="_Toc21868_WPSOffice_Level1"/>
      <w:bookmarkStart w:id="153" w:name="_Toc23127_WPSOffice_Level1"/>
      <w:bookmarkStart w:id="154" w:name="_Toc31292_WPSOffice_Level1"/>
      <w:r>
        <w:rPr>
          <w:rFonts w:hint="eastAsia" w:ascii="仿宋" w:hAnsi="仿宋" w:cs="仿宋"/>
          <w:b/>
          <w:bCs/>
        </w:rPr>
        <w:t>7.知识产权及有关规定</w:t>
      </w:r>
      <w:bookmarkEnd w:id="152"/>
      <w:bookmarkEnd w:id="153"/>
      <w:bookmarkEnd w:id="154"/>
    </w:p>
    <w:p>
      <w:pPr>
        <w:adjustRightInd w:val="0"/>
        <w:snapToGrid w:val="0"/>
        <w:spacing w:line="360" w:lineRule="auto"/>
        <w:ind w:firstLine="414" w:firstLineChars="196"/>
        <w:rPr>
          <w:rFonts w:ascii="仿宋" w:hAnsi="仿宋" w:cs="仿宋"/>
        </w:rPr>
      </w:pPr>
      <w:r>
        <w:rPr>
          <w:rFonts w:hint="eastAsia" w:ascii="仿宋" w:hAnsi="仿宋" w:cs="仿宋"/>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4" w:firstLineChars="196"/>
        <w:rPr>
          <w:rFonts w:ascii="仿宋" w:hAnsi="仿宋" w:cs="仿宋"/>
        </w:rPr>
      </w:pPr>
      <w:r>
        <w:rPr>
          <w:rFonts w:hint="eastAsia" w:ascii="仿宋" w:hAnsi="仿宋" w:cs="仿宋"/>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4" w:firstLineChars="196"/>
        <w:rPr>
          <w:rFonts w:ascii="仿宋" w:hAnsi="仿宋" w:cs="仿宋"/>
        </w:rPr>
      </w:pPr>
      <w:r>
        <w:rPr>
          <w:rFonts w:hint="eastAsia" w:ascii="仿宋" w:hAnsi="仿宋" w:cs="仿宋"/>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4" w:firstLineChars="196"/>
        <w:rPr>
          <w:rFonts w:ascii="仿宋" w:hAnsi="仿宋" w:cs="仿宋"/>
        </w:rPr>
      </w:pPr>
      <w:r>
        <w:rPr>
          <w:rFonts w:hint="eastAsia" w:ascii="仿宋" w:hAnsi="仿宋" w:cs="仿宋"/>
        </w:rPr>
        <w:t>7.4本合同中涉及保密和知识产权任何条款，在合同期限内及合同终止后持续有效。</w:t>
      </w:r>
    </w:p>
    <w:p>
      <w:pPr>
        <w:adjustRightInd w:val="0"/>
        <w:snapToGrid w:val="0"/>
        <w:spacing w:line="360" w:lineRule="auto"/>
        <w:ind w:firstLine="414" w:firstLineChars="196"/>
        <w:rPr>
          <w:rFonts w:ascii="仿宋" w:hAnsi="仿宋" w:cs="仿宋"/>
          <w:b/>
          <w:bCs/>
        </w:rPr>
      </w:pPr>
      <w:bookmarkStart w:id="155" w:name="_Toc26796_WPSOffice_Level1"/>
      <w:bookmarkStart w:id="156" w:name="_Toc24765_WPSOffice_Level1"/>
      <w:bookmarkStart w:id="157" w:name="_Toc21090_WPSOffice_Level1"/>
      <w:r>
        <w:rPr>
          <w:rFonts w:hint="eastAsia" w:ascii="仿宋" w:hAnsi="仿宋" w:cs="仿宋"/>
          <w:b/>
          <w:bCs/>
        </w:rPr>
        <w:t>8.包装要求</w:t>
      </w:r>
      <w:bookmarkEnd w:id="155"/>
      <w:bookmarkEnd w:id="156"/>
      <w:bookmarkEnd w:id="157"/>
    </w:p>
    <w:p>
      <w:pPr>
        <w:adjustRightInd w:val="0"/>
        <w:snapToGrid w:val="0"/>
        <w:spacing w:line="360" w:lineRule="auto"/>
        <w:ind w:firstLine="414" w:firstLineChars="196"/>
        <w:rPr>
          <w:rFonts w:ascii="仿宋" w:hAnsi="仿宋" w:cs="仿宋"/>
        </w:rPr>
      </w:pPr>
      <w:r>
        <w:rPr>
          <w:rFonts w:hint="eastAsia" w:ascii="仿宋" w:hAnsi="仿宋" w:cs="仿宋"/>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4" w:firstLineChars="196"/>
        <w:rPr>
          <w:rFonts w:ascii="仿宋" w:hAnsi="仿宋" w:cs="仿宋"/>
        </w:rPr>
      </w:pPr>
      <w:r>
        <w:rPr>
          <w:rFonts w:hint="eastAsia" w:ascii="仿宋" w:hAnsi="仿宋" w:cs="仿宋"/>
        </w:rPr>
        <w:t>8.2每一个包装箱内应附一份详细的装箱单和质量合格证书。</w:t>
      </w:r>
    </w:p>
    <w:p>
      <w:pPr>
        <w:adjustRightInd w:val="0"/>
        <w:snapToGrid w:val="0"/>
        <w:spacing w:line="360" w:lineRule="auto"/>
        <w:ind w:firstLine="414" w:firstLineChars="196"/>
        <w:rPr>
          <w:rFonts w:ascii="仿宋" w:hAnsi="仿宋" w:cs="仿宋"/>
        </w:rPr>
      </w:pPr>
      <w:r>
        <w:rPr>
          <w:rFonts w:hint="eastAsia" w:ascii="仿宋" w:hAnsi="仿宋" w:cs="仿宋"/>
        </w:rPr>
        <w:t>8.3包装费由供方承担，包装物不回收。</w:t>
      </w:r>
    </w:p>
    <w:p>
      <w:pPr>
        <w:adjustRightInd w:val="0"/>
        <w:snapToGrid w:val="0"/>
        <w:spacing w:line="360" w:lineRule="auto"/>
        <w:ind w:firstLine="414" w:firstLineChars="196"/>
        <w:rPr>
          <w:rFonts w:ascii="仿宋" w:hAnsi="仿宋" w:cs="仿宋"/>
          <w:b/>
          <w:bCs/>
        </w:rPr>
      </w:pPr>
      <w:bookmarkStart w:id="158" w:name="_Toc2304_WPSOffice_Level1"/>
      <w:bookmarkStart w:id="159" w:name="_Toc26447_WPSOffice_Level1"/>
      <w:bookmarkStart w:id="160" w:name="_Toc1308_WPSOffice_Level1"/>
      <w:r>
        <w:rPr>
          <w:rFonts w:hint="eastAsia" w:ascii="仿宋" w:hAnsi="仿宋" w:cs="仿宋"/>
          <w:b/>
          <w:bCs/>
        </w:rPr>
        <w:t>9.伴随服务</w:t>
      </w:r>
      <w:bookmarkEnd w:id="158"/>
      <w:bookmarkEnd w:id="159"/>
      <w:bookmarkEnd w:id="160"/>
    </w:p>
    <w:p>
      <w:pPr>
        <w:adjustRightInd w:val="0"/>
        <w:snapToGrid w:val="0"/>
        <w:spacing w:line="360" w:lineRule="auto"/>
        <w:ind w:firstLine="414" w:firstLineChars="196"/>
        <w:rPr>
          <w:rFonts w:ascii="仿宋" w:hAnsi="仿宋" w:cs="仿宋"/>
        </w:rPr>
      </w:pPr>
      <w:r>
        <w:rPr>
          <w:rFonts w:hint="eastAsia" w:ascii="仿宋" w:hAnsi="仿宋" w:cs="仿宋"/>
        </w:rPr>
        <w:t>9.1供方应提供所交付货物的全套技术文件资料，包括产品目录、图纸、操作手册、使用说明、维护手册和服务指南等。</w:t>
      </w:r>
    </w:p>
    <w:p>
      <w:pPr>
        <w:adjustRightInd w:val="0"/>
        <w:snapToGrid w:val="0"/>
        <w:spacing w:line="360" w:lineRule="auto"/>
        <w:ind w:firstLine="414" w:firstLineChars="196"/>
        <w:rPr>
          <w:rFonts w:ascii="仿宋" w:hAnsi="仿宋" w:cs="仿宋"/>
        </w:rPr>
      </w:pPr>
      <w:r>
        <w:rPr>
          <w:rFonts w:hint="eastAsia" w:ascii="仿宋" w:hAnsi="仿宋" w:cs="仿宋"/>
        </w:rPr>
        <w:t>9.2供方还应提供下列服务：</w:t>
      </w:r>
    </w:p>
    <w:p>
      <w:pPr>
        <w:adjustRightInd w:val="0"/>
        <w:snapToGrid w:val="0"/>
        <w:spacing w:line="360" w:lineRule="auto"/>
        <w:ind w:firstLine="414" w:firstLineChars="196"/>
        <w:rPr>
          <w:rFonts w:ascii="仿宋" w:hAnsi="仿宋" w:cs="仿宋"/>
        </w:rPr>
      </w:pPr>
      <w:r>
        <w:rPr>
          <w:rFonts w:hint="eastAsia" w:ascii="仿宋" w:hAnsi="仿宋" w:cs="仿宋"/>
        </w:rPr>
        <w:t>9.2.1货物的现场安装、启动和试运行；</w:t>
      </w:r>
    </w:p>
    <w:p>
      <w:pPr>
        <w:adjustRightInd w:val="0"/>
        <w:snapToGrid w:val="0"/>
        <w:spacing w:line="360" w:lineRule="auto"/>
        <w:ind w:firstLine="414" w:firstLineChars="196"/>
        <w:rPr>
          <w:rFonts w:ascii="仿宋" w:hAnsi="仿宋" w:cs="仿宋"/>
        </w:rPr>
      </w:pPr>
      <w:r>
        <w:rPr>
          <w:rFonts w:hint="eastAsia" w:ascii="仿宋" w:hAnsi="仿宋" w:cs="仿宋"/>
        </w:rPr>
        <w:t>9.2.2提供货物组装和维修所需的工具；</w:t>
      </w:r>
    </w:p>
    <w:p>
      <w:pPr>
        <w:adjustRightInd w:val="0"/>
        <w:snapToGrid w:val="0"/>
        <w:spacing w:line="360" w:lineRule="auto"/>
        <w:ind w:firstLine="414" w:firstLineChars="196"/>
        <w:rPr>
          <w:rFonts w:ascii="仿宋" w:hAnsi="仿宋" w:cs="仿宋"/>
        </w:rPr>
      </w:pPr>
      <w:r>
        <w:rPr>
          <w:rFonts w:hint="eastAsia" w:ascii="仿宋" w:hAnsi="仿宋" w:cs="仿宋"/>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4" w:firstLineChars="196"/>
        <w:rPr>
          <w:rFonts w:ascii="仿宋" w:hAnsi="仿宋" w:cs="仿宋"/>
        </w:rPr>
      </w:pPr>
      <w:r>
        <w:rPr>
          <w:rFonts w:hint="eastAsia" w:ascii="仿宋" w:hAnsi="仿宋" w:cs="仿宋"/>
        </w:rPr>
        <w:t>9.2.4在制造厂家或在项目现场就货物的安装、启动、运行、维护等对需方人员进行培训，直至需方人员掌握全部上述技能为止。</w:t>
      </w:r>
    </w:p>
    <w:p>
      <w:pPr>
        <w:adjustRightInd w:val="0"/>
        <w:snapToGrid w:val="0"/>
        <w:spacing w:line="360" w:lineRule="auto"/>
        <w:ind w:firstLine="414" w:firstLineChars="196"/>
        <w:rPr>
          <w:rFonts w:ascii="仿宋" w:hAnsi="仿宋" w:cs="仿宋"/>
        </w:rPr>
      </w:pPr>
      <w:r>
        <w:rPr>
          <w:rFonts w:hint="eastAsia" w:ascii="仿宋" w:hAnsi="仿宋" w:cs="仿宋"/>
        </w:rPr>
        <w:t>9.3伴随服务的费用应含在合同价中，不单独进行支付。</w:t>
      </w:r>
    </w:p>
    <w:p>
      <w:pPr>
        <w:adjustRightInd w:val="0"/>
        <w:snapToGrid w:val="0"/>
        <w:spacing w:line="360" w:lineRule="auto"/>
        <w:ind w:firstLine="414" w:firstLineChars="196"/>
        <w:rPr>
          <w:rFonts w:ascii="仿宋" w:hAnsi="仿宋" w:cs="仿宋"/>
          <w:b/>
          <w:bCs/>
        </w:rPr>
      </w:pPr>
      <w:bookmarkStart w:id="161" w:name="_Toc8205_WPSOffice_Level1"/>
      <w:bookmarkStart w:id="162" w:name="_Toc7636_WPSOffice_Level1"/>
      <w:bookmarkStart w:id="163" w:name="_Toc14320_WPSOffice_Level1"/>
      <w:r>
        <w:rPr>
          <w:rFonts w:hint="eastAsia" w:ascii="仿宋" w:hAnsi="仿宋" w:cs="仿宋"/>
          <w:b/>
          <w:bCs/>
        </w:rPr>
        <w:t>10.质量保证期</w:t>
      </w:r>
      <w:bookmarkEnd w:id="161"/>
      <w:bookmarkEnd w:id="162"/>
      <w:bookmarkEnd w:id="163"/>
    </w:p>
    <w:p>
      <w:pPr>
        <w:adjustRightInd w:val="0"/>
        <w:snapToGrid w:val="0"/>
        <w:spacing w:line="360" w:lineRule="auto"/>
        <w:ind w:firstLine="414" w:firstLineChars="196"/>
        <w:rPr>
          <w:rFonts w:ascii="仿宋" w:hAnsi="仿宋" w:cs="仿宋"/>
        </w:rPr>
      </w:pPr>
      <w:r>
        <w:rPr>
          <w:rFonts w:hint="eastAsia" w:ascii="仿宋" w:hAnsi="仿宋" w:cs="仿宋"/>
        </w:rPr>
        <w:t>10.1以招标文件中的规定为准，如果投标文件中的承诺优于招标文件规定，则以投标文件为准。</w:t>
      </w:r>
    </w:p>
    <w:p>
      <w:pPr>
        <w:adjustRightInd w:val="0"/>
        <w:snapToGrid w:val="0"/>
        <w:spacing w:line="360" w:lineRule="auto"/>
        <w:ind w:firstLine="414" w:firstLineChars="196"/>
        <w:rPr>
          <w:rFonts w:ascii="仿宋" w:hAnsi="仿宋" w:cs="仿宋"/>
        </w:rPr>
      </w:pPr>
      <w:r>
        <w:rPr>
          <w:rFonts w:hint="eastAsia" w:ascii="仿宋" w:hAnsi="仿宋" w:cs="仿宋"/>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4" w:firstLineChars="196"/>
        <w:rPr>
          <w:rFonts w:ascii="仿宋" w:hAnsi="仿宋" w:cs="仿宋"/>
          <w:b/>
          <w:bCs/>
        </w:rPr>
      </w:pPr>
      <w:bookmarkStart w:id="164" w:name="_Toc13950_WPSOffice_Level1"/>
      <w:bookmarkStart w:id="165" w:name="_Toc18427_WPSOffice_Level1"/>
      <w:bookmarkStart w:id="166" w:name="_Toc16220_WPSOffice_Level1"/>
      <w:r>
        <w:rPr>
          <w:rFonts w:hint="eastAsia" w:ascii="仿宋" w:hAnsi="仿宋" w:cs="仿宋"/>
          <w:b/>
          <w:bCs/>
        </w:rPr>
        <w:t>11.质量保证</w:t>
      </w:r>
      <w:bookmarkEnd w:id="164"/>
      <w:bookmarkEnd w:id="165"/>
      <w:bookmarkEnd w:id="166"/>
    </w:p>
    <w:p>
      <w:pPr>
        <w:adjustRightInd w:val="0"/>
        <w:snapToGrid w:val="0"/>
        <w:spacing w:line="360" w:lineRule="auto"/>
        <w:ind w:firstLine="414" w:firstLineChars="196"/>
        <w:rPr>
          <w:rFonts w:ascii="仿宋" w:hAnsi="仿宋" w:cs="仿宋"/>
        </w:rPr>
      </w:pPr>
      <w:r>
        <w:rPr>
          <w:rFonts w:hint="eastAsia" w:ascii="仿宋" w:hAnsi="仿宋" w:cs="仿宋"/>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4" w:firstLineChars="196"/>
        <w:rPr>
          <w:rFonts w:ascii="仿宋" w:hAnsi="仿宋" w:cs="仿宋"/>
        </w:rPr>
      </w:pPr>
      <w:r>
        <w:rPr>
          <w:rFonts w:hint="eastAsia" w:ascii="仿宋" w:hAnsi="仿宋" w:cs="仿宋"/>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4" w:firstLineChars="196"/>
        <w:rPr>
          <w:rFonts w:ascii="仿宋" w:hAnsi="仿宋" w:cs="仿宋"/>
        </w:rPr>
      </w:pPr>
      <w:r>
        <w:rPr>
          <w:rFonts w:hint="eastAsia" w:ascii="仿宋" w:hAnsi="仿宋" w:cs="仿宋"/>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4" w:firstLineChars="196"/>
        <w:rPr>
          <w:rFonts w:ascii="仿宋" w:hAnsi="仿宋" w:cs="仿宋"/>
          <w:b/>
          <w:bCs/>
        </w:rPr>
      </w:pPr>
      <w:bookmarkStart w:id="167" w:name="_Toc24667_WPSOffice_Level1"/>
      <w:bookmarkStart w:id="168" w:name="_Toc9090_WPSOffice_Level1"/>
      <w:bookmarkStart w:id="169" w:name="_Toc29469_WPSOffice_Level1"/>
      <w:r>
        <w:rPr>
          <w:rFonts w:hint="eastAsia" w:ascii="仿宋" w:hAnsi="仿宋" w:cs="仿宋"/>
          <w:b/>
          <w:bCs/>
        </w:rPr>
        <w:t>12.技术服务和保修责任</w:t>
      </w:r>
      <w:bookmarkEnd w:id="167"/>
      <w:bookmarkEnd w:id="168"/>
      <w:bookmarkEnd w:id="169"/>
    </w:p>
    <w:p>
      <w:pPr>
        <w:adjustRightInd w:val="0"/>
        <w:snapToGrid w:val="0"/>
        <w:spacing w:line="360" w:lineRule="auto"/>
        <w:ind w:firstLine="414" w:firstLineChars="196"/>
        <w:rPr>
          <w:rFonts w:ascii="仿宋" w:hAnsi="仿宋" w:cs="仿宋"/>
        </w:rPr>
      </w:pPr>
      <w:r>
        <w:rPr>
          <w:rFonts w:hint="eastAsia" w:ascii="仿宋" w:hAnsi="仿宋" w:cs="仿宋"/>
        </w:rPr>
        <w:t>12.1供方对政府采购合同货物的保修期，以招标文件中的规定为准，如果投标文件中的承诺优于招标文件规定，则以投标文件为准。</w:t>
      </w:r>
    </w:p>
    <w:p>
      <w:pPr>
        <w:adjustRightInd w:val="0"/>
        <w:snapToGrid w:val="0"/>
        <w:spacing w:line="360" w:lineRule="auto"/>
        <w:ind w:firstLine="414" w:firstLineChars="196"/>
        <w:rPr>
          <w:rFonts w:ascii="仿宋" w:hAnsi="仿宋" w:cs="仿宋"/>
        </w:rPr>
      </w:pPr>
      <w:r>
        <w:rPr>
          <w:rFonts w:hint="eastAsia" w:ascii="仿宋" w:hAnsi="仿宋" w:cs="仿宋"/>
        </w:rPr>
        <w:t>12.2供方应按如下内容提供售后服务：</w:t>
      </w:r>
    </w:p>
    <w:p>
      <w:pPr>
        <w:adjustRightInd w:val="0"/>
        <w:snapToGrid w:val="0"/>
        <w:spacing w:line="360" w:lineRule="auto"/>
        <w:ind w:firstLine="414" w:firstLineChars="196"/>
        <w:rPr>
          <w:rFonts w:ascii="仿宋" w:hAnsi="仿宋" w:cs="仿宋"/>
        </w:rPr>
      </w:pPr>
      <w:r>
        <w:rPr>
          <w:rFonts w:hint="eastAsia" w:ascii="仿宋" w:hAnsi="仿宋" w:cs="仿宋"/>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4" w:firstLineChars="196"/>
        <w:rPr>
          <w:rFonts w:ascii="仿宋" w:hAnsi="仿宋" w:cs="仿宋"/>
        </w:rPr>
      </w:pPr>
      <w:r>
        <w:rPr>
          <w:rFonts w:hint="eastAsia" w:ascii="仿宋" w:hAnsi="仿宋" w:cs="仿宋"/>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4" w:firstLineChars="196"/>
        <w:rPr>
          <w:rFonts w:ascii="仿宋" w:hAnsi="仿宋" w:cs="仿宋"/>
        </w:rPr>
      </w:pPr>
      <w:r>
        <w:rPr>
          <w:rFonts w:hint="eastAsia" w:ascii="仿宋" w:hAnsi="仿宋" w:cs="仿宋"/>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4" w:firstLineChars="196"/>
        <w:rPr>
          <w:rFonts w:ascii="仿宋" w:hAnsi="仿宋" w:cs="仿宋"/>
        </w:rPr>
      </w:pPr>
      <w:r>
        <w:rPr>
          <w:rFonts w:hint="eastAsia" w:ascii="仿宋" w:hAnsi="仿宋" w:cs="仿宋"/>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4" w:firstLineChars="196"/>
        <w:rPr>
          <w:rFonts w:ascii="仿宋" w:hAnsi="仿宋" w:cs="仿宋"/>
        </w:rPr>
      </w:pPr>
      <w:r>
        <w:rPr>
          <w:rFonts w:hint="eastAsia" w:ascii="仿宋" w:hAnsi="仿宋" w:cs="仿宋"/>
        </w:rPr>
        <w:t>12.2.5保修期内，供方应对出现故障无法修复的产品或无法正常运行的系统，提供替代产品以保证系统的正常工作。</w:t>
      </w:r>
    </w:p>
    <w:p>
      <w:pPr>
        <w:adjustRightInd w:val="0"/>
        <w:snapToGrid w:val="0"/>
        <w:spacing w:line="360" w:lineRule="auto"/>
        <w:ind w:firstLine="414" w:firstLineChars="196"/>
        <w:rPr>
          <w:rFonts w:ascii="仿宋" w:hAnsi="仿宋" w:cs="仿宋"/>
        </w:rPr>
      </w:pPr>
      <w:r>
        <w:rPr>
          <w:rFonts w:hint="eastAsia" w:ascii="仿宋" w:hAnsi="仿宋" w:cs="仿宋"/>
        </w:rPr>
        <w:t>12.2.6保修期内，供方应投标时的承诺提供相关服务。</w:t>
      </w:r>
    </w:p>
    <w:p>
      <w:pPr>
        <w:adjustRightInd w:val="0"/>
        <w:snapToGrid w:val="0"/>
        <w:spacing w:line="360" w:lineRule="auto"/>
        <w:ind w:firstLine="414" w:firstLineChars="196"/>
        <w:rPr>
          <w:rFonts w:ascii="仿宋" w:hAnsi="仿宋" w:cs="仿宋"/>
        </w:rPr>
      </w:pPr>
      <w:r>
        <w:rPr>
          <w:rFonts w:hint="eastAsia" w:ascii="仿宋" w:hAnsi="仿宋" w:cs="仿宋"/>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4" w:firstLineChars="196"/>
        <w:rPr>
          <w:rFonts w:ascii="仿宋" w:hAnsi="仿宋" w:cs="仿宋"/>
        </w:rPr>
      </w:pPr>
      <w:r>
        <w:rPr>
          <w:rFonts w:hint="eastAsia" w:ascii="仿宋" w:hAnsi="仿宋" w:cs="仿宋"/>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4" w:firstLineChars="196"/>
        <w:rPr>
          <w:rFonts w:ascii="仿宋" w:hAnsi="仿宋" w:cs="仿宋"/>
        </w:rPr>
      </w:pPr>
      <w:r>
        <w:rPr>
          <w:rFonts w:hint="eastAsia" w:ascii="仿宋" w:hAnsi="仿宋" w:cs="仿宋"/>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4" w:firstLineChars="196"/>
        <w:rPr>
          <w:rFonts w:ascii="仿宋" w:hAnsi="仿宋" w:cs="仿宋"/>
        </w:rPr>
      </w:pPr>
      <w:r>
        <w:rPr>
          <w:rFonts w:hint="eastAsia" w:ascii="仿宋" w:hAnsi="仿宋" w:cs="仿宋"/>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4" w:firstLineChars="196"/>
        <w:rPr>
          <w:rFonts w:ascii="仿宋" w:hAnsi="仿宋" w:cs="仿宋"/>
          <w:b/>
          <w:bCs/>
        </w:rPr>
      </w:pPr>
      <w:bookmarkStart w:id="170" w:name="_Toc8548_WPSOffice_Level1"/>
      <w:bookmarkStart w:id="171" w:name="_Toc16924_WPSOffice_Level1"/>
      <w:bookmarkStart w:id="172" w:name="_Toc11781_WPSOffice_Level1"/>
      <w:r>
        <w:rPr>
          <w:rFonts w:hint="eastAsia" w:ascii="仿宋" w:hAnsi="仿宋" w:cs="仿宋"/>
          <w:b/>
          <w:bCs/>
        </w:rPr>
        <w:t>13.违约责任</w:t>
      </w:r>
      <w:bookmarkEnd w:id="170"/>
      <w:bookmarkEnd w:id="171"/>
      <w:bookmarkEnd w:id="172"/>
    </w:p>
    <w:p>
      <w:pPr>
        <w:adjustRightInd w:val="0"/>
        <w:snapToGrid w:val="0"/>
        <w:spacing w:line="360" w:lineRule="auto"/>
        <w:ind w:firstLine="414" w:firstLineChars="196"/>
        <w:rPr>
          <w:rFonts w:ascii="仿宋" w:hAnsi="仿宋" w:cs="仿宋"/>
        </w:rPr>
      </w:pPr>
      <w:r>
        <w:rPr>
          <w:rFonts w:hint="eastAsia" w:ascii="仿宋" w:hAnsi="仿宋" w:cs="仿宋"/>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4" w:firstLineChars="196"/>
        <w:rPr>
          <w:rFonts w:ascii="仿宋" w:hAnsi="仿宋" w:cs="仿宋"/>
        </w:rPr>
      </w:pPr>
      <w:r>
        <w:rPr>
          <w:rFonts w:hint="eastAsia" w:ascii="仿宋" w:hAnsi="仿宋" w:cs="仿宋"/>
        </w:rPr>
        <w:t>13.1.1在需方同意延长的期限内交付全部货物、提供服务并承担由此给需方造成的一切损失；</w:t>
      </w:r>
    </w:p>
    <w:p>
      <w:pPr>
        <w:adjustRightInd w:val="0"/>
        <w:snapToGrid w:val="0"/>
        <w:spacing w:line="360" w:lineRule="auto"/>
        <w:ind w:firstLine="414" w:firstLineChars="196"/>
        <w:rPr>
          <w:rFonts w:ascii="仿宋" w:hAnsi="仿宋" w:cs="仿宋"/>
        </w:rPr>
      </w:pPr>
      <w:r>
        <w:rPr>
          <w:rFonts w:hint="eastAsia" w:ascii="仿宋" w:hAnsi="仿宋" w:cs="仿宋"/>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4" w:firstLineChars="196"/>
        <w:rPr>
          <w:rFonts w:ascii="仿宋" w:hAnsi="仿宋" w:cs="仿宋"/>
        </w:rPr>
      </w:pPr>
      <w:r>
        <w:rPr>
          <w:rFonts w:hint="eastAsia" w:ascii="仿宋" w:hAnsi="仿宋" w:cs="仿宋"/>
        </w:rPr>
        <w:t>13.1.3根据货物低劣程度、损坏程度以及使需方所遭受的损失，经双方商定降低货物的价格或赔偿需方所遭受的损失；</w:t>
      </w:r>
    </w:p>
    <w:p>
      <w:pPr>
        <w:adjustRightInd w:val="0"/>
        <w:snapToGrid w:val="0"/>
        <w:spacing w:line="360" w:lineRule="auto"/>
        <w:ind w:firstLine="414" w:firstLineChars="196"/>
        <w:rPr>
          <w:rFonts w:ascii="仿宋" w:hAnsi="仿宋" w:cs="仿宋"/>
        </w:rPr>
      </w:pPr>
      <w:r>
        <w:rPr>
          <w:rFonts w:hint="eastAsia" w:ascii="仿宋" w:hAnsi="仿宋" w:cs="仿宋"/>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4" w:firstLineChars="196"/>
        <w:rPr>
          <w:rFonts w:ascii="仿宋" w:hAnsi="仿宋" w:cs="仿宋"/>
        </w:rPr>
      </w:pPr>
      <w:r>
        <w:rPr>
          <w:rFonts w:hint="eastAsia" w:ascii="仿宋" w:hAnsi="仿宋" w:cs="仿宋"/>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4" w:firstLineChars="196"/>
        <w:rPr>
          <w:rFonts w:ascii="仿宋" w:hAnsi="仿宋" w:cs="仿宋"/>
        </w:rPr>
      </w:pPr>
      <w:r>
        <w:rPr>
          <w:rFonts w:hint="eastAsia" w:ascii="仿宋" w:hAnsi="仿宋" w:cs="仿宋"/>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4" w:firstLineChars="196"/>
        <w:rPr>
          <w:rFonts w:ascii="仿宋" w:hAnsi="仿宋" w:cs="仿宋"/>
        </w:rPr>
      </w:pPr>
      <w:r>
        <w:rPr>
          <w:rFonts w:hint="eastAsia" w:ascii="仿宋" w:hAnsi="仿宋" w:cs="仿宋"/>
        </w:rPr>
        <w:t>13.3延期交货的违约责任</w:t>
      </w:r>
    </w:p>
    <w:p>
      <w:pPr>
        <w:adjustRightInd w:val="0"/>
        <w:snapToGrid w:val="0"/>
        <w:spacing w:line="360" w:lineRule="auto"/>
        <w:ind w:firstLine="414" w:firstLineChars="196"/>
        <w:rPr>
          <w:rFonts w:ascii="仿宋" w:hAnsi="仿宋" w:cs="仿宋"/>
        </w:rPr>
      </w:pPr>
      <w:r>
        <w:rPr>
          <w:rFonts w:hint="eastAsia" w:ascii="仿宋" w:hAnsi="仿宋" w:cs="仿宋"/>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4" w:firstLineChars="196"/>
        <w:rPr>
          <w:rFonts w:ascii="仿宋" w:hAnsi="仿宋" w:cs="仿宋"/>
        </w:rPr>
      </w:pPr>
      <w:r>
        <w:rPr>
          <w:rFonts w:hint="eastAsia" w:ascii="仿宋" w:hAnsi="仿宋" w:cs="仿宋"/>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4" w:firstLineChars="196"/>
        <w:rPr>
          <w:rFonts w:ascii="仿宋" w:hAnsi="仿宋" w:cs="仿宋"/>
        </w:rPr>
      </w:pPr>
      <w:r>
        <w:rPr>
          <w:rFonts w:hint="eastAsia" w:ascii="仿宋" w:hAnsi="仿宋" w:cs="仿宋"/>
        </w:rPr>
        <w:t>13.4以上各项交付的违约金并不影响违约方履行政府采购合同的各项义务。</w:t>
      </w:r>
    </w:p>
    <w:p>
      <w:pPr>
        <w:adjustRightInd w:val="0"/>
        <w:snapToGrid w:val="0"/>
        <w:spacing w:line="360" w:lineRule="auto"/>
        <w:ind w:firstLine="414" w:firstLineChars="196"/>
        <w:rPr>
          <w:rFonts w:ascii="仿宋" w:hAnsi="仿宋" w:cs="仿宋"/>
          <w:b/>
          <w:bCs/>
        </w:rPr>
      </w:pPr>
      <w:bookmarkStart w:id="173" w:name="_Toc32310_WPSOffice_Level1"/>
      <w:bookmarkStart w:id="174" w:name="_Toc21833_WPSOffice_Level1"/>
      <w:bookmarkStart w:id="175" w:name="_Toc28610_WPSOffice_Level1"/>
      <w:r>
        <w:rPr>
          <w:rFonts w:hint="eastAsia" w:ascii="仿宋" w:hAnsi="仿宋" w:cs="仿宋"/>
          <w:b/>
          <w:bCs/>
        </w:rPr>
        <w:t>14.不可抗力</w:t>
      </w:r>
      <w:bookmarkEnd w:id="173"/>
      <w:bookmarkEnd w:id="174"/>
      <w:bookmarkEnd w:id="175"/>
    </w:p>
    <w:p>
      <w:pPr>
        <w:adjustRightInd w:val="0"/>
        <w:snapToGrid w:val="0"/>
        <w:spacing w:line="360" w:lineRule="auto"/>
        <w:ind w:firstLine="414" w:firstLineChars="196"/>
        <w:rPr>
          <w:rFonts w:ascii="仿宋" w:hAnsi="仿宋" w:cs="仿宋"/>
        </w:rPr>
      </w:pPr>
      <w:r>
        <w:rPr>
          <w:rFonts w:hint="eastAsia" w:ascii="仿宋" w:hAnsi="仿宋" w:cs="仿宋"/>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4" w:firstLineChars="196"/>
        <w:rPr>
          <w:rFonts w:ascii="仿宋" w:hAnsi="仿宋" w:cs="仿宋"/>
        </w:rPr>
      </w:pPr>
      <w:r>
        <w:rPr>
          <w:rFonts w:hint="eastAsia" w:ascii="仿宋" w:hAnsi="仿宋" w:cs="仿宋"/>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4" w:firstLineChars="196"/>
        <w:rPr>
          <w:rFonts w:ascii="仿宋" w:hAnsi="仿宋" w:cs="仿宋"/>
        </w:rPr>
      </w:pPr>
      <w:r>
        <w:rPr>
          <w:rFonts w:hint="eastAsia" w:ascii="仿宋" w:hAnsi="仿宋" w:cs="仿宋"/>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4" w:firstLineChars="196"/>
        <w:rPr>
          <w:rFonts w:ascii="仿宋" w:hAnsi="仿宋" w:cs="仿宋"/>
          <w:b/>
          <w:bCs/>
        </w:rPr>
      </w:pPr>
      <w:bookmarkStart w:id="176" w:name="_Toc12037_WPSOffice_Level1"/>
      <w:bookmarkStart w:id="177" w:name="_Toc13390_WPSOffice_Level1"/>
      <w:bookmarkStart w:id="178" w:name="_Toc3262_WPSOffice_Level1"/>
      <w:r>
        <w:rPr>
          <w:rFonts w:hint="eastAsia" w:ascii="仿宋" w:hAnsi="仿宋" w:cs="仿宋"/>
          <w:b/>
          <w:bCs/>
        </w:rPr>
        <w:t>15.争端的解决</w:t>
      </w:r>
      <w:bookmarkEnd w:id="176"/>
      <w:bookmarkEnd w:id="177"/>
      <w:bookmarkEnd w:id="178"/>
    </w:p>
    <w:p>
      <w:pPr>
        <w:adjustRightInd w:val="0"/>
        <w:snapToGrid w:val="0"/>
        <w:spacing w:line="360" w:lineRule="auto"/>
        <w:ind w:firstLine="414" w:firstLineChars="196"/>
        <w:rPr>
          <w:rFonts w:ascii="仿宋" w:hAnsi="仿宋" w:cs="仿宋"/>
        </w:rPr>
      </w:pPr>
      <w:r>
        <w:rPr>
          <w:rFonts w:hint="eastAsia" w:ascii="仿宋" w:hAnsi="仿宋" w:cs="仿宋"/>
        </w:rPr>
        <w:t>15.1政府采购合同的履行、违约责任和解决争议的方法等适用《中华人民共和国民法典》。</w:t>
      </w:r>
    </w:p>
    <w:p>
      <w:pPr>
        <w:adjustRightInd w:val="0"/>
        <w:snapToGrid w:val="0"/>
        <w:spacing w:line="360" w:lineRule="auto"/>
        <w:ind w:firstLine="414" w:firstLineChars="196"/>
        <w:rPr>
          <w:rFonts w:ascii="仿宋" w:hAnsi="仿宋" w:cs="仿宋"/>
        </w:rPr>
      </w:pPr>
      <w:r>
        <w:rPr>
          <w:rFonts w:hint="eastAsia" w:ascii="仿宋" w:hAnsi="仿宋" w:cs="仿宋"/>
        </w:rPr>
        <w:t>15.2需方和供方应通过友好协商，解决在执行本政府采购合同过程中所发生的或与本政府采购合同有关的一切争端。</w:t>
      </w:r>
    </w:p>
    <w:p>
      <w:pPr>
        <w:adjustRightInd w:val="0"/>
        <w:snapToGrid w:val="0"/>
        <w:spacing w:line="360" w:lineRule="auto"/>
        <w:ind w:firstLine="414" w:firstLineChars="196"/>
        <w:rPr>
          <w:rFonts w:ascii="仿宋" w:hAnsi="仿宋" w:cs="仿宋"/>
        </w:rPr>
      </w:pPr>
      <w:r>
        <w:rPr>
          <w:rFonts w:hint="eastAsia" w:ascii="仿宋" w:hAnsi="仿宋" w:cs="仿宋"/>
        </w:rPr>
        <w:t>15.3如果协商不成，双方中的任何一方可向需方所在地的人民法院提起诉讼。</w:t>
      </w:r>
    </w:p>
    <w:p>
      <w:pPr>
        <w:adjustRightInd w:val="0"/>
        <w:snapToGrid w:val="0"/>
        <w:spacing w:line="360" w:lineRule="auto"/>
        <w:ind w:firstLine="414" w:firstLineChars="196"/>
        <w:rPr>
          <w:rFonts w:ascii="仿宋" w:hAnsi="仿宋" w:cs="仿宋"/>
        </w:rPr>
      </w:pPr>
      <w:r>
        <w:rPr>
          <w:rFonts w:hint="eastAsia" w:ascii="仿宋" w:hAnsi="仿宋" w:cs="仿宋"/>
        </w:rPr>
        <w:t>15.4因政府采购合同部分履行引发诉讼的，在诉讼期间，除正在进行诉讼的部分外，本政府采购合同的其它部分应继续执行。</w:t>
      </w:r>
    </w:p>
    <w:p>
      <w:pPr>
        <w:adjustRightInd w:val="0"/>
        <w:snapToGrid w:val="0"/>
        <w:spacing w:line="360" w:lineRule="auto"/>
        <w:ind w:firstLine="414" w:firstLineChars="196"/>
        <w:rPr>
          <w:rFonts w:ascii="仿宋" w:hAnsi="仿宋" w:cs="仿宋"/>
          <w:b/>
          <w:bCs/>
        </w:rPr>
      </w:pPr>
      <w:bookmarkStart w:id="179" w:name="_Toc7773_WPSOffice_Level1"/>
      <w:bookmarkStart w:id="180" w:name="_Toc1917_WPSOffice_Level1"/>
      <w:bookmarkStart w:id="181" w:name="_Toc27539_WPSOffice_Level1"/>
      <w:r>
        <w:rPr>
          <w:rFonts w:hint="eastAsia" w:ascii="仿宋" w:hAnsi="仿宋" w:cs="仿宋"/>
          <w:b/>
          <w:bCs/>
        </w:rPr>
        <w:t>16.违约终止政府采购合同</w:t>
      </w:r>
      <w:bookmarkEnd w:id="179"/>
      <w:bookmarkEnd w:id="180"/>
      <w:bookmarkEnd w:id="181"/>
    </w:p>
    <w:p>
      <w:pPr>
        <w:adjustRightInd w:val="0"/>
        <w:snapToGrid w:val="0"/>
        <w:spacing w:line="360" w:lineRule="auto"/>
        <w:ind w:firstLine="414" w:firstLineChars="196"/>
        <w:rPr>
          <w:rFonts w:ascii="仿宋" w:hAnsi="仿宋" w:cs="仿宋"/>
        </w:rPr>
      </w:pPr>
      <w:r>
        <w:rPr>
          <w:rFonts w:hint="eastAsia" w:ascii="仿宋" w:hAnsi="仿宋" w:cs="仿宋"/>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4" w:firstLineChars="196"/>
        <w:rPr>
          <w:rFonts w:ascii="仿宋" w:hAnsi="仿宋" w:cs="仿宋"/>
        </w:rPr>
      </w:pPr>
      <w:r>
        <w:rPr>
          <w:rFonts w:hint="eastAsia" w:ascii="仿宋" w:hAnsi="仿宋" w:cs="仿宋"/>
        </w:rPr>
        <w:t>16.1.1如果供方未能在政府采购合同规定的限期或需方同意延长的限期内提供部分或全部货物和服务；</w:t>
      </w:r>
    </w:p>
    <w:p>
      <w:pPr>
        <w:adjustRightInd w:val="0"/>
        <w:snapToGrid w:val="0"/>
        <w:spacing w:line="360" w:lineRule="auto"/>
        <w:ind w:firstLine="414" w:firstLineChars="196"/>
        <w:rPr>
          <w:rFonts w:ascii="仿宋" w:hAnsi="仿宋" w:cs="仿宋"/>
        </w:rPr>
      </w:pPr>
      <w:r>
        <w:rPr>
          <w:rFonts w:hint="eastAsia" w:ascii="仿宋" w:hAnsi="仿宋" w:cs="仿宋"/>
        </w:rPr>
        <w:t>16.1.2未经需方事先书面同意，供方部分转让和分包或全部转让和分包其应履行的政府采购合同义务。</w:t>
      </w:r>
    </w:p>
    <w:p>
      <w:pPr>
        <w:adjustRightInd w:val="0"/>
        <w:snapToGrid w:val="0"/>
        <w:spacing w:line="360" w:lineRule="auto"/>
        <w:ind w:firstLine="414" w:firstLineChars="196"/>
        <w:rPr>
          <w:rFonts w:ascii="仿宋" w:hAnsi="仿宋" w:cs="仿宋"/>
          <w:b/>
          <w:bCs/>
        </w:rPr>
      </w:pPr>
      <w:bookmarkStart w:id="182" w:name="_Toc4220_WPSOffice_Level1"/>
      <w:bookmarkStart w:id="183" w:name="_Toc11967_WPSOffice_Level1"/>
      <w:bookmarkStart w:id="184" w:name="_Toc27976_WPSOffice_Level1"/>
      <w:r>
        <w:rPr>
          <w:rFonts w:hint="eastAsia" w:ascii="仿宋" w:hAnsi="仿宋" w:cs="仿宋"/>
          <w:b/>
          <w:bCs/>
        </w:rPr>
        <w:t>17.政府采购合同转让和分包</w:t>
      </w:r>
      <w:bookmarkEnd w:id="182"/>
      <w:bookmarkEnd w:id="183"/>
      <w:bookmarkEnd w:id="184"/>
    </w:p>
    <w:p>
      <w:pPr>
        <w:adjustRightInd w:val="0"/>
        <w:snapToGrid w:val="0"/>
        <w:spacing w:line="360" w:lineRule="auto"/>
        <w:ind w:firstLine="414" w:firstLineChars="196"/>
        <w:rPr>
          <w:rFonts w:ascii="仿宋" w:hAnsi="仿宋" w:cs="仿宋"/>
        </w:rPr>
      </w:pPr>
      <w:r>
        <w:rPr>
          <w:rFonts w:hint="eastAsia" w:ascii="仿宋" w:hAnsi="仿宋" w:cs="仿宋"/>
        </w:rPr>
        <w:t>除招标文件规定,并经需方事先书面同意外，供方不得部分转让和分包或全部转让和分包其应履行的政府采购合同义务。</w:t>
      </w:r>
    </w:p>
    <w:p>
      <w:pPr>
        <w:adjustRightInd w:val="0"/>
        <w:snapToGrid w:val="0"/>
        <w:spacing w:line="360" w:lineRule="auto"/>
        <w:ind w:firstLine="414" w:firstLineChars="196"/>
        <w:rPr>
          <w:rFonts w:ascii="仿宋" w:hAnsi="仿宋" w:cs="仿宋"/>
          <w:b/>
          <w:bCs/>
        </w:rPr>
      </w:pPr>
      <w:bookmarkStart w:id="185" w:name="_Toc737_WPSOffice_Level1"/>
      <w:bookmarkStart w:id="186" w:name="_Toc16873_WPSOffice_Level1"/>
      <w:bookmarkStart w:id="187" w:name="_Toc30020_WPSOffice_Level1"/>
      <w:r>
        <w:rPr>
          <w:rFonts w:hint="eastAsia" w:ascii="仿宋" w:hAnsi="仿宋" w:cs="仿宋"/>
          <w:b/>
          <w:bCs/>
        </w:rPr>
        <w:t>18.适用法律：</w:t>
      </w:r>
      <w:bookmarkEnd w:id="185"/>
      <w:bookmarkEnd w:id="186"/>
      <w:bookmarkEnd w:id="187"/>
    </w:p>
    <w:p>
      <w:pPr>
        <w:adjustRightInd w:val="0"/>
        <w:snapToGrid w:val="0"/>
        <w:spacing w:line="360" w:lineRule="auto"/>
        <w:ind w:firstLine="414" w:firstLineChars="196"/>
        <w:rPr>
          <w:rFonts w:ascii="仿宋" w:hAnsi="仿宋" w:cs="仿宋"/>
        </w:rPr>
      </w:pPr>
      <w:r>
        <w:rPr>
          <w:rFonts w:hint="eastAsia" w:ascii="仿宋" w:hAnsi="仿宋" w:cs="仿宋"/>
        </w:rPr>
        <w:t>本政府采购合同按照中华人民共和国的现行法律进行解释。</w:t>
      </w:r>
    </w:p>
    <w:p>
      <w:pPr>
        <w:adjustRightInd w:val="0"/>
        <w:snapToGrid w:val="0"/>
        <w:spacing w:line="360" w:lineRule="auto"/>
        <w:ind w:firstLine="414" w:firstLineChars="196"/>
        <w:rPr>
          <w:rFonts w:ascii="仿宋" w:hAnsi="仿宋" w:cs="仿宋"/>
          <w:b/>
          <w:bCs/>
        </w:rPr>
      </w:pPr>
      <w:bookmarkStart w:id="188" w:name="_Toc29009_WPSOffice_Level1"/>
      <w:bookmarkStart w:id="189" w:name="_Toc20985_WPSOffice_Level1"/>
      <w:bookmarkStart w:id="190" w:name="_Toc23749_WPSOffice_Level1"/>
      <w:r>
        <w:rPr>
          <w:rFonts w:hint="eastAsia" w:ascii="仿宋" w:hAnsi="仿宋" w:cs="仿宋"/>
          <w:b/>
          <w:bCs/>
        </w:rPr>
        <w:t>19.政府采购合同生效</w:t>
      </w:r>
      <w:bookmarkEnd w:id="188"/>
      <w:bookmarkEnd w:id="189"/>
      <w:bookmarkEnd w:id="190"/>
    </w:p>
    <w:p>
      <w:pPr>
        <w:adjustRightInd w:val="0"/>
        <w:snapToGrid w:val="0"/>
        <w:spacing w:line="360" w:lineRule="auto"/>
        <w:ind w:firstLine="414" w:firstLineChars="196"/>
        <w:rPr>
          <w:rFonts w:ascii="仿宋" w:hAnsi="仿宋" w:cs="仿宋"/>
        </w:rPr>
      </w:pPr>
      <w:r>
        <w:rPr>
          <w:rFonts w:hint="eastAsia" w:ascii="仿宋" w:hAnsi="仿宋" w:cs="仿宋"/>
        </w:rPr>
        <w:t>19.1本政府采购合同在供需双方法定代表人或其授权代理人签字和加盖公章后生效。</w:t>
      </w:r>
    </w:p>
    <w:p>
      <w:pPr>
        <w:adjustRightInd w:val="0"/>
        <w:snapToGrid w:val="0"/>
        <w:spacing w:line="360" w:lineRule="auto"/>
        <w:ind w:firstLine="414" w:firstLineChars="196"/>
        <w:rPr>
          <w:rFonts w:ascii="仿宋" w:hAnsi="仿宋" w:cs="仿宋"/>
        </w:rPr>
      </w:pPr>
      <w:r>
        <w:rPr>
          <w:rFonts w:hint="eastAsia" w:ascii="仿宋" w:hAnsi="仿宋" w:cs="仿宋"/>
        </w:rPr>
        <w:t>19.2本政府采购合同一式四份，需方执二份，供方、采购代理机构各执一份。</w:t>
      </w:r>
    </w:p>
    <w:p>
      <w:pPr>
        <w:adjustRightInd w:val="0"/>
        <w:snapToGrid w:val="0"/>
        <w:spacing w:line="360" w:lineRule="auto"/>
        <w:ind w:firstLine="414" w:firstLineChars="196"/>
        <w:rPr>
          <w:rFonts w:ascii="仿宋" w:hAnsi="仿宋" w:cs="仿宋"/>
          <w:b/>
          <w:bCs/>
        </w:rPr>
      </w:pPr>
      <w:bookmarkStart w:id="191" w:name="_Toc12339_WPSOffice_Level1"/>
      <w:bookmarkStart w:id="192" w:name="_Toc405_WPSOffice_Level1"/>
      <w:bookmarkStart w:id="193" w:name="_Toc20274_WPSOffice_Level1"/>
      <w:r>
        <w:rPr>
          <w:rFonts w:hint="eastAsia" w:ascii="仿宋" w:hAnsi="仿宋" w:cs="仿宋"/>
          <w:b/>
          <w:bCs/>
        </w:rPr>
        <w:t>20.政府采购合同附件</w:t>
      </w:r>
      <w:bookmarkEnd w:id="191"/>
      <w:bookmarkEnd w:id="192"/>
      <w:bookmarkEnd w:id="193"/>
    </w:p>
    <w:p>
      <w:pPr>
        <w:adjustRightInd w:val="0"/>
        <w:snapToGrid w:val="0"/>
        <w:spacing w:line="360" w:lineRule="auto"/>
        <w:ind w:firstLine="414" w:firstLineChars="196"/>
        <w:rPr>
          <w:rFonts w:ascii="仿宋" w:hAnsi="仿宋" w:cs="仿宋"/>
        </w:rPr>
      </w:pPr>
      <w:r>
        <w:rPr>
          <w:rFonts w:hint="eastAsia" w:ascii="仿宋" w:hAnsi="仿宋" w:cs="仿宋"/>
        </w:rPr>
        <w:t>下列文件构成本政府采购合同不可分割的组成部分，与本政府采购合同具有同等法律效力：</w:t>
      </w:r>
    </w:p>
    <w:p>
      <w:pPr>
        <w:adjustRightInd w:val="0"/>
        <w:snapToGrid w:val="0"/>
        <w:spacing w:line="360" w:lineRule="auto"/>
        <w:ind w:firstLine="414" w:firstLineChars="196"/>
        <w:rPr>
          <w:rFonts w:ascii="仿宋" w:hAnsi="仿宋" w:cs="仿宋"/>
        </w:rPr>
      </w:pPr>
      <w:bookmarkStart w:id="194" w:name="_Toc3518_WPSOffice_Level2"/>
      <w:r>
        <w:rPr>
          <w:rFonts w:hint="eastAsia" w:ascii="仿宋" w:hAnsi="仿宋" w:cs="仿宋"/>
        </w:rPr>
        <w:t>20.1招标文件；</w:t>
      </w:r>
      <w:bookmarkEnd w:id="194"/>
    </w:p>
    <w:p>
      <w:pPr>
        <w:adjustRightInd w:val="0"/>
        <w:snapToGrid w:val="0"/>
        <w:spacing w:line="360" w:lineRule="auto"/>
        <w:ind w:firstLine="414" w:firstLineChars="196"/>
        <w:rPr>
          <w:rFonts w:ascii="仿宋" w:hAnsi="仿宋" w:cs="仿宋"/>
        </w:rPr>
      </w:pPr>
      <w:bookmarkStart w:id="195" w:name="_Toc7342_WPSOffice_Level2"/>
      <w:r>
        <w:rPr>
          <w:rFonts w:hint="eastAsia" w:ascii="仿宋" w:hAnsi="仿宋" w:cs="仿宋"/>
        </w:rPr>
        <w:t>20.2招标文件的更正公告、变更公告；</w:t>
      </w:r>
      <w:bookmarkEnd w:id="195"/>
    </w:p>
    <w:p>
      <w:pPr>
        <w:adjustRightInd w:val="0"/>
        <w:snapToGrid w:val="0"/>
        <w:spacing w:line="360" w:lineRule="auto"/>
        <w:ind w:firstLine="414" w:firstLineChars="196"/>
        <w:rPr>
          <w:rFonts w:ascii="仿宋" w:hAnsi="仿宋" w:cs="仿宋"/>
        </w:rPr>
      </w:pPr>
      <w:bookmarkStart w:id="196" w:name="_Toc576_WPSOffice_Level2"/>
      <w:r>
        <w:rPr>
          <w:rFonts w:hint="eastAsia" w:ascii="仿宋" w:hAnsi="仿宋" w:cs="仿宋"/>
        </w:rPr>
        <w:t>20.3中标人提交的投标文件；</w:t>
      </w:r>
      <w:bookmarkEnd w:id="196"/>
    </w:p>
    <w:p>
      <w:pPr>
        <w:adjustRightInd w:val="0"/>
        <w:snapToGrid w:val="0"/>
        <w:spacing w:line="360" w:lineRule="auto"/>
        <w:ind w:firstLine="414" w:firstLineChars="196"/>
        <w:rPr>
          <w:rFonts w:ascii="仿宋" w:hAnsi="仿宋" w:cs="仿宋"/>
        </w:rPr>
      </w:pPr>
      <w:bookmarkStart w:id="197" w:name="_Toc25464_WPSOffice_Level2"/>
      <w:r>
        <w:rPr>
          <w:rFonts w:hint="eastAsia" w:ascii="仿宋" w:hAnsi="仿宋" w:cs="仿宋"/>
        </w:rPr>
        <w:t>20.4政府采购合同条款；</w:t>
      </w:r>
      <w:bookmarkEnd w:id="197"/>
    </w:p>
    <w:p>
      <w:pPr>
        <w:adjustRightInd w:val="0"/>
        <w:snapToGrid w:val="0"/>
        <w:spacing w:line="360" w:lineRule="auto"/>
        <w:ind w:firstLine="414" w:firstLineChars="196"/>
        <w:rPr>
          <w:rFonts w:ascii="仿宋" w:hAnsi="仿宋" w:cs="仿宋"/>
        </w:rPr>
      </w:pPr>
      <w:bookmarkStart w:id="198" w:name="_Toc25590_WPSOffice_Level2"/>
      <w:r>
        <w:rPr>
          <w:rFonts w:hint="eastAsia" w:ascii="仿宋" w:hAnsi="仿宋" w:cs="仿宋"/>
        </w:rPr>
        <w:t>20.5中标通知书；</w:t>
      </w:r>
      <w:bookmarkEnd w:id="198"/>
    </w:p>
    <w:p>
      <w:pPr>
        <w:adjustRightInd w:val="0"/>
        <w:snapToGrid w:val="0"/>
        <w:spacing w:line="360" w:lineRule="auto"/>
        <w:ind w:firstLine="414" w:firstLineChars="196"/>
        <w:rPr>
          <w:rFonts w:ascii="仿宋" w:hAnsi="仿宋" w:cs="仿宋"/>
        </w:rPr>
      </w:pPr>
      <w:bookmarkStart w:id="199" w:name="_Toc10297_WPSOffice_Level2"/>
      <w:r>
        <w:rPr>
          <w:rFonts w:hint="eastAsia" w:ascii="仿宋" w:hAnsi="仿宋" w:cs="仿宋"/>
        </w:rPr>
        <w:t>20.6政府采购合同的其它附件。</w:t>
      </w:r>
      <w:bookmarkEnd w:id="199"/>
    </w:p>
    <w:p>
      <w:pPr>
        <w:ind w:firstLine="473" w:firstLineChars="196"/>
        <w:rPr>
          <w:rFonts w:ascii="仿宋" w:hAnsi="仿宋" w:cs="仿宋"/>
          <w:sz w:val="24"/>
          <w:szCs w:val="24"/>
        </w:rPr>
      </w:pPr>
    </w:p>
    <w:p>
      <w:pPr>
        <w:ind w:firstLine="473" w:firstLineChars="196"/>
        <w:rPr>
          <w:rFonts w:ascii="仿宋" w:hAnsi="仿宋" w:cs="仿宋"/>
          <w:sz w:val="24"/>
          <w:szCs w:val="24"/>
        </w:rPr>
      </w:pPr>
    </w:p>
    <w:p>
      <w:pPr>
        <w:rPr>
          <w:rFonts w:ascii="仿宋" w:hAnsi="仿宋" w:cs="仿宋"/>
          <w:sz w:val="24"/>
          <w:szCs w:val="24"/>
        </w:rPr>
      </w:pPr>
      <w:r>
        <w:rPr>
          <w:rFonts w:hint="eastAsia" w:ascii="仿宋" w:hAnsi="仿宋" w:cs="仿宋"/>
          <w:sz w:val="24"/>
          <w:szCs w:val="24"/>
        </w:rPr>
        <w:br w:type="page"/>
      </w:r>
    </w:p>
    <w:p>
      <w:pPr>
        <w:pStyle w:val="5"/>
        <w:adjustRightInd w:val="0"/>
        <w:snapToGrid w:val="0"/>
        <w:spacing w:before="0" w:after="0" w:line="240" w:lineRule="auto"/>
        <w:jc w:val="left"/>
        <w:rPr>
          <w:rFonts w:ascii="仿宋" w:hAnsi="仿宋" w:cs="仿宋"/>
          <w:sz w:val="21"/>
          <w:szCs w:val="21"/>
        </w:rPr>
      </w:pPr>
      <w:bookmarkStart w:id="200" w:name="_Toc7342_WPSOffice_Level1"/>
      <w:bookmarkStart w:id="201" w:name="_Toc372_WPSOffice_Level1"/>
      <w:bookmarkStart w:id="202" w:name="_Toc3044_WPSOffice_Level1"/>
      <w:r>
        <w:rPr>
          <w:rFonts w:hint="eastAsia" w:ascii="仿宋" w:hAnsi="仿宋" w:cs="仿宋"/>
        </w:rPr>
        <w:t>合同格式</w:t>
      </w:r>
      <w:bookmarkEnd w:id="200"/>
      <w:bookmarkEnd w:id="201"/>
      <w:bookmarkEnd w:id="202"/>
    </w:p>
    <w:p>
      <w:pPr>
        <w:adjustRightInd w:val="0"/>
        <w:snapToGrid w:val="0"/>
        <w:spacing w:line="360" w:lineRule="auto"/>
        <w:jc w:val="center"/>
        <w:rPr>
          <w:rFonts w:ascii="仿宋" w:hAnsi="仿宋" w:cs="仿宋"/>
          <w:b/>
          <w:bCs/>
          <w:sz w:val="44"/>
          <w:szCs w:val="44"/>
        </w:rPr>
      </w:pPr>
      <w:bookmarkStart w:id="203" w:name="_Toc11644_WPSOffice_Level1"/>
      <w:bookmarkStart w:id="204" w:name="_Toc7832_WPSOffice_Level1"/>
      <w:r>
        <w:rPr>
          <w:rFonts w:hint="eastAsia" w:ascii="仿宋" w:hAnsi="仿宋" w:cs="仿宋"/>
          <w:b/>
          <w:bCs/>
          <w:sz w:val="44"/>
          <w:szCs w:val="44"/>
        </w:rPr>
        <w:t>政府采购合同格式</w:t>
      </w:r>
      <w:bookmarkEnd w:id="203"/>
      <w:bookmarkEnd w:id="204"/>
    </w:p>
    <w:p>
      <w:pPr>
        <w:adjustRightInd w:val="0"/>
        <w:snapToGrid w:val="0"/>
        <w:spacing w:line="360" w:lineRule="auto"/>
        <w:ind w:firstLine="424" w:firstLineChars="200"/>
        <w:jc w:val="left"/>
        <w:rPr>
          <w:rFonts w:ascii="仿宋" w:hAnsi="仿宋" w:cs="仿宋"/>
        </w:rPr>
      </w:pPr>
      <w:r>
        <w:rPr>
          <w:rFonts w:hint="eastAsia" w:ascii="仿宋" w:hAnsi="仿宋" w:cs="仿宋"/>
        </w:rPr>
        <w:t>政府采购合同编号：</w:t>
      </w:r>
    </w:p>
    <w:p>
      <w:pPr>
        <w:adjustRightInd w:val="0"/>
        <w:snapToGrid w:val="0"/>
        <w:spacing w:line="360" w:lineRule="auto"/>
        <w:ind w:firstLine="424" w:firstLineChars="200"/>
        <w:jc w:val="left"/>
        <w:rPr>
          <w:rFonts w:ascii="仿宋" w:hAnsi="仿宋" w:cs="仿宋"/>
        </w:rPr>
      </w:pPr>
      <w:r>
        <w:rPr>
          <w:rFonts w:hint="eastAsia" w:ascii="仿宋" w:hAnsi="仿宋" w:cs="仿宋"/>
        </w:rPr>
        <w:t>签订地点：</w:t>
      </w:r>
    </w:p>
    <w:p>
      <w:pPr>
        <w:adjustRightInd w:val="0"/>
        <w:snapToGrid w:val="0"/>
        <w:spacing w:line="360" w:lineRule="auto"/>
        <w:ind w:firstLine="640"/>
        <w:jc w:val="left"/>
        <w:rPr>
          <w:rFonts w:ascii="仿宋" w:hAnsi="仿宋" w:cs="仿宋"/>
        </w:rPr>
      </w:pPr>
      <w:r>
        <w:rPr>
          <w:rFonts w:hint="eastAsia" w:ascii="仿宋" w:hAnsi="仿宋" w:cs="仿宋"/>
          <w:u w:val="single"/>
        </w:rPr>
        <w:t xml:space="preserve">    (需方名称</w:t>
      </w:r>
      <w:r>
        <w:rPr>
          <w:rFonts w:hint="eastAsia" w:ascii="仿宋" w:hAnsi="仿宋" w:cs="仿宋"/>
        </w:rPr>
        <w:t>) （以下简称需方）和</w:t>
      </w:r>
      <w:r>
        <w:rPr>
          <w:rFonts w:hint="eastAsia" w:ascii="仿宋" w:hAnsi="仿宋" w:cs="仿宋"/>
          <w:u w:val="single"/>
        </w:rPr>
        <w:t xml:space="preserve">   (供方名称)    </w:t>
      </w:r>
      <w:r>
        <w:rPr>
          <w:rFonts w:hint="eastAsia" w:ascii="仿宋" w:hAnsi="仿宋" w:cs="仿宋"/>
        </w:rPr>
        <w:t xml:space="preserve"> （以下简称供方）根据《中华人民共和国民法典》和有关法律法规，遵循平等、自愿、公平和诚实信用原则，同意按照下面的条款和条件订立本政府采购合同，共同信守。</w:t>
      </w:r>
    </w:p>
    <w:p>
      <w:pPr>
        <w:adjustRightInd w:val="0"/>
        <w:snapToGrid w:val="0"/>
        <w:spacing w:line="360" w:lineRule="auto"/>
        <w:jc w:val="left"/>
        <w:rPr>
          <w:rFonts w:ascii="仿宋" w:hAnsi="仿宋" w:cs="仿宋"/>
          <w:b/>
          <w:bCs/>
        </w:rPr>
      </w:pPr>
      <w:r>
        <w:rPr>
          <w:rFonts w:hint="eastAsia" w:ascii="仿宋" w:hAnsi="仿宋" w:cs="仿宋"/>
          <w:b/>
          <w:bCs/>
        </w:rPr>
        <w:t>　　</w:t>
      </w:r>
      <w:bookmarkStart w:id="205" w:name="_Toc13230_WPSOffice_Level2"/>
      <w:r>
        <w:rPr>
          <w:rFonts w:hint="eastAsia" w:ascii="仿宋" w:hAnsi="仿宋" w:cs="仿宋"/>
          <w:b/>
          <w:bCs/>
        </w:rPr>
        <w:t>一、政府采购合同文件</w:t>
      </w:r>
      <w:bookmarkEnd w:id="205"/>
    </w:p>
    <w:p>
      <w:pPr>
        <w:adjustRightInd w:val="0"/>
        <w:snapToGrid w:val="0"/>
        <w:spacing w:line="360" w:lineRule="auto"/>
        <w:jc w:val="left"/>
        <w:rPr>
          <w:rFonts w:ascii="仿宋" w:hAnsi="仿宋" w:cs="仿宋"/>
        </w:rPr>
      </w:pPr>
      <w:r>
        <w:rPr>
          <w:rFonts w:hint="eastAsia" w:ascii="仿宋" w:hAnsi="仿宋" w:cs="仿宋"/>
        </w:rPr>
        <w:t xml:space="preserve">    本政府采购合同所附下列文件是构成本政府采购合同不可分割的部分：</w:t>
      </w:r>
    </w:p>
    <w:p>
      <w:pPr>
        <w:adjustRightInd w:val="0"/>
        <w:snapToGrid w:val="0"/>
        <w:spacing w:line="360" w:lineRule="auto"/>
        <w:ind w:firstLine="424" w:firstLineChars="200"/>
        <w:jc w:val="left"/>
        <w:rPr>
          <w:rFonts w:ascii="仿宋" w:hAnsi="仿宋" w:cs="仿宋"/>
        </w:rPr>
      </w:pPr>
      <w:r>
        <w:rPr>
          <w:rFonts w:hint="eastAsia" w:ascii="仿宋" w:hAnsi="仿宋" w:cs="仿宋"/>
        </w:rPr>
        <w:t>1.招标文件（招标文件编号）；</w:t>
      </w:r>
    </w:p>
    <w:p>
      <w:pPr>
        <w:adjustRightInd w:val="0"/>
        <w:snapToGrid w:val="0"/>
        <w:spacing w:line="360" w:lineRule="auto"/>
        <w:ind w:firstLine="424" w:firstLineChars="200"/>
        <w:jc w:val="left"/>
        <w:rPr>
          <w:rFonts w:ascii="仿宋" w:hAnsi="仿宋" w:cs="仿宋"/>
        </w:rPr>
      </w:pPr>
      <w:r>
        <w:rPr>
          <w:rFonts w:hint="eastAsia" w:ascii="仿宋" w:hAnsi="仿宋" w:cs="仿宋"/>
        </w:rPr>
        <w:t>2.招标文件的更正公告、变更公告；</w:t>
      </w:r>
    </w:p>
    <w:p>
      <w:pPr>
        <w:adjustRightInd w:val="0"/>
        <w:snapToGrid w:val="0"/>
        <w:spacing w:line="360" w:lineRule="auto"/>
        <w:ind w:firstLine="424" w:firstLineChars="200"/>
        <w:jc w:val="left"/>
        <w:rPr>
          <w:rFonts w:ascii="仿宋" w:hAnsi="仿宋" w:cs="仿宋"/>
        </w:rPr>
      </w:pPr>
      <w:r>
        <w:rPr>
          <w:rFonts w:hint="eastAsia" w:ascii="仿宋" w:hAnsi="仿宋" w:cs="仿宋"/>
        </w:rPr>
        <w:t>3.中标人提交的投标文件；</w:t>
      </w:r>
    </w:p>
    <w:p>
      <w:pPr>
        <w:adjustRightInd w:val="0"/>
        <w:snapToGrid w:val="0"/>
        <w:spacing w:line="360" w:lineRule="auto"/>
        <w:ind w:firstLine="424" w:firstLineChars="200"/>
        <w:jc w:val="left"/>
        <w:rPr>
          <w:rFonts w:ascii="仿宋" w:hAnsi="仿宋" w:cs="仿宋"/>
        </w:rPr>
      </w:pPr>
      <w:r>
        <w:rPr>
          <w:rFonts w:hint="eastAsia" w:ascii="仿宋" w:hAnsi="仿宋" w:cs="仿宋"/>
        </w:rPr>
        <w:t>4.政府采购合同条款；</w:t>
      </w:r>
    </w:p>
    <w:p>
      <w:pPr>
        <w:adjustRightInd w:val="0"/>
        <w:snapToGrid w:val="0"/>
        <w:spacing w:line="360" w:lineRule="auto"/>
        <w:ind w:firstLine="424" w:firstLineChars="200"/>
        <w:jc w:val="left"/>
        <w:rPr>
          <w:rFonts w:ascii="仿宋" w:hAnsi="仿宋" w:cs="仿宋"/>
        </w:rPr>
      </w:pPr>
      <w:r>
        <w:rPr>
          <w:rFonts w:hint="eastAsia" w:ascii="仿宋" w:hAnsi="仿宋" w:cs="仿宋"/>
        </w:rPr>
        <w:t>5.中标通知书；</w:t>
      </w:r>
    </w:p>
    <w:p>
      <w:pPr>
        <w:adjustRightInd w:val="0"/>
        <w:snapToGrid w:val="0"/>
        <w:spacing w:line="360" w:lineRule="auto"/>
        <w:ind w:firstLine="424" w:firstLineChars="200"/>
        <w:jc w:val="left"/>
        <w:rPr>
          <w:rFonts w:ascii="仿宋" w:hAnsi="仿宋" w:cs="仿宋"/>
        </w:rPr>
      </w:pPr>
      <w:r>
        <w:rPr>
          <w:rFonts w:hint="eastAsia" w:ascii="仿宋" w:hAnsi="仿宋" w:cs="仿宋"/>
        </w:rPr>
        <w:t>6.政府采购合同的其它附件。</w:t>
      </w:r>
    </w:p>
    <w:p>
      <w:pPr>
        <w:adjustRightInd w:val="0"/>
        <w:snapToGrid w:val="0"/>
        <w:spacing w:line="360" w:lineRule="auto"/>
        <w:jc w:val="left"/>
        <w:rPr>
          <w:rFonts w:ascii="仿宋" w:hAnsi="仿宋" w:cs="仿宋"/>
          <w:b/>
          <w:bCs/>
        </w:rPr>
      </w:pPr>
      <w:r>
        <w:rPr>
          <w:rFonts w:hint="eastAsia" w:ascii="仿宋" w:hAnsi="仿宋" w:cs="仿宋"/>
          <w:b/>
          <w:bCs/>
        </w:rPr>
        <w:t>　　</w:t>
      </w:r>
      <w:bookmarkStart w:id="206" w:name="_Toc19527_WPSOffice_Level2"/>
      <w:r>
        <w:rPr>
          <w:rFonts w:hint="eastAsia" w:ascii="仿宋" w:hAnsi="仿宋" w:cs="仿宋"/>
          <w:b/>
          <w:bCs/>
        </w:rPr>
        <w:t>二、政府采购合同范围和条件</w:t>
      </w:r>
      <w:bookmarkEnd w:id="206"/>
    </w:p>
    <w:p>
      <w:pPr>
        <w:adjustRightInd w:val="0"/>
        <w:snapToGrid w:val="0"/>
        <w:spacing w:line="360" w:lineRule="auto"/>
        <w:jc w:val="left"/>
        <w:rPr>
          <w:rFonts w:ascii="仿宋" w:hAnsi="仿宋" w:cs="仿宋"/>
        </w:rPr>
      </w:pPr>
      <w:r>
        <w:rPr>
          <w:rFonts w:hint="eastAsia" w:ascii="仿宋" w:hAnsi="仿宋" w:cs="仿宋"/>
        </w:rPr>
        <w:t xml:space="preserve">    本政府采购合同的范围和条件与上述政府采购合同文件的规定相一致。</w:t>
      </w:r>
    </w:p>
    <w:p>
      <w:pPr>
        <w:adjustRightInd w:val="0"/>
        <w:snapToGrid w:val="0"/>
        <w:spacing w:line="360" w:lineRule="auto"/>
        <w:jc w:val="left"/>
        <w:rPr>
          <w:rFonts w:ascii="仿宋" w:hAnsi="仿宋" w:cs="仿宋"/>
          <w:b/>
          <w:bCs/>
        </w:rPr>
      </w:pPr>
      <w:r>
        <w:rPr>
          <w:rFonts w:hint="eastAsia" w:ascii="仿宋" w:hAnsi="仿宋" w:cs="仿宋"/>
          <w:b/>
          <w:bCs/>
        </w:rPr>
        <w:t>　　</w:t>
      </w:r>
      <w:bookmarkStart w:id="207" w:name="_Toc18050_WPSOffice_Level2"/>
      <w:r>
        <w:rPr>
          <w:rFonts w:hint="eastAsia" w:ascii="仿宋" w:hAnsi="仿宋" w:cs="仿宋"/>
          <w:b/>
          <w:bCs/>
        </w:rPr>
        <w:t>三、政府采购合同标的</w:t>
      </w:r>
      <w:bookmarkEnd w:id="207"/>
    </w:p>
    <w:p>
      <w:pPr>
        <w:adjustRightInd w:val="0"/>
        <w:snapToGrid w:val="0"/>
        <w:spacing w:line="360" w:lineRule="auto"/>
        <w:jc w:val="left"/>
        <w:rPr>
          <w:rFonts w:ascii="仿宋" w:hAnsi="仿宋" w:cs="仿宋"/>
        </w:rPr>
      </w:pPr>
      <w:r>
        <w:rPr>
          <w:rFonts w:hint="eastAsia" w:ascii="仿宋" w:hAnsi="仿宋" w:cs="仿宋"/>
        </w:rPr>
        <w:t>本政府采购合同的标的为招标文件中所列货物及相关服务。</w:t>
      </w:r>
    </w:p>
    <w:p>
      <w:pPr>
        <w:adjustRightInd w:val="0"/>
        <w:snapToGrid w:val="0"/>
        <w:spacing w:line="360" w:lineRule="auto"/>
        <w:jc w:val="left"/>
        <w:rPr>
          <w:rFonts w:ascii="仿宋" w:hAnsi="仿宋" w:cs="仿宋"/>
          <w:b/>
          <w:bCs/>
        </w:rPr>
      </w:pPr>
      <w:r>
        <w:rPr>
          <w:rFonts w:hint="eastAsia" w:ascii="仿宋" w:hAnsi="仿宋" w:cs="仿宋"/>
          <w:b/>
          <w:bCs/>
        </w:rPr>
        <w:t>　　</w:t>
      </w:r>
      <w:bookmarkStart w:id="208" w:name="_Toc27886_WPSOffice_Level2"/>
      <w:r>
        <w:rPr>
          <w:rFonts w:hint="eastAsia" w:ascii="仿宋" w:hAnsi="仿宋" w:cs="仿宋"/>
          <w:b/>
          <w:bCs/>
        </w:rPr>
        <w:t>四、政府采购合同金额</w:t>
      </w:r>
      <w:bookmarkEnd w:id="208"/>
    </w:p>
    <w:p>
      <w:pPr>
        <w:adjustRightInd w:val="0"/>
        <w:snapToGrid w:val="0"/>
        <w:spacing w:line="360" w:lineRule="auto"/>
        <w:jc w:val="left"/>
        <w:rPr>
          <w:rFonts w:ascii="仿宋" w:hAnsi="仿宋" w:cs="仿宋"/>
        </w:rPr>
      </w:pPr>
      <w:r>
        <w:rPr>
          <w:rFonts w:hint="eastAsia" w:ascii="仿宋" w:hAnsi="仿宋" w:cs="仿宋"/>
        </w:rPr>
        <w:t xml:space="preserve">    根据上述政府采购合同文件要求，政府采购合同的总金额为人民币</w:t>
      </w:r>
      <w:r>
        <w:rPr>
          <w:rFonts w:hint="eastAsia" w:ascii="仿宋" w:hAnsi="仿宋" w:cs="仿宋"/>
          <w:u w:val="single"/>
        </w:rPr>
        <w:t xml:space="preserve">  （大写）                </w:t>
      </w:r>
      <w:r>
        <w:rPr>
          <w:rFonts w:hint="eastAsia" w:ascii="仿宋" w:hAnsi="仿宋" w:cs="仿宋"/>
        </w:rPr>
        <w:t xml:space="preserve"> 元。</w:t>
      </w:r>
    </w:p>
    <w:p>
      <w:pPr>
        <w:adjustRightInd w:val="0"/>
        <w:snapToGrid w:val="0"/>
        <w:spacing w:line="360" w:lineRule="auto"/>
        <w:jc w:val="left"/>
        <w:rPr>
          <w:rFonts w:ascii="仿宋" w:hAnsi="仿宋" w:cs="仿宋"/>
        </w:rPr>
      </w:pPr>
      <w:r>
        <w:rPr>
          <w:rFonts w:hint="eastAsia" w:ascii="仿宋" w:hAnsi="仿宋" w:cs="仿宋"/>
        </w:rPr>
        <w:t xml:space="preserve">    注：存在分项产品的必须清晰列明分项产品明细，包括名称、数量、分项报价等，并作为合同组成部分。</w:t>
      </w:r>
    </w:p>
    <w:p>
      <w:pPr>
        <w:adjustRightInd w:val="0"/>
        <w:snapToGrid w:val="0"/>
        <w:spacing w:line="360" w:lineRule="auto"/>
        <w:jc w:val="left"/>
        <w:rPr>
          <w:rFonts w:ascii="仿宋" w:hAnsi="仿宋" w:cs="仿宋"/>
          <w:b/>
          <w:bCs/>
        </w:rPr>
      </w:pPr>
      <w:r>
        <w:rPr>
          <w:rFonts w:hint="eastAsia" w:ascii="仿宋" w:hAnsi="仿宋" w:cs="仿宋"/>
          <w:b/>
          <w:bCs/>
        </w:rPr>
        <w:t>　　</w:t>
      </w:r>
      <w:bookmarkStart w:id="209" w:name="_Toc22211_WPSOffice_Level2"/>
      <w:r>
        <w:rPr>
          <w:rFonts w:hint="eastAsia" w:ascii="仿宋" w:hAnsi="仿宋" w:cs="仿宋"/>
          <w:b/>
          <w:bCs/>
        </w:rPr>
        <w:t>五、付款方式及条件</w:t>
      </w:r>
      <w:bookmarkEnd w:id="209"/>
    </w:p>
    <w:p>
      <w:pPr>
        <w:adjustRightInd w:val="0"/>
        <w:snapToGrid w:val="0"/>
        <w:spacing w:line="360" w:lineRule="auto"/>
        <w:jc w:val="left"/>
        <w:rPr>
          <w:rFonts w:ascii="仿宋" w:hAnsi="仿宋" w:cs="仿宋"/>
          <w:b/>
          <w:bCs/>
        </w:rPr>
      </w:pPr>
    </w:p>
    <w:p>
      <w:pPr>
        <w:adjustRightInd w:val="0"/>
        <w:snapToGrid w:val="0"/>
        <w:spacing w:line="360" w:lineRule="auto"/>
        <w:jc w:val="left"/>
        <w:rPr>
          <w:rFonts w:ascii="仿宋" w:hAnsi="仿宋" w:cs="仿宋"/>
        </w:rPr>
      </w:pPr>
      <w:r>
        <w:rPr>
          <w:rFonts w:hint="eastAsia" w:ascii="仿宋" w:hAnsi="仿宋" w:cs="仿宋"/>
          <w:b/>
          <w:bCs/>
        </w:rPr>
        <w:t>　　</w:t>
      </w:r>
      <w:bookmarkStart w:id="210" w:name="_Toc27813_WPSOffice_Level2"/>
      <w:r>
        <w:rPr>
          <w:rFonts w:hint="eastAsia" w:ascii="仿宋" w:hAnsi="仿宋" w:cs="仿宋"/>
          <w:b/>
          <w:bCs/>
        </w:rPr>
        <w:t>六、交货时间和交货地点</w:t>
      </w:r>
      <w:bookmarkEnd w:id="210"/>
    </w:p>
    <w:p>
      <w:pPr>
        <w:adjustRightInd w:val="0"/>
        <w:snapToGrid w:val="0"/>
        <w:spacing w:line="360" w:lineRule="auto"/>
        <w:jc w:val="left"/>
        <w:rPr>
          <w:rFonts w:ascii="仿宋" w:hAnsi="仿宋" w:cs="仿宋"/>
          <w:u w:val="single"/>
        </w:rPr>
      </w:pPr>
      <w:r>
        <w:rPr>
          <w:rFonts w:hint="eastAsia" w:ascii="仿宋" w:hAnsi="仿宋" w:cs="仿宋"/>
        </w:rPr>
        <w:t xml:space="preserve">    1.交货时间：</w:t>
      </w:r>
    </w:p>
    <w:p>
      <w:pPr>
        <w:adjustRightInd w:val="0"/>
        <w:snapToGrid w:val="0"/>
        <w:spacing w:line="360" w:lineRule="auto"/>
        <w:jc w:val="left"/>
        <w:rPr>
          <w:rFonts w:ascii="仿宋" w:hAnsi="仿宋" w:cs="仿宋"/>
          <w:u w:val="single"/>
        </w:rPr>
      </w:pPr>
      <w:r>
        <w:rPr>
          <w:rFonts w:hint="eastAsia" w:ascii="仿宋" w:hAnsi="仿宋" w:cs="仿宋"/>
        </w:rPr>
        <w:t xml:space="preserve">    2.交货地点：</w:t>
      </w:r>
    </w:p>
    <w:p>
      <w:pPr>
        <w:adjustRightInd w:val="0"/>
        <w:snapToGrid w:val="0"/>
        <w:spacing w:line="360" w:lineRule="auto"/>
        <w:jc w:val="left"/>
        <w:rPr>
          <w:rFonts w:ascii="仿宋" w:hAnsi="仿宋" w:cs="仿宋"/>
          <w:b/>
          <w:bCs/>
        </w:rPr>
      </w:pPr>
      <w:r>
        <w:rPr>
          <w:rFonts w:hint="eastAsia" w:ascii="仿宋" w:hAnsi="仿宋" w:cs="仿宋"/>
          <w:b/>
          <w:bCs/>
        </w:rPr>
        <w:t>　　</w:t>
      </w:r>
      <w:bookmarkStart w:id="211" w:name="_Toc12497_WPSOffice_Level2"/>
      <w:r>
        <w:rPr>
          <w:rFonts w:hint="eastAsia" w:ascii="仿宋" w:hAnsi="仿宋" w:cs="仿宋"/>
          <w:b/>
          <w:bCs/>
        </w:rPr>
        <w:t>七、验收要求</w:t>
      </w:r>
      <w:bookmarkEnd w:id="211"/>
    </w:p>
    <w:p>
      <w:pPr>
        <w:adjustRightInd w:val="0"/>
        <w:snapToGrid w:val="0"/>
        <w:spacing w:line="360" w:lineRule="auto"/>
        <w:jc w:val="left"/>
        <w:rPr>
          <w:rFonts w:ascii="仿宋" w:hAnsi="仿宋" w:cs="仿宋"/>
          <w:u w:val="single"/>
        </w:rPr>
      </w:pPr>
      <w:r>
        <w:rPr>
          <w:rFonts w:hint="eastAsia" w:ascii="仿宋" w:hAnsi="仿宋" w:cs="仿宋"/>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仿宋" w:hAnsi="仿宋" w:cs="仿宋"/>
          <w:b/>
          <w:bCs/>
        </w:rPr>
      </w:pPr>
      <w:bookmarkStart w:id="212" w:name="_Toc4868_WPSOffice_Level2"/>
      <w:r>
        <w:rPr>
          <w:rFonts w:hint="eastAsia" w:ascii="仿宋" w:hAnsi="仿宋" w:cs="仿宋"/>
          <w:b/>
          <w:bCs/>
        </w:rPr>
        <w:t>八、违约责任</w:t>
      </w:r>
      <w:bookmarkEnd w:id="212"/>
    </w:p>
    <w:p>
      <w:pPr>
        <w:adjustRightInd w:val="0"/>
        <w:snapToGrid w:val="0"/>
        <w:spacing w:line="360" w:lineRule="auto"/>
        <w:jc w:val="left"/>
        <w:rPr>
          <w:rFonts w:ascii="仿宋" w:hAnsi="仿宋" w:cs="仿宋"/>
        </w:rPr>
      </w:pPr>
      <w:r>
        <w:rPr>
          <w:rFonts w:hint="eastAsia" w:ascii="仿宋" w:hAnsi="仿宋" w:cs="仿宋"/>
        </w:rPr>
        <w:t xml:space="preserve">    1.供方逾期供货的，每逾期一天向需方支付逾期供货金额%的违约金，逾期日的，需方有权单方面解除本协议。</w:t>
      </w:r>
    </w:p>
    <w:p>
      <w:pPr>
        <w:adjustRightInd w:val="0"/>
        <w:snapToGrid w:val="0"/>
        <w:spacing w:line="360" w:lineRule="auto"/>
        <w:jc w:val="left"/>
        <w:rPr>
          <w:rFonts w:ascii="仿宋" w:hAnsi="仿宋" w:cs="仿宋"/>
        </w:rPr>
      </w:pPr>
      <w:r>
        <w:rPr>
          <w:rFonts w:hint="eastAsia" w:ascii="仿宋" w:hAnsi="仿宋" w:cs="仿宋"/>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 w:hAnsi="仿宋" w:cs="仿宋"/>
        </w:rPr>
      </w:pPr>
      <w:r>
        <w:rPr>
          <w:rFonts w:hint="eastAsia" w:ascii="仿宋" w:hAnsi="仿宋" w:cs="仿宋"/>
        </w:rPr>
        <w:t xml:space="preserve">    3.需方逾期付款的，每逾期一天向供方支付逾期金额%的违约金，逾期日的，供方有权单方面解除本协议。</w:t>
      </w:r>
    </w:p>
    <w:p>
      <w:pPr>
        <w:adjustRightInd w:val="0"/>
        <w:snapToGrid w:val="0"/>
        <w:spacing w:line="360" w:lineRule="auto"/>
        <w:jc w:val="left"/>
        <w:rPr>
          <w:rFonts w:ascii="仿宋" w:hAnsi="仿宋" w:cs="仿宋"/>
          <w:b/>
          <w:bCs/>
        </w:rPr>
      </w:pPr>
      <w:bookmarkStart w:id="213" w:name="_Toc24496_WPSOffice_Level2"/>
      <w:r>
        <w:rPr>
          <w:rFonts w:hint="eastAsia" w:ascii="仿宋" w:hAnsi="仿宋" w:cs="仿宋"/>
          <w:b/>
          <w:bCs/>
        </w:rPr>
        <w:t>九、争议解决</w:t>
      </w:r>
      <w:bookmarkEnd w:id="213"/>
    </w:p>
    <w:p>
      <w:pPr>
        <w:adjustRightInd w:val="0"/>
        <w:snapToGrid w:val="0"/>
        <w:spacing w:line="360" w:lineRule="auto"/>
        <w:jc w:val="left"/>
        <w:rPr>
          <w:rFonts w:ascii="仿宋" w:hAnsi="仿宋" w:cs="仿宋"/>
          <w:b/>
          <w:bCs/>
        </w:rPr>
      </w:pPr>
      <w:r>
        <w:rPr>
          <w:rFonts w:hint="eastAsia" w:ascii="仿宋" w:hAnsi="仿宋" w:cs="仿宋"/>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仿宋" w:hAnsi="仿宋" w:cs="仿宋"/>
          <w:b/>
          <w:bCs/>
        </w:rPr>
      </w:pPr>
      <w:bookmarkStart w:id="214" w:name="_Toc24974_WPSOffice_Level2"/>
      <w:r>
        <w:rPr>
          <w:rFonts w:hint="eastAsia" w:ascii="仿宋" w:hAnsi="仿宋" w:cs="仿宋"/>
          <w:b/>
          <w:bCs/>
        </w:rPr>
        <w:t>十、合同生效</w:t>
      </w:r>
      <w:bookmarkEnd w:id="214"/>
    </w:p>
    <w:p>
      <w:pPr>
        <w:adjustRightInd w:val="0"/>
        <w:snapToGrid w:val="0"/>
        <w:spacing w:line="360" w:lineRule="auto"/>
        <w:jc w:val="left"/>
        <w:rPr>
          <w:rFonts w:ascii="仿宋" w:hAnsi="仿宋" w:cs="仿宋"/>
        </w:rPr>
      </w:pPr>
      <w:r>
        <w:rPr>
          <w:rFonts w:hint="eastAsia" w:ascii="仿宋" w:hAnsi="仿宋" w:cs="仿宋"/>
        </w:rPr>
        <w:t xml:space="preserve">    本政府采购合同经双方授权代表签字盖章后生效。</w:t>
      </w:r>
    </w:p>
    <w:p>
      <w:pPr>
        <w:adjustRightInd w:val="0"/>
        <w:snapToGrid w:val="0"/>
        <w:spacing w:line="360" w:lineRule="auto"/>
        <w:ind w:firstLine="424" w:firstLineChars="200"/>
        <w:jc w:val="left"/>
        <w:rPr>
          <w:rFonts w:ascii="仿宋" w:hAnsi="仿宋" w:cs="仿宋"/>
        </w:rPr>
      </w:pPr>
      <w:r>
        <w:rPr>
          <w:rFonts w:hint="eastAsia" w:ascii="仿宋" w:hAnsi="仿宋" w:cs="仿宋"/>
        </w:rPr>
        <w:t>需方（公章）:                       供方(公章):</w:t>
      </w:r>
    </w:p>
    <w:p>
      <w:pPr>
        <w:adjustRightInd w:val="0"/>
        <w:snapToGrid w:val="0"/>
        <w:spacing w:line="360" w:lineRule="auto"/>
        <w:ind w:firstLine="424" w:firstLineChars="200"/>
        <w:jc w:val="left"/>
        <w:rPr>
          <w:rFonts w:ascii="仿宋" w:hAnsi="仿宋" w:cs="仿宋"/>
        </w:rPr>
      </w:pPr>
      <w:r>
        <w:rPr>
          <w:rFonts w:hint="eastAsia" w:ascii="仿宋" w:hAnsi="仿宋" w:cs="仿宋"/>
        </w:rPr>
        <w:t>法定代表人或授权代表人(签字):         法定代表人或授权代表人(签字):</w:t>
      </w:r>
    </w:p>
    <w:p>
      <w:pPr>
        <w:adjustRightInd w:val="0"/>
        <w:snapToGrid w:val="0"/>
        <w:spacing w:line="360" w:lineRule="auto"/>
        <w:ind w:firstLine="424" w:firstLineChars="200"/>
        <w:rPr>
          <w:rFonts w:ascii="仿宋" w:hAnsi="仿宋" w:cs="仿宋"/>
          <w:u w:val="single"/>
        </w:rPr>
      </w:pPr>
      <w:r>
        <w:rPr>
          <w:rFonts w:hint="eastAsia" w:ascii="仿宋" w:hAnsi="仿宋" w:cs="仿宋"/>
        </w:rPr>
        <w:t>地址：      地址：</w:t>
      </w:r>
    </w:p>
    <w:p>
      <w:pPr>
        <w:adjustRightInd w:val="0"/>
        <w:snapToGrid w:val="0"/>
        <w:spacing w:line="360" w:lineRule="auto"/>
        <w:ind w:firstLine="424" w:firstLineChars="200"/>
        <w:rPr>
          <w:rFonts w:ascii="仿宋" w:hAnsi="仿宋" w:cs="仿宋"/>
        </w:rPr>
      </w:pPr>
      <w:r>
        <w:rPr>
          <w:rFonts w:hint="eastAsia" w:ascii="仿宋" w:hAnsi="仿宋" w:cs="仿宋"/>
        </w:rPr>
        <w:t>联系人：      联系人：</w:t>
      </w:r>
    </w:p>
    <w:p>
      <w:pPr>
        <w:adjustRightInd w:val="0"/>
        <w:snapToGrid w:val="0"/>
        <w:spacing w:line="360" w:lineRule="auto"/>
        <w:ind w:firstLine="424" w:firstLineChars="200"/>
        <w:rPr>
          <w:rFonts w:ascii="仿宋" w:hAnsi="仿宋" w:cs="仿宋"/>
          <w:u w:val="single"/>
        </w:rPr>
      </w:pPr>
      <w:r>
        <w:rPr>
          <w:rFonts w:hint="eastAsia" w:ascii="仿宋" w:hAnsi="仿宋" w:cs="仿宋"/>
        </w:rPr>
        <w:t>电话：      电话：</w:t>
      </w:r>
    </w:p>
    <w:p>
      <w:pPr>
        <w:adjustRightInd w:val="0"/>
        <w:snapToGrid w:val="0"/>
        <w:spacing w:line="360" w:lineRule="auto"/>
        <w:ind w:firstLine="424" w:firstLineChars="200"/>
        <w:rPr>
          <w:rFonts w:ascii="仿宋" w:hAnsi="仿宋" w:cs="仿宋"/>
          <w:u w:val="single"/>
        </w:rPr>
      </w:pPr>
      <w:r>
        <w:rPr>
          <w:rFonts w:hint="eastAsia" w:ascii="仿宋" w:hAnsi="仿宋" w:cs="仿宋"/>
        </w:rPr>
        <w:t>传真：      传真：</w:t>
      </w:r>
    </w:p>
    <w:p>
      <w:pPr>
        <w:adjustRightInd w:val="0"/>
        <w:snapToGrid w:val="0"/>
        <w:spacing w:line="360" w:lineRule="auto"/>
        <w:ind w:firstLine="424" w:firstLineChars="200"/>
        <w:rPr>
          <w:rFonts w:ascii="仿宋" w:hAnsi="仿宋" w:cs="仿宋"/>
          <w:u w:val="single"/>
        </w:rPr>
      </w:pPr>
      <w:r>
        <w:rPr>
          <w:rFonts w:hint="eastAsia" w:ascii="仿宋" w:hAnsi="仿宋" w:cs="仿宋"/>
        </w:rPr>
        <w:t>邮编：      邮编：</w:t>
      </w:r>
    </w:p>
    <w:p>
      <w:pPr>
        <w:adjustRightInd w:val="0"/>
        <w:snapToGrid w:val="0"/>
        <w:spacing w:line="360" w:lineRule="auto"/>
        <w:ind w:firstLine="424" w:firstLineChars="200"/>
        <w:rPr>
          <w:rFonts w:ascii="仿宋" w:hAnsi="仿宋" w:cs="仿宋"/>
          <w:u w:val="single"/>
        </w:rPr>
      </w:pPr>
      <w:r>
        <w:rPr>
          <w:rFonts w:hint="eastAsia" w:ascii="仿宋" w:hAnsi="仿宋" w:cs="仿宋"/>
        </w:rPr>
        <w:t>日期：</w:t>
      </w:r>
      <w:r>
        <w:rPr>
          <w:rFonts w:hint="eastAsia" w:ascii="仿宋" w:hAnsi="仿宋" w:cs="仿宋"/>
          <w:u w:val="single"/>
        </w:rPr>
        <w:t xml:space="preserve">      年      月      日</w:t>
      </w:r>
      <w:r>
        <w:rPr>
          <w:rFonts w:hint="eastAsia" w:ascii="仿宋" w:hAnsi="仿宋" w:cs="仿宋"/>
        </w:rPr>
        <w:t xml:space="preserve">      日期：</w:t>
      </w:r>
      <w:r>
        <w:rPr>
          <w:rFonts w:hint="eastAsia" w:ascii="仿宋" w:hAnsi="仿宋" w:cs="仿宋"/>
          <w:u w:val="single"/>
        </w:rPr>
        <w:t xml:space="preserve">       年      月     日</w:t>
      </w:r>
    </w:p>
    <w:p>
      <w:pPr>
        <w:widowControl/>
        <w:jc w:val="left"/>
        <w:rPr>
          <w:rFonts w:ascii="仿宋" w:hAnsi="仿宋" w:cs="仿宋"/>
          <w:b/>
          <w:bCs/>
          <w:sz w:val="28"/>
          <w:szCs w:val="28"/>
        </w:rPr>
      </w:pPr>
    </w:p>
    <w:bookmarkEnd w:id="131"/>
    <w:p>
      <w:pPr>
        <w:wordWrap w:val="0"/>
        <w:adjustRightInd w:val="0"/>
        <w:snapToGrid w:val="0"/>
        <w:spacing w:line="360" w:lineRule="auto"/>
        <w:jc w:val="right"/>
        <w:rPr>
          <w:rFonts w:ascii="仿宋" w:hAnsi="仿宋" w:cs="仿宋"/>
        </w:rPr>
      </w:pPr>
    </w:p>
    <w:p>
      <w:pPr>
        <w:wordWrap w:val="0"/>
        <w:adjustRightInd w:val="0"/>
        <w:snapToGrid w:val="0"/>
        <w:spacing w:line="360" w:lineRule="auto"/>
        <w:jc w:val="right"/>
        <w:rPr>
          <w:rFonts w:ascii="仿宋" w:hAnsi="仿宋" w:cs="仿宋"/>
        </w:rPr>
      </w:pPr>
    </w:p>
    <w:sectPr>
      <w:pgSz w:w="11906" w:h="16838"/>
      <w:pgMar w:top="1440" w:right="1803" w:bottom="1440" w:left="1803" w:header="851" w:footer="992" w:gutter="0"/>
      <w:cols w:space="0" w:num="1"/>
      <w:docGrid w:type="linesAndChars" w:linePitch="319" w:charSpace="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MicrosoftYaHei">
    <w:altName w:val="Cambria"/>
    <w:panose1 w:val="00000000000000000000"/>
    <w:charset w:val="00"/>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Text Box 1" o:spid="_x0000_s2049" o:spt="202" type="#_x0000_t202" style="position:absolute;left:0pt;margin-top:0pt;height:10.35pt;width:13.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">
          <v:path arrowok="t"/>
          <v:fill on="f" focussize="0,0"/>
          <v:stroke on="f" joinstyle="miter"/>
          <v:imagedata o:title=""/>
          <o:lock v:ext="edit"/>
          <v:textbox inset="0mm,0mm,0mm,0mm" style="mso-fit-shape-to-text:t;">
            <w:txbxContent>
              <w:p>
                <w:pPr>
                  <w:pStyle w:val="14"/>
                  <w:jc w:val="center"/>
                </w:pPr>
                <w:r>
                  <w:fldChar w:fldCharType="begin"/>
                </w:r>
                <w:r>
                  <w:instrText xml:space="preserve">PAGE   \* MERGEFORMAT</w:instrText>
                </w:r>
                <w:r>
                  <w:fldChar w:fldCharType="separate"/>
                </w:r>
                <w:r>
                  <w:rPr>
                    <w:lang w:val="zh-CN"/>
                  </w:rPr>
                  <w:t>3</w:t>
                </w:r>
                <w:r>
                  <w:rPr>
                    <w:lang w:val="zh-CN"/>
                  </w:rPr>
                  <w:fldChar w:fldCharType="end"/>
                </w:r>
              </w:p>
            </w:txbxContent>
          </v:textbox>
        </v:shape>
      </w:pict>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EE8E3184"/>
    <w:multiLevelType w:val="singleLevel"/>
    <w:tmpl w:val="EE8E3184"/>
    <w:lvl w:ilvl="0" w:tentative="0">
      <w:start w:val="1"/>
      <w:numFmt w:val="decimal"/>
      <w:suff w:val="nothing"/>
      <w:lvlText w:val="（%1）"/>
      <w:lvlJc w:val="left"/>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7B4156D0"/>
    <w:multiLevelType w:val="singleLevel"/>
    <w:tmpl w:val="7B4156D0"/>
    <w:lvl w:ilvl="0" w:tentative="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oNotHyphenateCaps/>
  <w:drawingGridHorizontalSpacing w:val="106"/>
  <w:drawingGridVerticalSpacing w:val="159"/>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ZjOGU4ZmFlMzVlODViYzk0NTg3Y2RmOGM3ZmQzNjUifQ=="/>
  </w:docVars>
  <w:rsids>
    <w:rsidRoot w:val="35AB3B2B"/>
    <w:rsid w:val="00001D20"/>
    <w:rsid w:val="00005BAC"/>
    <w:rsid w:val="0000641B"/>
    <w:rsid w:val="000067FA"/>
    <w:rsid w:val="00006D4F"/>
    <w:rsid w:val="00007440"/>
    <w:rsid w:val="00007D9B"/>
    <w:rsid w:val="00017AF4"/>
    <w:rsid w:val="00024251"/>
    <w:rsid w:val="0002588A"/>
    <w:rsid w:val="000325E9"/>
    <w:rsid w:val="000341B1"/>
    <w:rsid w:val="00042A5F"/>
    <w:rsid w:val="00051172"/>
    <w:rsid w:val="00056DC0"/>
    <w:rsid w:val="00056ED1"/>
    <w:rsid w:val="00056F1E"/>
    <w:rsid w:val="000577D5"/>
    <w:rsid w:val="00062260"/>
    <w:rsid w:val="00062FCE"/>
    <w:rsid w:val="000675DF"/>
    <w:rsid w:val="00072E3D"/>
    <w:rsid w:val="000730A7"/>
    <w:rsid w:val="00077A92"/>
    <w:rsid w:val="0008074C"/>
    <w:rsid w:val="00080F44"/>
    <w:rsid w:val="00084D3F"/>
    <w:rsid w:val="00087789"/>
    <w:rsid w:val="00092BC6"/>
    <w:rsid w:val="00096226"/>
    <w:rsid w:val="000A0903"/>
    <w:rsid w:val="000A1143"/>
    <w:rsid w:val="000A11EA"/>
    <w:rsid w:val="000A1315"/>
    <w:rsid w:val="000A5F1D"/>
    <w:rsid w:val="000A696E"/>
    <w:rsid w:val="000B0656"/>
    <w:rsid w:val="000B0BEF"/>
    <w:rsid w:val="000B3FFE"/>
    <w:rsid w:val="000B4D4A"/>
    <w:rsid w:val="000B6FF4"/>
    <w:rsid w:val="000C3A16"/>
    <w:rsid w:val="000C45C0"/>
    <w:rsid w:val="000C534F"/>
    <w:rsid w:val="000D2859"/>
    <w:rsid w:val="000D3343"/>
    <w:rsid w:val="000D42A8"/>
    <w:rsid w:val="000E2E67"/>
    <w:rsid w:val="000E5268"/>
    <w:rsid w:val="000E663A"/>
    <w:rsid w:val="000F0A3D"/>
    <w:rsid w:val="000F3F1F"/>
    <w:rsid w:val="001006F2"/>
    <w:rsid w:val="0010241E"/>
    <w:rsid w:val="00102A03"/>
    <w:rsid w:val="001059E5"/>
    <w:rsid w:val="001116DC"/>
    <w:rsid w:val="00112D2F"/>
    <w:rsid w:val="00113E7E"/>
    <w:rsid w:val="0011622C"/>
    <w:rsid w:val="001211FC"/>
    <w:rsid w:val="00125079"/>
    <w:rsid w:val="0012716A"/>
    <w:rsid w:val="00131153"/>
    <w:rsid w:val="00136C5E"/>
    <w:rsid w:val="0014022D"/>
    <w:rsid w:val="00140E53"/>
    <w:rsid w:val="00147116"/>
    <w:rsid w:val="00150E1B"/>
    <w:rsid w:val="00153E3D"/>
    <w:rsid w:val="00154309"/>
    <w:rsid w:val="0015695D"/>
    <w:rsid w:val="00161F3F"/>
    <w:rsid w:val="001624A6"/>
    <w:rsid w:val="00163B9A"/>
    <w:rsid w:val="00166DF6"/>
    <w:rsid w:val="00170000"/>
    <w:rsid w:val="001711BB"/>
    <w:rsid w:val="00171212"/>
    <w:rsid w:val="001720AE"/>
    <w:rsid w:val="00173D2E"/>
    <w:rsid w:val="00174D8F"/>
    <w:rsid w:val="0018039D"/>
    <w:rsid w:val="00184D37"/>
    <w:rsid w:val="001871B1"/>
    <w:rsid w:val="00194152"/>
    <w:rsid w:val="00194F2C"/>
    <w:rsid w:val="00196B57"/>
    <w:rsid w:val="001A10E9"/>
    <w:rsid w:val="001A1A7A"/>
    <w:rsid w:val="001A7EBC"/>
    <w:rsid w:val="001B0496"/>
    <w:rsid w:val="001B28CD"/>
    <w:rsid w:val="001B2AA9"/>
    <w:rsid w:val="001B48D5"/>
    <w:rsid w:val="001C2E62"/>
    <w:rsid w:val="001C6199"/>
    <w:rsid w:val="001C7A71"/>
    <w:rsid w:val="001C7B60"/>
    <w:rsid w:val="001D1957"/>
    <w:rsid w:val="001D6499"/>
    <w:rsid w:val="001D7C23"/>
    <w:rsid w:val="001E1295"/>
    <w:rsid w:val="001E32C3"/>
    <w:rsid w:val="001E38CF"/>
    <w:rsid w:val="001E69F3"/>
    <w:rsid w:val="001F0279"/>
    <w:rsid w:val="001F23E0"/>
    <w:rsid w:val="001F2B1F"/>
    <w:rsid w:val="00201D14"/>
    <w:rsid w:val="0021512F"/>
    <w:rsid w:val="00215D2E"/>
    <w:rsid w:val="00217084"/>
    <w:rsid w:val="002220C1"/>
    <w:rsid w:val="00223C9B"/>
    <w:rsid w:val="002340EA"/>
    <w:rsid w:val="00237598"/>
    <w:rsid w:val="00237843"/>
    <w:rsid w:val="00242DD4"/>
    <w:rsid w:val="00245FEB"/>
    <w:rsid w:val="00250B65"/>
    <w:rsid w:val="00254A05"/>
    <w:rsid w:val="002623CE"/>
    <w:rsid w:val="00265697"/>
    <w:rsid w:val="00266880"/>
    <w:rsid w:val="00270697"/>
    <w:rsid w:val="00272D4E"/>
    <w:rsid w:val="00274B98"/>
    <w:rsid w:val="00275045"/>
    <w:rsid w:val="00280689"/>
    <w:rsid w:val="00285E04"/>
    <w:rsid w:val="0028718A"/>
    <w:rsid w:val="0028763B"/>
    <w:rsid w:val="00291DDE"/>
    <w:rsid w:val="002934A5"/>
    <w:rsid w:val="00293FCA"/>
    <w:rsid w:val="00297998"/>
    <w:rsid w:val="002A154A"/>
    <w:rsid w:val="002A262E"/>
    <w:rsid w:val="002A29B8"/>
    <w:rsid w:val="002A3915"/>
    <w:rsid w:val="002A7FDB"/>
    <w:rsid w:val="002B1A23"/>
    <w:rsid w:val="002B2B54"/>
    <w:rsid w:val="002B5547"/>
    <w:rsid w:val="002C0F66"/>
    <w:rsid w:val="002C28C4"/>
    <w:rsid w:val="002C3BE2"/>
    <w:rsid w:val="002C79A6"/>
    <w:rsid w:val="002D095A"/>
    <w:rsid w:val="002D1113"/>
    <w:rsid w:val="002D6348"/>
    <w:rsid w:val="002E02E0"/>
    <w:rsid w:val="002E4B85"/>
    <w:rsid w:val="002F152F"/>
    <w:rsid w:val="002F361C"/>
    <w:rsid w:val="002F60DE"/>
    <w:rsid w:val="003000ED"/>
    <w:rsid w:val="00302A71"/>
    <w:rsid w:val="00312FF9"/>
    <w:rsid w:val="003154B6"/>
    <w:rsid w:val="003216E0"/>
    <w:rsid w:val="0032389D"/>
    <w:rsid w:val="003301D3"/>
    <w:rsid w:val="00333197"/>
    <w:rsid w:val="00333267"/>
    <w:rsid w:val="00345E5C"/>
    <w:rsid w:val="00346763"/>
    <w:rsid w:val="00347608"/>
    <w:rsid w:val="00347D42"/>
    <w:rsid w:val="0036040F"/>
    <w:rsid w:val="00362E10"/>
    <w:rsid w:val="00374D34"/>
    <w:rsid w:val="003751AD"/>
    <w:rsid w:val="0038501A"/>
    <w:rsid w:val="003879AD"/>
    <w:rsid w:val="00393C8D"/>
    <w:rsid w:val="00393E88"/>
    <w:rsid w:val="00396190"/>
    <w:rsid w:val="00396F29"/>
    <w:rsid w:val="003A0A83"/>
    <w:rsid w:val="003A0C5B"/>
    <w:rsid w:val="003B111C"/>
    <w:rsid w:val="003B2C6C"/>
    <w:rsid w:val="003B3DB5"/>
    <w:rsid w:val="003B3F78"/>
    <w:rsid w:val="003B6F04"/>
    <w:rsid w:val="003C2E8F"/>
    <w:rsid w:val="003C32AC"/>
    <w:rsid w:val="003C5987"/>
    <w:rsid w:val="003C63A6"/>
    <w:rsid w:val="003C7F66"/>
    <w:rsid w:val="003D083A"/>
    <w:rsid w:val="003D27FC"/>
    <w:rsid w:val="003D4E09"/>
    <w:rsid w:val="003D4F29"/>
    <w:rsid w:val="003D5EBC"/>
    <w:rsid w:val="003E2902"/>
    <w:rsid w:val="003E2B83"/>
    <w:rsid w:val="003F38B1"/>
    <w:rsid w:val="003F3BF4"/>
    <w:rsid w:val="00403226"/>
    <w:rsid w:val="00403390"/>
    <w:rsid w:val="004056C1"/>
    <w:rsid w:val="00410198"/>
    <w:rsid w:val="00414596"/>
    <w:rsid w:val="0042221A"/>
    <w:rsid w:val="00422330"/>
    <w:rsid w:val="00424CB8"/>
    <w:rsid w:val="00425155"/>
    <w:rsid w:val="004253CA"/>
    <w:rsid w:val="0042601B"/>
    <w:rsid w:val="00426C65"/>
    <w:rsid w:val="004311DB"/>
    <w:rsid w:val="00433318"/>
    <w:rsid w:val="00437D9B"/>
    <w:rsid w:val="00440750"/>
    <w:rsid w:val="00442823"/>
    <w:rsid w:val="004467B4"/>
    <w:rsid w:val="00450B0E"/>
    <w:rsid w:val="0045483E"/>
    <w:rsid w:val="00454EB6"/>
    <w:rsid w:val="00455716"/>
    <w:rsid w:val="00460499"/>
    <w:rsid w:val="00463B5F"/>
    <w:rsid w:val="00464AFE"/>
    <w:rsid w:val="00465DC4"/>
    <w:rsid w:val="0048013C"/>
    <w:rsid w:val="00480E40"/>
    <w:rsid w:val="00481BAD"/>
    <w:rsid w:val="004822ED"/>
    <w:rsid w:val="004838DC"/>
    <w:rsid w:val="004852F5"/>
    <w:rsid w:val="0048584B"/>
    <w:rsid w:val="0048589A"/>
    <w:rsid w:val="0048749D"/>
    <w:rsid w:val="00496012"/>
    <w:rsid w:val="0049745C"/>
    <w:rsid w:val="004A0A4E"/>
    <w:rsid w:val="004A1A92"/>
    <w:rsid w:val="004A1D8B"/>
    <w:rsid w:val="004A7231"/>
    <w:rsid w:val="004B74F3"/>
    <w:rsid w:val="004C1407"/>
    <w:rsid w:val="004C2A52"/>
    <w:rsid w:val="004C392E"/>
    <w:rsid w:val="004C5563"/>
    <w:rsid w:val="004C597D"/>
    <w:rsid w:val="004C648A"/>
    <w:rsid w:val="004D76AC"/>
    <w:rsid w:val="004E20C7"/>
    <w:rsid w:val="004E3769"/>
    <w:rsid w:val="004E4BAC"/>
    <w:rsid w:val="004E67D9"/>
    <w:rsid w:val="004E6DB0"/>
    <w:rsid w:val="004E79C6"/>
    <w:rsid w:val="005018C5"/>
    <w:rsid w:val="00502952"/>
    <w:rsid w:val="00502E90"/>
    <w:rsid w:val="00506E0C"/>
    <w:rsid w:val="00507C51"/>
    <w:rsid w:val="00513444"/>
    <w:rsid w:val="0051380B"/>
    <w:rsid w:val="00514E99"/>
    <w:rsid w:val="00516EE8"/>
    <w:rsid w:val="00517ED6"/>
    <w:rsid w:val="0052240E"/>
    <w:rsid w:val="005227FD"/>
    <w:rsid w:val="0052756B"/>
    <w:rsid w:val="00530D0D"/>
    <w:rsid w:val="005350DA"/>
    <w:rsid w:val="00535644"/>
    <w:rsid w:val="0053640F"/>
    <w:rsid w:val="00537F6D"/>
    <w:rsid w:val="0054488D"/>
    <w:rsid w:val="005448AD"/>
    <w:rsid w:val="005458FA"/>
    <w:rsid w:val="00551C15"/>
    <w:rsid w:val="00552A48"/>
    <w:rsid w:val="005557DD"/>
    <w:rsid w:val="0055604D"/>
    <w:rsid w:val="0055608C"/>
    <w:rsid w:val="0056074F"/>
    <w:rsid w:val="00562678"/>
    <w:rsid w:val="00563121"/>
    <w:rsid w:val="0056534C"/>
    <w:rsid w:val="00566384"/>
    <w:rsid w:val="00566AC5"/>
    <w:rsid w:val="00567571"/>
    <w:rsid w:val="00570CCB"/>
    <w:rsid w:val="0057369D"/>
    <w:rsid w:val="005756BA"/>
    <w:rsid w:val="00575A00"/>
    <w:rsid w:val="00575F8E"/>
    <w:rsid w:val="0057623C"/>
    <w:rsid w:val="0057627D"/>
    <w:rsid w:val="00577278"/>
    <w:rsid w:val="005775ED"/>
    <w:rsid w:val="00581D79"/>
    <w:rsid w:val="00581FD9"/>
    <w:rsid w:val="005826B0"/>
    <w:rsid w:val="00582831"/>
    <w:rsid w:val="00584C97"/>
    <w:rsid w:val="005864DD"/>
    <w:rsid w:val="005916BE"/>
    <w:rsid w:val="005A3925"/>
    <w:rsid w:val="005B1B36"/>
    <w:rsid w:val="005B6468"/>
    <w:rsid w:val="005B7018"/>
    <w:rsid w:val="005B7E94"/>
    <w:rsid w:val="005C013A"/>
    <w:rsid w:val="005C03DF"/>
    <w:rsid w:val="005C11FC"/>
    <w:rsid w:val="005C2804"/>
    <w:rsid w:val="005C390F"/>
    <w:rsid w:val="005C4574"/>
    <w:rsid w:val="005C7B50"/>
    <w:rsid w:val="005D32D5"/>
    <w:rsid w:val="005D445F"/>
    <w:rsid w:val="005D49FC"/>
    <w:rsid w:val="005D523F"/>
    <w:rsid w:val="005D7D4C"/>
    <w:rsid w:val="005E24F6"/>
    <w:rsid w:val="005E4A02"/>
    <w:rsid w:val="005F2452"/>
    <w:rsid w:val="005F3121"/>
    <w:rsid w:val="005F48EE"/>
    <w:rsid w:val="005F6561"/>
    <w:rsid w:val="005F7862"/>
    <w:rsid w:val="005F78C4"/>
    <w:rsid w:val="006072BB"/>
    <w:rsid w:val="00611750"/>
    <w:rsid w:val="00613AD2"/>
    <w:rsid w:val="0062157E"/>
    <w:rsid w:val="006279B9"/>
    <w:rsid w:val="00630861"/>
    <w:rsid w:val="006314BF"/>
    <w:rsid w:val="00633CA8"/>
    <w:rsid w:val="00635764"/>
    <w:rsid w:val="00635F97"/>
    <w:rsid w:val="00636D14"/>
    <w:rsid w:val="00637B79"/>
    <w:rsid w:val="00640136"/>
    <w:rsid w:val="0064074B"/>
    <w:rsid w:val="00642EAC"/>
    <w:rsid w:val="006444C8"/>
    <w:rsid w:val="00644E72"/>
    <w:rsid w:val="00653F03"/>
    <w:rsid w:val="006546F2"/>
    <w:rsid w:val="0065642D"/>
    <w:rsid w:val="00656662"/>
    <w:rsid w:val="006576E8"/>
    <w:rsid w:val="00660545"/>
    <w:rsid w:val="00661247"/>
    <w:rsid w:val="006635AD"/>
    <w:rsid w:val="00670F94"/>
    <w:rsid w:val="006712E9"/>
    <w:rsid w:val="00676ED9"/>
    <w:rsid w:val="006825D1"/>
    <w:rsid w:val="00683EF3"/>
    <w:rsid w:val="00684C44"/>
    <w:rsid w:val="0069059A"/>
    <w:rsid w:val="00696C76"/>
    <w:rsid w:val="0069767F"/>
    <w:rsid w:val="006A0B71"/>
    <w:rsid w:val="006A5C11"/>
    <w:rsid w:val="006B1920"/>
    <w:rsid w:val="006C28B4"/>
    <w:rsid w:val="006C696F"/>
    <w:rsid w:val="006C6C16"/>
    <w:rsid w:val="006C7593"/>
    <w:rsid w:val="006C78CF"/>
    <w:rsid w:val="006D1B96"/>
    <w:rsid w:val="006D4655"/>
    <w:rsid w:val="006D4E40"/>
    <w:rsid w:val="006D5B4F"/>
    <w:rsid w:val="006E0101"/>
    <w:rsid w:val="006E494A"/>
    <w:rsid w:val="006E5FF1"/>
    <w:rsid w:val="006F17AB"/>
    <w:rsid w:val="006F1DCC"/>
    <w:rsid w:val="006F2361"/>
    <w:rsid w:val="006F4E21"/>
    <w:rsid w:val="006F5C69"/>
    <w:rsid w:val="006F7498"/>
    <w:rsid w:val="007001DC"/>
    <w:rsid w:val="0070077B"/>
    <w:rsid w:val="007054CB"/>
    <w:rsid w:val="0071323F"/>
    <w:rsid w:val="00713551"/>
    <w:rsid w:val="00716307"/>
    <w:rsid w:val="00726B0B"/>
    <w:rsid w:val="00727DAB"/>
    <w:rsid w:val="00736CD9"/>
    <w:rsid w:val="00737443"/>
    <w:rsid w:val="00741475"/>
    <w:rsid w:val="00744A02"/>
    <w:rsid w:val="00750A10"/>
    <w:rsid w:val="00752982"/>
    <w:rsid w:val="00753116"/>
    <w:rsid w:val="00753121"/>
    <w:rsid w:val="00757BFE"/>
    <w:rsid w:val="00762D2C"/>
    <w:rsid w:val="007634AA"/>
    <w:rsid w:val="00764EE8"/>
    <w:rsid w:val="00770D87"/>
    <w:rsid w:val="0077540A"/>
    <w:rsid w:val="00784140"/>
    <w:rsid w:val="007843F7"/>
    <w:rsid w:val="00786420"/>
    <w:rsid w:val="00787243"/>
    <w:rsid w:val="00793724"/>
    <w:rsid w:val="00796C26"/>
    <w:rsid w:val="007977E3"/>
    <w:rsid w:val="007A385D"/>
    <w:rsid w:val="007A39D0"/>
    <w:rsid w:val="007A42F2"/>
    <w:rsid w:val="007B5AC9"/>
    <w:rsid w:val="007C21B8"/>
    <w:rsid w:val="007C2CCC"/>
    <w:rsid w:val="007C5C66"/>
    <w:rsid w:val="007C6962"/>
    <w:rsid w:val="007D0A2A"/>
    <w:rsid w:val="007D34E3"/>
    <w:rsid w:val="007E156D"/>
    <w:rsid w:val="007E1A1A"/>
    <w:rsid w:val="007E5EEB"/>
    <w:rsid w:val="007F14E4"/>
    <w:rsid w:val="007F1855"/>
    <w:rsid w:val="007F18A5"/>
    <w:rsid w:val="007F315A"/>
    <w:rsid w:val="007F547B"/>
    <w:rsid w:val="007F5AA0"/>
    <w:rsid w:val="007F5AC9"/>
    <w:rsid w:val="007F774A"/>
    <w:rsid w:val="00803A51"/>
    <w:rsid w:val="00806437"/>
    <w:rsid w:val="008125F2"/>
    <w:rsid w:val="00830135"/>
    <w:rsid w:val="00831EB0"/>
    <w:rsid w:val="00835E93"/>
    <w:rsid w:val="008364A3"/>
    <w:rsid w:val="0083737C"/>
    <w:rsid w:val="0085543B"/>
    <w:rsid w:val="00860553"/>
    <w:rsid w:val="00861206"/>
    <w:rsid w:val="00867940"/>
    <w:rsid w:val="00867ABB"/>
    <w:rsid w:val="00870A4A"/>
    <w:rsid w:val="00874249"/>
    <w:rsid w:val="00876A74"/>
    <w:rsid w:val="00885FE6"/>
    <w:rsid w:val="008939BE"/>
    <w:rsid w:val="008A07F8"/>
    <w:rsid w:val="008A259C"/>
    <w:rsid w:val="008A2F9B"/>
    <w:rsid w:val="008A4D5F"/>
    <w:rsid w:val="008B05D5"/>
    <w:rsid w:val="008B255F"/>
    <w:rsid w:val="008B613F"/>
    <w:rsid w:val="008B6E46"/>
    <w:rsid w:val="008B7061"/>
    <w:rsid w:val="008C4C24"/>
    <w:rsid w:val="008D1E72"/>
    <w:rsid w:val="008D20E4"/>
    <w:rsid w:val="008D297F"/>
    <w:rsid w:val="008D2B28"/>
    <w:rsid w:val="008D32DE"/>
    <w:rsid w:val="008D7BDF"/>
    <w:rsid w:val="008E0375"/>
    <w:rsid w:val="008E1F6C"/>
    <w:rsid w:val="008E20CD"/>
    <w:rsid w:val="008E37AC"/>
    <w:rsid w:val="008E4E2F"/>
    <w:rsid w:val="008E5B7A"/>
    <w:rsid w:val="008E7C6B"/>
    <w:rsid w:val="008F249C"/>
    <w:rsid w:val="008F4A8F"/>
    <w:rsid w:val="008F5122"/>
    <w:rsid w:val="008F6E80"/>
    <w:rsid w:val="008F74BE"/>
    <w:rsid w:val="008F7CA4"/>
    <w:rsid w:val="00900E6A"/>
    <w:rsid w:val="0091301F"/>
    <w:rsid w:val="00916220"/>
    <w:rsid w:val="00916F8E"/>
    <w:rsid w:val="00922E32"/>
    <w:rsid w:val="009241E6"/>
    <w:rsid w:val="00931707"/>
    <w:rsid w:val="00931C17"/>
    <w:rsid w:val="00936C49"/>
    <w:rsid w:val="00940C88"/>
    <w:rsid w:val="00944284"/>
    <w:rsid w:val="00944572"/>
    <w:rsid w:val="0094648A"/>
    <w:rsid w:val="00946992"/>
    <w:rsid w:val="0094701F"/>
    <w:rsid w:val="0094734B"/>
    <w:rsid w:val="00953227"/>
    <w:rsid w:val="00955F78"/>
    <w:rsid w:val="0096206F"/>
    <w:rsid w:val="009628BA"/>
    <w:rsid w:val="0097028E"/>
    <w:rsid w:val="00970470"/>
    <w:rsid w:val="009740DF"/>
    <w:rsid w:val="00975FD4"/>
    <w:rsid w:val="0098116B"/>
    <w:rsid w:val="0098127D"/>
    <w:rsid w:val="009813C4"/>
    <w:rsid w:val="0098744A"/>
    <w:rsid w:val="00987F43"/>
    <w:rsid w:val="00994CC8"/>
    <w:rsid w:val="00997528"/>
    <w:rsid w:val="009A3A1B"/>
    <w:rsid w:val="009A51B5"/>
    <w:rsid w:val="009A5F69"/>
    <w:rsid w:val="009A70BD"/>
    <w:rsid w:val="009B098B"/>
    <w:rsid w:val="009B7E09"/>
    <w:rsid w:val="009C4949"/>
    <w:rsid w:val="009C788F"/>
    <w:rsid w:val="009D1CCD"/>
    <w:rsid w:val="009D5200"/>
    <w:rsid w:val="009E428A"/>
    <w:rsid w:val="009E6124"/>
    <w:rsid w:val="009E67B5"/>
    <w:rsid w:val="009E6B05"/>
    <w:rsid w:val="009F2371"/>
    <w:rsid w:val="009F3592"/>
    <w:rsid w:val="009F4690"/>
    <w:rsid w:val="00A01510"/>
    <w:rsid w:val="00A04B88"/>
    <w:rsid w:val="00A05D3C"/>
    <w:rsid w:val="00A12EB9"/>
    <w:rsid w:val="00A155F7"/>
    <w:rsid w:val="00A202C6"/>
    <w:rsid w:val="00A20495"/>
    <w:rsid w:val="00A237C2"/>
    <w:rsid w:val="00A25EB8"/>
    <w:rsid w:val="00A2757B"/>
    <w:rsid w:val="00A27ED3"/>
    <w:rsid w:val="00A30936"/>
    <w:rsid w:val="00A31526"/>
    <w:rsid w:val="00A339AE"/>
    <w:rsid w:val="00A413A6"/>
    <w:rsid w:val="00A41B3A"/>
    <w:rsid w:val="00A4228B"/>
    <w:rsid w:val="00A429CD"/>
    <w:rsid w:val="00A445C9"/>
    <w:rsid w:val="00A54B85"/>
    <w:rsid w:val="00A57D15"/>
    <w:rsid w:val="00A6193E"/>
    <w:rsid w:val="00A61D06"/>
    <w:rsid w:val="00A62F34"/>
    <w:rsid w:val="00A64BF6"/>
    <w:rsid w:val="00A72636"/>
    <w:rsid w:val="00A764BD"/>
    <w:rsid w:val="00A778A1"/>
    <w:rsid w:val="00A817E6"/>
    <w:rsid w:val="00A82127"/>
    <w:rsid w:val="00A91E53"/>
    <w:rsid w:val="00A920FE"/>
    <w:rsid w:val="00A922A3"/>
    <w:rsid w:val="00A92343"/>
    <w:rsid w:val="00A95B44"/>
    <w:rsid w:val="00A96040"/>
    <w:rsid w:val="00A968BE"/>
    <w:rsid w:val="00A97173"/>
    <w:rsid w:val="00AA0334"/>
    <w:rsid w:val="00AA26B5"/>
    <w:rsid w:val="00AA4459"/>
    <w:rsid w:val="00AB297E"/>
    <w:rsid w:val="00AB5CE9"/>
    <w:rsid w:val="00AC4735"/>
    <w:rsid w:val="00AC4817"/>
    <w:rsid w:val="00AC4D89"/>
    <w:rsid w:val="00AC4F4E"/>
    <w:rsid w:val="00AD3C56"/>
    <w:rsid w:val="00AD3DC3"/>
    <w:rsid w:val="00AD4214"/>
    <w:rsid w:val="00AD495F"/>
    <w:rsid w:val="00AD58F8"/>
    <w:rsid w:val="00AE6103"/>
    <w:rsid w:val="00AF0309"/>
    <w:rsid w:val="00AF4F68"/>
    <w:rsid w:val="00AF5E2E"/>
    <w:rsid w:val="00AF702F"/>
    <w:rsid w:val="00B01CC5"/>
    <w:rsid w:val="00B0575F"/>
    <w:rsid w:val="00B0612C"/>
    <w:rsid w:val="00B12857"/>
    <w:rsid w:val="00B166EF"/>
    <w:rsid w:val="00B16B76"/>
    <w:rsid w:val="00B2272F"/>
    <w:rsid w:val="00B22FBD"/>
    <w:rsid w:val="00B30214"/>
    <w:rsid w:val="00B34597"/>
    <w:rsid w:val="00B34B5B"/>
    <w:rsid w:val="00B35BD1"/>
    <w:rsid w:val="00B3637D"/>
    <w:rsid w:val="00B41F22"/>
    <w:rsid w:val="00B439D4"/>
    <w:rsid w:val="00B45EAC"/>
    <w:rsid w:val="00B47161"/>
    <w:rsid w:val="00B47A77"/>
    <w:rsid w:val="00B578DF"/>
    <w:rsid w:val="00B60B87"/>
    <w:rsid w:val="00B63443"/>
    <w:rsid w:val="00B646E4"/>
    <w:rsid w:val="00B66286"/>
    <w:rsid w:val="00B72CCB"/>
    <w:rsid w:val="00B736EB"/>
    <w:rsid w:val="00B73DD6"/>
    <w:rsid w:val="00B744A7"/>
    <w:rsid w:val="00B74692"/>
    <w:rsid w:val="00B74CEA"/>
    <w:rsid w:val="00B761D9"/>
    <w:rsid w:val="00B81769"/>
    <w:rsid w:val="00B825B4"/>
    <w:rsid w:val="00B82712"/>
    <w:rsid w:val="00B839C8"/>
    <w:rsid w:val="00B84D14"/>
    <w:rsid w:val="00B87BD3"/>
    <w:rsid w:val="00B977F7"/>
    <w:rsid w:val="00BA0BF1"/>
    <w:rsid w:val="00BA653B"/>
    <w:rsid w:val="00BA6E9A"/>
    <w:rsid w:val="00BA7264"/>
    <w:rsid w:val="00BA7453"/>
    <w:rsid w:val="00BB1D83"/>
    <w:rsid w:val="00BB241E"/>
    <w:rsid w:val="00BB5E97"/>
    <w:rsid w:val="00BB6AEE"/>
    <w:rsid w:val="00BC22DA"/>
    <w:rsid w:val="00BC3380"/>
    <w:rsid w:val="00BC5733"/>
    <w:rsid w:val="00BC7660"/>
    <w:rsid w:val="00BD00B9"/>
    <w:rsid w:val="00BD03EB"/>
    <w:rsid w:val="00BD3287"/>
    <w:rsid w:val="00BD4842"/>
    <w:rsid w:val="00BF20C6"/>
    <w:rsid w:val="00BF2574"/>
    <w:rsid w:val="00BF4409"/>
    <w:rsid w:val="00BF5725"/>
    <w:rsid w:val="00C041B7"/>
    <w:rsid w:val="00C0563C"/>
    <w:rsid w:val="00C067F1"/>
    <w:rsid w:val="00C1507D"/>
    <w:rsid w:val="00C160E3"/>
    <w:rsid w:val="00C16AB5"/>
    <w:rsid w:val="00C201A6"/>
    <w:rsid w:val="00C23BFE"/>
    <w:rsid w:val="00C25539"/>
    <w:rsid w:val="00C26285"/>
    <w:rsid w:val="00C2639B"/>
    <w:rsid w:val="00C369DF"/>
    <w:rsid w:val="00C4600C"/>
    <w:rsid w:val="00C51FCE"/>
    <w:rsid w:val="00C6147A"/>
    <w:rsid w:val="00C64E6F"/>
    <w:rsid w:val="00C65295"/>
    <w:rsid w:val="00C66946"/>
    <w:rsid w:val="00C74A5D"/>
    <w:rsid w:val="00C7623C"/>
    <w:rsid w:val="00C774F4"/>
    <w:rsid w:val="00C82740"/>
    <w:rsid w:val="00C8320C"/>
    <w:rsid w:val="00C835EA"/>
    <w:rsid w:val="00C83BF8"/>
    <w:rsid w:val="00C853DD"/>
    <w:rsid w:val="00C8621F"/>
    <w:rsid w:val="00C87EB6"/>
    <w:rsid w:val="00C9111A"/>
    <w:rsid w:val="00C9148F"/>
    <w:rsid w:val="00C969AF"/>
    <w:rsid w:val="00CA23D0"/>
    <w:rsid w:val="00CA4A3E"/>
    <w:rsid w:val="00CA6D8C"/>
    <w:rsid w:val="00CA7336"/>
    <w:rsid w:val="00CA78BD"/>
    <w:rsid w:val="00CB6517"/>
    <w:rsid w:val="00CB6F8F"/>
    <w:rsid w:val="00CB7EAD"/>
    <w:rsid w:val="00CC05F8"/>
    <w:rsid w:val="00CC7443"/>
    <w:rsid w:val="00CD01DA"/>
    <w:rsid w:val="00CD07A8"/>
    <w:rsid w:val="00CD4898"/>
    <w:rsid w:val="00CE0FCA"/>
    <w:rsid w:val="00CE5033"/>
    <w:rsid w:val="00CF06D6"/>
    <w:rsid w:val="00CF5A1B"/>
    <w:rsid w:val="00CF77F2"/>
    <w:rsid w:val="00CF7893"/>
    <w:rsid w:val="00D01EB5"/>
    <w:rsid w:val="00D062A9"/>
    <w:rsid w:val="00D156EB"/>
    <w:rsid w:val="00D173B3"/>
    <w:rsid w:val="00D20DC8"/>
    <w:rsid w:val="00D23972"/>
    <w:rsid w:val="00D249CE"/>
    <w:rsid w:val="00D26893"/>
    <w:rsid w:val="00D3035A"/>
    <w:rsid w:val="00D305DB"/>
    <w:rsid w:val="00D31C69"/>
    <w:rsid w:val="00D32BAA"/>
    <w:rsid w:val="00D33D22"/>
    <w:rsid w:val="00D341F8"/>
    <w:rsid w:val="00D34A65"/>
    <w:rsid w:val="00D36DD0"/>
    <w:rsid w:val="00D411F2"/>
    <w:rsid w:val="00D42871"/>
    <w:rsid w:val="00D500E0"/>
    <w:rsid w:val="00D519BD"/>
    <w:rsid w:val="00D52014"/>
    <w:rsid w:val="00D55F97"/>
    <w:rsid w:val="00D5629A"/>
    <w:rsid w:val="00D602FB"/>
    <w:rsid w:val="00D60B11"/>
    <w:rsid w:val="00D61371"/>
    <w:rsid w:val="00D62919"/>
    <w:rsid w:val="00D646E6"/>
    <w:rsid w:val="00D64E4C"/>
    <w:rsid w:val="00D65099"/>
    <w:rsid w:val="00D6664D"/>
    <w:rsid w:val="00D70A03"/>
    <w:rsid w:val="00D7277E"/>
    <w:rsid w:val="00D73D85"/>
    <w:rsid w:val="00D811F9"/>
    <w:rsid w:val="00D81F13"/>
    <w:rsid w:val="00D8435D"/>
    <w:rsid w:val="00D87717"/>
    <w:rsid w:val="00D87E53"/>
    <w:rsid w:val="00D94972"/>
    <w:rsid w:val="00D95734"/>
    <w:rsid w:val="00DA4744"/>
    <w:rsid w:val="00DA5FDD"/>
    <w:rsid w:val="00DB07CF"/>
    <w:rsid w:val="00DB10A5"/>
    <w:rsid w:val="00DB30E9"/>
    <w:rsid w:val="00DB41F3"/>
    <w:rsid w:val="00DB63F1"/>
    <w:rsid w:val="00DC29C5"/>
    <w:rsid w:val="00DC7554"/>
    <w:rsid w:val="00DC7C2E"/>
    <w:rsid w:val="00DD06CB"/>
    <w:rsid w:val="00DD084B"/>
    <w:rsid w:val="00DD12A9"/>
    <w:rsid w:val="00DD12FE"/>
    <w:rsid w:val="00DD37D4"/>
    <w:rsid w:val="00DD428F"/>
    <w:rsid w:val="00DD7A44"/>
    <w:rsid w:val="00DE3354"/>
    <w:rsid w:val="00DE4966"/>
    <w:rsid w:val="00DE76CC"/>
    <w:rsid w:val="00E01590"/>
    <w:rsid w:val="00E01A74"/>
    <w:rsid w:val="00E04FD0"/>
    <w:rsid w:val="00E0524F"/>
    <w:rsid w:val="00E06EA6"/>
    <w:rsid w:val="00E13885"/>
    <w:rsid w:val="00E152BB"/>
    <w:rsid w:val="00E21943"/>
    <w:rsid w:val="00E21A04"/>
    <w:rsid w:val="00E2263F"/>
    <w:rsid w:val="00E23707"/>
    <w:rsid w:val="00E26FC5"/>
    <w:rsid w:val="00E27777"/>
    <w:rsid w:val="00E302A7"/>
    <w:rsid w:val="00E34473"/>
    <w:rsid w:val="00E4425F"/>
    <w:rsid w:val="00E44D46"/>
    <w:rsid w:val="00E662DD"/>
    <w:rsid w:val="00E75BD7"/>
    <w:rsid w:val="00E810F0"/>
    <w:rsid w:val="00E83E68"/>
    <w:rsid w:val="00E862F8"/>
    <w:rsid w:val="00E9445F"/>
    <w:rsid w:val="00E96DA4"/>
    <w:rsid w:val="00EA1DEB"/>
    <w:rsid w:val="00EA3BE6"/>
    <w:rsid w:val="00EA6975"/>
    <w:rsid w:val="00EA6FE2"/>
    <w:rsid w:val="00EA7C41"/>
    <w:rsid w:val="00EB5386"/>
    <w:rsid w:val="00EC2155"/>
    <w:rsid w:val="00EC56FE"/>
    <w:rsid w:val="00ED617D"/>
    <w:rsid w:val="00ED63AA"/>
    <w:rsid w:val="00EE57D7"/>
    <w:rsid w:val="00EE68FA"/>
    <w:rsid w:val="00EE791D"/>
    <w:rsid w:val="00EF1C1A"/>
    <w:rsid w:val="00EF29D6"/>
    <w:rsid w:val="00EF41D2"/>
    <w:rsid w:val="00EF6C47"/>
    <w:rsid w:val="00EF7A31"/>
    <w:rsid w:val="00EF7C68"/>
    <w:rsid w:val="00F04C7C"/>
    <w:rsid w:val="00F05317"/>
    <w:rsid w:val="00F054E3"/>
    <w:rsid w:val="00F05EBD"/>
    <w:rsid w:val="00F127E1"/>
    <w:rsid w:val="00F12BEA"/>
    <w:rsid w:val="00F16439"/>
    <w:rsid w:val="00F16FF4"/>
    <w:rsid w:val="00F30054"/>
    <w:rsid w:val="00F3061C"/>
    <w:rsid w:val="00F31388"/>
    <w:rsid w:val="00F33F1D"/>
    <w:rsid w:val="00F3552B"/>
    <w:rsid w:val="00F4046E"/>
    <w:rsid w:val="00F43928"/>
    <w:rsid w:val="00F443DA"/>
    <w:rsid w:val="00F44C10"/>
    <w:rsid w:val="00F44D4F"/>
    <w:rsid w:val="00F50500"/>
    <w:rsid w:val="00F5200B"/>
    <w:rsid w:val="00F563EB"/>
    <w:rsid w:val="00F57479"/>
    <w:rsid w:val="00F57934"/>
    <w:rsid w:val="00F61503"/>
    <w:rsid w:val="00F61A27"/>
    <w:rsid w:val="00F6392A"/>
    <w:rsid w:val="00F64DEA"/>
    <w:rsid w:val="00F67C2D"/>
    <w:rsid w:val="00F73C1C"/>
    <w:rsid w:val="00F7590E"/>
    <w:rsid w:val="00F80EE4"/>
    <w:rsid w:val="00F82487"/>
    <w:rsid w:val="00F87B41"/>
    <w:rsid w:val="00F908F5"/>
    <w:rsid w:val="00F91F0C"/>
    <w:rsid w:val="00F94824"/>
    <w:rsid w:val="00F952C3"/>
    <w:rsid w:val="00F95A7E"/>
    <w:rsid w:val="00FB203A"/>
    <w:rsid w:val="00FC15F9"/>
    <w:rsid w:val="00FC6A0B"/>
    <w:rsid w:val="00FC6CD4"/>
    <w:rsid w:val="00FC6F4A"/>
    <w:rsid w:val="00FC7FD4"/>
    <w:rsid w:val="00FD0894"/>
    <w:rsid w:val="00FD2574"/>
    <w:rsid w:val="00FD57C2"/>
    <w:rsid w:val="00FD593C"/>
    <w:rsid w:val="00FD6A74"/>
    <w:rsid w:val="00FD6C7B"/>
    <w:rsid w:val="00FD7511"/>
    <w:rsid w:val="00FE03A4"/>
    <w:rsid w:val="00FE0B88"/>
    <w:rsid w:val="00FE6473"/>
    <w:rsid w:val="00FE7099"/>
    <w:rsid w:val="00FF2C4E"/>
    <w:rsid w:val="00FF30DE"/>
    <w:rsid w:val="00FF320F"/>
    <w:rsid w:val="00FF38D2"/>
    <w:rsid w:val="00FF7050"/>
    <w:rsid w:val="00FF75E6"/>
    <w:rsid w:val="01007E42"/>
    <w:rsid w:val="01275D20"/>
    <w:rsid w:val="01384326"/>
    <w:rsid w:val="017734C4"/>
    <w:rsid w:val="01864D83"/>
    <w:rsid w:val="019A5532"/>
    <w:rsid w:val="01F376F8"/>
    <w:rsid w:val="021541EA"/>
    <w:rsid w:val="029E7AD0"/>
    <w:rsid w:val="02A16E70"/>
    <w:rsid w:val="02D92588"/>
    <w:rsid w:val="02F545EC"/>
    <w:rsid w:val="02FA30D3"/>
    <w:rsid w:val="03090322"/>
    <w:rsid w:val="032759B1"/>
    <w:rsid w:val="036F159C"/>
    <w:rsid w:val="03A07AD7"/>
    <w:rsid w:val="03BD2E3D"/>
    <w:rsid w:val="03EC73DD"/>
    <w:rsid w:val="03F01528"/>
    <w:rsid w:val="045630D8"/>
    <w:rsid w:val="049D565A"/>
    <w:rsid w:val="04AC72EC"/>
    <w:rsid w:val="05190704"/>
    <w:rsid w:val="055661F0"/>
    <w:rsid w:val="057B7AFF"/>
    <w:rsid w:val="0580226C"/>
    <w:rsid w:val="059B2E14"/>
    <w:rsid w:val="05AA531D"/>
    <w:rsid w:val="05CD3179"/>
    <w:rsid w:val="05D067D9"/>
    <w:rsid w:val="05D90BCF"/>
    <w:rsid w:val="05FE190F"/>
    <w:rsid w:val="06306B73"/>
    <w:rsid w:val="06750C66"/>
    <w:rsid w:val="069C01CA"/>
    <w:rsid w:val="06DB7470"/>
    <w:rsid w:val="06EF58D3"/>
    <w:rsid w:val="07026F93"/>
    <w:rsid w:val="07116147"/>
    <w:rsid w:val="075E76FE"/>
    <w:rsid w:val="079B0BC0"/>
    <w:rsid w:val="07B34DB3"/>
    <w:rsid w:val="07CD5B89"/>
    <w:rsid w:val="07FC6063"/>
    <w:rsid w:val="0855720F"/>
    <w:rsid w:val="085B4F44"/>
    <w:rsid w:val="088D5F5C"/>
    <w:rsid w:val="08A26242"/>
    <w:rsid w:val="08C92A94"/>
    <w:rsid w:val="0941245A"/>
    <w:rsid w:val="094C565A"/>
    <w:rsid w:val="096D5AA7"/>
    <w:rsid w:val="0997077C"/>
    <w:rsid w:val="099D7C2C"/>
    <w:rsid w:val="09BC7504"/>
    <w:rsid w:val="09FD11BF"/>
    <w:rsid w:val="0A13499B"/>
    <w:rsid w:val="0A260FC3"/>
    <w:rsid w:val="0A2B6A3F"/>
    <w:rsid w:val="0A3E3CF5"/>
    <w:rsid w:val="0A643AC5"/>
    <w:rsid w:val="0AB823C4"/>
    <w:rsid w:val="0ACA4546"/>
    <w:rsid w:val="0B14682F"/>
    <w:rsid w:val="0B196B40"/>
    <w:rsid w:val="0B825441"/>
    <w:rsid w:val="0BA525D8"/>
    <w:rsid w:val="0BB33AF9"/>
    <w:rsid w:val="0BD22349"/>
    <w:rsid w:val="0BD50CE3"/>
    <w:rsid w:val="0BF55B92"/>
    <w:rsid w:val="0C224758"/>
    <w:rsid w:val="0C2F6006"/>
    <w:rsid w:val="0C426CB3"/>
    <w:rsid w:val="0C5056AF"/>
    <w:rsid w:val="0C5B37C6"/>
    <w:rsid w:val="0C602928"/>
    <w:rsid w:val="0C8352C9"/>
    <w:rsid w:val="0C88726E"/>
    <w:rsid w:val="0CCB7B51"/>
    <w:rsid w:val="0CE866DD"/>
    <w:rsid w:val="0D255916"/>
    <w:rsid w:val="0D416E49"/>
    <w:rsid w:val="0D5B2BA8"/>
    <w:rsid w:val="0D8F1B47"/>
    <w:rsid w:val="0DA0360B"/>
    <w:rsid w:val="0DA30D3E"/>
    <w:rsid w:val="0DA47700"/>
    <w:rsid w:val="0DB52476"/>
    <w:rsid w:val="0DB55C17"/>
    <w:rsid w:val="0DC134A7"/>
    <w:rsid w:val="0E117FB7"/>
    <w:rsid w:val="0E460DCC"/>
    <w:rsid w:val="0E4D03C4"/>
    <w:rsid w:val="0E512BF8"/>
    <w:rsid w:val="0EF37672"/>
    <w:rsid w:val="0EF46240"/>
    <w:rsid w:val="0F1964F3"/>
    <w:rsid w:val="0F3848CE"/>
    <w:rsid w:val="0F465E03"/>
    <w:rsid w:val="0F5002B6"/>
    <w:rsid w:val="0F5C1D51"/>
    <w:rsid w:val="0F620FFF"/>
    <w:rsid w:val="0F681E22"/>
    <w:rsid w:val="0F6C20F8"/>
    <w:rsid w:val="0F792CBA"/>
    <w:rsid w:val="0F9262E5"/>
    <w:rsid w:val="0FEE60A0"/>
    <w:rsid w:val="1000028B"/>
    <w:rsid w:val="100B5B75"/>
    <w:rsid w:val="10390CED"/>
    <w:rsid w:val="10647ADA"/>
    <w:rsid w:val="10797991"/>
    <w:rsid w:val="10821542"/>
    <w:rsid w:val="108D7FEC"/>
    <w:rsid w:val="10C34A85"/>
    <w:rsid w:val="10DB06AE"/>
    <w:rsid w:val="10EB0A61"/>
    <w:rsid w:val="10F96CD3"/>
    <w:rsid w:val="110662B7"/>
    <w:rsid w:val="110D477C"/>
    <w:rsid w:val="111125C9"/>
    <w:rsid w:val="11230728"/>
    <w:rsid w:val="114317C8"/>
    <w:rsid w:val="11504EEC"/>
    <w:rsid w:val="117E3EBF"/>
    <w:rsid w:val="11921F79"/>
    <w:rsid w:val="11A63895"/>
    <w:rsid w:val="11A72E23"/>
    <w:rsid w:val="11AA0E33"/>
    <w:rsid w:val="11D465DE"/>
    <w:rsid w:val="11DB026D"/>
    <w:rsid w:val="11F35E10"/>
    <w:rsid w:val="121E003E"/>
    <w:rsid w:val="123238F4"/>
    <w:rsid w:val="12333415"/>
    <w:rsid w:val="124E6914"/>
    <w:rsid w:val="128276A4"/>
    <w:rsid w:val="12871737"/>
    <w:rsid w:val="12A74158"/>
    <w:rsid w:val="12B45137"/>
    <w:rsid w:val="12D84CD4"/>
    <w:rsid w:val="12F51579"/>
    <w:rsid w:val="12FD7CCA"/>
    <w:rsid w:val="13042B7A"/>
    <w:rsid w:val="13167841"/>
    <w:rsid w:val="131909C4"/>
    <w:rsid w:val="131F2662"/>
    <w:rsid w:val="132D31A8"/>
    <w:rsid w:val="134E6BF4"/>
    <w:rsid w:val="137139DD"/>
    <w:rsid w:val="13B47F15"/>
    <w:rsid w:val="13C139AF"/>
    <w:rsid w:val="13E01C4A"/>
    <w:rsid w:val="14011AE1"/>
    <w:rsid w:val="14333776"/>
    <w:rsid w:val="144E16AB"/>
    <w:rsid w:val="144F6715"/>
    <w:rsid w:val="147A16BB"/>
    <w:rsid w:val="149C206F"/>
    <w:rsid w:val="14A82D17"/>
    <w:rsid w:val="14AA5797"/>
    <w:rsid w:val="14FF5023"/>
    <w:rsid w:val="15312E6F"/>
    <w:rsid w:val="154D743D"/>
    <w:rsid w:val="15667555"/>
    <w:rsid w:val="15704EBC"/>
    <w:rsid w:val="158D492B"/>
    <w:rsid w:val="15A97268"/>
    <w:rsid w:val="15CF1DD7"/>
    <w:rsid w:val="15E224A7"/>
    <w:rsid w:val="160C07B5"/>
    <w:rsid w:val="16150220"/>
    <w:rsid w:val="16397A1B"/>
    <w:rsid w:val="164342FA"/>
    <w:rsid w:val="165351E7"/>
    <w:rsid w:val="165770B0"/>
    <w:rsid w:val="16A22BEB"/>
    <w:rsid w:val="16A45592"/>
    <w:rsid w:val="16CB645F"/>
    <w:rsid w:val="16E11B7C"/>
    <w:rsid w:val="171820A2"/>
    <w:rsid w:val="171877C6"/>
    <w:rsid w:val="17451AD7"/>
    <w:rsid w:val="174A410A"/>
    <w:rsid w:val="17571001"/>
    <w:rsid w:val="17647109"/>
    <w:rsid w:val="17707BBF"/>
    <w:rsid w:val="177572AC"/>
    <w:rsid w:val="17776970"/>
    <w:rsid w:val="179E6119"/>
    <w:rsid w:val="17BA1FA3"/>
    <w:rsid w:val="17CB05D4"/>
    <w:rsid w:val="17CF624F"/>
    <w:rsid w:val="17E52FF8"/>
    <w:rsid w:val="181270D8"/>
    <w:rsid w:val="183A7AB3"/>
    <w:rsid w:val="18402742"/>
    <w:rsid w:val="185C4B83"/>
    <w:rsid w:val="186A54F8"/>
    <w:rsid w:val="18C80336"/>
    <w:rsid w:val="18FB3DF7"/>
    <w:rsid w:val="190C0B53"/>
    <w:rsid w:val="19801636"/>
    <w:rsid w:val="19962C12"/>
    <w:rsid w:val="19AE3FA6"/>
    <w:rsid w:val="1AC3684A"/>
    <w:rsid w:val="1ACA77FB"/>
    <w:rsid w:val="1ACC5BF8"/>
    <w:rsid w:val="1AD774CB"/>
    <w:rsid w:val="1AE92FD5"/>
    <w:rsid w:val="1B1E67F8"/>
    <w:rsid w:val="1B200CF6"/>
    <w:rsid w:val="1B2A7529"/>
    <w:rsid w:val="1B390BDC"/>
    <w:rsid w:val="1B4E55E8"/>
    <w:rsid w:val="1B8E7170"/>
    <w:rsid w:val="1BBD111D"/>
    <w:rsid w:val="1BD1641F"/>
    <w:rsid w:val="1BE0443F"/>
    <w:rsid w:val="1C365FC1"/>
    <w:rsid w:val="1C471722"/>
    <w:rsid w:val="1C5C588F"/>
    <w:rsid w:val="1C983F97"/>
    <w:rsid w:val="1CB1569A"/>
    <w:rsid w:val="1CB313F6"/>
    <w:rsid w:val="1CEF0D6A"/>
    <w:rsid w:val="1CFB6B14"/>
    <w:rsid w:val="1D1D4465"/>
    <w:rsid w:val="1D3A59E0"/>
    <w:rsid w:val="1D3C45B0"/>
    <w:rsid w:val="1D4028B0"/>
    <w:rsid w:val="1D5626EE"/>
    <w:rsid w:val="1D613CFF"/>
    <w:rsid w:val="1D630B8A"/>
    <w:rsid w:val="1DC56631"/>
    <w:rsid w:val="1E00462C"/>
    <w:rsid w:val="1E1C5E73"/>
    <w:rsid w:val="1E3C462A"/>
    <w:rsid w:val="1E3D5BFF"/>
    <w:rsid w:val="1E3F5B0A"/>
    <w:rsid w:val="1E402DD2"/>
    <w:rsid w:val="1E462655"/>
    <w:rsid w:val="1E49254F"/>
    <w:rsid w:val="1E5B585E"/>
    <w:rsid w:val="1E602B01"/>
    <w:rsid w:val="1E643DE2"/>
    <w:rsid w:val="1E703E54"/>
    <w:rsid w:val="1EA0459D"/>
    <w:rsid w:val="1EB21D4C"/>
    <w:rsid w:val="1ECC5D06"/>
    <w:rsid w:val="1ED42809"/>
    <w:rsid w:val="1EEF0477"/>
    <w:rsid w:val="1EF26162"/>
    <w:rsid w:val="1F6457D9"/>
    <w:rsid w:val="1F64740B"/>
    <w:rsid w:val="1F6A2CF4"/>
    <w:rsid w:val="1F9F2549"/>
    <w:rsid w:val="1FCC5382"/>
    <w:rsid w:val="1FD86B10"/>
    <w:rsid w:val="1FFD6FC8"/>
    <w:rsid w:val="201221D2"/>
    <w:rsid w:val="202279CC"/>
    <w:rsid w:val="20441B19"/>
    <w:rsid w:val="20663493"/>
    <w:rsid w:val="2069018D"/>
    <w:rsid w:val="2078256A"/>
    <w:rsid w:val="209667AA"/>
    <w:rsid w:val="20A0219D"/>
    <w:rsid w:val="20A44930"/>
    <w:rsid w:val="20AB38D2"/>
    <w:rsid w:val="20B60991"/>
    <w:rsid w:val="20B87A68"/>
    <w:rsid w:val="20BF45FE"/>
    <w:rsid w:val="20C70459"/>
    <w:rsid w:val="20C75D9C"/>
    <w:rsid w:val="2102069D"/>
    <w:rsid w:val="2106288F"/>
    <w:rsid w:val="210741CE"/>
    <w:rsid w:val="21082292"/>
    <w:rsid w:val="21131F82"/>
    <w:rsid w:val="218D15B1"/>
    <w:rsid w:val="21B300CF"/>
    <w:rsid w:val="21C9221A"/>
    <w:rsid w:val="22160B82"/>
    <w:rsid w:val="228952D6"/>
    <w:rsid w:val="2297314D"/>
    <w:rsid w:val="229F23A9"/>
    <w:rsid w:val="22A279E3"/>
    <w:rsid w:val="22BA2B41"/>
    <w:rsid w:val="22D26F9A"/>
    <w:rsid w:val="2336230E"/>
    <w:rsid w:val="233C7E85"/>
    <w:rsid w:val="23AF69F1"/>
    <w:rsid w:val="23B12896"/>
    <w:rsid w:val="23CB0902"/>
    <w:rsid w:val="23E11A3F"/>
    <w:rsid w:val="23E563DD"/>
    <w:rsid w:val="23F316BB"/>
    <w:rsid w:val="243949DB"/>
    <w:rsid w:val="24763848"/>
    <w:rsid w:val="247C12B5"/>
    <w:rsid w:val="24827E18"/>
    <w:rsid w:val="24963225"/>
    <w:rsid w:val="24C31569"/>
    <w:rsid w:val="24C9231F"/>
    <w:rsid w:val="24D52D8A"/>
    <w:rsid w:val="24D8019F"/>
    <w:rsid w:val="25377C12"/>
    <w:rsid w:val="25752CBA"/>
    <w:rsid w:val="25902E9C"/>
    <w:rsid w:val="25B0273C"/>
    <w:rsid w:val="25BA31EA"/>
    <w:rsid w:val="25C45619"/>
    <w:rsid w:val="25D45C3E"/>
    <w:rsid w:val="25DD61F7"/>
    <w:rsid w:val="25E81861"/>
    <w:rsid w:val="25FA7758"/>
    <w:rsid w:val="26034EF6"/>
    <w:rsid w:val="260E6047"/>
    <w:rsid w:val="263D5C2C"/>
    <w:rsid w:val="2682292E"/>
    <w:rsid w:val="26AF716B"/>
    <w:rsid w:val="26B57F3A"/>
    <w:rsid w:val="26DD7352"/>
    <w:rsid w:val="27126E5B"/>
    <w:rsid w:val="273079C1"/>
    <w:rsid w:val="27437FDF"/>
    <w:rsid w:val="275B4E31"/>
    <w:rsid w:val="276E7580"/>
    <w:rsid w:val="279E1806"/>
    <w:rsid w:val="279F27E3"/>
    <w:rsid w:val="27C40F6B"/>
    <w:rsid w:val="27ED32A6"/>
    <w:rsid w:val="28031EB8"/>
    <w:rsid w:val="28073099"/>
    <w:rsid w:val="281E11E4"/>
    <w:rsid w:val="28907C53"/>
    <w:rsid w:val="28B92147"/>
    <w:rsid w:val="28E318D4"/>
    <w:rsid w:val="28FB65E3"/>
    <w:rsid w:val="293624BD"/>
    <w:rsid w:val="294D49C5"/>
    <w:rsid w:val="296231D6"/>
    <w:rsid w:val="29B616C2"/>
    <w:rsid w:val="29BA0A21"/>
    <w:rsid w:val="29BB2399"/>
    <w:rsid w:val="29C25B40"/>
    <w:rsid w:val="29DD1F3C"/>
    <w:rsid w:val="2A19597B"/>
    <w:rsid w:val="2A23324E"/>
    <w:rsid w:val="2A5D2A6E"/>
    <w:rsid w:val="2A6C2D68"/>
    <w:rsid w:val="2A6F0AFC"/>
    <w:rsid w:val="2A7439F6"/>
    <w:rsid w:val="2ACE0C31"/>
    <w:rsid w:val="2AD817BE"/>
    <w:rsid w:val="2AFD4EC5"/>
    <w:rsid w:val="2AFF1738"/>
    <w:rsid w:val="2B046437"/>
    <w:rsid w:val="2B1B420B"/>
    <w:rsid w:val="2B376F2C"/>
    <w:rsid w:val="2B417276"/>
    <w:rsid w:val="2B5A5895"/>
    <w:rsid w:val="2B954A46"/>
    <w:rsid w:val="2BAB6731"/>
    <w:rsid w:val="2C1A76C8"/>
    <w:rsid w:val="2C765025"/>
    <w:rsid w:val="2C852F06"/>
    <w:rsid w:val="2C981CCD"/>
    <w:rsid w:val="2C9F53AF"/>
    <w:rsid w:val="2CBA641B"/>
    <w:rsid w:val="2CF80678"/>
    <w:rsid w:val="2D040C32"/>
    <w:rsid w:val="2D0757A6"/>
    <w:rsid w:val="2D982E0B"/>
    <w:rsid w:val="2DA70BA1"/>
    <w:rsid w:val="2DB53B3B"/>
    <w:rsid w:val="2DCB5CD4"/>
    <w:rsid w:val="2DCC44FF"/>
    <w:rsid w:val="2DFC3757"/>
    <w:rsid w:val="2E072654"/>
    <w:rsid w:val="2E3D32FC"/>
    <w:rsid w:val="2E5E1319"/>
    <w:rsid w:val="2E6F38EF"/>
    <w:rsid w:val="2E7F7CB6"/>
    <w:rsid w:val="2EC24EAE"/>
    <w:rsid w:val="2EF13BED"/>
    <w:rsid w:val="2F47109C"/>
    <w:rsid w:val="2F4B2213"/>
    <w:rsid w:val="2F757F47"/>
    <w:rsid w:val="2F8868AA"/>
    <w:rsid w:val="2F8B4DEA"/>
    <w:rsid w:val="2F9075F6"/>
    <w:rsid w:val="2F965A58"/>
    <w:rsid w:val="2F9A594D"/>
    <w:rsid w:val="2FCC4E3E"/>
    <w:rsid w:val="2FF3519E"/>
    <w:rsid w:val="30063164"/>
    <w:rsid w:val="30303517"/>
    <w:rsid w:val="30654C8A"/>
    <w:rsid w:val="307B4A76"/>
    <w:rsid w:val="308E13FA"/>
    <w:rsid w:val="30E15F69"/>
    <w:rsid w:val="311E4999"/>
    <w:rsid w:val="312573D2"/>
    <w:rsid w:val="31300A9C"/>
    <w:rsid w:val="313279B0"/>
    <w:rsid w:val="315313BE"/>
    <w:rsid w:val="31754ADE"/>
    <w:rsid w:val="31785EB2"/>
    <w:rsid w:val="317F3D7D"/>
    <w:rsid w:val="31960D20"/>
    <w:rsid w:val="31A435DE"/>
    <w:rsid w:val="31CD0C24"/>
    <w:rsid w:val="31F0559B"/>
    <w:rsid w:val="31FF60CF"/>
    <w:rsid w:val="322963D4"/>
    <w:rsid w:val="32490EF5"/>
    <w:rsid w:val="324E528F"/>
    <w:rsid w:val="32642296"/>
    <w:rsid w:val="326B085A"/>
    <w:rsid w:val="327407DA"/>
    <w:rsid w:val="32A01606"/>
    <w:rsid w:val="32C94A9C"/>
    <w:rsid w:val="32D040EC"/>
    <w:rsid w:val="32D93D68"/>
    <w:rsid w:val="32E120A3"/>
    <w:rsid w:val="33092D4F"/>
    <w:rsid w:val="332D454F"/>
    <w:rsid w:val="33426DD3"/>
    <w:rsid w:val="334E1463"/>
    <w:rsid w:val="339165C1"/>
    <w:rsid w:val="33C85644"/>
    <w:rsid w:val="33F24A86"/>
    <w:rsid w:val="348E3F5F"/>
    <w:rsid w:val="34A07D70"/>
    <w:rsid w:val="34AE125F"/>
    <w:rsid w:val="34D84426"/>
    <w:rsid w:val="34D85063"/>
    <w:rsid w:val="34F3374B"/>
    <w:rsid w:val="351E283B"/>
    <w:rsid w:val="352548D7"/>
    <w:rsid w:val="352A70A8"/>
    <w:rsid w:val="353C7D70"/>
    <w:rsid w:val="359B5E22"/>
    <w:rsid w:val="359C1AAB"/>
    <w:rsid w:val="35A63D95"/>
    <w:rsid w:val="35AB3B2B"/>
    <w:rsid w:val="35B11597"/>
    <w:rsid w:val="35B27244"/>
    <w:rsid w:val="360B3E62"/>
    <w:rsid w:val="364970DE"/>
    <w:rsid w:val="364E1FAC"/>
    <w:rsid w:val="36503AF9"/>
    <w:rsid w:val="366C02C0"/>
    <w:rsid w:val="367F29FE"/>
    <w:rsid w:val="368439F9"/>
    <w:rsid w:val="36C24DA9"/>
    <w:rsid w:val="36C26B8E"/>
    <w:rsid w:val="36E41E01"/>
    <w:rsid w:val="36FA7861"/>
    <w:rsid w:val="3716362D"/>
    <w:rsid w:val="37197C72"/>
    <w:rsid w:val="3744619F"/>
    <w:rsid w:val="374E03A8"/>
    <w:rsid w:val="375F48B5"/>
    <w:rsid w:val="37797AAB"/>
    <w:rsid w:val="37965565"/>
    <w:rsid w:val="37AC0501"/>
    <w:rsid w:val="38683E4F"/>
    <w:rsid w:val="38710E3F"/>
    <w:rsid w:val="389649C5"/>
    <w:rsid w:val="390632F0"/>
    <w:rsid w:val="390D6E0A"/>
    <w:rsid w:val="3971655D"/>
    <w:rsid w:val="39BA1ADC"/>
    <w:rsid w:val="39F40A57"/>
    <w:rsid w:val="3A735F50"/>
    <w:rsid w:val="3A7F3C52"/>
    <w:rsid w:val="3A8D08BE"/>
    <w:rsid w:val="3AE356EC"/>
    <w:rsid w:val="3AE83416"/>
    <w:rsid w:val="3AE84F21"/>
    <w:rsid w:val="3B1E1277"/>
    <w:rsid w:val="3B241639"/>
    <w:rsid w:val="3B2721CF"/>
    <w:rsid w:val="3B2958E9"/>
    <w:rsid w:val="3B340B10"/>
    <w:rsid w:val="3B4342F2"/>
    <w:rsid w:val="3B705907"/>
    <w:rsid w:val="3BAC54A0"/>
    <w:rsid w:val="3BB450D2"/>
    <w:rsid w:val="3BB51625"/>
    <w:rsid w:val="3BB83A55"/>
    <w:rsid w:val="3BC540CC"/>
    <w:rsid w:val="3BFF5141"/>
    <w:rsid w:val="3C016259"/>
    <w:rsid w:val="3C05702B"/>
    <w:rsid w:val="3C165D77"/>
    <w:rsid w:val="3C70334F"/>
    <w:rsid w:val="3C797D13"/>
    <w:rsid w:val="3C806348"/>
    <w:rsid w:val="3CD2615F"/>
    <w:rsid w:val="3D11205B"/>
    <w:rsid w:val="3D3D55B3"/>
    <w:rsid w:val="3D50398D"/>
    <w:rsid w:val="3D5619DA"/>
    <w:rsid w:val="3D5B6EE5"/>
    <w:rsid w:val="3D604ED5"/>
    <w:rsid w:val="3D7E7136"/>
    <w:rsid w:val="3DE25DB3"/>
    <w:rsid w:val="3DE6670E"/>
    <w:rsid w:val="3DF011BD"/>
    <w:rsid w:val="3E057C83"/>
    <w:rsid w:val="3E1B54E8"/>
    <w:rsid w:val="3E7A463F"/>
    <w:rsid w:val="3E892E66"/>
    <w:rsid w:val="3E925B12"/>
    <w:rsid w:val="3EA71005"/>
    <w:rsid w:val="3EFB0FE0"/>
    <w:rsid w:val="3F0128C7"/>
    <w:rsid w:val="3F12480E"/>
    <w:rsid w:val="3F411A80"/>
    <w:rsid w:val="3F50722A"/>
    <w:rsid w:val="3F645D9C"/>
    <w:rsid w:val="3F7C34BC"/>
    <w:rsid w:val="3F8E1AF4"/>
    <w:rsid w:val="3FA35235"/>
    <w:rsid w:val="3FA54560"/>
    <w:rsid w:val="3FB10B8E"/>
    <w:rsid w:val="3FCB2B69"/>
    <w:rsid w:val="3FFD4490"/>
    <w:rsid w:val="400F7221"/>
    <w:rsid w:val="405A34BE"/>
    <w:rsid w:val="40650AB8"/>
    <w:rsid w:val="406D2075"/>
    <w:rsid w:val="40905D53"/>
    <w:rsid w:val="409D2669"/>
    <w:rsid w:val="40A73A11"/>
    <w:rsid w:val="40C35C54"/>
    <w:rsid w:val="40D50F73"/>
    <w:rsid w:val="40E765BD"/>
    <w:rsid w:val="410D6E30"/>
    <w:rsid w:val="41412351"/>
    <w:rsid w:val="414E6719"/>
    <w:rsid w:val="416D4D8C"/>
    <w:rsid w:val="417A46D4"/>
    <w:rsid w:val="41904DF6"/>
    <w:rsid w:val="419345E1"/>
    <w:rsid w:val="41940CDA"/>
    <w:rsid w:val="41AA2509"/>
    <w:rsid w:val="41B16EBC"/>
    <w:rsid w:val="41CF0BCF"/>
    <w:rsid w:val="41D427C4"/>
    <w:rsid w:val="41E04248"/>
    <w:rsid w:val="41FE0C24"/>
    <w:rsid w:val="42042CCA"/>
    <w:rsid w:val="42812A86"/>
    <w:rsid w:val="42B56350"/>
    <w:rsid w:val="43104C13"/>
    <w:rsid w:val="432C5504"/>
    <w:rsid w:val="43365770"/>
    <w:rsid w:val="43482809"/>
    <w:rsid w:val="43727FC7"/>
    <w:rsid w:val="43794BD1"/>
    <w:rsid w:val="439006C3"/>
    <w:rsid w:val="43934B60"/>
    <w:rsid w:val="447830A7"/>
    <w:rsid w:val="44C409AF"/>
    <w:rsid w:val="44C72CAA"/>
    <w:rsid w:val="44CB6471"/>
    <w:rsid w:val="44D70159"/>
    <w:rsid w:val="4504471C"/>
    <w:rsid w:val="45263750"/>
    <w:rsid w:val="4567448A"/>
    <w:rsid w:val="45791C6C"/>
    <w:rsid w:val="45974ABD"/>
    <w:rsid w:val="45D05F89"/>
    <w:rsid w:val="45FE57BF"/>
    <w:rsid w:val="460008CE"/>
    <w:rsid w:val="46107943"/>
    <w:rsid w:val="46212412"/>
    <w:rsid w:val="462430DE"/>
    <w:rsid w:val="464C4022"/>
    <w:rsid w:val="46916921"/>
    <w:rsid w:val="46A301C2"/>
    <w:rsid w:val="46A54CB5"/>
    <w:rsid w:val="46A83331"/>
    <w:rsid w:val="46B215A3"/>
    <w:rsid w:val="46C36755"/>
    <w:rsid w:val="46D027AA"/>
    <w:rsid w:val="47092F16"/>
    <w:rsid w:val="47396823"/>
    <w:rsid w:val="476D5EBB"/>
    <w:rsid w:val="47711558"/>
    <w:rsid w:val="47723768"/>
    <w:rsid w:val="479335DE"/>
    <w:rsid w:val="47C57487"/>
    <w:rsid w:val="47D9353C"/>
    <w:rsid w:val="47E54F55"/>
    <w:rsid w:val="47FA3E97"/>
    <w:rsid w:val="47FE50D5"/>
    <w:rsid w:val="483337FA"/>
    <w:rsid w:val="48961FF5"/>
    <w:rsid w:val="48A25DD0"/>
    <w:rsid w:val="48DD2962"/>
    <w:rsid w:val="48EF5006"/>
    <w:rsid w:val="49490BB1"/>
    <w:rsid w:val="494B36B3"/>
    <w:rsid w:val="495D583C"/>
    <w:rsid w:val="49692915"/>
    <w:rsid w:val="49755AE6"/>
    <w:rsid w:val="499769D5"/>
    <w:rsid w:val="49EC1E5C"/>
    <w:rsid w:val="4A3847B0"/>
    <w:rsid w:val="4A3F772C"/>
    <w:rsid w:val="4A492B02"/>
    <w:rsid w:val="4A584C12"/>
    <w:rsid w:val="4A6603DD"/>
    <w:rsid w:val="4A6E7668"/>
    <w:rsid w:val="4ABC719B"/>
    <w:rsid w:val="4AD41D2E"/>
    <w:rsid w:val="4B01163C"/>
    <w:rsid w:val="4B040E73"/>
    <w:rsid w:val="4B054806"/>
    <w:rsid w:val="4B143A05"/>
    <w:rsid w:val="4B323DAD"/>
    <w:rsid w:val="4B347A3C"/>
    <w:rsid w:val="4B360F10"/>
    <w:rsid w:val="4B6C0448"/>
    <w:rsid w:val="4B911AF6"/>
    <w:rsid w:val="4B992729"/>
    <w:rsid w:val="4BB66672"/>
    <w:rsid w:val="4BF14E5C"/>
    <w:rsid w:val="4BF6455A"/>
    <w:rsid w:val="4C2B121D"/>
    <w:rsid w:val="4C2C72E7"/>
    <w:rsid w:val="4C6A36A5"/>
    <w:rsid w:val="4CB2203E"/>
    <w:rsid w:val="4CE42BD3"/>
    <w:rsid w:val="4D221A5E"/>
    <w:rsid w:val="4D2F1ADF"/>
    <w:rsid w:val="4D397E04"/>
    <w:rsid w:val="4D5B3007"/>
    <w:rsid w:val="4D6604E2"/>
    <w:rsid w:val="4D83282D"/>
    <w:rsid w:val="4D850510"/>
    <w:rsid w:val="4D8D0FDD"/>
    <w:rsid w:val="4DB91463"/>
    <w:rsid w:val="4DD26CD8"/>
    <w:rsid w:val="4DE16570"/>
    <w:rsid w:val="4E257ADB"/>
    <w:rsid w:val="4E36503C"/>
    <w:rsid w:val="4E663FE6"/>
    <w:rsid w:val="4E7D306C"/>
    <w:rsid w:val="4EBC4081"/>
    <w:rsid w:val="4ED02D42"/>
    <w:rsid w:val="4EE36998"/>
    <w:rsid w:val="4F377CE8"/>
    <w:rsid w:val="4F42117D"/>
    <w:rsid w:val="4F48599F"/>
    <w:rsid w:val="4F4F2BC1"/>
    <w:rsid w:val="4F604C84"/>
    <w:rsid w:val="4F7A0880"/>
    <w:rsid w:val="4F920523"/>
    <w:rsid w:val="4F96706C"/>
    <w:rsid w:val="4FA060F5"/>
    <w:rsid w:val="4FC915F8"/>
    <w:rsid w:val="50421741"/>
    <w:rsid w:val="504E4277"/>
    <w:rsid w:val="506F3038"/>
    <w:rsid w:val="50952DF2"/>
    <w:rsid w:val="50E517A3"/>
    <w:rsid w:val="50EA74A0"/>
    <w:rsid w:val="50ED69D9"/>
    <w:rsid w:val="50F07683"/>
    <w:rsid w:val="512B3E20"/>
    <w:rsid w:val="51316332"/>
    <w:rsid w:val="515854D8"/>
    <w:rsid w:val="516C70A1"/>
    <w:rsid w:val="52372CD0"/>
    <w:rsid w:val="523875ED"/>
    <w:rsid w:val="524D39E2"/>
    <w:rsid w:val="526826F8"/>
    <w:rsid w:val="5302247A"/>
    <w:rsid w:val="53315390"/>
    <w:rsid w:val="533A5121"/>
    <w:rsid w:val="53425BB0"/>
    <w:rsid w:val="534B0C47"/>
    <w:rsid w:val="5360776D"/>
    <w:rsid w:val="537261AA"/>
    <w:rsid w:val="53E411F3"/>
    <w:rsid w:val="544D59FD"/>
    <w:rsid w:val="546A6B00"/>
    <w:rsid w:val="54B10B69"/>
    <w:rsid w:val="54CC5E71"/>
    <w:rsid w:val="54D357A1"/>
    <w:rsid w:val="54FE79E1"/>
    <w:rsid w:val="550479F9"/>
    <w:rsid w:val="550C6573"/>
    <w:rsid w:val="554054D5"/>
    <w:rsid w:val="5565242B"/>
    <w:rsid w:val="558B0EF2"/>
    <w:rsid w:val="55CE2AFD"/>
    <w:rsid w:val="56195DC5"/>
    <w:rsid w:val="56205935"/>
    <w:rsid w:val="5671771B"/>
    <w:rsid w:val="569F5204"/>
    <w:rsid w:val="56A40F80"/>
    <w:rsid w:val="56E30A23"/>
    <w:rsid w:val="56F805D3"/>
    <w:rsid w:val="56F9482C"/>
    <w:rsid w:val="57241211"/>
    <w:rsid w:val="572F2122"/>
    <w:rsid w:val="5732282D"/>
    <w:rsid w:val="57513E3C"/>
    <w:rsid w:val="575E71D1"/>
    <w:rsid w:val="57656AAF"/>
    <w:rsid w:val="57780285"/>
    <w:rsid w:val="57895841"/>
    <w:rsid w:val="57CB7122"/>
    <w:rsid w:val="580206F4"/>
    <w:rsid w:val="580F49BF"/>
    <w:rsid w:val="581F69C6"/>
    <w:rsid w:val="585A23CE"/>
    <w:rsid w:val="58BB51AE"/>
    <w:rsid w:val="58C25495"/>
    <w:rsid w:val="58C67724"/>
    <w:rsid w:val="58F74373"/>
    <w:rsid w:val="59131FEC"/>
    <w:rsid w:val="591C2CC7"/>
    <w:rsid w:val="592B2BC8"/>
    <w:rsid w:val="592E62EE"/>
    <w:rsid w:val="5932697F"/>
    <w:rsid w:val="5945570A"/>
    <w:rsid w:val="597746E4"/>
    <w:rsid w:val="59843CBF"/>
    <w:rsid w:val="598A1022"/>
    <w:rsid w:val="59B44E5D"/>
    <w:rsid w:val="59B93578"/>
    <w:rsid w:val="59C60319"/>
    <w:rsid w:val="5A0A7C1A"/>
    <w:rsid w:val="5A4A27BF"/>
    <w:rsid w:val="5A4A7AA9"/>
    <w:rsid w:val="5A5528A4"/>
    <w:rsid w:val="5A636A25"/>
    <w:rsid w:val="5A795462"/>
    <w:rsid w:val="5ACE14FA"/>
    <w:rsid w:val="5AE27334"/>
    <w:rsid w:val="5B314B9C"/>
    <w:rsid w:val="5B4F5494"/>
    <w:rsid w:val="5B5267B9"/>
    <w:rsid w:val="5B5F034D"/>
    <w:rsid w:val="5B64318C"/>
    <w:rsid w:val="5B7A2A80"/>
    <w:rsid w:val="5B9E5C51"/>
    <w:rsid w:val="5BBD57F6"/>
    <w:rsid w:val="5BC05588"/>
    <w:rsid w:val="5BD42E24"/>
    <w:rsid w:val="5BE21F66"/>
    <w:rsid w:val="5BE83A34"/>
    <w:rsid w:val="5BFB37A6"/>
    <w:rsid w:val="5C240C7B"/>
    <w:rsid w:val="5C820757"/>
    <w:rsid w:val="5C8D51F6"/>
    <w:rsid w:val="5C995DD4"/>
    <w:rsid w:val="5CA223D5"/>
    <w:rsid w:val="5CA52AF5"/>
    <w:rsid w:val="5CB963A2"/>
    <w:rsid w:val="5CC41C0D"/>
    <w:rsid w:val="5CCE1A7B"/>
    <w:rsid w:val="5CE42D12"/>
    <w:rsid w:val="5D2006AE"/>
    <w:rsid w:val="5D5D7AEC"/>
    <w:rsid w:val="5DB07B64"/>
    <w:rsid w:val="5DCB6CDF"/>
    <w:rsid w:val="5DDE2965"/>
    <w:rsid w:val="5DE55D4F"/>
    <w:rsid w:val="5DF24F34"/>
    <w:rsid w:val="5E034481"/>
    <w:rsid w:val="5E0B635A"/>
    <w:rsid w:val="5E1F1A63"/>
    <w:rsid w:val="5E2211CE"/>
    <w:rsid w:val="5E294CEB"/>
    <w:rsid w:val="5E4328A5"/>
    <w:rsid w:val="5EA11D24"/>
    <w:rsid w:val="5ED02091"/>
    <w:rsid w:val="5ED02A30"/>
    <w:rsid w:val="5EDA33BF"/>
    <w:rsid w:val="5EF54261"/>
    <w:rsid w:val="5EF66F80"/>
    <w:rsid w:val="5EFD3DCB"/>
    <w:rsid w:val="5F1131A8"/>
    <w:rsid w:val="5F323D85"/>
    <w:rsid w:val="5F36796D"/>
    <w:rsid w:val="5F5919A6"/>
    <w:rsid w:val="5F667E1E"/>
    <w:rsid w:val="5F82440E"/>
    <w:rsid w:val="5F895057"/>
    <w:rsid w:val="5F940A3E"/>
    <w:rsid w:val="5FE408D5"/>
    <w:rsid w:val="60210B27"/>
    <w:rsid w:val="603C0211"/>
    <w:rsid w:val="605C661D"/>
    <w:rsid w:val="60864E22"/>
    <w:rsid w:val="60992FAF"/>
    <w:rsid w:val="610B3038"/>
    <w:rsid w:val="6157463B"/>
    <w:rsid w:val="617E4947"/>
    <w:rsid w:val="618C3680"/>
    <w:rsid w:val="619157A0"/>
    <w:rsid w:val="619E2D61"/>
    <w:rsid w:val="61AD7FAC"/>
    <w:rsid w:val="61B9082C"/>
    <w:rsid w:val="61BC5F9F"/>
    <w:rsid w:val="61E613BA"/>
    <w:rsid w:val="620039AE"/>
    <w:rsid w:val="62012E19"/>
    <w:rsid w:val="620C4DF8"/>
    <w:rsid w:val="62552691"/>
    <w:rsid w:val="62D754D9"/>
    <w:rsid w:val="62FE72D8"/>
    <w:rsid w:val="632259C4"/>
    <w:rsid w:val="63263D0D"/>
    <w:rsid w:val="634D2D5C"/>
    <w:rsid w:val="63632B45"/>
    <w:rsid w:val="6373260F"/>
    <w:rsid w:val="63856413"/>
    <w:rsid w:val="6398636D"/>
    <w:rsid w:val="63A11678"/>
    <w:rsid w:val="63AD54D7"/>
    <w:rsid w:val="63D201A3"/>
    <w:rsid w:val="63DF6D3D"/>
    <w:rsid w:val="63EA0CDB"/>
    <w:rsid w:val="64003D27"/>
    <w:rsid w:val="643162E2"/>
    <w:rsid w:val="643F5148"/>
    <w:rsid w:val="644763D7"/>
    <w:rsid w:val="64505A3F"/>
    <w:rsid w:val="646E04C5"/>
    <w:rsid w:val="647B0FBF"/>
    <w:rsid w:val="649548FB"/>
    <w:rsid w:val="64AD388C"/>
    <w:rsid w:val="64B60830"/>
    <w:rsid w:val="64D81CF5"/>
    <w:rsid w:val="65074CD5"/>
    <w:rsid w:val="653603C7"/>
    <w:rsid w:val="65420BAE"/>
    <w:rsid w:val="65520C3E"/>
    <w:rsid w:val="655A46D1"/>
    <w:rsid w:val="65863C10"/>
    <w:rsid w:val="65A45561"/>
    <w:rsid w:val="65CD26FD"/>
    <w:rsid w:val="661D19EB"/>
    <w:rsid w:val="66324275"/>
    <w:rsid w:val="66582833"/>
    <w:rsid w:val="667557A4"/>
    <w:rsid w:val="668A04C6"/>
    <w:rsid w:val="669F5C50"/>
    <w:rsid w:val="66C66E69"/>
    <w:rsid w:val="66D54EF8"/>
    <w:rsid w:val="66DE5DE7"/>
    <w:rsid w:val="66E9246C"/>
    <w:rsid w:val="673D3AD3"/>
    <w:rsid w:val="6768262C"/>
    <w:rsid w:val="676A2EE8"/>
    <w:rsid w:val="676E3F85"/>
    <w:rsid w:val="67A56260"/>
    <w:rsid w:val="67AA791C"/>
    <w:rsid w:val="681253D0"/>
    <w:rsid w:val="6839668C"/>
    <w:rsid w:val="68464F3B"/>
    <w:rsid w:val="684A64D9"/>
    <w:rsid w:val="68541290"/>
    <w:rsid w:val="685A6D95"/>
    <w:rsid w:val="689B44E8"/>
    <w:rsid w:val="68A32F09"/>
    <w:rsid w:val="68B94F59"/>
    <w:rsid w:val="68C0194D"/>
    <w:rsid w:val="68C65D6E"/>
    <w:rsid w:val="68DA5ADD"/>
    <w:rsid w:val="68DC1A4F"/>
    <w:rsid w:val="68E074F0"/>
    <w:rsid w:val="68F2680E"/>
    <w:rsid w:val="690130BC"/>
    <w:rsid w:val="69107A14"/>
    <w:rsid w:val="6924250F"/>
    <w:rsid w:val="69271690"/>
    <w:rsid w:val="694C0E55"/>
    <w:rsid w:val="6959691A"/>
    <w:rsid w:val="696033A5"/>
    <w:rsid w:val="696533DD"/>
    <w:rsid w:val="696973C3"/>
    <w:rsid w:val="696F027E"/>
    <w:rsid w:val="698E4AF7"/>
    <w:rsid w:val="69981196"/>
    <w:rsid w:val="69A16F46"/>
    <w:rsid w:val="69C55233"/>
    <w:rsid w:val="69EB0D20"/>
    <w:rsid w:val="6A17696A"/>
    <w:rsid w:val="6A221C7B"/>
    <w:rsid w:val="6A446202"/>
    <w:rsid w:val="6A624D6D"/>
    <w:rsid w:val="6A6B4EAC"/>
    <w:rsid w:val="6A8C667E"/>
    <w:rsid w:val="6A932B4B"/>
    <w:rsid w:val="6AE866A8"/>
    <w:rsid w:val="6AF619D0"/>
    <w:rsid w:val="6B0146A4"/>
    <w:rsid w:val="6B051D29"/>
    <w:rsid w:val="6B087F5F"/>
    <w:rsid w:val="6B472C23"/>
    <w:rsid w:val="6B676306"/>
    <w:rsid w:val="6B6D718E"/>
    <w:rsid w:val="6B711B7A"/>
    <w:rsid w:val="6BAD0F60"/>
    <w:rsid w:val="6BC8556D"/>
    <w:rsid w:val="6BCA3A86"/>
    <w:rsid w:val="6BD43669"/>
    <w:rsid w:val="6BE8725E"/>
    <w:rsid w:val="6C152647"/>
    <w:rsid w:val="6C156D2D"/>
    <w:rsid w:val="6C187585"/>
    <w:rsid w:val="6C255D33"/>
    <w:rsid w:val="6C2F6077"/>
    <w:rsid w:val="6C3345BF"/>
    <w:rsid w:val="6C6608D6"/>
    <w:rsid w:val="6C7D5484"/>
    <w:rsid w:val="6C9852E5"/>
    <w:rsid w:val="6C992705"/>
    <w:rsid w:val="6CD858AC"/>
    <w:rsid w:val="6CFA7D7F"/>
    <w:rsid w:val="6D300614"/>
    <w:rsid w:val="6D66521C"/>
    <w:rsid w:val="6D6F33E7"/>
    <w:rsid w:val="6D8B1B8B"/>
    <w:rsid w:val="6D8D7A35"/>
    <w:rsid w:val="6D9C0509"/>
    <w:rsid w:val="6DBD1347"/>
    <w:rsid w:val="6E2A7591"/>
    <w:rsid w:val="6E4F523E"/>
    <w:rsid w:val="6E5729A2"/>
    <w:rsid w:val="6E583A1F"/>
    <w:rsid w:val="6EA60539"/>
    <w:rsid w:val="6EAA495D"/>
    <w:rsid w:val="6EAB742B"/>
    <w:rsid w:val="6EAE1C55"/>
    <w:rsid w:val="6EB0558D"/>
    <w:rsid w:val="6EC6113E"/>
    <w:rsid w:val="6EC97476"/>
    <w:rsid w:val="6EFF1080"/>
    <w:rsid w:val="6F170E2C"/>
    <w:rsid w:val="6F1C670B"/>
    <w:rsid w:val="6F213326"/>
    <w:rsid w:val="6F3A22A7"/>
    <w:rsid w:val="6F45287E"/>
    <w:rsid w:val="6F68200A"/>
    <w:rsid w:val="6FFA1CBF"/>
    <w:rsid w:val="70531535"/>
    <w:rsid w:val="708456B8"/>
    <w:rsid w:val="70917AF9"/>
    <w:rsid w:val="70B774A0"/>
    <w:rsid w:val="70BF0D6E"/>
    <w:rsid w:val="70DD0FE4"/>
    <w:rsid w:val="70E01DD1"/>
    <w:rsid w:val="71146B51"/>
    <w:rsid w:val="71147230"/>
    <w:rsid w:val="71161C74"/>
    <w:rsid w:val="71576813"/>
    <w:rsid w:val="71597165"/>
    <w:rsid w:val="717256AD"/>
    <w:rsid w:val="718544F1"/>
    <w:rsid w:val="71976406"/>
    <w:rsid w:val="71AD1A11"/>
    <w:rsid w:val="71DE2066"/>
    <w:rsid w:val="71E95523"/>
    <w:rsid w:val="720A152D"/>
    <w:rsid w:val="721809F9"/>
    <w:rsid w:val="721F1D01"/>
    <w:rsid w:val="7222649A"/>
    <w:rsid w:val="725B38DA"/>
    <w:rsid w:val="728C3229"/>
    <w:rsid w:val="72D11304"/>
    <w:rsid w:val="730C4186"/>
    <w:rsid w:val="7341102A"/>
    <w:rsid w:val="736B0572"/>
    <w:rsid w:val="737974C3"/>
    <w:rsid w:val="73A17E6A"/>
    <w:rsid w:val="73E16D57"/>
    <w:rsid w:val="73EE0AE6"/>
    <w:rsid w:val="73F00318"/>
    <w:rsid w:val="7453624B"/>
    <w:rsid w:val="746049BA"/>
    <w:rsid w:val="74874E5A"/>
    <w:rsid w:val="74A227F4"/>
    <w:rsid w:val="74A2568B"/>
    <w:rsid w:val="74BA5E3A"/>
    <w:rsid w:val="74C47F76"/>
    <w:rsid w:val="74D145AA"/>
    <w:rsid w:val="74EB6AD9"/>
    <w:rsid w:val="74FD32BB"/>
    <w:rsid w:val="75190802"/>
    <w:rsid w:val="753D4FBB"/>
    <w:rsid w:val="754E3DD7"/>
    <w:rsid w:val="7573132B"/>
    <w:rsid w:val="757934F0"/>
    <w:rsid w:val="75C80FD3"/>
    <w:rsid w:val="75DC3A8B"/>
    <w:rsid w:val="76021882"/>
    <w:rsid w:val="76160679"/>
    <w:rsid w:val="761715C6"/>
    <w:rsid w:val="76292F0B"/>
    <w:rsid w:val="764E3B0D"/>
    <w:rsid w:val="766574D1"/>
    <w:rsid w:val="767C3DB4"/>
    <w:rsid w:val="768F2CE9"/>
    <w:rsid w:val="76DE1045"/>
    <w:rsid w:val="771463D1"/>
    <w:rsid w:val="774A39DA"/>
    <w:rsid w:val="776C147A"/>
    <w:rsid w:val="77777CEB"/>
    <w:rsid w:val="779B02BA"/>
    <w:rsid w:val="77B510F4"/>
    <w:rsid w:val="77B6114F"/>
    <w:rsid w:val="77CA4292"/>
    <w:rsid w:val="77D64484"/>
    <w:rsid w:val="77E922B4"/>
    <w:rsid w:val="78081990"/>
    <w:rsid w:val="781A58E7"/>
    <w:rsid w:val="78261095"/>
    <w:rsid w:val="7833145C"/>
    <w:rsid w:val="786258A4"/>
    <w:rsid w:val="787A60AB"/>
    <w:rsid w:val="7888291A"/>
    <w:rsid w:val="78CE1FD7"/>
    <w:rsid w:val="78D0463B"/>
    <w:rsid w:val="7906595E"/>
    <w:rsid w:val="7917686A"/>
    <w:rsid w:val="791E3482"/>
    <w:rsid w:val="792D7194"/>
    <w:rsid w:val="794B7201"/>
    <w:rsid w:val="795B0ABE"/>
    <w:rsid w:val="795E1C60"/>
    <w:rsid w:val="798B1783"/>
    <w:rsid w:val="79B2108A"/>
    <w:rsid w:val="7A3D307F"/>
    <w:rsid w:val="7A417E6A"/>
    <w:rsid w:val="7A92024C"/>
    <w:rsid w:val="7A98347A"/>
    <w:rsid w:val="7AA222D1"/>
    <w:rsid w:val="7AC04CFC"/>
    <w:rsid w:val="7ADD255F"/>
    <w:rsid w:val="7B0B5BD1"/>
    <w:rsid w:val="7B7C48B4"/>
    <w:rsid w:val="7B89511A"/>
    <w:rsid w:val="7B930658"/>
    <w:rsid w:val="7BA53398"/>
    <w:rsid w:val="7BC71689"/>
    <w:rsid w:val="7BE20360"/>
    <w:rsid w:val="7C1A1A2B"/>
    <w:rsid w:val="7C435CA9"/>
    <w:rsid w:val="7C78688F"/>
    <w:rsid w:val="7C867510"/>
    <w:rsid w:val="7CF01DBB"/>
    <w:rsid w:val="7CF510C4"/>
    <w:rsid w:val="7D21376C"/>
    <w:rsid w:val="7D622331"/>
    <w:rsid w:val="7D8B198E"/>
    <w:rsid w:val="7D934831"/>
    <w:rsid w:val="7DD75B87"/>
    <w:rsid w:val="7DFC7E2B"/>
    <w:rsid w:val="7E122B46"/>
    <w:rsid w:val="7E262275"/>
    <w:rsid w:val="7E2676D0"/>
    <w:rsid w:val="7E2D6854"/>
    <w:rsid w:val="7E4F73AA"/>
    <w:rsid w:val="7E654A6D"/>
    <w:rsid w:val="7E74200D"/>
    <w:rsid w:val="7E7B6F9A"/>
    <w:rsid w:val="7E9A1AD9"/>
    <w:rsid w:val="7EA22277"/>
    <w:rsid w:val="7EC63541"/>
    <w:rsid w:val="7EED4B13"/>
    <w:rsid w:val="7F8B1A78"/>
    <w:rsid w:val="7FA418D8"/>
    <w:rsid w:val="7FA92784"/>
    <w:rsid w:val="7FB0152D"/>
    <w:rsid w:val="7FDD570F"/>
    <w:rsid w:val="7FF00F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99" w:name="HTML Code"/>
    <w:lsdException w:qFormat="1" w:unhideWhenUsed="0" w:uiPriority="99" w:name="HTML Definition"/>
    <w:lsdException w:qFormat="1" w:unhideWhenUsed="0" w:uiPriority="99" w:name="HTML Keyboard"/>
    <w:lsdException w:uiPriority="99" w:name="HTML Preformatted"/>
    <w:lsdException w:qFormat="1" w:unhideWhenUsed="0"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szCs w:val="21"/>
      <w:lang w:val="en-US" w:eastAsia="zh-CN" w:bidi="ar-SA"/>
    </w:rPr>
  </w:style>
  <w:style w:type="paragraph" w:styleId="4">
    <w:name w:val="heading 1"/>
    <w:basedOn w:val="1"/>
    <w:next w:val="1"/>
    <w:link w:val="33"/>
    <w:qFormat/>
    <w:uiPriority w:val="99"/>
    <w:pPr>
      <w:keepNext/>
      <w:keepLines/>
      <w:spacing w:before="120" w:after="120"/>
      <w:jc w:val="center"/>
      <w:outlineLvl w:val="0"/>
    </w:pPr>
    <w:rPr>
      <w:rFonts w:ascii="Calibri" w:hAnsi="Calibri" w:cs="Calibri"/>
      <w:b/>
      <w:bCs/>
      <w:kern w:val="44"/>
      <w:sz w:val="44"/>
      <w:szCs w:val="44"/>
    </w:rPr>
  </w:style>
  <w:style w:type="paragraph" w:styleId="5">
    <w:name w:val="heading 2"/>
    <w:basedOn w:val="1"/>
    <w:next w:val="1"/>
    <w:link w:val="34"/>
    <w:qFormat/>
    <w:uiPriority w:val="99"/>
    <w:pPr>
      <w:keepNext/>
      <w:keepLines/>
      <w:spacing w:before="140" w:after="140" w:line="413" w:lineRule="auto"/>
      <w:jc w:val="center"/>
      <w:outlineLvl w:val="1"/>
    </w:pPr>
    <w:rPr>
      <w:rFonts w:ascii="Arial" w:hAnsi="Arial" w:cs="Arial"/>
      <w:b/>
      <w:bCs/>
      <w:sz w:val="28"/>
      <w:szCs w:val="28"/>
    </w:rPr>
  </w:style>
  <w:style w:type="paragraph" w:styleId="6">
    <w:name w:val="heading 4"/>
    <w:basedOn w:val="1"/>
    <w:next w:val="1"/>
    <w:link w:val="35"/>
    <w:qFormat/>
    <w:uiPriority w:val="99"/>
    <w:pPr>
      <w:keepNext/>
      <w:keepLines/>
      <w:outlineLvl w:val="3"/>
    </w:pPr>
    <w:rPr>
      <w:rFonts w:ascii="Arial" w:hAnsi="Arial" w:eastAsia="黑体" w:cs="Arial"/>
      <w:kern w:val="0"/>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46"/>
    <w:qFormat/>
    <w:uiPriority w:val="99"/>
    <w:pPr>
      <w:spacing w:after="120"/>
      <w:ind w:firstLine="420" w:firstLineChars="100"/>
    </w:pPr>
  </w:style>
  <w:style w:type="paragraph" w:styleId="3">
    <w:name w:val="Body Text"/>
    <w:basedOn w:val="1"/>
    <w:next w:val="1"/>
    <w:link w:val="38"/>
    <w:qFormat/>
    <w:uiPriority w:val="99"/>
    <w:pPr>
      <w:spacing w:line="360" w:lineRule="auto"/>
      <w:ind w:firstLine="562" w:firstLineChars="200"/>
      <w:jc w:val="center"/>
    </w:pPr>
    <w:rPr>
      <w:rFonts w:eastAsia="宋体"/>
      <w:sz w:val="24"/>
      <w:szCs w:val="24"/>
    </w:rPr>
  </w:style>
  <w:style w:type="paragraph" w:styleId="7">
    <w:name w:val="Document Map"/>
    <w:basedOn w:val="1"/>
    <w:link w:val="36"/>
    <w:semiHidden/>
    <w:qFormat/>
    <w:uiPriority w:val="99"/>
    <w:rPr>
      <w:rFonts w:ascii="宋体" w:hAnsi="Calibri" w:eastAsia="宋体" w:cs="宋体"/>
      <w:sz w:val="18"/>
      <w:szCs w:val="18"/>
    </w:rPr>
  </w:style>
  <w:style w:type="paragraph" w:styleId="8">
    <w:name w:val="toa heading"/>
    <w:basedOn w:val="1"/>
    <w:next w:val="1"/>
    <w:semiHidden/>
    <w:qFormat/>
    <w:uiPriority w:val="99"/>
    <w:rPr>
      <w:rFonts w:ascii="Arial" w:hAnsi="Arial" w:cs="Arial"/>
      <w:sz w:val="24"/>
      <w:szCs w:val="24"/>
    </w:rPr>
  </w:style>
  <w:style w:type="paragraph" w:styleId="9">
    <w:name w:val="annotation text"/>
    <w:basedOn w:val="1"/>
    <w:link w:val="37"/>
    <w:semiHidden/>
    <w:qFormat/>
    <w:uiPriority w:val="99"/>
    <w:pPr>
      <w:jc w:val="left"/>
    </w:pPr>
    <w:rPr>
      <w:rFonts w:ascii="Calibri" w:hAnsi="Calibri" w:cs="Calibri"/>
    </w:rPr>
  </w:style>
  <w:style w:type="paragraph" w:styleId="10">
    <w:name w:val="Body Text Indent"/>
    <w:basedOn w:val="1"/>
    <w:next w:val="1"/>
    <w:qFormat/>
    <w:uiPriority w:val="0"/>
    <w:pPr>
      <w:spacing w:line="360" w:lineRule="auto"/>
      <w:ind w:firstLine="480" w:firstLineChars="200"/>
    </w:pPr>
    <w:rPr>
      <w:rFonts w:ascii="宋体"/>
      <w:sz w:val="24"/>
      <w:szCs w:val="20"/>
    </w:rPr>
  </w:style>
  <w:style w:type="paragraph" w:styleId="11">
    <w:name w:val="Plain Text"/>
    <w:basedOn w:val="1"/>
    <w:link w:val="39"/>
    <w:qFormat/>
    <w:uiPriority w:val="99"/>
    <w:rPr>
      <w:rFonts w:ascii="宋体" w:hAnsi="Courier New" w:cs="宋体"/>
    </w:rPr>
  </w:style>
  <w:style w:type="paragraph" w:styleId="12">
    <w:name w:val="Date"/>
    <w:basedOn w:val="1"/>
    <w:next w:val="1"/>
    <w:link w:val="40"/>
    <w:qFormat/>
    <w:uiPriority w:val="99"/>
    <w:pPr>
      <w:ind w:left="100" w:leftChars="2500"/>
    </w:pPr>
  </w:style>
  <w:style w:type="paragraph" w:styleId="13">
    <w:name w:val="Balloon Text"/>
    <w:basedOn w:val="1"/>
    <w:link w:val="41"/>
    <w:semiHidden/>
    <w:qFormat/>
    <w:uiPriority w:val="99"/>
    <w:rPr>
      <w:rFonts w:ascii="Calibri" w:hAnsi="Calibri" w:cs="Calibri"/>
      <w:sz w:val="18"/>
      <w:szCs w:val="18"/>
    </w:rPr>
  </w:style>
  <w:style w:type="paragraph" w:styleId="14">
    <w:name w:val="footer"/>
    <w:basedOn w:val="1"/>
    <w:link w:val="42"/>
    <w:qFormat/>
    <w:uiPriority w:val="99"/>
    <w:pPr>
      <w:tabs>
        <w:tab w:val="center" w:pos="4153"/>
        <w:tab w:val="right" w:pos="8306"/>
      </w:tabs>
      <w:snapToGrid w:val="0"/>
      <w:jc w:val="left"/>
    </w:pPr>
    <w:rPr>
      <w:sz w:val="18"/>
      <w:szCs w:val="18"/>
    </w:rPr>
  </w:style>
  <w:style w:type="paragraph" w:styleId="15">
    <w:name w:val="header"/>
    <w:basedOn w:val="1"/>
    <w:link w:val="4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6">
    <w:name w:val="toc 1"/>
    <w:basedOn w:val="1"/>
    <w:next w:val="1"/>
    <w:unhideWhenUsed/>
    <w:qFormat/>
    <w:locked/>
    <w:uiPriority w:val="39"/>
  </w:style>
  <w:style w:type="paragraph" w:styleId="17">
    <w:name w:val="Body Text 2"/>
    <w:basedOn w:val="1"/>
    <w:link w:val="44"/>
    <w:qFormat/>
    <w:uiPriority w:val="99"/>
    <w:pPr>
      <w:spacing w:after="120" w:line="480" w:lineRule="auto"/>
    </w:pPr>
  </w:style>
  <w:style w:type="paragraph" w:styleId="1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annotation subject"/>
    <w:basedOn w:val="9"/>
    <w:next w:val="9"/>
    <w:link w:val="45"/>
    <w:semiHidden/>
    <w:qFormat/>
    <w:uiPriority w:val="99"/>
    <w:rPr>
      <w:b/>
      <w:bCs/>
    </w:rPr>
  </w:style>
  <w:style w:type="paragraph" w:styleId="20">
    <w:name w:val="Body Text First Indent 2"/>
    <w:basedOn w:val="10"/>
    <w:qFormat/>
    <w:uiPriority w:val="0"/>
    <w:pPr>
      <w:adjustRightInd w:val="0"/>
      <w:spacing w:line="520" w:lineRule="exact"/>
      <w:ind w:firstLine="210"/>
      <w:textAlignment w:val="baseline"/>
    </w:pPr>
    <w:rPr>
      <w:rFonts w:ascii="黑体" w:hAnsi="Arial" w:eastAsia="黑体"/>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99"/>
    <w:rPr>
      <w:b/>
      <w:bCs/>
    </w:rPr>
  </w:style>
  <w:style w:type="character" w:styleId="25">
    <w:name w:val="FollowedHyperlink"/>
    <w:basedOn w:val="23"/>
    <w:semiHidden/>
    <w:qFormat/>
    <w:uiPriority w:val="99"/>
    <w:rPr>
      <w:color w:val="auto"/>
      <w:u w:val="none"/>
    </w:rPr>
  </w:style>
  <w:style w:type="character" w:styleId="26">
    <w:name w:val="HTML Definition"/>
    <w:basedOn w:val="23"/>
    <w:semiHidden/>
    <w:qFormat/>
    <w:uiPriority w:val="99"/>
    <w:rPr>
      <w:i/>
      <w:iCs/>
    </w:rPr>
  </w:style>
  <w:style w:type="character" w:styleId="27">
    <w:name w:val="Hyperlink"/>
    <w:basedOn w:val="23"/>
    <w:qFormat/>
    <w:uiPriority w:val="99"/>
    <w:rPr>
      <w:color w:val="0000FF"/>
      <w:u w:val="single"/>
    </w:rPr>
  </w:style>
  <w:style w:type="character" w:styleId="28">
    <w:name w:val="HTML Code"/>
    <w:basedOn w:val="23"/>
    <w:semiHidden/>
    <w:qFormat/>
    <w:uiPriority w:val="99"/>
    <w:rPr>
      <w:rFonts w:ascii="Consolas" w:hAnsi="Consolas" w:eastAsia="Times New Roman" w:cs="Consolas"/>
      <w:color w:val="auto"/>
      <w:sz w:val="21"/>
      <w:szCs w:val="21"/>
      <w:shd w:val="clear" w:color="auto" w:fill="auto"/>
    </w:rPr>
  </w:style>
  <w:style w:type="character" w:styleId="29">
    <w:name w:val="annotation reference"/>
    <w:basedOn w:val="23"/>
    <w:semiHidden/>
    <w:qFormat/>
    <w:uiPriority w:val="99"/>
    <w:rPr>
      <w:sz w:val="21"/>
      <w:szCs w:val="21"/>
    </w:rPr>
  </w:style>
  <w:style w:type="character" w:styleId="30">
    <w:name w:val="HTML Keyboard"/>
    <w:basedOn w:val="23"/>
    <w:semiHidden/>
    <w:qFormat/>
    <w:uiPriority w:val="99"/>
    <w:rPr>
      <w:rFonts w:ascii="Consolas" w:hAnsi="Consolas" w:eastAsia="Times New Roman" w:cs="Consolas"/>
      <w:color w:val="FFFFFF"/>
      <w:sz w:val="21"/>
      <w:szCs w:val="21"/>
      <w:shd w:val="clear" w:color="auto" w:fill="333333"/>
    </w:rPr>
  </w:style>
  <w:style w:type="character" w:styleId="31">
    <w:name w:val="HTML Sample"/>
    <w:basedOn w:val="23"/>
    <w:semiHidden/>
    <w:qFormat/>
    <w:uiPriority w:val="99"/>
    <w:rPr>
      <w:rFonts w:ascii="Consolas" w:hAnsi="Consolas" w:eastAsia="Times New Roman" w:cs="Consolas"/>
      <w:sz w:val="21"/>
      <w:szCs w:val="21"/>
    </w:rPr>
  </w:style>
  <w:style w:type="paragraph" w:customStyle="1" w:styleId="32">
    <w:name w:val="_Style 3"/>
    <w:next w:val="1"/>
    <w:qFormat/>
    <w:uiPriority w:val="99"/>
    <w:pPr>
      <w:widowControl w:val="0"/>
      <w:jc w:val="both"/>
    </w:pPr>
    <w:rPr>
      <w:rFonts w:ascii="Calibri" w:hAnsi="Calibri" w:eastAsia="宋体" w:cs="Calibri"/>
      <w:kern w:val="2"/>
      <w:sz w:val="21"/>
      <w:szCs w:val="21"/>
      <w:lang w:val="en-US" w:eastAsia="zh-CN" w:bidi="ar-SA"/>
    </w:rPr>
  </w:style>
  <w:style w:type="character" w:customStyle="1" w:styleId="33">
    <w:name w:val="标题 1 Char1"/>
    <w:basedOn w:val="23"/>
    <w:link w:val="4"/>
    <w:qFormat/>
    <w:locked/>
    <w:uiPriority w:val="99"/>
    <w:rPr>
      <w:rFonts w:ascii="Calibri" w:hAnsi="Calibri" w:eastAsia="仿宋" w:cs="Calibri"/>
      <w:b/>
      <w:bCs/>
      <w:kern w:val="44"/>
      <w:sz w:val="24"/>
      <w:szCs w:val="24"/>
    </w:rPr>
  </w:style>
  <w:style w:type="character" w:customStyle="1" w:styleId="34">
    <w:name w:val="标题 2 Char"/>
    <w:basedOn w:val="23"/>
    <w:link w:val="5"/>
    <w:qFormat/>
    <w:locked/>
    <w:uiPriority w:val="99"/>
    <w:rPr>
      <w:rFonts w:ascii="Arial" w:hAnsi="Arial" w:eastAsia="仿宋" w:cs="Arial"/>
      <w:b/>
      <w:bCs/>
      <w:kern w:val="2"/>
      <w:sz w:val="24"/>
      <w:szCs w:val="24"/>
    </w:rPr>
  </w:style>
  <w:style w:type="character" w:customStyle="1" w:styleId="35">
    <w:name w:val="标题 4 Char"/>
    <w:basedOn w:val="23"/>
    <w:link w:val="6"/>
    <w:semiHidden/>
    <w:qFormat/>
    <w:uiPriority w:val="9"/>
    <w:rPr>
      <w:rFonts w:asciiTheme="majorHAnsi" w:hAnsiTheme="majorHAnsi" w:eastAsiaTheme="majorEastAsia" w:cstheme="majorBidi"/>
      <w:b/>
      <w:bCs/>
      <w:sz w:val="28"/>
      <w:szCs w:val="28"/>
    </w:rPr>
  </w:style>
  <w:style w:type="character" w:customStyle="1" w:styleId="36">
    <w:name w:val="文档结构图 Char1"/>
    <w:basedOn w:val="23"/>
    <w:link w:val="7"/>
    <w:qFormat/>
    <w:locked/>
    <w:uiPriority w:val="99"/>
    <w:rPr>
      <w:rFonts w:ascii="宋体" w:hAnsi="Calibri" w:cs="宋体"/>
      <w:kern w:val="2"/>
      <w:sz w:val="18"/>
      <w:szCs w:val="18"/>
    </w:rPr>
  </w:style>
  <w:style w:type="character" w:customStyle="1" w:styleId="37">
    <w:name w:val="批注文字 Char2"/>
    <w:basedOn w:val="23"/>
    <w:link w:val="9"/>
    <w:qFormat/>
    <w:locked/>
    <w:uiPriority w:val="99"/>
    <w:rPr>
      <w:rFonts w:ascii="Calibri" w:hAnsi="Calibri" w:eastAsia="仿宋" w:cs="Calibri"/>
      <w:kern w:val="2"/>
      <w:sz w:val="24"/>
      <w:szCs w:val="24"/>
    </w:rPr>
  </w:style>
  <w:style w:type="character" w:customStyle="1" w:styleId="38">
    <w:name w:val="正文文本 Char"/>
    <w:basedOn w:val="23"/>
    <w:link w:val="3"/>
    <w:qFormat/>
    <w:locked/>
    <w:uiPriority w:val="99"/>
    <w:rPr>
      <w:kern w:val="2"/>
      <w:sz w:val="24"/>
      <w:szCs w:val="24"/>
    </w:rPr>
  </w:style>
  <w:style w:type="character" w:customStyle="1" w:styleId="39">
    <w:name w:val="纯文本 Char"/>
    <w:basedOn w:val="23"/>
    <w:link w:val="11"/>
    <w:qFormat/>
    <w:locked/>
    <w:uiPriority w:val="99"/>
    <w:rPr>
      <w:rFonts w:ascii="宋体" w:hAnsi="Courier New" w:eastAsia="仿宋" w:cs="宋体"/>
      <w:kern w:val="2"/>
      <w:sz w:val="21"/>
      <w:szCs w:val="21"/>
    </w:rPr>
  </w:style>
  <w:style w:type="character" w:customStyle="1" w:styleId="40">
    <w:name w:val="日期 Char"/>
    <w:basedOn w:val="23"/>
    <w:link w:val="12"/>
    <w:qFormat/>
    <w:locked/>
    <w:uiPriority w:val="99"/>
    <w:rPr>
      <w:rFonts w:eastAsia="仿宋"/>
      <w:kern w:val="2"/>
      <w:sz w:val="24"/>
      <w:szCs w:val="24"/>
    </w:rPr>
  </w:style>
  <w:style w:type="character" w:customStyle="1" w:styleId="41">
    <w:name w:val="批注框文本 Char1"/>
    <w:basedOn w:val="23"/>
    <w:link w:val="13"/>
    <w:qFormat/>
    <w:locked/>
    <w:uiPriority w:val="99"/>
    <w:rPr>
      <w:rFonts w:ascii="Calibri" w:hAnsi="Calibri" w:eastAsia="仿宋" w:cs="Calibri"/>
      <w:kern w:val="2"/>
      <w:sz w:val="18"/>
      <w:szCs w:val="18"/>
    </w:rPr>
  </w:style>
  <w:style w:type="character" w:customStyle="1" w:styleId="42">
    <w:name w:val="页脚 Char"/>
    <w:basedOn w:val="23"/>
    <w:link w:val="14"/>
    <w:qFormat/>
    <w:locked/>
    <w:uiPriority w:val="99"/>
    <w:rPr>
      <w:rFonts w:eastAsia="仿宋"/>
      <w:kern w:val="2"/>
      <w:sz w:val="24"/>
      <w:szCs w:val="24"/>
    </w:rPr>
  </w:style>
  <w:style w:type="character" w:customStyle="1" w:styleId="43">
    <w:name w:val="页眉 Char"/>
    <w:basedOn w:val="23"/>
    <w:link w:val="15"/>
    <w:semiHidden/>
    <w:qFormat/>
    <w:uiPriority w:val="99"/>
    <w:rPr>
      <w:rFonts w:eastAsia="仿宋"/>
      <w:sz w:val="18"/>
      <w:szCs w:val="18"/>
    </w:rPr>
  </w:style>
  <w:style w:type="character" w:customStyle="1" w:styleId="44">
    <w:name w:val="正文文本 2 Char"/>
    <w:basedOn w:val="23"/>
    <w:link w:val="17"/>
    <w:semiHidden/>
    <w:qFormat/>
    <w:uiPriority w:val="99"/>
    <w:rPr>
      <w:rFonts w:eastAsia="仿宋"/>
      <w:szCs w:val="21"/>
    </w:rPr>
  </w:style>
  <w:style w:type="character" w:customStyle="1" w:styleId="45">
    <w:name w:val="批注主题 Char1"/>
    <w:basedOn w:val="37"/>
    <w:link w:val="19"/>
    <w:qFormat/>
    <w:locked/>
    <w:uiPriority w:val="99"/>
    <w:rPr>
      <w:rFonts w:ascii="Calibri" w:hAnsi="Calibri" w:eastAsia="仿宋" w:cs="Calibri"/>
      <w:b/>
      <w:bCs/>
      <w:kern w:val="2"/>
      <w:sz w:val="24"/>
      <w:szCs w:val="24"/>
    </w:rPr>
  </w:style>
  <w:style w:type="character" w:customStyle="1" w:styleId="46">
    <w:name w:val="正文首行缩进 Char"/>
    <w:basedOn w:val="38"/>
    <w:link w:val="2"/>
    <w:semiHidden/>
    <w:qFormat/>
    <w:uiPriority w:val="99"/>
    <w:rPr>
      <w:rFonts w:eastAsia="仿宋"/>
      <w:kern w:val="2"/>
      <w:sz w:val="24"/>
      <w:szCs w:val="21"/>
    </w:rPr>
  </w:style>
  <w:style w:type="paragraph" w:customStyle="1" w:styleId="47">
    <w:name w:val="正文文本首行缩进1"/>
    <w:basedOn w:val="3"/>
    <w:next w:val="1"/>
    <w:link w:val="57"/>
    <w:qFormat/>
    <w:uiPriority w:val="99"/>
    <w:pPr>
      <w:spacing w:after="120"/>
      <w:ind w:firstLine="420" w:firstLineChars="100"/>
    </w:pPr>
  </w:style>
  <w:style w:type="character" w:customStyle="1" w:styleId="48">
    <w:name w:val="批注文字 Char"/>
    <w:qFormat/>
    <w:uiPriority w:val="99"/>
    <w:rPr>
      <w:rFonts w:ascii="Calibri" w:hAnsi="Calibri" w:eastAsia="仿宋" w:cs="Calibri"/>
      <w:kern w:val="2"/>
      <w:sz w:val="24"/>
      <w:szCs w:val="24"/>
    </w:rPr>
  </w:style>
  <w:style w:type="character" w:customStyle="1" w:styleId="49">
    <w:name w:val="control-label-text2"/>
    <w:qFormat/>
    <w:uiPriority w:val="99"/>
  </w:style>
  <w:style w:type="character" w:customStyle="1" w:styleId="50">
    <w:name w:val="正文文本 Char1"/>
    <w:qFormat/>
    <w:uiPriority w:val="99"/>
    <w:rPr>
      <w:rFonts w:eastAsia="仿宋"/>
      <w:kern w:val="2"/>
      <w:sz w:val="24"/>
      <w:szCs w:val="24"/>
    </w:rPr>
  </w:style>
  <w:style w:type="character" w:customStyle="1" w:styleId="51">
    <w:name w:val="文档结构图 Char"/>
    <w:qFormat/>
    <w:uiPriority w:val="99"/>
    <w:rPr>
      <w:rFonts w:ascii="宋体" w:hAnsi="Calibri" w:cs="宋体"/>
      <w:kern w:val="2"/>
      <w:sz w:val="18"/>
      <w:szCs w:val="18"/>
    </w:rPr>
  </w:style>
  <w:style w:type="character" w:customStyle="1" w:styleId="52">
    <w:name w:val="批注主题 Char"/>
    <w:qFormat/>
    <w:uiPriority w:val="99"/>
    <w:rPr>
      <w:rFonts w:ascii="Calibri" w:hAnsi="Calibri" w:eastAsia="仿宋" w:cs="Calibri"/>
      <w:b/>
      <w:bCs/>
      <w:kern w:val="2"/>
      <w:sz w:val="24"/>
      <w:szCs w:val="24"/>
    </w:rPr>
  </w:style>
  <w:style w:type="character" w:customStyle="1" w:styleId="53">
    <w:name w:val="日期 Char1"/>
    <w:qFormat/>
    <w:uiPriority w:val="99"/>
    <w:rPr>
      <w:rFonts w:eastAsia="仿宋"/>
      <w:kern w:val="2"/>
      <w:sz w:val="24"/>
      <w:szCs w:val="24"/>
    </w:rPr>
  </w:style>
  <w:style w:type="character" w:customStyle="1" w:styleId="54">
    <w:name w:val="fontstyle01"/>
    <w:qFormat/>
    <w:uiPriority w:val="99"/>
    <w:rPr>
      <w:rFonts w:ascii="MicrosoftYaHei" w:hAnsi="MicrosoftYaHei" w:cs="MicrosoftYaHei"/>
      <w:color w:val="000000"/>
      <w:sz w:val="22"/>
      <w:szCs w:val="22"/>
    </w:rPr>
  </w:style>
  <w:style w:type="character" w:customStyle="1" w:styleId="55">
    <w:name w:val="无间隔 Char"/>
    <w:link w:val="56"/>
    <w:qFormat/>
    <w:locked/>
    <w:uiPriority w:val="99"/>
    <w:rPr>
      <w:sz w:val="22"/>
      <w:szCs w:val="22"/>
      <w:lang w:val="en-US" w:eastAsia="zh-CN"/>
    </w:rPr>
  </w:style>
  <w:style w:type="paragraph" w:styleId="56">
    <w:name w:val="No Spacing"/>
    <w:link w:val="55"/>
    <w:qFormat/>
    <w:uiPriority w:val="99"/>
    <w:rPr>
      <w:rFonts w:ascii="Times New Roman" w:hAnsi="Times New Roman" w:eastAsia="宋体" w:cs="Times New Roman"/>
      <w:sz w:val="22"/>
      <w:szCs w:val="22"/>
      <w:lang w:val="en-US" w:eastAsia="zh-CN" w:bidi="ar-SA"/>
    </w:rPr>
  </w:style>
  <w:style w:type="character" w:customStyle="1" w:styleId="57">
    <w:name w:val="正文文本首行缩进 字符"/>
    <w:link w:val="47"/>
    <w:qFormat/>
    <w:locked/>
    <w:uiPriority w:val="99"/>
  </w:style>
  <w:style w:type="character" w:customStyle="1" w:styleId="58">
    <w:name w:val="标题 1 Char"/>
    <w:qFormat/>
    <w:uiPriority w:val="99"/>
    <w:rPr>
      <w:rFonts w:ascii="Calibri" w:hAnsi="Calibri" w:eastAsia="仿宋" w:cs="Calibri"/>
      <w:b/>
      <w:bCs/>
      <w:kern w:val="44"/>
      <w:sz w:val="24"/>
      <w:szCs w:val="24"/>
    </w:rPr>
  </w:style>
  <w:style w:type="character" w:customStyle="1" w:styleId="59">
    <w:name w:val="正文首行缩进 Char1"/>
    <w:qFormat/>
    <w:uiPriority w:val="99"/>
  </w:style>
  <w:style w:type="character" w:customStyle="1" w:styleId="60">
    <w:name w:val="批注框文本 Char"/>
    <w:qFormat/>
    <w:uiPriority w:val="99"/>
    <w:rPr>
      <w:rFonts w:ascii="Calibri" w:hAnsi="Calibri" w:eastAsia="仿宋" w:cs="Calibri"/>
      <w:kern w:val="2"/>
      <w:sz w:val="18"/>
      <w:szCs w:val="18"/>
    </w:rPr>
  </w:style>
  <w:style w:type="paragraph" w:customStyle="1" w:styleId="61">
    <w:name w:val="目录 11"/>
    <w:basedOn w:val="1"/>
    <w:next w:val="1"/>
    <w:qFormat/>
    <w:uiPriority w:val="99"/>
  </w:style>
  <w:style w:type="paragraph" w:customStyle="1" w:styleId="62">
    <w:name w:val="_Style 29"/>
    <w:basedOn w:val="1"/>
    <w:next w:val="63"/>
    <w:qFormat/>
    <w:uiPriority w:val="99"/>
    <w:pPr>
      <w:ind w:firstLine="420" w:firstLineChars="200"/>
    </w:pPr>
    <w:rPr>
      <w:rFonts w:eastAsia="宋体"/>
    </w:rPr>
  </w:style>
  <w:style w:type="paragraph" w:customStyle="1" w:styleId="63">
    <w:name w:val="列表段落1"/>
    <w:basedOn w:val="1"/>
    <w:qFormat/>
    <w:uiPriority w:val="99"/>
    <w:pPr>
      <w:ind w:firstLine="420" w:firstLineChars="200"/>
    </w:pPr>
  </w:style>
  <w:style w:type="paragraph" w:customStyle="1" w:styleId="64">
    <w:name w:val="WPSOffice手动目录 1"/>
    <w:qFormat/>
    <w:uiPriority w:val="99"/>
    <w:rPr>
      <w:rFonts w:ascii="Times New Roman" w:hAnsi="Times New Roman" w:eastAsia="宋体" w:cs="Times New Roman"/>
      <w:lang w:val="en-US" w:eastAsia="zh-CN" w:bidi="ar-SA"/>
    </w:rPr>
  </w:style>
  <w:style w:type="paragraph" w:customStyle="1" w:styleId="65">
    <w:name w:val="列出段落11"/>
    <w:basedOn w:val="1"/>
    <w:qFormat/>
    <w:uiPriority w:val="99"/>
    <w:pPr>
      <w:ind w:firstLine="420" w:firstLineChars="200"/>
    </w:pPr>
    <w:rPr>
      <w:rFonts w:ascii="Calibri" w:hAnsi="Calibri" w:eastAsia="宋体" w:cs="Calibri"/>
      <w:lang w:val="zh-CN"/>
    </w:rPr>
  </w:style>
  <w:style w:type="paragraph" w:customStyle="1" w:styleId="66">
    <w:name w:val="样式1"/>
    <w:basedOn w:val="1"/>
    <w:qFormat/>
    <w:uiPriority w:val="99"/>
    <w:pPr>
      <w:tabs>
        <w:tab w:val="left" w:pos="709"/>
      </w:tabs>
      <w:adjustRightInd w:val="0"/>
      <w:ind w:left="709" w:hanging="709"/>
      <w:textAlignment w:val="baseline"/>
    </w:pPr>
    <w:rPr>
      <w:rFonts w:ascii="宋体" w:hAnsi="宋体" w:cs="宋体"/>
      <w:kern w:val="0"/>
    </w:rPr>
  </w:style>
  <w:style w:type="paragraph" w:customStyle="1" w:styleId="67">
    <w:name w:val="_Style 4"/>
    <w:qFormat/>
    <w:uiPriority w:val="99"/>
    <w:rPr>
      <w:rFonts w:ascii="Times New Roman" w:hAnsi="Times New Roman" w:eastAsia="宋体" w:cs="Times New Roman"/>
      <w:sz w:val="22"/>
      <w:szCs w:val="22"/>
      <w:lang w:val="en-US" w:eastAsia="zh-CN" w:bidi="ar-SA"/>
    </w:rPr>
  </w:style>
  <w:style w:type="paragraph" w:customStyle="1" w:styleId="68">
    <w:name w:val="WPSOffice手动目录 3"/>
    <w:qFormat/>
    <w:uiPriority w:val="99"/>
    <w:pPr>
      <w:ind w:left="400" w:leftChars="400"/>
    </w:pPr>
    <w:rPr>
      <w:rFonts w:ascii="Times New Roman" w:hAnsi="Times New Roman" w:eastAsia="宋体" w:cs="Times New Roman"/>
      <w:lang w:val="en-US" w:eastAsia="zh-CN" w:bidi="ar-SA"/>
    </w:rPr>
  </w:style>
  <w:style w:type="paragraph" w:customStyle="1" w:styleId="69">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70">
    <w:name w:val="_Style 2"/>
    <w:basedOn w:val="1"/>
    <w:qFormat/>
    <w:uiPriority w:val="99"/>
    <w:pPr>
      <w:widowControl/>
      <w:spacing w:after="200" w:line="276" w:lineRule="auto"/>
      <w:ind w:left="720"/>
      <w:jc w:val="left"/>
    </w:pPr>
    <w:rPr>
      <w:rFonts w:eastAsia="宋体"/>
      <w:kern w:val="0"/>
      <w:sz w:val="22"/>
      <w:szCs w:val="22"/>
    </w:rPr>
  </w:style>
  <w:style w:type="paragraph" w:customStyle="1" w:styleId="71">
    <w:name w:val="样式H"/>
    <w:basedOn w:val="4"/>
    <w:next w:val="1"/>
    <w:qFormat/>
    <w:uiPriority w:val="99"/>
    <w:pPr>
      <w:spacing w:before="100" w:line="500" w:lineRule="exact"/>
    </w:pPr>
  </w:style>
  <w:style w:type="paragraph" w:customStyle="1" w:styleId="7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无间隔1"/>
    <w:qFormat/>
    <w:uiPriority w:val="99"/>
    <w:rPr>
      <w:rFonts w:ascii="Times New Roman" w:hAnsi="Times New Roman" w:eastAsia="宋体" w:cs="Times New Roman"/>
      <w:sz w:val="22"/>
      <w:szCs w:val="22"/>
      <w:lang w:val="en-US" w:eastAsia="zh-CN" w:bidi="ar-SA"/>
    </w:rPr>
  </w:style>
  <w:style w:type="paragraph" w:customStyle="1" w:styleId="74">
    <w:name w:val="Table Paragraph"/>
    <w:basedOn w:val="1"/>
    <w:qFormat/>
    <w:uiPriority w:val="99"/>
    <w:rPr>
      <w:rFonts w:ascii="Calibri" w:hAnsi="Calibri" w:eastAsia="宋体" w:cs="Calibri"/>
    </w:rPr>
  </w:style>
  <w:style w:type="paragraph" w:customStyle="1" w:styleId="75">
    <w:name w:val="样式N"/>
    <w:basedOn w:val="71"/>
    <w:qFormat/>
    <w:uiPriority w:val="99"/>
    <w:rPr>
      <w:sz w:val="30"/>
      <w:szCs w:val="30"/>
    </w:rPr>
  </w:style>
  <w:style w:type="table" w:customStyle="1" w:styleId="76">
    <w:name w:val="网格型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
    <w:name w:val="访问过的超链接1"/>
    <w:qFormat/>
    <w:uiPriority w:val="99"/>
    <w:rPr>
      <w:color w:val="auto"/>
      <w:u w:val="single"/>
    </w:rPr>
  </w:style>
  <w:style w:type="paragraph" w:customStyle="1" w:styleId="78">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79">
    <w:name w:val="xl65"/>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80">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81">
    <w:name w:val="批注文字 Char1"/>
    <w:qFormat/>
    <w:uiPriority w:val="99"/>
    <w:rPr>
      <w:rFonts w:ascii="Calibri" w:hAnsi="Calibri" w:eastAsia="仿宋" w:cs="Calibri"/>
      <w:kern w:val="2"/>
      <w:sz w:val="24"/>
      <w:szCs w:val="24"/>
    </w:rPr>
  </w:style>
  <w:style w:type="paragraph" w:customStyle="1" w:styleId="82">
    <w:name w:val="Normal_1"/>
    <w:qFormat/>
    <w:uiPriority w:val="99"/>
    <w:rPr>
      <w:rFonts w:ascii="Times New Roman" w:hAnsi="Times New Roman" w:eastAsia="宋体" w:cs="Times New Roman"/>
      <w:sz w:val="24"/>
      <w:szCs w:val="24"/>
      <w:lang w:val="en-US" w:eastAsia="zh-CN" w:bidi="ar-SA"/>
    </w:rPr>
  </w:style>
  <w:style w:type="character" w:customStyle="1" w:styleId="83">
    <w:name w:val="NormalCharacter"/>
    <w:qFormat/>
    <w:uiPriority w:val="99"/>
  </w:style>
  <w:style w:type="character" w:customStyle="1" w:styleId="84">
    <w:name w:val="checked"/>
    <w:basedOn w:val="23"/>
    <w:qFormat/>
    <w:uiPriority w:val="99"/>
    <w:rPr>
      <w:color w:val="auto"/>
    </w:rPr>
  </w:style>
  <w:style w:type="paragraph" w:styleId="85">
    <w:name w:val="List Paragraph"/>
    <w:basedOn w:val="1"/>
    <w:qFormat/>
    <w:uiPriority w:val="99"/>
    <w:pPr>
      <w:ind w:firstLine="420" w:firstLineChars="200"/>
    </w:pPr>
  </w:style>
  <w:style w:type="table" w:customStyle="1" w:styleId="8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C88FD-C72E-4CE1-961A-C48F5FB81E2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107</Pages>
  <Words>57275</Words>
  <Characters>62773</Characters>
  <Lines>480</Lines>
  <Paragraphs>135</Paragraphs>
  <TotalTime>0</TotalTime>
  <ScaleCrop>false</ScaleCrop>
  <LinksUpToDate>false</LinksUpToDate>
  <CharactersWithSpaces>64178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2022-12-01T01:22:00Z</dcterms:created>
  <dc:creator>meimei</dc:creator>
  <cp:lastModifiedBy>桃子</cp:lastModifiedBy>
  <cp:lastPrinted>2021-09-16T04:35:00Z</cp:lastPrinted>
  <dcterms:modified xsi:type="dcterms:W3CDTF">2022-12-06T01:58:33Z</dcterms:modified>
  <dc:title>辽宁省政府采购项目</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679CE68444CE4833BA4F297D27D771D1</vt:lpwstr>
  </property>
  <property fmtid="{D5CDD505-2E9C-101B-9397-08002B2CF9AE}" pid="4" name="commondata">
    <vt:lpwstr>eyJoZGlkIjoiYzA3ODk1ODg1NjliNjNiYzNmYzQyMTVlYmUyYjI4MTcifQ==</vt:lpwstr>
  </property>
</Properties>
</file>