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i w:val="0"/>
          <w:caps w:val="0"/>
          <w:color w:val="333333"/>
          <w:spacing w:val="0"/>
          <w:sz w:val="39"/>
          <w:szCs w:val="39"/>
        </w:rPr>
      </w:pPr>
      <w:r>
        <w:rPr>
          <w:rFonts w:hint="eastAsia" w:ascii="微软雅黑" w:hAnsi="微软雅黑" w:eastAsia="微软雅黑" w:cs="微软雅黑"/>
          <w:b/>
          <w:i w:val="0"/>
          <w:caps w:val="0"/>
          <w:color w:val="333333"/>
          <w:spacing w:val="0"/>
          <w:sz w:val="39"/>
          <w:szCs w:val="39"/>
          <w:bdr w:val="none" w:color="auto" w:sz="0" w:space="0"/>
          <w:shd w:val="clear" w:fill="FFFFFF"/>
        </w:rPr>
        <w:t>第三章 技术、服务及其他要求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7"/>
          <w:szCs w:val="27"/>
        </w:rPr>
      </w:pPr>
      <w:r>
        <w:rPr>
          <w:rFonts w:hint="eastAsia" w:ascii="微软雅黑" w:hAnsi="微软雅黑" w:eastAsia="微软雅黑" w:cs="微软雅黑"/>
          <w:b/>
          <w:i w:val="0"/>
          <w:caps w:val="0"/>
          <w:color w:val="333333"/>
          <w:spacing w:val="0"/>
          <w:sz w:val="27"/>
          <w:szCs w:val="27"/>
          <w:bdr w:val="none" w:color="auto" w:sz="0" w:space="0"/>
          <w:shd w:val="clear" w:fill="FFFFFF"/>
        </w:rPr>
        <w:t>3.1.采购内容</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采购包预算金额（元）: 60,278,900.00</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采购包最高限价（元）: 60,278,900.00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9"/>
        <w:gridCol w:w="682"/>
        <w:gridCol w:w="1127"/>
        <w:gridCol w:w="1085"/>
        <w:gridCol w:w="1096"/>
        <w:gridCol w:w="709"/>
        <w:gridCol w:w="682"/>
        <w:gridCol w:w="682"/>
        <w:gridCol w:w="682"/>
        <w:gridCol w:w="621"/>
        <w:gridCol w:w="62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9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采购品目名称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标的名称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数量</w:t>
            </w:r>
            <w:r>
              <w:rPr>
                <w:rFonts w:ascii="宋体" w:hAnsi="宋体" w:eastAsia="宋体" w:cs="宋体"/>
                <w:b/>
                <w:kern w:val="0"/>
                <w:sz w:val="24"/>
                <w:szCs w:val="24"/>
                <w:bdr w:val="none" w:color="auto" w:sz="0" w:space="0"/>
                <w:lang w:val="en-US" w:eastAsia="zh-CN" w:bidi="ar"/>
              </w:rPr>
              <w:br w:type="textWrapping"/>
            </w:r>
            <w:r>
              <w:rPr>
                <w:rFonts w:ascii="宋体" w:hAnsi="宋体" w:eastAsia="宋体" w:cs="宋体"/>
                <w:b/>
                <w:kern w:val="0"/>
                <w:sz w:val="24"/>
                <w:szCs w:val="24"/>
                <w:bdr w:val="none" w:color="auto" w:sz="0" w:space="0"/>
                <w:lang w:val="en-US" w:eastAsia="zh-CN" w:bidi="ar"/>
              </w:rPr>
              <w:t>(计量单位)</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标的金额 （元）</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所属行业</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是否涉及核心产品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是否涉及采购进口产品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是否涉及强制采购节能产品</w:t>
            </w:r>
          </w:p>
        </w:tc>
        <w:tc>
          <w:tcPr>
            <w:tcW w:w="13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是否涉及优先采购节能产品</w:t>
            </w:r>
          </w:p>
        </w:tc>
        <w:tc>
          <w:tcPr>
            <w:tcW w:w="13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是否涉及优先采购环境标志产品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清扫服务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江阳区清扫保洁和垃圾清运采购服务项目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1.00（个）</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60,278,900.00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报价要求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58"/>
        <w:gridCol w:w="1866"/>
        <w:gridCol w:w="1457"/>
        <w:gridCol w:w="1306"/>
        <w:gridCol w:w="1141"/>
        <w:gridCol w:w="171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1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363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报价内容</w:t>
            </w:r>
          </w:p>
        </w:tc>
        <w:tc>
          <w:tcPr>
            <w:tcW w:w="24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数量（计量单位）</w:t>
            </w:r>
          </w:p>
        </w:tc>
        <w:tc>
          <w:tcPr>
            <w:tcW w:w="29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最高限价</w:t>
            </w:r>
          </w:p>
        </w:tc>
        <w:tc>
          <w:tcPr>
            <w:tcW w:w="24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价款形式</w:t>
            </w:r>
          </w:p>
        </w:tc>
        <w:tc>
          <w:tcPr>
            <w:tcW w:w="412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报价说明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江阳区清扫保洁和垃圾清运采购服务项目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1.00（个）</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60,278,900.00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最高限价是指60278900元/年</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shd w:val="clear" w:fill="FFFFFF"/>
        </w:rPr>
        <w:t>★注：采购包涉及采购货物的，投标人响应产品应当明确品牌和规格型号并指向唯一产品，不能指向唯一产品的，应通过报价表唯一产品说明栏补充说明。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本项目涉及核心产品：</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shd w:val="clear" w:fill="FFFFFF"/>
        </w:rPr>
        <w:t>注：涉及核心产品的，具体评审规定见第五章。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本项目涉及采购进口产品：</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shd w:val="clear" w:fill="FFFFFF"/>
        </w:rPr>
        <w:t>★注：不涉及采购进口产品时，投标人不得提供进口产品进行响应；涉及采购进口产品时，如国产产品满足采购需求，也可提供国产产品进行响应。</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本项目涉及强制采购节能产品：</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shd w:val="clear" w:fill="FFFFFF"/>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本项目涉及优先采购节能产品：</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shd w:val="clear" w:fill="FFFFFF"/>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本项目涉及优先采购环境标志产品：</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产品名称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caps w:val="0"/>
          <w:color w:val="333333"/>
          <w:spacing w:val="0"/>
          <w:sz w:val="24"/>
          <w:szCs w:val="24"/>
        </w:rPr>
      </w:pPr>
      <w:r>
        <w:rPr>
          <w:rFonts w:hint="eastAsia" w:ascii="微软雅黑" w:hAnsi="微软雅黑" w:eastAsia="微软雅黑" w:cs="微软雅黑"/>
          <w:i w:val="0"/>
          <w:caps w:val="0"/>
          <w:color w:val="333333"/>
          <w:spacing w:val="0"/>
          <w:sz w:val="24"/>
          <w:szCs w:val="24"/>
          <w:bdr w:val="none" w:color="auto" w:sz="0" w:space="0"/>
          <w:shd w:val="clear" w:fill="FFFFFF"/>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7"/>
          <w:szCs w:val="27"/>
        </w:rPr>
      </w:pPr>
      <w:r>
        <w:rPr>
          <w:rFonts w:hint="eastAsia" w:ascii="微软雅黑" w:hAnsi="微软雅黑" w:eastAsia="微软雅黑" w:cs="微软雅黑"/>
          <w:b/>
          <w:i w:val="0"/>
          <w:caps w:val="0"/>
          <w:color w:val="333333"/>
          <w:spacing w:val="0"/>
          <w:sz w:val="27"/>
          <w:szCs w:val="27"/>
          <w:bdr w:val="none" w:color="auto" w:sz="0" w:space="0"/>
          <w:shd w:val="clear" w:fill="FFFFFF"/>
        </w:rPr>
        <w:t>3.2.技术要求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标的名称：江阳区清扫保洁和垃圾清运采购服务项目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89"/>
        <w:gridCol w:w="497"/>
        <w:gridCol w:w="1356"/>
        <w:gridCol w:w="620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技术要求名称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技术参数与性能指标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本项目为购买第三方清扫保洁和垃圾清运服务，服务外包期限为3年。服务外包内容为：对江阳区主城区市政道路、河滩地、绿化带等共计1136.76万平方米区域的清扫保洁工作；对11个街镇农村（含场镇）生活垃圾进行清运及处置；对14个街镇大件垃圾进行清运及处置；搭建智慧环卫管理平台并负责进行运行维护。</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ascii="仿宋_GB2312" w:eastAsia="仿宋_GB2312" w:cs="仿宋_GB2312"/>
                <w:sz w:val="24"/>
                <w:szCs w:val="24"/>
                <w:bdr w:val="none" w:color="auto" w:sz="0" w:space="0"/>
              </w:rPr>
              <w:t>一、采购项目概况</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本项目为购买第三方清扫保洁和垃圾清运服务，服务外包期限为3年。服务外包内容为：对江阳区主城区市政道路、河滩地、绿化带等共计1136.76万平方米区域的清扫保洁工作；对11个街镇农村（含场镇）生活垃圾进行清运及处置；对14个街镇大件垃圾进行清运及处置；搭建智慧环卫管理平台并负责进行运行维护。</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二、服务内容及服务要求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一）服务范围：市政道路、河滩地、绿化带等区域总面积1136.76万平方米；通滩、况场、黄舣等11个街镇农村（含主城区以外的场镇）生活垃圾清运及处置，清运量约110吨/日；华阳、大山坪、蓝田、方山、分水岭等14个街镇大件垃圾清运及处置，清运量约4.5吨/日（各类垃圾具体清运及处置量、运距等，需各投标人自行到现场查勘）。</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（二）服务内容包括:</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1.服务内容</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1.1.江阳区主城区内市政道路和公共区域及其附属绿化带、河滩地日常清扫保洁；</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1.2.江阳区主城区内市政道路洒水降尘作业；</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1.3.江阳区主城区内附属设施（如公园椅子、路边雕塑、城市小品等）日常清洁管护；</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1.4.江阳区主城区内街面生活垃圾(包括果皮箱、运转箱体和道路清扫的街面生活垃圾和绿化带清扫的垃圾，以及大件垃圾和其他垃圾)收集至压缩中转站或垃圾焚烧厂处置；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1.5.江阳区街镇农村地区（含场镇）现有2131组垃圾收集点（包括垃圾桶内、垃圾收集点1.5米范围内）的生活垃圾(含大件垃圾、其他白色垃圾) 转运至压缩中转站或垃圾焚烧厂处置，农村地区包括合同期内新增的所有垃圾收集点的清运处置服务工作；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1.6.招标人移交的环卫设施设备的更换、维修等日常运维管理；</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1.7.江阳区辖区内街面大件垃圾收集至附近压缩中转点；</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1.8.江阳区辖区日常环境卫生应急事项处置和各类迎检活动；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1.9.江阳区辖区大气污染防治和重污染天气期间扬尘治理；</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1.10.市区环卫主管部门交办的其它环卫事项。</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2.主城区作业面积明细：</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0"/>
              <w:gridCol w:w="543"/>
              <w:gridCol w:w="482"/>
              <w:gridCol w:w="486"/>
              <w:gridCol w:w="706"/>
              <w:gridCol w:w="462"/>
              <w:gridCol w:w="531"/>
              <w:gridCol w:w="706"/>
              <w:gridCol w:w="547"/>
              <w:gridCol w:w="495"/>
              <w:gridCol w:w="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vMerge w:val="restart"/>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序号</w:t>
                  </w:r>
                </w:p>
              </w:tc>
              <w:tc>
                <w:tcPr>
                  <w:tcW w:w="795" w:type="dxa"/>
                  <w:vMerge w:val="restart"/>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街道</w:t>
                  </w:r>
                </w:p>
              </w:tc>
              <w:tc>
                <w:tcPr>
                  <w:tcW w:w="1905" w:type="dxa"/>
                  <w:gridSpan w:val="3"/>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核心商圈</w:t>
                  </w:r>
                </w:p>
              </w:tc>
              <w:tc>
                <w:tcPr>
                  <w:tcW w:w="1995" w:type="dxa"/>
                  <w:gridSpan w:val="3"/>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一般区域</w:t>
                  </w:r>
                </w:p>
              </w:tc>
              <w:tc>
                <w:tcPr>
                  <w:tcW w:w="810" w:type="dxa"/>
                  <w:vMerge w:val="restart"/>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绿化带</w:t>
                  </w:r>
                </w:p>
              </w:tc>
              <w:tc>
                <w:tcPr>
                  <w:tcW w:w="615" w:type="dxa"/>
                  <w:vMerge w:val="restart"/>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河滩地</w:t>
                  </w:r>
                </w:p>
              </w:tc>
              <w:tc>
                <w:tcPr>
                  <w:tcW w:w="840" w:type="dxa"/>
                  <w:vMerge w:val="restart"/>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合计</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cs="Times New Roman"/>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cs="Times New Roman"/>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cs="Times New Roman"/>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cs="Times New Roman"/>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cs="Times New Roman"/>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cs="Times New Roman"/>
                      <w:sz w:val="24"/>
                      <w:szCs w:val="24"/>
                      <w:bdr w:val="none" w:color="auto" w:sz="0" w:space="0"/>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vMerge w:val="continue"/>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79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主道路</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人行道</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空坝、露天停车场</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主道路</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人行道</w:t>
                  </w:r>
                </w:p>
              </w:tc>
              <w:tc>
                <w:tcPr>
                  <w:tcW w:w="73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空坝、露天停车场</w:t>
                  </w:r>
                </w:p>
              </w:tc>
              <w:tc>
                <w:tcPr>
                  <w:tcW w:w="810"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61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840"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vMerge w:val="continue"/>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795"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万㎡</w:t>
                  </w:r>
                </w:p>
              </w:tc>
              <w:tc>
                <w:tcPr>
                  <w:tcW w:w="840" w:type="dxa"/>
                  <w:vMerge w:val="continue"/>
                  <w:tcBorders>
                    <w:top w:val="single" w:color="000000" w:sz="6" w:space="0"/>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北城街道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10.16</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10.66</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6.86</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4.74</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2.01</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0.46</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3.08</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2.23</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大山坪街道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11.12</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6.91</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8.05</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33.97</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23.80</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9.37</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11.44</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17.40</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122.06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华阳街道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19.71</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6.27</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6.66</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98.24</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55.31</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15.61</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69.55</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52.20</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323.55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况场街道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16.80</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4.40</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1.67</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16.45</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4.11</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1.70</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38.67</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13.37</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97.17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5</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南城街道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4.07</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7.19</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3.05</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13.64</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9.63</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6.91</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2.90</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4.63</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52.02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黄舣镇</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2.25</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0.32</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1.87</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7</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蓝田街道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10.87</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2.88</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0.90</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103.10</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35.32</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15.48</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19.12</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21.36</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209.03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8</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邻玉街道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13.09</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1.10</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0.63</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2.03</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16.85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9</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茜草街道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13.50</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7.82</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3.07</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76.73</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24.20</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13.53</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42.67</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87.68</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269.20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10</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泰安街道</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1.76</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0.48</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2.24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11</w:t>
                  </w:r>
                </w:p>
              </w:tc>
              <w:tc>
                <w:tcPr>
                  <w:tcW w:w="7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合计</w:t>
                  </w:r>
                </w:p>
              </w:tc>
              <w:tc>
                <w:tcPr>
                  <w:tcW w:w="57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86.23</w:t>
                  </w:r>
                </w:p>
              </w:tc>
              <w:tc>
                <w:tcPr>
                  <w:tcW w:w="5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46.13</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30.26</w:t>
                  </w:r>
                </w:p>
              </w:tc>
              <w:tc>
                <w:tcPr>
                  <w:tcW w:w="49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363.97</w:t>
                  </w:r>
                </w:p>
              </w:tc>
              <w:tc>
                <w:tcPr>
                  <w:tcW w:w="75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156.28</w:t>
                  </w:r>
                </w:p>
              </w:tc>
              <w:tc>
                <w:tcPr>
                  <w:tcW w:w="73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63.69</w:t>
                  </w:r>
                </w:p>
              </w:tc>
              <w:tc>
                <w:tcPr>
                  <w:tcW w:w="81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191.33</w:t>
                  </w:r>
                </w:p>
              </w:tc>
              <w:tc>
                <w:tcPr>
                  <w:tcW w:w="6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198.87</w:t>
                  </w:r>
                </w:p>
              </w:tc>
              <w:tc>
                <w:tcPr>
                  <w:tcW w:w="8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仿宋_GB2312" w:hAnsi="Times New Roman" w:eastAsia="仿宋_GB2312" w:cs="仿宋_GB2312"/>
                      <w:sz w:val="24"/>
                      <w:szCs w:val="24"/>
                      <w:bdr w:val="none" w:color="auto" w:sz="0" w:space="0"/>
                    </w:rPr>
                    <w:t>1136.76</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default" w:ascii="仿宋_GB2312" w:eastAsia="仿宋_GB2312" w:cs="仿宋_GB2312"/>
                <w:sz w:val="24"/>
                <w:szCs w:val="24"/>
                <w:bdr w:val="none" w:color="auto" w:sz="0" w:space="0"/>
              </w:rPr>
              <w:t>3.全区现有农村生活垃圾收集点统计表</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55"/>
              <w:gridCol w:w="1740"/>
              <w:gridCol w:w="2445"/>
              <w:gridCol w:w="8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序号</w:t>
                  </w:r>
                </w:p>
              </w:tc>
              <w:tc>
                <w:tcPr>
                  <w:tcW w:w="174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街镇名称</w:t>
                  </w:r>
                </w:p>
              </w:tc>
              <w:tc>
                <w:tcPr>
                  <w:tcW w:w="244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点位数量（个）</w:t>
                  </w:r>
                </w:p>
              </w:tc>
              <w:tc>
                <w:tcPr>
                  <w:tcW w:w="82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通滩镇</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507</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况场街道</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309</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蓝田街道</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101</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分水岭镇</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253</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茜草街道</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6</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黄舣镇</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331</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7</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方山镇</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127</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8</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华阳街道</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148</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邻玉街道</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70</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江北镇</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171</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11</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丹林镇</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113</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55"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12</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小计</w:t>
                  </w:r>
                </w:p>
              </w:tc>
              <w:tc>
                <w:tcPr>
                  <w:tcW w:w="24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2131</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380"/>
              <w:jc w:val="left"/>
              <w:rPr>
                <w:sz w:val="24"/>
                <w:szCs w:val="24"/>
              </w:rPr>
            </w:pPr>
            <w:r>
              <w:rPr>
                <w:rFonts w:hint="default" w:ascii="仿宋_GB2312" w:eastAsia="仿宋_GB2312" w:cs="仿宋_GB2312"/>
                <w:sz w:val="24"/>
                <w:szCs w:val="24"/>
                <w:bdr w:val="none" w:color="auto" w:sz="0" w:space="0"/>
              </w:rPr>
              <w:t>3.1全区农村垃圾清运范围：包括全区11个街镇场镇及农村3.5米以上道路所有生活垃圾清运及处置。如设置有收集点，垃圾收集点内生活垃圾(包括垃圾收集点1.5米内范围生活垃圾和除建筑垃圾以外的垃圾)均需转运至附近垃圾中转站、压缩中转站或焚烧发电厂处置。因清运需要，根据实际收运情况中标人需按照招标人的需求，参照招标人现有收集点的建设要求（含外观样式等）新增垃圾收集点，新增垃圾收集点的建设费用包含在本次招标费用中。招标人在合同期内，因工作需要，新增的垃圾收集点的管理、清运、处置费用，均含在本次招标费用内，三年内新增的农村生活垃圾收集点不超过600个。服务期满所有新建设施设备移交采购人。</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4.全区大件垃圾清运范围</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380"/>
              <w:jc w:val="left"/>
              <w:rPr>
                <w:sz w:val="24"/>
                <w:szCs w:val="24"/>
              </w:rPr>
            </w:pPr>
            <w:r>
              <w:rPr>
                <w:rFonts w:hint="default" w:ascii="仿宋_GB2312" w:eastAsia="仿宋_GB2312" w:cs="仿宋_GB2312"/>
                <w:sz w:val="24"/>
                <w:szCs w:val="24"/>
                <w:bdr w:val="none" w:color="auto" w:sz="0" w:space="0"/>
              </w:rPr>
              <w:t>大件垃圾清运范围包括:全区主城区街面无主大件垃圾及农村3.5米以上道路、场镇无主大件垃圾收集至附近垃圾中转站、压缩中转站处置。按照招标人要求，若需新增大件垃圾收集点，新增大件垃圾收集点的建设费用含在本次招标费用内，三年内新增的大件垃圾收集点不超过300个。服务期满所有新建设施设备移交采购人。</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（三）服务要求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1.基本技术目标</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86"/>
              <w:gridCol w:w="1698"/>
              <w:gridCol w:w="1752"/>
              <w:gridCol w:w="1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序号</w:t>
                  </w:r>
                </w:p>
              </w:tc>
              <w:tc>
                <w:tcPr>
                  <w:tcW w:w="183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目标内容</w:t>
                  </w:r>
                </w:p>
              </w:tc>
              <w:tc>
                <w:tcPr>
                  <w:tcW w:w="189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指标</w:t>
                  </w:r>
                </w:p>
              </w:tc>
              <w:tc>
                <w:tcPr>
                  <w:tcW w:w="208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城区机械化覆盖率</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≥90%</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有效覆盖率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智慧环卫管理覆盖率</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≥100%</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人员和机具全覆盖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市民满意度</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≥95%</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抽样检查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城区道路保洁达标率</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≥100%</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考核检查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农村垃圾收转达标率</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≥100%</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考核检查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6</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全区大件垃圾收转达标率</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6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≥100%</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及时清运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7</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城区保洁综合考评</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≥95分</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根据新标准考核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60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8</w:t>
                  </w:r>
                </w:p>
              </w:tc>
              <w:tc>
                <w:tcPr>
                  <w:tcW w:w="18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市级环卫季度考核</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优秀≥2次/年</w:t>
                  </w:r>
                </w:p>
              </w:tc>
              <w:tc>
                <w:tcPr>
                  <w:tcW w:w="208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按市上考核要求</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2.人员配置要求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中标人的环卫作业人员应满足以下（环卫人员最低人员配置表）要求。若需在现有人员的基础上新招聘环卫人员的，新招录的管理人员、机动车驾驶员、机动车跟车工，女性不得超过45周岁、男性不得超过50周岁。新录用的环卫工人，年龄不得超过65周岁。注：目前运营人员结构情况，潜在供应商可以书面形式咨询采购人。</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环卫作业人员最低人员配置表</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322"/>
              <w:gridCol w:w="3525"/>
              <w:gridCol w:w="11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25" w:type="dxa"/>
                  <w:tcBorders>
                    <w:top w:val="single" w:color="000000" w:sz="6" w:space="0"/>
                    <w:left w:val="single" w:color="000000" w:sz="6" w:space="0"/>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序号</w:t>
                  </w:r>
                </w:p>
              </w:tc>
              <w:tc>
                <w:tcPr>
                  <w:tcW w:w="3840" w:type="dxa"/>
                  <w:tcBorders>
                    <w:top w:val="single" w:color="000000" w:sz="6" w:space="0"/>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从业人员</w:t>
                  </w:r>
                </w:p>
              </w:tc>
              <w:tc>
                <w:tcPr>
                  <w:tcW w:w="1200" w:type="dxa"/>
                  <w:tcBorders>
                    <w:top w:val="single" w:color="000000" w:sz="6" w:space="0"/>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25" w:type="dxa"/>
                  <w:tcBorders>
                    <w:top w:val="nil"/>
                    <w:left w:val="single" w:color="000000" w:sz="6" w:space="0"/>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384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管理人员</w:t>
                  </w:r>
                </w:p>
              </w:tc>
              <w:tc>
                <w:tcPr>
                  <w:tcW w:w="120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425" w:type="dxa"/>
                  <w:tcBorders>
                    <w:top w:val="nil"/>
                    <w:left w:val="single" w:color="000000" w:sz="6" w:space="0"/>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384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机动车驾驶员</w:t>
                  </w:r>
                </w:p>
              </w:tc>
              <w:tc>
                <w:tcPr>
                  <w:tcW w:w="120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25" w:type="dxa"/>
                  <w:tcBorders>
                    <w:top w:val="nil"/>
                    <w:left w:val="single" w:color="000000" w:sz="6" w:space="0"/>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w:t>
                  </w:r>
                </w:p>
              </w:tc>
              <w:tc>
                <w:tcPr>
                  <w:tcW w:w="384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机动车跟车工</w:t>
                  </w:r>
                </w:p>
              </w:tc>
              <w:tc>
                <w:tcPr>
                  <w:tcW w:w="120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25" w:type="dxa"/>
                  <w:tcBorders>
                    <w:top w:val="nil"/>
                    <w:left w:val="single" w:color="000000" w:sz="6" w:space="0"/>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w:t>
                  </w:r>
                </w:p>
              </w:tc>
              <w:tc>
                <w:tcPr>
                  <w:tcW w:w="384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环卫工人</w:t>
                  </w:r>
                </w:p>
              </w:tc>
              <w:tc>
                <w:tcPr>
                  <w:tcW w:w="120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1425" w:type="dxa"/>
                  <w:tcBorders>
                    <w:top w:val="nil"/>
                    <w:left w:val="single" w:color="000000" w:sz="6" w:space="0"/>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w:t>
                  </w:r>
                </w:p>
              </w:tc>
              <w:tc>
                <w:tcPr>
                  <w:tcW w:w="384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合计</w:t>
                  </w:r>
                </w:p>
              </w:tc>
              <w:tc>
                <w:tcPr>
                  <w:tcW w:w="1200" w:type="dxa"/>
                  <w:tcBorders>
                    <w:top w:val="nil"/>
                    <w:left w:val="nil"/>
                    <w:bottom w:val="single" w:color="000000" w:sz="6" w:space="0"/>
                    <w:right w:val="single" w:color="000000" w:sz="6"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1156</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3.设施设备配置要求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为满足环卫作业品质与效率，保障环卫机械化作业机具系统配套，提升城乡道路机械化清扫保洁能力，提高作业效率，降低作业人员劳动强度，为全面提升城市环卫水平与城市形象构筑坚实基础，中标人应满足以下《环卫车辆最低配置清单》和《环卫设施设备现有配置清单》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环卫车辆最低配置清单</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0"/>
              <w:gridCol w:w="733"/>
              <w:gridCol w:w="1763"/>
              <w:gridCol w:w="553"/>
              <w:gridCol w:w="664"/>
              <w:gridCol w:w="742"/>
              <w:gridCol w:w="10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序号</w:t>
                  </w:r>
                </w:p>
              </w:tc>
              <w:tc>
                <w:tcPr>
                  <w:tcW w:w="94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车型</w:t>
                  </w:r>
                </w:p>
              </w:tc>
              <w:tc>
                <w:tcPr>
                  <w:tcW w:w="265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总质量(整备质量+核定载质量)以机动车登记证为准</w:t>
                  </w:r>
                </w:p>
              </w:tc>
              <w:tc>
                <w:tcPr>
                  <w:tcW w:w="63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单位</w:t>
                  </w:r>
                </w:p>
              </w:tc>
              <w:tc>
                <w:tcPr>
                  <w:tcW w:w="82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最低</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配置数量</w:t>
                  </w:r>
                </w:p>
              </w:tc>
              <w:tc>
                <w:tcPr>
                  <w:tcW w:w="96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采购人租赁给中标人</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数量</w:t>
                  </w:r>
                </w:p>
              </w:tc>
              <w:tc>
                <w:tcPr>
                  <w:tcW w:w="151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中标人需补充数量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道路洒水车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≥15吨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16</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14</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新能源洒水车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 ≥ 18吨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w:t>
                  </w:r>
                </w:p>
              </w:tc>
              <w:tc>
                <w:tcPr>
                  <w:tcW w:w="945" w:type="dxa"/>
                  <w:vMerge w:val="restart"/>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道路洗扫车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≥16吨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7</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7</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33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945" w:type="dxa"/>
                  <w:vMerge w:val="continue"/>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keepNext w:val="0"/>
                    <w:keepLines w:val="0"/>
                    <w:widowControl/>
                    <w:suppressLineNumbers w:val="0"/>
                    <w:wordWrap w:val="0"/>
                    <w:spacing w:before="0" w:beforeAutospacing="0" w:after="0" w:afterAutospacing="0" w:line="480" w:lineRule="atLeast"/>
                    <w:ind w:left="0" w:right="0" w:firstLine="0"/>
                    <w:jc w:val="center"/>
                    <w:textAlignment w:val="top"/>
                    <w:rPr>
                      <w:rFonts w:hint="default" w:ascii="Times New Roman" w:hAnsi="Times New Roman" w:cs="Times New Roman"/>
                      <w:sz w:val="24"/>
                      <w:szCs w:val="24"/>
                    </w:rPr>
                  </w:pPr>
                  <w:r>
                    <w:rPr>
                      <w:rFonts w:hint="default" w:ascii="仿宋_GB2312" w:hAnsi="Times New Roman" w:eastAsia="仿宋_GB2312" w:cs="仿宋_GB2312"/>
                      <w:kern w:val="0"/>
                      <w:sz w:val="24"/>
                      <w:szCs w:val="24"/>
                      <w:bdr w:val="none" w:color="auto" w:sz="0" w:space="0"/>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新能源道路洗扫车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 ≥ 18吨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护栏清洗车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6</w:t>
                  </w:r>
                </w:p>
              </w:tc>
              <w:tc>
                <w:tcPr>
                  <w:tcW w:w="945" w:type="dxa"/>
                  <w:vMerge w:val="restart"/>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多功能抑尘车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≥18吨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945" w:type="dxa"/>
                  <w:vMerge w:val="continue"/>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≥25吨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7</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新能源多功能抑尘车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≥25吨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8</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人行道冲洗车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≥1.8吨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18</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18</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9</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新能源人行道冲洗车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8</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10</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电动三轮保洁车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≥0.2吨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11</w:t>
                  </w:r>
                </w:p>
              </w:tc>
              <w:tc>
                <w:tcPr>
                  <w:tcW w:w="945" w:type="dxa"/>
                  <w:vMerge w:val="restart"/>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农村垃圾压缩清运车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≥8吨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17</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12</w:t>
                  </w:r>
                </w:p>
              </w:tc>
              <w:tc>
                <w:tcPr>
                  <w:tcW w:w="945" w:type="dxa"/>
                  <w:vMerge w:val="continue"/>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≥18吨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13</w:t>
                  </w:r>
                </w:p>
              </w:tc>
              <w:tc>
                <w:tcPr>
                  <w:tcW w:w="945" w:type="dxa"/>
                  <w:vMerge w:val="continue"/>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≥15吨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14</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垃圾转运车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≥1.8吨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15</w:t>
                  </w: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大件垃圾清运车</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≥4吨</w:t>
                  </w: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台</w:t>
                  </w: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94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车辆小计</w:t>
                  </w:r>
                </w:p>
              </w:tc>
              <w:tc>
                <w:tcPr>
                  <w:tcW w:w="2655"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630" w:type="dxa"/>
                  <w:tcBorders>
                    <w:top w:val="nil"/>
                    <w:left w:val="nil"/>
                    <w:bottom w:val="single" w:color="000000" w:sz="6" w:space="0"/>
                    <w:right w:val="single" w:color="000000" w:sz="6" w:space="0"/>
                  </w:tcBorders>
                  <w:shd w:val="clear"/>
                  <w:tcMar>
                    <w:left w:w="105" w:type="dxa"/>
                    <w:right w:w="105" w:type="dxa"/>
                  </w:tcMar>
                  <w:vAlign w:val="top"/>
                </w:tcPr>
                <w:p>
                  <w:pPr>
                    <w:rPr>
                      <w:rFonts w:hint="default" w:ascii="Times New Roman" w:hAnsi="Times New Roman" w:cs="Times New Roman"/>
                      <w:sz w:val="24"/>
                      <w:szCs w:val="24"/>
                    </w:rPr>
                  </w:pPr>
                </w:p>
              </w:tc>
              <w:tc>
                <w:tcPr>
                  <w:tcW w:w="82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125</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41</w:t>
                  </w:r>
                </w:p>
              </w:tc>
              <w:tc>
                <w:tcPr>
                  <w:tcW w:w="151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84</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环卫设施设备现有配置清单</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0"/>
              <w:gridCol w:w="1155"/>
              <w:gridCol w:w="990"/>
              <w:gridCol w:w="600"/>
              <w:gridCol w:w="960"/>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序号</w:t>
                  </w:r>
                </w:p>
              </w:tc>
              <w:tc>
                <w:tcPr>
                  <w:tcW w:w="115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设施设备</w:t>
                  </w:r>
                </w:p>
              </w:tc>
              <w:tc>
                <w:tcPr>
                  <w:tcW w:w="99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规格</w:t>
                  </w:r>
                </w:p>
              </w:tc>
              <w:tc>
                <w:tcPr>
                  <w:tcW w:w="60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单位</w:t>
                  </w:r>
                </w:p>
              </w:tc>
              <w:tc>
                <w:tcPr>
                  <w:tcW w:w="960"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现有数量</w:t>
                  </w:r>
                </w:p>
              </w:tc>
              <w:tc>
                <w:tcPr>
                  <w:tcW w:w="1455" w:type="dxa"/>
                  <w:tcBorders>
                    <w:top w:val="single" w:color="000000" w:sz="6" w:space="0"/>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可免费提供给中标人使用数量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1</w:t>
                  </w:r>
                </w:p>
              </w:tc>
              <w:tc>
                <w:tcPr>
                  <w:tcW w:w="11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城区果皮箱（含内桶）</w:t>
                  </w:r>
                </w:p>
              </w:tc>
              <w:tc>
                <w:tcPr>
                  <w:tcW w:w="9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三分类</w:t>
                  </w:r>
                </w:p>
              </w:tc>
              <w:tc>
                <w:tcPr>
                  <w:tcW w:w="60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个</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2594</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330" w:type="dxa"/>
                  <w:tcBorders>
                    <w:top w:val="nil"/>
                    <w:left w:val="single" w:color="000000" w:sz="6" w:space="0"/>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w:t>
                  </w:r>
                </w:p>
              </w:tc>
              <w:tc>
                <w:tcPr>
                  <w:tcW w:w="11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农村生活垃圾收集点（含内桶）</w:t>
                  </w:r>
                </w:p>
              </w:tc>
              <w:tc>
                <w:tcPr>
                  <w:tcW w:w="99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两分类</w:t>
                  </w:r>
                </w:p>
              </w:tc>
              <w:tc>
                <w:tcPr>
                  <w:tcW w:w="60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组</w:t>
                  </w:r>
                </w:p>
              </w:tc>
              <w:tc>
                <w:tcPr>
                  <w:tcW w:w="960"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2131</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default" w:ascii="仿宋_GB2312" w:hAnsi="Times New Roman" w:eastAsia="仿宋_GB2312" w:cs="仿宋_GB2312"/>
                      <w:sz w:val="24"/>
                      <w:szCs w:val="24"/>
                      <w:bdr w:val="none" w:color="auto" w:sz="0" w:space="0"/>
                    </w:rPr>
                    <w:t>736</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环卫车辆配置：中标人必须满足本次招标的环卫车辆最低配置要求，且必须租用招标人自持车辆清单内未报废、可使用的车辆，不足部分须由中标人自行补充到位。招标人自持车辆的租赁价格按照第三方评估机构出具的价格，现有41台车辆总租赁费为1416720元/年。合同期内，车辆运行费、维修维护、保险费等一切车辆相关费用由中标人自行承担，租赁车辆的一切安全责任由中标人负责。同时按照市、区要求，中标人须在2025年12月31日前保障新能源环卫作业车辆比例达到35%，若2025年12月31日新能源环卫作业车辆比例未达到35%，招标人有权终止采购合同，终止采购合同前的服务费按实结算。</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环卫设施配置：中标人需对环卫设施设备进行管理和维修。包括但不限于城区果皮箱内桶和农村生活垃圾收集点内桶的新增和更换、城区果皮箱内桶垃圾袋更换、城区果皮箱维修和更换、农村生活垃圾收集点的维修。以上费用均含在本次招标费用内，且中标人应保障环卫设施齐备，正常运行。</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环卫设施的租用：环卫设施中属于原清扫保洁公司所有的2594个三分类果皮箱和1395个农村垃圾收集点，中标人可自愿租赁，租赁价格以第三方评估机构出具的价格817920元/年计算；若中标人不愿租赁原清扫保洁公司的，则须满足环卫设施的最低要求，自行建设不足部分，须按照招标人要求的样式、材料、规格进行建设，建设费用含在本次招标费用内，保证建设完成后能正常使用。（参考图片见附件5）</w:t>
            </w:r>
            <w:r>
              <w:rPr>
                <w:rFonts w:hint="default" w:ascii="仿宋_GB2312" w:hAnsi="Calibri" w:eastAsia="仿宋_GB2312" w:cs="仿宋_GB2312"/>
                <w:sz w:val="24"/>
                <w:szCs w:val="24"/>
                <w:bdr w:val="none" w:color="auto" w:sz="0" w:space="0"/>
              </w:rPr>
              <w:t>（供应商响应即可，具体附件内容可不列出）</w:t>
            </w:r>
            <w:r>
              <w:rPr>
                <w:rFonts w:hint="default" w:ascii="仿宋_GB2312" w:eastAsia="仿宋_GB2312" w:cs="仿宋_GB2312"/>
                <w:sz w:val="24"/>
                <w:szCs w:val="24"/>
                <w:bdr w:val="none" w:color="auto" w:sz="0" w:space="0"/>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搭建智慧环卫管理系统：该系统含合同要求的人员、车辆GPS、物资出入库等的智慧与监控管理。要求中标人进场后需于3个月内搭建完成智慧环卫管理系统并正常使用，智慧环卫系统相关建设标准及要求（详见附件6）</w:t>
            </w:r>
            <w:r>
              <w:rPr>
                <w:rFonts w:hint="default" w:ascii="仿宋_GB2312" w:hAnsi="Calibri" w:eastAsia="仿宋_GB2312" w:cs="仿宋_GB2312"/>
                <w:sz w:val="24"/>
                <w:szCs w:val="24"/>
                <w:bdr w:val="none" w:color="auto" w:sz="0" w:space="0"/>
              </w:rPr>
              <w:t>（供应商响应即可，具体附件内容可不列出）</w:t>
            </w:r>
            <w:r>
              <w:rPr>
                <w:rFonts w:hint="default" w:ascii="仿宋_GB2312" w:eastAsia="仿宋_GB2312" w:cs="仿宋_GB2312"/>
                <w:sz w:val="24"/>
                <w:szCs w:val="24"/>
                <w:bdr w:val="none" w:color="auto" w:sz="0" w:space="0"/>
              </w:rPr>
              <w:t>。如中标人未按期完成，招标人有权终止采购合同，终止采购合同前的服务费按实结算。</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（四）其他要求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1.人员移交:</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1.1环卫作业人员作为弱势群体，在劳动关系转换的过程中，需充分考虑其感受，优先保证环卫作业人员根据劳动法规获得劳动报酬和补偿的权益。中标人每月必须按时足额发放所有人员工资。</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1.2.在遵循现有人员自愿原则前提下，中标人应无条件接收全区现有符合条件的环卫作业人员，中标人根据接收当时人员的年龄，双方依法签订劳动合同/劳务合同。</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1.3为保证此次环卫作业人员交接的顺利进行，中标人应按照此次的人员移交方案（详见附件4:《泸州市江阳区清扫保洁和垃圾清运人员移交实施方案》，附件内容可不列出。），协助办理环卫相关人员与原用工单位劳动/劳务关系的终止手续。中标人需依法为所接收的人员足额购买社会保险(养老、医疗、失业、工伤)和保费不低于100元/人的团体人身意外险。每年需组织所有从业人员在具有职业健康检查资质的医院，至少开展一次职业健康检查。</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1.4.人员工资不得低于泸州市公布的最低工资标准，现行标准按照《泸州市人民政府关于调整全市最低工资标准的通知》（泸市府规[2022]2号）执行。如在服务期内，全市最低工资标准调整，人员工资也应跟随最新的标准调整。</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2.环卫机具和设施设备移交:</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2.1.环卫机具和设施设备应顺利完成交接，避免和杜绝国有资产的损坏或流失。</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2.2.环卫车辆和设施设备进行现场交接检查，双方签字盖章认可后完成移交，中标人须对移交的机具车辆、设施设备、资料等进行登记建档。服务期满后，环卫车辆和设施设备能正常开展作业状态移交招标人。</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2.3.合同期内发生应急事故时，中标人需在30分钟内组织应急事故处置所需的环卫机具抵达现场。</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2.4.应急范围：除突发洪灾、地震、公共卫生事件等自然灾害外，其余应急处置均属于日常应急处置范围(包含:大气污染防治洒水降尘、道路撒漏泥土、较重扬尘；突发性暴露垃圾或撒漏垃圾；责任区域突击生活垃圾及大件垃圾清理；重污染天气预警作业保障；各级领导工作检查的突击性安排，重要政商活动保障、巩固创文、创卫迎检工作；干旱、洒水、森林火灾等)，日常应急不另行增加费用。</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因自然灾害或服务区域范围外产生的费用，由中标人提出书面申请，经区综合行政执法局认定审核后按程序报批。</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2.5.服务期满：中标人可参与下一轮竞标。如未中标，对于人员，原中标人负责帮助和协调新中标人安置劳务人员，确保平稳过度。</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2.6.特殊情况：如遇中标人合同期间出现考核办法中规定合同终止情形时，招标人有权要求其他单位提供应急服务，应急服务产生的费用在本项目费用中扣除。</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2.7.其他福利：严格按照环卫保洁规范化标准为环卫工人配置具有反光警示标志的工作服装，包括口罩、手套等安全劳保装备等；合理安排好环卫工人作息时间，每年7-9月高温天气按《四川省人力资源和社会保障厅等四部门关于调整高温津贴调整的通知》规定对环卫工人发放高温津贴，并另行配放防暑降温药品；春节期间对环卫工人发放不低于100元/人的现金或其他物资；每年开展“环卫工人节”活动，预算不低于10万元；对环卫作业人员的工作和生活有健全的劳动保障方案和安全防范措施，尊重作业人员的健康和安全。</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2.8.服务期内，因规划区导致的作业面积调整或道路清扫保洁等级调整，中标人须无条件接受(道路清扫等级的确定由招标人自行确定)。</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2.9.作业要求: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2.9.1.具体作业要求及质量标准详见附件1:《泸州市江阳区清扫保洁质量标准》。（附件内容可不列出）</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2.9.2.严格按照文明城市、卫生城市、政商活动、市级考核办法等要求进行规范作业，必要时中标人须根据招标人要求增加冲洗次数。</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2.9.3.环卫作业人员必须穿着警示服并配备保证作业安全的工具上岗，警示服应符合现行最新国家标准规定，无脱岗、到岗不到位和聚集聊天现象，不做与工作无关的事。</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2.9.4.不得将垃圾扫入或倾倒进下水道、河道或绿化带等。</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2.9.5.认真落实交接班制度，无断档现象，服从工作安排，发现影响环境卫生的突发性问题及时汇报，积极解决。</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2.9.6.遇群众有恶意破坏环境卫生的行为时，环卫作业人员应耐心劝阻，不与群众发生恶性冲突。</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2.9.7.监督管理:中标人应严格按国家有关规定进行作业及管理，并无条件地接受招标人、项目监管等单位等对作业、安全、人员及设备配备等方面的监督管理，并定期将内部管理制度和运营情况交区综合行政执法局备案。</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3.环卫服务的主要管理规范</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70"/>
              <w:jc w:val="both"/>
              <w:rPr>
                <w:sz w:val="24"/>
                <w:szCs w:val="24"/>
              </w:rPr>
            </w:pPr>
            <w:r>
              <w:rPr>
                <w:rFonts w:hint="default" w:ascii="仿宋_GB2312" w:hAnsi="Calibri" w:eastAsia="仿宋_GB2312" w:cs="仿宋_GB2312"/>
                <w:sz w:val="24"/>
                <w:szCs w:val="24"/>
                <w:bdr w:val="none" w:color="auto" w:sz="0" w:space="0"/>
              </w:rPr>
              <w:t>中标人提供环卫服务并接受招标人监督考核的主要管理规范，包括但不限于《泸州市江阳区清扫保洁质量标准》、《泸州市江阳区环境卫生作业质量检查考核办法》、《泸州市江阳区环卫服务考核评分表》（详见附件1、附件2、附件3）（供应商响应即可，具体附件内容可不列出）。</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7"/>
          <w:szCs w:val="27"/>
        </w:rPr>
      </w:pPr>
      <w:r>
        <w:rPr>
          <w:rFonts w:hint="eastAsia" w:ascii="微软雅黑" w:hAnsi="微软雅黑" w:eastAsia="微软雅黑" w:cs="微软雅黑"/>
          <w:b/>
          <w:i w:val="0"/>
          <w:caps w:val="0"/>
          <w:color w:val="333333"/>
          <w:spacing w:val="0"/>
          <w:sz w:val="27"/>
          <w:szCs w:val="27"/>
          <w:bdr w:val="none" w:color="auto" w:sz="0" w:space="0"/>
          <w:shd w:val="clear" w:fill="FFFFFF"/>
        </w:rPr>
        <w:t>3.3.服务要求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3.3.1.服务内容要求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1"/>
        <w:gridCol w:w="799"/>
        <w:gridCol w:w="1616"/>
        <w:gridCol w:w="548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服务要求名称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服务要求内容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无</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4"/>
          <w:szCs w:val="24"/>
        </w:rPr>
      </w:pPr>
      <w:r>
        <w:rPr>
          <w:rFonts w:hint="eastAsia" w:ascii="微软雅黑" w:hAnsi="微软雅黑" w:eastAsia="微软雅黑" w:cs="微软雅黑"/>
          <w:b/>
          <w:i w:val="0"/>
          <w:caps w:val="0"/>
          <w:color w:val="333333"/>
          <w:spacing w:val="0"/>
          <w:sz w:val="24"/>
          <w:szCs w:val="24"/>
          <w:bdr w:val="none" w:color="auto" w:sz="0" w:space="0"/>
          <w:shd w:val="clear" w:fill="FFFFFF"/>
        </w:rPr>
        <w:t>3.3.2.商务要求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0"/>
        <w:gridCol w:w="611"/>
        <w:gridCol w:w="1144"/>
        <w:gridCol w:w="624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商务要求名称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b/>
                <w:sz w:val="24"/>
                <w:szCs w:val="24"/>
              </w:rPr>
            </w:pPr>
            <w:r>
              <w:rPr>
                <w:rFonts w:ascii="宋体" w:hAnsi="宋体" w:eastAsia="宋体" w:cs="宋体"/>
                <w:b/>
                <w:kern w:val="0"/>
                <w:sz w:val="24"/>
                <w:szCs w:val="24"/>
                <w:bdr w:val="none" w:color="auto" w:sz="0" w:space="0"/>
                <w:lang w:val="en-US" w:eastAsia="zh-CN" w:bidi="ar"/>
              </w:rPr>
              <w:t>商务要求内容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服务期限</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自合同签订之日起三年（合同一签三年）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江阳区区域范围内</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验收标准、指标和方法严格按照政府采购相关法律法规以及《财政部关于进一步加强政府采购需求和履约验收管理的指导意见》（财库〔2016〕205号）的相关要求进行验收。采购人应成立验收小组，按照采购合同的约定对供应商履约情况进行验收。验收时,按照采购合同的约定对每一项技术、服务、安全标准的履约情况进行确认。验收结束后,出具验收报告，列明各项标准的验收情况及项目总体评价，由验收双方共同签署。验收结果与采购合同约定的资金支付及履约保证金返还条件挂钩。履约验收的各项资料应存档备查。2.服务考核评价标准、指标和方法考核方式：按考核实施标准(详见附件2)和考核评分表(详见附件3)进行日巡查、半月考核及月考核，每季度进行通报。考核标准按照《泸州市江阳区清扫保洁质量标准》、《泸州市江阳区环境卫生作业质量检查考核办法》、《泸州江阳区环卫服务考核评分表》执行。3.监督管理：要求中标人接受区综合行政执法局的监督管理，并定期将内部管理制度和运营情况交区综合行政执法局备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1、进度款，第一个半年考核完成扣除考核费用后，由乙方向甲方申请，达到付款条件起40日内，据实情况说明为支付合同总金额的 16.66%</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2、进度款，第二个半年考核完成扣除考核费用后，达到付款条件起40日内，据实情况说明为支付合同总金额的 16.66%</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3、进度款，第三个半年考核完成扣除考核费用后，达到付款条件起40日内，据实情况说明为支付合同总金额的 16.66%</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4、进度款，第四个半年考核完成扣除考核费用后，达到付款条件起40日内，据实情况说明为支付合同总金额的 16.66%</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5、进度款，第五个半年考核完成扣除考核费用后，达到付款条件起40日内，据实情况说明为支付合同总金额的 16.66%</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6、进度款，第六个半年考核完成扣除考核费用后，达到付款条件起40日内，据实情况说明为支付合同总金额的 16.70%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一）甲乙双方均应遵守本合同，非因不可抗力而单方面终止执行合同的，将赔偿因违约给对方造成的经济损失，并向对方支付本合同年度总金额10%的违约金；如因乙方原因造成的，除不予退还履约保证金外，由甲方提请项目同级财政部门将其列入不良行为记录。（二）若因乙方原因在合同规定期限内无法提供服务，甲方有权要求乙方在一定期限内整改，乙方逾期未解决并造成甲方直接经济损失的，甲方有权解除本合同，不予退还履约保证金并由乙方向甲方支付本合同年度总金额10%的违约金；或经甲乙双方协商同意继续履行合同，不予退还履约保证金，甲方视情况在延迟服务每天按本合同年度总金额3‰的标准收取违约金。因不可抗拒力所导致的，双方互不承担违约责任。（三）乙方提供的服务质量不符合本合同规定的，甲方有权按照合同约定考核评分标准对应的扣款比例扣除相应的服务费。（四）乙方应严格遵守服务承诺，如有违约，将赔偿因服务违约给甲方造成的经济损失。如因乙方工作人员在履行职务过程中的疏忽、失职、过错等故意或者过失原因给甲方造成损失或侵害，包括但不限于甲方本身的财产损失，由此而导致的甲方对任何第三方的法律责任等，乙方对此均应承担全部的赔偿责任。（五）验收合格后，甲方应按照合同约定的付款方式及时支付合同款项，如因甲方原因造成付款延误的，甲方应在延迟付款期内每天按应付款总额 3‰的标准向乙方支付违约金。（六）在本合同履行期限内，非因法定及约定事由甲方不得提前解除本合同，也不得采取缩减本合同约定环卫作业范围或者环卫作业量的方式变相的部分解除合同，否则甲方应当按照未履行完毕的合同期限全额计算应当支付的服务外包费，由此导致乙方提前解散人员、车辆及环卫作业设备设施闲置等损失的，由甲方承担。九、不可抗力甲方由于不可抗力的原因不能履行合同时，应及时向乙方和项目同级财政部门通报不能履行或不能完全履行的理由；乙方由于不可抗力的原因不能履行合同时，应在约定时间到期以前及时向甲方和项目同级财政部门通报不能履行或不能完全履行的理由；在取得有关主管机关证明以后，可以签订延期履行、部分履行补充合同或者不履行合同，并根据情况可部分或全部免予承担违约责任。</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i w:val="0"/>
          <w:caps w:val="0"/>
          <w:color w:val="333333"/>
          <w:spacing w:val="0"/>
          <w:sz w:val="27"/>
          <w:szCs w:val="27"/>
        </w:rPr>
      </w:pPr>
      <w:r>
        <w:rPr>
          <w:rFonts w:hint="eastAsia" w:ascii="微软雅黑" w:hAnsi="微软雅黑" w:eastAsia="微软雅黑" w:cs="微软雅黑"/>
          <w:b/>
          <w:i w:val="0"/>
          <w:caps w:val="0"/>
          <w:color w:val="333333"/>
          <w:spacing w:val="0"/>
          <w:sz w:val="27"/>
          <w:szCs w:val="27"/>
          <w:bdr w:val="none" w:color="auto" w:sz="0" w:space="0"/>
          <w:shd w:val="clear" w:fill="FFFFFF"/>
        </w:rPr>
        <w:t>3.4.其他要求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采购包1：</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caps w:val="0"/>
          <w:color w:val="0A82E5"/>
          <w:spacing w:val="0"/>
          <w:sz w:val="24"/>
          <w:szCs w:val="24"/>
          <w:bdr w:val="none" w:color="auto" w:sz="0" w:space="0"/>
          <w:shd w:val="clear" w:fill="FFFFFF"/>
        </w:rPr>
        <w:t>★3.4.1. 中标人在履约过程中若发生任何安全事故（含人员、车辆、设备等），均由中标人负责，因事故所产生的一切赔付和善后均由中标人负责，采购人不承担任何经济和法律责任。 备注：本招标文件“3.2技术要求、3.3服务要求”、“3.4 其他要求的3.4.1”均为实质性要求，不允许负偏离，负偏离视为非实质性响应招标文件，做无效响应处理，供应商须按招标文件要求在技术参数与性能指标响应表、商务及其他要求响应表中予以应答。</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92F5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2025-02-06T08:56:28Z</dcterms:created>
  <dc:creator>Administrator</dc:creator>
  <cp:lastModifiedBy>Administrator</cp:lastModifiedBy>
  <dcterms:modified xsi:type="dcterms:W3CDTF">2025-02-06T08:56:52Z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